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C8" w:rsidRDefault="008D4993" w:rsidP="007048C8">
      <w:pPr>
        <w:spacing w:before="299" w:after="0" w:line="240" w:lineRule="atLeast"/>
        <w:ind w:left="142"/>
        <w:jc w:val="center"/>
        <w:rPr>
          <w:rFonts w:ascii="Times New Roman" w:eastAsia="New Baskerville" w:hAnsi="Times New Roman" w:cs="Times New Roman"/>
          <w:b/>
          <w:sz w:val="40"/>
          <w:szCs w:val="40"/>
          <w:lang w:eastAsia="it-IT"/>
        </w:rPr>
      </w:pPr>
      <w:r w:rsidRPr="007048C8">
        <w:rPr>
          <w:rFonts w:ascii="Times New Roman" w:eastAsia="New Baskerville" w:hAnsi="Times New Roman" w:cs="Times New Roman"/>
          <w:b/>
          <w:sz w:val="40"/>
          <w:szCs w:val="40"/>
          <w:lang w:eastAsia="it-IT"/>
        </w:rPr>
        <w:t>Pubblicità, t</w:t>
      </w:r>
      <w:r w:rsidR="006433B0" w:rsidRPr="007048C8">
        <w:rPr>
          <w:rFonts w:ascii="Times New Roman" w:eastAsia="New Baskerville" w:hAnsi="Times New Roman" w:cs="Times New Roman"/>
          <w:b/>
          <w:sz w:val="40"/>
          <w:szCs w:val="40"/>
          <w:lang w:eastAsia="it-IT"/>
        </w:rPr>
        <w:t xml:space="preserve">rasparenza e </w:t>
      </w:r>
      <w:r w:rsidR="00796941" w:rsidRPr="007048C8">
        <w:rPr>
          <w:rFonts w:ascii="Times New Roman" w:eastAsia="New Baskerville" w:hAnsi="Times New Roman" w:cs="Times New Roman"/>
          <w:b/>
          <w:sz w:val="40"/>
          <w:szCs w:val="40"/>
          <w:lang w:eastAsia="it-IT"/>
        </w:rPr>
        <w:t>FOIA</w:t>
      </w:r>
      <w:r w:rsidR="00FB2EFE" w:rsidRPr="007048C8">
        <w:rPr>
          <w:rFonts w:ascii="Times New Roman" w:eastAsia="New Baskerville" w:hAnsi="Times New Roman" w:cs="Times New Roman"/>
          <w:b/>
          <w:sz w:val="40"/>
          <w:szCs w:val="40"/>
          <w:lang w:eastAsia="it-IT"/>
        </w:rPr>
        <w:t>:</w:t>
      </w:r>
      <w:r w:rsidR="00E2585B" w:rsidRPr="007048C8">
        <w:rPr>
          <w:rFonts w:ascii="Times New Roman" w:eastAsia="New Baskerville" w:hAnsi="Times New Roman" w:cs="Times New Roman"/>
          <w:b/>
          <w:sz w:val="40"/>
          <w:szCs w:val="40"/>
          <w:lang w:eastAsia="it-IT"/>
        </w:rPr>
        <w:t xml:space="preserve"> </w:t>
      </w:r>
      <w:r w:rsidRPr="007048C8">
        <w:rPr>
          <w:rFonts w:ascii="Times New Roman" w:eastAsia="New Baskerville" w:hAnsi="Times New Roman" w:cs="Times New Roman"/>
          <w:b/>
          <w:sz w:val="40"/>
          <w:szCs w:val="40"/>
          <w:lang w:eastAsia="it-IT"/>
        </w:rPr>
        <w:t>i</w:t>
      </w:r>
      <w:r w:rsidR="00FB2EFE" w:rsidRPr="007048C8">
        <w:rPr>
          <w:rFonts w:ascii="Times New Roman" w:eastAsia="New Baskerville" w:hAnsi="Times New Roman" w:cs="Times New Roman"/>
          <w:b/>
          <w:sz w:val="40"/>
          <w:szCs w:val="40"/>
          <w:lang w:eastAsia="it-IT"/>
        </w:rPr>
        <w:t>ndicazioni operative</w:t>
      </w:r>
    </w:p>
    <w:p w:rsidR="007048C8" w:rsidRPr="007048C8" w:rsidRDefault="007048C8" w:rsidP="007048C8">
      <w:pPr>
        <w:spacing w:before="299" w:after="0" w:line="240" w:lineRule="atLeast"/>
        <w:ind w:left="142"/>
        <w:jc w:val="center"/>
        <w:rPr>
          <w:rFonts w:ascii="Times New Roman" w:eastAsia="New Baskerville" w:hAnsi="Times New Roman" w:cs="Times New Roman"/>
          <w:b/>
          <w:sz w:val="40"/>
          <w:szCs w:val="40"/>
          <w:lang w:eastAsia="it-IT"/>
        </w:rPr>
      </w:pPr>
    </w:p>
    <w:p w:rsidR="007E1BA8" w:rsidRPr="00974501" w:rsidRDefault="00B22E32" w:rsidP="00367C00">
      <w:pPr>
        <w:numPr>
          <w:ilvl w:val="0"/>
          <w:numId w:val="5"/>
        </w:numPr>
        <w:spacing w:before="299" w:after="0" w:line="360" w:lineRule="auto"/>
        <w:ind w:left="142" w:firstLine="992"/>
        <w:jc w:val="both"/>
        <w:rPr>
          <w:rFonts w:ascii="Times New Roman" w:eastAsia="New Baskerville" w:hAnsi="Times New Roman" w:cs="Times New Roman"/>
          <w:b/>
          <w:sz w:val="24"/>
          <w:szCs w:val="24"/>
          <w:u w:val="single"/>
          <w:lang w:eastAsia="it-IT"/>
        </w:rPr>
      </w:pPr>
      <w:r w:rsidRPr="00974501">
        <w:rPr>
          <w:rFonts w:ascii="Times New Roman" w:eastAsia="New Baskerville" w:hAnsi="Times New Roman" w:cs="Times New Roman"/>
          <w:b/>
          <w:sz w:val="24"/>
          <w:szCs w:val="24"/>
          <w:u w:val="single"/>
          <w:lang w:eastAsia="it-IT"/>
        </w:rPr>
        <w:t>Trasparenza</w:t>
      </w:r>
      <w:r w:rsidR="00810ACB" w:rsidRPr="00974501">
        <w:rPr>
          <w:rFonts w:ascii="Times New Roman" w:eastAsia="New Baskerville" w:hAnsi="Times New Roman" w:cs="Times New Roman"/>
          <w:b/>
          <w:sz w:val="24"/>
          <w:szCs w:val="24"/>
          <w:u w:val="single"/>
          <w:lang w:eastAsia="it-IT"/>
        </w:rPr>
        <w:t>,</w:t>
      </w:r>
      <w:r w:rsidRPr="00974501">
        <w:rPr>
          <w:rFonts w:ascii="Times New Roman" w:eastAsia="New Baskerville" w:hAnsi="Times New Roman" w:cs="Times New Roman"/>
          <w:b/>
          <w:sz w:val="24"/>
          <w:szCs w:val="24"/>
          <w:u w:val="single"/>
          <w:lang w:eastAsia="it-IT"/>
        </w:rPr>
        <w:t xml:space="preserve"> pubblicità</w:t>
      </w:r>
      <w:r w:rsidR="00491B2C" w:rsidRPr="00974501">
        <w:rPr>
          <w:rFonts w:ascii="Times New Roman" w:eastAsia="New Baskerville" w:hAnsi="Times New Roman" w:cs="Times New Roman"/>
          <w:b/>
          <w:sz w:val="24"/>
          <w:szCs w:val="24"/>
          <w:u w:val="single"/>
          <w:lang w:eastAsia="it-IT"/>
        </w:rPr>
        <w:t xml:space="preserve"> ed</w:t>
      </w:r>
      <w:r w:rsidRPr="00974501">
        <w:rPr>
          <w:rFonts w:ascii="Times New Roman" w:eastAsia="New Baskerville" w:hAnsi="Times New Roman" w:cs="Times New Roman"/>
          <w:b/>
          <w:sz w:val="24"/>
          <w:szCs w:val="24"/>
          <w:u w:val="single"/>
          <w:lang w:eastAsia="it-IT"/>
        </w:rPr>
        <w:t xml:space="preserve"> accesso</w:t>
      </w:r>
      <w:r w:rsidR="000D04F8" w:rsidRPr="00974501">
        <w:rPr>
          <w:rFonts w:ascii="Times New Roman" w:eastAsia="New Baskerville" w:hAnsi="Times New Roman" w:cs="Times New Roman"/>
          <w:b/>
          <w:sz w:val="24"/>
          <w:szCs w:val="24"/>
          <w:u w:val="single"/>
          <w:lang w:eastAsia="it-IT"/>
        </w:rPr>
        <w:t>, tre istituti complementari.</w:t>
      </w:r>
    </w:p>
    <w:p w:rsidR="0027490C" w:rsidRPr="00974501" w:rsidRDefault="0027490C"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L</w:t>
      </w:r>
      <w:r w:rsidR="00810ACB" w:rsidRPr="00974501">
        <w:rPr>
          <w:rFonts w:ascii="Times New Roman" w:eastAsia="New Baskerville" w:hAnsi="Times New Roman" w:cs="Times New Roman"/>
          <w:sz w:val="24"/>
          <w:szCs w:val="24"/>
          <w:lang w:eastAsia="it-IT"/>
        </w:rPr>
        <w:t>a</w:t>
      </w:r>
      <w:r w:rsidRPr="00974501">
        <w:rPr>
          <w:rFonts w:ascii="Times New Roman" w:eastAsia="New Baskerville" w:hAnsi="Times New Roman" w:cs="Times New Roman"/>
          <w:sz w:val="24"/>
          <w:szCs w:val="24"/>
          <w:lang w:eastAsia="it-IT"/>
        </w:rPr>
        <w:t xml:space="preserve"> trasparenza è un valore-chiave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ordinamento democratico, </w:t>
      </w:r>
      <w:r w:rsidR="00974501" w:rsidRPr="00974501">
        <w:rPr>
          <w:rFonts w:ascii="Times New Roman" w:eastAsia="New Baskerville" w:hAnsi="Times New Roman" w:cs="Times New Roman"/>
          <w:sz w:val="24"/>
          <w:szCs w:val="24"/>
          <w:lang w:eastAsia="it-IT"/>
        </w:rPr>
        <w:t>espressamente incluso</w:t>
      </w:r>
      <w:r w:rsidR="00E2585B">
        <w:rPr>
          <w:rFonts w:ascii="Times New Roman" w:eastAsia="New Baskerville" w:hAnsi="Times New Roman" w:cs="Times New Roman"/>
          <w:sz w:val="24"/>
          <w:szCs w:val="24"/>
          <w:lang w:eastAsia="it-IT"/>
        </w:rPr>
        <w:t>, dall’art. 1 della legge n. 241/1990,</w:t>
      </w:r>
      <w:r w:rsidR="00974501" w:rsidRPr="00974501">
        <w:rPr>
          <w:rFonts w:ascii="Times New Roman" w:eastAsia="New Baskerville" w:hAnsi="Times New Roman" w:cs="Times New Roman"/>
          <w:sz w:val="24"/>
          <w:szCs w:val="24"/>
          <w:lang w:eastAsia="it-IT"/>
        </w:rPr>
        <w:t xml:space="preserve"> tra i princ</w:t>
      </w:r>
      <w:r w:rsidR="00241680">
        <w:rPr>
          <w:rFonts w:ascii="Times New Roman" w:eastAsia="New Baskerville" w:hAnsi="Times New Roman" w:cs="Times New Roman"/>
          <w:sz w:val="24"/>
          <w:szCs w:val="24"/>
          <w:lang w:eastAsia="it-IT"/>
        </w:rPr>
        <w:t>ì</w:t>
      </w:r>
      <w:r w:rsidR="00974501" w:rsidRPr="00974501">
        <w:rPr>
          <w:rFonts w:ascii="Times New Roman" w:eastAsia="New Baskerville" w:hAnsi="Times New Roman" w:cs="Times New Roman"/>
          <w:sz w:val="24"/>
          <w:szCs w:val="24"/>
          <w:lang w:eastAsia="it-IT"/>
        </w:rPr>
        <w:t>pi generali che reg</w:t>
      </w:r>
      <w:r w:rsidR="00E2585B">
        <w:rPr>
          <w:rFonts w:ascii="Times New Roman" w:eastAsia="New Baskerville" w:hAnsi="Times New Roman" w:cs="Times New Roman"/>
          <w:sz w:val="24"/>
          <w:szCs w:val="24"/>
          <w:lang w:eastAsia="it-IT"/>
        </w:rPr>
        <w:t>olano l’attività amministrativa</w:t>
      </w:r>
      <w:r w:rsidR="00241680">
        <w:rPr>
          <w:rFonts w:ascii="Times New Roman" w:eastAsia="New Baskerville" w:hAnsi="Times New Roman" w:cs="Times New Roman"/>
          <w:sz w:val="24"/>
          <w:szCs w:val="24"/>
          <w:lang w:eastAsia="it-IT"/>
        </w:rPr>
        <w:t>,</w:t>
      </w:r>
      <w:r w:rsidR="00974501"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capace di coniugare 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efficienza nello svolgimento dell</w:t>
      </w:r>
      <w:r w:rsidR="00E2585B">
        <w:rPr>
          <w:rFonts w:ascii="Times New Roman" w:eastAsia="New Baskerville" w:hAnsi="Times New Roman" w:cs="Times New Roman"/>
          <w:sz w:val="24"/>
          <w:szCs w:val="24"/>
          <w:lang w:eastAsia="it-IT"/>
        </w:rPr>
        <w:t xml:space="preserve">a funzione pubblica </w:t>
      </w:r>
      <w:r w:rsidRPr="00974501">
        <w:rPr>
          <w:rFonts w:ascii="Times New Roman" w:eastAsia="New Baskerville" w:hAnsi="Times New Roman" w:cs="Times New Roman"/>
          <w:sz w:val="24"/>
          <w:szCs w:val="24"/>
          <w:lang w:eastAsia="it-IT"/>
        </w:rPr>
        <w:t>con le garanzie di tutela delle posizioni giuridiche degli amministrati</w:t>
      </w:r>
      <w:r w:rsidR="00D24DF4" w:rsidRPr="00974501">
        <w:rPr>
          <w:rStyle w:val="Rimandonotaapidipagina"/>
          <w:rFonts w:ascii="Times New Roman" w:eastAsia="New Baskerville" w:hAnsi="Times New Roman" w:cs="Times New Roman"/>
          <w:sz w:val="24"/>
          <w:szCs w:val="24"/>
          <w:lang w:eastAsia="it-IT"/>
        </w:rPr>
        <w:footnoteReference w:id="1"/>
      </w:r>
      <w:r w:rsidRPr="00974501">
        <w:rPr>
          <w:rFonts w:ascii="Times New Roman" w:eastAsia="New Baskerville" w:hAnsi="Times New Roman" w:cs="Times New Roman"/>
          <w:sz w:val="24"/>
          <w:szCs w:val="24"/>
          <w:lang w:eastAsia="it-IT"/>
        </w:rPr>
        <w:t>.</w:t>
      </w:r>
    </w:p>
    <w:p w:rsidR="00810ACB" w:rsidRPr="00974501" w:rsidRDefault="0027490C"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E</w:t>
      </w:r>
      <w:r w:rsidR="00810ACB" w:rsidRPr="00974501">
        <w:rPr>
          <w:rFonts w:ascii="Times New Roman" w:eastAsia="New Baskerville" w:hAnsi="Times New Roman" w:cs="Times New Roman"/>
          <w:sz w:val="24"/>
          <w:szCs w:val="24"/>
          <w:lang w:eastAsia="it-IT"/>
        </w:rPr>
        <w:t>ssa è, in due parole, “chiarezza e comprensibilità dell</w:t>
      </w:r>
      <w:r w:rsidR="00C87340" w:rsidRPr="00974501">
        <w:rPr>
          <w:rFonts w:ascii="Times New Roman" w:eastAsia="New Baskerville" w:hAnsi="Times New Roman" w:cs="Times New Roman"/>
          <w:sz w:val="24"/>
          <w:szCs w:val="24"/>
          <w:lang w:eastAsia="it-IT"/>
        </w:rPr>
        <w:t>’</w:t>
      </w:r>
      <w:r w:rsidR="00810ACB" w:rsidRPr="00974501">
        <w:rPr>
          <w:rFonts w:ascii="Times New Roman" w:eastAsia="New Baskerville" w:hAnsi="Times New Roman" w:cs="Times New Roman"/>
          <w:sz w:val="24"/>
          <w:szCs w:val="24"/>
          <w:lang w:eastAsia="it-IT"/>
        </w:rPr>
        <w:t>azione amministrativa”</w:t>
      </w:r>
      <w:r w:rsidR="00D24DF4" w:rsidRPr="00974501">
        <w:rPr>
          <w:rStyle w:val="Rimandonotaapidipagina"/>
          <w:rFonts w:ascii="Times New Roman" w:eastAsia="New Baskerville" w:hAnsi="Times New Roman" w:cs="Times New Roman"/>
          <w:sz w:val="24"/>
          <w:szCs w:val="24"/>
          <w:lang w:eastAsia="it-IT"/>
        </w:rPr>
        <w:footnoteReference w:id="2"/>
      </w:r>
      <w:r w:rsidR="00810ACB" w:rsidRPr="00974501">
        <w:rPr>
          <w:rFonts w:ascii="Times New Roman" w:eastAsia="New Baskerville" w:hAnsi="Times New Roman" w:cs="Times New Roman"/>
          <w:sz w:val="24"/>
          <w:szCs w:val="24"/>
          <w:lang w:eastAsia="it-IT"/>
        </w:rPr>
        <w:t>.</w:t>
      </w:r>
    </w:p>
    <w:p w:rsidR="00810ACB" w:rsidRPr="00974501" w:rsidRDefault="00E2585B"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Suoi corollari sono gli obblighi di pubblicità ed i</w:t>
      </w:r>
      <w:r w:rsidRPr="00974501">
        <w:rPr>
          <w:rFonts w:ascii="Times New Roman" w:eastAsia="New Baskerville" w:hAnsi="Times New Roman" w:cs="Times New Roman"/>
          <w:sz w:val="24"/>
          <w:szCs w:val="24"/>
          <w:lang w:eastAsia="it-IT"/>
        </w:rPr>
        <w:t>l</w:t>
      </w:r>
      <w:r>
        <w:rPr>
          <w:rFonts w:ascii="Times New Roman" w:eastAsia="New Baskerville" w:hAnsi="Times New Roman" w:cs="Times New Roman"/>
          <w:sz w:val="24"/>
          <w:szCs w:val="24"/>
          <w:lang w:eastAsia="it-IT"/>
        </w:rPr>
        <w:t xml:space="preserve"> diritto di </w:t>
      </w:r>
      <w:r w:rsidRPr="00974501">
        <w:rPr>
          <w:rFonts w:ascii="Times New Roman" w:eastAsia="New Baskerville" w:hAnsi="Times New Roman" w:cs="Times New Roman"/>
          <w:sz w:val="24"/>
          <w:szCs w:val="24"/>
          <w:lang w:eastAsia="it-IT"/>
        </w:rPr>
        <w:t>accesso</w:t>
      </w:r>
      <w:r>
        <w:rPr>
          <w:rFonts w:ascii="Times New Roman" w:eastAsia="New Baskerville" w:hAnsi="Times New Roman" w:cs="Times New Roman"/>
          <w:sz w:val="24"/>
          <w:szCs w:val="24"/>
          <w:lang w:eastAsia="it-IT"/>
        </w:rPr>
        <w:t>, qua</w:t>
      </w:r>
      <w:r w:rsidR="00810ACB" w:rsidRPr="00974501">
        <w:rPr>
          <w:rFonts w:ascii="Times New Roman" w:eastAsia="New Baskerville" w:hAnsi="Times New Roman" w:cs="Times New Roman"/>
          <w:sz w:val="24"/>
          <w:szCs w:val="24"/>
          <w:lang w:eastAsia="it-IT"/>
        </w:rPr>
        <w:t>li strumenti approntati dall</w:t>
      </w:r>
      <w:r w:rsidR="00C87340" w:rsidRPr="00974501">
        <w:rPr>
          <w:rFonts w:ascii="Times New Roman" w:eastAsia="New Baskerville" w:hAnsi="Times New Roman" w:cs="Times New Roman"/>
          <w:sz w:val="24"/>
          <w:szCs w:val="24"/>
          <w:lang w:eastAsia="it-IT"/>
        </w:rPr>
        <w:t>’</w:t>
      </w:r>
      <w:r w:rsidR="00810ACB" w:rsidRPr="00974501">
        <w:rPr>
          <w:rFonts w:ascii="Times New Roman" w:eastAsia="New Baskerville" w:hAnsi="Times New Roman" w:cs="Times New Roman"/>
          <w:sz w:val="24"/>
          <w:szCs w:val="24"/>
          <w:lang w:eastAsia="it-IT"/>
        </w:rPr>
        <w:t>ordinamento per garantir</w:t>
      </w:r>
      <w:r>
        <w:rPr>
          <w:rFonts w:ascii="Times New Roman" w:eastAsia="New Baskerville" w:hAnsi="Times New Roman" w:cs="Times New Roman"/>
          <w:sz w:val="24"/>
          <w:szCs w:val="24"/>
          <w:lang w:eastAsia="it-IT"/>
        </w:rPr>
        <w:t xml:space="preserve">e </w:t>
      </w:r>
      <w:r w:rsidR="00810ACB" w:rsidRPr="00974501">
        <w:rPr>
          <w:rFonts w:ascii="Times New Roman" w:eastAsia="New Baskerville" w:hAnsi="Times New Roman" w:cs="Times New Roman"/>
          <w:sz w:val="24"/>
          <w:szCs w:val="24"/>
          <w:lang w:eastAsia="it-IT"/>
        </w:rPr>
        <w:t xml:space="preserve">la </w:t>
      </w:r>
      <w:r>
        <w:rPr>
          <w:rFonts w:ascii="Times New Roman" w:eastAsia="New Baskerville" w:hAnsi="Times New Roman" w:cs="Times New Roman"/>
          <w:sz w:val="24"/>
          <w:szCs w:val="24"/>
          <w:lang w:eastAsia="it-IT"/>
        </w:rPr>
        <w:t>trasparenza,</w:t>
      </w:r>
      <w:r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intesa </w:t>
      </w:r>
      <w:r w:rsidRPr="00974501">
        <w:rPr>
          <w:rFonts w:ascii="Times New Roman" w:eastAsia="New Baskerville" w:hAnsi="Times New Roman" w:cs="Times New Roman"/>
          <w:sz w:val="24"/>
          <w:szCs w:val="24"/>
          <w:lang w:eastAsia="it-IT"/>
        </w:rPr>
        <w:t>come fine dell’azione amministrativa</w:t>
      </w:r>
      <w:r>
        <w:rPr>
          <w:rFonts w:ascii="Times New Roman" w:eastAsia="New Baskerville" w:hAnsi="Times New Roman" w:cs="Times New Roman"/>
          <w:sz w:val="24"/>
          <w:szCs w:val="24"/>
          <w:lang w:eastAsia="it-IT"/>
        </w:rPr>
        <w:t xml:space="preserve">, </w:t>
      </w:r>
      <w:r w:rsidR="00810ACB" w:rsidRPr="00974501">
        <w:rPr>
          <w:rFonts w:ascii="Times New Roman" w:eastAsia="New Baskerville" w:hAnsi="Times New Roman" w:cs="Times New Roman"/>
          <w:sz w:val="24"/>
          <w:szCs w:val="24"/>
          <w:lang w:eastAsia="it-IT"/>
        </w:rPr>
        <w:t>e realizzarla n</w:t>
      </w:r>
      <w:r>
        <w:rPr>
          <w:rFonts w:ascii="Times New Roman" w:eastAsia="New Baskerville" w:hAnsi="Times New Roman" w:cs="Times New Roman"/>
          <w:sz w:val="24"/>
          <w:szCs w:val="24"/>
          <w:lang w:eastAsia="it-IT"/>
        </w:rPr>
        <w:t>el</w:t>
      </w:r>
      <w:r w:rsidR="00810ACB" w:rsidRPr="00974501">
        <w:rPr>
          <w:rFonts w:ascii="Times New Roman" w:eastAsia="New Baskerville" w:hAnsi="Times New Roman" w:cs="Times New Roman"/>
          <w:sz w:val="24"/>
          <w:szCs w:val="24"/>
          <w:lang w:eastAsia="it-IT"/>
        </w:rPr>
        <w:t xml:space="preserve"> concreto</w:t>
      </w:r>
      <w:r w:rsidR="00D24DF4" w:rsidRPr="00974501">
        <w:rPr>
          <w:rFonts w:ascii="Times New Roman" w:eastAsia="New Baskerville" w:hAnsi="Times New Roman" w:cs="Times New Roman"/>
          <w:sz w:val="24"/>
          <w:szCs w:val="24"/>
          <w:lang w:eastAsia="it-IT"/>
        </w:rPr>
        <w:t>.</w:t>
      </w:r>
    </w:p>
    <w:p w:rsidR="00810ACB" w:rsidRPr="00974501" w:rsidRDefault="00810ACB"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La pubblicità si sostanzia in una serie di obblighi</w:t>
      </w:r>
      <w:r w:rsidR="002E75CA" w:rsidRPr="00974501">
        <w:rPr>
          <w:rFonts w:ascii="Times New Roman" w:eastAsia="New Baskerville" w:hAnsi="Times New Roman" w:cs="Times New Roman"/>
          <w:sz w:val="24"/>
          <w:szCs w:val="24"/>
          <w:lang w:eastAsia="it-IT"/>
        </w:rPr>
        <w:t xml:space="preserve"> di informazione</w:t>
      </w:r>
      <w:r w:rsidRPr="00974501">
        <w:rPr>
          <w:rFonts w:ascii="Times New Roman" w:eastAsia="New Baskerville" w:hAnsi="Times New Roman" w:cs="Times New Roman"/>
          <w:sz w:val="24"/>
          <w:szCs w:val="24"/>
          <w:lang w:eastAsia="it-IT"/>
        </w:rPr>
        <w:t>, cui l</w:t>
      </w:r>
      <w:r w:rsidR="00C87340" w:rsidRPr="00974501">
        <w:rPr>
          <w:rFonts w:ascii="Times New Roman" w:eastAsia="New Baskerville" w:hAnsi="Times New Roman" w:cs="Times New Roman"/>
          <w:sz w:val="24"/>
          <w:szCs w:val="24"/>
          <w:lang w:eastAsia="it-IT"/>
        </w:rPr>
        <w:t>’</w:t>
      </w:r>
      <w:r w:rsidR="00E2585B">
        <w:rPr>
          <w:rFonts w:ascii="Times New Roman" w:eastAsia="New Baskerville" w:hAnsi="Times New Roman" w:cs="Times New Roman"/>
          <w:sz w:val="24"/>
          <w:szCs w:val="24"/>
          <w:lang w:eastAsia="it-IT"/>
        </w:rPr>
        <w:t>a</w:t>
      </w:r>
      <w:r w:rsidRPr="00974501">
        <w:rPr>
          <w:rFonts w:ascii="Times New Roman" w:eastAsia="New Baskerville" w:hAnsi="Times New Roman" w:cs="Times New Roman"/>
          <w:sz w:val="24"/>
          <w:szCs w:val="24"/>
          <w:lang w:eastAsia="it-IT"/>
        </w:rPr>
        <w:t xml:space="preserve">mministrazione è tenuta </w:t>
      </w:r>
      <w:r w:rsidR="002E75CA" w:rsidRPr="00974501">
        <w:rPr>
          <w:rFonts w:ascii="Times New Roman" w:eastAsia="New Baskerville" w:hAnsi="Times New Roman" w:cs="Times New Roman"/>
          <w:sz w:val="24"/>
          <w:szCs w:val="24"/>
          <w:lang w:eastAsia="it-IT"/>
        </w:rPr>
        <w:t>a beneficio indiscriminato di tutti i consociati</w:t>
      </w:r>
      <w:r w:rsidR="00D24DF4" w:rsidRPr="00974501">
        <w:rPr>
          <w:rStyle w:val="Rimandonotaapidipagina"/>
          <w:rFonts w:ascii="Times New Roman" w:eastAsia="New Baskerville" w:hAnsi="Times New Roman" w:cs="Times New Roman"/>
          <w:sz w:val="24"/>
          <w:szCs w:val="24"/>
          <w:lang w:eastAsia="it-IT"/>
        </w:rPr>
        <w:footnoteReference w:id="3"/>
      </w:r>
      <w:r w:rsidRPr="00974501">
        <w:rPr>
          <w:rFonts w:ascii="Times New Roman" w:eastAsia="New Baskerville" w:hAnsi="Times New Roman" w:cs="Times New Roman"/>
          <w:sz w:val="24"/>
          <w:szCs w:val="24"/>
          <w:lang w:eastAsia="it-IT"/>
        </w:rPr>
        <w:t>.</w:t>
      </w:r>
    </w:p>
    <w:p w:rsidR="00810ACB" w:rsidRPr="00974501" w:rsidRDefault="00810ACB"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accesso consiste nel potere</w:t>
      </w:r>
      <w:r w:rsidR="00611872">
        <w:rPr>
          <w:rFonts w:ascii="Times New Roman" w:eastAsia="New Baskerville" w:hAnsi="Times New Roman" w:cs="Times New Roman"/>
          <w:sz w:val="24"/>
          <w:szCs w:val="24"/>
          <w:lang w:eastAsia="it-IT"/>
        </w:rPr>
        <w:t xml:space="preserve"> del singolo</w:t>
      </w:r>
      <w:r w:rsidRPr="00974501">
        <w:rPr>
          <w:rFonts w:ascii="Times New Roman" w:eastAsia="New Baskerville" w:hAnsi="Times New Roman" w:cs="Times New Roman"/>
          <w:sz w:val="24"/>
          <w:szCs w:val="24"/>
          <w:lang w:eastAsia="it-IT"/>
        </w:rPr>
        <w:t xml:space="preserve"> di </w:t>
      </w:r>
      <w:r w:rsidR="00974501" w:rsidRPr="00974501">
        <w:rPr>
          <w:rFonts w:ascii="Times New Roman" w:eastAsia="New Baskerville" w:hAnsi="Times New Roman" w:cs="Times New Roman"/>
          <w:sz w:val="24"/>
          <w:szCs w:val="24"/>
          <w:lang w:eastAsia="it-IT"/>
        </w:rPr>
        <w:t>otten</w:t>
      </w:r>
      <w:r w:rsidRPr="00974501">
        <w:rPr>
          <w:rFonts w:ascii="Times New Roman" w:eastAsia="New Baskerville" w:hAnsi="Times New Roman" w:cs="Times New Roman"/>
          <w:sz w:val="24"/>
          <w:szCs w:val="24"/>
          <w:lang w:eastAsia="it-IT"/>
        </w:rPr>
        <w:t xml:space="preserve">ere </w:t>
      </w:r>
      <w:r w:rsidR="00974501" w:rsidRPr="00974501">
        <w:rPr>
          <w:rFonts w:ascii="Times New Roman" w:eastAsia="New Baskerville" w:hAnsi="Times New Roman" w:cs="Times New Roman"/>
          <w:sz w:val="24"/>
          <w:szCs w:val="24"/>
          <w:lang w:eastAsia="it-IT"/>
        </w:rPr>
        <w:t>l’</w:t>
      </w:r>
      <w:r w:rsidRPr="00974501">
        <w:rPr>
          <w:rFonts w:ascii="Times New Roman" w:eastAsia="New Baskerville" w:hAnsi="Times New Roman" w:cs="Times New Roman"/>
          <w:sz w:val="24"/>
          <w:szCs w:val="24"/>
          <w:lang w:eastAsia="it-IT"/>
        </w:rPr>
        <w:t>ostensione di atti della pubblica amministrazione</w:t>
      </w:r>
      <w:r w:rsidR="00D933B6">
        <w:rPr>
          <w:rStyle w:val="Rimandonotaapidipagina"/>
          <w:rFonts w:ascii="Times New Roman" w:eastAsia="New Baskerville" w:hAnsi="Times New Roman" w:cs="Times New Roman"/>
          <w:sz w:val="24"/>
          <w:szCs w:val="24"/>
          <w:lang w:eastAsia="it-IT"/>
        </w:rPr>
        <w:footnoteReference w:id="4"/>
      </w:r>
      <w:r w:rsidRPr="00974501">
        <w:rPr>
          <w:rFonts w:ascii="Times New Roman" w:eastAsia="New Baskerville" w:hAnsi="Times New Roman" w:cs="Times New Roman"/>
          <w:sz w:val="24"/>
          <w:szCs w:val="24"/>
          <w:lang w:eastAsia="it-IT"/>
        </w:rPr>
        <w:t>.</w:t>
      </w:r>
    </w:p>
    <w:p w:rsidR="002E75CA" w:rsidRPr="00974501" w:rsidRDefault="00810ACB"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Quanto alla pubblicità, è da evidenziare come, talvolta, </w:t>
      </w:r>
      <w:r w:rsidR="002E75CA" w:rsidRPr="00974501">
        <w:rPr>
          <w:rFonts w:ascii="Times New Roman" w:eastAsia="New Baskerville" w:hAnsi="Times New Roman" w:cs="Times New Roman"/>
          <w:sz w:val="24"/>
          <w:szCs w:val="24"/>
          <w:lang w:eastAsia="it-IT"/>
        </w:rPr>
        <w:t xml:space="preserve">alla funzione </w:t>
      </w:r>
      <w:r w:rsidR="006A2CF5">
        <w:rPr>
          <w:rFonts w:ascii="Times New Roman" w:eastAsia="New Baskerville" w:hAnsi="Times New Roman" w:cs="Times New Roman"/>
          <w:sz w:val="24"/>
          <w:szCs w:val="24"/>
          <w:lang w:eastAsia="it-IT"/>
        </w:rPr>
        <w:t xml:space="preserve">di rendere </w:t>
      </w:r>
      <w:r w:rsidR="002E75CA" w:rsidRPr="00974501">
        <w:rPr>
          <w:rFonts w:ascii="Times New Roman" w:eastAsia="New Baskerville" w:hAnsi="Times New Roman" w:cs="Times New Roman"/>
          <w:sz w:val="24"/>
          <w:szCs w:val="24"/>
          <w:lang w:eastAsia="it-IT"/>
        </w:rPr>
        <w:t>conosci</w:t>
      </w:r>
      <w:r w:rsidR="006A2CF5">
        <w:rPr>
          <w:rFonts w:ascii="Times New Roman" w:eastAsia="New Baskerville" w:hAnsi="Times New Roman" w:cs="Times New Roman"/>
          <w:sz w:val="24"/>
          <w:szCs w:val="24"/>
          <w:lang w:eastAsia="it-IT"/>
        </w:rPr>
        <w:t>bile</w:t>
      </w:r>
      <w:r w:rsidR="002E75CA" w:rsidRPr="00974501">
        <w:rPr>
          <w:rFonts w:ascii="Times New Roman" w:eastAsia="New Baskerville" w:hAnsi="Times New Roman" w:cs="Times New Roman"/>
          <w:sz w:val="24"/>
          <w:szCs w:val="24"/>
          <w:lang w:eastAsia="it-IT"/>
        </w:rPr>
        <w:t xml:space="preserve"> l’atto</w:t>
      </w:r>
      <w:r w:rsidR="00D568FC">
        <w:rPr>
          <w:rFonts w:ascii="Times New Roman" w:eastAsia="New Baskerville" w:hAnsi="Times New Roman" w:cs="Times New Roman"/>
          <w:sz w:val="24"/>
          <w:szCs w:val="24"/>
          <w:lang w:eastAsia="it-IT"/>
        </w:rPr>
        <w:t>,</w:t>
      </w:r>
      <w:r w:rsidR="002E75CA" w:rsidRPr="00974501">
        <w:rPr>
          <w:rFonts w:ascii="Times New Roman" w:eastAsia="New Baskerville" w:hAnsi="Times New Roman" w:cs="Times New Roman"/>
          <w:sz w:val="24"/>
          <w:szCs w:val="24"/>
          <w:lang w:eastAsia="it-IT"/>
        </w:rPr>
        <w:t xml:space="preserve"> si abbina quella di conferire allo stesso </w:t>
      </w:r>
      <w:r w:rsidRPr="00974501">
        <w:rPr>
          <w:rFonts w:ascii="Times New Roman" w:eastAsia="New Baskerville" w:hAnsi="Times New Roman" w:cs="Times New Roman"/>
          <w:sz w:val="24"/>
          <w:szCs w:val="24"/>
          <w:lang w:eastAsia="it-IT"/>
        </w:rPr>
        <w:t>effetti legali</w:t>
      </w:r>
      <w:r w:rsidR="007567E5" w:rsidRPr="00974501">
        <w:rPr>
          <w:rFonts w:ascii="Times New Roman" w:eastAsia="New Baskerville" w:hAnsi="Times New Roman" w:cs="Times New Roman"/>
          <w:sz w:val="24"/>
          <w:szCs w:val="24"/>
          <w:lang w:eastAsia="it-IT"/>
        </w:rPr>
        <w:t>:</w:t>
      </w:r>
      <w:r w:rsidR="002E75CA" w:rsidRPr="00974501">
        <w:rPr>
          <w:rFonts w:ascii="Times New Roman" w:eastAsia="New Baskerville" w:hAnsi="Times New Roman" w:cs="Times New Roman"/>
          <w:sz w:val="24"/>
          <w:szCs w:val="24"/>
          <w:lang w:eastAsia="it-IT"/>
        </w:rPr>
        <w:t xml:space="preserve"> trattasi dei casi di</w:t>
      </w:r>
      <w:r w:rsidRPr="00974501">
        <w:rPr>
          <w:rFonts w:ascii="Times New Roman" w:eastAsia="New Baskerville" w:hAnsi="Times New Roman" w:cs="Times New Roman"/>
          <w:sz w:val="24"/>
          <w:szCs w:val="24"/>
          <w:lang w:eastAsia="it-IT"/>
        </w:rPr>
        <w:t xml:space="preserve"> pubblicità integrativa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efficacia o </w:t>
      </w:r>
      <w:r w:rsidR="002E75CA" w:rsidRPr="00974501">
        <w:rPr>
          <w:rFonts w:ascii="Times New Roman" w:eastAsia="New Baskerville" w:hAnsi="Times New Roman" w:cs="Times New Roman"/>
          <w:sz w:val="24"/>
          <w:szCs w:val="24"/>
          <w:lang w:eastAsia="it-IT"/>
        </w:rPr>
        <w:t xml:space="preserve">di </w:t>
      </w:r>
      <w:r w:rsidRPr="00974501">
        <w:rPr>
          <w:rFonts w:ascii="Times New Roman" w:eastAsia="New Baskerville" w:hAnsi="Times New Roman" w:cs="Times New Roman"/>
          <w:sz w:val="24"/>
          <w:szCs w:val="24"/>
          <w:lang w:eastAsia="it-IT"/>
        </w:rPr>
        <w:t>pubblicità dichiarativa</w:t>
      </w:r>
      <w:r w:rsidR="00943706">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o notizia</w:t>
      </w:r>
      <w:r w:rsidR="007567E5" w:rsidRPr="00974501">
        <w:rPr>
          <w:rFonts w:ascii="Times New Roman" w:eastAsia="New Baskerville" w:hAnsi="Times New Roman" w:cs="Times New Roman"/>
          <w:sz w:val="24"/>
          <w:szCs w:val="24"/>
          <w:lang w:eastAsia="it-IT"/>
        </w:rPr>
        <w:t xml:space="preserve"> (idonea, ad es., al decorso dei termini per la partecipazione a</w:t>
      </w:r>
      <w:r w:rsidR="00E2585B">
        <w:rPr>
          <w:rFonts w:ascii="Times New Roman" w:eastAsia="New Baskerville" w:hAnsi="Times New Roman" w:cs="Times New Roman"/>
          <w:sz w:val="24"/>
          <w:szCs w:val="24"/>
          <w:lang w:eastAsia="it-IT"/>
        </w:rPr>
        <w:t xml:space="preserve">d una procedura </w:t>
      </w:r>
      <w:r w:rsidR="007567E5" w:rsidRPr="00974501">
        <w:rPr>
          <w:rFonts w:ascii="Times New Roman" w:eastAsia="New Baskerville" w:hAnsi="Times New Roman" w:cs="Times New Roman"/>
          <w:sz w:val="24"/>
          <w:szCs w:val="24"/>
          <w:lang w:eastAsia="it-IT"/>
        </w:rPr>
        <w:t>d</w:t>
      </w:r>
      <w:r w:rsidR="00E2585B">
        <w:rPr>
          <w:rFonts w:ascii="Times New Roman" w:eastAsia="New Baskerville" w:hAnsi="Times New Roman" w:cs="Times New Roman"/>
          <w:sz w:val="24"/>
          <w:szCs w:val="24"/>
          <w:lang w:eastAsia="it-IT"/>
        </w:rPr>
        <w:t>i</w:t>
      </w:r>
      <w:r w:rsidR="007567E5" w:rsidRPr="00974501">
        <w:rPr>
          <w:rFonts w:ascii="Times New Roman" w:eastAsia="New Baskerville" w:hAnsi="Times New Roman" w:cs="Times New Roman"/>
          <w:sz w:val="24"/>
          <w:szCs w:val="24"/>
          <w:lang w:eastAsia="it-IT"/>
        </w:rPr>
        <w:t xml:space="preserve"> evidenza pubblica</w:t>
      </w:r>
      <w:r w:rsidR="002E75CA" w:rsidRPr="00974501">
        <w:rPr>
          <w:rFonts w:ascii="Times New Roman" w:eastAsia="New Baskerville" w:hAnsi="Times New Roman" w:cs="Times New Roman"/>
          <w:sz w:val="24"/>
          <w:szCs w:val="24"/>
          <w:lang w:eastAsia="it-IT"/>
        </w:rPr>
        <w:t>).</w:t>
      </w:r>
    </w:p>
    <w:p w:rsidR="00241680" w:rsidRPr="00974501" w:rsidRDefault="00241680" w:rsidP="0024168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lastRenderedPageBreak/>
        <w:t>T</w:t>
      </w:r>
      <w:r w:rsidRPr="00974501">
        <w:rPr>
          <w:rFonts w:ascii="Times New Roman" w:eastAsia="New Baskerville" w:hAnsi="Times New Roman" w:cs="Times New Roman"/>
          <w:sz w:val="24"/>
          <w:szCs w:val="24"/>
          <w:lang w:eastAsia="it-IT"/>
        </w:rPr>
        <w:t>a</w:t>
      </w:r>
      <w:r>
        <w:rPr>
          <w:rFonts w:ascii="Times New Roman" w:eastAsia="New Baskerville" w:hAnsi="Times New Roman" w:cs="Times New Roman"/>
          <w:sz w:val="24"/>
          <w:szCs w:val="24"/>
          <w:lang w:eastAsia="it-IT"/>
        </w:rPr>
        <w:t>le</w:t>
      </w:r>
      <w:r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forma di </w:t>
      </w:r>
      <w:r w:rsidRPr="00974501">
        <w:rPr>
          <w:rFonts w:ascii="Times New Roman" w:eastAsia="New Baskerville" w:hAnsi="Times New Roman" w:cs="Times New Roman"/>
          <w:sz w:val="24"/>
          <w:szCs w:val="24"/>
          <w:lang w:eastAsia="it-IT"/>
        </w:rPr>
        <w:t>pubblicità</w:t>
      </w:r>
      <w:r>
        <w:rPr>
          <w:rFonts w:ascii="Times New Roman" w:eastAsia="New Baskerville" w:hAnsi="Times New Roman" w:cs="Times New Roman"/>
          <w:sz w:val="24"/>
          <w:szCs w:val="24"/>
          <w:lang w:eastAsia="it-IT"/>
        </w:rPr>
        <w:t>, che</w:t>
      </w:r>
      <w:r w:rsidRPr="00974501">
        <w:rPr>
          <w:rFonts w:ascii="Times New Roman" w:eastAsia="New Baskerville" w:hAnsi="Times New Roman" w:cs="Times New Roman"/>
          <w:sz w:val="24"/>
          <w:szCs w:val="24"/>
          <w:lang w:eastAsia="it-IT"/>
        </w:rPr>
        <w:t xml:space="preserve"> dà luogo ad una presunzione di conoscenza degli atti, consentendo la produzione degli effetti di legge a partire dalla</w:t>
      </w:r>
      <w:r>
        <w:rPr>
          <w:rFonts w:ascii="Times New Roman" w:eastAsia="New Baskerville" w:hAnsi="Times New Roman" w:cs="Times New Roman"/>
          <w:sz w:val="24"/>
          <w:szCs w:val="24"/>
          <w:lang w:eastAsia="it-IT"/>
        </w:rPr>
        <w:t xml:space="preserve"> loro</w:t>
      </w:r>
      <w:r w:rsidRPr="00974501">
        <w:rPr>
          <w:rFonts w:ascii="Times New Roman" w:eastAsia="New Baskerville" w:hAnsi="Times New Roman" w:cs="Times New Roman"/>
          <w:sz w:val="24"/>
          <w:szCs w:val="24"/>
          <w:lang w:eastAsia="it-IT"/>
        </w:rPr>
        <w:t xml:space="preserve"> pubblicazione, pur se effettuata ora mediante il sito istituzionale (tramite l’albo pretorio </w:t>
      </w:r>
      <w:r w:rsidRPr="00974501">
        <w:rPr>
          <w:rFonts w:ascii="Times New Roman" w:eastAsia="New Baskerville" w:hAnsi="Times New Roman" w:cs="Times New Roman"/>
          <w:i/>
          <w:sz w:val="24"/>
          <w:szCs w:val="24"/>
          <w:lang w:eastAsia="it-IT"/>
        </w:rPr>
        <w:t>on line</w:t>
      </w:r>
      <w:r w:rsidRPr="00974501">
        <w:rPr>
          <w:rFonts w:ascii="Times New Roman" w:eastAsia="New Baskerville" w:hAnsi="Times New Roman" w:cs="Times New Roman"/>
          <w:sz w:val="24"/>
          <w:szCs w:val="24"/>
          <w:lang w:eastAsia="it-IT"/>
        </w:rPr>
        <w:t xml:space="preserve"> o tramite altre sezioni predisposte </w:t>
      </w:r>
      <w:r w:rsidRPr="00974501">
        <w:rPr>
          <w:rFonts w:ascii="Times New Roman" w:eastAsia="New Baskerville" w:hAnsi="Times New Roman" w:cs="Times New Roman"/>
          <w:i/>
          <w:sz w:val="24"/>
          <w:szCs w:val="24"/>
          <w:lang w:eastAsia="it-IT"/>
        </w:rPr>
        <w:t>ad hoc</w:t>
      </w:r>
      <w:r w:rsidRPr="00974501">
        <w:rPr>
          <w:rFonts w:ascii="Times New Roman" w:eastAsia="New Baskerville" w:hAnsi="Times New Roman" w:cs="Times New Roman"/>
          <w:sz w:val="24"/>
          <w:szCs w:val="24"/>
          <w:lang w:eastAsia="it-IT"/>
        </w:rPr>
        <w:t xml:space="preserve"> denominate, ad es., “avvisi e bandi” o “bandi di gara”), </w:t>
      </w:r>
      <w:r>
        <w:rPr>
          <w:rFonts w:ascii="Times New Roman" w:eastAsia="New Baskerville" w:hAnsi="Times New Roman" w:cs="Times New Roman"/>
          <w:sz w:val="24"/>
          <w:szCs w:val="24"/>
          <w:lang w:eastAsia="it-IT"/>
        </w:rPr>
        <w:t xml:space="preserve">va </w:t>
      </w:r>
      <w:r w:rsidRPr="00974501">
        <w:rPr>
          <w:rFonts w:ascii="Times New Roman" w:eastAsia="New Baskerville" w:hAnsi="Times New Roman" w:cs="Times New Roman"/>
          <w:sz w:val="24"/>
          <w:szCs w:val="24"/>
          <w:lang w:eastAsia="it-IT"/>
        </w:rPr>
        <w:t>manten</w:t>
      </w:r>
      <w:r>
        <w:rPr>
          <w:rFonts w:ascii="Times New Roman" w:eastAsia="New Baskerville" w:hAnsi="Times New Roman" w:cs="Times New Roman"/>
          <w:sz w:val="24"/>
          <w:szCs w:val="24"/>
          <w:lang w:eastAsia="it-IT"/>
        </w:rPr>
        <w:t>uta</w:t>
      </w:r>
      <w:r w:rsidRPr="00974501">
        <w:rPr>
          <w:rFonts w:ascii="Times New Roman" w:eastAsia="New Baskerville" w:hAnsi="Times New Roman" w:cs="Times New Roman"/>
          <w:sz w:val="24"/>
          <w:szCs w:val="24"/>
          <w:lang w:eastAsia="it-IT"/>
        </w:rPr>
        <w:t xml:space="preserve"> distint</w:t>
      </w:r>
      <w:r>
        <w:rPr>
          <w:rFonts w:ascii="Times New Roman" w:eastAsia="New Baskerville" w:hAnsi="Times New Roman" w:cs="Times New Roman"/>
          <w:sz w:val="24"/>
          <w:szCs w:val="24"/>
          <w:lang w:eastAsia="it-IT"/>
        </w:rPr>
        <w:t>a da quel</w:t>
      </w:r>
      <w:r w:rsidRPr="00974501">
        <w:rPr>
          <w:rFonts w:ascii="Times New Roman" w:eastAsia="New Baskerville" w:hAnsi="Times New Roman" w:cs="Times New Roman"/>
          <w:sz w:val="24"/>
          <w:szCs w:val="24"/>
          <w:lang w:eastAsia="it-IT"/>
        </w:rPr>
        <w:t>la che si effettua nella sezione “</w:t>
      </w:r>
      <w:r>
        <w:rPr>
          <w:rFonts w:ascii="Times New Roman" w:eastAsia="New Baskerville" w:hAnsi="Times New Roman" w:cs="Times New Roman"/>
          <w:sz w:val="24"/>
          <w:szCs w:val="24"/>
          <w:lang w:eastAsia="it-IT"/>
        </w:rPr>
        <w:t>a</w:t>
      </w:r>
      <w:r w:rsidRPr="00974501">
        <w:rPr>
          <w:rFonts w:ascii="Times New Roman" w:eastAsia="New Baskerville" w:hAnsi="Times New Roman" w:cs="Times New Roman"/>
          <w:sz w:val="24"/>
          <w:szCs w:val="24"/>
          <w:lang w:eastAsia="it-IT"/>
        </w:rPr>
        <w:t>mministrazione trasparente”</w:t>
      </w:r>
      <w:r>
        <w:rPr>
          <w:rFonts w:ascii="Times New Roman" w:eastAsia="New Baskerville" w:hAnsi="Times New Roman" w:cs="Times New Roman"/>
          <w:sz w:val="24"/>
          <w:szCs w:val="24"/>
          <w:lang w:eastAsia="it-IT"/>
        </w:rPr>
        <w:t xml:space="preserve"> del </w:t>
      </w:r>
      <w:r w:rsidRPr="00974501">
        <w:rPr>
          <w:rFonts w:ascii="Times New Roman" w:eastAsia="New Baskerville" w:hAnsi="Times New Roman" w:cs="Times New Roman"/>
          <w:sz w:val="24"/>
          <w:szCs w:val="24"/>
          <w:lang w:eastAsia="it-IT"/>
        </w:rPr>
        <w:t>sit</w:t>
      </w:r>
      <w:r>
        <w:rPr>
          <w:rFonts w:ascii="Times New Roman" w:eastAsia="New Baskerville" w:hAnsi="Times New Roman" w:cs="Times New Roman"/>
          <w:sz w:val="24"/>
          <w:szCs w:val="24"/>
          <w:lang w:eastAsia="it-IT"/>
        </w:rPr>
        <w:t>o</w:t>
      </w:r>
      <w:r w:rsidRPr="00974501">
        <w:rPr>
          <w:rFonts w:ascii="Times New Roman" w:eastAsia="New Baskerville" w:hAnsi="Times New Roman" w:cs="Times New Roman"/>
          <w:sz w:val="24"/>
          <w:szCs w:val="24"/>
          <w:lang w:eastAsia="it-IT"/>
        </w:rPr>
        <w:t xml:space="preserve"> istituzional</w:t>
      </w:r>
      <w:r>
        <w:rPr>
          <w:rFonts w:ascii="Times New Roman" w:eastAsia="New Baskerville" w:hAnsi="Times New Roman" w:cs="Times New Roman"/>
          <w:sz w:val="24"/>
          <w:szCs w:val="24"/>
          <w:lang w:eastAsia="it-IT"/>
        </w:rPr>
        <w:t>e ed ha lo</w:t>
      </w:r>
      <w:r w:rsidRPr="00974501">
        <w:rPr>
          <w:rFonts w:ascii="Times New Roman" w:eastAsia="New Baskerville" w:hAnsi="Times New Roman" w:cs="Times New Roman"/>
          <w:sz w:val="24"/>
          <w:szCs w:val="24"/>
          <w:lang w:eastAsia="it-IT"/>
        </w:rPr>
        <w:t xml:space="preserve"> scopo di rendere conoscibile l’attività delle amministrazioni e favorire il controllo da parte dei cittadini</w:t>
      </w:r>
      <w:r w:rsidRPr="00974501">
        <w:rPr>
          <w:rStyle w:val="Rimandonotaapidipagina"/>
          <w:rFonts w:ascii="Times New Roman" w:eastAsia="New Baskerville" w:hAnsi="Times New Roman" w:cs="Times New Roman"/>
          <w:sz w:val="24"/>
          <w:szCs w:val="24"/>
          <w:lang w:eastAsia="it-IT"/>
        </w:rPr>
        <w:footnoteReference w:id="5"/>
      </w:r>
      <w:r w:rsidRPr="00974501">
        <w:rPr>
          <w:rFonts w:ascii="Times New Roman" w:eastAsia="New Baskerville" w:hAnsi="Times New Roman" w:cs="Times New Roman"/>
          <w:sz w:val="24"/>
          <w:szCs w:val="24"/>
          <w:lang w:eastAsia="it-IT"/>
        </w:rPr>
        <w:t>.</w:t>
      </w:r>
    </w:p>
    <w:p w:rsidR="007567E5" w:rsidRPr="00974501" w:rsidRDefault="007567E5"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fldChar w:fldCharType="begin"/>
      </w:r>
      <w:r w:rsidRPr="00974501">
        <w:rPr>
          <w:rFonts w:ascii="Times New Roman" w:eastAsia="New Baskerville" w:hAnsi="Times New Roman" w:cs="Times New Roman"/>
          <w:sz w:val="24"/>
          <w:szCs w:val="24"/>
          <w:lang w:eastAsia="it-IT"/>
        </w:rPr>
        <w:instrText>&lt;/para&gt;&lt;para&gt;</w:instrText>
      </w:r>
      <w:r w:rsidRPr="00974501">
        <w:rPr>
          <w:rFonts w:ascii="Times New Roman" w:eastAsia="New Baskerville" w:hAnsi="Times New Roman" w:cs="Times New Roman"/>
          <w:sz w:val="24"/>
          <w:szCs w:val="24"/>
          <w:lang w:eastAsia="it-IT"/>
        </w:rPr>
        <w:fldChar w:fldCharType="end"/>
      </w:r>
      <w:r w:rsidRPr="00974501">
        <w:rPr>
          <w:rFonts w:ascii="Times New Roman" w:eastAsia="New Baskerville" w:hAnsi="Times New Roman" w:cs="Times New Roman"/>
          <w:sz w:val="24"/>
          <w:szCs w:val="24"/>
          <w:lang w:eastAsia="it-IT"/>
        </w:rPr>
        <w:t>Riguardo a</w:t>
      </w:r>
      <w:r w:rsidR="00241680">
        <w:rPr>
          <w:rFonts w:ascii="Times New Roman" w:eastAsia="New Baskerville" w:hAnsi="Times New Roman" w:cs="Times New Roman"/>
          <w:sz w:val="24"/>
          <w:szCs w:val="24"/>
          <w:lang w:eastAsia="it-IT"/>
        </w:rPr>
        <w:t>ll</w:t>
      </w:r>
      <w:r w:rsidRPr="00974501">
        <w:rPr>
          <w:rFonts w:ascii="Times New Roman" w:eastAsia="New Baskerville" w:hAnsi="Times New Roman" w:cs="Times New Roman"/>
          <w:sz w:val="24"/>
          <w:szCs w:val="24"/>
          <w:lang w:eastAsia="it-IT"/>
        </w:rPr>
        <w:t>a</w:t>
      </w:r>
      <w:r w:rsidR="00241680">
        <w:rPr>
          <w:rFonts w:ascii="Times New Roman" w:eastAsia="New Baskerville" w:hAnsi="Times New Roman" w:cs="Times New Roman"/>
          <w:sz w:val="24"/>
          <w:szCs w:val="24"/>
          <w:lang w:eastAsia="it-IT"/>
        </w:rPr>
        <w:t xml:space="preserve"> prima</w:t>
      </w:r>
      <w:r w:rsidRPr="00974501">
        <w:rPr>
          <w:rFonts w:ascii="Times New Roman" w:eastAsia="New Baskerville" w:hAnsi="Times New Roman" w:cs="Times New Roman"/>
          <w:sz w:val="24"/>
          <w:szCs w:val="24"/>
          <w:lang w:eastAsia="it-IT"/>
        </w:rPr>
        <w:t>, l’art. 32 della legge n. 69/2009 ha previsto che gli obblighi di pubblicazione di atti e provvedimenti amministrativi aventi effetto di pubblicità legale si intendono assolti con la pubblicazione nei rispettivi siti informatici</w:t>
      </w:r>
      <w:r w:rsidR="006A2CF5">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da parte delle amministrazioni e degli enti pubblici obbligati.</w:t>
      </w:r>
    </w:p>
    <w:p w:rsidR="0050635A" w:rsidRPr="00974501" w:rsidRDefault="00241680"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Dett</w:t>
      </w:r>
      <w:r w:rsidRPr="00974501">
        <w:rPr>
          <w:rFonts w:ascii="Times New Roman" w:eastAsia="New Baskerville" w:hAnsi="Times New Roman" w:cs="Times New Roman"/>
          <w:sz w:val="24"/>
          <w:szCs w:val="24"/>
          <w:lang w:eastAsia="it-IT"/>
        </w:rPr>
        <w:t xml:space="preserve">a </w:t>
      </w:r>
      <w:r w:rsidRPr="00974501">
        <w:rPr>
          <w:rFonts w:ascii="Times New Roman" w:eastAsia="New Baskerville" w:hAnsi="Times New Roman" w:cs="Times New Roman"/>
          <w:bCs/>
          <w:sz w:val="24"/>
          <w:szCs w:val="24"/>
          <w:lang w:eastAsia="it-IT"/>
        </w:rPr>
        <w:t>pubblicazione</w:t>
      </w:r>
      <w:r>
        <w:rPr>
          <w:rFonts w:ascii="Times New Roman" w:eastAsia="New Baskerville" w:hAnsi="Times New Roman" w:cs="Times New Roman"/>
          <w:bCs/>
          <w:sz w:val="24"/>
          <w:szCs w:val="24"/>
          <w:lang w:eastAsia="it-IT"/>
        </w:rPr>
        <w:t>,</w:t>
      </w:r>
      <w:r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tuttavia</w:t>
      </w:r>
      <w:r w:rsidR="0050635A" w:rsidRPr="00974501">
        <w:rPr>
          <w:rFonts w:ascii="Times New Roman" w:eastAsia="New Baskerville" w:hAnsi="Times New Roman" w:cs="Times New Roman"/>
          <w:sz w:val="24"/>
          <w:szCs w:val="24"/>
          <w:lang w:eastAsia="it-IT"/>
        </w:rPr>
        <w:t xml:space="preserve">, </w:t>
      </w:r>
      <w:r w:rsidR="002854D6" w:rsidRPr="00974501">
        <w:rPr>
          <w:rFonts w:ascii="Times New Roman" w:eastAsia="New Baskerville" w:hAnsi="Times New Roman" w:cs="Times New Roman"/>
          <w:sz w:val="24"/>
          <w:szCs w:val="24"/>
          <w:lang w:eastAsia="it-IT"/>
        </w:rPr>
        <w:t xml:space="preserve">non è </w:t>
      </w:r>
      <w:r w:rsidR="00611872">
        <w:rPr>
          <w:rFonts w:ascii="Times New Roman" w:eastAsia="New Baskerville" w:hAnsi="Times New Roman" w:cs="Times New Roman"/>
          <w:sz w:val="24"/>
          <w:szCs w:val="24"/>
          <w:lang w:eastAsia="it-IT"/>
        </w:rPr>
        <w:t>sostitutiva di altre forme di pubblicità eventualmente prescritte dalla legge (</w:t>
      </w:r>
      <w:r w:rsidR="00502AD3">
        <w:rPr>
          <w:rFonts w:ascii="Times New Roman" w:eastAsia="New Baskerville" w:hAnsi="Times New Roman" w:cs="Times New Roman"/>
          <w:sz w:val="24"/>
          <w:szCs w:val="24"/>
          <w:lang w:eastAsia="it-IT"/>
        </w:rPr>
        <w:t xml:space="preserve">quali, ad </w:t>
      </w:r>
      <w:r w:rsidR="00611872">
        <w:rPr>
          <w:rFonts w:ascii="Times New Roman" w:eastAsia="New Baskerville" w:hAnsi="Times New Roman" w:cs="Times New Roman"/>
          <w:sz w:val="24"/>
          <w:szCs w:val="24"/>
          <w:lang w:eastAsia="it-IT"/>
        </w:rPr>
        <w:t>es.</w:t>
      </w:r>
      <w:r w:rsidR="0054326B">
        <w:rPr>
          <w:rFonts w:ascii="Times New Roman" w:eastAsia="New Baskerville" w:hAnsi="Times New Roman" w:cs="Times New Roman"/>
          <w:sz w:val="24"/>
          <w:szCs w:val="24"/>
          <w:lang w:eastAsia="it-IT"/>
        </w:rPr>
        <w:t xml:space="preserve">, </w:t>
      </w:r>
      <w:r w:rsidR="00502AD3">
        <w:rPr>
          <w:rFonts w:ascii="Times New Roman" w:eastAsia="New Baskerville" w:hAnsi="Times New Roman" w:cs="Times New Roman"/>
          <w:sz w:val="24"/>
          <w:szCs w:val="24"/>
          <w:lang w:eastAsia="it-IT"/>
        </w:rPr>
        <w:t>la</w:t>
      </w:r>
      <w:r w:rsidR="00611872">
        <w:rPr>
          <w:rFonts w:ascii="Times New Roman" w:eastAsia="New Baskerville" w:hAnsi="Times New Roman" w:cs="Times New Roman"/>
          <w:sz w:val="24"/>
          <w:szCs w:val="24"/>
          <w:lang w:eastAsia="it-IT"/>
        </w:rPr>
        <w:t xml:space="preserve"> pubblicazione sulla Gazzetta ufficiale, sul B.U.R., sul foglio avvisi legali della Provincia, </w:t>
      </w:r>
      <w:proofErr w:type="gramStart"/>
      <w:r w:rsidR="00611872">
        <w:rPr>
          <w:rFonts w:ascii="Times New Roman" w:eastAsia="New Baskerville" w:hAnsi="Times New Roman" w:cs="Times New Roman"/>
          <w:sz w:val="24"/>
          <w:szCs w:val="24"/>
          <w:lang w:eastAsia="it-IT"/>
        </w:rPr>
        <w:t>ecc..</w:t>
      </w:r>
      <w:proofErr w:type="gramEnd"/>
      <w:r w:rsidR="00611872">
        <w:rPr>
          <w:rFonts w:ascii="Times New Roman" w:eastAsia="New Baskerville" w:hAnsi="Times New Roman" w:cs="Times New Roman"/>
          <w:sz w:val="24"/>
          <w:szCs w:val="24"/>
          <w:lang w:eastAsia="it-IT"/>
        </w:rPr>
        <w:t xml:space="preserve">), </w:t>
      </w:r>
      <w:r w:rsidR="00502AD3">
        <w:rPr>
          <w:rFonts w:ascii="Times New Roman" w:eastAsia="New Baskerville" w:hAnsi="Times New Roman" w:cs="Times New Roman"/>
          <w:sz w:val="24"/>
          <w:szCs w:val="24"/>
          <w:lang w:eastAsia="it-IT"/>
        </w:rPr>
        <w:t xml:space="preserve">sicché, </w:t>
      </w:r>
      <w:r w:rsidR="00611872">
        <w:rPr>
          <w:rFonts w:ascii="Times New Roman" w:eastAsia="New Baskerville" w:hAnsi="Times New Roman" w:cs="Times New Roman"/>
          <w:sz w:val="24"/>
          <w:szCs w:val="24"/>
          <w:lang w:eastAsia="it-IT"/>
        </w:rPr>
        <w:t xml:space="preserve">in assenza di queste ultime, </w:t>
      </w:r>
      <w:r w:rsidR="00502AD3">
        <w:rPr>
          <w:rFonts w:ascii="Times New Roman" w:eastAsia="New Baskerville" w:hAnsi="Times New Roman" w:cs="Times New Roman"/>
          <w:sz w:val="24"/>
          <w:szCs w:val="24"/>
          <w:lang w:eastAsia="it-IT"/>
        </w:rPr>
        <w:t>è in</w:t>
      </w:r>
      <w:r w:rsidR="0050635A" w:rsidRPr="00974501">
        <w:rPr>
          <w:rFonts w:ascii="Times New Roman" w:eastAsia="New Baskerville" w:hAnsi="Times New Roman" w:cs="Times New Roman"/>
          <w:sz w:val="24"/>
          <w:szCs w:val="24"/>
          <w:lang w:eastAsia="it-IT"/>
        </w:rPr>
        <w:t>idonea a far decorrere i termini per l’impugnazione dell’atto</w:t>
      </w:r>
      <w:r w:rsidR="0050635A" w:rsidRPr="00974501">
        <w:rPr>
          <w:rStyle w:val="Rimandonotaapidipagina"/>
          <w:rFonts w:ascii="Times New Roman" w:eastAsia="New Baskerville" w:hAnsi="Times New Roman" w:cs="Times New Roman"/>
          <w:sz w:val="24"/>
          <w:szCs w:val="24"/>
          <w:lang w:eastAsia="it-IT"/>
        </w:rPr>
        <w:footnoteReference w:id="6"/>
      </w:r>
      <w:r w:rsidR="0050635A" w:rsidRPr="00974501">
        <w:rPr>
          <w:rFonts w:ascii="Times New Roman" w:eastAsia="New Baskerville" w:hAnsi="Times New Roman" w:cs="Times New Roman"/>
          <w:sz w:val="24"/>
          <w:szCs w:val="24"/>
          <w:lang w:eastAsia="it-IT"/>
        </w:rPr>
        <w:t>.</w:t>
      </w:r>
    </w:p>
    <w:p w:rsidR="00751232" w:rsidRPr="00974501" w:rsidRDefault="0027490C"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Per anni, la </w:t>
      </w:r>
      <w:r w:rsidR="005B2688" w:rsidRPr="00974501">
        <w:rPr>
          <w:rFonts w:ascii="Times New Roman" w:eastAsia="New Baskerville" w:hAnsi="Times New Roman" w:cs="Times New Roman"/>
          <w:sz w:val="24"/>
          <w:szCs w:val="24"/>
          <w:lang w:eastAsia="it-IT"/>
        </w:rPr>
        <w:t>massima</w:t>
      </w:r>
      <w:r w:rsidR="001959F2" w:rsidRPr="00974501">
        <w:rPr>
          <w:rFonts w:ascii="Times New Roman" w:eastAsia="New Baskerville" w:hAnsi="Times New Roman" w:cs="Times New Roman"/>
          <w:sz w:val="24"/>
          <w:szCs w:val="24"/>
          <w:lang w:eastAsia="it-IT"/>
        </w:rPr>
        <w:t>, se non unica,</w:t>
      </w:r>
      <w:r w:rsidR="005B2688" w:rsidRPr="00974501">
        <w:rPr>
          <w:rFonts w:ascii="Times New Roman" w:eastAsia="New Baskerville" w:hAnsi="Times New Roman" w:cs="Times New Roman"/>
          <w:sz w:val="24"/>
          <w:szCs w:val="24"/>
          <w:lang w:eastAsia="it-IT"/>
        </w:rPr>
        <w:t xml:space="preserve"> </w:t>
      </w:r>
      <w:r w:rsidR="00003D78">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fonte</w:t>
      </w:r>
      <w:r w:rsidR="00003D78">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w:t>
      </w:r>
      <w:r w:rsidR="005B2688" w:rsidRPr="00974501">
        <w:rPr>
          <w:rFonts w:ascii="Times New Roman" w:eastAsia="New Baskerville" w:hAnsi="Times New Roman" w:cs="Times New Roman"/>
          <w:sz w:val="24"/>
          <w:szCs w:val="24"/>
          <w:lang w:eastAsia="it-IT"/>
        </w:rPr>
        <w:t xml:space="preserve">giuridica </w:t>
      </w:r>
      <w:r w:rsidRPr="00974501">
        <w:rPr>
          <w:rFonts w:ascii="Times New Roman" w:eastAsia="New Baskerville" w:hAnsi="Times New Roman" w:cs="Times New Roman"/>
          <w:sz w:val="24"/>
          <w:szCs w:val="24"/>
          <w:lang w:eastAsia="it-IT"/>
        </w:rPr>
        <w:t>del</w:t>
      </w:r>
      <w:r w:rsidR="005B2688" w:rsidRPr="00974501">
        <w:rPr>
          <w:rFonts w:ascii="Times New Roman" w:eastAsia="New Baskerville" w:hAnsi="Times New Roman" w:cs="Times New Roman"/>
          <w:sz w:val="24"/>
          <w:szCs w:val="24"/>
          <w:lang w:eastAsia="it-IT"/>
        </w:rPr>
        <w:t xml:space="preserve"> principio di </w:t>
      </w:r>
      <w:r w:rsidRPr="00974501">
        <w:rPr>
          <w:rFonts w:ascii="Times New Roman" w:eastAsia="New Baskerville" w:hAnsi="Times New Roman" w:cs="Times New Roman"/>
          <w:sz w:val="24"/>
          <w:szCs w:val="24"/>
          <w:lang w:eastAsia="it-IT"/>
        </w:rPr>
        <w:t xml:space="preserve">trasparenza amministrativa </w:t>
      </w:r>
      <w:r w:rsidR="005B2688" w:rsidRPr="00974501">
        <w:rPr>
          <w:rFonts w:ascii="Times New Roman" w:eastAsia="New Baskerville" w:hAnsi="Times New Roman" w:cs="Times New Roman"/>
          <w:sz w:val="24"/>
          <w:szCs w:val="24"/>
          <w:lang w:eastAsia="it-IT"/>
        </w:rPr>
        <w:t xml:space="preserve">è stata </w:t>
      </w:r>
      <w:r w:rsidRPr="00974501">
        <w:rPr>
          <w:rFonts w:ascii="Times New Roman" w:eastAsia="New Baskerville" w:hAnsi="Times New Roman" w:cs="Times New Roman"/>
          <w:sz w:val="24"/>
          <w:szCs w:val="24"/>
          <w:lang w:eastAsia="it-IT"/>
        </w:rPr>
        <w:t>l</w:t>
      </w:r>
      <w:r w:rsidR="00751232" w:rsidRPr="00974501">
        <w:rPr>
          <w:rFonts w:ascii="Times New Roman" w:eastAsia="New Baskerville" w:hAnsi="Times New Roman" w:cs="Times New Roman"/>
          <w:sz w:val="24"/>
          <w:szCs w:val="24"/>
          <w:lang w:eastAsia="it-IT"/>
        </w:rPr>
        <w:t>a l</w:t>
      </w:r>
      <w:r w:rsidRPr="00974501">
        <w:rPr>
          <w:rFonts w:ascii="Times New Roman" w:eastAsia="New Baskerville" w:hAnsi="Times New Roman" w:cs="Times New Roman"/>
          <w:sz w:val="24"/>
          <w:szCs w:val="24"/>
          <w:lang w:eastAsia="it-IT"/>
        </w:rPr>
        <w:t>egge</w:t>
      </w:r>
      <w:r w:rsidR="00751232" w:rsidRPr="00974501">
        <w:rPr>
          <w:rFonts w:ascii="Times New Roman" w:eastAsia="New Baskerville" w:hAnsi="Times New Roman" w:cs="Times New Roman"/>
          <w:sz w:val="24"/>
          <w:szCs w:val="24"/>
          <w:lang w:eastAsia="it-IT"/>
        </w:rPr>
        <w:t xml:space="preserve"> n. 241/1990</w:t>
      </w:r>
      <w:r w:rsidR="006A7C8D" w:rsidRPr="00974501">
        <w:rPr>
          <w:rFonts w:ascii="Times New Roman" w:eastAsia="New Baskerville" w:hAnsi="Times New Roman" w:cs="Times New Roman"/>
          <w:sz w:val="24"/>
          <w:szCs w:val="24"/>
          <w:lang w:eastAsia="it-IT"/>
        </w:rPr>
        <w:t>: perché</w:t>
      </w:r>
      <w:r w:rsidR="00043FDD" w:rsidRPr="00974501">
        <w:rPr>
          <w:rFonts w:ascii="Times New Roman" w:eastAsia="New Baskerville" w:hAnsi="Times New Roman" w:cs="Times New Roman"/>
          <w:sz w:val="24"/>
          <w:szCs w:val="24"/>
          <w:lang w:eastAsia="it-IT"/>
        </w:rPr>
        <w:t xml:space="preserve"> essa</w:t>
      </w:r>
      <w:r w:rsidRPr="00974501">
        <w:rPr>
          <w:rFonts w:ascii="Times New Roman" w:eastAsia="New Baskerville" w:hAnsi="Times New Roman" w:cs="Times New Roman"/>
          <w:sz w:val="24"/>
          <w:szCs w:val="24"/>
          <w:lang w:eastAsia="it-IT"/>
        </w:rPr>
        <w:t xml:space="preserve">, da un lato, </w:t>
      </w:r>
      <w:r w:rsidR="00043FDD" w:rsidRPr="00974501">
        <w:rPr>
          <w:rFonts w:ascii="Times New Roman" w:eastAsia="New Baskerville" w:hAnsi="Times New Roman" w:cs="Times New Roman"/>
          <w:sz w:val="24"/>
          <w:szCs w:val="24"/>
          <w:lang w:eastAsia="it-IT"/>
        </w:rPr>
        <w:t xml:space="preserve">ha </w:t>
      </w:r>
      <w:r w:rsidRPr="00974501">
        <w:rPr>
          <w:rFonts w:ascii="Times New Roman" w:eastAsia="New Baskerville" w:hAnsi="Times New Roman" w:cs="Times New Roman"/>
          <w:sz w:val="24"/>
          <w:szCs w:val="24"/>
          <w:lang w:eastAsia="it-IT"/>
        </w:rPr>
        <w:t>prev</w:t>
      </w:r>
      <w:r w:rsidR="00043FDD" w:rsidRPr="00974501">
        <w:rPr>
          <w:rFonts w:ascii="Times New Roman" w:eastAsia="New Baskerville" w:hAnsi="Times New Roman" w:cs="Times New Roman"/>
          <w:sz w:val="24"/>
          <w:szCs w:val="24"/>
          <w:lang w:eastAsia="it-IT"/>
        </w:rPr>
        <w:t>isto</w:t>
      </w:r>
      <w:r w:rsidRPr="00974501">
        <w:rPr>
          <w:rFonts w:ascii="Times New Roman" w:eastAsia="New Baskerville" w:hAnsi="Times New Roman" w:cs="Times New Roman"/>
          <w:sz w:val="24"/>
          <w:szCs w:val="24"/>
          <w:lang w:eastAsia="it-IT"/>
        </w:rPr>
        <w:t xml:space="preserve"> importanti </w:t>
      </w:r>
      <w:r w:rsidR="006A7C8D" w:rsidRPr="00974501">
        <w:rPr>
          <w:rFonts w:ascii="Times New Roman" w:eastAsia="New Baskerville" w:hAnsi="Times New Roman" w:cs="Times New Roman"/>
          <w:sz w:val="24"/>
          <w:szCs w:val="24"/>
          <w:lang w:eastAsia="it-IT"/>
        </w:rPr>
        <w:t xml:space="preserve">ed innovative </w:t>
      </w:r>
      <w:r w:rsidRPr="00974501">
        <w:rPr>
          <w:rFonts w:ascii="Times New Roman" w:eastAsia="New Baskerville" w:hAnsi="Times New Roman" w:cs="Times New Roman"/>
          <w:sz w:val="24"/>
          <w:szCs w:val="24"/>
          <w:lang w:eastAsia="it-IT"/>
        </w:rPr>
        <w:t xml:space="preserve">norme </w:t>
      </w:r>
      <w:r w:rsidR="006A7C8D" w:rsidRPr="00974501">
        <w:rPr>
          <w:rFonts w:ascii="Times New Roman" w:eastAsia="New Baskerville" w:hAnsi="Times New Roman" w:cs="Times New Roman"/>
          <w:sz w:val="24"/>
          <w:szCs w:val="24"/>
          <w:lang w:eastAsia="it-IT"/>
        </w:rPr>
        <w:t xml:space="preserve">in tal senso, </w:t>
      </w:r>
      <w:r w:rsidR="00043FDD" w:rsidRPr="00974501">
        <w:rPr>
          <w:rFonts w:ascii="Times New Roman" w:eastAsia="New Baskerville" w:hAnsi="Times New Roman" w:cs="Times New Roman"/>
          <w:sz w:val="24"/>
          <w:szCs w:val="24"/>
          <w:lang w:eastAsia="it-IT"/>
        </w:rPr>
        <w:t xml:space="preserve">come quelle </w:t>
      </w:r>
      <w:r w:rsidRPr="00974501">
        <w:rPr>
          <w:rFonts w:ascii="Times New Roman" w:eastAsia="New Baskerville" w:hAnsi="Times New Roman" w:cs="Times New Roman"/>
          <w:sz w:val="24"/>
          <w:szCs w:val="24"/>
          <w:lang w:eastAsia="it-IT"/>
        </w:rPr>
        <w:t xml:space="preserve">improntate a favorire la partecipazione </w:t>
      </w:r>
      <w:r w:rsidR="006A7C8D" w:rsidRPr="00974501">
        <w:rPr>
          <w:rFonts w:ascii="Times New Roman" w:eastAsia="New Baskerville" w:hAnsi="Times New Roman" w:cs="Times New Roman"/>
          <w:sz w:val="24"/>
          <w:szCs w:val="24"/>
          <w:lang w:eastAsia="it-IT"/>
        </w:rPr>
        <w:t xml:space="preserve">procedimentale </w:t>
      </w:r>
      <w:r w:rsidRPr="00974501">
        <w:rPr>
          <w:rFonts w:ascii="Times New Roman" w:eastAsia="New Baskerville" w:hAnsi="Times New Roman" w:cs="Times New Roman"/>
          <w:sz w:val="24"/>
          <w:szCs w:val="24"/>
          <w:lang w:eastAsia="it-IT"/>
        </w:rPr>
        <w:t>dei privati ed ad imporre 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obbligo di motivazione dei provvedimenti</w:t>
      </w:r>
      <w:r w:rsidR="005A07AC">
        <w:rPr>
          <w:rFonts w:ascii="Times New Roman" w:eastAsia="New Baskerville" w:hAnsi="Times New Roman" w:cs="Times New Roman"/>
          <w:sz w:val="24"/>
          <w:szCs w:val="24"/>
          <w:lang w:eastAsia="it-IT"/>
        </w:rPr>
        <w:t>, mentre,</w:t>
      </w:r>
      <w:r w:rsidRPr="00974501">
        <w:rPr>
          <w:rFonts w:ascii="Times New Roman" w:eastAsia="New Baskerville" w:hAnsi="Times New Roman" w:cs="Times New Roman"/>
          <w:sz w:val="24"/>
          <w:szCs w:val="24"/>
          <w:lang w:eastAsia="it-IT"/>
        </w:rPr>
        <w:t xml:space="preserve"> dall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altro, </w:t>
      </w:r>
      <w:r w:rsidR="006A7C8D" w:rsidRPr="00974501">
        <w:rPr>
          <w:rFonts w:ascii="Times New Roman" w:eastAsia="New Baskerville" w:hAnsi="Times New Roman" w:cs="Times New Roman"/>
          <w:sz w:val="24"/>
          <w:szCs w:val="24"/>
          <w:lang w:eastAsia="it-IT"/>
        </w:rPr>
        <w:t>mediante il riconoscimento del diritto all</w:t>
      </w:r>
      <w:r w:rsidR="00C87340" w:rsidRPr="00974501">
        <w:rPr>
          <w:rFonts w:ascii="Times New Roman" w:eastAsia="New Baskerville" w:hAnsi="Times New Roman" w:cs="Times New Roman"/>
          <w:sz w:val="24"/>
          <w:szCs w:val="24"/>
          <w:lang w:eastAsia="it-IT"/>
        </w:rPr>
        <w:t>’</w:t>
      </w:r>
      <w:r w:rsidR="006A7C8D" w:rsidRPr="00974501">
        <w:rPr>
          <w:rFonts w:ascii="Times New Roman" w:eastAsia="New Baskerville" w:hAnsi="Times New Roman" w:cs="Times New Roman"/>
          <w:sz w:val="24"/>
          <w:szCs w:val="24"/>
          <w:lang w:eastAsia="it-IT"/>
        </w:rPr>
        <w:t xml:space="preserve">accesso documentale, </w:t>
      </w:r>
      <w:r w:rsidR="00043FDD" w:rsidRPr="00974501">
        <w:rPr>
          <w:rFonts w:ascii="Times New Roman" w:eastAsia="New Baskerville" w:hAnsi="Times New Roman" w:cs="Times New Roman"/>
          <w:sz w:val="24"/>
          <w:szCs w:val="24"/>
          <w:lang w:eastAsia="it-IT"/>
        </w:rPr>
        <w:t xml:space="preserve">ha </w:t>
      </w:r>
      <w:r w:rsidR="006A7C8D" w:rsidRPr="00974501">
        <w:rPr>
          <w:rFonts w:ascii="Times New Roman" w:eastAsia="New Baskerville" w:hAnsi="Times New Roman" w:cs="Times New Roman"/>
          <w:sz w:val="24"/>
          <w:szCs w:val="24"/>
          <w:lang w:eastAsia="it-IT"/>
        </w:rPr>
        <w:t>off</w:t>
      </w:r>
      <w:r w:rsidR="00043FDD" w:rsidRPr="00974501">
        <w:rPr>
          <w:rFonts w:ascii="Times New Roman" w:eastAsia="New Baskerville" w:hAnsi="Times New Roman" w:cs="Times New Roman"/>
          <w:sz w:val="24"/>
          <w:szCs w:val="24"/>
          <w:lang w:eastAsia="it-IT"/>
        </w:rPr>
        <w:t>e</w:t>
      </w:r>
      <w:r w:rsidR="006A7C8D" w:rsidRPr="00974501">
        <w:rPr>
          <w:rFonts w:ascii="Times New Roman" w:eastAsia="New Baskerville" w:hAnsi="Times New Roman" w:cs="Times New Roman"/>
          <w:sz w:val="24"/>
          <w:szCs w:val="24"/>
          <w:lang w:eastAsia="it-IT"/>
        </w:rPr>
        <w:t>r</w:t>
      </w:r>
      <w:r w:rsidR="00043FDD" w:rsidRPr="00974501">
        <w:rPr>
          <w:rFonts w:ascii="Times New Roman" w:eastAsia="New Baskerville" w:hAnsi="Times New Roman" w:cs="Times New Roman"/>
          <w:sz w:val="24"/>
          <w:szCs w:val="24"/>
          <w:lang w:eastAsia="it-IT"/>
        </w:rPr>
        <w:t>to</w:t>
      </w:r>
      <w:r w:rsidR="006A7C8D" w:rsidRPr="00974501">
        <w:rPr>
          <w:rFonts w:ascii="Times New Roman" w:eastAsia="New Baskerville" w:hAnsi="Times New Roman" w:cs="Times New Roman"/>
          <w:sz w:val="24"/>
          <w:szCs w:val="24"/>
          <w:lang w:eastAsia="it-IT"/>
        </w:rPr>
        <w:t xml:space="preserve"> finalmente </w:t>
      </w:r>
      <w:r w:rsidR="005B2688" w:rsidRPr="00974501">
        <w:rPr>
          <w:rFonts w:ascii="Times New Roman" w:eastAsia="New Baskerville" w:hAnsi="Times New Roman" w:cs="Times New Roman"/>
          <w:sz w:val="24"/>
          <w:szCs w:val="24"/>
          <w:lang w:eastAsia="it-IT"/>
        </w:rPr>
        <w:t>tutela</w:t>
      </w:r>
      <w:r w:rsidR="00751232" w:rsidRPr="00974501">
        <w:rPr>
          <w:rFonts w:ascii="Times New Roman" w:eastAsia="New Baskerville" w:hAnsi="Times New Roman" w:cs="Times New Roman"/>
          <w:sz w:val="24"/>
          <w:szCs w:val="24"/>
          <w:lang w:eastAsia="it-IT"/>
        </w:rPr>
        <w:t xml:space="preserve"> </w:t>
      </w:r>
      <w:r w:rsidR="006A7C8D" w:rsidRPr="00974501">
        <w:rPr>
          <w:rFonts w:ascii="Times New Roman" w:eastAsia="New Baskerville" w:hAnsi="Times New Roman" w:cs="Times New Roman"/>
          <w:sz w:val="24"/>
          <w:szCs w:val="24"/>
          <w:lang w:eastAsia="it-IT"/>
        </w:rPr>
        <w:t xml:space="preserve">alle istanze di </w:t>
      </w:r>
      <w:r w:rsidR="00751232" w:rsidRPr="00974501">
        <w:rPr>
          <w:rFonts w:ascii="Times New Roman" w:eastAsia="New Baskerville" w:hAnsi="Times New Roman" w:cs="Times New Roman"/>
          <w:sz w:val="24"/>
          <w:szCs w:val="24"/>
          <w:lang w:eastAsia="it-IT"/>
        </w:rPr>
        <w:t>conosce</w:t>
      </w:r>
      <w:r w:rsidR="006A7C8D" w:rsidRPr="00974501">
        <w:rPr>
          <w:rFonts w:ascii="Times New Roman" w:eastAsia="New Baskerville" w:hAnsi="Times New Roman" w:cs="Times New Roman"/>
          <w:sz w:val="24"/>
          <w:szCs w:val="24"/>
          <w:lang w:eastAsia="it-IT"/>
        </w:rPr>
        <w:t>nza</w:t>
      </w:r>
      <w:r w:rsidR="00751232" w:rsidRPr="00974501">
        <w:rPr>
          <w:rFonts w:ascii="Times New Roman" w:eastAsia="New Baskerville" w:hAnsi="Times New Roman" w:cs="Times New Roman"/>
          <w:sz w:val="24"/>
          <w:szCs w:val="24"/>
          <w:lang w:eastAsia="it-IT"/>
        </w:rPr>
        <w:t xml:space="preserve"> </w:t>
      </w:r>
      <w:r w:rsidR="006A7C8D" w:rsidRPr="00974501">
        <w:rPr>
          <w:rFonts w:ascii="Times New Roman" w:eastAsia="New Baskerville" w:hAnsi="Times New Roman" w:cs="Times New Roman"/>
          <w:sz w:val="24"/>
          <w:szCs w:val="24"/>
          <w:lang w:eastAsia="it-IT"/>
        </w:rPr>
        <w:t>de</w:t>
      </w:r>
      <w:r w:rsidR="00751232" w:rsidRPr="00974501">
        <w:rPr>
          <w:rFonts w:ascii="Times New Roman" w:eastAsia="New Baskerville" w:hAnsi="Times New Roman" w:cs="Times New Roman"/>
          <w:sz w:val="24"/>
          <w:szCs w:val="24"/>
          <w:lang w:eastAsia="it-IT"/>
        </w:rPr>
        <w:t xml:space="preserve">i documenti e </w:t>
      </w:r>
      <w:r w:rsidR="006A7C8D" w:rsidRPr="00974501">
        <w:rPr>
          <w:rFonts w:ascii="Times New Roman" w:eastAsia="New Baskerville" w:hAnsi="Times New Roman" w:cs="Times New Roman"/>
          <w:sz w:val="24"/>
          <w:szCs w:val="24"/>
          <w:lang w:eastAsia="it-IT"/>
        </w:rPr>
        <w:t>de</w:t>
      </w:r>
      <w:r w:rsidR="00751232" w:rsidRPr="00974501">
        <w:rPr>
          <w:rFonts w:ascii="Times New Roman" w:eastAsia="New Baskerville" w:hAnsi="Times New Roman" w:cs="Times New Roman"/>
          <w:sz w:val="24"/>
          <w:szCs w:val="24"/>
          <w:lang w:eastAsia="it-IT"/>
        </w:rPr>
        <w:t xml:space="preserve">gli atti adottati </w:t>
      </w:r>
      <w:r w:rsidR="006A7C8D" w:rsidRPr="00974501">
        <w:rPr>
          <w:rFonts w:ascii="Times New Roman" w:eastAsia="New Baskerville" w:hAnsi="Times New Roman" w:cs="Times New Roman"/>
          <w:sz w:val="24"/>
          <w:szCs w:val="24"/>
          <w:lang w:eastAsia="it-IT"/>
        </w:rPr>
        <w:t>dalla pubblica amministrazione.</w:t>
      </w:r>
    </w:p>
    <w:p w:rsidR="00751232" w:rsidRPr="00974501" w:rsidRDefault="00AC434F"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S</w:t>
      </w:r>
      <w:r w:rsidR="00751232" w:rsidRPr="00974501">
        <w:rPr>
          <w:rFonts w:ascii="Times New Roman" w:eastAsia="New Baskerville" w:hAnsi="Times New Roman" w:cs="Times New Roman"/>
          <w:sz w:val="24"/>
          <w:szCs w:val="24"/>
          <w:lang w:eastAsia="it-IT"/>
        </w:rPr>
        <w:t>ulla scia dei</w:t>
      </w:r>
      <w:r w:rsidR="00AE199C" w:rsidRPr="00974501">
        <w:rPr>
          <w:rFonts w:ascii="Times New Roman" w:eastAsia="New Baskerville" w:hAnsi="Times New Roman" w:cs="Times New Roman"/>
          <w:sz w:val="24"/>
          <w:szCs w:val="24"/>
          <w:lang w:eastAsia="it-IT"/>
        </w:rPr>
        <w:t xml:space="preserve"> nuovi</w:t>
      </w:r>
      <w:r w:rsidR="00751232" w:rsidRPr="00974501">
        <w:rPr>
          <w:rFonts w:ascii="Times New Roman" w:eastAsia="New Baskerville" w:hAnsi="Times New Roman" w:cs="Times New Roman"/>
          <w:sz w:val="24"/>
          <w:szCs w:val="24"/>
          <w:lang w:eastAsia="it-IT"/>
        </w:rPr>
        <w:t xml:space="preserve"> </w:t>
      </w:r>
      <w:r w:rsidR="00AE199C" w:rsidRPr="00974501">
        <w:rPr>
          <w:rFonts w:ascii="Times New Roman" w:eastAsia="New Baskerville" w:hAnsi="Times New Roman" w:cs="Times New Roman"/>
          <w:sz w:val="24"/>
          <w:szCs w:val="24"/>
          <w:lang w:eastAsia="it-IT"/>
        </w:rPr>
        <w:t>istitu</w:t>
      </w:r>
      <w:r w:rsidR="00751232" w:rsidRPr="00974501">
        <w:rPr>
          <w:rFonts w:ascii="Times New Roman" w:eastAsia="New Baskerville" w:hAnsi="Times New Roman" w:cs="Times New Roman"/>
          <w:sz w:val="24"/>
          <w:szCs w:val="24"/>
          <w:lang w:eastAsia="it-IT"/>
        </w:rPr>
        <w:t>ti introdotti</w:t>
      </w:r>
      <w:r w:rsidR="001959F2" w:rsidRPr="00974501">
        <w:rPr>
          <w:rFonts w:ascii="Times New Roman" w:eastAsia="New Baskerville" w:hAnsi="Times New Roman" w:cs="Times New Roman"/>
          <w:sz w:val="24"/>
          <w:szCs w:val="24"/>
          <w:lang w:eastAsia="it-IT"/>
        </w:rPr>
        <w:t>, prima,</w:t>
      </w:r>
      <w:r w:rsidR="00751232" w:rsidRPr="00974501">
        <w:rPr>
          <w:rFonts w:ascii="Times New Roman" w:eastAsia="New Baskerville" w:hAnsi="Times New Roman" w:cs="Times New Roman"/>
          <w:sz w:val="24"/>
          <w:szCs w:val="24"/>
          <w:lang w:eastAsia="it-IT"/>
        </w:rPr>
        <w:t xml:space="preserve"> dal d.lgs. n. 150</w:t>
      </w:r>
      <w:r w:rsidR="00AE199C"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2009 e</w:t>
      </w:r>
      <w:r w:rsidR="001959F2" w:rsidRPr="00974501">
        <w:rPr>
          <w:rFonts w:ascii="Times New Roman" w:eastAsia="New Baskerville" w:hAnsi="Times New Roman" w:cs="Times New Roman"/>
          <w:sz w:val="24"/>
          <w:szCs w:val="24"/>
          <w:lang w:eastAsia="it-IT"/>
        </w:rPr>
        <w:t xml:space="preserve">, </w:t>
      </w:r>
      <w:r w:rsidR="00502AD3">
        <w:rPr>
          <w:rFonts w:ascii="Times New Roman" w:eastAsia="New Baskerville" w:hAnsi="Times New Roman" w:cs="Times New Roman"/>
          <w:sz w:val="24"/>
          <w:szCs w:val="24"/>
          <w:lang w:eastAsia="it-IT"/>
        </w:rPr>
        <w:t>dopo</w:t>
      </w:r>
      <w:r w:rsidR="001959F2"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da</w:t>
      </w:r>
      <w:r w:rsidR="00751232" w:rsidRPr="00974501">
        <w:rPr>
          <w:rFonts w:ascii="Times New Roman" w:eastAsia="New Baskerville" w:hAnsi="Times New Roman" w:cs="Times New Roman"/>
          <w:sz w:val="24"/>
          <w:szCs w:val="24"/>
          <w:lang w:eastAsia="it-IT"/>
        </w:rPr>
        <w:t>l d.lgs. n. 33</w:t>
      </w:r>
      <w:r w:rsidR="00AE199C" w:rsidRPr="00974501">
        <w:rPr>
          <w:rFonts w:ascii="Times New Roman" w:eastAsia="New Baskerville" w:hAnsi="Times New Roman" w:cs="Times New Roman"/>
          <w:sz w:val="24"/>
          <w:szCs w:val="24"/>
          <w:lang w:eastAsia="it-IT"/>
        </w:rPr>
        <w:t>/2013</w:t>
      </w:r>
      <w:r w:rsidR="00751232" w:rsidRPr="00974501">
        <w:rPr>
          <w:rFonts w:ascii="Times New Roman" w:eastAsia="New Baskerville" w:hAnsi="Times New Roman" w:cs="Times New Roman"/>
          <w:sz w:val="24"/>
          <w:szCs w:val="24"/>
          <w:lang w:eastAsia="it-IT"/>
        </w:rPr>
        <w:t xml:space="preserve"> (</w:t>
      </w:r>
      <w:r w:rsidR="00AE199C" w:rsidRPr="00974501">
        <w:rPr>
          <w:rFonts w:ascii="Times New Roman" w:eastAsia="New Baskerville" w:hAnsi="Times New Roman" w:cs="Times New Roman"/>
          <w:sz w:val="24"/>
          <w:szCs w:val="24"/>
          <w:lang w:eastAsia="it-IT"/>
        </w:rPr>
        <w:t>denominato,</w:t>
      </w:r>
      <w:r w:rsidR="00751232" w:rsidRPr="00974501">
        <w:rPr>
          <w:rFonts w:ascii="Times New Roman" w:eastAsia="New Baskerville" w:hAnsi="Times New Roman" w:cs="Times New Roman"/>
          <w:sz w:val="24"/>
          <w:szCs w:val="24"/>
          <w:lang w:eastAsia="it-IT"/>
        </w:rPr>
        <w:t xml:space="preserve"> anche</w:t>
      </w:r>
      <w:r w:rsidR="00AE199C"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 xml:space="preserve"> </w:t>
      </w:r>
      <w:r w:rsidR="00AE199C"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decreto trasparenza</w:t>
      </w:r>
      <w:r w:rsidR="00AE199C"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come</w:t>
      </w:r>
      <w:r w:rsidR="00AE199C" w:rsidRPr="00974501">
        <w:rPr>
          <w:rFonts w:ascii="Times New Roman" w:eastAsia="New Baskerville" w:hAnsi="Times New Roman" w:cs="Times New Roman"/>
          <w:sz w:val="24"/>
          <w:szCs w:val="24"/>
          <w:lang w:eastAsia="it-IT"/>
        </w:rPr>
        <w:t xml:space="preserve"> modificato dal d.</w:t>
      </w:r>
      <w:r w:rsidR="00751232" w:rsidRPr="00974501">
        <w:rPr>
          <w:rFonts w:ascii="Times New Roman" w:eastAsia="New Baskerville" w:hAnsi="Times New Roman" w:cs="Times New Roman"/>
          <w:sz w:val="24"/>
          <w:szCs w:val="24"/>
          <w:lang w:eastAsia="it-IT"/>
        </w:rPr>
        <w:t>lgs.</w:t>
      </w:r>
      <w:r w:rsidR="00AE199C" w:rsidRPr="00974501">
        <w:rPr>
          <w:rFonts w:ascii="Times New Roman" w:eastAsia="New Baskerville" w:hAnsi="Times New Roman" w:cs="Times New Roman"/>
          <w:sz w:val="24"/>
          <w:szCs w:val="24"/>
          <w:lang w:eastAsia="it-IT"/>
        </w:rPr>
        <w:t xml:space="preserve"> n.</w:t>
      </w:r>
      <w:r w:rsidR="00751232" w:rsidRPr="00974501">
        <w:rPr>
          <w:rFonts w:ascii="Times New Roman" w:eastAsia="New Baskerville" w:hAnsi="Times New Roman" w:cs="Times New Roman"/>
          <w:sz w:val="24"/>
          <w:szCs w:val="24"/>
          <w:lang w:eastAsia="it-IT"/>
        </w:rPr>
        <w:t xml:space="preserve"> 97/2016, </w:t>
      </w:r>
      <w:r w:rsidRPr="00974501">
        <w:rPr>
          <w:rFonts w:ascii="Times New Roman" w:eastAsia="New Baskerville" w:hAnsi="Times New Roman" w:cs="Times New Roman"/>
          <w:sz w:val="24"/>
          <w:szCs w:val="24"/>
          <w:lang w:eastAsia="it-IT"/>
        </w:rPr>
        <w:t>si è</w:t>
      </w:r>
      <w:r w:rsidR="00043FDD" w:rsidRPr="00974501">
        <w:rPr>
          <w:rFonts w:ascii="Times New Roman" w:eastAsia="New Baskerville" w:hAnsi="Times New Roman" w:cs="Times New Roman"/>
          <w:sz w:val="24"/>
          <w:szCs w:val="24"/>
          <w:lang w:eastAsia="it-IT"/>
        </w:rPr>
        <w:t xml:space="preserve"> </w:t>
      </w:r>
      <w:r w:rsidR="00751232" w:rsidRPr="00974501">
        <w:rPr>
          <w:rFonts w:ascii="Times New Roman" w:eastAsia="New Baskerville" w:hAnsi="Times New Roman" w:cs="Times New Roman"/>
          <w:sz w:val="24"/>
          <w:szCs w:val="24"/>
          <w:lang w:eastAsia="it-IT"/>
        </w:rPr>
        <w:t>operat</w:t>
      </w:r>
      <w:r w:rsidRPr="00974501">
        <w:rPr>
          <w:rFonts w:ascii="Times New Roman" w:eastAsia="New Baskerville" w:hAnsi="Times New Roman" w:cs="Times New Roman"/>
          <w:sz w:val="24"/>
          <w:szCs w:val="24"/>
          <w:lang w:eastAsia="it-IT"/>
        </w:rPr>
        <w:t>a</w:t>
      </w:r>
      <w:r w:rsidR="00751232" w:rsidRPr="00974501">
        <w:rPr>
          <w:rFonts w:ascii="Times New Roman" w:eastAsia="New Baskerville" w:hAnsi="Times New Roman" w:cs="Times New Roman"/>
          <w:sz w:val="24"/>
          <w:szCs w:val="24"/>
          <w:lang w:eastAsia="it-IT"/>
        </w:rPr>
        <w:t xml:space="preserve"> un</w:t>
      </w:r>
      <w:r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importante estensione dei confini della trasparenza</w:t>
      </w:r>
      <w:r w:rsidR="00AE199C"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 xml:space="preserve"> intesa oggi come “accessibilità totale dei dati e documenti detenuti dalle pubbliche amministrazioni, allo scopo di tutelare i diritti dei cittadini, promuovere la partecipazione degli interessati all</w:t>
      </w:r>
      <w:r w:rsidR="00C87340"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 xml:space="preserve">attività amministrativa e favorire forme </w:t>
      </w:r>
      <w:r w:rsidR="00751232" w:rsidRPr="00974501">
        <w:rPr>
          <w:rFonts w:ascii="Times New Roman" w:eastAsia="New Baskerville" w:hAnsi="Times New Roman" w:cs="Times New Roman"/>
          <w:sz w:val="24"/>
          <w:szCs w:val="24"/>
          <w:lang w:eastAsia="it-IT"/>
        </w:rPr>
        <w:lastRenderedPageBreak/>
        <w:t>diffuse di controllo sul perseguimento delle funzioni istituzionali e sull</w:t>
      </w:r>
      <w:r w:rsidR="00C87340"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utilizzo delle risorse pubbliche”</w:t>
      </w:r>
      <w:r w:rsidR="00256075" w:rsidRPr="00974501">
        <w:rPr>
          <w:rFonts w:ascii="Times New Roman" w:eastAsia="New Baskerville" w:hAnsi="Times New Roman" w:cs="Times New Roman"/>
          <w:sz w:val="24"/>
          <w:szCs w:val="24"/>
          <w:lang w:eastAsia="it-IT"/>
        </w:rPr>
        <w:t xml:space="preserve">, </w:t>
      </w:r>
      <w:r w:rsidR="00502AD3">
        <w:rPr>
          <w:rFonts w:ascii="Times New Roman" w:eastAsia="New Baskerville" w:hAnsi="Times New Roman" w:cs="Times New Roman"/>
          <w:sz w:val="24"/>
          <w:szCs w:val="24"/>
          <w:lang w:eastAsia="it-IT"/>
        </w:rPr>
        <w:t>come recita</w:t>
      </w:r>
      <w:r w:rsidR="00256075" w:rsidRPr="00974501">
        <w:rPr>
          <w:rFonts w:ascii="Times New Roman" w:eastAsia="New Baskerville" w:hAnsi="Times New Roman" w:cs="Times New Roman"/>
          <w:sz w:val="24"/>
          <w:szCs w:val="24"/>
          <w:lang w:eastAsia="it-IT"/>
        </w:rPr>
        <w:t xml:space="preserve"> l’art. 1, comma 1, del d.lgs. n. 33/2013</w:t>
      </w:r>
      <w:r w:rsidR="004D2947">
        <w:rPr>
          <w:rStyle w:val="Rimandonotaapidipagina"/>
          <w:rFonts w:ascii="Times New Roman" w:eastAsia="New Baskerville" w:hAnsi="Times New Roman" w:cs="Times New Roman"/>
          <w:sz w:val="24"/>
          <w:szCs w:val="24"/>
          <w:lang w:eastAsia="it-IT"/>
        </w:rPr>
        <w:footnoteReference w:id="7"/>
      </w:r>
      <w:r w:rsidR="00751232" w:rsidRPr="00974501">
        <w:rPr>
          <w:rFonts w:ascii="Times New Roman" w:eastAsia="New Baskerville" w:hAnsi="Times New Roman" w:cs="Times New Roman"/>
          <w:sz w:val="24"/>
          <w:szCs w:val="24"/>
          <w:lang w:eastAsia="it-IT"/>
        </w:rPr>
        <w:t>.</w:t>
      </w:r>
    </w:p>
    <w:p w:rsidR="00256075" w:rsidRPr="00974501" w:rsidRDefault="00256075"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Inoltre, in forza del comma 3 dello stesso articolo, le disposizioni sulla trasparenza di cui al d.lgs. n. 33/2013 </w:t>
      </w:r>
      <w:r w:rsidR="00943706">
        <w:rPr>
          <w:rFonts w:ascii="Times New Roman" w:eastAsia="New Baskerville" w:hAnsi="Times New Roman" w:cs="Times New Roman"/>
          <w:sz w:val="24"/>
          <w:szCs w:val="24"/>
          <w:lang w:eastAsia="it-IT"/>
        </w:rPr>
        <w:t xml:space="preserve">sono </w:t>
      </w:r>
      <w:r w:rsidR="002854D6">
        <w:rPr>
          <w:rFonts w:ascii="Times New Roman" w:eastAsia="New Baskerville" w:hAnsi="Times New Roman" w:cs="Times New Roman"/>
          <w:sz w:val="24"/>
          <w:szCs w:val="24"/>
          <w:lang w:eastAsia="it-IT"/>
        </w:rPr>
        <w:t xml:space="preserve">state </w:t>
      </w:r>
      <w:r w:rsidR="00943706">
        <w:rPr>
          <w:rFonts w:ascii="Times New Roman" w:eastAsia="New Baskerville" w:hAnsi="Times New Roman" w:cs="Times New Roman"/>
          <w:sz w:val="24"/>
          <w:szCs w:val="24"/>
          <w:lang w:eastAsia="it-IT"/>
        </w:rPr>
        <w:t xml:space="preserve">espressamente qualificate come </w:t>
      </w:r>
      <w:r w:rsidRPr="00974501">
        <w:rPr>
          <w:rFonts w:ascii="Times New Roman" w:eastAsia="New Baskerville" w:hAnsi="Times New Roman" w:cs="Times New Roman"/>
          <w:sz w:val="24"/>
          <w:szCs w:val="24"/>
          <w:lang w:eastAsia="it-IT"/>
        </w:rPr>
        <w:t>“livello essenziale delle prestazioni erogate dalle amministrazioni pubbliche”, garantito</w:t>
      </w:r>
      <w:r w:rsidR="00943706">
        <w:rPr>
          <w:rFonts w:ascii="Times New Roman" w:eastAsia="New Baskerville" w:hAnsi="Times New Roman" w:cs="Times New Roman"/>
          <w:sz w:val="24"/>
          <w:szCs w:val="24"/>
          <w:lang w:eastAsia="it-IT"/>
        </w:rPr>
        <w:t>, quindi, sul</w:t>
      </w:r>
      <w:r w:rsidRPr="00974501">
        <w:rPr>
          <w:rFonts w:ascii="Times New Roman" w:eastAsia="New Baskerville" w:hAnsi="Times New Roman" w:cs="Times New Roman"/>
          <w:sz w:val="24"/>
          <w:szCs w:val="24"/>
          <w:lang w:eastAsia="it-IT"/>
        </w:rPr>
        <w:t>l</w:t>
      </w:r>
      <w:r w:rsidR="00943706">
        <w:rPr>
          <w:rFonts w:ascii="Times New Roman" w:eastAsia="New Baskerville" w:hAnsi="Times New Roman" w:cs="Times New Roman"/>
          <w:sz w:val="24"/>
          <w:szCs w:val="24"/>
          <w:lang w:eastAsia="it-IT"/>
        </w:rPr>
        <w:t>’intero</w:t>
      </w:r>
      <w:r w:rsidRPr="00974501">
        <w:rPr>
          <w:rFonts w:ascii="Times New Roman" w:eastAsia="New Baskerville" w:hAnsi="Times New Roman" w:cs="Times New Roman"/>
          <w:sz w:val="24"/>
          <w:szCs w:val="24"/>
          <w:lang w:eastAsia="it-IT"/>
        </w:rPr>
        <w:t xml:space="preserve"> territorio nazionale</w:t>
      </w:r>
      <w:r w:rsidR="00943706">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ai sensi dell’art. 117, comma 2, </w:t>
      </w:r>
      <w:proofErr w:type="spellStart"/>
      <w:r w:rsidRPr="00974501">
        <w:rPr>
          <w:rFonts w:ascii="Times New Roman" w:eastAsia="New Baskerville" w:hAnsi="Times New Roman" w:cs="Times New Roman"/>
          <w:sz w:val="24"/>
          <w:szCs w:val="24"/>
          <w:lang w:eastAsia="it-IT"/>
        </w:rPr>
        <w:t>lett</w:t>
      </w:r>
      <w:proofErr w:type="spellEnd"/>
      <w:r w:rsidR="00043FDD"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m), </w:t>
      </w:r>
      <w:proofErr w:type="gramStart"/>
      <w:r w:rsidRPr="00974501">
        <w:rPr>
          <w:rFonts w:ascii="Times New Roman" w:eastAsia="New Baskerville" w:hAnsi="Times New Roman" w:cs="Times New Roman"/>
          <w:sz w:val="24"/>
          <w:szCs w:val="24"/>
          <w:lang w:eastAsia="it-IT"/>
        </w:rPr>
        <w:t>Cost.,</w:t>
      </w:r>
      <w:proofErr w:type="gramEnd"/>
      <w:r w:rsidRPr="00974501">
        <w:rPr>
          <w:rFonts w:ascii="Times New Roman" w:eastAsia="New Baskerville" w:hAnsi="Times New Roman" w:cs="Times New Roman"/>
          <w:sz w:val="24"/>
          <w:szCs w:val="24"/>
          <w:lang w:eastAsia="it-IT"/>
        </w:rPr>
        <w:t xml:space="preserve"> con conseguente vincolo di inderogabilità </w:t>
      </w:r>
      <w:r w:rsidRPr="00974501">
        <w:rPr>
          <w:rFonts w:ascii="Times New Roman" w:eastAsia="New Baskerville" w:hAnsi="Times New Roman" w:cs="Times New Roman"/>
          <w:i/>
          <w:sz w:val="24"/>
          <w:szCs w:val="24"/>
          <w:lang w:eastAsia="it-IT"/>
        </w:rPr>
        <w:t xml:space="preserve">in </w:t>
      </w:r>
      <w:proofErr w:type="spellStart"/>
      <w:r w:rsidRPr="00974501">
        <w:rPr>
          <w:rFonts w:ascii="Times New Roman" w:eastAsia="New Baskerville" w:hAnsi="Times New Roman" w:cs="Times New Roman"/>
          <w:i/>
          <w:sz w:val="24"/>
          <w:szCs w:val="24"/>
          <w:lang w:eastAsia="it-IT"/>
        </w:rPr>
        <w:t>pejus</w:t>
      </w:r>
      <w:proofErr w:type="spellEnd"/>
      <w:r w:rsidRPr="00974501">
        <w:rPr>
          <w:rFonts w:ascii="Times New Roman" w:eastAsia="New Baskerville" w:hAnsi="Times New Roman" w:cs="Times New Roman"/>
          <w:sz w:val="24"/>
          <w:szCs w:val="24"/>
          <w:lang w:eastAsia="it-IT"/>
        </w:rPr>
        <w:t xml:space="preserve">. </w:t>
      </w:r>
    </w:p>
    <w:p w:rsidR="00751232" w:rsidRPr="00974501" w:rsidRDefault="007C3FE8"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Di conseguenza, i</w:t>
      </w:r>
      <w:r w:rsidR="00AE199C" w:rsidRPr="00974501">
        <w:rPr>
          <w:rFonts w:ascii="Times New Roman" w:eastAsia="New Baskerville" w:hAnsi="Times New Roman" w:cs="Times New Roman"/>
          <w:sz w:val="24"/>
          <w:szCs w:val="24"/>
          <w:lang w:eastAsia="it-IT"/>
        </w:rPr>
        <w:t xml:space="preserve">n questo </w:t>
      </w:r>
      <w:r w:rsidR="00491B2C" w:rsidRPr="00974501">
        <w:rPr>
          <w:rFonts w:ascii="Times New Roman" w:eastAsia="New Baskerville" w:hAnsi="Times New Roman" w:cs="Times New Roman"/>
          <w:sz w:val="24"/>
          <w:szCs w:val="24"/>
          <w:lang w:eastAsia="it-IT"/>
        </w:rPr>
        <w:t xml:space="preserve">rinnovato </w:t>
      </w:r>
      <w:r w:rsidR="00AE199C" w:rsidRPr="00974501">
        <w:rPr>
          <w:rFonts w:ascii="Times New Roman" w:eastAsia="New Baskerville" w:hAnsi="Times New Roman" w:cs="Times New Roman"/>
          <w:sz w:val="24"/>
          <w:szCs w:val="24"/>
          <w:lang w:eastAsia="it-IT"/>
        </w:rPr>
        <w:t>contesto, l</w:t>
      </w:r>
      <w:r w:rsidR="00C87340"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ampio diritto all</w:t>
      </w:r>
      <w:r w:rsidR="00C87340"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informazione e</w:t>
      </w:r>
      <w:r w:rsidR="001959F2" w:rsidRPr="00974501">
        <w:rPr>
          <w:rFonts w:ascii="Times New Roman" w:eastAsia="New Baskerville" w:hAnsi="Times New Roman" w:cs="Times New Roman"/>
          <w:sz w:val="24"/>
          <w:szCs w:val="24"/>
          <w:lang w:eastAsia="it-IT"/>
        </w:rPr>
        <w:t>d</w:t>
      </w:r>
      <w:r w:rsidR="00751232" w:rsidRPr="00974501">
        <w:rPr>
          <w:rFonts w:ascii="Times New Roman" w:eastAsia="New Baskerville" w:hAnsi="Times New Roman" w:cs="Times New Roman"/>
          <w:sz w:val="24"/>
          <w:szCs w:val="24"/>
          <w:lang w:eastAsia="it-IT"/>
        </w:rPr>
        <w:t xml:space="preserve"> alla trasparenza dell</w:t>
      </w:r>
      <w:r w:rsidR="00C87340"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 xml:space="preserve">attività delle amministrazioni resta temperato solo dalla necessità di garantire le esigenze di riservatezza, segretezza e tutela di determinati interessi pubblici e privati (come </w:t>
      </w:r>
      <w:r w:rsidR="00AE199C" w:rsidRPr="00974501">
        <w:rPr>
          <w:rFonts w:ascii="Times New Roman" w:eastAsia="New Baskerville" w:hAnsi="Times New Roman" w:cs="Times New Roman"/>
          <w:sz w:val="24"/>
          <w:szCs w:val="24"/>
          <w:lang w:eastAsia="it-IT"/>
        </w:rPr>
        <w:t>elencati nell</w:t>
      </w:r>
      <w:r w:rsidR="00C87340" w:rsidRPr="00974501">
        <w:rPr>
          <w:rFonts w:ascii="Times New Roman" w:eastAsia="New Baskerville" w:hAnsi="Times New Roman" w:cs="Times New Roman"/>
          <w:sz w:val="24"/>
          <w:szCs w:val="24"/>
          <w:lang w:eastAsia="it-IT"/>
        </w:rPr>
        <w:t>’</w:t>
      </w:r>
      <w:r w:rsidR="00AE199C" w:rsidRPr="00974501">
        <w:rPr>
          <w:rFonts w:ascii="Times New Roman" w:eastAsia="New Baskerville" w:hAnsi="Times New Roman" w:cs="Times New Roman"/>
          <w:sz w:val="24"/>
          <w:szCs w:val="24"/>
          <w:lang w:eastAsia="it-IT"/>
        </w:rPr>
        <w:t>art. 5</w:t>
      </w:r>
      <w:r w:rsidR="00350D1A" w:rsidRPr="00974501">
        <w:rPr>
          <w:rFonts w:ascii="Times New Roman" w:eastAsia="New Baskerville" w:hAnsi="Times New Roman" w:cs="Times New Roman"/>
          <w:sz w:val="24"/>
          <w:szCs w:val="24"/>
          <w:lang w:eastAsia="it-IT"/>
        </w:rPr>
        <w:t>-</w:t>
      </w:r>
      <w:r w:rsidR="00AE199C" w:rsidRPr="00974501">
        <w:rPr>
          <w:rFonts w:ascii="Times New Roman" w:eastAsia="New Baskerville" w:hAnsi="Times New Roman" w:cs="Times New Roman"/>
          <w:i/>
          <w:sz w:val="24"/>
          <w:szCs w:val="24"/>
          <w:lang w:eastAsia="it-IT"/>
        </w:rPr>
        <w:t>bis</w:t>
      </w:r>
      <w:r w:rsidR="00AE199C" w:rsidRPr="00974501">
        <w:rPr>
          <w:rFonts w:ascii="Times New Roman" w:eastAsia="New Baskerville" w:hAnsi="Times New Roman" w:cs="Times New Roman"/>
          <w:sz w:val="24"/>
          <w:szCs w:val="24"/>
          <w:lang w:eastAsia="it-IT"/>
        </w:rPr>
        <w:t xml:space="preserve"> del d.</w:t>
      </w:r>
      <w:r w:rsidR="00751232" w:rsidRPr="00974501">
        <w:rPr>
          <w:rFonts w:ascii="Times New Roman" w:eastAsia="New Baskerville" w:hAnsi="Times New Roman" w:cs="Times New Roman"/>
          <w:sz w:val="24"/>
          <w:szCs w:val="24"/>
          <w:lang w:eastAsia="it-IT"/>
        </w:rPr>
        <w:t xml:space="preserve">lgs. </w:t>
      </w:r>
      <w:r w:rsidR="00AE199C" w:rsidRPr="00974501">
        <w:rPr>
          <w:rFonts w:ascii="Times New Roman" w:eastAsia="New Baskerville" w:hAnsi="Times New Roman" w:cs="Times New Roman"/>
          <w:sz w:val="24"/>
          <w:szCs w:val="24"/>
          <w:lang w:eastAsia="it-IT"/>
        </w:rPr>
        <w:t xml:space="preserve">n. </w:t>
      </w:r>
      <w:r w:rsidR="00751232" w:rsidRPr="00974501">
        <w:rPr>
          <w:rFonts w:ascii="Times New Roman" w:eastAsia="New Baskerville" w:hAnsi="Times New Roman" w:cs="Times New Roman"/>
          <w:sz w:val="24"/>
          <w:szCs w:val="24"/>
          <w:lang w:eastAsia="it-IT"/>
        </w:rPr>
        <w:t>33/2013)</w:t>
      </w:r>
      <w:r w:rsidR="00AE199C"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 xml:space="preserve"> che diventano l</w:t>
      </w:r>
      <w:r w:rsidR="00C87340"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 xml:space="preserve">eccezione alla regola, </w:t>
      </w:r>
      <w:r w:rsidR="00943706">
        <w:rPr>
          <w:rFonts w:ascii="Times New Roman" w:eastAsia="New Baskerville" w:hAnsi="Times New Roman" w:cs="Times New Roman"/>
          <w:sz w:val="24"/>
          <w:szCs w:val="24"/>
          <w:lang w:eastAsia="it-IT"/>
        </w:rPr>
        <w:t xml:space="preserve">conformemente alla </w:t>
      </w:r>
      <w:r w:rsidR="00502AD3">
        <w:rPr>
          <w:rFonts w:ascii="Times New Roman" w:eastAsia="New Baskerville" w:hAnsi="Times New Roman" w:cs="Times New Roman"/>
          <w:sz w:val="24"/>
          <w:szCs w:val="24"/>
          <w:lang w:eastAsia="it-IT"/>
        </w:rPr>
        <w:t>struttura</w:t>
      </w:r>
      <w:r w:rsidR="00751232" w:rsidRPr="00974501">
        <w:rPr>
          <w:rFonts w:ascii="Times New Roman" w:eastAsia="New Baskerville" w:hAnsi="Times New Roman" w:cs="Times New Roman"/>
          <w:sz w:val="24"/>
          <w:szCs w:val="24"/>
          <w:lang w:eastAsia="it-IT"/>
        </w:rPr>
        <w:t xml:space="preserve"> degli ordinamenti cara</w:t>
      </w:r>
      <w:r w:rsidR="00AE199C" w:rsidRPr="00974501">
        <w:rPr>
          <w:rFonts w:ascii="Times New Roman" w:eastAsia="New Baskerville" w:hAnsi="Times New Roman" w:cs="Times New Roman"/>
          <w:sz w:val="24"/>
          <w:szCs w:val="24"/>
          <w:lang w:eastAsia="it-IT"/>
        </w:rPr>
        <w:t xml:space="preserve">tterizzati dal sistema FOIA, </w:t>
      </w:r>
      <w:r w:rsidR="00751232" w:rsidRPr="00974501">
        <w:rPr>
          <w:rFonts w:ascii="Times New Roman" w:eastAsia="New Baskerville" w:hAnsi="Times New Roman" w:cs="Times New Roman"/>
          <w:sz w:val="24"/>
          <w:szCs w:val="24"/>
          <w:lang w:eastAsia="it-IT"/>
        </w:rPr>
        <w:t>acronimo deriva</w:t>
      </w:r>
      <w:r w:rsidR="00AE199C" w:rsidRPr="00974501">
        <w:rPr>
          <w:rFonts w:ascii="Times New Roman" w:eastAsia="New Baskerville" w:hAnsi="Times New Roman" w:cs="Times New Roman"/>
          <w:sz w:val="24"/>
          <w:szCs w:val="24"/>
          <w:lang w:eastAsia="it-IT"/>
        </w:rPr>
        <w:t>nte</w:t>
      </w:r>
      <w:r w:rsidR="00751232" w:rsidRPr="00974501">
        <w:rPr>
          <w:rFonts w:ascii="Times New Roman" w:eastAsia="New Baskerville" w:hAnsi="Times New Roman" w:cs="Times New Roman"/>
          <w:sz w:val="24"/>
          <w:szCs w:val="24"/>
          <w:lang w:eastAsia="it-IT"/>
        </w:rPr>
        <w:t xml:space="preserve"> dal </w:t>
      </w:r>
      <w:proofErr w:type="spellStart"/>
      <w:r w:rsidR="00751232" w:rsidRPr="00974501">
        <w:rPr>
          <w:rFonts w:ascii="Times New Roman" w:eastAsia="New Baskerville" w:hAnsi="Times New Roman" w:cs="Times New Roman"/>
          <w:i/>
          <w:sz w:val="24"/>
          <w:szCs w:val="24"/>
          <w:lang w:eastAsia="it-IT"/>
        </w:rPr>
        <w:t>Freedom</w:t>
      </w:r>
      <w:proofErr w:type="spellEnd"/>
      <w:r w:rsidR="00751232" w:rsidRPr="00974501">
        <w:rPr>
          <w:rFonts w:ascii="Times New Roman" w:eastAsia="New Baskerville" w:hAnsi="Times New Roman" w:cs="Times New Roman"/>
          <w:i/>
          <w:sz w:val="24"/>
          <w:szCs w:val="24"/>
          <w:lang w:eastAsia="it-IT"/>
        </w:rPr>
        <w:t xml:space="preserve"> of </w:t>
      </w:r>
      <w:r w:rsidR="000D04F8" w:rsidRPr="00974501">
        <w:rPr>
          <w:rFonts w:ascii="Times New Roman" w:eastAsia="New Baskerville" w:hAnsi="Times New Roman" w:cs="Times New Roman"/>
          <w:i/>
          <w:sz w:val="24"/>
          <w:szCs w:val="24"/>
          <w:lang w:eastAsia="it-IT"/>
        </w:rPr>
        <w:t>i</w:t>
      </w:r>
      <w:r w:rsidR="00751232" w:rsidRPr="00974501">
        <w:rPr>
          <w:rFonts w:ascii="Times New Roman" w:eastAsia="New Baskerville" w:hAnsi="Times New Roman" w:cs="Times New Roman"/>
          <w:i/>
          <w:sz w:val="24"/>
          <w:szCs w:val="24"/>
          <w:lang w:eastAsia="it-IT"/>
        </w:rPr>
        <w:t xml:space="preserve">nformation </w:t>
      </w:r>
      <w:proofErr w:type="spellStart"/>
      <w:r w:rsidR="000D04F8" w:rsidRPr="00974501">
        <w:rPr>
          <w:rFonts w:ascii="Times New Roman" w:eastAsia="New Baskerville" w:hAnsi="Times New Roman" w:cs="Times New Roman"/>
          <w:i/>
          <w:sz w:val="24"/>
          <w:szCs w:val="24"/>
          <w:lang w:eastAsia="it-IT"/>
        </w:rPr>
        <w:t>a</w:t>
      </w:r>
      <w:r w:rsidR="00751232" w:rsidRPr="00974501">
        <w:rPr>
          <w:rFonts w:ascii="Times New Roman" w:eastAsia="New Baskerville" w:hAnsi="Times New Roman" w:cs="Times New Roman"/>
          <w:i/>
          <w:sz w:val="24"/>
          <w:szCs w:val="24"/>
          <w:lang w:eastAsia="it-IT"/>
        </w:rPr>
        <w:t>ct</w:t>
      </w:r>
      <w:proofErr w:type="spellEnd"/>
      <w:r w:rsidR="00751232" w:rsidRPr="00974501">
        <w:rPr>
          <w:rFonts w:ascii="Times New Roman" w:eastAsia="New Baskerville" w:hAnsi="Times New Roman" w:cs="Times New Roman"/>
          <w:sz w:val="24"/>
          <w:szCs w:val="24"/>
          <w:lang w:eastAsia="it-IT"/>
        </w:rPr>
        <w:t xml:space="preserve">, </w:t>
      </w:r>
      <w:r w:rsidR="00491B2C" w:rsidRPr="00974501">
        <w:rPr>
          <w:rFonts w:ascii="Times New Roman" w:eastAsia="New Baskerville" w:hAnsi="Times New Roman" w:cs="Times New Roman"/>
          <w:sz w:val="24"/>
          <w:szCs w:val="24"/>
          <w:lang w:eastAsia="it-IT"/>
        </w:rPr>
        <w:t>ch</w:t>
      </w:r>
      <w:r w:rsidR="00751232" w:rsidRPr="00974501">
        <w:rPr>
          <w:rFonts w:ascii="Times New Roman" w:eastAsia="New Baskerville" w:hAnsi="Times New Roman" w:cs="Times New Roman"/>
          <w:sz w:val="24"/>
          <w:szCs w:val="24"/>
          <w:lang w:eastAsia="it-IT"/>
        </w:rPr>
        <w:t xml:space="preserve">e </w:t>
      </w:r>
      <w:r w:rsidR="00491B2C" w:rsidRPr="00974501">
        <w:rPr>
          <w:rFonts w:ascii="Times New Roman" w:eastAsia="New Baskerville" w:hAnsi="Times New Roman" w:cs="Times New Roman"/>
          <w:sz w:val="24"/>
          <w:szCs w:val="24"/>
          <w:lang w:eastAsia="it-IT"/>
        </w:rPr>
        <w:t xml:space="preserve">è </w:t>
      </w:r>
      <w:r w:rsidR="00751232" w:rsidRPr="00974501">
        <w:rPr>
          <w:rFonts w:ascii="Times New Roman" w:eastAsia="New Baskerville" w:hAnsi="Times New Roman" w:cs="Times New Roman"/>
          <w:sz w:val="24"/>
          <w:szCs w:val="24"/>
          <w:lang w:eastAsia="it-IT"/>
        </w:rPr>
        <w:t>la legge sulla libertà di informazione</w:t>
      </w:r>
      <w:r w:rsidR="00491B2C" w:rsidRPr="00974501">
        <w:rPr>
          <w:rFonts w:ascii="Times New Roman" w:eastAsia="New Baskerville" w:hAnsi="Times New Roman" w:cs="Times New Roman"/>
          <w:sz w:val="24"/>
          <w:szCs w:val="24"/>
          <w:lang w:eastAsia="it-IT"/>
        </w:rPr>
        <w:t>,</w:t>
      </w:r>
      <w:r w:rsidR="00751232" w:rsidRPr="00974501">
        <w:rPr>
          <w:rFonts w:ascii="Times New Roman" w:eastAsia="New Baskerville" w:hAnsi="Times New Roman" w:cs="Times New Roman"/>
          <w:sz w:val="24"/>
          <w:szCs w:val="24"/>
          <w:lang w:eastAsia="it-IT"/>
        </w:rPr>
        <w:t xml:space="preserve"> adottata negli Stati Uniti il 4 luglio 1966</w:t>
      </w:r>
      <w:r w:rsidR="00491B2C" w:rsidRPr="00974501">
        <w:rPr>
          <w:rFonts w:ascii="Times New Roman" w:eastAsia="New Baskerville" w:hAnsi="Times New Roman" w:cs="Times New Roman"/>
          <w:sz w:val="24"/>
          <w:szCs w:val="24"/>
          <w:lang w:eastAsia="it-IT"/>
        </w:rPr>
        <w:t>.</w:t>
      </w:r>
    </w:p>
    <w:p w:rsidR="00491B2C" w:rsidRPr="00974501" w:rsidRDefault="00491B2C" w:rsidP="00367C00">
      <w:pPr>
        <w:spacing w:before="299" w:after="0" w:line="360" w:lineRule="auto"/>
        <w:ind w:left="142" w:firstLine="992"/>
        <w:jc w:val="both"/>
        <w:rPr>
          <w:rFonts w:ascii="Times New Roman" w:eastAsia="New Baskerville" w:hAnsi="Times New Roman" w:cs="Times New Roman"/>
          <w:sz w:val="24"/>
          <w:szCs w:val="24"/>
          <w:lang w:eastAsia="it-IT"/>
        </w:rPr>
      </w:pPr>
    </w:p>
    <w:p w:rsidR="00491B2C" w:rsidRPr="00974501" w:rsidRDefault="00491B2C" w:rsidP="00367C00">
      <w:pPr>
        <w:numPr>
          <w:ilvl w:val="0"/>
          <w:numId w:val="5"/>
        </w:numPr>
        <w:spacing w:before="299" w:after="0" w:line="360" w:lineRule="auto"/>
        <w:ind w:left="142" w:firstLine="992"/>
        <w:jc w:val="both"/>
        <w:rPr>
          <w:rFonts w:ascii="Times New Roman" w:eastAsia="New Baskerville" w:hAnsi="Times New Roman" w:cs="Times New Roman"/>
          <w:b/>
          <w:sz w:val="24"/>
          <w:szCs w:val="24"/>
          <w:u w:val="single"/>
          <w:lang w:eastAsia="it-IT"/>
        </w:rPr>
      </w:pPr>
      <w:r w:rsidRPr="00974501">
        <w:rPr>
          <w:rFonts w:ascii="Times New Roman" w:eastAsia="New Baskerville" w:hAnsi="Times New Roman" w:cs="Times New Roman"/>
          <w:b/>
          <w:sz w:val="24"/>
          <w:szCs w:val="24"/>
          <w:u w:val="single"/>
          <w:lang w:eastAsia="it-IT"/>
        </w:rPr>
        <w:t>Trasparenza e prevenzione della corruzione</w:t>
      </w:r>
      <w:r w:rsidR="000D04F8" w:rsidRPr="00974501">
        <w:rPr>
          <w:rFonts w:ascii="Times New Roman" w:eastAsia="New Baskerville" w:hAnsi="Times New Roman" w:cs="Times New Roman"/>
          <w:b/>
          <w:sz w:val="24"/>
          <w:szCs w:val="24"/>
          <w:u w:val="single"/>
          <w:lang w:eastAsia="it-IT"/>
        </w:rPr>
        <w:t>.</w:t>
      </w:r>
      <w:r w:rsidR="00502AD3">
        <w:rPr>
          <w:rFonts w:ascii="Times New Roman" w:eastAsia="New Baskerville" w:hAnsi="Times New Roman" w:cs="Times New Roman"/>
          <w:b/>
          <w:sz w:val="24"/>
          <w:szCs w:val="24"/>
          <w:u w:val="single"/>
          <w:lang w:eastAsia="it-IT"/>
        </w:rPr>
        <w:t xml:space="preserve"> L’apparato sanzionatorio.</w:t>
      </w:r>
    </w:p>
    <w:p w:rsidR="00350D1A" w:rsidRPr="00974501" w:rsidRDefault="00491B2C"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Come rimarcato </w:t>
      </w:r>
      <w:r w:rsidR="002854D6">
        <w:rPr>
          <w:rFonts w:ascii="Times New Roman" w:eastAsia="New Baskerville" w:hAnsi="Times New Roman" w:cs="Times New Roman"/>
          <w:sz w:val="24"/>
          <w:szCs w:val="24"/>
          <w:lang w:eastAsia="it-IT"/>
        </w:rPr>
        <w:t>da</w:t>
      </w:r>
      <w:r w:rsidRPr="00974501">
        <w:rPr>
          <w:rFonts w:ascii="Times New Roman" w:eastAsia="New Baskerville" w:hAnsi="Times New Roman" w:cs="Times New Roman"/>
          <w:sz w:val="24"/>
          <w:szCs w:val="24"/>
          <w:lang w:eastAsia="it-IT"/>
        </w:rPr>
        <w:t xml:space="preserve">l </w:t>
      </w:r>
      <w:r w:rsidR="00350D1A" w:rsidRPr="00974501">
        <w:rPr>
          <w:rFonts w:ascii="Times New Roman" w:eastAsia="New Baskerville" w:hAnsi="Times New Roman" w:cs="Times New Roman"/>
          <w:sz w:val="24"/>
          <w:szCs w:val="24"/>
          <w:lang w:eastAsia="it-IT"/>
        </w:rPr>
        <w:t xml:space="preserve">parere </w:t>
      </w:r>
      <w:r w:rsidR="000D04F8" w:rsidRPr="00974501">
        <w:rPr>
          <w:rFonts w:ascii="Times New Roman" w:eastAsia="New Baskerville" w:hAnsi="Times New Roman" w:cs="Times New Roman"/>
          <w:sz w:val="24"/>
          <w:szCs w:val="24"/>
          <w:lang w:eastAsia="it-IT"/>
        </w:rPr>
        <w:t>de</w:t>
      </w:r>
      <w:r w:rsidR="00350D1A" w:rsidRPr="00974501">
        <w:rPr>
          <w:rFonts w:ascii="Times New Roman" w:eastAsia="New Baskerville" w:hAnsi="Times New Roman" w:cs="Times New Roman"/>
          <w:sz w:val="24"/>
          <w:szCs w:val="24"/>
          <w:lang w:eastAsia="it-IT"/>
        </w:rPr>
        <w:t xml:space="preserve">l Consiglio di Stato sullo schema di decreto, la trasparenza, </w:t>
      </w:r>
      <w:r w:rsidR="002854D6">
        <w:rPr>
          <w:rFonts w:ascii="Times New Roman" w:eastAsia="New Baskerville" w:hAnsi="Times New Roman" w:cs="Times New Roman"/>
          <w:sz w:val="24"/>
          <w:szCs w:val="24"/>
          <w:lang w:eastAsia="it-IT"/>
        </w:rPr>
        <w:t>quale</w:t>
      </w:r>
      <w:r w:rsidR="00350D1A" w:rsidRPr="00974501">
        <w:rPr>
          <w:rFonts w:ascii="Times New Roman" w:eastAsia="New Baskerville" w:hAnsi="Times New Roman" w:cs="Times New Roman"/>
          <w:sz w:val="24"/>
          <w:szCs w:val="24"/>
          <w:lang w:eastAsia="it-IT"/>
        </w:rPr>
        <w:t xml:space="preserve"> precondizione per ricostruire e rafforzare il rapporto di fiducia tra cittadi</w:t>
      </w:r>
      <w:r w:rsidR="001959F2" w:rsidRPr="00974501">
        <w:rPr>
          <w:rFonts w:ascii="Times New Roman" w:eastAsia="New Baskerville" w:hAnsi="Times New Roman" w:cs="Times New Roman"/>
          <w:sz w:val="24"/>
          <w:szCs w:val="24"/>
          <w:lang w:eastAsia="it-IT"/>
        </w:rPr>
        <w:t>n</w:t>
      </w:r>
      <w:r w:rsidR="002854D6">
        <w:rPr>
          <w:rFonts w:ascii="Times New Roman" w:eastAsia="New Baskerville" w:hAnsi="Times New Roman" w:cs="Times New Roman"/>
          <w:sz w:val="24"/>
          <w:szCs w:val="24"/>
          <w:lang w:eastAsia="it-IT"/>
        </w:rPr>
        <w:t>o</w:t>
      </w:r>
      <w:r w:rsidR="001959F2" w:rsidRPr="00974501">
        <w:rPr>
          <w:rFonts w:ascii="Times New Roman" w:eastAsia="New Baskerville" w:hAnsi="Times New Roman" w:cs="Times New Roman"/>
          <w:sz w:val="24"/>
          <w:szCs w:val="24"/>
          <w:lang w:eastAsia="it-IT"/>
        </w:rPr>
        <w:t xml:space="preserve"> e poteri pubblici, si coniug</w:t>
      </w:r>
      <w:r w:rsidRPr="00974501">
        <w:rPr>
          <w:rFonts w:ascii="Times New Roman" w:eastAsia="New Baskerville" w:hAnsi="Times New Roman" w:cs="Times New Roman"/>
          <w:sz w:val="24"/>
          <w:szCs w:val="24"/>
          <w:lang w:eastAsia="it-IT"/>
        </w:rPr>
        <w:t>a</w:t>
      </w:r>
      <w:r w:rsidR="00350D1A" w:rsidRPr="00974501">
        <w:rPr>
          <w:rFonts w:ascii="Times New Roman" w:eastAsia="New Baskerville" w:hAnsi="Times New Roman" w:cs="Times New Roman"/>
          <w:sz w:val="24"/>
          <w:szCs w:val="24"/>
          <w:lang w:eastAsia="it-IT"/>
        </w:rPr>
        <w:t xml:space="preserve"> perfettamente con il contrasto alla corruzione.</w:t>
      </w:r>
    </w:p>
    <w:p w:rsidR="00350D1A" w:rsidRPr="00974501" w:rsidRDefault="00350D1A"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Del resto, </w:t>
      </w:r>
      <w:r w:rsidR="00491B2C" w:rsidRPr="00974501">
        <w:rPr>
          <w:rFonts w:ascii="Times New Roman" w:eastAsia="New Baskerville" w:hAnsi="Times New Roman" w:cs="Times New Roman"/>
          <w:sz w:val="24"/>
          <w:szCs w:val="24"/>
          <w:lang w:eastAsia="it-IT"/>
        </w:rPr>
        <w:t>che vi si</w:t>
      </w:r>
      <w:r w:rsidRPr="00974501">
        <w:rPr>
          <w:rFonts w:ascii="Times New Roman" w:eastAsia="New Baskerville" w:hAnsi="Times New Roman" w:cs="Times New Roman"/>
          <w:sz w:val="24"/>
          <w:szCs w:val="24"/>
          <w:lang w:eastAsia="it-IT"/>
        </w:rPr>
        <w:t xml:space="preserve">a </w:t>
      </w:r>
      <w:r w:rsidR="00491B2C" w:rsidRPr="00974501">
        <w:rPr>
          <w:rFonts w:ascii="Times New Roman" w:eastAsia="New Baskerville" w:hAnsi="Times New Roman" w:cs="Times New Roman"/>
          <w:sz w:val="24"/>
          <w:szCs w:val="24"/>
          <w:lang w:eastAsia="it-IT"/>
        </w:rPr>
        <w:t xml:space="preserve">una </w:t>
      </w:r>
      <w:r w:rsidRPr="00974501">
        <w:rPr>
          <w:rFonts w:ascii="Times New Roman" w:eastAsia="New Baskerville" w:hAnsi="Times New Roman" w:cs="Times New Roman"/>
          <w:sz w:val="24"/>
          <w:szCs w:val="24"/>
          <w:lang w:eastAsia="it-IT"/>
        </w:rPr>
        <w:t>stretta interconnessione tra trasparenza e prevenzione della corruzione</w:t>
      </w:r>
      <w:r w:rsidR="00491B2C"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è dimostrat</w:t>
      </w:r>
      <w:r w:rsidR="00491B2C" w:rsidRPr="00974501">
        <w:rPr>
          <w:rFonts w:ascii="Times New Roman" w:eastAsia="New Baskerville" w:hAnsi="Times New Roman" w:cs="Times New Roman"/>
          <w:sz w:val="24"/>
          <w:szCs w:val="24"/>
          <w:lang w:eastAsia="it-IT"/>
        </w:rPr>
        <w:t>o</w:t>
      </w:r>
      <w:r w:rsidRPr="00974501">
        <w:rPr>
          <w:rFonts w:ascii="Times New Roman" w:eastAsia="New Baskerville" w:hAnsi="Times New Roman" w:cs="Times New Roman"/>
          <w:sz w:val="24"/>
          <w:szCs w:val="24"/>
          <w:lang w:eastAsia="it-IT"/>
        </w:rPr>
        <w:t xml:space="preserve"> dal</w:t>
      </w:r>
      <w:r w:rsidR="00491B2C" w:rsidRPr="00974501">
        <w:rPr>
          <w:rFonts w:ascii="Times New Roman" w:eastAsia="New Baskerville" w:hAnsi="Times New Roman" w:cs="Times New Roman"/>
          <w:sz w:val="24"/>
          <w:szCs w:val="24"/>
          <w:lang w:eastAsia="it-IT"/>
        </w:rPr>
        <w:t xml:space="preserve"> fatto che i</w:t>
      </w:r>
      <w:r w:rsidRPr="00974501">
        <w:rPr>
          <w:rFonts w:ascii="Times New Roman" w:eastAsia="New Baskerville" w:hAnsi="Times New Roman" w:cs="Times New Roman"/>
          <w:sz w:val="24"/>
          <w:szCs w:val="24"/>
          <w:lang w:eastAsia="it-IT"/>
        </w:rPr>
        <w:t xml:space="preserve">l d.lgs. n. 97/2016 apporta rilevanti modifiche alla </w:t>
      </w:r>
      <w:r w:rsidR="004456A5" w:rsidRPr="00974501">
        <w:rPr>
          <w:rFonts w:ascii="Times New Roman" w:eastAsia="New Baskerville" w:hAnsi="Times New Roman" w:cs="Times New Roman"/>
          <w:sz w:val="24"/>
          <w:szCs w:val="24"/>
          <w:lang w:eastAsia="it-IT"/>
        </w:rPr>
        <w:t>legge n.</w:t>
      </w:r>
      <w:r w:rsidRPr="00974501">
        <w:rPr>
          <w:rFonts w:ascii="Times New Roman" w:eastAsia="New Baskerville" w:hAnsi="Times New Roman" w:cs="Times New Roman"/>
          <w:sz w:val="24"/>
          <w:szCs w:val="24"/>
          <w:lang w:eastAsia="it-IT"/>
        </w:rPr>
        <w:t xml:space="preserve"> 190/2012, recante “</w:t>
      </w:r>
      <w:r w:rsidR="00930C4D" w:rsidRPr="00974501">
        <w:rPr>
          <w:rFonts w:ascii="Times New Roman" w:eastAsia="New Baskerville" w:hAnsi="Times New Roman" w:cs="Times New Roman"/>
          <w:sz w:val="24"/>
          <w:szCs w:val="24"/>
          <w:lang w:eastAsia="it-IT"/>
        </w:rPr>
        <w:t>d</w:t>
      </w:r>
      <w:r w:rsidRPr="00974501">
        <w:rPr>
          <w:rFonts w:ascii="Times New Roman" w:eastAsia="New Baskerville" w:hAnsi="Times New Roman" w:cs="Times New Roman"/>
          <w:sz w:val="24"/>
          <w:szCs w:val="24"/>
          <w:lang w:eastAsia="it-IT"/>
        </w:rPr>
        <w:t>isposizioni per la prevenzione e la repressione della corruzione e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illegalità nella pubblica amministrazione”.</w:t>
      </w:r>
    </w:p>
    <w:p w:rsidR="00491B2C" w:rsidRPr="00974501" w:rsidRDefault="00491B2C"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In particolare, la novella affida all’</w:t>
      </w:r>
      <w:r w:rsidR="000832D7" w:rsidRPr="00974501">
        <w:rPr>
          <w:rFonts w:ascii="Times New Roman" w:eastAsia="New Baskerville" w:hAnsi="Times New Roman" w:cs="Times New Roman"/>
          <w:sz w:val="24"/>
          <w:szCs w:val="24"/>
          <w:lang w:eastAsia="it-IT"/>
        </w:rPr>
        <w:t>Autorità nazionale anticorruzione (</w:t>
      </w:r>
      <w:proofErr w:type="spellStart"/>
      <w:r w:rsidRPr="00974501">
        <w:rPr>
          <w:rFonts w:ascii="Times New Roman" w:eastAsia="New Baskerville" w:hAnsi="Times New Roman" w:cs="Times New Roman"/>
          <w:sz w:val="24"/>
          <w:szCs w:val="24"/>
          <w:lang w:eastAsia="it-IT"/>
        </w:rPr>
        <w:t>Anac</w:t>
      </w:r>
      <w:proofErr w:type="spellEnd"/>
      <w:r w:rsidR="000832D7"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il compito </w:t>
      </w:r>
      <w:r w:rsidR="000832D7"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prima assegnato al Dipartimento della funzione pubblica</w:t>
      </w:r>
      <w:r w:rsidR="000832D7"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 xml:space="preserve"> di adottare il </w:t>
      </w:r>
      <w:r w:rsidR="00930C4D" w:rsidRPr="00974501">
        <w:rPr>
          <w:rFonts w:ascii="Times New Roman" w:eastAsia="New Baskerville" w:hAnsi="Times New Roman" w:cs="Times New Roman"/>
          <w:sz w:val="24"/>
          <w:szCs w:val="24"/>
          <w:lang w:eastAsia="it-IT"/>
        </w:rPr>
        <w:t>p</w:t>
      </w:r>
      <w:r w:rsidRPr="00974501">
        <w:rPr>
          <w:rFonts w:ascii="Times New Roman" w:eastAsia="New Baskerville" w:hAnsi="Times New Roman" w:cs="Times New Roman"/>
          <w:sz w:val="24"/>
          <w:szCs w:val="24"/>
          <w:lang w:eastAsia="it-IT"/>
        </w:rPr>
        <w:t>iano nazionale anticorruzione</w:t>
      </w:r>
      <w:r w:rsidR="000832D7" w:rsidRPr="00974501">
        <w:rPr>
          <w:rFonts w:ascii="Times New Roman" w:eastAsia="New Baskerville" w:hAnsi="Times New Roman" w:cs="Times New Roman"/>
          <w:sz w:val="24"/>
          <w:szCs w:val="24"/>
          <w:lang w:eastAsia="it-IT"/>
        </w:rPr>
        <w:t xml:space="preserve">, che ha come scopo </w:t>
      </w:r>
      <w:r w:rsidR="002854D6">
        <w:rPr>
          <w:rFonts w:ascii="Times New Roman" w:eastAsia="New Baskerville" w:hAnsi="Times New Roman" w:cs="Times New Roman"/>
          <w:sz w:val="24"/>
          <w:szCs w:val="24"/>
          <w:lang w:eastAsia="it-IT"/>
        </w:rPr>
        <w:t xml:space="preserve">proprio </w:t>
      </w:r>
      <w:r w:rsidR="000832D7" w:rsidRPr="00974501">
        <w:rPr>
          <w:rFonts w:ascii="Times New Roman" w:eastAsia="New Baskerville" w:hAnsi="Times New Roman" w:cs="Times New Roman"/>
          <w:sz w:val="24"/>
          <w:szCs w:val="24"/>
          <w:lang w:eastAsia="it-IT"/>
        </w:rPr>
        <w:t>quello di coordinare l’attuazione delle strategie di prevenzione e contrasto della corruzione e dell’illegalità nella pubblica amministrazione, elaborate a livello nazionale e internazionale</w:t>
      </w:r>
      <w:r w:rsidRPr="00974501">
        <w:rPr>
          <w:rFonts w:ascii="Times New Roman" w:eastAsia="New Baskerville" w:hAnsi="Times New Roman" w:cs="Times New Roman"/>
          <w:sz w:val="24"/>
          <w:szCs w:val="24"/>
          <w:lang w:eastAsia="it-IT"/>
        </w:rPr>
        <w:t xml:space="preserve">. </w:t>
      </w:r>
    </w:p>
    <w:p w:rsidR="00491B2C" w:rsidRPr="00974501" w:rsidRDefault="000832D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I</w:t>
      </w:r>
      <w:r w:rsidR="00491B2C" w:rsidRPr="00974501">
        <w:rPr>
          <w:rFonts w:ascii="Times New Roman" w:eastAsia="New Baskerville" w:hAnsi="Times New Roman" w:cs="Times New Roman"/>
          <w:sz w:val="24"/>
          <w:szCs w:val="24"/>
          <w:lang w:eastAsia="it-IT"/>
        </w:rPr>
        <w:t xml:space="preserve">l </w:t>
      </w:r>
      <w:r w:rsidR="00930C4D" w:rsidRPr="00974501">
        <w:rPr>
          <w:rFonts w:ascii="Times New Roman" w:eastAsia="New Baskerville" w:hAnsi="Times New Roman" w:cs="Times New Roman"/>
          <w:sz w:val="24"/>
          <w:szCs w:val="24"/>
          <w:lang w:eastAsia="it-IT"/>
        </w:rPr>
        <w:t>p</w:t>
      </w:r>
      <w:r w:rsidR="00491B2C" w:rsidRPr="00974501">
        <w:rPr>
          <w:rFonts w:ascii="Times New Roman" w:eastAsia="New Baskerville" w:hAnsi="Times New Roman" w:cs="Times New Roman"/>
          <w:sz w:val="24"/>
          <w:szCs w:val="24"/>
          <w:lang w:eastAsia="it-IT"/>
        </w:rPr>
        <w:t>iano nazionale, che ha durata triennale e che viene aggiornato annualmente, r</w:t>
      </w:r>
      <w:r w:rsidR="006A2CF5">
        <w:rPr>
          <w:rFonts w:ascii="Times New Roman" w:eastAsia="New Baskerville" w:hAnsi="Times New Roman" w:cs="Times New Roman"/>
          <w:sz w:val="24"/>
          <w:szCs w:val="24"/>
          <w:lang w:eastAsia="it-IT"/>
        </w:rPr>
        <w:t>appresenta un atto di indirizzo</w:t>
      </w:r>
      <w:r w:rsidR="00491B2C" w:rsidRPr="00974501">
        <w:rPr>
          <w:rFonts w:ascii="Times New Roman" w:eastAsia="New Baskerville" w:hAnsi="Times New Roman" w:cs="Times New Roman"/>
          <w:sz w:val="24"/>
          <w:szCs w:val="24"/>
          <w:lang w:eastAsia="it-IT"/>
        </w:rPr>
        <w:t xml:space="preserve"> per le pubbliche amministrazioni, per gli organismi di diritto pubblico e per le imprese pubbliche di cui all’articolo 2-</w:t>
      </w:r>
      <w:r w:rsidR="00491B2C" w:rsidRPr="00974501">
        <w:rPr>
          <w:rFonts w:ascii="Times New Roman" w:eastAsia="New Baskerville" w:hAnsi="Times New Roman" w:cs="Times New Roman"/>
          <w:i/>
          <w:sz w:val="24"/>
          <w:szCs w:val="24"/>
          <w:lang w:eastAsia="it-IT"/>
        </w:rPr>
        <w:t>bis</w:t>
      </w:r>
      <w:r w:rsidR="00491B2C" w:rsidRPr="00974501">
        <w:rPr>
          <w:rFonts w:ascii="Times New Roman" w:eastAsia="New Baskerville" w:hAnsi="Times New Roman" w:cs="Times New Roman"/>
          <w:sz w:val="24"/>
          <w:szCs w:val="24"/>
          <w:lang w:eastAsia="it-IT"/>
        </w:rPr>
        <w:t xml:space="preserve">, comma 2, del </w:t>
      </w:r>
      <w:r w:rsidRPr="00974501">
        <w:rPr>
          <w:rFonts w:ascii="Times New Roman" w:eastAsia="New Baskerville" w:hAnsi="Times New Roman" w:cs="Times New Roman"/>
          <w:sz w:val="24"/>
          <w:szCs w:val="24"/>
          <w:lang w:eastAsia="it-IT"/>
        </w:rPr>
        <w:t>d.lgs.</w:t>
      </w:r>
      <w:r w:rsidR="00491B2C" w:rsidRPr="00974501">
        <w:rPr>
          <w:rFonts w:ascii="Times New Roman" w:eastAsia="New Baskerville" w:hAnsi="Times New Roman" w:cs="Times New Roman"/>
          <w:sz w:val="24"/>
          <w:szCs w:val="24"/>
          <w:lang w:eastAsia="it-IT"/>
        </w:rPr>
        <w:t xml:space="preserve"> n. 33</w:t>
      </w:r>
      <w:r w:rsidRPr="00974501">
        <w:rPr>
          <w:rFonts w:ascii="Times New Roman" w:eastAsia="New Baskerville" w:hAnsi="Times New Roman" w:cs="Times New Roman"/>
          <w:sz w:val="24"/>
          <w:szCs w:val="24"/>
          <w:lang w:eastAsia="it-IT"/>
        </w:rPr>
        <w:t>/</w:t>
      </w:r>
      <w:r w:rsidR="00491B2C" w:rsidRPr="00974501">
        <w:rPr>
          <w:rFonts w:ascii="Times New Roman" w:eastAsia="New Baskerville" w:hAnsi="Times New Roman" w:cs="Times New Roman"/>
          <w:sz w:val="24"/>
          <w:szCs w:val="24"/>
          <w:lang w:eastAsia="it-IT"/>
        </w:rPr>
        <w:t xml:space="preserve">2013, ai fini dell’adozione dei propri piani triennali di prevenzione della corruzione. </w:t>
      </w:r>
    </w:p>
    <w:p w:rsidR="00491B2C" w:rsidRPr="00974501" w:rsidRDefault="000832D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Il d.lgs. n. 97/2016</w:t>
      </w:r>
      <w:r w:rsidR="00491B2C" w:rsidRPr="00974501">
        <w:rPr>
          <w:rFonts w:ascii="Times New Roman" w:eastAsia="New Baskerville" w:hAnsi="Times New Roman" w:cs="Times New Roman"/>
          <w:sz w:val="24"/>
          <w:szCs w:val="24"/>
          <w:lang w:eastAsia="it-IT"/>
        </w:rPr>
        <w:t xml:space="preserve"> interviene, inoltre, a meglio disciplinare le funzioni dei diversi soggetti chiamati a svolgere un ruolo di prevenzione della corruzione all’interno delle amministrazioni pubbliche</w:t>
      </w:r>
      <w:r w:rsidR="002854D6">
        <w:rPr>
          <w:rFonts w:ascii="Times New Roman" w:eastAsia="New Baskerville" w:hAnsi="Times New Roman" w:cs="Times New Roman"/>
          <w:sz w:val="24"/>
          <w:szCs w:val="24"/>
          <w:lang w:eastAsia="it-IT"/>
        </w:rPr>
        <w:t xml:space="preserve"> e, in particolare,</w:t>
      </w:r>
      <w:r w:rsidR="00491B2C" w:rsidRPr="00974501">
        <w:rPr>
          <w:rFonts w:ascii="Times New Roman" w:eastAsia="New Baskerville" w:hAnsi="Times New Roman" w:cs="Times New Roman"/>
          <w:sz w:val="24"/>
          <w:szCs w:val="24"/>
          <w:lang w:eastAsia="it-IT"/>
        </w:rPr>
        <w:t xml:space="preserve"> l’organo di indirizzo, il responsabile della prevenzione della corruzione e della trasparenza e l’organismo indipendente di valutazione.</w:t>
      </w:r>
    </w:p>
    <w:p w:rsidR="00491B2C" w:rsidRPr="00974501" w:rsidRDefault="00491B2C"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Per quanto riguarda il responsabile della prevenzione della corruzione</w:t>
      </w:r>
      <w:r w:rsidR="00B05A34">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w:t>
      </w:r>
      <w:r w:rsidR="00B05A34">
        <w:rPr>
          <w:rFonts w:ascii="Times New Roman" w:eastAsia="New Baskerville" w:hAnsi="Times New Roman" w:cs="Times New Roman"/>
          <w:sz w:val="24"/>
          <w:szCs w:val="24"/>
          <w:lang w:eastAsia="it-IT"/>
        </w:rPr>
        <w:t>preposto anche alla cura degli obblighi su</w:t>
      </w:r>
      <w:r w:rsidRPr="00974501">
        <w:rPr>
          <w:rFonts w:ascii="Times New Roman" w:eastAsia="New Baskerville" w:hAnsi="Times New Roman" w:cs="Times New Roman"/>
          <w:sz w:val="24"/>
          <w:szCs w:val="24"/>
          <w:lang w:eastAsia="it-IT"/>
        </w:rPr>
        <w:t>lla trasparenza, individuato tra i dirigenti in servizio dall’organo di indirizzo (</w:t>
      </w:r>
      <w:r w:rsidR="002854D6">
        <w:rPr>
          <w:rFonts w:ascii="Times New Roman" w:eastAsia="New Baskerville" w:hAnsi="Times New Roman" w:cs="Times New Roman"/>
          <w:sz w:val="24"/>
          <w:szCs w:val="24"/>
          <w:lang w:eastAsia="it-IT"/>
        </w:rPr>
        <w:t>o</w:t>
      </w:r>
      <w:r w:rsidR="000832D7"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w:t>
      </w:r>
      <w:r w:rsidR="000832D7" w:rsidRPr="00974501">
        <w:rPr>
          <w:rFonts w:ascii="Times New Roman" w:eastAsia="New Baskerville" w:hAnsi="Times New Roman" w:cs="Times New Roman"/>
          <w:sz w:val="24"/>
          <w:szCs w:val="24"/>
          <w:lang w:eastAsia="it-IT"/>
        </w:rPr>
        <w:t xml:space="preserve">negli enti locali, </w:t>
      </w:r>
      <w:r w:rsidRPr="00974501">
        <w:rPr>
          <w:rFonts w:ascii="Times New Roman" w:eastAsia="New Baskerville" w:hAnsi="Times New Roman" w:cs="Times New Roman"/>
          <w:sz w:val="24"/>
          <w:szCs w:val="24"/>
          <w:lang w:eastAsia="it-IT"/>
        </w:rPr>
        <w:t xml:space="preserve">nel segretario o nel dirigente apicale), si prevede che </w:t>
      </w:r>
      <w:r w:rsidR="000832D7" w:rsidRPr="00974501">
        <w:rPr>
          <w:rFonts w:ascii="Times New Roman" w:eastAsia="New Baskerville" w:hAnsi="Times New Roman" w:cs="Times New Roman"/>
          <w:sz w:val="24"/>
          <w:szCs w:val="24"/>
          <w:lang w:eastAsia="it-IT"/>
        </w:rPr>
        <w:t xml:space="preserve">questi </w:t>
      </w:r>
      <w:r w:rsidRPr="00974501">
        <w:rPr>
          <w:rFonts w:ascii="Times New Roman" w:eastAsia="New Baskerville" w:hAnsi="Times New Roman" w:cs="Times New Roman"/>
          <w:sz w:val="24"/>
          <w:szCs w:val="24"/>
          <w:lang w:eastAsia="it-IT"/>
        </w:rPr>
        <w:t>debba segnalare all’organo di indirizzo e</w:t>
      </w:r>
      <w:r w:rsidR="000832D7" w:rsidRPr="00974501">
        <w:rPr>
          <w:rFonts w:ascii="Times New Roman" w:eastAsia="New Baskerville" w:hAnsi="Times New Roman" w:cs="Times New Roman"/>
          <w:sz w:val="24"/>
          <w:szCs w:val="24"/>
          <w:lang w:eastAsia="it-IT"/>
        </w:rPr>
        <w:t>d</w:t>
      </w:r>
      <w:r w:rsidRPr="00974501">
        <w:rPr>
          <w:rFonts w:ascii="Times New Roman" w:eastAsia="New Baskerville" w:hAnsi="Times New Roman" w:cs="Times New Roman"/>
          <w:sz w:val="24"/>
          <w:szCs w:val="24"/>
          <w:lang w:eastAsia="it-IT"/>
        </w:rPr>
        <w:t xml:space="preserve"> all’organismo indipendente di valutazione </w:t>
      </w:r>
      <w:r w:rsidR="002854D6">
        <w:rPr>
          <w:rFonts w:ascii="Times New Roman" w:eastAsia="New Baskerville" w:hAnsi="Times New Roman" w:cs="Times New Roman"/>
          <w:sz w:val="24"/>
          <w:szCs w:val="24"/>
          <w:lang w:eastAsia="it-IT"/>
        </w:rPr>
        <w:t>le</w:t>
      </w:r>
      <w:r w:rsidRPr="00974501">
        <w:rPr>
          <w:rFonts w:ascii="Times New Roman" w:eastAsia="New Baskerville" w:hAnsi="Times New Roman" w:cs="Times New Roman"/>
          <w:sz w:val="24"/>
          <w:szCs w:val="24"/>
          <w:lang w:eastAsia="it-IT"/>
        </w:rPr>
        <w:t xml:space="preserve"> disfunzioni inerenti all’attuazione delle misure in materia di prevenzione della corruzione e</w:t>
      </w:r>
      <w:r w:rsidR="00B05A34">
        <w:rPr>
          <w:rFonts w:ascii="Times New Roman" w:eastAsia="New Baskerville" w:hAnsi="Times New Roman" w:cs="Times New Roman"/>
          <w:sz w:val="24"/>
          <w:szCs w:val="24"/>
          <w:lang w:eastAsia="it-IT"/>
        </w:rPr>
        <w:t>d in materia di</w:t>
      </w:r>
      <w:r w:rsidRPr="00974501">
        <w:rPr>
          <w:rFonts w:ascii="Times New Roman" w:eastAsia="New Baskerville" w:hAnsi="Times New Roman" w:cs="Times New Roman"/>
          <w:sz w:val="24"/>
          <w:szCs w:val="24"/>
          <w:lang w:eastAsia="it-IT"/>
        </w:rPr>
        <w:t xml:space="preserve"> trasparenza, indicando, altresì, agli uffici competenti all’esercizio dell’azione disciplinare</w:t>
      </w:r>
      <w:r w:rsidR="000832D7"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i nominativi dei dipendenti che non hanno attuato correttamente le misure in materia di</w:t>
      </w:r>
      <w:r w:rsidR="006A2CF5">
        <w:rPr>
          <w:rFonts w:ascii="Times New Roman" w:eastAsia="New Baskerville" w:hAnsi="Times New Roman" w:cs="Times New Roman"/>
          <w:sz w:val="24"/>
          <w:szCs w:val="24"/>
          <w:lang w:eastAsia="it-IT"/>
        </w:rPr>
        <w:t xml:space="preserve"> prevenzione della corruzione e</w:t>
      </w:r>
      <w:r w:rsidRPr="00974501">
        <w:rPr>
          <w:rFonts w:ascii="Times New Roman" w:eastAsia="New Baskerville" w:hAnsi="Times New Roman" w:cs="Times New Roman"/>
          <w:sz w:val="24"/>
          <w:szCs w:val="24"/>
          <w:lang w:eastAsia="it-IT"/>
        </w:rPr>
        <w:t>d</w:t>
      </w:r>
      <w:r w:rsidR="006A2CF5">
        <w:rPr>
          <w:rFonts w:ascii="Times New Roman" w:eastAsia="New Baskerville" w:hAnsi="Times New Roman" w:cs="Times New Roman"/>
          <w:sz w:val="24"/>
          <w:szCs w:val="24"/>
          <w:lang w:eastAsia="it-IT"/>
        </w:rPr>
        <w:t xml:space="preserve"> in materia di</w:t>
      </w:r>
      <w:r w:rsidRPr="00974501">
        <w:rPr>
          <w:rFonts w:ascii="Times New Roman" w:eastAsia="New Baskerville" w:hAnsi="Times New Roman" w:cs="Times New Roman"/>
          <w:sz w:val="24"/>
          <w:szCs w:val="24"/>
          <w:lang w:eastAsia="it-IT"/>
        </w:rPr>
        <w:t xml:space="preserve"> trasparenza. </w:t>
      </w:r>
    </w:p>
    <w:p w:rsidR="00930C4D" w:rsidRPr="00974501" w:rsidRDefault="00930C4D"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E’ altresì stabilito che, entro il 15 dicembre di ogni anno, il responsabile debba trasmettere, all’organismo indipendente di valutazione ed all’organo di indir</w:t>
      </w:r>
      <w:r w:rsidR="006A2CF5">
        <w:rPr>
          <w:rFonts w:ascii="Times New Roman" w:eastAsia="New Baskerville" w:hAnsi="Times New Roman" w:cs="Times New Roman"/>
          <w:sz w:val="24"/>
          <w:szCs w:val="24"/>
          <w:lang w:eastAsia="it-IT"/>
        </w:rPr>
        <w:t>izzo politico</w:t>
      </w:r>
      <w:r w:rsidRPr="00974501">
        <w:rPr>
          <w:rFonts w:ascii="Times New Roman" w:eastAsia="New Baskerville" w:hAnsi="Times New Roman" w:cs="Times New Roman"/>
          <w:sz w:val="24"/>
          <w:szCs w:val="24"/>
          <w:lang w:eastAsia="it-IT"/>
        </w:rPr>
        <w:t>, una relazione recante i risultati dell’attività svolta, che dev</w:t>
      </w:r>
      <w:r w:rsidR="002854D6">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essere pubblicata nel sito </w:t>
      </w:r>
      <w:r w:rsidRPr="00974501">
        <w:rPr>
          <w:rFonts w:ascii="Times New Roman" w:eastAsia="New Baskerville" w:hAnsi="Times New Roman" w:cs="Times New Roman"/>
          <w:i/>
          <w:sz w:val="24"/>
          <w:szCs w:val="24"/>
          <w:lang w:eastAsia="it-IT"/>
        </w:rPr>
        <w:t>web</w:t>
      </w:r>
      <w:r w:rsidRPr="00974501">
        <w:rPr>
          <w:rFonts w:ascii="Times New Roman" w:eastAsia="New Baskerville" w:hAnsi="Times New Roman" w:cs="Times New Roman"/>
          <w:sz w:val="24"/>
          <w:szCs w:val="24"/>
          <w:lang w:eastAsia="it-IT"/>
        </w:rPr>
        <w:t xml:space="preserve"> dell’amministrazione. </w:t>
      </w:r>
    </w:p>
    <w:p w:rsidR="00491B2C" w:rsidRPr="00974501" w:rsidRDefault="00930C4D"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A</w:t>
      </w:r>
      <w:r w:rsidR="00491B2C" w:rsidRPr="00974501">
        <w:rPr>
          <w:rFonts w:ascii="Times New Roman" w:eastAsia="New Baskerville" w:hAnsi="Times New Roman" w:cs="Times New Roman"/>
          <w:sz w:val="24"/>
          <w:szCs w:val="24"/>
          <w:lang w:eastAsia="it-IT"/>
        </w:rPr>
        <w:t xml:space="preserve"> tutela del responsabile della prevenzione della corruzione e della trasparenza, </w:t>
      </w:r>
      <w:r w:rsidR="000832D7" w:rsidRPr="00974501">
        <w:rPr>
          <w:rFonts w:ascii="Times New Roman" w:eastAsia="New Baskerville" w:hAnsi="Times New Roman" w:cs="Times New Roman"/>
          <w:sz w:val="24"/>
          <w:szCs w:val="24"/>
          <w:lang w:eastAsia="it-IT"/>
        </w:rPr>
        <w:t xml:space="preserve">si prevede che </w:t>
      </w:r>
      <w:r w:rsidR="006A2CF5">
        <w:rPr>
          <w:rFonts w:ascii="Times New Roman" w:eastAsia="New Baskerville" w:hAnsi="Times New Roman" w:cs="Times New Roman"/>
          <w:sz w:val="24"/>
          <w:szCs w:val="24"/>
          <w:lang w:eastAsia="it-IT"/>
        </w:rPr>
        <w:t>eventuali</w:t>
      </w:r>
      <w:r w:rsidR="00491B2C" w:rsidRPr="00974501">
        <w:rPr>
          <w:rFonts w:ascii="Times New Roman" w:eastAsia="New Baskerville" w:hAnsi="Times New Roman" w:cs="Times New Roman"/>
          <w:sz w:val="24"/>
          <w:szCs w:val="24"/>
          <w:lang w:eastAsia="it-IT"/>
        </w:rPr>
        <w:t xml:space="preserve"> misure discriminatorie </w:t>
      </w:r>
      <w:r w:rsidR="002854D6">
        <w:rPr>
          <w:rFonts w:ascii="Times New Roman" w:eastAsia="New Baskerville" w:hAnsi="Times New Roman" w:cs="Times New Roman"/>
          <w:sz w:val="24"/>
          <w:szCs w:val="24"/>
          <w:lang w:eastAsia="it-IT"/>
        </w:rPr>
        <w:t xml:space="preserve">assunte in suo danno, </w:t>
      </w:r>
      <w:r w:rsidR="00491B2C" w:rsidRPr="00974501">
        <w:rPr>
          <w:rFonts w:ascii="Times New Roman" w:eastAsia="New Baskerville" w:hAnsi="Times New Roman" w:cs="Times New Roman"/>
          <w:sz w:val="24"/>
          <w:szCs w:val="24"/>
          <w:lang w:eastAsia="it-IT"/>
        </w:rPr>
        <w:t>per motivi collegati, anche indirettamente, allo svolgimento delle sue funzioni</w:t>
      </w:r>
      <w:r w:rsidR="002854D6">
        <w:rPr>
          <w:rFonts w:ascii="Times New Roman" w:eastAsia="New Baskerville" w:hAnsi="Times New Roman" w:cs="Times New Roman"/>
          <w:sz w:val="24"/>
          <w:szCs w:val="24"/>
          <w:lang w:eastAsia="it-IT"/>
        </w:rPr>
        <w:t>,</w:t>
      </w:r>
      <w:r w:rsidR="00491B2C" w:rsidRPr="00974501">
        <w:rPr>
          <w:rFonts w:ascii="Times New Roman" w:eastAsia="New Baskerville" w:hAnsi="Times New Roman" w:cs="Times New Roman"/>
          <w:sz w:val="24"/>
          <w:szCs w:val="24"/>
          <w:lang w:eastAsia="it-IT"/>
        </w:rPr>
        <w:t xml:space="preserve"> v</w:t>
      </w:r>
      <w:r w:rsidR="002854D6">
        <w:rPr>
          <w:rFonts w:ascii="Times New Roman" w:eastAsia="New Baskerville" w:hAnsi="Times New Roman" w:cs="Times New Roman"/>
          <w:sz w:val="24"/>
          <w:szCs w:val="24"/>
          <w:lang w:eastAsia="it-IT"/>
        </w:rPr>
        <w:t>ad</w:t>
      </w:r>
      <w:r w:rsidR="00491B2C" w:rsidRPr="00974501">
        <w:rPr>
          <w:rFonts w:ascii="Times New Roman" w:eastAsia="New Baskerville" w:hAnsi="Times New Roman" w:cs="Times New Roman"/>
          <w:sz w:val="24"/>
          <w:szCs w:val="24"/>
          <w:lang w:eastAsia="it-IT"/>
        </w:rPr>
        <w:t>ano segnalat</w:t>
      </w:r>
      <w:r w:rsidR="006A2CF5">
        <w:rPr>
          <w:rFonts w:ascii="Times New Roman" w:eastAsia="New Baskerville" w:hAnsi="Times New Roman" w:cs="Times New Roman"/>
          <w:sz w:val="24"/>
          <w:szCs w:val="24"/>
          <w:lang w:eastAsia="it-IT"/>
        </w:rPr>
        <w:t>e</w:t>
      </w:r>
      <w:r w:rsidR="00491B2C" w:rsidRPr="00974501">
        <w:rPr>
          <w:rFonts w:ascii="Times New Roman" w:eastAsia="New Baskerville" w:hAnsi="Times New Roman" w:cs="Times New Roman"/>
          <w:sz w:val="24"/>
          <w:szCs w:val="24"/>
          <w:lang w:eastAsia="it-IT"/>
        </w:rPr>
        <w:t xml:space="preserve"> a</w:t>
      </w:r>
      <w:r w:rsidR="000D04F8" w:rsidRPr="00974501">
        <w:rPr>
          <w:rFonts w:ascii="Times New Roman" w:eastAsia="New Baskerville" w:hAnsi="Times New Roman" w:cs="Times New Roman"/>
          <w:sz w:val="24"/>
          <w:szCs w:val="24"/>
          <w:lang w:eastAsia="it-IT"/>
        </w:rPr>
        <w:t xml:space="preserve">d </w:t>
      </w:r>
      <w:proofErr w:type="spellStart"/>
      <w:r w:rsidR="00491B2C" w:rsidRPr="00974501">
        <w:rPr>
          <w:rFonts w:ascii="Times New Roman" w:eastAsia="New Baskerville" w:hAnsi="Times New Roman" w:cs="Times New Roman"/>
          <w:sz w:val="24"/>
          <w:szCs w:val="24"/>
          <w:lang w:eastAsia="it-IT"/>
        </w:rPr>
        <w:t>A</w:t>
      </w:r>
      <w:r w:rsidR="000832D7" w:rsidRPr="00974501">
        <w:rPr>
          <w:rFonts w:ascii="Times New Roman" w:eastAsia="New Baskerville" w:hAnsi="Times New Roman" w:cs="Times New Roman"/>
          <w:sz w:val="24"/>
          <w:szCs w:val="24"/>
          <w:lang w:eastAsia="it-IT"/>
        </w:rPr>
        <w:t>nac</w:t>
      </w:r>
      <w:proofErr w:type="spellEnd"/>
      <w:r w:rsidR="00491B2C" w:rsidRPr="00974501">
        <w:rPr>
          <w:rFonts w:ascii="Times New Roman" w:eastAsia="New Baskerville" w:hAnsi="Times New Roman" w:cs="Times New Roman"/>
          <w:sz w:val="24"/>
          <w:szCs w:val="24"/>
          <w:lang w:eastAsia="it-IT"/>
        </w:rPr>
        <w:t>, che può chiedere informazioni all’organo di indirizzo politico e</w:t>
      </w:r>
      <w:r w:rsidR="000832D7" w:rsidRPr="00974501">
        <w:rPr>
          <w:rFonts w:ascii="Times New Roman" w:eastAsia="New Baskerville" w:hAnsi="Times New Roman" w:cs="Times New Roman"/>
          <w:sz w:val="24"/>
          <w:szCs w:val="24"/>
          <w:lang w:eastAsia="it-IT"/>
        </w:rPr>
        <w:t>d</w:t>
      </w:r>
      <w:r w:rsidR="00491B2C" w:rsidRPr="00974501">
        <w:rPr>
          <w:rFonts w:ascii="Times New Roman" w:eastAsia="New Baskerville" w:hAnsi="Times New Roman" w:cs="Times New Roman"/>
          <w:sz w:val="24"/>
          <w:szCs w:val="24"/>
          <w:lang w:eastAsia="it-IT"/>
        </w:rPr>
        <w:t xml:space="preserve"> intervenire, formulando una richiesta di riesame del provvedimento di revoca dell’incarico.</w:t>
      </w:r>
    </w:p>
    <w:p w:rsidR="00491B2C" w:rsidRPr="00974501" w:rsidRDefault="000832D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Quanto al</w:t>
      </w:r>
      <w:r w:rsidR="00491B2C" w:rsidRPr="00974501">
        <w:rPr>
          <w:rFonts w:ascii="Times New Roman" w:eastAsia="New Baskerville" w:hAnsi="Times New Roman" w:cs="Times New Roman"/>
          <w:sz w:val="24"/>
          <w:szCs w:val="24"/>
          <w:lang w:eastAsia="it-IT"/>
        </w:rPr>
        <w:t>l’organo di indirizzo politico</w:t>
      </w:r>
      <w:r w:rsidR="002854D6">
        <w:rPr>
          <w:rFonts w:ascii="Times New Roman" w:eastAsia="New Baskerville" w:hAnsi="Times New Roman" w:cs="Times New Roman"/>
          <w:sz w:val="24"/>
          <w:szCs w:val="24"/>
          <w:lang w:eastAsia="it-IT"/>
        </w:rPr>
        <w:t>,</w:t>
      </w:r>
      <w:r w:rsidR="002854D6" w:rsidRPr="002854D6">
        <w:rPr>
          <w:rFonts w:ascii="Times New Roman" w:eastAsia="New Baskerville" w:hAnsi="Times New Roman" w:cs="Times New Roman"/>
          <w:sz w:val="24"/>
          <w:szCs w:val="24"/>
          <w:lang w:eastAsia="it-IT"/>
        </w:rPr>
        <w:t xml:space="preserve"> </w:t>
      </w:r>
      <w:r w:rsidR="002854D6" w:rsidRPr="00974501">
        <w:rPr>
          <w:rFonts w:ascii="Times New Roman" w:eastAsia="New Baskerville" w:hAnsi="Times New Roman" w:cs="Times New Roman"/>
          <w:sz w:val="24"/>
          <w:szCs w:val="24"/>
          <w:lang w:eastAsia="it-IT"/>
        </w:rPr>
        <w:t>esso svolge</w:t>
      </w:r>
      <w:r w:rsidRPr="00974501">
        <w:rPr>
          <w:rFonts w:ascii="Times New Roman" w:eastAsia="New Baskerville" w:hAnsi="Times New Roman" w:cs="Times New Roman"/>
          <w:sz w:val="24"/>
          <w:szCs w:val="24"/>
          <w:lang w:eastAsia="it-IT"/>
        </w:rPr>
        <w:t xml:space="preserve">, </w:t>
      </w:r>
      <w:r w:rsidR="002854D6" w:rsidRPr="002854D6">
        <w:rPr>
          <w:rFonts w:ascii="Times New Roman" w:eastAsia="New Baskerville" w:hAnsi="Times New Roman" w:cs="Times New Roman"/>
          <w:i/>
          <w:sz w:val="24"/>
          <w:szCs w:val="24"/>
          <w:lang w:eastAsia="it-IT"/>
        </w:rPr>
        <w:t xml:space="preserve">in </w:t>
      </w:r>
      <w:proofErr w:type="spellStart"/>
      <w:r w:rsidR="002854D6" w:rsidRPr="002854D6">
        <w:rPr>
          <w:rFonts w:ascii="Times New Roman" w:eastAsia="New Baskerville" w:hAnsi="Times New Roman" w:cs="Times New Roman"/>
          <w:i/>
          <w:sz w:val="24"/>
          <w:szCs w:val="24"/>
          <w:lang w:eastAsia="it-IT"/>
        </w:rPr>
        <w:t>subiecta</w:t>
      </w:r>
      <w:proofErr w:type="spellEnd"/>
      <w:r w:rsidR="002854D6" w:rsidRPr="002854D6">
        <w:rPr>
          <w:rFonts w:ascii="Times New Roman" w:eastAsia="New Baskerville" w:hAnsi="Times New Roman" w:cs="Times New Roman"/>
          <w:i/>
          <w:sz w:val="24"/>
          <w:szCs w:val="24"/>
          <w:lang w:eastAsia="it-IT"/>
        </w:rPr>
        <w:t xml:space="preserve"> materia</w:t>
      </w:r>
      <w:r w:rsidR="002854D6">
        <w:rPr>
          <w:rFonts w:ascii="Times New Roman" w:eastAsia="New Baskerville" w:hAnsi="Times New Roman" w:cs="Times New Roman"/>
          <w:sz w:val="24"/>
          <w:szCs w:val="24"/>
          <w:lang w:eastAsia="it-IT"/>
        </w:rPr>
        <w:t xml:space="preserve">, </w:t>
      </w:r>
      <w:r w:rsidR="00491B2C" w:rsidRPr="00974501">
        <w:rPr>
          <w:rFonts w:ascii="Times New Roman" w:eastAsia="New Baskerville" w:hAnsi="Times New Roman" w:cs="Times New Roman"/>
          <w:sz w:val="24"/>
          <w:szCs w:val="24"/>
          <w:lang w:eastAsia="it-IT"/>
        </w:rPr>
        <w:t>due importanti funzioni</w:t>
      </w:r>
      <w:r w:rsidRPr="00974501">
        <w:rPr>
          <w:rFonts w:ascii="Times New Roman" w:eastAsia="New Baskerville" w:hAnsi="Times New Roman" w:cs="Times New Roman"/>
          <w:sz w:val="24"/>
          <w:szCs w:val="24"/>
          <w:lang w:eastAsia="it-IT"/>
        </w:rPr>
        <w:t>: la</w:t>
      </w:r>
      <w:r w:rsidR="00491B2C" w:rsidRPr="00974501">
        <w:rPr>
          <w:rFonts w:ascii="Times New Roman" w:eastAsia="New Baskerville" w:hAnsi="Times New Roman" w:cs="Times New Roman"/>
          <w:sz w:val="24"/>
          <w:szCs w:val="24"/>
          <w:lang w:eastAsia="it-IT"/>
        </w:rPr>
        <w:t xml:space="preserve"> prima</w:t>
      </w:r>
      <w:r w:rsidRPr="00974501">
        <w:rPr>
          <w:rFonts w:ascii="Times New Roman" w:eastAsia="New Baskerville" w:hAnsi="Times New Roman" w:cs="Times New Roman"/>
          <w:sz w:val="24"/>
          <w:szCs w:val="24"/>
          <w:lang w:eastAsia="it-IT"/>
        </w:rPr>
        <w:t>,</w:t>
      </w:r>
      <w:r w:rsidR="00491B2C" w:rsidRPr="00974501">
        <w:rPr>
          <w:rFonts w:ascii="Times New Roman" w:eastAsia="New Baskerville" w:hAnsi="Times New Roman" w:cs="Times New Roman"/>
          <w:sz w:val="24"/>
          <w:szCs w:val="24"/>
          <w:lang w:eastAsia="it-IT"/>
        </w:rPr>
        <w:t xml:space="preserve"> attiene alla definizione degli obiettivi strategici in materia di prevenzione della corruzione e trasparenza, che costituiscono contenuto necessario e parte integrante dei documenti di programmazione strategico-gestionale</w:t>
      </w:r>
      <w:r w:rsidRPr="00974501">
        <w:rPr>
          <w:rFonts w:ascii="Times New Roman" w:eastAsia="New Baskerville" w:hAnsi="Times New Roman" w:cs="Times New Roman"/>
          <w:sz w:val="24"/>
          <w:szCs w:val="24"/>
          <w:lang w:eastAsia="it-IT"/>
        </w:rPr>
        <w:t>;</w:t>
      </w:r>
      <w:r w:rsidR="00491B2C"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l</w:t>
      </w:r>
      <w:r w:rsidR="00491B2C" w:rsidRPr="00974501">
        <w:rPr>
          <w:rFonts w:ascii="Times New Roman" w:eastAsia="New Baskerville" w:hAnsi="Times New Roman" w:cs="Times New Roman"/>
          <w:sz w:val="24"/>
          <w:szCs w:val="24"/>
          <w:lang w:eastAsia="it-IT"/>
        </w:rPr>
        <w:t>a seconda</w:t>
      </w:r>
      <w:r w:rsidRPr="00974501">
        <w:rPr>
          <w:rFonts w:ascii="Times New Roman" w:eastAsia="New Baskerville" w:hAnsi="Times New Roman" w:cs="Times New Roman"/>
          <w:sz w:val="24"/>
          <w:szCs w:val="24"/>
          <w:lang w:eastAsia="it-IT"/>
        </w:rPr>
        <w:t>,</w:t>
      </w:r>
      <w:r w:rsidR="00491B2C"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 xml:space="preserve">riguarda </w:t>
      </w:r>
      <w:r w:rsidR="00491B2C" w:rsidRPr="00974501">
        <w:rPr>
          <w:rFonts w:ascii="Times New Roman" w:eastAsia="New Baskerville" w:hAnsi="Times New Roman" w:cs="Times New Roman"/>
          <w:sz w:val="24"/>
          <w:szCs w:val="24"/>
          <w:lang w:eastAsia="it-IT"/>
        </w:rPr>
        <w:t>l’adozione</w:t>
      </w:r>
      <w:r w:rsidRPr="00974501">
        <w:rPr>
          <w:rFonts w:ascii="Times New Roman" w:eastAsia="New Baskerville" w:hAnsi="Times New Roman" w:cs="Times New Roman"/>
          <w:sz w:val="24"/>
          <w:szCs w:val="24"/>
          <w:lang w:eastAsia="it-IT"/>
        </w:rPr>
        <w:t>, entro il 31 gennaio di ogni anno,</w:t>
      </w:r>
      <w:r w:rsidR="00491B2C" w:rsidRPr="00974501">
        <w:rPr>
          <w:rFonts w:ascii="Times New Roman" w:eastAsia="New Baskerville" w:hAnsi="Times New Roman" w:cs="Times New Roman"/>
          <w:sz w:val="24"/>
          <w:szCs w:val="24"/>
          <w:lang w:eastAsia="it-IT"/>
        </w:rPr>
        <w:t xml:space="preserve"> del piano triennale per la prevenzione della corruzione, su proposta del responsabile della prevenzione della corruzione e della trasparenza. </w:t>
      </w:r>
      <w:r w:rsidRPr="00974501">
        <w:rPr>
          <w:rFonts w:ascii="Times New Roman" w:eastAsia="New Baskerville" w:hAnsi="Times New Roman" w:cs="Times New Roman"/>
          <w:sz w:val="24"/>
          <w:szCs w:val="24"/>
          <w:lang w:eastAsia="it-IT"/>
        </w:rPr>
        <w:t>Negli enti locali, l’</w:t>
      </w:r>
      <w:r w:rsidR="00491B2C" w:rsidRPr="00974501">
        <w:rPr>
          <w:rFonts w:ascii="Times New Roman" w:eastAsia="New Baskerville" w:hAnsi="Times New Roman" w:cs="Times New Roman"/>
          <w:sz w:val="24"/>
          <w:szCs w:val="24"/>
          <w:lang w:eastAsia="it-IT"/>
        </w:rPr>
        <w:t>approvazione del piano</w:t>
      </w:r>
      <w:r w:rsidRPr="00974501">
        <w:rPr>
          <w:rFonts w:ascii="Times New Roman" w:eastAsia="New Baskerville" w:hAnsi="Times New Roman" w:cs="Times New Roman"/>
          <w:sz w:val="24"/>
          <w:szCs w:val="24"/>
          <w:lang w:eastAsia="it-IT"/>
        </w:rPr>
        <w:t xml:space="preserve"> spetta </w:t>
      </w:r>
      <w:r w:rsidR="00491B2C" w:rsidRPr="00974501">
        <w:rPr>
          <w:rFonts w:ascii="Times New Roman" w:eastAsia="New Baskerville" w:hAnsi="Times New Roman" w:cs="Times New Roman"/>
          <w:sz w:val="24"/>
          <w:szCs w:val="24"/>
          <w:lang w:eastAsia="it-IT"/>
        </w:rPr>
        <w:t>alla giunta.</w:t>
      </w:r>
    </w:p>
    <w:p w:rsidR="000832D7" w:rsidRPr="00974501" w:rsidRDefault="002854D6"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I</w:t>
      </w:r>
      <w:r w:rsidRPr="00974501">
        <w:rPr>
          <w:rFonts w:ascii="Times New Roman" w:eastAsia="New Baskerville" w:hAnsi="Times New Roman" w:cs="Times New Roman"/>
          <w:sz w:val="24"/>
          <w:szCs w:val="24"/>
          <w:lang w:eastAsia="it-IT"/>
        </w:rPr>
        <w:t>nfine,</w:t>
      </w:r>
      <w:r>
        <w:rPr>
          <w:rFonts w:ascii="Times New Roman" w:eastAsia="New Baskerville" w:hAnsi="Times New Roman" w:cs="Times New Roman"/>
          <w:sz w:val="24"/>
          <w:szCs w:val="24"/>
          <w:lang w:eastAsia="it-IT"/>
        </w:rPr>
        <w:t xml:space="preserve"> p</w:t>
      </w:r>
      <w:r w:rsidR="00491B2C" w:rsidRPr="00974501">
        <w:rPr>
          <w:rFonts w:ascii="Times New Roman" w:eastAsia="New Baskerville" w:hAnsi="Times New Roman" w:cs="Times New Roman"/>
          <w:sz w:val="24"/>
          <w:szCs w:val="24"/>
          <w:lang w:eastAsia="it-IT"/>
        </w:rPr>
        <w:t xml:space="preserve">er quanto riguarda i compiti </w:t>
      </w:r>
      <w:r>
        <w:rPr>
          <w:rFonts w:ascii="Times New Roman" w:eastAsia="New Baskerville" w:hAnsi="Times New Roman" w:cs="Times New Roman"/>
          <w:sz w:val="24"/>
          <w:szCs w:val="24"/>
          <w:lang w:eastAsia="it-IT"/>
        </w:rPr>
        <w:t>specifici</w:t>
      </w:r>
      <w:r w:rsidRPr="00974501">
        <w:rPr>
          <w:rFonts w:ascii="Times New Roman" w:eastAsia="New Baskerville" w:hAnsi="Times New Roman" w:cs="Times New Roman"/>
          <w:sz w:val="24"/>
          <w:szCs w:val="24"/>
          <w:lang w:eastAsia="it-IT"/>
        </w:rPr>
        <w:t xml:space="preserve"> </w:t>
      </w:r>
      <w:r w:rsidR="00491B2C" w:rsidRPr="00974501">
        <w:rPr>
          <w:rFonts w:ascii="Times New Roman" w:eastAsia="New Baskerville" w:hAnsi="Times New Roman" w:cs="Times New Roman"/>
          <w:sz w:val="24"/>
          <w:szCs w:val="24"/>
          <w:lang w:eastAsia="it-IT"/>
        </w:rPr>
        <w:t>e le funzioni dell’</w:t>
      </w:r>
      <w:r w:rsidR="000832D7" w:rsidRPr="00974501">
        <w:rPr>
          <w:rFonts w:ascii="Times New Roman" w:eastAsia="New Baskerville" w:hAnsi="Times New Roman" w:cs="Times New Roman"/>
          <w:sz w:val="24"/>
          <w:szCs w:val="24"/>
          <w:lang w:eastAsia="it-IT"/>
        </w:rPr>
        <w:t>o</w:t>
      </w:r>
      <w:r w:rsidR="00491B2C" w:rsidRPr="00974501">
        <w:rPr>
          <w:rFonts w:ascii="Times New Roman" w:eastAsia="New Baskerville" w:hAnsi="Times New Roman" w:cs="Times New Roman"/>
          <w:sz w:val="24"/>
          <w:szCs w:val="24"/>
          <w:lang w:eastAsia="it-IT"/>
        </w:rPr>
        <w:t>rganismo indipendente di valutazione, si prevedono a suo carico due tipi di verifiche</w:t>
      </w:r>
      <w:r w:rsidR="000832D7" w:rsidRPr="00974501">
        <w:rPr>
          <w:rFonts w:ascii="Times New Roman" w:eastAsia="New Baskerville" w:hAnsi="Times New Roman" w:cs="Times New Roman"/>
          <w:sz w:val="24"/>
          <w:szCs w:val="24"/>
          <w:lang w:eastAsia="it-IT"/>
        </w:rPr>
        <w:t xml:space="preserve">, </w:t>
      </w:r>
      <w:r w:rsidR="006A2CF5">
        <w:rPr>
          <w:rFonts w:ascii="Times New Roman" w:eastAsia="New Baskerville" w:hAnsi="Times New Roman" w:cs="Times New Roman"/>
          <w:sz w:val="24"/>
          <w:szCs w:val="24"/>
          <w:lang w:eastAsia="it-IT"/>
        </w:rPr>
        <w:t>nonché l’obbligo</w:t>
      </w:r>
      <w:r w:rsidR="00491B2C" w:rsidRPr="00974501">
        <w:rPr>
          <w:rFonts w:ascii="Times New Roman" w:eastAsia="New Baskerville" w:hAnsi="Times New Roman" w:cs="Times New Roman"/>
          <w:sz w:val="24"/>
          <w:szCs w:val="24"/>
          <w:lang w:eastAsia="it-IT"/>
        </w:rPr>
        <w:t xml:space="preserve"> </w:t>
      </w:r>
      <w:r w:rsidR="006A2CF5">
        <w:rPr>
          <w:rFonts w:ascii="Times New Roman" w:eastAsia="New Baskerville" w:hAnsi="Times New Roman" w:cs="Times New Roman"/>
          <w:sz w:val="24"/>
          <w:szCs w:val="24"/>
          <w:lang w:eastAsia="it-IT"/>
        </w:rPr>
        <w:t xml:space="preserve">di </w:t>
      </w:r>
      <w:r w:rsidR="000832D7" w:rsidRPr="00974501">
        <w:rPr>
          <w:rFonts w:ascii="Times New Roman" w:eastAsia="New Baskerville" w:hAnsi="Times New Roman" w:cs="Times New Roman"/>
          <w:sz w:val="24"/>
          <w:szCs w:val="24"/>
          <w:lang w:eastAsia="it-IT"/>
        </w:rPr>
        <w:t>riferi</w:t>
      </w:r>
      <w:r w:rsidR="006A2CF5">
        <w:rPr>
          <w:rFonts w:ascii="Times New Roman" w:eastAsia="New Baskerville" w:hAnsi="Times New Roman" w:cs="Times New Roman"/>
          <w:sz w:val="24"/>
          <w:szCs w:val="24"/>
          <w:lang w:eastAsia="it-IT"/>
        </w:rPr>
        <w:t>r</w:t>
      </w:r>
      <w:r w:rsidR="000832D7" w:rsidRPr="00974501">
        <w:rPr>
          <w:rFonts w:ascii="Times New Roman" w:eastAsia="New Baskerville" w:hAnsi="Times New Roman" w:cs="Times New Roman"/>
          <w:sz w:val="24"/>
          <w:szCs w:val="24"/>
          <w:lang w:eastAsia="it-IT"/>
        </w:rPr>
        <w:t>e direttamente a</w:t>
      </w:r>
      <w:r w:rsidR="000D04F8" w:rsidRPr="00974501">
        <w:rPr>
          <w:rFonts w:ascii="Times New Roman" w:eastAsia="New Baskerville" w:hAnsi="Times New Roman" w:cs="Times New Roman"/>
          <w:sz w:val="24"/>
          <w:szCs w:val="24"/>
          <w:lang w:eastAsia="it-IT"/>
        </w:rPr>
        <w:t xml:space="preserve">d </w:t>
      </w:r>
      <w:proofErr w:type="spellStart"/>
      <w:r w:rsidR="000832D7" w:rsidRPr="00974501">
        <w:rPr>
          <w:rFonts w:ascii="Times New Roman" w:eastAsia="New Baskerville" w:hAnsi="Times New Roman" w:cs="Times New Roman"/>
          <w:sz w:val="24"/>
          <w:szCs w:val="24"/>
          <w:lang w:eastAsia="it-IT"/>
        </w:rPr>
        <w:t>Anac</w:t>
      </w:r>
      <w:proofErr w:type="spellEnd"/>
      <w:r w:rsidR="000832D7" w:rsidRPr="00974501">
        <w:rPr>
          <w:rFonts w:ascii="Times New Roman" w:eastAsia="New Baskerville" w:hAnsi="Times New Roman" w:cs="Times New Roman"/>
          <w:sz w:val="24"/>
          <w:szCs w:val="24"/>
          <w:lang w:eastAsia="it-IT"/>
        </w:rPr>
        <w:t xml:space="preserve"> sullo stato di attuazione delle misure di prevenzione della corruzione e della trasparenza.</w:t>
      </w:r>
    </w:p>
    <w:p w:rsidR="000832D7" w:rsidRPr="00974501" w:rsidRDefault="00491B2C"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La prima verifica è di coerenza dei piani triennali per la prevenzione della corruzione con gli obiettivi stabiliti nei documenti di programmazione strategico-gestionale, anche ai fini della validazione della </w:t>
      </w:r>
      <w:r w:rsidR="000832D7" w:rsidRPr="00974501">
        <w:rPr>
          <w:rFonts w:ascii="Times New Roman" w:eastAsia="New Baskerville" w:hAnsi="Times New Roman" w:cs="Times New Roman"/>
          <w:sz w:val="24"/>
          <w:szCs w:val="24"/>
          <w:lang w:eastAsia="it-IT"/>
        </w:rPr>
        <w:t>r</w:t>
      </w:r>
      <w:r w:rsidRPr="00974501">
        <w:rPr>
          <w:rFonts w:ascii="Times New Roman" w:eastAsia="New Baskerville" w:hAnsi="Times New Roman" w:cs="Times New Roman"/>
          <w:sz w:val="24"/>
          <w:szCs w:val="24"/>
          <w:lang w:eastAsia="it-IT"/>
        </w:rPr>
        <w:t xml:space="preserve">elazione sulla </w:t>
      </w:r>
      <w:r w:rsidRPr="00974501">
        <w:rPr>
          <w:rFonts w:ascii="Times New Roman" w:eastAsia="New Baskerville" w:hAnsi="Times New Roman" w:cs="Times New Roman"/>
          <w:i/>
          <w:sz w:val="24"/>
          <w:szCs w:val="24"/>
          <w:lang w:eastAsia="it-IT"/>
        </w:rPr>
        <w:t>performance</w:t>
      </w:r>
      <w:r w:rsidRPr="00974501">
        <w:rPr>
          <w:rFonts w:ascii="Times New Roman" w:eastAsia="New Baskerville" w:hAnsi="Times New Roman" w:cs="Times New Roman"/>
          <w:sz w:val="24"/>
          <w:szCs w:val="24"/>
          <w:lang w:eastAsia="it-IT"/>
        </w:rPr>
        <w:t>.</w:t>
      </w:r>
    </w:p>
    <w:p w:rsidR="00491B2C" w:rsidRPr="00974501" w:rsidRDefault="00491B2C"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La seconda verifica attiene, invece, ai contenuti della </w:t>
      </w:r>
      <w:r w:rsidR="000832D7" w:rsidRPr="00974501">
        <w:rPr>
          <w:rFonts w:ascii="Times New Roman" w:eastAsia="New Baskerville" w:hAnsi="Times New Roman" w:cs="Times New Roman"/>
          <w:sz w:val="24"/>
          <w:szCs w:val="24"/>
          <w:lang w:eastAsia="it-IT"/>
        </w:rPr>
        <w:t>r</w:t>
      </w:r>
      <w:r w:rsidRPr="00974501">
        <w:rPr>
          <w:rFonts w:ascii="Times New Roman" w:eastAsia="New Baskerville" w:hAnsi="Times New Roman" w:cs="Times New Roman"/>
          <w:sz w:val="24"/>
          <w:szCs w:val="24"/>
          <w:lang w:eastAsia="it-IT"/>
        </w:rPr>
        <w:t xml:space="preserve">elazione sulla </w:t>
      </w:r>
      <w:r w:rsidRPr="00974501">
        <w:rPr>
          <w:rFonts w:ascii="Times New Roman" w:eastAsia="New Baskerville" w:hAnsi="Times New Roman" w:cs="Times New Roman"/>
          <w:i/>
          <w:sz w:val="24"/>
          <w:szCs w:val="24"/>
          <w:lang w:eastAsia="it-IT"/>
        </w:rPr>
        <w:t>performance</w:t>
      </w:r>
      <w:r w:rsidRPr="00974501">
        <w:rPr>
          <w:rFonts w:ascii="Times New Roman" w:eastAsia="New Baskerville" w:hAnsi="Times New Roman" w:cs="Times New Roman"/>
          <w:sz w:val="24"/>
          <w:szCs w:val="24"/>
          <w:lang w:eastAsia="it-IT"/>
        </w:rPr>
        <w:t xml:space="preserve"> in rapporto agli obiettivi inerenti alla prevenzione della corruzione e alla trasparenza, potendo l’</w:t>
      </w:r>
      <w:r w:rsidR="000832D7" w:rsidRPr="00974501">
        <w:rPr>
          <w:rFonts w:ascii="Times New Roman" w:eastAsia="New Baskerville" w:hAnsi="Times New Roman" w:cs="Times New Roman"/>
          <w:sz w:val="24"/>
          <w:szCs w:val="24"/>
          <w:lang w:eastAsia="it-IT"/>
        </w:rPr>
        <w:t>o</w:t>
      </w:r>
      <w:r w:rsidRPr="00974501">
        <w:rPr>
          <w:rFonts w:ascii="Times New Roman" w:eastAsia="New Baskerville" w:hAnsi="Times New Roman" w:cs="Times New Roman"/>
          <w:sz w:val="24"/>
          <w:szCs w:val="24"/>
          <w:lang w:eastAsia="it-IT"/>
        </w:rPr>
        <w:t xml:space="preserve">rganismo chiedere al </w:t>
      </w:r>
      <w:r w:rsidR="000832D7" w:rsidRPr="00974501">
        <w:rPr>
          <w:rFonts w:ascii="Times New Roman" w:eastAsia="New Baskerville" w:hAnsi="Times New Roman" w:cs="Times New Roman"/>
          <w:sz w:val="24"/>
          <w:szCs w:val="24"/>
          <w:lang w:eastAsia="it-IT"/>
        </w:rPr>
        <w:t>r</w:t>
      </w:r>
      <w:r w:rsidRPr="00974501">
        <w:rPr>
          <w:rFonts w:ascii="Times New Roman" w:eastAsia="New Baskerville" w:hAnsi="Times New Roman" w:cs="Times New Roman"/>
          <w:sz w:val="24"/>
          <w:szCs w:val="24"/>
          <w:lang w:eastAsia="it-IT"/>
        </w:rPr>
        <w:t>esponsabile della prevenzione della corruzione e della trasparenza le informazioni e i documenti necessari per lo svolgimento del controllo e potendo</w:t>
      </w:r>
      <w:r w:rsidR="00466077">
        <w:rPr>
          <w:rFonts w:ascii="Times New Roman" w:eastAsia="New Baskerville" w:hAnsi="Times New Roman" w:cs="Times New Roman"/>
          <w:sz w:val="24"/>
          <w:szCs w:val="24"/>
          <w:lang w:eastAsia="it-IT"/>
        </w:rPr>
        <w:t xml:space="preserve"> altresì</w:t>
      </w:r>
      <w:r w:rsidRPr="00974501">
        <w:rPr>
          <w:rFonts w:ascii="Times New Roman" w:eastAsia="New Baskerville" w:hAnsi="Times New Roman" w:cs="Times New Roman"/>
          <w:sz w:val="24"/>
          <w:szCs w:val="24"/>
          <w:lang w:eastAsia="it-IT"/>
        </w:rPr>
        <w:t xml:space="preserve"> effe</w:t>
      </w:r>
      <w:r w:rsidR="000832D7" w:rsidRPr="00974501">
        <w:rPr>
          <w:rFonts w:ascii="Times New Roman" w:eastAsia="New Baskerville" w:hAnsi="Times New Roman" w:cs="Times New Roman"/>
          <w:sz w:val="24"/>
          <w:szCs w:val="24"/>
          <w:lang w:eastAsia="it-IT"/>
        </w:rPr>
        <w:t xml:space="preserve">ttuare audizioni di dipendenti. </w:t>
      </w:r>
      <w:r w:rsidR="00930C4D" w:rsidRPr="00974501">
        <w:rPr>
          <w:rFonts w:ascii="Times New Roman" w:eastAsia="New Baskerville" w:hAnsi="Times New Roman" w:cs="Times New Roman"/>
          <w:sz w:val="24"/>
          <w:szCs w:val="24"/>
          <w:lang w:eastAsia="it-IT"/>
        </w:rPr>
        <w:t>N</w:t>
      </w:r>
      <w:r w:rsidR="000832D7" w:rsidRPr="00974501">
        <w:rPr>
          <w:rFonts w:ascii="Times New Roman" w:eastAsia="New Baskerville" w:hAnsi="Times New Roman" w:cs="Times New Roman"/>
          <w:sz w:val="24"/>
          <w:szCs w:val="24"/>
          <w:lang w:eastAsia="it-IT"/>
        </w:rPr>
        <w:t xml:space="preserve">ella misurazione e valutazione della </w:t>
      </w:r>
      <w:r w:rsidR="000832D7" w:rsidRPr="00974501">
        <w:rPr>
          <w:rFonts w:ascii="Times New Roman" w:eastAsia="New Baskerville" w:hAnsi="Times New Roman" w:cs="Times New Roman"/>
          <w:i/>
          <w:sz w:val="24"/>
          <w:szCs w:val="24"/>
          <w:lang w:eastAsia="it-IT"/>
        </w:rPr>
        <w:t>performance</w:t>
      </w:r>
      <w:r w:rsidR="002854D6">
        <w:rPr>
          <w:rFonts w:ascii="Times New Roman" w:eastAsia="New Baskerville" w:hAnsi="Times New Roman" w:cs="Times New Roman"/>
          <w:sz w:val="24"/>
          <w:szCs w:val="24"/>
          <w:lang w:eastAsia="it-IT"/>
        </w:rPr>
        <w:t xml:space="preserve"> dei singoli funzionari,</w:t>
      </w:r>
      <w:r w:rsidR="000832D7" w:rsidRPr="00974501">
        <w:rPr>
          <w:rFonts w:ascii="Times New Roman" w:eastAsia="New Baskerville" w:hAnsi="Times New Roman" w:cs="Times New Roman"/>
          <w:sz w:val="24"/>
          <w:szCs w:val="24"/>
          <w:lang w:eastAsia="it-IT"/>
        </w:rPr>
        <w:t xml:space="preserve"> vanno considerati gli obiettivi connessi all’anticorruzione e alla trasparenza, ove stabiliti</w:t>
      </w:r>
      <w:r w:rsidR="00930C4D" w:rsidRPr="00974501">
        <w:rPr>
          <w:rFonts w:ascii="Times New Roman" w:eastAsia="New Baskerville" w:hAnsi="Times New Roman" w:cs="Times New Roman"/>
          <w:sz w:val="24"/>
          <w:szCs w:val="24"/>
          <w:lang w:eastAsia="it-IT"/>
        </w:rPr>
        <w:t>.</w:t>
      </w:r>
    </w:p>
    <w:p w:rsidR="00491B2C" w:rsidRPr="00974501" w:rsidRDefault="002854D6"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A</w:t>
      </w:r>
      <w:r w:rsidRPr="00974501">
        <w:rPr>
          <w:rFonts w:ascii="Times New Roman" w:eastAsia="New Baskerville" w:hAnsi="Times New Roman" w:cs="Times New Roman"/>
          <w:sz w:val="24"/>
          <w:szCs w:val="24"/>
          <w:lang w:eastAsia="it-IT"/>
        </w:rPr>
        <w:t xml:space="preserve">ttività ulteriori possano essere individuate </w:t>
      </w:r>
      <w:r>
        <w:rPr>
          <w:rFonts w:ascii="Times New Roman" w:eastAsia="New Baskerville" w:hAnsi="Times New Roman" w:cs="Times New Roman"/>
          <w:sz w:val="24"/>
          <w:szCs w:val="24"/>
          <w:lang w:eastAsia="it-IT"/>
        </w:rPr>
        <w:t>n</w:t>
      </w:r>
      <w:r w:rsidR="00491B2C" w:rsidRPr="00974501">
        <w:rPr>
          <w:rFonts w:ascii="Times New Roman" w:eastAsia="New Baskerville" w:hAnsi="Times New Roman" w:cs="Times New Roman"/>
          <w:sz w:val="24"/>
          <w:szCs w:val="24"/>
          <w:lang w:eastAsia="it-IT"/>
        </w:rPr>
        <w:t xml:space="preserve">el piano triennale di prevenzione della corruzione, </w:t>
      </w:r>
      <w:r>
        <w:rPr>
          <w:rFonts w:ascii="Times New Roman" w:eastAsia="New Baskerville" w:hAnsi="Times New Roman" w:cs="Times New Roman"/>
          <w:sz w:val="24"/>
          <w:szCs w:val="24"/>
          <w:lang w:eastAsia="it-IT"/>
        </w:rPr>
        <w:t>dove, principalmente,</w:t>
      </w:r>
      <w:r w:rsidR="00491B2C" w:rsidRPr="00974501">
        <w:rPr>
          <w:rFonts w:ascii="Times New Roman" w:eastAsia="New Baskerville" w:hAnsi="Times New Roman" w:cs="Times New Roman"/>
          <w:sz w:val="24"/>
          <w:szCs w:val="24"/>
          <w:lang w:eastAsia="it-IT"/>
        </w:rPr>
        <w:t xml:space="preserve"> devono essere definite le modalità di monitoraggio del rispetto dei termini, previsti dalla legge o dai regolamenti, per la conclusione dei procedimenti e, altresì, le modalità di monitoraggio dei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9129E6" w:rsidRDefault="009129E6" w:rsidP="009129E6">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La violazione degli obblighi di pubblicazione, ovvero l’illegittimo rifiuto di istanze di accesso civico, comportano l’irrogazione d</w:t>
      </w:r>
      <w:r w:rsidR="00DB47D5">
        <w:rPr>
          <w:rFonts w:ascii="Times New Roman" w:eastAsia="New Baskerville" w:hAnsi="Times New Roman" w:cs="Times New Roman"/>
          <w:sz w:val="24"/>
          <w:szCs w:val="24"/>
          <w:lang w:eastAsia="it-IT"/>
        </w:rPr>
        <w:t xml:space="preserve">elle </w:t>
      </w:r>
      <w:r>
        <w:rPr>
          <w:rFonts w:ascii="Times New Roman" w:eastAsia="New Baskerville" w:hAnsi="Times New Roman" w:cs="Times New Roman"/>
          <w:sz w:val="24"/>
          <w:szCs w:val="24"/>
          <w:lang w:eastAsia="it-IT"/>
        </w:rPr>
        <w:t>sanzioni stabilite all’art. 45 e segg. del d.lgs. n. 33/2013.</w:t>
      </w:r>
    </w:p>
    <w:p w:rsidR="009129E6" w:rsidRDefault="009129E6" w:rsidP="009129E6">
      <w:pPr>
        <w:spacing w:before="299" w:after="0" w:line="360" w:lineRule="auto"/>
        <w:ind w:left="142" w:firstLine="992"/>
        <w:jc w:val="both"/>
        <w:rPr>
          <w:rFonts w:ascii="Times New Roman" w:eastAsia="New Baskerville" w:hAnsi="Times New Roman" w:cs="Times New Roman"/>
          <w:sz w:val="24"/>
          <w:szCs w:val="24"/>
          <w:lang w:eastAsia="it-IT"/>
        </w:rPr>
      </w:pPr>
      <w:r w:rsidRPr="007A15B1">
        <w:rPr>
          <w:rFonts w:ascii="Times New Roman" w:eastAsia="New Baskerville" w:hAnsi="Times New Roman" w:cs="Times New Roman"/>
          <w:sz w:val="24"/>
          <w:szCs w:val="24"/>
          <w:lang w:eastAsia="it-IT"/>
        </w:rPr>
        <w:t>I</w:t>
      </w:r>
      <w:r>
        <w:rPr>
          <w:rFonts w:ascii="Times New Roman" w:eastAsia="New Baskerville" w:hAnsi="Times New Roman" w:cs="Times New Roman"/>
          <w:sz w:val="24"/>
          <w:szCs w:val="24"/>
          <w:lang w:eastAsia="it-IT"/>
        </w:rPr>
        <w:t>n specie, i</w:t>
      </w:r>
      <w:r w:rsidRPr="007A15B1">
        <w:rPr>
          <w:rFonts w:ascii="Times New Roman" w:eastAsia="New Baskerville" w:hAnsi="Times New Roman" w:cs="Times New Roman"/>
          <w:sz w:val="24"/>
          <w:szCs w:val="24"/>
          <w:lang w:eastAsia="it-IT"/>
        </w:rPr>
        <w:t>l mancato rispetto dell</w:t>
      </w:r>
      <w:r>
        <w:rPr>
          <w:rFonts w:ascii="Times New Roman" w:eastAsia="New Baskerville" w:hAnsi="Times New Roman" w:cs="Times New Roman"/>
          <w:sz w:val="24"/>
          <w:szCs w:val="24"/>
          <w:lang w:eastAsia="it-IT"/>
        </w:rPr>
        <w:t>’</w:t>
      </w:r>
      <w:r w:rsidRPr="007A15B1">
        <w:rPr>
          <w:rFonts w:ascii="Times New Roman" w:eastAsia="New Baskerville" w:hAnsi="Times New Roman" w:cs="Times New Roman"/>
          <w:sz w:val="24"/>
          <w:szCs w:val="24"/>
          <w:lang w:eastAsia="it-IT"/>
        </w:rPr>
        <w:t xml:space="preserve">obbligo di pubblicazione </w:t>
      </w:r>
      <w:r w:rsidR="00DB47D5">
        <w:rPr>
          <w:rFonts w:ascii="Times New Roman" w:eastAsia="New Baskerville" w:hAnsi="Times New Roman" w:cs="Times New Roman"/>
          <w:sz w:val="24"/>
          <w:szCs w:val="24"/>
          <w:lang w:eastAsia="it-IT"/>
        </w:rPr>
        <w:t xml:space="preserve">costituisce </w:t>
      </w:r>
      <w:r w:rsidRPr="007A15B1">
        <w:rPr>
          <w:rFonts w:ascii="Times New Roman" w:eastAsia="New Baskerville" w:hAnsi="Times New Roman" w:cs="Times New Roman"/>
          <w:sz w:val="24"/>
          <w:szCs w:val="24"/>
          <w:lang w:eastAsia="it-IT"/>
        </w:rPr>
        <w:t xml:space="preserve">illecito disciplinare </w:t>
      </w:r>
      <w:r>
        <w:rPr>
          <w:rFonts w:ascii="Times New Roman" w:eastAsia="New Baskerville" w:hAnsi="Times New Roman" w:cs="Times New Roman"/>
          <w:sz w:val="24"/>
          <w:szCs w:val="24"/>
          <w:lang w:eastAsia="it-IT"/>
        </w:rPr>
        <w:t xml:space="preserve">(art. 45, comma 4) </w:t>
      </w:r>
      <w:r w:rsidRPr="007A15B1">
        <w:rPr>
          <w:rFonts w:ascii="Times New Roman" w:eastAsia="New Baskerville" w:hAnsi="Times New Roman" w:cs="Times New Roman"/>
          <w:sz w:val="24"/>
          <w:szCs w:val="24"/>
          <w:lang w:eastAsia="it-IT"/>
        </w:rPr>
        <w:t>e, assieme al</w:t>
      </w:r>
      <w:r>
        <w:rPr>
          <w:rFonts w:ascii="Times New Roman" w:eastAsia="New Baskerville" w:hAnsi="Times New Roman" w:cs="Times New Roman"/>
          <w:sz w:val="24"/>
          <w:szCs w:val="24"/>
          <w:lang w:eastAsia="it-IT"/>
        </w:rPr>
        <w:t>l’illegittimo rifiuto di istanze di accesso civico, rappresenta</w:t>
      </w:r>
      <w:r w:rsidRPr="007A15B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una </w:t>
      </w:r>
      <w:r w:rsidRPr="007A15B1">
        <w:rPr>
          <w:rFonts w:ascii="Times New Roman" w:eastAsia="New Baskerville" w:hAnsi="Times New Roman" w:cs="Times New Roman"/>
          <w:sz w:val="24"/>
          <w:szCs w:val="24"/>
          <w:lang w:eastAsia="it-IT"/>
        </w:rPr>
        <w:t xml:space="preserve">causa </w:t>
      </w:r>
      <w:r>
        <w:rPr>
          <w:rFonts w:ascii="Times New Roman" w:eastAsia="New Baskerville" w:hAnsi="Times New Roman" w:cs="Times New Roman"/>
          <w:sz w:val="24"/>
          <w:szCs w:val="24"/>
          <w:lang w:eastAsia="it-IT"/>
        </w:rPr>
        <w:t xml:space="preserve">tipizzata </w:t>
      </w:r>
      <w:r w:rsidRPr="007A15B1">
        <w:rPr>
          <w:rFonts w:ascii="Times New Roman" w:eastAsia="New Baskerville" w:hAnsi="Times New Roman" w:cs="Times New Roman"/>
          <w:sz w:val="24"/>
          <w:szCs w:val="24"/>
          <w:lang w:eastAsia="it-IT"/>
        </w:rPr>
        <w:t>di responsabilità dirigenziale</w:t>
      </w:r>
      <w:r>
        <w:rPr>
          <w:rFonts w:ascii="Times New Roman" w:eastAsia="New Baskerville" w:hAnsi="Times New Roman" w:cs="Times New Roman"/>
          <w:sz w:val="24"/>
          <w:szCs w:val="24"/>
          <w:lang w:eastAsia="it-IT"/>
        </w:rPr>
        <w:t>,</w:t>
      </w:r>
      <w:r w:rsidRPr="007A15B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a</w:t>
      </w:r>
      <w:r>
        <w:rPr>
          <w:rFonts w:ascii="Times New Roman" w:eastAsia="New Baskerville" w:hAnsi="Times New Roman" w:cs="Times New Roman"/>
          <w:sz w:val="24"/>
          <w:szCs w:val="24"/>
          <w:lang w:eastAsia="it-IT"/>
        </w:rPr>
        <w:t>i sensi de</w:t>
      </w:r>
      <w:r w:rsidRPr="00974501">
        <w:rPr>
          <w:rFonts w:ascii="Times New Roman" w:eastAsia="New Baskerville" w:hAnsi="Times New Roman" w:cs="Times New Roman"/>
          <w:sz w:val="24"/>
          <w:szCs w:val="24"/>
          <w:lang w:eastAsia="it-IT"/>
        </w:rPr>
        <w:t>ll’art. 21 del d.lgs. n. 165</w:t>
      </w:r>
      <w:r>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2001</w:t>
      </w:r>
      <w:r w:rsidRPr="007A15B1">
        <w:rPr>
          <w:rFonts w:ascii="Times New Roman" w:eastAsia="New Baskerville" w:hAnsi="Times New Roman" w:cs="Times New Roman"/>
          <w:sz w:val="24"/>
          <w:szCs w:val="24"/>
          <w:lang w:eastAsia="it-IT"/>
        </w:rPr>
        <w:t xml:space="preserve"> (</w:t>
      </w:r>
      <w:r w:rsidR="00DB47D5">
        <w:rPr>
          <w:rFonts w:ascii="Times New Roman" w:eastAsia="New Baskerville" w:hAnsi="Times New Roman" w:cs="Times New Roman"/>
          <w:sz w:val="24"/>
          <w:szCs w:val="24"/>
          <w:lang w:eastAsia="it-IT"/>
        </w:rPr>
        <w:t xml:space="preserve">e ciò </w:t>
      </w:r>
      <w:r w:rsidRPr="007A15B1">
        <w:rPr>
          <w:rFonts w:ascii="Times New Roman" w:eastAsia="New Baskerville" w:hAnsi="Times New Roman" w:cs="Times New Roman"/>
          <w:sz w:val="24"/>
          <w:szCs w:val="24"/>
          <w:lang w:eastAsia="it-IT"/>
        </w:rPr>
        <w:t>anche ai fini della corresponsione della retribuzione di risultato e del trattamento accessorio)</w:t>
      </w:r>
      <w:r>
        <w:rPr>
          <w:rFonts w:ascii="Times New Roman" w:eastAsia="New Baskerville" w:hAnsi="Times New Roman" w:cs="Times New Roman"/>
          <w:sz w:val="24"/>
          <w:szCs w:val="24"/>
          <w:lang w:eastAsia="it-IT"/>
        </w:rPr>
        <w:t>, nonché</w:t>
      </w:r>
      <w:r w:rsidRPr="007A15B1">
        <w:rPr>
          <w:rFonts w:ascii="Times New Roman" w:eastAsia="New Baskerville" w:hAnsi="Times New Roman" w:cs="Times New Roman"/>
          <w:sz w:val="24"/>
          <w:szCs w:val="24"/>
          <w:lang w:eastAsia="it-IT"/>
        </w:rPr>
        <w:t xml:space="preserve"> di responsabilità amministrativa per danno all</w:t>
      </w:r>
      <w:r>
        <w:rPr>
          <w:rFonts w:ascii="Times New Roman" w:eastAsia="New Baskerville" w:hAnsi="Times New Roman" w:cs="Times New Roman"/>
          <w:sz w:val="24"/>
          <w:szCs w:val="24"/>
          <w:lang w:eastAsia="it-IT"/>
        </w:rPr>
        <w:t>’</w:t>
      </w:r>
      <w:r w:rsidRPr="007A15B1">
        <w:rPr>
          <w:rFonts w:ascii="Times New Roman" w:eastAsia="New Baskerville" w:hAnsi="Times New Roman" w:cs="Times New Roman"/>
          <w:sz w:val="24"/>
          <w:szCs w:val="24"/>
          <w:lang w:eastAsia="it-IT"/>
        </w:rPr>
        <w:t>immagine dell</w:t>
      </w:r>
      <w:r>
        <w:rPr>
          <w:rFonts w:ascii="Times New Roman" w:eastAsia="New Baskerville" w:hAnsi="Times New Roman" w:cs="Times New Roman"/>
          <w:sz w:val="24"/>
          <w:szCs w:val="24"/>
          <w:lang w:eastAsia="it-IT"/>
        </w:rPr>
        <w:t>’</w:t>
      </w:r>
      <w:r w:rsidRPr="007A15B1">
        <w:rPr>
          <w:rFonts w:ascii="Times New Roman" w:eastAsia="New Baskerville" w:hAnsi="Times New Roman" w:cs="Times New Roman"/>
          <w:sz w:val="24"/>
          <w:szCs w:val="24"/>
          <w:lang w:eastAsia="it-IT"/>
        </w:rPr>
        <w:t>amministrazione</w:t>
      </w:r>
      <w:r>
        <w:rPr>
          <w:rFonts w:ascii="Times New Roman" w:eastAsia="New Baskerville" w:hAnsi="Times New Roman" w:cs="Times New Roman"/>
          <w:sz w:val="24"/>
          <w:szCs w:val="24"/>
          <w:lang w:eastAsia="it-IT"/>
        </w:rPr>
        <w:t xml:space="preserve"> (art. 46)</w:t>
      </w:r>
      <w:r w:rsidRPr="007A15B1">
        <w:rPr>
          <w:rFonts w:ascii="Times New Roman" w:eastAsia="New Baskerville" w:hAnsi="Times New Roman" w:cs="Times New Roman"/>
          <w:sz w:val="24"/>
          <w:szCs w:val="24"/>
          <w:lang w:eastAsia="it-IT"/>
        </w:rPr>
        <w:t>.</w:t>
      </w:r>
    </w:p>
    <w:p w:rsidR="009129E6" w:rsidRDefault="00DB47D5" w:rsidP="009129E6">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T</w:t>
      </w:r>
      <w:r w:rsidR="003D1E97">
        <w:rPr>
          <w:rFonts w:ascii="Times New Roman" w:eastAsia="New Baskerville" w:hAnsi="Times New Roman" w:cs="Times New Roman"/>
          <w:sz w:val="24"/>
          <w:szCs w:val="24"/>
          <w:lang w:eastAsia="it-IT"/>
        </w:rPr>
        <w:t>a</w:t>
      </w:r>
      <w:r>
        <w:rPr>
          <w:rFonts w:ascii="Times New Roman" w:eastAsia="New Baskerville" w:hAnsi="Times New Roman" w:cs="Times New Roman"/>
          <w:sz w:val="24"/>
          <w:szCs w:val="24"/>
          <w:lang w:eastAsia="it-IT"/>
        </w:rPr>
        <w:t>le</w:t>
      </w:r>
      <w:r w:rsidR="009129E6">
        <w:rPr>
          <w:rFonts w:ascii="Times New Roman" w:eastAsia="New Baskerville" w:hAnsi="Times New Roman" w:cs="Times New Roman"/>
          <w:sz w:val="24"/>
          <w:szCs w:val="24"/>
          <w:lang w:eastAsia="it-IT"/>
        </w:rPr>
        <w:t xml:space="preserve"> responsabilità si esten</w:t>
      </w:r>
      <w:r w:rsidR="009129E6" w:rsidRPr="00974501">
        <w:rPr>
          <w:rFonts w:ascii="Times New Roman" w:eastAsia="New Baskerville" w:hAnsi="Times New Roman" w:cs="Times New Roman"/>
          <w:sz w:val="24"/>
          <w:szCs w:val="24"/>
          <w:lang w:eastAsia="it-IT"/>
        </w:rPr>
        <w:t>d</w:t>
      </w:r>
      <w:r w:rsidR="003D1E97">
        <w:rPr>
          <w:rFonts w:ascii="Times New Roman" w:eastAsia="New Baskerville" w:hAnsi="Times New Roman" w:cs="Times New Roman"/>
          <w:sz w:val="24"/>
          <w:szCs w:val="24"/>
          <w:lang w:eastAsia="it-IT"/>
        </w:rPr>
        <w:t xml:space="preserve">e, </w:t>
      </w:r>
      <w:r w:rsidR="009129E6" w:rsidRPr="00974501">
        <w:rPr>
          <w:rFonts w:ascii="Times New Roman" w:eastAsia="New Baskerville" w:hAnsi="Times New Roman" w:cs="Times New Roman"/>
          <w:sz w:val="24"/>
          <w:szCs w:val="24"/>
          <w:lang w:eastAsia="it-IT"/>
        </w:rPr>
        <w:t xml:space="preserve">per omesso controllo, </w:t>
      </w:r>
      <w:r w:rsidR="009129E6">
        <w:rPr>
          <w:rFonts w:ascii="Times New Roman" w:eastAsia="New Baskerville" w:hAnsi="Times New Roman" w:cs="Times New Roman"/>
          <w:sz w:val="24"/>
          <w:szCs w:val="24"/>
          <w:lang w:eastAsia="it-IT"/>
        </w:rPr>
        <w:t>a</w:t>
      </w:r>
      <w:r w:rsidR="009129E6" w:rsidRPr="00974501">
        <w:rPr>
          <w:rFonts w:ascii="Times New Roman" w:eastAsia="New Baskerville" w:hAnsi="Times New Roman" w:cs="Times New Roman"/>
          <w:sz w:val="24"/>
          <w:szCs w:val="24"/>
          <w:lang w:eastAsia="it-IT"/>
        </w:rPr>
        <w:t>l responsabile della prevenzione della corruzione</w:t>
      </w:r>
      <w:r w:rsidR="009129E6">
        <w:rPr>
          <w:rFonts w:ascii="Times New Roman" w:eastAsia="New Baskerville" w:hAnsi="Times New Roman" w:cs="Times New Roman"/>
          <w:sz w:val="24"/>
          <w:szCs w:val="24"/>
          <w:lang w:eastAsia="it-IT"/>
        </w:rPr>
        <w:t xml:space="preserve"> e della trasparenza, il quale</w:t>
      </w:r>
      <w:r w:rsidR="009129E6" w:rsidRPr="00974501">
        <w:rPr>
          <w:rFonts w:ascii="Times New Roman" w:eastAsia="New Baskerville" w:hAnsi="Times New Roman" w:cs="Times New Roman"/>
          <w:sz w:val="24"/>
          <w:szCs w:val="24"/>
          <w:lang w:eastAsia="it-IT"/>
        </w:rPr>
        <w:t xml:space="preserve"> </w:t>
      </w:r>
      <w:r w:rsidR="003D1E97">
        <w:rPr>
          <w:rFonts w:ascii="Times New Roman" w:eastAsia="New Baskerville" w:hAnsi="Times New Roman" w:cs="Times New Roman"/>
          <w:sz w:val="24"/>
          <w:szCs w:val="24"/>
          <w:lang w:eastAsia="it-IT"/>
        </w:rPr>
        <w:t xml:space="preserve">ne </w:t>
      </w:r>
      <w:r w:rsidR="009129E6">
        <w:rPr>
          <w:rFonts w:ascii="Times New Roman" w:eastAsia="New Baskerville" w:hAnsi="Times New Roman" w:cs="Times New Roman"/>
          <w:sz w:val="24"/>
          <w:szCs w:val="24"/>
          <w:lang w:eastAsia="it-IT"/>
        </w:rPr>
        <w:t>resta</w:t>
      </w:r>
      <w:r w:rsidR="009129E6" w:rsidRPr="00974501">
        <w:rPr>
          <w:rFonts w:ascii="Times New Roman" w:eastAsia="New Baskerville" w:hAnsi="Times New Roman" w:cs="Times New Roman"/>
          <w:sz w:val="24"/>
          <w:szCs w:val="24"/>
          <w:lang w:eastAsia="it-IT"/>
        </w:rPr>
        <w:t xml:space="preserve"> esente</w:t>
      </w:r>
      <w:r w:rsidR="009129E6">
        <w:rPr>
          <w:rFonts w:ascii="Times New Roman" w:eastAsia="New Baskerville" w:hAnsi="Times New Roman" w:cs="Times New Roman"/>
          <w:sz w:val="24"/>
          <w:szCs w:val="24"/>
          <w:lang w:eastAsia="it-IT"/>
        </w:rPr>
        <w:t xml:space="preserve"> solo</w:t>
      </w:r>
      <w:r w:rsidR="009129E6" w:rsidRPr="00974501">
        <w:rPr>
          <w:rFonts w:ascii="Times New Roman" w:eastAsia="New Baskerville" w:hAnsi="Times New Roman" w:cs="Times New Roman"/>
          <w:sz w:val="24"/>
          <w:szCs w:val="24"/>
          <w:lang w:eastAsia="it-IT"/>
        </w:rPr>
        <w:t xml:space="preserve"> dimostrando </w:t>
      </w:r>
      <w:r w:rsidR="009129E6">
        <w:rPr>
          <w:rFonts w:ascii="Times New Roman" w:eastAsia="New Baskerville" w:hAnsi="Times New Roman" w:cs="Times New Roman"/>
          <w:sz w:val="24"/>
          <w:szCs w:val="24"/>
          <w:lang w:eastAsia="it-IT"/>
        </w:rPr>
        <w:t>che l’</w:t>
      </w:r>
      <w:r w:rsidR="009129E6" w:rsidRPr="007A15B1">
        <w:rPr>
          <w:rFonts w:ascii="Times New Roman" w:eastAsia="New Baskerville" w:hAnsi="Times New Roman" w:cs="Times New Roman"/>
          <w:sz w:val="24"/>
          <w:szCs w:val="24"/>
          <w:lang w:eastAsia="it-IT"/>
        </w:rPr>
        <w:t>inadempimento è dipeso</w:t>
      </w:r>
      <w:r w:rsidR="009129E6">
        <w:rPr>
          <w:rFonts w:ascii="Times New Roman" w:eastAsia="New Baskerville" w:hAnsi="Times New Roman" w:cs="Times New Roman"/>
          <w:sz w:val="24"/>
          <w:szCs w:val="24"/>
          <w:lang w:eastAsia="it-IT"/>
        </w:rPr>
        <w:t xml:space="preserve"> da causa a lui non imputabile.</w:t>
      </w:r>
    </w:p>
    <w:p w:rsidR="009129E6" w:rsidRPr="007A15B1" w:rsidRDefault="009129E6" w:rsidP="009129E6">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Una specifica res</w:t>
      </w:r>
      <w:r w:rsidR="00DB47D5">
        <w:rPr>
          <w:rFonts w:ascii="Times New Roman" w:eastAsia="New Baskerville" w:hAnsi="Times New Roman" w:cs="Times New Roman"/>
          <w:sz w:val="24"/>
          <w:szCs w:val="24"/>
          <w:lang w:eastAsia="it-IT"/>
        </w:rPr>
        <w:t>ponsabilità è infine prevista, d</w:t>
      </w:r>
      <w:r>
        <w:rPr>
          <w:rFonts w:ascii="Times New Roman" w:eastAsia="New Baskerville" w:hAnsi="Times New Roman" w:cs="Times New Roman"/>
          <w:sz w:val="24"/>
          <w:szCs w:val="24"/>
          <w:lang w:eastAsia="it-IT"/>
        </w:rPr>
        <w:t xml:space="preserve">all’art. 47, </w:t>
      </w:r>
      <w:r w:rsidRPr="00811032">
        <w:rPr>
          <w:rFonts w:ascii="Times New Roman" w:eastAsia="New Baskerville" w:hAnsi="Times New Roman" w:cs="Times New Roman"/>
          <w:sz w:val="24"/>
          <w:szCs w:val="24"/>
          <w:lang w:eastAsia="it-IT"/>
        </w:rPr>
        <w:t>a carico d</w:t>
      </w:r>
      <w:r w:rsidR="00DB47D5">
        <w:rPr>
          <w:rFonts w:ascii="Times New Roman" w:eastAsia="New Baskerville" w:hAnsi="Times New Roman" w:cs="Times New Roman"/>
          <w:sz w:val="24"/>
          <w:szCs w:val="24"/>
          <w:lang w:eastAsia="it-IT"/>
        </w:rPr>
        <w:t>i chi, intraneo od estraneo alla P.A.,</w:t>
      </w:r>
      <w:r w:rsidR="00DB47D5" w:rsidRPr="00811032">
        <w:rPr>
          <w:rFonts w:ascii="Times New Roman" w:eastAsia="New Baskerville" w:hAnsi="Times New Roman" w:cs="Times New Roman"/>
          <w:sz w:val="24"/>
          <w:szCs w:val="24"/>
          <w:lang w:eastAsia="it-IT"/>
        </w:rPr>
        <w:t xml:space="preserve"> </w:t>
      </w:r>
      <w:r w:rsidR="00DB47D5">
        <w:rPr>
          <w:rFonts w:ascii="Times New Roman" w:eastAsia="New Baskerville" w:hAnsi="Times New Roman" w:cs="Times New Roman"/>
          <w:sz w:val="24"/>
          <w:szCs w:val="24"/>
          <w:lang w:eastAsia="it-IT"/>
        </w:rPr>
        <w:t>abbia omesso la</w:t>
      </w:r>
      <w:r w:rsidR="00DB47D5" w:rsidRPr="00811032">
        <w:rPr>
          <w:rFonts w:ascii="Times New Roman" w:eastAsia="New Baskerville" w:hAnsi="Times New Roman" w:cs="Times New Roman"/>
          <w:sz w:val="24"/>
          <w:szCs w:val="24"/>
          <w:lang w:eastAsia="it-IT"/>
        </w:rPr>
        <w:t xml:space="preserve"> comunicazione di informazioni e di dati</w:t>
      </w:r>
      <w:r w:rsidR="00DB47D5">
        <w:rPr>
          <w:rFonts w:ascii="Times New Roman" w:eastAsia="New Baskerville" w:hAnsi="Times New Roman" w:cs="Times New Roman"/>
          <w:sz w:val="24"/>
          <w:szCs w:val="24"/>
          <w:lang w:eastAsia="it-IT"/>
        </w:rPr>
        <w:t>,</w:t>
      </w:r>
      <w:r w:rsidR="00DB47D5" w:rsidRPr="00811032">
        <w:rPr>
          <w:rFonts w:ascii="Times New Roman" w:eastAsia="New Baskerville" w:hAnsi="Times New Roman" w:cs="Times New Roman"/>
          <w:sz w:val="24"/>
          <w:szCs w:val="24"/>
          <w:lang w:eastAsia="it-IT"/>
        </w:rPr>
        <w:t xml:space="preserve"> obbligatori a</w:t>
      </w:r>
      <w:r w:rsidR="00DB47D5">
        <w:rPr>
          <w:rFonts w:ascii="Times New Roman" w:eastAsia="New Baskerville" w:hAnsi="Times New Roman" w:cs="Times New Roman"/>
          <w:sz w:val="24"/>
          <w:szCs w:val="24"/>
          <w:lang w:eastAsia="it-IT"/>
        </w:rPr>
        <w:t>i fini della pubblicazione sul sito</w:t>
      </w:r>
      <w:r w:rsidR="00DB47D5" w:rsidRPr="00811032">
        <w:rPr>
          <w:rFonts w:ascii="Times New Roman" w:eastAsia="New Baskerville" w:hAnsi="Times New Roman" w:cs="Times New Roman"/>
          <w:sz w:val="24"/>
          <w:szCs w:val="24"/>
          <w:lang w:eastAsia="it-IT"/>
        </w:rPr>
        <w:t>, in merito alla propria situazione patrimoniale</w:t>
      </w:r>
      <w:r w:rsidR="00DB47D5">
        <w:rPr>
          <w:rFonts w:ascii="Times New Roman" w:eastAsia="New Baskerville" w:hAnsi="Times New Roman" w:cs="Times New Roman"/>
          <w:sz w:val="24"/>
          <w:szCs w:val="24"/>
          <w:lang w:eastAsia="it-IT"/>
        </w:rPr>
        <w:t xml:space="preserve">, o la abbia effettuata in maniera </w:t>
      </w:r>
      <w:r w:rsidR="00DB47D5" w:rsidRPr="00811032">
        <w:rPr>
          <w:rFonts w:ascii="Times New Roman" w:eastAsia="New Baskerville" w:hAnsi="Times New Roman" w:cs="Times New Roman"/>
          <w:sz w:val="24"/>
          <w:szCs w:val="24"/>
          <w:lang w:eastAsia="it-IT"/>
        </w:rPr>
        <w:t>incompleta</w:t>
      </w:r>
      <w:r w:rsidR="00DB47D5">
        <w:rPr>
          <w:rFonts w:ascii="Times New Roman" w:eastAsia="New Baskerville" w:hAnsi="Times New Roman" w:cs="Times New Roman"/>
          <w:sz w:val="24"/>
          <w:szCs w:val="24"/>
          <w:lang w:eastAsia="it-IT"/>
        </w:rPr>
        <w:t>;</w:t>
      </w:r>
      <w:r w:rsidRPr="00811032">
        <w:rPr>
          <w:rFonts w:ascii="Times New Roman" w:eastAsia="New Baskerville" w:hAnsi="Times New Roman" w:cs="Times New Roman"/>
          <w:sz w:val="24"/>
          <w:szCs w:val="24"/>
          <w:lang w:eastAsia="it-IT"/>
        </w:rPr>
        <w:t xml:space="preserve"> e</w:t>
      </w:r>
      <w:r w:rsidR="00DB47D5">
        <w:rPr>
          <w:rFonts w:ascii="Times New Roman" w:eastAsia="New Baskerville" w:hAnsi="Times New Roman" w:cs="Times New Roman"/>
          <w:sz w:val="24"/>
          <w:szCs w:val="24"/>
          <w:lang w:eastAsia="it-IT"/>
        </w:rPr>
        <w:t>ssa</w:t>
      </w:r>
      <w:r w:rsidRPr="00811032">
        <w:rPr>
          <w:rFonts w:ascii="Times New Roman" w:eastAsia="New Baskerville" w:hAnsi="Times New Roman" w:cs="Times New Roman"/>
          <w:sz w:val="24"/>
          <w:szCs w:val="24"/>
          <w:lang w:eastAsia="it-IT"/>
        </w:rPr>
        <w:t xml:space="preserve"> </w:t>
      </w:r>
      <w:r w:rsidR="00DB47D5">
        <w:rPr>
          <w:rFonts w:ascii="Times New Roman" w:eastAsia="New Baskerville" w:hAnsi="Times New Roman" w:cs="Times New Roman"/>
          <w:sz w:val="24"/>
          <w:szCs w:val="24"/>
          <w:lang w:eastAsia="it-IT"/>
        </w:rPr>
        <w:t>consiste</w:t>
      </w:r>
      <w:r w:rsidRPr="00811032">
        <w:rPr>
          <w:rFonts w:ascii="Times New Roman" w:eastAsia="New Baskerville" w:hAnsi="Times New Roman" w:cs="Times New Roman"/>
          <w:sz w:val="24"/>
          <w:szCs w:val="24"/>
          <w:lang w:eastAsia="it-IT"/>
        </w:rPr>
        <w:t xml:space="preserve"> in una sanzione amministrativa pecuniaria</w:t>
      </w:r>
      <w:r w:rsidR="00DB47D5" w:rsidRPr="00811032">
        <w:rPr>
          <w:rFonts w:ascii="Times New Roman" w:eastAsia="New Baskerville" w:hAnsi="Times New Roman" w:cs="Times New Roman"/>
          <w:sz w:val="24"/>
          <w:szCs w:val="24"/>
          <w:lang w:eastAsia="it-IT"/>
        </w:rPr>
        <w:t>,</w:t>
      </w:r>
      <w:r w:rsidRPr="00811032">
        <w:rPr>
          <w:rFonts w:ascii="Times New Roman" w:eastAsia="New Baskerville" w:hAnsi="Times New Roman" w:cs="Times New Roman"/>
          <w:sz w:val="24"/>
          <w:szCs w:val="24"/>
          <w:lang w:eastAsia="it-IT"/>
        </w:rPr>
        <w:t xml:space="preserve"> </w:t>
      </w:r>
      <w:r w:rsidR="00DB47D5">
        <w:rPr>
          <w:rFonts w:ascii="Times New Roman" w:eastAsia="New Baskerville" w:hAnsi="Times New Roman" w:cs="Times New Roman"/>
          <w:sz w:val="24"/>
          <w:szCs w:val="24"/>
          <w:lang w:eastAsia="it-IT"/>
        </w:rPr>
        <w:t>irrog</w:t>
      </w:r>
      <w:r w:rsidRPr="00811032">
        <w:rPr>
          <w:rFonts w:ascii="Times New Roman" w:eastAsia="New Baskerville" w:hAnsi="Times New Roman" w:cs="Times New Roman"/>
          <w:sz w:val="24"/>
          <w:szCs w:val="24"/>
          <w:lang w:eastAsia="it-IT"/>
        </w:rPr>
        <w:t xml:space="preserve">ata da </w:t>
      </w:r>
      <w:proofErr w:type="spellStart"/>
      <w:r w:rsidRPr="00811032">
        <w:rPr>
          <w:rFonts w:ascii="Times New Roman" w:eastAsia="New Baskerville" w:hAnsi="Times New Roman" w:cs="Times New Roman"/>
          <w:sz w:val="24"/>
          <w:szCs w:val="24"/>
          <w:lang w:eastAsia="it-IT"/>
        </w:rPr>
        <w:t>Anac</w:t>
      </w:r>
      <w:proofErr w:type="spellEnd"/>
      <w:r w:rsidRPr="00811032">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se</w:t>
      </w:r>
      <w:r w:rsidRPr="00811032">
        <w:rPr>
          <w:rFonts w:ascii="Times New Roman" w:eastAsia="New Baskerville" w:hAnsi="Times New Roman" w:cs="Times New Roman"/>
          <w:sz w:val="24"/>
          <w:szCs w:val="24"/>
          <w:lang w:eastAsia="it-IT"/>
        </w:rPr>
        <w:t>con</w:t>
      </w:r>
      <w:r>
        <w:rPr>
          <w:rFonts w:ascii="Times New Roman" w:eastAsia="New Baskerville" w:hAnsi="Times New Roman" w:cs="Times New Roman"/>
          <w:sz w:val="24"/>
          <w:szCs w:val="24"/>
          <w:lang w:eastAsia="it-IT"/>
        </w:rPr>
        <w:t>do le</w:t>
      </w:r>
      <w:r w:rsidRPr="00811032">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regole</w:t>
      </w:r>
      <w:r w:rsidRPr="00811032">
        <w:rPr>
          <w:rFonts w:ascii="Times New Roman" w:eastAsia="New Baskerville" w:hAnsi="Times New Roman" w:cs="Times New Roman"/>
          <w:sz w:val="24"/>
          <w:szCs w:val="24"/>
          <w:lang w:eastAsia="it-IT"/>
        </w:rPr>
        <w:t xml:space="preserve"> d</w:t>
      </w:r>
      <w:r>
        <w:rPr>
          <w:rFonts w:ascii="Times New Roman" w:eastAsia="New Baskerville" w:hAnsi="Times New Roman" w:cs="Times New Roman"/>
          <w:sz w:val="24"/>
          <w:szCs w:val="24"/>
          <w:lang w:eastAsia="it-IT"/>
        </w:rPr>
        <w:t>e</w:t>
      </w:r>
      <w:r w:rsidRPr="00811032">
        <w:rPr>
          <w:rFonts w:ascii="Times New Roman" w:eastAsia="New Baskerville" w:hAnsi="Times New Roman" w:cs="Times New Roman"/>
          <w:sz w:val="24"/>
          <w:szCs w:val="24"/>
          <w:lang w:eastAsia="it-IT"/>
        </w:rPr>
        <w:t>lla legge n. 689/1981</w:t>
      </w:r>
      <w:r>
        <w:rPr>
          <w:rFonts w:ascii="Times New Roman" w:eastAsia="New Baskerville" w:hAnsi="Times New Roman" w:cs="Times New Roman"/>
          <w:sz w:val="24"/>
          <w:szCs w:val="24"/>
          <w:lang w:eastAsia="it-IT"/>
        </w:rPr>
        <w:t xml:space="preserve">, </w:t>
      </w:r>
      <w:r w:rsidRPr="00811032">
        <w:rPr>
          <w:rFonts w:ascii="Times New Roman" w:eastAsia="New Baskerville" w:hAnsi="Times New Roman" w:cs="Times New Roman"/>
          <w:sz w:val="24"/>
          <w:szCs w:val="24"/>
          <w:lang w:eastAsia="it-IT"/>
        </w:rPr>
        <w:t>opponibil</w:t>
      </w:r>
      <w:r w:rsidR="00E57870">
        <w:rPr>
          <w:rFonts w:ascii="Times New Roman" w:eastAsia="New Baskerville" w:hAnsi="Times New Roman" w:cs="Times New Roman"/>
          <w:sz w:val="24"/>
          <w:szCs w:val="24"/>
          <w:lang w:eastAsia="it-IT"/>
        </w:rPr>
        <w:t>e</w:t>
      </w:r>
      <w:r w:rsidRPr="00811032">
        <w:rPr>
          <w:rFonts w:ascii="Times New Roman" w:eastAsia="New Baskerville" w:hAnsi="Times New Roman" w:cs="Times New Roman"/>
          <w:sz w:val="24"/>
          <w:szCs w:val="24"/>
          <w:lang w:eastAsia="it-IT"/>
        </w:rPr>
        <w:t xml:space="preserve"> din</w:t>
      </w:r>
      <w:r>
        <w:rPr>
          <w:rFonts w:ascii="Times New Roman" w:eastAsia="New Baskerville" w:hAnsi="Times New Roman" w:cs="Times New Roman"/>
          <w:sz w:val="24"/>
          <w:szCs w:val="24"/>
          <w:lang w:eastAsia="it-IT"/>
        </w:rPr>
        <w:t>anzi al giudice ordinario</w:t>
      </w:r>
      <w:r w:rsidRPr="00811032">
        <w:rPr>
          <w:rFonts w:ascii="Times New Roman" w:eastAsia="New Baskerville" w:hAnsi="Times New Roman" w:cs="Times New Roman"/>
          <w:sz w:val="24"/>
          <w:szCs w:val="24"/>
          <w:lang w:eastAsia="it-IT"/>
        </w:rPr>
        <w:t>.</w:t>
      </w:r>
    </w:p>
    <w:p w:rsidR="00930C4D" w:rsidRPr="00974501" w:rsidRDefault="00930C4D" w:rsidP="00367C00">
      <w:pPr>
        <w:spacing w:before="299" w:after="0" w:line="360" w:lineRule="auto"/>
        <w:ind w:left="142" w:firstLine="992"/>
        <w:jc w:val="both"/>
        <w:rPr>
          <w:rFonts w:ascii="Times New Roman" w:eastAsia="New Baskerville" w:hAnsi="Times New Roman" w:cs="Times New Roman"/>
          <w:sz w:val="24"/>
          <w:szCs w:val="24"/>
          <w:lang w:eastAsia="it-IT"/>
        </w:rPr>
      </w:pPr>
    </w:p>
    <w:p w:rsidR="00930C4D" w:rsidRPr="00974501" w:rsidRDefault="00930C4D" w:rsidP="00367C00">
      <w:pPr>
        <w:numPr>
          <w:ilvl w:val="0"/>
          <w:numId w:val="5"/>
        </w:numPr>
        <w:spacing w:before="299" w:after="0" w:line="360" w:lineRule="auto"/>
        <w:ind w:left="142" w:firstLine="992"/>
        <w:jc w:val="both"/>
        <w:rPr>
          <w:rFonts w:ascii="Times New Roman" w:eastAsia="New Baskerville" w:hAnsi="Times New Roman" w:cs="Times New Roman"/>
          <w:b/>
          <w:sz w:val="24"/>
          <w:szCs w:val="24"/>
          <w:u w:val="single"/>
          <w:lang w:eastAsia="it-IT"/>
        </w:rPr>
      </w:pPr>
      <w:r w:rsidRPr="00974501">
        <w:rPr>
          <w:rFonts w:ascii="Times New Roman" w:eastAsia="New Baskerville" w:hAnsi="Times New Roman" w:cs="Times New Roman"/>
          <w:b/>
          <w:sz w:val="24"/>
          <w:szCs w:val="24"/>
          <w:u w:val="single"/>
          <w:lang w:eastAsia="it-IT"/>
        </w:rPr>
        <w:t>Trasparenza</w:t>
      </w:r>
      <w:r w:rsidR="001F5BB0" w:rsidRPr="00974501">
        <w:rPr>
          <w:rFonts w:ascii="Times New Roman" w:eastAsia="New Baskerville" w:hAnsi="Times New Roman" w:cs="Times New Roman"/>
          <w:b/>
          <w:sz w:val="24"/>
          <w:szCs w:val="24"/>
          <w:u w:val="single"/>
          <w:lang w:eastAsia="it-IT"/>
        </w:rPr>
        <w:t xml:space="preserve"> e partecipazione</w:t>
      </w:r>
      <w:r w:rsidR="000D04F8" w:rsidRPr="00974501">
        <w:rPr>
          <w:rFonts w:ascii="Times New Roman" w:eastAsia="New Baskerville" w:hAnsi="Times New Roman" w:cs="Times New Roman"/>
          <w:b/>
          <w:sz w:val="24"/>
          <w:szCs w:val="24"/>
          <w:u w:val="single"/>
          <w:lang w:eastAsia="it-IT"/>
        </w:rPr>
        <w:t>.</w:t>
      </w:r>
    </w:p>
    <w:p w:rsidR="00930C4D" w:rsidRPr="00974501" w:rsidRDefault="00466077"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Sempre i</w:t>
      </w:r>
      <w:r w:rsidR="00930C4D" w:rsidRPr="00974501">
        <w:rPr>
          <w:rFonts w:ascii="Times New Roman" w:eastAsia="New Baskerville" w:hAnsi="Times New Roman" w:cs="Times New Roman"/>
          <w:sz w:val="24"/>
          <w:szCs w:val="24"/>
          <w:lang w:eastAsia="it-IT"/>
        </w:rPr>
        <w:t>l parere del Consiglio di Stato avverte c</w:t>
      </w:r>
      <w:r>
        <w:rPr>
          <w:rFonts w:ascii="Times New Roman" w:eastAsia="New Baskerville" w:hAnsi="Times New Roman" w:cs="Times New Roman"/>
          <w:sz w:val="24"/>
          <w:szCs w:val="24"/>
          <w:lang w:eastAsia="it-IT"/>
        </w:rPr>
        <w:t>om</w:t>
      </w:r>
      <w:r w:rsidR="00930C4D" w:rsidRPr="00974501">
        <w:rPr>
          <w:rFonts w:ascii="Times New Roman" w:eastAsia="New Baskerville" w:hAnsi="Times New Roman" w:cs="Times New Roman"/>
          <w:sz w:val="24"/>
          <w:szCs w:val="24"/>
          <w:lang w:eastAsia="it-IT"/>
        </w:rPr>
        <w:t>e,</w:t>
      </w:r>
      <w:r w:rsidR="00491B2C" w:rsidRPr="00974501">
        <w:rPr>
          <w:rFonts w:ascii="Times New Roman" w:eastAsia="New Baskerville" w:hAnsi="Times New Roman" w:cs="Times New Roman"/>
          <w:sz w:val="24"/>
          <w:szCs w:val="24"/>
          <w:lang w:eastAsia="it-IT"/>
        </w:rPr>
        <w:t xml:space="preserve"> al fine di assicurare effettività all’attuazione del principio di trasparenza, </w:t>
      </w:r>
      <w:r>
        <w:rPr>
          <w:rFonts w:ascii="Times New Roman" w:eastAsia="New Baskerville" w:hAnsi="Times New Roman" w:cs="Times New Roman"/>
          <w:sz w:val="24"/>
          <w:szCs w:val="24"/>
          <w:lang w:eastAsia="it-IT"/>
        </w:rPr>
        <w:t>sia</w:t>
      </w:r>
      <w:r w:rsidR="00491B2C" w:rsidRPr="00974501">
        <w:rPr>
          <w:rFonts w:ascii="Times New Roman" w:eastAsia="New Baskerville" w:hAnsi="Times New Roman" w:cs="Times New Roman"/>
          <w:sz w:val="24"/>
          <w:szCs w:val="24"/>
          <w:lang w:eastAsia="it-IT"/>
        </w:rPr>
        <w:t xml:space="preserve"> necessario “coniugare trasparenza e semplicità</w:t>
      </w:r>
      <w:r w:rsidR="00930C4D" w:rsidRPr="00974501">
        <w:rPr>
          <w:rFonts w:ascii="Times New Roman" w:eastAsia="New Baskerville" w:hAnsi="Times New Roman" w:cs="Times New Roman"/>
          <w:sz w:val="24"/>
          <w:szCs w:val="24"/>
          <w:lang w:eastAsia="it-IT"/>
        </w:rPr>
        <w:t>”</w:t>
      </w:r>
      <w:r w:rsidR="00491B2C" w:rsidRPr="00974501">
        <w:rPr>
          <w:rFonts w:ascii="Times New Roman" w:eastAsia="New Baskerville" w:hAnsi="Times New Roman" w:cs="Times New Roman"/>
          <w:sz w:val="24"/>
          <w:szCs w:val="24"/>
          <w:lang w:eastAsia="it-IT"/>
        </w:rPr>
        <w:t>.</w:t>
      </w:r>
    </w:p>
    <w:p w:rsidR="00350D1A" w:rsidRPr="00974501" w:rsidRDefault="00E06F6A"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L</w:t>
      </w:r>
      <w:r w:rsidR="001959F2" w:rsidRPr="00974501">
        <w:rPr>
          <w:rFonts w:ascii="Times New Roman" w:eastAsia="New Baskerville" w:hAnsi="Times New Roman" w:cs="Times New Roman"/>
          <w:sz w:val="24"/>
          <w:szCs w:val="24"/>
          <w:lang w:eastAsia="it-IT"/>
        </w:rPr>
        <w:t>a trasparenza</w:t>
      </w:r>
      <w:r w:rsidR="00350D1A" w:rsidRPr="00974501">
        <w:rPr>
          <w:rFonts w:ascii="Times New Roman" w:eastAsia="New Baskerville" w:hAnsi="Times New Roman" w:cs="Times New Roman"/>
          <w:sz w:val="24"/>
          <w:szCs w:val="24"/>
          <w:lang w:eastAsia="it-IT"/>
        </w:rPr>
        <w:t xml:space="preserve">, </w:t>
      </w:r>
      <w:r w:rsidR="00930C4D" w:rsidRPr="00974501">
        <w:rPr>
          <w:rFonts w:ascii="Times New Roman" w:eastAsia="New Baskerville" w:hAnsi="Times New Roman" w:cs="Times New Roman"/>
          <w:sz w:val="24"/>
          <w:szCs w:val="24"/>
          <w:lang w:eastAsia="it-IT"/>
        </w:rPr>
        <w:t>in quanto</w:t>
      </w:r>
      <w:r w:rsidR="00350D1A" w:rsidRPr="00974501">
        <w:rPr>
          <w:rFonts w:ascii="Times New Roman" w:eastAsia="New Baskerville" w:hAnsi="Times New Roman" w:cs="Times New Roman"/>
          <w:sz w:val="24"/>
          <w:szCs w:val="24"/>
          <w:lang w:eastAsia="it-IT"/>
        </w:rPr>
        <w:t xml:space="preserve"> valore immanente all</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 xml:space="preserve">ordinamento, </w:t>
      </w:r>
      <w:r w:rsidR="00930C4D" w:rsidRPr="00974501">
        <w:rPr>
          <w:rFonts w:ascii="Times New Roman" w:eastAsia="New Baskerville" w:hAnsi="Times New Roman" w:cs="Times New Roman"/>
          <w:sz w:val="24"/>
          <w:szCs w:val="24"/>
          <w:lang w:eastAsia="it-IT"/>
        </w:rPr>
        <w:t xml:space="preserve">deve rappresentare il </w:t>
      </w:r>
      <w:r w:rsidR="00350D1A" w:rsidRPr="00974501">
        <w:rPr>
          <w:rFonts w:ascii="Times New Roman" w:eastAsia="New Baskerville" w:hAnsi="Times New Roman" w:cs="Times New Roman"/>
          <w:sz w:val="24"/>
          <w:szCs w:val="24"/>
          <w:lang w:eastAsia="it-IT"/>
        </w:rPr>
        <w:t>“modo d</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essere tendenziale dell</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 xml:space="preserve">organizzazione dei pubblici poteri”, </w:t>
      </w:r>
      <w:r w:rsidR="00930C4D" w:rsidRPr="00974501">
        <w:rPr>
          <w:rFonts w:ascii="Times New Roman" w:eastAsia="New Baskerville" w:hAnsi="Times New Roman" w:cs="Times New Roman"/>
          <w:sz w:val="24"/>
          <w:szCs w:val="24"/>
          <w:lang w:eastAsia="it-IT"/>
        </w:rPr>
        <w:t xml:space="preserve">il </w:t>
      </w:r>
      <w:r w:rsidR="00350D1A" w:rsidRPr="00974501">
        <w:rPr>
          <w:rFonts w:ascii="Times New Roman" w:eastAsia="New Baskerville" w:hAnsi="Times New Roman" w:cs="Times New Roman"/>
          <w:sz w:val="24"/>
          <w:szCs w:val="24"/>
          <w:lang w:eastAsia="it-IT"/>
        </w:rPr>
        <w:t>parametro cui commisurare l</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 xml:space="preserve">azione delle figure soggettive pubbliche, che consenta di trovare il </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giusto</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 xml:space="preserve"> punto di raccordo tra le esigenze di garanzia e di efficienza nello svolgimento dell</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 xml:space="preserve">azione amministrativa. </w:t>
      </w:r>
    </w:p>
    <w:p w:rsidR="00350D1A" w:rsidRPr="00974501" w:rsidRDefault="00E06F6A"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Essa</w:t>
      </w:r>
      <w:r w:rsidR="00350D1A" w:rsidRPr="00974501">
        <w:rPr>
          <w:rFonts w:ascii="Times New Roman" w:eastAsia="New Baskerville" w:hAnsi="Times New Roman" w:cs="Times New Roman"/>
          <w:sz w:val="24"/>
          <w:szCs w:val="24"/>
          <w:lang w:eastAsia="it-IT"/>
        </w:rPr>
        <w:t xml:space="preserve"> deve, così, diventare un </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punto di confluenza</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 xml:space="preserve"> dei princ</w:t>
      </w:r>
      <w:r>
        <w:rPr>
          <w:rFonts w:ascii="Times New Roman" w:eastAsia="New Baskerville" w:hAnsi="Times New Roman" w:cs="Times New Roman"/>
          <w:sz w:val="24"/>
          <w:szCs w:val="24"/>
          <w:lang w:eastAsia="it-IT"/>
        </w:rPr>
        <w:t>ì</w:t>
      </w:r>
      <w:r w:rsidR="00350D1A" w:rsidRPr="00974501">
        <w:rPr>
          <w:rFonts w:ascii="Times New Roman" w:eastAsia="New Baskerville" w:hAnsi="Times New Roman" w:cs="Times New Roman"/>
          <w:sz w:val="24"/>
          <w:szCs w:val="24"/>
          <w:lang w:eastAsia="it-IT"/>
        </w:rPr>
        <w:t>pi giuridici, costituzionalmente posti, dell</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azione amministrativa (dal buon andamento all</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 xml:space="preserve">imparzialità, al rispetto del cd. </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principio di legalità sostanziale</w:t>
      </w:r>
      <w:r w:rsidR="00C87340" w:rsidRPr="00974501">
        <w:rPr>
          <w:rFonts w:ascii="Times New Roman" w:eastAsia="New Baskerville" w:hAnsi="Times New Roman" w:cs="Times New Roman"/>
          <w:sz w:val="24"/>
          <w:szCs w:val="24"/>
          <w:lang w:eastAsia="it-IT"/>
        </w:rPr>
        <w:t>’</w:t>
      </w:r>
      <w:r w:rsidR="00350D1A" w:rsidRPr="00974501">
        <w:rPr>
          <w:rFonts w:ascii="Times New Roman" w:eastAsia="New Baskerville" w:hAnsi="Times New Roman" w:cs="Times New Roman"/>
          <w:sz w:val="24"/>
          <w:szCs w:val="24"/>
          <w:lang w:eastAsia="it-IT"/>
        </w:rPr>
        <w:t xml:space="preserve">, al metodo di partecipazione democratica), dal quale derivano istituti giuridici, di tipo trasversale, che possono essere considerati come volti a realizzare la trasparenza. </w:t>
      </w:r>
    </w:p>
    <w:p w:rsidR="00350D1A" w:rsidRPr="00974501" w:rsidRDefault="00350D1A"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In altri termini, se 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interesse pubblico – inteso tecnicamente come </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causa</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atto (e del potere) amministrativo – non può più essere rigidamente predeterminato e imposto, ma costituisce in concreto la risultante di un processo di formazione cui sono chiamati a partecipare sempre più attivamente i componenti della comunità, occorre anche </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rendere visibile</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il modo di formazione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interesse medesimo, i soggetti che vi concorrono, le fasi del procedimento di formazione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atto, nonché </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rendere conoscibili</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i dati di base, i presupposti da cui si muove, i modi di esercizio del potere, ivi comprese le risorse utilizzate.</w:t>
      </w:r>
    </w:p>
    <w:p w:rsidR="00350D1A" w:rsidRPr="00974501" w:rsidRDefault="00350D1A"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Ciò al fine di realizzare 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aspirazione a una democrazia intesa come “regime del potere visibile” (secondo la definizione di Norberto Bobbio).</w:t>
      </w:r>
    </w:p>
    <w:p w:rsidR="00350D1A" w:rsidRPr="00974501" w:rsidRDefault="00350D1A"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La trasparenza si pone, allora, non solo come forma di prevenzione dei fenomeni corruttivi, ma come strumento ordinario e primario di </w:t>
      </w:r>
      <w:proofErr w:type="spellStart"/>
      <w:r w:rsidRPr="00974501">
        <w:rPr>
          <w:rFonts w:ascii="Times New Roman" w:eastAsia="New Baskerville" w:hAnsi="Times New Roman" w:cs="Times New Roman"/>
          <w:sz w:val="24"/>
          <w:szCs w:val="24"/>
          <w:lang w:eastAsia="it-IT"/>
        </w:rPr>
        <w:t>ri</w:t>
      </w:r>
      <w:proofErr w:type="spellEnd"/>
      <w:r w:rsidRPr="00974501">
        <w:rPr>
          <w:rFonts w:ascii="Times New Roman" w:eastAsia="New Baskerville" w:hAnsi="Times New Roman" w:cs="Times New Roman"/>
          <w:sz w:val="24"/>
          <w:szCs w:val="24"/>
          <w:lang w:eastAsia="it-IT"/>
        </w:rPr>
        <w:t xml:space="preserve">-avvicinamento del cittadino alla pubblica amministrazione, destinata sempre più ad assumere i contorni di una </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casa di vetro</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nell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ambito di una visione più ampia dei diritti fondamentali sanciti dall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articolo 2 </w:t>
      </w:r>
      <w:proofErr w:type="gramStart"/>
      <w:r w:rsidRPr="00974501">
        <w:rPr>
          <w:rFonts w:ascii="Times New Roman" w:eastAsia="New Baskerville" w:hAnsi="Times New Roman" w:cs="Times New Roman"/>
          <w:sz w:val="24"/>
          <w:szCs w:val="24"/>
          <w:lang w:eastAsia="it-IT"/>
        </w:rPr>
        <w:t>Cost</w:t>
      </w:r>
      <w:r w:rsidR="00E06F6A">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w:t>
      </w:r>
      <w:proofErr w:type="gramEnd"/>
      <w:r w:rsidRPr="00974501">
        <w:rPr>
          <w:rFonts w:ascii="Times New Roman" w:eastAsia="New Baskerville" w:hAnsi="Times New Roman" w:cs="Times New Roman"/>
          <w:sz w:val="24"/>
          <w:szCs w:val="24"/>
          <w:lang w:eastAsia="it-IT"/>
        </w:rPr>
        <w:t xml:space="preserve"> che non può prescindere dalla partecipazione ai pubblici poteri.</w:t>
      </w:r>
    </w:p>
    <w:p w:rsidR="00E06F6A" w:rsidRDefault="00466077"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Nondimeno</w:t>
      </w:r>
      <w:r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è stato</w:t>
      </w:r>
      <w:r w:rsidRPr="00974501">
        <w:rPr>
          <w:rFonts w:ascii="Times New Roman" w:eastAsia="New Baskerville" w:hAnsi="Times New Roman" w:cs="Times New Roman"/>
          <w:sz w:val="24"/>
          <w:szCs w:val="24"/>
          <w:lang w:eastAsia="it-IT"/>
        </w:rPr>
        <w:t xml:space="preserve"> s</w:t>
      </w:r>
      <w:r w:rsidR="00E06F6A">
        <w:rPr>
          <w:rFonts w:ascii="Times New Roman" w:eastAsia="New Baskerville" w:hAnsi="Times New Roman" w:cs="Times New Roman"/>
          <w:sz w:val="24"/>
          <w:szCs w:val="24"/>
          <w:lang w:eastAsia="it-IT"/>
        </w:rPr>
        <w:t>tigmatizz</w:t>
      </w:r>
      <w:r w:rsidRPr="00974501">
        <w:rPr>
          <w:rFonts w:ascii="Times New Roman" w:eastAsia="New Baskerville" w:hAnsi="Times New Roman" w:cs="Times New Roman"/>
          <w:sz w:val="24"/>
          <w:szCs w:val="24"/>
          <w:lang w:eastAsia="it-IT"/>
        </w:rPr>
        <w:t>a</w:t>
      </w:r>
      <w:r>
        <w:rPr>
          <w:rFonts w:ascii="Times New Roman" w:eastAsia="New Baskerville" w:hAnsi="Times New Roman" w:cs="Times New Roman"/>
          <w:sz w:val="24"/>
          <w:szCs w:val="24"/>
          <w:lang w:eastAsia="it-IT"/>
        </w:rPr>
        <w:t>to</w:t>
      </w:r>
      <w:r w:rsidRPr="00974501">
        <w:rPr>
          <w:rFonts w:ascii="Times New Roman" w:eastAsia="New Baskerville" w:hAnsi="Times New Roman" w:cs="Times New Roman"/>
          <w:sz w:val="24"/>
          <w:szCs w:val="24"/>
          <w:lang w:eastAsia="it-IT"/>
        </w:rPr>
        <w:t xml:space="preserve"> come “a volte, in passato, l’esigenza di trasparenza è stata collegata ad oneri – regolatori, amministrativi, economici – ‘non necessari’ al perseguimento dello scopo.</w:t>
      </w:r>
    </w:p>
    <w:p w:rsidR="00466077" w:rsidRPr="00974501" w:rsidRDefault="0046607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Ciò ha indebolito, di fatto, il perseguimento dello scopo medesimo, creando piuttosto una sorta di ‘burocrazia della trasparenza’ che andava a sovrapporsi alla burocrazia già esistente, con risultati poco rilevanti per la tutela di questo valore fondamentale, ma con importanti effetti collaterali negativi, dall’incremento di oneri all’incentivazione degli stessi fenomeni corruttivi che si intendeva contrastare”.</w:t>
      </w:r>
    </w:p>
    <w:p w:rsidR="00924191" w:rsidRDefault="00924191" w:rsidP="00367C00">
      <w:pPr>
        <w:spacing w:before="299" w:after="0" w:line="360" w:lineRule="auto"/>
        <w:ind w:left="142" w:firstLine="992"/>
        <w:jc w:val="both"/>
        <w:rPr>
          <w:rFonts w:ascii="Times New Roman" w:eastAsia="New Baskerville" w:hAnsi="Times New Roman" w:cs="Times New Roman"/>
          <w:sz w:val="24"/>
          <w:szCs w:val="24"/>
          <w:lang w:eastAsia="it-IT"/>
        </w:rPr>
      </w:pPr>
    </w:p>
    <w:p w:rsidR="00810ACB" w:rsidRPr="00974501" w:rsidRDefault="00FF3F50" w:rsidP="00367C00">
      <w:pPr>
        <w:numPr>
          <w:ilvl w:val="0"/>
          <w:numId w:val="5"/>
        </w:numPr>
        <w:spacing w:before="299" w:after="0" w:line="360" w:lineRule="auto"/>
        <w:ind w:left="142" w:firstLine="992"/>
        <w:jc w:val="both"/>
        <w:rPr>
          <w:rFonts w:ascii="Times New Roman" w:eastAsia="New Baskerville" w:hAnsi="Times New Roman" w:cs="Times New Roman"/>
          <w:b/>
          <w:sz w:val="24"/>
          <w:szCs w:val="24"/>
          <w:u w:val="single"/>
          <w:lang w:eastAsia="it-IT"/>
        </w:rPr>
      </w:pPr>
      <w:r>
        <w:rPr>
          <w:rFonts w:ascii="Times New Roman" w:eastAsia="New Baskerville" w:hAnsi="Times New Roman" w:cs="Times New Roman"/>
          <w:b/>
          <w:sz w:val="24"/>
          <w:szCs w:val="24"/>
          <w:u w:val="single"/>
          <w:lang w:eastAsia="it-IT"/>
        </w:rPr>
        <w:t>A</w:t>
      </w:r>
      <w:r w:rsidRPr="00974501">
        <w:rPr>
          <w:rFonts w:ascii="Times New Roman" w:eastAsia="New Baskerville" w:hAnsi="Times New Roman" w:cs="Times New Roman"/>
          <w:b/>
          <w:sz w:val="24"/>
          <w:szCs w:val="24"/>
          <w:u w:val="single"/>
          <w:lang w:eastAsia="it-IT"/>
        </w:rPr>
        <w:t xml:space="preserve">ccesso civico ed </w:t>
      </w:r>
      <w:r>
        <w:rPr>
          <w:rFonts w:ascii="Times New Roman" w:eastAsia="New Baskerville" w:hAnsi="Times New Roman" w:cs="Times New Roman"/>
          <w:b/>
          <w:sz w:val="24"/>
          <w:szCs w:val="24"/>
          <w:u w:val="single"/>
          <w:lang w:eastAsia="it-IT"/>
        </w:rPr>
        <w:t>a</w:t>
      </w:r>
      <w:r w:rsidR="00E979B4" w:rsidRPr="00974501">
        <w:rPr>
          <w:rFonts w:ascii="Times New Roman" w:eastAsia="New Baskerville" w:hAnsi="Times New Roman" w:cs="Times New Roman"/>
          <w:b/>
          <w:sz w:val="24"/>
          <w:szCs w:val="24"/>
          <w:u w:val="single"/>
          <w:lang w:eastAsia="it-IT"/>
        </w:rPr>
        <w:t>ccesso documentale</w:t>
      </w:r>
      <w:r w:rsidR="000D04F8" w:rsidRPr="00974501">
        <w:rPr>
          <w:rFonts w:ascii="Times New Roman" w:eastAsia="New Baskerville" w:hAnsi="Times New Roman" w:cs="Times New Roman"/>
          <w:b/>
          <w:sz w:val="24"/>
          <w:szCs w:val="24"/>
          <w:u w:val="single"/>
          <w:lang w:eastAsia="it-IT"/>
        </w:rPr>
        <w:t>.</w:t>
      </w:r>
    </w:p>
    <w:p w:rsidR="00AC0286" w:rsidRDefault="009E33F6" w:rsidP="00D103E7">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La disciplina del d.lgs. n. 33/2013 </w:t>
      </w:r>
      <w:r w:rsidR="00AC0286">
        <w:rPr>
          <w:rFonts w:ascii="Times New Roman" w:eastAsia="New Baskerville" w:hAnsi="Times New Roman" w:cs="Times New Roman"/>
          <w:sz w:val="24"/>
          <w:szCs w:val="24"/>
          <w:lang w:eastAsia="it-IT"/>
        </w:rPr>
        <w:t xml:space="preserve">si </w:t>
      </w:r>
      <w:r w:rsidRPr="00974501">
        <w:rPr>
          <w:rFonts w:ascii="Times New Roman" w:eastAsia="New Baskerville" w:hAnsi="Times New Roman" w:cs="Times New Roman"/>
          <w:sz w:val="24"/>
          <w:szCs w:val="24"/>
          <w:lang w:eastAsia="it-IT"/>
        </w:rPr>
        <w:t xml:space="preserve">aggiunge </w:t>
      </w:r>
      <w:r w:rsidR="00D103E7">
        <w:rPr>
          <w:rFonts w:ascii="Times New Roman" w:eastAsia="New Baskerville" w:hAnsi="Times New Roman" w:cs="Times New Roman"/>
          <w:sz w:val="24"/>
          <w:szCs w:val="24"/>
          <w:lang w:eastAsia="it-IT"/>
        </w:rPr>
        <w:t xml:space="preserve">– e non sostituisce – </w:t>
      </w:r>
      <w:r w:rsidRPr="00974501">
        <w:rPr>
          <w:rFonts w:ascii="Times New Roman" w:eastAsia="New Baskerville" w:hAnsi="Times New Roman" w:cs="Times New Roman"/>
          <w:sz w:val="24"/>
          <w:szCs w:val="24"/>
          <w:lang w:eastAsia="it-IT"/>
        </w:rPr>
        <w:t>a</w:t>
      </w:r>
      <w:r w:rsidR="00003D78">
        <w:rPr>
          <w:rFonts w:ascii="Times New Roman" w:eastAsia="New Baskerville" w:hAnsi="Times New Roman" w:cs="Times New Roman"/>
          <w:sz w:val="24"/>
          <w:szCs w:val="24"/>
          <w:lang w:eastAsia="it-IT"/>
        </w:rPr>
        <w:t xml:space="preserve"> que</w:t>
      </w:r>
      <w:r w:rsidRPr="00974501">
        <w:rPr>
          <w:rFonts w:ascii="Times New Roman" w:eastAsia="New Baskerville" w:hAnsi="Times New Roman" w:cs="Times New Roman"/>
          <w:sz w:val="24"/>
          <w:szCs w:val="24"/>
          <w:lang w:eastAsia="it-IT"/>
        </w:rPr>
        <w:t>lla</w:t>
      </w:r>
      <w:r w:rsidR="00003D78">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più risalente</w:t>
      </w:r>
      <w:r w:rsidR="00003D78">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w:t>
      </w:r>
      <w:r w:rsidR="00D103E7">
        <w:rPr>
          <w:rFonts w:ascii="Times New Roman" w:eastAsia="New Baskerville" w:hAnsi="Times New Roman" w:cs="Times New Roman"/>
          <w:sz w:val="24"/>
          <w:szCs w:val="24"/>
          <w:lang w:eastAsia="it-IT"/>
        </w:rPr>
        <w:t>sull’</w:t>
      </w:r>
      <w:r w:rsidRPr="00974501">
        <w:rPr>
          <w:rFonts w:ascii="Times New Roman" w:eastAsia="New Baskerville" w:hAnsi="Times New Roman" w:cs="Times New Roman"/>
          <w:sz w:val="24"/>
          <w:szCs w:val="24"/>
          <w:lang w:eastAsia="it-IT"/>
        </w:rPr>
        <w:t xml:space="preserve">accesso ai documenti (art. 22 e segg. della legge n. 241/1990), </w:t>
      </w:r>
      <w:r w:rsidR="00E06F6A">
        <w:rPr>
          <w:rFonts w:ascii="Times New Roman" w:eastAsia="New Baskerville" w:hAnsi="Times New Roman" w:cs="Times New Roman"/>
          <w:sz w:val="24"/>
          <w:szCs w:val="24"/>
          <w:lang w:eastAsia="it-IT"/>
        </w:rPr>
        <w:t xml:space="preserve">introducendo, </w:t>
      </w:r>
      <w:r w:rsidR="00AC0286">
        <w:rPr>
          <w:rFonts w:ascii="Times New Roman" w:eastAsia="New Baskerville" w:hAnsi="Times New Roman" w:cs="Times New Roman"/>
          <w:sz w:val="24"/>
          <w:szCs w:val="24"/>
          <w:lang w:eastAsia="it-IT"/>
        </w:rPr>
        <w:t xml:space="preserve">anzitutto, </w:t>
      </w:r>
      <w:r w:rsidRPr="00974501">
        <w:rPr>
          <w:rFonts w:ascii="Times New Roman" w:eastAsia="New Baskerville" w:hAnsi="Times New Roman" w:cs="Times New Roman"/>
          <w:sz w:val="24"/>
          <w:szCs w:val="24"/>
          <w:lang w:eastAsia="it-IT"/>
        </w:rPr>
        <w:t xml:space="preserve">una serie di obblighi di pubblicazione </w:t>
      </w:r>
      <w:r w:rsidR="00AC0286" w:rsidRPr="00974501">
        <w:rPr>
          <w:rFonts w:ascii="Times New Roman" w:eastAsia="New Baskerville" w:hAnsi="Times New Roman" w:cs="Times New Roman"/>
          <w:sz w:val="24"/>
          <w:szCs w:val="24"/>
          <w:lang w:eastAsia="it-IT"/>
        </w:rPr>
        <w:t xml:space="preserve">in capo all’amministrazione </w:t>
      </w:r>
      <w:r w:rsidRPr="00974501">
        <w:rPr>
          <w:rFonts w:ascii="Times New Roman" w:eastAsia="New Baskerville" w:hAnsi="Times New Roman" w:cs="Times New Roman"/>
          <w:sz w:val="24"/>
          <w:szCs w:val="24"/>
          <w:lang w:eastAsia="it-IT"/>
        </w:rPr>
        <w:t>(art. 12 e segg.)</w:t>
      </w:r>
      <w:r w:rsidR="00AC0286">
        <w:rPr>
          <w:rFonts w:ascii="Times New Roman" w:eastAsia="New Baskerville" w:hAnsi="Times New Roman" w:cs="Times New Roman"/>
          <w:sz w:val="24"/>
          <w:szCs w:val="24"/>
          <w:lang w:eastAsia="it-IT"/>
        </w:rPr>
        <w:t>.</w:t>
      </w:r>
    </w:p>
    <w:p w:rsidR="009E33F6" w:rsidRPr="00974501" w:rsidRDefault="007D27B2"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V</w:t>
      </w:r>
      <w:r w:rsidR="009E33F6" w:rsidRPr="00974501">
        <w:rPr>
          <w:rFonts w:ascii="Times New Roman" w:eastAsia="New Baskerville" w:hAnsi="Times New Roman" w:cs="Times New Roman"/>
          <w:sz w:val="24"/>
          <w:szCs w:val="24"/>
          <w:lang w:eastAsia="it-IT"/>
        </w:rPr>
        <w:t xml:space="preserve">iene </w:t>
      </w:r>
      <w:r w:rsidR="00D103E7">
        <w:rPr>
          <w:rFonts w:ascii="Times New Roman" w:eastAsia="New Baskerville" w:hAnsi="Times New Roman" w:cs="Times New Roman"/>
          <w:sz w:val="24"/>
          <w:szCs w:val="24"/>
          <w:lang w:eastAsia="it-IT"/>
        </w:rPr>
        <w:t xml:space="preserve">così </w:t>
      </w:r>
      <w:r w:rsidR="009E33F6" w:rsidRPr="00974501">
        <w:rPr>
          <w:rFonts w:ascii="Times New Roman" w:eastAsia="New Baskerville" w:hAnsi="Times New Roman" w:cs="Times New Roman"/>
          <w:sz w:val="24"/>
          <w:szCs w:val="24"/>
          <w:lang w:eastAsia="it-IT"/>
        </w:rPr>
        <w:t>assicurata a</w:t>
      </w:r>
      <w:r w:rsidR="00AC0286">
        <w:rPr>
          <w:rFonts w:ascii="Times New Roman" w:eastAsia="New Baskerville" w:hAnsi="Times New Roman" w:cs="Times New Roman"/>
          <w:sz w:val="24"/>
          <w:szCs w:val="24"/>
          <w:lang w:eastAsia="it-IT"/>
        </w:rPr>
        <w:t>l</w:t>
      </w:r>
      <w:r w:rsidR="009E33F6" w:rsidRPr="00974501">
        <w:rPr>
          <w:rFonts w:ascii="Times New Roman" w:eastAsia="New Baskerville" w:hAnsi="Times New Roman" w:cs="Times New Roman"/>
          <w:sz w:val="24"/>
          <w:szCs w:val="24"/>
          <w:lang w:eastAsia="it-IT"/>
        </w:rPr>
        <w:t xml:space="preserve"> cittadin</w:t>
      </w:r>
      <w:r w:rsidRPr="00974501">
        <w:rPr>
          <w:rFonts w:ascii="Times New Roman" w:eastAsia="New Baskerville" w:hAnsi="Times New Roman" w:cs="Times New Roman"/>
          <w:sz w:val="24"/>
          <w:szCs w:val="24"/>
          <w:lang w:eastAsia="it-IT"/>
        </w:rPr>
        <w:t xml:space="preserve">o </w:t>
      </w:r>
      <w:r w:rsidR="009E33F6" w:rsidRPr="00974501">
        <w:rPr>
          <w:rFonts w:ascii="Times New Roman" w:eastAsia="New Baskerville" w:hAnsi="Times New Roman" w:cs="Times New Roman"/>
          <w:sz w:val="24"/>
          <w:szCs w:val="24"/>
          <w:lang w:eastAsia="it-IT"/>
        </w:rPr>
        <w:t>la possibilità di conoscere l’organizzazione e l’attività delle pubbliche amministrazioni, anche attraverso l’obbligo</w:t>
      </w:r>
      <w:r w:rsidR="00AC0286">
        <w:rPr>
          <w:rFonts w:ascii="Times New Roman" w:eastAsia="New Baskerville" w:hAnsi="Times New Roman" w:cs="Times New Roman"/>
          <w:sz w:val="24"/>
          <w:szCs w:val="24"/>
          <w:lang w:eastAsia="it-IT"/>
        </w:rPr>
        <w:t>,</w:t>
      </w:r>
      <w:r w:rsidR="009E33F6" w:rsidRPr="00974501">
        <w:rPr>
          <w:rFonts w:ascii="Times New Roman" w:eastAsia="New Baskerville" w:hAnsi="Times New Roman" w:cs="Times New Roman"/>
          <w:sz w:val="24"/>
          <w:szCs w:val="24"/>
          <w:lang w:eastAsia="it-IT"/>
        </w:rPr>
        <w:t xml:space="preserve"> a queste imposto</w:t>
      </w:r>
      <w:r w:rsidR="00AC0286">
        <w:rPr>
          <w:rFonts w:ascii="Times New Roman" w:eastAsia="New Baskerville" w:hAnsi="Times New Roman" w:cs="Times New Roman"/>
          <w:sz w:val="24"/>
          <w:szCs w:val="24"/>
          <w:lang w:eastAsia="it-IT"/>
        </w:rPr>
        <w:t>,</w:t>
      </w:r>
      <w:r w:rsidR="009E33F6" w:rsidRPr="00974501">
        <w:rPr>
          <w:rFonts w:ascii="Times New Roman" w:eastAsia="New Baskerville" w:hAnsi="Times New Roman" w:cs="Times New Roman"/>
          <w:sz w:val="24"/>
          <w:szCs w:val="24"/>
          <w:lang w:eastAsia="it-IT"/>
        </w:rPr>
        <w:t xml:space="preserve"> di pubblicare sui siti istituzionali, nella sezione denominata “</w:t>
      </w:r>
      <w:r w:rsidR="00E06F6A">
        <w:rPr>
          <w:rFonts w:ascii="Times New Roman" w:eastAsia="New Baskerville" w:hAnsi="Times New Roman" w:cs="Times New Roman"/>
          <w:sz w:val="24"/>
          <w:szCs w:val="24"/>
          <w:lang w:eastAsia="it-IT"/>
        </w:rPr>
        <w:t>a</w:t>
      </w:r>
      <w:r w:rsidR="009E33F6" w:rsidRPr="00974501">
        <w:rPr>
          <w:rFonts w:ascii="Times New Roman" w:eastAsia="New Baskerville" w:hAnsi="Times New Roman" w:cs="Times New Roman"/>
          <w:sz w:val="24"/>
          <w:szCs w:val="24"/>
          <w:lang w:eastAsia="it-IT"/>
        </w:rPr>
        <w:t>mministrazione trasparente”, i documenti, i dati e le informazioni concernenti le scelte amministrative operate (artt. 12 e s</w:t>
      </w:r>
      <w:r w:rsidRPr="00974501">
        <w:rPr>
          <w:rFonts w:ascii="Times New Roman" w:eastAsia="New Baskerville" w:hAnsi="Times New Roman" w:cs="Times New Roman"/>
          <w:sz w:val="24"/>
          <w:szCs w:val="24"/>
          <w:lang w:eastAsia="it-IT"/>
        </w:rPr>
        <w:t>egg</w:t>
      </w:r>
      <w:r w:rsidR="009E33F6" w:rsidRPr="00974501">
        <w:rPr>
          <w:rFonts w:ascii="Times New Roman" w:eastAsia="New Baskerville" w:hAnsi="Times New Roman" w:cs="Times New Roman"/>
          <w:sz w:val="24"/>
          <w:szCs w:val="24"/>
          <w:lang w:eastAsia="it-IT"/>
        </w:rPr>
        <w:t>.), ad esclusione dei documenti per i quali è esclusa la pubblicazione, in base a norme specifiche</w:t>
      </w:r>
      <w:r w:rsidR="00E06F6A">
        <w:rPr>
          <w:rFonts w:ascii="Times New Roman" w:eastAsia="New Baskerville" w:hAnsi="Times New Roman" w:cs="Times New Roman"/>
          <w:sz w:val="24"/>
          <w:szCs w:val="24"/>
          <w:lang w:eastAsia="it-IT"/>
        </w:rPr>
        <w:t>,</w:t>
      </w:r>
      <w:r w:rsidR="009E33F6" w:rsidRPr="00974501">
        <w:rPr>
          <w:rFonts w:ascii="Times New Roman" w:eastAsia="New Baskerville" w:hAnsi="Times New Roman" w:cs="Times New Roman"/>
          <w:sz w:val="24"/>
          <w:szCs w:val="24"/>
          <w:lang w:eastAsia="it-IT"/>
        </w:rPr>
        <w:t xml:space="preserve"> ovvero per ragioni di segretezza, secondo quanto indicato nello stesso decreto.</w:t>
      </w:r>
    </w:p>
    <w:p w:rsidR="009E33F6" w:rsidRDefault="00AC0286" w:rsidP="00D103E7">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All’</w:t>
      </w:r>
      <w:r w:rsidRPr="00974501">
        <w:rPr>
          <w:rFonts w:ascii="Times New Roman" w:eastAsia="New Baskerville" w:hAnsi="Times New Roman" w:cs="Times New Roman"/>
          <w:sz w:val="24"/>
          <w:szCs w:val="24"/>
          <w:lang w:eastAsia="it-IT"/>
        </w:rPr>
        <w:t>art. 5</w:t>
      </w:r>
      <w:r>
        <w:rPr>
          <w:rFonts w:ascii="Times New Roman" w:eastAsia="New Baskerville" w:hAnsi="Times New Roman" w:cs="Times New Roman"/>
          <w:sz w:val="24"/>
          <w:szCs w:val="24"/>
          <w:lang w:eastAsia="it-IT"/>
        </w:rPr>
        <w:t>, v</w:t>
      </w:r>
      <w:r w:rsidR="009E33F6" w:rsidRPr="00974501">
        <w:rPr>
          <w:rFonts w:ascii="Times New Roman" w:eastAsia="New Baskerville" w:hAnsi="Times New Roman" w:cs="Times New Roman"/>
          <w:sz w:val="24"/>
          <w:szCs w:val="24"/>
          <w:lang w:eastAsia="it-IT"/>
        </w:rPr>
        <w:t>engono</w:t>
      </w:r>
      <w:r w:rsidR="00D103E7">
        <w:rPr>
          <w:rFonts w:ascii="Times New Roman" w:eastAsia="New Baskerville" w:hAnsi="Times New Roman" w:cs="Times New Roman"/>
          <w:sz w:val="24"/>
          <w:szCs w:val="24"/>
          <w:lang w:eastAsia="it-IT"/>
        </w:rPr>
        <w:t xml:space="preserve"> quindi</w:t>
      </w:r>
      <w:r w:rsidR="009E33F6" w:rsidRPr="00974501">
        <w:rPr>
          <w:rFonts w:ascii="Times New Roman" w:eastAsia="New Baskerville" w:hAnsi="Times New Roman" w:cs="Times New Roman"/>
          <w:sz w:val="24"/>
          <w:szCs w:val="24"/>
          <w:lang w:eastAsia="it-IT"/>
        </w:rPr>
        <w:t xml:space="preserve"> previste due forme aggiuntive di accesso: l’accesso civico </w:t>
      </w:r>
      <w:r w:rsidR="003B3656">
        <w:rPr>
          <w:rFonts w:ascii="Times New Roman" w:eastAsia="New Baskerville" w:hAnsi="Times New Roman" w:cs="Times New Roman"/>
          <w:sz w:val="24"/>
          <w:szCs w:val="24"/>
          <w:lang w:eastAsia="it-IT"/>
        </w:rPr>
        <w:t>‘</w:t>
      </w:r>
      <w:r w:rsidR="009E33F6" w:rsidRPr="00974501">
        <w:rPr>
          <w:rFonts w:ascii="Times New Roman" w:eastAsia="New Baskerville" w:hAnsi="Times New Roman" w:cs="Times New Roman"/>
          <w:sz w:val="24"/>
          <w:szCs w:val="24"/>
          <w:lang w:eastAsia="it-IT"/>
        </w:rPr>
        <w:t>semplice</w:t>
      </w:r>
      <w:r w:rsidR="003B3656">
        <w:rPr>
          <w:rFonts w:ascii="Times New Roman" w:eastAsia="New Baskerville" w:hAnsi="Times New Roman" w:cs="Times New Roman"/>
          <w:sz w:val="24"/>
          <w:szCs w:val="24"/>
          <w:lang w:eastAsia="it-IT"/>
        </w:rPr>
        <w:t>’</w:t>
      </w:r>
      <w:r>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comma 1)</w:t>
      </w:r>
      <w:r w:rsidR="009E33F6" w:rsidRPr="00974501">
        <w:rPr>
          <w:rFonts w:ascii="Times New Roman" w:eastAsia="New Baskerville" w:hAnsi="Times New Roman" w:cs="Times New Roman"/>
          <w:sz w:val="24"/>
          <w:szCs w:val="24"/>
          <w:lang w:eastAsia="it-IT"/>
        </w:rPr>
        <w:t>, che riguarda le istanze del cittadino volte ad ottenere la pubblicazione di dati e documenti nella sezione “</w:t>
      </w:r>
      <w:r w:rsidR="003B3656">
        <w:rPr>
          <w:rFonts w:ascii="Times New Roman" w:eastAsia="New Baskerville" w:hAnsi="Times New Roman" w:cs="Times New Roman"/>
          <w:sz w:val="24"/>
          <w:szCs w:val="24"/>
          <w:lang w:eastAsia="it-IT"/>
        </w:rPr>
        <w:t>a</w:t>
      </w:r>
      <w:r w:rsidR="009E33F6" w:rsidRPr="00974501">
        <w:rPr>
          <w:rFonts w:ascii="Times New Roman" w:eastAsia="New Baskerville" w:hAnsi="Times New Roman" w:cs="Times New Roman"/>
          <w:sz w:val="24"/>
          <w:szCs w:val="24"/>
          <w:lang w:eastAsia="it-IT"/>
        </w:rPr>
        <w:t xml:space="preserve">mministrazione trasparente”, quando essa è obbligatoria per legge ed è stata omessa; l’accesso civico </w:t>
      </w:r>
      <w:r w:rsidR="003B3656">
        <w:rPr>
          <w:rFonts w:ascii="Times New Roman" w:eastAsia="New Baskerville" w:hAnsi="Times New Roman" w:cs="Times New Roman"/>
          <w:sz w:val="24"/>
          <w:szCs w:val="24"/>
          <w:lang w:eastAsia="it-IT"/>
        </w:rPr>
        <w:t>‘</w:t>
      </w:r>
      <w:r w:rsidR="009E33F6" w:rsidRPr="00974501">
        <w:rPr>
          <w:rFonts w:ascii="Times New Roman" w:eastAsia="New Baskerville" w:hAnsi="Times New Roman" w:cs="Times New Roman"/>
          <w:sz w:val="24"/>
          <w:szCs w:val="24"/>
          <w:lang w:eastAsia="it-IT"/>
        </w:rPr>
        <w:t>generalizzato</w:t>
      </w:r>
      <w:r w:rsidR="003B3656">
        <w:rPr>
          <w:rFonts w:ascii="Times New Roman" w:eastAsia="New Baskerville" w:hAnsi="Times New Roman" w:cs="Times New Roman"/>
          <w:sz w:val="24"/>
          <w:szCs w:val="24"/>
          <w:lang w:eastAsia="it-IT"/>
        </w:rPr>
        <w:t>’</w:t>
      </w:r>
      <w:r>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 xml:space="preserve">comma </w:t>
      </w:r>
      <w:r>
        <w:rPr>
          <w:rFonts w:ascii="Times New Roman" w:eastAsia="New Baskerville" w:hAnsi="Times New Roman" w:cs="Times New Roman"/>
          <w:sz w:val="24"/>
          <w:szCs w:val="24"/>
          <w:lang w:eastAsia="it-IT"/>
        </w:rPr>
        <w:t>2</w:t>
      </w:r>
      <w:r w:rsidRPr="00974501">
        <w:rPr>
          <w:rFonts w:ascii="Times New Roman" w:eastAsia="New Baskerville" w:hAnsi="Times New Roman" w:cs="Times New Roman"/>
          <w:sz w:val="24"/>
          <w:szCs w:val="24"/>
          <w:lang w:eastAsia="it-IT"/>
        </w:rPr>
        <w:t>)</w:t>
      </w:r>
      <w:r w:rsidR="009E33F6" w:rsidRPr="00974501">
        <w:rPr>
          <w:rFonts w:ascii="Times New Roman" w:eastAsia="New Baskerville" w:hAnsi="Times New Roman" w:cs="Times New Roman"/>
          <w:sz w:val="24"/>
          <w:szCs w:val="24"/>
          <w:lang w:eastAsia="it-IT"/>
        </w:rPr>
        <w:t>, che riguarda le istanze intese a conoscere documenti “ulteriori” rispetto a quelli da pubblicare</w:t>
      </w:r>
      <w:r w:rsidR="00FA23AD">
        <w:rPr>
          <w:rFonts w:ascii="Times New Roman" w:eastAsia="New Baskerville" w:hAnsi="Times New Roman" w:cs="Times New Roman"/>
          <w:sz w:val="24"/>
          <w:szCs w:val="24"/>
          <w:lang w:eastAsia="it-IT"/>
        </w:rPr>
        <w:t xml:space="preserve"> obbligatoriamente</w:t>
      </w:r>
      <w:r w:rsidR="009E33F6" w:rsidRPr="00974501">
        <w:rPr>
          <w:rFonts w:ascii="Times New Roman" w:eastAsia="New Baskerville" w:hAnsi="Times New Roman" w:cs="Times New Roman"/>
          <w:sz w:val="24"/>
          <w:szCs w:val="24"/>
          <w:lang w:eastAsia="it-IT"/>
        </w:rPr>
        <w:t>.</w:t>
      </w:r>
    </w:p>
    <w:p w:rsidR="008136B7" w:rsidRPr="00974501" w:rsidRDefault="008136B7"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Ovviamente, deve trattarsi di dati o documenti </w:t>
      </w:r>
      <w:r w:rsidR="005E1B40">
        <w:rPr>
          <w:rFonts w:ascii="Times New Roman" w:eastAsia="New Baskerville" w:hAnsi="Times New Roman" w:cs="Times New Roman"/>
          <w:sz w:val="24"/>
          <w:szCs w:val="24"/>
          <w:lang w:eastAsia="it-IT"/>
        </w:rPr>
        <w:t>pre</w:t>
      </w:r>
      <w:r>
        <w:rPr>
          <w:rFonts w:ascii="Times New Roman" w:eastAsia="New Baskerville" w:hAnsi="Times New Roman" w:cs="Times New Roman"/>
          <w:sz w:val="24"/>
          <w:szCs w:val="24"/>
          <w:lang w:eastAsia="it-IT"/>
        </w:rPr>
        <w:t>esistenti</w:t>
      </w:r>
      <w:r w:rsidR="00E2233D">
        <w:rPr>
          <w:rFonts w:ascii="Times New Roman" w:eastAsia="New Baskerville" w:hAnsi="Times New Roman" w:cs="Times New Roman"/>
          <w:sz w:val="24"/>
          <w:szCs w:val="24"/>
          <w:lang w:eastAsia="it-IT"/>
        </w:rPr>
        <w:t>,</w:t>
      </w:r>
      <w:r>
        <w:rPr>
          <w:rFonts w:ascii="Times New Roman" w:eastAsia="New Baskerville" w:hAnsi="Times New Roman" w:cs="Times New Roman"/>
          <w:sz w:val="24"/>
          <w:szCs w:val="24"/>
          <w:lang w:eastAsia="it-IT"/>
        </w:rPr>
        <w:t xml:space="preserve"> e non da formare</w:t>
      </w:r>
      <w:r>
        <w:rPr>
          <w:rStyle w:val="Rimandonotaapidipagina"/>
          <w:rFonts w:ascii="Times New Roman" w:eastAsia="New Baskerville" w:hAnsi="Times New Roman" w:cs="Times New Roman"/>
          <w:sz w:val="24"/>
          <w:szCs w:val="24"/>
          <w:lang w:eastAsia="it-IT"/>
        </w:rPr>
        <w:footnoteReference w:id="8"/>
      </w:r>
      <w:r>
        <w:rPr>
          <w:rFonts w:ascii="Times New Roman" w:eastAsia="New Baskerville" w:hAnsi="Times New Roman" w:cs="Times New Roman"/>
          <w:sz w:val="24"/>
          <w:szCs w:val="24"/>
          <w:lang w:eastAsia="it-IT"/>
        </w:rPr>
        <w:t>.</w:t>
      </w:r>
    </w:p>
    <w:p w:rsidR="00F43A47" w:rsidRPr="00974501" w:rsidRDefault="007D27B2"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L’introduzione dell’istituto dell’accesso civico generalizzato rappresenta senz’altro l</w:t>
      </w:r>
      <w:r w:rsidR="00E979B4" w:rsidRPr="00974501">
        <w:rPr>
          <w:rFonts w:ascii="Times New Roman" w:eastAsia="New Baskerville" w:hAnsi="Times New Roman" w:cs="Times New Roman"/>
          <w:sz w:val="24"/>
          <w:szCs w:val="24"/>
          <w:lang w:eastAsia="it-IT"/>
        </w:rPr>
        <w:t xml:space="preserve">a </w:t>
      </w:r>
      <w:r w:rsidR="00E06F6A" w:rsidRPr="00974501">
        <w:rPr>
          <w:rFonts w:ascii="Times New Roman" w:eastAsia="New Baskerville" w:hAnsi="Times New Roman" w:cs="Times New Roman"/>
          <w:sz w:val="24"/>
          <w:szCs w:val="24"/>
          <w:lang w:eastAsia="it-IT"/>
        </w:rPr>
        <w:t xml:space="preserve">novità </w:t>
      </w:r>
      <w:r w:rsidR="00E979B4" w:rsidRPr="00974501">
        <w:rPr>
          <w:rFonts w:ascii="Times New Roman" w:eastAsia="New Baskerville" w:hAnsi="Times New Roman" w:cs="Times New Roman"/>
          <w:sz w:val="24"/>
          <w:szCs w:val="24"/>
          <w:lang w:eastAsia="it-IT"/>
        </w:rPr>
        <w:t xml:space="preserve">principale apportata dal d.lgs. n. 97/2016, quale </w:t>
      </w:r>
      <w:r w:rsidR="00F43A47" w:rsidRPr="00974501">
        <w:rPr>
          <w:rFonts w:ascii="Times New Roman" w:eastAsia="New Baskerville" w:hAnsi="Times New Roman" w:cs="Times New Roman"/>
          <w:sz w:val="24"/>
          <w:szCs w:val="24"/>
          <w:lang w:eastAsia="it-IT"/>
        </w:rPr>
        <w:t xml:space="preserve">strumento chiaramente finalizzato a realizzare </w:t>
      </w:r>
      <w:r w:rsidR="00E979B4" w:rsidRPr="00974501">
        <w:rPr>
          <w:rFonts w:ascii="Times New Roman" w:eastAsia="New Baskerville" w:hAnsi="Times New Roman" w:cs="Times New Roman"/>
          <w:sz w:val="24"/>
          <w:szCs w:val="24"/>
          <w:lang w:eastAsia="it-IT"/>
        </w:rPr>
        <w:t xml:space="preserve">ancor più </w:t>
      </w:r>
      <w:r w:rsidR="00F43A47" w:rsidRPr="00974501">
        <w:rPr>
          <w:rFonts w:ascii="Times New Roman" w:eastAsia="New Baskerville" w:hAnsi="Times New Roman" w:cs="Times New Roman"/>
          <w:sz w:val="24"/>
          <w:szCs w:val="24"/>
          <w:lang w:eastAsia="it-IT"/>
        </w:rPr>
        <w:t>la trasparenza amministrativa</w:t>
      </w:r>
      <w:r w:rsidR="005E1B40">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 xml:space="preserve"> e cioè la comprensibilità e la conoscibilità, dall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esterno, dell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 xml:space="preserve">attività </w:t>
      </w:r>
      <w:r w:rsidR="005E1B40">
        <w:rPr>
          <w:rFonts w:ascii="Times New Roman" w:eastAsia="New Baskerville" w:hAnsi="Times New Roman" w:cs="Times New Roman"/>
          <w:sz w:val="24"/>
          <w:szCs w:val="24"/>
          <w:lang w:eastAsia="it-IT"/>
        </w:rPr>
        <w:t>pubblica</w:t>
      </w:r>
      <w:r w:rsidR="00F43A47" w:rsidRPr="00974501">
        <w:rPr>
          <w:rFonts w:ascii="Times New Roman" w:eastAsia="New Baskerville" w:hAnsi="Times New Roman" w:cs="Times New Roman"/>
          <w:sz w:val="24"/>
          <w:szCs w:val="24"/>
          <w:lang w:eastAsia="it-IT"/>
        </w:rPr>
        <w:t>, in particolare da parte dei cittadini; comprensibilità e conoscibilità finalizzate, in particolare, a realizzare imparzialità e buon andamento dell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azione amministrativa e</w:t>
      </w:r>
      <w:r w:rsidR="005E1B40">
        <w:rPr>
          <w:rFonts w:ascii="Times New Roman" w:eastAsia="New Baskerville" w:hAnsi="Times New Roman" w:cs="Times New Roman"/>
          <w:sz w:val="24"/>
          <w:szCs w:val="24"/>
          <w:lang w:eastAsia="it-IT"/>
        </w:rPr>
        <w:t>d</w:t>
      </w:r>
      <w:r w:rsidR="00F43A47" w:rsidRPr="00974501">
        <w:rPr>
          <w:rFonts w:ascii="Times New Roman" w:eastAsia="New Baskerville" w:hAnsi="Times New Roman" w:cs="Times New Roman"/>
          <w:sz w:val="24"/>
          <w:szCs w:val="24"/>
          <w:lang w:eastAsia="it-IT"/>
        </w:rPr>
        <w:t xml:space="preserve"> a rendere </w:t>
      </w:r>
      <w:r w:rsidR="005E1B40">
        <w:rPr>
          <w:rFonts w:ascii="Times New Roman" w:eastAsia="New Baskerville" w:hAnsi="Times New Roman" w:cs="Times New Roman"/>
          <w:sz w:val="24"/>
          <w:szCs w:val="24"/>
          <w:lang w:eastAsia="it-IT"/>
        </w:rPr>
        <w:t xml:space="preserve">chiare </w:t>
      </w:r>
      <w:r w:rsidR="00F43A47" w:rsidRPr="00974501">
        <w:rPr>
          <w:rFonts w:ascii="Times New Roman" w:eastAsia="New Baskerville" w:hAnsi="Times New Roman" w:cs="Times New Roman"/>
          <w:sz w:val="24"/>
          <w:szCs w:val="24"/>
          <w:lang w:eastAsia="it-IT"/>
        </w:rPr>
        <w:t>le scelte rivolte alla cura dell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interesse pubblico</w:t>
      </w:r>
      <w:r w:rsidR="000D04F8" w:rsidRPr="00974501">
        <w:rPr>
          <w:rStyle w:val="Rimandonotaapidipagina"/>
          <w:rFonts w:ascii="Times New Roman" w:eastAsia="New Baskerville" w:hAnsi="Times New Roman" w:cs="Times New Roman"/>
          <w:sz w:val="24"/>
          <w:szCs w:val="24"/>
          <w:lang w:eastAsia="it-IT"/>
        </w:rPr>
        <w:footnoteReference w:id="9"/>
      </w:r>
      <w:r w:rsidR="00685445" w:rsidRPr="00974501">
        <w:rPr>
          <w:rFonts w:ascii="Times New Roman" w:eastAsia="New Baskerville" w:hAnsi="Times New Roman" w:cs="Times New Roman"/>
          <w:sz w:val="24"/>
          <w:szCs w:val="24"/>
          <w:lang w:eastAsia="it-IT"/>
        </w:rPr>
        <w:t>.</w:t>
      </w:r>
    </w:p>
    <w:p w:rsidR="004209BB" w:rsidRPr="00974501" w:rsidRDefault="004209BB"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Tale controllo è funzionale </w:t>
      </w:r>
      <w:r w:rsidR="00D103E7" w:rsidRPr="00974501">
        <w:rPr>
          <w:rFonts w:ascii="Times New Roman" w:eastAsia="New Baskerville" w:hAnsi="Times New Roman" w:cs="Times New Roman"/>
          <w:sz w:val="24"/>
          <w:szCs w:val="24"/>
          <w:lang w:eastAsia="it-IT"/>
        </w:rPr>
        <w:t>a “favorire forme diffuse di controllo sul perseguimento delle funzioni istituzionali e sull’utilizzo delle risorse pubbliche e di promuovere la partecipazione al dibattito pubblico”</w:t>
      </w:r>
      <w:r w:rsidRPr="00974501">
        <w:rPr>
          <w:rFonts w:ascii="Times New Roman" w:eastAsia="New Baskerville" w:hAnsi="Times New Roman" w:cs="Times New Roman"/>
          <w:sz w:val="24"/>
          <w:szCs w:val="24"/>
          <w:lang w:eastAsia="it-IT"/>
        </w:rPr>
        <w:t>, naturalmente senza travalicare i l</w:t>
      </w:r>
      <w:r>
        <w:rPr>
          <w:rFonts w:ascii="Times New Roman" w:eastAsia="New Baskerville" w:hAnsi="Times New Roman" w:cs="Times New Roman"/>
          <w:sz w:val="24"/>
          <w:szCs w:val="24"/>
          <w:lang w:eastAsia="it-IT"/>
        </w:rPr>
        <w:t>imiti previsti dal legislatore,</w:t>
      </w:r>
      <w:r w:rsidRPr="00974501">
        <w:rPr>
          <w:rFonts w:ascii="Times New Roman" w:eastAsia="New Baskerville" w:hAnsi="Times New Roman" w:cs="Times New Roman"/>
          <w:sz w:val="24"/>
          <w:szCs w:val="24"/>
          <w:lang w:eastAsia="it-IT"/>
        </w:rPr>
        <w:t xml:space="preserve"> posti a tutela di eventuali interessi pubblici o privati che potrebbero confliggere con la volontà di conoscere</w:t>
      </w:r>
      <w:r>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espressa dal cittadino</w:t>
      </w:r>
      <w:r w:rsidR="000B6CDF" w:rsidRPr="00974501">
        <w:rPr>
          <w:rStyle w:val="Rimandonotaapidipagina"/>
          <w:rFonts w:ascii="Times New Roman" w:eastAsia="New Baskerville" w:hAnsi="Times New Roman" w:cs="Times New Roman"/>
          <w:sz w:val="24"/>
          <w:szCs w:val="24"/>
          <w:lang w:eastAsia="it-IT"/>
        </w:rPr>
        <w:footnoteReference w:id="10"/>
      </w:r>
      <w:r w:rsidRPr="00974501">
        <w:rPr>
          <w:rFonts w:ascii="Times New Roman" w:eastAsia="New Baskerville" w:hAnsi="Times New Roman" w:cs="Times New Roman"/>
          <w:sz w:val="24"/>
          <w:szCs w:val="24"/>
          <w:lang w:eastAsia="it-IT"/>
        </w:rPr>
        <w:t>.</w:t>
      </w:r>
    </w:p>
    <w:p w:rsidR="00F43A47" w:rsidRPr="00974501" w:rsidRDefault="00DF74E0"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N</w:t>
      </w:r>
      <w:r w:rsidR="00F43A47" w:rsidRPr="00974501">
        <w:rPr>
          <w:rFonts w:ascii="Times New Roman" w:eastAsia="New Baskerville" w:hAnsi="Times New Roman" w:cs="Times New Roman"/>
          <w:sz w:val="24"/>
          <w:szCs w:val="24"/>
          <w:lang w:eastAsia="it-IT"/>
        </w:rPr>
        <w:t xml:space="preserve">onostante alcuni punti di contatto di tipo </w:t>
      </w:r>
      <w:r w:rsidR="0054326B">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testuale</w:t>
      </w:r>
      <w:r w:rsidR="0054326B">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 xml:space="preserve"> tra la disciplina in tema di accesso ai documenti </w:t>
      </w:r>
      <w:r w:rsidR="002C51A1" w:rsidRPr="00974501">
        <w:rPr>
          <w:rFonts w:ascii="Times New Roman" w:eastAsia="New Baskerville" w:hAnsi="Times New Roman" w:cs="Times New Roman"/>
          <w:sz w:val="24"/>
          <w:szCs w:val="24"/>
          <w:lang w:eastAsia="it-IT"/>
        </w:rPr>
        <w:t xml:space="preserve">di cui alla legge n. 241/1990 </w:t>
      </w:r>
      <w:r w:rsidR="00F43A47" w:rsidRPr="00974501">
        <w:rPr>
          <w:rFonts w:ascii="Times New Roman" w:eastAsia="New Baskerville" w:hAnsi="Times New Roman" w:cs="Times New Roman"/>
          <w:sz w:val="24"/>
          <w:szCs w:val="24"/>
          <w:lang w:eastAsia="it-IT"/>
        </w:rPr>
        <w:t xml:space="preserve">e quella </w:t>
      </w:r>
      <w:r w:rsidR="00D103E7">
        <w:rPr>
          <w:rFonts w:ascii="Times New Roman" w:eastAsia="New Baskerville" w:hAnsi="Times New Roman" w:cs="Times New Roman"/>
          <w:sz w:val="24"/>
          <w:szCs w:val="24"/>
          <w:lang w:eastAsia="it-IT"/>
        </w:rPr>
        <w:t>de</w:t>
      </w:r>
      <w:r w:rsidR="00F43A47" w:rsidRPr="00974501">
        <w:rPr>
          <w:rFonts w:ascii="Times New Roman" w:eastAsia="New Baskerville" w:hAnsi="Times New Roman" w:cs="Times New Roman"/>
          <w:sz w:val="24"/>
          <w:szCs w:val="24"/>
          <w:lang w:eastAsia="it-IT"/>
        </w:rPr>
        <w:t>ll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accesso civico, quest</w:t>
      </w:r>
      <w:r w:rsidRPr="00974501">
        <w:rPr>
          <w:rFonts w:ascii="Times New Roman" w:eastAsia="New Baskerville" w:hAnsi="Times New Roman" w:cs="Times New Roman"/>
          <w:sz w:val="24"/>
          <w:szCs w:val="24"/>
          <w:lang w:eastAsia="it-IT"/>
        </w:rPr>
        <w:t>’ultim</w:t>
      </w:r>
      <w:r w:rsidR="00F43A47" w:rsidRPr="00974501">
        <w:rPr>
          <w:rFonts w:ascii="Times New Roman" w:eastAsia="New Baskerville" w:hAnsi="Times New Roman" w:cs="Times New Roman"/>
          <w:sz w:val="24"/>
          <w:szCs w:val="24"/>
          <w:lang w:eastAsia="it-IT"/>
        </w:rPr>
        <w:t>o si pone su un piano diverso rispetto al</w:t>
      </w:r>
      <w:r w:rsidRPr="00974501">
        <w:rPr>
          <w:rFonts w:ascii="Times New Roman" w:eastAsia="New Baskerville" w:hAnsi="Times New Roman" w:cs="Times New Roman"/>
          <w:sz w:val="24"/>
          <w:szCs w:val="24"/>
          <w:lang w:eastAsia="it-IT"/>
        </w:rPr>
        <w:t xml:space="preserve"> prim</w:t>
      </w:r>
      <w:r w:rsidR="00F43A47" w:rsidRPr="00974501">
        <w:rPr>
          <w:rFonts w:ascii="Times New Roman" w:eastAsia="New Baskerville" w:hAnsi="Times New Roman" w:cs="Times New Roman"/>
          <w:sz w:val="24"/>
          <w:szCs w:val="24"/>
          <w:lang w:eastAsia="it-IT"/>
        </w:rPr>
        <w:t xml:space="preserve">o, </w:t>
      </w:r>
      <w:r w:rsidRPr="00974501">
        <w:rPr>
          <w:rFonts w:ascii="Times New Roman" w:eastAsia="New Baskerville" w:hAnsi="Times New Roman" w:cs="Times New Roman"/>
          <w:sz w:val="24"/>
          <w:szCs w:val="24"/>
          <w:lang w:eastAsia="it-IT"/>
        </w:rPr>
        <w:t xml:space="preserve">che è </w:t>
      </w:r>
      <w:r w:rsidR="00F43A47" w:rsidRPr="00974501">
        <w:rPr>
          <w:rFonts w:ascii="Times New Roman" w:eastAsia="New Baskerville" w:hAnsi="Times New Roman" w:cs="Times New Roman"/>
          <w:sz w:val="24"/>
          <w:szCs w:val="24"/>
          <w:lang w:eastAsia="it-IT"/>
        </w:rPr>
        <w:t>caratterizzato da un rapporto qualificato del richiedente con i documenti che si intendono conoscere, derivante proprio dalla titolarità</w:t>
      </w:r>
      <w:r w:rsidR="004209BB" w:rsidRPr="004209BB">
        <w:rPr>
          <w:rFonts w:ascii="Times New Roman" w:eastAsia="New Baskerville" w:hAnsi="Times New Roman" w:cs="Times New Roman"/>
          <w:sz w:val="24"/>
          <w:szCs w:val="24"/>
          <w:lang w:eastAsia="it-IT"/>
        </w:rPr>
        <w:t xml:space="preserve"> </w:t>
      </w:r>
      <w:r w:rsidR="004209BB" w:rsidRPr="00974501">
        <w:rPr>
          <w:rFonts w:ascii="Times New Roman" w:eastAsia="New Baskerville" w:hAnsi="Times New Roman" w:cs="Times New Roman"/>
          <w:sz w:val="24"/>
          <w:szCs w:val="24"/>
          <w:lang w:eastAsia="it-IT"/>
        </w:rPr>
        <w:t>di una posizione giuridica qualificata tutelata dall’ordinamento</w:t>
      </w:r>
      <w:r w:rsidR="004209BB">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 xml:space="preserve"> in capo al soggetto richiedente.</w:t>
      </w:r>
    </w:p>
    <w:p w:rsidR="003328FA" w:rsidRPr="00974501" w:rsidRDefault="003328FA"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Alla luce del dettato normativo, </w:t>
      </w:r>
      <w:r w:rsidR="00D103E7">
        <w:rPr>
          <w:rFonts w:ascii="Times New Roman" w:eastAsia="New Baskerville" w:hAnsi="Times New Roman" w:cs="Times New Roman"/>
          <w:sz w:val="24"/>
          <w:szCs w:val="24"/>
          <w:lang w:eastAsia="it-IT"/>
        </w:rPr>
        <w:t>esiste un</w:t>
      </w:r>
      <w:r w:rsidRPr="00974501">
        <w:rPr>
          <w:rFonts w:ascii="Times New Roman" w:eastAsia="New Baskerville" w:hAnsi="Times New Roman" w:cs="Times New Roman"/>
          <w:sz w:val="24"/>
          <w:szCs w:val="24"/>
          <w:lang w:eastAsia="it-IT"/>
        </w:rPr>
        <w:t xml:space="preserve">a rilevante differenza tra </w:t>
      </w:r>
      <w:r w:rsidR="003B3656">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accesso ai documenti</w:t>
      </w:r>
      <w:r w:rsidR="003B3656">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ed </w:t>
      </w:r>
      <w:r w:rsidR="003B3656">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accesso civico</w:t>
      </w:r>
      <w:r w:rsidR="003B3656">
        <w:rPr>
          <w:rFonts w:ascii="Times New Roman" w:eastAsia="New Baskerville" w:hAnsi="Times New Roman" w:cs="Times New Roman"/>
          <w:sz w:val="24"/>
          <w:szCs w:val="24"/>
          <w:lang w:eastAsia="it-IT"/>
        </w:rPr>
        <w:t>’</w:t>
      </w:r>
      <w:r w:rsidR="00D103E7">
        <w:rPr>
          <w:rFonts w:ascii="Times New Roman" w:eastAsia="New Baskerville" w:hAnsi="Times New Roman" w:cs="Times New Roman"/>
          <w:sz w:val="24"/>
          <w:szCs w:val="24"/>
          <w:lang w:eastAsia="it-IT"/>
        </w:rPr>
        <w:t xml:space="preserve">, trattandosi di </w:t>
      </w:r>
      <w:r w:rsidR="000B6CDF">
        <w:rPr>
          <w:rFonts w:ascii="Times New Roman" w:eastAsia="New Baskerville" w:hAnsi="Times New Roman" w:cs="Times New Roman"/>
          <w:sz w:val="24"/>
          <w:szCs w:val="24"/>
          <w:lang w:eastAsia="it-IT"/>
        </w:rPr>
        <w:t>poter</w:t>
      </w:r>
      <w:r w:rsidR="00D103E7">
        <w:rPr>
          <w:rFonts w:ascii="Times New Roman" w:eastAsia="New Baskerville" w:hAnsi="Times New Roman" w:cs="Times New Roman"/>
          <w:sz w:val="24"/>
          <w:szCs w:val="24"/>
          <w:lang w:eastAsia="it-IT"/>
        </w:rPr>
        <w:t>i</w:t>
      </w:r>
      <w:r w:rsidRPr="00974501">
        <w:rPr>
          <w:rFonts w:ascii="Times New Roman" w:eastAsia="New Baskerville" w:hAnsi="Times New Roman" w:cs="Times New Roman"/>
          <w:sz w:val="24"/>
          <w:szCs w:val="24"/>
          <w:lang w:eastAsia="it-IT"/>
        </w:rPr>
        <w:t xml:space="preserve"> che, pur condividendo lo stesso tipo di tutela processuale, non possono considerarsi sovrapponibili: il primo</w:t>
      </w:r>
      <w:r w:rsidR="00D103E7">
        <w:rPr>
          <w:rFonts w:ascii="Times New Roman" w:eastAsia="New Baskerville" w:hAnsi="Times New Roman" w:cs="Times New Roman"/>
          <w:sz w:val="24"/>
          <w:szCs w:val="24"/>
          <w:lang w:eastAsia="it-IT"/>
        </w:rPr>
        <w:t>, infatti,</w:t>
      </w:r>
      <w:r w:rsidRPr="00974501">
        <w:rPr>
          <w:rFonts w:ascii="Times New Roman" w:eastAsia="New Baskerville" w:hAnsi="Times New Roman" w:cs="Times New Roman"/>
          <w:sz w:val="24"/>
          <w:szCs w:val="24"/>
          <w:lang w:eastAsia="it-IT"/>
        </w:rPr>
        <w:t xml:space="preserve"> è strumentale alla tutela degli interessi individuali di un soggetto</w:t>
      </w:r>
      <w:r w:rsidR="00D103E7">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che si trova in una posizione differenz</w:t>
      </w:r>
      <w:r w:rsidR="00DF74E0" w:rsidRPr="00974501">
        <w:rPr>
          <w:rFonts w:ascii="Times New Roman" w:eastAsia="New Baskerville" w:hAnsi="Times New Roman" w:cs="Times New Roman"/>
          <w:sz w:val="24"/>
          <w:szCs w:val="24"/>
          <w:lang w:eastAsia="it-IT"/>
        </w:rPr>
        <w:t xml:space="preserve">iata rispetto </w:t>
      </w:r>
      <w:r w:rsidRPr="00974501">
        <w:rPr>
          <w:rFonts w:ascii="Times New Roman" w:eastAsia="New Baskerville" w:hAnsi="Times New Roman" w:cs="Times New Roman"/>
          <w:sz w:val="24"/>
          <w:szCs w:val="24"/>
          <w:lang w:eastAsia="it-IT"/>
        </w:rPr>
        <w:t>agli altri cittadini, in ragione della quale ha il diritto di conoscere e di avere copia di un documento amministrativo</w:t>
      </w:r>
      <w:r w:rsidR="00095ED7">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il secondo è azionabile da chiunque, senza la previa dimostrazione della sussistenza di un interesse attuale e concreto per la tutela di situazioni rilevanti, senza dover motivare la richiesta e con la sola finalità di consentire una pubblicità diffusa e</w:t>
      </w:r>
      <w:r w:rsidR="00095ED7">
        <w:rPr>
          <w:rFonts w:ascii="Times New Roman" w:eastAsia="New Baskerville" w:hAnsi="Times New Roman" w:cs="Times New Roman"/>
          <w:sz w:val="24"/>
          <w:szCs w:val="24"/>
          <w:lang w:eastAsia="it-IT"/>
        </w:rPr>
        <w:t>d</w:t>
      </w:r>
      <w:r w:rsidRPr="00974501">
        <w:rPr>
          <w:rFonts w:ascii="Times New Roman" w:eastAsia="New Baskerville" w:hAnsi="Times New Roman" w:cs="Times New Roman"/>
          <w:sz w:val="24"/>
          <w:szCs w:val="24"/>
          <w:lang w:eastAsia="it-IT"/>
        </w:rPr>
        <w:t xml:space="preserve"> integrale dei dati che sono considerati dalle norme come pubblici e quindi conoscibili.</w:t>
      </w:r>
    </w:p>
    <w:p w:rsidR="00CA0F43" w:rsidRPr="00974501" w:rsidRDefault="004209BB"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A tal </w:t>
      </w:r>
      <w:r w:rsidR="00757EEF">
        <w:rPr>
          <w:rFonts w:ascii="Times New Roman" w:eastAsia="New Baskerville" w:hAnsi="Times New Roman" w:cs="Times New Roman"/>
          <w:sz w:val="24"/>
          <w:szCs w:val="24"/>
          <w:lang w:eastAsia="it-IT"/>
        </w:rPr>
        <w:t>proposito</w:t>
      </w:r>
      <w:r>
        <w:rPr>
          <w:rFonts w:ascii="Times New Roman" w:eastAsia="New Baskerville" w:hAnsi="Times New Roman" w:cs="Times New Roman"/>
          <w:sz w:val="24"/>
          <w:szCs w:val="24"/>
          <w:lang w:eastAsia="it-IT"/>
        </w:rPr>
        <w:t>,</w:t>
      </w:r>
      <w:r w:rsidR="00CA0F43" w:rsidRPr="00974501">
        <w:rPr>
          <w:rFonts w:ascii="Times New Roman" w:eastAsia="New Baskerville" w:hAnsi="Times New Roman" w:cs="Times New Roman"/>
          <w:sz w:val="24"/>
          <w:szCs w:val="24"/>
          <w:lang w:eastAsia="it-IT"/>
        </w:rPr>
        <w:t xml:space="preserve"> le linee</w:t>
      </w:r>
      <w:r w:rsidR="00757EEF">
        <w:rPr>
          <w:rFonts w:ascii="Times New Roman" w:eastAsia="New Baskerville" w:hAnsi="Times New Roman" w:cs="Times New Roman"/>
          <w:sz w:val="24"/>
          <w:szCs w:val="24"/>
          <w:lang w:eastAsia="it-IT"/>
        </w:rPr>
        <w:t>-</w:t>
      </w:r>
      <w:r w:rsidR="00CA0F43" w:rsidRPr="00974501">
        <w:rPr>
          <w:rFonts w:ascii="Times New Roman" w:eastAsia="New Baskerville" w:hAnsi="Times New Roman" w:cs="Times New Roman"/>
          <w:sz w:val="24"/>
          <w:szCs w:val="24"/>
          <w:lang w:eastAsia="it-IT"/>
        </w:rPr>
        <w:t xml:space="preserve">guida </w:t>
      </w:r>
      <w:proofErr w:type="spellStart"/>
      <w:r w:rsidR="00CA0F43" w:rsidRPr="00974501">
        <w:rPr>
          <w:rFonts w:ascii="Times New Roman" w:eastAsia="New Baskerville" w:hAnsi="Times New Roman" w:cs="Times New Roman"/>
          <w:sz w:val="24"/>
          <w:szCs w:val="24"/>
          <w:lang w:eastAsia="it-IT"/>
        </w:rPr>
        <w:t>Anac</w:t>
      </w:r>
      <w:proofErr w:type="spellEnd"/>
      <w:r w:rsidR="00CA0F43" w:rsidRPr="00974501">
        <w:rPr>
          <w:rFonts w:ascii="Times New Roman" w:eastAsia="New Baskerville" w:hAnsi="Times New Roman" w:cs="Times New Roman"/>
          <w:sz w:val="24"/>
          <w:szCs w:val="24"/>
          <w:lang w:eastAsia="it-IT"/>
        </w:rPr>
        <w:t xml:space="preserve"> </w:t>
      </w:r>
      <w:r w:rsidR="00041437" w:rsidRPr="00974501">
        <w:rPr>
          <w:rFonts w:ascii="Times New Roman" w:eastAsia="New Baskerville" w:hAnsi="Times New Roman" w:cs="Times New Roman"/>
          <w:sz w:val="24"/>
          <w:szCs w:val="24"/>
          <w:lang w:eastAsia="it-IT"/>
        </w:rPr>
        <w:t>evidenziano</w:t>
      </w:r>
      <w:r w:rsidR="00CA0F43" w:rsidRPr="00974501">
        <w:rPr>
          <w:rFonts w:ascii="Times New Roman" w:eastAsia="New Baskerville" w:hAnsi="Times New Roman" w:cs="Times New Roman"/>
          <w:sz w:val="24"/>
          <w:szCs w:val="24"/>
          <w:lang w:eastAsia="it-IT"/>
        </w:rPr>
        <w:t xml:space="preserve"> </w:t>
      </w:r>
      <w:r w:rsidR="00041437" w:rsidRPr="00974501">
        <w:rPr>
          <w:rFonts w:ascii="Times New Roman" w:eastAsia="New Baskerville" w:hAnsi="Times New Roman" w:cs="Times New Roman"/>
          <w:sz w:val="24"/>
          <w:szCs w:val="24"/>
          <w:lang w:eastAsia="it-IT"/>
        </w:rPr>
        <w:t xml:space="preserve">come </w:t>
      </w:r>
      <w:r w:rsidR="00CA0F43" w:rsidRPr="00974501">
        <w:rPr>
          <w:rFonts w:ascii="Times New Roman" w:eastAsia="New Baskerville" w:hAnsi="Times New Roman" w:cs="Times New Roman"/>
          <w:sz w:val="24"/>
          <w:szCs w:val="24"/>
          <w:lang w:eastAsia="it-IT"/>
        </w:rPr>
        <w:t>“tenere ben distinte le due fattispecie</w:t>
      </w:r>
      <w:r w:rsidR="0054326B">
        <w:rPr>
          <w:rFonts w:ascii="Times New Roman" w:eastAsia="New Baskerville" w:hAnsi="Times New Roman" w:cs="Times New Roman"/>
          <w:sz w:val="24"/>
          <w:szCs w:val="24"/>
          <w:lang w:eastAsia="it-IT"/>
        </w:rPr>
        <w:t>,</w:t>
      </w:r>
      <w:r w:rsidR="00CA0F43" w:rsidRPr="00974501">
        <w:rPr>
          <w:rFonts w:ascii="Times New Roman" w:eastAsia="New Baskerville" w:hAnsi="Times New Roman" w:cs="Times New Roman"/>
          <w:sz w:val="24"/>
          <w:szCs w:val="24"/>
          <w:lang w:eastAsia="it-IT"/>
        </w:rPr>
        <w:t xml:space="preserve"> è essenziale per calibrare i diversi interessi in gioco allorché si renda necessario un bilanciamento caso per caso tra tali interessi. Tale bilanciamento è, infatti, ben diverso nel caso dell’accesso </w:t>
      </w:r>
      <w:r w:rsidR="00041437" w:rsidRPr="00D103E7">
        <w:rPr>
          <w:rFonts w:ascii="Times New Roman" w:eastAsia="New Baskerville" w:hAnsi="Times New Roman" w:cs="Times New Roman"/>
          <w:i/>
          <w:sz w:val="24"/>
          <w:szCs w:val="24"/>
          <w:lang w:eastAsia="it-IT"/>
        </w:rPr>
        <w:t>ex</w:t>
      </w:r>
      <w:r w:rsidR="00041437" w:rsidRPr="00974501">
        <w:rPr>
          <w:rFonts w:ascii="Times New Roman" w:eastAsia="New Baskerville" w:hAnsi="Times New Roman" w:cs="Times New Roman"/>
          <w:sz w:val="24"/>
          <w:szCs w:val="24"/>
          <w:lang w:eastAsia="it-IT"/>
        </w:rPr>
        <w:t xml:space="preserve"> </w:t>
      </w:r>
      <w:proofErr w:type="spellStart"/>
      <w:r w:rsidR="00041437" w:rsidRPr="000B6CDF">
        <w:rPr>
          <w:rFonts w:ascii="Times New Roman" w:eastAsia="New Baskerville" w:hAnsi="Times New Roman" w:cs="Times New Roman"/>
          <w:i/>
          <w:sz w:val="24"/>
          <w:szCs w:val="24"/>
          <w:lang w:eastAsia="it-IT"/>
        </w:rPr>
        <w:t>lege</w:t>
      </w:r>
      <w:proofErr w:type="spellEnd"/>
      <w:r w:rsidR="00041437" w:rsidRPr="00974501">
        <w:rPr>
          <w:rFonts w:ascii="Times New Roman" w:eastAsia="New Baskerville" w:hAnsi="Times New Roman" w:cs="Times New Roman"/>
          <w:sz w:val="24"/>
          <w:szCs w:val="24"/>
          <w:lang w:eastAsia="it-IT"/>
        </w:rPr>
        <w:t xml:space="preserve"> n. </w:t>
      </w:r>
      <w:r w:rsidR="00CA0F43" w:rsidRPr="00974501">
        <w:rPr>
          <w:rFonts w:ascii="Times New Roman" w:eastAsia="New Baskerville" w:hAnsi="Times New Roman" w:cs="Times New Roman"/>
          <w:sz w:val="24"/>
          <w:szCs w:val="24"/>
          <w:lang w:eastAsia="it-IT"/>
        </w:rPr>
        <w:t>241</w:t>
      </w:r>
      <w:r w:rsidR="00041437" w:rsidRPr="00974501">
        <w:rPr>
          <w:rFonts w:ascii="Times New Roman" w:eastAsia="New Baskerville" w:hAnsi="Times New Roman" w:cs="Times New Roman"/>
          <w:sz w:val="24"/>
          <w:szCs w:val="24"/>
          <w:lang w:eastAsia="it-IT"/>
        </w:rPr>
        <w:t>/1990,</w:t>
      </w:r>
      <w:r w:rsidR="00CA0F43" w:rsidRPr="00974501">
        <w:rPr>
          <w:rFonts w:ascii="Times New Roman" w:eastAsia="New Baskerville" w:hAnsi="Times New Roman" w:cs="Times New Roman"/>
          <w:sz w:val="24"/>
          <w:szCs w:val="24"/>
          <w:lang w:eastAsia="it-IT"/>
        </w:rPr>
        <w:t xml:space="preserve"> dove la tutela può consentire un accesso più in profondità a dati pertinenti e nel caso dell’accesso generalizzato, dove le esigenze di controllo diffuso del cittadino devono consentire un accesso meno in profondità (se del caso, in relazione all’operatività dei limiti) ma più esteso, avendo presente che l’accesso in questo caso comporta, di fatto, una larga conoscibilità (e diffusione) di dati, documenti e informazioni”</w:t>
      </w:r>
      <w:r w:rsidR="00D103E7" w:rsidRPr="00974501">
        <w:rPr>
          <w:rStyle w:val="Rimandonotaapidipagina"/>
          <w:rFonts w:ascii="Times New Roman" w:eastAsia="New Baskerville" w:hAnsi="Times New Roman" w:cs="Times New Roman"/>
          <w:sz w:val="24"/>
          <w:szCs w:val="24"/>
          <w:lang w:eastAsia="it-IT"/>
        </w:rPr>
        <w:footnoteReference w:id="11"/>
      </w:r>
      <w:r w:rsidR="00CA0F43" w:rsidRPr="00974501">
        <w:rPr>
          <w:rFonts w:ascii="Times New Roman" w:eastAsia="New Baskerville" w:hAnsi="Times New Roman" w:cs="Times New Roman"/>
          <w:sz w:val="24"/>
          <w:szCs w:val="24"/>
          <w:lang w:eastAsia="it-IT"/>
        </w:rPr>
        <w:t>.</w:t>
      </w:r>
    </w:p>
    <w:p w:rsidR="00B205ED" w:rsidRPr="00974501" w:rsidRDefault="000B6CDF" w:rsidP="00D103E7">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L</w:t>
      </w:r>
      <w:r w:rsidR="00032E7C" w:rsidRPr="00974501">
        <w:rPr>
          <w:rFonts w:ascii="Times New Roman" w:eastAsia="New Baskerville" w:hAnsi="Times New Roman" w:cs="Times New Roman"/>
          <w:sz w:val="24"/>
          <w:szCs w:val="24"/>
          <w:lang w:eastAsia="it-IT"/>
        </w:rPr>
        <w:t>a nuova normativa</w:t>
      </w:r>
      <w:r>
        <w:rPr>
          <w:rFonts w:ascii="Times New Roman" w:eastAsia="New Baskerville" w:hAnsi="Times New Roman" w:cs="Times New Roman"/>
          <w:sz w:val="24"/>
          <w:szCs w:val="24"/>
          <w:lang w:eastAsia="it-IT"/>
        </w:rPr>
        <w:t>,</w:t>
      </w:r>
      <w:r w:rsidR="00032E7C"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dunque, </w:t>
      </w:r>
      <w:r w:rsidR="00032E7C" w:rsidRPr="00974501">
        <w:rPr>
          <w:rFonts w:ascii="Times New Roman" w:eastAsia="New Baskerville" w:hAnsi="Times New Roman" w:cs="Times New Roman"/>
          <w:sz w:val="24"/>
          <w:szCs w:val="24"/>
          <w:lang w:eastAsia="it-IT"/>
        </w:rPr>
        <w:t xml:space="preserve">non elimina, né rende privo di portata pratica </w:t>
      </w:r>
      <w:r w:rsidR="00B205ED" w:rsidRPr="00974501">
        <w:rPr>
          <w:rFonts w:ascii="Times New Roman" w:eastAsia="New Baskerville" w:hAnsi="Times New Roman" w:cs="Times New Roman"/>
          <w:sz w:val="24"/>
          <w:szCs w:val="24"/>
          <w:lang w:eastAsia="it-IT"/>
        </w:rPr>
        <w:t>l’accesso documentale o procedimentale</w:t>
      </w:r>
      <w:r w:rsidR="004209BB">
        <w:rPr>
          <w:rFonts w:ascii="Times New Roman" w:eastAsia="New Baskerville" w:hAnsi="Times New Roman" w:cs="Times New Roman"/>
          <w:sz w:val="24"/>
          <w:szCs w:val="24"/>
          <w:lang w:eastAsia="it-IT"/>
        </w:rPr>
        <w:t>,</w:t>
      </w:r>
      <w:r w:rsidR="00B205ED" w:rsidRPr="00974501">
        <w:rPr>
          <w:rFonts w:ascii="Times New Roman" w:eastAsia="New Baskerville" w:hAnsi="Times New Roman" w:cs="Times New Roman"/>
          <w:sz w:val="24"/>
          <w:szCs w:val="24"/>
          <w:lang w:eastAsia="it-IT"/>
        </w:rPr>
        <w:t xml:space="preserve"> di cui all’art. 22 della legge n. 241/1990</w:t>
      </w:r>
      <w:r w:rsidR="00D103E7">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che è </w:t>
      </w:r>
      <w:r w:rsidR="00D103E7">
        <w:rPr>
          <w:rFonts w:ascii="Times New Roman" w:eastAsia="New Baskerville" w:hAnsi="Times New Roman" w:cs="Times New Roman"/>
          <w:sz w:val="24"/>
          <w:szCs w:val="24"/>
          <w:lang w:eastAsia="it-IT"/>
        </w:rPr>
        <w:t>aziona</w:t>
      </w:r>
      <w:r>
        <w:rPr>
          <w:rFonts w:ascii="Times New Roman" w:eastAsia="New Baskerville" w:hAnsi="Times New Roman" w:cs="Times New Roman"/>
          <w:sz w:val="24"/>
          <w:szCs w:val="24"/>
          <w:lang w:eastAsia="it-IT"/>
        </w:rPr>
        <w:t>bile soltanto</w:t>
      </w:r>
      <w:r w:rsidR="00D103E7">
        <w:rPr>
          <w:rFonts w:ascii="Times New Roman" w:eastAsia="New Baskerville" w:hAnsi="Times New Roman" w:cs="Times New Roman"/>
          <w:sz w:val="24"/>
          <w:szCs w:val="24"/>
          <w:lang w:eastAsia="it-IT"/>
        </w:rPr>
        <w:t xml:space="preserve"> da chi</w:t>
      </w:r>
      <w:r>
        <w:rPr>
          <w:rFonts w:ascii="Times New Roman" w:eastAsia="New Baskerville" w:hAnsi="Times New Roman" w:cs="Times New Roman"/>
          <w:sz w:val="24"/>
          <w:szCs w:val="24"/>
          <w:lang w:eastAsia="it-IT"/>
        </w:rPr>
        <w:t xml:space="preserve"> </w:t>
      </w:r>
      <w:r w:rsidR="00D103E7">
        <w:rPr>
          <w:rFonts w:ascii="Times New Roman" w:eastAsia="New Baskerville" w:hAnsi="Times New Roman" w:cs="Times New Roman"/>
          <w:sz w:val="24"/>
          <w:szCs w:val="24"/>
          <w:lang w:eastAsia="it-IT"/>
        </w:rPr>
        <w:t xml:space="preserve">abbia un </w:t>
      </w:r>
      <w:r w:rsidR="00B205ED" w:rsidRPr="00974501">
        <w:rPr>
          <w:rFonts w:ascii="Times New Roman" w:eastAsia="New Baskerville" w:hAnsi="Times New Roman" w:cs="Times New Roman"/>
          <w:sz w:val="24"/>
          <w:szCs w:val="24"/>
          <w:lang w:eastAsia="it-IT"/>
        </w:rPr>
        <w:t xml:space="preserve">“interesse diretto, concreto ed attuale, corrispondente ad una situazione giuridicamente tutelata e collegata al documento al quale è chiesto l’accesso”, non </w:t>
      </w:r>
      <w:r>
        <w:rPr>
          <w:rFonts w:ascii="Times New Roman" w:eastAsia="New Baskerville" w:hAnsi="Times New Roman" w:cs="Times New Roman"/>
          <w:sz w:val="24"/>
          <w:szCs w:val="24"/>
          <w:lang w:eastAsia="it-IT"/>
        </w:rPr>
        <w:t>consentendo</w:t>
      </w:r>
      <w:r w:rsidR="00B205ED"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la proposizione di </w:t>
      </w:r>
      <w:r w:rsidR="00B205ED" w:rsidRPr="00974501">
        <w:rPr>
          <w:rFonts w:ascii="Times New Roman" w:eastAsia="New Baskerville" w:hAnsi="Times New Roman" w:cs="Times New Roman"/>
          <w:sz w:val="24"/>
          <w:szCs w:val="24"/>
          <w:lang w:eastAsia="it-IT"/>
        </w:rPr>
        <w:t xml:space="preserve">istanze </w:t>
      </w:r>
      <w:r>
        <w:rPr>
          <w:rFonts w:ascii="Times New Roman" w:eastAsia="New Baskerville" w:hAnsi="Times New Roman" w:cs="Times New Roman"/>
          <w:sz w:val="24"/>
          <w:szCs w:val="24"/>
          <w:lang w:eastAsia="it-IT"/>
        </w:rPr>
        <w:t xml:space="preserve">preordinate </w:t>
      </w:r>
      <w:r w:rsidR="00B205ED" w:rsidRPr="00974501">
        <w:rPr>
          <w:rFonts w:ascii="Times New Roman" w:eastAsia="New Baskerville" w:hAnsi="Times New Roman" w:cs="Times New Roman"/>
          <w:sz w:val="24"/>
          <w:szCs w:val="24"/>
          <w:lang w:eastAsia="it-IT"/>
        </w:rPr>
        <w:t>a</w:t>
      </w:r>
      <w:r>
        <w:rPr>
          <w:rFonts w:ascii="Times New Roman" w:eastAsia="New Baskerville" w:hAnsi="Times New Roman" w:cs="Times New Roman"/>
          <w:sz w:val="24"/>
          <w:szCs w:val="24"/>
          <w:lang w:eastAsia="it-IT"/>
        </w:rPr>
        <w:t>l</w:t>
      </w:r>
      <w:r w:rsidR="00B205ED" w:rsidRPr="00974501">
        <w:rPr>
          <w:rFonts w:ascii="Times New Roman" w:eastAsia="New Baskerville" w:hAnsi="Times New Roman" w:cs="Times New Roman"/>
          <w:sz w:val="24"/>
          <w:szCs w:val="24"/>
          <w:lang w:eastAsia="it-IT"/>
        </w:rPr>
        <w:t xml:space="preserve"> controllo generalizzato dell’operato delle pubbliche amministrazioni</w:t>
      </w:r>
      <w:r w:rsidR="00AD65E3" w:rsidRPr="00974501">
        <w:rPr>
          <w:rStyle w:val="Rimandonotaapidipagina"/>
          <w:rFonts w:ascii="Times New Roman" w:eastAsia="New Baskerville" w:hAnsi="Times New Roman" w:cs="Times New Roman"/>
          <w:sz w:val="24"/>
          <w:szCs w:val="24"/>
          <w:lang w:eastAsia="it-IT"/>
        </w:rPr>
        <w:footnoteReference w:id="12"/>
      </w:r>
      <w:r w:rsidR="00B205ED" w:rsidRPr="00974501">
        <w:rPr>
          <w:rFonts w:ascii="Times New Roman" w:eastAsia="New Baskerville" w:hAnsi="Times New Roman" w:cs="Times New Roman"/>
          <w:sz w:val="24"/>
          <w:szCs w:val="24"/>
          <w:lang w:eastAsia="it-IT"/>
        </w:rPr>
        <w:t>.</w:t>
      </w:r>
    </w:p>
    <w:p w:rsidR="00AD65E3" w:rsidRPr="00974501" w:rsidRDefault="004209BB"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D</w:t>
      </w:r>
      <w:r w:rsidR="00757EEF">
        <w:rPr>
          <w:rFonts w:ascii="Times New Roman" w:eastAsia="New Baskerville" w:hAnsi="Times New Roman" w:cs="Times New Roman"/>
          <w:sz w:val="24"/>
          <w:szCs w:val="24"/>
          <w:lang w:eastAsia="it-IT"/>
        </w:rPr>
        <w:t>onde,</w:t>
      </w:r>
      <w:r>
        <w:rPr>
          <w:rFonts w:ascii="Times New Roman" w:eastAsia="New Baskerville" w:hAnsi="Times New Roman" w:cs="Times New Roman"/>
          <w:sz w:val="24"/>
          <w:szCs w:val="24"/>
          <w:lang w:eastAsia="it-IT"/>
        </w:rPr>
        <w:t xml:space="preserve"> </w:t>
      </w:r>
      <w:r w:rsidR="00032E7C" w:rsidRPr="00974501">
        <w:rPr>
          <w:rFonts w:ascii="Times New Roman" w:eastAsia="New Baskerville" w:hAnsi="Times New Roman" w:cs="Times New Roman"/>
          <w:sz w:val="24"/>
          <w:szCs w:val="24"/>
          <w:lang w:eastAsia="it-IT"/>
        </w:rPr>
        <w:t xml:space="preserve">la </w:t>
      </w:r>
      <w:r w:rsidR="00AD65E3" w:rsidRPr="00974501">
        <w:rPr>
          <w:rFonts w:ascii="Times New Roman" w:eastAsia="New Baskerville" w:hAnsi="Times New Roman" w:cs="Times New Roman"/>
          <w:sz w:val="24"/>
          <w:szCs w:val="24"/>
          <w:lang w:eastAsia="it-IT"/>
        </w:rPr>
        <w:t xml:space="preserve">natura </w:t>
      </w:r>
      <w:r w:rsidR="00032E7C" w:rsidRPr="00974501">
        <w:rPr>
          <w:rFonts w:ascii="Times New Roman" w:eastAsia="New Baskerville" w:hAnsi="Times New Roman" w:cs="Times New Roman"/>
          <w:sz w:val="24"/>
          <w:szCs w:val="24"/>
          <w:lang w:eastAsia="it-IT"/>
        </w:rPr>
        <w:t>“</w:t>
      </w:r>
      <w:r w:rsidR="00AD65E3" w:rsidRPr="00974501">
        <w:rPr>
          <w:rFonts w:ascii="Times New Roman" w:eastAsia="New Baskerville" w:hAnsi="Times New Roman" w:cs="Times New Roman"/>
          <w:sz w:val="24"/>
          <w:szCs w:val="24"/>
          <w:lang w:eastAsia="it-IT"/>
        </w:rPr>
        <w:t>strumentale</w:t>
      </w:r>
      <w:r w:rsidR="00032E7C" w:rsidRPr="00974501">
        <w:rPr>
          <w:rFonts w:ascii="Times New Roman" w:eastAsia="New Baskerville" w:hAnsi="Times New Roman" w:cs="Times New Roman"/>
          <w:sz w:val="24"/>
          <w:szCs w:val="24"/>
          <w:lang w:eastAsia="it-IT"/>
        </w:rPr>
        <w:t>”</w:t>
      </w:r>
      <w:r w:rsidR="000B6CDF">
        <w:rPr>
          <w:rFonts w:ascii="Times New Roman" w:eastAsia="New Baskerville" w:hAnsi="Times New Roman" w:cs="Times New Roman"/>
          <w:sz w:val="24"/>
          <w:szCs w:val="24"/>
          <w:lang w:eastAsia="it-IT"/>
        </w:rPr>
        <w:t xml:space="preserve"> e non “finale” dell’istituto</w:t>
      </w:r>
      <w:r w:rsidR="00AD65E3" w:rsidRPr="00974501">
        <w:rPr>
          <w:rFonts w:ascii="Times New Roman" w:eastAsia="New Baskerville" w:hAnsi="Times New Roman" w:cs="Times New Roman"/>
          <w:sz w:val="24"/>
          <w:szCs w:val="24"/>
          <w:lang w:eastAsia="it-IT"/>
        </w:rPr>
        <w:t xml:space="preserve">, nel senso </w:t>
      </w:r>
      <w:r>
        <w:rPr>
          <w:rFonts w:ascii="Times New Roman" w:eastAsia="New Baskerville" w:hAnsi="Times New Roman" w:cs="Times New Roman"/>
          <w:sz w:val="24"/>
          <w:szCs w:val="24"/>
          <w:lang w:eastAsia="it-IT"/>
        </w:rPr>
        <w:t xml:space="preserve">che </w:t>
      </w:r>
      <w:r w:rsidR="00AD65E3" w:rsidRPr="00974501">
        <w:rPr>
          <w:rFonts w:ascii="Times New Roman" w:eastAsia="New Baskerville" w:hAnsi="Times New Roman" w:cs="Times New Roman"/>
          <w:sz w:val="24"/>
          <w:szCs w:val="24"/>
          <w:lang w:eastAsia="it-IT"/>
        </w:rPr>
        <w:t xml:space="preserve">la domanda ostensiva </w:t>
      </w:r>
      <w:r>
        <w:rPr>
          <w:rFonts w:ascii="Times New Roman" w:eastAsia="New Baskerville" w:hAnsi="Times New Roman" w:cs="Times New Roman"/>
          <w:sz w:val="24"/>
          <w:szCs w:val="24"/>
          <w:lang w:eastAsia="it-IT"/>
        </w:rPr>
        <w:t xml:space="preserve">dev’essere necessariamente in </w:t>
      </w:r>
      <w:r w:rsidR="00095ED7">
        <w:rPr>
          <w:rFonts w:ascii="Times New Roman" w:eastAsia="New Baskerville" w:hAnsi="Times New Roman" w:cs="Times New Roman"/>
          <w:sz w:val="24"/>
          <w:szCs w:val="24"/>
          <w:lang w:eastAsia="it-IT"/>
        </w:rPr>
        <w:t>pos</w:t>
      </w:r>
      <w:r>
        <w:rPr>
          <w:rFonts w:ascii="Times New Roman" w:eastAsia="New Baskerville" w:hAnsi="Times New Roman" w:cs="Times New Roman"/>
          <w:sz w:val="24"/>
          <w:szCs w:val="24"/>
          <w:lang w:eastAsia="it-IT"/>
        </w:rPr>
        <w:t xml:space="preserve">izione “servente” rispetto </w:t>
      </w:r>
      <w:r w:rsidR="00AD65E3" w:rsidRPr="00974501">
        <w:rPr>
          <w:rFonts w:ascii="Times New Roman" w:eastAsia="New Baskerville" w:hAnsi="Times New Roman" w:cs="Times New Roman"/>
          <w:sz w:val="24"/>
          <w:szCs w:val="24"/>
          <w:lang w:eastAsia="it-IT"/>
        </w:rPr>
        <w:t xml:space="preserve">alla cura di un interesse diretto, concreto, attuale </w:t>
      </w:r>
      <w:r>
        <w:rPr>
          <w:rFonts w:ascii="Times New Roman" w:eastAsia="New Baskerville" w:hAnsi="Times New Roman" w:cs="Times New Roman"/>
          <w:sz w:val="24"/>
          <w:szCs w:val="24"/>
          <w:lang w:eastAsia="it-IT"/>
        </w:rPr>
        <w:t>(</w:t>
      </w:r>
      <w:r w:rsidR="00AD65E3" w:rsidRPr="00974501">
        <w:rPr>
          <w:rFonts w:ascii="Times New Roman" w:eastAsia="New Baskerville" w:hAnsi="Times New Roman" w:cs="Times New Roman"/>
          <w:sz w:val="24"/>
          <w:szCs w:val="24"/>
          <w:lang w:eastAsia="it-IT"/>
        </w:rPr>
        <w:t>e non meramente emulativo o potenziale</w:t>
      </w:r>
      <w:r>
        <w:rPr>
          <w:rFonts w:ascii="Times New Roman" w:eastAsia="New Baskerville" w:hAnsi="Times New Roman" w:cs="Times New Roman"/>
          <w:sz w:val="24"/>
          <w:szCs w:val="24"/>
          <w:lang w:eastAsia="it-IT"/>
        </w:rPr>
        <w:t>)</w:t>
      </w:r>
      <w:r w:rsidR="00AD65E3" w:rsidRPr="00974501">
        <w:rPr>
          <w:rFonts w:ascii="Times New Roman" w:eastAsia="New Baskerville" w:hAnsi="Times New Roman" w:cs="Times New Roman"/>
          <w:sz w:val="24"/>
          <w:szCs w:val="24"/>
          <w:lang w:eastAsia="it-IT"/>
        </w:rPr>
        <w:t xml:space="preserve">, connesso alla disponibilità dell’atto o del documento del quale si richiede l’accesso, </w:t>
      </w:r>
      <w:r>
        <w:rPr>
          <w:rFonts w:ascii="Times New Roman" w:eastAsia="New Baskerville" w:hAnsi="Times New Roman" w:cs="Times New Roman"/>
          <w:sz w:val="24"/>
          <w:szCs w:val="24"/>
          <w:lang w:eastAsia="it-IT"/>
        </w:rPr>
        <w:t>e ciò</w:t>
      </w:r>
      <w:r w:rsidR="00AD65E3"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anche quando </w:t>
      </w:r>
      <w:r w:rsidR="00AD65E3" w:rsidRPr="00974501">
        <w:rPr>
          <w:rFonts w:ascii="Times New Roman" w:eastAsia="New Baskerville" w:hAnsi="Times New Roman" w:cs="Times New Roman"/>
          <w:sz w:val="24"/>
          <w:szCs w:val="24"/>
          <w:lang w:eastAsia="it-IT"/>
        </w:rPr>
        <w:t xml:space="preserve">l’accesso </w:t>
      </w:r>
      <w:r w:rsidR="000B6CDF">
        <w:rPr>
          <w:rFonts w:ascii="Times New Roman" w:eastAsia="New Baskerville" w:hAnsi="Times New Roman" w:cs="Times New Roman"/>
          <w:sz w:val="24"/>
          <w:szCs w:val="24"/>
          <w:lang w:eastAsia="it-IT"/>
        </w:rPr>
        <w:t>viene esercitato</w:t>
      </w:r>
      <w:r w:rsidR="00AD65E3" w:rsidRPr="00974501">
        <w:rPr>
          <w:rFonts w:ascii="Times New Roman" w:eastAsia="New Baskerville" w:hAnsi="Times New Roman" w:cs="Times New Roman"/>
          <w:sz w:val="24"/>
          <w:szCs w:val="24"/>
          <w:lang w:eastAsia="it-IT"/>
        </w:rPr>
        <w:t xml:space="preserve"> </w:t>
      </w:r>
      <w:r w:rsidR="000B6CDF">
        <w:rPr>
          <w:rFonts w:ascii="Times New Roman" w:eastAsia="New Baskerville" w:hAnsi="Times New Roman" w:cs="Times New Roman"/>
          <w:sz w:val="24"/>
          <w:szCs w:val="24"/>
          <w:lang w:eastAsia="it-IT"/>
        </w:rPr>
        <w:t xml:space="preserve">per </w:t>
      </w:r>
      <w:r w:rsidR="00AD65E3" w:rsidRPr="00974501">
        <w:rPr>
          <w:rFonts w:ascii="Times New Roman" w:eastAsia="New Baskerville" w:hAnsi="Times New Roman" w:cs="Times New Roman"/>
          <w:sz w:val="24"/>
          <w:szCs w:val="24"/>
          <w:lang w:eastAsia="it-IT"/>
        </w:rPr>
        <w:t xml:space="preserve">l’esercizio del diritto di difesa in giudizio, </w:t>
      </w:r>
      <w:r>
        <w:rPr>
          <w:rFonts w:ascii="Times New Roman" w:eastAsia="New Baskerville" w:hAnsi="Times New Roman" w:cs="Times New Roman"/>
          <w:sz w:val="24"/>
          <w:szCs w:val="24"/>
          <w:lang w:eastAsia="it-IT"/>
        </w:rPr>
        <w:t>dove</w:t>
      </w:r>
      <w:r w:rsidR="00AD65E3" w:rsidRPr="00974501">
        <w:rPr>
          <w:rFonts w:ascii="Times New Roman" w:eastAsia="New Baskerville" w:hAnsi="Times New Roman" w:cs="Times New Roman"/>
          <w:sz w:val="24"/>
          <w:szCs w:val="24"/>
          <w:lang w:eastAsia="it-IT"/>
        </w:rPr>
        <w:t xml:space="preserve"> la richiamata strumentalità va intesa in senso </w:t>
      </w:r>
      <w:r w:rsidR="000B6CDF">
        <w:rPr>
          <w:rFonts w:ascii="Times New Roman" w:eastAsia="New Baskerville" w:hAnsi="Times New Roman" w:cs="Times New Roman"/>
          <w:sz w:val="24"/>
          <w:szCs w:val="24"/>
          <w:lang w:eastAsia="it-IT"/>
        </w:rPr>
        <w:t xml:space="preserve">più </w:t>
      </w:r>
      <w:r w:rsidR="00AD65E3" w:rsidRPr="00974501">
        <w:rPr>
          <w:rFonts w:ascii="Times New Roman" w:eastAsia="New Baskerville" w:hAnsi="Times New Roman" w:cs="Times New Roman"/>
          <w:sz w:val="24"/>
          <w:szCs w:val="24"/>
          <w:lang w:eastAsia="it-IT"/>
        </w:rPr>
        <w:t>ampio, in termini di utilità per la difesa di un interesse giuridicamente rilevante</w:t>
      </w:r>
      <w:r w:rsidR="00AD65E3" w:rsidRPr="00974501">
        <w:rPr>
          <w:rStyle w:val="Rimandonotaapidipagina"/>
          <w:rFonts w:ascii="Times New Roman" w:eastAsia="New Baskerville" w:hAnsi="Times New Roman" w:cs="Times New Roman"/>
          <w:sz w:val="24"/>
          <w:szCs w:val="24"/>
          <w:lang w:eastAsia="it-IT"/>
        </w:rPr>
        <w:footnoteReference w:id="13"/>
      </w:r>
      <w:r w:rsidR="00AD65E3" w:rsidRPr="00974501">
        <w:rPr>
          <w:rFonts w:ascii="Times New Roman" w:eastAsia="New Baskerville" w:hAnsi="Times New Roman" w:cs="Times New Roman"/>
          <w:sz w:val="24"/>
          <w:szCs w:val="24"/>
          <w:lang w:eastAsia="it-IT"/>
        </w:rPr>
        <w:t>.</w:t>
      </w:r>
    </w:p>
    <w:p w:rsidR="00B205ED" w:rsidRPr="00974501" w:rsidRDefault="000B6CDF"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In tal modo, l</w:t>
      </w:r>
      <w:r w:rsidR="00B205ED" w:rsidRPr="00974501">
        <w:rPr>
          <w:rFonts w:ascii="Times New Roman" w:eastAsia="New Baskerville" w:hAnsi="Times New Roman" w:cs="Times New Roman"/>
          <w:sz w:val="24"/>
          <w:szCs w:val="24"/>
          <w:lang w:eastAsia="it-IT"/>
        </w:rPr>
        <w:t xml:space="preserve">e disposizioni di cui all’art. 22 e segg. della legge n. 241/1990 </w:t>
      </w:r>
      <w:r>
        <w:rPr>
          <w:rFonts w:ascii="Times New Roman" w:eastAsia="New Baskerville" w:hAnsi="Times New Roman" w:cs="Times New Roman"/>
          <w:sz w:val="24"/>
          <w:szCs w:val="24"/>
          <w:lang w:eastAsia="it-IT"/>
        </w:rPr>
        <w:t>finisco</w:t>
      </w:r>
      <w:r w:rsidR="00B205ED" w:rsidRPr="00974501">
        <w:rPr>
          <w:rFonts w:ascii="Times New Roman" w:eastAsia="New Baskerville" w:hAnsi="Times New Roman" w:cs="Times New Roman"/>
          <w:sz w:val="24"/>
          <w:szCs w:val="24"/>
          <w:lang w:eastAsia="it-IT"/>
        </w:rPr>
        <w:t xml:space="preserve">no </w:t>
      </w:r>
      <w:r>
        <w:rPr>
          <w:rFonts w:ascii="Times New Roman" w:eastAsia="New Baskerville" w:hAnsi="Times New Roman" w:cs="Times New Roman"/>
          <w:sz w:val="24"/>
          <w:szCs w:val="24"/>
          <w:lang w:eastAsia="it-IT"/>
        </w:rPr>
        <w:t>per</w:t>
      </w:r>
      <w:r w:rsidR="00B205ED" w:rsidRPr="00974501">
        <w:rPr>
          <w:rFonts w:ascii="Times New Roman" w:eastAsia="New Baskerville" w:hAnsi="Times New Roman" w:cs="Times New Roman"/>
          <w:sz w:val="24"/>
          <w:szCs w:val="24"/>
          <w:lang w:eastAsia="it-IT"/>
        </w:rPr>
        <w:t xml:space="preserve"> coniugare </w:t>
      </w:r>
      <w:r>
        <w:rPr>
          <w:rFonts w:ascii="Times New Roman" w:eastAsia="New Baskerville" w:hAnsi="Times New Roman" w:cs="Times New Roman"/>
          <w:sz w:val="24"/>
          <w:szCs w:val="24"/>
          <w:lang w:eastAsia="it-IT"/>
        </w:rPr>
        <w:t>le esigenze di</w:t>
      </w:r>
      <w:r w:rsidR="00B205ED" w:rsidRPr="00974501">
        <w:rPr>
          <w:rFonts w:ascii="Times New Roman" w:eastAsia="New Baskerville" w:hAnsi="Times New Roman" w:cs="Times New Roman"/>
          <w:sz w:val="24"/>
          <w:szCs w:val="24"/>
          <w:lang w:eastAsia="it-IT"/>
        </w:rPr>
        <w:t xml:space="preserve"> trasparenza e </w:t>
      </w:r>
      <w:r>
        <w:rPr>
          <w:rFonts w:ascii="Times New Roman" w:eastAsia="New Baskerville" w:hAnsi="Times New Roman" w:cs="Times New Roman"/>
          <w:sz w:val="24"/>
          <w:szCs w:val="24"/>
          <w:lang w:eastAsia="it-IT"/>
        </w:rPr>
        <w:t xml:space="preserve">di </w:t>
      </w:r>
      <w:r w:rsidR="00B205ED" w:rsidRPr="00974501">
        <w:rPr>
          <w:rFonts w:ascii="Times New Roman" w:eastAsia="New Baskerville" w:hAnsi="Times New Roman" w:cs="Times New Roman"/>
          <w:sz w:val="24"/>
          <w:szCs w:val="24"/>
          <w:lang w:eastAsia="it-IT"/>
        </w:rPr>
        <w:t xml:space="preserve">garanzia di imparzialità dell’amministrazione con il bilanciamento </w:t>
      </w:r>
      <w:r w:rsidR="004209BB">
        <w:rPr>
          <w:rFonts w:ascii="Times New Roman" w:eastAsia="New Baskerville" w:hAnsi="Times New Roman" w:cs="Times New Roman"/>
          <w:sz w:val="24"/>
          <w:szCs w:val="24"/>
          <w:lang w:eastAsia="it-IT"/>
        </w:rPr>
        <w:t>riguard</w:t>
      </w:r>
      <w:r w:rsidR="00B205ED" w:rsidRPr="00974501">
        <w:rPr>
          <w:rFonts w:ascii="Times New Roman" w:eastAsia="New Baskerville" w:hAnsi="Times New Roman" w:cs="Times New Roman"/>
          <w:sz w:val="24"/>
          <w:szCs w:val="24"/>
          <w:lang w:eastAsia="it-IT"/>
        </w:rPr>
        <w:t xml:space="preserve">o ad interessi contrapposti, inerenti non solo alla riservatezza di altri soggetti coinvolti, ma anche al buon andamento dell’amministrazione, da salvaguardare </w:t>
      </w:r>
      <w:r w:rsidR="004209BB">
        <w:rPr>
          <w:rFonts w:ascii="Times New Roman" w:eastAsia="New Baskerville" w:hAnsi="Times New Roman" w:cs="Times New Roman"/>
          <w:sz w:val="24"/>
          <w:szCs w:val="24"/>
          <w:lang w:eastAsia="it-IT"/>
        </w:rPr>
        <w:t>rispetto a</w:t>
      </w:r>
      <w:r w:rsidR="00B205ED" w:rsidRPr="00974501">
        <w:rPr>
          <w:rFonts w:ascii="Times New Roman" w:eastAsia="New Baskerville" w:hAnsi="Times New Roman" w:cs="Times New Roman"/>
          <w:sz w:val="24"/>
          <w:szCs w:val="24"/>
          <w:lang w:eastAsia="it-IT"/>
        </w:rPr>
        <w:t xml:space="preserve"> richieste pretestuose e defatiganti, ovvero introduttive di forme atipiche di controllo.</w:t>
      </w:r>
    </w:p>
    <w:p w:rsidR="003A5826" w:rsidRDefault="00032E7C" w:rsidP="00D85FDA">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Ma </w:t>
      </w:r>
      <w:r w:rsidR="00757EEF">
        <w:rPr>
          <w:rFonts w:ascii="Times New Roman" w:eastAsia="New Baskerville" w:hAnsi="Times New Roman" w:cs="Times New Roman"/>
          <w:sz w:val="24"/>
          <w:szCs w:val="24"/>
          <w:lang w:eastAsia="it-IT"/>
        </w:rPr>
        <w:t xml:space="preserve">anche </w:t>
      </w:r>
      <w:r w:rsidR="00E906F0" w:rsidRPr="00974501">
        <w:rPr>
          <w:rFonts w:ascii="Times New Roman" w:eastAsia="New Baskerville" w:hAnsi="Times New Roman" w:cs="Times New Roman"/>
          <w:sz w:val="24"/>
          <w:szCs w:val="24"/>
          <w:lang w:eastAsia="it-IT"/>
        </w:rPr>
        <w:t>l’</w:t>
      </w:r>
      <w:r w:rsidR="00B205ED" w:rsidRPr="00974501">
        <w:rPr>
          <w:rFonts w:ascii="Times New Roman" w:eastAsia="New Baskerville" w:hAnsi="Times New Roman" w:cs="Times New Roman"/>
          <w:sz w:val="24"/>
          <w:szCs w:val="24"/>
          <w:lang w:eastAsia="it-IT"/>
        </w:rPr>
        <w:t>istituto dell’accesso civico </w:t>
      </w:r>
      <w:r w:rsidR="006F3916">
        <w:rPr>
          <w:rFonts w:ascii="Times New Roman" w:eastAsia="New Baskerville" w:hAnsi="Times New Roman" w:cs="Times New Roman"/>
          <w:sz w:val="24"/>
          <w:szCs w:val="24"/>
          <w:lang w:eastAsia="it-IT"/>
        </w:rPr>
        <w:t>‘</w:t>
      </w:r>
      <w:r w:rsidR="00B205ED" w:rsidRPr="00974501">
        <w:rPr>
          <w:rFonts w:ascii="Times New Roman" w:eastAsia="New Baskerville" w:hAnsi="Times New Roman" w:cs="Times New Roman"/>
          <w:sz w:val="24"/>
          <w:szCs w:val="24"/>
          <w:lang w:eastAsia="it-IT"/>
        </w:rPr>
        <w:t>generalizzato</w:t>
      </w:r>
      <w:r w:rsidR="006F3916">
        <w:rPr>
          <w:rFonts w:ascii="Times New Roman" w:eastAsia="New Baskerville" w:hAnsi="Times New Roman" w:cs="Times New Roman"/>
          <w:sz w:val="24"/>
          <w:szCs w:val="24"/>
          <w:lang w:eastAsia="it-IT"/>
        </w:rPr>
        <w:t>’</w:t>
      </w:r>
      <w:r w:rsidR="00E906F0" w:rsidRPr="00974501">
        <w:rPr>
          <w:rFonts w:ascii="Times New Roman" w:eastAsia="New Baskerville" w:hAnsi="Times New Roman" w:cs="Times New Roman"/>
          <w:sz w:val="24"/>
          <w:szCs w:val="24"/>
          <w:lang w:eastAsia="it-IT"/>
        </w:rPr>
        <w:t xml:space="preserve"> non è </w:t>
      </w:r>
      <w:r w:rsidR="00757EEF">
        <w:rPr>
          <w:rFonts w:ascii="Times New Roman" w:eastAsia="New Baskerville" w:hAnsi="Times New Roman" w:cs="Times New Roman"/>
          <w:sz w:val="24"/>
          <w:szCs w:val="24"/>
          <w:lang w:eastAsia="it-IT"/>
        </w:rPr>
        <w:t xml:space="preserve">esercitabile in modo indiscriminato ed </w:t>
      </w:r>
      <w:r w:rsidR="00E906F0" w:rsidRPr="00974501">
        <w:rPr>
          <w:rFonts w:ascii="Times New Roman" w:eastAsia="New Baskerville" w:hAnsi="Times New Roman" w:cs="Times New Roman"/>
          <w:sz w:val="24"/>
          <w:szCs w:val="24"/>
          <w:lang w:eastAsia="it-IT"/>
        </w:rPr>
        <w:t>i</w:t>
      </w:r>
      <w:r w:rsidR="003A5826">
        <w:rPr>
          <w:rFonts w:ascii="Times New Roman" w:eastAsia="New Baskerville" w:hAnsi="Times New Roman" w:cs="Times New Roman"/>
          <w:sz w:val="24"/>
          <w:szCs w:val="24"/>
          <w:lang w:eastAsia="it-IT"/>
        </w:rPr>
        <w:t>llimit</w:t>
      </w:r>
      <w:r w:rsidR="00E906F0" w:rsidRPr="00974501">
        <w:rPr>
          <w:rFonts w:ascii="Times New Roman" w:eastAsia="New Baskerville" w:hAnsi="Times New Roman" w:cs="Times New Roman"/>
          <w:sz w:val="24"/>
          <w:szCs w:val="24"/>
          <w:lang w:eastAsia="it-IT"/>
        </w:rPr>
        <w:t>ato, trova</w:t>
      </w:r>
      <w:r w:rsidRPr="00974501">
        <w:rPr>
          <w:rFonts w:ascii="Times New Roman" w:eastAsia="New Baskerville" w:hAnsi="Times New Roman" w:cs="Times New Roman"/>
          <w:sz w:val="24"/>
          <w:szCs w:val="24"/>
          <w:lang w:eastAsia="it-IT"/>
        </w:rPr>
        <w:t>ndo</w:t>
      </w:r>
      <w:r w:rsidR="00E906F0" w:rsidRPr="00974501">
        <w:rPr>
          <w:rFonts w:ascii="Times New Roman" w:eastAsia="New Baskerville" w:hAnsi="Times New Roman" w:cs="Times New Roman"/>
          <w:sz w:val="24"/>
          <w:szCs w:val="24"/>
          <w:lang w:eastAsia="it-IT"/>
        </w:rPr>
        <w:t xml:space="preserve"> </w:t>
      </w:r>
      <w:r w:rsidR="003A5826">
        <w:rPr>
          <w:rFonts w:ascii="Times New Roman" w:eastAsia="New Baskerville" w:hAnsi="Times New Roman" w:cs="Times New Roman"/>
          <w:sz w:val="24"/>
          <w:szCs w:val="24"/>
          <w:lang w:eastAsia="it-IT"/>
        </w:rPr>
        <w:t xml:space="preserve">anzi </w:t>
      </w:r>
      <w:r w:rsidR="00E906F0" w:rsidRPr="00974501">
        <w:rPr>
          <w:rFonts w:ascii="Times New Roman" w:eastAsia="New Baskerville" w:hAnsi="Times New Roman" w:cs="Times New Roman"/>
          <w:sz w:val="24"/>
          <w:szCs w:val="24"/>
          <w:lang w:eastAsia="it-IT"/>
        </w:rPr>
        <w:t>precisi e tassativi limiti</w:t>
      </w:r>
      <w:r w:rsidR="00757EEF">
        <w:rPr>
          <w:rFonts w:ascii="Times New Roman" w:eastAsia="New Baskerville" w:hAnsi="Times New Roman" w:cs="Times New Roman"/>
          <w:sz w:val="24"/>
          <w:szCs w:val="24"/>
          <w:lang w:eastAsia="it-IT"/>
        </w:rPr>
        <w:t>,</w:t>
      </w:r>
      <w:r w:rsidR="00E906F0"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a salvaguardia</w:t>
      </w:r>
      <w:r w:rsidR="00E906F0" w:rsidRPr="00974501">
        <w:rPr>
          <w:rFonts w:ascii="Times New Roman" w:eastAsia="New Baskerville" w:hAnsi="Times New Roman" w:cs="Times New Roman"/>
          <w:sz w:val="24"/>
          <w:szCs w:val="24"/>
          <w:lang w:eastAsia="it-IT"/>
        </w:rPr>
        <w:t xml:space="preserve"> d</w:t>
      </w:r>
      <w:r w:rsidRPr="00974501">
        <w:rPr>
          <w:rFonts w:ascii="Times New Roman" w:eastAsia="New Baskerville" w:hAnsi="Times New Roman" w:cs="Times New Roman"/>
          <w:sz w:val="24"/>
          <w:szCs w:val="24"/>
          <w:lang w:eastAsia="it-IT"/>
        </w:rPr>
        <w:t>egl</w:t>
      </w:r>
      <w:r w:rsidR="00E906F0" w:rsidRPr="00974501">
        <w:rPr>
          <w:rFonts w:ascii="Times New Roman" w:eastAsia="New Baskerville" w:hAnsi="Times New Roman" w:cs="Times New Roman"/>
          <w:sz w:val="24"/>
          <w:szCs w:val="24"/>
          <w:lang w:eastAsia="it-IT"/>
        </w:rPr>
        <w:t>i</w:t>
      </w:r>
      <w:r w:rsidR="00B205ED" w:rsidRPr="00974501">
        <w:rPr>
          <w:rFonts w:ascii="Times New Roman" w:eastAsia="New Baskerville" w:hAnsi="Times New Roman" w:cs="Times New Roman"/>
          <w:sz w:val="24"/>
          <w:szCs w:val="24"/>
          <w:lang w:eastAsia="it-IT"/>
        </w:rPr>
        <w:t xml:space="preserve"> interessi</w:t>
      </w:r>
      <w:r w:rsidR="00757EEF">
        <w:rPr>
          <w:rFonts w:ascii="Times New Roman" w:eastAsia="New Baskerville" w:hAnsi="Times New Roman" w:cs="Times New Roman"/>
          <w:sz w:val="24"/>
          <w:szCs w:val="24"/>
          <w:lang w:eastAsia="it-IT"/>
        </w:rPr>
        <w:t>,</w:t>
      </w:r>
      <w:r w:rsidR="00B205ED" w:rsidRPr="00974501">
        <w:rPr>
          <w:rFonts w:ascii="Times New Roman" w:eastAsia="New Baskerville" w:hAnsi="Times New Roman" w:cs="Times New Roman"/>
          <w:sz w:val="24"/>
          <w:szCs w:val="24"/>
          <w:lang w:eastAsia="it-IT"/>
        </w:rPr>
        <w:t xml:space="preserve"> pubblici e privati</w:t>
      </w:r>
      <w:r w:rsidR="00757EEF">
        <w:rPr>
          <w:rFonts w:ascii="Times New Roman" w:eastAsia="New Baskerville" w:hAnsi="Times New Roman" w:cs="Times New Roman"/>
          <w:sz w:val="24"/>
          <w:szCs w:val="24"/>
          <w:lang w:eastAsia="it-IT"/>
        </w:rPr>
        <w:t>,</w:t>
      </w:r>
      <w:r w:rsidR="00B205ED" w:rsidRPr="00974501">
        <w:rPr>
          <w:rFonts w:ascii="Times New Roman" w:eastAsia="New Baskerville" w:hAnsi="Times New Roman" w:cs="Times New Roman"/>
          <w:sz w:val="24"/>
          <w:szCs w:val="24"/>
          <w:lang w:eastAsia="it-IT"/>
        </w:rPr>
        <w:t xml:space="preserve"> che po</w:t>
      </w:r>
      <w:r w:rsidR="00E906F0" w:rsidRPr="00974501">
        <w:rPr>
          <w:rFonts w:ascii="Times New Roman" w:eastAsia="New Baskerville" w:hAnsi="Times New Roman" w:cs="Times New Roman"/>
          <w:sz w:val="24"/>
          <w:szCs w:val="24"/>
          <w:lang w:eastAsia="it-IT"/>
        </w:rPr>
        <w:t>sson</w:t>
      </w:r>
      <w:r w:rsidR="00B205ED" w:rsidRPr="00974501">
        <w:rPr>
          <w:rFonts w:ascii="Times New Roman" w:eastAsia="New Baskerville" w:hAnsi="Times New Roman" w:cs="Times New Roman"/>
          <w:sz w:val="24"/>
          <w:szCs w:val="24"/>
          <w:lang w:eastAsia="it-IT"/>
        </w:rPr>
        <w:t>o esser</w:t>
      </w:r>
      <w:r w:rsidRPr="00974501">
        <w:rPr>
          <w:rFonts w:ascii="Times New Roman" w:eastAsia="New Baskerville" w:hAnsi="Times New Roman" w:cs="Times New Roman"/>
          <w:sz w:val="24"/>
          <w:szCs w:val="24"/>
          <w:lang w:eastAsia="it-IT"/>
        </w:rPr>
        <w:t>e</w:t>
      </w:r>
      <w:r w:rsidR="00B205ED" w:rsidRPr="00974501">
        <w:rPr>
          <w:rFonts w:ascii="Times New Roman" w:eastAsia="New Baskerville" w:hAnsi="Times New Roman" w:cs="Times New Roman"/>
          <w:sz w:val="24"/>
          <w:szCs w:val="24"/>
          <w:lang w:eastAsia="it-IT"/>
        </w:rPr>
        <w:t xml:space="preserve"> messi in pericolo.</w:t>
      </w:r>
    </w:p>
    <w:p w:rsidR="003A5826" w:rsidRDefault="003A5826" w:rsidP="00D85FDA">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Ne consegue che</w:t>
      </w:r>
      <w:r w:rsidR="00D85FDA">
        <w:rPr>
          <w:rFonts w:ascii="Times New Roman" w:eastAsia="New Baskerville" w:hAnsi="Times New Roman" w:cs="Times New Roman"/>
          <w:sz w:val="24"/>
          <w:szCs w:val="24"/>
          <w:lang w:eastAsia="it-IT"/>
        </w:rPr>
        <w:t xml:space="preserve">, anche </w:t>
      </w:r>
      <w:r>
        <w:rPr>
          <w:rFonts w:ascii="Times New Roman" w:eastAsia="New Baskerville" w:hAnsi="Times New Roman" w:cs="Times New Roman"/>
          <w:sz w:val="24"/>
          <w:szCs w:val="24"/>
          <w:lang w:eastAsia="it-IT"/>
        </w:rPr>
        <w:t>dopo</w:t>
      </w:r>
      <w:r w:rsidR="00D85FDA">
        <w:rPr>
          <w:rFonts w:ascii="Times New Roman" w:eastAsia="New Baskerville" w:hAnsi="Times New Roman" w:cs="Times New Roman"/>
          <w:sz w:val="24"/>
          <w:szCs w:val="24"/>
          <w:lang w:eastAsia="it-IT"/>
        </w:rPr>
        <w:t xml:space="preserve"> l’entrata in vigore del d.lgs. n. 33/2013,</w:t>
      </w:r>
      <w:r w:rsidR="00032E7C" w:rsidRPr="00974501">
        <w:rPr>
          <w:rFonts w:ascii="Times New Roman" w:eastAsia="New Baskerville" w:hAnsi="Times New Roman" w:cs="Times New Roman"/>
          <w:sz w:val="24"/>
          <w:szCs w:val="24"/>
          <w:lang w:eastAsia="it-IT"/>
        </w:rPr>
        <w:t xml:space="preserve"> “permane un settore ‘a limitata accessibilità’, qualora la tipologia di dato o di documento non possa essere resa nota per il pericolo che ne provocherebbe la conoscenza indiscriminata, mettendo a repentaglio interessi pubblici ovvero privati</w:t>
      </w:r>
      <w:r>
        <w:rPr>
          <w:rFonts w:ascii="Times New Roman" w:eastAsia="New Baskerville" w:hAnsi="Times New Roman" w:cs="Times New Roman"/>
          <w:sz w:val="24"/>
          <w:szCs w:val="24"/>
          <w:lang w:eastAsia="it-IT"/>
        </w:rPr>
        <w:t>”.</w:t>
      </w:r>
    </w:p>
    <w:p w:rsidR="00B205ED" w:rsidRDefault="00757EEF" w:rsidP="00D85FDA">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E</w:t>
      </w:r>
      <w:r w:rsidR="003A5826">
        <w:rPr>
          <w:rFonts w:ascii="Times New Roman" w:eastAsia="New Baskerville" w:hAnsi="Times New Roman" w:cs="Times New Roman"/>
          <w:sz w:val="24"/>
          <w:szCs w:val="24"/>
          <w:lang w:eastAsia="it-IT"/>
        </w:rPr>
        <w:t xml:space="preserve"> proprio “i</w:t>
      </w:r>
      <w:r w:rsidR="00B205ED" w:rsidRPr="00974501">
        <w:rPr>
          <w:rFonts w:ascii="Times New Roman" w:eastAsia="New Baskerville" w:hAnsi="Times New Roman" w:cs="Times New Roman"/>
          <w:sz w:val="24"/>
          <w:szCs w:val="24"/>
          <w:lang w:eastAsia="it-IT"/>
        </w:rPr>
        <w:t>n</w:t>
      </w:r>
      <w:r w:rsidR="00032E7C" w:rsidRPr="00974501">
        <w:rPr>
          <w:rFonts w:ascii="Times New Roman" w:eastAsia="New Baskerville" w:hAnsi="Times New Roman" w:cs="Times New Roman"/>
          <w:sz w:val="24"/>
          <w:szCs w:val="24"/>
          <w:lang w:eastAsia="it-IT"/>
        </w:rPr>
        <w:t xml:space="preserve"> qu</w:t>
      </w:r>
      <w:r w:rsidR="00B205ED" w:rsidRPr="00974501">
        <w:rPr>
          <w:rFonts w:ascii="Times New Roman" w:eastAsia="New Baskerville" w:hAnsi="Times New Roman" w:cs="Times New Roman"/>
          <w:sz w:val="24"/>
          <w:szCs w:val="24"/>
          <w:lang w:eastAsia="it-IT"/>
        </w:rPr>
        <w:t>e</w:t>
      </w:r>
      <w:r w:rsidR="00032E7C" w:rsidRPr="00974501">
        <w:rPr>
          <w:rFonts w:ascii="Times New Roman" w:eastAsia="New Baskerville" w:hAnsi="Times New Roman" w:cs="Times New Roman"/>
          <w:sz w:val="24"/>
          <w:szCs w:val="24"/>
          <w:lang w:eastAsia="it-IT"/>
        </w:rPr>
        <w:t xml:space="preserve">sto settore </w:t>
      </w:r>
      <w:r w:rsidR="00B205ED" w:rsidRPr="00974501">
        <w:rPr>
          <w:rFonts w:ascii="Times New Roman" w:eastAsia="New Baskerville" w:hAnsi="Times New Roman" w:cs="Times New Roman"/>
          <w:sz w:val="24"/>
          <w:szCs w:val="24"/>
          <w:lang w:eastAsia="it-IT"/>
        </w:rPr>
        <w:t>continuano ad applicarsi le più rigorose norme della </w:t>
      </w:r>
      <w:hyperlink r:id="rId8" w:anchor="id=10LX0000110183ART0,__m=document" w:history="1">
        <w:r w:rsidR="00E906F0" w:rsidRPr="00974501">
          <w:rPr>
            <w:rFonts w:ascii="Times New Roman" w:eastAsia="New Baskerville" w:hAnsi="Times New Roman" w:cs="Times New Roman"/>
            <w:sz w:val="24"/>
            <w:szCs w:val="24"/>
            <w:lang w:eastAsia="it-IT"/>
          </w:rPr>
          <w:t>legge</w:t>
        </w:r>
        <w:r w:rsidR="00B205ED" w:rsidRPr="00974501">
          <w:rPr>
            <w:rFonts w:ascii="Times New Roman" w:eastAsia="New Baskerville" w:hAnsi="Times New Roman" w:cs="Times New Roman"/>
            <w:sz w:val="24"/>
            <w:szCs w:val="24"/>
            <w:lang w:eastAsia="it-IT"/>
          </w:rPr>
          <w:t xml:space="preserve"> n. 241</w:t>
        </w:r>
        <w:r w:rsidR="00E906F0" w:rsidRPr="00974501">
          <w:rPr>
            <w:rFonts w:ascii="Times New Roman" w:eastAsia="New Baskerville" w:hAnsi="Times New Roman" w:cs="Times New Roman"/>
            <w:sz w:val="24"/>
            <w:szCs w:val="24"/>
            <w:lang w:eastAsia="it-IT"/>
          </w:rPr>
          <w:t>/</w:t>
        </w:r>
        <w:r w:rsidR="00B205ED" w:rsidRPr="00974501">
          <w:rPr>
            <w:rFonts w:ascii="Times New Roman" w:eastAsia="New Baskerville" w:hAnsi="Times New Roman" w:cs="Times New Roman"/>
            <w:sz w:val="24"/>
            <w:szCs w:val="24"/>
            <w:lang w:eastAsia="it-IT"/>
          </w:rPr>
          <w:t>1990</w:t>
        </w:r>
      </w:hyperlink>
      <w:r w:rsidR="00B205ED" w:rsidRPr="00974501">
        <w:rPr>
          <w:rFonts w:ascii="Times New Roman" w:eastAsia="New Baskerville" w:hAnsi="Times New Roman" w:cs="Times New Roman"/>
          <w:sz w:val="24"/>
          <w:szCs w:val="24"/>
          <w:lang w:eastAsia="it-IT"/>
        </w:rPr>
        <w:t>,</w:t>
      </w:r>
      <w:r w:rsidR="00032E7C" w:rsidRPr="00974501">
        <w:rPr>
          <w:rFonts w:ascii="Times New Roman" w:eastAsia="New Baskerville" w:hAnsi="Times New Roman" w:cs="Times New Roman"/>
          <w:sz w:val="24"/>
          <w:szCs w:val="24"/>
          <w:lang w:eastAsia="it-IT"/>
        </w:rPr>
        <w:t xml:space="preserve"> sicché</w:t>
      </w:r>
      <w:r w:rsidR="00B205ED" w:rsidRPr="00974501">
        <w:rPr>
          <w:rFonts w:ascii="Times New Roman" w:eastAsia="New Baskerville" w:hAnsi="Times New Roman" w:cs="Times New Roman"/>
          <w:sz w:val="24"/>
          <w:szCs w:val="24"/>
          <w:lang w:eastAsia="it-IT"/>
        </w:rPr>
        <w:t xml:space="preserve"> l’ostensione di quel </w:t>
      </w:r>
      <w:r w:rsidR="00E906F0" w:rsidRPr="00974501">
        <w:rPr>
          <w:rFonts w:ascii="Times New Roman" w:eastAsia="New Baskerville" w:hAnsi="Times New Roman" w:cs="Times New Roman"/>
          <w:sz w:val="24"/>
          <w:szCs w:val="24"/>
          <w:lang w:eastAsia="it-IT"/>
        </w:rPr>
        <w:t>d</w:t>
      </w:r>
      <w:r w:rsidR="00B205ED" w:rsidRPr="00974501">
        <w:rPr>
          <w:rFonts w:ascii="Times New Roman" w:eastAsia="New Baskerville" w:hAnsi="Times New Roman" w:cs="Times New Roman"/>
          <w:sz w:val="24"/>
          <w:szCs w:val="24"/>
          <w:lang w:eastAsia="it-IT"/>
        </w:rPr>
        <w:t>ato e documento sarà resa possibile</w:t>
      </w:r>
      <w:r>
        <w:rPr>
          <w:rFonts w:ascii="Times New Roman" w:eastAsia="New Baskerville" w:hAnsi="Times New Roman" w:cs="Times New Roman"/>
          <w:sz w:val="24"/>
          <w:szCs w:val="24"/>
          <w:lang w:eastAsia="it-IT"/>
        </w:rPr>
        <w:t>,</w:t>
      </w:r>
      <w:r w:rsidR="00B205ED" w:rsidRPr="00974501">
        <w:rPr>
          <w:rFonts w:ascii="Times New Roman" w:eastAsia="New Baskerville" w:hAnsi="Times New Roman" w:cs="Times New Roman"/>
          <w:sz w:val="24"/>
          <w:szCs w:val="24"/>
          <w:lang w:eastAsia="it-IT"/>
        </w:rPr>
        <w:t xml:space="preserve"> solo in favore di una ristretta cerchia di interessati (tranne nelle ipotesi in cui è legislativamente escluso l’accesso documentale)</w:t>
      </w:r>
      <w:r w:rsidR="00E906F0" w:rsidRPr="00974501">
        <w:rPr>
          <w:rFonts w:ascii="Times New Roman" w:eastAsia="New Baskerville" w:hAnsi="Times New Roman" w:cs="Times New Roman"/>
          <w:sz w:val="24"/>
          <w:szCs w:val="24"/>
          <w:lang w:eastAsia="it-IT"/>
        </w:rPr>
        <w:t>,</w:t>
      </w:r>
      <w:r w:rsidR="00B205ED" w:rsidRPr="00974501">
        <w:rPr>
          <w:rFonts w:ascii="Times New Roman" w:eastAsia="New Baskerville" w:hAnsi="Times New Roman" w:cs="Times New Roman"/>
          <w:sz w:val="24"/>
          <w:szCs w:val="24"/>
          <w:lang w:eastAsia="it-IT"/>
        </w:rPr>
        <w:t xml:space="preserve"> secondo le tradizionali e più restrittive regole recate dalla </w:t>
      </w:r>
      <w:hyperlink r:id="rId9" w:anchor="id=10LX0000110183ART0,__m=document" w:history="1">
        <w:r w:rsidR="00E906F0" w:rsidRPr="00974501">
          <w:rPr>
            <w:rFonts w:ascii="Times New Roman" w:eastAsia="New Baskerville" w:hAnsi="Times New Roman" w:cs="Times New Roman"/>
            <w:sz w:val="24"/>
            <w:szCs w:val="24"/>
            <w:lang w:eastAsia="it-IT"/>
          </w:rPr>
          <w:t>legge</w:t>
        </w:r>
        <w:r w:rsidR="00B205ED" w:rsidRPr="00974501">
          <w:rPr>
            <w:rFonts w:ascii="Times New Roman" w:eastAsia="New Baskerville" w:hAnsi="Times New Roman" w:cs="Times New Roman"/>
            <w:sz w:val="24"/>
            <w:szCs w:val="24"/>
            <w:lang w:eastAsia="it-IT"/>
          </w:rPr>
          <w:t xml:space="preserve"> n. 241</w:t>
        </w:r>
        <w:r w:rsidR="00E906F0" w:rsidRPr="00974501">
          <w:rPr>
            <w:rFonts w:ascii="Times New Roman" w:eastAsia="New Baskerville" w:hAnsi="Times New Roman" w:cs="Times New Roman"/>
            <w:sz w:val="24"/>
            <w:szCs w:val="24"/>
            <w:lang w:eastAsia="it-IT"/>
          </w:rPr>
          <w:t>/</w:t>
        </w:r>
        <w:r w:rsidR="00B205ED" w:rsidRPr="00974501">
          <w:rPr>
            <w:rFonts w:ascii="Times New Roman" w:eastAsia="New Baskerville" w:hAnsi="Times New Roman" w:cs="Times New Roman"/>
            <w:sz w:val="24"/>
            <w:szCs w:val="24"/>
            <w:lang w:eastAsia="it-IT"/>
          </w:rPr>
          <w:t>1990</w:t>
        </w:r>
      </w:hyperlink>
      <w:r w:rsidR="00B205ED" w:rsidRPr="00974501">
        <w:rPr>
          <w:rFonts w:ascii="Times New Roman" w:eastAsia="New Baskerville" w:hAnsi="Times New Roman" w:cs="Times New Roman"/>
          <w:sz w:val="24"/>
          <w:szCs w:val="24"/>
          <w:lang w:eastAsia="it-IT"/>
        </w:rPr>
        <w:t>”</w:t>
      </w:r>
      <w:r w:rsidR="00EC66CD" w:rsidRPr="00974501">
        <w:rPr>
          <w:rStyle w:val="Rimandonotaapidipagina"/>
          <w:rFonts w:ascii="Times New Roman" w:eastAsia="New Baskerville" w:hAnsi="Times New Roman" w:cs="Times New Roman"/>
          <w:sz w:val="24"/>
          <w:szCs w:val="24"/>
          <w:lang w:eastAsia="it-IT"/>
        </w:rPr>
        <w:footnoteReference w:id="14"/>
      </w:r>
      <w:r w:rsidR="00B205ED" w:rsidRPr="00974501">
        <w:rPr>
          <w:rFonts w:ascii="Times New Roman" w:eastAsia="New Baskerville" w:hAnsi="Times New Roman" w:cs="Times New Roman"/>
          <w:sz w:val="24"/>
          <w:szCs w:val="24"/>
          <w:lang w:eastAsia="it-IT"/>
        </w:rPr>
        <w:t>.</w:t>
      </w:r>
    </w:p>
    <w:p w:rsidR="003A5826" w:rsidRDefault="003A5826" w:rsidP="00D85FDA">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L’accesso documentale diventa così l’arma attraverso cui</w:t>
      </w:r>
      <w:r w:rsidR="0054326B">
        <w:rPr>
          <w:rFonts w:ascii="Times New Roman" w:eastAsia="New Baskerville" w:hAnsi="Times New Roman" w:cs="Times New Roman"/>
          <w:sz w:val="24"/>
          <w:szCs w:val="24"/>
          <w:lang w:eastAsia="it-IT"/>
        </w:rPr>
        <w:t>,</w:t>
      </w:r>
      <w:r>
        <w:rPr>
          <w:rFonts w:ascii="Times New Roman" w:eastAsia="New Baskerville" w:hAnsi="Times New Roman" w:cs="Times New Roman"/>
          <w:sz w:val="24"/>
          <w:szCs w:val="24"/>
          <w:lang w:eastAsia="it-IT"/>
        </w:rPr>
        <w:t xml:space="preserve"> </w:t>
      </w:r>
      <w:r w:rsidR="00757EEF">
        <w:rPr>
          <w:rFonts w:ascii="Times New Roman" w:eastAsia="New Baskerville" w:hAnsi="Times New Roman" w:cs="Times New Roman"/>
          <w:sz w:val="24"/>
          <w:szCs w:val="24"/>
          <w:lang w:eastAsia="it-IT"/>
        </w:rPr>
        <w:t>eventualmente</w:t>
      </w:r>
      <w:r w:rsidR="0054326B">
        <w:rPr>
          <w:rFonts w:ascii="Times New Roman" w:eastAsia="New Baskerville" w:hAnsi="Times New Roman" w:cs="Times New Roman"/>
          <w:sz w:val="24"/>
          <w:szCs w:val="24"/>
          <w:lang w:eastAsia="it-IT"/>
        </w:rPr>
        <w:t>,</w:t>
      </w:r>
      <w:r w:rsidR="00757EEF">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acquisire informazioni</w:t>
      </w:r>
      <w:r w:rsidR="00757EEF">
        <w:rPr>
          <w:rFonts w:ascii="Times New Roman" w:eastAsia="New Baskerville" w:hAnsi="Times New Roman" w:cs="Times New Roman"/>
          <w:sz w:val="24"/>
          <w:szCs w:val="24"/>
          <w:lang w:eastAsia="it-IT"/>
        </w:rPr>
        <w:t>,</w:t>
      </w:r>
      <w:r>
        <w:rPr>
          <w:rFonts w:ascii="Times New Roman" w:eastAsia="New Baskerville" w:hAnsi="Times New Roman" w:cs="Times New Roman"/>
          <w:sz w:val="24"/>
          <w:szCs w:val="24"/>
          <w:lang w:eastAsia="it-IT"/>
        </w:rPr>
        <w:t xml:space="preserve"> </w:t>
      </w:r>
      <w:r w:rsidR="00CB44D5">
        <w:rPr>
          <w:rFonts w:ascii="Times New Roman" w:eastAsia="New Baskerville" w:hAnsi="Times New Roman" w:cs="Times New Roman"/>
          <w:sz w:val="24"/>
          <w:szCs w:val="24"/>
          <w:lang w:eastAsia="it-IT"/>
        </w:rPr>
        <w:t>che non possono essere fornite trami</w:t>
      </w:r>
      <w:r>
        <w:rPr>
          <w:rFonts w:ascii="Times New Roman" w:eastAsia="New Baskerville" w:hAnsi="Times New Roman" w:cs="Times New Roman"/>
          <w:sz w:val="24"/>
          <w:szCs w:val="24"/>
          <w:lang w:eastAsia="it-IT"/>
        </w:rPr>
        <w:t xml:space="preserve">te </w:t>
      </w:r>
      <w:r w:rsidR="00CB44D5">
        <w:rPr>
          <w:rFonts w:ascii="Times New Roman" w:eastAsia="New Baskerville" w:hAnsi="Times New Roman" w:cs="Times New Roman"/>
          <w:sz w:val="24"/>
          <w:szCs w:val="24"/>
          <w:lang w:eastAsia="it-IT"/>
        </w:rPr>
        <w:t>l’</w:t>
      </w:r>
      <w:r>
        <w:rPr>
          <w:rFonts w:ascii="Times New Roman" w:eastAsia="New Baskerville" w:hAnsi="Times New Roman" w:cs="Times New Roman"/>
          <w:sz w:val="24"/>
          <w:szCs w:val="24"/>
          <w:lang w:eastAsia="it-IT"/>
        </w:rPr>
        <w:t>accesso civico ‘generalizzato’.</w:t>
      </w:r>
    </w:p>
    <w:p w:rsidR="003A5826" w:rsidRPr="00974501" w:rsidRDefault="003A5826" w:rsidP="00D85FDA">
      <w:pPr>
        <w:spacing w:before="299" w:after="0" w:line="360" w:lineRule="auto"/>
        <w:ind w:left="142" w:firstLine="992"/>
        <w:jc w:val="both"/>
        <w:rPr>
          <w:rFonts w:ascii="Times New Roman" w:eastAsia="New Baskerville" w:hAnsi="Times New Roman" w:cs="Times New Roman"/>
          <w:sz w:val="24"/>
          <w:szCs w:val="24"/>
          <w:lang w:eastAsia="it-IT"/>
        </w:rPr>
      </w:pPr>
    </w:p>
    <w:p w:rsidR="00DF74E0" w:rsidRPr="00974501" w:rsidRDefault="00232504" w:rsidP="00367C00">
      <w:pPr>
        <w:numPr>
          <w:ilvl w:val="0"/>
          <w:numId w:val="5"/>
        </w:numPr>
        <w:spacing w:before="299" w:after="0" w:line="360" w:lineRule="auto"/>
        <w:ind w:left="142" w:firstLine="992"/>
        <w:jc w:val="both"/>
        <w:rPr>
          <w:rFonts w:ascii="Times New Roman" w:eastAsia="New Baskerville" w:hAnsi="Times New Roman" w:cs="Times New Roman"/>
          <w:b/>
          <w:sz w:val="24"/>
          <w:szCs w:val="24"/>
          <w:u w:val="single"/>
          <w:lang w:eastAsia="it-IT"/>
        </w:rPr>
      </w:pPr>
      <w:r w:rsidRPr="00974501">
        <w:rPr>
          <w:rFonts w:ascii="Times New Roman" w:eastAsia="New Baskerville" w:hAnsi="Times New Roman" w:cs="Times New Roman"/>
          <w:b/>
          <w:sz w:val="24"/>
          <w:szCs w:val="24"/>
          <w:u w:val="single"/>
          <w:lang w:eastAsia="it-IT"/>
        </w:rPr>
        <w:t>Il procedimento</w:t>
      </w:r>
      <w:r w:rsidR="007D27B2" w:rsidRPr="00974501">
        <w:rPr>
          <w:rFonts w:ascii="Times New Roman" w:eastAsia="New Baskerville" w:hAnsi="Times New Roman" w:cs="Times New Roman"/>
          <w:b/>
          <w:sz w:val="24"/>
          <w:szCs w:val="24"/>
          <w:u w:val="single"/>
          <w:lang w:eastAsia="it-IT"/>
        </w:rPr>
        <w:t xml:space="preserve"> di accesso civico</w:t>
      </w:r>
      <w:r w:rsidR="00AF158F" w:rsidRPr="00974501">
        <w:rPr>
          <w:rFonts w:ascii="Times New Roman" w:eastAsia="New Baskerville" w:hAnsi="Times New Roman" w:cs="Times New Roman"/>
          <w:b/>
          <w:sz w:val="24"/>
          <w:szCs w:val="24"/>
          <w:u w:val="single"/>
          <w:lang w:eastAsia="it-IT"/>
        </w:rPr>
        <w:t>.</w:t>
      </w:r>
      <w:r w:rsidR="00D24EE3">
        <w:rPr>
          <w:rFonts w:ascii="Times New Roman" w:eastAsia="New Baskerville" w:hAnsi="Times New Roman" w:cs="Times New Roman"/>
          <w:b/>
          <w:sz w:val="24"/>
          <w:szCs w:val="24"/>
          <w:u w:val="single"/>
          <w:lang w:eastAsia="it-IT"/>
        </w:rPr>
        <w:t xml:space="preserve"> L</w:t>
      </w:r>
      <w:r w:rsidR="00057D11">
        <w:rPr>
          <w:rFonts w:ascii="Times New Roman" w:eastAsia="New Baskerville" w:hAnsi="Times New Roman" w:cs="Times New Roman"/>
          <w:b/>
          <w:sz w:val="24"/>
          <w:szCs w:val="24"/>
          <w:u w:val="single"/>
          <w:lang w:eastAsia="it-IT"/>
        </w:rPr>
        <w:t>e forme di</w:t>
      </w:r>
      <w:r w:rsidR="00D24EE3">
        <w:rPr>
          <w:rFonts w:ascii="Times New Roman" w:eastAsia="New Baskerville" w:hAnsi="Times New Roman" w:cs="Times New Roman"/>
          <w:b/>
          <w:sz w:val="24"/>
          <w:szCs w:val="24"/>
          <w:u w:val="single"/>
          <w:lang w:eastAsia="it-IT"/>
        </w:rPr>
        <w:t xml:space="preserve"> tutela.</w:t>
      </w:r>
    </w:p>
    <w:p w:rsidR="003B27D9" w:rsidRPr="00974501" w:rsidRDefault="003B27D9"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Per approfondire il quadro normativo di riferimento dell’accesso civico, occorre rifarsi</w:t>
      </w:r>
      <w:r w:rsidR="0072261D">
        <w:rPr>
          <w:rFonts w:ascii="Times New Roman" w:eastAsia="New Baskerville" w:hAnsi="Times New Roman" w:cs="Times New Roman"/>
          <w:sz w:val="24"/>
          <w:szCs w:val="24"/>
          <w:lang w:eastAsia="it-IT"/>
        </w:rPr>
        <w:t>, in primo luogo,</w:t>
      </w:r>
      <w:r w:rsidRPr="00974501">
        <w:rPr>
          <w:rFonts w:ascii="Times New Roman" w:eastAsia="New Baskerville" w:hAnsi="Times New Roman" w:cs="Times New Roman"/>
          <w:sz w:val="24"/>
          <w:szCs w:val="24"/>
          <w:lang w:eastAsia="it-IT"/>
        </w:rPr>
        <w:t xml:space="preserve"> alle linee</w:t>
      </w:r>
      <w:r w:rsidR="00491D52">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guida </w:t>
      </w:r>
      <w:proofErr w:type="spellStart"/>
      <w:r w:rsidRPr="00974501">
        <w:rPr>
          <w:rFonts w:ascii="Times New Roman" w:eastAsia="New Baskerville" w:hAnsi="Times New Roman" w:cs="Times New Roman"/>
          <w:sz w:val="24"/>
          <w:szCs w:val="24"/>
          <w:lang w:eastAsia="it-IT"/>
        </w:rPr>
        <w:t>Anac</w:t>
      </w:r>
      <w:proofErr w:type="spellEnd"/>
      <w:r w:rsidRPr="00974501">
        <w:rPr>
          <w:rFonts w:ascii="Times New Roman" w:eastAsia="New Baskerville" w:hAnsi="Times New Roman" w:cs="Times New Roman"/>
          <w:sz w:val="24"/>
          <w:szCs w:val="24"/>
          <w:lang w:eastAsia="it-IT"/>
        </w:rPr>
        <w:t xml:space="preserve"> n. 1309/2016, contenenti indicazioni operative per i soggetti destinatari di richieste di accesso generalizzato, con particolare riguardo all’attività di valutazione delle istanze da decidere</w:t>
      </w:r>
      <w:r w:rsidR="008136B7">
        <w:rPr>
          <w:rFonts w:ascii="Times New Roman" w:eastAsia="New Baskerville" w:hAnsi="Times New Roman" w:cs="Times New Roman"/>
          <w:sz w:val="24"/>
          <w:szCs w:val="24"/>
          <w:lang w:eastAsia="it-IT"/>
        </w:rPr>
        <w:t>,</w:t>
      </w:r>
      <w:r w:rsidR="0072261D">
        <w:rPr>
          <w:rFonts w:ascii="Times New Roman" w:eastAsia="New Baskerville" w:hAnsi="Times New Roman" w:cs="Times New Roman"/>
          <w:sz w:val="24"/>
          <w:szCs w:val="24"/>
          <w:lang w:eastAsia="it-IT"/>
        </w:rPr>
        <w:t xml:space="preserve"> redatte</w:t>
      </w:r>
      <w:r w:rsidRPr="00974501">
        <w:rPr>
          <w:rFonts w:ascii="Times New Roman" w:eastAsia="New Baskerville" w:hAnsi="Times New Roman" w:cs="Times New Roman"/>
          <w:sz w:val="24"/>
          <w:szCs w:val="24"/>
          <w:lang w:eastAsia="it-IT"/>
        </w:rPr>
        <w:t xml:space="preserve"> tenendo conto dello spirito della norma, della necessità di motivare adeguatamente gli eventuali dinieghi e della protezione da assicurare in caso di coinvolgimento di dati personali.</w:t>
      </w:r>
    </w:p>
    <w:p w:rsidR="00F43A47" w:rsidRPr="00974501" w:rsidRDefault="0053613C"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I punti salienti del</w:t>
      </w:r>
      <w:r w:rsidR="00F43A47" w:rsidRPr="00974501">
        <w:rPr>
          <w:rFonts w:ascii="Times New Roman" w:eastAsia="New Baskerville" w:hAnsi="Times New Roman" w:cs="Times New Roman"/>
          <w:sz w:val="24"/>
          <w:szCs w:val="24"/>
          <w:lang w:eastAsia="it-IT"/>
        </w:rPr>
        <w:t>la procedura</w:t>
      </w:r>
      <w:r w:rsidRPr="00974501">
        <w:rPr>
          <w:rFonts w:ascii="Times New Roman" w:eastAsia="New Baskerville" w:hAnsi="Times New Roman" w:cs="Times New Roman"/>
          <w:sz w:val="24"/>
          <w:szCs w:val="24"/>
          <w:lang w:eastAsia="it-IT"/>
        </w:rPr>
        <w:t xml:space="preserve"> </w:t>
      </w:r>
      <w:r w:rsidR="00F43A47" w:rsidRPr="00974501">
        <w:rPr>
          <w:rFonts w:ascii="Times New Roman" w:eastAsia="New Baskerville" w:hAnsi="Times New Roman" w:cs="Times New Roman"/>
          <w:sz w:val="24"/>
          <w:szCs w:val="24"/>
          <w:lang w:eastAsia="it-IT"/>
        </w:rPr>
        <w:t>delineata dall</w:t>
      </w:r>
      <w:r w:rsidR="00C87340" w:rsidRPr="00974501">
        <w:rPr>
          <w:rFonts w:ascii="Times New Roman" w:eastAsia="New Baskerville" w:hAnsi="Times New Roman" w:cs="Times New Roman"/>
          <w:sz w:val="24"/>
          <w:szCs w:val="24"/>
          <w:lang w:eastAsia="it-IT"/>
        </w:rPr>
        <w:t>’</w:t>
      </w:r>
      <w:r w:rsidR="00B56314" w:rsidRPr="00974501">
        <w:rPr>
          <w:rFonts w:ascii="Times New Roman" w:eastAsia="New Baskerville" w:hAnsi="Times New Roman" w:cs="Times New Roman"/>
          <w:sz w:val="24"/>
          <w:szCs w:val="24"/>
          <w:lang w:eastAsia="it-IT"/>
        </w:rPr>
        <w:t>art. 5 del d.</w:t>
      </w:r>
      <w:r w:rsidR="00F43A47" w:rsidRPr="00974501">
        <w:rPr>
          <w:rFonts w:ascii="Times New Roman" w:eastAsia="New Baskerville" w:hAnsi="Times New Roman" w:cs="Times New Roman"/>
          <w:sz w:val="24"/>
          <w:szCs w:val="24"/>
          <w:lang w:eastAsia="it-IT"/>
        </w:rPr>
        <w:t xml:space="preserve">lgs. </w:t>
      </w:r>
      <w:r w:rsidR="00B56314" w:rsidRPr="00974501">
        <w:rPr>
          <w:rFonts w:ascii="Times New Roman" w:eastAsia="New Baskerville" w:hAnsi="Times New Roman" w:cs="Times New Roman"/>
          <w:sz w:val="24"/>
          <w:szCs w:val="24"/>
          <w:lang w:eastAsia="it-IT"/>
        </w:rPr>
        <w:t xml:space="preserve">n. </w:t>
      </w:r>
      <w:r w:rsidR="00F43A47" w:rsidRPr="00974501">
        <w:rPr>
          <w:rFonts w:ascii="Times New Roman" w:eastAsia="New Baskerville" w:hAnsi="Times New Roman" w:cs="Times New Roman"/>
          <w:sz w:val="24"/>
          <w:szCs w:val="24"/>
          <w:lang w:eastAsia="it-IT"/>
        </w:rPr>
        <w:t xml:space="preserve">33/2013 </w:t>
      </w:r>
      <w:r w:rsidR="00B56314" w:rsidRPr="00974501">
        <w:rPr>
          <w:rFonts w:ascii="Times New Roman" w:eastAsia="New Baskerville" w:hAnsi="Times New Roman" w:cs="Times New Roman"/>
          <w:sz w:val="24"/>
          <w:szCs w:val="24"/>
          <w:lang w:eastAsia="it-IT"/>
        </w:rPr>
        <w:t>sono</w:t>
      </w:r>
      <w:r w:rsidRPr="00974501">
        <w:rPr>
          <w:rFonts w:ascii="Times New Roman" w:eastAsia="New Baskerville" w:hAnsi="Times New Roman" w:cs="Times New Roman"/>
          <w:sz w:val="24"/>
          <w:szCs w:val="24"/>
          <w:lang w:eastAsia="it-IT"/>
        </w:rPr>
        <w:t xml:space="preserve"> i seguenti</w:t>
      </w:r>
      <w:r w:rsidR="00F43A47" w:rsidRPr="00974501">
        <w:rPr>
          <w:rFonts w:ascii="Times New Roman" w:eastAsia="New Baskerville" w:hAnsi="Times New Roman" w:cs="Times New Roman"/>
          <w:sz w:val="24"/>
          <w:szCs w:val="24"/>
          <w:lang w:eastAsia="it-IT"/>
        </w:rPr>
        <w:t>:</w:t>
      </w:r>
    </w:p>
    <w:p w:rsidR="00161D30" w:rsidRPr="00974501" w:rsidRDefault="00161D30"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l’esercizio del diritto di accesso civico non è sottoposto ad alcuna limitazione, quanto alla legittimazione soggettiva del richiedente, è gratuito e non richiede motivazione;</w:t>
      </w:r>
    </w:p>
    <w:p w:rsidR="00161D30" w:rsidRPr="00974501" w:rsidRDefault="00161D30"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 nei casi di accesso civico </w:t>
      </w:r>
      <w:r w:rsidR="006F3916">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generalizzato</w:t>
      </w:r>
      <w:r w:rsidR="006F3916">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l’istanza va comunicata d’ufficio a</w:t>
      </w:r>
      <w:r w:rsidR="006F3916">
        <w:rPr>
          <w:rFonts w:ascii="Times New Roman" w:eastAsia="New Baskerville" w:hAnsi="Times New Roman" w:cs="Times New Roman"/>
          <w:sz w:val="24"/>
          <w:szCs w:val="24"/>
          <w:lang w:eastAsia="it-IT"/>
        </w:rPr>
        <w:t>d</w:t>
      </w:r>
      <w:r w:rsidRPr="00974501">
        <w:rPr>
          <w:rFonts w:ascii="Times New Roman" w:eastAsia="New Baskerville" w:hAnsi="Times New Roman" w:cs="Times New Roman"/>
          <w:sz w:val="24"/>
          <w:szCs w:val="24"/>
          <w:lang w:eastAsia="it-IT"/>
        </w:rPr>
        <w:t xml:space="preserve"> eventuali controinteressati;</w:t>
      </w:r>
    </w:p>
    <w:p w:rsidR="0072261D" w:rsidRPr="00974501" w:rsidRDefault="006F3916"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quest</w:t>
      </w:r>
      <w:r w:rsidR="0072261D" w:rsidRPr="00974501">
        <w:rPr>
          <w:rFonts w:ascii="Times New Roman" w:eastAsia="New Baskerville" w:hAnsi="Times New Roman" w:cs="Times New Roman"/>
          <w:sz w:val="24"/>
          <w:szCs w:val="24"/>
          <w:lang w:eastAsia="it-IT"/>
        </w:rPr>
        <w:t>i</w:t>
      </w:r>
      <w:r>
        <w:rPr>
          <w:rFonts w:ascii="Times New Roman" w:eastAsia="New Baskerville" w:hAnsi="Times New Roman" w:cs="Times New Roman"/>
          <w:sz w:val="24"/>
          <w:szCs w:val="24"/>
          <w:lang w:eastAsia="it-IT"/>
        </w:rPr>
        <w:t xml:space="preserve"> ultimi</w:t>
      </w:r>
      <w:r w:rsidR="0072261D" w:rsidRPr="00974501">
        <w:rPr>
          <w:rFonts w:ascii="Times New Roman" w:eastAsia="New Baskerville" w:hAnsi="Times New Roman" w:cs="Times New Roman"/>
          <w:sz w:val="24"/>
          <w:szCs w:val="24"/>
          <w:lang w:eastAsia="it-IT"/>
        </w:rPr>
        <w:t xml:space="preserve"> possono presentare </w:t>
      </w:r>
      <w:r w:rsidR="00491D52">
        <w:rPr>
          <w:rFonts w:ascii="Times New Roman" w:eastAsia="New Baskerville" w:hAnsi="Times New Roman" w:cs="Times New Roman"/>
          <w:sz w:val="24"/>
          <w:szCs w:val="24"/>
          <w:lang w:eastAsia="it-IT"/>
        </w:rPr>
        <w:t xml:space="preserve">una </w:t>
      </w:r>
      <w:r w:rsidR="0072261D" w:rsidRPr="00974501">
        <w:rPr>
          <w:rFonts w:ascii="Times New Roman" w:eastAsia="New Baskerville" w:hAnsi="Times New Roman" w:cs="Times New Roman"/>
          <w:sz w:val="24"/>
          <w:szCs w:val="24"/>
          <w:lang w:eastAsia="it-IT"/>
        </w:rPr>
        <w:t>motivata opposizione all</w:t>
      </w:r>
      <w:r>
        <w:rPr>
          <w:rFonts w:ascii="Times New Roman" w:eastAsia="New Baskerville" w:hAnsi="Times New Roman" w:cs="Times New Roman"/>
          <w:sz w:val="24"/>
          <w:szCs w:val="24"/>
          <w:lang w:eastAsia="it-IT"/>
        </w:rPr>
        <w:t>’</w:t>
      </w:r>
      <w:r w:rsidR="0072261D" w:rsidRPr="00974501">
        <w:rPr>
          <w:rFonts w:ascii="Times New Roman" w:eastAsia="New Baskerville" w:hAnsi="Times New Roman" w:cs="Times New Roman"/>
          <w:sz w:val="24"/>
          <w:szCs w:val="24"/>
          <w:lang w:eastAsia="it-IT"/>
        </w:rPr>
        <w:t>accesso, entro dieci giorni dalla ricezione della comunicazione e, a tal fine, il termine per la decisione resta sospeso;</w:t>
      </w:r>
    </w:p>
    <w:p w:rsidR="00F43A47" w:rsidRPr="00974501" w:rsidRDefault="00F43A4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il procedimento deve concludersi con provvedimento espresso e motivato</w:t>
      </w:r>
      <w:r w:rsidR="0053613C" w:rsidRPr="00974501">
        <w:rPr>
          <w:rFonts w:ascii="Times New Roman" w:eastAsia="New Baskerville" w:hAnsi="Times New Roman" w:cs="Times New Roman"/>
          <w:sz w:val="24"/>
          <w:szCs w:val="24"/>
          <w:lang w:eastAsia="it-IT"/>
        </w:rPr>
        <w:t>, da adottarsi</w:t>
      </w:r>
      <w:r w:rsidRPr="00974501">
        <w:rPr>
          <w:rFonts w:ascii="Times New Roman" w:eastAsia="New Baskerville" w:hAnsi="Times New Roman" w:cs="Times New Roman"/>
          <w:sz w:val="24"/>
          <w:szCs w:val="24"/>
          <w:lang w:eastAsia="it-IT"/>
        </w:rPr>
        <w:t xml:space="preserve"> </w:t>
      </w:r>
      <w:r w:rsidR="0053613C" w:rsidRPr="00974501">
        <w:rPr>
          <w:rFonts w:ascii="Times New Roman" w:eastAsia="New Baskerville" w:hAnsi="Times New Roman" w:cs="Times New Roman"/>
          <w:sz w:val="24"/>
          <w:szCs w:val="24"/>
          <w:lang w:eastAsia="it-IT"/>
        </w:rPr>
        <w:t>e comunicarsi al richiedente e</w:t>
      </w:r>
      <w:r w:rsidR="00161D30" w:rsidRPr="00974501">
        <w:rPr>
          <w:rFonts w:ascii="Times New Roman" w:eastAsia="New Baskerville" w:hAnsi="Times New Roman" w:cs="Times New Roman"/>
          <w:sz w:val="24"/>
          <w:szCs w:val="24"/>
          <w:lang w:eastAsia="it-IT"/>
        </w:rPr>
        <w:t>d</w:t>
      </w:r>
      <w:r w:rsidR="0053613C" w:rsidRPr="00974501">
        <w:rPr>
          <w:rFonts w:ascii="Times New Roman" w:eastAsia="New Baskerville" w:hAnsi="Times New Roman" w:cs="Times New Roman"/>
          <w:sz w:val="24"/>
          <w:szCs w:val="24"/>
          <w:lang w:eastAsia="it-IT"/>
        </w:rPr>
        <w:t xml:space="preserve"> agli eventuali controinteressati</w:t>
      </w:r>
      <w:r w:rsidR="00161D30" w:rsidRPr="00974501">
        <w:rPr>
          <w:rFonts w:ascii="Times New Roman" w:eastAsia="New Baskerville" w:hAnsi="Times New Roman" w:cs="Times New Roman"/>
          <w:sz w:val="24"/>
          <w:szCs w:val="24"/>
          <w:lang w:eastAsia="it-IT"/>
        </w:rPr>
        <w:t>,</w:t>
      </w:r>
      <w:r w:rsidR="0053613C"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nel termine di trenta giorni dalla presentazione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istanza;</w:t>
      </w:r>
    </w:p>
    <w:p w:rsidR="00161D30" w:rsidRPr="00974501" w:rsidRDefault="00161D30"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in caso di accoglimento</w:t>
      </w:r>
      <w:r w:rsidR="004F5859" w:rsidRPr="00974501">
        <w:rPr>
          <w:rFonts w:ascii="Times New Roman" w:eastAsia="New Baskerville" w:hAnsi="Times New Roman" w:cs="Times New Roman"/>
          <w:sz w:val="24"/>
          <w:szCs w:val="24"/>
          <w:lang w:eastAsia="it-IT"/>
        </w:rPr>
        <w:t xml:space="preserve"> della richiesta di accesso civico</w:t>
      </w:r>
      <w:r w:rsidRPr="00974501">
        <w:rPr>
          <w:rFonts w:ascii="Times New Roman" w:eastAsia="New Baskerville" w:hAnsi="Times New Roman" w:cs="Times New Roman"/>
          <w:sz w:val="24"/>
          <w:szCs w:val="24"/>
          <w:lang w:eastAsia="it-IT"/>
        </w:rPr>
        <w:t xml:space="preserve">, l’amministrazione </w:t>
      </w:r>
      <w:r w:rsidR="00CD67C1" w:rsidRPr="00974501">
        <w:rPr>
          <w:rFonts w:ascii="Times New Roman" w:eastAsia="New Baskerville" w:hAnsi="Times New Roman" w:cs="Times New Roman"/>
          <w:sz w:val="24"/>
          <w:szCs w:val="24"/>
          <w:lang w:eastAsia="it-IT"/>
        </w:rPr>
        <w:t>trasmett</w:t>
      </w:r>
      <w:r w:rsidRPr="00974501">
        <w:rPr>
          <w:rFonts w:ascii="Times New Roman" w:eastAsia="New Baskerville" w:hAnsi="Times New Roman" w:cs="Times New Roman"/>
          <w:sz w:val="24"/>
          <w:szCs w:val="24"/>
          <w:lang w:eastAsia="it-IT"/>
        </w:rPr>
        <w:t xml:space="preserve">e tempestivamente al richiedente i dati o i documenti richiesti, ovvero, nel caso di omessa pubblicazione obbligatoria, </w:t>
      </w:r>
      <w:r w:rsidR="00CD67C1" w:rsidRPr="00974501">
        <w:rPr>
          <w:rFonts w:ascii="Times New Roman" w:eastAsia="New Baskerville" w:hAnsi="Times New Roman" w:cs="Times New Roman"/>
          <w:sz w:val="24"/>
          <w:szCs w:val="24"/>
          <w:lang w:eastAsia="it-IT"/>
        </w:rPr>
        <w:t xml:space="preserve">li pubblica sul sito, </w:t>
      </w:r>
      <w:r w:rsidRPr="00974501">
        <w:rPr>
          <w:rFonts w:ascii="Times New Roman" w:eastAsia="New Baskerville" w:hAnsi="Times New Roman" w:cs="Times New Roman"/>
          <w:sz w:val="24"/>
          <w:szCs w:val="24"/>
          <w:lang w:eastAsia="it-IT"/>
        </w:rPr>
        <w:t>comunicando</w:t>
      </w:r>
      <w:r w:rsidR="00CD67C1" w:rsidRPr="00974501">
        <w:rPr>
          <w:rFonts w:ascii="Times New Roman" w:eastAsia="New Baskerville" w:hAnsi="Times New Roman" w:cs="Times New Roman"/>
          <w:sz w:val="24"/>
          <w:szCs w:val="24"/>
          <w:lang w:eastAsia="it-IT"/>
        </w:rPr>
        <w:t>l</w:t>
      </w:r>
      <w:r w:rsidRPr="00974501">
        <w:rPr>
          <w:rFonts w:ascii="Times New Roman" w:eastAsia="New Baskerville" w:hAnsi="Times New Roman" w:cs="Times New Roman"/>
          <w:sz w:val="24"/>
          <w:szCs w:val="24"/>
          <w:lang w:eastAsia="it-IT"/>
        </w:rPr>
        <w:t>o al richiedente;</w:t>
      </w:r>
    </w:p>
    <w:p w:rsidR="00161D30" w:rsidRPr="00974501" w:rsidRDefault="00161D30"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in caso di accoglimento della richiesta nonostante l’opposizione de</w:t>
      </w:r>
      <w:r w:rsidR="004D22C9" w:rsidRPr="00974501">
        <w:rPr>
          <w:rFonts w:ascii="Times New Roman" w:eastAsia="New Baskerville" w:hAnsi="Times New Roman" w:cs="Times New Roman"/>
          <w:sz w:val="24"/>
          <w:szCs w:val="24"/>
          <w:lang w:eastAsia="it-IT"/>
        </w:rPr>
        <w:t>i</w:t>
      </w:r>
      <w:r w:rsidRPr="00974501">
        <w:rPr>
          <w:rFonts w:ascii="Times New Roman" w:eastAsia="New Baskerville" w:hAnsi="Times New Roman" w:cs="Times New Roman"/>
          <w:sz w:val="24"/>
          <w:szCs w:val="24"/>
          <w:lang w:eastAsia="it-IT"/>
        </w:rPr>
        <w:t xml:space="preserve"> controinteressat</w:t>
      </w:r>
      <w:r w:rsidR="004D22C9" w:rsidRPr="00974501">
        <w:rPr>
          <w:rFonts w:ascii="Times New Roman" w:eastAsia="New Baskerville" w:hAnsi="Times New Roman" w:cs="Times New Roman"/>
          <w:sz w:val="24"/>
          <w:szCs w:val="24"/>
          <w:lang w:eastAsia="it-IT"/>
        </w:rPr>
        <w:t>i</w:t>
      </w:r>
      <w:r w:rsidRPr="00974501">
        <w:rPr>
          <w:rFonts w:ascii="Times New Roman" w:eastAsia="New Baskerville" w:hAnsi="Times New Roman" w:cs="Times New Roman"/>
          <w:sz w:val="24"/>
          <w:szCs w:val="24"/>
          <w:lang w:eastAsia="it-IT"/>
        </w:rPr>
        <w:t xml:space="preserve">, </w:t>
      </w:r>
      <w:r w:rsidR="0072261D" w:rsidRPr="00974501">
        <w:rPr>
          <w:rFonts w:ascii="Times New Roman" w:eastAsia="New Baskerville" w:hAnsi="Times New Roman" w:cs="Times New Roman"/>
          <w:sz w:val="24"/>
          <w:szCs w:val="24"/>
          <w:lang w:eastAsia="it-IT"/>
        </w:rPr>
        <w:t>l’amministrazione</w:t>
      </w:r>
      <w:r w:rsidR="0072261D">
        <w:rPr>
          <w:rFonts w:ascii="Times New Roman" w:eastAsia="New Baskerville" w:hAnsi="Times New Roman" w:cs="Times New Roman"/>
          <w:sz w:val="24"/>
          <w:szCs w:val="24"/>
          <w:lang w:eastAsia="it-IT"/>
        </w:rPr>
        <w:t>,</w:t>
      </w:r>
      <w:r w:rsidR="0072261D"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 xml:space="preserve">salvi i casi di comprovata indifferibilità, </w:t>
      </w:r>
      <w:r w:rsidR="004D22C9" w:rsidRPr="00974501">
        <w:rPr>
          <w:rFonts w:ascii="Times New Roman" w:eastAsia="New Baskerville" w:hAnsi="Times New Roman" w:cs="Times New Roman"/>
          <w:sz w:val="24"/>
          <w:szCs w:val="24"/>
          <w:lang w:eastAsia="it-IT"/>
        </w:rPr>
        <w:t>trasmette</w:t>
      </w:r>
      <w:r w:rsidRPr="00974501">
        <w:rPr>
          <w:rFonts w:ascii="Times New Roman" w:eastAsia="New Baskerville" w:hAnsi="Times New Roman" w:cs="Times New Roman"/>
          <w:sz w:val="24"/>
          <w:szCs w:val="24"/>
          <w:lang w:eastAsia="it-IT"/>
        </w:rPr>
        <w:t xml:space="preserve"> al richiedente i dati o i documenti richiesti non prima di quindici giorni</w:t>
      </w:r>
      <w:r w:rsidR="006F3916">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w:t>
      </w:r>
      <w:r w:rsidR="006F3916">
        <w:rPr>
          <w:rFonts w:ascii="Times New Roman" w:eastAsia="New Baskerville" w:hAnsi="Times New Roman" w:cs="Times New Roman"/>
          <w:sz w:val="24"/>
          <w:szCs w:val="24"/>
          <w:lang w:eastAsia="it-IT"/>
        </w:rPr>
        <w:t xml:space="preserve">decorrenti </w:t>
      </w:r>
      <w:r w:rsidRPr="00974501">
        <w:rPr>
          <w:rFonts w:ascii="Times New Roman" w:eastAsia="New Baskerville" w:hAnsi="Times New Roman" w:cs="Times New Roman"/>
          <w:sz w:val="24"/>
          <w:szCs w:val="24"/>
          <w:lang w:eastAsia="it-IT"/>
        </w:rPr>
        <w:t xml:space="preserve">dalla ricezione </w:t>
      </w:r>
      <w:r w:rsidR="006F3916">
        <w:rPr>
          <w:rFonts w:ascii="Times New Roman" w:eastAsia="New Baskerville" w:hAnsi="Times New Roman" w:cs="Times New Roman"/>
          <w:sz w:val="24"/>
          <w:szCs w:val="24"/>
          <w:lang w:eastAsia="it-IT"/>
        </w:rPr>
        <w:t>della comunicazione ai controinteressati medesimi</w:t>
      </w:r>
      <w:r w:rsidRPr="00974501">
        <w:rPr>
          <w:rFonts w:ascii="Times New Roman" w:eastAsia="New Baskerville" w:hAnsi="Times New Roman" w:cs="Times New Roman"/>
          <w:sz w:val="24"/>
          <w:szCs w:val="24"/>
          <w:lang w:eastAsia="it-IT"/>
        </w:rPr>
        <w:t>;</w:t>
      </w:r>
    </w:p>
    <w:p w:rsidR="00F43A47" w:rsidRPr="00974501" w:rsidRDefault="00F43A4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 </w:t>
      </w:r>
      <w:r w:rsidR="00161D30" w:rsidRPr="00974501">
        <w:rPr>
          <w:rFonts w:ascii="Times New Roman" w:eastAsia="New Baskerville" w:hAnsi="Times New Roman" w:cs="Times New Roman"/>
          <w:sz w:val="24"/>
          <w:szCs w:val="24"/>
          <w:lang w:eastAsia="it-IT"/>
        </w:rPr>
        <w:t>i</w:t>
      </w:r>
      <w:r w:rsidRPr="00974501">
        <w:rPr>
          <w:rFonts w:ascii="Times New Roman" w:eastAsia="New Baskerville" w:hAnsi="Times New Roman" w:cs="Times New Roman"/>
          <w:sz w:val="24"/>
          <w:szCs w:val="24"/>
          <w:lang w:eastAsia="it-IT"/>
        </w:rPr>
        <w:t>n cas</w:t>
      </w:r>
      <w:r w:rsidR="00161D30" w:rsidRPr="00974501">
        <w:rPr>
          <w:rFonts w:ascii="Times New Roman" w:eastAsia="New Baskerville" w:hAnsi="Times New Roman" w:cs="Times New Roman"/>
          <w:sz w:val="24"/>
          <w:szCs w:val="24"/>
          <w:lang w:eastAsia="it-IT"/>
        </w:rPr>
        <w:t>o</w:t>
      </w:r>
      <w:r w:rsidRPr="00974501">
        <w:rPr>
          <w:rFonts w:ascii="Times New Roman" w:eastAsia="New Baskerville" w:hAnsi="Times New Roman" w:cs="Times New Roman"/>
          <w:sz w:val="24"/>
          <w:szCs w:val="24"/>
          <w:lang w:eastAsia="it-IT"/>
        </w:rPr>
        <w:t xml:space="preserve"> di diniego parziale o totale all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accesso</w:t>
      </w:r>
      <w:r w:rsidR="0053613C"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w:t>
      </w:r>
      <w:r w:rsidR="00161D30" w:rsidRPr="00974501">
        <w:rPr>
          <w:rFonts w:ascii="Times New Roman" w:eastAsia="New Baskerville" w:hAnsi="Times New Roman" w:cs="Times New Roman"/>
          <w:sz w:val="24"/>
          <w:szCs w:val="24"/>
          <w:lang w:eastAsia="it-IT"/>
        </w:rPr>
        <w:t>ovver</w:t>
      </w:r>
      <w:r w:rsidRPr="00974501">
        <w:rPr>
          <w:rFonts w:ascii="Times New Roman" w:eastAsia="New Baskerville" w:hAnsi="Times New Roman" w:cs="Times New Roman"/>
          <w:sz w:val="24"/>
          <w:szCs w:val="24"/>
          <w:lang w:eastAsia="it-IT"/>
        </w:rPr>
        <w:t xml:space="preserve">o in caso di mancata risposta allo scadere del termine per provvedere, il cittadino può attivare la speciale tutela amministrativa interna davanti al </w:t>
      </w:r>
      <w:r w:rsidR="00161D30" w:rsidRPr="00974501">
        <w:rPr>
          <w:rFonts w:ascii="Times New Roman" w:eastAsia="New Baskerville" w:hAnsi="Times New Roman" w:cs="Times New Roman"/>
          <w:sz w:val="24"/>
          <w:szCs w:val="24"/>
          <w:lang w:eastAsia="it-IT"/>
        </w:rPr>
        <w:t>r</w:t>
      </w:r>
      <w:r w:rsidRPr="00974501">
        <w:rPr>
          <w:rFonts w:ascii="Times New Roman" w:eastAsia="New Baskerville" w:hAnsi="Times New Roman" w:cs="Times New Roman"/>
          <w:sz w:val="24"/>
          <w:szCs w:val="24"/>
          <w:lang w:eastAsia="it-IT"/>
        </w:rPr>
        <w:t>esponsabile della prevenzione della</w:t>
      </w:r>
      <w:r w:rsidR="00161D30" w:rsidRPr="00974501">
        <w:rPr>
          <w:rFonts w:ascii="Times New Roman" w:eastAsia="New Baskerville" w:hAnsi="Times New Roman" w:cs="Times New Roman"/>
          <w:sz w:val="24"/>
          <w:szCs w:val="24"/>
          <w:lang w:eastAsia="it-IT"/>
        </w:rPr>
        <w:t xml:space="preserve"> corruzione e della trasparenza,</w:t>
      </w:r>
      <w:r w:rsidRPr="00974501">
        <w:rPr>
          <w:rFonts w:ascii="Times New Roman" w:eastAsia="New Baskerville" w:hAnsi="Times New Roman" w:cs="Times New Roman"/>
          <w:sz w:val="24"/>
          <w:szCs w:val="24"/>
          <w:lang w:eastAsia="it-IT"/>
        </w:rPr>
        <w:t xml:space="preserve"> formulando </w:t>
      </w:r>
      <w:r w:rsidR="00161D30" w:rsidRPr="00974501">
        <w:rPr>
          <w:rFonts w:ascii="Times New Roman" w:eastAsia="New Baskerville" w:hAnsi="Times New Roman" w:cs="Times New Roman"/>
          <w:sz w:val="24"/>
          <w:szCs w:val="24"/>
          <w:lang w:eastAsia="it-IT"/>
        </w:rPr>
        <w:t>un’</w:t>
      </w:r>
      <w:r w:rsidRPr="00974501">
        <w:rPr>
          <w:rFonts w:ascii="Times New Roman" w:eastAsia="New Baskerville" w:hAnsi="Times New Roman" w:cs="Times New Roman"/>
          <w:sz w:val="24"/>
          <w:szCs w:val="24"/>
          <w:lang w:eastAsia="it-IT"/>
        </w:rPr>
        <w:t xml:space="preserve">istanza di riesame, </w:t>
      </w:r>
      <w:r w:rsidR="00161D30" w:rsidRPr="00974501">
        <w:rPr>
          <w:rFonts w:ascii="Times New Roman" w:eastAsia="New Baskerville" w:hAnsi="Times New Roman" w:cs="Times New Roman"/>
          <w:sz w:val="24"/>
          <w:szCs w:val="24"/>
          <w:lang w:eastAsia="it-IT"/>
        </w:rPr>
        <w:t>che dev’essere decisa, co</w:t>
      </w:r>
      <w:r w:rsidRPr="00974501">
        <w:rPr>
          <w:rFonts w:ascii="Times New Roman" w:eastAsia="New Baskerville" w:hAnsi="Times New Roman" w:cs="Times New Roman"/>
          <w:sz w:val="24"/>
          <w:szCs w:val="24"/>
          <w:lang w:eastAsia="it-IT"/>
        </w:rPr>
        <w:t>n provvedimento motivato</w:t>
      </w:r>
      <w:r w:rsidR="00161D3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entro il termine di venti giorni;</w:t>
      </w:r>
    </w:p>
    <w:p w:rsidR="00161D30" w:rsidRPr="00974501" w:rsidRDefault="00161D30"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 in alternativa, per gli enti locali, può essere </w:t>
      </w:r>
      <w:r w:rsidR="00B92A3F" w:rsidRPr="00974501">
        <w:rPr>
          <w:rFonts w:ascii="Times New Roman" w:eastAsia="New Baskerville" w:hAnsi="Times New Roman" w:cs="Times New Roman"/>
          <w:sz w:val="24"/>
          <w:szCs w:val="24"/>
          <w:lang w:eastAsia="it-IT"/>
        </w:rPr>
        <w:t>propo</w:t>
      </w:r>
      <w:r w:rsidRPr="00974501">
        <w:rPr>
          <w:rFonts w:ascii="Times New Roman" w:eastAsia="New Baskerville" w:hAnsi="Times New Roman" w:cs="Times New Roman"/>
          <w:sz w:val="24"/>
          <w:szCs w:val="24"/>
          <w:lang w:eastAsia="it-IT"/>
        </w:rPr>
        <w:t xml:space="preserve">sto </w:t>
      </w:r>
      <w:r w:rsidR="00B92A3F" w:rsidRPr="00974501">
        <w:rPr>
          <w:rFonts w:ascii="Times New Roman" w:eastAsia="New Baskerville" w:hAnsi="Times New Roman" w:cs="Times New Roman"/>
          <w:sz w:val="24"/>
          <w:szCs w:val="24"/>
          <w:lang w:eastAsia="it-IT"/>
        </w:rPr>
        <w:t xml:space="preserve">ricorso </w:t>
      </w:r>
      <w:r w:rsidRPr="00974501">
        <w:rPr>
          <w:rFonts w:ascii="Times New Roman" w:eastAsia="New Baskerville" w:hAnsi="Times New Roman" w:cs="Times New Roman"/>
          <w:sz w:val="24"/>
          <w:szCs w:val="24"/>
          <w:lang w:eastAsia="it-IT"/>
        </w:rPr>
        <w:t xml:space="preserve">al difensore civico, che si pronuncia entro trenta giorni dalla presentazione del ricorso. Se il difensore civico ritiene illegittimo il diniego o il differimento, </w:t>
      </w:r>
      <w:r w:rsidR="006F3916" w:rsidRPr="00974501">
        <w:rPr>
          <w:rFonts w:ascii="Times New Roman" w:eastAsia="New Baskerville" w:hAnsi="Times New Roman" w:cs="Times New Roman"/>
          <w:sz w:val="24"/>
          <w:szCs w:val="24"/>
          <w:lang w:eastAsia="it-IT"/>
        </w:rPr>
        <w:t xml:space="preserve">lo comunica all’amministrazione e </w:t>
      </w:r>
      <w:r w:rsidRPr="00974501">
        <w:rPr>
          <w:rFonts w:ascii="Times New Roman" w:eastAsia="New Baskerville" w:hAnsi="Times New Roman" w:cs="Times New Roman"/>
          <w:sz w:val="24"/>
          <w:szCs w:val="24"/>
          <w:lang w:eastAsia="it-IT"/>
        </w:rPr>
        <w:t xml:space="preserve">ne informa il richiedente. Se </w:t>
      </w:r>
      <w:r w:rsidR="006F3916">
        <w:rPr>
          <w:rFonts w:ascii="Times New Roman" w:eastAsia="New Baskerville" w:hAnsi="Times New Roman" w:cs="Times New Roman"/>
          <w:sz w:val="24"/>
          <w:szCs w:val="24"/>
          <w:lang w:eastAsia="it-IT"/>
        </w:rPr>
        <w:t>l’ente</w:t>
      </w:r>
      <w:r w:rsidRPr="00974501">
        <w:rPr>
          <w:rFonts w:ascii="Times New Roman" w:eastAsia="New Baskerville" w:hAnsi="Times New Roman" w:cs="Times New Roman"/>
          <w:sz w:val="24"/>
          <w:szCs w:val="24"/>
          <w:lang w:eastAsia="it-IT"/>
        </w:rPr>
        <w:t xml:space="preserve"> non conferma il diniego o il differimento entro trenta giorni dal ricevimento della comunicazione del difensore civico, l</w:t>
      </w:r>
      <w:r w:rsidR="00B92A3F"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accesso è </w:t>
      </w:r>
      <w:r w:rsidR="006F3916">
        <w:rPr>
          <w:rFonts w:ascii="Times New Roman" w:eastAsia="New Baskerville" w:hAnsi="Times New Roman" w:cs="Times New Roman"/>
          <w:sz w:val="24"/>
          <w:szCs w:val="24"/>
          <w:lang w:eastAsia="it-IT"/>
        </w:rPr>
        <w:t>ritenuto as</w:t>
      </w:r>
      <w:r w:rsidRPr="00974501">
        <w:rPr>
          <w:rFonts w:ascii="Times New Roman" w:eastAsia="New Baskerville" w:hAnsi="Times New Roman" w:cs="Times New Roman"/>
          <w:sz w:val="24"/>
          <w:szCs w:val="24"/>
          <w:lang w:eastAsia="it-IT"/>
        </w:rPr>
        <w:t>sentito</w:t>
      </w:r>
      <w:r w:rsidR="00B92A3F" w:rsidRPr="00974501">
        <w:rPr>
          <w:rFonts w:ascii="Times New Roman" w:eastAsia="New Baskerville" w:hAnsi="Times New Roman" w:cs="Times New Roman"/>
          <w:sz w:val="24"/>
          <w:szCs w:val="24"/>
          <w:lang w:eastAsia="it-IT"/>
        </w:rPr>
        <w:t>;</w:t>
      </w:r>
    </w:p>
    <w:p w:rsidR="00F43A47" w:rsidRPr="00974501" w:rsidRDefault="00F43A4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se 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accesso </w:t>
      </w:r>
      <w:r w:rsidR="00B92A3F" w:rsidRPr="00974501">
        <w:rPr>
          <w:rFonts w:ascii="Times New Roman" w:eastAsia="New Baskerville" w:hAnsi="Times New Roman" w:cs="Times New Roman"/>
          <w:sz w:val="24"/>
          <w:szCs w:val="24"/>
          <w:lang w:eastAsia="it-IT"/>
        </w:rPr>
        <w:t xml:space="preserve">è </w:t>
      </w:r>
      <w:r w:rsidRPr="00974501">
        <w:rPr>
          <w:rFonts w:ascii="Times New Roman" w:eastAsia="New Baskerville" w:hAnsi="Times New Roman" w:cs="Times New Roman"/>
          <w:sz w:val="24"/>
          <w:szCs w:val="24"/>
          <w:lang w:eastAsia="it-IT"/>
        </w:rPr>
        <w:t xml:space="preserve">negato o differito per </w:t>
      </w:r>
      <w:r w:rsidR="006F3916">
        <w:rPr>
          <w:rFonts w:ascii="Times New Roman" w:eastAsia="New Baskerville" w:hAnsi="Times New Roman" w:cs="Times New Roman"/>
          <w:sz w:val="24"/>
          <w:szCs w:val="24"/>
          <w:lang w:eastAsia="it-IT"/>
        </w:rPr>
        <w:t xml:space="preserve">la </w:t>
      </w:r>
      <w:r w:rsidRPr="00974501">
        <w:rPr>
          <w:rFonts w:ascii="Times New Roman" w:eastAsia="New Baskerville" w:hAnsi="Times New Roman" w:cs="Times New Roman"/>
          <w:sz w:val="24"/>
          <w:szCs w:val="24"/>
          <w:lang w:eastAsia="it-IT"/>
        </w:rPr>
        <w:t>tutela</w:t>
      </w:r>
      <w:r w:rsidR="006F3916">
        <w:rPr>
          <w:rFonts w:ascii="Times New Roman" w:eastAsia="New Baskerville" w:hAnsi="Times New Roman" w:cs="Times New Roman"/>
          <w:sz w:val="24"/>
          <w:szCs w:val="24"/>
          <w:lang w:eastAsia="it-IT"/>
        </w:rPr>
        <w:t xml:space="preserve"> di</w:t>
      </w:r>
      <w:r w:rsidRPr="00974501">
        <w:rPr>
          <w:rFonts w:ascii="Times New Roman" w:eastAsia="New Baskerville" w:hAnsi="Times New Roman" w:cs="Times New Roman"/>
          <w:sz w:val="24"/>
          <w:szCs w:val="24"/>
          <w:lang w:eastAsia="it-IT"/>
        </w:rPr>
        <w:t xml:space="preserve"> dati personali</w:t>
      </w:r>
      <w:r w:rsidR="0053613C"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il </w:t>
      </w:r>
      <w:r w:rsidR="00161D30" w:rsidRPr="00974501">
        <w:rPr>
          <w:rFonts w:ascii="Times New Roman" w:eastAsia="New Baskerville" w:hAnsi="Times New Roman" w:cs="Times New Roman"/>
          <w:sz w:val="24"/>
          <w:szCs w:val="24"/>
          <w:lang w:eastAsia="it-IT"/>
        </w:rPr>
        <w:t>r</w:t>
      </w:r>
      <w:r w:rsidRPr="00974501">
        <w:rPr>
          <w:rFonts w:ascii="Times New Roman" w:eastAsia="New Baskerville" w:hAnsi="Times New Roman" w:cs="Times New Roman"/>
          <w:sz w:val="24"/>
          <w:szCs w:val="24"/>
          <w:lang w:eastAsia="it-IT"/>
        </w:rPr>
        <w:t>esponsabile</w:t>
      </w:r>
      <w:r w:rsidR="00B92A3F" w:rsidRPr="00974501">
        <w:rPr>
          <w:rFonts w:ascii="Times New Roman" w:eastAsia="New Baskerville" w:hAnsi="Times New Roman" w:cs="Times New Roman"/>
          <w:sz w:val="24"/>
          <w:szCs w:val="24"/>
          <w:lang w:eastAsia="it-IT"/>
        </w:rPr>
        <w:t xml:space="preserve"> della prevenzione della corruzione e della trasparenza</w:t>
      </w:r>
      <w:r w:rsidR="006F3916">
        <w:rPr>
          <w:rFonts w:ascii="Times New Roman" w:eastAsia="New Baskerville" w:hAnsi="Times New Roman" w:cs="Times New Roman"/>
          <w:sz w:val="24"/>
          <w:szCs w:val="24"/>
          <w:lang w:eastAsia="it-IT"/>
        </w:rPr>
        <w:t>,</w:t>
      </w:r>
      <w:r w:rsidR="00B92A3F" w:rsidRPr="00974501">
        <w:rPr>
          <w:rFonts w:ascii="Times New Roman" w:eastAsia="New Baskerville" w:hAnsi="Times New Roman" w:cs="Times New Roman"/>
          <w:sz w:val="24"/>
          <w:szCs w:val="24"/>
          <w:lang w:eastAsia="it-IT"/>
        </w:rPr>
        <w:t xml:space="preserve"> ovvero</w:t>
      </w:r>
      <w:r w:rsidRPr="00974501">
        <w:rPr>
          <w:rFonts w:ascii="Times New Roman" w:eastAsia="New Baskerville" w:hAnsi="Times New Roman" w:cs="Times New Roman"/>
          <w:sz w:val="24"/>
          <w:szCs w:val="24"/>
          <w:lang w:eastAsia="it-IT"/>
        </w:rPr>
        <w:t xml:space="preserve"> </w:t>
      </w:r>
      <w:r w:rsidR="00B92A3F" w:rsidRPr="00974501">
        <w:rPr>
          <w:rFonts w:ascii="Times New Roman" w:eastAsia="New Baskerville" w:hAnsi="Times New Roman" w:cs="Times New Roman"/>
          <w:sz w:val="24"/>
          <w:szCs w:val="24"/>
          <w:lang w:eastAsia="it-IT"/>
        </w:rPr>
        <w:t>il difensore civico</w:t>
      </w:r>
      <w:r w:rsidR="006F3916">
        <w:rPr>
          <w:rFonts w:ascii="Times New Roman" w:eastAsia="New Baskerville" w:hAnsi="Times New Roman" w:cs="Times New Roman"/>
          <w:sz w:val="24"/>
          <w:szCs w:val="24"/>
          <w:lang w:eastAsia="it-IT"/>
        </w:rPr>
        <w:t>,</w:t>
      </w:r>
      <w:r w:rsidR="00B92A3F"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de</w:t>
      </w:r>
      <w:r w:rsidR="0053613C" w:rsidRPr="00974501">
        <w:rPr>
          <w:rFonts w:ascii="Times New Roman" w:eastAsia="New Baskerville" w:hAnsi="Times New Roman" w:cs="Times New Roman"/>
          <w:sz w:val="24"/>
          <w:szCs w:val="24"/>
          <w:lang w:eastAsia="it-IT"/>
        </w:rPr>
        <w:t>v</w:t>
      </w:r>
      <w:r w:rsidR="00B92A3F" w:rsidRPr="00974501">
        <w:rPr>
          <w:rFonts w:ascii="Times New Roman" w:eastAsia="New Baskerville" w:hAnsi="Times New Roman" w:cs="Times New Roman"/>
          <w:sz w:val="24"/>
          <w:szCs w:val="24"/>
          <w:lang w:eastAsia="it-IT"/>
        </w:rPr>
        <w:t>ono</w:t>
      </w:r>
      <w:r w:rsidR="0053613C" w:rsidRPr="00974501">
        <w:rPr>
          <w:rFonts w:ascii="Times New Roman" w:eastAsia="New Baskerville" w:hAnsi="Times New Roman" w:cs="Times New Roman"/>
          <w:sz w:val="24"/>
          <w:szCs w:val="24"/>
          <w:lang w:eastAsia="it-IT"/>
        </w:rPr>
        <w:t xml:space="preserve"> previamente</w:t>
      </w:r>
      <w:r w:rsidRPr="00974501">
        <w:rPr>
          <w:rFonts w:ascii="Times New Roman" w:eastAsia="New Baskerville" w:hAnsi="Times New Roman" w:cs="Times New Roman"/>
          <w:sz w:val="24"/>
          <w:szCs w:val="24"/>
          <w:lang w:eastAsia="it-IT"/>
        </w:rPr>
        <w:t xml:space="preserve"> senti</w:t>
      </w:r>
      <w:r w:rsidR="0053613C" w:rsidRPr="00974501">
        <w:rPr>
          <w:rFonts w:ascii="Times New Roman" w:eastAsia="New Baskerville" w:hAnsi="Times New Roman" w:cs="Times New Roman"/>
          <w:sz w:val="24"/>
          <w:szCs w:val="24"/>
          <w:lang w:eastAsia="it-IT"/>
        </w:rPr>
        <w:t>re</w:t>
      </w:r>
      <w:r w:rsidRPr="00974501">
        <w:rPr>
          <w:rFonts w:ascii="Times New Roman" w:eastAsia="New Baskerville" w:hAnsi="Times New Roman" w:cs="Times New Roman"/>
          <w:sz w:val="24"/>
          <w:szCs w:val="24"/>
          <w:lang w:eastAsia="it-IT"/>
        </w:rPr>
        <w:t xml:space="preserve"> il Garante per la protezione dei dati personali, </w:t>
      </w:r>
      <w:r w:rsidR="0053613C" w:rsidRPr="00974501">
        <w:rPr>
          <w:rFonts w:ascii="Times New Roman" w:eastAsia="New Baskerville" w:hAnsi="Times New Roman" w:cs="Times New Roman"/>
          <w:sz w:val="24"/>
          <w:szCs w:val="24"/>
          <w:lang w:eastAsia="it-IT"/>
        </w:rPr>
        <w:t>ch</w:t>
      </w:r>
      <w:r w:rsidRPr="00974501">
        <w:rPr>
          <w:rFonts w:ascii="Times New Roman" w:eastAsia="New Baskerville" w:hAnsi="Times New Roman" w:cs="Times New Roman"/>
          <w:sz w:val="24"/>
          <w:szCs w:val="24"/>
          <w:lang w:eastAsia="it-IT"/>
        </w:rPr>
        <w:t xml:space="preserve">e si pronuncia </w:t>
      </w:r>
      <w:r w:rsidR="0053613C" w:rsidRPr="00974501">
        <w:rPr>
          <w:rFonts w:ascii="Times New Roman" w:eastAsia="New Baskerville" w:hAnsi="Times New Roman" w:cs="Times New Roman"/>
          <w:sz w:val="24"/>
          <w:szCs w:val="24"/>
          <w:lang w:eastAsia="it-IT"/>
        </w:rPr>
        <w:t>ne</w:t>
      </w:r>
      <w:r w:rsidRPr="00974501">
        <w:rPr>
          <w:rFonts w:ascii="Times New Roman" w:eastAsia="New Baskerville" w:hAnsi="Times New Roman" w:cs="Times New Roman"/>
          <w:sz w:val="24"/>
          <w:szCs w:val="24"/>
          <w:lang w:eastAsia="it-IT"/>
        </w:rPr>
        <w:t xml:space="preserve">l termine </w:t>
      </w:r>
      <w:r w:rsidR="00161D30" w:rsidRPr="00974501">
        <w:rPr>
          <w:rFonts w:ascii="Times New Roman" w:eastAsia="New Baskerville" w:hAnsi="Times New Roman" w:cs="Times New Roman"/>
          <w:sz w:val="24"/>
          <w:szCs w:val="24"/>
          <w:lang w:eastAsia="it-IT"/>
        </w:rPr>
        <w:t>di dieci giorni dalla richiesta;</w:t>
      </w:r>
    </w:p>
    <w:p w:rsidR="00161D30" w:rsidRPr="00974501" w:rsidRDefault="00B92A3F"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la richiesta di riesame al responsabile della prevenzione della corruzione e della trasparenza ed il ricorso al difensore civico possono essere presentati anche dal controinteressato</w:t>
      </w:r>
      <w:r w:rsidR="00874FD7" w:rsidRPr="00974501">
        <w:rPr>
          <w:rFonts w:ascii="Times New Roman" w:eastAsia="New Baskerville" w:hAnsi="Times New Roman" w:cs="Times New Roman"/>
          <w:sz w:val="24"/>
          <w:szCs w:val="24"/>
          <w:lang w:eastAsia="it-IT"/>
        </w:rPr>
        <w:t>, nel termine di quindici giorni dalla ricezione della comunicazione</w:t>
      </w:r>
      <w:r w:rsidR="00161D30" w:rsidRPr="00974501">
        <w:rPr>
          <w:rFonts w:ascii="Times New Roman" w:eastAsia="New Baskerville" w:hAnsi="Times New Roman" w:cs="Times New Roman"/>
          <w:sz w:val="24"/>
          <w:szCs w:val="24"/>
          <w:lang w:eastAsia="it-IT"/>
        </w:rPr>
        <w:t xml:space="preserve"> d</w:t>
      </w:r>
      <w:r w:rsidR="00874FD7" w:rsidRPr="00974501">
        <w:rPr>
          <w:rFonts w:ascii="Times New Roman" w:eastAsia="New Baskerville" w:hAnsi="Times New Roman" w:cs="Times New Roman"/>
          <w:sz w:val="24"/>
          <w:szCs w:val="24"/>
          <w:lang w:eastAsia="it-IT"/>
        </w:rPr>
        <w:t xml:space="preserve">ell’avvenuto </w:t>
      </w:r>
      <w:r w:rsidR="00161D30" w:rsidRPr="00974501">
        <w:rPr>
          <w:rFonts w:ascii="Times New Roman" w:eastAsia="New Baskerville" w:hAnsi="Times New Roman" w:cs="Times New Roman"/>
          <w:sz w:val="24"/>
          <w:szCs w:val="24"/>
          <w:lang w:eastAsia="it-IT"/>
        </w:rPr>
        <w:t>accoglime</w:t>
      </w:r>
      <w:r w:rsidRPr="00974501">
        <w:rPr>
          <w:rFonts w:ascii="Times New Roman" w:eastAsia="New Baskerville" w:hAnsi="Times New Roman" w:cs="Times New Roman"/>
          <w:sz w:val="24"/>
          <w:szCs w:val="24"/>
          <w:lang w:eastAsia="it-IT"/>
        </w:rPr>
        <w:t>nto della richiesta di accesso</w:t>
      </w:r>
      <w:r w:rsidR="00874FD7" w:rsidRPr="00974501">
        <w:rPr>
          <w:rFonts w:ascii="Times New Roman" w:eastAsia="New Baskerville" w:hAnsi="Times New Roman" w:cs="Times New Roman"/>
          <w:sz w:val="24"/>
          <w:szCs w:val="24"/>
          <w:lang w:eastAsia="it-IT"/>
        </w:rPr>
        <w:t xml:space="preserve"> civico generalizzato</w:t>
      </w:r>
      <w:r w:rsidR="00CD67C1" w:rsidRPr="00974501">
        <w:rPr>
          <w:rFonts w:ascii="Times New Roman" w:eastAsia="New Baskerville" w:hAnsi="Times New Roman" w:cs="Times New Roman"/>
          <w:sz w:val="24"/>
          <w:szCs w:val="24"/>
          <w:lang w:eastAsia="it-IT"/>
        </w:rPr>
        <w:t xml:space="preserve"> (</w:t>
      </w:r>
      <w:r w:rsidR="00874FD7" w:rsidRPr="00974501">
        <w:rPr>
          <w:rFonts w:ascii="Times New Roman" w:eastAsia="New Baskerville" w:hAnsi="Times New Roman" w:cs="Times New Roman"/>
          <w:sz w:val="24"/>
          <w:szCs w:val="24"/>
          <w:lang w:eastAsia="it-IT"/>
        </w:rPr>
        <w:t xml:space="preserve">termine </w:t>
      </w:r>
      <w:r w:rsidR="00CD67C1" w:rsidRPr="00974501">
        <w:rPr>
          <w:rFonts w:ascii="Times New Roman" w:eastAsia="New Baskerville" w:hAnsi="Times New Roman" w:cs="Times New Roman"/>
          <w:sz w:val="24"/>
          <w:szCs w:val="24"/>
          <w:lang w:eastAsia="it-IT"/>
        </w:rPr>
        <w:t>durante il quale l’</w:t>
      </w:r>
      <w:r w:rsidR="00927773">
        <w:rPr>
          <w:rFonts w:ascii="Times New Roman" w:eastAsia="New Baskerville" w:hAnsi="Times New Roman" w:cs="Times New Roman"/>
          <w:sz w:val="24"/>
          <w:szCs w:val="24"/>
          <w:lang w:eastAsia="it-IT"/>
        </w:rPr>
        <w:t xml:space="preserve">atto di </w:t>
      </w:r>
      <w:r w:rsidR="00CD67C1" w:rsidRPr="00974501">
        <w:rPr>
          <w:rFonts w:ascii="Times New Roman" w:eastAsia="New Baskerville" w:hAnsi="Times New Roman" w:cs="Times New Roman"/>
          <w:sz w:val="24"/>
          <w:szCs w:val="24"/>
          <w:lang w:eastAsia="it-IT"/>
        </w:rPr>
        <w:t>accoglimento, salvo non sia indifferibile, rimane inefficace)</w:t>
      </w:r>
      <w:r w:rsidRPr="00974501">
        <w:rPr>
          <w:rFonts w:ascii="Times New Roman" w:eastAsia="New Baskerville" w:hAnsi="Times New Roman" w:cs="Times New Roman"/>
          <w:sz w:val="24"/>
          <w:szCs w:val="24"/>
          <w:lang w:eastAsia="it-IT"/>
        </w:rPr>
        <w:t>;</w:t>
      </w:r>
    </w:p>
    <w:p w:rsidR="00B92A3F" w:rsidRDefault="00B92A3F"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 avverso la decisione dell’amministrazione o avverso quella del responsabile della prevenzione della corruzione e della trasparenza, il richiedente </w:t>
      </w:r>
      <w:r w:rsidR="00874FD7" w:rsidRPr="00974501">
        <w:rPr>
          <w:rFonts w:ascii="Times New Roman" w:eastAsia="New Baskerville" w:hAnsi="Times New Roman" w:cs="Times New Roman"/>
          <w:sz w:val="24"/>
          <w:szCs w:val="24"/>
          <w:lang w:eastAsia="it-IT"/>
        </w:rPr>
        <w:t>l’acces</w:t>
      </w:r>
      <w:r w:rsidR="00927773">
        <w:rPr>
          <w:rFonts w:ascii="Times New Roman" w:eastAsia="New Baskerville" w:hAnsi="Times New Roman" w:cs="Times New Roman"/>
          <w:sz w:val="24"/>
          <w:szCs w:val="24"/>
          <w:lang w:eastAsia="it-IT"/>
        </w:rPr>
        <w:t>s</w:t>
      </w:r>
      <w:r w:rsidR="00874FD7" w:rsidRPr="00974501">
        <w:rPr>
          <w:rFonts w:ascii="Times New Roman" w:eastAsia="New Baskerville" w:hAnsi="Times New Roman" w:cs="Times New Roman"/>
          <w:sz w:val="24"/>
          <w:szCs w:val="24"/>
          <w:lang w:eastAsia="it-IT"/>
        </w:rPr>
        <w:t xml:space="preserve">o </w:t>
      </w:r>
      <w:r w:rsidRPr="00974501">
        <w:rPr>
          <w:rFonts w:ascii="Times New Roman" w:eastAsia="New Baskerville" w:hAnsi="Times New Roman" w:cs="Times New Roman"/>
          <w:sz w:val="24"/>
          <w:szCs w:val="24"/>
          <w:lang w:eastAsia="it-IT"/>
        </w:rPr>
        <w:t xml:space="preserve">può proporre ricorso al giudice amministrativo </w:t>
      </w:r>
      <w:r w:rsidRPr="00974501">
        <w:rPr>
          <w:rFonts w:ascii="Times New Roman" w:eastAsia="New Baskerville" w:hAnsi="Times New Roman" w:cs="Times New Roman"/>
          <w:i/>
          <w:sz w:val="24"/>
          <w:szCs w:val="24"/>
          <w:lang w:eastAsia="it-IT"/>
        </w:rPr>
        <w:t>ex</w:t>
      </w:r>
      <w:r w:rsidRPr="00974501">
        <w:rPr>
          <w:rFonts w:ascii="Times New Roman" w:eastAsia="New Baskerville" w:hAnsi="Times New Roman" w:cs="Times New Roman"/>
          <w:sz w:val="24"/>
          <w:szCs w:val="24"/>
          <w:lang w:eastAsia="it-IT"/>
        </w:rPr>
        <w:t xml:space="preserve"> art. 116 c.p.a. (“rito in materia di accesso ai documenti amministrativi”)</w:t>
      </w:r>
      <w:r w:rsidR="003B6DC5">
        <w:rPr>
          <w:rStyle w:val="Rimandonotaapidipagina"/>
          <w:rFonts w:ascii="Times New Roman" w:eastAsia="New Baskerville" w:hAnsi="Times New Roman" w:cs="Times New Roman"/>
          <w:sz w:val="24"/>
          <w:szCs w:val="24"/>
          <w:lang w:eastAsia="it-IT"/>
        </w:rPr>
        <w:footnoteReference w:id="15"/>
      </w:r>
      <w:r w:rsidR="006F3916">
        <w:rPr>
          <w:rFonts w:ascii="Times New Roman" w:eastAsia="New Baskerville" w:hAnsi="Times New Roman" w:cs="Times New Roman"/>
          <w:sz w:val="24"/>
          <w:szCs w:val="24"/>
          <w:lang w:eastAsia="it-IT"/>
        </w:rPr>
        <w:t>;</w:t>
      </w:r>
    </w:p>
    <w:p w:rsidR="006F3916" w:rsidRPr="00974501" w:rsidRDefault="006F3916"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 nel caso di ricorso al difensore civico, il termine per il ricorso del richiedente </w:t>
      </w:r>
      <w:r w:rsidRPr="00974501">
        <w:rPr>
          <w:rFonts w:ascii="Times New Roman" w:eastAsia="New Baskerville" w:hAnsi="Times New Roman" w:cs="Times New Roman"/>
          <w:i/>
          <w:sz w:val="24"/>
          <w:szCs w:val="24"/>
          <w:lang w:eastAsia="it-IT"/>
        </w:rPr>
        <w:t>ex</w:t>
      </w:r>
      <w:r w:rsidRPr="00974501">
        <w:rPr>
          <w:rFonts w:ascii="Times New Roman" w:eastAsia="New Baskerville" w:hAnsi="Times New Roman" w:cs="Times New Roman"/>
          <w:sz w:val="24"/>
          <w:szCs w:val="24"/>
          <w:lang w:eastAsia="it-IT"/>
        </w:rPr>
        <w:t xml:space="preserve"> art. 116 c.p.a.</w:t>
      </w:r>
      <w:r>
        <w:rPr>
          <w:rFonts w:ascii="Times New Roman" w:eastAsia="New Baskerville" w:hAnsi="Times New Roman" w:cs="Times New Roman"/>
          <w:sz w:val="24"/>
          <w:szCs w:val="24"/>
          <w:lang w:eastAsia="it-IT"/>
        </w:rPr>
        <w:t xml:space="preserve"> decorre dalla comunicazione della decisione di quest’ultimo (se negativa, ovviamente).</w:t>
      </w:r>
    </w:p>
    <w:p w:rsidR="00CD67C1" w:rsidRPr="00974501" w:rsidRDefault="006F3916"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P</w:t>
      </w:r>
      <w:r w:rsidR="00CD67C1" w:rsidRPr="00974501">
        <w:rPr>
          <w:rFonts w:ascii="Times New Roman" w:eastAsia="New Baskerville" w:hAnsi="Times New Roman" w:cs="Times New Roman"/>
          <w:sz w:val="24"/>
          <w:szCs w:val="24"/>
          <w:lang w:eastAsia="it-IT"/>
        </w:rPr>
        <w:t>er quanto concerne la tutela giurisdizionale del controinteressato</w:t>
      </w:r>
      <w:r w:rsidR="00927773">
        <w:rPr>
          <w:rFonts w:ascii="Times New Roman" w:eastAsia="New Baskerville" w:hAnsi="Times New Roman" w:cs="Times New Roman"/>
          <w:sz w:val="24"/>
          <w:szCs w:val="24"/>
          <w:lang w:eastAsia="it-IT"/>
        </w:rPr>
        <w:t xml:space="preserve"> avverso </w:t>
      </w:r>
      <w:r w:rsidR="00491D52">
        <w:rPr>
          <w:rFonts w:ascii="Times New Roman" w:eastAsia="New Baskerville" w:hAnsi="Times New Roman" w:cs="Times New Roman"/>
          <w:sz w:val="24"/>
          <w:szCs w:val="24"/>
          <w:lang w:eastAsia="it-IT"/>
        </w:rPr>
        <w:t>i</w:t>
      </w:r>
      <w:r w:rsidR="00927773">
        <w:rPr>
          <w:rFonts w:ascii="Times New Roman" w:eastAsia="New Baskerville" w:hAnsi="Times New Roman" w:cs="Times New Roman"/>
          <w:sz w:val="24"/>
          <w:szCs w:val="24"/>
          <w:lang w:eastAsia="it-IT"/>
        </w:rPr>
        <w:t>l</w:t>
      </w:r>
      <w:r w:rsidR="00491D52">
        <w:rPr>
          <w:rFonts w:ascii="Times New Roman" w:eastAsia="New Baskerville" w:hAnsi="Times New Roman" w:cs="Times New Roman"/>
          <w:sz w:val="24"/>
          <w:szCs w:val="24"/>
          <w:lang w:eastAsia="it-IT"/>
        </w:rPr>
        <w:t xml:space="preserve"> provvedimento di </w:t>
      </w:r>
      <w:r w:rsidR="00927773">
        <w:rPr>
          <w:rFonts w:ascii="Times New Roman" w:eastAsia="New Baskerville" w:hAnsi="Times New Roman" w:cs="Times New Roman"/>
          <w:sz w:val="24"/>
          <w:szCs w:val="24"/>
          <w:lang w:eastAsia="it-IT"/>
        </w:rPr>
        <w:t>accoglimento dell’accesso civico generalizzato</w:t>
      </w:r>
      <w:r w:rsidR="00CD67C1" w:rsidRPr="00974501">
        <w:rPr>
          <w:rFonts w:ascii="Times New Roman" w:eastAsia="New Baskerville" w:hAnsi="Times New Roman" w:cs="Times New Roman"/>
          <w:sz w:val="24"/>
          <w:szCs w:val="24"/>
          <w:lang w:eastAsia="it-IT"/>
        </w:rPr>
        <w:t xml:space="preserve">, nel silenzio dell’art. 5, deve ritenersi che essa </w:t>
      </w:r>
      <w:r w:rsidR="00491D52">
        <w:rPr>
          <w:rFonts w:ascii="Times New Roman" w:eastAsia="New Baskerville" w:hAnsi="Times New Roman" w:cs="Times New Roman"/>
          <w:sz w:val="24"/>
          <w:szCs w:val="24"/>
          <w:lang w:eastAsia="it-IT"/>
        </w:rPr>
        <w:t>spetti</w:t>
      </w:r>
      <w:r w:rsidR="00CD67C1" w:rsidRPr="00974501">
        <w:rPr>
          <w:rFonts w:ascii="Times New Roman" w:eastAsia="New Baskerville" w:hAnsi="Times New Roman" w:cs="Times New Roman"/>
          <w:sz w:val="24"/>
          <w:szCs w:val="24"/>
          <w:lang w:eastAsia="it-IT"/>
        </w:rPr>
        <w:t xml:space="preserve"> all’autorità giudiziaria ordinaria, ai sensi dell’art. 152 del d.lgs. n. 196/2003 (codice in materia di protezione dei dati personali).</w:t>
      </w:r>
    </w:p>
    <w:p w:rsidR="00725D6A" w:rsidRDefault="00927773"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Rimanendo nell’ambito </w:t>
      </w:r>
      <w:r w:rsidR="00725D6A" w:rsidRPr="00974501">
        <w:rPr>
          <w:rFonts w:ascii="Times New Roman" w:eastAsia="New Baskerville" w:hAnsi="Times New Roman" w:cs="Times New Roman"/>
          <w:sz w:val="24"/>
          <w:szCs w:val="24"/>
          <w:lang w:eastAsia="it-IT"/>
        </w:rPr>
        <w:t>dei rimedi</w:t>
      </w:r>
      <w:r>
        <w:rPr>
          <w:rFonts w:ascii="Times New Roman" w:eastAsia="New Baskerville" w:hAnsi="Times New Roman" w:cs="Times New Roman"/>
          <w:sz w:val="24"/>
          <w:szCs w:val="24"/>
          <w:lang w:eastAsia="it-IT"/>
        </w:rPr>
        <w:t xml:space="preserve"> amministrativi</w:t>
      </w:r>
      <w:r w:rsidR="00725D6A" w:rsidRPr="00974501">
        <w:rPr>
          <w:rFonts w:ascii="Times New Roman" w:eastAsia="New Baskerville" w:hAnsi="Times New Roman" w:cs="Times New Roman"/>
          <w:sz w:val="24"/>
          <w:szCs w:val="24"/>
          <w:lang w:eastAsia="it-IT"/>
        </w:rPr>
        <w:t xml:space="preserve">, occorre rilevare </w:t>
      </w:r>
      <w:r>
        <w:rPr>
          <w:rFonts w:ascii="Times New Roman" w:eastAsia="New Baskerville" w:hAnsi="Times New Roman" w:cs="Times New Roman"/>
          <w:sz w:val="24"/>
          <w:szCs w:val="24"/>
          <w:lang w:eastAsia="it-IT"/>
        </w:rPr>
        <w:t xml:space="preserve">con favore </w:t>
      </w:r>
      <w:r w:rsidR="00725D6A" w:rsidRPr="00974501">
        <w:rPr>
          <w:rFonts w:ascii="Times New Roman" w:eastAsia="New Baskerville" w:hAnsi="Times New Roman" w:cs="Times New Roman"/>
          <w:sz w:val="24"/>
          <w:szCs w:val="24"/>
          <w:lang w:eastAsia="it-IT"/>
        </w:rPr>
        <w:t xml:space="preserve">come il legislatore, </w:t>
      </w:r>
      <w:r>
        <w:rPr>
          <w:rFonts w:ascii="Times New Roman" w:eastAsia="New Baskerville" w:hAnsi="Times New Roman" w:cs="Times New Roman"/>
          <w:sz w:val="24"/>
          <w:szCs w:val="24"/>
          <w:lang w:eastAsia="it-IT"/>
        </w:rPr>
        <w:t>a fini deflattivi ed acceleratori</w:t>
      </w:r>
      <w:r w:rsidR="00725D6A" w:rsidRPr="00974501">
        <w:rPr>
          <w:rFonts w:ascii="Times New Roman" w:eastAsia="New Baskerville" w:hAnsi="Times New Roman" w:cs="Times New Roman"/>
          <w:sz w:val="24"/>
          <w:szCs w:val="24"/>
          <w:lang w:eastAsia="it-IT"/>
        </w:rPr>
        <w:t xml:space="preserve">, abbia previsto un riesame “interno” (nei casi di diniego totale o parziale dell’accesso o di mancata risposta), a mezzo dell’intervento di un soggetto, il responsabile della prevenzione della corruzione e della trasparenza, che svolge un ruolo fondamentale nell’ambito della disciplina di prevenzione della corruzione e nell’attuazione delle relative misure, non potendo tralasciarsi di considerare che la trasparenza amministrativa che si realizza anche attraverso lo strumento dell’accesso civico generalizzato rappresenta una delle misure più importanti di prevenzione della corruzione </w:t>
      </w:r>
      <w:r>
        <w:rPr>
          <w:rFonts w:ascii="Times New Roman" w:eastAsia="New Baskerville" w:hAnsi="Times New Roman" w:cs="Times New Roman"/>
          <w:sz w:val="24"/>
          <w:szCs w:val="24"/>
          <w:lang w:eastAsia="it-IT"/>
        </w:rPr>
        <w:t>nella pubblica amministrazione.</w:t>
      </w:r>
    </w:p>
    <w:p w:rsidR="00927773" w:rsidRPr="00974501" w:rsidRDefault="00927773"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Per altro, tale riesame è alternativo rispetto al ricorso </w:t>
      </w:r>
      <w:r w:rsidR="00491D52">
        <w:rPr>
          <w:rFonts w:ascii="Times New Roman" w:eastAsia="New Baskerville" w:hAnsi="Times New Roman" w:cs="Times New Roman"/>
          <w:sz w:val="24"/>
          <w:szCs w:val="24"/>
          <w:lang w:eastAsia="it-IT"/>
        </w:rPr>
        <w:t xml:space="preserve">da proporre </w:t>
      </w:r>
      <w:r>
        <w:rPr>
          <w:rFonts w:ascii="Times New Roman" w:eastAsia="New Baskerville" w:hAnsi="Times New Roman" w:cs="Times New Roman"/>
          <w:sz w:val="24"/>
          <w:szCs w:val="24"/>
          <w:lang w:eastAsia="it-IT"/>
        </w:rPr>
        <w:t>ad un altro soggetto indipendente</w:t>
      </w:r>
      <w:r w:rsidR="00491D52">
        <w:rPr>
          <w:rFonts w:ascii="Times New Roman" w:eastAsia="New Baskerville" w:hAnsi="Times New Roman" w:cs="Times New Roman"/>
          <w:sz w:val="24"/>
          <w:szCs w:val="24"/>
          <w:lang w:eastAsia="it-IT"/>
        </w:rPr>
        <w:t>,</w:t>
      </w:r>
      <w:r>
        <w:rPr>
          <w:rFonts w:ascii="Times New Roman" w:eastAsia="New Baskerville" w:hAnsi="Times New Roman" w:cs="Times New Roman"/>
          <w:sz w:val="24"/>
          <w:szCs w:val="24"/>
          <w:lang w:eastAsia="it-IT"/>
        </w:rPr>
        <w:t xml:space="preserve"> </w:t>
      </w:r>
      <w:r w:rsidR="00491D52">
        <w:rPr>
          <w:rFonts w:ascii="Times New Roman" w:eastAsia="New Baskerville" w:hAnsi="Times New Roman" w:cs="Times New Roman"/>
          <w:sz w:val="24"/>
          <w:szCs w:val="24"/>
          <w:lang w:eastAsia="it-IT"/>
        </w:rPr>
        <w:t xml:space="preserve">tenuto ad </w:t>
      </w:r>
      <w:r>
        <w:rPr>
          <w:rFonts w:ascii="Times New Roman" w:eastAsia="New Baskerville" w:hAnsi="Times New Roman" w:cs="Times New Roman"/>
          <w:sz w:val="24"/>
          <w:szCs w:val="24"/>
          <w:lang w:eastAsia="it-IT"/>
        </w:rPr>
        <w:t>assicurare il rispetto delle leggi in ambito locale, qual è il difensore civico.</w:t>
      </w:r>
    </w:p>
    <w:p w:rsidR="005D1F92" w:rsidRPr="00974501" w:rsidRDefault="00927773"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N</w:t>
      </w:r>
      <w:r w:rsidRPr="00974501">
        <w:rPr>
          <w:rFonts w:ascii="Times New Roman" w:eastAsia="New Baskerville" w:hAnsi="Times New Roman" w:cs="Times New Roman"/>
          <w:sz w:val="24"/>
          <w:szCs w:val="24"/>
          <w:lang w:eastAsia="it-IT"/>
        </w:rPr>
        <w:t>el soffermarsi sul punto</w:t>
      </w:r>
      <w:r w:rsidR="00725D6A" w:rsidRPr="00974501">
        <w:rPr>
          <w:rFonts w:ascii="Times New Roman" w:eastAsia="New Baskerville" w:hAnsi="Times New Roman" w:cs="Times New Roman"/>
          <w:sz w:val="24"/>
          <w:szCs w:val="24"/>
          <w:lang w:eastAsia="it-IT"/>
        </w:rPr>
        <w:t>, la circolare n. 2/2017, con cui il Dipartimento della funzione pubblica ha stabilito i criteri di “</w:t>
      </w:r>
      <w:r w:rsidR="005A76BA">
        <w:rPr>
          <w:rFonts w:ascii="Times New Roman" w:eastAsia="New Baskerville" w:hAnsi="Times New Roman" w:cs="Times New Roman"/>
          <w:sz w:val="24"/>
          <w:szCs w:val="24"/>
          <w:lang w:eastAsia="it-IT"/>
        </w:rPr>
        <w:t>a</w:t>
      </w:r>
      <w:r w:rsidR="00725D6A" w:rsidRPr="00974501">
        <w:rPr>
          <w:rFonts w:ascii="Times New Roman" w:eastAsia="New Baskerville" w:hAnsi="Times New Roman" w:cs="Times New Roman"/>
          <w:sz w:val="24"/>
          <w:szCs w:val="24"/>
          <w:lang w:eastAsia="it-IT"/>
        </w:rPr>
        <w:t>ttuazione delle norme sull’accesso civico generalizzato, c.d. FOIA”, sottolinea</w:t>
      </w:r>
      <w:r w:rsidR="005D1F92" w:rsidRPr="00974501">
        <w:rPr>
          <w:rFonts w:ascii="Times New Roman" w:eastAsia="New Baskerville" w:hAnsi="Times New Roman" w:cs="Times New Roman"/>
          <w:sz w:val="24"/>
          <w:szCs w:val="24"/>
          <w:lang w:eastAsia="it-IT"/>
        </w:rPr>
        <w:t xml:space="preserve"> come </w:t>
      </w:r>
      <w:r>
        <w:rPr>
          <w:rFonts w:ascii="Times New Roman" w:eastAsia="New Baskerville" w:hAnsi="Times New Roman" w:cs="Times New Roman"/>
          <w:sz w:val="24"/>
          <w:szCs w:val="24"/>
          <w:lang w:eastAsia="it-IT"/>
        </w:rPr>
        <w:t>la</w:t>
      </w:r>
      <w:r w:rsidR="005D1F92" w:rsidRPr="00974501">
        <w:rPr>
          <w:rFonts w:ascii="Times New Roman" w:eastAsia="New Baskerville" w:hAnsi="Times New Roman" w:cs="Times New Roman"/>
          <w:sz w:val="24"/>
          <w:szCs w:val="24"/>
          <w:lang w:eastAsia="it-IT"/>
        </w:rPr>
        <w:t xml:space="preserve"> procedura</w:t>
      </w:r>
      <w:r>
        <w:rPr>
          <w:rFonts w:ascii="Times New Roman" w:eastAsia="New Baskerville" w:hAnsi="Times New Roman" w:cs="Times New Roman"/>
          <w:sz w:val="24"/>
          <w:szCs w:val="24"/>
          <w:lang w:eastAsia="it-IT"/>
        </w:rPr>
        <w:t xml:space="preserve"> di riesam</w:t>
      </w:r>
      <w:r w:rsidR="005D1F92" w:rsidRPr="00974501">
        <w:rPr>
          <w:rFonts w:ascii="Times New Roman" w:eastAsia="New Baskerville" w:hAnsi="Times New Roman" w:cs="Times New Roman"/>
          <w:sz w:val="24"/>
          <w:szCs w:val="24"/>
          <w:lang w:eastAsia="it-IT"/>
        </w:rPr>
        <w:t xml:space="preserve">e </w:t>
      </w:r>
      <w:r w:rsidRPr="00974501">
        <w:rPr>
          <w:rFonts w:ascii="Times New Roman" w:eastAsia="New Baskerville" w:hAnsi="Times New Roman" w:cs="Times New Roman"/>
          <w:sz w:val="24"/>
          <w:szCs w:val="24"/>
          <w:lang w:eastAsia="it-IT"/>
        </w:rPr>
        <w:t>“</w:t>
      </w:r>
      <w:r w:rsidR="005D1F92" w:rsidRPr="00974501">
        <w:rPr>
          <w:rFonts w:ascii="Times New Roman" w:eastAsia="New Baskerville" w:hAnsi="Times New Roman" w:cs="Times New Roman"/>
          <w:sz w:val="24"/>
          <w:szCs w:val="24"/>
          <w:lang w:eastAsia="it-IT"/>
        </w:rPr>
        <w:t>si discosta sia dalla norma che disciplina l’accesso ai documenti, che non prevede una procedura di tutela amministrativa interna</w:t>
      </w:r>
      <w:r w:rsidR="006F3916">
        <w:rPr>
          <w:rFonts w:ascii="Times New Roman" w:eastAsia="New Baskerville" w:hAnsi="Times New Roman" w:cs="Times New Roman"/>
          <w:sz w:val="24"/>
          <w:szCs w:val="24"/>
          <w:lang w:eastAsia="it-IT"/>
        </w:rPr>
        <w:t>,</w:t>
      </w:r>
      <w:r w:rsidR="005D1F92" w:rsidRPr="00974501">
        <w:rPr>
          <w:rFonts w:ascii="Times New Roman" w:eastAsia="New Baskerville" w:hAnsi="Times New Roman" w:cs="Times New Roman"/>
          <w:sz w:val="24"/>
          <w:szCs w:val="24"/>
          <w:lang w:eastAsia="it-IT"/>
        </w:rPr>
        <w:t xml:space="preserve"> con la possibilità di chiedere il riesame a un altro soggetto appartenente alla stessa amministrazione, sia dalla disciplina in tema di obblighi di pubblicazione</w:t>
      </w:r>
      <w:r w:rsidR="006F3916">
        <w:rPr>
          <w:rFonts w:ascii="Times New Roman" w:eastAsia="New Baskerville" w:hAnsi="Times New Roman" w:cs="Times New Roman"/>
          <w:sz w:val="24"/>
          <w:szCs w:val="24"/>
          <w:lang w:eastAsia="it-IT"/>
        </w:rPr>
        <w:t>,</w:t>
      </w:r>
      <w:r w:rsidR="005D1F92" w:rsidRPr="00974501">
        <w:rPr>
          <w:rFonts w:ascii="Times New Roman" w:eastAsia="New Baskerville" w:hAnsi="Times New Roman" w:cs="Times New Roman"/>
          <w:sz w:val="24"/>
          <w:szCs w:val="24"/>
          <w:lang w:eastAsia="it-IT"/>
        </w:rPr>
        <w:t xml:space="preserve"> per i quali è espressamente previsto dall’art. 5, comma 3, </w:t>
      </w:r>
      <w:proofErr w:type="spellStart"/>
      <w:r w:rsidR="005D1F92" w:rsidRPr="00974501">
        <w:rPr>
          <w:rFonts w:ascii="Times New Roman" w:eastAsia="New Baskerville" w:hAnsi="Times New Roman" w:cs="Times New Roman"/>
          <w:sz w:val="24"/>
          <w:szCs w:val="24"/>
          <w:lang w:eastAsia="it-IT"/>
        </w:rPr>
        <w:t>lett</w:t>
      </w:r>
      <w:proofErr w:type="spellEnd"/>
      <w:r w:rsidR="005D1F92" w:rsidRPr="00974501">
        <w:rPr>
          <w:rFonts w:ascii="Times New Roman" w:eastAsia="New Baskerville" w:hAnsi="Times New Roman" w:cs="Times New Roman"/>
          <w:sz w:val="24"/>
          <w:szCs w:val="24"/>
          <w:lang w:eastAsia="it-IT"/>
        </w:rPr>
        <w:t>. d), che l’istanza vada inoltrata, già in prima battuta, direttamente al RPCT e non</w:t>
      </w:r>
      <w:r w:rsidR="006F3916">
        <w:rPr>
          <w:rFonts w:ascii="Times New Roman" w:eastAsia="New Baskerville" w:hAnsi="Times New Roman" w:cs="Times New Roman"/>
          <w:sz w:val="24"/>
          <w:szCs w:val="24"/>
          <w:lang w:eastAsia="it-IT"/>
        </w:rPr>
        <w:t>,</w:t>
      </w:r>
      <w:r w:rsidR="005D1F92" w:rsidRPr="00974501">
        <w:rPr>
          <w:rFonts w:ascii="Times New Roman" w:eastAsia="New Baskerville" w:hAnsi="Times New Roman" w:cs="Times New Roman"/>
          <w:sz w:val="24"/>
          <w:szCs w:val="24"/>
          <w:lang w:eastAsia="it-IT"/>
        </w:rPr>
        <w:t xml:space="preserve"> come per l’accesso generalizzato</w:t>
      </w:r>
      <w:r w:rsidR="006F3916">
        <w:rPr>
          <w:rFonts w:ascii="Times New Roman" w:eastAsia="New Baskerville" w:hAnsi="Times New Roman" w:cs="Times New Roman"/>
          <w:sz w:val="24"/>
          <w:szCs w:val="24"/>
          <w:lang w:eastAsia="it-IT"/>
        </w:rPr>
        <w:t>,</w:t>
      </w:r>
      <w:r w:rsidR="005D1F92" w:rsidRPr="00974501">
        <w:rPr>
          <w:rFonts w:ascii="Times New Roman" w:eastAsia="New Baskerville" w:hAnsi="Times New Roman" w:cs="Times New Roman"/>
          <w:sz w:val="24"/>
          <w:szCs w:val="24"/>
          <w:lang w:eastAsia="it-IT"/>
        </w:rPr>
        <w:t xml:space="preserve"> all’ufficio che detiene i dati, o all’URP o ad altro ufficio indicato discrezionalmente dall’amministrazione sul sito istituzionale (art. 5, comma 3, </w:t>
      </w:r>
      <w:proofErr w:type="spellStart"/>
      <w:r w:rsidR="005D1F92" w:rsidRPr="00974501">
        <w:rPr>
          <w:rFonts w:ascii="Times New Roman" w:eastAsia="New Baskerville" w:hAnsi="Times New Roman" w:cs="Times New Roman"/>
          <w:sz w:val="24"/>
          <w:szCs w:val="24"/>
          <w:lang w:eastAsia="it-IT"/>
        </w:rPr>
        <w:t>lett</w:t>
      </w:r>
      <w:proofErr w:type="spellEnd"/>
      <w:r w:rsidR="005D1F92" w:rsidRPr="00974501">
        <w:rPr>
          <w:rFonts w:ascii="Times New Roman" w:eastAsia="New Baskerville" w:hAnsi="Times New Roman" w:cs="Times New Roman"/>
          <w:sz w:val="24"/>
          <w:szCs w:val="24"/>
          <w:lang w:eastAsia="it-IT"/>
        </w:rPr>
        <w:t>. a), b) e c)”</w:t>
      </w:r>
      <w:r w:rsidR="00725D6A" w:rsidRPr="00974501">
        <w:rPr>
          <w:rStyle w:val="Rimandonotaapidipagina"/>
          <w:rFonts w:ascii="Times New Roman" w:eastAsia="New Baskerville" w:hAnsi="Times New Roman" w:cs="Times New Roman"/>
          <w:sz w:val="24"/>
          <w:szCs w:val="24"/>
          <w:lang w:eastAsia="it-IT"/>
        </w:rPr>
        <w:footnoteReference w:id="16"/>
      </w:r>
      <w:r w:rsidR="005D1F92" w:rsidRPr="00974501">
        <w:rPr>
          <w:rFonts w:ascii="Times New Roman" w:eastAsia="New Baskerville" w:hAnsi="Times New Roman" w:cs="Times New Roman"/>
          <w:sz w:val="24"/>
          <w:szCs w:val="24"/>
          <w:lang w:eastAsia="it-IT"/>
        </w:rPr>
        <w:t>.</w:t>
      </w:r>
    </w:p>
    <w:p w:rsidR="00685445" w:rsidRPr="00974501" w:rsidRDefault="005D1F92"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Tale scelta viene spiegata perché</w:t>
      </w:r>
      <w:r w:rsidR="00725D6A"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contrariamente a quanto previsto nella disciplina sull’accesso ai documenti</w:t>
      </w:r>
      <w:r w:rsidR="00725D6A"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w:t>
      </w:r>
      <w:r w:rsidR="00491D52" w:rsidRPr="00974501">
        <w:rPr>
          <w:rFonts w:ascii="Times New Roman" w:eastAsia="New Baskerville" w:hAnsi="Times New Roman" w:cs="Times New Roman"/>
          <w:sz w:val="24"/>
          <w:szCs w:val="24"/>
          <w:lang w:eastAsia="it-IT"/>
        </w:rPr>
        <w:t>a fronte del silenzio dell’amministrazione</w:t>
      </w:r>
      <w:r w:rsidR="00491D52" w:rsidRPr="00057D11">
        <w:rPr>
          <w:rFonts w:ascii="Times New Roman" w:eastAsia="New Baskerville" w:hAnsi="Times New Roman" w:cs="Times New Roman"/>
          <w:sz w:val="24"/>
          <w:szCs w:val="24"/>
          <w:lang w:eastAsia="it-IT"/>
        </w:rPr>
        <w:t xml:space="preserve"> </w:t>
      </w:r>
      <w:r w:rsidR="00491D52" w:rsidRPr="00974501">
        <w:rPr>
          <w:rFonts w:ascii="Times New Roman" w:eastAsia="New Baskerville" w:hAnsi="Times New Roman" w:cs="Times New Roman"/>
          <w:sz w:val="24"/>
          <w:szCs w:val="24"/>
          <w:lang w:eastAsia="it-IT"/>
        </w:rPr>
        <w:t>sull’</w:t>
      </w:r>
      <w:r w:rsidR="00491D52">
        <w:rPr>
          <w:rFonts w:ascii="Times New Roman" w:eastAsia="New Baskerville" w:hAnsi="Times New Roman" w:cs="Times New Roman"/>
          <w:sz w:val="24"/>
          <w:szCs w:val="24"/>
          <w:lang w:eastAsia="it-IT"/>
        </w:rPr>
        <w:t xml:space="preserve">istanza di </w:t>
      </w:r>
      <w:r w:rsidR="00491D52" w:rsidRPr="00974501">
        <w:rPr>
          <w:rFonts w:ascii="Times New Roman" w:eastAsia="New Baskerville" w:hAnsi="Times New Roman" w:cs="Times New Roman"/>
          <w:sz w:val="24"/>
          <w:szCs w:val="24"/>
          <w:lang w:eastAsia="it-IT"/>
        </w:rPr>
        <w:t xml:space="preserve">accesso civico </w:t>
      </w:r>
      <w:r w:rsidR="00491D52">
        <w:rPr>
          <w:rFonts w:ascii="Times New Roman" w:eastAsia="New Baskerville" w:hAnsi="Times New Roman" w:cs="Times New Roman"/>
          <w:sz w:val="24"/>
          <w:szCs w:val="24"/>
          <w:lang w:eastAsia="it-IT"/>
        </w:rPr>
        <w:t>‘</w:t>
      </w:r>
      <w:r w:rsidR="00491D52" w:rsidRPr="00974501">
        <w:rPr>
          <w:rFonts w:ascii="Times New Roman" w:eastAsia="New Baskerville" w:hAnsi="Times New Roman" w:cs="Times New Roman"/>
          <w:sz w:val="24"/>
          <w:szCs w:val="24"/>
          <w:lang w:eastAsia="it-IT"/>
        </w:rPr>
        <w:t>generalizzato</w:t>
      </w:r>
      <w:r w:rsidR="00491D52">
        <w:rPr>
          <w:rFonts w:ascii="Times New Roman" w:eastAsia="New Baskerville" w:hAnsi="Times New Roman" w:cs="Times New Roman"/>
          <w:sz w:val="24"/>
          <w:szCs w:val="24"/>
          <w:lang w:eastAsia="it-IT"/>
        </w:rPr>
        <w:t>’</w:t>
      </w:r>
      <w:r w:rsidR="00491D52" w:rsidRPr="00974501">
        <w:rPr>
          <w:rFonts w:ascii="Times New Roman" w:eastAsia="New Baskerville" w:hAnsi="Times New Roman" w:cs="Times New Roman"/>
          <w:sz w:val="24"/>
          <w:szCs w:val="24"/>
          <w:lang w:eastAsia="it-IT"/>
        </w:rPr>
        <w:t>,</w:t>
      </w:r>
      <w:r w:rsidR="00491D52">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non si realizza una fattispecie di silenzio significativo di segno negativo (silenzio</w:t>
      </w:r>
      <w:r w:rsidR="00685445"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rigetto)</w:t>
      </w:r>
      <w:r w:rsidR="00927773">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l’art. 5 impone, infatti, l’obbligo all’amministrazione di pronunciarsi con provvedimento espresso e</w:t>
      </w:r>
      <w:r w:rsidR="00491D52">
        <w:rPr>
          <w:rFonts w:ascii="Times New Roman" w:eastAsia="New Baskerville" w:hAnsi="Times New Roman" w:cs="Times New Roman"/>
          <w:sz w:val="24"/>
          <w:szCs w:val="24"/>
          <w:lang w:eastAsia="it-IT"/>
        </w:rPr>
        <w:t xml:space="preserve"> motivato, per cui l’eventuale ‘</w:t>
      </w:r>
      <w:r w:rsidRPr="00974501">
        <w:rPr>
          <w:rFonts w:ascii="Times New Roman" w:eastAsia="New Baskerville" w:hAnsi="Times New Roman" w:cs="Times New Roman"/>
          <w:sz w:val="24"/>
          <w:szCs w:val="24"/>
          <w:lang w:eastAsia="it-IT"/>
        </w:rPr>
        <w:t>silenzio</w:t>
      </w:r>
      <w:r w:rsidR="00491D52">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rappresenta una </w:t>
      </w:r>
      <w:r w:rsidR="00491D52">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mera inerzia</w:t>
      </w:r>
      <w:r w:rsidR="00491D52">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un’ipotesi, cioè, di silenzio-inadempimento, che obbliga il cittadino a rivolgersi al giudice amministrativo, attivando il rito di cui all’art. 117 c.p.a. (e successivamente, in caso di diniego espresso ai dati o documenti richiesti, il rito sull’accesso </w:t>
      </w:r>
      <w:r w:rsidRPr="00974501">
        <w:rPr>
          <w:rFonts w:ascii="Times New Roman" w:eastAsia="New Baskerville" w:hAnsi="Times New Roman" w:cs="Times New Roman"/>
          <w:i/>
          <w:sz w:val="24"/>
          <w:szCs w:val="24"/>
          <w:lang w:eastAsia="it-IT"/>
        </w:rPr>
        <w:t>ex</w:t>
      </w:r>
      <w:r w:rsidRPr="00974501">
        <w:rPr>
          <w:rFonts w:ascii="Times New Roman" w:eastAsia="New Baskerville" w:hAnsi="Times New Roman" w:cs="Times New Roman"/>
          <w:sz w:val="24"/>
          <w:szCs w:val="24"/>
          <w:lang w:eastAsia="it-IT"/>
        </w:rPr>
        <w:t xml:space="preserve"> art. 116 c.p.a.)</w:t>
      </w:r>
      <w:r w:rsidR="005A76BA">
        <w:rPr>
          <w:rFonts w:ascii="Times New Roman" w:eastAsia="New Baskerville" w:hAnsi="Times New Roman" w:cs="Times New Roman"/>
          <w:sz w:val="24"/>
          <w:szCs w:val="24"/>
          <w:lang w:eastAsia="it-IT"/>
        </w:rPr>
        <w:t>.</w:t>
      </w:r>
    </w:p>
    <w:p w:rsidR="00E454D5" w:rsidRDefault="00CD5972"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L’anzidett</w:t>
      </w:r>
      <w:r w:rsidR="00E454D5">
        <w:rPr>
          <w:rFonts w:ascii="Times New Roman" w:eastAsia="New Baskerville" w:hAnsi="Times New Roman" w:cs="Times New Roman"/>
          <w:sz w:val="24"/>
          <w:szCs w:val="24"/>
          <w:lang w:eastAsia="it-IT"/>
        </w:rPr>
        <w:t>a soluzione, invero</w:t>
      </w:r>
      <w:r w:rsidR="00057D11">
        <w:rPr>
          <w:rFonts w:ascii="Times New Roman" w:eastAsia="New Baskerville" w:hAnsi="Times New Roman" w:cs="Times New Roman"/>
          <w:sz w:val="24"/>
          <w:szCs w:val="24"/>
          <w:lang w:eastAsia="it-IT"/>
        </w:rPr>
        <w:t xml:space="preserve"> non argomentata circa le sue ragioni fondanti</w:t>
      </w:r>
      <w:r w:rsidR="00E454D5">
        <w:rPr>
          <w:rFonts w:ascii="Times New Roman" w:eastAsia="New Baskerville" w:hAnsi="Times New Roman" w:cs="Times New Roman"/>
          <w:sz w:val="24"/>
          <w:szCs w:val="24"/>
          <w:lang w:eastAsia="it-IT"/>
        </w:rPr>
        <w:t xml:space="preserve">, sembra muovere dal testo dell’art. 116, comma 1, c.p.a. che, applicando il rito sull’accesso </w:t>
      </w:r>
      <w:r w:rsidR="00491D52">
        <w:rPr>
          <w:rFonts w:ascii="Times New Roman" w:eastAsia="New Baskerville" w:hAnsi="Times New Roman" w:cs="Times New Roman"/>
          <w:sz w:val="24"/>
          <w:szCs w:val="24"/>
          <w:lang w:eastAsia="it-IT"/>
        </w:rPr>
        <w:t xml:space="preserve">anche </w:t>
      </w:r>
      <w:r w:rsidR="00E454D5">
        <w:rPr>
          <w:rFonts w:ascii="Times New Roman" w:eastAsia="New Baskerville" w:hAnsi="Times New Roman" w:cs="Times New Roman"/>
          <w:sz w:val="24"/>
          <w:szCs w:val="24"/>
          <w:lang w:eastAsia="it-IT"/>
        </w:rPr>
        <w:t>alle ipotesi di “</w:t>
      </w:r>
      <w:r w:rsidR="00E454D5" w:rsidRPr="00B746D6">
        <w:rPr>
          <w:rFonts w:ascii="Times New Roman" w:eastAsia="New Baskerville" w:hAnsi="Times New Roman" w:cs="Times New Roman"/>
          <w:sz w:val="24"/>
          <w:szCs w:val="24"/>
          <w:lang w:eastAsia="it-IT"/>
        </w:rPr>
        <w:t>tutela del diritto di accesso civico connessa all’inadempimento degli obblighi di trasparenza</w:t>
      </w:r>
      <w:r w:rsidR="00E454D5">
        <w:rPr>
          <w:rFonts w:ascii="Times New Roman" w:eastAsia="New Baskerville" w:hAnsi="Times New Roman" w:cs="Times New Roman"/>
          <w:sz w:val="24"/>
          <w:szCs w:val="24"/>
          <w:lang w:eastAsia="it-IT"/>
        </w:rPr>
        <w:t xml:space="preserve">”, </w:t>
      </w:r>
      <w:r w:rsidR="00402D64">
        <w:rPr>
          <w:rFonts w:ascii="Times New Roman" w:eastAsia="New Baskerville" w:hAnsi="Times New Roman" w:cs="Times New Roman"/>
          <w:sz w:val="24"/>
          <w:szCs w:val="24"/>
          <w:lang w:eastAsia="it-IT"/>
        </w:rPr>
        <w:t>pa</w:t>
      </w:r>
      <w:r w:rsidR="00E454D5">
        <w:rPr>
          <w:rFonts w:ascii="Times New Roman" w:eastAsia="New Baskerville" w:hAnsi="Times New Roman" w:cs="Times New Roman"/>
          <w:sz w:val="24"/>
          <w:szCs w:val="24"/>
          <w:lang w:eastAsia="it-IT"/>
        </w:rPr>
        <w:t xml:space="preserve">rrebbe escludere </w:t>
      </w:r>
      <w:r w:rsidR="00402D64">
        <w:rPr>
          <w:rFonts w:ascii="Times New Roman" w:eastAsia="New Baskerville" w:hAnsi="Times New Roman" w:cs="Times New Roman"/>
          <w:sz w:val="24"/>
          <w:szCs w:val="24"/>
          <w:lang w:eastAsia="it-IT"/>
        </w:rPr>
        <w:t xml:space="preserve">dal proprio alveo </w:t>
      </w:r>
      <w:r w:rsidR="00E454D5">
        <w:rPr>
          <w:rFonts w:ascii="Times New Roman" w:eastAsia="New Baskerville" w:hAnsi="Times New Roman" w:cs="Times New Roman"/>
          <w:sz w:val="24"/>
          <w:szCs w:val="24"/>
          <w:lang w:eastAsia="it-IT"/>
        </w:rPr>
        <w:t xml:space="preserve">le </w:t>
      </w:r>
      <w:r w:rsidR="00057D11">
        <w:rPr>
          <w:rFonts w:ascii="Times New Roman" w:eastAsia="New Baskerville" w:hAnsi="Times New Roman" w:cs="Times New Roman"/>
          <w:sz w:val="24"/>
          <w:szCs w:val="24"/>
          <w:lang w:eastAsia="it-IT"/>
        </w:rPr>
        <w:t>fattispecie</w:t>
      </w:r>
      <w:r w:rsidR="00E454D5">
        <w:rPr>
          <w:rFonts w:ascii="Times New Roman" w:eastAsia="New Baskerville" w:hAnsi="Times New Roman" w:cs="Times New Roman"/>
          <w:sz w:val="24"/>
          <w:szCs w:val="24"/>
          <w:lang w:eastAsia="it-IT"/>
        </w:rPr>
        <w:t xml:space="preserve"> di silenzio</w:t>
      </w:r>
      <w:r w:rsidR="00E454D5" w:rsidRPr="00E454D5">
        <w:rPr>
          <w:rFonts w:ascii="Times New Roman" w:eastAsia="New Baskerville" w:hAnsi="Times New Roman" w:cs="Times New Roman"/>
          <w:sz w:val="24"/>
          <w:szCs w:val="24"/>
          <w:lang w:eastAsia="it-IT"/>
        </w:rPr>
        <w:t xml:space="preserve"> </w:t>
      </w:r>
      <w:r w:rsidR="00E454D5">
        <w:rPr>
          <w:rFonts w:ascii="Times New Roman" w:eastAsia="New Baskerville" w:hAnsi="Times New Roman" w:cs="Times New Roman"/>
          <w:sz w:val="24"/>
          <w:szCs w:val="24"/>
          <w:lang w:eastAsia="it-IT"/>
        </w:rPr>
        <w:t>su richieste di accesso civico ‘generalizzato’.</w:t>
      </w:r>
    </w:p>
    <w:p w:rsidR="00E454D5" w:rsidRDefault="00E454D5"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Queste ultime</w:t>
      </w:r>
      <w:r w:rsidR="00402D64">
        <w:rPr>
          <w:rFonts w:ascii="Times New Roman" w:eastAsia="New Baskerville" w:hAnsi="Times New Roman" w:cs="Times New Roman"/>
          <w:sz w:val="24"/>
          <w:szCs w:val="24"/>
          <w:lang w:eastAsia="it-IT"/>
        </w:rPr>
        <w:t>, infatti,</w:t>
      </w:r>
      <w:r>
        <w:rPr>
          <w:rFonts w:ascii="Times New Roman" w:eastAsia="New Baskerville" w:hAnsi="Times New Roman" w:cs="Times New Roman"/>
          <w:sz w:val="24"/>
          <w:szCs w:val="24"/>
          <w:lang w:eastAsia="it-IT"/>
        </w:rPr>
        <w:t xml:space="preserve"> non sarebbero direttamente </w:t>
      </w:r>
      <w:r w:rsidRPr="00B746D6">
        <w:rPr>
          <w:rFonts w:ascii="Times New Roman" w:eastAsia="New Baskerville" w:hAnsi="Times New Roman" w:cs="Times New Roman"/>
          <w:sz w:val="24"/>
          <w:szCs w:val="24"/>
          <w:lang w:eastAsia="it-IT"/>
        </w:rPr>
        <w:t>conness</w:t>
      </w:r>
      <w:r>
        <w:rPr>
          <w:rFonts w:ascii="Times New Roman" w:eastAsia="New Baskerville" w:hAnsi="Times New Roman" w:cs="Times New Roman"/>
          <w:sz w:val="24"/>
          <w:szCs w:val="24"/>
          <w:lang w:eastAsia="it-IT"/>
        </w:rPr>
        <w:t>e</w:t>
      </w:r>
      <w:r w:rsidRPr="00B746D6">
        <w:rPr>
          <w:rFonts w:ascii="Times New Roman" w:eastAsia="New Baskerville" w:hAnsi="Times New Roman" w:cs="Times New Roman"/>
          <w:sz w:val="24"/>
          <w:szCs w:val="24"/>
          <w:lang w:eastAsia="it-IT"/>
        </w:rPr>
        <w:t xml:space="preserve"> all’inadempimento degli obblighi di trasparenza</w:t>
      </w:r>
      <w:r>
        <w:rPr>
          <w:rFonts w:ascii="Times New Roman" w:eastAsia="New Baskerville" w:hAnsi="Times New Roman" w:cs="Times New Roman"/>
          <w:sz w:val="24"/>
          <w:szCs w:val="24"/>
          <w:lang w:eastAsia="it-IT"/>
        </w:rPr>
        <w:t>, proprio perché riguardano l’ostensione di documenti o dati “ulteriori</w:t>
      </w:r>
      <w:r w:rsidR="00491D52">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rispetto alle </w:t>
      </w:r>
      <w:r w:rsidR="00057D11">
        <w:rPr>
          <w:rFonts w:ascii="Times New Roman" w:eastAsia="New Baskerville" w:hAnsi="Times New Roman" w:cs="Times New Roman"/>
          <w:sz w:val="24"/>
          <w:szCs w:val="24"/>
          <w:lang w:eastAsia="it-IT"/>
        </w:rPr>
        <w:t xml:space="preserve">stesse </w:t>
      </w:r>
      <w:r>
        <w:rPr>
          <w:rFonts w:ascii="Times New Roman" w:eastAsia="New Baskerville" w:hAnsi="Times New Roman" w:cs="Times New Roman"/>
          <w:sz w:val="24"/>
          <w:szCs w:val="24"/>
          <w:lang w:eastAsia="it-IT"/>
        </w:rPr>
        <w:t xml:space="preserve">ipotesi di legge, </w:t>
      </w:r>
      <w:r w:rsidR="00CD5972">
        <w:rPr>
          <w:rFonts w:ascii="Times New Roman" w:eastAsia="New Baskerville" w:hAnsi="Times New Roman" w:cs="Times New Roman"/>
          <w:sz w:val="24"/>
          <w:szCs w:val="24"/>
          <w:lang w:eastAsia="it-IT"/>
        </w:rPr>
        <w:t>dove</w:t>
      </w:r>
      <w:r>
        <w:rPr>
          <w:rFonts w:ascii="Times New Roman" w:eastAsia="New Baskerville" w:hAnsi="Times New Roman" w:cs="Times New Roman"/>
          <w:sz w:val="24"/>
          <w:szCs w:val="24"/>
          <w:lang w:eastAsia="it-IT"/>
        </w:rPr>
        <w:t>ndo</w:t>
      </w:r>
      <w:r w:rsidR="00CD5972">
        <w:rPr>
          <w:rFonts w:ascii="Times New Roman" w:eastAsia="New Baskerville" w:hAnsi="Times New Roman" w:cs="Times New Roman"/>
          <w:sz w:val="24"/>
          <w:szCs w:val="24"/>
          <w:lang w:eastAsia="it-IT"/>
        </w:rPr>
        <w:t xml:space="preserve"> operare</w:t>
      </w:r>
      <w:r>
        <w:rPr>
          <w:rFonts w:ascii="Times New Roman" w:eastAsia="New Baskerville" w:hAnsi="Times New Roman" w:cs="Times New Roman"/>
          <w:sz w:val="24"/>
          <w:szCs w:val="24"/>
          <w:lang w:eastAsia="it-IT"/>
        </w:rPr>
        <w:t>, quindi, nei casi di silenzio, il</w:t>
      </w:r>
      <w:r w:rsidRPr="00E454D5">
        <w:rPr>
          <w:rFonts w:ascii="Times New Roman" w:eastAsia="New Baskerville" w:hAnsi="Times New Roman" w:cs="Times New Roman"/>
          <w:sz w:val="24"/>
          <w:szCs w:val="24"/>
          <w:lang w:eastAsia="it-IT"/>
        </w:rPr>
        <w:t xml:space="preserve"> </w:t>
      </w:r>
      <w:r w:rsidR="00402D64">
        <w:rPr>
          <w:rFonts w:ascii="Times New Roman" w:eastAsia="New Baskerville" w:hAnsi="Times New Roman" w:cs="Times New Roman"/>
          <w:sz w:val="24"/>
          <w:szCs w:val="24"/>
          <w:lang w:eastAsia="it-IT"/>
        </w:rPr>
        <w:t xml:space="preserve">diverso </w:t>
      </w:r>
      <w:r>
        <w:rPr>
          <w:rFonts w:ascii="Times New Roman" w:eastAsia="New Baskerville" w:hAnsi="Times New Roman" w:cs="Times New Roman"/>
          <w:sz w:val="24"/>
          <w:szCs w:val="24"/>
          <w:lang w:eastAsia="it-IT"/>
        </w:rPr>
        <w:t>rito di cui all’art. 11</w:t>
      </w:r>
      <w:r w:rsidR="00402D64">
        <w:rPr>
          <w:rFonts w:ascii="Times New Roman" w:eastAsia="New Baskerville" w:hAnsi="Times New Roman" w:cs="Times New Roman"/>
          <w:sz w:val="24"/>
          <w:szCs w:val="24"/>
          <w:lang w:eastAsia="it-IT"/>
        </w:rPr>
        <w:t>7</w:t>
      </w:r>
      <w:r>
        <w:rPr>
          <w:rFonts w:ascii="Times New Roman" w:eastAsia="New Baskerville" w:hAnsi="Times New Roman" w:cs="Times New Roman"/>
          <w:sz w:val="24"/>
          <w:szCs w:val="24"/>
          <w:lang w:eastAsia="it-IT"/>
        </w:rPr>
        <w:t xml:space="preserve"> c.p.a., con tendenziale</w:t>
      </w:r>
      <w:r w:rsidRPr="007443DF">
        <w:rPr>
          <w:rFonts w:ascii="Times New Roman" w:eastAsia="New Baskerville" w:hAnsi="Times New Roman" w:cs="Times New Roman"/>
          <w:sz w:val="24"/>
          <w:szCs w:val="24"/>
          <w:lang w:eastAsia="it-IT"/>
        </w:rPr>
        <w:t xml:space="preserve"> emissione di un ordine giurisdizionale di provvedere </w:t>
      </w:r>
      <w:r>
        <w:rPr>
          <w:rFonts w:ascii="Times New Roman" w:eastAsia="New Baskerville" w:hAnsi="Times New Roman" w:cs="Times New Roman"/>
          <w:sz w:val="24"/>
          <w:szCs w:val="24"/>
          <w:lang w:eastAsia="it-IT"/>
        </w:rPr>
        <w:t>di tipo ‘</w:t>
      </w:r>
      <w:r w:rsidRPr="007443DF">
        <w:rPr>
          <w:rFonts w:ascii="Times New Roman" w:eastAsia="New Baskerville" w:hAnsi="Times New Roman" w:cs="Times New Roman"/>
          <w:sz w:val="24"/>
          <w:szCs w:val="24"/>
          <w:lang w:eastAsia="it-IT"/>
        </w:rPr>
        <w:t>ne</w:t>
      </w:r>
      <w:r>
        <w:rPr>
          <w:rFonts w:ascii="Times New Roman" w:eastAsia="New Baskerville" w:hAnsi="Times New Roman" w:cs="Times New Roman"/>
          <w:sz w:val="24"/>
          <w:szCs w:val="24"/>
          <w:lang w:eastAsia="it-IT"/>
        </w:rPr>
        <w:t>utro’, ossia aperto ad una futura soluzione amministrativa di segno sia positivo che negativo, da motivare sulla base della fattispecie concreta.</w:t>
      </w:r>
    </w:p>
    <w:p w:rsidR="00E454D5" w:rsidRDefault="00E454D5"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In </w:t>
      </w:r>
      <w:r w:rsidR="00402D64">
        <w:rPr>
          <w:rFonts w:ascii="Times New Roman" w:eastAsia="New Baskerville" w:hAnsi="Times New Roman" w:cs="Times New Roman"/>
          <w:sz w:val="24"/>
          <w:szCs w:val="24"/>
          <w:lang w:eastAsia="it-IT"/>
        </w:rPr>
        <w:t>tal modo</w:t>
      </w:r>
      <w:r>
        <w:rPr>
          <w:rFonts w:ascii="Times New Roman" w:eastAsia="New Baskerville" w:hAnsi="Times New Roman" w:cs="Times New Roman"/>
          <w:sz w:val="24"/>
          <w:szCs w:val="24"/>
          <w:lang w:eastAsia="it-IT"/>
        </w:rPr>
        <w:t>, la tesi esposta finisce per distinguere, ai soli fini dell’opposizione al silenzio, i casi in cui difetta una qualsiasi forma di discrezionalità amministrativa</w:t>
      </w:r>
      <w:r w:rsidRPr="00842CEB">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(obblig</w:t>
      </w:r>
      <w:r w:rsidR="00491D52">
        <w:rPr>
          <w:rFonts w:ascii="Times New Roman" w:eastAsia="New Baskerville" w:hAnsi="Times New Roman" w:cs="Times New Roman"/>
          <w:sz w:val="24"/>
          <w:szCs w:val="24"/>
          <w:lang w:eastAsia="it-IT"/>
        </w:rPr>
        <w:t>hi</w:t>
      </w:r>
      <w:r>
        <w:rPr>
          <w:rFonts w:ascii="Times New Roman" w:eastAsia="New Baskerville" w:hAnsi="Times New Roman" w:cs="Times New Roman"/>
          <w:sz w:val="24"/>
          <w:szCs w:val="24"/>
          <w:lang w:eastAsia="it-IT"/>
        </w:rPr>
        <w:t xml:space="preserve"> di pubblicazione e</w:t>
      </w:r>
      <w:r w:rsidR="00491D52">
        <w:rPr>
          <w:rFonts w:ascii="Times New Roman" w:eastAsia="New Baskerville" w:hAnsi="Times New Roman" w:cs="Times New Roman"/>
          <w:sz w:val="24"/>
          <w:szCs w:val="24"/>
          <w:lang w:eastAsia="it-IT"/>
        </w:rPr>
        <w:t>d</w:t>
      </w:r>
      <w:r>
        <w:rPr>
          <w:rFonts w:ascii="Times New Roman" w:eastAsia="New Baskerville" w:hAnsi="Times New Roman" w:cs="Times New Roman"/>
          <w:sz w:val="24"/>
          <w:szCs w:val="24"/>
          <w:lang w:eastAsia="it-IT"/>
        </w:rPr>
        <w:t xml:space="preserve"> accesso civico ‘semplice’), nei quali il giudice si limita a constatare la sussunzione, o meno, del documento o del dato non pubblicato all’interno delle ipotesi tassativamente predefinite dalla legge</w:t>
      </w:r>
      <w:r w:rsidR="00402D64">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d</w:t>
      </w:r>
      <w:r w:rsidR="00402D64">
        <w:rPr>
          <w:rFonts w:ascii="Times New Roman" w:eastAsia="New Baskerville" w:hAnsi="Times New Roman" w:cs="Times New Roman"/>
          <w:sz w:val="24"/>
          <w:szCs w:val="24"/>
          <w:lang w:eastAsia="it-IT"/>
        </w:rPr>
        <w:t>a</w:t>
      </w:r>
      <w:r>
        <w:rPr>
          <w:rFonts w:ascii="Times New Roman" w:eastAsia="New Baskerville" w:hAnsi="Times New Roman" w:cs="Times New Roman"/>
          <w:sz w:val="24"/>
          <w:szCs w:val="24"/>
          <w:lang w:eastAsia="it-IT"/>
        </w:rPr>
        <w:t>i casi in cui</w:t>
      </w:r>
      <w:r w:rsidR="00402D64">
        <w:rPr>
          <w:rFonts w:ascii="Times New Roman" w:eastAsia="New Baskerville" w:hAnsi="Times New Roman" w:cs="Times New Roman"/>
          <w:sz w:val="24"/>
          <w:szCs w:val="24"/>
          <w:lang w:eastAsia="it-IT"/>
        </w:rPr>
        <w:t>, viceversa,</w:t>
      </w:r>
      <w:r>
        <w:rPr>
          <w:rFonts w:ascii="Times New Roman" w:eastAsia="New Baskerville" w:hAnsi="Times New Roman" w:cs="Times New Roman"/>
          <w:sz w:val="24"/>
          <w:szCs w:val="24"/>
          <w:lang w:eastAsia="it-IT"/>
        </w:rPr>
        <w:t xml:space="preserve"> l’amministrazione esercita un minimo di discrezionalità (accesso civico ‘generalizzato’)</w:t>
      </w:r>
      <w:r w:rsidR="00402D64">
        <w:rPr>
          <w:rFonts w:ascii="Times New Roman" w:eastAsia="New Baskerville" w:hAnsi="Times New Roman" w:cs="Times New Roman"/>
          <w:sz w:val="24"/>
          <w:szCs w:val="24"/>
          <w:lang w:eastAsia="it-IT"/>
        </w:rPr>
        <w:t xml:space="preserve"> ed in cui</w:t>
      </w:r>
      <w:r w:rsidR="00D5083A" w:rsidRPr="00D5083A">
        <w:rPr>
          <w:rFonts w:ascii="Times New Roman" w:eastAsia="New Baskerville" w:hAnsi="Times New Roman" w:cs="Times New Roman"/>
          <w:sz w:val="24"/>
          <w:szCs w:val="24"/>
          <w:lang w:eastAsia="it-IT"/>
        </w:rPr>
        <w:t xml:space="preserve"> è precluso al giudice di pronunciarsi con riferimento a</w:t>
      </w:r>
      <w:r w:rsidR="00402D64">
        <w:rPr>
          <w:rFonts w:ascii="Times New Roman" w:eastAsia="New Baskerville" w:hAnsi="Times New Roman" w:cs="Times New Roman"/>
          <w:sz w:val="24"/>
          <w:szCs w:val="24"/>
          <w:lang w:eastAsia="it-IT"/>
        </w:rPr>
        <w:t>d un</w:t>
      </w:r>
      <w:r w:rsidR="00D5083A" w:rsidRPr="00D5083A">
        <w:rPr>
          <w:rFonts w:ascii="Times New Roman" w:eastAsia="New Baskerville" w:hAnsi="Times New Roman" w:cs="Times New Roman"/>
          <w:sz w:val="24"/>
          <w:szCs w:val="24"/>
          <w:lang w:eastAsia="it-IT"/>
        </w:rPr>
        <w:t xml:space="preserve"> poter</w:t>
      </w:r>
      <w:r w:rsidR="00402D64">
        <w:rPr>
          <w:rFonts w:ascii="Times New Roman" w:eastAsia="New Baskerville" w:hAnsi="Times New Roman" w:cs="Times New Roman"/>
          <w:sz w:val="24"/>
          <w:szCs w:val="24"/>
          <w:lang w:eastAsia="it-IT"/>
        </w:rPr>
        <w:t>e</w:t>
      </w:r>
      <w:r w:rsidR="00D5083A" w:rsidRPr="00D5083A">
        <w:rPr>
          <w:rFonts w:ascii="Times New Roman" w:eastAsia="New Baskerville" w:hAnsi="Times New Roman" w:cs="Times New Roman"/>
          <w:sz w:val="24"/>
          <w:szCs w:val="24"/>
          <w:lang w:eastAsia="it-IT"/>
        </w:rPr>
        <w:t xml:space="preserve"> non ancora esercitat</w:t>
      </w:r>
      <w:r w:rsidR="00402D64">
        <w:rPr>
          <w:rFonts w:ascii="Times New Roman" w:eastAsia="New Baskerville" w:hAnsi="Times New Roman" w:cs="Times New Roman"/>
          <w:sz w:val="24"/>
          <w:szCs w:val="24"/>
          <w:lang w:eastAsia="it-IT"/>
        </w:rPr>
        <w:t>o,</w:t>
      </w:r>
      <w:r>
        <w:rPr>
          <w:rFonts w:ascii="Times New Roman" w:eastAsia="New Baskerville" w:hAnsi="Times New Roman" w:cs="Times New Roman"/>
          <w:sz w:val="24"/>
          <w:szCs w:val="24"/>
          <w:lang w:eastAsia="it-IT"/>
        </w:rPr>
        <w:t xml:space="preserve"> </w:t>
      </w:r>
      <w:r w:rsidR="00D5083A" w:rsidRPr="00D5083A">
        <w:rPr>
          <w:rFonts w:ascii="Times New Roman" w:eastAsia="New Baskerville" w:hAnsi="Times New Roman" w:cs="Times New Roman"/>
          <w:i/>
          <w:sz w:val="24"/>
          <w:szCs w:val="24"/>
          <w:lang w:eastAsia="it-IT"/>
        </w:rPr>
        <w:t>ex</w:t>
      </w:r>
      <w:r w:rsidR="00D5083A">
        <w:rPr>
          <w:rFonts w:ascii="Times New Roman" w:eastAsia="New Baskerville" w:hAnsi="Times New Roman" w:cs="Times New Roman"/>
          <w:sz w:val="24"/>
          <w:szCs w:val="24"/>
          <w:lang w:eastAsia="it-IT"/>
        </w:rPr>
        <w:t xml:space="preserve"> art</w:t>
      </w:r>
      <w:r>
        <w:rPr>
          <w:rFonts w:ascii="Times New Roman" w:eastAsia="New Baskerville" w:hAnsi="Times New Roman" w:cs="Times New Roman"/>
          <w:sz w:val="24"/>
          <w:szCs w:val="24"/>
          <w:lang w:eastAsia="it-IT"/>
        </w:rPr>
        <w:t>.</w:t>
      </w:r>
      <w:r w:rsidR="00D5083A">
        <w:rPr>
          <w:rFonts w:ascii="Times New Roman" w:eastAsia="New Baskerville" w:hAnsi="Times New Roman" w:cs="Times New Roman"/>
          <w:sz w:val="24"/>
          <w:szCs w:val="24"/>
          <w:lang w:eastAsia="it-IT"/>
        </w:rPr>
        <w:t xml:space="preserve"> 34, comma 2, c.p.a.</w:t>
      </w:r>
    </w:p>
    <w:p w:rsidR="005D1F92" w:rsidRDefault="00402D64" w:rsidP="002D64CC">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Detta </w:t>
      </w:r>
      <w:r w:rsidR="00685445" w:rsidRPr="00974501">
        <w:rPr>
          <w:rFonts w:ascii="Times New Roman" w:eastAsia="New Baskerville" w:hAnsi="Times New Roman" w:cs="Times New Roman"/>
          <w:sz w:val="24"/>
          <w:szCs w:val="24"/>
          <w:lang w:eastAsia="it-IT"/>
        </w:rPr>
        <w:t>interpretazione</w:t>
      </w:r>
      <w:r w:rsidR="002D64CC">
        <w:rPr>
          <w:rFonts w:ascii="Times New Roman" w:eastAsia="New Baskerville" w:hAnsi="Times New Roman" w:cs="Times New Roman"/>
          <w:sz w:val="24"/>
          <w:szCs w:val="24"/>
          <w:lang w:eastAsia="it-IT"/>
        </w:rPr>
        <w:t xml:space="preserve"> –</w:t>
      </w:r>
      <w:r w:rsidR="00491D52">
        <w:rPr>
          <w:rFonts w:ascii="Times New Roman" w:eastAsia="New Baskerville" w:hAnsi="Times New Roman" w:cs="Times New Roman"/>
          <w:sz w:val="24"/>
          <w:szCs w:val="24"/>
          <w:lang w:eastAsia="it-IT"/>
        </w:rPr>
        <w:t xml:space="preserve"> </w:t>
      </w:r>
      <w:r w:rsidR="00784FF7">
        <w:rPr>
          <w:rFonts w:ascii="Times New Roman" w:eastAsia="New Baskerville" w:hAnsi="Times New Roman" w:cs="Times New Roman"/>
          <w:sz w:val="24"/>
          <w:szCs w:val="24"/>
          <w:lang w:eastAsia="it-IT"/>
        </w:rPr>
        <w:t>affermata</w:t>
      </w:r>
      <w:r>
        <w:rPr>
          <w:rFonts w:ascii="Times New Roman" w:eastAsia="New Baskerville" w:hAnsi="Times New Roman" w:cs="Times New Roman"/>
          <w:sz w:val="24"/>
          <w:szCs w:val="24"/>
          <w:lang w:eastAsia="it-IT"/>
        </w:rPr>
        <w:t>, sia pur apoditticamente,</w:t>
      </w:r>
      <w:r w:rsidR="00784FF7">
        <w:rPr>
          <w:rFonts w:ascii="Times New Roman" w:eastAsia="New Baskerville" w:hAnsi="Times New Roman" w:cs="Times New Roman"/>
          <w:sz w:val="24"/>
          <w:szCs w:val="24"/>
          <w:lang w:eastAsia="it-IT"/>
        </w:rPr>
        <w:t xml:space="preserve"> </w:t>
      </w:r>
      <w:r w:rsidR="001D38A9">
        <w:rPr>
          <w:rFonts w:ascii="Times New Roman" w:eastAsia="New Baskerville" w:hAnsi="Times New Roman" w:cs="Times New Roman"/>
          <w:sz w:val="24"/>
          <w:szCs w:val="24"/>
          <w:lang w:eastAsia="it-IT"/>
        </w:rPr>
        <w:t>in</w:t>
      </w:r>
      <w:r w:rsidR="00784FF7">
        <w:rPr>
          <w:rFonts w:ascii="Times New Roman" w:eastAsia="New Baskerville" w:hAnsi="Times New Roman" w:cs="Times New Roman"/>
          <w:sz w:val="24"/>
          <w:szCs w:val="24"/>
          <w:lang w:eastAsia="it-IT"/>
        </w:rPr>
        <w:t xml:space="preserve"> </w:t>
      </w:r>
      <w:r w:rsidR="001D38A9">
        <w:rPr>
          <w:rFonts w:ascii="Times New Roman" w:eastAsia="New Baskerville" w:hAnsi="Times New Roman" w:cs="Times New Roman"/>
          <w:sz w:val="24"/>
          <w:szCs w:val="24"/>
          <w:lang w:eastAsia="it-IT"/>
        </w:rPr>
        <w:t>sede</w:t>
      </w:r>
      <w:r w:rsidR="00784FF7">
        <w:rPr>
          <w:rFonts w:ascii="Times New Roman" w:eastAsia="New Baskerville" w:hAnsi="Times New Roman" w:cs="Times New Roman"/>
          <w:sz w:val="24"/>
          <w:szCs w:val="24"/>
          <w:lang w:eastAsia="it-IT"/>
        </w:rPr>
        <w:t xml:space="preserve"> giurisdizional</w:t>
      </w:r>
      <w:r w:rsidR="001D38A9">
        <w:rPr>
          <w:rFonts w:ascii="Times New Roman" w:eastAsia="New Baskerville" w:hAnsi="Times New Roman" w:cs="Times New Roman"/>
          <w:sz w:val="24"/>
          <w:szCs w:val="24"/>
          <w:lang w:eastAsia="it-IT"/>
        </w:rPr>
        <w:t>e</w:t>
      </w:r>
      <w:r w:rsidR="00784FF7">
        <w:rPr>
          <w:rStyle w:val="Rimandonotaapidipagina"/>
          <w:rFonts w:ascii="Times New Roman" w:eastAsia="New Baskerville" w:hAnsi="Times New Roman" w:cs="Times New Roman"/>
          <w:sz w:val="24"/>
          <w:szCs w:val="24"/>
          <w:lang w:eastAsia="it-IT"/>
        </w:rPr>
        <w:footnoteReference w:id="17"/>
      </w:r>
      <w:r w:rsidR="002D64CC">
        <w:rPr>
          <w:rFonts w:ascii="Times New Roman" w:eastAsia="New Baskerville" w:hAnsi="Times New Roman" w:cs="Times New Roman"/>
          <w:sz w:val="24"/>
          <w:szCs w:val="24"/>
          <w:lang w:eastAsia="it-IT"/>
        </w:rPr>
        <w:t xml:space="preserve"> </w:t>
      </w:r>
      <w:r w:rsidR="001D38A9">
        <w:rPr>
          <w:rFonts w:ascii="Times New Roman" w:eastAsia="New Baskerville" w:hAnsi="Times New Roman" w:cs="Times New Roman"/>
          <w:sz w:val="24"/>
          <w:szCs w:val="24"/>
          <w:lang w:eastAsia="it-IT"/>
        </w:rPr>
        <w:t>–</w:t>
      </w:r>
      <w:r w:rsidR="00784FF7">
        <w:rPr>
          <w:rFonts w:ascii="Times New Roman" w:eastAsia="New Baskerville" w:hAnsi="Times New Roman" w:cs="Times New Roman"/>
          <w:sz w:val="24"/>
          <w:szCs w:val="24"/>
          <w:lang w:eastAsia="it-IT"/>
        </w:rPr>
        <w:t xml:space="preserve"> </w:t>
      </w:r>
      <w:r w:rsidR="006F3916">
        <w:rPr>
          <w:rFonts w:ascii="Times New Roman" w:eastAsia="New Baskerville" w:hAnsi="Times New Roman" w:cs="Times New Roman"/>
          <w:sz w:val="24"/>
          <w:szCs w:val="24"/>
          <w:lang w:eastAsia="it-IT"/>
        </w:rPr>
        <w:t>viene</w:t>
      </w:r>
      <w:r w:rsidR="00927773">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tuttavia</w:t>
      </w:r>
      <w:r w:rsidRPr="00974501">
        <w:rPr>
          <w:rFonts w:ascii="Times New Roman" w:eastAsia="New Baskerville" w:hAnsi="Times New Roman" w:cs="Times New Roman"/>
          <w:sz w:val="24"/>
          <w:szCs w:val="24"/>
          <w:lang w:eastAsia="it-IT"/>
        </w:rPr>
        <w:t xml:space="preserve"> </w:t>
      </w:r>
      <w:r w:rsidR="00685445" w:rsidRPr="00974501">
        <w:rPr>
          <w:rFonts w:ascii="Times New Roman" w:eastAsia="New Baskerville" w:hAnsi="Times New Roman" w:cs="Times New Roman"/>
          <w:sz w:val="24"/>
          <w:szCs w:val="24"/>
          <w:lang w:eastAsia="it-IT"/>
        </w:rPr>
        <w:t>autorevolmente avversata da chi</w:t>
      </w:r>
      <w:r w:rsidR="001D38A9" w:rsidRPr="001D38A9">
        <w:rPr>
          <w:rFonts w:ascii="Times New Roman" w:eastAsia="New Baskerville" w:hAnsi="Times New Roman" w:cs="Times New Roman"/>
          <w:sz w:val="24"/>
          <w:szCs w:val="24"/>
          <w:lang w:eastAsia="it-IT"/>
        </w:rPr>
        <w:t xml:space="preserve"> </w:t>
      </w:r>
      <w:r w:rsidR="001D38A9" w:rsidRPr="00974501">
        <w:rPr>
          <w:rFonts w:ascii="Times New Roman" w:eastAsia="New Baskerville" w:hAnsi="Times New Roman" w:cs="Times New Roman"/>
          <w:sz w:val="24"/>
          <w:szCs w:val="24"/>
          <w:lang w:eastAsia="it-IT"/>
        </w:rPr>
        <w:t>sostiene</w:t>
      </w:r>
      <w:r>
        <w:rPr>
          <w:rFonts w:ascii="Times New Roman" w:eastAsia="New Baskerville" w:hAnsi="Times New Roman" w:cs="Times New Roman"/>
          <w:sz w:val="24"/>
          <w:szCs w:val="24"/>
          <w:lang w:eastAsia="it-IT"/>
        </w:rPr>
        <w:t>,</w:t>
      </w:r>
      <w:r w:rsidR="00685445" w:rsidRPr="00974501">
        <w:rPr>
          <w:rFonts w:ascii="Times New Roman" w:eastAsia="New Baskerville" w:hAnsi="Times New Roman" w:cs="Times New Roman"/>
          <w:sz w:val="24"/>
          <w:szCs w:val="24"/>
          <w:lang w:eastAsia="it-IT"/>
        </w:rPr>
        <w:t xml:space="preserve"> </w:t>
      </w:r>
      <w:r w:rsidR="00927773">
        <w:rPr>
          <w:rFonts w:ascii="Times New Roman" w:eastAsia="New Baskerville" w:hAnsi="Times New Roman" w:cs="Times New Roman"/>
          <w:sz w:val="24"/>
          <w:szCs w:val="24"/>
          <w:lang w:eastAsia="it-IT"/>
        </w:rPr>
        <w:t>invece</w:t>
      </w:r>
      <w:r>
        <w:rPr>
          <w:rFonts w:ascii="Times New Roman" w:eastAsia="New Baskerville" w:hAnsi="Times New Roman" w:cs="Times New Roman"/>
          <w:sz w:val="24"/>
          <w:szCs w:val="24"/>
          <w:lang w:eastAsia="it-IT"/>
        </w:rPr>
        <w:t>,</w:t>
      </w:r>
      <w:r w:rsidR="00927773">
        <w:rPr>
          <w:rFonts w:ascii="Times New Roman" w:eastAsia="New Baskerville" w:hAnsi="Times New Roman" w:cs="Times New Roman"/>
          <w:sz w:val="24"/>
          <w:szCs w:val="24"/>
          <w:lang w:eastAsia="it-IT"/>
        </w:rPr>
        <w:t xml:space="preserve"> </w:t>
      </w:r>
      <w:r w:rsidR="00685445" w:rsidRPr="00974501">
        <w:rPr>
          <w:rFonts w:ascii="Times New Roman" w:eastAsia="New Baskerville" w:hAnsi="Times New Roman" w:cs="Times New Roman"/>
          <w:sz w:val="24"/>
          <w:szCs w:val="24"/>
          <w:lang w:eastAsia="it-IT"/>
        </w:rPr>
        <w:t xml:space="preserve">che </w:t>
      </w:r>
      <w:r w:rsidR="00927773">
        <w:rPr>
          <w:rFonts w:ascii="Times New Roman" w:eastAsia="New Baskerville" w:hAnsi="Times New Roman" w:cs="Times New Roman"/>
          <w:sz w:val="24"/>
          <w:szCs w:val="24"/>
          <w:lang w:eastAsia="it-IT"/>
        </w:rPr>
        <w:t>i</w:t>
      </w:r>
      <w:r w:rsidR="00685445" w:rsidRPr="00974501">
        <w:rPr>
          <w:rFonts w:ascii="Times New Roman" w:eastAsia="New Baskerville" w:hAnsi="Times New Roman" w:cs="Times New Roman"/>
          <w:sz w:val="24"/>
          <w:szCs w:val="24"/>
          <w:lang w:eastAsia="it-IT"/>
        </w:rPr>
        <w:t>l rito da preferire, anche nell</w:t>
      </w:r>
      <w:r w:rsidR="00725D6A" w:rsidRPr="00974501">
        <w:rPr>
          <w:rFonts w:ascii="Times New Roman" w:eastAsia="New Baskerville" w:hAnsi="Times New Roman" w:cs="Times New Roman"/>
          <w:sz w:val="24"/>
          <w:szCs w:val="24"/>
          <w:lang w:eastAsia="it-IT"/>
        </w:rPr>
        <w:t>’</w:t>
      </w:r>
      <w:r w:rsidR="00685445" w:rsidRPr="00974501">
        <w:rPr>
          <w:rFonts w:ascii="Times New Roman" w:eastAsia="New Baskerville" w:hAnsi="Times New Roman" w:cs="Times New Roman"/>
          <w:sz w:val="24"/>
          <w:szCs w:val="24"/>
          <w:lang w:eastAsia="it-IT"/>
        </w:rPr>
        <w:t>ipotesi di silenzio</w:t>
      </w:r>
      <w:r w:rsidRPr="00402D64">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su istanza di accesso civico ‘generalizzato’</w:t>
      </w:r>
      <w:r w:rsidR="00685445" w:rsidRPr="00974501">
        <w:rPr>
          <w:rFonts w:ascii="Times New Roman" w:eastAsia="New Baskerville" w:hAnsi="Times New Roman" w:cs="Times New Roman"/>
          <w:sz w:val="24"/>
          <w:szCs w:val="24"/>
          <w:lang w:eastAsia="it-IT"/>
        </w:rPr>
        <w:t xml:space="preserve">, </w:t>
      </w:r>
      <w:r w:rsidR="006F3916">
        <w:rPr>
          <w:rFonts w:ascii="Times New Roman" w:eastAsia="New Baskerville" w:hAnsi="Times New Roman" w:cs="Times New Roman"/>
          <w:sz w:val="24"/>
          <w:szCs w:val="24"/>
          <w:lang w:eastAsia="it-IT"/>
        </w:rPr>
        <w:t>sia</w:t>
      </w:r>
      <w:r w:rsidR="00685445" w:rsidRPr="00974501">
        <w:rPr>
          <w:rFonts w:ascii="Times New Roman" w:eastAsia="New Baskerville" w:hAnsi="Times New Roman" w:cs="Times New Roman"/>
          <w:sz w:val="24"/>
          <w:szCs w:val="24"/>
          <w:lang w:eastAsia="it-IT"/>
        </w:rPr>
        <w:t xml:space="preserve"> quell</w:t>
      </w:r>
      <w:r w:rsidR="00927773">
        <w:rPr>
          <w:rFonts w:ascii="Times New Roman" w:eastAsia="New Baskerville" w:hAnsi="Times New Roman" w:cs="Times New Roman"/>
          <w:sz w:val="24"/>
          <w:szCs w:val="24"/>
          <w:lang w:eastAsia="it-IT"/>
        </w:rPr>
        <w:t>o sull’</w:t>
      </w:r>
      <w:r w:rsidR="00685445" w:rsidRPr="00974501">
        <w:rPr>
          <w:rFonts w:ascii="Times New Roman" w:eastAsia="New Baskerville" w:hAnsi="Times New Roman" w:cs="Times New Roman"/>
          <w:sz w:val="24"/>
          <w:szCs w:val="24"/>
          <w:lang w:eastAsia="it-IT"/>
        </w:rPr>
        <w:t>accesso</w:t>
      </w:r>
      <w:r w:rsidR="00725D6A" w:rsidRPr="00974501">
        <w:rPr>
          <w:rFonts w:ascii="Times New Roman" w:eastAsia="New Baskerville" w:hAnsi="Times New Roman" w:cs="Times New Roman"/>
          <w:sz w:val="24"/>
          <w:szCs w:val="24"/>
          <w:lang w:eastAsia="it-IT"/>
        </w:rPr>
        <w:t xml:space="preserve">, mediante </w:t>
      </w:r>
      <w:r w:rsidR="00927773">
        <w:rPr>
          <w:rFonts w:ascii="Times New Roman" w:eastAsia="New Baskerville" w:hAnsi="Times New Roman" w:cs="Times New Roman"/>
          <w:sz w:val="24"/>
          <w:szCs w:val="24"/>
          <w:lang w:eastAsia="it-IT"/>
        </w:rPr>
        <w:t>proposizione di un’</w:t>
      </w:r>
      <w:r w:rsidR="00725D6A" w:rsidRPr="00974501">
        <w:rPr>
          <w:rFonts w:ascii="Times New Roman" w:eastAsia="New Baskerville" w:hAnsi="Times New Roman" w:cs="Times New Roman"/>
          <w:sz w:val="24"/>
          <w:szCs w:val="24"/>
          <w:lang w:eastAsia="it-IT"/>
        </w:rPr>
        <w:t xml:space="preserve">azione di accertamento, </w:t>
      </w:r>
      <w:r>
        <w:rPr>
          <w:rFonts w:ascii="Times New Roman" w:eastAsia="New Baskerville" w:hAnsi="Times New Roman" w:cs="Times New Roman"/>
          <w:sz w:val="24"/>
          <w:szCs w:val="24"/>
          <w:lang w:eastAsia="it-IT"/>
        </w:rPr>
        <w:t>idon</w:t>
      </w:r>
      <w:r w:rsidR="00D21FE6">
        <w:rPr>
          <w:rFonts w:ascii="Times New Roman" w:eastAsia="New Baskerville" w:hAnsi="Times New Roman" w:cs="Times New Roman"/>
          <w:sz w:val="24"/>
          <w:szCs w:val="24"/>
          <w:lang w:eastAsia="it-IT"/>
        </w:rPr>
        <w:t>e</w:t>
      </w:r>
      <w:r>
        <w:rPr>
          <w:rFonts w:ascii="Times New Roman" w:eastAsia="New Baskerville" w:hAnsi="Times New Roman" w:cs="Times New Roman"/>
          <w:sz w:val="24"/>
          <w:szCs w:val="24"/>
          <w:lang w:eastAsia="it-IT"/>
        </w:rPr>
        <w:t>a a</w:t>
      </w:r>
      <w:r w:rsidR="00927773">
        <w:rPr>
          <w:rFonts w:ascii="Times New Roman" w:eastAsia="New Baskerville" w:hAnsi="Times New Roman" w:cs="Times New Roman"/>
          <w:sz w:val="24"/>
          <w:szCs w:val="24"/>
          <w:lang w:eastAsia="it-IT"/>
        </w:rPr>
        <w:t xml:space="preserve"> favor</w:t>
      </w:r>
      <w:r w:rsidR="00D21FE6">
        <w:rPr>
          <w:rFonts w:ascii="Times New Roman" w:eastAsia="New Baskerville" w:hAnsi="Times New Roman" w:cs="Times New Roman"/>
          <w:sz w:val="24"/>
          <w:szCs w:val="24"/>
          <w:lang w:eastAsia="it-IT"/>
        </w:rPr>
        <w:t>i</w:t>
      </w:r>
      <w:r>
        <w:rPr>
          <w:rFonts w:ascii="Times New Roman" w:eastAsia="New Baskerville" w:hAnsi="Times New Roman" w:cs="Times New Roman"/>
          <w:sz w:val="24"/>
          <w:szCs w:val="24"/>
          <w:lang w:eastAsia="it-IT"/>
        </w:rPr>
        <w:t>r</w:t>
      </w:r>
      <w:r w:rsidR="00927773">
        <w:rPr>
          <w:rFonts w:ascii="Times New Roman" w:eastAsia="New Baskerville" w:hAnsi="Times New Roman" w:cs="Times New Roman"/>
          <w:sz w:val="24"/>
          <w:szCs w:val="24"/>
          <w:lang w:eastAsia="it-IT"/>
        </w:rPr>
        <w:t>e</w:t>
      </w:r>
      <w:r w:rsidR="00D21FE6">
        <w:rPr>
          <w:rFonts w:ascii="Times New Roman" w:eastAsia="New Baskerville" w:hAnsi="Times New Roman" w:cs="Times New Roman"/>
          <w:sz w:val="24"/>
          <w:szCs w:val="24"/>
          <w:lang w:eastAsia="it-IT"/>
        </w:rPr>
        <w:t xml:space="preserve"> </w:t>
      </w:r>
      <w:r w:rsidR="00927773">
        <w:rPr>
          <w:rFonts w:ascii="Times New Roman" w:eastAsia="New Baskerville" w:hAnsi="Times New Roman" w:cs="Times New Roman"/>
          <w:sz w:val="24"/>
          <w:szCs w:val="24"/>
          <w:lang w:eastAsia="it-IT"/>
        </w:rPr>
        <w:t>l’esercizio de</w:t>
      </w:r>
      <w:r w:rsidR="00725D6A" w:rsidRPr="00974501">
        <w:rPr>
          <w:rFonts w:ascii="Times New Roman" w:eastAsia="New Baskerville" w:hAnsi="Times New Roman" w:cs="Times New Roman"/>
          <w:sz w:val="24"/>
          <w:szCs w:val="24"/>
          <w:lang w:eastAsia="it-IT"/>
        </w:rPr>
        <w:t>i più ampi e penetranti poteri cognitori e</w:t>
      </w:r>
      <w:r>
        <w:rPr>
          <w:rFonts w:ascii="Times New Roman" w:eastAsia="New Baskerville" w:hAnsi="Times New Roman" w:cs="Times New Roman"/>
          <w:sz w:val="24"/>
          <w:szCs w:val="24"/>
          <w:lang w:eastAsia="it-IT"/>
        </w:rPr>
        <w:t xml:space="preserve"> </w:t>
      </w:r>
      <w:r w:rsidR="00725D6A" w:rsidRPr="00974501">
        <w:rPr>
          <w:rFonts w:ascii="Times New Roman" w:eastAsia="New Baskerville" w:hAnsi="Times New Roman" w:cs="Times New Roman"/>
          <w:sz w:val="24"/>
          <w:szCs w:val="24"/>
          <w:lang w:eastAsia="it-IT"/>
        </w:rPr>
        <w:t>d</w:t>
      </w:r>
      <w:r>
        <w:rPr>
          <w:rFonts w:ascii="Times New Roman" w:eastAsia="New Baskerville" w:hAnsi="Times New Roman" w:cs="Times New Roman"/>
          <w:sz w:val="24"/>
          <w:szCs w:val="24"/>
          <w:lang w:eastAsia="it-IT"/>
        </w:rPr>
        <w:t>ecisor</w:t>
      </w:r>
      <w:r w:rsidR="00725D6A" w:rsidRPr="00974501">
        <w:rPr>
          <w:rFonts w:ascii="Times New Roman" w:eastAsia="New Baskerville" w:hAnsi="Times New Roman" w:cs="Times New Roman"/>
          <w:sz w:val="24"/>
          <w:szCs w:val="24"/>
          <w:lang w:eastAsia="it-IT"/>
        </w:rPr>
        <w:t>i affidati al giudice</w:t>
      </w:r>
      <w:r w:rsidR="00685445" w:rsidRPr="00974501">
        <w:rPr>
          <w:rStyle w:val="Rimandonotaapidipagina"/>
          <w:rFonts w:ascii="Times New Roman" w:eastAsia="New Baskerville" w:hAnsi="Times New Roman" w:cs="Times New Roman"/>
          <w:sz w:val="24"/>
          <w:szCs w:val="24"/>
          <w:lang w:eastAsia="it-IT"/>
        </w:rPr>
        <w:footnoteReference w:id="18"/>
      </w:r>
      <w:r w:rsidR="005D1F92" w:rsidRPr="00974501">
        <w:rPr>
          <w:rFonts w:ascii="Times New Roman" w:eastAsia="New Baskerville" w:hAnsi="Times New Roman" w:cs="Times New Roman"/>
          <w:sz w:val="24"/>
          <w:szCs w:val="24"/>
          <w:lang w:eastAsia="it-IT"/>
        </w:rPr>
        <w:t>.</w:t>
      </w:r>
    </w:p>
    <w:p w:rsidR="00685445" w:rsidRPr="00974501" w:rsidRDefault="00685445" w:rsidP="00367C00">
      <w:pPr>
        <w:spacing w:before="299" w:after="0" w:line="360" w:lineRule="auto"/>
        <w:ind w:left="142" w:firstLine="992"/>
        <w:jc w:val="both"/>
        <w:rPr>
          <w:rFonts w:ascii="Times New Roman" w:eastAsia="New Baskerville" w:hAnsi="Times New Roman" w:cs="Times New Roman"/>
          <w:sz w:val="24"/>
          <w:szCs w:val="24"/>
          <w:lang w:eastAsia="it-IT"/>
        </w:rPr>
      </w:pPr>
    </w:p>
    <w:p w:rsidR="00B92A3F" w:rsidRPr="00974501" w:rsidRDefault="00874FD7" w:rsidP="00367C00">
      <w:pPr>
        <w:numPr>
          <w:ilvl w:val="0"/>
          <w:numId w:val="5"/>
        </w:numPr>
        <w:spacing w:before="299" w:after="0" w:line="360" w:lineRule="auto"/>
        <w:ind w:left="142" w:firstLine="992"/>
        <w:jc w:val="both"/>
        <w:rPr>
          <w:rFonts w:ascii="Times New Roman" w:eastAsia="New Baskerville" w:hAnsi="Times New Roman" w:cs="Times New Roman"/>
          <w:b/>
          <w:sz w:val="24"/>
          <w:szCs w:val="24"/>
          <w:u w:val="single"/>
          <w:lang w:eastAsia="it-IT"/>
        </w:rPr>
      </w:pPr>
      <w:r w:rsidRPr="00974501">
        <w:rPr>
          <w:rFonts w:ascii="Times New Roman" w:eastAsia="New Baskerville" w:hAnsi="Times New Roman" w:cs="Times New Roman"/>
          <w:b/>
          <w:sz w:val="24"/>
          <w:szCs w:val="24"/>
          <w:u w:val="single"/>
          <w:lang w:eastAsia="it-IT"/>
        </w:rPr>
        <w:t>E</w:t>
      </w:r>
      <w:r w:rsidR="00DA2511" w:rsidRPr="00974501">
        <w:rPr>
          <w:rFonts w:ascii="Times New Roman" w:eastAsia="New Baskerville" w:hAnsi="Times New Roman" w:cs="Times New Roman"/>
          <w:b/>
          <w:sz w:val="24"/>
          <w:szCs w:val="24"/>
          <w:u w:val="single"/>
          <w:lang w:eastAsia="it-IT"/>
        </w:rPr>
        <w:t>sclusioni e limiti all’accesso civico</w:t>
      </w:r>
      <w:r w:rsidR="003203DC" w:rsidRPr="00974501">
        <w:rPr>
          <w:rFonts w:ascii="Times New Roman" w:eastAsia="New Baskerville" w:hAnsi="Times New Roman" w:cs="Times New Roman"/>
          <w:b/>
          <w:sz w:val="24"/>
          <w:szCs w:val="24"/>
          <w:u w:val="single"/>
          <w:lang w:eastAsia="it-IT"/>
        </w:rPr>
        <w:t>.</w:t>
      </w:r>
    </w:p>
    <w:p w:rsidR="00DA2511" w:rsidRPr="00974501" w:rsidRDefault="00874FD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I</w:t>
      </w:r>
      <w:r w:rsidR="00DA2511" w:rsidRPr="00974501">
        <w:rPr>
          <w:rFonts w:ascii="Times New Roman" w:eastAsia="New Baskerville" w:hAnsi="Times New Roman" w:cs="Times New Roman"/>
          <w:sz w:val="24"/>
          <w:szCs w:val="24"/>
          <w:lang w:eastAsia="it-IT"/>
        </w:rPr>
        <w:t>l rifiuto, il differimento e la limitazione dell’accesso devono essere motivati con riferimento ai casi e</w:t>
      </w:r>
      <w:r w:rsidR="00491D52">
        <w:rPr>
          <w:rFonts w:ascii="Times New Roman" w:eastAsia="New Baskerville" w:hAnsi="Times New Roman" w:cs="Times New Roman"/>
          <w:sz w:val="24"/>
          <w:szCs w:val="24"/>
          <w:lang w:eastAsia="it-IT"/>
        </w:rPr>
        <w:t>d</w:t>
      </w:r>
      <w:r w:rsidR="00DA2511" w:rsidRPr="00974501">
        <w:rPr>
          <w:rFonts w:ascii="Times New Roman" w:eastAsia="New Baskerville" w:hAnsi="Times New Roman" w:cs="Times New Roman"/>
          <w:sz w:val="24"/>
          <w:szCs w:val="24"/>
          <w:lang w:eastAsia="it-IT"/>
        </w:rPr>
        <w:t xml:space="preserve"> ai limiti stabiliti dall’articolo 5-</w:t>
      </w:r>
      <w:r w:rsidR="00DA2511" w:rsidRPr="00974501">
        <w:rPr>
          <w:rFonts w:ascii="Times New Roman" w:eastAsia="New Baskerville" w:hAnsi="Times New Roman" w:cs="Times New Roman"/>
          <w:i/>
          <w:sz w:val="24"/>
          <w:szCs w:val="24"/>
          <w:lang w:eastAsia="it-IT"/>
        </w:rPr>
        <w:t>bis</w:t>
      </w:r>
      <w:r w:rsidR="00395F1B">
        <w:rPr>
          <w:rFonts w:ascii="Times New Roman" w:eastAsia="New Baskerville" w:hAnsi="Times New Roman" w:cs="Times New Roman"/>
          <w:sz w:val="24"/>
          <w:szCs w:val="24"/>
          <w:lang w:eastAsia="it-IT"/>
        </w:rPr>
        <w:t>.</w:t>
      </w:r>
    </w:p>
    <w:p w:rsidR="002458BB" w:rsidRDefault="00874FD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Tale norma</w:t>
      </w:r>
      <w:r w:rsidR="00F43A47" w:rsidRPr="00974501">
        <w:rPr>
          <w:rFonts w:ascii="Times New Roman" w:eastAsia="New Baskerville" w:hAnsi="Times New Roman" w:cs="Times New Roman"/>
          <w:sz w:val="24"/>
          <w:szCs w:val="24"/>
          <w:lang w:eastAsia="it-IT"/>
        </w:rPr>
        <w:t xml:space="preserve"> </w:t>
      </w:r>
      <w:r w:rsidR="00C26665" w:rsidRPr="00974501">
        <w:rPr>
          <w:rFonts w:ascii="Times New Roman" w:eastAsia="New Baskerville" w:hAnsi="Times New Roman" w:cs="Times New Roman"/>
          <w:sz w:val="24"/>
          <w:szCs w:val="24"/>
          <w:lang w:eastAsia="it-IT"/>
        </w:rPr>
        <w:t>identifica, innanzitutto, i</w:t>
      </w:r>
      <w:r w:rsidR="002458BB" w:rsidRPr="00974501">
        <w:rPr>
          <w:rFonts w:ascii="Times New Roman" w:eastAsia="New Baskerville" w:hAnsi="Times New Roman" w:cs="Times New Roman"/>
          <w:sz w:val="24"/>
          <w:szCs w:val="24"/>
          <w:lang w:eastAsia="it-IT"/>
        </w:rPr>
        <w:t xml:space="preserve"> divieti </w:t>
      </w:r>
      <w:r w:rsidR="008C5B6C">
        <w:rPr>
          <w:rFonts w:ascii="Times New Roman" w:eastAsia="New Baskerville" w:hAnsi="Times New Roman" w:cs="Times New Roman"/>
          <w:sz w:val="24"/>
          <w:szCs w:val="24"/>
          <w:lang w:eastAsia="it-IT"/>
        </w:rPr>
        <w:t>‘</w:t>
      </w:r>
      <w:r w:rsidR="002458BB" w:rsidRPr="00974501">
        <w:rPr>
          <w:rFonts w:ascii="Times New Roman" w:eastAsia="New Baskerville" w:hAnsi="Times New Roman" w:cs="Times New Roman"/>
          <w:sz w:val="24"/>
          <w:szCs w:val="24"/>
          <w:lang w:eastAsia="it-IT"/>
        </w:rPr>
        <w:t>assoluti</w:t>
      </w:r>
      <w:r w:rsidR="008C5B6C">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di accesso</w:t>
      </w:r>
      <w:r w:rsidR="002458BB" w:rsidRPr="00974501">
        <w:rPr>
          <w:rFonts w:ascii="Times New Roman" w:eastAsia="New Baskerville" w:hAnsi="Times New Roman" w:cs="Times New Roman"/>
          <w:sz w:val="24"/>
          <w:szCs w:val="24"/>
          <w:lang w:eastAsia="it-IT"/>
        </w:rPr>
        <w:t xml:space="preserve"> (tassativamente</w:t>
      </w:r>
      <w:r w:rsidR="00F43A47" w:rsidRPr="00974501">
        <w:rPr>
          <w:rFonts w:ascii="Times New Roman" w:eastAsia="New Baskerville" w:hAnsi="Times New Roman" w:cs="Times New Roman"/>
          <w:sz w:val="24"/>
          <w:szCs w:val="24"/>
          <w:lang w:eastAsia="it-IT"/>
        </w:rPr>
        <w:t xml:space="preserve"> </w:t>
      </w:r>
      <w:r w:rsidR="002458BB" w:rsidRPr="00974501">
        <w:rPr>
          <w:rFonts w:ascii="Times New Roman" w:eastAsia="New Baskerville" w:hAnsi="Times New Roman" w:cs="Times New Roman"/>
          <w:sz w:val="24"/>
          <w:szCs w:val="24"/>
          <w:lang w:eastAsia="it-IT"/>
        </w:rPr>
        <w:t>descritti al comma 3</w:t>
      </w:r>
      <w:r w:rsidRPr="00974501">
        <w:rPr>
          <w:rFonts w:ascii="Times New Roman" w:eastAsia="New Baskerville" w:hAnsi="Times New Roman" w:cs="Times New Roman"/>
          <w:sz w:val="24"/>
          <w:szCs w:val="24"/>
          <w:lang w:eastAsia="it-IT"/>
        </w:rPr>
        <w:t>,</w:t>
      </w:r>
      <w:r w:rsidR="002458BB"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ch</w:t>
      </w:r>
      <w:r w:rsidR="002458BB" w:rsidRPr="00974501">
        <w:rPr>
          <w:rFonts w:ascii="Times New Roman" w:eastAsia="New Baskerville" w:hAnsi="Times New Roman" w:cs="Times New Roman"/>
          <w:sz w:val="24"/>
          <w:szCs w:val="24"/>
          <w:lang w:eastAsia="it-IT"/>
        </w:rPr>
        <w:t>e riguardano i “casi di segreto di Stato” e gli “altri casi di divieti di accesso o divulgazione previsti dalla legge, ivi compresi i casi in cui l’accesso è subordinato dalla disciplina vigente al rispetto di specifiche condizioni, modalità o limiti, inclusi quelli di cui all</w:t>
      </w:r>
      <w:r w:rsidRPr="00974501">
        <w:rPr>
          <w:rFonts w:ascii="Times New Roman" w:eastAsia="New Baskerville" w:hAnsi="Times New Roman" w:cs="Times New Roman"/>
          <w:sz w:val="24"/>
          <w:szCs w:val="24"/>
          <w:lang w:eastAsia="it-IT"/>
        </w:rPr>
        <w:t>’</w:t>
      </w:r>
      <w:hyperlink r:id="rId10" w:anchor="24" w:history="1">
        <w:r w:rsidR="002458BB" w:rsidRPr="00974501">
          <w:rPr>
            <w:rFonts w:ascii="Times New Roman" w:eastAsia="New Baskerville" w:hAnsi="Times New Roman" w:cs="Times New Roman"/>
            <w:sz w:val="24"/>
            <w:szCs w:val="24"/>
            <w:lang w:eastAsia="it-IT"/>
          </w:rPr>
          <w:t>art</w:t>
        </w:r>
        <w:r w:rsidRPr="00974501">
          <w:rPr>
            <w:rFonts w:ascii="Times New Roman" w:eastAsia="New Baskerville" w:hAnsi="Times New Roman" w:cs="Times New Roman"/>
            <w:sz w:val="24"/>
            <w:szCs w:val="24"/>
            <w:lang w:eastAsia="it-IT"/>
          </w:rPr>
          <w:t>.</w:t>
        </w:r>
        <w:r w:rsidR="002458BB" w:rsidRPr="00974501">
          <w:rPr>
            <w:rFonts w:ascii="Times New Roman" w:eastAsia="New Baskerville" w:hAnsi="Times New Roman" w:cs="Times New Roman"/>
            <w:sz w:val="24"/>
            <w:szCs w:val="24"/>
            <w:lang w:eastAsia="it-IT"/>
          </w:rPr>
          <w:t xml:space="preserve"> 24, comma 1, della legge n. 241</w:t>
        </w:r>
        <w:r w:rsidR="005A76BA">
          <w:rPr>
            <w:rFonts w:ascii="Times New Roman" w:eastAsia="New Baskerville" w:hAnsi="Times New Roman" w:cs="Times New Roman"/>
            <w:sz w:val="24"/>
            <w:szCs w:val="24"/>
            <w:lang w:eastAsia="it-IT"/>
          </w:rPr>
          <w:t>/</w:t>
        </w:r>
        <w:r w:rsidR="002458BB" w:rsidRPr="00974501">
          <w:rPr>
            <w:rFonts w:ascii="Times New Roman" w:eastAsia="New Baskerville" w:hAnsi="Times New Roman" w:cs="Times New Roman"/>
            <w:sz w:val="24"/>
            <w:szCs w:val="24"/>
            <w:lang w:eastAsia="it-IT"/>
          </w:rPr>
          <w:t>1990</w:t>
        </w:r>
      </w:hyperlink>
      <w:r w:rsidR="002458BB" w:rsidRPr="00974501">
        <w:rPr>
          <w:rFonts w:ascii="Times New Roman" w:eastAsia="New Baskerville" w:hAnsi="Times New Roman" w:cs="Times New Roman"/>
          <w:sz w:val="24"/>
          <w:szCs w:val="24"/>
          <w:lang w:eastAsia="it-IT"/>
        </w:rPr>
        <w:t>”</w:t>
      </w:r>
      <w:r w:rsidR="005A76BA">
        <w:rPr>
          <w:rStyle w:val="Rimandonotaapidipagina"/>
          <w:rFonts w:ascii="Times New Roman" w:eastAsia="New Baskerville" w:hAnsi="Times New Roman" w:cs="Times New Roman"/>
          <w:sz w:val="24"/>
          <w:szCs w:val="24"/>
          <w:lang w:eastAsia="it-IT"/>
        </w:rPr>
        <w:footnoteReference w:id="19"/>
      </w:r>
      <w:r w:rsidRPr="00974501">
        <w:rPr>
          <w:rFonts w:ascii="Times New Roman" w:eastAsia="New Baskerville" w:hAnsi="Times New Roman" w:cs="Times New Roman"/>
          <w:sz w:val="24"/>
          <w:szCs w:val="24"/>
          <w:lang w:eastAsia="it-IT"/>
        </w:rPr>
        <w:t>.</w:t>
      </w:r>
    </w:p>
    <w:p w:rsidR="00CD5972" w:rsidRPr="00974501" w:rsidRDefault="00CD5972"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Il richiamo alle ipotesi di inaccessibilità di cui alla legge n. 241/1990 </w:t>
      </w:r>
      <w:r w:rsidR="00306CF3">
        <w:rPr>
          <w:rFonts w:ascii="Times New Roman" w:eastAsia="New Baskerville" w:hAnsi="Times New Roman" w:cs="Times New Roman"/>
          <w:sz w:val="24"/>
          <w:szCs w:val="24"/>
          <w:lang w:eastAsia="it-IT"/>
        </w:rPr>
        <w:t>consente, quindi, di individuare</w:t>
      </w:r>
      <w:r>
        <w:rPr>
          <w:rFonts w:ascii="Times New Roman" w:eastAsia="New Baskerville" w:hAnsi="Times New Roman" w:cs="Times New Roman"/>
          <w:sz w:val="24"/>
          <w:szCs w:val="24"/>
          <w:lang w:eastAsia="it-IT"/>
        </w:rPr>
        <w:t xml:space="preserve"> un </w:t>
      </w:r>
      <w:r w:rsidR="004F7D7E">
        <w:rPr>
          <w:rFonts w:ascii="Times New Roman" w:eastAsia="New Baskerville" w:hAnsi="Times New Roman" w:cs="Times New Roman"/>
          <w:sz w:val="24"/>
          <w:szCs w:val="24"/>
          <w:lang w:eastAsia="it-IT"/>
        </w:rPr>
        <w:t>nucle</w:t>
      </w:r>
      <w:r>
        <w:rPr>
          <w:rFonts w:ascii="Times New Roman" w:eastAsia="New Baskerville" w:hAnsi="Times New Roman" w:cs="Times New Roman"/>
          <w:sz w:val="24"/>
          <w:szCs w:val="24"/>
          <w:lang w:eastAsia="it-IT"/>
        </w:rPr>
        <w:t xml:space="preserve">o </w:t>
      </w:r>
      <w:r w:rsidR="004F7D7E">
        <w:rPr>
          <w:rFonts w:ascii="Times New Roman" w:eastAsia="New Baskerville" w:hAnsi="Times New Roman" w:cs="Times New Roman"/>
          <w:sz w:val="24"/>
          <w:szCs w:val="24"/>
          <w:lang w:eastAsia="it-IT"/>
        </w:rPr>
        <w:t xml:space="preserve">comune </w:t>
      </w:r>
      <w:r>
        <w:rPr>
          <w:rFonts w:ascii="Times New Roman" w:eastAsia="New Baskerville" w:hAnsi="Times New Roman" w:cs="Times New Roman"/>
          <w:sz w:val="24"/>
          <w:szCs w:val="24"/>
          <w:lang w:eastAsia="it-IT"/>
        </w:rPr>
        <w:t>di segretezza, a tutela di interessi pubblici preminenti, che né l’accesso documentale, né l’accesso civico generalizzato possono scalfire.</w:t>
      </w:r>
    </w:p>
    <w:p w:rsidR="00306CF3" w:rsidRDefault="00306CF3"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L’esistenza di </w:t>
      </w:r>
      <w:r w:rsidR="002458BB" w:rsidRPr="00974501">
        <w:rPr>
          <w:rFonts w:ascii="Times New Roman" w:eastAsia="New Baskerville" w:hAnsi="Times New Roman" w:cs="Times New Roman"/>
          <w:sz w:val="24"/>
          <w:szCs w:val="24"/>
          <w:lang w:eastAsia="it-IT"/>
        </w:rPr>
        <w:t xml:space="preserve">altri </w:t>
      </w:r>
      <w:r>
        <w:rPr>
          <w:rFonts w:ascii="Times New Roman" w:eastAsia="New Baskerville" w:hAnsi="Times New Roman" w:cs="Times New Roman"/>
          <w:sz w:val="24"/>
          <w:szCs w:val="24"/>
          <w:lang w:eastAsia="it-IT"/>
        </w:rPr>
        <w:t xml:space="preserve">interessi </w:t>
      </w:r>
      <w:r w:rsidR="008F5C52" w:rsidRPr="00974501">
        <w:rPr>
          <w:rFonts w:ascii="Times New Roman" w:eastAsia="New Baskerville" w:hAnsi="Times New Roman" w:cs="Times New Roman"/>
          <w:sz w:val="24"/>
          <w:szCs w:val="24"/>
          <w:lang w:eastAsia="it-IT"/>
        </w:rPr>
        <w:t>di matrice pubblica</w:t>
      </w:r>
      <w:r w:rsidR="00874FD7"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ma </w:t>
      </w:r>
      <w:r w:rsidR="00874FD7" w:rsidRPr="00974501">
        <w:rPr>
          <w:rFonts w:ascii="Times New Roman" w:eastAsia="New Baskerville" w:hAnsi="Times New Roman" w:cs="Times New Roman"/>
          <w:sz w:val="24"/>
          <w:szCs w:val="24"/>
          <w:lang w:eastAsia="it-IT"/>
        </w:rPr>
        <w:t>diversi dai precedenti,</w:t>
      </w:r>
      <w:r w:rsidR="002458BB" w:rsidRPr="00974501">
        <w:rPr>
          <w:rFonts w:ascii="Times New Roman" w:eastAsia="New Baskerville" w:hAnsi="Times New Roman" w:cs="Times New Roman"/>
          <w:sz w:val="24"/>
          <w:szCs w:val="24"/>
          <w:lang w:eastAsia="it-IT"/>
        </w:rPr>
        <w:t xml:space="preserve"> </w:t>
      </w:r>
      <w:r w:rsidR="004F7D7E">
        <w:rPr>
          <w:rFonts w:ascii="Times New Roman" w:eastAsia="New Baskerville" w:hAnsi="Times New Roman" w:cs="Times New Roman"/>
          <w:sz w:val="24"/>
          <w:szCs w:val="24"/>
          <w:lang w:eastAsia="it-IT"/>
        </w:rPr>
        <w:t>costituisco</w:t>
      </w:r>
      <w:r w:rsidR="002458BB" w:rsidRPr="00974501">
        <w:rPr>
          <w:rFonts w:ascii="Times New Roman" w:eastAsia="New Baskerville" w:hAnsi="Times New Roman" w:cs="Times New Roman"/>
          <w:sz w:val="24"/>
          <w:szCs w:val="24"/>
          <w:lang w:eastAsia="it-IT"/>
        </w:rPr>
        <w:t>no</w:t>
      </w:r>
      <w:r>
        <w:rPr>
          <w:rFonts w:ascii="Times New Roman" w:eastAsia="New Baskerville" w:hAnsi="Times New Roman" w:cs="Times New Roman"/>
          <w:sz w:val="24"/>
          <w:szCs w:val="24"/>
          <w:lang w:eastAsia="it-IT"/>
        </w:rPr>
        <w:t>,</w:t>
      </w:r>
      <w:r w:rsidR="002458BB" w:rsidRPr="00974501">
        <w:rPr>
          <w:rFonts w:ascii="Times New Roman" w:eastAsia="New Baskerville" w:hAnsi="Times New Roman" w:cs="Times New Roman"/>
          <w:sz w:val="24"/>
          <w:szCs w:val="24"/>
          <w:lang w:eastAsia="it-IT"/>
        </w:rPr>
        <w:t xml:space="preserve"> invece</w:t>
      </w:r>
      <w:r>
        <w:rPr>
          <w:rFonts w:ascii="Times New Roman" w:eastAsia="New Baskerville" w:hAnsi="Times New Roman" w:cs="Times New Roman"/>
          <w:sz w:val="24"/>
          <w:szCs w:val="24"/>
          <w:lang w:eastAsia="it-IT"/>
        </w:rPr>
        <w:t>, altrettanti limiti</w:t>
      </w:r>
      <w:r w:rsidR="002458BB"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di </w:t>
      </w:r>
      <w:r w:rsidR="002458BB" w:rsidRPr="00974501">
        <w:rPr>
          <w:rFonts w:ascii="Times New Roman" w:eastAsia="New Baskerville" w:hAnsi="Times New Roman" w:cs="Times New Roman"/>
          <w:sz w:val="24"/>
          <w:szCs w:val="24"/>
          <w:lang w:eastAsia="it-IT"/>
        </w:rPr>
        <w:t>c</w:t>
      </w:r>
      <w:r>
        <w:rPr>
          <w:rFonts w:ascii="Times New Roman" w:eastAsia="New Baskerville" w:hAnsi="Times New Roman" w:cs="Times New Roman"/>
          <w:sz w:val="24"/>
          <w:szCs w:val="24"/>
          <w:lang w:eastAsia="it-IT"/>
        </w:rPr>
        <w:t xml:space="preserve">arattere </w:t>
      </w:r>
      <w:r w:rsidR="008C5B6C">
        <w:rPr>
          <w:rFonts w:ascii="Times New Roman" w:eastAsia="New Baskerville" w:hAnsi="Times New Roman" w:cs="Times New Roman"/>
          <w:sz w:val="24"/>
          <w:szCs w:val="24"/>
          <w:lang w:eastAsia="it-IT"/>
        </w:rPr>
        <w:t>‘</w:t>
      </w:r>
      <w:r w:rsidR="002458BB" w:rsidRPr="00974501">
        <w:rPr>
          <w:rFonts w:ascii="Times New Roman" w:eastAsia="New Baskerville" w:hAnsi="Times New Roman" w:cs="Times New Roman"/>
          <w:sz w:val="24"/>
          <w:szCs w:val="24"/>
          <w:lang w:eastAsia="it-IT"/>
        </w:rPr>
        <w:t>relativo</w:t>
      </w:r>
      <w:r w:rsidR="008C5B6C">
        <w:rPr>
          <w:rFonts w:ascii="Times New Roman" w:eastAsia="New Baskerville" w:hAnsi="Times New Roman" w:cs="Times New Roman"/>
          <w:sz w:val="24"/>
          <w:szCs w:val="24"/>
          <w:lang w:eastAsia="it-IT"/>
        </w:rPr>
        <w:t>’</w:t>
      </w:r>
      <w:r>
        <w:rPr>
          <w:rFonts w:ascii="Times New Roman" w:eastAsia="New Baskerville" w:hAnsi="Times New Roman" w:cs="Times New Roman"/>
          <w:sz w:val="24"/>
          <w:szCs w:val="24"/>
          <w:lang w:eastAsia="it-IT"/>
        </w:rPr>
        <w:t>.</w:t>
      </w:r>
    </w:p>
    <w:p w:rsidR="00306CF3" w:rsidRDefault="00306CF3"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Si tratta dei beni protetti dal </w:t>
      </w:r>
      <w:r w:rsidRPr="00974501">
        <w:rPr>
          <w:rFonts w:ascii="Times New Roman" w:eastAsia="New Baskerville" w:hAnsi="Times New Roman" w:cs="Times New Roman"/>
          <w:sz w:val="24"/>
          <w:szCs w:val="24"/>
          <w:lang w:eastAsia="it-IT"/>
        </w:rPr>
        <w:t>comma 1</w:t>
      </w:r>
      <w:r>
        <w:rPr>
          <w:rFonts w:ascii="Times New Roman" w:eastAsia="New Baskerville" w:hAnsi="Times New Roman" w:cs="Times New Roman"/>
          <w:sz w:val="24"/>
          <w:szCs w:val="24"/>
          <w:lang w:eastAsia="it-IT"/>
        </w:rPr>
        <w:t>, ossia</w:t>
      </w:r>
      <w:r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i/>
          <w:sz w:val="24"/>
          <w:szCs w:val="24"/>
          <w:lang w:eastAsia="it-IT"/>
        </w:rPr>
        <w:t xml:space="preserve">a) </w:t>
      </w:r>
      <w:r w:rsidRPr="00974501">
        <w:rPr>
          <w:rFonts w:ascii="Times New Roman" w:eastAsia="New Baskerville" w:hAnsi="Times New Roman" w:cs="Times New Roman"/>
          <w:sz w:val="24"/>
          <w:szCs w:val="24"/>
          <w:lang w:eastAsia="it-IT"/>
        </w:rPr>
        <w:t>la sicurezza pubblica e l’ordine pubblico;</w:t>
      </w:r>
      <w:r w:rsidRPr="00974501">
        <w:rPr>
          <w:rFonts w:ascii="Times New Roman" w:eastAsia="New Baskerville" w:hAnsi="Times New Roman" w:cs="Times New Roman"/>
          <w:i/>
          <w:sz w:val="24"/>
          <w:szCs w:val="24"/>
          <w:lang w:eastAsia="it-IT"/>
        </w:rPr>
        <w:t xml:space="preserve"> b)</w:t>
      </w:r>
      <w:r w:rsidRPr="00974501">
        <w:rPr>
          <w:rFonts w:ascii="Times New Roman" w:eastAsia="New Baskerville" w:hAnsi="Times New Roman" w:cs="Times New Roman"/>
          <w:sz w:val="24"/>
          <w:szCs w:val="24"/>
          <w:lang w:eastAsia="it-IT"/>
        </w:rPr>
        <w:t xml:space="preserve"> la sicurezza nazionale;</w:t>
      </w:r>
      <w:r w:rsidRPr="00974501">
        <w:rPr>
          <w:rFonts w:ascii="Times New Roman" w:eastAsia="New Baskerville" w:hAnsi="Times New Roman" w:cs="Times New Roman"/>
          <w:i/>
          <w:sz w:val="24"/>
          <w:szCs w:val="24"/>
          <w:lang w:eastAsia="it-IT"/>
        </w:rPr>
        <w:t xml:space="preserve"> c)</w:t>
      </w:r>
      <w:r w:rsidRPr="00974501">
        <w:rPr>
          <w:rFonts w:ascii="Times New Roman" w:eastAsia="New Baskerville" w:hAnsi="Times New Roman" w:cs="Times New Roman"/>
          <w:sz w:val="24"/>
          <w:szCs w:val="24"/>
          <w:lang w:eastAsia="it-IT"/>
        </w:rPr>
        <w:t xml:space="preserve"> la difesa e le questioni militari;</w:t>
      </w:r>
      <w:r w:rsidRPr="00974501">
        <w:rPr>
          <w:rFonts w:ascii="Times New Roman" w:eastAsia="New Baskerville" w:hAnsi="Times New Roman" w:cs="Times New Roman"/>
          <w:i/>
          <w:sz w:val="24"/>
          <w:szCs w:val="24"/>
          <w:lang w:eastAsia="it-IT"/>
        </w:rPr>
        <w:t xml:space="preserve"> d)</w:t>
      </w:r>
      <w:r w:rsidRPr="00974501">
        <w:rPr>
          <w:rFonts w:ascii="Times New Roman" w:eastAsia="New Baskerville" w:hAnsi="Times New Roman" w:cs="Times New Roman"/>
          <w:sz w:val="24"/>
          <w:szCs w:val="24"/>
          <w:lang w:eastAsia="it-IT"/>
        </w:rPr>
        <w:t xml:space="preserve"> le relazioni internazionali;</w:t>
      </w:r>
      <w:r w:rsidRPr="00974501">
        <w:rPr>
          <w:rFonts w:ascii="Times New Roman" w:eastAsia="New Baskerville" w:hAnsi="Times New Roman" w:cs="Times New Roman"/>
          <w:i/>
          <w:sz w:val="24"/>
          <w:szCs w:val="24"/>
          <w:lang w:eastAsia="it-IT"/>
        </w:rPr>
        <w:t xml:space="preserve"> e)</w:t>
      </w:r>
      <w:r w:rsidRPr="00974501">
        <w:rPr>
          <w:rFonts w:ascii="Times New Roman" w:eastAsia="New Baskerville" w:hAnsi="Times New Roman" w:cs="Times New Roman"/>
          <w:sz w:val="24"/>
          <w:szCs w:val="24"/>
          <w:lang w:eastAsia="it-IT"/>
        </w:rPr>
        <w:t xml:space="preserve"> la politica e la stabilità finanziaria ed economica dello Stato;</w:t>
      </w:r>
      <w:r w:rsidRPr="00974501">
        <w:rPr>
          <w:rFonts w:ascii="Times New Roman" w:eastAsia="New Baskerville" w:hAnsi="Times New Roman" w:cs="Times New Roman"/>
          <w:i/>
          <w:sz w:val="24"/>
          <w:szCs w:val="24"/>
          <w:lang w:eastAsia="it-IT"/>
        </w:rPr>
        <w:t xml:space="preserve"> f)</w:t>
      </w:r>
      <w:r w:rsidRPr="00974501">
        <w:rPr>
          <w:rFonts w:ascii="Times New Roman" w:eastAsia="New Baskerville" w:hAnsi="Times New Roman" w:cs="Times New Roman"/>
          <w:sz w:val="24"/>
          <w:szCs w:val="24"/>
          <w:lang w:eastAsia="it-IT"/>
        </w:rPr>
        <w:t xml:space="preserve"> la conduzione di indagini sui reati e il loro perseguimento;</w:t>
      </w:r>
      <w:r w:rsidRPr="00974501">
        <w:rPr>
          <w:rFonts w:ascii="Times New Roman" w:eastAsia="New Baskerville" w:hAnsi="Times New Roman" w:cs="Times New Roman"/>
          <w:i/>
          <w:sz w:val="24"/>
          <w:szCs w:val="24"/>
          <w:lang w:eastAsia="it-IT"/>
        </w:rPr>
        <w:t xml:space="preserve"> g)</w:t>
      </w:r>
      <w:r w:rsidRPr="00974501">
        <w:rPr>
          <w:rFonts w:ascii="Times New Roman" w:eastAsia="New Baskerville" w:hAnsi="Times New Roman" w:cs="Times New Roman"/>
          <w:sz w:val="24"/>
          <w:szCs w:val="24"/>
          <w:lang w:eastAsia="it-IT"/>
        </w:rPr>
        <w:t xml:space="preserve"> il regolare svolgimento di attività ispettive.</w:t>
      </w:r>
    </w:p>
    <w:p w:rsidR="003B27D9" w:rsidRPr="00974501" w:rsidRDefault="00306CF3"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A differenza d</w:t>
      </w:r>
      <w:r w:rsidR="004F7D7E">
        <w:rPr>
          <w:rFonts w:ascii="Times New Roman" w:eastAsia="New Baskerville" w:hAnsi="Times New Roman" w:cs="Times New Roman"/>
          <w:sz w:val="24"/>
          <w:szCs w:val="24"/>
          <w:lang w:eastAsia="it-IT"/>
        </w:rPr>
        <w:t>e</w:t>
      </w:r>
      <w:r>
        <w:rPr>
          <w:rFonts w:ascii="Times New Roman" w:eastAsia="New Baskerville" w:hAnsi="Times New Roman" w:cs="Times New Roman"/>
          <w:sz w:val="24"/>
          <w:szCs w:val="24"/>
          <w:lang w:eastAsia="it-IT"/>
        </w:rPr>
        <w:t xml:space="preserve">l comma 3, </w:t>
      </w:r>
      <w:r w:rsidR="004F7D7E">
        <w:rPr>
          <w:rFonts w:ascii="Times New Roman" w:eastAsia="New Baskerville" w:hAnsi="Times New Roman" w:cs="Times New Roman"/>
          <w:sz w:val="24"/>
          <w:szCs w:val="24"/>
          <w:lang w:eastAsia="it-IT"/>
        </w:rPr>
        <w:t xml:space="preserve">gli interessi </w:t>
      </w:r>
      <w:r>
        <w:rPr>
          <w:rFonts w:ascii="Times New Roman" w:eastAsia="New Baskerville" w:hAnsi="Times New Roman" w:cs="Times New Roman"/>
          <w:sz w:val="24"/>
          <w:szCs w:val="24"/>
          <w:lang w:eastAsia="it-IT"/>
        </w:rPr>
        <w:t>d</w:t>
      </w:r>
      <w:r w:rsidR="004F7D7E">
        <w:rPr>
          <w:rFonts w:ascii="Times New Roman" w:eastAsia="New Baskerville" w:hAnsi="Times New Roman" w:cs="Times New Roman"/>
          <w:sz w:val="24"/>
          <w:szCs w:val="24"/>
          <w:lang w:eastAsia="it-IT"/>
        </w:rPr>
        <w:t>e</w:t>
      </w:r>
      <w:r>
        <w:rPr>
          <w:rFonts w:ascii="Times New Roman" w:eastAsia="New Baskerville" w:hAnsi="Times New Roman" w:cs="Times New Roman"/>
          <w:sz w:val="24"/>
          <w:szCs w:val="24"/>
          <w:lang w:eastAsia="it-IT"/>
        </w:rPr>
        <w:t>l comma 1</w:t>
      </w:r>
      <w:r w:rsidR="002458BB"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non consentono all’amministrazione di respingere </w:t>
      </w:r>
      <w:r w:rsidRPr="00306CF3">
        <w:rPr>
          <w:rFonts w:ascii="Times New Roman" w:eastAsia="New Baskerville" w:hAnsi="Times New Roman" w:cs="Times New Roman"/>
          <w:i/>
          <w:sz w:val="24"/>
          <w:szCs w:val="24"/>
          <w:lang w:eastAsia="it-IT"/>
        </w:rPr>
        <w:t>sic et simpliciter</w:t>
      </w:r>
      <w:r>
        <w:rPr>
          <w:rFonts w:ascii="Times New Roman" w:eastAsia="New Baskerville" w:hAnsi="Times New Roman" w:cs="Times New Roman"/>
          <w:sz w:val="24"/>
          <w:szCs w:val="24"/>
          <w:lang w:eastAsia="it-IT"/>
        </w:rPr>
        <w:t xml:space="preserve"> l’istanza, ma la obbligano a compiere un ulteriore passaggio motivazionale, al fine di verificare se la richiesta ostensione potrebbe cagionare </w:t>
      </w:r>
      <w:r w:rsidRPr="00974501">
        <w:rPr>
          <w:rFonts w:ascii="Times New Roman" w:eastAsia="New Baskerville" w:hAnsi="Times New Roman" w:cs="Times New Roman"/>
          <w:sz w:val="24"/>
          <w:szCs w:val="24"/>
          <w:lang w:eastAsia="it-IT"/>
        </w:rPr>
        <w:t>un pregiudizio “concreto”</w:t>
      </w:r>
      <w:r>
        <w:rPr>
          <w:rFonts w:ascii="Times New Roman" w:eastAsia="New Baskerville" w:hAnsi="Times New Roman" w:cs="Times New Roman"/>
          <w:sz w:val="24"/>
          <w:szCs w:val="24"/>
          <w:lang w:eastAsia="it-IT"/>
        </w:rPr>
        <w:t xml:space="preserve"> a quegli stessi interessi.</w:t>
      </w:r>
    </w:p>
    <w:p w:rsidR="00306CF3" w:rsidRDefault="00306CF3"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Solo in quest’ultima </w:t>
      </w:r>
      <w:r w:rsidR="004F7D7E">
        <w:rPr>
          <w:rFonts w:ascii="Times New Roman" w:eastAsia="New Baskerville" w:hAnsi="Times New Roman" w:cs="Times New Roman"/>
          <w:sz w:val="24"/>
          <w:szCs w:val="24"/>
          <w:lang w:eastAsia="it-IT"/>
        </w:rPr>
        <w:t>evenienza</w:t>
      </w:r>
      <w:r>
        <w:rPr>
          <w:rFonts w:ascii="Times New Roman" w:eastAsia="New Baskerville" w:hAnsi="Times New Roman" w:cs="Times New Roman"/>
          <w:sz w:val="24"/>
          <w:szCs w:val="24"/>
          <w:lang w:eastAsia="it-IT"/>
        </w:rPr>
        <w:t>, l</w:t>
      </w:r>
      <w:r w:rsidRPr="00974501">
        <w:rPr>
          <w:rFonts w:ascii="Times New Roman" w:eastAsia="New Baskerville" w:hAnsi="Times New Roman" w:cs="Times New Roman"/>
          <w:sz w:val="24"/>
          <w:szCs w:val="24"/>
          <w:lang w:eastAsia="it-IT"/>
        </w:rPr>
        <w:t>’accesso</w:t>
      </w:r>
      <w:r w:rsidRPr="00306CF3">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civico ‘generalizzato’ </w:t>
      </w:r>
      <w:r w:rsidRPr="00974501">
        <w:rPr>
          <w:rFonts w:ascii="Times New Roman" w:eastAsia="New Baskerville" w:hAnsi="Times New Roman" w:cs="Times New Roman"/>
          <w:sz w:val="24"/>
          <w:szCs w:val="24"/>
          <w:lang w:eastAsia="it-IT"/>
        </w:rPr>
        <w:t>p</w:t>
      </w:r>
      <w:r>
        <w:rPr>
          <w:rFonts w:ascii="Times New Roman" w:eastAsia="New Baskerville" w:hAnsi="Times New Roman" w:cs="Times New Roman"/>
          <w:sz w:val="24"/>
          <w:szCs w:val="24"/>
          <w:lang w:eastAsia="it-IT"/>
        </w:rPr>
        <w:t>otrà</w:t>
      </w:r>
      <w:r w:rsidR="003B6AAF" w:rsidRPr="00974501">
        <w:rPr>
          <w:rFonts w:ascii="Times New Roman" w:eastAsia="New Baskerville" w:hAnsi="Times New Roman" w:cs="Times New Roman"/>
          <w:sz w:val="24"/>
          <w:szCs w:val="24"/>
          <w:lang w:eastAsia="it-IT"/>
        </w:rPr>
        <w:t xml:space="preserve"> essere negato</w:t>
      </w:r>
      <w:r>
        <w:rPr>
          <w:rFonts w:ascii="Times New Roman" w:eastAsia="New Baskerville" w:hAnsi="Times New Roman" w:cs="Times New Roman"/>
          <w:sz w:val="24"/>
          <w:szCs w:val="24"/>
          <w:lang w:eastAsia="it-IT"/>
        </w:rPr>
        <w:t>.</w:t>
      </w:r>
    </w:p>
    <w:p w:rsidR="00306CF3" w:rsidRDefault="00306CF3"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Identica condizione di</w:t>
      </w:r>
      <w:r w:rsidR="003B6AAF"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limite relativo, il </w:t>
      </w:r>
      <w:r w:rsidRPr="00974501">
        <w:rPr>
          <w:rFonts w:ascii="Times New Roman" w:eastAsia="New Baskerville" w:hAnsi="Times New Roman" w:cs="Times New Roman"/>
          <w:sz w:val="24"/>
          <w:szCs w:val="24"/>
          <w:lang w:eastAsia="it-IT"/>
        </w:rPr>
        <w:t>comma 2</w:t>
      </w:r>
      <w:r>
        <w:rPr>
          <w:rFonts w:ascii="Times New Roman" w:eastAsia="New Baskerville" w:hAnsi="Times New Roman" w:cs="Times New Roman"/>
          <w:sz w:val="24"/>
          <w:szCs w:val="24"/>
          <w:lang w:eastAsia="it-IT"/>
        </w:rPr>
        <w:t xml:space="preserve"> dell’art. 5-bis assegna alla tutela</w:t>
      </w:r>
      <w:r w:rsidRPr="00306CF3">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 xml:space="preserve">di specifici interessi privati, quali: </w:t>
      </w:r>
      <w:r w:rsidRPr="00974501">
        <w:rPr>
          <w:rFonts w:ascii="Times New Roman" w:eastAsia="New Baskerville" w:hAnsi="Times New Roman" w:cs="Times New Roman"/>
          <w:i/>
          <w:sz w:val="24"/>
          <w:szCs w:val="24"/>
          <w:lang w:eastAsia="it-IT"/>
        </w:rPr>
        <w:t xml:space="preserve">a) </w:t>
      </w:r>
      <w:r w:rsidRPr="00974501">
        <w:rPr>
          <w:rFonts w:ascii="Times New Roman" w:eastAsia="New Baskerville" w:hAnsi="Times New Roman" w:cs="Times New Roman"/>
          <w:sz w:val="24"/>
          <w:szCs w:val="24"/>
          <w:lang w:eastAsia="it-IT"/>
        </w:rPr>
        <w:t xml:space="preserve">la protezione dei dati personali, in conformità con la disciplina legislativa in materia; </w:t>
      </w:r>
      <w:r w:rsidRPr="00974501">
        <w:rPr>
          <w:rFonts w:ascii="Times New Roman" w:eastAsia="New Baskerville" w:hAnsi="Times New Roman" w:cs="Times New Roman"/>
          <w:i/>
          <w:sz w:val="24"/>
          <w:szCs w:val="24"/>
          <w:lang w:eastAsia="it-IT"/>
        </w:rPr>
        <w:t xml:space="preserve">b) </w:t>
      </w:r>
      <w:r w:rsidRPr="00974501">
        <w:rPr>
          <w:rFonts w:ascii="Times New Roman" w:eastAsia="New Baskerville" w:hAnsi="Times New Roman" w:cs="Times New Roman"/>
          <w:sz w:val="24"/>
          <w:szCs w:val="24"/>
          <w:lang w:eastAsia="it-IT"/>
        </w:rPr>
        <w:t xml:space="preserve">la libertà e la segretezza della corrispondenza; </w:t>
      </w:r>
      <w:r w:rsidRPr="00974501">
        <w:rPr>
          <w:rFonts w:ascii="Times New Roman" w:eastAsia="New Baskerville" w:hAnsi="Times New Roman" w:cs="Times New Roman"/>
          <w:i/>
          <w:sz w:val="24"/>
          <w:szCs w:val="24"/>
          <w:lang w:eastAsia="it-IT"/>
        </w:rPr>
        <w:t xml:space="preserve">c) </w:t>
      </w:r>
      <w:r w:rsidRPr="00974501">
        <w:rPr>
          <w:rFonts w:ascii="Times New Roman" w:eastAsia="New Baskerville" w:hAnsi="Times New Roman" w:cs="Times New Roman"/>
          <w:sz w:val="24"/>
          <w:szCs w:val="24"/>
          <w:lang w:eastAsia="it-IT"/>
        </w:rPr>
        <w:t>gli interessi economici e commerciali di una persona fisica o giuridica, ivi compresi la proprietà intellettuale, il diritto d’autore e i segreti commerciali.</w:t>
      </w:r>
    </w:p>
    <w:p w:rsidR="00924E33" w:rsidRPr="00974501" w:rsidRDefault="00306CF3" w:rsidP="00924E33">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A</w:t>
      </w:r>
      <w:r w:rsidR="008F5C52" w:rsidRPr="00974501">
        <w:rPr>
          <w:rFonts w:ascii="Times New Roman" w:eastAsia="New Baskerville" w:hAnsi="Times New Roman" w:cs="Times New Roman"/>
          <w:sz w:val="24"/>
          <w:szCs w:val="24"/>
          <w:lang w:eastAsia="it-IT"/>
        </w:rPr>
        <w:t>nche</w:t>
      </w:r>
      <w:r>
        <w:rPr>
          <w:rFonts w:ascii="Times New Roman" w:eastAsia="New Baskerville" w:hAnsi="Times New Roman" w:cs="Times New Roman"/>
          <w:sz w:val="24"/>
          <w:szCs w:val="24"/>
          <w:lang w:eastAsia="it-IT"/>
        </w:rPr>
        <w:t xml:space="preserve"> in tal caso, in tanto si potrà negare l’accesso, in quanto sia dimostrat</w:t>
      </w:r>
      <w:r w:rsidR="004F7D7E">
        <w:rPr>
          <w:rFonts w:ascii="Times New Roman" w:eastAsia="New Baskerville" w:hAnsi="Times New Roman" w:cs="Times New Roman"/>
          <w:sz w:val="24"/>
          <w:szCs w:val="24"/>
          <w:lang w:eastAsia="it-IT"/>
        </w:rPr>
        <w:t>a l’esistenza di</w:t>
      </w:r>
      <w:r w:rsidR="008F5C52" w:rsidRPr="00974501">
        <w:rPr>
          <w:rFonts w:ascii="Times New Roman" w:eastAsia="New Baskerville" w:hAnsi="Times New Roman" w:cs="Times New Roman"/>
          <w:sz w:val="24"/>
          <w:szCs w:val="24"/>
          <w:lang w:eastAsia="it-IT"/>
        </w:rPr>
        <w:t xml:space="preserve"> </w:t>
      </w:r>
      <w:r w:rsidR="002458BB" w:rsidRPr="00974501">
        <w:rPr>
          <w:rFonts w:ascii="Times New Roman" w:eastAsia="New Baskerville" w:hAnsi="Times New Roman" w:cs="Times New Roman"/>
          <w:sz w:val="24"/>
          <w:szCs w:val="24"/>
          <w:lang w:eastAsia="it-IT"/>
        </w:rPr>
        <w:t>un pregiudizio “concreto”</w:t>
      </w:r>
      <w:r w:rsidR="0086360F">
        <w:rPr>
          <w:rFonts w:ascii="Times New Roman" w:eastAsia="New Baskerville" w:hAnsi="Times New Roman" w:cs="Times New Roman"/>
          <w:sz w:val="24"/>
          <w:szCs w:val="24"/>
          <w:lang w:eastAsia="it-IT"/>
        </w:rPr>
        <w:t>:</w:t>
      </w:r>
      <w:r w:rsidR="00924E33">
        <w:rPr>
          <w:rFonts w:ascii="Times New Roman" w:eastAsia="New Baskerville" w:hAnsi="Times New Roman" w:cs="Times New Roman"/>
          <w:sz w:val="24"/>
          <w:szCs w:val="24"/>
          <w:lang w:eastAsia="it-IT"/>
        </w:rPr>
        <w:t xml:space="preserve"> non</w:t>
      </w:r>
      <w:r w:rsidR="0086360F">
        <w:rPr>
          <w:rFonts w:ascii="Times New Roman" w:eastAsia="New Baskerville" w:hAnsi="Times New Roman" w:cs="Times New Roman"/>
          <w:sz w:val="24"/>
          <w:szCs w:val="24"/>
          <w:lang w:eastAsia="it-IT"/>
        </w:rPr>
        <w:t>, cioè,</w:t>
      </w:r>
      <w:r w:rsidR="00924E33">
        <w:rPr>
          <w:rFonts w:ascii="Times New Roman" w:eastAsia="New Baskerville" w:hAnsi="Times New Roman" w:cs="Times New Roman"/>
          <w:sz w:val="24"/>
          <w:szCs w:val="24"/>
          <w:lang w:eastAsia="it-IT"/>
        </w:rPr>
        <w:t xml:space="preserve"> un pregiudizio qualsiasi, ma un </w:t>
      </w:r>
      <w:r w:rsidR="00924E33" w:rsidRPr="00974501">
        <w:rPr>
          <w:rFonts w:ascii="Times New Roman" w:eastAsia="New Baskerville" w:hAnsi="Times New Roman" w:cs="Times New Roman"/>
          <w:sz w:val="24"/>
          <w:szCs w:val="24"/>
          <w:lang w:eastAsia="it-IT"/>
        </w:rPr>
        <w:t xml:space="preserve">pregiudizio </w:t>
      </w:r>
      <w:r w:rsidR="00924E33">
        <w:rPr>
          <w:rFonts w:ascii="Times New Roman" w:eastAsia="New Baskerville" w:hAnsi="Times New Roman" w:cs="Times New Roman"/>
          <w:sz w:val="24"/>
          <w:szCs w:val="24"/>
          <w:lang w:eastAsia="it-IT"/>
        </w:rPr>
        <w:t>legato</w:t>
      </w:r>
      <w:r w:rsidR="0086360F" w:rsidRPr="0086360F">
        <w:rPr>
          <w:rFonts w:ascii="Times New Roman" w:eastAsia="New Baskerville" w:hAnsi="Times New Roman" w:cs="Times New Roman"/>
          <w:sz w:val="24"/>
          <w:szCs w:val="24"/>
          <w:lang w:eastAsia="it-IT"/>
        </w:rPr>
        <w:t xml:space="preserve"> </w:t>
      </w:r>
      <w:r w:rsidR="0086360F">
        <w:rPr>
          <w:rFonts w:ascii="Times New Roman" w:eastAsia="New Baskerville" w:hAnsi="Times New Roman" w:cs="Times New Roman"/>
          <w:sz w:val="24"/>
          <w:szCs w:val="24"/>
          <w:lang w:eastAsia="it-IT"/>
        </w:rPr>
        <w:t xml:space="preserve">al richiesto </w:t>
      </w:r>
      <w:r w:rsidR="0086360F" w:rsidRPr="00974501">
        <w:rPr>
          <w:rFonts w:ascii="Times New Roman" w:eastAsia="New Baskerville" w:hAnsi="Times New Roman" w:cs="Times New Roman"/>
          <w:sz w:val="24"/>
          <w:szCs w:val="24"/>
          <w:lang w:eastAsia="it-IT"/>
        </w:rPr>
        <w:t>accesso</w:t>
      </w:r>
      <w:r w:rsidR="00924E33">
        <w:rPr>
          <w:rFonts w:ascii="Times New Roman" w:eastAsia="New Baskerville" w:hAnsi="Times New Roman" w:cs="Times New Roman"/>
          <w:sz w:val="24"/>
          <w:szCs w:val="24"/>
          <w:lang w:eastAsia="it-IT"/>
        </w:rPr>
        <w:t>, d</w:t>
      </w:r>
      <w:r w:rsidR="0086360F">
        <w:rPr>
          <w:rFonts w:ascii="Times New Roman" w:eastAsia="New Baskerville" w:hAnsi="Times New Roman" w:cs="Times New Roman"/>
          <w:sz w:val="24"/>
          <w:szCs w:val="24"/>
          <w:lang w:eastAsia="it-IT"/>
        </w:rPr>
        <w:t>a un preciso nesso di causalità</w:t>
      </w:r>
      <w:r w:rsidR="00924E33" w:rsidRPr="00974501">
        <w:rPr>
          <w:rFonts w:ascii="Times New Roman" w:eastAsia="New Baskerville" w:hAnsi="Times New Roman" w:cs="Times New Roman"/>
          <w:sz w:val="24"/>
          <w:szCs w:val="24"/>
          <w:lang w:eastAsia="it-IT"/>
        </w:rPr>
        <w:t>.</w:t>
      </w:r>
    </w:p>
    <w:p w:rsidR="00F43A47" w:rsidRPr="00974501" w:rsidRDefault="00306CF3"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Questo concetto è bene espresso nelle </w:t>
      </w:r>
      <w:r w:rsidR="0017094B" w:rsidRPr="00974501">
        <w:rPr>
          <w:rFonts w:ascii="Times New Roman" w:eastAsia="New Baskerville" w:hAnsi="Times New Roman" w:cs="Times New Roman"/>
          <w:sz w:val="24"/>
          <w:szCs w:val="24"/>
          <w:lang w:eastAsia="it-IT"/>
        </w:rPr>
        <w:t>linee</w:t>
      </w:r>
      <w:r w:rsidR="0086360F">
        <w:rPr>
          <w:rFonts w:ascii="Times New Roman" w:eastAsia="New Baskerville" w:hAnsi="Times New Roman" w:cs="Times New Roman"/>
          <w:sz w:val="24"/>
          <w:szCs w:val="24"/>
          <w:lang w:eastAsia="it-IT"/>
        </w:rPr>
        <w:t>-</w:t>
      </w:r>
      <w:r w:rsidR="0017094B" w:rsidRPr="00974501">
        <w:rPr>
          <w:rFonts w:ascii="Times New Roman" w:eastAsia="New Baskerville" w:hAnsi="Times New Roman" w:cs="Times New Roman"/>
          <w:sz w:val="24"/>
          <w:szCs w:val="24"/>
          <w:lang w:eastAsia="it-IT"/>
        </w:rPr>
        <w:t>guida</w:t>
      </w:r>
      <w:r w:rsidR="008F5C52" w:rsidRPr="00974501">
        <w:rPr>
          <w:rFonts w:ascii="Times New Roman" w:eastAsia="New Baskerville" w:hAnsi="Times New Roman" w:cs="Times New Roman"/>
          <w:sz w:val="24"/>
          <w:szCs w:val="24"/>
          <w:lang w:eastAsia="it-IT"/>
        </w:rPr>
        <w:t xml:space="preserve"> </w:t>
      </w:r>
      <w:proofErr w:type="spellStart"/>
      <w:r w:rsidR="008F5C52" w:rsidRPr="00974501">
        <w:rPr>
          <w:rFonts w:ascii="Times New Roman" w:eastAsia="New Baskerville" w:hAnsi="Times New Roman" w:cs="Times New Roman"/>
          <w:sz w:val="24"/>
          <w:szCs w:val="24"/>
          <w:lang w:eastAsia="it-IT"/>
        </w:rPr>
        <w:t>Anac</w:t>
      </w:r>
      <w:proofErr w:type="spellEnd"/>
      <w:r w:rsidR="0017094B" w:rsidRPr="00974501">
        <w:rPr>
          <w:rFonts w:ascii="Times New Roman" w:eastAsia="New Baskerville" w:hAnsi="Times New Roman" w:cs="Times New Roman"/>
          <w:sz w:val="24"/>
          <w:szCs w:val="24"/>
          <w:lang w:eastAsia="it-IT"/>
        </w:rPr>
        <w:t xml:space="preserve">, </w:t>
      </w:r>
      <w:r>
        <w:rPr>
          <w:rFonts w:ascii="Times New Roman" w:eastAsia="New Baskerville" w:hAnsi="Times New Roman" w:cs="Times New Roman"/>
          <w:sz w:val="24"/>
          <w:szCs w:val="24"/>
          <w:lang w:eastAsia="it-IT"/>
        </w:rPr>
        <w:t xml:space="preserve">secondo cui, </w:t>
      </w:r>
      <w:r w:rsidR="0017094B" w:rsidRPr="00974501">
        <w:rPr>
          <w:rFonts w:ascii="Times New Roman" w:eastAsia="New Baskerville" w:hAnsi="Times New Roman" w:cs="Times New Roman"/>
          <w:sz w:val="24"/>
          <w:szCs w:val="24"/>
          <w:lang w:eastAsia="it-IT"/>
        </w:rPr>
        <w:t>n</w:t>
      </w:r>
      <w:r w:rsidR="002458BB" w:rsidRPr="00974501">
        <w:rPr>
          <w:rFonts w:ascii="Times New Roman" w:eastAsia="New Baskerville" w:hAnsi="Times New Roman" w:cs="Times New Roman"/>
          <w:sz w:val="24"/>
          <w:szCs w:val="24"/>
          <w:lang w:eastAsia="it-IT"/>
        </w:rPr>
        <w:t>e</w:t>
      </w:r>
      <w:r w:rsidR="0017094B" w:rsidRPr="00974501">
        <w:rPr>
          <w:rFonts w:ascii="Times New Roman" w:eastAsia="New Baskerville" w:hAnsi="Times New Roman" w:cs="Times New Roman"/>
          <w:sz w:val="24"/>
          <w:szCs w:val="24"/>
          <w:lang w:eastAsia="it-IT"/>
        </w:rPr>
        <w:t>l caso di divieto relativo</w:t>
      </w:r>
      <w:r w:rsidR="002458BB"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 xml:space="preserve"> “non opera, come nel caso delle eccezioni assolute, una generale e preventiva individuazione di esclusioni all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accesso generalizzato, ma rinvia a una attività valutativa che deve essere effettuata dalle amministrazioni con la tecnica del bilanciamento, caso per caso, tra 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 xml:space="preserve">interesse pubblico alla </w:t>
      </w:r>
      <w:proofErr w:type="spellStart"/>
      <w:r w:rsidR="00F43A47" w:rsidRPr="00974501">
        <w:rPr>
          <w:rFonts w:ascii="Times New Roman" w:eastAsia="New Baskerville" w:hAnsi="Times New Roman" w:cs="Times New Roman"/>
          <w:i/>
          <w:sz w:val="24"/>
          <w:szCs w:val="24"/>
          <w:lang w:eastAsia="it-IT"/>
        </w:rPr>
        <w:t>disclosure</w:t>
      </w:r>
      <w:proofErr w:type="spellEnd"/>
      <w:r w:rsidR="00F43A47" w:rsidRPr="00974501">
        <w:rPr>
          <w:rFonts w:ascii="Times New Roman" w:eastAsia="New Baskerville" w:hAnsi="Times New Roman" w:cs="Times New Roman"/>
          <w:sz w:val="24"/>
          <w:szCs w:val="24"/>
          <w:lang w:eastAsia="it-IT"/>
        </w:rPr>
        <w:t xml:space="preserve"> generalizzata e la tutela di altrettanto validi interessi considerati dall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ordinamento. 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amministrazione, cioè, è tenuta a verificare, una volta accertata 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assenza di eccezioni assolute, se 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ostensione degli atti possa determinare un pregiudizio concreto e probabile agli interessi indicati dal legislatore</w:t>
      </w:r>
      <w:r w:rsidR="00545E57">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 xml:space="preserve">. </w:t>
      </w:r>
    </w:p>
    <w:p w:rsidR="00F43A47" w:rsidRPr="00974501" w:rsidRDefault="00F43A4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L</w:t>
      </w:r>
      <w:r w:rsidR="00C87340" w:rsidRPr="00974501">
        <w:rPr>
          <w:rFonts w:ascii="Times New Roman" w:eastAsia="New Baskerville" w:hAnsi="Times New Roman" w:cs="Times New Roman"/>
          <w:sz w:val="24"/>
          <w:szCs w:val="24"/>
          <w:lang w:eastAsia="it-IT"/>
        </w:rPr>
        <w:t>’</w:t>
      </w:r>
      <w:r w:rsidR="003B6AAF" w:rsidRPr="00974501">
        <w:rPr>
          <w:rFonts w:ascii="Times New Roman" w:eastAsia="New Baskerville" w:hAnsi="Times New Roman" w:cs="Times New Roman"/>
          <w:sz w:val="24"/>
          <w:szCs w:val="24"/>
          <w:lang w:eastAsia="it-IT"/>
        </w:rPr>
        <w:t>a</w:t>
      </w:r>
      <w:r w:rsidRPr="00974501">
        <w:rPr>
          <w:rFonts w:ascii="Times New Roman" w:eastAsia="New Baskerville" w:hAnsi="Times New Roman" w:cs="Times New Roman"/>
          <w:sz w:val="24"/>
          <w:szCs w:val="24"/>
          <w:lang w:eastAsia="it-IT"/>
        </w:rPr>
        <w:t>mministrazione, in altre parole, non può limitarsi a prefigurare il rischio di un pregiudizio generic</w:t>
      </w:r>
      <w:r w:rsidR="00897312">
        <w:rPr>
          <w:rFonts w:ascii="Times New Roman" w:eastAsia="New Baskerville" w:hAnsi="Times New Roman" w:cs="Times New Roman"/>
          <w:sz w:val="24"/>
          <w:szCs w:val="24"/>
          <w:lang w:eastAsia="it-IT"/>
        </w:rPr>
        <w:t>o</w:t>
      </w:r>
      <w:r w:rsidRPr="00974501">
        <w:rPr>
          <w:rFonts w:ascii="Times New Roman" w:eastAsia="New Baskerville" w:hAnsi="Times New Roman" w:cs="Times New Roman"/>
          <w:sz w:val="24"/>
          <w:szCs w:val="24"/>
          <w:lang w:eastAsia="it-IT"/>
        </w:rPr>
        <w:t xml:space="preserve"> e astratt</w:t>
      </w:r>
      <w:r w:rsidR="00897312">
        <w:rPr>
          <w:rFonts w:ascii="Times New Roman" w:eastAsia="New Baskerville" w:hAnsi="Times New Roman" w:cs="Times New Roman"/>
          <w:sz w:val="24"/>
          <w:szCs w:val="24"/>
          <w:lang w:eastAsia="it-IT"/>
        </w:rPr>
        <w:t>o</w:t>
      </w:r>
      <w:r w:rsidRPr="00974501">
        <w:rPr>
          <w:rFonts w:ascii="Times New Roman" w:eastAsia="New Baskerville" w:hAnsi="Times New Roman" w:cs="Times New Roman"/>
          <w:sz w:val="24"/>
          <w:szCs w:val="24"/>
          <w:lang w:eastAsia="it-IT"/>
        </w:rPr>
        <w:t>, ma d</w:t>
      </w:r>
      <w:r w:rsidR="00897312">
        <w:rPr>
          <w:rFonts w:ascii="Times New Roman" w:eastAsia="New Baskerville" w:hAnsi="Times New Roman" w:cs="Times New Roman"/>
          <w:sz w:val="24"/>
          <w:szCs w:val="24"/>
          <w:lang w:eastAsia="it-IT"/>
        </w:rPr>
        <w:t>eve</w:t>
      </w:r>
      <w:r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i/>
          <w:sz w:val="24"/>
          <w:szCs w:val="24"/>
          <w:lang w:eastAsia="it-IT"/>
        </w:rPr>
        <w:t>a)</w:t>
      </w:r>
      <w:r w:rsidRPr="00974501">
        <w:rPr>
          <w:rFonts w:ascii="Times New Roman" w:eastAsia="New Baskerville" w:hAnsi="Times New Roman" w:cs="Times New Roman"/>
          <w:sz w:val="24"/>
          <w:szCs w:val="24"/>
          <w:lang w:eastAsia="it-IT"/>
        </w:rPr>
        <w:t xml:space="preserve"> indicare chiaramente quale – tra gli interessi elencati all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art. 5</w:t>
      </w:r>
      <w:r w:rsidR="0086360F">
        <w:rPr>
          <w:rFonts w:ascii="Times New Roman" w:eastAsia="New Baskerville" w:hAnsi="Times New Roman" w:cs="Times New Roman"/>
          <w:sz w:val="24"/>
          <w:szCs w:val="24"/>
          <w:lang w:eastAsia="it-IT"/>
        </w:rPr>
        <w:t>-</w:t>
      </w:r>
      <w:r w:rsidRPr="0086360F">
        <w:rPr>
          <w:rFonts w:ascii="Times New Roman" w:eastAsia="New Baskerville" w:hAnsi="Times New Roman" w:cs="Times New Roman"/>
          <w:i/>
          <w:sz w:val="24"/>
          <w:szCs w:val="24"/>
          <w:lang w:eastAsia="it-IT"/>
        </w:rPr>
        <w:t>bis</w:t>
      </w:r>
      <w:r w:rsidRPr="00974501">
        <w:rPr>
          <w:rFonts w:ascii="Times New Roman" w:eastAsia="New Baskerville" w:hAnsi="Times New Roman" w:cs="Times New Roman"/>
          <w:sz w:val="24"/>
          <w:szCs w:val="24"/>
          <w:lang w:eastAsia="it-IT"/>
        </w:rPr>
        <w:t>, co</w:t>
      </w:r>
      <w:r w:rsidR="0086360F">
        <w:rPr>
          <w:rFonts w:ascii="Times New Roman" w:eastAsia="New Baskerville" w:hAnsi="Times New Roman" w:cs="Times New Roman"/>
          <w:sz w:val="24"/>
          <w:szCs w:val="24"/>
          <w:lang w:eastAsia="it-IT"/>
        </w:rPr>
        <w:t>mma</w:t>
      </w:r>
      <w:r w:rsidRPr="00974501">
        <w:rPr>
          <w:rFonts w:ascii="Times New Roman" w:eastAsia="New Baskerville" w:hAnsi="Times New Roman" w:cs="Times New Roman"/>
          <w:sz w:val="24"/>
          <w:szCs w:val="24"/>
          <w:lang w:eastAsia="it-IT"/>
        </w:rPr>
        <w:t xml:space="preserve"> 1 e 2 – viene pregiudicato; </w:t>
      </w:r>
      <w:r w:rsidRPr="00974501">
        <w:rPr>
          <w:rFonts w:ascii="Times New Roman" w:eastAsia="New Baskerville" w:hAnsi="Times New Roman" w:cs="Times New Roman"/>
          <w:i/>
          <w:sz w:val="24"/>
          <w:szCs w:val="24"/>
          <w:lang w:eastAsia="it-IT"/>
        </w:rPr>
        <w:t>b)</w:t>
      </w:r>
      <w:r w:rsidRPr="00974501">
        <w:rPr>
          <w:rFonts w:ascii="Times New Roman" w:eastAsia="New Baskerville" w:hAnsi="Times New Roman" w:cs="Times New Roman"/>
          <w:sz w:val="24"/>
          <w:szCs w:val="24"/>
          <w:lang w:eastAsia="it-IT"/>
        </w:rPr>
        <w:t xml:space="preserve"> valutare se il pregiudizio (concreto) prefigurato dipende direttamente dalla </w:t>
      </w:r>
      <w:proofErr w:type="spellStart"/>
      <w:r w:rsidRPr="00974501">
        <w:rPr>
          <w:rFonts w:ascii="Times New Roman" w:eastAsia="New Baskerville" w:hAnsi="Times New Roman" w:cs="Times New Roman"/>
          <w:i/>
          <w:sz w:val="24"/>
          <w:szCs w:val="24"/>
          <w:lang w:eastAsia="it-IT"/>
        </w:rPr>
        <w:t>disclosure</w:t>
      </w:r>
      <w:proofErr w:type="spellEnd"/>
      <w:r w:rsidRPr="00974501">
        <w:rPr>
          <w:rFonts w:ascii="Times New Roman" w:eastAsia="New Baskerville" w:hAnsi="Times New Roman" w:cs="Times New Roman"/>
          <w:sz w:val="24"/>
          <w:szCs w:val="24"/>
          <w:lang w:eastAsia="it-IT"/>
        </w:rPr>
        <w:t xml:space="preserve">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informazione richiesta; </w:t>
      </w:r>
      <w:r w:rsidRPr="00974501">
        <w:rPr>
          <w:rFonts w:ascii="Times New Roman" w:eastAsia="New Baskerville" w:hAnsi="Times New Roman" w:cs="Times New Roman"/>
          <w:i/>
          <w:sz w:val="24"/>
          <w:szCs w:val="24"/>
          <w:lang w:eastAsia="it-IT"/>
        </w:rPr>
        <w:t>c)</w:t>
      </w:r>
      <w:r w:rsidRPr="00974501">
        <w:rPr>
          <w:rFonts w:ascii="Times New Roman" w:eastAsia="New Baskerville" w:hAnsi="Times New Roman" w:cs="Times New Roman"/>
          <w:sz w:val="24"/>
          <w:szCs w:val="24"/>
          <w:lang w:eastAsia="it-IT"/>
        </w:rPr>
        <w:t xml:space="preserve"> valutare se il pregiudizio conseguente alla </w:t>
      </w:r>
      <w:proofErr w:type="spellStart"/>
      <w:r w:rsidRPr="00974501">
        <w:rPr>
          <w:rFonts w:ascii="Times New Roman" w:eastAsia="New Baskerville" w:hAnsi="Times New Roman" w:cs="Times New Roman"/>
          <w:i/>
          <w:sz w:val="24"/>
          <w:szCs w:val="24"/>
          <w:lang w:eastAsia="it-IT"/>
        </w:rPr>
        <w:t>disclosure</w:t>
      </w:r>
      <w:proofErr w:type="spellEnd"/>
      <w:r w:rsidRPr="00974501">
        <w:rPr>
          <w:rFonts w:ascii="Times New Roman" w:eastAsia="New Baskerville" w:hAnsi="Times New Roman" w:cs="Times New Roman"/>
          <w:sz w:val="24"/>
          <w:szCs w:val="24"/>
          <w:lang w:eastAsia="it-IT"/>
        </w:rPr>
        <w:t xml:space="preserve"> è un evento altamente probab</w:t>
      </w:r>
      <w:r w:rsidR="008B5F3E" w:rsidRPr="00974501">
        <w:rPr>
          <w:rFonts w:ascii="Times New Roman" w:eastAsia="New Baskerville" w:hAnsi="Times New Roman" w:cs="Times New Roman"/>
          <w:sz w:val="24"/>
          <w:szCs w:val="24"/>
          <w:lang w:eastAsia="it-IT"/>
        </w:rPr>
        <w:t>ile, e non soltanto possibile.</w:t>
      </w:r>
    </w:p>
    <w:p w:rsidR="00F43A47" w:rsidRPr="00974501" w:rsidRDefault="00927773"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Per qu</w:t>
      </w:r>
      <w:r w:rsidR="0086360F">
        <w:rPr>
          <w:rFonts w:ascii="Times New Roman" w:eastAsia="New Baskerville" w:hAnsi="Times New Roman" w:cs="Times New Roman"/>
          <w:sz w:val="24"/>
          <w:szCs w:val="24"/>
          <w:lang w:eastAsia="it-IT"/>
        </w:rPr>
        <w:t xml:space="preserve">anto </w:t>
      </w:r>
      <w:r>
        <w:rPr>
          <w:rFonts w:ascii="Times New Roman" w:eastAsia="New Baskerville" w:hAnsi="Times New Roman" w:cs="Times New Roman"/>
          <w:sz w:val="24"/>
          <w:szCs w:val="24"/>
          <w:lang w:eastAsia="it-IT"/>
        </w:rPr>
        <w:t xml:space="preserve">concerne </w:t>
      </w:r>
      <w:r w:rsidR="00F43A47" w:rsidRPr="00974501">
        <w:rPr>
          <w:rFonts w:ascii="Times New Roman" w:eastAsia="New Baskerville" w:hAnsi="Times New Roman" w:cs="Times New Roman"/>
          <w:sz w:val="24"/>
          <w:szCs w:val="24"/>
          <w:lang w:eastAsia="it-IT"/>
        </w:rPr>
        <w:t xml:space="preserve">le istanze di accesso generalizzato </w:t>
      </w:r>
      <w:r w:rsidR="00545E57">
        <w:rPr>
          <w:rFonts w:ascii="Times New Roman" w:eastAsia="New Baskerville" w:hAnsi="Times New Roman" w:cs="Times New Roman"/>
          <w:sz w:val="24"/>
          <w:szCs w:val="24"/>
          <w:lang w:eastAsia="it-IT"/>
        </w:rPr>
        <w:t>relativ</w:t>
      </w:r>
      <w:r>
        <w:rPr>
          <w:rFonts w:ascii="Times New Roman" w:eastAsia="New Baskerville" w:hAnsi="Times New Roman" w:cs="Times New Roman"/>
          <w:sz w:val="24"/>
          <w:szCs w:val="24"/>
          <w:lang w:eastAsia="it-IT"/>
        </w:rPr>
        <w:t>e</w:t>
      </w:r>
      <w:r w:rsidR="00545E57">
        <w:rPr>
          <w:rFonts w:ascii="Times New Roman" w:eastAsia="New Baskerville" w:hAnsi="Times New Roman" w:cs="Times New Roman"/>
          <w:sz w:val="24"/>
          <w:szCs w:val="24"/>
          <w:lang w:eastAsia="it-IT"/>
        </w:rPr>
        <w:t xml:space="preserve"> ad atti conten</w:t>
      </w:r>
      <w:r>
        <w:rPr>
          <w:rFonts w:ascii="Times New Roman" w:eastAsia="New Baskerville" w:hAnsi="Times New Roman" w:cs="Times New Roman"/>
          <w:sz w:val="24"/>
          <w:szCs w:val="24"/>
          <w:lang w:eastAsia="it-IT"/>
        </w:rPr>
        <w:t>enti dati personali,</w:t>
      </w:r>
      <w:r w:rsidR="00F43A47" w:rsidRPr="00974501">
        <w:rPr>
          <w:rFonts w:ascii="Times New Roman" w:eastAsia="New Baskerville" w:hAnsi="Times New Roman" w:cs="Times New Roman"/>
          <w:sz w:val="24"/>
          <w:szCs w:val="24"/>
          <w:lang w:eastAsia="it-IT"/>
        </w:rPr>
        <w:t xml:space="preserve"> le citate linee</w:t>
      </w:r>
      <w:r w:rsidR="0086360F">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guida</w:t>
      </w:r>
      <w:r>
        <w:rPr>
          <w:rFonts w:ascii="Times New Roman" w:eastAsia="New Baskerville" w:hAnsi="Times New Roman" w:cs="Times New Roman"/>
          <w:sz w:val="24"/>
          <w:szCs w:val="24"/>
          <w:lang w:eastAsia="it-IT"/>
        </w:rPr>
        <w:t xml:space="preserve"> precisano</w:t>
      </w:r>
      <w:r w:rsidR="00924E33">
        <w:rPr>
          <w:rFonts w:ascii="Times New Roman" w:eastAsia="New Baskerville" w:hAnsi="Times New Roman" w:cs="Times New Roman"/>
          <w:sz w:val="24"/>
          <w:szCs w:val="24"/>
          <w:lang w:eastAsia="it-IT"/>
        </w:rPr>
        <w:t>, ancora,</w:t>
      </w:r>
      <w:r>
        <w:rPr>
          <w:rFonts w:ascii="Times New Roman" w:eastAsia="New Baskerville" w:hAnsi="Times New Roman" w:cs="Times New Roman"/>
          <w:sz w:val="24"/>
          <w:szCs w:val="24"/>
          <w:lang w:eastAsia="it-IT"/>
        </w:rPr>
        <w:t xml:space="preserve"> come</w:t>
      </w:r>
      <w:r w:rsidR="00F43A47" w:rsidRPr="00974501">
        <w:rPr>
          <w:rFonts w:ascii="Times New Roman" w:eastAsia="New Baskerville" w:hAnsi="Times New Roman" w:cs="Times New Roman"/>
          <w:sz w:val="24"/>
          <w:szCs w:val="24"/>
          <w:lang w:eastAsia="it-IT"/>
        </w:rPr>
        <w:t xml:space="preserve"> l</w:t>
      </w:r>
      <w:r w:rsidR="00C87340" w:rsidRPr="00974501">
        <w:rPr>
          <w:rFonts w:ascii="Times New Roman" w:eastAsia="New Baskerville" w:hAnsi="Times New Roman" w:cs="Times New Roman"/>
          <w:sz w:val="24"/>
          <w:szCs w:val="24"/>
          <w:lang w:eastAsia="it-IT"/>
        </w:rPr>
        <w:t>’</w:t>
      </w:r>
      <w:r>
        <w:rPr>
          <w:rFonts w:ascii="Times New Roman" w:eastAsia="New Baskerville" w:hAnsi="Times New Roman" w:cs="Times New Roman"/>
          <w:sz w:val="24"/>
          <w:szCs w:val="24"/>
          <w:lang w:eastAsia="it-IT"/>
        </w:rPr>
        <w:t>ente destinatario</w:t>
      </w:r>
      <w:r w:rsidR="00F43A47"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“d</w:t>
      </w:r>
      <w:r w:rsidR="00F43A47" w:rsidRPr="00974501">
        <w:rPr>
          <w:rFonts w:ascii="Times New Roman" w:eastAsia="New Baskerville" w:hAnsi="Times New Roman" w:cs="Times New Roman"/>
          <w:sz w:val="24"/>
          <w:szCs w:val="24"/>
          <w:lang w:eastAsia="it-IT"/>
        </w:rPr>
        <w:t>eve valutare, nel fornire riscontro motivato a richieste di accesso generalizzato, se la conoscenza da parte di chiunque del dato personale richiesto arreca (o possa arrecare) un pregiudizio concreto alla protezione dei dati personali, in conformità alla dis</w:t>
      </w:r>
      <w:r w:rsidR="00897312">
        <w:rPr>
          <w:rFonts w:ascii="Times New Roman" w:eastAsia="New Baskerville" w:hAnsi="Times New Roman" w:cs="Times New Roman"/>
          <w:sz w:val="24"/>
          <w:szCs w:val="24"/>
          <w:lang w:eastAsia="it-IT"/>
        </w:rPr>
        <w:t>ciplina legislativa in materia…</w:t>
      </w:r>
      <w:r w:rsidR="003C7DC3" w:rsidRPr="00974501">
        <w:rPr>
          <w:rFonts w:ascii="Times New Roman" w:eastAsia="New Baskerville" w:hAnsi="Times New Roman" w:cs="Times New Roman"/>
          <w:sz w:val="24"/>
          <w:szCs w:val="24"/>
          <w:lang w:eastAsia="it-IT"/>
        </w:rPr>
        <w:t xml:space="preserve"> </w:t>
      </w:r>
      <w:r w:rsidR="00F43A47" w:rsidRPr="00974501">
        <w:rPr>
          <w:rFonts w:ascii="Times New Roman" w:eastAsia="New Baskerville" w:hAnsi="Times New Roman" w:cs="Times New Roman"/>
          <w:sz w:val="24"/>
          <w:szCs w:val="24"/>
          <w:lang w:eastAsia="it-IT"/>
        </w:rPr>
        <w:t>In tale contesto, devono essere tenute in considerazione le motivazioni addotte dal soggetto controinteressato, che deve essere obbligatoriamente interpellato dall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ente destinatario della richiesta di accesso generalizzato, ai sensi dell</w:t>
      </w:r>
      <w:r w:rsidR="00C87340" w:rsidRPr="00974501">
        <w:rPr>
          <w:rFonts w:ascii="Times New Roman" w:eastAsia="New Baskerville" w:hAnsi="Times New Roman" w:cs="Times New Roman"/>
          <w:sz w:val="24"/>
          <w:szCs w:val="24"/>
          <w:lang w:eastAsia="it-IT"/>
        </w:rPr>
        <w:t>’</w:t>
      </w:r>
      <w:r w:rsidR="005D44BB" w:rsidRPr="00974501">
        <w:rPr>
          <w:rFonts w:ascii="Times New Roman" w:eastAsia="New Baskerville" w:hAnsi="Times New Roman" w:cs="Times New Roman"/>
          <w:sz w:val="24"/>
          <w:szCs w:val="24"/>
          <w:lang w:eastAsia="it-IT"/>
        </w:rPr>
        <w:t>art. 5, comma 5, del d.</w:t>
      </w:r>
      <w:r w:rsidR="00F43A47" w:rsidRPr="00974501">
        <w:rPr>
          <w:rFonts w:ascii="Times New Roman" w:eastAsia="New Baskerville" w:hAnsi="Times New Roman" w:cs="Times New Roman"/>
          <w:sz w:val="24"/>
          <w:szCs w:val="24"/>
          <w:lang w:eastAsia="it-IT"/>
        </w:rPr>
        <w:t>lgs. n. 33/2013. Tali motivazioni costituiscono un indice della sussistenza di un pregiudizio concreto, la cui valutazione però spetta all</w:t>
      </w:r>
      <w:r w:rsidR="00C87340" w:rsidRPr="00974501">
        <w:rPr>
          <w:rFonts w:ascii="Times New Roman" w:eastAsia="New Baskerville" w:hAnsi="Times New Roman" w:cs="Times New Roman"/>
          <w:sz w:val="24"/>
          <w:szCs w:val="24"/>
          <w:lang w:eastAsia="it-IT"/>
        </w:rPr>
        <w:t>’</w:t>
      </w:r>
      <w:r w:rsidR="00F43A47" w:rsidRPr="00974501">
        <w:rPr>
          <w:rFonts w:ascii="Times New Roman" w:eastAsia="New Baskerville" w:hAnsi="Times New Roman" w:cs="Times New Roman"/>
          <w:sz w:val="24"/>
          <w:szCs w:val="24"/>
          <w:lang w:eastAsia="it-IT"/>
        </w:rPr>
        <w:t xml:space="preserve">ente e va condotta anche in caso di </w:t>
      </w:r>
      <w:r w:rsidR="003C7DC3" w:rsidRPr="00974501">
        <w:rPr>
          <w:rFonts w:ascii="Times New Roman" w:eastAsia="New Baskerville" w:hAnsi="Times New Roman" w:cs="Times New Roman"/>
          <w:sz w:val="24"/>
          <w:szCs w:val="24"/>
          <w:lang w:eastAsia="it-IT"/>
        </w:rPr>
        <w:t>silenzio del controinteressato</w:t>
      </w:r>
      <w:r w:rsidR="00F43A47" w:rsidRPr="00974501">
        <w:rPr>
          <w:rFonts w:ascii="Times New Roman" w:eastAsia="New Baskerville" w:hAnsi="Times New Roman" w:cs="Times New Roman"/>
          <w:sz w:val="24"/>
          <w:szCs w:val="24"/>
          <w:lang w:eastAsia="it-IT"/>
        </w:rPr>
        <w:t>”</w:t>
      </w:r>
      <w:r w:rsidR="005D44BB" w:rsidRPr="00974501">
        <w:rPr>
          <w:rStyle w:val="Rimandonotaapidipagina"/>
          <w:rFonts w:ascii="Times New Roman" w:eastAsia="New Baskerville" w:hAnsi="Times New Roman" w:cs="Times New Roman"/>
          <w:sz w:val="24"/>
          <w:szCs w:val="24"/>
          <w:lang w:eastAsia="it-IT"/>
        </w:rPr>
        <w:footnoteReference w:id="20"/>
      </w:r>
      <w:r w:rsidR="00F43A47" w:rsidRPr="00974501">
        <w:rPr>
          <w:rFonts w:ascii="Times New Roman" w:eastAsia="New Baskerville" w:hAnsi="Times New Roman" w:cs="Times New Roman"/>
          <w:sz w:val="24"/>
          <w:szCs w:val="24"/>
          <w:lang w:eastAsia="it-IT"/>
        </w:rPr>
        <w:t xml:space="preserve">. </w:t>
      </w:r>
    </w:p>
    <w:p w:rsidR="00F43A47" w:rsidRPr="00974501" w:rsidRDefault="00F43A4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Le linee</w:t>
      </w:r>
      <w:r w:rsidR="0086360F">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guida ricordano, </w:t>
      </w:r>
      <w:r w:rsidR="00924E33">
        <w:rPr>
          <w:rFonts w:ascii="Times New Roman" w:eastAsia="New Baskerville" w:hAnsi="Times New Roman" w:cs="Times New Roman"/>
          <w:sz w:val="24"/>
          <w:szCs w:val="24"/>
          <w:lang w:eastAsia="it-IT"/>
        </w:rPr>
        <w:t>infine</w:t>
      </w:r>
      <w:r w:rsidRPr="00974501">
        <w:rPr>
          <w:rFonts w:ascii="Times New Roman" w:eastAsia="New Baskerville" w:hAnsi="Times New Roman" w:cs="Times New Roman"/>
          <w:sz w:val="24"/>
          <w:szCs w:val="24"/>
          <w:lang w:eastAsia="it-IT"/>
        </w:rPr>
        <w:t>, c</w:t>
      </w:r>
      <w:r w:rsidR="003C7DC3" w:rsidRPr="00974501">
        <w:rPr>
          <w:rFonts w:ascii="Times New Roman" w:eastAsia="New Baskerville" w:hAnsi="Times New Roman" w:cs="Times New Roman"/>
          <w:sz w:val="24"/>
          <w:szCs w:val="24"/>
          <w:lang w:eastAsia="it-IT"/>
        </w:rPr>
        <w:t>ome “</w:t>
      </w:r>
      <w:r w:rsidRPr="00974501">
        <w:rPr>
          <w:rFonts w:ascii="Times New Roman" w:eastAsia="New Baskerville" w:hAnsi="Times New Roman" w:cs="Times New Roman"/>
          <w:sz w:val="24"/>
          <w:szCs w:val="24"/>
          <w:lang w:eastAsia="it-IT"/>
        </w:rPr>
        <w:t>le comunicazioni di dati personali nell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ambito del procedimento di accesso generalizzato non devono determinare un</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interferenza ingiustificata e sproporzionata nei diritti e libertà delle persone cui si riferiscono tali dati ai sensi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art. 8 della Convenzione europea per la salvaguardi</w:t>
      </w:r>
      <w:r w:rsidR="00897312" w:rsidRPr="00974501">
        <w:rPr>
          <w:rFonts w:ascii="Times New Roman" w:eastAsia="New Baskerville" w:hAnsi="Times New Roman" w:cs="Times New Roman"/>
          <w:sz w:val="24"/>
          <w:szCs w:val="24"/>
          <w:lang w:eastAsia="it-IT"/>
        </w:rPr>
        <w:t>a</w:t>
      </w:r>
      <w:r w:rsidRPr="00974501">
        <w:rPr>
          <w:rFonts w:ascii="Times New Roman" w:eastAsia="New Baskerville" w:hAnsi="Times New Roman" w:cs="Times New Roman"/>
          <w:sz w:val="24"/>
          <w:szCs w:val="24"/>
          <w:lang w:eastAsia="it-IT"/>
        </w:rPr>
        <w:t xml:space="preserve"> dei diritti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uomo e delle libertà fondamentali,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art. 8 della Carta dei diritti fondamentali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Unione europea e della giurisprudenza europea in materia</w:t>
      </w:r>
      <w:r w:rsidR="00A0476D">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w:t>
      </w:r>
    </w:p>
    <w:p w:rsidR="00F43A47" w:rsidRPr="00974501" w:rsidRDefault="00F43A47"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Il richiamo espresso alla disciplina legislativa sulla protezione dei dati personali da parte dell</w:t>
      </w:r>
      <w:r w:rsidR="00C87340"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art. 5</w:t>
      </w:r>
      <w:r w:rsidR="003C7DC3" w:rsidRPr="00974501">
        <w:rPr>
          <w:rFonts w:ascii="Times New Roman" w:eastAsia="New Baskerville" w:hAnsi="Times New Roman" w:cs="Times New Roman"/>
          <w:sz w:val="24"/>
          <w:szCs w:val="24"/>
          <w:lang w:eastAsia="it-IT"/>
        </w:rPr>
        <w:t>-</w:t>
      </w:r>
      <w:r w:rsidR="003C7DC3" w:rsidRPr="00974501">
        <w:rPr>
          <w:rFonts w:ascii="Times New Roman" w:eastAsia="New Baskerville" w:hAnsi="Times New Roman" w:cs="Times New Roman"/>
          <w:i/>
          <w:sz w:val="24"/>
          <w:szCs w:val="24"/>
          <w:lang w:eastAsia="it-IT"/>
        </w:rPr>
        <w:t>bis</w:t>
      </w:r>
      <w:r w:rsidR="003C7DC3" w:rsidRPr="00974501">
        <w:rPr>
          <w:rFonts w:ascii="Times New Roman" w:eastAsia="New Baskerville" w:hAnsi="Times New Roman" w:cs="Times New Roman"/>
          <w:sz w:val="24"/>
          <w:szCs w:val="24"/>
          <w:lang w:eastAsia="it-IT"/>
        </w:rPr>
        <w:t xml:space="preserve">, comma 2, </w:t>
      </w:r>
      <w:proofErr w:type="spellStart"/>
      <w:r w:rsidR="003C7DC3" w:rsidRPr="00974501">
        <w:rPr>
          <w:rFonts w:ascii="Times New Roman" w:eastAsia="New Baskerville" w:hAnsi="Times New Roman" w:cs="Times New Roman"/>
          <w:sz w:val="24"/>
          <w:szCs w:val="24"/>
          <w:lang w:eastAsia="it-IT"/>
        </w:rPr>
        <w:t>lett</w:t>
      </w:r>
      <w:proofErr w:type="spellEnd"/>
      <w:r w:rsidR="003C7DC3" w:rsidRPr="00974501">
        <w:rPr>
          <w:rFonts w:ascii="Times New Roman" w:eastAsia="New Baskerville" w:hAnsi="Times New Roman" w:cs="Times New Roman"/>
          <w:sz w:val="24"/>
          <w:szCs w:val="24"/>
          <w:lang w:eastAsia="it-IT"/>
        </w:rPr>
        <w:t>. a), del d.</w:t>
      </w:r>
      <w:r w:rsidRPr="00974501">
        <w:rPr>
          <w:rFonts w:ascii="Times New Roman" w:eastAsia="New Baskerville" w:hAnsi="Times New Roman" w:cs="Times New Roman"/>
          <w:sz w:val="24"/>
          <w:szCs w:val="24"/>
          <w:lang w:eastAsia="it-IT"/>
        </w:rPr>
        <w:t>lgs. n. 33/2013</w:t>
      </w:r>
      <w:r w:rsidR="00897312">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comporta che</w:t>
      </w:r>
      <w:r w:rsidR="008F5C52" w:rsidRPr="00974501">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nella valutazione del pregiudizio concreto, si faccia riferimento ai princ</w:t>
      </w:r>
      <w:r w:rsidR="00A0476D">
        <w:rPr>
          <w:rFonts w:ascii="Times New Roman" w:eastAsia="New Baskerville" w:hAnsi="Times New Roman" w:cs="Times New Roman"/>
          <w:sz w:val="24"/>
          <w:szCs w:val="24"/>
          <w:lang w:eastAsia="it-IT"/>
        </w:rPr>
        <w:t>ì</w:t>
      </w:r>
      <w:r w:rsidRPr="00974501">
        <w:rPr>
          <w:rFonts w:ascii="Times New Roman" w:eastAsia="New Baskerville" w:hAnsi="Times New Roman" w:cs="Times New Roman"/>
          <w:sz w:val="24"/>
          <w:szCs w:val="24"/>
          <w:lang w:eastAsia="it-IT"/>
        </w:rPr>
        <w:t xml:space="preserve">pi generali sul trattamento e, in particolare, a quelli di necessità, proporzionalità, pertinenza e non eccedenza, in conformità alla giurisprudenza della Corte di </w:t>
      </w:r>
      <w:r w:rsidR="008F5C52" w:rsidRPr="00974501">
        <w:rPr>
          <w:rFonts w:ascii="Times New Roman" w:eastAsia="New Baskerville" w:hAnsi="Times New Roman" w:cs="Times New Roman"/>
          <w:sz w:val="24"/>
          <w:szCs w:val="24"/>
          <w:lang w:eastAsia="it-IT"/>
        </w:rPr>
        <w:t>g</w:t>
      </w:r>
      <w:r w:rsidRPr="00974501">
        <w:rPr>
          <w:rFonts w:ascii="Times New Roman" w:eastAsia="New Baskerville" w:hAnsi="Times New Roman" w:cs="Times New Roman"/>
          <w:sz w:val="24"/>
          <w:szCs w:val="24"/>
          <w:lang w:eastAsia="it-IT"/>
        </w:rPr>
        <w:t xml:space="preserve">iustizia </w:t>
      </w:r>
      <w:r w:rsidR="00784FF7">
        <w:rPr>
          <w:rFonts w:ascii="Times New Roman" w:eastAsia="New Baskerville" w:hAnsi="Times New Roman" w:cs="Times New Roman"/>
          <w:sz w:val="24"/>
          <w:szCs w:val="24"/>
          <w:lang w:eastAsia="it-IT"/>
        </w:rPr>
        <w:t xml:space="preserve">dell’Unione </w:t>
      </w:r>
      <w:r w:rsidR="008F5C52" w:rsidRPr="00974501">
        <w:rPr>
          <w:rFonts w:ascii="Times New Roman" w:eastAsia="New Baskerville" w:hAnsi="Times New Roman" w:cs="Times New Roman"/>
          <w:sz w:val="24"/>
          <w:szCs w:val="24"/>
          <w:lang w:eastAsia="it-IT"/>
        </w:rPr>
        <w:t>e</w:t>
      </w:r>
      <w:r w:rsidRPr="00974501">
        <w:rPr>
          <w:rFonts w:ascii="Times New Roman" w:eastAsia="New Baskerville" w:hAnsi="Times New Roman" w:cs="Times New Roman"/>
          <w:sz w:val="24"/>
          <w:szCs w:val="24"/>
          <w:lang w:eastAsia="it-IT"/>
        </w:rPr>
        <w:t>uropea</w:t>
      </w:r>
      <w:r w:rsidR="00784FF7">
        <w:rPr>
          <w:rFonts w:ascii="Times New Roman" w:eastAsia="New Baskerville" w:hAnsi="Times New Roman" w:cs="Times New Roman"/>
          <w:sz w:val="24"/>
          <w:szCs w:val="24"/>
          <w:lang w:eastAsia="it-IT"/>
        </w:rPr>
        <w:t xml:space="preserve"> e</w:t>
      </w:r>
      <w:r w:rsidRPr="00974501">
        <w:rPr>
          <w:rFonts w:ascii="Times New Roman" w:eastAsia="New Baskerville" w:hAnsi="Times New Roman" w:cs="Times New Roman"/>
          <w:sz w:val="24"/>
          <w:szCs w:val="24"/>
          <w:lang w:eastAsia="it-IT"/>
        </w:rPr>
        <w:t xml:space="preserve"> del </w:t>
      </w:r>
      <w:r w:rsidR="00784FF7">
        <w:rPr>
          <w:rFonts w:ascii="Times New Roman" w:eastAsia="New Baskerville" w:hAnsi="Times New Roman" w:cs="Times New Roman"/>
          <w:sz w:val="24"/>
          <w:szCs w:val="24"/>
          <w:lang w:eastAsia="it-IT"/>
        </w:rPr>
        <w:t>giudice amministrativo italiano</w:t>
      </w:r>
      <w:r w:rsidRPr="00974501">
        <w:rPr>
          <w:rFonts w:ascii="Times New Roman" w:eastAsia="New Baskerville" w:hAnsi="Times New Roman" w:cs="Times New Roman"/>
          <w:sz w:val="24"/>
          <w:szCs w:val="24"/>
          <w:lang w:eastAsia="it-IT"/>
        </w:rPr>
        <w:t>, nonché al nuovo quadro normativo in materia di protezione dei dati introdotto da</w:t>
      </w:r>
      <w:r w:rsidR="008F5C52" w:rsidRPr="00974501">
        <w:rPr>
          <w:rFonts w:ascii="Times New Roman" w:eastAsia="New Baskerville" w:hAnsi="Times New Roman" w:cs="Times New Roman"/>
          <w:sz w:val="24"/>
          <w:szCs w:val="24"/>
          <w:lang w:eastAsia="it-IT"/>
        </w:rPr>
        <w:t xml:space="preserve">l </w:t>
      </w:r>
      <w:r w:rsidR="00897312">
        <w:rPr>
          <w:rFonts w:ascii="Times New Roman" w:eastAsia="New Baskerville" w:hAnsi="Times New Roman" w:cs="Times New Roman"/>
          <w:sz w:val="24"/>
          <w:szCs w:val="24"/>
          <w:lang w:eastAsia="it-IT"/>
        </w:rPr>
        <w:t>r</w:t>
      </w:r>
      <w:r w:rsidR="008F5C52" w:rsidRPr="00974501">
        <w:rPr>
          <w:rFonts w:ascii="Times New Roman" w:eastAsia="New Baskerville" w:hAnsi="Times New Roman" w:cs="Times New Roman"/>
          <w:sz w:val="24"/>
          <w:szCs w:val="24"/>
          <w:lang w:eastAsia="it-IT"/>
        </w:rPr>
        <w:t>egolamento (UE) n. 679/2016</w:t>
      </w:r>
      <w:r w:rsidRPr="00974501">
        <w:rPr>
          <w:rFonts w:ascii="Times New Roman" w:eastAsia="New Baskerville" w:hAnsi="Times New Roman" w:cs="Times New Roman"/>
          <w:sz w:val="24"/>
          <w:szCs w:val="24"/>
          <w:lang w:eastAsia="it-IT"/>
        </w:rPr>
        <w:t xml:space="preserve">. </w:t>
      </w:r>
    </w:p>
    <w:p w:rsidR="00897312" w:rsidRDefault="003B6AAF"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Il diniego dell’accesso non è </w:t>
      </w:r>
      <w:r w:rsidR="00D865F0" w:rsidRPr="00974501">
        <w:rPr>
          <w:rFonts w:ascii="Times New Roman" w:eastAsia="New Baskerville" w:hAnsi="Times New Roman" w:cs="Times New Roman"/>
          <w:sz w:val="24"/>
          <w:szCs w:val="24"/>
          <w:lang w:eastAsia="it-IT"/>
        </w:rPr>
        <w:t>quindi</w:t>
      </w:r>
      <w:r w:rsidR="008B5F3E" w:rsidRPr="00974501">
        <w:rPr>
          <w:rFonts w:ascii="Times New Roman" w:eastAsia="New Baskerville" w:hAnsi="Times New Roman" w:cs="Times New Roman"/>
          <w:sz w:val="24"/>
          <w:szCs w:val="24"/>
          <w:lang w:eastAsia="it-IT"/>
        </w:rPr>
        <w:t xml:space="preserve"> </w:t>
      </w:r>
      <w:r w:rsidRPr="00974501">
        <w:rPr>
          <w:rFonts w:ascii="Times New Roman" w:eastAsia="New Baskerville" w:hAnsi="Times New Roman" w:cs="Times New Roman"/>
          <w:sz w:val="24"/>
          <w:szCs w:val="24"/>
          <w:lang w:eastAsia="it-IT"/>
        </w:rPr>
        <w:t>giustificato</w:t>
      </w:r>
      <w:r w:rsidR="00924E33" w:rsidRPr="00924E33">
        <w:rPr>
          <w:rFonts w:ascii="Times New Roman" w:eastAsia="New Baskerville" w:hAnsi="Times New Roman" w:cs="Times New Roman"/>
          <w:sz w:val="24"/>
          <w:szCs w:val="24"/>
          <w:lang w:eastAsia="it-IT"/>
        </w:rPr>
        <w:t xml:space="preserve"> </w:t>
      </w:r>
      <w:r w:rsidR="00924E33" w:rsidRPr="00974501">
        <w:rPr>
          <w:rFonts w:ascii="Times New Roman" w:eastAsia="New Baskerville" w:hAnsi="Times New Roman" w:cs="Times New Roman"/>
          <w:sz w:val="24"/>
          <w:szCs w:val="24"/>
          <w:lang w:eastAsia="it-IT"/>
        </w:rPr>
        <w:t>se</w:t>
      </w:r>
      <w:r w:rsidRPr="00974501">
        <w:rPr>
          <w:rFonts w:ascii="Times New Roman" w:eastAsia="New Baskerville" w:hAnsi="Times New Roman" w:cs="Times New Roman"/>
          <w:sz w:val="24"/>
          <w:szCs w:val="24"/>
          <w:lang w:eastAsia="it-IT"/>
        </w:rPr>
        <w:t>, ai fini della protezione di tale interesse</w:t>
      </w:r>
      <w:r w:rsidR="00897312">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è sufficiente il differimento dello stesso per la tutela degli interessi considerati dalla norma (art. 5-</w:t>
      </w:r>
      <w:r w:rsidRPr="00974501">
        <w:rPr>
          <w:rFonts w:ascii="Times New Roman" w:eastAsia="New Baskerville" w:hAnsi="Times New Roman" w:cs="Times New Roman"/>
          <w:i/>
          <w:sz w:val="24"/>
          <w:szCs w:val="24"/>
          <w:lang w:eastAsia="it-IT"/>
        </w:rPr>
        <w:t>bis</w:t>
      </w:r>
      <w:r w:rsidRPr="00974501">
        <w:rPr>
          <w:rFonts w:ascii="Times New Roman" w:eastAsia="New Baskerville" w:hAnsi="Times New Roman" w:cs="Times New Roman"/>
          <w:sz w:val="24"/>
          <w:szCs w:val="24"/>
          <w:lang w:eastAsia="it-IT"/>
        </w:rPr>
        <w:t>, comma 5).</w:t>
      </w:r>
    </w:p>
    <w:p w:rsidR="00897312" w:rsidRDefault="003B6AAF"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I limiti operano </w:t>
      </w:r>
      <w:r w:rsidR="0086360F">
        <w:rPr>
          <w:rFonts w:ascii="Times New Roman" w:eastAsia="New Baskerville" w:hAnsi="Times New Roman" w:cs="Times New Roman"/>
          <w:sz w:val="24"/>
          <w:szCs w:val="24"/>
          <w:lang w:eastAsia="it-IT"/>
        </w:rPr>
        <w:t xml:space="preserve">quindi </w:t>
      </w:r>
      <w:r w:rsidRPr="00974501">
        <w:rPr>
          <w:rFonts w:ascii="Times New Roman" w:eastAsia="New Baskerville" w:hAnsi="Times New Roman" w:cs="Times New Roman"/>
          <w:sz w:val="24"/>
          <w:szCs w:val="24"/>
          <w:lang w:eastAsia="it-IT"/>
        </w:rPr>
        <w:t>nell’arco temporale nel quale la tutela è giustificata in relazione alla natura del dato, del documento o dell’informazione di cui si chiede l’</w:t>
      </w:r>
      <w:r w:rsidR="00D865F0" w:rsidRPr="00974501">
        <w:rPr>
          <w:rFonts w:ascii="Times New Roman" w:eastAsia="New Baskerville" w:hAnsi="Times New Roman" w:cs="Times New Roman"/>
          <w:sz w:val="24"/>
          <w:szCs w:val="24"/>
          <w:lang w:eastAsia="it-IT"/>
        </w:rPr>
        <w:t>accesso</w:t>
      </w:r>
      <w:r w:rsidRPr="00974501">
        <w:rPr>
          <w:rFonts w:ascii="Times New Roman" w:eastAsia="New Baskerville" w:hAnsi="Times New Roman" w:cs="Times New Roman"/>
          <w:sz w:val="24"/>
          <w:szCs w:val="24"/>
          <w:lang w:eastAsia="it-IT"/>
        </w:rPr>
        <w:t>.</w:t>
      </w:r>
    </w:p>
    <w:p w:rsidR="003B6AAF" w:rsidRPr="00974501" w:rsidRDefault="003B6AAF"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Allo stesso modo, l’amministrazione d</w:t>
      </w:r>
      <w:r w:rsidR="0086360F">
        <w:rPr>
          <w:rFonts w:ascii="Times New Roman" w:eastAsia="New Baskerville" w:hAnsi="Times New Roman" w:cs="Times New Roman"/>
          <w:sz w:val="24"/>
          <w:szCs w:val="24"/>
          <w:lang w:eastAsia="it-IT"/>
        </w:rPr>
        <w:t>eve</w:t>
      </w:r>
      <w:r w:rsidRPr="00974501">
        <w:rPr>
          <w:rFonts w:ascii="Times New Roman" w:eastAsia="New Baskerville" w:hAnsi="Times New Roman" w:cs="Times New Roman"/>
          <w:sz w:val="24"/>
          <w:szCs w:val="24"/>
          <w:lang w:eastAsia="it-IT"/>
        </w:rPr>
        <w:t xml:space="preserve"> consentire l’accesso parziale</w:t>
      </w:r>
      <w:r w:rsidR="0086360F">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utilizzando, se del caso, la tecnica dell’oscuramento di alcuni dati, qualora la protezione dell’interesse sotteso alla eccezione sia invece assicurato dal diniego di accesso di una parte soltanto di esso. In questo caso, l’amministrazione è tenuta a consentire l’access</w:t>
      </w:r>
      <w:r w:rsidR="00D865F0" w:rsidRPr="00974501">
        <w:rPr>
          <w:rFonts w:ascii="Times New Roman" w:eastAsia="New Baskerville" w:hAnsi="Times New Roman" w:cs="Times New Roman"/>
          <w:sz w:val="24"/>
          <w:szCs w:val="24"/>
          <w:lang w:eastAsia="it-IT"/>
        </w:rPr>
        <w:t>o alle parti restanti (art. 5-</w:t>
      </w:r>
      <w:r w:rsidRPr="00974501">
        <w:rPr>
          <w:rFonts w:ascii="Times New Roman" w:eastAsia="New Baskerville" w:hAnsi="Times New Roman" w:cs="Times New Roman"/>
          <w:i/>
          <w:sz w:val="24"/>
          <w:szCs w:val="24"/>
          <w:lang w:eastAsia="it-IT"/>
        </w:rPr>
        <w:t>bis</w:t>
      </w:r>
      <w:r w:rsidRPr="00974501">
        <w:rPr>
          <w:rFonts w:ascii="Times New Roman" w:eastAsia="New Baskerville" w:hAnsi="Times New Roman" w:cs="Times New Roman"/>
          <w:sz w:val="24"/>
          <w:szCs w:val="24"/>
          <w:lang w:eastAsia="it-IT"/>
        </w:rPr>
        <w:t>, comma 4, secondo alinea).</w:t>
      </w:r>
    </w:p>
    <w:p w:rsidR="003B6AAF" w:rsidRPr="00974501" w:rsidRDefault="0086360F"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Pertanto, la regola che ne consegue è che</w:t>
      </w:r>
      <w:r w:rsidR="00A0476D">
        <w:rPr>
          <w:rFonts w:ascii="Times New Roman" w:eastAsia="New Baskerville" w:hAnsi="Times New Roman" w:cs="Times New Roman"/>
          <w:sz w:val="24"/>
          <w:szCs w:val="24"/>
          <w:lang w:eastAsia="it-IT"/>
        </w:rPr>
        <w:t xml:space="preserve"> l</w:t>
      </w:r>
      <w:r w:rsidR="003B6AAF" w:rsidRPr="00974501">
        <w:rPr>
          <w:rFonts w:ascii="Times New Roman" w:eastAsia="New Baskerville" w:hAnsi="Times New Roman" w:cs="Times New Roman"/>
          <w:sz w:val="24"/>
          <w:szCs w:val="24"/>
          <w:lang w:eastAsia="it-IT"/>
        </w:rPr>
        <w:t xml:space="preserve">’amministrazione è </w:t>
      </w:r>
      <w:r>
        <w:rPr>
          <w:rFonts w:ascii="Times New Roman" w:eastAsia="New Baskerville" w:hAnsi="Times New Roman" w:cs="Times New Roman"/>
          <w:sz w:val="24"/>
          <w:szCs w:val="24"/>
          <w:lang w:eastAsia="it-IT"/>
        </w:rPr>
        <w:t xml:space="preserve">sempre </w:t>
      </w:r>
      <w:r w:rsidR="003B6AAF" w:rsidRPr="00974501">
        <w:rPr>
          <w:rFonts w:ascii="Times New Roman" w:eastAsia="New Baskerville" w:hAnsi="Times New Roman" w:cs="Times New Roman"/>
          <w:sz w:val="24"/>
          <w:szCs w:val="24"/>
          <w:lang w:eastAsia="it-IT"/>
        </w:rPr>
        <w:t xml:space="preserve">tenuta a privilegiare la scelta che, pur non oltrepassando i limiti di ciò che può essere ragionevolmente richiesto, sia la più favorevole al diritto di accesso del richiedente. </w:t>
      </w:r>
    </w:p>
    <w:p w:rsidR="003B6AAF" w:rsidRPr="00974501" w:rsidRDefault="00A0476D"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I</w:t>
      </w:r>
      <w:r w:rsidR="003B6AAF" w:rsidRPr="00974501">
        <w:rPr>
          <w:rFonts w:ascii="Times New Roman" w:eastAsia="New Baskerville" w:hAnsi="Times New Roman" w:cs="Times New Roman"/>
          <w:sz w:val="24"/>
          <w:szCs w:val="24"/>
          <w:lang w:eastAsia="it-IT"/>
        </w:rPr>
        <w:t>l principio di proporzionalità esige</w:t>
      </w:r>
      <w:r>
        <w:rPr>
          <w:rFonts w:ascii="Times New Roman" w:eastAsia="New Baskerville" w:hAnsi="Times New Roman" w:cs="Times New Roman"/>
          <w:sz w:val="24"/>
          <w:szCs w:val="24"/>
          <w:lang w:eastAsia="it-IT"/>
        </w:rPr>
        <w:t>, infatti,</w:t>
      </w:r>
      <w:r w:rsidR="003B6AAF" w:rsidRPr="00974501">
        <w:rPr>
          <w:rFonts w:ascii="Times New Roman" w:eastAsia="New Baskerville" w:hAnsi="Times New Roman" w:cs="Times New Roman"/>
          <w:sz w:val="24"/>
          <w:szCs w:val="24"/>
          <w:lang w:eastAsia="it-IT"/>
        </w:rPr>
        <w:t xml:space="preserve"> che le deroghe non eccedano quanto è adeguato e necessario per raggiungere lo scopo perseguito</w:t>
      </w:r>
      <w:r w:rsidR="000C6CFB" w:rsidRPr="00974501">
        <w:rPr>
          <w:rStyle w:val="Rimandonotaapidipagina"/>
          <w:rFonts w:ascii="Times New Roman" w:eastAsia="New Baskerville" w:hAnsi="Times New Roman" w:cs="Times New Roman"/>
          <w:sz w:val="24"/>
          <w:szCs w:val="24"/>
          <w:lang w:eastAsia="it-IT"/>
        </w:rPr>
        <w:footnoteReference w:id="21"/>
      </w:r>
      <w:r w:rsidR="003B6AAF" w:rsidRPr="00974501">
        <w:rPr>
          <w:rFonts w:ascii="Times New Roman" w:eastAsia="New Baskerville" w:hAnsi="Times New Roman" w:cs="Times New Roman"/>
          <w:sz w:val="24"/>
          <w:szCs w:val="24"/>
          <w:lang w:eastAsia="it-IT"/>
        </w:rPr>
        <w:t>.</w:t>
      </w:r>
    </w:p>
    <w:p w:rsidR="00D865F0" w:rsidRPr="00974501" w:rsidRDefault="00D865F0"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Ulteriori indicazioni operative si rinvengono nella circolare </w:t>
      </w:r>
      <w:r w:rsidR="005D1F92" w:rsidRPr="00974501">
        <w:rPr>
          <w:rFonts w:ascii="Times New Roman" w:eastAsia="New Baskerville" w:hAnsi="Times New Roman" w:cs="Times New Roman"/>
          <w:sz w:val="24"/>
          <w:szCs w:val="24"/>
          <w:lang w:eastAsia="it-IT"/>
        </w:rPr>
        <w:t xml:space="preserve">del Dipartimento della funzione pubblica </w:t>
      </w:r>
      <w:r w:rsidRPr="00974501">
        <w:rPr>
          <w:rFonts w:ascii="Times New Roman" w:eastAsia="New Baskerville" w:hAnsi="Times New Roman" w:cs="Times New Roman"/>
          <w:sz w:val="24"/>
          <w:szCs w:val="24"/>
          <w:lang w:eastAsia="it-IT"/>
        </w:rPr>
        <w:t>n. 2/2017</w:t>
      </w:r>
      <w:r w:rsidR="005D1F92" w:rsidRPr="00974501">
        <w:rPr>
          <w:rFonts w:ascii="Times New Roman" w:eastAsia="New Baskerville" w:hAnsi="Times New Roman" w:cs="Times New Roman"/>
          <w:sz w:val="24"/>
          <w:szCs w:val="24"/>
          <w:lang w:eastAsia="it-IT"/>
        </w:rPr>
        <w:t>.</w:t>
      </w:r>
    </w:p>
    <w:p w:rsidR="00D865F0" w:rsidRPr="00974501" w:rsidRDefault="00A0476D"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In essa viene opportunamente</w:t>
      </w:r>
      <w:r w:rsidR="00D865F0" w:rsidRPr="00974501">
        <w:rPr>
          <w:rFonts w:ascii="Times New Roman" w:eastAsia="New Baskerville" w:hAnsi="Times New Roman" w:cs="Times New Roman"/>
          <w:sz w:val="24"/>
          <w:szCs w:val="24"/>
          <w:lang w:eastAsia="it-IT"/>
        </w:rPr>
        <w:t xml:space="preserve"> precisato che, </w:t>
      </w:r>
      <w:r w:rsidR="00833A7E">
        <w:rPr>
          <w:rFonts w:ascii="Times New Roman" w:eastAsia="New Baskerville" w:hAnsi="Times New Roman" w:cs="Times New Roman"/>
          <w:sz w:val="24"/>
          <w:szCs w:val="24"/>
          <w:lang w:eastAsia="it-IT"/>
        </w:rPr>
        <w:t>ai fini d</w:t>
      </w:r>
      <w:r w:rsidR="00D865F0" w:rsidRPr="00974501">
        <w:rPr>
          <w:rFonts w:ascii="Times New Roman" w:eastAsia="New Baskerville" w:hAnsi="Times New Roman" w:cs="Times New Roman"/>
          <w:sz w:val="24"/>
          <w:szCs w:val="24"/>
          <w:lang w:eastAsia="it-IT"/>
        </w:rPr>
        <w:t>ella trattazione delle istanze</w:t>
      </w:r>
      <w:r>
        <w:rPr>
          <w:rFonts w:ascii="Times New Roman" w:eastAsia="New Baskerville" w:hAnsi="Times New Roman" w:cs="Times New Roman"/>
          <w:sz w:val="24"/>
          <w:szCs w:val="24"/>
          <w:lang w:eastAsia="it-IT"/>
        </w:rPr>
        <w:t xml:space="preserve"> di accesso civico</w:t>
      </w:r>
      <w:r w:rsidR="00D865F0" w:rsidRPr="00974501">
        <w:rPr>
          <w:rFonts w:ascii="Times New Roman" w:eastAsia="New Baskerville" w:hAnsi="Times New Roman" w:cs="Times New Roman"/>
          <w:sz w:val="24"/>
          <w:szCs w:val="24"/>
          <w:lang w:eastAsia="it-IT"/>
        </w:rPr>
        <w:t xml:space="preserve">, </w:t>
      </w:r>
      <w:r w:rsidR="003B6AAF" w:rsidRPr="00974501">
        <w:rPr>
          <w:rFonts w:ascii="Times New Roman" w:eastAsia="New Baskerville" w:hAnsi="Times New Roman" w:cs="Times New Roman"/>
          <w:sz w:val="24"/>
          <w:szCs w:val="24"/>
          <w:lang w:eastAsia="it-IT"/>
        </w:rPr>
        <w:t>la parte pubblica d</w:t>
      </w:r>
      <w:r w:rsidR="00D865F0" w:rsidRPr="00974501">
        <w:rPr>
          <w:rFonts w:ascii="Times New Roman" w:eastAsia="New Baskerville" w:hAnsi="Times New Roman" w:cs="Times New Roman"/>
          <w:sz w:val="24"/>
          <w:szCs w:val="24"/>
          <w:lang w:eastAsia="it-IT"/>
        </w:rPr>
        <w:t>eve</w:t>
      </w:r>
      <w:r w:rsidR="003B6AAF" w:rsidRPr="00974501">
        <w:rPr>
          <w:rFonts w:ascii="Times New Roman" w:eastAsia="New Baskerville" w:hAnsi="Times New Roman" w:cs="Times New Roman"/>
          <w:sz w:val="24"/>
          <w:szCs w:val="24"/>
          <w:lang w:eastAsia="it-IT"/>
        </w:rPr>
        <w:t xml:space="preserve"> attenersi ad alcuni princ</w:t>
      </w:r>
      <w:r w:rsidR="00833A7E">
        <w:rPr>
          <w:rFonts w:ascii="Times New Roman" w:eastAsia="New Baskerville" w:hAnsi="Times New Roman" w:cs="Times New Roman"/>
          <w:sz w:val="24"/>
          <w:szCs w:val="24"/>
          <w:lang w:eastAsia="it-IT"/>
        </w:rPr>
        <w:t>ì</w:t>
      </w:r>
      <w:r w:rsidR="003B6AAF" w:rsidRPr="00974501">
        <w:rPr>
          <w:rFonts w:ascii="Times New Roman" w:eastAsia="New Baskerville" w:hAnsi="Times New Roman" w:cs="Times New Roman"/>
          <w:sz w:val="24"/>
          <w:szCs w:val="24"/>
          <w:lang w:eastAsia="it-IT"/>
        </w:rPr>
        <w:t>pi di fondo:</w:t>
      </w:r>
      <w:r w:rsidR="00D865F0" w:rsidRPr="00974501">
        <w:rPr>
          <w:rFonts w:ascii="Times New Roman" w:eastAsia="New Baskerville" w:hAnsi="Times New Roman" w:cs="Times New Roman"/>
          <w:sz w:val="24"/>
          <w:szCs w:val="24"/>
          <w:lang w:eastAsia="it-IT"/>
        </w:rPr>
        <w:t xml:space="preserve"> </w:t>
      </w:r>
      <w:r w:rsidR="003B6AAF" w:rsidRPr="00974501">
        <w:rPr>
          <w:rFonts w:ascii="Times New Roman" w:eastAsia="New Baskerville" w:hAnsi="Times New Roman" w:cs="Times New Roman"/>
          <w:i/>
          <w:sz w:val="24"/>
          <w:szCs w:val="24"/>
          <w:lang w:eastAsia="it-IT"/>
        </w:rPr>
        <w:t>1)</w:t>
      </w:r>
      <w:r w:rsidR="003B6AAF" w:rsidRPr="00974501">
        <w:rPr>
          <w:rFonts w:ascii="Times New Roman" w:eastAsia="New Baskerville" w:hAnsi="Times New Roman" w:cs="Times New Roman"/>
          <w:sz w:val="24"/>
          <w:szCs w:val="24"/>
          <w:lang w:eastAsia="it-IT"/>
        </w:rPr>
        <w:t xml:space="preserve"> tutela preferenziale dell’interesse conoscitivo;</w:t>
      </w:r>
      <w:r w:rsidR="00D865F0" w:rsidRPr="00974501">
        <w:rPr>
          <w:rFonts w:ascii="Times New Roman" w:eastAsia="New Baskerville" w:hAnsi="Times New Roman" w:cs="Times New Roman"/>
          <w:sz w:val="24"/>
          <w:szCs w:val="24"/>
          <w:lang w:eastAsia="it-IT"/>
        </w:rPr>
        <w:t xml:space="preserve"> </w:t>
      </w:r>
      <w:r w:rsidR="003B6AAF" w:rsidRPr="00974501">
        <w:rPr>
          <w:rFonts w:ascii="Times New Roman" w:eastAsia="New Baskerville" w:hAnsi="Times New Roman" w:cs="Times New Roman"/>
          <w:i/>
          <w:sz w:val="24"/>
          <w:szCs w:val="24"/>
          <w:lang w:eastAsia="it-IT"/>
        </w:rPr>
        <w:t>2)</w:t>
      </w:r>
      <w:r w:rsidR="003B6AAF" w:rsidRPr="00974501">
        <w:rPr>
          <w:rFonts w:ascii="Times New Roman" w:eastAsia="New Baskerville" w:hAnsi="Times New Roman" w:cs="Times New Roman"/>
          <w:sz w:val="24"/>
          <w:szCs w:val="24"/>
          <w:lang w:eastAsia="it-IT"/>
        </w:rPr>
        <w:t xml:space="preserve"> minor</w:t>
      </w:r>
      <w:r w:rsidR="00D865F0" w:rsidRPr="00974501">
        <w:rPr>
          <w:rFonts w:ascii="Times New Roman" w:eastAsia="New Baskerville" w:hAnsi="Times New Roman" w:cs="Times New Roman"/>
          <w:sz w:val="24"/>
          <w:szCs w:val="24"/>
          <w:lang w:eastAsia="it-IT"/>
        </w:rPr>
        <w:t>e</w:t>
      </w:r>
      <w:r w:rsidR="003B6AAF" w:rsidRPr="00974501">
        <w:rPr>
          <w:rFonts w:ascii="Times New Roman" w:eastAsia="New Baskerville" w:hAnsi="Times New Roman" w:cs="Times New Roman"/>
          <w:sz w:val="24"/>
          <w:szCs w:val="24"/>
          <w:lang w:eastAsia="it-IT"/>
        </w:rPr>
        <w:t xml:space="preserve"> aggravio possibile nell’esercizio del diritto: le amministrazioni non possono pretendere dal richiedente l’adempimento di formalità o oneri procedurali, ponendoli come condizioni di ammissibilità della domanda di accesso;</w:t>
      </w:r>
      <w:r w:rsidR="00D865F0" w:rsidRPr="00974501">
        <w:rPr>
          <w:rFonts w:ascii="Times New Roman" w:eastAsia="New Baskerville" w:hAnsi="Times New Roman" w:cs="Times New Roman"/>
          <w:sz w:val="24"/>
          <w:szCs w:val="24"/>
          <w:lang w:eastAsia="it-IT"/>
        </w:rPr>
        <w:t xml:space="preserve"> </w:t>
      </w:r>
      <w:r w:rsidR="003B6AAF" w:rsidRPr="00974501">
        <w:rPr>
          <w:rFonts w:ascii="Times New Roman" w:eastAsia="New Baskerville" w:hAnsi="Times New Roman" w:cs="Times New Roman"/>
          <w:i/>
          <w:sz w:val="24"/>
          <w:szCs w:val="24"/>
          <w:lang w:eastAsia="it-IT"/>
        </w:rPr>
        <w:t>3)</w:t>
      </w:r>
      <w:r w:rsidR="003B6AAF" w:rsidRPr="00974501">
        <w:rPr>
          <w:rFonts w:ascii="Times New Roman" w:eastAsia="New Baskerville" w:hAnsi="Times New Roman" w:cs="Times New Roman"/>
          <w:sz w:val="24"/>
          <w:szCs w:val="24"/>
          <w:lang w:eastAsia="it-IT"/>
        </w:rPr>
        <w:t xml:space="preserve"> </w:t>
      </w:r>
      <w:r w:rsidR="00D865F0" w:rsidRPr="00974501">
        <w:rPr>
          <w:rFonts w:ascii="Times New Roman" w:eastAsia="New Baskerville" w:hAnsi="Times New Roman" w:cs="Times New Roman"/>
          <w:sz w:val="24"/>
          <w:szCs w:val="24"/>
          <w:lang w:eastAsia="it-IT"/>
        </w:rPr>
        <w:t>l</w:t>
      </w:r>
      <w:r w:rsidR="003B6AAF" w:rsidRPr="00974501">
        <w:rPr>
          <w:rFonts w:ascii="Times New Roman" w:eastAsia="New Baskerville" w:hAnsi="Times New Roman" w:cs="Times New Roman"/>
          <w:sz w:val="24"/>
          <w:szCs w:val="24"/>
          <w:lang w:eastAsia="it-IT"/>
        </w:rPr>
        <w:t>imite all’adozione di regolamenti</w:t>
      </w:r>
      <w:r w:rsidR="00D865F0" w:rsidRPr="00974501">
        <w:rPr>
          <w:rFonts w:ascii="Times New Roman" w:eastAsia="New Baskerville" w:hAnsi="Times New Roman" w:cs="Times New Roman"/>
          <w:sz w:val="24"/>
          <w:szCs w:val="24"/>
          <w:lang w:eastAsia="it-IT"/>
        </w:rPr>
        <w:t>, circolari o altri atti interni.</w:t>
      </w:r>
    </w:p>
    <w:p w:rsidR="00D865F0" w:rsidRPr="00974501" w:rsidRDefault="00D865F0"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Sotto il primo aspetto, si rimarca come “nei sistemi FOIA, il diritto di accesso va applicato</w:t>
      </w:r>
      <w:r w:rsidR="00942FCB">
        <w:rPr>
          <w:rFonts w:ascii="Times New Roman" w:eastAsia="New Baskerville" w:hAnsi="Times New Roman" w:cs="Times New Roman"/>
          <w:sz w:val="24"/>
          <w:szCs w:val="24"/>
          <w:lang w:eastAsia="it-IT"/>
        </w:rPr>
        <w:t>,</w:t>
      </w:r>
      <w:r w:rsidRPr="00974501">
        <w:rPr>
          <w:rFonts w:ascii="Times New Roman" w:eastAsia="New Baskerville" w:hAnsi="Times New Roman" w:cs="Times New Roman"/>
          <w:sz w:val="24"/>
          <w:szCs w:val="24"/>
          <w:lang w:eastAsia="it-IT"/>
        </w:rPr>
        <w:t xml:space="preserve"> tenendo conto della tutela preferenziale dell’interesse a conoscere. Pertanto, nei casi di dubbio circa l’applicabilità di una eccezione, le amministrazioni dovrebbero dare prevalenza all’interesse conoscitivo che la richiesta mira a soddisfare”.</w:t>
      </w:r>
    </w:p>
    <w:p w:rsidR="00D865F0" w:rsidRPr="00974501" w:rsidRDefault="00942FCB"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In tal modo</w:t>
      </w:r>
      <w:r w:rsidR="00D865F0" w:rsidRPr="00974501">
        <w:rPr>
          <w:rFonts w:ascii="Times New Roman" w:eastAsia="New Baskerville" w:hAnsi="Times New Roman" w:cs="Times New Roman"/>
          <w:sz w:val="24"/>
          <w:szCs w:val="24"/>
          <w:lang w:eastAsia="it-IT"/>
        </w:rPr>
        <w:t>, l’amministrazione è tenuta a consentire l’accesso generalizzato</w:t>
      </w:r>
      <w:r>
        <w:rPr>
          <w:rFonts w:ascii="Times New Roman" w:eastAsia="New Baskerville" w:hAnsi="Times New Roman" w:cs="Times New Roman"/>
          <w:sz w:val="24"/>
          <w:szCs w:val="24"/>
          <w:lang w:eastAsia="it-IT"/>
        </w:rPr>
        <w:t>,</w:t>
      </w:r>
      <w:r w:rsidR="00D865F0" w:rsidRPr="00974501">
        <w:rPr>
          <w:rFonts w:ascii="Times New Roman" w:eastAsia="New Baskerville" w:hAnsi="Times New Roman" w:cs="Times New Roman"/>
          <w:sz w:val="24"/>
          <w:szCs w:val="24"/>
          <w:lang w:eastAsia="it-IT"/>
        </w:rPr>
        <w:t xml:space="preserve"> anche quando riguarda un numero cospicuo di documenti ed informazioni, a meno che la richiesta risulti manifestamente irragionevole, tale cioè da comportare un carico di lavoro in grado di interferire con il buon funzionamento dell’amministrazione. Tali circostanze, adeguatamente motivate nel provvedimento di rifiuto, devono essere individuate secondo un criterio di stretta interpretazione, ed in presenza di oggettive condizioni suscettibili di pregiudicare in modo serio ed immediato il buon funzionamento dell’amministrazione. L’irragionevolezza della richiesta è manifesta soltanto quando è evidente che un’accurata trattazione della stessa comporterebbe per l’amministrazione un onere tale da compromettere il buon andamento della sua azione. Il carattere palese del pregiudizio serio e immediato al buon funzionamento dell’amministrazione va motivato in relazione ai criteri sopra indicati. </w:t>
      </w:r>
    </w:p>
    <w:p w:rsidR="00D865F0" w:rsidRPr="00974501" w:rsidRDefault="009F278A"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L’opportunità</w:t>
      </w:r>
      <w:r w:rsidR="00833A7E">
        <w:rPr>
          <w:rFonts w:ascii="Times New Roman" w:eastAsia="New Baskerville" w:hAnsi="Times New Roman" w:cs="Times New Roman"/>
          <w:sz w:val="24"/>
          <w:szCs w:val="24"/>
          <w:lang w:eastAsia="it-IT"/>
        </w:rPr>
        <w:t xml:space="preserve"> di una valutazione della ‘ragionevolezza’ della richiesta</w:t>
      </w:r>
      <w:r w:rsidR="00942FCB">
        <w:rPr>
          <w:rFonts w:ascii="Times New Roman" w:eastAsia="New Baskerville" w:hAnsi="Times New Roman" w:cs="Times New Roman"/>
          <w:sz w:val="24"/>
          <w:szCs w:val="24"/>
          <w:lang w:eastAsia="it-IT"/>
        </w:rPr>
        <w:t xml:space="preserve"> potrebbe apparire un controsenso, atteso che</w:t>
      </w:r>
      <w:r w:rsidR="00D865F0" w:rsidRPr="00974501">
        <w:rPr>
          <w:rFonts w:ascii="Times New Roman" w:eastAsia="New Baskerville" w:hAnsi="Times New Roman" w:cs="Times New Roman"/>
          <w:sz w:val="24"/>
          <w:szCs w:val="24"/>
          <w:lang w:eastAsia="it-IT"/>
        </w:rPr>
        <w:t xml:space="preserve">, </w:t>
      </w:r>
      <w:r w:rsidR="00942FCB">
        <w:rPr>
          <w:rFonts w:ascii="Times New Roman" w:eastAsia="New Baskerville" w:hAnsi="Times New Roman" w:cs="Times New Roman"/>
          <w:sz w:val="24"/>
          <w:szCs w:val="24"/>
          <w:lang w:eastAsia="it-IT"/>
        </w:rPr>
        <w:t>a differenza del</w:t>
      </w:r>
      <w:r w:rsidR="00D865F0" w:rsidRPr="00974501">
        <w:rPr>
          <w:rFonts w:ascii="Times New Roman" w:eastAsia="New Baskerville" w:hAnsi="Times New Roman" w:cs="Times New Roman"/>
          <w:sz w:val="24"/>
          <w:szCs w:val="24"/>
          <w:lang w:eastAsia="it-IT"/>
        </w:rPr>
        <w:t>la legge n. 241/1990</w:t>
      </w:r>
      <w:r w:rsidR="00942FCB">
        <w:rPr>
          <w:rFonts w:ascii="Times New Roman" w:eastAsia="New Baskerville" w:hAnsi="Times New Roman" w:cs="Times New Roman"/>
          <w:sz w:val="24"/>
          <w:szCs w:val="24"/>
          <w:lang w:eastAsia="it-IT"/>
        </w:rPr>
        <w:t>, che</w:t>
      </w:r>
      <w:r w:rsidR="00D865F0" w:rsidRPr="00974501">
        <w:rPr>
          <w:rFonts w:ascii="Times New Roman" w:eastAsia="New Baskerville" w:hAnsi="Times New Roman" w:cs="Times New Roman"/>
          <w:sz w:val="24"/>
          <w:szCs w:val="24"/>
          <w:lang w:eastAsia="it-IT"/>
        </w:rPr>
        <w:t xml:space="preserve"> esclude espressamente l’utilizzabilità del diritto di accesso per sottoporre l’amministrazione a un controllo generalizzato, il diritto di accesso generalizzato è riconosciuto proprio “allo scopo di favorire forme diffuse di controllo sul perseguimento delle funzioni istituzionali e sull’utilizzo delle risorse pubbliche e di promuovere la partecipazione al dibattito pubblico”.</w:t>
      </w:r>
    </w:p>
    <w:p w:rsidR="00D865F0" w:rsidRPr="00974501" w:rsidRDefault="00942FCB"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T</w:t>
      </w:r>
      <w:r w:rsidR="00D865F0" w:rsidRPr="00974501">
        <w:rPr>
          <w:rFonts w:ascii="Times New Roman" w:eastAsia="New Baskerville" w:hAnsi="Times New Roman" w:cs="Times New Roman"/>
          <w:sz w:val="24"/>
          <w:szCs w:val="24"/>
          <w:lang w:eastAsia="it-IT"/>
        </w:rPr>
        <w:t>uttavia</w:t>
      </w:r>
      <w:r>
        <w:rPr>
          <w:rFonts w:ascii="Times New Roman" w:eastAsia="New Baskerville" w:hAnsi="Times New Roman" w:cs="Times New Roman"/>
          <w:sz w:val="24"/>
          <w:szCs w:val="24"/>
          <w:lang w:eastAsia="it-IT"/>
        </w:rPr>
        <w:t>, risulta</w:t>
      </w:r>
      <w:r w:rsidR="00D865F0" w:rsidRPr="00974501">
        <w:rPr>
          <w:rFonts w:ascii="Times New Roman" w:eastAsia="New Baskerville" w:hAnsi="Times New Roman" w:cs="Times New Roman"/>
          <w:sz w:val="24"/>
          <w:szCs w:val="24"/>
          <w:lang w:eastAsia="it-IT"/>
        </w:rPr>
        <w:t xml:space="preserve"> evidente che, anche l’istituto dell’accesso generalizzato, proprio perché attiene a dati o documenti “ulteriori” rispetto a quelli obbligatori, “non può essere utilizzato in modo disfunzionale rispetto alla predetta finalità [di tutela dei diritti dei cittadini e di promozione della partecipazione degli interessati all’attività amministrativa</w:t>
      </w:r>
      <w:r>
        <w:rPr>
          <w:rFonts w:ascii="Times New Roman" w:eastAsia="New Baskerville" w:hAnsi="Times New Roman" w:cs="Times New Roman"/>
          <w:sz w:val="24"/>
          <w:szCs w:val="24"/>
          <w:lang w:eastAsia="it-IT"/>
        </w:rPr>
        <w:t xml:space="preserve">, </w:t>
      </w:r>
      <w:proofErr w:type="spellStart"/>
      <w:r w:rsidRPr="00942FCB">
        <w:rPr>
          <w:rFonts w:ascii="Times New Roman" w:eastAsia="New Baskerville" w:hAnsi="Times New Roman" w:cs="Times New Roman"/>
          <w:i/>
          <w:sz w:val="24"/>
          <w:szCs w:val="24"/>
          <w:lang w:eastAsia="it-IT"/>
        </w:rPr>
        <w:t>n.d.a.</w:t>
      </w:r>
      <w:proofErr w:type="spellEnd"/>
      <w:r w:rsidR="00D865F0" w:rsidRPr="00974501">
        <w:rPr>
          <w:rFonts w:ascii="Times New Roman" w:eastAsia="New Baskerville" w:hAnsi="Times New Roman" w:cs="Times New Roman"/>
          <w:sz w:val="24"/>
          <w:szCs w:val="24"/>
          <w:lang w:eastAsia="it-IT"/>
        </w:rPr>
        <w:t xml:space="preserve">] ed essere trasformato in una causa di intralcio al buon funzionamento dell’amministrazione. La valutazione dell’utilizzo secondo buona fede va operata caso per caso, al fine di garantire – in un delicato bilanciamento – che, da un lato, non venga obliterata l’applicazione dell’istituto, dall’altro lo stesso non determini una sorta di effetto </w:t>
      </w:r>
      <w:r w:rsidR="00D865F0" w:rsidRPr="00974501">
        <w:rPr>
          <w:rFonts w:ascii="Times New Roman" w:eastAsia="New Baskerville" w:hAnsi="Times New Roman" w:cs="Times New Roman"/>
          <w:i/>
          <w:sz w:val="24"/>
          <w:szCs w:val="24"/>
          <w:lang w:eastAsia="it-IT"/>
        </w:rPr>
        <w:t>boomerang</w:t>
      </w:r>
      <w:r w:rsidR="00D865F0" w:rsidRPr="00974501">
        <w:rPr>
          <w:rFonts w:ascii="Times New Roman" w:eastAsia="New Baskerville" w:hAnsi="Times New Roman" w:cs="Times New Roman"/>
          <w:sz w:val="24"/>
          <w:szCs w:val="24"/>
          <w:lang w:eastAsia="it-IT"/>
        </w:rPr>
        <w:t xml:space="preserve"> sull’efficienza dell’</w:t>
      </w:r>
      <w:r>
        <w:rPr>
          <w:rFonts w:ascii="Times New Roman" w:eastAsia="New Baskerville" w:hAnsi="Times New Roman" w:cs="Times New Roman"/>
          <w:sz w:val="24"/>
          <w:szCs w:val="24"/>
          <w:lang w:eastAsia="it-IT"/>
        </w:rPr>
        <w:t>a</w:t>
      </w:r>
      <w:r w:rsidR="00D865F0" w:rsidRPr="00974501">
        <w:rPr>
          <w:rFonts w:ascii="Times New Roman" w:eastAsia="New Baskerville" w:hAnsi="Times New Roman" w:cs="Times New Roman"/>
          <w:sz w:val="24"/>
          <w:szCs w:val="24"/>
          <w:lang w:eastAsia="it-IT"/>
        </w:rPr>
        <w:t>mministrazione”</w:t>
      </w:r>
      <w:r w:rsidR="0087364C" w:rsidRPr="00974501">
        <w:rPr>
          <w:rStyle w:val="Rimandonotaapidipagina"/>
          <w:rFonts w:ascii="Times New Roman" w:eastAsia="New Baskerville" w:hAnsi="Times New Roman" w:cs="Times New Roman"/>
          <w:sz w:val="24"/>
          <w:szCs w:val="24"/>
          <w:lang w:eastAsia="it-IT"/>
        </w:rPr>
        <w:footnoteReference w:id="22"/>
      </w:r>
      <w:r w:rsidR="00D865F0" w:rsidRPr="00974501">
        <w:rPr>
          <w:rFonts w:ascii="Times New Roman" w:eastAsia="New Baskerville" w:hAnsi="Times New Roman" w:cs="Times New Roman"/>
          <w:sz w:val="24"/>
          <w:szCs w:val="24"/>
          <w:lang w:eastAsia="it-IT"/>
        </w:rPr>
        <w:t>.</w:t>
      </w:r>
    </w:p>
    <w:p w:rsidR="00D865F0" w:rsidRPr="00974501" w:rsidRDefault="00D865F0"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 xml:space="preserve">Sotto il secondo aspetto, la circolare </w:t>
      </w:r>
      <w:r w:rsidR="00A0476D">
        <w:rPr>
          <w:rFonts w:ascii="Times New Roman" w:eastAsia="New Baskerville" w:hAnsi="Times New Roman" w:cs="Times New Roman"/>
          <w:sz w:val="24"/>
          <w:szCs w:val="24"/>
          <w:lang w:eastAsia="it-IT"/>
        </w:rPr>
        <w:t>raccomanda</w:t>
      </w:r>
      <w:r w:rsidRPr="00974501">
        <w:rPr>
          <w:rFonts w:ascii="Times New Roman" w:eastAsia="New Baskerville" w:hAnsi="Times New Roman" w:cs="Times New Roman"/>
          <w:sz w:val="24"/>
          <w:szCs w:val="24"/>
          <w:lang w:eastAsia="it-IT"/>
        </w:rPr>
        <w:t xml:space="preserve"> c</w:t>
      </w:r>
      <w:r w:rsidR="00A0476D">
        <w:rPr>
          <w:rFonts w:ascii="Times New Roman" w:eastAsia="New Baskerville" w:hAnsi="Times New Roman" w:cs="Times New Roman"/>
          <w:sz w:val="24"/>
          <w:szCs w:val="24"/>
          <w:lang w:eastAsia="it-IT"/>
        </w:rPr>
        <w:t>om</w:t>
      </w:r>
      <w:r w:rsidRPr="00974501">
        <w:rPr>
          <w:rFonts w:ascii="Times New Roman" w:eastAsia="New Baskerville" w:hAnsi="Times New Roman" w:cs="Times New Roman"/>
          <w:sz w:val="24"/>
          <w:szCs w:val="24"/>
          <w:lang w:eastAsia="it-IT"/>
        </w:rPr>
        <w:t>e “l’amministrazione, prima di decidere sulla domanda, dovrebbe contattare il richiedente e assisterlo nel tentativo di ridefinire l’oggetto della richiesta entro limiti compatibili con i principi di buon andamento e di proporzionalità. Soltanto qualora il richiedente non intenda riformulare la richiesta entro i predetti limiti, il diniego potrebbe considerarsi fondato, ma nella motivazione del diniego l’amministrazione non dovrebbe limitarsi ad asserire genericamente la manifesta irragionevolezza della richiesta, bensì fornire una adeguata prova, in relazione agli elementi sopra richiamati, circa la manifesta irragionevolezza dell’onere che una accurata trattazione della domanda comporterebbe. I medesimi principi sono applicabili all’ipotesi in cui uno stesso soggetto (o una pluralità di soggetti riconducibili a un medesimo ente) proponga più domande entro un periodo di tempo limitato. In questo caso, l’amministrazione potrebbe valutare l’impatto cumulativo delle predette domande sul buon andamento della sua azione e, nel caso di manifesta irragionevolezza dell’onere complessivo che ne deriva, motivare il diniego nei termini sopra indicati”.</w:t>
      </w:r>
    </w:p>
    <w:p w:rsidR="003B6AAF" w:rsidRPr="00974501" w:rsidRDefault="00382856"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Riguard</w:t>
      </w:r>
      <w:r w:rsidR="00D865F0" w:rsidRPr="00974501">
        <w:rPr>
          <w:rFonts w:ascii="Times New Roman" w:eastAsia="New Baskerville" w:hAnsi="Times New Roman" w:cs="Times New Roman"/>
          <w:sz w:val="24"/>
          <w:szCs w:val="24"/>
          <w:lang w:eastAsia="it-IT"/>
        </w:rPr>
        <w:t>o</w:t>
      </w:r>
      <w:r>
        <w:rPr>
          <w:rFonts w:ascii="Times New Roman" w:eastAsia="New Baskerville" w:hAnsi="Times New Roman" w:cs="Times New Roman"/>
          <w:sz w:val="24"/>
          <w:szCs w:val="24"/>
          <w:lang w:eastAsia="it-IT"/>
        </w:rPr>
        <w:t xml:space="preserve"> al</w:t>
      </w:r>
      <w:r w:rsidR="00F44D2E" w:rsidRPr="00974501">
        <w:rPr>
          <w:rFonts w:ascii="Times New Roman" w:eastAsia="New Baskerville" w:hAnsi="Times New Roman" w:cs="Times New Roman"/>
          <w:sz w:val="24"/>
          <w:szCs w:val="24"/>
          <w:lang w:eastAsia="it-IT"/>
        </w:rPr>
        <w:t xml:space="preserve"> terz</w:t>
      </w:r>
      <w:r w:rsidR="00D865F0" w:rsidRPr="00974501">
        <w:rPr>
          <w:rFonts w:ascii="Times New Roman" w:eastAsia="New Baskerville" w:hAnsi="Times New Roman" w:cs="Times New Roman"/>
          <w:sz w:val="24"/>
          <w:szCs w:val="24"/>
          <w:lang w:eastAsia="it-IT"/>
        </w:rPr>
        <w:t>o aspetto,</w:t>
      </w:r>
      <w:r w:rsidR="003B6AAF" w:rsidRPr="00974501">
        <w:rPr>
          <w:rFonts w:ascii="Times New Roman" w:eastAsia="New Baskerville" w:hAnsi="Times New Roman" w:cs="Times New Roman"/>
          <w:sz w:val="24"/>
          <w:szCs w:val="24"/>
          <w:lang w:eastAsia="it-IT"/>
        </w:rPr>
        <w:t xml:space="preserve"> </w:t>
      </w:r>
      <w:r w:rsidR="00A0476D">
        <w:rPr>
          <w:rFonts w:ascii="Times New Roman" w:eastAsia="New Baskerville" w:hAnsi="Times New Roman" w:cs="Times New Roman"/>
          <w:sz w:val="24"/>
          <w:szCs w:val="24"/>
          <w:lang w:eastAsia="it-IT"/>
        </w:rPr>
        <w:t>le</w:t>
      </w:r>
      <w:r w:rsidRPr="00974501">
        <w:rPr>
          <w:rFonts w:ascii="Times New Roman" w:eastAsia="New Baskerville" w:hAnsi="Times New Roman" w:cs="Times New Roman"/>
          <w:sz w:val="24"/>
          <w:szCs w:val="24"/>
          <w:lang w:eastAsia="it-IT"/>
        </w:rPr>
        <w:t xml:space="preserve"> amministrazion</w:t>
      </w:r>
      <w:r w:rsidR="00A0476D">
        <w:rPr>
          <w:rFonts w:ascii="Times New Roman" w:eastAsia="New Baskerville" w:hAnsi="Times New Roman" w:cs="Times New Roman"/>
          <w:sz w:val="24"/>
          <w:szCs w:val="24"/>
          <w:lang w:eastAsia="it-IT"/>
        </w:rPr>
        <w:t>i</w:t>
      </w:r>
      <w:r w:rsidRPr="00974501">
        <w:rPr>
          <w:rFonts w:ascii="Times New Roman" w:eastAsia="New Baskerville" w:hAnsi="Times New Roman" w:cs="Times New Roman"/>
          <w:sz w:val="24"/>
          <w:szCs w:val="24"/>
          <w:lang w:eastAsia="it-IT"/>
        </w:rPr>
        <w:t xml:space="preserve"> </w:t>
      </w:r>
      <w:r w:rsidR="00A0476D">
        <w:rPr>
          <w:rFonts w:ascii="Times New Roman" w:eastAsia="New Baskerville" w:hAnsi="Times New Roman" w:cs="Times New Roman"/>
          <w:sz w:val="24"/>
          <w:szCs w:val="24"/>
          <w:lang w:eastAsia="it-IT"/>
        </w:rPr>
        <w:t>sono esort</w:t>
      </w:r>
      <w:r>
        <w:rPr>
          <w:rFonts w:ascii="Times New Roman" w:eastAsia="New Baskerville" w:hAnsi="Times New Roman" w:cs="Times New Roman"/>
          <w:sz w:val="24"/>
          <w:szCs w:val="24"/>
          <w:lang w:eastAsia="it-IT"/>
        </w:rPr>
        <w:t>a</w:t>
      </w:r>
      <w:r w:rsidR="00A0476D">
        <w:rPr>
          <w:rFonts w:ascii="Times New Roman" w:eastAsia="New Baskerville" w:hAnsi="Times New Roman" w:cs="Times New Roman"/>
          <w:sz w:val="24"/>
          <w:szCs w:val="24"/>
          <w:lang w:eastAsia="it-IT"/>
        </w:rPr>
        <w:t>te</w:t>
      </w:r>
      <w:r w:rsidRPr="00974501">
        <w:rPr>
          <w:rFonts w:ascii="Times New Roman" w:eastAsia="New Baskerville" w:hAnsi="Times New Roman" w:cs="Times New Roman"/>
          <w:sz w:val="24"/>
          <w:szCs w:val="24"/>
          <w:lang w:eastAsia="it-IT"/>
        </w:rPr>
        <w:t xml:space="preserve"> </w:t>
      </w:r>
      <w:r w:rsidR="00D865F0" w:rsidRPr="00974501">
        <w:rPr>
          <w:rFonts w:ascii="Times New Roman" w:eastAsia="New Baskerville" w:hAnsi="Times New Roman" w:cs="Times New Roman"/>
          <w:sz w:val="24"/>
          <w:szCs w:val="24"/>
          <w:lang w:eastAsia="it-IT"/>
        </w:rPr>
        <w:t xml:space="preserve">a </w:t>
      </w:r>
      <w:r w:rsidR="003B6AAF" w:rsidRPr="00974501">
        <w:rPr>
          <w:rFonts w:ascii="Times New Roman" w:eastAsia="New Baskerville" w:hAnsi="Times New Roman" w:cs="Times New Roman"/>
          <w:sz w:val="24"/>
          <w:szCs w:val="24"/>
          <w:lang w:eastAsia="it-IT"/>
        </w:rPr>
        <w:t>disciplinare</w:t>
      </w:r>
      <w:r>
        <w:rPr>
          <w:rFonts w:ascii="Times New Roman" w:eastAsia="New Baskerville" w:hAnsi="Times New Roman" w:cs="Times New Roman"/>
          <w:sz w:val="24"/>
          <w:szCs w:val="24"/>
          <w:lang w:eastAsia="it-IT"/>
        </w:rPr>
        <w:t>, con propri atti,</w:t>
      </w:r>
      <w:r w:rsidR="003B6AAF" w:rsidRPr="00974501">
        <w:rPr>
          <w:rFonts w:ascii="Times New Roman" w:eastAsia="New Baskerville" w:hAnsi="Times New Roman" w:cs="Times New Roman"/>
          <w:sz w:val="24"/>
          <w:szCs w:val="24"/>
          <w:lang w:eastAsia="it-IT"/>
        </w:rPr>
        <w:t xml:space="preserve"> </w:t>
      </w:r>
      <w:r w:rsidR="00A0476D">
        <w:rPr>
          <w:rFonts w:ascii="Times New Roman" w:eastAsia="New Baskerville" w:hAnsi="Times New Roman" w:cs="Times New Roman"/>
          <w:sz w:val="24"/>
          <w:szCs w:val="24"/>
          <w:lang w:eastAsia="it-IT"/>
        </w:rPr>
        <w:t>sol</w:t>
      </w:r>
      <w:r w:rsidR="003B6AAF" w:rsidRPr="00974501">
        <w:rPr>
          <w:rFonts w:ascii="Times New Roman" w:eastAsia="New Baskerville" w:hAnsi="Times New Roman" w:cs="Times New Roman"/>
          <w:sz w:val="24"/>
          <w:szCs w:val="24"/>
          <w:lang w:eastAsia="it-IT"/>
        </w:rPr>
        <w:t>amente i profili procedurali e</w:t>
      </w:r>
      <w:r>
        <w:rPr>
          <w:rFonts w:ascii="Times New Roman" w:eastAsia="New Baskerville" w:hAnsi="Times New Roman" w:cs="Times New Roman"/>
          <w:sz w:val="24"/>
          <w:szCs w:val="24"/>
          <w:lang w:eastAsia="it-IT"/>
        </w:rPr>
        <w:t>d</w:t>
      </w:r>
      <w:r w:rsidR="003B6AAF" w:rsidRPr="00974501">
        <w:rPr>
          <w:rFonts w:ascii="Times New Roman" w:eastAsia="New Baskerville" w:hAnsi="Times New Roman" w:cs="Times New Roman"/>
          <w:sz w:val="24"/>
          <w:szCs w:val="24"/>
          <w:lang w:eastAsia="it-IT"/>
        </w:rPr>
        <w:t xml:space="preserve"> organizzativi di carattere interno, </w:t>
      </w:r>
      <w:r w:rsidR="00D865F0" w:rsidRPr="00974501">
        <w:rPr>
          <w:rFonts w:ascii="Times New Roman" w:eastAsia="New Baskerville" w:hAnsi="Times New Roman" w:cs="Times New Roman"/>
          <w:sz w:val="24"/>
          <w:szCs w:val="24"/>
          <w:lang w:eastAsia="it-IT"/>
        </w:rPr>
        <w:t xml:space="preserve">posto che </w:t>
      </w:r>
      <w:r w:rsidR="003B6AAF" w:rsidRPr="00974501">
        <w:rPr>
          <w:rFonts w:ascii="Times New Roman" w:eastAsia="New Baskerville" w:hAnsi="Times New Roman" w:cs="Times New Roman"/>
          <w:sz w:val="24"/>
          <w:szCs w:val="24"/>
          <w:lang w:eastAsia="it-IT"/>
        </w:rPr>
        <w:t xml:space="preserve">i profili di rilevanza esterna, che incidono sull’estensione del diritto (si pensi alla disciplina dei limiti o delle eccezioni al principio dell’accessibilità), sono coperti dalla riserva di legge di cui all’art. 10 </w:t>
      </w:r>
      <w:proofErr w:type="spellStart"/>
      <w:r w:rsidR="003B6AAF" w:rsidRPr="00974501">
        <w:rPr>
          <w:rFonts w:ascii="Times New Roman" w:eastAsia="New Baskerville" w:hAnsi="Times New Roman" w:cs="Times New Roman"/>
          <w:sz w:val="24"/>
          <w:szCs w:val="24"/>
          <w:lang w:eastAsia="it-IT"/>
        </w:rPr>
        <w:t>C</w:t>
      </w:r>
      <w:r w:rsidR="00F44D2E" w:rsidRPr="00974501">
        <w:rPr>
          <w:rFonts w:ascii="Times New Roman" w:eastAsia="New Baskerville" w:hAnsi="Times New Roman" w:cs="Times New Roman"/>
          <w:sz w:val="24"/>
          <w:szCs w:val="24"/>
          <w:lang w:eastAsia="it-IT"/>
        </w:rPr>
        <w:t>edu</w:t>
      </w:r>
      <w:proofErr w:type="spellEnd"/>
      <w:r w:rsidR="003B6AAF" w:rsidRPr="00974501">
        <w:rPr>
          <w:rFonts w:ascii="Times New Roman" w:eastAsia="New Baskerville" w:hAnsi="Times New Roman" w:cs="Times New Roman"/>
          <w:sz w:val="24"/>
          <w:szCs w:val="24"/>
          <w:lang w:eastAsia="it-IT"/>
        </w:rPr>
        <w:t xml:space="preserve">. </w:t>
      </w:r>
    </w:p>
    <w:p w:rsidR="00382856" w:rsidRDefault="00F44D2E" w:rsidP="00367C00">
      <w:pPr>
        <w:spacing w:before="299" w:after="0" w:line="360" w:lineRule="auto"/>
        <w:ind w:left="142" w:firstLine="992"/>
        <w:jc w:val="both"/>
        <w:rPr>
          <w:rFonts w:ascii="Times New Roman" w:eastAsia="New Baskerville" w:hAnsi="Times New Roman" w:cs="Times New Roman"/>
          <w:sz w:val="24"/>
          <w:szCs w:val="24"/>
          <w:lang w:eastAsia="it-IT"/>
        </w:rPr>
      </w:pPr>
      <w:r w:rsidRPr="00974501">
        <w:rPr>
          <w:rFonts w:ascii="Times New Roman" w:eastAsia="New Baskerville" w:hAnsi="Times New Roman" w:cs="Times New Roman"/>
          <w:sz w:val="24"/>
          <w:szCs w:val="24"/>
          <w:lang w:eastAsia="it-IT"/>
        </w:rPr>
        <w:t>Con riferimento a tale ultim</w:t>
      </w:r>
      <w:r w:rsidR="00A0476D">
        <w:rPr>
          <w:rFonts w:ascii="Times New Roman" w:eastAsia="New Baskerville" w:hAnsi="Times New Roman" w:cs="Times New Roman"/>
          <w:sz w:val="24"/>
          <w:szCs w:val="24"/>
          <w:lang w:eastAsia="it-IT"/>
        </w:rPr>
        <w:t>o richi</w:t>
      </w:r>
      <w:r w:rsidRPr="00974501">
        <w:rPr>
          <w:rFonts w:ascii="Times New Roman" w:eastAsia="New Baskerville" w:hAnsi="Times New Roman" w:cs="Times New Roman"/>
          <w:sz w:val="24"/>
          <w:szCs w:val="24"/>
          <w:lang w:eastAsia="it-IT"/>
        </w:rPr>
        <w:t>a</w:t>
      </w:r>
      <w:r w:rsidR="00A0476D">
        <w:rPr>
          <w:rFonts w:ascii="Times New Roman" w:eastAsia="New Baskerville" w:hAnsi="Times New Roman" w:cs="Times New Roman"/>
          <w:sz w:val="24"/>
          <w:szCs w:val="24"/>
          <w:lang w:eastAsia="it-IT"/>
        </w:rPr>
        <w:t>mo</w:t>
      </w:r>
      <w:r w:rsidRPr="00974501">
        <w:rPr>
          <w:rFonts w:ascii="Times New Roman" w:eastAsia="New Baskerville" w:hAnsi="Times New Roman" w:cs="Times New Roman"/>
          <w:sz w:val="24"/>
          <w:szCs w:val="24"/>
          <w:lang w:eastAsia="it-IT"/>
        </w:rPr>
        <w:t xml:space="preserve"> </w:t>
      </w:r>
      <w:r w:rsidR="00A0476D">
        <w:rPr>
          <w:rFonts w:ascii="Times New Roman" w:eastAsia="New Baskerville" w:hAnsi="Times New Roman" w:cs="Times New Roman"/>
          <w:sz w:val="24"/>
          <w:szCs w:val="24"/>
          <w:lang w:eastAsia="it-IT"/>
        </w:rPr>
        <w:t>pattizio</w:t>
      </w:r>
      <w:r w:rsidRPr="00974501">
        <w:rPr>
          <w:rFonts w:ascii="Times New Roman" w:eastAsia="New Baskerville" w:hAnsi="Times New Roman" w:cs="Times New Roman"/>
          <w:sz w:val="24"/>
          <w:szCs w:val="24"/>
          <w:lang w:eastAsia="it-IT"/>
        </w:rPr>
        <w:t>, non</w:t>
      </w:r>
      <w:r w:rsidR="00430E15" w:rsidRPr="00974501">
        <w:rPr>
          <w:rFonts w:ascii="Times New Roman" w:eastAsia="New Baskerville" w:hAnsi="Times New Roman" w:cs="Times New Roman"/>
          <w:sz w:val="24"/>
          <w:szCs w:val="24"/>
          <w:lang w:eastAsia="it-IT"/>
        </w:rPr>
        <w:t xml:space="preserve"> deve</w:t>
      </w:r>
      <w:r w:rsidR="00382856">
        <w:rPr>
          <w:rFonts w:ascii="Times New Roman" w:eastAsia="New Baskerville" w:hAnsi="Times New Roman" w:cs="Times New Roman"/>
          <w:sz w:val="24"/>
          <w:szCs w:val="24"/>
          <w:lang w:eastAsia="it-IT"/>
        </w:rPr>
        <w:t>, infine,</w:t>
      </w:r>
      <w:r w:rsidRPr="00974501">
        <w:rPr>
          <w:rFonts w:ascii="Times New Roman" w:eastAsia="New Baskerville" w:hAnsi="Times New Roman" w:cs="Times New Roman"/>
          <w:sz w:val="24"/>
          <w:szCs w:val="24"/>
          <w:lang w:eastAsia="it-IT"/>
        </w:rPr>
        <w:t xml:space="preserve"> sfugg</w:t>
      </w:r>
      <w:r w:rsidR="00430E15" w:rsidRPr="00974501">
        <w:rPr>
          <w:rFonts w:ascii="Times New Roman" w:eastAsia="New Baskerville" w:hAnsi="Times New Roman" w:cs="Times New Roman"/>
          <w:sz w:val="24"/>
          <w:szCs w:val="24"/>
          <w:lang w:eastAsia="it-IT"/>
        </w:rPr>
        <w:t>ir</w:t>
      </w:r>
      <w:r w:rsidRPr="00974501">
        <w:rPr>
          <w:rFonts w:ascii="Times New Roman" w:eastAsia="New Baskerville" w:hAnsi="Times New Roman" w:cs="Times New Roman"/>
          <w:sz w:val="24"/>
          <w:szCs w:val="24"/>
          <w:lang w:eastAsia="it-IT"/>
        </w:rPr>
        <w:t xml:space="preserve">e l’innovativa interpretazione dell’art. 10 </w:t>
      </w:r>
      <w:proofErr w:type="spellStart"/>
      <w:r w:rsidRPr="00974501">
        <w:rPr>
          <w:rFonts w:ascii="Times New Roman" w:eastAsia="New Baskerville" w:hAnsi="Times New Roman" w:cs="Times New Roman"/>
          <w:sz w:val="24"/>
          <w:szCs w:val="24"/>
          <w:lang w:eastAsia="it-IT"/>
        </w:rPr>
        <w:t>Cedu</w:t>
      </w:r>
      <w:proofErr w:type="spellEnd"/>
      <w:r w:rsidRPr="00974501">
        <w:rPr>
          <w:rFonts w:ascii="Times New Roman" w:eastAsia="New Baskerville" w:hAnsi="Times New Roman" w:cs="Times New Roman"/>
          <w:sz w:val="24"/>
          <w:szCs w:val="24"/>
          <w:lang w:eastAsia="it-IT"/>
        </w:rPr>
        <w:t xml:space="preserve">, </w:t>
      </w:r>
      <w:r w:rsidR="000C6CFB" w:rsidRPr="00974501">
        <w:rPr>
          <w:rFonts w:ascii="Times New Roman" w:eastAsia="New Baskerville" w:hAnsi="Times New Roman" w:cs="Times New Roman"/>
          <w:sz w:val="24"/>
          <w:szCs w:val="24"/>
          <w:lang w:eastAsia="it-IT"/>
        </w:rPr>
        <w:t xml:space="preserve">recentemente </w:t>
      </w:r>
      <w:r w:rsidRPr="00974501">
        <w:rPr>
          <w:rFonts w:ascii="Times New Roman" w:eastAsia="New Baskerville" w:hAnsi="Times New Roman" w:cs="Times New Roman"/>
          <w:sz w:val="24"/>
          <w:szCs w:val="24"/>
          <w:lang w:eastAsia="it-IT"/>
        </w:rPr>
        <w:t>offerta dalla Corte europea dei diritti dell’uomo</w:t>
      </w:r>
      <w:r w:rsidR="000C6CFB" w:rsidRPr="00974501">
        <w:rPr>
          <w:rFonts w:ascii="Times New Roman" w:eastAsia="New Baskerville" w:hAnsi="Times New Roman" w:cs="Times New Roman"/>
          <w:sz w:val="24"/>
          <w:szCs w:val="24"/>
          <w:lang w:eastAsia="it-IT"/>
        </w:rPr>
        <w:t>, la quale</w:t>
      </w:r>
      <w:r w:rsidR="0087364C" w:rsidRPr="00974501">
        <w:rPr>
          <w:rFonts w:ascii="Times New Roman" w:eastAsia="New Baskerville" w:hAnsi="Times New Roman" w:cs="Times New Roman"/>
          <w:sz w:val="24"/>
          <w:szCs w:val="24"/>
          <w:lang w:eastAsia="it-IT"/>
        </w:rPr>
        <w:t xml:space="preserve"> </w:t>
      </w:r>
      <w:r w:rsidR="000C6CFB" w:rsidRPr="00974501">
        <w:rPr>
          <w:rFonts w:ascii="Times New Roman" w:eastAsia="New Baskerville" w:hAnsi="Times New Roman" w:cs="Times New Roman"/>
          <w:sz w:val="24"/>
          <w:szCs w:val="24"/>
          <w:lang w:eastAsia="it-IT"/>
        </w:rPr>
        <w:t xml:space="preserve">ha affrontato </w:t>
      </w:r>
      <w:r w:rsidR="0087364C" w:rsidRPr="00974501">
        <w:rPr>
          <w:rFonts w:ascii="Times New Roman" w:eastAsia="New Baskerville" w:hAnsi="Times New Roman" w:cs="Times New Roman"/>
          <w:sz w:val="24"/>
          <w:szCs w:val="24"/>
          <w:lang w:eastAsia="it-IT"/>
        </w:rPr>
        <w:t>il del</w:t>
      </w:r>
      <w:r w:rsidR="000C6CFB" w:rsidRPr="00974501">
        <w:rPr>
          <w:rFonts w:ascii="Times New Roman" w:eastAsia="New Baskerville" w:hAnsi="Times New Roman" w:cs="Times New Roman"/>
          <w:sz w:val="24"/>
          <w:szCs w:val="24"/>
          <w:lang w:eastAsia="it-IT"/>
        </w:rPr>
        <w:t>i</w:t>
      </w:r>
      <w:r w:rsidR="003B6AAF" w:rsidRPr="00974501">
        <w:rPr>
          <w:rFonts w:ascii="Times New Roman" w:eastAsia="New Baskerville" w:hAnsi="Times New Roman" w:cs="Times New Roman"/>
          <w:sz w:val="24"/>
          <w:szCs w:val="24"/>
          <w:lang w:eastAsia="it-IT"/>
        </w:rPr>
        <w:t>cato tema dell’accesso agli atti amministrativi ricomprende</w:t>
      </w:r>
      <w:r w:rsidR="000C6CFB" w:rsidRPr="00974501">
        <w:rPr>
          <w:rFonts w:ascii="Times New Roman" w:eastAsia="New Baskerville" w:hAnsi="Times New Roman" w:cs="Times New Roman"/>
          <w:sz w:val="24"/>
          <w:szCs w:val="24"/>
          <w:lang w:eastAsia="it-IT"/>
        </w:rPr>
        <w:t>ndolo</w:t>
      </w:r>
      <w:r w:rsidR="003B6AAF" w:rsidRPr="00974501">
        <w:rPr>
          <w:rFonts w:ascii="Times New Roman" w:eastAsia="New Baskerville" w:hAnsi="Times New Roman" w:cs="Times New Roman"/>
          <w:sz w:val="24"/>
          <w:szCs w:val="24"/>
          <w:lang w:eastAsia="it-IT"/>
        </w:rPr>
        <w:t xml:space="preserve"> </w:t>
      </w:r>
      <w:r w:rsidR="000C6CFB" w:rsidRPr="00974501">
        <w:rPr>
          <w:rFonts w:ascii="Times New Roman" w:eastAsia="New Baskerville" w:hAnsi="Times New Roman" w:cs="Times New Roman"/>
          <w:sz w:val="24"/>
          <w:szCs w:val="24"/>
          <w:lang w:eastAsia="it-IT"/>
        </w:rPr>
        <w:t>a</w:t>
      </w:r>
      <w:r w:rsidR="003B6AAF" w:rsidRPr="00974501">
        <w:rPr>
          <w:rFonts w:ascii="Times New Roman" w:eastAsia="New Baskerville" w:hAnsi="Times New Roman" w:cs="Times New Roman"/>
          <w:sz w:val="24"/>
          <w:szCs w:val="24"/>
          <w:lang w:eastAsia="it-IT"/>
        </w:rPr>
        <w:t>ll</w:t>
      </w:r>
      <w:r w:rsidR="000C6CFB" w:rsidRPr="00974501">
        <w:rPr>
          <w:rFonts w:ascii="Times New Roman" w:eastAsia="New Baskerville" w:hAnsi="Times New Roman" w:cs="Times New Roman"/>
          <w:sz w:val="24"/>
          <w:szCs w:val="24"/>
          <w:lang w:eastAsia="it-IT"/>
        </w:rPr>
        <w:t>’interno de</w:t>
      </w:r>
      <w:r w:rsidR="003B6AAF" w:rsidRPr="00974501">
        <w:rPr>
          <w:rFonts w:ascii="Times New Roman" w:eastAsia="New Baskerville" w:hAnsi="Times New Roman" w:cs="Times New Roman"/>
          <w:sz w:val="24"/>
          <w:szCs w:val="24"/>
          <w:lang w:eastAsia="it-IT"/>
        </w:rPr>
        <w:t>a tutela della libertà d’espressione</w:t>
      </w:r>
      <w:r w:rsidRPr="00974501">
        <w:rPr>
          <w:rFonts w:ascii="Times New Roman" w:eastAsia="New Baskerville" w:hAnsi="Times New Roman" w:cs="Times New Roman"/>
          <w:sz w:val="24"/>
          <w:szCs w:val="24"/>
          <w:lang w:eastAsia="it-IT"/>
        </w:rPr>
        <w:t>, rispetto alla qual</w:t>
      </w:r>
      <w:r w:rsidR="003B6AAF" w:rsidRPr="00974501">
        <w:rPr>
          <w:rFonts w:ascii="Times New Roman" w:eastAsia="New Baskerville" w:hAnsi="Times New Roman" w:cs="Times New Roman"/>
          <w:sz w:val="24"/>
          <w:szCs w:val="24"/>
          <w:lang w:eastAsia="it-IT"/>
        </w:rPr>
        <w:t>e la libertà di informarsi</w:t>
      </w:r>
      <w:r w:rsidRPr="00974501">
        <w:rPr>
          <w:rFonts w:ascii="Times New Roman" w:eastAsia="New Baskerville" w:hAnsi="Times New Roman" w:cs="Times New Roman"/>
          <w:sz w:val="24"/>
          <w:szCs w:val="24"/>
          <w:lang w:eastAsia="it-IT"/>
        </w:rPr>
        <w:t xml:space="preserve"> assume valenza propedeutica</w:t>
      </w:r>
      <w:r w:rsidR="00382856" w:rsidRPr="00974501">
        <w:rPr>
          <w:rStyle w:val="Rimandonotaapidipagina"/>
          <w:rFonts w:ascii="Times New Roman" w:eastAsia="New Baskerville" w:hAnsi="Times New Roman" w:cs="Times New Roman"/>
          <w:sz w:val="24"/>
          <w:szCs w:val="24"/>
          <w:lang w:eastAsia="it-IT"/>
        </w:rPr>
        <w:footnoteReference w:id="23"/>
      </w:r>
      <w:r w:rsidR="00382856">
        <w:rPr>
          <w:rFonts w:ascii="Times New Roman" w:eastAsia="New Baskerville" w:hAnsi="Times New Roman" w:cs="Times New Roman"/>
          <w:sz w:val="24"/>
          <w:szCs w:val="24"/>
          <w:lang w:eastAsia="it-IT"/>
        </w:rPr>
        <w:t>.</w:t>
      </w:r>
    </w:p>
    <w:p w:rsidR="003B6AAF" w:rsidRPr="00974501" w:rsidRDefault="00382856"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 xml:space="preserve">Nella fattispecie, </w:t>
      </w:r>
      <w:r w:rsidR="00C908B7">
        <w:rPr>
          <w:rFonts w:ascii="Times New Roman" w:eastAsia="New Baskerville" w:hAnsi="Times New Roman" w:cs="Times New Roman"/>
          <w:sz w:val="24"/>
          <w:szCs w:val="24"/>
          <w:lang w:eastAsia="it-IT"/>
        </w:rPr>
        <w:t>il giudice</w:t>
      </w:r>
      <w:r>
        <w:rPr>
          <w:rFonts w:ascii="Times New Roman" w:eastAsia="New Baskerville" w:hAnsi="Times New Roman" w:cs="Times New Roman"/>
          <w:sz w:val="24"/>
          <w:szCs w:val="24"/>
          <w:lang w:eastAsia="it-IT"/>
        </w:rPr>
        <w:t xml:space="preserve"> internazionale ha</w:t>
      </w:r>
      <w:r w:rsidR="003B6AAF" w:rsidRPr="00974501">
        <w:rPr>
          <w:rFonts w:ascii="Times New Roman" w:eastAsia="New Baskerville" w:hAnsi="Times New Roman" w:cs="Times New Roman"/>
          <w:sz w:val="24"/>
          <w:szCs w:val="24"/>
          <w:lang w:eastAsia="it-IT"/>
        </w:rPr>
        <w:t xml:space="preserve"> </w:t>
      </w:r>
      <w:r w:rsidRPr="00382856">
        <w:rPr>
          <w:rFonts w:ascii="Times New Roman" w:eastAsia="New Baskerville" w:hAnsi="Times New Roman" w:cs="Times New Roman"/>
          <w:sz w:val="24"/>
          <w:szCs w:val="24"/>
          <w:lang w:eastAsia="it-IT"/>
        </w:rPr>
        <w:t>ritenuto contrario al diritto di accesso all’informazione e</w:t>
      </w:r>
      <w:r>
        <w:rPr>
          <w:rFonts w:ascii="Times New Roman" w:eastAsia="New Baskerville" w:hAnsi="Times New Roman" w:cs="Times New Roman"/>
          <w:sz w:val="24"/>
          <w:szCs w:val="24"/>
          <w:lang w:eastAsia="it-IT"/>
        </w:rPr>
        <w:t>d</w:t>
      </w:r>
      <w:r w:rsidRPr="00382856">
        <w:rPr>
          <w:rFonts w:ascii="Times New Roman" w:eastAsia="New Baskerville" w:hAnsi="Times New Roman" w:cs="Times New Roman"/>
          <w:sz w:val="24"/>
          <w:szCs w:val="24"/>
          <w:lang w:eastAsia="it-IT"/>
        </w:rPr>
        <w:t xml:space="preserve"> alla libertà di espressione il rifiuto delle autorità di rivelare, ad una ONG che stava facendo un’inchiesta, i nomi degli avvocati nominati d’ufficio ed il numero delle loro rispettive </w:t>
      </w:r>
      <w:r>
        <w:rPr>
          <w:rFonts w:ascii="Times New Roman" w:eastAsia="New Baskerville" w:hAnsi="Times New Roman" w:cs="Times New Roman"/>
          <w:sz w:val="24"/>
          <w:szCs w:val="24"/>
          <w:lang w:eastAsia="it-IT"/>
        </w:rPr>
        <w:t xml:space="preserve">nomine, argomentando nel senso che </w:t>
      </w:r>
      <w:r w:rsidR="003B6AAF" w:rsidRPr="00974501">
        <w:rPr>
          <w:rFonts w:ascii="Times New Roman" w:eastAsia="New Baskerville" w:hAnsi="Times New Roman" w:cs="Times New Roman"/>
          <w:sz w:val="24"/>
          <w:szCs w:val="24"/>
          <w:lang w:eastAsia="it-IT"/>
        </w:rPr>
        <w:t xml:space="preserve">l’art. 10 </w:t>
      </w:r>
      <w:proofErr w:type="spellStart"/>
      <w:r w:rsidR="003B6AAF" w:rsidRPr="00974501">
        <w:rPr>
          <w:rFonts w:ascii="Times New Roman" w:eastAsia="New Baskerville" w:hAnsi="Times New Roman" w:cs="Times New Roman"/>
          <w:sz w:val="24"/>
          <w:szCs w:val="24"/>
          <w:lang w:eastAsia="it-IT"/>
        </w:rPr>
        <w:t>Cedu</w:t>
      </w:r>
      <w:proofErr w:type="spellEnd"/>
      <w:r w:rsidR="003B6AAF" w:rsidRPr="00974501">
        <w:rPr>
          <w:rFonts w:ascii="Times New Roman" w:eastAsia="New Baskerville" w:hAnsi="Times New Roman" w:cs="Times New Roman"/>
          <w:sz w:val="24"/>
          <w:szCs w:val="24"/>
          <w:lang w:eastAsia="it-IT"/>
        </w:rPr>
        <w:t xml:space="preserve"> dev</w:t>
      </w:r>
      <w:r>
        <w:rPr>
          <w:rFonts w:ascii="Times New Roman" w:eastAsia="New Baskerville" w:hAnsi="Times New Roman" w:cs="Times New Roman"/>
          <w:sz w:val="24"/>
          <w:szCs w:val="24"/>
          <w:lang w:eastAsia="it-IT"/>
        </w:rPr>
        <w:t>’</w:t>
      </w:r>
      <w:r w:rsidR="003B6AAF" w:rsidRPr="00974501">
        <w:rPr>
          <w:rFonts w:ascii="Times New Roman" w:eastAsia="New Baskerville" w:hAnsi="Times New Roman" w:cs="Times New Roman"/>
          <w:sz w:val="24"/>
          <w:szCs w:val="24"/>
          <w:lang w:eastAsia="it-IT"/>
        </w:rPr>
        <w:t xml:space="preserve">essere inteso, analogamente ad altre fonti del diritto internazionale, come una disposizione che tutela non solo la libertà di ricevere le informazioni, ma anche il diritto di ricercarle. </w:t>
      </w:r>
    </w:p>
    <w:p w:rsidR="003B6AAF" w:rsidRPr="00974501" w:rsidRDefault="00A0476D"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Da ciò</w:t>
      </w:r>
      <w:r w:rsidR="00C908B7">
        <w:rPr>
          <w:rFonts w:ascii="Times New Roman" w:eastAsia="New Baskerville" w:hAnsi="Times New Roman" w:cs="Times New Roman"/>
          <w:sz w:val="24"/>
          <w:szCs w:val="24"/>
          <w:lang w:eastAsia="it-IT"/>
        </w:rPr>
        <w:t xml:space="preserve"> consegue che, d</w:t>
      </w:r>
      <w:r w:rsidR="003B6AAF" w:rsidRPr="00974501">
        <w:rPr>
          <w:rFonts w:ascii="Times New Roman" w:eastAsia="New Baskerville" w:hAnsi="Times New Roman" w:cs="Times New Roman"/>
          <w:sz w:val="24"/>
          <w:szCs w:val="24"/>
          <w:lang w:eastAsia="it-IT"/>
        </w:rPr>
        <w:t>alla suddetta disposizione</w:t>
      </w:r>
      <w:r w:rsidR="00C908B7">
        <w:rPr>
          <w:rFonts w:ascii="Times New Roman" w:eastAsia="New Baskerville" w:hAnsi="Times New Roman" w:cs="Times New Roman"/>
          <w:sz w:val="24"/>
          <w:szCs w:val="24"/>
          <w:lang w:eastAsia="it-IT"/>
        </w:rPr>
        <w:t>,</w:t>
      </w:r>
      <w:r w:rsidR="003B6AAF" w:rsidRPr="00974501">
        <w:rPr>
          <w:rFonts w:ascii="Times New Roman" w:eastAsia="New Baskerville" w:hAnsi="Times New Roman" w:cs="Times New Roman"/>
          <w:sz w:val="24"/>
          <w:szCs w:val="24"/>
          <w:lang w:eastAsia="it-IT"/>
        </w:rPr>
        <w:t xml:space="preserve"> </w:t>
      </w:r>
      <w:r w:rsidR="0030658F">
        <w:rPr>
          <w:rFonts w:ascii="Times New Roman" w:eastAsia="New Baskerville" w:hAnsi="Times New Roman" w:cs="Times New Roman"/>
          <w:sz w:val="24"/>
          <w:szCs w:val="24"/>
          <w:lang w:eastAsia="it-IT"/>
        </w:rPr>
        <w:t xml:space="preserve">ben </w:t>
      </w:r>
      <w:r w:rsidR="0030658F" w:rsidRPr="00974501">
        <w:rPr>
          <w:rFonts w:ascii="Times New Roman" w:eastAsia="New Baskerville" w:hAnsi="Times New Roman" w:cs="Times New Roman"/>
          <w:sz w:val="24"/>
          <w:szCs w:val="24"/>
          <w:lang w:eastAsia="it-IT"/>
        </w:rPr>
        <w:t xml:space="preserve">può </w:t>
      </w:r>
      <w:r w:rsidR="003B6AAF" w:rsidRPr="00974501">
        <w:rPr>
          <w:rFonts w:ascii="Times New Roman" w:eastAsia="New Baskerville" w:hAnsi="Times New Roman" w:cs="Times New Roman"/>
          <w:sz w:val="24"/>
          <w:szCs w:val="24"/>
          <w:lang w:eastAsia="it-IT"/>
        </w:rPr>
        <w:t xml:space="preserve">scaturire un </w:t>
      </w:r>
      <w:r w:rsidR="00382856">
        <w:rPr>
          <w:rFonts w:ascii="Times New Roman" w:eastAsia="New Baskerville" w:hAnsi="Times New Roman" w:cs="Times New Roman"/>
          <w:sz w:val="24"/>
          <w:szCs w:val="24"/>
          <w:lang w:eastAsia="it-IT"/>
        </w:rPr>
        <w:t>“</w:t>
      </w:r>
      <w:r w:rsidR="003B6AAF" w:rsidRPr="00974501">
        <w:rPr>
          <w:rFonts w:ascii="Times New Roman" w:eastAsia="New Baskerville" w:hAnsi="Times New Roman" w:cs="Times New Roman"/>
          <w:sz w:val="24"/>
          <w:szCs w:val="24"/>
          <w:lang w:eastAsia="it-IT"/>
        </w:rPr>
        <w:t>obbligo positivo per gli Stati membri</w:t>
      </w:r>
      <w:r w:rsidR="00382856">
        <w:rPr>
          <w:rFonts w:ascii="Times New Roman" w:eastAsia="New Baskerville" w:hAnsi="Times New Roman" w:cs="Times New Roman"/>
          <w:sz w:val="24"/>
          <w:szCs w:val="24"/>
          <w:lang w:eastAsia="it-IT"/>
        </w:rPr>
        <w:t>”</w:t>
      </w:r>
      <w:r w:rsidR="003B6AAF" w:rsidRPr="00974501">
        <w:rPr>
          <w:rFonts w:ascii="Times New Roman" w:eastAsia="New Baskerville" w:hAnsi="Times New Roman" w:cs="Times New Roman"/>
          <w:sz w:val="24"/>
          <w:szCs w:val="24"/>
          <w:lang w:eastAsia="it-IT"/>
        </w:rPr>
        <w:t xml:space="preserve">, nella misura in cui la disponibilità delle informazioni detenute dalle pubbliche amministrazioni risulti indispensabile per garantire l’effettività della libertà d’espressione. </w:t>
      </w:r>
    </w:p>
    <w:p w:rsidR="00E05318" w:rsidRDefault="00A0476D" w:rsidP="00367C00">
      <w:pPr>
        <w:spacing w:before="299" w:after="0" w:line="360" w:lineRule="auto"/>
        <w:ind w:left="142" w:firstLine="992"/>
        <w:jc w:val="both"/>
        <w:rPr>
          <w:rFonts w:ascii="Times New Roman" w:eastAsia="New Baskerville" w:hAnsi="Times New Roman" w:cs="Times New Roman"/>
          <w:sz w:val="24"/>
          <w:szCs w:val="24"/>
          <w:lang w:eastAsia="it-IT"/>
        </w:rPr>
      </w:pPr>
      <w:r>
        <w:rPr>
          <w:rFonts w:ascii="Times New Roman" w:eastAsia="New Baskerville" w:hAnsi="Times New Roman" w:cs="Times New Roman"/>
          <w:sz w:val="24"/>
          <w:szCs w:val="24"/>
          <w:lang w:eastAsia="it-IT"/>
        </w:rPr>
        <w:t>Detta</w:t>
      </w:r>
      <w:r w:rsidR="003B6AAF" w:rsidRPr="00974501">
        <w:rPr>
          <w:rFonts w:ascii="Times New Roman" w:eastAsia="New Baskerville" w:hAnsi="Times New Roman" w:cs="Times New Roman"/>
          <w:sz w:val="24"/>
          <w:szCs w:val="24"/>
          <w:lang w:eastAsia="it-IT"/>
        </w:rPr>
        <w:t xml:space="preserve"> evoluzione offre, dunque, nuova linfa al dibattito in materia di diritto d’accesso agli atti e contribuisce a promuovere lo sviluppo della trasparenza ammi</w:t>
      </w:r>
      <w:r w:rsidR="00AF158F" w:rsidRPr="00974501">
        <w:rPr>
          <w:rFonts w:ascii="Times New Roman" w:eastAsia="New Baskerville" w:hAnsi="Times New Roman" w:cs="Times New Roman"/>
          <w:sz w:val="24"/>
          <w:szCs w:val="24"/>
          <w:lang w:eastAsia="it-IT"/>
        </w:rPr>
        <w:t>nistrativa negli Stati europei.</w:t>
      </w:r>
    </w:p>
    <w:p w:rsidR="007048C8" w:rsidRDefault="007048C8" w:rsidP="00367C00">
      <w:pPr>
        <w:spacing w:before="299" w:after="0" w:line="360" w:lineRule="auto"/>
        <w:ind w:left="142" w:firstLine="992"/>
        <w:jc w:val="both"/>
        <w:rPr>
          <w:rFonts w:ascii="Times New Roman" w:eastAsia="New Baskerville" w:hAnsi="Times New Roman" w:cs="Times New Roman"/>
          <w:sz w:val="24"/>
          <w:szCs w:val="24"/>
          <w:lang w:eastAsia="it-IT"/>
        </w:rPr>
      </w:pPr>
    </w:p>
    <w:p w:rsidR="007048C8" w:rsidRPr="007048C8" w:rsidRDefault="007048C8" w:rsidP="007048C8">
      <w:pPr>
        <w:spacing w:before="299" w:after="0" w:line="240" w:lineRule="atLeast"/>
        <w:ind w:left="142"/>
        <w:jc w:val="right"/>
        <w:rPr>
          <w:rFonts w:ascii="Times New Roman" w:eastAsia="New Baskerville" w:hAnsi="Times New Roman" w:cs="Times New Roman"/>
          <w:b/>
          <w:lang w:eastAsia="it-IT"/>
        </w:rPr>
      </w:pPr>
      <w:r w:rsidRPr="007048C8">
        <w:rPr>
          <w:rFonts w:ascii="Times New Roman" w:eastAsia="New Baskerville" w:hAnsi="Times New Roman" w:cs="Times New Roman"/>
          <w:b/>
          <w:lang w:eastAsia="it-IT"/>
        </w:rPr>
        <w:t xml:space="preserve"> </w:t>
      </w:r>
      <w:r w:rsidRPr="007048C8">
        <w:rPr>
          <w:rFonts w:ascii="Times New Roman" w:eastAsia="New Baskerville" w:hAnsi="Times New Roman" w:cs="Times New Roman"/>
          <w:b/>
          <w:lang w:eastAsia="it-IT"/>
        </w:rPr>
        <w:t xml:space="preserve"> Nicola Durante</w:t>
      </w:r>
    </w:p>
    <w:p w:rsidR="007048C8" w:rsidRDefault="007048C8" w:rsidP="007048C8">
      <w:pPr>
        <w:spacing w:before="299" w:after="0" w:line="240" w:lineRule="atLeast"/>
        <w:ind w:left="142"/>
        <w:jc w:val="right"/>
        <w:rPr>
          <w:rFonts w:ascii="Times New Roman" w:eastAsia="New Baskerville" w:hAnsi="Times New Roman" w:cs="Times New Roman"/>
          <w:lang w:eastAsia="it-IT"/>
        </w:rPr>
      </w:pPr>
      <w:proofErr w:type="spellStart"/>
      <w:r w:rsidRPr="00003D78">
        <w:rPr>
          <w:rFonts w:ascii="Times New Roman" w:eastAsia="New Baskerville" w:hAnsi="Times New Roman" w:cs="Times New Roman"/>
          <w:lang w:eastAsia="it-IT"/>
        </w:rPr>
        <w:t>Pres</w:t>
      </w:r>
      <w:proofErr w:type="spellEnd"/>
      <w:r w:rsidRPr="00003D78">
        <w:rPr>
          <w:rFonts w:ascii="Times New Roman" w:eastAsia="New Baskerville" w:hAnsi="Times New Roman" w:cs="Times New Roman"/>
          <w:lang w:eastAsia="it-IT"/>
        </w:rPr>
        <w:t>. Sezione T</w:t>
      </w:r>
      <w:r>
        <w:rPr>
          <w:rFonts w:ascii="Times New Roman" w:eastAsia="New Baskerville" w:hAnsi="Times New Roman" w:cs="Times New Roman"/>
          <w:lang w:eastAsia="it-IT"/>
        </w:rPr>
        <w:t>ar Catanzaro</w:t>
      </w:r>
    </w:p>
    <w:p w:rsidR="007048C8" w:rsidRDefault="007048C8" w:rsidP="007048C8">
      <w:pPr>
        <w:spacing w:before="299" w:after="0" w:line="240" w:lineRule="atLeast"/>
        <w:ind w:left="142"/>
        <w:jc w:val="right"/>
        <w:rPr>
          <w:rFonts w:ascii="Times New Roman" w:eastAsia="New Baskerville" w:hAnsi="Times New Roman" w:cs="Times New Roman"/>
          <w:lang w:eastAsia="it-IT"/>
        </w:rPr>
      </w:pPr>
    </w:p>
    <w:p w:rsidR="007048C8" w:rsidRPr="00003D78" w:rsidRDefault="007048C8" w:rsidP="007048C8">
      <w:pPr>
        <w:spacing w:before="299" w:after="0" w:line="240" w:lineRule="atLeast"/>
        <w:ind w:left="142"/>
        <w:jc w:val="right"/>
        <w:rPr>
          <w:rFonts w:ascii="Times New Roman" w:eastAsia="New Baskerville" w:hAnsi="Times New Roman" w:cs="Times New Roman"/>
          <w:lang w:eastAsia="it-IT"/>
        </w:rPr>
      </w:pPr>
      <w:r>
        <w:rPr>
          <w:rFonts w:ascii="Times New Roman" w:eastAsia="New Baskerville" w:hAnsi="Times New Roman" w:cs="Times New Roman"/>
          <w:lang w:eastAsia="it-IT"/>
        </w:rPr>
        <w:t xml:space="preserve">Pubblicato </w:t>
      </w:r>
      <w:r w:rsidR="00554C92">
        <w:rPr>
          <w:rFonts w:ascii="Times New Roman" w:eastAsia="New Baskerville" w:hAnsi="Times New Roman" w:cs="Times New Roman"/>
          <w:lang w:eastAsia="it-IT"/>
        </w:rPr>
        <w:t>il 7</w:t>
      </w:r>
      <w:bookmarkStart w:id="0" w:name="_GoBack"/>
      <w:bookmarkEnd w:id="0"/>
      <w:r>
        <w:rPr>
          <w:rFonts w:ascii="Times New Roman" w:eastAsia="New Baskerville" w:hAnsi="Times New Roman" w:cs="Times New Roman"/>
          <w:lang w:eastAsia="it-IT"/>
        </w:rPr>
        <w:t xml:space="preserve"> marzo 2018</w:t>
      </w:r>
    </w:p>
    <w:p w:rsidR="007048C8" w:rsidRPr="00467B93" w:rsidRDefault="007048C8" w:rsidP="00367C00">
      <w:pPr>
        <w:spacing w:before="299" w:after="0" w:line="360" w:lineRule="auto"/>
        <w:ind w:left="142" w:firstLine="992"/>
        <w:jc w:val="both"/>
        <w:rPr>
          <w:rFonts w:ascii="Times New Roman" w:eastAsia="New Baskerville" w:hAnsi="Times New Roman" w:cs="Times New Roman"/>
          <w:sz w:val="24"/>
          <w:szCs w:val="24"/>
          <w:lang w:eastAsia="it-IT"/>
        </w:rPr>
      </w:pPr>
    </w:p>
    <w:sectPr w:rsidR="007048C8" w:rsidRPr="00467B93" w:rsidSect="009D10FF">
      <w:footerReference w:type="default" r:id="rId11"/>
      <w:pgSz w:w="11906" w:h="16838"/>
      <w:pgMar w:top="1417" w:right="1134" w:bottom="184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41A" w:rsidRDefault="0028541A" w:rsidP="00737005">
      <w:pPr>
        <w:spacing w:after="0" w:line="240" w:lineRule="auto"/>
      </w:pPr>
      <w:r>
        <w:separator/>
      </w:r>
    </w:p>
  </w:endnote>
  <w:endnote w:type="continuationSeparator" w:id="0">
    <w:p w:rsidR="0028541A" w:rsidRDefault="0028541A" w:rsidP="0073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Baskervill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705567"/>
      <w:docPartObj>
        <w:docPartGallery w:val="Page Numbers (Bottom of Page)"/>
        <w:docPartUnique/>
      </w:docPartObj>
    </w:sdtPr>
    <w:sdtEndPr/>
    <w:sdtContent>
      <w:p w:rsidR="00395F1B" w:rsidRDefault="00395F1B">
        <w:pPr>
          <w:pStyle w:val="Pidipagina"/>
          <w:jc w:val="center"/>
        </w:pPr>
        <w:r>
          <w:fldChar w:fldCharType="begin"/>
        </w:r>
        <w:r>
          <w:instrText>PAGE   \* MERGEFORMAT</w:instrText>
        </w:r>
        <w:r>
          <w:fldChar w:fldCharType="separate"/>
        </w:r>
        <w:r w:rsidR="00554C92">
          <w:rPr>
            <w:noProof/>
          </w:rPr>
          <w:t>19</w:t>
        </w:r>
        <w:r>
          <w:fldChar w:fldCharType="end"/>
        </w:r>
      </w:p>
    </w:sdtContent>
  </w:sdt>
  <w:p w:rsidR="00AD65E3" w:rsidRDefault="00AD65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41A" w:rsidRDefault="0028541A" w:rsidP="00737005">
      <w:pPr>
        <w:spacing w:after="0" w:line="240" w:lineRule="auto"/>
      </w:pPr>
      <w:r>
        <w:separator/>
      </w:r>
    </w:p>
  </w:footnote>
  <w:footnote w:type="continuationSeparator" w:id="0">
    <w:p w:rsidR="0028541A" w:rsidRDefault="0028541A" w:rsidP="00737005">
      <w:pPr>
        <w:spacing w:after="0" w:line="240" w:lineRule="auto"/>
      </w:pPr>
      <w:r>
        <w:continuationSeparator/>
      </w:r>
    </w:p>
  </w:footnote>
  <w:footnote w:id="1">
    <w:p w:rsidR="00AD65E3" w:rsidRPr="00974501" w:rsidRDefault="00AD65E3" w:rsidP="00D24DF4">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E2585B">
        <w:rPr>
          <w:rFonts w:ascii="Times New Roman" w:hAnsi="Times New Roman" w:cs="Times New Roman"/>
          <w:sz w:val="18"/>
          <w:szCs w:val="18"/>
        </w:rPr>
        <w:t xml:space="preserve"> </w:t>
      </w:r>
      <w:r w:rsidRPr="00E2585B">
        <w:rPr>
          <w:rFonts w:ascii="Times New Roman" w:eastAsia="New Baskerville" w:hAnsi="Times New Roman" w:cs="Times New Roman"/>
          <w:sz w:val="18"/>
          <w:szCs w:val="18"/>
          <w:lang w:eastAsia="it-IT"/>
        </w:rPr>
        <w:t xml:space="preserve">Cons. </w:t>
      </w:r>
      <w:r w:rsidRPr="00974501">
        <w:rPr>
          <w:rFonts w:ascii="Times New Roman" w:eastAsia="New Baskerville" w:hAnsi="Times New Roman" w:cs="Times New Roman"/>
          <w:sz w:val="18"/>
          <w:szCs w:val="18"/>
          <w:lang w:eastAsia="it-IT"/>
        </w:rPr>
        <w:t>Stato, Sez. atti normativi, 24 febbraio 2016</w:t>
      </w:r>
      <w:r w:rsidR="00B05A34">
        <w:rPr>
          <w:rFonts w:ascii="Times New Roman" w:eastAsia="New Baskerville" w:hAnsi="Times New Roman" w:cs="Times New Roman"/>
          <w:sz w:val="18"/>
          <w:szCs w:val="18"/>
          <w:lang w:eastAsia="it-IT"/>
        </w:rPr>
        <w:t>,</w:t>
      </w:r>
      <w:r w:rsidRPr="00974501">
        <w:rPr>
          <w:rFonts w:ascii="Times New Roman" w:eastAsia="New Baskerville" w:hAnsi="Times New Roman" w:cs="Times New Roman"/>
          <w:sz w:val="18"/>
          <w:szCs w:val="18"/>
          <w:lang w:eastAsia="it-IT"/>
        </w:rPr>
        <w:t xml:space="preserve"> n. 515.</w:t>
      </w:r>
    </w:p>
  </w:footnote>
  <w:footnote w:id="2">
    <w:p w:rsidR="00AD65E3" w:rsidRPr="00974501" w:rsidRDefault="00AD65E3" w:rsidP="00D24DF4">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 xml:space="preserve">MANGANARO, </w:t>
      </w:r>
      <w:r w:rsidRPr="00974501">
        <w:rPr>
          <w:rFonts w:ascii="Times New Roman" w:eastAsia="New Baskerville" w:hAnsi="Times New Roman" w:cs="Times New Roman"/>
          <w:i/>
          <w:sz w:val="18"/>
          <w:szCs w:val="18"/>
          <w:lang w:eastAsia="it-IT"/>
        </w:rPr>
        <w:t>L’evoluzione del principio di trasparenza amministrativa</w:t>
      </w:r>
      <w:r w:rsidRPr="00974501">
        <w:rPr>
          <w:rFonts w:ascii="Times New Roman" w:eastAsia="New Baskerville" w:hAnsi="Times New Roman" w:cs="Times New Roman"/>
          <w:sz w:val="18"/>
          <w:szCs w:val="18"/>
          <w:lang w:eastAsia="it-IT"/>
        </w:rPr>
        <w:t>, Astridonline.it, 2009.</w:t>
      </w:r>
    </w:p>
  </w:footnote>
  <w:footnote w:id="3">
    <w:p w:rsidR="00AD65E3" w:rsidRPr="00974501" w:rsidRDefault="00AD65E3" w:rsidP="00D24DF4">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 xml:space="preserve">CORRADO, </w:t>
      </w:r>
      <w:r w:rsidRPr="00D933B6">
        <w:rPr>
          <w:rFonts w:ascii="Times New Roman" w:eastAsia="New Baskerville" w:hAnsi="Times New Roman" w:cs="Times New Roman"/>
          <w:i/>
          <w:sz w:val="18"/>
          <w:szCs w:val="18"/>
          <w:lang w:eastAsia="it-IT"/>
        </w:rPr>
        <w:t>La trasparenza negli appalti pubblici, tra obblighi di pubblicazione e pubblicità legale</w:t>
      </w:r>
      <w:r w:rsidRPr="00974501">
        <w:rPr>
          <w:rFonts w:ascii="Times New Roman" w:eastAsia="New Baskerville" w:hAnsi="Times New Roman" w:cs="Times New Roman"/>
          <w:sz w:val="18"/>
          <w:szCs w:val="18"/>
          <w:lang w:eastAsia="it-IT"/>
        </w:rPr>
        <w:t>, Federalismi.it, 2018.</w:t>
      </w:r>
    </w:p>
  </w:footnote>
  <w:footnote w:id="4">
    <w:p w:rsidR="00D933B6" w:rsidRDefault="00D933B6" w:rsidP="00D933B6">
      <w:pPr>
        <w:pStyle w:val="Testonotaapidipagina"/>
        <w:jc w:val="both"/>
      </w:pPr>
      <w:r>
        <w:rPr>
          <w:rStyle w:val="Rimandonotaapidipagina"/>
        </w:rPr>
        <w:footnoteRef/>
      </w:r>
      <w:r>
        <w:t xml:space="preserve"> </w:t>
      </w:r>
      <w:r w:rsidRPr="00D933B6">
        <w:rPr>
          <w:rFonts w:ascii="Times New Roman" w:eastAsia="New Baskerville" w:hAnsi="Times New Roman" w:cs="Times New Roman"/>
          <w:sz w:val="18"/>
          <w:szCs w:val="18"/>
          <w:lang w:eastAsia="it-IT"/>
        </w:rPr>
        <w:t xml:space="preserve">CARINGELLA-GAROFOLI-SEMPREVIVA, </w:t>
      </w:r>
      <w:r w:rsidRPr="00D933B6">
        <w:rPr>
          <w:rFonts w:ascii="Times New Roman" w:eastAsia="New Baskerville" w:hAnsi="Times New Roman" w:cs="Times New Roman"/>
          <w:i/>
          <w:sz w:val="18"/>
          <w:szCs w:val="18"/>
          <w:lang w:eastAsia="it-IT"/>
        </w:rPr>
        <w:t>L’accesso ai documenti amministrativi</w:t>
      </w:r>
      <w:r w:rsidRPr="00D933B6">
        <w:rPr>
          <w:rFonts w:ascii="Times New Roman" w:eastAsia="New Baskerville" w:hAnsi="Times New Roman" w:cs="Times New Roman"/>
          <w:sz w:val="18"/>
          <w:szCs w:val="18"/>
          <w:lang w:eastAsia="it-IT"/>
        </w:rPr>
        <w:t>, Milano, 2007</w:t>
      </w:r>
      <w:r>
        <w:rPr>
          <w:rFonts w:ascii="Times New Roman" w:eastAsia="New Baskerville" w:hAnsi="Times New Roman" w:cs="Times New Roman"/>
          <w:sz w:val="18"/>
          <w:szCs w:val="18"/>
          <w:lang w:eastAsia="it-IT"/>
        </w:rPr>
        <w:t>.</w:t>
      </w:r>
    </w:p>
  </w:footnote>
  <w:footnote w:id="5">
    <w:p w:rsidR="00241680" w:rsidRPr="00974501" w:rsidRDefault="00241680" w:rsidP="00241680">
      <w:pPr>
        <w:pStyle w:val="Testonotaapidipagina"/>
        <w:jc w:val="both"/>
        <w:rPr>
          <w:rFonts w:ascii="Times New Roman" w:eastAsia="New Baskerville" w:hAnsi="Times New Roman" w:cs="Times New Roman"/>
          <w:sz w:val="18"/>
          <w:szCs w:val="18"/>
          <w:lang w:eastAsia="it-IT"/>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241680">
        <w:rPr>
          <w:rFonts w:ascii="Times New Roman" w:eastAsia="New Baskerville" w:hAnsi="Times New Roman" w:cs="Times New Roman"/>
          <w:sz w:val="18"/>
          <w:szCs w:val="18"/>
          <w:lang w:eastAsia="it-IT"/>
        </w:rPr>
        <w:t>Garante per la protezione dei dati personali</w:t>
      </w:r>
      <w:r>
        <w:rPr>
          <w:rFonts w:ascii="Times New Roman" w:eastAsia="New Baskerville" w:hAnsi="Times New Roman" w:cs="Times New Roman"/>
          <w:sz w:val="18"/>
          <w:szCs w:val="18"/>
          <w:lang w:eastAsia="it-IT"/>
        </w:rPr>
        <w:t>,</w:t>
      </w:r>
      <w:r w:rsidRPr="00974501">
        <w:rPr>
          <w:rFonts w:ascii="Times New Roman" w:eastAsia="New Baskerville" w:hAnsi="Times New Roman" w:cs="Times New Roman"/>
          <w:sz w:val="18"/>
          <w:szCs w:val="18"/>
          <w:lang w:eastAsia="it-IT"/>
        </w:rPr>
        <w:t xml:space="preserve"> </w:t>
      </w:r>
      <w:r>
        <w:rPr>
          <w:rFonts w:ascii="Times New Roman" w:eastAsia="New Baskerville" w:hAnsi="Times New Roman" w:cs="Times New Roman"/>
          <w:sz w:val="18"/>
          <w:szCs w:val="18"/>
          <w:lang w:eastAsia="it-IT"/>
        </w:rPr>
        <w:t>d</w:t>
      </w:r>
      <w:r w:rsidRPr="00974501">
        <w:rPr>
          <w:rFonts w:ascii="Times New Roman" w:eastAsia="New Baskerville" w:hAnsi="Times New Roman" w:cs="Times New Roman"/>
          <w:sz w:val="18"/>
          <w:szCs w:val="18"/>
          <w:lang w:eastAsia="it-IT"/>
        </w:rPr>
        <w:t>e</w:t>
      </w:r>
      <w:r>
        <w:rPr>
          <w:rFonts w:ascii="Times New Roman" w:eastAsia="New Baskerville" w:hAnsi="Times New Roman" w:cs="Times New Roman"/>
          <w:sz w:val="18"/>
          <w:szCs w:val="18"/>
          <w:lang w:eastAsia="it-IT"/>
        </w:rPr>
        <w:t>terminazione</w:t>
      </w:r>
      <w:r w:rsidRPr="00974501">
        <w:rPr>
          <w:rFonts w:ascii="Times New Roman" w:eastAsia="New Baskerville" w:hAnsi="Times New Roman" w:cs="Times New Roman"/>
          <w:sz w:val="18"/>
          <w:szCs w:val="18"/>
          <w:lang w:eastAsia="it-IT"/>
        </w:rPr>
        <w:t xml:space="preserve"> 15 maggio 2014, n. 243, recante “Linee guida in materia di trattamento di dati personali, contenuti anche in atti e documenti amministrativi, effettuato per finalità di pubblicità e trasparenza sul </w:t>
      </w:r>
      <w:r w:rsidRPr="005E1B40">
        <w:rPr>
          <w:rFonts w:ascii="Times New Roman" w:eastAsia="New Baskerville" w:hAnsi="Times New Roman" w:cs="Times New Roman"/>
          <w:i/>
          <w:sz w:val="18"/>
          <w:szCs w:val="18"/>
          <w:lang w:eastAsia="it-IT"/>
        </w:rPr>
        <w:t>web</w:t>
      </w:r>
      <w:r w:rsidRPr="00974501">
        <w:rPr>
          <w:rFonts w:ascii="Times New Roman" w:eastAsia="New Baskerville" w:hAnsi="Times New Roman" w:cs="Times New Roman"/>
          <w:sz w:val="18"/>
          <w:szCs w:val="18"/>
          <w:lang w:eastAsia="it-IT"/>
        </w:rPr>
        <w:t xml:space="preserve"> da soggetti pubblici e da altri enti obbligati”.</w:t>
      </w:r>
    </w:p>
  </w:footnote>
  <w:footnote w:id="6">
    <w:p w:rsidR="0050635A" w:rsidRPr="00CC4FD5" w:rsidRDefault="0050635A" w:rsidP="0050635A">
      <w:pPr>
        <w:pStyle w:val="Testonotaapidipagina"/>
        <w:jc w:val="both"/>
        <w:rPr>
          <w:rFonts w:ascii="Times New Roman" w:eastAsia="New Baskerville" w:hAnsi="Times New Roman" w:cs="Times New Roman"/>
          <w:sz w:val="18"/>
          <w:szCs w:val="18"/>
          <w:lang w:eastAsia="it-IT"/>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T.A.R. Bolzano, 3 ottobre 2016, n. 273;</w:t>
      </w:r>
      <w:r>
        <w:rPr>
          <w:rFonts w:ascii="Times New Roman" w:eastAsia="New Baskerville" w:hAnsi="Times New Roman" w:cs="Times New Roman"/>
          <w:sz w:val="18"/>
          <w:szCs w:val="18"/>
          <w:lang w:eastAsia="it-IT"/>
        </w:rPr>
        <w:t xml:space="preserve"> </w:t>
      </w:r>
      <w:r w:rsidRPr="00974501">
        <w:rPr>
          <w:rFonts w:ascii="Times New Roman" w:eastAsia="New Baskerville" w:hAnsi="Times New Roman" w:cs="Times New Roman"/>
          <w:sz w:val="18"/>
          <w:szCs w:val="18"/>
          <w:lang w:eastAsia="it-IT"/>
        </w:rPr>
        <w:t>T.A.R. Toscana, Sez. I, 26 ottobre 2015, n. 1422</w:t>
      </w:r>
      <w:r>
        <w:rPr>
          <w:rFonts w:ascii="Times New Roman" w:eastAsia="New Baskerville" w:hAnsi="Times New Roman" w:cs="Times New Roman"/>
          <w:sz w:val="18"/>
          <w:szCs w:val="18"/>
          <w:lang w:eastAsia="it-IT"/>
        </w:rPr>
        <w:t xml:space="preserve">; </w:t>
      </w:r>
      <w:r w:rsidRPr="00974501">
        <w:rPr>
          <w:rFonts w:ascii="Times New Roman" w:eastAsia="New Baskerville" w:hAnsi="Times New Roman" w:cs="Times New Roman"/>
          <w:sz w:val="18"/>
          <w:szCs w:val="18"/>
          <w:lang w:eastAsia="it-IT"/>
        </w:rPr>
        <w:t xml:space="preserve">T.A.R. </w:t>
      </w:r>
      <w:r>
        <w:rPr>
          <w:rFonts w:ascii="Times New Roman" w:eastAsia="New Baskerville" w:hAnsi="Times New Roman" w:cs="Times New Roman"/>
          <w:sz w:val="18"/>
          <w:szCs w:val="18"/>
          <w:lang w:eastAsia="it-IT"/>
        </w:rPr>
        <w:t>Calabri</w:t>
      </w:r>
      <w:r w:rsidRPr="00974501">
        <w:rPr>
          <w:rFonts w:ascii="Times New Roman" w:eastAsia="New Baskerville" w:hAnsi="Times New Roman" w:cs="Times New Roman"/>
          <w:sz w:val="18"/>
          <w:szCs w:val="18"/>
          <w:lang w:eastAsia="it-IT"/>
        </w:rPr>
        <w:t xml:space="preserve">a, Sez. </w:t>
      </w:r>
      <w:r>
        <w:rPr>
          <w:rFonts w:ascii="Times New Roman" w:eastAsia="New Baskerville" w:hAnsi="Times New Roman" w:cs="Times New Roman"/>
          <w:sz w:val="18"/>
          <w:szCs w:val="18"/>
          <w:lang w:eastAsia="it-IT"/>
        </w:rPr>
        <w:t>I</w:t>
      </w:r>
      <w:r w:rsidRPr="00974501">
        <w:rPr>
          <w:rFonts w:ascii="Times New Roman" w:eastAsia="New Baskerville" w:hAnsi="Times New Roman" w:cs="Times New Roman"/>
          <w:sz w:val="18"/>
          <w:szCs w:val="18"/>
          <w:lang w:eastAsia="it-IT"/>
        </w:rPr>
        <w:t xml:space="preserve">I, </w:t>
      </w:r>
      <w:r>
        <w:rPr>
          <w:rFonts w:ascii="Times New Roman" w:eastAsia="New Baskerville" w:hAnsi="Times New Roman" w:cs="Times New Roman"/>
          <w:sz w:val="18"/>
          <w:szCs w:val="18"/>
          <w:lang w:eastAsia="it-IT"/>
        </w:rPr>
        <w:t xml:space="preserve">3 aprile </w:t>
      </w:r>
      <w:r w:rsidRPr="00974501">
        <w:rPr>
          <w:rFonts w:ascii="Times New Roman" w:eastAsia="New Baskerville" w:hAnsi="Times New Roman" w:cs="Times New Roman"/>
          <w:sz w:val="18"/>
          <w:szCs w:val="18"/>
          <w:lang w:eastAsia="it-IT"/>
        </w:rPr>
        <w:t>201</w:t>
      </w:r>
      <w:r>
        <w:rPr>
          <w:rFonts w:ascii="Times New Roman" w:eastAsia="New Baskerville" w:hAnsi="Times New Roman" w:cs="Times New Roman"/>
          <w:sz w:val="18"/>
          <w:szCs w:val="18"/>
          <w:lang w:eastAsia="it-IT"/>
        </w:rPr>
        <w:t>4</w:t>
      </w:r>
      <w:r w:rsidRPr="00974501">
        <w:rPr>
          <w:rFonts w:ascii="Times New Roman" w:eastAsia="New Baskerville" w:hAnsi="Times New Roman" w:cs="Times New Roman"/>
          <w:sz w:val="18"/>
          <w:szCs w:val="18"/>
          <w:lang w:eastAsia="it-IT"/>
        </w:rPr>
        <w:t xml:space="preserve">, n. </w:t>
      </w:r>
      <w:r>
        <w:rPr>
          <w:rFonts w:ascii="Times New Roman" w:eastAsia="New Baskerville" w:hAnsi="Times New Roman" w:cs="Times New Roman"/>
          <w:sz w:val="18"/>
          <w:szCs w:val="18"/>
          <w:lang w:eastAsia="it-IT"/>
        </w:rPr>
        <w:t xml:space="preserve">540; </w:t>
      </w:r>
      <w:r w:rsidRPr="00CC4FD5">
        <w:rPr>
          <w:rFonts w:ascii="Times New Roman" w:eastAsia="New Baskerville" w:hAnsi="Times New Roman" w:cs="Times New Roman"/>
          <w:sz w:val="18"/>
          <w:szCs w:val="18"/>
          <w:lang w:eastAsia="it-IT"/>
        </w:rPr>
        <w:t>T.A.R. Veneto, Sez. I, 30 luglio 2012</w:t>
      </w:r>
      <w:r>
        <w:rPr>
          <w:rFonts w:ascii="Times New Roman" w:eastAsia="New Baskerville" w:hAnsi="Times New Roman" w:cs="Times New Roman"/>
          <w:sz w:val="18"/>
          <w:szCs w:val="18"/>
          <w:lang w:eastAsia="it-IT"/>
        </w:rPr>
        <w:t>,</w:t>
      </w:r>
      <w:r w:rsidRPr="00CC4FD5">
        <w:rPr>
          <w:rFonts w:ascii="Times New Roman" w:eastAsia="New Baskerville" w:hAnsi="Times New Roman" w:cs="Times New Roman"/>
          <w:sz w:val="18"/>
          <w:szCs w:val="18"/>
          <w:lang w:eastAsia="it-IT"/>
        </w:rPr>
        <w:t xml:space="preserve"> n. 1060; T.A.R. Piemonte, Sez. I, 4 settembre 2009</w:t>
      </w:r>
      <w:r>
        <w:rPr>
          <w:rFonts w:ascii="Times New Roman" w:eastAsia="New Baskerville" w:hAnsi="Times New Roman" w:cs="Times New Roman"/>
          <w:sz w:val="18"/>
          <w:szCs w:val="18"/>
          <w:lang w:eastAsia="it-IT"/>
        </w:rPr>
        <w:t>,</w:t>
      </w:r>
      <w:r w:rsidRPr="00CC4FD5">
        <w:rPr>
          <w:rFonts w:ascii="Times New Roman" w:eastAsia="New Baskerville" w:hAnsi="Times New Roman" w:cs="Times New Roman"/>
          <w:sz w:val="18"/>
          <w:szCs w:val="18"/>
          <w:lang w:eastAsia="it-IT"/>
        </w:rPr>
        <w:t xml:space="preserve"> n. 2265</w:t>
      </w:r>
      <w:r w:rsidRPr="00974501">
        <w:rPr>
          <w:rFonts w:ascii="Times New Roman" w:eastAsia="New Baskerville" w:hAnsi="Times New Roman" w:cs="Times New Roman"/>
          <w:sz w:val="18"/>
          <w:szCs w:val="18"/>
          <w:lang w:eastAsia="it-IT"/>
        </w:rPr>
        <w:t>.</w:t>
      </w:r>
    </w:p>
  </w:footnote>
  <w:footnote w:id="7">
    <w:p w:rsidR="004D2947" w:rsidRPr="00D933B6" w:rsidRDefault="004D2947" w:rsidP="004D2947">
      <w:pPr>
        <w:pStyle w:val="Testonotaapidipagina"/>
        <w:jc w:val="both"/>
        <w:rPr>
          <w:rFonts w:ascii="Times New Roman" w:eastAsia="New Baskerville" w:hAnsi="Times New Roman" w:cs="Times New Roman"/>
          <w:sz w:val="18"/>
          <w:szCs w:val="18"/>
          <w:lang w:eastAsia="it-IT"/>
        </w:rPr>
      </w:pPr>
      <w:r>
        <w:rPr>
          <w:rStyle w:val="Rimandonotaapidipagina"/>
        </w:rPr>
        <w:footnoteRef/>
      </w:r>
      <w:r>
        <w:t xml:space="preserve"> </w:t>
      </w:r>
      <w:r w:rsidRPr="00D933B6">
        <w:rPr>
          <w:rFonts w:ascii="Times New Roman" w:eastAsia="New Baskerville" w:hAnsi="Times New Roman" w:cs="Times New Roman"/>
          <w:sz w:val="18"/>
          <w:szCs w:val="18"/>
          <w:lang w:eastAsia="it-IT"/>
        </w:rPr>
        <w:t xml:space="preserve">GALETTA, </w:t>
      </w:r>
      <w:r w:rsidRPr="00D933B6">
        <w:rPr>
          <w:rFonts w:ascii="Times New Roman" w:eastAsia="New Baskerville" w:hAnsi="Times New Roman" w:cs="Times New Roman"/>
          <w:i/>
          <w:sz w:val="18"/>
          <w:szCs w:val="18"/>
          <w:lang w:eastAsia="it-IT"/>
        </w:rPr>
        <w:t>Accesso civico e trasparenza della Pubblica Amministrazione alla luce delle (previste) modifiche alle disposizioni del Decreto Legislativo n. 33/2013</w:t>
      </w:r>
      <w:r w:rsidRPr="00D933B6">
        <w:rPr>
          <w:rFonts w:ascii="Times New Roman" w:eastAsia="New Baskerville" w:hAnsi="Times New Roman" w:cs="Times New Roman"/>
          <w:sz w:val="18"/>
          <w:szCs w:val="18"/>
          <w:lang w:eastAsia="it-IT"/>
        </w:rPr>
        <w:t>, Federalismi.it</w:t>
      </w:r>
      <w:r>
        <w:rPr>
          <w:rFonts w:ascii="Times New Roman" w:eastAsia="New Baskerville" w:hAnsi="Times New Roman" w:cs="Times New Roman"/>
          <w:sz w:val="18"/>
          <w:szCs w:val="18"/>
          <w:lang w:eastAsia="it-IT"/>
        </w:rPr>
        <w:t xml:space="preserve">, </w:t>
      </w:r>
      <w:r w:rsidRPr="00D933B6">
        <w:rPr>
          <w:rFonts w:ascii="Times New Roman" w:eastAsia="New Baskerville" w:hAnsi="Times New Roman" w:cs="Times New Roman"/>
          <w:sz w:val="18"/>
          <w:szCs w:val="18"/>
          <w:lang w:eastAsia="it-IT"/>
        </w:rPr>
        <w:t xml:space="preserve">2016; NICOTRA, </w:t>
      </w:r>
      <w:r w:rsidRPr="00D933B6">
        <w:rPr>
          <w:rFonts w:ascii="Times New Roman" w:eastAsia="New Baskerville" w:hAnsi="Times New Roman" w:cs="Times New Roman"/>
          <w:i/>
          <w:sz w:val="18"/>
          <w:szCs w:val="18"/>
          <w:lang w:eastAsia="it-IT"/>
        </w:rPr>
        <w:t>La dimensione della trasparenza tra diritto alla accessibilità totale e protezione dei dati personali: alla ricerca di un equilibrio costituzionale</w:t>
      </w:r>
      <w:r w:rsidRPr="00D933B6">
        <w:rPr>
          <w:rFonts w:ascii="Times New Roman" w:eastAsia="New Baskerville" w:hAnsi="Times New Roman" w:cs="Times New Roman"/>
          <w:sz w:val="18"/>
          <w:szCs w:val="18"/>
          <w:lang w:eastAsia="it-IT"/>
        </w:rPr>
        <w:t xml:space="preserve">, Federalismi.it, 2015; PAJNO, </w:t>
      </w:r>
      <w:r w:rsidRPr="00D933B6">
        <w:rPr>
          <w:rFonts w:ascii="Times New Roman" w:eastAsia="New Baskerville" w:hAnsi="Times New Roman" w:cs="Times New Roman"/>
          <w:i/>
          <w:sz w:val="18"/>
          <w:szCs w:val="18"/>
          <w:lang w:eastAsia="it-IT"/>
        </w:rPr>
        <w:t>Il principio di trasparenza alla luce delle norme anticorruzione</w:t>
      </w:r>
      <w:r w:rsidRPr="00D933B6">
        <w:rPr>
          <w:rFonts w:ascii="Times New Roman" w:eastAsia="New Baskerville" w:hAnsi="Times New Roman" w:cs="Times New Roman"/>
          <w:sz w:val="18"/>
          <w:szCs w:val="18"/>
          <w:lang w:eastAsia="it-IT"/>
        </w:rPr>
        <w:t>, GC, 2015</w:t>
      </w:r>
      <w:r>
        <w:rPr>
          <w:rFonts w:ascii="Times New Roman" w:eastAsia="New Baskerville" w:hAnsi="Times New Roman" w:cs="Times New Roman"/>
          <w:sz w:val="18"/>
          <w:szCs w:val="18"/>
          <w:lang w:eastAsia="it-IT"/>
        </w:rPr>
        <w:t>.</w:t>
      </w:r>
    </w:p>
  </w:footnote>
  <w:footnote w:id="8">
    <w:p w:rsidR="008136B7" w:rsidRPr="008136B7" w:rsidRDefault="008136B7" w:rsidP="008136B7">
      <w:pPr>
        <w:pStyle w:val="Testonotaapidipagina"/>
        <w:jc w:val="both"/>
        <w:rPr>
          <w:rFonts w:ascii="Times New Roman" w:eastAsia="New Baskerville" w:hAnsi="Times New Roman" w:cs="Times New Roman"/>
          <w:sz w:val="18"/>
          <w:szCs w:val="18"/>
          <w:lang w:eastAsia="it-IT"/>
        </w:rPr>
      </w:pPr>
      <w:r>
        <w:rPr>
          <w:rStyle w:val="Rimandonotaapidipagina"/>
        </w:rPr>
        <w:footnoteRef/>
      </w:r>
      <w:r>
        <w:t xml:space="preserve"> </w:t>
      </w:r>
      <w:r w:rsidRPr="00974501">
        <w:rPr>
          <w:rFonts w:ascii="Times New Roman" w:eastAsia="New Baskerville" w:hAnsi="Times New Roman" w:cs="Times New Roman"/>
          <w:sz w:val="18"/>
          <w:szCs w:val="18"/>
          <w:lang w:eastAsia="it-IT"/>
        </w:rPr>
        <w:t xml:space="preserve">T.A.R. </w:t>
      </w:r>
      <w:r>
        <w:rPr>
          <w:rFonts w:ascii="Times New Roman" w:eastAsia="New Baskerville" w:hAnsi="Times New Roman" w:cs="Times New Roman"/>
          <w:sz w:val="18"/>
          <w:szCs w:val="18"/>
          <w:lang w:eastAsia="it-IT"/>
        </w:rPr>
        <w:t>Lazio</w:t>
      </w:r>
      <w:r w:rsidRPr="00974501">
        <w:rPr>
          <w:rFonts w:ascii="Times New Roman" w:eastAsia="New Baskerville" w:hAnsi="Times New Roman" w:cs="Times New Roman"/>
          <w:sz w:val="18"/>
          <w:szCs w:val="18"/>
          <w:lang w:eastAsia="it-IT"/>
        </w:rPr>
        <w:t xml:space="preserve">, Sez. </w:t>
      </w:r>
      <w:r>
        <w:rPr>
          <w:rFonts w:ascii="Times New Roman" w:eastAsia="New Baskerville" w:hAnsi="Times New Roman" w:cs="Times New Roman"/>
          <w:sz w:val="18"/>
          <w:szCs w:val="18"/>
          <w:lang w:eastAsia="it-IT"/>
        </w:rPr>
        <w:t>II</w:t>
      </w:r>
      <w:r w:rsidRPr="00974501">
        <w:rPr>
          <w:rFonts w:ascii="Times New Roman" w:eastAsia="New Baskerville" w:hAnsi="Times New Roman" w:cs="Times New Roman"/>
          <w:sz w:val="18"/>
          <w:szCs w:val="18"/>
          <w:lang w:eastAsia="it-IT"/>
        </w:rPr>
        <w:t>I</w:t>
      </w:r>
      <w:r>
        <w:rPr>
          <w:rFonts w:ascii="Times New Roman" w:eastAsia="New Baskerville" w:hAnsi="Times New Roman" w:cs="Times New Roman"/>
          <w:sz w:val="18"/>
          <w:szCs w:val="18"/>
          <w:lang w:eastAsia="it-IT"/>
        </w:rPr>
        <w:t>-</w:t>
      </w:r>
      <w:r w:rsidRPr="008136B7">
        <w:rPr>
          <w:rFonts w:ascii="Times New Roman" w:eastAsia="New Baskerville" w:hAnsi="Times New Roman" w:cs="Times New Roman"/>
          <w:i/>
          <w:sz w:val="18"/>
          <w:szCs w:val="18"/>
          <w:lang w:eastAsia="it-IT"/>
        </w:rPr>
        <w:t>bis</w:t>
      </w:r>
      <w:r w:rsidRPr="00974501">
        <w:rPr>
          <w:rFonts w:ascii="Times New Roman" w:eastAsia="New Baskerville" w:hAnsi="Times New Roman" w:cs="Times New Roman"/>
          <w:sz w:val="18"/>
          <w:szCs w:val="18"/>
          <w:lang w:eastAsia="it-IT"/>
        </w:rPr>
        <w:t xml:space="preserve">, </w:t>
      </w:r>
      <w:r>
        <w:rPr>
          <w:rFonts w:ascii="Times New Roman" w:eastAsia="New Baskerville" w:hAnsi="Times New Roman" w:cs="Times New Roman"/>
          <w:sz w:val="18"/>
          <w:szCs w:val="18"/>
          <w:lang w:eastAsia="it-IT"/>
        </w:rPr>
        <w:t>24 nov</w:t>
      </w:r>
      <w:r w:rsidRPr="00974501">
        <w:rPr>
          <w:rFonts w:ascii="Times New Roman" w:eastAsia="New Baskerville" w:hAnsi="Times New Roman" w:cs="Times New Roman"/>
          <w:sz w:val="18"/>
          <w:szCs w:val="18"/>
          <w:lang w:eastAsia="it-IT"/>
        </w:rPr>
        <w:t xml:space="preserve">embre 2017, n. </w:t>
      </w:r>
      <w:r>
        <w:rPr>
          <w:rFonts w:ascii="Times New Roman" w:eastAsia="New Baskerville" w:hAnsi="Times New Roman" w:cs="Times New Roman"/>
          <w:sz w:val="18"/>
          <w:szCs w:val="18"/>
          <w:lang w:eastAsia="it-IT"/>
        </w:rPr>
        <w:t>11628, relativamente a</w:t>
      </w:r>
      <w:r w:rsidR="00C85215">
        <w:rPr>
          <w:rFonts w:ascii="Times New Roman" w:eastAsia="New Baskerville" w:hAnsi="Times New Roman" w:cs="Times New Roman"/>
          <w:sz w:val="18"/>
          <w:szCs w:val="18"/>
          <w:lang w:eastAsia="it-IT"/>
        </w:rPr>
        <w:t>ll’accesso alle</w:t>
      </w:r>
      <w:r>
        <w:rPr>
          <w:rFonts w:ascii="Times New Roman" w:eastAsia="New Baskerville" w:hAnsi="Times New Roman" w:cs="Times New Roman"/>
          <w:sz w:val="18"/>
          <w:szCs w:val="18"/>
          <w:lang w:eastAsia="it-IT"/>
        </w:rPr>
        <w:t xml:space="preserve"> </w:t>
      </w:r>
      <w:r w:rsidRPr="008136B7">
        <w:rPr>
          <w:rFonts w:ascii="Times New Roman" w:eastAsia="New Baskerville" w:hAnsi="Times New Roman" w:cs="Times New Roman"/>
          <w:sz w:val="18"/>
          <w:szCs w:val="18"/>
          <w:lang w:eastAsia="it-IT"/>
        </w:rPr>
        <w:t>registrazion</w:t>
      </w:r>
      <w:r w:rsidR="00C85215">
        <w:rPr>
          <w:rFonts w:ascii="Times New Roman" w:eastAsia="New Baskerville" w:hAnsi="Times New Roman" w:cs="Times New Roman"/>
          <w:sz w:val="18"/>
          <w:szCs w:val="18"/>
          <w:lang w:eastAsia="it-IT"/>
        </w:rPr>
        <w:t>i d</w:t>
      </w:r>
      <w:r w:rsidRPr="008136B7">
        <w:rPr>
          <w:rFonts w:ascii="Times New Roman" w:eastAsia="New Baskerville" w:hAnsi="Times New Roman" w:cs="Times New Roman"/>
          <w:sz w:val="18"/>
          <w:szCs w:val="18"/>
          <w:lang w:eastAsia="it-IT"/>
        </w:rPr>
        <w:t xml:space="preserve">i video in </w:t>
      </w:r>
      <w:r w:rsidRPr="00C85215">
        <w:rPr>
          <w:rFonts w:ascii="Times New Roman" w:eastAsia="New Baskerville" w:hAnsi="Times New Roman" w:cs="Times New Roman"/>
          <w:i/>
          <w:sz w:val="18"/>
          <w:szCs w:val="18"/>
          <w:lang w:eastAsia="it-IT"/>
        </w:rPr>
        <w:t>streaming</w:t>
      </w:r>
      <w:r w:rsidRPr="008136B7">
        <w:rPr>
          <w:rFonts w:ascii="Times New Roman" w:eastAsia="New Baskerville" w:hAnsi="Times New Roman" w:cs="Times New Roman"/>
          <w:sz w:val="18"/>
          <w:szCs w:val="18"/>
          <w:lang w:eastAsia="it-IT"/>
        </w:rPr>
        <w:t xml:space="preserve">, per le </w:t>
      </w:r>
      <w:r w:rsidR="00C85215">
        <w:rPr>
          <w:rFonts w:ascii="Times New Roman" w:eastAsia="New Baskerville" w:hAnsi="Times New Roman" w:cs="Times New Roman"/>
          <w:sz w:val="18"/>
          <w:szCs w:val="18"/>
          <w:lang w:eastAsia="it-IT"/>
        </w:rPr>
        <w:t>q</w:t>
      </w:r>
      <w:r w:rsidRPr="008136B7">
        <w:rPr>
          <w:rFonts w:ascii="Times New Roman" w:eastAsia="New Baskerville" w:hAnsi="Times New Roman" w:cs="Times New Roman"/>
          <w:sz w:val="18"/>
          <w:szCs w:val="18"/>
          <w:lang w:eastAsia="it-IT"/>
        </w:rPr>
        <w:t>uali non è prevista l’archiviazione su supporti locali.</w:t>
      </w:r>
    </w:p>
  </w:footnote>
  <w:footnote w:id="9">
    <w:p w:rsidR="00AD65E3" w:rsidRPr="00974501" w:rsidRDefault="00AD65E3" w:rsidP="00974501">
      <w:pPr>
        <w:pStyle w:val="Testonotaapidipagina"/>
        <w:jc w:val="both"/>
        <w:rPr>
          <w:rFonts w:ascii="Times New Roman" w:eastAsia="New Baskerville" w:hAnsi="Times New Roman" w:cs="Times New Roman"/>
          <w:sz w:val="18"/>
          <w:szCs w:val="18"/>
          <w:lang w:eastAsia="it-IT"/>
        </w:rPr>
      </w:pPr>
      <w:r w:rsidRPr="00974501">
        <w:rPr>
          <w:rStyle w:val="Rimandonotaapidipagina"/>
          <w:rFonts w:ascii="Times New Roman" w:hAnsi="Times New Roman" w:cs="Times New Roman"/>
          <w:sz w:val="18"/>
          <w:szCs w:val="18"/>
        </w:rPr>
        <w:footnoteRef/>
      </w:r>
      <w:r w:rsidRPr="00974501">
        <w:rPr>
          <w:rStyle w:val="Rimandonotaapidipagina"/>
        </w:rPr>
        <w:t xml:space="preserve"> </w:t>
      </w:r>
      <w:r w:rsidRPr="00974501">
        <w:rPr>
          <w:rFonts w:ascii="Times New Roman" w:eastAsia="New Baskerville" w:hAnsi="Times New Roman" w:cs="Times New Roman"/>
          <w:sz w:val="18"/>
          <w:szCs w:val="18"/>
          <w:lang w:eastAsia="it-IT"/>
        </w:rPr>
        <w:t>T.A.R. Campania, Sez. VI, 13 dicembre 2017, n. 5901.</w:t>
      </w:r>
    </w:p>
  </w:footnote>
  <w:footnote w:id="10">
    <w:p w:rsidR="000B6CDF" w:rsidRPr="00974501" w:rsidRDefault="000B6CDF" w:rsidP="000B6CDF">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Cons. Stato, Sez. VI, 20 novembre 2013, n. 5515.</w:t>
      </w:r>
    </w:p>
  </w:footnote>
  <w:footnote w:id="11">
    <w:p w:rsidR="00D103E7" w:rsidRPr="00974501" w:rsidRDefault="00D103E7" w:rsidP="00D103E7">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proofErr w:type="spellStart"/>
      <w:r>
        <w:rPr>
          <w:rFonts w:ascii="Times New Roman" w:eastAsia="New Baskerville" w:hAnsi="Times New Roman" w:cs="Times New Roman"/>
          <w:sz w:val="18"/>
          <w:szCs w:val="18"/>
          <w:lang w:eastAsia="it-IT"/>
        </w:rPr>
        <w:t>Anac</w:t>
      </w:r>
      <w:proofErr w:type="spellEnd"/>
      <w:r>
        <w:rPr>
          <w:rFonts w:ascii="Times New Roman" w:eastAsia="New Baskerville" w:hAnsi="Times New Roman" w:cs="Times New Roman"/>
          <w:sz w:val="18"/>
          <w:szCs w:val="18"/>
          <w:lang w:eastAsia="it-IT"/>
        </w:rPr>
        <w:t>, d</w:t>
      </w:r>
      <w:r w:rsidRPr="00974501">
        <w:rPr>
          <w:rFonts w:ascii="Times New Roman" w:eastAsia="New Baskerville" w:hAnsi="Times New Roman" w:cs="Times New Roman"/>
          <w:sz w:val="18"/>
          <w:szCs w:val="18"/>
          <w:lang w:eastAsia="it-IT"/>
        </w:rPr>
        <w:t xml:space="preserve">eterminazione 28 dicembre 2016 n. 1309, recante </w:t>
      </w:r>
      <w:r>
        <w:rPr>
          <w:rFonts w:ascii="Times New Roman" w:eastAsia="New Baskerville" w:hAnsi="Times New Roman" w:cs="Times New Roman"/>
          <w:sz w:val="18"/>
          <w:szCs w:val="18"/>
          <w:lang w:eastAsia="it-IT"/>
        </w:rPr>
        <w:t xml:space="preserve">le </w:t>
      </w:r>
      <w:r w:rsidRPr="00974501">
        <w:rPr>
          <w:rFonts w:ascii="Times New Roman" w:eastAsia="New Baskerville" w:hAnsi="Times New Roman" w:cs="Times New Roman"/>
          <w:sz w:val="18"/>
          <w:szCs w:val="18"/>
          <w:lang w:eastAsia="it-IT"/>
        </w:rPr>
        <w:t>indicazioni operative e le esclusioni e i limiti all’accesso civico generalizzato, adottata d’intesa con il Garante per la protezione dei dati personali e sentita la Conferenza unificata</w:t>
      </w:r>
      <w:r>
        <w:rPr>
          <w:rFonts w:ascii="Times New Roman" w:eastAsia="New Baskerville" w:hAnsi="Times New Roman" w:cs="Times New Roman"/>
          <w:sz w:val="18"/>
          <w:szCs w:val="18"/>
          <w:lang w:eastAsia="it-IT"/>
        </w:rPr>
        <w:t xml:space="preserve"> Stato-Regioni-Comunità locali</w:t>
      </w:r>
      <w:r w:rsidRPr="00974501">
        <w:rPr>
          <w:rFonts w:ascii="Times New Roman" w:eastAsia="New Baskerville" w:hAnsi="Times New Roman" w:cs="Times New Roman"/>
          <w:sz w:val="18"/>
          <w:szCs w:val="18"/>
          <w:lang w:eastAsia="it-IT"/>
        </w:rPr>
        <w:t>.</w:t>
      </w:r>
    </w:p>
  </w:footnote>
  <w:footnote w:id="12">
    <w:p w:rsidR="00AD65E3" w:rsidRPr="00974501" w:rsidRDefault="00AD65E3" w:rsidP="00AD65E3">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Cons. Stato, Sez. VI, 22 aprile 2008, n. 1842.</w:t>
      </w:r>
    </w:p>
  </w:footnote>
  <w:footnote w:id="13">
    <w:p w:rsidR="00AD65E3" w:rsidRPr="00974501" w:rsidRDefault="00AD65E3" w:rsidP="00AD65E3">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Cons. Stato, Sez. VI, 15 maggio 2017, n. 2269, Sez. III, 16 maggio 2016, n. 1978; Sez. IV, 6 agosto 2014, n. 4209.</w:t>
      </w:r>
    </w:p>
  </w:footnote>
  <w:footnote w:id="14">
    <w:p w:rsidR="00EC66CD" w:rsidRPr="00974501" w:rsidRDefault="00EC66CD" w:rsidP="00EC66CD">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Cons. Stato, Sez. VI, 31 gennaio 2018, n. 651.</w:t>
      </w:r>
    </w:p>
  </w:footnote>
  <w:footnote w:id="15">
    <w:p w:rsidR="003B6DC5" w:rsidRPr="003B6DC5" w:rsidRDefault="003B6DC5" w:rsidP="003B6DC5">
      <w:pPr>
        <w:pStyle w:val="Testonotaapidipagina"/>
        <w:jc w:val="both"/>
        <w:rPr>
          <w:rFonts w:ascii="Times New Roman" w:hAnsi="Times New Roman" w:cs="Times New Roman"/>
        </w:rPr>
      </w:pPr>
      <w:r>
        <w:rPr>
          <w:rStyle w:val="Rimandonotaapidipagina"/>
        </w:rPr>
        <w:footnoteRef/>
      </w:r>
      <w:r>
        <w:t xml:space="preserve"> </w:t>
      </w:r>
      <w:r w:rsidRPr="003B6DC5">
        <w:rPr>
          <w:rFonts w:ascii="Times New Roman" w:hAnsi="Times New Roman" w:cs="Times New Roman"/>
        </w:rPr>
        <w:t>Intimando, a pena di inammissibilità del ricorso, anche gli eventuali controinteressati: T.A.R. Lazio, Sez. I-</w:t>
      </w:r>
      <w:r w:rsidRPr="003B6DC5">
        <w:rPr>
          <w:rFonts w:ascii="Times New Roman" w:hAnsi="Times New Roman" w:cs="Times New Roman"/>
          <w:i/>
        </w:rPr>
        <w:t>bis</w:t>
      </w:r>
      <w:r w:rsidRPr="003B6DC5">
        <w:rPr>
          <w:rFonts w:ascii="Times New Roman" w:hAnsi="Times New Roman" w:cs="Times New Roman"/>
        </w:rPr>
        <w:t>, 2</w:t>
      </w:r>
      <w:r>
        <w:rPr>
          <w:rFonts w:ascii="Times New Roman" w:hAnsi="Times New Roman" w:cs="Times New Roman"/>
        </w:rPr>
        <w:t>9</w:t>
      </w:r>
      <w:r w:rsidRPr="003B6DC5">
        <w:rPr>
          <w:rFonts w:ascii="Times New Roman" w:hAnsi="Times New Roman" w:cs="Times New Roman"/>
        </w:rPr>
        <w:t xml:space="preserve"> </w:t>
      </w:r>
      <w:r>
        <w:rPr>
          <w:rFonts w:ascii="Times New Roman" w:hAnsi="Times New Roman" w:cs="Times New Roman"/>
        </w:rPr>
        <w:t>genn</w:t>
      </w:r>
      <w:r w:rsidRPr="003B6DC5">
        <w:rPr>
          <w:rFonts w:ascii="Times New Roman" w:hAnsi="Times New Roman" w:cs="Times New Roman"/>
        </w:rPr>
        <w:t>aio 201</w:t>
      </w:r>
      <w:r>
        <w:rPr>
          <w:rFonts w:ascii="Times New Roman" w:hAnsi="Times New Roman" w:cs="Times New Roman"/>
        </w:rPr>
        <w:t>7</w:t>
      </w:r>
      <w:r w:rsidRPr="003B6DC5">
        <w:rPr>
          <w:rFonts w:ascii="Times New Roman" w:hAnsi="Times New Roman" w:cs="Times New Roman"/>
        </w:rPr>
        <w:t xml:space="preserve">, n. </w:t>
      </w:r>
      <w:r>
        <w:rPr>
          <w:rFonts w:ascii="Times New Roman" w:hAnsi="Times New Roman" w:cs="Times New Roman"/>
        </w:rPr>
        <w:t>12788.</w:t>
      </w:r>
    </w:p>
  </w:footnote>
  <w:footnote w:id="16">
    <w:p w:rsidR="00AD65E3" w:rsidRPr="00974501" w:rsidRDefault="00AD65E3" w:rsidP="00725D6A">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Circolare del Ministro della funzione pubblica 30 maggio 2017 n. 2.</w:t>
      </w:r>
    </w:p>
  </w:footnote>
  <w:footnote w:id="17">
    <w:p w:rsidR="00784FF7" w:rsidRPr="00784FF7" w:rsidRDefault="00784FF7" w:rsidP="00784FF7">
      <w:pPr>
        <w:pStyle w:val="Testonotaapidipagina"/>
        <w:jc w:val="both"/>
        <w:rPr>
          <w:rFonts w:ascii="Times New Roman" w:eastAsia="New Baskerville" w:hAnsi="Times New Roman" w:cs="Times New Roman"/>
          <w:sz w:val="18"/>
          <w:szCs w:val="18"/>
          <w:lang w:eastAsia="it-IT"/>
        </w:rPr>
      </w:pPr>
      <w:r>
        <w:rPr>
          <w:rStyle w:val="Rimandonotaapidipagina"/>
        </w:rPr>
        <w:footnoteRef/>
      </w:r>
      <w:r>
        <w:t xml:space="preserve"> </w:t>
      </w:r>
      <w:r w:rsidRPr="00784FF7">
        <w:rPr>
          <w:rFonts w:ascii="Times New Roman" w:eastAsia="New Baskerville" w:hAnsi="Times New Roman" w:cs="Times New Roman"/>
          <w:sz w:val="18"/>
          <w:szCs w:val="18"/>
          <w:lang w:eastAsia="it-IT"/>
        </w:rPr>
        <w:t>T.A.R. Lazio, Sez. I-</w:t>
      </w:r>
      <w:r w:rsidRPr="00D711AA">
        <w:rPr>
          <w:rFonts w:ascii="Times New Roman" w:eastAsia="New Baskerville" w:hAnsi="Times New Roman" w:cs="Times New Roman"/>
          <w:i/>
          <w:sz w:val="18"/>
          <w:szCs w:val="18"/>
          <w:lang w:eastAsia="it-IT"/>
        </w:rPr>
        <w:t>bis</w:t>
      </w:r>
      <w:r w:rsidRPr="00784FF7">
        <w:rPr>
          <w:rFonts w:ascii="Times New Roman" w:eastAsia="New Baskerville" w:hAnsi="Times New Roman" w:cs="Times New Roman"/>
          <w:sz w:val="18"/>
          <w:szCs w:val="18"/>
          <w:lang w:eastAsia="it-IT"/>
        </w:rPr>
        <w:t>, 22 febbraio 2018, n. 2034</w:t>
      </w:r>
      <w:r w:rsidR="00D711AA">
        <w:rPr>
          <w:rFonts w:ascii="Times New Roman" w:eastAsia="New Baskerville" w:hAnsi="Times New Roman" w:cs="Times New Roman"/>
          <w:sz w:val="18"/>
          <w:szCs w:val="18"/>
          <w:lang w:eastAsia="it-IT"/>
        </w:rPr>
        <w:t xml:space="preserve"> che,</w:t>
      </w:r>
      <w:r w:rsidR="00D711AA" w:rsidRPr="00D711AA">
        <w:rPr>
          <w:rFonts w:ascii="Times New Roman" w:eastAsia="New Baskerville" w:hAnsi="Times New Roman" w:cs="Times New Roman"/>
          <w:sz w:val="18"/>
          <w:szCs w:val="18"/>
          <w:lang w:eastAsia="it-IT"/>
        </w:rPr>
        <w:t xml:space="preserve"> </w:t>
      </w:r>
      <w:r w:rsidR="00D711AA">
        <w:rPr>
          <w:rFonts w:ascii="Times New Roman" w:eastAsia="New Baskerville" w:hAnsi="Times New Roman" w:cs="Times New Roman"/>
          <w:sz w:val="18"/>
          <w:szCs w:val="18"/>
          <w:lang w:eastAsia="it-IT"/>
        </w:rPr>
        <w:t>nell’</w:t>
      </w:r>
      <w:r w:rsidR="00D711AA" w:rsidRPr="00D711AA">
        <w:rPr>
          <w:rFonts w:ascii="Times New Roman" w:eastAsia="New Baskerville" w:hAnsi="Times New Roman" w:cs="Times New Roman"/>
          <w:sz w:val="18"/>
          <w:szCs w:val="18"/>
          <w:lang w:eastAsia="it-IT"/>
        </w:rPr>
        <w:t>accoglie</w:t>
      </w:r>
      <w:r w:rsidR="00D711AA">
        <w:rPr>
          <w:rFonts w:ascii="Times New Roman" w:eastAsia="New Baskerville" w:hAnsi="Times New Roman" w:cs="Times New Roman"/>
          <w:sz w:val="18"/>
          <w:szCs w:val="18"/>
          <w:lang w:eastAsia="it-IT"/>
        </w:rPr>
        <w:t>re</w:t>
      </w:r>
      <w:r w:rsidR="00D711AA" w:rsidRPr="00D711AA">
        <w:rPr>
          <w:rFonts w:ascii="Times New Roman" w:eastAsia="New Baskerville" w:hAnsi="Times New Roman" w:cs="Times New Roman"/>
          <w:sz w:val="18"/>
          <w:szCs w:val="18"/>
          <w:lang w:eastAsia="it-IT"/>
        </w:rPr>
        <w:t xml:space="preserve"> il ricorso</w:t>
      </w:r>
      <w:r w:rsidR="00D711AA">
        <w:rPr>
          <w:rFonts w:ascii="Times New Roman" w:eastAsia="New Baskerville" w:hAnsi="Times New Roman" w:cs="Times New Roman"/>
          <w:sz w:val="18"/>
          <w:szCs w:val="18"/>
          <w:lang w:eastAsia="it-IT"/>
        </w:rPr>
        <w:t>, ha</w:t>
      </w:r>
      <w:r w:rsidR="00D711AA" w:rsidRPr="00D711AA">
        <w:rPr>
          <w:rFonts w:ascii="Times New Roman" w:eastAsia="New Baskerville" w:hAnsi="Times New Roman" w:cs="Times New Roman"/>
          <w:sz w:val="18"/>
          <w:szCs w:val="18"/>
          <w:lang w:eastAsia="it-IT"/>
        </w:rPr>
        <w:t xml:space="preserve"> </w:t>
      </w:r>
      <w:r w:rsidR="00D711AA">
        <w:rPr>
          <w:rFonts w:ascii="Times New Roman" w:eastAsia="New Baskerville" w:hAnsi="Times New Roman" w:cs="Times New Roman"/>
          <w:sz w:val="18"/>
          <w:szCs w:val="18"/>
          <w:lang w:eastAsia="it-IT"/>
        </w:rPr>
        <w:t>dichiarato “</w:t>
      </w:r>
      <w:r w:rsidR="00EB2985">
        <w:rPr>
          <w:rFonts w:ascii="Times New Roman" w:eastAsia="New Baskerville" w:hAnsi="Times New Roman" w:cs="Times New Roman"/>
          <w:sz w:val="18"/>
          <w:szCs w:val="18"/>
          <w:lang w:eastAsia="it-IT"/>
        </w:rPr>
        <w:t>l’obbligo dell’</w:t>
      </w:r>
      <w:r w:rsidR="00D711AA" w:rsidRPr="00D711AA">
        <w:rPr>
          <w:rFonts w:ascii="Times New Roman" w:eastAsia="New Baskerville" w:hAnsi="Times New Roman" w:cs="Times New Roman"/>
          <w:sz w:val="18"/>
          <w:szCs w:val="18"/>
          <w:lang w:eastAsia="it-IT"/>
        </w:rPr>
        <w:t>amministrazione resistente di riscontrare l’istanza del ricorrente</w:t>
      </w:r>
      <w:r w:rsidR="00D711AA">
        <w:rPr>
          <w:rFonts w:ascii="Times New Roman" w:eastAsia="New Baskerville" w:hAnsi="Times New Roman" w:cs="Times New Roman"/>
          <w:sz w:val="18"/>
          <w:szCs w:val="18"/>
          <w:lang w:eastAsia="it-IT"/>
        </w:rPr>
        <w:t>”</w:t>
      </w:r>
      <w:r w:rsidRPr="00784FF7">
        <w:rPr>
          <w:rFonts w:ascii="Times New Roman" w:eastAsia="New Baskerville" w:hAnsi="Times New Roman" w:cs="Times New Roman"/>
          <w:sz w:val="18"/>
          <w:szCs w:val="18"/>
          <w:lang w:eastAsia="it-IT"/>
        </w:rPr>
        <w:t>.</w:t>
      </w:r>
    </w:p>
  </w:footnote>
  <w:footnote w:id="18">
    <w:p w:rsidR="00AD65E3" w:rsidRPr="00974501" w:rsidRDefault="00AD65E3" w:rsidP="00002869">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 xml:space="preserve">CORRADO, </w:t>
      </w:r>
      <w:r w:rsidRPr="00974501">
        <w:rPr>
          <w:rFonts w:ascii="Times New Roman" w:eastAsia="New Baskerville" w:hAnsi="Times New Roman" w:cs="Times New Roman"/>
          <w:i/>
          <w:sz w:val="18"/>
          <w:szCs w:val="18"/>
          <w:lang w:eastAsia="it-IT"/>
        </w:rPr>
        <w:t>Il silenzio dell’amministrazione sull’istanza di accesso civico generalizzato: quale possibile tutela processuale</w:t>
      </w:r>
      <w:r w:rsidRPr="00974501">
        <w:rPr>
          <w:rFonts w:ascii="Times New Roman" w:eastAsia="New Baskerville" w:hAnsi="Times New Roman" w:cs="Times New Roman"/>
          <w:sz w:val="18"/>
          <w:szCs w:val="18"/>
          <w:lang w:eastAsia="it-IT"/>
        </w:rPr>
        <w:t xml:space="preserve">, Federalismi.it, 2018; </w:t>
      </w:r>
      <w:proofErr w:type="spellStart"/>
      <w:r w:rsidRPr="00974501">
        <w:rPr>
          <w:rFonts w:ascii="Times New Roman" w:eastAsia="New Baskerville" w:hAnsi="Times New Roman" w:cs="Times New Roman"/>
          <w:sz w:val="18"/>
          <w:szCs w:val="18"/>
          <w:lang w:eastAsia="it-IT"/>
        </w:rPr>
        <w:t>Anac</w:t>
      </w:r>
      <w:proofErr w:type="spellEnd"/>
      <w:r w:rsidRPr="00974501">
        <w:rPr>
          <w:rFonts w:ascii="Times New Roman" w:eastAsia="New Baskerville" w:hAnsi="Times New Roman" w:cs="Times New Roman"/>
          <w:sz w:val="18"/>
          <w:szCs w:val="18"/>
          <w:lang w:eastAsia="it-IT"/>
        </w:rPr>
        <w:t>, determinazione n. 1309/2016, secondo cui “in ogni caso, a fronte del rifiuto espresso, del differimento o dell’inerzia dell’amministrazione, il richiedente può attivare la tutela giurisdizionale davanti al giudice amministrativo, ai sensi dell’art. 116 c.p.a.”.</w:t>
      </w:r>
    </w:p>
  </w:footnote>
  <w:footnote w:id="19">
    <w:p w:rsidR="005A76BA" w:rsidRPr="005A76BA" w:rsidRDefault="005A76BA" w:rsidP="005A76BA">
      <w:pPr>
        <w:pStyle w:val="Testonotaapidipagina"/>
        <w:jc w:val="both"/>
        <w:rPr>
          <w:rFonts w:ascii="Times New Roman" w:eastAsia="New Baskerville" w:hAnsi="Times New Roman" w:cs="Times New Roman"/>
          <w:sz w:val="18"/>
          <w:szCs w:val="18"/>
          <w:lang w:eastAsia="it-IT"/>
        </w:rPr>
      </w:pPr>
      <w:r>
        <w:rPr>
          <w:rStyle w:val="Rimandonotaapidipagina"/>
        </w:rPr>
        <w:footnoteRef/>
      </w:r>
      <w:r>
        <w:t xml:space="preserve"> </w:t>
      </w:r>
      <w:r w:rsidRPr="005A76BA">
        <w:rPr>
          <w:rFonts w:ascii="Times New Roman" w:eastAsia="New Baskerville" w:hAnsi="Times New Roman" w:cs="Times New Roman"/>
          <w:sz w:val="18"/>
          <w:szCs w:val="18"/>
          <w:lang w:eastAsia="it-IT"/>
        </w:rPr>
        <w:t>L’</w:t>
      </w:r>
      <w:hyperlink r:id="rId1" w:anchor="24" w:history="1">
        <w:r w:rsidRPr="005A76BA">
          <w:rPr>
            <w:rFonts w:ascii="Times New Roman" w:eastAsia="New Baskerville" w:hAnsi="Times New Roman" w:cs="Times New Roman"/>
            <w:sz w:val="18"/>
            <w:szCs w:val="18"/>
            <w:lang w:eastAsia="it-IT"/>
          </w:rPr>
          <w:t>art. 24, comma 1, della legge n. 241/1990</w:t>
        </w:r>
      </w:hyperlink>
      <w:r>
        <w:rPr>
          <w:rFonts w:ascii="Times New Roman" w:eastAsia="New Baskerville" w:hAnsi="Times New Roman" w:cs="Times New Roman"/>
          <w:sz w:val="18"/>
          <w:szCs w:val="18"/>
          <w:lang w:eastAsia="it-IT"/>
        </w:rPr>
        <w:t xml:space="preserve"> </w:t>
      </w:r>
      <w:r w:rsidRPr="005A76BA">
        <w:rPr>
          <w:rFonts w:ascii="Times New Roman" w:eastAsia="New Baskerville" w:hAnsi="Times New Roman" w:cs="Times New Roman"/>
          <w:sz w:val="18"/>
          <w:szCs w:val="18"/>
          <w:lang w:eastAsia="it-IT"/>
        </w:rPr>
        <w:t xml:space="preserve">esclude l’accesso documentale: </w:t>
      </w:r>
      <w:r w:rsidRPr="005A76BA">
        <w:rPr>
          <w:rFonts w:ascii="Times New Roman" w:eastAsia="New Baskerville" w:hAnsi="Times New Roman" w:cs="Times New Roman"/>
          <w:i/>
          <w:sz w:val="18"/>
          <w:szCs w:val="18"/>
          <w:lang w:eastAsia="it-IT"/>
        </w:rPr>
        <w:t>a)</w:t>
      </w:r>
      <w:r w:rsidRPr="005A76BA">
        <w:rPr>
          <w:rFonts w:ascii="Times New Roman" w:eastAsia="New Baskerville" w:hAnsi="Times New Roman" w:cs="Times New Roman"/>
          <w:sz w:val="18"/>
          <w:szCs w:val="18"/>
          <w:lang w:eastAsia="it-IT"/>
        </w:rPr>
        <w:t xml:space="preserve"> per i documenti coperti da segreto di Stato ai sensi della legge 24 ottobre 1977, n. 801, e successive modificazioni, e nei casi di segreto o di divieto di divulgazione espressamente previsti dalla legge, dal regolamento governativo di cui al comma 6 e dalle pubbliche amministrazioni ai sensi del comma 2 del presente articolo; </w:t>
      </w:r>
      <w:r w:rsidRPr="005A76BA">
        <w:rPr>
          <w:rFonts w:ascii="Times New Roman" w:eastAsia="New Baskerville" w:hAnsi="Times New Roman" w:cs="Times New Roman"/>
          <w:i/>
          <w:sz w:val="18"/>
          <w:szCs w:val="18"/>
          <w:lang w:eastAsia="it-IT"/>
        </w:rPr>
        <w:t>b)</w:t>
      </w:r>
      <w:r w:rsidRPr="005A76BA">
        <w:rPr>
          <w:rFonts w:ascii="Times New Roman" w:eastAsia="New Baskerville" w:hAnsi="Times New Roman" w:cs="Times New Roman"/>
          <w:sz w:val="18"/>
          <w:szCs w:val="18"/>
          <w:lang w:eastAsia="it-IT"/>
        </w:rPr>
        <w:t xml:space="preserve"> nei procedimenti tributari, per i quali restano ferme le particolari norme che li regolano; </w:t>
      </w:r>
      <w:r w:rsidRPr="005A76BA">
        <w:rPr>
          <w:rFonts w:ascii="Times New Roman" w:eastAsia="New Baskerville" w:hAnsi="Times New Roman" w:cs="Times New Roman"/>
          <w:i/>
          <w:sz w:val="18"/>
          <w:szCs w:val="18"/>
          <w:lang w:eastAsia="it-IT"/>
        </w:rPr>
        <w:t>c)</w:t>
      </w:r>
      <w:r w:rsidRPr="005A76BA">
        <w:rPr>
          <w:rFonts w:ascii="Times New Roman" w:eastAsia="New Baskerville" w:hAnsi="Times New Roman" w:cs="Times New Roman"/>
          <w:sz w:val="18"/>
          <w:szCs w:val="18"/>
          <w:lang w:eastAsia="it-IT"/>
        </w:rPr>
        <w:t xml:space="preserve"> nei confronti dell'attività della pubblica amministrazione diretta all'emanazione di atti normativi, amministrativi generali, di pianificazione e di programmazione, per i quali restano ferme le particolari norme che ne regolano la formazione; </w:t>
      </w:r>
      <w:r w:rsidRPr="005A76BA">
        <w:rPr>
          <w:rFonts w:ascii="Times New Roman" w:eastAsia="New Baskerville" w:hAnsi="Times New Roman" w:cs="Times New Roman"/>
          <w:i/>
          <w:sz w:val="18"/>
          <w:szCs w:val="18"/>
          <w:lang w:eastAsia="it-IT"/>
        </w:rPr>
        <w:t>d)</w:t>
      </w:r>
      <w:r w:rsidRPr="005A76BA">
        <w:rPr>
          <w:rFonts w:ascii="Times New Roman" w:eastAsia="New Baskerville" w:hAnsi="Times New Roman" w:cs="Times New Roman"/>
          <w:sz w:val="18"/>
          <w:szCs w:val="18"/>
          <w:lang w:eastAsia="it-IT"/>
        </w:rPr>
        <w:t xml:space="preserve"> nei procedimenti selettivi, nei confronti dei documenti amministrativi contenenti informazioni di carattere psicoattitudinale relativi a terzi</w:t>
      </w:r>
      <w:r>
        <w:rPr>
          <w:rFonts w:ascii="Times New Roman" w:eastAsia="New Baskerville" w:hAnsi="Times New Roman" w:cs="Times New Roman"/>
          <w:sz w:val="18"/>
          <w:szCs w:val="18"/>
          <w:lang w:eastAsia="it-IT"/>
        </w:rPr>
        <w:t>.</w:t>
      </w:r>
    </w:p>
  </w:footnote>
  <w:footnote w:id="20">
    <w:p w:rsidR="00AD65E3" w:rsidRPr="00974501" w:rsidRDefault="00AD65E3" w:rsidP="005D44BB">
      <w:pPr>
        <w:pStyle w:val="Testonotaapidipagina"/>
        <w:jc w:val="both"/>
        <w:rPr>
          <w:rFonts w:ascii="Times New Roman" w:eastAsia="New Baskerville" w:hAnsi="Times New Roman" w:cs="Times New Roman"/>
          <w:sz w:val="18"/>
          <w:szCs w:val="18"/>
          <w:lang w:eastAsia="it-IT"/>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Sull’illegittimità del rifiuto motivato esclusivamente sull</w:t>
      </w:r>
      <w:r w:rsidR="00B82CBD">
        <w:rPr>
          <w:rFonts w:ascii="Times New Roman" w:eastAsia="New Baskerville" w:hAnsi="Times New Roman" w:cs="Times New Roman"/>
          <w:sz w:val="18"/>
          <w:szCs w:val="18"/>
          <w:lang w:eastAsia="it-IT"/>
        </w:rPr>
        <w:t>’</w:t>
      </w:r>
      <w:r w:rsidRPr="00974501">
        <w:rPr>
          <w:rFonts w:ascii="Times New Roman" w:eastAsia="New Baskerville" w:hAnsi="Times New Roman" w:cs="Times New Roman"/>
          <w:sz w:val="18"/>
          <w:szCs w:val="18"/>
          <w:lang w:eastAsia="it-IT"/>
        </w:rPr>
        <w:t>opposizione</w:t>
      </w:r>
      <w:r w:rsidR="00897312">
        <w:rPr>
          <w:rFonts w:ascii="Times New Roman" w:eastAsia="New Baskerville" w:hAnsi="Times New Roman" w:cs="Times New Roman"/>
          <w:sz w:val="18"/>
          <w:szCs w:val="18"/>
          <w:lang w:eastAsia="it-IT"/>
        </w:rPr>
        <w:t xml:space="preserve"> del controinteressato</w:t>
      </w:r>
      <w:r w:rsidRPr="00974501">
        <w:rPr>
          <w:rFonts w:ascii="Times New Roman" w:eastAsia="New Baskerville" w:hAnsi="Times New Roman" w:cs="Times New Roman"/>
          <w:sz w:val="18"/>
          <w:szCs w:val="18"/>
          <w:lang w:eastAsia="it-IT"/>
        </w:rPr>
        <w:t>: T.A.R. Campania, Sez. VI, 13 dicembre 2017, n. 5901.</w:t>
      </w:r>
    </w:p>
  </w:footnote>
  <w:footnote w:id="21">
    <w:p w:rsidR="00AD65E3" w:rsidRPr="00974501" w:rsidRDefault="00AD65E3" w:rsidP="000C6CFB">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proofErr w:type="spellStart"/>
      <w:r w:rsidR="00453F6A" w:rsidRPr="00974501">
        <w:rPr>
          <w:rFonts w:ascii="Times New Roman" w:eastAsia="New Baskerville" w:hAnsi="Times New Roman" w:cs="Times New Roman"/>
          <w:sz w:val="18"/>
          <w:szCs w:val="18"/>
          <w:lang w:eastAsia="it-IT"/>
        </w:rPr>
        <w:t>Anac</w:t>
      </w:r>
      <w:proofErr w:type="spellEnd"/>
      <w:r w:rsidR="00453F6A" w:rsidRPr="00974501">
        <w:rPr>
          <w:rFonts w:ascii="Times New Roman" w:eastAsia="New Baskerville" w:hAnsi="Times New Roman" w:cs="Times New Roman"/>
          <w:sz w:val="18"/>
          <w:szCs w:val="18"/>
          <w:lang w:eastAsia="it-IT"/>
        </w:rPr>
        <w:t>, de</w:t>
      </w:r>
      <w:r w:rsidR="00453F6A">
        <w:rPr>
          <w:rFonts w:ascii="Times New Roman" w:eastAsia="New Baskerville" w:hAnsi="Times New Roman" w:cs="Times New Roman"/>
          <w:sz w:val="18"/>
          <w:szCs w:val="18"/>
          <w:lang w:eastAsia="it-IT"/>
        </w:rPr>
        <w:t>terminazione</w:t>
      </w:r>
      <w:r w:rsidR="00453F6A" w:rsidRPr="00974501">
        <w:rPr>
          <w:rFonts w:ascii="Times New Roman" w:eastAsia="New Baskerville" w:hAnsi="Times New Roman" w:cs="Times New Roman"/>
          <w:sz w:val="18"/>
          <w:szCs w:val="18"/>
          <w:lang w:eastAsia="it-IT"/>
        </w:rPr>
        <w:t xml:space="preserve"> n. 1309/2016, pag. 11</w:t>
      </w:r>
      <w:r w:rsidR="00453F6A">
        <w:rPr>
          <w:rFonts w:ascii="Times New Roman" w:eastAsia="New Baskerville" w:hAnsi="Times New Roman" w:cs="Times New Roman"/>
          <w:sz w:val="18"/>
          <w:szCs w:val="18"/>
          <w:lang w:eastAsia="it-IT"/>
        </w:rPr>
        <w:t>, c</w:t>
      </w:r>
      <w:r w:rsidR="009F278A">
        <w:rPr>
          <w:rFonts w:ascii="Times New Roman" w:eastAsia="New Baskerville" w:hAnsi="Times New Roman" w:cs="Times New Roman"/>
          <w:sz w:val="18"/>
          <w:szCs w:val="18"/>
          <w:lang w:eastAsia="it-IT"/>
        </w:rPr>
        <w:t>he</w:t>
      </w:r>
      <w:r w:rsidR="00453F6A">
        <w:rPr>
          <w:rFonts w:ascii="Times New Roman" w:eastAsia="New Baskerville" w:hAnsi="Times New Roman" w:cs="Times New Roman"/>
          <w:sz w:val="18"/>
          <w:szCs w:val="18"/>
          <w:lang w:eastAsia="it-IT"/>
        </w:rPr>
        <w:t xml:space="preserve"> rinvi</w:t>
      </w:r>
      <w:r w:rsidR="009F278A">
        <w:rPr>
          <w:rFonts w:ascii="Times New Roman" w:eastAsia="New Baskerville" w:hAnsi="Times New Roman" w:cs="Times New Roman"/>
          <w:sz w:val="18"/>
          <w:szCs w:val="18"/>
          <w:lang w:eastAsia="it-IT"/>
        </w:rPr>
        <w:t>a</w:t>
      </w:r>
      <w:r w:rsidR="00453F6A">
        <w:rPr>
          <w:rFonts w:ascii="Times New Roman" w:eastAsia="New Baskerville" w:hAnsi="Times New Roman" w:cs="Times New Roman"/>
          <w:sz w:val="18"/>
          <w:szCs w:val="18"/>
          <w:lang w:eastAsia="it-IT"/>
        </w:rPr>
        <w:t xml:space="preserve"> a </w:t>
      </w:r>
      <w:r w:rsidRPr="00974501">
        <w:rPr>
          <w:rFonts w:ascii="Times New Roman" w:eastAsia="New Baskerville" w:hAnsi="Times New Roman" w:cs="Times New Roman"/>
          <w:sz w:val="18"/>
          <w:szCs w:val="18"/>
          <w:lang w:eastAsia="it-IT"/>
        </w:rPr>
        <w:t>CGUE,15 maggio 1986, in causa C-222/84; Trib. UE, Sez. I, 13 aprile 2005, in causa T-2/03.</w:t>
      </w:r>
    </w:p>
  </w:footnote>
  <w:footnote w:id="22">
    <w:p w:rsidR="00AD65E3" w:rsidRPr="00974501" w:rsidRDefault="00AD65E3" w:rsidP="0087364C">
      <w:pPr>
        <w:pStyle w:val="Testonotaapidipagina"/>
        <w:jc w:val="both"/>
        <w:rPr>
          <w:rFonts w:ascii="Times New Roman" w:hAnsi="Times New Roman" w:cs="Times New Roman"/>
          <w:sz w:val="18"/>
          <w:szCs w:val="18"/>
        </w:rPr>
      </w:pPr>
      <w:r w:rsidRPr="00974501">
        <w:rPr>
          <w:rStyle w:val="Rimandonotaapidipagina"/>
          <w:rFonts w:ascii="Times New Roman" w:hAnsi="Times New Roman" w:cs="Times New Roman"/>
          <w:sz w:val="18"/>
          <w:szCs w:val="18"/>
        </w:rPr>
        <w:footnoteRef/>
      </w:r>
      <w:r w:rsidRPr="00974501">
        <w:rPr>
          <w:rFonts w:ascii="Times New Roman" w:hAnsi="Times New Roman" w:cs="Times New Roman"/>
          <w:sz w:val="18"/>
          <w:szCs w:val="18"/>
        </w:rPr>
        <w:t xml:space="preserve"> </w:t>
      </w:r>
      <w:r w:rsidRPr="00974501">
        <w:rPr>
          <w:rFonts w:ascii="Times New Roman" w:eastAsia="New Baskerville" w:hAnsi="Times New Roman" w:cs="Times New Roman"/>
          <w:sz w:val="18"/>
          <w:szCs w:val="18"/>
          <w:lang w:eastAsia="it-IT"/>
        </w:rPr>
        <w:t>T.A.R. Lombardia, Sez. III, 11 ottobre 2017, n. 1951.</w:t>
      </w:r>
    </w:p>
  </w:footnote>
  <w:footnote w:id="23">
    <w:p w:rsidR="00382856" w:rsidRPr="00C908B7" w:rsidRDefault="00382856" w:rsidP="00382856">
      <w:pPr>
        <w:pStyle w:val="Testonotaapidipagina"/>
        <w:jc w:val="both"/>
        <w:rPr>
          <w:rFonts w:ascii="Times New Roman" w:eastAsia="New Baskerville" w:hAnsi="Times New Roman" w:cs="Times New Roman"/>
          <w:sz w:val="18"/>
          <w:szCs w:val="18"/>
          <w:lang w:eastAsia="it-IT"/>
        </w:rPr>
      </w:pPr>
      <w:r w:rsidRPr="00974501">
        <w:rPr>
          <w:rStyle w:val="Rimandonotaapidipagina"/>
          <w:rFonts w:ascii="Times New Roman" w:hAnsi="Times New Roman" w:cs="Times New Roman"/>
          <w:sz w:val="18"/>
          <w:szCs w:val="18"/>
        </w:rPr>
        <w:footnoteRef/>
      </w:r>
      <w:r w:rsidRPr="00C908B7">
        <w:rPr>
          <w:rFonts w:ascii="Times New Roman" w:hAnsi="Times New Roman" w:cs="Times New Roman"/>
          <w:sz w:val="18"/>
          <w:szCs w:val="18"/>
        </w:rPr>
        <w:t xml:space="preserve"> </w:t>
      </w:r>
      <w:r w:rsidRPr="00C908B7">
        <w:rPr>
          <w:rFonts w:ascii="Times New Roman" w:eastAsia="New Baskerville" w:hAnsi="Times New Roman" w:cs="Times New Roman"/>
          <w:sz w:val="18"/>
          <w:szCs w:val="18"/>
          <w:lang w:eastAsia="it-IT"/>
        </w:rPr>
        <w:t>CEDU, Sez. III, 8 novembre 2016, n. 72384</w:t>
      </w:r>
      <w:r w:rsidR="00432585" w:rsidRPr="00C908B7">
        <w:rPr>
          <w:rFonts w:ascii="Times New Roman" w:eastAsia="New Baskerville" w:hAnsi="Times New Roman" w:cs="Times New Roman"/>
          <w:sz w:val="18"/>
          <w:szCs w:val="18"/>
          <w:lang w:eastAsia="it-IT"/>
        </w:rPr>
        <w:t xml:space="preserve">, in </w:t>
      </w:r>
      <w:r w:rsidR="00965C7C">
        <w:rPr>
          <w:rFonts w:ascii="Times New Roman" w:eastAsia="New Baskerville" w:hAnsi="Times New Roman" w:cs="Times New Roman"/>
          <w:sz w:val="18"/>
          <w:szCs w:val="18"/>
          <w:lang w:eastAsia="it-IT"/>
        </w:rPr>
        <w:t xml:space="preserve">causa </w:t>
      </w:r>
      <w:r w:rsidR="00432585" w:rsidRPr="00C908B7">
        <w:rPr>
          <w:rFonts w:ascii="Times New Roman" w:eastAsia="New Baskerville" w:hAnsi="Times New Roman" w:cs="Times New Roman"/>
          <w:sz w:val="18"/>
          <w:szCs w:val="18"/>
          <w:lang w:eastAsia="it-IT"/>
        </w:rPr>
        <w:t>18030/11,</w:t>
      </w:r>
      <w:r w:rsidRPr="00C908B7">
        <w:rPr>
          <w:rFonts w:ascii="Times New Roman" w:eastAsia="New Baskerville" w:hAnsi="Times New Roman" w:cs="Times New Roman"/>
          <w:sz w:val="18"/>
          <w:szCs w:val="18"/>
          <w:lang w:eastAsia="it-IT"/>
        </w:rPr>
        <w:t xml:space="preserve"> </w:t>
      </w:r>
      <w:proofErr w:type="spellStart"/>
      <w:r w:rsidRPr="00C908B7">
        <w:rPr>
          <w:rFonts w:ascii="Times New Roman" w:eastAsia="New Baskerville" w:hAnsi="Times New Roman" w:cs="Times New Roman"/>
          <w:sz w:val="18"/>
          <w:szCs w:val="18"/>
          <w:lang w:eastAsia="it-IT"/>
        </w:rPr>
        <w:t>Magyar</w:t>
      </w:r>
      <w:proofErr w:type="spellEnd"/>
      <w:r w:rsidRPr="00C908B7">
        <w:rPr>
          <w:rFonts w:ascii="Times New Roman" w:eastAsia="New Baskerville" w:hAnsi="Times New Roman" w:cs="Times New Roman"/>
          <w:sz w:val="18"/>
          <w:szCs w:val="18"/>
          <w:lang w:eastAsia="it-IT"/>
        </w:rPr>
        <w:t xml:space="preserve"> Helsinki </w:t>
      </w:r>
      <w:proofErr w:type="spellStart"/>
      <w:r w:rsidRPr="00C908B7">
        <w:rPr>
          <w:rFonts w:ascii="Times New Roman" w:eastAsia="New Baskerville" w:hAnsi="Times New Roman" w:cs="Times New Roman"/>
          <w:sz w:val="18"/>
          <w:szCs w:val="18"/>
          <w:lang w:eastAsia="it-IT"/>
        </w:rPr>
        <w:t>Bizottsag</w:t>
      </w:r>
      <w:proofErr w:type="spellEnd"/>
      <w:r w:rsidRPr="00C908B7">
        <w:rPr>
          <w:rFonts w:ascii="Times New Roman" w:eastAsia="New Baskerville" w:hAnsi="Times New Roman" w:cs="Times New Roman"/>
          <w:sz w:val="18"/>
          <w:szCs w:val="18"/>
          <w:lang w:eastAsia="it-IT"/>
        </w:rPr>
        <w:t xml:space="preserve"> c. Ungheria.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616F4"/>
    <w:multiLevelType w:val="hybridMultilevel"/>
    <w:tmpl w:val="8DDCD01C"/>
    <w:lvl w:ilvl="0" w:tplc="04100001">
      <w:start w:val="1"/>
      <w:numFmt w:val="bullet"/>
      <w:lvlText w:val=""/>
      <w:lvlJc w:val="left"/>
      <w:pPr>
        <w:ind w:left="1745" w:hanging="360"/>
      </w:pPr>
      <w:rPr>
        <w:rFonts w:ascii="Symbol" w:hAnsi="Symbol" w:hint="default"/>
      </w:rPr>
    </w:lvl>
    <w:lvl w:ilvl="1" w:tplc="04100003" w:tentative="1">
      <w:start w:val="1"/>
      <w:numFmt w:val="bullet"/>
      <w:lvlText w:val="o"/>
      <w:lvlJc w:val="left"/>
      <w:pPr>
        <w:ind w:left="2465" w:hanging="360"/>
      </w:pPr>
      <w:rPr>
        <w:rFonts w:ascii="Courier New" w:hAnsi="Courier New" w:cs="Courier New" w:hint="default"/>
      </w:rPr>
    </w:lvl>
    <w:lvl w:ilvl="2" w:tplc="04100005" w:tentative="1">
      <w:start w:val="1"/>
      <w:numFmt w:val="bullet"/>
      <w:lvlText w:val=""/>
      <w:lvlJc w:val="left"/>
      <w:pPr>
        <w:ind w:left="3185" w:hanging="360"/>
      </w:pPr>
      <w:rPr>
        <w:rFonts w:ascii="Wingdings" w:hAnsi="Wingdings" w:hint="default"/>
      </w:rPr>
    </w:lvl>
    <w:lvl w:ilvl="3" w:tplc="04100001" w:tentative="1">
      <w:start w:val="1"/>
      <w:numFmt w:val="bullet"/>
      <w:lvlText w:val=""/>
      <w:lvlJc w:val="left"/>
      <w:pPr>
        <w:ind w:left="3905" w:hanging="360"/>
      </w:pPr>
      <w:rPr>
        <w:rFonts w:ascii="Symbol" w:hAnsi="Symbol" w:hint="default"/>
      </w:rPr>
    </w:lvl>
    <w:lvl w:ilvl="4" w:tplc="04100003" w:tentative="1">
      <w:start w:val="1"/>
      <w:numFmt w:val="bullet"/>
      <w:lvlText w:val="o"/>
      <w:lvlJc w:val="left"/>
      <w:pPr>
        <w:ind w:left="4625" w:hanging="360"/>
      </w:pPr>
      <w:rPr>
        <w:rFonts w:ascii="Courier New" w:hAnsi="Courier New" w:cs="Courier New" w:hint="default"/>
      </w:rPr>
    </w:lvl>
    <w:lvl w:ilvl="5" w:tplc="04100005" w:tentative="1">
      <w:start w:val="1"/>
      <w:numFmt w:val="bullet"/>
      <w:lvlText w:val=""/>
      <w:lvlJc w:val="left"/>
      <w:pPr>
        <w:ind w:left="5345" w:hanging="360"/>
      </w:pPr>
      <w:rPr>
        <w:rFonts w:ascii="Wingdings" w:hAnsi="Wingdings" w:hint="default"/>
      </w:rPr>
    </w:lvl>
    <w:lvl w:ilvl="6" w:tplc="04100001" w:tentative="1">
      <w:start w:val="1"/>
      <w:numFmt w:val="bullet"/>
      <w:lvlText w:val=""/>
      <w:lvlJc w:val="left"/>
      <w:pPr>
        <w:ind w:left="6065" w:hanging="360"/>
      </w:pPr>
      <w:rPr>
        <w:rFonts w:ascii="Symbol" w:hAnsi="Symbol" w:hint="default"/>
      </w:rPr>
    </w:lvl>
    <w:lvl w:ilvl="7" w:tplc="04100003" w:tentative="1">
      <w:start w:val="1"/>
      <w:numFmt w:val="bullet"/>
      <w:lvlText w:val="o"/>
      <w:lvlJc w:val="left"/>
      <w:pPr>
        <w:ind w:left="6785" w:hanging="360"/>
      </w:pPr>
      <w:rPr>
        <w:rFonts w:ascii="Courier New" w:hAnsi="Courier New" w:cs="Courier New" w:hint="default"/>
      </w:rPr>
    </w:lvl>
    <w:lvl w:ilvl="8" w:tplc="04100005" w:tentative="1">
      <w:start w:val="1"/>
      <w:numFmt w:val="bullet"/>
      <w:lvlText w:val=""/>
      <w:lvlJc w:val="left"/>
      <w:pPr>
        <w:ind w:left="7505" w:hanging="360"/>
      </w:pPr>
      <w:rPr>
        <w:rFonts w:ascii="Wingdings" w:hAnsi="Wingdings" w:hint="default"/>
      </w:rPr>
    </w:lvl>
  </w:abstractNum>
  <w:abstractNum w:abstractNumId="1" w15:restartNumberingAfterBreak="0">
    <w:nsid w:val="343C31C4"/>
    <w:multiLevelType w:val="hybridMultilevel"/>
    <w:tmpl w:val="8072125C"/>
    <w:lvl w:ilvl="0" w:tplc="AE7A2B2C">
      <w:start w:val="1"/>
      <w:numFmt w:val="lowerLetter"/>
      <w:lvlText w:val="%1)"/>
      <w:lvlJc w:val="left"/>
      <w:pPr>
        <w:ind w:left="1385" w:hanging="360"/>
      </w:pPr>
      <w:rPr>
        <w:rFonts w:hint="default"/>
      </w:rPr>
    </w:lvl>
    <w:lvl w:ilvl="1" w:tplc="04100019" w:tentative="1">
      <w:start w:val="1"/>
      <w:numFmt w:val="lowerLetter"/>
      <w:lvlText w:val="%2."/>
      <w:lvlJc w:val="left"/>
      <w:pPr>
        <w:ind w:left="2105" w:hanging="360"/>
      </w:pPr>
    </w:lvl>
    <w:lvl w:ilvl="2" w:tplc="0410001B" w:tentative="1">
      <w:start w:val="1"/>
      <w:numFmt w:val="lowerRoman"/>
      <w:lvlText w:val="%3."/>
      <w:lvlJc w:val="right"/>
      <w:pPr>
        <w:ind w:left="2825" w:hanging="180"/>
      </w:pPr>
    </w:lvl>
    <w:lvl w:ilvl="3" w:tplc="0410000F" w:tentative="1">
      <w:start w:val="1"/>
      <w:numFmt w:val="decimal"/>
      <w:lvlText w:val="%4."/>
      <w:lvlJc w:val="left"/>
      <w:pPr>
        <w:ind w:left="3545" w:hanging="360"/>
      </w:pPr>
    </w:lvl>
    <w:lvl w:ilvl="4" w:tplc="04100019" w:tentative="1">
      <w:start w:val="1"/>
      <w:numFmt w:val="lowerLetter"/>
      <w:lvlText w:val="%5."/>
      <w:lvlJc w:val="left"/>
      <w:pPr>
        <w:ind w:left="4265" w:hanging="360"/>
      </w:pPr>
    </w:lvl>
    <w:lvl w:ilvl="5" w:tplc="0410001B" w:tentative="1">
      <w:start w:val="1"/>
      <w:numFmt w:val="lowerRoman"/>
      <w:lvlText w:val="%6."/>
      <w:lvlJc w:val="right"/>
      <w:pPr>
        <w:ind w:left="4985" w:hanging="180"/>
      </w:pPr>
    </w:lvl>
    <w:lvl w:ilvl="6" w:tplc="0410000F" w:tentative="1">
      <w:start w:val="1"/>
      <w:numFmt w:val="decimal"/>
      <w:lvlText w:val="%7."/>
      <w:lvlJc w:val="left"/>
      <w:pPr>
        <w:ind w:left="5705" w:hanging="360"/>
      </w:pPr>
    </w:lvl>
    <w:lvl w:ilvl="7" w:tplc="04100019" w:tentative="1">
      <w:start w:val="1"/>
      <w:numFmt w:val="lowerLetter"/>
      <w:lvlText w:val="%8."/>
      <w:lvlJc w:val="left"/>
      <w:pPr>
        <w:ind w:left="6425" w:hanging="360"/>
      </w:pPr>
    </w:lvl>
    <w:lvl w:ilvl="8" w:tplc="0410001B" w:tentative="1">
      <w:start w:val="1"/>
      <w:numFmt w:val="lowerRoman"/>
      <w:lvlText w:val="%9."/>
      <w:lvlJc w:val="right"/>
      <w:pPr>
        <w:ind w:left="7145" w:hanging="180"/>
      </w:pPr>
    </w:lvl>
  </w:abstractNum>
  <w:abstractNum w:abstractNumId="2" w15:restartNumberingAfterBreak="0">
    <w:nsid w:val="4123191D"/>
    <w:multiLevelType w:val="hybridMultilevel"/>
    <w:tmpl w:val="81E6F9D0"/>
    <w:lvl w:ilvl="0" w:tplc="B38C8088">
      <w:start w:val="1"/>
      <w:numFmt w:val="lowerLetter"/>
      <w:lvlText w:val="%1)"/>
      <w:lvlJc w:val="left"/>
      <w:pPr>
        <w:ind w:left="1385" w:hanging="360"/>
      </w:pPr>
      <w:rPr>
        <w:rFonts w:hint="default"/>
      </w:rPr>
    </w:lvl>
    <w:lvl w:ilvl="1" w:tplc="04100019" w:tentative="1">
      <w:start w:val="1"/>
      <w:numFmt w:val="lowerLetter"/>
      <w:lvlText w:val="%2."/>
      <w:lvlJc w:val="left"/>
      <w:pPr>
        <w:ind w:left="2105" w:hanging="360"/>
      </w:pPr>
    </w:lvl>
    <w:lvl w:ilvl="2" w:tplc="0410001B" w:tentative="1">
      <w:start w:val="1"/>
      <w:numFmt w:val="lowerRoman"/>
      <w:lvlText w:val="%3."/>
      <w:lvlJc w:val="right"/>
      <w:pPr>
        <w:ind w:left="2825" w:hanging="180"/>
      </w:pPr>
    </w:lvl>
    <w:lvl w:ilvl="3" w:tplc="0410000F" w:tentative="1">
      <w:start w:val="1"/>
      <w:numFmt w:val="decimal"/>
      <w:lvlText w:val="%4."/>
      <w:lvlJc w:val="left"/>
      <w:pPr>
        <w:ind w:left="3545" w:hanging="360"/>
      </w:pPr>
    </w:lvl>
    <w:lvl w:ilvl="4" w:tplc="04100019" w:tentative="1">
      <w:start w:val="1"/>
      <w:numFmt w:val="lowerLetter"/>
      <w:lvlText w:val="%5."/>
      <w:lvlJc w:val="left"/>
      <w:pPr>
        <w:ind w:left="4265" w:hanging="360"/>
      </w:pPr>
    </w:lvl>
    <w:lvl w:ilvl="5" w:tplc="0410001B" w:tentative="1">
      <w:start w:val="1"/>
      <w:numFmt w:val="lowerRoman"/>
      <w:lvlText w:val="%6."/>
      <w:lvlJc w:val="right"/>
      <w:pPr>
        <w:ind w:left="4985" w:hanging="180"/>
      </w:pPr>
    </w:lvl>
    <w:lvl w:ilvl="6" w:tplc="0410000F" w:tentative="1">
      <w:start w:val="1"/>
      <w:numFmt w:val="decimal"/>
      <w:lvlText w:val="%7."/>
      <w:lvlJc w:val="left"/>
      <w:pPr>
        <w:ind w:left="5705" w:hanging="360"/>
      </w:pPr>
    </w:lvl>
    <w:lvl w:ilvl="7" w:tplc="04100019" w:tentative="1">
      <w:start w:val="1"/>
      <w:numFmt w:val="lowerLetter"/>
      <w:lvlText w:val="%8."/>
      <w:lvlJc w:val="left"/>
      <w:pPr>
        <w:ind w:left="6425" w:hanging="360"/>
      </w:pPr>
    </w:lvl>
    <w:lvl w:ilvl="8" w:tplc="0410001B" w:tentative="1">
      <w:start w:val="1"/>
      <w:numFmt w:val="lowerRoman"/>
      <w:lvlText w:val="%9."/>
      <w:lvlJc w:val="right"/>
      <w:pPr>
        <w:ind w:left="7145" w:hanging="180"/>
      </w:pPr>
    </w:lvl>
  </w:abstractNum>
  <w:abstractNum w:abstractNumId="3" w15:restartNumberingAfterBreak="0">
    <w:nsid w:val="462821C0"/>
    <w:multiLevelType w:val="hybridMultilevel"/>
    <w:tmpl w:val="019E59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FE25D5F"/>
    <w:multiLevelType w:val="hybridMultilevel"/>
    <w:tmpl w:val="82A8CAFA"/>
    <w:lvl w:ilvl="0" w:tplc="04100017">
      <w:start w:val="1"/>
      <w:numFmt w:val="lowerLetter"/>
      <w:lvlText w:val="%1)"/>
      <w:lvlJc w:val="left"/>
      <w:pPr>
        <w:ind w:left="1745" w:hanging="360"/>
      </w:pPr>
      <w:rPr>
        <w:rFonts w:hint="default"/>
      </w:rPr>
    </w:lvl>
    <w:lvl w:ilvl="1" w:tplc="04100003" w:tentative="1">
      <w:start w:val="1"/>
      <w:numFmt w:val="bullet"/>
      <w:lvlText w:val="o"/>
      <w:lvlJc w:val="left"/>
      <w:pPr>
        <w:ind w:left="2465" w:hanging="360"/>
      </w:pPr>
      <w:rPr>
        <w:rFonts w:ascii="Courier New" w:hAnsi="Courier New" w:cs="Courier New" w:hint="default"/>
      </w:rPr>
    </w:lvl>
    <w:lvl w:ilvl="2" w:tplc="04100005" w:tentative="1">
      <w:start w:val="1"/>
      <w:numFmt w:val="bullet"/>
      <w:lvlText w:val=""/>
      <w:lvlJc w:val="left"/>
      <w:pPr>
        <w:ind w:left="3185" w:hanging="360"/>
      </w:pPr>
      <w:rPr>
        <w:rFonts w:ascii="Wingdings" w:hAnsi="Wingdings" w:hint="default"/>
      </w:rPr>
    </w:lvl>
    <w:lvl w:ilvl="3" w:tplc="04100001" w:tentative="1">
      <w:start w:val="1"/>
      <w:numFmt w:val="bullet"/>
      <w:lvlText w:val=""/>
      <w:lvlJc w:val="left"/>
      <w:pPr>
        <w:ind w:left="3905" w:hanging="360"/>
      </w:pPr>
      <w:rPr>
        <w:rFonts w:ascii="Symbol" w:hAnsi="Symbol" w:hint="default"/>
      </w:rPr>
    </w:lvl>
    <w:lvl w:ilvl="4" w:tplc="04100003" w:tentative="1">
      <w:start w:val="1"/>
      <w:numFmt w:val="bullet"/>
      <w:lvlText w:val="o"/>
      <w:lvlJc w:val="left"/>
      <w:pPr>
        <w:ind w:left="4625" w:hanging="360"/>
      </w:pPr>
      <w:rPr>
        <w:rFonts w:ascii="Courier New" w:hAnsi="Courier New" w:cs="Courier New" w:hint="default"/>
      </w:rPr>
    </w:lvl>
    <w:lvl w:ilvl="5" w:tplc="04100005" w:tentative="1">
      <w:start w:val="1"/>
      <w:numFmt w:val="bullet"/>
      <w:lvlText w:val=""/>
      <w:lvlJc w:val="left"/>
      <w:pPr>
        <w:ind w:left="5345" w:hanging="360"/>
      </w:pPr>
      <w:rPr>
        <w:rFonts w:ascii="Wingdings" w:hAnsi="Wingdings" w:hint="default"/>
      </w:rPr>
    </w:lvl>
    <w:lvl w:ilvl="6" w:tplc="04100001" w:tentative="1">
      <w:start w:val="1"/>
      <w:numFmt w:val="bullet"/>
      <w:lvlText w:val=""/>
      <w:lvlJc w:val="left"/>
      <w:pPr>
        <w:ind w:left="6065" w:hanging="360"/>
      </w:pPr>
      <w:rPr>
        <w:rFonts w:ascii="Symbol" w:hAnsi="Symbol" w:hint="default"/>
      </w:rPr>
    </w:lvl>
    <w:lvl w:ilvl="7" w:tplc="04100003" w:tentative="1">
      <w:start w:val="1"/>
      <w:numFmt w:val="bullet"/>
      <w:lvlText w:val="o"/>
      <w:lvlJc w:val="left"/>
      <w:pPr>
        <w:ind w:left="6785" w:hanging="360"/>
      </w:pPr>
      <w:rPr>
        <w:rFonts w:ascii="Courier New" w:hAnsi="Courier New" w:cs="Courier New" w:hint="default"/>
      </w:rPr>
    </w:lvl>
    <w:lvl w:ilvl="8" w:tplc="04100005" w:tentative="1">
      <w:start w:val="1"/>
      <w:numFmt w:val="bullet"/>
      <w:lvlText w:val=""/>
      <w:lvlJc w:val="left"/>
      <w:pPr>
        <w:ind w:left="7505"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02"/>
    <w:rsid w:val="00002869"/>
    <w:rsid w:val="00003D78"/>
    <w:rsid w:val="000064FD"/>
    <w:rsid w:val="00032E7C"/>
    <w:rsid w:val="00041437"/>
    <w:rsid w:val="00043BE1"/>
    <w:rsid w:val="00043FDD"/>
    <w:rsid w:val="00057D11"/>
    <w:rsid w:val="000832D7"/>
    <w:rsid w:val="0008615C"/>
    <w:rsid w:val="00095ED7"/>
    <w:rsid w:val="000B6CDF"/>
    <w:rsid w:val="000C3C37"/>
    <w:rsid w:val="000C528A"/>
    <w:rsid w:val="000C6CFB"/>
    <w:rsid w:val="000D04F8"/>
    <w:rsid w:val="000F52CF"/>
    <w:rsid w:val="00107F7D"/>
    <w:rsid w:val="0011458B"/>
    <w:rsid w:val="00117E7D"/>
    <w:rsid w:val="0015363E"/>
    <w:rsid w:val="00161D30"/>
    <w:rsid w:val="00166C95"/>
    <w:rsid w:val="0017094B"/>
    <w:rsid w:val="001959F2"/>
    <w:rsid w:val="001A51FD"/>
    <w:rsid w:val="001B4427"/>
    <w:rsid w:val="001D38A9"/>
    <w:rsid w:val="001F0F6B"/>
    <w:rsid w:val="001F4D46"/>
    <w:rsid w:val="001F4E21"/>
    <w:rsid w:val="001F5BB0"/>
    <w:rsid w:val="00232504"/>
    <w:rsid w:val="0023641F"/>
    <w:rsid w:val="00241680"/>
    <w:rsid w:val="002458BB"/>
    <w:rsid w:val="00256075"/>
    <w:rsid w:val="00260AE4"/>
    <w:rsid w:val="00265148"/>
    <w:rsid w:val="0027490C"/>
    <w:rsid w:val="002755EB"/>
    <w:rsid w:val="00282930"/>
    <w:rsid w:val="0028541A"/>
    <w:rsid w:val="002854D6"/>
    <w:rsid w:val="002A0018"/>
    <w:rsid w:val="002C51A1"/>
    <w:rsid w:val="002D64CC"/>
    <w:rsid w:val="002E75CA"/>
    <w:rsid w:val="00300BC3"/>
    <w:rsid w:val="0030658F"/>
    <w:rsid w:val="00306CF3"/>
    <w:rsid w:val="003203DC"/>
    <w:rsid w:val="003328FA"/>
    <w:rsid w:val="00350D1A"/>
    <w:rsid w:val="00353216"/>
    <w:rsid w:val="003650A9"/>
    <w:rsid w:val="00367C00"/>
    <w:rsid w:val="00382856"/>
    <w:rsid w:val="00395F1B"/>
    <w:rsid w:val="003A5826"/>
    <w:rsid w:val="003B27D9"/>
    <w:rsid w:val="003B3656"/>
    <w:rsid w:val="003B6AAF"/>
    <w:rsid w:val="003B6DC5"/>
    <w:rsid w:val="003C7DC3"/>
    <w:rsid w:val="003D1E97"/>
    <w:rsid w:val="00402743"/>
    <w:rsid w:val="00402D64"/>
    <w:rsid w:val="0041023C"/>
    <w:rsid w:val="004209BB"/>
    <w:rsid w:val="00430E15"/>
    <w:rsid w:val="00432585"/>
    <w:rsid w:val="004456A5"/>
    <w:rsid w:val="00453F6A"/>
    <w:rsid w:val="00454D28"/>
    <w:rsid w:val="00466077"/>
    <w:rsid w:val="00467B93"/>
    <w:rsid w:val="004723E2"/>
    <w:rsid w:val="004729AD"/>
    <w:rsid w:val="00491B2C"/>
    <w:rsid w:val="00491D52"/>
    <w:rsid w:val="004A1AA9"/>
    <w:rsid w:val="004A2E90"/>
    <w:rsid w:val="004B2891"/>
    <w:rsid w:val="004B4FB2"/>
    <w:rsid w:val="004D22C9"/>
    <w:rsid w:val="004D2947"/>
    <w:rsid w:val="004D3375"/>
    <w:rsid w:val="004D54F1"/>
    <w:rsid w:val="004E5002"/>
    <w:rsid w:val="004F5859"/>
    <w:rsid w:val="004F7D7E"/>
    <w:rsid w:val="00502AD3"/>
    <w:rsid w:val="0050635A"/>
    <w:rsid w:val="0053380B"/>
    <w:rsid w:val="0053613C"/>
    <w:rsid w:val="0054326B"/>
    <w:rsid w:val="00543A60"/>
    <w:rsid w:val="00545E57"/>
    <w:rsid w:val="00550E46"/>
    <w:rsid w:val="0055274A"/>
    <w:rsid w:val="00554C92"/>
    <w:rsid w:val="00562636"/>
    <w:rsid w:val="0056284C"/>
    <w:rsid w:val="005718DA"/>
    <w:rsid w:val="005A07AC"/>
    <w:rsid w:val="005A76BA"/>
    <w:rsid w:val="005B2688"/>
    <w:rsid w:val="005C3C0B"/>
    <w:rsid w:val="005C65AD"/>
    <w:rsid w:val="005D1F92"/>
    <w:rsid w:val="005D44BB"/>
    <w:rsid w:val="005E1B40"/>
    <w:rsid w:val="005E6EBB"/>
    <w:rsid w:val="006068BC"/>
    <w:rsid w:val="00611872"/>
    <w:rsid w:val="006433B0"/>
    <w:rsid w:val="006620BD"/>
    <w:rsid w:val="00665C5C"/>
    <w:rsid w:val="00665D24"/>
    <w:rsid w:val="00685445"/>
    <w:rsid w:val="00686D44"/>
    <w:rsid w:val="006923DA"/>
    <w:rsid w:val="006A2CF5"/>
    <w:rsid w:val="006A7C8D"/>
    <w:rsid w:val="006F3916"/>
    <w:rsid w:val="007048C8"/>
    <w:rsid w:val="0072261D"/>
    <w:rsid w:val="00725D6A"/>
    <w:rsid w:val="00737005"/>
    <w:rsid w:val="00737B02"/>
    <w:rsid w:val="007443DF"/>
    <w:rsid w:val="00751232"/>
    <w:rsid w:val="007567E5"/>
    <w:rsid w:val="00757EEF"/>
    <w:rsid w:val="00784FF7"/>
    <w:rsid w:val="00796941"/>
    <w:rsid w:val="007A15B1"/>
    <w:rsid w:val="007C3FE8"/>
    <w:rsid w:val="007C5636"/>
    <w:rsid w:val="007D27B2"/>
    <w:rsid w:val="007E1BA8"/>
    <w:rsid w:val="00810ACB"/>
    <w:rsid w:val="00811032"/>
    <w:rsid w:val="008136B7"/>
    <w:rsid w:val="00815783"/>
    <w:rsid w:val="00833A7E"/>
    <w:rsid w:val="00842CEB"/>
    <w:rsid w:val="0084563C"/>
    <w:rsid w:val="0086360F"/>
    <w:rsid w:val="0087364C"/>
    <w:rsid w:val="00874FD7"/>
    <w:rsid w:val="00897312"/>
    <w:rsid w:val="008B3D2A"/>
    <w:rsid w:val="008B5F3E"/>
    <w:rsid w:val="008C4C39"/>
    <w:rsid w:val="008C5B6C"/>
    <w:rsid w:val="008C6A27"/>
    <w:rsid w:val="008D42C3"/>
    <w:rsid w:val="008D4993"/>
    <w:rsid w:val="008E1F70"/>
    <w:rsid w:val="008E2F10"/>
    <w:rsid w:val="008E3D48"/>
    <w:rsid w:val="008F4539"/>
    <w:rsid w:val="008F5C52"/>
    <w:rsid w:val="00902CDE"/>
    <w:rsid w:val="009129E6"/>
    <w:rsid w:val="00924191"/>
    <w:rsid w:val="00924E33"/>
    <w:rsid w:val="00927773"/>
    <w:rsid w:val="00930C4D"/>
    <w:rsid w:val="00942FCB"/>
    <w:rsid w:val="00943706"/>
    <w:rsid w:val="00947535"/>
    <w:rsid w:val="009572A2"/>
    <w:rsid w:val="00957967"/>
    <w:rsid w:val="00965C7C"/>
    <w:rsid w:val="00974501"/>
    <w:rsid w:val="009B66C2"/>
    <w:rsid w:val="009D10FF"/>
    <w:rsid w:val="009E33F6"/>
    <w:rsid w:val="009F278A"/>
    <w:rsid w:val="00A0476D"/>
    <w:rsid w:val="00A2317A"/>
    <w:rsid w:val="00A85795"/>
    <w:rsid w:val="00A86A81"/>
    <w:rsid w:val="00A87924"/>
    <w:rsid w:val="00A92D57"/>
    <w:rsid w:val="00AB0D99"/>
    <w:rsid w:val="00AC0286"/>
    <w:rsid w:val="00AC434F"/>
    <w:rsid w:val="00AD65E3"/>
    <w:rsid w:val="00AE199C"/>
    <w:rsid w:val="00AE1AD6"/>
    <w:rsid w:val="00AF158F"/>
    <w:rsid w:val="00B05A34"/>
    <w:rsid w:val="00B205ED"/>
    <w:rsid w:val="00B22E32"/>
    <w:rsid w:val="00B5350A"/>
    <w:rsid w:val="00B56314"/>
    <w:rsid w:val="00B65695"/>
    <w:rsid w:val="00B71A4A"/>
    <w:rsid w:val="00B746D6"/>
    <w:rsid w:val="00B82CBD"/>
    <w:rsid w:val="00B92A3F"/>
    <w:rsid w:val="00BB75BE"/>
    <w:rsid w:val="00C018FC"/>
    <w:rsid w:val="00C16A5D"/>
    <w:rsid w:val="00C26665"/>
    <w:rsid w:val="00C315EC"/>
    <w:rsid w:val="00C831D4"/>
    <w:rsid w:val="00C85215"/>
    <w:rsid w:val="00C87340"/>
    <w:rsid w:val="00C908B7"/>
    <w:rsid w:val="00C97DAC"/>
    <w:rsid w:val="00CA0F43"/>
    <w:rsid w:val="00CA19B3"/>
    <w:rsid w:val="00CB44D5"/>
    <w:rsid w:val="00CC4FD5"/>
    <w:rsid w:val="00CD5972"/>
    <w:rsid w:val="00CD6275"/>
    <w:rsid w:val="00CD67C1"/>
    <w:rsid w:val="00CE114B"/>
    <w:rsid w:val="00D103E7"/>
    <w:rsid w:val="00D21FE6"/>
    <w:rsid w:val="00D24DF4"/>
    <w:rsid w:val="00D24EE3"/>
    <w:rsid w:val="00D31665"/>
    <w:rsid w:val="00D36A20"/>
    <w:rsid w:val="00D5083A"/>
    <w:rsid w:val="00D568FC"/>
    <w:rsid w:val="00D65C73"/>
    <w:rsid w:val="00D711AA"/>
    <w:rsid w:val="00D7525A"/>
    <w:rsid w:val="00D85FDA"/>
    <w:rsid w:val="00D865F0"/>
    <w:rsid w:val="00D933B6"/>
    <w:rsid w:val="00DA10C6"/>
    <w:rsid w:val="00DA2511"/>
    <w:rsid w:val="00DB47D5"/>
    <w:rsid w:val="00DD5283"/>
    <w:rsid w:val="00DF74E0"/>
    <w:rsid w:val="00E05147"/>
    <w:rsid w:val="00E05318"/>
    <w:rsid w:val="00E06F6A"/>
    <w:rsid w:val="00E135D8"/>
    <w:rsid w:val="00E2233D"/>
    <w:rsid w:val="00E2585B"/>
    <w:rsid w:val="00E454D5"/>
    <w:rsid w:val="00E57870"/>
    <w:rsid w:val="00E906F0"/>
    <w:rsid w:val="00E979B4"/>
    <w:rsid w:val="00EB12D7"/>
    <w:rsid w:val="00EB2985"/>
    <w:rsid w:val="00EC66CD"/>
    <w:rsid w:val="00EF7386"/>
    <w:rsid w:val="00F33CB2"/>
    <w:rsid w:val="00F43A47"/>
    <w:rsid w:val="00F44D2E"/>
    <w:rsid w:val="00F53971"/>
    <w:rsid w:val="00F66945"/>
    <w:rsid w:val="00FA23AD"/>
    <w:rsid w:val="00FB2EFE"/>
    <w:rsid w:val="00FE3E2A"/>
    <w:rsid w:val="00FF3F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A587E-4057-4539-ADD0-635B3F66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3D4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D42C3"/>
    <w:rPr>
      <w:color w:val="0000FF"/>
      <w:u w:val="single"/>
    </w:rPr>
  </w:style>
  <w:style w:type="paragraph" w:styleId="Intestazione">
    <w:name w:val="header"/>
    <w:basedOn w:val="Normale"/>
    <w:link w:val="IntestazioneCarattere"/>
    <w:uiPriority w:val="99"/>
    <w:unhideWhenUsed/>
    <w:rsid w:val="007370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7005"/>
  </w:style>
  <w:style w:type="paragraph" w:styleId="Pidipagina">
    <w:name w:val="footer"/>
    <w:basedOn w:val="Normale"/>
    <w:link w:val="PidipaginaCarattere"/>
    <w:uiPriority w:val="99"/>
    <w:unhideWhenUsed/>
    <w:rsid w:val="007370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7005"/>
  </w:style>
  <w:style w:type="paragraph" w:styleId="Testonotaapidipagina">
    <w:name w:val="footnote text"/>
    <w:basedOn w:val="Normale"/>
    <w:link w:val="TestonotaapidipaginaCarattere"/>
    <w:uiPriority w:val="99"/>
    <w:unhideWhenUsed/>
    <w:rsid w:val="0015363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5363E"/>
    <w:rPr>
      <w:sz w:val="20"/>
      <w:szCs w:val="20"/>
    </w:rPr>
  </w:style>
  <w:style w:type="character" w:styleId="Rimandonotaapidipagina">
    <w:name w:val="footnote reference"/>
    <w:basedOn w:val="Carpredefinitoparagrafo"/>
    <w:uiPriority w:val="99"/>
    <w:semiHidden/>
    <w:unhideWhenUsed/>
    <w:rsid w:val="001F4E21"/>
    <w:rPr>
      <w:vertAlign w:val="superscript"/>
    </w:rPr>
  </w:style>
  <w:style w:type="character" w:customStyle="1" w:styleId="resultlisthighlightterm1">
    <w:name w:val="resultlisthighlightterm1"/>
    <w:basedOn w:val="Carpredefinitoparagrafo"/>
    <w:rsid w:val="007567E5"/>
    <w:rPr>
      <w:b/>
      <w:bCs/>
      <w:color w:val="FF0000"/>
      <w:sz w:val="18"/>
      <w:szCs w:val="18"/>
    </w:rPr>
  </w:style>
  <w:style w:type="character" w:styleId="Enfasicorsivo">
    <w:name w:val="Emphasis"/>
    <w:basedOn w:val="Carpredefinitoparagrafo"/>
    <w:uiPriority w:val="20"/>
    <w:qFormat/>
    <w:rsid w:val="00256075"/>
    <w:rPr>
      <w:b/>
      <w:bCs/>
      <w:i w:val="0"/>
      <w:iCs w:val="0"/>
    </w:rPr>
  </w:style>
  <w:style w:type="character" w:customStyle="1" w:styleId="st1">
    <w:name w:val="st1"/>
    <w:basedOn w:val="Carpredefinitoparagrafo"/>
    <w:rsid w:val="00256075"/>
  </w:style>
  <w:style w:type="character" w:styleId="Enfasigrassetto">
    <w:name w:val="Strong"/>
    <w:basedOn w:val="Carpredefinitoparagrafo"/>
    <w:uiPriority w:val="22"/>
    <w:qFormat/>
    <w:rsid w:val="00CD67C1"/>
    <w:rPr>
      <w:b/>
      <w:bCs/>
      <w:i w:val="0"/>
      <w:iCs w:val="0"/>
    </w:rPr>
  </w:style>
  <w:style w:type="paragraph" w:customStyle="1" w:styleId="Default">
    <w:name w:val="Default"/>
    <w:rsid w:val="007969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59503">
      <w:bodyDiv w:val="1"/>
      <w:marLeft w:val="0"/>
      <w:marRight w:val="0"/>
      <w:marTop w:val="0"/>
      <w:marBottom w:val="0"/>
      <w:divBdr>
        <w:top w:val="none" w:sz="0" w:space="0" w:color="auto"/>
        <w:left w:val="none" w:sz="0" w:space="0" w:color="auto"/>
        <w:bottom w:val="none" w:sz="0" w:space="0" w:color="auto"/>
        <w:right w:val="none" w:sz="0" w:space="0" w:color="auto"/>
      </w:divBdr>
    </w:div>
    <w:div w:id="887451249">
      <w:bodyDiv w:val="1"/>
      <w:marLeft w:val="0"/>
      <w:marRight w:val="0"/>
      <w:marTop w:val="0"/>
      <w:marBottom w:val="0"/>
      <w:divBdr>
        <w:top w:val="none" w:sz="0" w:space="0" w:color="auto"/>
        <w:left w:val="none" w:sz="0" w:space="0" w:color="auto"/>
        <w:bottom w:val="none" w:sz="0" w:space="0" w:color="auto"/>
        <w:right w:val="none" w:sz="0" w:space="0" w:color="auto"/>
      </w:divBdr>
      <w:divsChild>
        <w:div w:id="1802647681">
          <w:marLeft w:val="0"/>
          <w:marRight w:val="0"/>
          <w:marTop w:val="0"/>
          <w:marBottom w:val="0"/>
          <w:divBdr>
            <w:top w:val="none" w:sz="0" w:space="0" w:color="auto"/>
            <w:left w:val="none" w:sz="0" w:space="0" w:color="auto"/>
            <w:bottom w:val="none" w:sz="0" w:space="0" w:color="auto"/>
            <w:right w:val="none" w:sz="0" w:space="0" w:color="auto"/>
          </w:divBdr>
          <w:divsChild>
            <w:div w:id="1077750449">
              <w:marLeft w:val="0"/>
              <w:marRight w:val="0"/>
              <w:marTop w:val="0"/>
              <w:marBottom w:val="0"/>
              <w:divBdr>
                <w:top w:val="none" w:sz="0" w:space="0" w:color="auto"/>
                <w:left w:val="none" w:sz="0" w:space="0" w:color="auto"/>
                <w:bottom w:val="none" w:sz="0" w:space="0" w:color="auto"/>
                <w:right w:val="none" w:sz="0" w:space="0" w:color="auto"/>
              </w:divBdr>
              <w:divsChild>
                <w:div w:id="841623980">
                  <w:marLeft w:val="0"/>
                  <w:marRight w:val="0"/>
                  <w:marTop w:val="0"/>
                  <w:marBottom w:val="0"/>
                  <w:divBdr>
                    <w:top w:val="none" w:sz="0" w:space="0" w:color="auto"/>
                    <w:left w:val="none" w:sz="0" w:space="0" w:color="auto"/>
                    <w:bottom w:val="none" w:sz="0" w:space="0" w:color="auto"/>
                    <w:right w:val="none" w:sz="0" w:space="0" w:color="auto"/>
                  </w:divBdr>
                  <w:divsChild>
                    <w:div w:id="880674704">
                      <w:marLeft w:val="0"/>
                      <w:marRight w:val="0"/>
                      <w:marTop w:val="0"/>
                      <w:marBottom w:val="0"/>
                      <w:divBdr>
                        <w:top w:val="none" w:sz="0" w:space="0" w:color="auto"/>
                        <w:left w:val="none" w:sz="0" w:space="0" w:color="auto"/>
                        <w:bottom w:val="none" w:sz="0" w:space="0" w:color="auto"/>
                        <w:right w:val="none" w:sz="0" w:space="0" w:color="auto"/>
                      </w:divBdr>
                      <w:divsChild>
                        <w:div w:id="1437675004">
                          <w:marLeft w:val="0"/>
                          <w:marRight w:val="0"/>
                          <w:marTop w:val="0"/>
                          <w:marBottom w:val="0"/>
                          <w:divBdr>
                            <w:top w:val="none" w:sz="0" w:space="0" w:color="auto"/>
                            <w:left w:val="none" w:sz="0" w:space="0" w:color="auto"/>
                            <w:bottom w:val="none" w:sz="0" w:space="0" w:color="auto"/>
                            <w:right w:val="none" w:sz="0" w:space="0" w:color="auto"/>
                          </w:divBdr>
                          <w:divsChild>
                            <w:div w:id="2010711693">
                              <w:marLeft w:val="0"/>
                              <w:marRight w:val="0"/>
                              <w:marTop w:val="0"/>
                              <w:marBottom w:val="0"/>
                              <w:divBdr>
                                <w:top w:val="none" w:sz="0" w:space="0" w:color="auto"/>
                                <w:left w:val="none" w:sz="0" w:space="0" w:color="auto"/>
                                <w:bottom w:val="none" w:sz="0" w:space="0" w:color="auto"/>
                                <w:right w:val="none" w:sz="0" w:space="0" w:color="auto"/>
                              </w:divBdr>
                              <w:divsChild>
                                <w:div w:id="1349134489">
                                  <w:marLeft w:val="0"/>
                                  <w:marRight w:val="0"/>
                                  <w:marTop w:val="0"/>
                                  <w:marBottom w:val="0"/>
                                  <w:divBdr>
                                    <w:top w:val="none" w:sz="0" w:space="0" w:color="auto"/>
                                    <w:left w:val="none" w:sz="0" w:space="0" w:color="auto"/>
                                    <w:bottom w:val="none" w:sz="0" w:space="0" w:color="auto"/>
                                    <w:right w:val="none" w:sz="0" w:space="0" w:color="auto"/>
                                  </w:divBdr>
                                  <w:divsChild>
                                    <w:div w:id="172110600">
                                      <w:marLeft w:val="0"/>
                                      <w:marRight w:val="0"/>
                                      <w:marTop w:val="0"/>
                                      <w:marBottom w:val="0"/>
                                      <w:divBdr>
                                        <w:top w:val="none" w:sz="0" w:space="0" w:color="auto"/>
                                        <w:left w:val="none" w:sz="0" w:space="0" w:color="auto"/>
                                        <w:bottom w:val="none" w:sz="0" w:space="0" w:color="auto"/>
                                        <w:right w:val="none" w:sz="0" w:space="0" w:color="auto"/>
                                      </w:divBdr>
                                      <w:divsChild>
                                        <w:div w:id="374697455">
                                          <w:marLeft w:val="0"/>
                                          <w:marRight w:val="0"/>
                                          <w:marTop w:val="0"/>
                                          <w:marBottom w:val="0"/>
                                          <w:divBdr>
                                            <w:top w:val="none" w:sz="0" w:space="0" w:color="auto"/>
                                            <w:left w:val="none" w:sz="0" w:space="0" w:color="auto"/>
                                            <w:bottom w:val="none" w:sz="0" w:space="0" w:color="auto"/>
                                            <w:right w:val="none" w:sz="0" w:space="0" w:color="auto"/>
                                          </w:divBdr>
                                          <w:divsChild>
                                            <w:div w:id="253362663">
                                              <w:marLeft w:val="45"/>
                                              <w:marRight w:val="45"/>
                                              <w:marTop w:val="150"/>
                                              <w:marBottom w:val="150"/>
                                              <w:divBdr>
                                                <w:top w:val="single" w:sz="6" w:space="0" w:color="EAEAEA"/>
                                                <w:left w:val="single" w:sz="6" w:space="0" w:color="EAEAEA"/>
                                                <w:bottom w:val="single" w:sz="6" w:space="0" w:color="EAEAEA"/>
                                                <w:right w:val="single" w:sz="6" w:space="8" w:color="EAEAEA"/>
                                              </w:divBdr>
                                              <w:divsChild>
                                                <w:div w:id="1378551081">
                                                  <w:marLeft w:val="0"/>
                                                  <w:marRight w:val="0"/>
                                                  <w:marTop w:val="0"/>
                                                  <w:marBottom w:val="300"/>
                                                  <w:divBdr>
                                                    <w:top w:val="none" w:sz="0" w:space="0" w:color="auto"/>
                                                    <w:left w:val="single" w:sz="6" w:space="8" w:color="EAEAEA"/>
                                                    <w:bottom w:val="none" w:sz="0" w:space="0" w:color="auto"/>
                                                    <w:right w:val="none" w:sz="0" w:space="0" w:color="auto"/>
                                                  </w:divBdr>
                                                  <w:divsChild>
                                                    <w:div w:id="1591546450">
                                                      <w:marLeft w:val="0"/>
                                                      <w:marRight w:val="0"/>
                                                      <w:marTop w:val="0"/>
                                                      <w:marBottom w:val="0"/>
                                                      <w:divBdr>
                                                        <w:top w:val="none" w:sz="0" w:space="0" w:color="auto"/>
                                                        <w:left w:val="none" w:sz="0" w:space="0" w:color="auto"/>
                                                        <w:bottom w:val="none" w:sz="0" w:space="0" w:color="auto"/>
                                                        <w:right w:val="none" w:sz="0" w:space="0" w:color="auto"/>
                                                      </w:divBdr>
                                                      <w:divsChild>
                                                        <w:div w:id="3459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eggidital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osettiegatti.eu/info/norme/statali/1990_0241.htm" TargetMode="External"/><Relationship Id="rId4" Type="http://schemas.openxmlformats.org/officeDocument/2006/relationships/settings" Target="settings.xml"/><Relationship Id="rId9" Type="http://schemas.openxmlformats.org/officeDocument/2006/relationships/hyperlink" Target="http://pa.leggiditalia.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osettiegatti.eu/info/norme/statali/1990_024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53CF7-1A41-4B0B-B5C1-94357B2E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6597</Words>
  <Characters>37609</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44118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FERRARI Giulia</cp:lastModifiedBy>
  <cp:revision>5</cp:revision>
  <dcterms:created xsi:type="dcterms:W3CDTF">2018-03-07T15:11:00Z</dcterms:created>
  <dcterms:modified xsi:type="dcterms:W3CDTF">2018-03-07T15:13:00Z</dcterms:modified>
</cp:coreProperties>
</file>