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05A" w:rsidRDefault="00830793" w:rsidP="005B705A">
      <w:pPr>
        <w:jc w:val="center"/>
        <w:rPr>
          <w:rFonts w:ascii="Times New Roman" w:hAnsi="Times New Roman" w:cs="Times New Roman"/>
          <w:b/>
          <w:sz w:val="24"/>
          <w:szCs w:val="24"/>
        </w:rPr>
      </w:pPr>
      <w:r>
        <w:rPr>
          <w:rFonts w:ascii="Times New Roman" w:hAnsi="Times New Roman" w:cs="Times New Roman"/>
          <w:b/>
          <w:sz w:val="24"/>
          <w:szCs w:val="24"/>
        </w:rPr>
        <w:t>O</w:t>
      </w:r>
      <w:r w:rsidR="00CB4819">
        <w:rPr>
          <w:rFonts w:ascii="Times New Roman" w:hAnsi="Times New Roman" w:cs="Times New Roman"/>
          <w:b/>
          <w:sz w:val="24"/>
          <w:szCs w:val="24"/>
        </w:rPr>
        <w:t>neri concessori</w:t>
      </w:r>
      <w:r>
        <w:rPr>
          <w:rFonts w:ascii="Times New Roman" w:hAnsi="Times New Roman" w:cs="Times New Roman"/>
          <w:b/>
          <w:sz w:val="24"/>
          <w:szCs w:val="24"/>
        </w:rPr>
        <w:t xml:space="preserve"> e demanio marittimo</w:t>
      </w:r>
      <w:r w:rsidR="00CB4819">
        <w:rPr>
          <w:rFonts w:ascii="Times New Roman" w:hAnsi="Times New Roman" w:cs="Times New Roman"/>
          <w:b/>
          <w:sz w:val="24"/>
          <w:szCs w:val="24"/>
        </w:rPr>
        <w:t>: alla ricerca di un difficile equilibrio tra disciplina generale e disciplina speciale</w:t>
      </w:r>
      <w:r w:rsidR="000F1300">
        <w:rPr>
          <w:rFonts w:ascii="Times New Roman" w:hAnsi="Times New Roman" w:cs="Times New Roman"/>
          <w:b/>
          <w:sz w:val="24"/>
          <w:szCs w:val="24"/>
        </w:rPr>
        <w:t xml:space="preserve"> </w:t>
      </w:r>
    </w:p>
    <w:p w:rsidR="005B705A" w:rsidRDefault="000F1300" w:rsidP="005B705A">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5B705A" w:rsidRPr="005B705A" w:rsidRDefault="00830793" w:rsidP="00A276CC">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B705A" w:rsidRPr="00830793">
        <w:rPr>
          <w:rFonts w:ascii="Times New Roman" w:hAnsi="Times New Roman" w:cs="Times New Roman"/>
          <w:b/>
          <w:sz w:val="24"/>
          <w:szCs w:val="24"/>
        </w:rPr>
        <w:t xml:space="preserve">Premessa. 2. Gli oneri concessori: oneri di urbanizzazione e costo di costruzione. 3. Il calcolo degli oneri di urbanizzazione. 4. I casi di riduzione ed esonero dal contributo di costruzione. 5. Gli interventi edilizi sul demanio marittimo e l’incidenza degli oneri. 6. La differenza tra costi di costruzione e oneri di urbanizzazione nella giurisprudenza più recente 7. L’azione di restituzione: il rapporto paritetico tra PA e privati. </w:t>
      </w:r>
      <w:r w:rsidRPr="00830793">
        <w:rPr>
          <w:rFonts w:ascii="Times New Roman" w:hAnsi="Times New Roman" w:cs="Times New Roman"/>
          <w:b/>
          <w:sz w:val="24"/>
          <w:szCs w:val="24"/>
        </w:rPr>
        <w:t xml:space="preserve">8. </w:t>
      </w:r>
      <w:r w:rsidR="005B705A" w:rsidRPr="00830793">
        <w:rPr>
          <w:rFonts w:ascii="Times New Roman" w:hAnsi="Times New Roman" w:cs="Times New Roman"/>
          <w:b/>
          <w:sz w:val="24"/>
          <w:szCs w:val="24"/>
        </w:rPr>
        <w:t>Considerazioni finali.</w:t>
      </w:r>
    </w:p>
    <w:p w:rsidR="00830793" w:rsidRDefault="005B705A" w:rsidP="00830793">
      <w:pPr>
        <w:pStyle w:val="domanda"/>
        <w:numPr>
          <w:ilvl w:val="0"/>
          <w:numId w:val="5"/>
        </w:numPr>
        <w:rPr>
          <w:rFonts w:ascii="Times New Roman" w:hAnsi="Times New Roman" w:cs="Times New Roman"/>
          <w:b/>
          <w:sz w:val="24"/>
          <w:szCs w:val="24"/>
        </w:rPr>
      </w:pPr>
      <w:r w:rsidRPr="005B705A">
        <w:rPr>
          <w:rFonts w:ascii="Times New Roman" w:hAnsi="Times New Roman" w:cs="Times New Roman"/>
          <w:b/>
          <w:sz w:val="24"/>
          <w:szCs w:val="24"/>
        </w:rPr>
        <w:t>Premessa.</w:t>
      </w:r>
    </w:p>
    <w:p w:rsidR="0041664F" w:rsidRDefault="0041664F" w:rsidP="0041664F">
      <w:pPr>
        <w:pStyle w:val="para"/>
        <w:spacing w:line="256" w:lineRule="exact"/>
        <w:ind w:left="142"/>
        <w:rPr>
          <w:rFonts w:ascii="Times New Roman" w:hAnsi="Times New Roman" w:cs="Times New Roman"/>
          <w:sz w:val="24"/>
          <w:szCs w:val="24"/>
        </w:rPr>
      </w:pPr>
    </w:p>
    <w:p w:rsidR="0041664F" w:rsidRPr="00FC6182" w:rsidRDefault="0041664F" w:rsidP="0041664F">
      <w:pPr>
        <w:pStyle w:val="para"/>
        <w:spacing w:line="256" w:lineRule="exact"/>
        <w:ind w:left="142"/>
        <w:rPr>
          <w:rFonts w:ascii="Times New Roman" w:hAnsi="Times New Roman" w:cs="Times New Roman"/>
          <w:sz w:val="24"/>
          <w:szCs w:val="24"/>
          <w:highlight w:val="red"/>
        </w:rPr>
      </w:pPr>
      <w:r w:rsidRPr="000A2273">
        <w:rPr>
          <w:rFonts w:ascii="Times New Roman" w:hAnsi="Times New Roman" w:cs="Times New Roman"/>
          <w:sz w:val="24"/>
          <w:szCs w:val="24"/>
        </w:rPr>
        <w:t xml:space="preserve">La disciplina degli oneri concessori costituisce uno degli aspetti più controversi all’interno dell’architettura del TUE in ragione dell’evidente impatto prodotto sulla regolamentazione dell’istituto dalla disciplina europea, prima, e da quella delle opere pubbliche, poi. L’originaria formulazione dell’art. 16 del </w:t>
      </w:r>
      <w:proofErr w:type="spellStart"/>
      <w:r w:rsidRPr="000A2273">
        <w:rPr>
          <w:rFonts w:ascii="Times New Roman" w:hAnsi="Times New Roman" w:cs="Times New Roman"/>
          <w:sz w:val="24"/>
          <w:szCs w:val="24"/>
        </w:rPr>
        <w:t>d.P.R.</w:t>
      </w:r>
      <w:proofErr w:type="spellEnd"/>
      <w:r w:rsidRPr="000A2273">
        <w:rPr>
          <w:rFonts w:ascii="Times New Roman" w:hAnsi="Times New Roman" w:cs="Times New Roman"/>
          <w:sz w:val="24"/>
          <w:szCs w:val="24"/>
        </w:rPr>
        <w:t xml:space="preserve"> 380/2001, infatti, precisava che, a scomputo totale o parziale della quota dovuta a titolo di oneri di urbanizzazione, “(…) </w:t>
      </w:r>
      <w:r w:rsidRPr="000A2273">
        <w:rPr>
          <w:rFonts w:ascii="Times New Roman" w:hAnsi="Times New Roman" w:cs="Times New Roman"/>
          <w:i/>
          <w:sz w:val="24"/>
          <w:szCs w:val="24"/>
        </w:rPr>
        <w:t>il titolare del permesso può obbligarsi a realizzare direttamente le opere di urbanizzazione con le modalità e le garanzie stabilite dal comune, con conseguente acquisizione delle opere realizzate al patrimonio indisponibile del comune</w:t>
      </w:r>
      <w:r w:rsidRPr="000A2273">
        <w:rPr>
          <w:rFonts w:ascii="Times New Roman" w:hAnsi="Times New Roman" w:cs="Times New Roman"/>
          <w:sz w:val="24"/>
          <w:szCs w:val="24"/>
        </w:rPr>
        <w:t xml:space="preserve"> (…)”. Era del tutto evidente, sin dall’inizio, </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&lt;para&gt;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che gli interventi eseguiti dal titolare del permesso di costruire, a compensazione o “scomputo” degli oneri, integravano delle opere pubbliche, sia per il profilo oggettivo, perché rivolte alla collettività, sia per quello soggettivo, trattandosi di strutture ed impianti che l'amministrazione comunale acquisiva al proprio patrimonio indisponibile.</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&lt;/para&gt;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xml:space="preserve">  Si </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&lt;para&gt;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xml:space="preserve">poneva, dunque, immediatamente, il problema di come raccordare una norma che consentiva all’intestatario del permesso di </w:t>
      </w:r>
      <w:proofErr w:type="gramStart"/>
      <w:r w:rsidRPr="000A2273">
        <w:rPr>
          <w:rFonts w:ascii="Times New Roman" w:hAnsi="Times New Roman" w:cs="Times New Roman"/>
          <w:sz w:val="24"/>
          <w:szCs w:val="24"/>
        </w:rPr>
        <w:t xml:space="preserve">costruire </w:t>
      </w:r>
      <w:r>
        <w:rPr>
          <w:rFonts w:ascii="Times New Roman" w:hAnsi="Times New Roman" w:cs="Times New Roman"/>
          <w:sz w:val="24"/>
          <w:szCs w:val="24"/>
        </w:rPr>
        <w:t xml:space="preserve"> la</w:t>
      </w:r>
      <w:proofErr w:type="gramEnd"/>
      <w:r>
        <w:rPr>
          <w:rFonts w:ascii="Times New Roman" w:hAnsi="Times New Roman" w:cs="Times New Roman"/>
          <w:sz w:val="24"/>
          <w:szCs w:val="24"/>
        </w:rPr>
        <w:t xml:space="preserve"> realizzazione del</w:t>
      </w:r>
      <w:r w:rsidRPr="000A2273">
        <w:rPr>
          <w:rFonts w:ascii="Times New Roman" w:hAnsi="Times New Roman" w:cs="Times New Roman"/>
          <w:sz w:val="24"/>
          <w:szCs w:val="24"/>
        </w:rPr>
        <w:t xml:space="preserve">le cd “opere a scomputo”, in forza di un “patto” con l’amministrazione, e la normativa europea che avrebbe imposto per quelle stesse opere il ricorso alle procedure di evidenza pubblica per l'affidamento dei relativi lavori. In questa ottica fu decisivo l’intervento della Corte di giustizia U.E. che, con la sentenza n. C-399/98 </w:t>
      </w:r>
      <w:proofErr w:type="gramStart"/>
      <w:r w:rsidRPr="000A2273">
        <w:rPr>
          <w:rFonts w:ascii="Times New Roman" w:hAnsi="Times New Roman" w:cs="Times New Roman"/>
          <w:sz w:val="24"/>
          <w:szCs w:val="24"/>
        </w:rPr>
        <w:t>del</w:t>
      </w:r>
      <w:proofErr w:type="gramEnd"/>
      <w:r w:rsidRPr="000A2273">
        <w:rPr>
          <w:rFonts w:ascii="Times New Roman" w:hAnsi="Times New Roman" w:cs="Times New Roman"/>
          <w:sz w:val="24"/>
          <w:szCs w:val="24"/>
        </w:rPr>
        <w:t xml:space="preserve"> 21 luglio 2001 (Caso cd. “Bicocca”)</w:t>
      </w:r>
      <w:r w:rsidRPr="000A2273">
        <w:rPr>
          <w:rFonts w:ascii="Times New Roman" w:hAnsi="Times New Roman" w:cs="Times New Roman"/>
          <w:b/>
          <w:sz w:val="24"/>
          <w:szCs w:val="24"/>
        </w:rPr>
        <w:t xml:space="preserve"> </w:t>
      </w:r>
      <w:r w:rsidRPr="000A2273">
        <w:rPr>
          <w:rFonts w:ascii="Times New Roman" w:hAnsi="Times New Roman" w:cs="Times New Roman"/>
          <w:sz w:val="24"/>
          <w:szCs w:val="24"/>
        </w:rPr>
        <w:t>statuì che la realizzazione delle opere di urbanizzazione a scomputo doveva essere assoggettata alle normative europee in tema di procedure di evidenza pubblica. In altri termini, doveva essere applicata la disciplina dell’evidenza pubblica laddove il valore delle opere eguagliasse o superasse la soglia comunitaria. Ai fini del calcolo occorreva considerare l’investimento complessivo (quindi il costo sia delle opere di urbanizzazione primaria, sia di quelle di urbanizzazione secondarie), fermo restando il divieto di procedere alla suddivisione in lotti allo</w:t>
      </w:r>
      <w:r w:rsidRPr="000A2273">
        <w:rPr>
          <w:rStyle w:val="Rimandonotaapidipagina"/>
          <w:rFonts w:ascii="Times New Roman" w:hAnsi="Times New Roman"/>
          <w:sz w:val="24"/>
          <w:szCs w:val="24"/>
        </w:rPr>
        <w:footnoteReference w:id="1"/>
      </w:r>
      <w:r w:rsidRPr="000A2273">
        <w:rPr>
          <w:rFonts w:ascii="Times New Roman" w:hAnsi="Times New Roman" w:cs="Times New Roman"/>
          <w:sz w:val="24"/>
          <w:szCs w:val="24"/>
        </w:rPr>
        <w:t xml:space="preserve"> scopo di eludere l’obbligo dell’evidenza pubblica. Il principio è stato da ultimo confermato anche dall’art. 1, comma 2, del d.lgs. n. 50/2016</w:t>
      </w:r>
      <w:r w:rsidRPr="000A2273">
        <w:rPr>
          <w:rStyle w:val="Rimandonotaapidipagina"/>
          <w:rFonts w:ascii="Times New Roman" w:hAnsi="Times New Roman"/>
          <w:sz w:val="24"/>
          <w:szCs w:val="24"/>
        </w:rPr>
        <w:footnoteReference w:id="2"/>
      </w:r>
      <w:r w:rsidRPr="000A2273">
        <w:rPr>
          <w:rFonts w:ascii="Times New Roman" w:hAnsi="Times New Roman" w:cs="Times New Roman"/>
          <w:sz w:val="24"/>
          <w:szCs w:val="24"/>
        </w:rPr>
        <w:t xml:space="preserve"> che ha sottolineato come le disposizioni del </w:t>
      </w:r>
      <w:r>
        <w:rPr>
          <w:rFonts w:ascii="Times New Roman" w:hAnsi="Times New Roman" w:cs="Times New Roman"/>
          <w:sz w:val="24"/>
          <w:szCs w:val="24"/>
        </w:rPr>
        <w:t>n</w:t>
      </w:r>
      <w:r w:rsidRPr="000A2273">
        <w:rPr>
          <w:rFonts w:ascii="Times New Roman" w:hAnsi="Times New Roman" w:cs="Times New Roman"/>
          <w:sz w:val="24"/>
          <w:szCs w:val="24"/>
        </w:rPr>
        <w:t xml:space="preserve">uovo </w:t>
      </w:r>
      <w:r>
        <w:rPr>
          <w:rFonts w:ascii="Times New Roman" w:hAnsi="Times New Roman" w:cs="Times New Roman"/>
          <w:sz w:val="24"/>
          <w:szCs w:val="24"/>
        </w:rPr>
        <w:t>“</w:t>
      </w:r>
      <w:r w:rsidRPr="000A2273">
        <w:rPr>
          <w:rFonts w:ascii="Times New Roman" w:hAnsi="Times New Roman" w:cs="Times New Roman"/>
          <w:sz w:val="24"/>
          <w:szCs w:val="24"/>
        </w:rPr>
        <w:t>Codice dei Contratti Pubblici” debbano applicarsi alle procedure di affidamento di lavori pubblici per la realizzazione di opere di urbanizzazione sia primaria che secondaria. Ciò testimonia la perdurante natura “ibrida” dell’istituto che si atteggia a vero crocevia di norme espressione della più tipica regolamentazione edilizia e di disposizioni che, inevitabilmente, trovano la propria</w:t>
      </w:r>
      <w:r>
        <w:rPr>
          <w:rFonts w:ascii="Times New Roman" w:hAnsi="Times New Roman" w:cs="Times New Roman"/>
          <w:sz w:val="24"/>
          <w:szCs w:val="24"/>
        </w:rPr>
        <w:t xml:space="preserve"> naturale</w:t>
      </w:r>
      <w:r w:rsidRPr="000A2273">
        <w:rPr>
          <w:rFonts w:ascii="Times New Roman" w:hAnsi="Times New Roman" w:cs="Times New Roman"/>
          <w:sz w:val="24"/>
          <w:szCs w:val="24"/>
        </w:rPr>
        <w:t xml:space="preserve"> </w:t>
      </w:r>
      <w:r w:rsidRPr="000A2273">
        <w:rPr>
          <w:rFonts w:ascii="Times New Roman" w:hAnsi="Times New Roman" w:cs="Times New Roman"/>
          <w:i/>
          <w:sz w:val="24"/>
          <w:szCs w:val="24"/>
        </w:rPr>
        <w:t>ratio</w:t>
      </w:r>
      <w:r w:rsidRPr="000A2273">
        <w:rPr>
          <w:rFonts w:ascii="Times New Roman" w:hAnsi="Times New Roman" w:cs="Times New Roman"/>
          <w:sz w:val="24"/>
          <w:szCs w:val="24"/>
        </w:rPr>
        <w:t xml:space="preserve"> nella disciplina</w:t>
      </w:r>
      <w:r>
        <w:rPr>
          <w:rFonts w:ascii="Times New Roman" w:hAnsi="Times New Roman" w:cs="Times New Roman"/>
          <w:sz w:val="24"/>
          <w:szCs w:val="24"/>
        </w:rPr>
        <w:t xml:space="preserve"> pubblicistica</w:t>
      </w:r>
      <w:r w:rsidRPr="000A2273">
        <w:rPr>
          <w:rFonts w:ascii="Times New Roman" w:hAnsi="Times New Roman" w:cs="Times New Roman"/>
          <w:sz w:val="24"/>
          <w:szCs w:val="24"/>
        </w:rPr>
        <w:t xml:space="preserve"> dell’affidamento delle opere pubbliche.</w:t>
      </w:r>
      <w:r>
        <w:rPr>
          <w:rFonts w:ascii="Times New Roman" w:hAnsi="Times New Roman" w:cs="Times New Roman"/>
          <w:sz w:val="24"/>
          <w:szCs w:val="24"/>
        </w:rPr>
        <w:t xml:space="preserve"> In questo quadro normativo generale, poi, si colloca la disciplina speciale degli interventi edilizi da realizzarsi su aree demaniali </w:t>
      </w:r>
      <w:r w:rsidR="007E2323">
        <w:rPr>
          <w:rFonts w:ascii="Times New Roman" w:hAnsi="Times New Roman" w:cs="Times New Roman"/>
          <w:sz w:val="24"/>
          <w:szCs w:val="24"/>
        </w:rPr>
        <w:t xml:space="preserve">che trova nell’articolo </w:t>
      </w:r>
      <w:r w:rsidR="007E2323" w:rsidRPr="00FC6182">
        <w:rPr>
          <w:rFonts w:ascii="Times New Roman" w:hAnsi="Times New Roman" w:cs="Times New Roman"/>
          <w:sz w:val="24"/>
          <w:szCs w:val="24"/>
        </w:rPr>
        <w:t xml:space="preserve">8 </w:t>
      </w:r>
      <w:proofErr w:type="spellStart"/>
      <w:r w:rsidR="007E2323" w:rsidRPr="00FC6182">
        <w:rPr>
          <w:rFonts w:ascii="Times New Roman" w:hAnsi="Times New Roman" w:cs="Times New Roman"/>
          <w:sz w:val="24"/>
          <w:szCs w:val="24"/>
        </w:rPr>
        <w:t>d.P.R.</w:t>
      </w:r>
      <w:proofErr w:type="spellEnd"/>
      <w:r w:rsidR="007E2323" w:rsidRPr="00FC6182">
        <w:rPr>
          <w:rFonts w:ascii="Times New Roman" w:hAnsi="Times New Roman" w:cs="Times New Roman"/>
          <w:sz w:val="24"/>
          <w:szCs w:val="24"/>
        </w:rPr>
        <w:t xml:space="preserve"> n. 380 la </w:t>
      </w:r>
      <w:proofErr w:type="spellStart"/>
      <w:r w:rsidR="007E2323" w:rsidRPr="00FC6182">
        <w:rPr>
          <w:rFonts w:ascii="Times New Roman" w:hAnsi="Times New Roman" w:cs="Times New Roman"/>
          <w:i/>
          <w:sz w:val="24"/>
          <w:szCs w:val="24"/>
        </w:rPr>
        <w:t>sedes</w:t>
      </w:r>
      <w:proofErr w:type="spellEnd"/>
      <w:r w:rsidR="007E2323" w:rsidRPr="00FC6182">
        <w:rPr>
          <w:rFonts w:ascii="Times New Roman" w:hAnsi="Times New Roman" w:cs="Times New Roman"/>
          <w:i/>
          <w:sz w:val="24"/>
          <w:szCs w:val="24"/>
        </w:rPr>
        <w:t xml:space="preserve"> </w:t>
      </w:r>
      <w:proofErr w:type="spellStart"/>
      <w:r w:rsidR="007E2323" w:rsidRPr="00FC6182">
        <w:rPr>
          <w:rFonts w:ascii="Times New Roman" w:hAnsi="Times New Roman" w:cs="Times New Roman"/>
          <w:i/>
          <w:sz w:val="24"/>
          <w:szCs w:val="24"/>
        </w:rPr>
        <w:t>materiae</w:t>
      </w:r>
      <w:proofErr w:type="spellEnd"/>
      <w:r w:rsidR="007E2323" w:rsidRPr="00FC6182">
        <w:rPr>
          <w:rFonts w:ascii="Times New Roman" w:hAnsi="Times New Roman" w:cs="Times New Roman"/>
          <w:sz w:val="24"/>
          <w:szCs w:val="24"/>
        </w:rPr>
        <w:t xml:space="preserve"> all’interno</w:t>
      </w:r>
      <w:r w:rsidR="007E2323">
        <w:rPr>
          <w:rFonts w:ascii="Times New Roman" w:hAnsi="Times New Roman" w:cs="Times New Roman"/>
        </w:rPr>
        <w:t xml:space="preserve"> della </w:t>
      </w:r>
      <w:r w:rsidR="007E2323" w:rsidRPr="00FC6182">
        <w:rPr>
          <w:rFonts w:ascii="Times New Roman" w:hAnsi="Times New Roman" w:cs="Times New Roman"/>
          <w:sz w:val="24"/>
          <w:szCs w:val="24"/>
        </w:rPr>
        <w:t xml:space="preserve">quale si compie </w:t>
      </w:r>
      <w:r w:rsidR="00FC6182" w:rsidRPr="00FC6182">
        <w:rPr>
          <w:rFonts w:ascii="Times New Roman" w:hAnsi="Times New Roman" w:cs="Times New Roman"/>
          <w:sz w:val="24"/>
          <w:szCs w:val="24"/>
        </w:rPr>
        <w:t xml:space="preserve">il </w:t>
      </w:r>
      <w:r w:rsidR="007E2323" w:rsidRPr="00FC6182">
        <w:rPr>
          <w:rFonts w:ascii="Times New Roman" w:hAnsi="Times New Roman" w:cs="Times New Roman"/>
          <w:sz w:val="24"/>
          <w:szCs w:val="24"/>
        </w:rPr>
        <w:t>naturale collegamento tra</w:t>
      </w:r>
      <w:r w:rsidR="00F66501">
        <w:rPr>
          <w:rFonts w:ascii="Times New Roman" w:hAnsi="Times New Roman" w:cs="Times New Roman"/>
          <w:sz w:val="24"/>
          <w:szCs w:val="24"/>
        </w:rPr>
        <w:t xml:space="preserve"> la disciplina del</w:t>
      </w:r>
      <w:r w:rsidR="007E2323" w:rsidRPr="00FC6182">
        <w:rPr>
          <w:rFonts w:ascii="Times New Roman" w:hAnsi="Times New Roman" w:cs="Times New Roman"/>
          <w:sz w:val="24"/>
          <w:szCs w:val="24"/>
        </w:rPr>
        <w:t xml:space="preserve"> demanio </w:t>
      </w:r>
      <w:r w:rsidR="007E2323" w:rsidRPr="00FC6182">
        <w:rPr>
          <w:rFonts w:ascii="Times New Roman" w:hAnsi="Times New Roman" w:cs="Times New Roman"/>
          <w:sz w:val="24"/>
          <w:szCs w:val="24"/>
        </w:rPr>
        <w:lastRenderedPageBreak/>
        <w:t>marittimo e</w:t>
      </w:r>
      <w:r w:rsidR="00F66501">
        <w:rPr>
          <w:rFonts w:ascii="Times New Roman" w:hAnsi="Times New Roman" w:cs="Times New Roman"/>
          <w:sz w:val="24"/>
          <w:szCs w:val="24"/>
        </w:rPr>
        <w:t xml:space="preserve"> quella più eminentemente</w:t>
      </w:r>
      <w:r w:rsidR="007E2323" w:rsidRPr="00FC6182">
        <w:rPr>
          <w:rFonts w:ascii="Times New Roman" w:hAnsi="Times New Roman" w:cs="Times New Roman"/>
          <w:sz w:val="24"/>
          <w:szCs w:val="24"/>
        </w:rPr>
        <w:t xml:space="preserve"> </w:t>
      </w:r>
      <w:r w:rsidR="00F66501">
        <w:rPr>
          <w:rFonts w:ascii="Times New Roman" w:hAnsi="Times New Roman" w:cs="Times New Roman"/>
          <w:sz w:val="24"/>
          <w:szCs w:val="24"/>
        </w:rPr>
        <w:t>di natura</w:t>
      </w:r>
      <w:r w:rsidR="007E2323" w:rsidRPr="00FC6182">
        <w:rPr>
          <w:rFonts w:ascii="Times New Roman" w:hAnsi="Times New Roman" w:cs="Times New Roman"/>
          <w:sz w:val="24"/>
          <w:szCs w:val="24"/>
        </w:rPr>
        <w:t xml:space="preserve"> edilizia</w:t>
      </w:r>
      <w:r w:rsidR="00FC6182" w:rsidRPr="00FC6182">
        <w:rPr>
          <w:rFonts w:ascii="Times New Roman" w:hAnsi="Times New Roman" w:cs="Times New Roman"/>
          <w:sz w:val="24"/>
          <w:szCs w:val="24"/>
        </w:rPr>
        <w:t xml:space="preserve">. Non a caso tale norma è rubricata </w:t>
      </w:r>
      <w:r w:rsidR="007E2323" w:rsidRPr="00FC6182">
        <w:rPr>
          <w:rFonts w:ascii="Times New Roman" w:hAnsi="Times New Roman" w:cs="Times New Roman"/>
          <w:sz w:val="24"/>
          <w:szCs w:val="24"/>
        </w:rPr>
        <w:t>“</w:t>
      </w:r>
      <w:r w:rsidR="007E2323" w:rsidRPr="00FC6182">
        <w:rPr>
          <w:rFonts w:ascii="Times New Roman" w:hAnsi="Times New Roman" w:cs="Times New Roman"/>
          <w:i/>
          <w:sz w:val="24"/>
          <w:szCs w:val="24"/>
        </w:rPr>
        <w:t>La realizzazione da parte di privati di interventi edilizi su aree demaniali è disciplinata dalle norme del presente testo unico</w:t>
      </w:r>
      <w:r w:rsidR="007E2323" w:rsidRPr="00FC6182">
        <w:rPr>
          <w:rFonts w:ascii="Times New Roman" w:hAnsi="Times New Roman" w:cs="Times New Roman"/>
          <w:sz w:val="24"/>
          <w:szCs w:val="24"/>
        </w:rPr>
        <w:t xml:space="preserve">”. </w:t>
      </w:r>
      <w:r w:rsidR="00FC6182">
        <w:rPr>
          <w:rFonts w:ascii="Times New Roman" w:hAnsi="Times New Roman" w:cs="Times New Roman"/>
          <w:sz w:val="24"/>
          <w:szCs w:val="24"/>
        </w:rPr>
        <w:t>Per quanto la regolamentazione degli interventi edilizi su aree demaniali possa essere sottoposta alle norme del TUE essa, tuttavia, presenta delle peculiarità di stampo pubblicistico e tributario che si cercherà, sinteticamente, di illuminare nel corso del presente lavoro.</w:t>
      </w:r>
      <w:r w:rsidRPr="00FC6182">
        <w:rPr>
          <w:rFonts w:ascii="Times New Roman" w:hAnsi="Times New Roman" w:cs="Times New Roman"/>
          <w:sz w:val="24"/>
          <w:szCs w:val="24"/>
        </w:rPr>
        <w:t xml:space="preserve"> </w:t>
      </w:r>
      <w:r w:rsidRPr="00FC6182">
        <w:rPr>
          <w:rFonts w:ascii="Times New Roman" w:hAnsi="Times New Roman" w:cs="Times New Roman"/>
          <w:sz w:val="24"/>
          <w:szCs w:val="24"/>
          <w:highlight w:val="red"/>
        </w:rPr>
        <w:t xml:space="preserve"> </w:t>
      </w:r>
    </w:p>
    <w:p w:rsidR="0071132A" w:rsidRPr="00FC6182" w:rsidRDefault="00720F84" w:rsidP="00830793">
      <w:pPr>
        <w:pStyle w:val="domanda"/>
        <w:numPr>
          <w:ilvl w:val="0"/>
          <w:numId w:val="5"/>
        </w:numPr>
        <w:rPr>
          <w:rFonts w:ascii="Times New Roman" w:hAnsi="Times New Roman" w:cs="Times New Roman"/>
          <w:b/>
          <w:sz w:val="24"/>
          <w:szCs w:val="24"/>
        </w:rPr>
      </w:pPr>
      <w:r w:rsidRPr="00FC6182">
        <w:rPr>
          <w:rFonts w:ascii="Times New Roman" w:hAnsi="Times New Roman" w:cs="Times New Roman"/>
          <w:b/>
          <w:sz w:val="24"/>
          <w:szCs w:val="24"/>
        </w:rPr>
        <w:fldChar w:fldCharType="begin"/>
      </w:r>
      <w:r w:rsidR="0071132A" w:rsidRPr="00FC6182">
        <w:rPr>
          <w:rFonts w:ascii="Times New Roman" w:hAnsi="Times New Roman" w:cs="Times New Roman"/>
          <w:b/>
          <w:sz w:val="24"/>
          <w:szCs w:val="24"/>
        </w:rPr>
        <w:instrText>&lt;domanda&gt;&lt;rubrica&gt;</w:instrText>
      </w:r>
      <w:r w:rsidRPr="00FC6182">
        <w:rPr>
          <w:rFonts w:ascii="Times New Roman" w:hAnsi="Times New Roman" w:cs="Times New Roman"/>
          <w:b/>
          <w:sz w:val="24"/>
          <w:szCs w:val="24"/>
        </w:rPr>
        <w:fldChar w:fldCharType="end"/>
      </w:r>
      <w:r w:rsidR="005B705A" w:rsidRPr="00FC6182">
        <w:rPr>
          <w:rFonts w:ascii="Times New Roman" w:hAnsi="Times New Roman" w:cs="Times New Roman"/>
          <w:b/>
          <w:sz w:val="24"/>
          <w:szCs w:val="24"/>
        </w:rPr>
        <w:t xml:space="preserve">Gli oneri concessori: oneri di urbanizzazione e costo di costruzione.  </w:t>
      </w:r>
    </w:p>
    <w:p w:rsidR="006E1C24" w:rsidRPr="000A2273" w:rsidRDefault="006E1C24" w:rsidP="006E1C24">
      <w:pPr>
        <w:pStyle w:val="para"/>
        <w:spacing w:before="85"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La norma paradigmatica in materia di oneri di urbanizzazione è indubbiamente costituita dall’</w:t>
      </w:r>
      <w:r w:rsidRPr="000A2273">
        <w:rPr>
          <w:rFonts w:ascii="Times New Roman" w:hAnsi="Times New Roman" w:cs="Times New Roman"/>
          <w:b/>
          <w:sz w:val="24"/>
          <w:szCs w:val="24"/>
        </w:rPr>
        <w:t>articolo</w:t>
      </w:r>
      <w:r w:rsidRPr="000A2273">
        <w:rPr>
          <w:rFonts w:ascii="Times New Roman" w:hAnsi="Times New Roman" w:cs="Times New Roman"/>
          <w:sz w:val="24"/>
          <w:szCs w:val="24"/>
        </w:rPr>
        <w:t xml:space="preserve"> </w:t>
      </w:r>
      <w:r w:rsidRPr="000A2273">
        <w:rPr>
          <w:rFonts w:ascii="Times New Roman" w:hAnsi="Times New Roman" w:cs="Times New Roman"/>
          <w:b/>
          <w:sz w:val="24"/>
          <w:szCs w:val="24"/>
        </w:rPr>
        <w:t xml:space="preserve">16 del </w:t>
      </w:r>
      <w:proofErr w:type="spellStart"/>
      <w:r w:rsidRPr="000A2273">
        <w:rPr>
          <w:rFonts w:ascii="Times New Roman" w:hAnsi="Times New Roman" w:cs="Times New Roman"/>
          <w:b/>
          <w:sz w:val="24"/>
          <w:szCs w:val="24"/>
        </w:rPr>
        <w:t>d.P.R.</w:t>
      </w:r>
      <w:proofErr w:type="spellEnd"/>
      <w:r w:rsidRPr="000A2273">
        <w:rPr>
          <w:rFonts w:ascii="Times New Roman" w:hAnsi="Times New Roman" w:cs="Times New Roman"/>
          <w:b/>
          <w:sz w:val="24"/>
          <w:szCs w:val="24"/>
        </w:rPr>
        <w:t xml:space="preserve"> n. 380/2001</w:t>
      </w:r>
      <w:r w:rsidRPr="000A2273">
        <w:rPr>
          <w:rFonts w:ascii="Times New Roman" w:hAnsi="Times New Roman" w:cs="Times New Roman"/>
          <w:sz w:val="24"/>
          <w:szCs w:val="24"/>
        </w:rPr>
        <w:t xml:space="preserve"> che ha subito nel corso degli ultimi anni diversi aggiustamenti soprattutto per mano della legge n. 164/2014</w:t>
      </w:r>
      <w:r w:rsidRPr="000A2273">
        <w:rPr>
          <w:rStyle w:val="Rimandonotaapidipagina"/>
          <w:rFonts w:ascii="Times New Roman" w:hAnsi="Times New Roman"/>
          <w:sz w:val="24"/>
          <w:szCs w:val="24"/>
        </w:rPr>
        <w:footnoteReference w:id="3"/>
      </w:r>
      <w:r w:rsidRPr="000A2273">
        <w:rPr>
          <w:rFonts w:ascii="Times New Roman" w:hAnsi="Times New Roman" w:cs="Times New Roman"/>
          <w:sz w:val="24"/>
          <w:szCs w:val="24"/>
        </w:rPr>
        <w:t>.</w:t>
      </w:r>
    </w:p>
    <w:p w:rsidR="006E1C24" w:rsidRPr="000A2273" w:rsidRDefault="00720F84" w:rsidP="006E1C24">
      <w:pPr>
        <w:pStyle w:val="para"/>
        <w:spacing w:before="85"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&lt;/rubrica&gt;&lt;testo&gt;&lt;para&gt;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L'art. 16, comma 1, del </w:t>
      </w:r>
      <w:proofErr w:type="spellStart"/>
      <w:r w:rsidR="006E1C24" w:rsidRPr="000A2273">
        <w:rPr>
          <w:rFonts w:ascii="Times New Roman" w:hAnsi="Times New Roman" w:cs="Times New Roman"/>
          <w:sz w:val="24"/>
          <w:szCs w:val="24"/>
        </w:rPr>
        <w:t>d.P.R.</w:t>
      </w:r>
      <w:proofErr w:type="spellEnd"/>
      <w:r w:rsidR="006E1C24" w:rsidRPr="000A2273">
        <w:rPr>
          <w:rFonts w:ascii="Times New Roman" w:hAnsi="Times New Roman" w:cs="Times New Roman"/>
          <w:sz w:val="24"/>
          <w:szCs w:val="24"/>
        </w:rPr>
        <w:t xml:space="preserve"> n. 380/2001</w:t>
      </w:r>
      <w:r w:rsidR="006E1C24" w:rsidRPr="000A2273">
        <w:rPr>
          <w:rStyle w:val="Rimandonotaapidipagina"/>
          <w:rFonts w:ascii="Times New Roman" w:hAnsi="Times New Roman"/>
          <w:b/>
          <w:sz w:val="24"/>
          <w:szCs w:val="24"/>
        </w:rPr>
        <w:footnoteReference w:id="4"/>
      </w:r>
      <w:r w:rsidR="006E1C24" w:rsidRPr="000A2273">
        <w:rPr>
          <w:rFonts w:ascii="Times New Roman" w:hAnsi="Times New Roman" w:cs="Times New Roman"/>
          <w:sz w:val="24"/>
          <w:szCs w:val="24"/>
        </w:rPr>
        <w:t xml:space="preserve"> subordina, in generale, il rilascio del permesso di costruire alla corresponsione di un contributo commisurato ad un duplice parametro: </w:t>
      </w:r>
      <w:r w:rsidR="006E1C24" w:rsidRPr="000A2273">
        <w:rPr>
          <w:rFonts w:ascii="Times New Roman" w:hAnsi="Times New Roman" w:cs="Times New Roman"/>
          <w:b/>
          <w:sz w:val="24"/>
          <w:szCs w:val="24"/>
        </w:rPr>
        <w:t>l'incidenza degli oneri di urbanizzazione, il costo di costruzione</w:t>
      </w:r>
      <w:r w:rsidR="006E1C24" w:rsidRPr="000A2273">
        <w:rPr>
          <w:rFonts w:ascii="Times New Roman" w:hAnsi="Times New Roman" w:cs="Times New Roman"/>
          <w:sz w:val="24"/>
          <w:szCs w:val="24"/>
        </w:rPr>
        <w:t>.</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lastRenderedPageBreak/>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Il comma 2 stabilisce che la quota di contributo relativa agli oneri di urbanizzazione è corrisposta al Comune al momento del rilascio del permesso di costruire. L'interessato può esercitare alcune facoltà: richiederne la rateizzazione ovvero, in via alternativa ed a scomputo totale o parziale della quota dovuta, obbligarsi a realizzare direttamente le “</w:t>
      </w:r>
      <w:r w:rsidR="006E1C24" w:rsidRPr="000A2273">
        <w:rPr>
          <w:rFonts w:ascii="Times New Roman" w:hAnsi="Times New Roman" w:cs="Times New Roman"/>
          <w:b/>
          <w:sz w:val="24"/>
          <w:szCs w:val="24"/>
        </w:rPr>
        <w:t>opere di urbanizzazione</w:t>
      </w:r>
      <w:r w:rsidR="006E1C24" w:rsidRPr="000A2273">
        <w:rPr>
          <w:rFonts w:ascii="Times New Roman" w:hAnsi="Times New Roman" w:cs="Times New Roman"/>
          <w:sz w:val="24"/>
          <w:szCs w:val="24"/>
        </w:rPr>
        <w:t>”. Con tale espressione si indica l’insieme delle opere e degli impianti necessari a rendere una porzione di territorio idonea ad essere effettivamente utilizzata con le destinazioni stabilite dagli strumenti urbanistici vigenti.</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Fu per prima la fondamentale “</w:t>
      </w:r>
      <w:r w:rsidRPr="000A2273">
        <w:rPr>
          <w:rFonts w:ascii="Times New Roman" w:hAnsi="Times New Roman" w:cs="Times New Roman"/>
          <w:b/>
          <w:sz w:val="24"/>
          <w:szCs w:val="24"/>
        </w:rPr>
        <w:t>Legge Urbanistica” – L. n. 1150/1942</w:t>
      </w:r>
      <w:r w:rsidRPr="000A2273">
        <w:rPr>
          <w:rFonts w:ascii="Times New Roman" w:hAnsi="Times New Roman" w:cs="Times New Roman"/>
          <w:sz w:val="24"/>
          <w:szCs w:val="24"/>
        </w:rPr>
        <w:t xml:space="preserve"> – a legare in via indissolubile l’attività edilizia al compimento delle opere di urbanizzazione primaria; l’art. 31 prescriveva infatti che la concessione della licenza fosse comunque sempre subordinata all’esistenza delle opere di urbanizzazione primaria o alla previsione da parte dei Comuni dell'attuazione delle stesse nel successivo triennio o all'impegno dei privati di procedere all'attuazione delle medesime contemporaneamente alle costruzioni oggetto della licenza. Il Legislatore aveva quindi voluto evitare che vi fossero costruzioni a vantaggio dei privati senza che si provvedesse a fornire contestualmente il contiguo territorio pubblico delle necessarie infrastrutture a vantaggio della collettività.</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Riguardo a tali opere,</w:t>
      </w:r>
      <w:r w:rsidRPr="000A2273">
        <w:rPr>
          <w:rFonts w:ascii="Times New Roman" w:hAnsi="Times New Roman" w:cs="Times New Roman"/>
          <w:b/>
          <w:sz w:val="24"/>
          <w:szCs w:val="24"/>
        </w:rPr>
        <w:t xml:space="preserve"> l’art. 4 della legge 29 settembre 1964, n. 847</w:t>
      </w:r>
      <w:r w:rsidRPr="000A2273">
        <w:rPr>
          <w:rStyle w:val="Rimandonotaapidipagina"/>
          <w:rFonts w:ascii="Times New Roman" w:hAnsi="Times New Roman"/>
          <w:b/>
          <w:sz w:val="24"/>
          <w:szCs w:val="24"/>
        </w:rPr>
        <w:footnoteReference w:id="5"/>
      </w:r>
      <w:r w:rsidRPr="000A2273">
        <w:rPr>
          <w:rFonts w:ascii="Times New Roman" w:hAnsi="Times New Roman" w:cs="Times New Roman"/>
          <w:sz w:val="24"/>
          <w:szCs w:val="24"/>
        </w:rPr>
        <w:t xml:space="preserve"> – modificato dall'articolo 44 della legge 22 ottobre 1971, n. 865 e la cui permanenza in vigore è stata dichiarata indispensabile dall’art. 1, comma 1, d.lgs. n. 179/2009 - distingue più precisamente tra opere di urbanizzazione </w:t>
      </w:r>
      <w:r w:rsidRPr="000A2273">
        <w:rPr>
          <w:rFonts w:ascii="Times New Roman" w:hAnsi="Times New Roman" w:cs="Times New Roman"/>
          <w:b/>
          <w:sz w:val="24"/>
          <w:szCs w:val="24"/>
        </w:rPr>
        <w:t>primaria</w:t>
      </w:r>
      <w:r w:rsidRPr="000A2273">
        <w:rPr>
          <w:rFonts w:ascii="Times New Roman" w:hAnsi="Times New Roman" w:cs="Times New Roman"/>
          <w:sz w:val="24"/>
          <w:szCs w:val="24"/>
        </w:rPr>
        <w:t xml:space="preserve"> ed opere di urbanizzazione </w:t>
      </w:r>
      <w:r w:rsidRPr="000A2273">
        <w:rPr>
          <w:rFonts w:ascii="Times New Roman" w:hAnsi="Times New Roman" w:cs="Times New Roman"/>
          <w:b/>
          <w:sz w:val="24"/>
          <w:szCs w:val="24"/>
        </w:rPr>
        <w:t>secondaria</w:t>
      </w:r>
      <w:r w:rsidRPr="000A2273">
        <w:rPr>
          <w:rFonts w:ascii="Times New Roman" w:hAnsi="Times New Roman" w:cs="Times New Roman"/>
          <w:sz w:val="24"/>
          <w:szCs w:val="24"/>
        </w:rPr>
        <w:t>.</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Sono primarie, le seguenti opere:</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a) strade residenziali;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b) spazi di sosta o di parcheggio;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c) fognature;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d) rete idrica;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e) rete di distribuzione dell'energia elettrica e del gas;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f) pubblica illuminazione;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g) spazi di verde attrezzato.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h) infrastrutture di reti pubbliche di comunicazione, di cui agli articoli 87 e 88 del codice delle comunicazioni elettroniche, di cui al decreto legislativo 1º agosto 2003, n. 259, e successive modificazioni, e opere di infrastrutturazione per la realizzazione delle reti di comunicazione elettronica ad alta velocità in fibra ottica in grado di fornire servizi di accesso a banda </w:t>
      </w:r>
      <w:proofErr w:type="spellStart"/>
      <w:r w:rsidRPr="000A2273">
        <w:rPr>
          <w:rFonts w:ascii="Times New Roman" w:hAnsi="Times New Roman" w:cs="Times New Roman"/>
          <w:sz w:val="24"/>
          <w:szCs w:val="24"/>
        </w:rPr>
        <w:t>ultralarga</w:t>
      </w:r>
      <w:proofErr w:type="spellEnd"/>
      <w:r w:rsidRPr="000A2273">
        <w:rPr>
          <w:rFonts w:ascii="Times New Roman" w:hAnsi="Times New Roman" w:cs="Times New Roman"/>
          <w:sz w:val="24"/>
          <w:szCs w:val="24"/>
        </w:rPr>
        <w:t xml:space="preserve"> effettuate anche all'interno degli edifici</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Sono secondarie, le seguenti opere:</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a) asili nido e scuole materne;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b) scuole dell'obbligo nonché strutture e complessi per l'istruzione superiore all'obbligo;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c) mercati di quartiere;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d) delegazioni comunali;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lastRenderedPageBreak/>
        <w:t xml:space="preserve">e) chiese ed altri edifici religiosi;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f) impianti sportivi di quartiere;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g) centri sociali e attrezzature culturali e sanitarie;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h) aree verdi di quartiere.</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La distinzione tra opere di urbanizzazione primaria e secondaria, pur con qualche differenza riguardo all’elenco, è confermata dall’art. 16 </w:t>
      </w:r>
      <w:proofErr w:type="spellStart"/>
      <w:r w:rsidRPr="000A2273">
        <w:rPr>
          <w:rFonts w:ascii="Times New Roman" w:hAnsi="Times New Roman" w:cs="Times New Roman"/>
          <w:sz w:val="24"/>
          <w:szCs w:val="24"/>
        </w:rPr>
        <w:t>d.P.R.</w:t>
      </w:r>
      <w:proofErr w:type="spellEnd"/>
      <w:r w:rsidRPr="000A2273">
        <w:rPr>
          <w:rFonts w:ascii="Times New Roman" w:hAnsi="Times New Roman" w:cs="Times New Roman"/>
          <w:sz w:val="24"/>
          <w:szCs w:val="24"/>
        </w:rPr>
        <w:t xml:space="preserve"> 380/2001 che - ai commi 7, 7-</w:t>
      </w:r>
      <w:r w:rsidRPr="000A2273">
        <w:rPr>
          <w:rFonts w:ascii="Times New Roman" w:hAnsi="Times New Roman" w:cs="Times New Roman"/>
          <w:i/>
          <w:sz w:val="24"/>
          <w:szCs w:val="24"/>
        </w:rPr>
        <w:t>bis</w:t>
      </w:r>
      <w:r w:rsidRPr="000A2273">
        <w:rPr>
          <w:rFonts w:ascii="Times New Roman" w:hAnsi="Times New Roman" w:cs="Times New Roman"/>
          <w:sz w:val="24"/>
          <w:szCs w:val="24"/>
        </w:rPr>
        <w:t xml:space="preserve"> ed 8 - indica gli interventi rilevanti ai fini del pagamento dei relativi oneri di urbanizzazione.</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L’elenco lascia intendere che trattasi di opere pubbliche realizzate in conseguenza ed in relazione ad un intervento edificatorio privato (anche con cambio di destinazione d’uso), di opere pubbliche di iniziativa privata o di interesse pubblico.</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Sul presupposto che ogni attività comportante trasformazione urbanistica ed edilizia del territorio comunale dovesse partecipare agli oneri ad essa connessi, </w:t>
      </w:r>
      <w:r w:rsidRPr="000A2273">
        <w:rPr>
          <w:rFonts w:ascii="Times New Roman" w:hAnsi="Times New Roman" w:cs="Times New Roman"/>
          <w:b/>
          <w:sz w:val="24"/>
          <w:szCs w:val="24"/>
        </w:rPr>
        <w:t>l’art. 3 L. n. 10/1977</w:t>
      </w:r>
      <w:r w:rsidRPr="000A2273">
        <w:rPr>
          <w:rStyle w:val="Rimandonotaapidipagina"/>
          <w:rFonts w:ascii="Times New Roman" w:hAnsi="Times New Roman"/>
          <w:b/>
          <w:sz w:val="24"/>
          <w:szCs w:val="24"/>
        </w:rPr>
        <w:footnoteReference w:id="6"/>
      </w:r>
      <w:r w:rsidRPr="000A2273">
        <w:rPr>
          <w:rFonts w:ascii="Times New Roman" w:hAnsi="Times New Roman" w:cs="Times New Roman"/>
          <w:sz w:val="24"/>
          <w:szCs w:val="24"/>
        </w:rPr>
        <w:t xml:space="preserve"> prevedeva, in seguito, che il rilascio della concessione edilizia fosse subordinato al pagamento di un contributo commisurato all’incidenza delle spese di urbanizzazione nonché al costo di costruzione.</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b/>
          <w:sz w:val="24"/>
          <w:szCs w:val="24"/>
        </w:rPr>
        <w:t>L’art. 5 L. n. 10/1977</w:t>
      </w:r>
      <w:r w:rsidRPr="000A2273">
        <w:rPr>
          <w:rFonts w:ascii="Times New Roman" w:hAnsi="Times New Roman" w:cs="Times New Roman"/>
          <w:sz w:val="24"/>
          <w:szCs w:val="24"/>
        </w:rPr>
        <w:t xml:space="preserve"> fissava i criteri di incidenza degli oneri di urbanizzazione che ciascun comune avrebbe dovuto adottare con deliberazione del consiglio in base a tabelle</w:t>
      </w:r>
      <w:r w:rsidR="009D1432">
        <w:rPr>
          <w:rFonts w:ascii="Times New Roman" w:hAnsi="Times New Roman" w:cs="Times New Roman"/>
          <w:sz w:val="24"/>
          <w:szCs w:val="24"/>
        </w:rPr>
        <w:t xml:space="preserve"> parametriche definite da ogni r</w:t>
      </w:r>
      <w:r w:rsidRPr="000A2273">
        <w:rPr>
          <w:rFonts w:ascii="Times New Roman" w:hAnsi="Times New Roman" w:cs="Times New Roman"/>
          <w:sz w:val="24"/>
          <w:szCs w:val="24"/>
        </w:rPr>
        <w:t>egione per classi di comuni</w:t>
      </w:r>
      <w:r w:rsidRPr="000A2273">
        <w:rPr>
          <w:rStyle w:val="Rimandonotaapidipagina"/>
          <w:rFonts w:ascii="Times New Roman" w:hAnsi="Times New Roman"/>
          <w:sz w:val="24"/>
          <w:szCs w:val="24"/>
        </w:rPr>
        <w:footnoteReference w:id="7"/>
      </w:r>
      <w:r w:rsidRPr="000A2273">
        <w:rPr>
          <w:rFonts w:ascii="Times New Roman" w:hAnsi="Times New Roman" w:cs="Times New Roman"/>
          <w:sz w:val="24"/>
          <w:szCs w:val="24"/>
        </w:rPr>
        <w:t xml:space="preserv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Importante rammentare che l</w:t>
      </w:r>
      <w:r w:rsidRPr="000A2273">
        <w:rPr>
          <w:rFonts w:ascii="Times New Roman" w:hAnsi="Times New Roman" w:cs="Times New Roman"/>
          <w:b/>
          <w:sz w:val="24"/>
          <w:szCs w:val="24"/>
        </w:rPr>
        <w:t>’art. 11 L. n. 10/1977</w:t>
      </w:r>
      <w:r w:rsidRPr="000A2273">
        <w:rPr>
          <w:rFonts w:ascii="Times New Roman" w:hAnsi="Times New Roman" w:cs="Times New Roman"/>
          <w:sz w:val="24"/>
          <w:szCs w:val="24"/>
        </w:rPr>
        <w:t xml:space="preserve"> riconosceva al privato costruttore la </w:t>
      </w:r>
      <w:proofErr w:type="gramStart"/>
      <w:r w:rsidRPr="000A2273">
        <w:rPr>
          <w:rFonts w:ascii="Times New Roman" w:hAnsi="Times New Roman" w:cs="Times New Roman"/>
          <w:sz w:val="24"/>
          <w:szCs w:val="24"/>
        </w:rPr>
        <w:t>facoltà  di</w:t>
      </w:r>
      <w:proofErr w:type="gramEnd"/>
      <w:r w:rsidRPr="000A2273">
        <w:rPr>
          <w:rFonts w:ascii="Times New Roman" w:hAnsi="Times New Roman" w:cs="Times New Roman"/>
          <w:sz w:val="24"/>
          <w:szCs w:val="24"/>
        </w:rPr>
        <w:t xml:space="preserve"> scegliere se versare il contributo dovuto per gli oneri di urbanizzazione ovvero, con il consenso del Comune ed a “scomputo” di tali oneri, obbligarsi a realizzare direttamente le opere di urbanizzazione, prestando per questo fidejussione a garanzia della quota di oneri “a scomputo”, con le modalità stabilite dall’amministrazione comunale interessata.</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Con l’entrata in vigore del TUE, l’art. 16 </w:t>
      </w:r>
      <w:proofErr w:type="spellStart"/>
      <w:r w:rsidRPr="000A2273">
        <w:rPr>
          <w:rFonts w:ascii="Times New Roman" w:hAnsi="Times New Roman" w:cs="Times New Roman"/>
          <w:sz w:val="24"/>
          <w:szCs w:val="24"/>
        </w:rPr>
        <w:t>d.P.R.</w:t>
      </w:r>
      <w:proofErr w:type="spellEnd"/>
      <w:r w:rsidRPr="000A2273">
        <w:rPr>
          <w:rFonts w:ascii="Times New Roman" w:hAnsi="Times New Roman" w:cs="Times New Roman"/>
          <w:sz w:val="24"/>
          <w:szCs w:val="24"/>
        </w:rPr>
        <w:t xml:space="preserve"> 380/2001, nella sua originaria formulazione, precisava che, a scomputo totale o parziale della quota dovuta a titolo di oneri di urbanizzazione, “(…) </w:t>
      </w:r>
      <w:r w:rsidRPr="000A2273">
        <w:rPr>
          <w:rFonts w:ascii="Times New Roman" w:hAnsi="Times New Roman" w:cs="Times New Roman"/>
          <w:i/>
          <w:sz w:val="24"/>
          <w:szCs w:val="24"/>
        </w:rPr>
        <w:t>il titolare del permesso può obbligarsi a realizzare direttamente le opere di urbanizzazione con le modalità e le garanzie stabilite dal comune, con conseguente acquisizione delle opere realizzate al patrimonio indisponibile del comune</w:t>
      </w:r>
      <w:r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Non poteva tuttavia sfuggire che gli interventi eseguiti a proprio carico dal titolare del permesso, a compensazione o “scomputo” degli oneri, costituivano a tutti gli effetti opere pubbliche, sia per il profilo oggettivo, perché rivolte alla collettività, sia per quello soggettivo, trattandosi di strutture ed impianti che l'amministrazione comunale acquisisce al proprio patrimonio indisponibile.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Ciò poneva un delicato problema di compatibilità tra una norma che consentiva un accordo tra titolare del permesso ed amministrazione, per realizzare le cd “opere a scomputo”, e la normativa europea che avrebbe imposto per quelle stesse opere il ricorso alle procedure di evidenza pubblica per l'affidamento dei relativi lavori</w:t>
      </w:r>
      <w:r w:rsidR="006E1C24" w:rsidRPr="000A2273">
        <w:rPr>
          <w:rStyle w:val="Rimandonotaapidipagina"/>
          <w:rFonts w:ascii="Times New Roman" w:hAnsi="Times New Roman"/>
          <w:sz w:val="24"/>
          <w:szCs w:val="24"/>
        </w:rPr>
        <w:footnoteReference w:id="8"/>
      </w:r>
      <w:r w:rsidR="006E1C24" w:rsidRPr="000A2273">
        <w:rPr>
          <w:rFonts w:ascii="Times New Roman" w:hAnsi="Times New Roman" w:cs="Times New Roman"/>
          <w:sz w:val="24"/>
          <w:szCs w:val="24"/>
        </w:rPr>
        <w:t>.</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Non tardò a questo punto l’intervento della </w:t>
      </w:r>
      <w:r w:rsidRPr="000A2273">
        <w:rPr>
          <w:rFonts w:ascii="Times New Roman" w:hAnsi="Times New Roman" w:cs="Times New Roman"/>
          <w:b/>
          <w:sz w:val="24"/>
          <w:szCs w:val="24"/>
        </w:rPr>
        <w:t>Corte di giustizia U.E.</w:t>
      </w:r>
      <w:r w:rsidRPr="000A2273">
        <w:rPr>
          <w:rFonts w:ascii="Times New Roman" w:hAnsi="Times New Roman" w:cs="Times New Roman"/>
          <w:sz w:val="24"/>
          <w:szCs w:val="24"/>
        </w:rPr>
        <w:t xml:space="preserve"> che, con la </w:t>
      </w:r>
      <w:r w:rsidRPr="000A2273">
        <w:rPr>
          <w:rFonts w:ascii="Times New Roman" w:hAnsi="Times New Roman" w:cs="Times New Roman"/>
          <w:b/>
          <w:sz w:val="24"/>
          <w:szCs w:val="24"/>
        </w:rPr>
        <w:t>sentenza n. C-399/98 del 21 luglio 2001 (Caso cd. “Bicocca”)</w:t>
      </w:r>
      <w:r w:rsidRPr="000A2273">
        <w:rPr>
          <w:rStyle w:val="Rimandonotaapidipagina"/>
          <w:rFonts w:ascii="Times New Roman" w:hAnsi="Times New Roman"/>
          <w:b/>
          <w:sz w:val="24"/>
          <w:szCs w:val="24"/>
        </w:rPr>
        <w:footnoteReference w:id="9"/>
      </w:r>
      <w:r w:rsidRPr="000A2273">
        <w:rPr>
          <w:rFonts w:ascii="Times New Roman" w:hAnsi="Times New Roman" w:cs="Times New Roman"/>
          <w:sz w:val="24"/>
          <w:szCs w:val="24"/>
        </w:rPr>
        <w:t>, statuì che la realizzazione delle opere di urbanizzazione a scomputo doveva essere assoggettata alle normative europee in tema di procedure di evidenza pubblica.</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La Corte di giustizia dettò alcuni criteri di massima:</w:t>
      </w:r>
    </w:p>
    <w:p w:rsidR="006E1C24" w:rsidRPr="000A2273" w:rsidRDefault="006E1C24" w:rsidP="006E1C24">
      <w:pPr>
        <w:pStyle w:val="para"/>
        <w:numPr>
          <w:ilvl w:val="0"/>
          <w:numId w:val="1"/>
        </w:numPr>
        <w:spacing w:line="256" w:lineRule="exact"/>
        <w:rPr>
          <w:rFonts w:ascii="Times New Roman" w:hAnsi="Times New Roman" w:cs="Times New Roman"/>
          <w:sz w:val="24"/>
          <w:szCs w:val="24"/>
        </w:rPr>
      </w:pPr>
      <w:proofErr w:type="gramStart"/>
      <w:r w:rsidRPr="000A2273">
        <w:rPr>
          <w:rFonts w:ascii="Times New Roman" w:hAnsi="Times New Roman" w:cs="Times New Roman"/>
          <w:sz w:val="24"/>
          <w:szCs w:val="24"/>
        </w:rPr>
        <w:t>le</w:t>
      </w:r>
      <w:proofErr w:type="gramEnd"/>
      <w:r w:rsidRPr="000A2273">
        <w:rPr>
          <w:rFonts w:ascii="Times New Roman" w:hAnsi="Times New Roman" w:cs="Times New Roman"/>
          <w:sz w:val="24"/>
          <w:szCs w:val="24"/>
        </w:rPr>
        <w:t xml:space="preserve"> opere di urbanizzazione sono a tutti gli effetti “opere pubbliche”, perché strumentali alla programmazione urbanistica comunale. </w:t>
      </w:r>
    </w:p>
    <w:p w:rsidR="006E1C24" w:rsidRPr="000A2273" w:rsidRDefault="006E1C24" w:rsidP="006E1C24">
      <w:pPr>
        <w:pStyle w:val="para"/>
        <w:numPr>
          <w:ilvl w:val="0"/>
          <w:numId w:val="1"/>
        </w:numPr>
        <w:spacing w:line="256" w:lineRule="exact"/>
        <w:rPr>
          <w:rFonts w:ascii="Times New Roman" w:hAnsi="Times New Roman" w:cs="Times New Roman"/>
          <w:sz w:val="24"/>
          <w:szCs w:val="24"/>
        </w:rPr>
      </w:pPr>
      <w:proofErr w:type="gramStart"/>
      <w:r w:rsidRPr="000A2273">
        <w:rPr>
          <w:rFonts w:ascii="Times New Roman" w:hAnsi="Times New Roman" w:cs="Times New Roman"/>
          <w:sz w:val="24"/>
          <w:szCs w:val="24"/>
        </w:rPr>
        <w:t>non</w:t>
      </w:r>
      <w:proofErr w:type="gramEnd"/>
      <w:r w:rsidRPr="000A2273">
        <w:rPr>
          <w:rFonts w:ascii="Times New Roman" w:hAnsi="Times New Roman" w:cs="Times New Roman"/>
          <w:sz w:val="24"/>
          <w:szCs w:val="24"/>
        </w:rPr>
        <w:t xml:space="preserve"> vanno escluse le opere di urbanizzazione accedenti ad una convenzione di lottizzazione avviata da un privato con l’amministrazione comunale, perché per quanto funzionali alla lottizzazione sono comunque a beneficio della collettività; </w:t>
      </w:r>
    </w:p>
    <w:p w:rsidR="006E1C24" w:rsidRPr="000A2273" w:rsidRDefault="006E1C24" w:rsidP="006E1C24">
      <w:pPr>
        <w:pStyle w:val="para"/>
        <w:numPr>
          <w:ilvl w:val="0"/>
          <w:numId w:val="1"/>
        </w:numPr>
        <w:spacing w:line="256" w:lineRule="exact"/>
        <w:rPr>
          <w:rFonts w:ascii="Times New Roman" w:hAnsi="Times New Roman" w:cs="Times New Roman"/>
          <w:sz w:val="24"/>
          <w:szCs w:val="24"/>
        </w:rPr>
      </w:pPr>
      <w:proofErr w:type="gramStart"/>
      <w:r w:rsidRPr="000A2273">
        <w:rPr>
          <w:rFonts w:ascii="Times New Roman" w:hAnsi="Times New Roman" w:cs="Times New Roman"/>
          <w:sz w:val="24"/>
          <w:szCs w:val="24"/>
        </w:rPr>
        <w:lastRenderedPageBreak/>
        <w:t>né</w:t>
      </w:r>
      <w:proofErr w:type="gramEnd"/>
      <w:r w:rsidRPr="000A2273">
        <w:rPr>
          <w:rFonts w:ascii="Times New Roman" w:hAnsi="Times New Roman" w:cs="Times New Roman"/>
          <w:sz w:val="24"/>
          <w:szCs w:val="24"/>
        </w:rPr>
        <w:t xml:space="preserve"> vanno escluse le opere di urbanizzazione realizzate “</w:t>
      </w:r>
      <w:r w:rsidRPr="000A2273">
        <w:rPr>
          <w:rFonts w:ascii="Times New Roman" w:hAnsi="Times New Roman" w:cs="Times New Roman"/>
          <w:i/>
          <w:sz w:val="24"/>
          <w:szCs w:val="24"/>
        </w:rPr>
        <w:t>extra standard</w:t>
      </w:r>
      <w:r w:rsidRPr="000A2273">
        <w:rPr>
          <w:rFonts w:ascii="Times New Roman" w:hAnsi="Times New Roman" w:cs="Times New Roman"/>
          <w:sz w:val="24"/>
          <w:szCs w:val="24"/>
        </w:rPr>
        <w:t xml:space="preserve">”, cioè in misura eccedente rispetto a quella prevista dalle tabelle comunali, al fine di ottenere cubature premiali. In questi casi, infatti, secondo l’opinione della Corte, il cd “premio di cubatura” costituisce pur sempre la controprestazione di origine pubblicistica, assimilabile ad un vero e proprio “contributo” di natura pubblica, attribuita al privato costruttore. </w:t>
      </w:r>
    </w:p>
    <w:p w:rsidR="006E1C24" w:rsidRPr="000A2273" w:rsidRDefault="006E1C24" w:rsidP="006E1C24">
      <w:pPr>
        <w:pStyle w:val="para"/>
        <w:numPr>
          <w:ilvl w:val="0"/>
          <w:numId w:val="1"/>
        </w:numPr>
        <w:spacing w:line="256" w:lineRule="exact"/>
        <w:rPr>
          <w:rFonts w:ascii="Times New Roman" w:hAnsi="Times New Roman" w:cs="Times New Roman"/>
          <w:sz w:val="24"/>
          <w:szCs w:val="24"/>
        </w:rPr>
      </w:pPr>
      <w:proofErr w:type="gramStart"/>
      <w:r w:rsidRPr="000A2273">
        <w:rPr>
          <w:rFonts w:ascii="Times New Roman" w:hAnsi="Times New Roman" w:cs="Times New Roman"/>
          <w:sz w:val="24"/>
          <w:szCs w:val="24"/>
        </w:rPr>
        <w:t>non</w:t>
      </w:r>
      <w:proofErr w:type="gramEnd"/>
      <w:r w:rsidRPr="000A2273">
        <w:rPr>
          <w:rFonts w:ascii="Times New Roman" w:hAnsi="Times New Roman" w:cs="Times New Roman"/>
          <w:sz w:val="24"/>
          <w:szCs w:val="24"/>
        </w:rPr>
        <w:t xml:space="preserve"> ha alcun rilievo la distinzione distingue tra opere di urbanizzazione primaria e secondaria, in quanto entrambe costituiscono opere pubbliche. </w:t>
      </w:r>
    </w:p>
    <w:p w:rsidR="006E1C24" w:rsidRPr="000A2273" w:rsidRDefault="006E1C24" w:rsidP="006E1C24">
      <w:pPr>
        <w:pStyle w:val="para"/>
        <w:spacing w:line="256" w:lineRule="exact"/>
        <w:ind w:firstLine="426"/>
        <w:rPr>
          <w:rFonts w:ascii="Times New Roman" w:hAnsi="Times New Roman" w:cs="Times New Roman"/>
          <w:sz w:val="24"/>
          <w:szCs w:val="24"/>
        </w:rPr>
      </w:pPr>
      <w:r w:rsidRPr="000A2273">
        <w:rPr>
          <w:rFonts w:ascii="Times New Roman" w:hAnsi="Times New Roman" w:cs="Times New Roman"/>
          <w:sz w:val="24"/>
          <w:szCs w:val="24"/>
        </w:rPr>
        <w:t>In altri termini, deve essere applicata la disciplina dell’evidenza pubblica laddove il valore delle opere eguagli o superi la soglia comunitaria; ai fini del calcolo, occorre considerare l’investimento complessivo (quindi il costo sia delle opere di urbanizzazione primaria, sia di quelle di urbanizzazione secondarie)</w:t>
      </w:r>
      <w:r w:rsidR="009D1432">
        <w:rPr>
          <w:rFonts w:ascii="Times New Roman" w:hAnsi="Times New Roman" w:cs="Times New Roman"/>
          <w:sz w:val="24"/>
          <w:szCs w:val="24"/>
        </w:rPr>
        <w:t>,</w:t>
      </w:r>
      <w:r w:rsidRPr="000A2273">
        <w:rPr>
          <w:rFonts w:ascii="Times New Roman" w:hAnsi="Times New Roman" w:cs="Times New Roman"/>
          <w:sz w:val="24"/>
          <w:szCs w:val="24"/>
        </w:rPr>
        <w:t xml:space="preserve"> fermo restando il divieto di procedere alla suddivisione in lotti allo</w:t>
      </w:r>
      <w:r w:rsidRPr="000A2273">
        <w:rPr>
          <w:rStyle w:val="Rimandonotaapidipagina"/>
          <w:rFonts w:ascii="Times New Roman" w:hAnsi="Times New Roman"/>
          <w:sz w:val="24"/>
          <w:szCs w:val="24"/>
        </w:rPr>
        <w:footnoteReference w:id="10"/>
      </w:r>
      <w:r w:rsidRPr="000A2273">
        <w:rPr>
          <w:rFonts w:ascii="Times New Roman" w:hAnsi="Times New Roman" w:cs="Times New Roman"/>
          <w:sz w:val="24"/>
          <w:szCs w:val="24"/>
        </w:rPr>
        <w:t xml:space="preserve"> scopo di eludere l’obbligo dell’evidenza pubblica.</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L’intervento della Corte di giustizia sollecitò una modifica, ad opera del d.lgs. 301/2002, dell’art. 16 </w:t>
      </w:r>
      <w:proofErr w:type="spellStart"/>
      <w:r w:rsidRPr="000A2273">
        <w:rPr>
          <w:rFonts w:ascii="Times New Roman" w:hAnsi="Times New Roman" w:cs="Times New Roman"/>
          <w:sz w:val="24"/>
          <w:szCs w:val="24"/>
        </w:rPr>
        <w:t>d.P.R.</w:t>
      </w:r>
      <w:proofErr w:type="spellEnd"/>
      <w:r w:rsidRPr="000A2273">
        <w:rPr>
          <w:rFonts w:ascii="Times New Roman" w:hAnsi="Times New Roman" w:cs="Times New Roman"/>
          <w:sz w:val="24"/>
          <w:szCs w:val="24"/>
        </w:rPr>
        <w:t xml:space="preserve"> 380/2001 che, da quel momento, chiarì che il titolare del permesso - a scomputo totale o parziale della quota dovuta relativa agli oneri di urbanizzazione - può obbligarsi a realizzare direttamente le opere di urbanizzazione, nel rispetto dell'articolo 2, comma 5, della legge 11 febbraio 1994, n. 109</w:t>
      </w:r>
      <w:r w:rsidRPr="000A2273">
        <w:rPr>
          <w:rStyle w:val="Rimandonotaapidipagina"/>
          <w:rFonts w:ascii="Times New Roman" w:hAnsi="Times New Roman"/>
          <w:sz w:val="24"/>
          <w:szCs w:val="24"/>
        </w:rPr>
        <w:footnoteReference w:id="11"/>
      </w:r>
      <w:r w:rsidRPr="000A2273">
        <w:rPr>
          <w:rFonts w:ascii="Times New Roman" w:hAnsi="Times New Roman" w:cs="Times New Roman"/>
          <w:sz w:val="24"/>
          <w:szCs w:val="24"/>
        </w:rPr>
        <w:t>, e successive modificazioni, con le modalità e le garanzie stabilite dal comune, con conseguente acquisizione delle opere realizzate al patrimonio indisponibile del comune.</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Si rammenta che l'art. 2, comma 5, della l. 11 febbraio 1994, n. 109 (cd. </w:t>
      </w:r>
      <w:proofErr w:type="gramStart"/>
      <w:r w:rsidRPr="000A2273">
        <w:rPr>
          <w:rFonts w:ascii="Times New Roman" w:hAnsi="Times New Roman" w:cs="Times New Roman"/>
          <w:sz w:val="24"/>
          <w:szCs w:val="24"/>
        </w:rPr>
        <w:t>legge</w:t>
      </w:r>
      <w:proofErr w:type="gramEnd"/>
      <w:r w:rsidRPr="000A2273">
        <w:rPr>
          <w:rFonts w:ascii="Times New Roman" w:hAnsi="Times New Roman" w:cs="Times New Roman"/>
          <w:sz w:val="24"/>
          <w:szCs w:val="24"/>
        </w:rPr>
        <w:t xml:space="preserve"> Merloni)</w:t>
      </w:r>
      <w:r w:rsidRPr="000A2273">
        <w:rPr>
          <w:rStyle w:val="Rimandonotaapidipagina"/>
          <w:rFonts w:ascii="Times New Roman" w:hAnsi="Times New Roman"/>
          <w:sz w:val="24"/>
          <w:szCs w:val="24"/>
        </w:rPr>
        <w:footnoteReference w:id="12"/>
      </w:r>
      <w:r w:rsidRPr="000A2273">
        <w:rPr>
          <w:rFonts w:ascii="Times New Roman" w:hAnsi="Times New Roman" w:cs="Times New Roman"/>
          <w:sz w:val="24"/>
          <w:szCs w:val="24"/>
        </w:rPr>
        <w:t xml:space="preserve"> </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&lt;?xpp usb?&gt;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xml:space="preserve"> </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&lt;?xpp nota;f101;an?&gt;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norma ormai abrogata - disciplinava la materia delle procedure di gara per i lavori e le opere pubbliche prima dell'entrata in vigore del d.lgs. n. 163/2006, da ultimo sostituito dal d.lgs. 50/2016, il</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&lt;/para&gt;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xml:space="preserve"> nuovo “Codice dei contratti pubblici”, attualmente vigente.</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Appare utile una ricognizione dell’evoluzione della normativa sull’argomento fino al vigente d.lgs. 50/2016.</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La normativa precedente il codice dei contratti pubblici, all'art. 2, comma 5, l. n. 109/1994 — richiamato dall'art. 16 del </w:t>
      </w:r>
      <w:proofErr w:type="spellStart"/>
      <w:r w:rsidR="006E1C24" w:rsidRPr="000A2273">
        <w:rPr>
          <w:rFonts w:ascii="Times New Roman" w:hAnsi="Times New Roman" w:cs="Times New Roman"/>
          <w:sz w:val="24"/>
          <w:szCs w:val="24"/>
        </w:rPr>
        <w:t>d.P.R.</w:t>
      </w:r>
      <w:proofErr w:type="spellEnd"/>
      <w:r w:rsidR="006E1C24" w:rsidRPr="000A2273">
        <w:rPr>
          <w:rFonts w:ascii="Times New Roman" w:hAnsi="Times New Roman" w:cs="Times New Roman"/>
          <w:sz w:val="24"/>
          <w:szCs w:val="24"/>
        </w:rPr>
        <w:t xml:space="preserve"> n. 380/2001 — consentiva che al titolare del permesso di costruire venissero affidate in via diretta le opere di urbanizzazione (primaria e secondaria) aventi importo inferiore alla soglia comunitaria. Più precisamente stabiliva che solo per le singole opere d'importo superiore alla soglia comunitaria i soggetti privati erano tenuti ad affidare le stesse nel rispetto delle procedure di gara previste dalla direttiva 93/37/CEE</w:t>
      </w:r>
      <w:r w:rsidR="006E1C24" w:rsidRPr="000A2273">
        <w:rPr>
          <w:rStyle w:val="Rimandonotaapidipagina"/>
          <w:rFonts w:ascii="Times New Roman" w:hAnsi="Times New Roman"/>
          <w:sz w:val="24"/>
          <w:szCs w:val="24"/>
        </w:rPr>
        <w:footnoteReference w:id="13"/>
      </w:r>
      <w:r w:rsidR="006E1C24" w:rsidRPr="000A2273">
        <w:rPr>
          <w:rFonts w:ascii="Times New Roman" w:hAnsi="Times New Roman" w:cs="Times New Roman"/>
          <w:sz w:val="24"/>
          <w:szCs w:val="24"/>
        </w:rPr>
        <w:t>.</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Proprio in conseguenza degli orientamenti espressi dalla Corte di giustizia europea, </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&lt;para&gt;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xml:space="preserve">l'art. 32, comma 1, </w:t>
      </w:r>
      <w:proofErr w:type="spellStart"/>
      <w:r w:rsidRPr="000A2273">
        <w:rPr>
          <w:rFonts w:ascii="Times New Roman" w:hAnsi="Times New Roman" w:cs="Times New Roman"/>
          <w:sz w:val="24"/>
          <w:szCs w:val="24"/>
        </w:rPr>
        <w:t>lett</w:t>
      </w:r>
      <w:proofErr w:type="spellEnd"/>
      <w:r w:rsidRPr="000A2273">
        <w:rPr>
          <w:rFonts w:ascii="Times New Roman" w:hAnsi="Times New Roman" w:cs="Times New Roman"/>
          <w:sz w:val="24"/>
          <w:szCs w:val="24"/>
        </w:rPr>
        <w:t xml:space="preserve">. g), d.lgs. n. 163/2006 — nel sostituire integralmente l'abrogato art. 2, comma 5, l. n. 109/1994 — richiedeva l'applicazione della maggiore parte delle disposizioni nel codice dei contratti pubblici, relativamente alle </w:t>
      </w:r>
      <w:r w:rsidRPr="000A2273">
        <w:rPr>
          <w:rFonts w:ascii="Times New Roman" w:hAnsi="Times New Roman" w:cs="Times New Roman"/>
          <w:b/>
          <w:sz w:val="24"/>
          <w:szCs w:val="24"/>
        </w:rPr>
        <w:t>opere di urbanizzazione d’importo pari o superiore alla soglia comunitaria</w:t>
      </w:r>
      <w:r w:rsidRPr="000A2273">
        <w:rPr>
          <w:rFonts w:ascii="Times New Roman" w:hAnsi="Times New Roman" w:cs="Times New Roman"/>
          <w:sz w:val="24"/>
          <w:szCs w:val="24"/>
        </w:rPr>
        <w:t>, che l'avente diritto al permesso di costruire avrebbe dovuto realizzare. In particolare, l'amministrazione comunale, sulla base del progetto preliminare, doveva indire una gara secondo le modalità richiamate dall'art. 55 del d.lgs. n. 163/2006, ossia con procedura aperta o ristretta.</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&lt;/para&gt;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Per una maggiore adesione allo spirito della normativa comunitaria la norma disponeva il ricorso alla figura dell'appalto di progettazione ed esecuzione. In questo caso, infatti, l'oggetto del contratto era costituito dalla progettazione esecutiva e dall'esecuzione dei lavori, previa acquisizione in sede di offerta del progetto definitivo. L'offerta relativa al prezzo doveva indicare distintamente il </w:t>
      </w:r>
      <w:r w:rsidR="006E1C24" w:rsidRPr="000A2273">
        <w:rPr>
          <w:rFonts w:ascii="Times New Roman" w:hAnsi="Times New Roman" w:cs="Times New Roman"/>
          <w:sz w:val="24"/>
          <w:szCs w:val="24"/>
        </w:rPr>
        <w:lastRenderedPageBreak/>
        <w:t>corrispettivo richiesto per la progettazione definitiva ed esecutiva, per l'esecuzione dei lavori e per gli oneri di sicurezza.</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Per l'affidamento delle </w:t>
      </w:r>
      <w:r w:rsidR="006E1C24" w:rsidRPr="000A2273">
        <w:rPr>
          <w:rFonts w:ascii="Times New Roman" w:hAnsi="Times New Roman" w:cs="Times New Roman"/>
          <w:b/>
          <w:sz w:val="24"/>
          <w:szCs w:val="24"/>
        </w:rPr>
        <w:t xml:space="preserve">opere di urbanizzazione di importo </w:t>
      </w:r>
      <w:proofErr w:type="spellStart"/>
      <w:r w:rsidR="006E1C24" w:rsidRPr="000A2273">
        <w:rPr>
          <w:rFonts w:ascii="Times New Roman" w:hAnsi="Times New Roman" w:cs="Times New Roman"/>
          <w:b/>
          <w:sz w:val="24"/>
          <w:szCs w:val="24"/>
        </w:rPr>
        <w:t>sottosoglia</w:t>
      </w:r>
      <w:proofErr w:type="spellEnd"/>
      <w:r w:rsidR="006E1C24" w:rsidRPr="000A2273">
        <w:rPr>
          <w:rFonts w:ascii="Times New Roman" w:hAnsi="Times New Roman" w:cs="Times New Roman"/>
          <w:sz w:val="24"/>
          <w:szCs w:val="24"/>
        </w:rPr>
        <w:t xml:space="preserve">, la disciplina era riposta nell'art. 122, comma 8, d.lgs. n. 163/2006, norma oggetto di due importanti modifiche legislative: </w:t>
      </w:r>
    </w:p>
    <w:p w:rsidR="006E1C24" w:rsidRPr="000A2273" w:rsidRDefault="006E1C24" w:rsidP="006E1C24">
      <w:pPr>
        <w:pStyle w:val="para"/>
        <w:spacing w:line="256" w:lineRule="exact"/>
        <w:ind w:left="142" w:hanging="142"/>
        <w:rPr>
          <w:rFonts w:ascii="Times New Roman" w:hAnsi="Times New Roman" w:cs="Times New Roman"/>
          <w:sz w:val="24"/>
          <w:szCs w:val="24"/>
        </w:rPr>
      </w:pPr>
      <w:r w:rsidRPr="000A2273">
        <w:rPr>
          <w:rFonts w:ascii="Times New Roman" w:hAnsi="Times New Roman" w:cs="Times New Roman"/>
          <w:sz w:val="24"/>
          <w:szCs w:val="24"/>
        </w:rPr>
        <w:t xml:space="preserve">- la prima — disposta dall'art. 2 d.lgs. 31 luglio 2007, n. 113 (secondo decreto correttivo del vecchio Codice dei contratti pubblici) — aveva imposto la valutazione del costo delle opere di urbanizzazione in via unitaria e non per singolo intervento assentito, per evitare in questo modo artificiosi ed elusivi frazionamenti in lotti, ciascuno d’importo </w:t>
      </w:r>
      <w:proofErr w:type="spellStart"/>
      <w:r w:rsidRPr="000A2273">
        <w:rPr>
          <w:rFonts w:ascii="Times New Roman" w:hAnsi="Times New Roman" w:cs="Times New Roman"/>
          <w:sz w:val="24"/>
          <w:szCs w:val="24"/>
        </w:rPr>
        <w:t>sottosoglia</w:t>
      </w:r>
      <w:proofErr w:type="spellEnd"/>
      <w:r w:rsidRPr="000A2273">
        <w:rPr>
          <w:rFonts w:ascii="Times New Roman" w:hAnsi="Times New Roman" w:cs="Times New Roman"/>
          <w:sz w:val="24"/>
          <w:szCs w:val="24"/>
        </w:rPr>
        <w:t xml:space="preserve">, di un progetto che invece andava considerato nel suo complesso; </w:t>
      </w:r>
    </w:p>
    <w:p w:rsidR="006E1C24" w:rsidRPr="000A2273" w:rsidRDefault="006E1C24" w:rsidP="006E1C24">
      <w:pPr>
        <w:pStyle w:val="para"/>
        <w:spacing w:line="256" w:lineRule="exact"/>
        <w:ind w:left="142" w:hanging="142"/>
        <w:rPr>
          <w:rFonts w:ascii="Times New Roman" w:hAnsi="Times New Roman" w:cs="Times New Roman"/>
          <w:sz w:val="24"/>
          <w:szCs w:val="24"/>
        </w:rPr>
      </w:pPr>
      <w:r w:rsidRPr="000A2273">
        <w:rPr>
          <w:rFonts w:ascii="Times New Roman" w:hAnsi="Times New Roman" w:cs="Times New Roman"/>
          <w:sz w:val="24"/>
          <w:szCs w:val="24"/>
        </w:rPr>
        <w:t xml:space="preserve">- la seconda — disposta dall'art. 1, comma 1, </w:t>
      </w:r>
      <w:proofErr w:type="spellStart"/>
      <w:r w:rsidRPr="000A2273">
        <w:rPr>
          <w:rFonts w:ascii="Times New Roman" w:hAnsi="Times New Roman" w:cs="Times New Roman"/>
          <w:sz w:val="24"/>
          <w:szCs w:val="24"/>
        </w:rPr>
        <w:t>lett</w:t>
      </w:r>
      <w:proofErr w:type="spellEnd"/>
      <w:r w:rsidRPr="000A2273">
        <w:rPr>
          <w:rFonts w:ascii="Times New Roman" w:hAnsi="Times New Roman" w:cs="Times New Roman"/>
          <w:sz w:val="24"/>
          <w:szCs w:val="24"/>
        </w:rPr>
        <w:t xml:space="preserve">. </w:t>
      </w:r>
      <w:proofErr w:type="spellStart"/>
      <w:r w:rsidRPr="000A2273">
        <w:rPr>
          <w:rFonts w:ascii="Times New Roman" w:hAnsi="Times New Roman" w:cs="Times New Roman"/>
          <w:i/>
          <w:sz w:val="24"/>
          <w:szCs w:val="24"/>
        </w:rPr>
        <w:t>bb</w:t>
      </w:r>
      <w:proofErr w:type="spellEnd"/>
      <w:r w:rsidRPr="000A2273">
        <w:rPr>
          <w:rFonts w:ascii="Times New Roman" w:hAnsi="Times New Roman" w:cs="Times New Roman"/>
          <w:sz w:val="24"/>
          <w:szCs w:val="24"/>
        </w:rPr>
        <w:t xml:space="preserve">), </w:t>
      </w:r>
      <w:proofErr w:type="spellStart"/>
      <w:r w:rsidRPr="000A2273">
        <w:rPr>
          <w:rFonts w:ascii="Times New Roman" w:hAnsi="Times New Roman" w:cs="Times New Roman"/>
          <w:sz w:val="24"/>
          <w:szCs w:val="24"/>
        </w:rPr>
        <w:t>num</w:t>
      </w:r>
      <w:proofErr w:type="spellEnd"/>
      <w:r w:rsidRPr="000A2273">
        <w:rPr>
          <w:rFonts w:ascii="Times New Roman" w:hAnsi="Times New Roman" w:cs="Times New Roman"/>
          <w:sz w:val="24"/>
          <w:szCs w:val="24"/>
        </w:rPr>
        <w:t>. 1) d.lgs. 11 settembre 2008, n. 152 (terzo decreto correttivo) — aveva soppresso qualsiasi distinzione tra opere di urbanizzazione primaria e secondaria, apparsa elusiva ai fini dell'applicazione della normativa comunitaria sugli appalti pubblici.</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&lt;/para&gt;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Con tali modifiche, il Legislatore italiano aveva inteso risolvere il problema dell'infrazione alla normativa comunitaria — rilevata dalla </w:t>
      </w:r>
      <w:r w:rsidR="006E1C24" w:rsidRPr="000A2273">
        <w:rPr>
          <w:rFonts w:ascii="Times New Roman" w:hAnsi="Times New Roman" w:cs="Times New Roman"/>
          <w:b/>
          <w:sz w:val="24"/>
          <w:szCs w:val="24"/>
        </w:rPr>
        <w:t>Corte di giustizia europea, con la sentenza del 21 febbraio 2008, causa n. C/412/04</w:t>
      </w:r>
      <w:r w:rsidR="006E1C24" w:rsidRPr="000A2273">
        <w:rPr>
          <w:rStyle w:val="Rimandonotaapidipagina"/>
          <w:rFonts w:ascii="Times New Roman" w:hAnsi="Times New Roman"/>
          <w:b/>
          <w:sz w:val="24"/>
          <w:szCs w:val="24"/>
        </w:rPr>
        <w:footnoteReference w:id="14"/>
      </w:r>
      <w:r w:rsidR="006E1C24" w:rsidRPr="000A2273">
        <w:rPr>
          <w:rFonts w:ascii="Times New Roman" w:hAnsi="Times New Roman" w:cs="Times New Roman"/>
          <w:sz w:val="24"/>
          <w:szCs w:val="24"/>
        </w:rPr>
        <w:t xml:space="preserve"> - che l'originaria versione della norma sembrava comportare, problema solo parzialmente superato col secondo decreto correttivo al codice.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L'art. 122 disponeva, per tutti i tipi di opere di urbanizzazione d’importo </w:t>
      </w:r>
      <w:proofErr w:type="spellStart"/>
      <w:r w:rsidR="006E1C24" w:rsidRPr="000A2273">
        <w:rPr>
          <w:rFonts w:ascii="Times New Roman" w:hAnsi="Times New Roman" w:cs="Times New Roman"/>
          <w:sz w:val="24"/>
          <w:szCs w:val="24"/>
        </w:rPr>
        <w:t>sottosoglia</w:t>
      </w:r>
      <w:proofErr w:type="spellEnd"/>
      <w:r w:rsidR="006E1C24" w:rsidRPr="000A2273">
        <w:rPr>
          <w:rFonts w:ascii="Times New Roman" w:hAnsi="Times New Roman" w:cs="Times New Roman"/>
          <w:sz w:val="24"/>
          <w:szCs w:val="24"/>
        </w:rPr>
        <w:t>, il ricorso alla procedura dettata dall'art. 57, comma 6, del d.lgs. n. 163/2006, norma che, nel recepire l'art. 31 della Direttiva 18/2004</w:t>
      </w:r>
      <w:r w:rsidR="006E1C24" w:rsidRPr="000A2273">
        <w:rPr>
          <w:rStyle w:val="Rimandonotaapidipagina"/>
          <w:rFonts w:ascii="Times New Roman" w:hAnsi="Times New Roman"/>
          <w:sz w:val="24"/>
          <w:szCs w:val="24"/>
        </w:rPr>
        <w:footnoteReference w:id="15"/>
      </w:r>
      <w:r w:rsidR="006E1C24" w:rsidRPr="000A2273">
        <w:rPr>
          <w:rFonts w:ascii="Times New Roman" w:hAnsi="Times New Roman" w:cs="Times New Roman"/>
          <w:sz w:val="24"/>
          <w:szCs w:val="24"/>
        </w:rPr>
        <w:t>, consentiva, in casi tassativamente determinati, il ricorso alla procedura negoziata senza previa pubblicazione di un bando di gara, assicurando comunque, in un contesto estremamente informale e semplificato, un minimo di garanzie procedimentali</w:t>
      </w:r>
      <w:r w:rsidR="006E1C24" w:rsidRPr="000A2273">
        <w:rPr>
          <w:rStyle w:val="Rimandonotaapidipagina"/>
          <w:rFonts w:ascii="Times New Roman" w:hAnsi="Times New Roman"/>
          <w:sz w:val="24"/>
          <w:szCs w:val="24"/>
        </w:rPr>
        <w:footnoteReference w:id="16"/>
      </w:r>
      <w:r w:rsidR="006E1C24" w:rsidRPr="000A2273">
        <w:rPr>
          <w:rFonts w:ascii="Times New Roman" w:hAnsi="Times New Roman" w:cs="Times New Roman"/>
          <w:sz w:val="24"/>
          <w:szCs w:val="24"/>
        </w:rPr>
        <w:t>. In particolare, il comma 6 prescriveva che la stazione appaltante, dopo avere individuato gli operatori economici da consultare sulla base di informazioni riguardanti le caratteristiche di qualificazione economico-finanziaria e tecnico-organizzativa desunte dal mercato — nel rispetto dei principi di trasparenza, concorrenza, rotazione — ne seleziona almeno tre (che salgono a cinque proprio per le opere di urbanizzazione), se sussistono in tale numero soggetti idonei. Questi criteri sono però imposti con la clausola di salvaguardia “ove possibile”</w:t>
      </w:r>
      <w:r w:rsidR="006E1C24" w:rsidRPr="000A2273">
        <w:rPr>
          <w:rStyle w:val="Rimandonotaapidipagina"/>
          <w:rFonts w:ascii="Times New Roman" w:hAnsi="Times New Roman"/>
          <w:sz w:val="24"/>
          <w:szCs w:val="24"/>
        </w:rPr>
        <w:footnoteReference w:id="17"/>
      </w:r>
      <w:r w:rsidR="006E1C24" w:rsidRPr="000A2273">
        <w:rPr>
          <w:rFonts w:ascii="Times New Roman" w:hAnsi="Times New Roman" w:cs="Times New Roman"/>
          <w:sz w:val="24"/>
          <w:szCs w:val="24"/>
        </w:rPr>
        <w:t>.</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Su questo complesso impianto normativo il </w:t>
      </w:r>
      <w:r w:rsidR="006E1C24" w:rsidRPr="000A2273">
        <w:rPr>
          <w:rFonts w:ascii="Times New Roman" w:hAnsi="Times New Roman" w:cs="Times New Roman"/>
          <w:b/>
          <w:sz w:val="24"/>
          <w:szCs w:val="24"/>
        </w:rPr>
        <w:t>comma 2-</w:t>
      </w:r>
      <w:r w:rsidR="006E1C24" w:rsidRPr="000A2273">
        <w:rPr>
          <w:rFonts w:ascii="Times New Roman" w:hAnsi="Times New Roman" w:cs="Times New Roman"/>
          <w:b/>
          <w:i/>
          <w:sz w:val="24"/>
          <w:szCs w:val="24"/>
        </w:rPr>
        <w:t>bis</w:t>
      </w:r>
      <w:r w:rsidR="006E1C24" w:rsidRPr="000A2273">
        <w:rPr>
          <w:rFonts w:ascii="Times New Roman" w:hAnsi="Times New Roman" w:cs="Times New Roman"/>
          <w:sz w:val="24"/>
          <w:szCs w:val="24"/>
        </w:rPr>
        <w:t xml:space="preserve"> dell'art. 16, ivi inserito dall'</w:t>
      </w:r>
      <w:r w:rsidR="006E1C24" w:rsidRPr="000A2273">
        <w:rPr>
          <w:rFonts w:ascii="Times New Roman" w:hAnsi="Times New Roman" w:cs="Times New Roman"/>
          <w:b/>
          <w:sz w:val="24"/>
          <w:szCs w:val="24"/>
        </w:rPr>
        <w:t>art. 45</w:t>
      </w:r>
      <w:r w:rsidR="006E1C24" w:rsidRPr="000A2273">
        <w:rPr>
          <w:rFonts w:ascii="Times New Roman" w:hAnsi="Times New Roman" w:cs="Times New Roman"/>
          <w:sz w:val="24"/>
          <w:szCs w:val="24"/>
        </w:rPr>
        <w:t xml:space="preserve"> del</w:t>
      </w:r>
      <w:r w:rsidR="006E1C24" w:rsidRPr="000A2273">
        <w:rPr>
          <w:rFonts w:ascii="Times New Roman" w:hAnsi="Times New Roman" w:cs="Times New Roman"/>
          <w:b/>
          <w:sz w:val="24"/>
          <w:szCs w:val="24"/>
        </w:rPr>
        <w:t xml:space="preserve"> </w:t>
      </w:r>
      <w:proofErr w:type="spellStart"/>
      <w:r w:rsidR="006E1C24" w:rsidRPr="000A2273">
        <w:rPr>
          <w:rFonts w:ascii="Times New Roman" w:hAnsi="Times New Roman" w:cs="Times New Roman"/>
          <w:b/>
          <w:sz w:val="24"/>
          <w:szCs w:val="24"/>
        </w:rPr>
        <w:t>d.l.</w:t>
      </w:r>
      <w:proofErr w:type="spellEnd"/>
      <w:r w:rsidR="006E1C24" w:rsidRPr="000A2273">
        <w:rPr>
          <w:rFonts w:ascii="Times New Roman" w:hAnsi="Times New Roman" w:cs="Times New Roman"/>
          <w:b/>
          <w:sz w:val="24"/>
          <w:szCs w:val="24"/>
        </w:rPr>
        <w:t xml:space="preserve"> n. 201/2011 (decreto “Salva Italia”), convertito con L. n. 214/2011</w:t>
      </w:r>
      <w:r w:rsidR="006E1C24" w:rsidRPr="000A2273">
        <w:rPr>
          <w:rFonts w:ascii="Times New Roman" w:hAnsi="Times New Roman" w:cs="Times New Roman"/>
          <w:sz w:val="24"/>
          <w:szCs w:val="24"/>
        </w:rPr>
        <w:t xml:space="preserve">, introduce una deroga rilevante, stabilendo che, nell'ambito degli strumenti attuativi e degli atti equivalenti comunque denominati (ossia gli accordi e le convenzioni a vario titolo di lottizzazione), l'esecuzione diretta delle opere di urbanizzazione primaria di cui al comma 7 - non quindi quelle relative all’urbanizzazione secondaria - purché funzionali all'intervento di trasformazione urbanistica del territorio e conformi agli strumenti attuativi o in diretta attuazione del piano regolatore, è a carico del titolare del permesso di costruire senza che trovi applicazione, il più volte menzionato art. 122, comma 8. La norma s’inserisce nella corrente della liberalizzazione strumentale ad un’accelerazione dello sviluppo economico. La stessa tuttavia desta talune perplessità; infatti i principi comunitari dell'evidenza pubblica, valevoli anche per gli importi </w:t>
      </w:r>
      <w:proofErr w:type="spellStart"/>
      <w:r w:rsidR="006E1C24" w:rsidRPr="000A2273">
        <w:rPr>
          <w:rFonts w:ascii="Times New Roman" w:hAnsi="Times New Roman" w:cs="Times New Roman"/>
          <w:sz w:val="24"/>
          <w:szCs w:val="24"/>
        </w:rPr>
        <w:t>sottosoglia</w:t>
      </w:r>
      <w:proofErr w:type="spellEnd"/>
      <w:r w:rsidR="006E1C24" w:rsidRPr="000A2273">
        <w:rPr>
          <w:rFonts w:ascii="Times New Roman" w:hAnsi="Times New Roman" w:cs="Times New Roman"/>
          <w:sz w:val="24"/>
          <w:szCs w:val="24"/>
        </w:rPr>
        <w:t xml:space="preserve">, non possono essere derogati in virtù di un </w:t>
      </w:r>
      <w:r w:rsidR="006E1C24" w:rsidRPr="000A2273">
        <w:rPr>
          <w:rFonts w:ascii="Times New Roman" w:hAnsi="Times New Roman" w:cs="Times New Roman"/>
          <w:sz w:val="24"/>
          <w:szCs w:val="24"/>
        </w:rPr>
        <w:lastRenderedPageBreak/>
        <w:t>presunto collegamento funzionale tra l'intervento di trasformazione urbanistica e l'opera di urbanizzazione, posto che un collegamento del genere è strutturale a qualsiasi intervento edilizio, a prescindere che questo sia individuale o inserito nell'ambito di un piano convenzionale incidente sul territorio.</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In ogni caso, il Legislatore non si è preoccupato di disciplinare le opere di urbanizzazione c.d. “</w:t>
      </w:r>
      <w:r w:rsidRPr="000A2273">
        <w:rPr>
          <w:rFonts w:ascii="Times New Roman" w:hAnsi="Times New Roman" w:cs="Times New Roman"/>
          <w:i/>
          <w:sz w:val="24"/>
          <w:szCs w:val="24"/>
        </w:rPr>
        <w:t>extra oneri</w:t>
      </w:r>
      <w:r w:rsidRPr="000A2273">
        <w:rPr>
          <w:rFonts w:ascii="Times New Roman" w:hAnsi="Times New Roman" w:cs="Times New Roman"/>
          <w:sz w:val="24"/>
          <w:szCs w:val="24"/>
        </w:rPr>
        <w:t xml:space="preserve">”, ossia quelle che sono in aggiunta agli </w:t>
      </w:r>
      <w:r w:rsidRPr="000A2273">
        <w:rPr>
          <w:rFonts w:ascii="Times New Roman" w:hAnsi="Times New Roman" w:cs="Times New Roman"/>
          <w:i/>
          <w:sz w:val="24"/>
          <w:szCs w:val="24"/>
        </w:rPr>
        <w:t>standard</w:t>
      </w:r>
      <w:r w:rsidRPr="000A2273">
        <w:rPr>
          <w:rFonts w:ascii="Times New Roman" w:hAnsi="Times New Roman" w:cs="Times New Roman"/>
          <w:sz w:val="24"/>
          <w:szCs w:val="24"/>
        </w:rPr>
        <w:t xml:space="preserve"> urbanistici, come previsti dagli atti di programmazione urbanistica comunale</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Su questo quadro normativo, si inseriscono le disposizioni del d.lgs.</w:t>
      </w:r>
      <w:r w:rsidRPr="000A2273">
        <w:rPr>
          <w:rFonts w:ascii="Times New Roman" w:hAnsi="Times New Roman" w:cs="Times New Roman"/>
          <w:b/>
          <w:sz w:val="24"/>
          <w:szCs w:val="24"/>
        </w:rPr>
        <w:t xml:space="preserve"> 50/2016, il nuovo “Codice dei contratti pubblici”</w:t>
      </w:r>
      <w:r w:rsidR="009D1432">
        <w:rPr>
          <w:rFonts w:ascii="Times New Roman" w:hAnsi="Times New Roman" w:cs="Times New Roman"/>
          <w:b/>
          <w:sz w:val="24"/>
          <w:szCs w:val="24"/>
        </w:rPr>
        <w:t>,</w:t>
      </w:r>
      <w:r w:rsidRPr="000A2273">
        <w:rPr>
          <w:rFonts w:ascii="Times New Roman" w:hAnsi="Times New Roman" w:cs="Times New Roman"/>
          <w:sz w:val="24"/>
          <w:szCs w:val="24"/>
        </w:rPr>
        <w:t xml:space="preserve"> il quale – nell’abrogare il previgente d.lgs. 163/2006 - disciplina la materia degli oneri di urbanizzazione con espresso rinvio al testo unico dell’edilizia.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In particolare, l’art. 1, comma 2, d.lgs. n. 50/2016 chiarisce che le disposizioni del “Nuovo Codice dei Contratti Pubblici” debbano applicarsi alle procedure di affidamento di lavori pubblici per la realizzazione di opere di urbanizzazione sia primaria che secondaria.</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L’art. 36, comma 3, d.lgs. n. 50/2016, - a seguito delle modifiche apportate dal primo decreto correttivo, il d.lgs. 19 aprile 2017, n. 56</w:t>
      </w:r>
      <w:r w:rsidRPr="000A2273">
        <w:rPr>
          <w:rStyle w:val="Rimandonotaapidipagina"/>
          <w:rFonts w:ascii="Times New Roman" w:hAnsi="Times New Roman"/>
          <w:sz w:val="24"/>
          <w:szCs w:val="24"/>
        </w:rPr>
        <w:footnoteReference w:id="18"/>
      </w:r>
      <w:r w:rsidRPr="000A2273">
        <w:rPr>
          <w:rFonts w:ascii="Times New Roman" w:hAnsi="Times New Roman" w:cs="Times New Roman"/>
          <w:sz w:val="24"/>
          <w:szCs w:val="24"/>
        </w:rPr>
        <w:t xml:space="preserve"> – ammette ora il ricorso alla procedura negoziata, in precedenza esclusa a favore delle procedure aperta o ristretta, per la realizzazione di opere di urbanizzazione, sia primaria sia secondaria, d’importo inferiore alla soglia comunitaria.</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L’art. 20 d.lgs. n. 50/2016, infine, sottrae all’applicazione delle norme del nuovo “Codice dei Contratti pubblici” le opere di urbanizzazione (sia primaria sia secondaria) realizzate da un privato a sua totale cura e spese, in attuazione di una convenzione urbanistica stipulata tra il soggetto pubblico o privato nell’ambito di strumenti o programmi urbanistici.</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In linea con la prassi, la menzionata disposizione è interpretata in senso restrittivo e residuale, dovendo farsi riferimento alle opere di urbanizzazione cd “extra oneri” o “extra standard”, ossia in aggiunta a quelle necessarie, ai sensi dell’art. 16 </w:t>
      </w:r>
      <w:proofErr w:type="spellStart"/>
      <w:r w:rsidRPr="000A2273">
        <w:rPr>
          <w:rFonts w:ascii="Times New Roman" w:hAnsi="Times New Roman" w:cs="Times New Roman"/>
          <w:sz w:val="24"/>
          <w:szCs w:val="24"/>
        </w:rPr>
        <w:t>d.P.R.</w:t>
      </w:r>
      <w:proofErr w:type="spellEnd"/>
      <w:r w:rsidRPr="000A2273">
        <w:rPr>
          <w:rFonts w:ascii="Times New Roman" w:hAnsi="Times New Roman" w:cs="Times New Roman"/>
          <w:sz w:val="24"/>
          <w:szCs w:val="24"/>
        </w:rPr>
        <w:t xml:space="preserve"> 380/2001.</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In sintesi, ponendo a confronto la disciplina del nuovo “Codice dei contratti pubblici” con l’art. 16, comma 2-</w:t>
      </w:r>
      <w:r w:rsidRPr="009D1432">
        <w:rPr>
          <w:rFonts w:ascii="Times New Roman" w:hAnsi="Times New Roman" w:cs="Times New Roman"/>
          <w:i/>
          <w:sz w:val="24"/>
          <w:szCs w:val="24"/>
        </w:rPr>
        <w:t>bis</w:t>
      </w:r>
      <w:r w:rsidRPr="000A2273">
        <w:rPr>
          <w:rFonts w:ascii="Times New Roman" w:hAnsi="Times New Roman" w:cs="Times New Roman"/>
          <w:sz w:val="24"/>
          <w:szCs w:val="24"/>
        </w:rPr>
        <w:t xml:space="preserve">, </w:t>
      </w:r>
      <w:proofErr w:type="spellStart"/>
      <w:r w:rsidRPr="000A2273">
        <w:rPr>
          <w:rFonts w:ascii="Times New Roman" w:hAnsi="Times New Roman" w:cs="Times New Roman"/>
          <w:sz w:val="24"/>
          <w:szCs w:val="24"/>
        </w:rPr>
        <w:t>d.P.R.</w:t>
      </w:r>
      <w:proofErr w:type="spellEnd"/>
      <w:r w:rsidRPr="000A2273">
        <w:rPr>
          <w:rFonts w:ascii="Times New Roman" w:hAnsi="Times New Roman" w:cs="Times New Roman"/>
          <w:sz w:val="24"/>
          <w:szCs w:val="24"/>
        </w:rPr>
        <w:t xml:space="preserve"> n. 380/2001, può dirsi che il d.lgs. 50/2016 tenta di bilanciare le esigenze di tutela della concorrenza con quelle di speditezza nell’ultimazione dei lavori, proprie dei privati costruttori e tenute in qualche modo in considerazione dall’art. 16 </w:t>
      </w:r>
      <w:proofErr w:type="spellStart"/>
      <w:r w:rsidRPr="000A2273">
        <w:rPr>
          <w:rFonts w:ascii="Times New Roman" w:hAnsi="Times New Roman" w:cs="Times New Roman"/>
          <w:sz w:val="24"/>
          <w:szCs w:val="24"/>
        </w:rPr>
        <w:t>d.P.R.</w:t>
      </w:r>
      <w:proofErr w:type="spellEnd"/>
      <w:r w:rsidRPr="000A2273">
        <w:rPr>
          <w:rFonts w:ascii="Times New Roman" w:hAnsi="Times New Roman" w:cs="Times New Roman"/>
          <w:sz w:val="24"/>
          <w:szCs w:val="24"/>
        </w:rPr>
        <w:t xml:space="preserve"> n. 380/2001. Pertanto, in materia di opere di urbanizzazione “a scomputo”</w:t>
      </w:r>
      <w:r w:rsidR="009D1432">
        <w:rPr>
          <w:rFonts w:ascii="Times New Roman" w:hAnsi="Times New Roman" w:cs="Times New Roman"/>
          <w:sz w:val="24"/>
          <w:szCs w:val="24"/>
        </w:rPr>
        <w:t>,</w:t>
      </w:r>
      <w:r w:rsidRPr="000A2273">
        <w:rPr>
          <w:rFonts w:ascii="Times New Roman" w:hAnsi="Times New Roman" w:cs="Times New Roman"/>
          <w:sz w:val="24"/>
          <w:szCs w:val="24"/>
        </w:rPr>
        <w:t xml:space="preserve"> il quadro appare il seguente:</w:t>
      </w:r>
    </w:p>
    <w:p w:rsidR="006E1C24" w:rsidRPr="000A2273" w:rsidRDefault="006E1C24" w:rsidP="006E1C24">
      <w:pPr>
        <w:pStyle w:val="para"/>
        <w:numPr>
          <w:ilvl w:val="0"/>
          <w:numId w:val="1"/>
        </w:numPr>
        <w:spacing w:line="256" w:lineRule="exact"/>
        <w:rPr>
          <w:rFonts w:ascii="Times New Roman" w:hAnsi="Times New Roman" w:cs="Times New Roman"/>
          <w:sz w:val="24"/>
          <w:szCs w:val="24"/>
        </w:rPr>
      </w:pPr>
      <w:proofErr w:type="gramStart"/>
      <w:r w:rsidRPr="000A2273">
        <w:rPr>
          <w:rFonts w:ascii="Times New Roman" w:hAnsi="Times New Roman" w:cs="Times New Roman"/>
          <w:b/>
          <w:sz w:val="24"/>
          <w:szCs w:val="24"/>
        </w:rPr>
        <w:t>le</w:t>
      </w:r>
      <w:proofErr w:type="gramEnd"/>
      <w:r w:rsidRPr="000A2273">
        <w:rPr>
          <w:rFonts w:ascii="Times New Roman" w:hAnsi="Times New Roman" w:cs="Times New Roman"/>
          <w:b/>
          <w:sz w:val="24"/>
          <w:szCs w:val="24"/>
        </w:rPr>
        <w:t xml:space="preserve"> opere di urbanizzazione primaria “sotto soglia” e “funzionali”</w:t>
      </w:r>
      <w:r w:rsidRPr="000A2273">
        <w:rPr>
          <w:rFonts w:ascii="Times New Roman" w:hAnsi="Times New Roman" w:cs="Times New Roman"/>
          <w:sz w:val="24"/>
          <w:szCs w:val="24"/>
        </w:rPr>
        <w:t xml:space="preserve"> al complessivo intervento di trasformazione urbanistica, continueranno ad essere realizzate dal privato titolare dell’intervento edilizio;</w:t>
      </w:r>
    </w:p>
    <w:p w:rsidR="006E1C24" w:rsidRPr="000A2273" w:rsidRDefault="006E1C24" w:rsidP="006E1C24">
      <w:pPr>
        <w:pStyle w:val="para"/>
        <w:numPr>
          <w:ilvl w:val="0"/>
          <w:numId w:val="1"/>
        </w:numPr>
        <w:spacing w:line="256" w:lineRule="exact"/>
        <w:rPr>
          <w:rFonts w:ascii="Times New Roman" w:hAnsi="Times New Roman" w:cs="Times New Roman"/>
          <w:sz w:val="24"/>
          <w:szCs w:val="24"/>
        </w:rPr>
      </w:pPr>
      <w:proofErr w:type="gramStart"/>
      <w:r w:rsidRPr="000A2273">
        <w:rPr>
          <w:rFonts w:ascii="Times New Roman" w:hAnsi="Times New Roman" w:cs="Times New Roman"/>
          <w:b/>
          <w:sz w:val="24"/>
          <w:szCs w:val="24"/>
        </w:rPr>
        <w:t>le</w:t>
      </w:r>
      <w:proofErr w:type="gramEnd"/>
      <w:r w:rsidRPr="000A2273">
        <w:rPr>
          <w:rFonts w:ascii="Times New Roman" w:hAnsi="Times New Roman" w:cs="Times New Roman"/>
          <w:b/>
          <w:sz w:val="24"/>
          <w:szCs w:val="24"/>
        </w:rPr>
        <w:t xml:space="preserve"> opere di urbanizzazione primaria “sotto soglia” e “non funzionali”</w:t>
      </w:r>
      <w:r w:rsidRPr="000A2273">
        <w:rPr>
          <w:rFonts w:ascii="Times New Roman" w:hAnsi="Times New Roman" w:cs="Times New Roman"/>
          <w:sz w:val="24"/>
          <w:szCs w:val="24"/>
        </w:rPr>
        <w:t xml:space="preserve"> al complessivo intervento di trasformazione urbanistica, saranno affidate tramite le procedure ad evidenza pubblica disposte per i lavori “sotto soglia”;</w:t>
      </w:r>
    </w:p>
    <w:p w:rsidR="006E1C24" w:rsidRPr="000A2273" w:rsidRDefault="006E1C24" w:rsidP="006E1C24">
      <w:pPr>
        <w:pStyle w:val="para"/>
        <w:numPr>
          <w:ilvl w:val="0"/>
          <w:numId w:val="1"/>
        </w:numPr>
        <w:spacing w:line="256" w:lineRule="exact"/>
        <w:rPr>
          <w:rFonts w:ascii="Times New Roman" w:hAnsi="Times New Roman" w:cs="Times New Roman"/>
          <w:sz w:val="24"/>
          <w:szCs w:val="24"/>
        </w:rPr>
      </w:pPr>
      <w:proofErr w:type="gramStart"/>
      <w:r w:rsidRPr="000A2273">
        <w:rPr>
          <w:rFonts w:ascii="Times New Roman" w:hAnsi="Times New Roman" w:cs="Times New Roman"/>
          <w:b/>
          <w:sz w:val="24"/>
          <w:szCs w:val="24"/>
        </w:rPr>
        <w:t>le</w:t>
      </w:r>
      <w:proofErr w:type="gramEnd"/>
      <w:r w:rsidRPr="000A2273">
        <w:rPr>
          <w:rFonts w:ascii="Times New Roman" w:hAnsi="Times New Roman" w:cs="Times New Roman"/>
          <w:b/>
          <w:sz w:val="24"/>
          <w:szCs w:val="24"/>
        </w:rPr>
        <w:t xml:space="preserve"> opere di urbanizzazione secondaria “sotto soglia”</w:t>
      </w:r>
      <w:r w:rsidRPr="000A2273">
        <w:rPr>
          <w:rFonts w:ascii="Times New Roman" w:hAnsi="Times New Roman" w:cs="Times New Roman"/>
          <w:sz w:val="24"/>
          <w:szCs w:val="24"/>
        </w:rPr>
        <w:t xml:space="preserve">, saranno affidate tramite le procedure ad evidenza pubblica disposte per i lavori “sotto soglia”; </w:t>
      </w:r>
    </w:p>
    <w:p w:rsidR="006E1C24" w:rsidRPr="000A2273" w:rsidRDefault="006E1C24" w:rsidP="006E1C24">
      <w:pPr>
        <w:pStyle w:val="para"/>
        <w:numPr>
          <w:ilvl w:val="0"/>
          <w:numId w:val="1"/>
        </w:numPr>
        <w:spacing w:line="256" w:lineRule="exact"/>
        <w:rPr>
          <w:rFonts w:ascii="Times New Roman" w:hAnsi="Times New Roman" w:cs="Times New Roman"/>
          <w:sz w:val="24"/>
          <w:szCs w:val="24"/>
        </w:rPr>
      </w:pPr>
      <w:proofErr w:type="gramStart"/>
      <w:r w:rsidRPr="000A2273">
        <w:rPr>
          <w:rFonts w:ascii="Times New Roman" w:hAnsi="Times New Roman" w:cs="Times New Roman"/>
          <w:b/>
          <w:sz w:val="24"/>
          <w:szCs w:val="24"/>
        </w:rPr>
        <w:t>le</w:t>
      </w:r>
      <w:proofErr w:type="gramEnd"/>
      <w:r w:rsidRPr="000A2273">
        <w:rPr>
          <w:rFonts w:ascii="Times New Roman" w:hAnsi="Times New Roman" w:cs="Times New Roman"/>
          <w:b/>
          <w:sz w:val="24"/>
          <w:szCs w:val="24"/>
        </w:rPr>
        <w:t xml:space="preserve"> opere di urbanizzazione primaria e secondaria “sopra soglia”</w:t>
      </w:r>
      <w:r w:rsidRPr="000A2273">
        <w:rPr>
          <w:rFonts w:ascii="Times New Roman" w:hAnsi="Times New Roman" w:cs="Times New Roman"/>
          <w:sz w:val="24"/>
          <w:szCs w:val="24"/>
        </w:rPr>
        <w:t xml:space="preserve"> saranno affidate attraverso le procedure ad evidenza pubblica “aperta” o “ristretta”;</w:t>
      </w:r>
    </w:p>
    <w:p w:rsidR="006E1C24" w:rsidRPr="000A2273" w:rsidRDefault="006E1C24" w:rsidP="006E1C24">
      <w:pPr>
        <w:pStyle w:val="para"/>
        <w:numPr>
          <w:ilvl w:val="0"/>
          <w:numId w:val="1"/>
        </w:numPr>
        <w:spacing w:line="256" w:lineRule="exact"/>
        <w:rPr>
          <w:rFonts w:ascii="Times New Roman" w:hAnsi="Times New Roman" w:cs="Times New Roman"/>
          <w:sz w:val="24"/>
          <w:szCs w:val="24"/>
        </w:rPr>
      </w:pPr>
      <w:proofErr w:type="gramStart"/>
      <w:r w:rsidRPr="000A2273">
        <w:rPr>
          <w:rFonts w:ascii="Times New Roman" w:hAnsi="Times New Roman" w:cs="Times New Roman"/>
          <w:b/>
          <w:sz w:val="24"/>
          <w:szCs w:val="24"/>
        </w:rPr>
        <w:t>le</w:t>
      </w:r>
      <w:proofErr w:type="gramEnd"/>
      <w:r w:rsidRPr="000A2273">
        <w:rPr>
          <w:rFonts w:ascii="Times New Roman" w:hAnsi="Times New Roman" w:cs="Times New Roman"/>
          <w:b/>
          <w:sz w:val="24"/>
          <w:szCs w:val="24"/>
        </w:rPr>
        <w:t xml:space="preserve"> opere di urbanizzazione “extra oneri” e prive di corrispettivo</w:t>
      </w:r>
      <w:r w:rsidRPr="000A2273">
        <w:rPr>
          <w:rFonts w:ascii="Times New Roman" w:hAnsi="Times New Roman" w:cs="Times New Roman"/>
          <w:sz w:val="24"/>
          <w:szCs w:val="24"/>
        </w:rPr>
        <w:t xml:space="preserve"> (anche in termini di cubatura premiale) se previste in convenzione - inserite in strumenti urbanistici o di programmazione urbanistica - saranno realizzate dal privato titolare dell’intervento edilizio con proprie risorse e, come previsto dall’art. 20 d.lgs. n. 50/2016</w:t>
      </w:r>
      <w:r w:rsidR="009D1432">
        <w:rPr>
          <w:rFonts w:ascii="Times New Roman" w:hAnsi="Times New Roman" w:cs="Times New Roman"/>
          <w:sz w:val="24"/>
          <w:szCs w:val="24"/>
        </w:rPr>
        <w:t>,</w:t>
      </w:r>
      <w:r w:rsidRPr="000A2273">
        <w:rPr>
          <w:rFonts w:ascii="Times New Roman" w:hAnsi="Times New Roman" w:cs="Times New Roman"/>
          <w:sz w:val="24"/>
          <w:szCs w:val="24"/>
        </w:rPr>
        <w:t xml:space="preserve"> sono sottratte all’applicazione del medesimo Codice appalti.</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L’elemento innovativo della disciplina contenuta nel d.lgs. n. 50/2016 va individuato principalmente nell’aver disciplinato il dibattuto tema delle “</w:t>
      </w:r>
      <w:r w:rsidRPr="000A2273">
        <w:rPr>
          <w:rFonts w:ascii="Times New Roman" w:hAnsi="Times New Roman" w:cs="Times New Roman"/>
          <w:b/>
          <w:sz w:val="24"/>
          <w:szCs w:val="24"/>
        </w:rPr>
        <w:t>opere extra standard</w:t>
      </w:r>
      <w:r w:rsidRPr="000A2273">
        <w:rPr>
          <w:rFonts w:ascii="Times New Roman" w:hAnsi="Times New Roman" w:cs="Times New Roman"/>
          <w:sz w:val="24"/>
          <w:szCs w:val="24"/>
        </w:rPr>
        <w:t>”, ossia le opere di urbanizzazione che non sono annoverabili a scomputo dei relativi oneri ovvero, mutuando il linguaggio del Codice, “</w:t>
      </w:r>
      <w:r w:rsidRPr="000A2273">
        <w:rPr>
          <w:rFonts w:ascii="Times New Roman" w:hAnsi="Times New Roman" w:cs="Times New Roman"/>
          <w:b/>
          <w:sz w:val="24"/>
          <w:szCs w:val="24"/>
        </w:rPr>
        <w:t>opere private di interesse pubblico</w:t>
      </w:r>
      <w:r w:rsidRPr="000A2273">
        <w:rPr>
          <w:rFonts w:ascii="Times New Roman" w:hAnsi="Times New Roman" w:cs="Times New Roman"/>
          <w:sz w:val="24"/>
          <w:szCs w:val="24"/>
        </w:rPr>
        <w:t>”.</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Nella pratica, si tratta di opere, spesso previste dalle convenzioni urbanistiche, realizzate in misura eccedente le esigenze tabellari</w:t>
      </w:r>
      <w:r w:rsidR="009D1432">
        <w:rPr>
          <w:rFonts w:ascii="Times New Roman" w:hAnsi="Times New Roman" w:cs="Times New Roman"/>
          <w:sz w:val="24"/>
          <w:szCs w:val="24"/>
        </w:rPr>
        <w:t xml:space="preserve"> di cui ai Regolamenti comunali</w:t>
      </w:r>
      <w:r w:rsidRPr="000A2273">
        <w:rPr>
          <w:rFonts w:ascii="Times New Roman" w:hAnsi="Times New Roman" w:cs="Times New Roman"/>
          <w:sz w:val="24"/>
          <w:szCs w:val="24"/>
        </w:rPr>
        <w:t xml:space="preserve"> ma che i comuni richiedono allo scopo di migliorare o almeno preservare le strutture urbanistiche della zona di riferimento (non a caso, sovente, si tratta di interventi di manutenzione sul preesistente).</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lastRenderedPageBreak/>
        <w:t>Si rammenta che il discrimine per applicare le procedure a evidenza pubblica viene individuato nel carattere oneroso della prestazione. Secondo la giurisprudenza previgente, le norme sull’evidenza pubblica non si applicavano alle opere di urbanizzazione “non a scomputo” cioè, interamente a carico del privato costruttore.</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Questa prassi era apparsa spesso elusiva, soprattutto nei casi in cui l’esecuzione delle opere “extra standard” veniva comunque “compensata” dall’Amministrazione con cubature premiali; in questo caso, tali opere non potevano dirsi effettuate per mero spirito di liberalità del costruttore con la conseguenza che avrebbero dovuto seguire le procedure di evidenza pubblica per la selezione dei soggetti chiamate a realizzarle</w:t>
      </w:r>
      <w:r w:rsidRPr="000A2273">
        <w:rPr>
          <w:rStyle w:val="Rimandonotaapidipagina"/>
          <w:rFonts w:ascii="Times New Roman" w:hAnsi="Times New Roman"/>
          <w:sz w:val="24"/>
          <w:szCs w:val="24"/>
        </w:rPr>
        <w:footnoteReference w:id="19"/>
      </w:r>
      <w:r w:rsidRPr="000A2273">
        <w:rPr>
          <w:rFonts w:ascii="Times New Roman" w:hAnsi="Times New Roman" w:cs="Times New Roman"/>
          <w:sz w:val="24"/>
          <w:szCs w:val="24"/>
        </w:rPr>
        <w:t>.</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Il comma 3 dell'art. 16 stabilisce</w:t>
      </w:r>
      <w:r w:rsidR="009D1432">
        <w:rPr>
          <w:rFonts w:ascii="Times New Roman" w:hAnsi="Times New Roman" w:cs="Times New Roman"/>
          <w:sz w:val="24"/>
          <w:szCs w:val="24"/>
        </w:rPr>
        <w:t>,</w:t>
      </w:r>
      <w:r w:rsidR="006E1C24" w:rsidRPr="000A2273">
        <w:rPr>
          <w:rFonts w:ascii="Times New Roman" w:hAnsi="Times New Roman" w:cs="Times New Roman"/>
          <w:sz w:val="24"/>
          <w:szCs w:val="24"/>
        </w:rPr>
        <w:t xml:space="preserve"> infine</w:t>
      </w:r>
      <w:r w:rsidR="009D1432">
        <w:rPr>
          <w:rFonts w:ascii="Times New Roman" w:hAnsi="Times New Roman" w:cs="Times New Roman"/>
          <w:sz w:val="24"/>
          <w:szCs w:val="24"/>
        </w:rPr>
        <w:t>,</w:t>
      </w:r>
      <w:r w:rsidR="006E1C24" w:rsidRPr="000A2273">
        <w:rPr>
          <w:rFonts w:ascii="Times New Roman" w:hAnsi="Times New Roman" w:cs="Times New Roman"/>
          <w:sz w:val="24"/>
          <w:szCs w:val="24"/>
        </w:rPr>
        <w:t xml:space="preserve"> che la quota di contributo relativa al costo di costruzione è determinata all'atto del rilascio ed è corrisposta in corso d'opera. Il comune ne stabilisce le modalità e le garanzie, comunque non oltre sessanta giorni dalla ultimazione della costruzione.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&lt;/para&gt;&lt;/testo&gt;&lt;/domanda&gt;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6E1C24" w:rsidP="006E1C24">
      <w:pPr>
        <w:pStyle w:val="domanda"/>
        <w:rPr>
          <w:rFonts w:ascii="Times New Roman" w:hAnsi="Times New Roman" w:cs="Times New Roman"/>
          <w:sz w:val="24"/>
          <w:szCs w:val="24"/>
        </w:rPr>
      </w:pPr>
      <w:r w:rsidRPr="000A2273">
        <w:rPr>
          <w:rFonts w:ascii="Times New Roman" w:hAnsi="Times New Roman" w:cs="Times New Roman"/>
          <w:b/>
          <w:sz w:val="24"/>
          <w:szCs w:val="24"/>
        </w:rPr>
        <w:t xml:space="preserve">3. Il calcolo degli </w:t>
      </w:r>
      <w:r w:rsidR="00720F84" w:rsidRPr="000A2273">
        <w:rPr>
          <w:rFonts w:ascii="Times New Roman" w:hAnsi="Times New Roman" w:cs="Times New Roman"/>
          <w:b/>
          <w:sz w:val="24"/>
          <w:szCs w:val="24"/>
        </w:rPr>
        <w:fldChar w:fldCharType="begin"/>
      </w:r>
      <w:r w:rsidRPr="000A2273">
        <w:rPr>
          <w:rFonts w:ascii="Times New Roman" w:hAnsi="Times New Roman" w:cs="Times New Roman"/>
          <w:b/>
          <w:sz w:val="24"/>
          <w:szCs w:val="24"/>
        </w:rPr>
        <w:instrText>&lt;domanda&gt;&lt;rubrica&gt;</w:instrText>
      </w:r>
      <w:r w:rsidR="00720F84" w:rsidRPr="000A2273">
        <w:rPr>
          <w:rFonts w:ascii="Times New Roman" w:hAnsi="Times New Roman" w:cs="Times New Roman"/>
          <w:b/>
          <w:sz w:val="24"/>
          <w:szCs w:val="24"/>
        </w:rPr>
        <w:fldChar w:fldCharType="end"/>
      </w:r>
      <w:r w:rsidRPr="000A2273">
        <w:rPr>
          <w:rFonts w:ascii="Times New Roman" w:hAnsi="Times New Roman" w:cs="Times New Roman"/>
          <w:b/>
          <w:sz w:val="24"/>
          <w:szCs w:val="24"/>
        </w:rPr>
        <w:t>oneri di urbanizzazione.</w:t>
      </w:r>
    </w:p>
    <w:p w:rsidR="006E1C24" w:rsidRPr="000A2273" w:rsidRDefault="00720F84" w:rsidP="006E1C24">
      <w:pPr>
        <w:pStyle w:val="para"/>
        <w:spacing w:before="85"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&lt;/rubrica&gt;&lt;testo&gt;&lt;para&gt;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L'incidenza degli oneri di urbanizzazione primaria e secondaria è stabilita con deliberazione del consiglio comunale in base alle tabelle parametriche che la regione definisce per classi di comuni in relazione: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a</w:t>
      </w:r>
      <w:r w:rsidR="006E1C24" w:rsidRPr="000A2273">
        <w:rPr>
          <w:rFonts w:ascii="Times New Roman" w:hAnsi="Times New Roman" w:cs="Times New Roman"/>
          <w:sz w:val="24"/>
          <w:szCs w:val="24"/>
        </w:rPr>
        <w:t>) all'ampiezza ed all'andamento demografico dei comuni;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b</w:t>
      </w:r>
      <w:r w:rsidR="006E1C24" w:rsidRPr="000A2273">
        <w:rPr>
          <w:rFonts w:ascii="Times New Roman" w:hAnsi="Times New Roman" w:cs="Times New Roman"/>
          <w:sz w:val="24"/>
          <w:szCs w:val="24"/>
        </w:rPr>
        <w:t>) alle caratteristiche geografiche dei comuni;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c</w:t>
      </w:r>
      <w:r w:rsidR="006E1C24" w:rsidRPr="000A2273">
        <w:rPr>
          <w:rFonts w:ascii="Times New Roman" w:hAnsi="Times New Roman" w:cs="Times New Roman"/>
          <w:sz w:val="24"/>
          <w:szCs w:val="24"/>
        </w:rPr>
        <w:t>) alle destinazioni di zona previste negli strumenti urbanistici vigenti;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d</w:t>
      </w:r>
      <w:r w:rsidR="006E1C24" w:rsidRPr="000A2273">
        <w:rPr>
          <w:rFonts w:ascii="Times New Roman" w:hAnsi="Times New Roman" w:cs="Times New Roman"/>
          <w:sz w:val="24"/>
          <w:szCs w:val="24"/>
        </w:rPr>
        <w:t>) ai limiti e rapporti minimi inderogabili fissati in applicazione dall'articolo 41-</w:t>
      </w:r>
      <w:r w:rsidR="006E1C24" w:rsidRPr="000A2273">
        <w:rPr>
          <w:rFonts w:ascii="Times New Roman" w:hAnsi="Times New Roman" w:cs="Times New Roman"/>
          <w:i/>
          <w:sz w:val="24"/>
          <w:szCs w:val="24"/>
        </w:rPr>
        <w:t>quinquies</w:t>
      </w:r>
      <w:r w:rsidR="006E1C24" w:rsidRPr="000A2273">
        <w:rPr>
          <w:rFonts w:ascii="Times New Roman" w:hAnsi="Times New Roman" w:cs="Times New Roman"/>
          <w:sz w:val="24"/>
          <w:szCs w:val="24"/>
        </w:rPr>
        <w:t>, penultimo e ultimo comma,</w:t>
      </w:r>
      <w:r w:rsidR="009D1432">
        <w:rPr>
          <w:rFonts w:ascii="Times New Roman" w:hAnsi="Times New Roman" w:cs="Times New Roman"/>
          <w:sz w:val="24"/>
          <w:szCs w:val="24"/>
        </w:rPr>
        <w:t xml:space="preserve"> l. n. 1150/1942</w:t>
      </w:r>
      <w:r w:rsidR="006E1C24" w:rsidRPr="000A2273">
        <w:rPr>
          <w:rFonts w:ascii="Times New Roman" w:hAnsi="Times New Roman" w:cs="Times New Roman"/>
          <w:sz w:val="24"/>
          <w:szCs w:val="24"/>
        </w:rPr>
        <w:t xml:space="preserve"> e successive modifiche e integrazioni, nonché delle leggi regionali. Sul punto si ricorda che, secondo l'art. 41-</w:t>
      </w:r>
      <w:r w:rsidR="006E1C24" w:rsidRPr="000A2273">
        <w:rPr>
          <w:rFonts w:ascii="Times New Roman" w:hAnsi="Times New Roman" w:cs="Times New Roman"/>
          <w:i/>
          <w:sz w:val="24"/>
          <w:szCs w:val="24"/>
        </w:rPr>
        <w:t>quinquies</w:t>
      </w:r>
      <w:r w:rsidR="006E1C24" w:rsidRPr="000A2273">
        <w:rPr>
          <w:rFonts w:ascii="Times New Roman" w:hAnsi="Times New Roman" w:cs="Times New Roman"/>
          <w:sz w:val="24"/>
          <w:szCs w:val="24"/>
        </w:rPr>
        <w:t>, comma 7, tutti i Comuni, ai fini della formazione di nuovi strumenti urbanistici o della revisione di quelli esistenti, debbono osservare limiti inderogabili di densità edilizia, di altezza, di distanza tra i fabbricati, nonché rapporti massimi tra spazi destinati agli insediamenti residenziali e produttivi e spazi pubblici o riservati alle attività collettive, a verde pubblico o a parcheggi.; secondo l'ultimo comma, tali limiti e rapporti sono definiti per zone territoriali omogenee, con decreto del Ministro per i lavori pubblici di concerto con quello per l'interno, sentito il Consiglio superiore dei lavori pubblici.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Nel caso in cui le leggi regionali non abbiano provveduto a definire le tabelle parametriche, i Comuni provvedono, in via provvisoria, con deliberazione del consiglio comunale, fino alla definizione delle tabelle stesse (comma 5).</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L'aggiornamento degli oneri di urbanizzazione primaria e secondaria, ai sensi del comma 6, avviene ogni cinque anni, in conformità alle relative disposizioni regionali, in proporzione ai riscontri ed ai prevedibili costi delle relative opere.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I commi 7 ed 8 elencano, rispettivamente, gli interventi classificabili tra gli oneri di urbanizzazione primaria e secondaria.</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Tra i primi sono indicati: strade residenziali, spazi di sosta o di parcheggio, fognature, rete idrica, rete di distribuzione dell'energia elettrica e del gas, pubblica illuminazione, spazi di verde attrezzato. Inoltre, ai sensi del comma 7-</w:t>
      </w:r>
      <w:r w:rsidR="006E1C24" w:rsidRPr="000A2273">
        <w:rPr>
          <w:rFonts w:ascii="Times New Roman" w:hAnsi="Times New Roman" w:cs="Times New Roman"/>
          <w:i/>
          <w:sz w:val="24"/>
          <w:szCs w:val="24"/>
        </w:rPr>
        <w:t>bis</w:t>
      </w:r>
      <w:r w:rsidR="006E1C24" w:rsidRPr="000A2273">
        <w:rPr>
          <w:rFonts w:ascii="Times New Roman" w:hAnsi="Times New Roman" w:cs="Times New Roman"/>
          <w:sz w:val="24"/>
          <w:szCs w:val="24"/>
        </w:rPr>
        <w:t>, aggiunto dall'art. 40 l. n. 166/2002, rientrano i cavedi multiservizi e i cavidotti per il passaggio di reti di telecomunicazioni, salvo nelle aree individuate dai comuni sulla base dei criteri definiti dalle regioni.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Tra gli interventi classificabili come oneri di urbanizzazione secondaria rientrano: asili nido e scuole materne, scuole dell'obbligo nonché strutture e complessi per l'istruzione superiore all'obbligo, mercati di quartiere, delegazioni comunali, chiese e altri edifici religiosi, impianti sportivi di quartiere, aree verdi di quartiere, centri sociali e attrezzature culturali e sanitarie. Nelle attrezzature sanitarie sono ricomprese le opere, le costruzioni e gli impianti destinati allo smaltimento, al riciclaggio o alla distruzione dei rifiuti urbani, speciali, pericolosi, solidi e liquidi, alla bonifica di aree inquinate.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Queste</w:t>
      </w:r>
      <w:r w:rsidR="00D04895">
        <w:rPr>
          <w:rFonts w:ascii="Times New Roman" w:hAnsi="Times New Roman" w:cs="Times New Roman"/>
          <w:sz w:val="24"/>
          <w:szCs w:val="24"/>
        </w:rPr>
        <w:t xml:space="preserve"> indicazioni non sono tassative</w:t>
      </w:r>
      <w:r w:rsidR="006E1C24" w:rsidRPr="000A2273">
        <w:rPr>
          <w:rFonts w:ascii="Times New Roman" w:hAnsi="Times New Roman" w:cs="Times New Roman"/>
          <w:sz w:val="24"/>
          <w:szCs w:val="24"/>
        </w:rPr>
        <w:t xml:space="preserve"> nel senso che non costituiscono un </w:t>
      </w:r>
      <w:proofErr w:type="spellStart"/>
      <w:r w:rsidR="006E1C24" w:rsidRPr="000A2273">
        <w:rPr>
          <w:rFonts w:ascii="Times New Roman" w:hAnsi="Times New Roman" w:cs="Times New Roman"/>
          <w:i/>
          <w:sz w:val="24"/>
          <w:szCs w:val="24"/>
        </w:rPr>
        <w:t>numerus</w:t>
      </w:r>
      <w:proofErr w:type="spellEnd"/>
      <w:r w:rsidR="006E1C24" w:rsidRPr="000A2273">
        <w:rPr>
          <w:rFonts w:ascii="Times New Roman" w:hAnsi="Times New Roman" w:cs="Times New Roman"/>
          <w:i/>
          <w:sz w:val="24"/>
          <w:szCs w:val="24"/>
        </w:rPr>
        <w:t xml:space="preserve"> </w:t>
      </w:r>
      <w:proofErr w:type="spellStart"/>
      <w:r w:rsidR="006E1C24" w:rsidRPr="000A2273">
        <w:rPr>
          <w:rFonts w:ascii="Times New Roman" w:hAnsi="Times New Roman" w:cs="Times New Roman"/>
          <w:i/>
          <w:sz w:val="24"/>
          <w:szCs w:val="24"/>
        </w:rPr>
        <w:t>clausus</w:t>
      </w:r>
      <w:proofErr w:type="spellEnd"/>
      <w:r w:rsidR="006E1C24" w:rsidRPr="000A2273">
        <w:rPr>
          <w:rFonts w:ascii="Times New Roman" w:hAnsi="Times New Roman" w:cs="Times New Roman"/>
          <w:sz w:val="24"/>
          <w:szCs w:val="24"/>
        </w:rPr>
        <w:t>, potendo ipotizzarsi previsioni d'integrazione anche in ambito urbanistico locale o regionale. Non sembra tuttavia possibile attribuire alle opere espressamente indicate, una classificazione diversa da quella effettuata dal legislatore.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lastRenderedPageBreak/>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Sempre con riguardo al costo di costruzione, il Legislatore detta un regime differenziato tra edifici nuovi ed esistenti.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Per i primi, ai sensi del comma 9, il costo per i nuovi edifici è determinato periodicamente dalle regioni con riferimento ai costi massimi ammissibili per l'edilizia agevolata, definiti dalle regioni medesime a norma della lettera </w:t>
      </w:r>
      <w:r w:rsidR="006E1C24" w:rsidRPr="000A2273">
        <w:rPr>
          <w:rFonts w:ascii="Times New Roman" w:hAnsi="Times New Roman" w:cs="Times New Roman"/>
          <w:i/>
          <w:sz w:val="24"/>
          <w:szCs w:val="24"/>
        </w:rPr>
        <w:t>g</w:t>
      </w:r>
      <w:r w:rsidR="006E1C24" w:rsidRPr="000A2273">
        <w:rPr>
          <w:rFonts w:ascii="Times New Roman" w:hAnsi="Times New Roman" w:cs="Times New Roman"/>
          <w:sz w:val="24"/>
          <w:szCs w:val="24"/>
        </w:rPr>
        <w:t>) del primo comma dell'articolo 4 l. n. 457/1978</w:t>
      </w:r>
      <w:r w:rsidR="006E1C24" w:rsidRPr="000A2273">
        <w:rPr>
          <w:rStyle w:val="Rimandonotaapidipagina"/>
          <w:rFonts w:ascii="Times New Roman" w:hAnsi="Times New Roman"/>
          <w:sz w:val="24"/>
          <w:szCs w:val="24"/>
        </w:rPr>
        <w:footnoteReference w:id="20"/>
      </w:r>
      <w:r w:rsidR="006E1C24" w:rsidRPr="000A2273">
        <w:rPr>
          <w:rFonts w:ascii="Times New Roman" w:hAnsi="Times New Roman" w:cs="Times New Roman"/>
          <w:sz w:val="24"/>
          <w:szCs w:val="24"/>
        </w:rPr>
        <w:t>. Con lo stesso provvedimento le regioni identificano classi di edifici con caratteristiche superiori a quelle considerate nelle vigenti disposizioni di legge per l'edilizia agevolata, per le quali sono determinate maggiorazioni del costo di costruzione in misura non superiore al 50 per cento. Nei periodi intercorrenti tra le determinazioni regionali, ovvero in assenza di tali determinazioni, il costo di costruzione è adeguato annualmente, ed autonomamente, in ragione dell'intervenuta variazione dei costi di costruzione accertata dall'Istituto nazionale di statistica (ISTAT). Il contributo relativo al permesso di costruire comprende una quota di detto costo, variabile dal 5 per cento al 20 per cento, determinata dalle regioni in funzione delle caratteristiche e delle tipologie delle costruzioni e della loro destinazione ed ubicazione.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Per gli interventi su edifici esistenti, ai sensi del comma 10, il costo di costruzione è determinato in relazione al costo degli interventi stessi, così come individuati dal comune in base ai progetti presentati per ottenere il permesso di costruire.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Allo scopo di incentivare il recupero del patrimonio edilizio esistente, per gli interventi di ristrutturazione edilizia (art. 3, comma 1, </w:t>
      </w:r>
      <w:proofErr w:type="spellStart"/>
      <w:r w:rsidR="006E1C24" w:rsidRPr="000A2273">
        <w:rPr>
          <w:rFonts w:ascii="Times New Roman" w:hAnsi="Times New Roman" w:cs="Times New Roman"/>
          <w:sz w:val="24"/>
          <w:szCs w:val="24"/>
        </w:rPr>
        <w:t>lett</w:t>
      </w:r>
      <w:proofErr w:type="spellEnd"/>
      <w:r w:rsidR="006E1C24" w:rsidRPr="000A2273">
        <w:rPr>
          <w:rFonts w:ascii="Times New Roman" w:hAnsi="Times New Roman" w:cs="Times New Roman"/>
          <w:sz w:val="24"/>
          <w:szCs w:val="24"/>
        </w:rPr>
        <w:t xml:space="preserve">. </w:t>
      </w:r>
      <w:r w:rsidR="006E1C24" w:rsidRPr="000A2273">
        <w:rPr>
          <w:rFonts w:ascii="Times New Roman" w:hAnsi="Times New Roman" w:cs="Times New Roman"/>
          <w:i/>
          <w:sz w:val="24"/>
          <w:szCs w:val="24"/>
        </w:rPr>
        <w:t>d</w:t>
      </w:r>
      <w:r w:rsidR="006E1C24" w:rsidRPr="000A2273">
        <w:rPr>
          <w:rFonts w:ascii="Times New Roman" w:hAnsi="Times New Roman" w:cs="Times New Roman"/>
          <w:sz w:val="24"/>
          <w:szCs w:val="24"/>
        </w:rPr>
        <w:t xml:space="preserve">) </w:t>
      </w:r>
      <w:proofErr w:type="spellStart"/>
      <w:r w:rsidR="006E1C24" w:rsidRPr="000A2273">
        <w:rPr>
          <w:rFonts w:ascii="Times New Roman" w:hAnsi="Times New Roman" w:cs="Times New Roman"/>
          <w:sz w:val="24"/>
          <w:szCs w:val="24"/>
        </w:rPr>
        <w:t>d.P.R.</w:t>
      </w:r>
      <w:proofErr w:type="spellEnd"/>
      <w:r w:rsidR="006E1C24" w:rsidRPr="000A2273">
        <w:rPr>
          <w:rFonts w:ascii="Times New Roman" w:hAnsi="Times New Roman" w:cs="Times New Roman"/>
          <w:sz w:val="24"/>
          <w:szCs w:val="24"/>
        </w:rPr>
        <w:t xml:space="preserve"> n. 380/2001), i comuni hanno comunque la facoltà di deliberare che i costi di costruzione ad essi relativi non superino i valori determinati per le nuove costruzioni ai sensi del comma 6 del medesimo art. 16.</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&lt;/para&gt;&lt;/testo&gt;&lt;/domanda&gt;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6E1C2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Questione di interesse è indubbiamente quella relativa all’individuazione delle concessioni a cui si applicano gli oneri di urbanizzazione.</w:t>
      </w:r>
      <w:r w:rsidR="00720F84" w:rsidRPr="000A2273">
        <w:rPr>
          <w:rFonts w:ascii="Times New Roman" w:hAnsi="Times New Roman" w:cs="Times New Roman"/>
          <w:sz w:val="24"/>
          <w:szCs w:val="24"/>
          <w:highlight w:val="yellow"/>
        </w:rPr>
        <w:fldChar w:fldCharType="begin"/>
      </w:r>
      <w:r w:rsidRPr="000A2273">
        <w:rPr>
          <w:rFonts w:ascii="Times New Roman" w:hAnsi="Times New Roman" w:cs="Times New Roman"/>
          <w:sz w:val="24"/>
          <w:szCs w:val="24"/>
          <w:highlight w:val="yellow"/>
        </w:rPr>
        <w:instrText>&lt;domanda&gt;&lt;rubrica&gt;</w:instrText>
      </w:r>
      <w:r w:rsidR="00720F84" w:rsidRPr="000A2273">
        <w:rPr>
          <w:rFonts w:ascii="Times New Roman" w:hAnsi="Times New Roman" w:cs="Times New Roman"/>
          <w:sz w:val="24"/>
          <w:szCs w:val="24"/>
          <w:highlight w:val="yellow"/>
        </w:rPr>
        <w:fldChar w:fldCharType="end"/>
      </w:r>
      <w:r w:rsidRPr="000A2273">
        <w:rPr>
          <w:rFonts w:ascii="Times New Roman" w:hAnsi="Times New Roman" w:cs="Times New Roman"/>
          <w:sz w:val="24"/>
          <w:szCs w:val="24"/>
        </w:rPr>
        <w:t xml:space="preserve"> </w:t>
      </w:r>
    </w:p>
    <w:p w:rsidR="006E1C24" w:rsidRPr="000A2273" w:rsidRDefault="006E1C24" w:rsidP="006E1C24">
      <w:pPr>
        <w:pStyle w:val="para"/>
        <w:spacing w:before="85"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t xml:space="preserve">A tale proposito è possibile affermare che </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&lt;/rubrica&gt;&lt;testo&gt;&lt;para&gt;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xml:space="preserve">l'adeguamento degli oneri di urbanizzazione trovi applicazione esclusivamente per i permessi rilasciati al momento dell'adozione dell'atto deliberativo e non in un momento successivo. Anche le determinazioni comunali a carattere regolamentare con cui vengono stabiliti i criteri generali e le nuove tariffe ovvero le modalità di calcolo per gli oneri di urbanizzazione non hanno carattere retroattivo, trovando anche per gli atti amministrativi generali, aventi natura regolamentare, il principio </w:t>
      </w:r>
      <w:proofErr w:type="spellStart"/>
      <w:r w:rsidRPr="000A2273">
        <w:rPr>
          <w:rFonts w:ascii="Times New Roman" w:hAnsi="Times New Roman" w:cs="Times New Roman"/>
          <w:i/>
          <w:sz w:val="24"/>
          <w:szCs w:val="24"/>
        </w:rPr>
        <w:t>tempus</w:t>
      </w:r>
      <w:proofErr w:type="spellEnd"/>
      <w:r w:rsidRPr="000A2273">
        <w:rPr>
          <w:rFonts w:ascii="Times New Roman" w:hAnsi="Times New Roman" w:cs="Times New Roman"/>
          <w:i/>
          <w:sz w:val="24"/>
          <w:szCs w:val="24"/>
        </w:rPr>
        <w:t xml:space="preserve"> </w:t>
      </w:r>
      <w:proofErr w:type="spellStart"/>
      <w:r w:rsidRPr="000A2273">
        <w:rPr>
          <w:rFonts w:ascii="Times New Roman" w:hAnsi="Times New Roman" w:cs="Times New Roman"/>
          <w:i/>
          <w:sz w:val="24"/>
          <w:szCs w:val="24"/>
        </w:rPr>
        <w:t>regit</w:t>
      </w:r>
      <w:proofErr w:type="spellEnd"/>
      <w:r w:rsidRPr="000A2273">
        <w:rPr>
          <w:rFonts w:ascii="Times New Roman" w:hAnsi="Times New Roman" w:cs="Times New Roman"/>
          <w:i/>
          <w:sz w:val="24"/>
          <w:szCs w:val="24"/>
        </w:rPr>
        <w:t xml:space="preserve"> </w:t>
      </w:r>
      <w:proofErr w:type="spellStart"/>
      <w:r w:rsidRPr="000A2273">
        <w:rPr>
          <w:rFonts w:ascii="Times New Roman" w:hAnsi="Times New Roman" w:cs="Times New Roman"/>
          <w:i/>
          <w:sz w:val="24"/>
          <w:szCs w:val="24"/>
        </w:rPr>
        <w:t>actum</w:t>
      </w:r>
      <w:proofErr w:type="spellEnd"/>
      <w:r w:rsidRPr="000A2273">
        <w:rPr>
          <w:rFonts w:ascii="Times New Roman" w:hAnsi="Times New Roman" w:cs="Times New Roman"/>
          <w:sz w:val="24"/>
          <w:szCs w:val="24"/>
        </w:rPr>
        <w:t xml:space="preserve">. Ciò comporta l'irrilevanza di disposizioni tariffarie sopravvenute rispetto al momento del rilascio della concessione </w:t>
      </w:r>
      <w:proofErr w:type="gramStart"/>
      <w:r w:rsidRPr="000A2273">
        <w:rPr>
          <w:rFonts w:ascii="Times New Roman" w:hAnsi="Times New Roman" w:cs="Times New Roman"/>
          <w:sz w:val="24"/>
          <w:szCs w:val="24"/>
        </w:rPr>
        <w:t>edilizia</w:t>
      </w:r>
      <w:r w:rsidRPr="000A2273">
        <w:rPr>
          <w:rStyle w:val="Rimandonotaapidipagina"/>
          <w:rFonts w:ascii="Times New Roman" w:hAnsi="Times New Roman"/>
          <w:sz w:val="24"/>
          <w:szCs w:val="24"/>
        </w:rPr>
        <w:footnoteReference w:id="21"/>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&lt;?xpp usb?&gt;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xml:space="preserve"> </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&lt;?xpp nota;f102;an?&gt;</w:instrText>
      </w:r>
      <w:r w:rsidR="00720F84" w:rsidRPr="000A2273">
        <w:rPr>
          <w:rFonts w:ascii="Times New Roman" w:hAnsi="Times New Roman" w:cs="Times New Roman"/>
          <w:sz w:val="24"/>
          <w:szCs w:val="24"/>
        </w:rPr>
        <w:fldChar w:fldCharType="end"/>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[#noteRef:/fn:an:#]</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w:t>
      </w:r>
      <w:proofErr w:type="gramEnd"/>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&lt;/para&gt;&lt;/testo&gt;&lt;/domanda&gt;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 xml:space="preserve"> </w:t>
      </w:r>
    </w:p>
    <w:p w:rsidR="006E1C24" w:rsidRPr="000A2273" w:rsidRDefault="00720F84" w:rsidP="006E1C24">
      <w:pPr>
        <w:pStyle w:val="domanda"/>
        <w:numPr>
          <w:ilvl w:val="0"/>
          <w:numId w:val="4"/>
        </w:numPr>
        <w:rPr>
          <w:rFonts w:ascii="Times New Roman" w:hAnsi="Times New Roman" w:cs="Times New Roman"/>
          <w:sz w:val="24"/>
          <w:szCs w:val="24"/>
        </w:rPr>
      </w:pPr>
      <w:r w:rsidRPr="000A2273">
        <w:rPr>
          <w:rFonts w:ascii="Times New Roman" w:hAnsi="Times New Roman" w:cs="Times New Roman"/>
          <w:b/>
          <w:sz w:val="24"/>
          <w:szCs w:val="24"/>
        </w:rPr>
        <w:fldChar w:fldCharType="begin"/>
      </w:r>
      <w:r w:rsidR="006E1C24" w:rsidRPr="000A2273">
        <w:rPr>
          <w:rFonts w:ascii="Times New Roman" w:hAnsi="Times New Roman" w:cs="Times New Roman"/>
          <w:b/>
          <w:sz w:val="24"/>
          <w:szCs w:val="24"/>
        </w:rPr>
        <w:instrText>&lt;domanda&gt;&lt;rubrica&gt;</w:instrText>
      </w:r>
      <w:r w:rsidRPr="000A2273">
        <w:rPr>
          <w:rFonts w:ascii="Times New Roman" w:hAnsi="Times New Roman" w:cs="Times New Roman"/>
          <w:b/>
          <w:sz w:val="24"/>
          <w:szCs w:val="24"/>
        </w:rPr>
        <w:fldChar w:fldCharType="end"/>
      </w:r>
      <w:r w:rsidR="006E1C24" w:rsidRPr="000A2273">
        <w:rPr>
          <w:rFonts w:ascii="Times New Roman" w:hAnsi="Times New Roman" w:cs="Times New Roman"/>
          <w:b/>
          <w:sz w:val="24"/>
          <w:szCs w:val="24"/>
        </w:rPr>
        <w:t>I casi di riduzione ed esonero dal contributo di costruzione.</w:t>
      </w:r>
    </w:p>
    <w:p w:rsidR="006E1C24" w:rsidRPr="000A2273" w:rsidRDefault="00720F84" w:rsidP="006E1C24">
      <w:pPr>
        <w:pStyle w:val="para"/>
        <w:spacing w:before="85"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&lt;/rubrica&gt;&lt;testo&gt;&lt;para&gt;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L'art. 17 TUE contempla situazioni per le quali è possibile godere della riduzione o dell'esonero totale dal contributo di costruzione.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La </w:t>
      </w:r>
      <w:r w:rsidR="006E1C24" w:rsidRPr="000A2273">
        <w:rPr>
          <w:rFonts w:ascii="Times New Roman" w:hAnsi="Times New Roman" w:cs="Times New Roman"/>
          <w:b/>
          <w:sz w:val="24"/>
          <w:szCs w:val="24"/>
        </w:rPr>
        <w:t>riduzione</w:t>
      </w:r>
      <w:r w:rsidR="006E1C24" w:rsidRPr="000A2273">
        <w:rPr>
          <w:rFonts w:ascii="Times New Roman" w:hAnsi="Times New Roman" w:cs="Times New Roman"/>
          <w:sz w:val="24"/>
          <w:szCs w:val="24"/>
        </w:rPr>
        <w:t xml:space="preserve"> è prevista per l'</w:t>
      </w:r>
      <w:r w:rsidR="006E1C24" w:rsidRPr="000A2273">
        <w:rPr>
          <w:rFonts w:ascii="Times New Roman" w:hAnsi="Times New Roman" w:cs="Times New Roman"/>
          <w:b/>
          <w:sz w:val="24"/>
          <w:szCs w:val="24"/>
        </w:rPr>
        <w:t>edilizia abitativa convenzionata</w:t>
      </w:r>
      <w:r w:rsidR="006E1C24" w:rsidRPr="000A2273">
        <w:rPr>
          <w:rFonts w:ascii="Times New Roman" w:hAnsi="Times New Roman" w:cs="Times New Roman"/>
          <w:sz w:val="24"/>
          <w:szCs w:val="24"/>
        </w:rPr>
        <w:t xml:space="preserve"> relativa anche ad edifici esistenti. Il contributo in questo caso è ridotto alla quota degli oneri di urbanizzazione a condizione che il titolare del permesso si impegni con il comune ad applicare prezzi di vendita e canoni di locazione determinati in conformità alla convenzione-tipo approvata dalla Regione.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A tali fini, la convenzione-tipo, come previsto dall'art. 18, deve rispondere ai seguenti requisiti: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a</w:t>
      </w:r>
      <w:r w:rsidR="006E1C24" w:rsidRPr="000A2273">
        <w:rPr>
          <w:rFonts w:ascii="Times New Roman" w:hAnsi="Times New Roman" w:cs="Times New Roman"/>
          <w:sz w:val="24"/>
          <w:szCs w:val="24"/>
        </w:rPr>
        <w:t>) abbia di durata non inferiore a 20 e non superiore a 30 anni;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b</w:t>
      </w:r>
      <w:r w:rsidR="006E1C24" w:rsidRPr="000A2273">
        <w:rPr>
          <w:rFonts w:ascii="Times New Roman" w:hAnsi="Times New Roman" w:cs="Times New Roman"/>
          <w:sz w:val="24"/>
          <w:szCs w:val="24"/>
        </w:rPr>
        <w:t>) indichi le caratteristiche tipologiche e costruttive degli alloggi;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c</w:t>
      </w:r>
      <w:r w:rsidR="006E1C24" w:rsidRPr="000A2273">
        <w:rPr>
          <w:rFonts w:ascii="Times New Roman" w:hAnsi="Times New Roman" w:cs="Times New Roman"/>
          <w:sz w:val="24"/>
          <w:szCs w:val="24"/>
        </w:rPr>
        <w:t>) indichi i prezzi di cessione degli alloggi, sulla base del costo delle aree, della costruzione e delle opere di urbanizzazione, nonché delle spese generali, comprese quelle per la progettazione e degli oneri di preammortamento e di finanziamento;</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d</w:t>
      </w:r>
      <w:r w:rsidR="006E1C24" w:rsidRPr="000A2273">
        <w:rPr>
          <w:rFonts w:ascii="Times New Roman" w:hAnsi="Times New Roman" w:cs="Times New Roman"/>
          <w:sz w:val="24"/>
          <w:szCs w:val="24"/>
        </w:rPr>
        <w:t>) determini i canoni di locazione in percentuale del valore desunto dai prezzi fissati per la cessione degli alloggi.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La convenzione può essere sostituita da un atto unilaterale d'impegno, che il comune accetta, idoneo a determinare l'insorgere di oneri reali riguardo al prezzo di vendita degli alloggi o di locazione.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lastRenderedPageBreak/>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Il contributo per la realizzazione della prima abitazione è pari a quanto stabilito per la corrispondente edilizia residenziale pubblica, purché sussistano i requisiti indicati dalla normativa di settore.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L'art. 18, commi da 2 a 4, fissa poi alcuni criteri relativamente alla determinazione nella convenzione tipo delle regioni, relativamente a costo delle aree, prezzi di cessione e canoni di locazione.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Il comma 5 stabilisce che ogni pattuizione stipulata in violazione dei prezzi di cessione e dei canoni di locazione è nulla per la parte eccedente. La nullità è parziale ai sensi dell'art. 1419, comma 2, con conseguente sostituzione di diritto della clausola nulla.</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L'art. 17, comma 3, richiama i casi per i quali invece il contributo di costruzione non è dovuto. Questi sono:</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a</w:t>
      </w:r>
      <w:r w:rsidR="006E1C24" w:rsidRPr="000A2273">
        <w:rPr>
          <w:rFonts w:ascii="Times New Roman" w:hAnsi="Times New Roman" w:cs="Times New Roman"/>
          <w:sz w:val="24"/>
          <w:szCs w:val="24"/>
        </w:rPr>
        <w:t xml:space="preserve">) gli interventi da realizzare nelle </w:t>
      </w:r>
      <w:r w:rsidR="006E1C24" w:rsidRPr="000A2273">
        <w:rPr>
          <w:rFonts w:ascii="Times New Roman" w:hAnsi="Times New Roman" w:cs="Times New Roman"/>
          <w:b/>
          <w:sz w:val="24"/>
          <w:szCs w:val="24"/>
        </w:rPr>
        <w:t>zone agricole</w:t>
      </w:r>
      <w:r w:rsidR="006E1C24" w:rsidRPr="000A2273">
        <w:rPr>
          <w:rFonts w:ascii="Times New Roman" w:hAnsi="Times New Roman" w:cs="Times New Roman"/>
          <w:sz w:val="24"/>
          <w:szCs w:val="24"/>
        </w:rPr>
        <w:t>, ivi comprese le residenze, sempreché siano funzionali alla conduzione del fondo ed alle esigenze dell'imprenditore agricolo a titolo principale (art. 12 l. 9 maggio 1975, n. 153); l'art. 10 del d.lgs. n. 228/2001 ha esteso il regime alle persone giuridiche; dall'agevolazione sono esclusi gli agriturismi</w:t>
      </w:r>
      <w:r w:rsidR="006E1C24" w:rsidRPr="000A2273">
        <w:rPr>
          <w:rStyle w:val="Rimandonotaapidipagina"/>
          <w:rFonts w:ascii="Times New Roman" w:hAnsi="Times New Roman"/>
          <w:sz w:val="24"/>
          <w:szCs w:val="24"/>
        </w:rPr>
        <w:footnoteReference w:id="22"/>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[#noteRef:/fn:an:#]</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b</w:t>
      </w:r>
      <w:r w:rsidR="006E1C24" w:rsidRPr="000A2273">
        <w:rPr>
          <w:rFonts w:ascii="Times New Roman" w:hAnsi="Times New Roman" w:cs="Times New Roman"/>
          <w:sz w:val="24"/>
          <w:szCs w:val="24"/>
        </w:rPr>
        <w:t xml:space="preserve">) gli interventi di </w:t>
      </w:r>
      <w:r w:rsidR="006E1C24" w:rsidRPr="000A2273">
        <w:rPr>
          <w:rFonts w:ascii="Times New Roman" w:hAnsi="Times New Roman" w:cs="Times New Roman"/>
          <w:b/>
          <w:sz w:val="24"/>
          <w:szCs w:val="24"/>
        </w:rPr>
        <w:t>ristrutturazione</w:t>
      </w:r>
      <w:r w:rsidR="006E1C24" w:rsidRPr="000A2273">
        <w:rPr>
          <w:rFonts w:ascii="Times New Roman" w:hAnsi="Times New Roman" w:cs="Times New Roman"/>
          <w:sz w:val="24"/>
          <w:szCs w:val="24"/>
        </w:rPr>
        <w:t xml:space="preserve"> e di </w:t>
      </w:r>
      <w:r w:rsidR="006E1C24" w:rsidRPr="000A2273">
        <w:rPr>
          <w:rFonts w:ascii="Times New Roman" w:hAnsi="Times New Roman" w:cs="Times New Roman"/>
          <w:b/>
          <w:sz w:val="24"/>
          <w:szCs w:val="24"/>
        </w:rPr>
        <w:t>ampliamento</w:t>
      </w:r>
      <w:r w:rsidR="006E1C24" w:rsidRPr="000A2273">
        <w:rPr>
          <w:rFonts w:ascii="Times New Roman" w:hAnsi="Times New Roman" w:cs="Times New Roman"/>
          <w:sz w:val="24"/>
          <w:szCs w:val="24"/>
        </w:rPr>
        <w:t xml:space="preserve">, in misura </w:t>
      </w:r>
      <w:r w:rsidR="006E1C24" w:rsidRPr="000A2273">
        <w:rPr>
          <w:rFonts w:ascii="Times New Roman" w:hAnsi="Times New Roman" w:cs="Times New Roman"/>
          <w:b/>
          <w:sz w:val="24"/>
          <w:szCs w:val="24"/>
        </w:rPr>
        <w:t>non</w:t>
      </w:r>
      <w:r w:rsidR="006E1C24" w:rsidRPr="000A2273">
        <w:rPr>
          <w:rFonts w:ascii="Times New Roman" w:hAnsi="Times New Roman" w:cs="Times New Roman"/>
          <w:sz w:val="24"/>
          <w:szCs w:val="24"/>
        </w:rPr>
        <w:t xml:space="preserve"> </w:t>
      </w:r>
      <w:r w:rsidR="006E1C24" w:rsidRPr="000A2273">
        <w:rPr>
          <w:rFonts w:ascii="Times New Roman" w:hAnsi="Times New Roman" w:cs="Times New Roman"/>
          <w:b/>
          <w:sz w:val="24"/>
          <w:szCs w:val="24"/>
        </w:rPr>
        <w:t>superiore al 20%</w:t>
      </w:r>
      <w:r w:rsidR="006E1C24" w:rsidRPr="000A2273">
        <w:rPr>
          <w:rFonts w:ascii="Times New Roman" w:hAnsi="Times New Roman" w:cs="Times New Roman"/>
          <w:sz w:val="24"/>
          <w:szCs w:val="24"/>
        </w:rPr>
        <w:t>, di edifici unifamiliari;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c</w:t>
      </w:r>
      <w:r w:rsidR="006E1C24" w:rsidRPr="000A2273">
        <w:rPr>
          <w:rFonts w:ascii="Times New Roman" w:hAnsi="Times New Roman" w:cs="Times New Roman"/>
          <w:sz w:val="24"/>
          <w:szCs w:val="24"/>
        </w:rPr>
        <w:t xml:space="preserve">) </w:t>
      </w:r>
      <w:r w:rsidR="006E1C24" w:rsidRPr="000A2273">
        <w:rPr>
          <w:rFonts w:ascii="Times New Roman" w:hAnsi="Times New Roman" w:cs="Times New Roman"/>
          <w:b/>
          <w:sz w:val="24"/>
          <w:szCs w:val="24"/>
        </w:rPr>
        <w:t xml:space="preserve">gli impianti, le attrezzature, le opere pubbliche o di interesse generale </w:t>
      </w:r>
      <w:r w:rsidR="006E1C24" w:rsidRPr="000A2273">
        <w:rPr>
          <w:rFonts w:ascii="Times New Roman" w:hAnsi="Times New Roman" w:cs="Times New Roman"/>
          <w:sz w:val="24"/>
          <w:szCs w:val="24"/>
        </w:rPr>
        <w:t>realizzate dagli enti istituzionalmente competenti nonché per le opere di urbanizzazione, eseguite anche da privati, in attuazione di strumenti urbanistici;</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d</w:t>
      </w:r>
      <w:r w:rsidR="006E1C24" w:rsidRPr="000A2273">
        <w:rPr>
          <w:rFonts w:ascii="Times New Roman" w:hAnsi="Times New Roman" w:cs="Times New Roman"/>
          <w:sz w:val="24"/>
          <w:szCs w:val="24"/>
        </w:rPr>
        <w:t xml:space="preserve">) </w:t>
      </w:r>
      <w:r w:rsidR="006E1C24" w:rsidRPr="000A2273">
        <w:rPr>
          <w:rFonts w:ascii="Times New Roman" w:hAnsi="Times New Roman" w:cs="Times New Roman"/>
          <w:b/>
          <w:sz w:val="24"/>
          <w:szCs w:val="24"/>
        </w:rPr>
        <w:t>gli interventi da realizzare</w:t>
      </w:r>
      <w:r w:rsidR="006E1C24" w:rsidRPr="000A2273">
        <w:rPr>
          <w:rFonts w:ascii="Times New Roman" w:hAnsi="Times New Roman" w:cs="Times New Roman"/>
          <w:sz w:val="24"/>
          <w:szCs w:val="24"/>
        </w:rPr>
        <w:t xml:space="preserve"> in attuazione di norme o di provvedimenti emanati a seguito di </w:t>
      </w:r>
      <w:r w:rsidR="006E1C24" w:rsidRPr="000A2273">
        <w:rPr>
          <w:rFonts w:ascii="Times New Roman" w:hAnsi="Times New Roman" w:cs="Times New Roman"/>
          <w:b/>
          <w:sz w:val="24"/>
          <w:szCs w:val="24"/>
        </w:rPr>
        <w:t>pubbliche calamità</w:t>
      </w:r>
      <w:r w:rsidR="006E1C24" w:rsidRPr="000A2273">
        <w:rPr>
          <w:rFonts w:ascii="Times New Roman" w:hAnsi="Times New Roman" w:cs="Times New Roman"/>
          <w:sz w:val="24"/>
          <w:szCs w:val="24"/>
        </w:rPr>
        <w:t>;</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i/>
          <w:sz w:val="24"/>
          <w:szCs w:val="24"/>
        </w:rPr>
        <w:t>e</w:t>
      </w:r>
      <w:r w:rsidR="006E1C24" w:rsidRPr="000A2273">
        <w:rPr>
          <w:rFonts w:ascii="Times New Roman" w:hAnsi="Times New Roman" w:cs="Times New Roman"/>
          <w:sz w:val="24"/>
          <w:szCs w:val="24"/>
        </w:rPr>
        <w:t xml:space="preserve">) </w:t>
      </w:r>
      <w:r w:rsidR="006E1C24" w:rsidRPr="000A2273">
        <w:rPr>
          <w:rFonts w:ascii="Times New Roman" w:hAnsi="Times New Roman" w:cs="Times New Roman"/>
          <w:b/>
          <w:sz w:val="24"/>
          <w:szCs w:val="24"/>
        </w:rPr>
        <w:t>i nuovi impianti, lavori, opere, modifiche, installazioni, relativi alle fonti rinnovabili di energia, alla conservazione, al risparmio e all'uso razionale dell'energia,</w:t>
      </w:r>
      <w:r w:rsidR="006E1C24" w:rsidRPr="000A2273">
        <w:rPr>
          <w:rFonts w:ascii="Times New Roman" w:hAnsi="Times New Roman" w:cs="Times New Roman"/>
          <w:sz w:val="24"/>
          <w:szCs w:val="24"/>
        </w:rPr>
        <w:t xml:space="preserve"> nel rispetto delle norme urbanistiche, di tutela dell’assetto idrogeologico, artistico-storica e ambientale.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Riguardo poi agli interventi da realizzare su immobili di proprietà dello Stato, il comma 4 dell'art. 17 stabilisce che il contributo di costruzione è commisurato all'incidenza delle sole opere di urbanizzazione; è pertanto escluso il costo di costruzione.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&lt;/para&gt;&lt;/testo&gt;&lt;/domanda&gt;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Il comma, modificato dal d. l. 133/2014 continua a fare riferimento agli interventi di manutenzione straordinaria di cui all’art. 6, comma 2, </w:t>
      </w:r>
      <w:proofErr w:type="spellStart"/>
      <w:r w:rsidR="006E1C24" w:rsidRPr="000A2273">
        <w:rPr>
          <w:rFonts w:ascii="Times New Roman" w:hAnsi="Times New Roman" w:cs="Times New Roman"/>
          <w:sz w:val="24"/>
          <w:szCs w:val="24"/>
        </w:rPr>
        <w:t>lett</w:t>
      </w:r>
      <w:proofErr w:type="spellEnd"/>
      <w:r w:rsidR="006E1C24" w:rsidRPr="000A2273">
        <w:rPr>
          <w:rFonts w:ascii="Times New Roman" w:hAnsi="Times New Roman" w:cs="Times New Roman"/>
          <w:sz w:val="24"/>
          <w:szCs w:val="24"/>
        </w:rPr>
        <w:t xml:space="preserve">. a), benché la disposizione sia stata abrogata; il rinvio deve quindi intendersi riferito all’art. 3, comma </w:t>
      </w:r>
      <w:r w:rsidR="00D04895">
        <w:rPr>
          <w:rFonts w:ascii="Times New Roman" w:hAnsi="Times New Roman" w:cs="Times New Roman"/>
          <w:sz w:val="24"/>
          <w:szCs w:val="24"/>
        </w:rPr>
        <w:t xml:space="preserve">1, </w:t>
      </w:r>
      <w:proofErr w:type="spellStart"/>
      <w:r w:rsidR="00D04895">
        <w:rPr>
          <w:rFonts w:ascii="Times New Roman" w:hAnsi="Times New Roman" w:cs="Times New Roman"/>
          <w:sz w:val="24"/>
          <w:szCs w:val="24"/>
        </w:rPr>
        <w:t>lett</w:t>
      </w:r>
      <w:proofErr w:type="spellEnd"/>
      <w:r w:rsidR="00D04895">
        <w:rPr>
          <w:rFonts w:ascii="Times New Roman" w:hAnsi="Times New Roman" w:cs="Times New Roman"/>
          <w:sz w:val="24"/>
          <w:szCs w:val="24"/>
        </w:rPr>
        <w:t>. b)</w:t>
      </w:r>
      <w:r w:rsidR="006E1C24" w:rsidRPr="000A2273">
        <w:rPr>
          <w:rFonts w:ascii="Times New Roman" w:hAnsi="Times New Roman" w:cs="Times New Roman"/>
          <w:sz w:val="24"/>
          <w:szCs w:val="24"/>
        </w:rPr>
        <w:t xml:space="preserve"> </w:t>
      </w:r>
      <w:proofErr w:type="spellStart"/>
      <w:r w:rsidR="006E1C24" w:rsidRPr="000A2273">
        <w:rPr>
          <w:rFonts w:ascii="Times New Roman" w:hAnsi="Times New Roman" w:cs="Times New Roman"/>
          <w:sz w:val="24"/>
          <w:szCs w:val="24"/>
        </w:rPr>
        <w:t>d.P.R.</w:t>
      </w:r>
      <w:proofErr w:type="spellEnd"/>
      <w:r w:rsidR="006E1C24" w:rsidRPr="000A2273">
        <w:rPr>
          <w:rFonts w:ascii="Times New Roman" w:hAnsi="Times New Roman" w:cs="Times New Roman"/>
          <w:sz w:val="24"/>
          <w:szCs w:val="24"/>
        </w:rPr>
        <w:t xml:space="preserve"> 380/2001</w:t>
      </w:r>
      <w:r w:rsidR="006E1C24" w:rsidRPr="000A2273">
        <w:rPr>
          <w:rStyle w:val="Rimandonotaapidipagina"/>
          <w:rFonts w:ascii="Times New Roman" w:hAnsi="Times New Roman"/>
          <w:sz w:val="24"/>
          <w:szCs w:val="24"/>
        </w:rPr>
        <w:footnoteReference w:id="23"/>
      </w:r>
      <w:r w:rsidR="006E1C24" w:rsidRPr="000A2273">
        <w:rPr>
          <w:rFonts w:ascii="Times New Roman" w:hAnsi="Times New Roman" w:cs="Times New Roman"/>
          <w:sz w:val="24"/>
          <w:szCs w:val="24"/>
        </w:rPr>
        <w:t>.</w:t>
      </w:r>
    </w:p>
    <w:p w:rsidR="006E1C24" w:rsidRPr="000A2273" w:rsidRDefault="006E1C24" w:rsidP="006E1C24">
      <w:pPr>
        <w:pStyle w:val="domanda"/>
        <w:rPr>
          <w:rFonts w:ascii="Times New Roman" w:hAnsi="Times New Roman" w:cs="Times New Roman"/>
          <w:sz w:val="24"/>
          <w:szCs w:val="24"/>
        </w:rPr>
      </w:pPr>
      <w:r w:rsidRPr="000A2273">
        <w:rPr>
          <w:rFonts w:ascii="Times New Roman" w:hAnsi="Times New Roman" w:cs="Times New Roman"/>
          <w:sz w:val="24"/>
          <w:szCs w:val="24"/>
        </w:rPr>
        <w:t xml:space="preserve">Questione meritevole di sottolineatura è quella </w:t>
      </w:r>
      <w:proofErr w:type="gramStart"/>
      <w:r w:rsidRPr="000A2273">
        <w:rPr>
          <w:rFonts w:ascii="Times New Roman" w:hAnsi="Times New Roman" w:cs="Times New Roman"/>
          <w:sz w:val="24"/>
          <w:szCs w:val="24"/>
        </w:rPr>
        <w:t>relativa  alla</w:t>
      </w:r>
      <w:proofErr w:type="gramEnd"/>
      <w:r w:rsidRPr="000A2273">
        <w:rPr>
          <w:rFonts w:ascii="Times New Roman" w:hAnsi="Times New Roman" w:cs="Times New Roman"/>
          <w:sz w:val="24"/>
          <w:szCs w:val="24"/>
        </w:rPr>
        <w:t xml:space="preserve"> determinazione </w:t>
      </w:r>
      <w:r w:rsidR="00720F84" w:rsidRPr="000A2273">
        <w:rPr>
          <w:rFonts w:ascii="Times New Roman" w:hAnsi="Times New Roman" w:cs="Times New Roman"/>
          <w:sz w:val="24"/>
          <w:szCs w:val="24"/>
        </w:rPr>
        <w:fldChar w:fldCharType="begin"/>
      </w:r>
      <w:r w:rsidRPr="000A2273">
        <w:rPr>
          <w:rFonts w:ascii="Times New Roman" w:hAnsi="Times New Roman" w:cs="Times New Roman"/>
          <w:sz w:val="24"/>
          <w:szCs w:val="24"/>
        </w:rPr>
        <w:instrText>&lt;domanda&gt;&lt;rubrica&gt;</w:instrText>
      </w:r>
      <w:r w:rsidR="00720F84" w:rsidRPr="000A2273">
        <w:rPr>
          <w:rFonts w:ascii="Times New Roman" w:hAnsi="Times New Roman" w:cs="Times New Roman"/>
          <w:sz w:val="24"/>
          <w:szCs w:val="24"/>
        </w:rPr>
        <w:fldChar w:fldCharType="end"/>
      </w:r>
      <w:r w:rsidRPr="000A2273">
        <w:rPr>
          <w:rFonts w:ascii="Times New Roman" w:hAnsi="Times New Roman" w:cs="Times New Roman"/>
          <w:sz w:val="24"/>
          <w:szCs w:val="24"/>
        </w:rPr>
        <w:t>del contributo di costruzione per</w:t>
      </w:r>
      <w:r w:rsidRPr="000A2273">
        <w:rPr>
          <w:rFonts w:ascii="Times New Roman" w:hAnsi="Times New Roman" w:cs="Times New Roman"/>
          <w:b/>
          <w:sz w:val="24"/>
          <w:szCs w:val="24"/>
        </w:rPr>
        <w:t xml:space="preserve"> opere o impianti non destinati alla residenza.</w:t>
      </w:r>
    </w:p>
    <w:p w:rsidR="006E1C24" w:rsidRPr="000A2273" w:rsidRDefault="00720F84" w:rsidP="006E1C24">
      <w:pPr>
        <w:pStyle w:val="para"/>
        <w:spacing w:before="85"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&lt;/rubrica&gt;&lt;testo&gt;&lt;para&gt;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L'articolo 19 fissa regole diverse da quelle generali riguardo al contributo da corrispondere per opere o impianti ad uso diverso da quello residenziale,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1) per le opere destinate ad </w:t>
      </w:r>
      <w:r w:rsidR="006E1C24" w:rsidRPr="000A2273">
        <w:rPr>
          <w:rFonts w:ascii="Times New Roman" w:hAnsi="Times New Roman" w:cs="Times New Roman"/>
          <w:b/>
          <w:sz w:val="24"/>
          <w:szCs w:val="24"/>
        </w:rPr>
        <w:t>attività industriali o artigianali</w:t>
      </w:r>
      <w:r w:rsidR="006E1C24" w:rsidRPr="000A2273">
        <w:rPr>
          <w:rFonts w:ascii="Times New Roman" w:hAnsi="Times New Roman" w:cs="Times New Roman"/>
          <w:sz w:val="24"/>
          <w:szCs w:val="24"/>
        </w:rPr>
        <w:t xml:space="preserve"> dirette alla </w:t>
      </w:r>
      <w:r w:rsidR="006E1C24" w:rsidRPr="000A2273">
        <w:rPr>
          <w:rFonts w:ascii="Times New Roman" w:hAnsi="Times New Roman" w:cs="Times New Roman"/>
          <w:b/>
          <w:sz w:val="24"/>
          <w:szCs w:val="24"/>
        </w:rPr>
        <w:t>trasformazione di beni ed alla prestazione di servizi</w:t>
      </w:r>
      <w:r w:rsidR="006E1C24" w:rsidRPr="000A2273">
        <w:rPr>
          <w:rFonts w:ascii="Times New Roman" w:hAnsi="Times New Roman" w:cs="Times New Roman"/>
          <w:sz w:val="24"/>
          <w:szCs w:val="24"/>
        </w:rPr>
        <w:t xml:space="preserve">, il contributo è pari all'incidenza delle opere di urbanizzazione, di quelle necessarie al trattamento ed allo smaltimento dei rifiuti solidi, liquidi e gassosi e di quelle necessarie alla sistemazione dei luoghi ove ne siano alterate le caratteristiche. L'incidenza di tali opere è stabilita con deliberazione del consiglio comunale in base a parametri che la regione definisce con i criteri di cui al comma 4, lettere </w:t>
      </w:r>
      <w:r w:rsidR="006E1C24" w:rsidRPr="000A2273">
        <w:rPr>
          <w:rFonts w:ascii="Times New Roman" w:hAnsi="Times New Roman" w:cs="Times New Roman"/>
          <w:i/>
          <w:sz w:val="24"/>
          <w:szCs w:val="24"/>
        </w:rPr>
        <w:t>a</w:t>
      </w:r>
      <w:r w:rsidR="006E1C24" w:rsidRPr="000A2273">
        <w:rPr>
          <w:rFonts w:ascii="Times New Roman" w:hAnsi="Times New Roman" w:cs="Times New Roman"/>
          <w:sz w:val="24"/>
          <w:szCs w:val="24"/>
        </w:rPr>
        <w:t xml:space="preserve">) e </w:t>
      </w:r>
      <w:r w:rsidR="006E1C24" w:rsidRPr="000A2273">
        <w:rPr>
          <w:rFonts w:ascii="Times New Roman" w:hAnsi="Times New Roman" w:cs="Times New Roman"/>
          <w:i/>
          <w:sz w:val="24"/>
          <w:szCs w:val="24"/>
        </w:rPr>
        <w:t>b</w:t>
      </w:r>
      <w:r w:rsidR="006E1C24" w:rsidRPr="000A2273">
        <w:rPr>
          <w:rFonts w:ascii="Times New Roman" w:hAnsi="Times New Roman" w:cs="Times New Roman"/>
          <w:sz w:val="24"/>
          <w:szCs w:val="24"/>
        </w:rPr>
        <w:t>)</w:t>
      </w:r>
      <w:r w:rsidR="00D04895">
        <w:rPr>
          <w:rFonts w:ascii="Times New Roman" w:hAnsi="Times New Roman" w:cs="Times New Roman"/>
          <w:sz w:val="24"/>
          <w:szCs w:val="24"/>
        </w:rPr>
        <w:t>,</w:t>
      </w:r>
      <w:r w:rsidR="006E1C24" w:rsidRPr="000A2273">
        <w:rPr>
          <w:rFonts w:ascii="Times New Roman" w:hAnsi="Times New Roman" w:cs="Times New Roman"/>
          <w:sz w:val="24"/>
          <w:szCs w:val="24"/>
        </w:rPr>
        <w:t xml:space="preserve"> dell'articolo 16 — rispettivamente ampiezza ed andamento demografico dei comuni (</w:t>
      </w:r>
      <w:proofErr w:type="spellStart"/>
      <w:r w:rsidR="006E1C24" w:rsidRPr="000A2273">
        <w:rPr>
          <w:rFonts w:ascii="Times New Roman" w:hAnsi="Times New Roman" w:cs="Times New Roman"/>
          <w:sz w:val="24"/>
          <w:szCs w:val="24"/>
        </w:rPr>
        <w:t>lett</w:t>
      </w:r>
      <w:proofErr w:type="spellEnd"/>
      <w:r w:rsidR="006E1C24" w:rsidRPr="000A2273">
        <w:rPr>
          <w:rFonts w:ascii="Times New Roman" w:hAnsi="Times New Roman" w:cs="Times New Roman"/>
          <w:sz w:val="24"/>
          <w:szCs w:val="24"/>
        </w:rPr>
        <w:t xml:space="preserve">. </w:t>
      </w:r>
      <w:r w:rsidR="006E1C24" w:rsidRPr="000A2273">
        <w:rPr>
          <w:rFonts w:ascii="Times New Roman" w:hAnsi="Times New Roman" w:cs="Times New Roman"/>
          <w:i/>
          <w:sz w:val="24"/>
          <w:szCs w:val="24"/>
        </w:rPr>
        <w:t>a</w:t>
      </w:r>
      <w:r w:rsidR="006E1C24" w:rsidRPr="000A2273">
        <w:rPr>
          <w:rFonts w:ascii="Times New Roman" w:hAnsi="Times New Roman" w:cs="Times New Roman"/>
          <w:sz w:val="24"/>
          <w:szCs w:val="24"/>
        </w:rPr>
        <w:t>) e caratteristiche geografiche dei comuni (</w:t>
      </w:r>
      <w:proofErr w:type="spellStart"/>
      <w:r w:rsidR="006E1C24" w:rsidRPr="000A2273">
        <w:rPr>
          <w:rFonts w:ascii="Times New Roman" w:hAnsi="Times New Roman" w:cs="Times New Roman"/>
          <w:sz w:val="24"/>
          <w:szCs w:val="24"/>
        </w:rPr>
        <w:t>lett</w:t>
      </w:r>
      <w:proofErr w:type="spellEnd"/>
      <w:r w:rsidR="006E1C24" w:rsidRPr="000A2273">
        <w:rPr>
          <w:rFonts w:ascii="Times New Roman" w:hAnsi="Times New Roman" w:cs="Times New Roman"/>
          <w:sz w:val="24"/>
          <w:szCs w:val="24"/>
        </w:rPr>
        <w:t xml:space="preserve">. </w:t>
      </w:r>
      <w:r w:rsidR="006E1C24" w:rsidRPr="000A2273">
        <w:rPr>
          <w:rFonts w:ascii="Times New Roman" w:hAnsi="Times New Roman" w:cs="Times New Roman"/>
          <w:i/>
          <w:sz w:val="24"/>
          <w:szCs w:val="24"/>
        </w:rPr>
        <w:t>b</w:t>
      </w:r>
      <w:r w:rsidR="006E1C24" w:rsidRPr="000A2273">
        <w:rPr>
          <w:rFonts w:ascii="Times New Roman" w:hAnsi="Times New Roman" w:cs="Times New Roman"/>
          <w:sz w:val="24"/>
          <w:szCs w:val="24"/>
        </w:rPr>
        <w:t>) — nonché in relazione ai tipi di attività produttiva.</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Pr="000A2273"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2) per costruzioni o impianti destinati ad</w:t>
      </w:r>
      <w:r w:rsidR="006E1C24" w:rsidRPr="000A2273">
        <w:rPr>
          <w:rFonts w:ascii="Times New Roman" w:hAnsi="Times New Roman" w:cs="Times New Roman"/>
          <w:b/>
          <w:sz w:val="24"/>
          <w:szCs w:val="24"/>
        </w:rPr>
        <w:t xml:space="preserve"> attività turistiche, commerciali e direzionali</w:t>
      </w:r>
      <w:r w:rsidR="006E1C24" w:rsidRPr="000A2273">
        <w:rPr>
          <w:rFonts w:ascii="Times New Roman" w:hAnsi="Times New Roman" w:cs="Times New Roman"/>
          <w:sz w:val="24"/>
          <w:szCs w:val="24"/>
        </w:rPr>
        <w:t xml:space="preserve"> o allo</w:t>
      </w:r>
      <w:r w:rsidR="006E1C24" w:rsidRPr="000A2273">
        <w:rPr>
          <w:rFonts w:ascii="Times New Roman" w:hAnsi="Times New Roman" w:cs="Times New Roman"/>
          <w:b/>
          <w:sz w:val="24"/>
          <w:szCs w:val="24"/>
        </w:rPr>
        <w:t xml:space="preserve"> svolgimento di servizi</w:t>
      </w:r>
      <w:r w:rsidR="006E1C24" w:rsidRPr="000A2273">
        <w:rPr>
          <w:rFonts w:ascii="Times New Roman" w:hAnsi="Times New Roman" w:cs="Times New Roman"/>
          <w:sz w:val="24"/>
          <w:szCs w:val="24"/>
        </w:rPr>
        <w:t>, il contributo è pari all'incidenza delle opere di urbanizzazione, determinata ai sensi dell'articolo 16, nonché una quota non superiore al 10 per cento del costo documentato di costruzione da stabilirsi, in relazione ai diversi tipi di attività, con deliberazione del consiglio comunale.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865D52" w:rsidRPr="006E1C24" w:rsidRDefault="00720F84" w:rsidP="006E1C24">
      <w:pPr>
        <w:pStyle w:val="para"/>
        <w:spacing w:line="256" w:lineRule="exact"/>
        <w:ind w:firstLine="342"/>
        <w:rPr>
          <w:rFonts w:ascii="Times New Roman" w:hAnsi="Times New Roman" w:cs="Times New Roman"/>
          <w:sz w:val="24"/>
          <w:szCs w:val="24"/>
        </w:rPr>
      </w:pPr>
      <w:r w:rsidRPr="000A2273">
        <w:rPr>
          <w:rFonts w:ascii="Times New Roman" w:hAnsi="Times New Roman" w:cs="Times New Roman"/>
          <w:sz w:val="24"/>
          <w:szCs w:val="24"/>
        </w:rPr>
        <w:lastRenderedPageBreak/>
        <w:fldChar w:fldCharType="begin"/>
      </w:r>
      <w:r w:rsidR="006E1C24" w:rsidRPr="000A2273">
        <w:rPr>
          <w:rFonts w:ascii="Times New Roman" w:hAnsi="Times New Roman" w:cs="Times New Roman"/>
          <w:sz w:val="24"/>
          <w:szCs w:val="24"/>
        </w:rPr>
        <w:instrText>&lt;para&gt;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Il comma 3 dell'art. 19 contiene poi una clausola di chiusura secondo la quale, qualora la destinazione d'uso delle opere sopra indicate nonché di quelle nelle zone agricole, di cui al menzionato articolo 17, venga modificata nei dieci anni successivi all'ultimazione dei lavori, il contributo di costruzione è dovuto nella misura massima corrispondente alla nuova destinazione, determinata con riferimento al momento dell'intervenuta variazione.</w:t>
      </w:r>
      <w:r w:rsidRPr="000A2273">
        <w:rPr>
          <w:rFonts w:ascii="Times New Roman" w:hAnsi="Times New Roman" w:cs="Times New Roman"/>
          <w:sz w:val="24"/>
          <w:szCs w:val="24"/>
        </w:rPr>
        <w:fldChar w:fldCharType="begin"/>
      </w:r>
      <w:r w:rsidR="006E1C24" w:rsidRPr="000A2273">
        <w:rPr>
          <w:rFonts w:ascii="Times New Roman" w:hAnsi="Times New Roman" w:cs="Times New Roman"/>
          <w:sz w:val="24"/>
          <w:szCs w:val="24"/>
        </w:rPr>
        <w:instrText>&lt;/para&gt;&lt;/testo&gt;&lt;/domanda&gt;&lt;/titolo&gt;</w:instrText>
      </w:r>
      <w:r w:rsidRPr="000A2273">
        <w:rPr>
          <w:rFonts w:ascii="Times New Roman" w:hAnsi="Times New Roman" w:cs="Times New Roman"/>
          <w:sz w:val="24"/>
          <w:szCs w:val="24"/>
        </w:rPr>
        <w:fldChar w:fldCharType="end"/>
      </w:r>
      <w:r w:rsidR="006E1C24" w:rsidRPr="000A2273">
        <w:rPr>
          <w:rFonts w:ascii="Times New Roman" w:hAnsi="Times New Roman" w:cs="Times New Roman"/>
          <w:sz w:val="24"/>
          <w:szCs w:val="24"/>
        </w:rPr>
        <w:t xml:space="preserve"> </w:t>
      </w:r>
    </w:p>
    <w:p w:rsidR="006E1C24" w:rsidRDefault="006E1C24" w:rsidP="006E1C24">
      <w:pPr>
        <w:pStyle w:val="para"/>
        <w:spacing w:line="256" w:lineRule="exact"/>
        <w:ind w:firstLine="342"/>
      </w:pPr>
    </w:p>
    <w:p w:rsidR="00541352" w:rsidRDefault="00541352" w:rsidP="00541352">
      <w:pPr>
        <w:pStyle w:val="Paragrafoelenco"/>
        <w:numPr>
          <w:ilvl w:val="0"/>
          <w:numId w:val="4"/>
        </w:numPr>
        <w:rPr>
          <w:rFonts w:ascii="Times New Roman" w:hAnsi="Times New Roman" w:cs="Times New Roman"/>
          <w:b/>
          <w:sz w:val="24"/>
          <w:szCs w:val="24"/>
        </w:rPr>
      </w:pPr>
      <w:r w:rsidRPr="00541352">
        <w:rPr>
          <w:rFonts w:ascii="Times New Roman" w:hAnsi="Times New Roman" w:cs="Times New Roman"/>
          <w:b/>
          <w:sz w:val="24"/>
          <w:szCs w:val="24"/>
        </w:rPr>
        <w:t>Gli interventi edilizi sul demanio marittimo e l’incidenza degli oneri.</w:t>
      </w:r>
    </w:p>
    <w:p w:rsidR="00B54706" w:rsidRPr="00D04895" w:rsidRDefault="00B54706" w:rsidP="005D27FB">
      <w:pPr>
        <w:spacing w:after="0" w:line="242" w:lineRule="exact"/>
        <w:ind w:firstLine="357"/>
        <w:jc w:val="both"/>
        <w:rPr>
          <w:rFonts w:ascii="Times New Roman" w:hAnsi="Times New Roman" w:cs="Times New Roman"/>
          <w:sz w:val="24"/>
          <w:szCs w:val="24"/>
        </w:rPr>
      </w:pPr>
      <w:r w:rsidRPr="00D04895">
        <w:rPr>
          <w:rFonts w:ascii="Times New Roman" w:hAnsi="Times New Roman" w:cs="Times New Roman"/>
          <w:sz w:val="24"/>
          <w:szCs w:val="24"/>
        </w:rPr>
        <w:t>Il demanio marittimo può essere interessato dall’attività edificatoria sia di soggetti privati sia di soggetti pubblici.</w:t>
      </w:r>
    </w:p>
    <w:p w:rsidR="00B54706" w:rsidRPr="00D04895" w:rsidRDefault="00B54706" w:rsidP="005D27FB">
      <w:pPr>
        <w:spacing w:after="0" w:line="242" w:lineRule="exact"/>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Limitando l’attenzione ai soggetti privati, va sottolineato che lo </w:t>
      </w:r>
      <w:proofErr w:type="spellStart"/>
      <w:r w:rsidRPr="00D04895">
        <w:rPr>
          <w:rFonts w:ascii="Times New Roman" w:hAnsi="Times New Roman" w:cs="Times New Roman"/>
          <w:i/>
          <w:sz w:val="24"/>
          <w:szCs w:val="24"/>
        </w:rPr>
        <w:t>ius</w:t>
      </w:r>
      <w:proofErr w:type="spellEnd"/>
      <w:r w:rsidRPr="00D04895">
        <w:rPr>
          <w:rFonts w:ascii="Times New Roman" w:hAnsi="Times New Roman" w:cs="Times New Roman"/>
          <w:i/>
          <w:sz w:val="24"/>
          <w:szCs w:val="24"/>
        </w:rPr>
        <w:t xml:space="preserve"> </w:t>
      </w:r>
      <w:proofErr w:type="spellStart"/>
      <w:r w:rsidRPr="00D04895">
        <w:rPr>
          <w:rFonts w:ascii="Times New Roman" w:hAnsi="Times New Roman" w:cs="Times New Roman"/>
          <w:i/>
          <w:sz w:val="24"/>
          <w:szCs w:val="24"/>
        </w:rPr>
        <w:t>aedificandi</w:t>
      </w:r>
      <w:proofErr w:type="spellEnd"/>
      <w:r w:rsidRPr="00D04895">
        <w:rPr>
          <w:rFonts w:ascii="Times New Roman" w:hAnsi="Times New Roman" w:cs="Times New Roman"/>
          <w:sz w:val="24"/>
          <w:szCs w:val="24"/>
        </w:rPr>
        <w:t xml:space="preserve"> è garantito attraverso il rilascio del titolo abilitativo edilizio, che in base alle diverse tipologie di intervento può identificarsi con il permesso di costruire o con gli ulteriori titoli previsti in base all’art. 6 e ss. del D.P.R. n. 380/2001 e </w:t>
      </w:r>
      <w:proofErr w:type="spellStart"/>
      <w:r w:rsidRPr="00D04895">
        <w:rPr>
          <w:rFonts w:ascii="Times New Roman" w:hAnsi="Times New Roman" w:cs="Times New Roman"/>
          <w:sz w:val="24"/>
          <w:szCs w:val="24"/>
        </w:rPr>
        <w:t>s.m.i.</w:t>
      </w:r>
      <w:proofErr w:type="spellEnd"/>
      <w:r w:rsidRPr="00D04895">
        <w:rPr>
          <w:rFonts w:ascii="Times New Roman" w:hAnsi="Times New Roman" w:cs="Times New Roman"/>
          <w:sz w:val="24"/>
          <w:szCs w:val="24"/>
        </w:rPr>
        <w:t xml:space="preserve"> (TUE).</w:t>
      </w:r>
    </w:p>
    <w:p w:rsidR="00B54706" w:rsidRPr="00D04895" w:rsidRDefault="00B54706" w:rsidP="005D27FB">
      <w:pPr>
        <w:spacing w:after="0" w:line="242" w:lineRule="exact"/>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L’atto </w:t>
      </w:r>
      <w:r w:rsidRPr="00D04895">
        <w:rPr>
          <w:rFonts w:ascii="Times New Roman" w:hAnsi="Times New Roman" w:cs="Times New Roman"/>
          <w:b/>
          <w:sz w:val="24"/>
          <w:szCs w:val="24"/>
        </w:rPr>
        <w:t xml:space="preserve">presupposto </w:t>
      </w:r>
      <w:r w:rsidRPr="00D04895">
        <w:rPr>
          <w:rFonts w:ascii="Times New Roman" w:hAnsi="Times New Roman" w:cs="Times New Roman"/>
          <w:sz w:val="24"/>
          <w:szCs w:val="24"/>
        </w:rPr>
        <w:t xml:space="preserve">al titolo edilizio, che ancor prima dell’abilitazione </w:t>
      </w:r>
      <w:r w:rsidR="002B30ED" w:rsidRPr="00D04895">
        <w:rPr>
          <w:rFonts w:ascii="Times New Roman" w:hAnsi="Times New Roman" w:cs="Times New Roman"/>
          <w:sz w:val="24"/>
          <w:szCs w:val="24"/>
        </w:rPr>
        <w:t>edificatoria</w:t>
      </w:r>
      <w:r w:rsidRPr="00D04895">
        <w:rPr>
          <w:rFonts w:ascii="Times New Roman" w:hAnsi="Times New Roman" w:cs="Times New Roman"/>
          <w:sz w:val="24"/>
          <w:szCs w:val="24"/>
        </w:rPr>
        <w:t xml:space="preserve"> deve intervenire affinché l’uso del demanio sia conforme all’interesse pubblico secondo l’art. 36 del Codice della Navigazione</w:t>
      </w:r>
      <w:r w:rsidR="005D27FB" w:rsidRPr="00D04895">
        <w:rPr>
          <w:rFonts w:ascii="Times New Roman" w:hAnsi="Times New Roman" w:cs="Times New Roman"/>
          <w:sz w:val="24"/>
          <w:szCs w:val="24"/>
        </w:rPr>
        <w:t>,</w:t>
      </w:r>
      <w:r w:rsidRPr="00D04895">
        <w:rPr>
          <w:rFonts w:ascii="Times New Roman" w:hAnsi="Times New Roman" w:cs="Times New Roman"/>
          <w:sz w:val="24"/>
          <w:szCs w:val="24"/>
        </w:rPr>
        <w:t xml:space="preserve"> è la concessione demaniale marittima</w:t>
      </w:r>
      <w:r w:rsidR="005D27FB" w:rsidRPr="00D04895">
        <w:rPr>
          <w:rFonts w:ascii="Times New Roman" w:hAnsi="Times New Roman" w:cs="Times New Roman"/>
          <w:sz w:val="24"/>
          <w:szCs w:val="24"/>
        </w:rPr>
        <w:t>.</w:t>
      </w:r>
      <w:r w:rsidR="009F537F" w:rsidRPr="00D04895">
        <w:rPr>
          <w:rFonts w:ascii="Times New Roman" w:hAnsi="Times New Roman" w:cs="Times New Roman"/>
          <w:sz w:val="24"/>
          <w:szCs w:val="24"/>
        </w:rPr>
        <w:t xml:space="preserve"> Di essa, quale atto che riveste carattere pregiudiziale rispetto al titolo edilizio, si è</w:t>
      </w:r>
      <w:r w:rsidR="00D04895">
        <w:rPr>
          <w:rFonts w:ascii="Times New Roman" w:hAnsi="Times New Roman" w:cs="Times New Roman"/>
          <w:sz w:val="24"/>
          <w:szCs w:val="24"/>
        </w:rPr>
        <w:t xml:space="preserve"> </w:t>
      </w:r>
      <w:r w:rsidR="00D04895" w:rsidRPr="00D04895">
        <w:rPr>
          <w:rFonts w:ascii="Times New Roman" w:hAnsi="Times New Roman" w:cs="Times New Roman"/>
          <w:sz w:val="24"/>
          <w:szCs w:val="24"/>
        </w:rPr>
        <w:t>evidenzia</w:t>
      </w:r>
      <w:r w:rsidR="00D04895">
        <w:rPr>
          <w:rFonts w:ascii="Times New Roman" w:hAnsi="Times New Roman" w:cs="Times New Roman"/>
          <w:sz w:val="24"/>
          <w:szCs w:val="24"/>
        </w:rPr>
        <w:t>to</w:t>
      </w:r>
      <w:r w:rsidR="00D04895" w:rsidRPr="00D04895">
        <w:rPr>
          <w:rFonts w:ascii="Times New Roman" w:hAnsi="Times New Roman" w:cs="Times New Roman"/>
          <w:sz w:val="24"/>
          <w:szCs w:val="24"/>
        </w:rPr>
        <w:t xml:space="preserve"> il rapporto peculiare tra i due titoli tale per cui il possesso del titolo edilizio, pur fondamentale ai fini della legittima attività costruttiva, è privo di effetti in assenza della concessione demaniale</w:t>
      </w:r>
      <w:r w:rsidR="009F537F" w:rsidRPr="00D04895">
        <w:rPr>
          <w:rStyle w:val="Rimandonotaapidipagina"/>
          <w:rFonts w:ascii="Times New Roman" w:hAnsi="Times New Roman"/>
          <w:sz w:val="24"/>
          <w:szCs w:val="24"/>
        </w:rPr>
        <w:footnoteReference w:id="24"/>
      </w:r>
      <w:r w:rsidR="009F537F" w:rsidRPr="00D04895">
        <w:rPr>
          <w:rFonts w:ascii="Times New Roman" w:hAnsi="Times New Roman" w:cs="Times New Roman"/>
          <w:sz w:val="24"/>
          <w:szCs w:val="24"/>
        </w:rPr>
        <w:t xml:space="preserve">. </w:t>
      </w:r>
      <w:r w:rsidRPr="00D04895">
        <w:rPr>
          <w:rFonts w:ascii="Times New Roman" w:hAnsi="Times New Roman" w:cs="Times New Roman"/>
          <w:sz w:val="24"/>
          <w:szCs w:val="24"/>
        </w:rPr>
        <w:t xml:space="preserve">  </w:t>
      </w:r>
    </w:p>
    <w:p w:rsidR="00A51E37" w:rsidRPr="00D04895" w:rsidRDefault="009F537F" w:rsidP="0008686D">
      <w:pPr>
        <w:spacing w:after="0" w:line="242" w:lineRule="exact"/>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Il collegamento stabile tra demanio marittimo ed attività edilizia è dato dall’art. </w:t>
      </w:r>
      <w:r w:rsidRPr="00D04895">
        <w:rPr>
          <w:rFonts w:ascii="Times New Roman" w:hAnsi="Times New Roman" w:cs="Times New Roman"/>
          <w:b/>
          <w:sz w:val="24"/>
          <w:szCs w:val="24"/>
        </w:rPr>
        <w:t xml:space="preserve">8 </w:t>
      </w:r>
      <w:proofErr w:type="spellStart"/>
      <w:r w:rsidR="00D04895">
        <w:rPr>
          <w:rFonts w:ascii="Times New Roman" w:hAnsi="Times New Roman" w:cs="Times New Roman"/>
          <w:b/>
          <w:sz w:val="24"/>
          <w:szCs w:val="24"/>
        </w:rPr>
        <w:t>d</w:t>
      </w:r>
      <w:r w:rsidRPr="00D04895">
        <w:rPr>
          <w:rFonts w:ascii="Times New Roman" w:hAnsi="Times New Roman" w:cs="Times New Roman"/>
          <w:b/>
          <w:sz w:val="24"/>
          <w:szCs w:val="24"/>
        </w:rPr>
        <w:t>.P.R.</w:t>
      </w:r>
      <w:proofErr w:type="spellEnd"/>
      <w:r w:rsidRPr="00D04895">
        <w:rPr>
          <w:rFonts w:ascii="Times New Roman" w:hAnsi="Times New Roman" w:cs="Times New Roman"/>
          <w:b/>
          <w:sz w:val="24"/>
          <w:szCs w:val="24"/>
        </w:rPr>
        <w:t xml:space="preserve"> n. 380</w:t>
      </w:r>
      <w:r w:rsidRPr="00D04895">
        <w:rPr>
          <w:rFonts w:ascii="Times New Roman" w:hAnsi="Times New Roman" w:cs="Times New Roman"/>
          <w:sz w:val="24"/>
          <w:szCs w:val="24"/>
        </w:rPr>
        <w:t xml:space="preserve"> secondo cui “</w:t>
      </w:r>
      <w:r w:rsidRPr="00D04895">
        <w:rPr>
          <w:rFonts w:ascii="Times New Roman" w:hAnsi="Times New Roman" w:cs="Times New Roman"/>
          <w:b/>
          <w:sz w:val="24"/>
          <w:szCs w:val="24"/>
        </w:rPr>
        <w:t>La realizzazione da parte di privati di interventi edilizi su aree demaniali è disciplinata dalle norme del presente testo unico</w:t>
      </w:r>
      <w:r w:rsidRPr="00D04895">
        <w:rPr>
          <w:rFonts w:ascii="Times New Roman" w:hAnsi="Times New Roman" w:cs="Times New Roman"/>
          <w:sz w:val="24"/>
          <w:szCs w:val="24"/>
        </w:rPr>
        <w:t>”. Occorre, pertanto, seguire pedissequamente la disciplina edilizia contenuta nel testo unico al fine di individuare, e conseguire poi con apposita domanda, il titolo necessario in base all’</w:t>
      </w:r>
      <w:r w:rsidR="00A51E37" w:rsidRPr="00D04895">
        <w:rPr>
          <w:rFonts w:ascii="Times New Roman" w:hAnsi="Times New Roman" w:cs="Times New Roman"/>
          <w:sz w:val="24"/>
          <w:szCs w:val="24"/>
        </w:rPr>
        <w:t>intervento da realizzarsi. Sotto il profilo strettamente edilizio, dunque, l’attività</w:t>
      </w:r>
      <w:r w:rsidR="00FD5FB3" w:rsidRPr="00D04895">
        <w:rPr>
          <w:rFonts w:ascii="Times New Roman" w:hAnsi="Times New Roman" w:cs="Times New Roman"/>
          <w:sz w:val="24"/>
          <w:szCs w:val="24"/>
        </w:rPr>
        <w:t>,</w:t>
      </w:r>
      <w:r w:rsidR="00A51E37" w:rsidRPr="00D04895">
        <w:rPr>
          <w:rFonts w:ascii="Times New Roman" w:hAnsi="Times New Roman" w:cs="Times New Roman"/>
          <w:sz w:val="24"/>
          <w:szCs w:val="24"/>
        </w:rPr>
        <w:t xml:space="preserve"> ancorché sul demanio marittimo di proprietà statale</w:t>
      </w:r>
      <w:r w:rsidR="00FD5FB3" w:rsidRPr="00D04895">
        <w:rPr>
          <w:rFonts w:ascii="Times New Roman" w:hAnsi="Times New Roman" w:cs="Times New Roman"/>
          <w:sz w:val="24"/>
          <w:szCs w:val="24"/>
        </w:rPr>
        <w:t>,</w:t>
      </w:r>
      <w:r w:rsidR="00A51E37" w:rsidRPr="00D04895">
        <w:rPr>
          <w:rFonts w:ascii="Times New Roman" w:hAnsi="Times New Roman" w:cs="Times New Roman"/>
          <w:sz w:val="24"/>
          <w:szCs w:val="24"/>
        </w:rPr>
        <w:t xml:space="preserve"> è normata nello stesso modo che sulla proprietà privata</w:t>
      </w:r>
      <w:r w:rsidR="00AE1888" w:rsidRPr="00D04895">
        <w:rPr>
          <w:rStyle w:val="Rimandonotaapidipagina"/>
          <w:rFonts w:ascii="Times New Roman" w:hAnsi="Times New Roman"/>
          <w:sz w:val="24"/>
          <w:szCs w:val="24"/>
        </w:rPr>
        <w:footnoteReference w:id="25"/>
      </w:r>
      <w:r w:rsidR="00A51E37" w:rsidRPr="00D04895">
        <w:rPr>
          <w:rFonts w:ascii="Times New Roman" w:hAnsi="Times New Roman" w:cs="Times New Roman"/>
          <w:sz w:val="24"/>
          <w:szCs w:val="24"/>
        </w:rPr>
        <w:t>.</w:t>
      </w:r>
    </w:p>
    <w:p w:rsidR="00CE3650" w:rsidRPr="00D04895" w:rsidRDefault="00CE3650" w:rsidP="00CE3650">
      <w:pPr>
        <w:spacing w:after="0" w:line="242" w:lineRule="exact"/>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Giova specificare che il titolo edilizio necessario per l’esercizio dello </w:t>
      </w:r>
      <w:proofErr w:type="spellStart"/>
      <w:r w:rsidRPr="00D04895">
        <w:rPr>
          <w:rFonts w:ascii="Times New Roman" w:hAnsi="Times New Roman" w:cs="Times New Roman"/>
          <w:i/>
          <w:sz w:val="24"/>
          <w:szCs w:val="24"/>
        </w:rPr>
        <w:t>ius</w:t>
      </w:r>
      <w:proofErr w:type="spellEnd"/>
      <w:r w:rsidRPr="00D04895">
        <w:rPr>
          <w:rFonts w:ascii="Times New Roman" w:hAnsi="Times New Roman" w:cs="Times New Roman"/>
          <w:i/>
          <w:sz w:val="24"/>
          <w:szCs w:val="24"/>
        </w:rPr>
        <w:t xml:space="preserve"> </w:t>
      </w:r>
      <w:proofErr w:type="spellStart"/>
      <w:r w:rsidRPr="00D04895">
        <w:rPr>
          <w:rFonts w:ascii="Times New Roman" w:hAnsi="Times New Roman" w:cs="Times New Roman"/>
          <w:i/>
          <w:sz w:val="24"/>
          <w:szCs w:val="24"/>
        </w:rPr>
        <w:t>aedificandi</w:t>
      </w:r>
      <w:proofErr w:type="spellEnd"/>
      <w:r w:rsidRPr="00D04895">
        <w:rPr>
          <w:rFonts w:ascii="Times New Roman" w:hAnsi="Times New Roman" w:cs="Times New Roman"/>
          <w:sz w:val="24"/>
          <w:szCs w:val="24"/>
        </w:rPr>
        <w:t xml:space="preserve"> è richiesto tutte le volte in cui l’opera di che trattasi abbia le caratteristiche della stabilità nel senso di risultare </w:t>
      </w:r>
      <w:r w:rsidRPr="00D04895">
        <w:rPr>
          <w:rFonts w:ascii="Times New Roman" w:hAnsi="Times New Roman" w:cs="Times New Roman"/>
          <w:b/>
          <w:sz w:val="24"/>
          <w:szCs w:val="24"/>
        </w:rPr>
        <w:t>aderente al suolo in modo stabile</w:t>
      </w:r>
      <w:r w:rsidRPr="00D04895">
        <w:rPr>
          <w:rFonts w:ascii="Times New Roman" w:hAnsi="Times New Roman" w:cs="Times New Roman"/>
          <w:sz w:val="24"/>
          <w:szCs w:val="24"/>
        </w:rPr>
        <w:t>, anche se non infissa, e destinata ad una utilizzazione perdurante nel tempo, anche se intervallata da pause stagionali. Dunque anche per le opere “accessorie” allo stabilimento, c.d. “precarie”, il permesso di costruire è necessario benché comunemente le stesse opere siano definite come destinate ad attività stagionali (</w:t>
      </w:r>
      <w:proofErr w:type="spellStart"/>
      <w:r w:rsidRPr="00D04895">
        <w:rPr>
          <w:rFonts w:ascii="Times New Roman" w:hAnsi="Times New Roman" w:cs="Times New Roman"/>
          <w:sz w:val="24"/>
          <w:szCs w:val="24"/>
        </w:rPr>
        <w:t>CdS</w:t>
      </w:r>
      <w:proofErr w:type="spellEnd"/>
      <w:r w:rsidRPr="00D04895">
        <w:rPr>
          <w:rFonts w:ascii="Times New Roman" w:hAnsi="Times New Roman" w:cs="Times New Roman"/>
          <w:sz w:val="24"/>
          <w:szCs w:val="24"/>
        </w:rPr>
        <w:t xml:space="preserve"> sez. V 24 febbraio 1996 n. 226). </w:t>
      </w:r>
    </w:p>
    <w:p w:rsidR="00CE3650" w:rsidRPr="00D04895" w:rsidRDefault="00CE3650" w:rsidP="00CE3650">
      <w:pPr>
        <w:spacing w:after="0" w:line="242" w:lineRule="exact"/>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La citata sentenza del Consiglio di Stato </w:t>
      </w:r>
      <w:r w:rsidR="00A74135" w:rsidRPr="00D04895">
        <w:rPr>
          <w:rFonts w:ascii="Times New Roman" w:hAnsi="Times New Roman" w:cs="Times New Roman"/>
          <w:sz w:val="24"/>
          <w:szCs w:val="24"/>
        </w:rPr>
        <w:t>stigmatizza che solo le costruzioni aventi sin dall’origine “intrinseche caratteristiche di precarietà strutturale e funzionale, e cioè destinate a soddisfare esigenze contingenti e circoscritte nel tempo</w:t>
      </w:r>
      <w:r w:rsidR="00962644" w:rsidRPr="00D04895">
        <w:rPr>
          <w:rFonts w:ascii="Times New Roman" w:hAnsi="Times New Roman" w:cs="Times New Roman"/>
          <w:sz w:val="24"/>
          <w:szCs w:val="24"/>
        </w:rPr>
        <w:t>”</w:t>
      </w:r>
      <w:r w:rsidR="00A74135" w:rsidRPr="00D04895">
        <w:rPr>
          <w:rFonts w:ascii="Times New Roman" w:hAnsi="Times New Roman" w:cs="Times New Roman"/>
          <w:sz w:val="24"/>
          <w:szCs w:val="24"/>
        </w:rPr>
        <w:t xml:space="preserve"> sono esenti dall’obbligo di concessione (</w:t>
      </w:r>
      <w:proofErr w:type="spellStart"/>
      <w:r w:rsidR="00A74135" w:rsidRPr="00D04895">
        <w:rPr>
          <w:rFonts w:ascii="Times New Roman" w:hAnsi="Times New Roman" w:cs="Times New Roman"/>
          <w:i/>
          <w:sz w:val="24"/>
          <w:szCs w:val="24"/>
        </w:rPr>
        <w:t>recte</w:t>
      </w:r>
      <w:proofErr w:type="spellEnd"/>
      <w:r w:rsidR="00D04895">
        <w:rPr>
          <w:rFonts w:ascii="Times New Roman" w:hAnsi="Times New Roman" w:cs="Times New Roman"/>
          <w:i/>
          <w:sz w:val="24"/>
          <w:szCs w:val="24"/>
        </w:rPr>
        <w:t>:</w:t>
      </w:r>
      <w:r w:rsidR="00962644" w:rsidRPr="00D04895">
        <w:rPr>
          <w:rFonts w:ascii="Times New Roman" w:hAnsi="Times New Roman" w:cs="Times New Roman"/>
          <w:sz w:val="24"/>
          <w:szCs w:val="24"/>
        </w:rPr>
        <w:t xml:space="preserve"> permesso di costruire), </w:t>
      </w:r>
      <w:r w:rsidR="00223CD2" w:rsidRPr="00D04895">
        <w:rPr>
          <w:rFonts w:ascii="Times New Roman" w:hAnsi="Times New Roman" w:cs="Times New Roman"/>
          <w:sz w:val="24"/>
          <w:szCs w:val="24"/>
        </w:rPr>
        <w:t>mentre quelle del tipo</w:t>
      </w:r>
      <w:r w:rsidR="00A74135" w:rsidRPr="00D04895">
        <w:rPr>
          <w:rFonts w:ascii="Times New Roman" w:hAnsi="Times New Roman" w:cs="Times New Roman"/>
          <w:sz w:val="24"/>
          <w:szCs w:val="24"/>
        </w:rPr>
        <w:t xml:space="preserve"> “manufatto non infisso al suolo ma solo aderente in modo stabile ad esso, e destinato ad una utilizzazione perdurante nel tempo, anche se in</w:t>
      </w:r>
      <w:r w:rsidR="00223CD2" w:rsidRPr="00D04895">
        <w:rPr>
          <w:rFonts w:ascii="Times New Roman" w:hAnsi="Times New Roman" w:cs="Times New Roman"/>
          <w:sz w:val="24"/>
          <w:szCs w:val="24"/>
        </w:rPr>
        <w:t>tervallata da pause stagionali”</w:t>
      </w:r>
      <w:r w:rsidR="00A74135" w:rsidRPr="00D04895">
        <w:rPr>
          <w:rFonts w:ascii="Times New Roman" w:hAnsi="Times New Roman" w:cs="Times New Roman"/>
          <w:sz w:val="24"/>
          <w:szCs w:val="24"/>
        </w:rPr>
        <w:t xml:space="preserve"> è opera per la quale occorre il titolo, atteso che “l’alterazione dello stato dei luoghi, nella quale trova ragione la necessità di un provvedimento permissivo, non può essere considerata né temporanea né irrilevante”.</w:t>
      </w:r>
    </w:p>
    <w:p w:rsidR="00620EC9" w:rsidRPr="00D04895" w:rsidRDefault="00223CD2" w:rsidP="0008686D">
      <w:pPr>
        <w:spacing w:after="0" w:line="242" w:lineRule="exact"/>
        <w:ind w:firstLine="357"/>
        <w:jc w:val="both"/>
        <w:rPr>
          <w:rFonts w:ascii="Times New Roman" w:hAnsi="Times New Roman" w:cs="Times New Roman"/>
          <w:sz w:val="24"/>
          <w:szCs w:val="24"/>
        </w:rPr>
      </w:pPr>
      <w:r w:rsidRPr="00D04895">
        <w:rPr>
          <w:rFonts w:ascii="Times New Roman" w:hAnsi="Times New Roman" w:cs="Times New Roman"/>
          <w:sz w:val="24"/>
          <w:szCs w:val="24"/>
        </w:rPr>
        <w:t>Per le esenzioni o riduzioni degli oneri concessori</w:t>
      </w:r>
      <w:r w:rsidR="00620EC9" w:rsidRPr="00D04895">
        <w:rPr>
          <w:rFonts w:ascii="Times New Roman" w:hAnsi="Times New Roman" w:cs="Times New Roman"/>
          <w:sz w:val="24"/>
          <w:szCs w:val="24"/>
        </w:rPr>
        <w:t xml:space="preserve"> occorre richiamare l’art. </w:t>
      </w:r>
      <w:r w:rsidR="00620EC9" w:rsidRPr="00D04895">
        <w:rPr>
          <w:rFonts w:ascii="Times New Roman" w:hAnsi="Times New Roman" w:cs="Times New Roman"/>
          <w:b/>
          <w:sz w:val="24"/>
          <w:szCs w:val="24"/>
        </w:rPr>
        <w:t>1</w:t>
      </w:r>
      <w:r w:rsidR="007B7587" w:rsidRPr="00D04895">
        <w:rPr>
          <w:rFonts w:ascii="Times New Roman" w:hAnsi="Times New Roman" w:cs="Times New Roman"/>
          <w:b/>
          <w:sz w:val="24"/>
          <w:szCs w:val="24"/>
        </w:rPr>
        <w:t>7</w:t>
      </w:r>
      <w:r w:rsidR="00620EC9" w:rsidRPr="00D04895">
        <w:rPr>
          <w:rFonts w:ascii="Times New Roman" w:hAnsi="Times New Roman" w:cs="Times New Roman"/>
          <w:b/>
          <w:sz w:val="24"/>
          <w:szCs w:val="24"/>
        </w:rPr>
        <w:t xml:space="preserve"> </w:t>
      </w:r>
      <w:proofErr w:type="spellStart"/>
      <w:r w:rsidR="00D04895">
        <w:rPr>
          <w:rFonts w:ascii="Times New Roman" w:hAnsi="Times New Roman" w:cs="Times New Roman"/>
          <w:b/>
          <w:sz w:val="24"/>
          <w:szCs w:val="24"/>
        </w:rPr>
        <w:t>d</w:t>
      </w:r>
      <w:r w:rsidR="00620EC9" w:rsidRPr="00D04895">
        <w:rPr>
          <w:rFonts w:ascii="Times New Roman" w:hAnsi="Times New Roman" w:cs="Times New Roman"/>
          <w:b/>
          <w:sz w:val="24"/>
          <w:szCs w:val="24"/>
        </w:rPr>
        <w:t>.P.R.</w:t>
      </w:r>
      <w:proofErr w:type="spellEnd"/>
      <w:r w:rsidR="00620EC9" w:rsidRPr="00D04895">
        <w:rPr>
          <w:rFonts w:ascii="Times New Roman" w:hAnsi="Times New Roman" w:cs="Times New Roman"/>
          <w:b/>
          <w:sz w:val="24"/>
          <w:szCs w:val="24"/>
        </w:rPr>
        <w:t xml:space="preserve"> n. 380</w:t>
      </w:r>
      <w:r w:rsidR="007B7587" w:rsidRPr="00D04895">
        <w:rPr>
          <w:rFonts w:ascii="Times New Roman" w:hAnsi="Times New Roman" w:cs="Times New Roman"/>
          <w:sz w:val="24"/>
          <w:szCs w:val="24"/>
        </w:rPr>
        <w:t xml:space="preserve"> che con riferimento ai casi “sottratti” al versamento, in toto o in parte, prevede al comma 4:</w:t>
      </w:r>
    </w:p>
    <w:p w:rsidR="007B7587" w:rsidRPr="00D04895" w:rsidRDefault="007B7587" w:rsidP="0008686D">
      <w:pPr>
        <w:spacing w:after="0" w:line="242" w:lineRule="exact"/>
        <w:ind w:firstLine="357"/>
        <w:jc w:val="both"/>
        <w:rPr>
          <w:rFonts w:ascii="Times New Roman" w:hAnsi="Times New Roman" w:cs="Times New Roman"/>
          <w:sz w:val="24"/>
          <w:szCs w:val="24"/>
        </w:rPr>
      </w:pPr>
      <w:r w:rsidRPr="00D04895">
        <w:rPr>
          <w:rFonts w:ascii="Times New Roman" w:hAnsi="Times New Roman" w:cs="Times New Roman"/>
          <w:sz w:val="24"/>
          <w:szCs w:val="24"/>
        </w:rPr>
        <w:t>“</w:t>
      </w:r>
      <w:r w:rsidRPr="00D04895">
        <w:rPr>
          <w:rFonts w:ascii="Times New Roman" w:hAnsi="Times New Roman" w:cs="Times New Roman"/>
          <w:i/>
          <w:sz w:val="24"/>
          <w:szCs w:val="24"/>
        </w:rPr>
        <w:t>Per gli interventi da realizzare su immobili di proprietà dello Stato, nonché per gli interventi di manutenzione straordinaria di cui all’articolo 6 comma 2 lettera a), qualora comportanti aumento del carico urbanistico, il contributo di costruzione è commisurato alla incidenza delle sole opere di urbanizzazione, purché ne derivi un aumento della superficie calpestabile</w:t>
      </w:r>
      <w:r w:rsidRPr="00D04895">
        <w:rPr>
          <w:rFonts w:ascii="Times New Roman" w:hAnsi="Times New Roman" w:cs="Times New Roman"/>
          <w:sz w:val="24"/>
          <w:szCs w:val="24"/>
        </w:rPr>
        <w:t>”.</w:t>
      </w:r>
    </w:p>
    <w:p w:rsidR="004C7028" w:rsidRPr="00D04895" w:rsidRDefault="0082689B" w:rsidP="006E1C24">
      <w:pPr>
        <w:spacing w:after="0" w:line="242" w:lineRule="exact"/>
        <w:ind w:firstLine="357"/>
        <w:jc w:val="both"/>
        <w:rPr>
          <w:rFonts w:ascii="Times New Roman" w:hAnsi="Times New Roman" w:cs="Times New Roman"/>
          <w:sz w:val="24"/>
          <w:szCs w:val="24"/>
        </w:rPr>
      </w:pPr>
      <w:r w:rsidRPr="00D04895">
        <w:rPr>
          <w:rFonts w:ascii="Times New Roman" w:hAnsi="Times New Roman" w:cs="Times New Roman"/>
          <w:sz w:val="24"/>
          <w:szCs w:val="24"/>
        </w:rPr>
        <w:lastRenderedPageBreak/>
        <w:t>Risulta conseguentemente che le opere ricadenti sul demanio marittimo, edificate in applicazione della disciplina edilizia sulla base dei titoli abilitativi in essa previsti, sono</w:t>
      </w:r>
      <w:r w:rsidR="00F32FD4" w:rsidRPr="00D04895">
        <w:rPr>
          <w:rFonts w:ascii="Times New Roman" w:hAnsi="Times New Roman" w:cs="Times New Roman"/>
          <w:sz w:val="24"/>
          <w:szCs w:val="24"/>
        </w:rPr>
        <w:t xml:space="preserve"> soggette al versamento dei soli oneri di urbanizzazione, nulla essendo dovuto quale costo di costruzione.</w:t>
      </w:r>
    </w:p>
    <w:p w:rsidR="006E1C24" w:rsidRPr="00D04895" w:rsidRDefault="006E1C24" w:rsidP="006E1C24">
      <w:pPr>
        <w:spacing w:after="0" w:line="242" w:lineRule="exact"/>
        <w:ind w:firstLine="357"/>
        <w:jc w:val="both"/>
        <w:rPr>
          <w:rFonts w:ascii="Times New Roman" w:hAnsi="Times New Roman" w:cs="Times New Roman"/>
          <w:sz w:val="24"/>
          <w:szCs w:val="24"/>
        </w:rPr>
      </w:pPr>
    </w:p>
    <w:p w:rsidR="00541352" w:rsidRPr="00D04895" w:rsidRDefault="00541352" w:rsidP="00541352">
      <w:pPr>
        <w:pStyle w:val="Paragrafoelenco"/>
        <w:numPr>
          <w:ilvl w:val="0"/>
          <w:numId w:val="4"/>
        </w:numPr>
        <w:rPr>
          <w:sz w:val="24"/>
          <w:szCs w:val="24"/>
        </w:rPr>
      </w:pPr>
      <w:r w:rsidRPr="00D04895">
        <w:rPr>
          <w:rFonts w:ascii="Times New Roman" w:hAnsi="Times New Roman" w:cs="Times New Roman"/>
          <w:b/>
          <w:sz w:val="24"/>
          <w:szCs w:val="24"/>
        </w:rPr>
        <w:t>La differenza tra costi di costruzione e oneri di urbanizzazione nella giurisprudenza più recente.</w:t>
      </w:r>
    </w:p>
    <w:p w:rsidR="00541352" w:rsidRPr="00D04895" w:rsidRDefault="004C7028"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L’</w:t>
      </w:r>
      <w:r w:rsidRPr="00D04895">
        <w:rPr>
          <w:rFonts w:ascii="Times New Roman" w:hAnsi="Times New Roman" w:cs="Times New Roman"/>
          <w:i/>
          <w:sz w:val="24"/>
          <w:szCs w:val="24"/>
        </w:rPr>
        <w:t>esonero</w:t>
      </w:r>
      <w:r w:rsidRPr="00D04895">
        <w:rPr>
          <w:rFonts w:ascii="Times New Roman" w:hAnsi="Times New Roman" w:cs="Times New Roman"/>
          <w:sz w:val="24"/>
          <w:szCs w:val="24"/>
        </w:rPr>
        <w:t xml:space="preserve"> dal versamento dei costi di costruzione, e</w:t>
      </w:r>
      <w:r w:rsidR="00223CD2" w:rsidRPr="00D04895">
        <w:rPr>
          <w:rFonts w:ascii="Times New Roman" w:hAnsi="Times New Roman" w:cs="Times New Roman"/>
          <w:sz w:val="24"/>
          <w:szCs w:val="24"/>
        </w:rPr>
        <w:t xml:space="preserve">d all’opposto la </w:t>
      </w:r>
      <w:proofErr w:type="spellStart"/>
      <w:r w:rsidR="00223CD2" w:rsidRPr="00D04895">
        <w:rPr>
          <w:rFonts w:ascii="Times New Roman" w:hAnsi="Times New Roman" w:cs="Times New Roman"/>
          <w:sz w:val="24"/>
          <w:szCs w:val="24"/>
        </w:rPr>
        <w:t>debenza</w:t>
      </w:r>
      <w:proofErr w:type="spellEnd"/>
      <w:r w:rsidR="00223CD2" w:rsidRPr="00D04895">
        <w:rPr>
          <w:rFonts w:ascii="Times New Roman" w:hAnsi="Times New Roman" w:cs="Times New Roman"/>
          <w:sz w:val="24"/>
          <w:szCs w:val="24"/>
        </w:rPr>
        <w:t xml:space="preserve"> degli</w:t>
      </w:r>
      <w:r w:rsidRPr="00D04895">
        <w:rPr>
          <w:rFonts w:ascii="Times New Roman" w:hAnsi="Times New Roman" w:cs="Times New Roman"/>
          <w:sz w:val="24"/>
          <w:szCs w:val="24"/>
        </w:rPr>
        <w:t xml:space="preserve"> oneri di urbanizzazione, nella recente giurisprudenza amministrativa poggia sul principio della “commerciabilità” dell’opera e della sua destinazione al termine del rapporto </w:t>
      </w:r>
      <w:proofErr w:type="spellStart"/>
      <w:r w:rsidRPr="00D04895">
        <w:rPr>
          <w:rFonts w:ascii="Times New Roman" w:hAnsi="Times New Roman" w:cs="Times New Roman"/>
          <w:sz w:val="24"/>
          <w:szCs w:val="24"/>
        </w:rPr>
        <w:t>concessorio</w:t>
      </w:r>
      <w:proofErr w:type="spellEnd"/>
      <w:r w:rsidRPr="00D04895">
        <w:rPr>
          <w:rFonts w:ascii="Times New Roman" w:hAnsi="Times New Roman" w:cs="Times New Roman"/>
          <w:sz w:val="24"/>
          <w:szCs w:val="24"/>
        </w:rPr>
        <w:t>.</w:t>
      </w:r>
    </w:p>
    <w:p w:rsidR="00DD6418" w:rsidRPr="00D04895" w:rsidRDefault="00CB1FBB"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 xml:space="preserve">La giurisprudenza anche più recente, infatti, sottolinea l’aspetto collegato alla “destinazione” dell’opera </w:t>
      </w:r>
      <w:r w:rsidR="00DD6418" w:rsidRPr="00D04895">
        <w:rPr>
          <w:rFonts w:ascii="Times New Roman" w:hAnsi="Times New Roman" w:cs="Times New Roman"/>
          <w:sz w:val="24"/>
          <w:szCs w:val="24"/>
        </w:rPr>
        <w:t>per giustificare il mancato assoggettamento ai costi di costruzione.</w:t>
      </w:r>
    </w:p>
    <w:p w:rsidR="00DD6418" w:rsidRPr="00D04895" w:rsidRDefault="00CB1FBB" w:rsidP="00DD6418">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 xml:space="preserve"> </w:t>
      </w:r>
      <w:r w:rsidR="00DD6418" w:rsidRPr="00D04895">
        <w:rPr>
          <w:rFonts w:ascii="Times New Roman" w:hAnsi="Times New Roman" w:cs="Times New Roman"/>
          <w:sz w:val="24"/>
          <w:szCs w:val="24"/>
        </w:rPr>
        <w:t>Nella sentenza Tar Calabria, Catanzaro, sezione seconda, n. 1557 del 19 ottobr</w:t>
      </w:r>
      <w:r w:rsidR="00833681" w:rsidRPr="00D04895">
        <w:rPr>
          <w:rFonts w:ascii="Times New Roman" w:hAnsi="Times New Roman" w:cs="Times New Roman"/>
          <w:sz w:val="24"/>
          <w:szCs w:val="24"/>
        </w:rPr>
        <w:t>e 2017</w:t>
      </w:r>
      <w:r w:rsidR="001D1E8D">
        <w:rPr>
          <w:rStyle w:val="Rimandonotaapidipagina"/>
          <w:rFonts w:ascii="Times New Roman" w:hAnsi="Times New Roman"/>
          <w:sz w:val="24"/>
          <w:szCs w:val="24"/>
        </w:rPr>
        <w:footnoteReference w:id="26"/>
      </w:r>
      <w:r w:rsidR="00833681" w:rsidRPr="00D04895">
        <w:rPr>
          <w:rFonts w:ascii="Times New Roman" w:hAnsi="Times New Roman" w:cs="Times New Roman"/>
          <w:sz w:val="24"/>
          <w:szCs w:val="24"/>
        </w:rPr>
        <w:t xml:space="preserve">, </w:t>
      </w:r>
      <w:r w:rsidR="00DD6418" w:rsidRPr="00D04895">
        <w:rPr>
          <w:rFonts w:ascii="Times New Roman" w:hAnsi="Times New Roman" w:cs="Times New Roman"/>
          <w:sz w:val="24"/>
          <w:szCs w:val="24"/>
        </w:rPr>
        <w:t>il Collegio motiva l’accoglimento del ricorso relativo alla restituzione degli oneri versati sul fondamento “</w:t>
      </w:r>
      <w:r w:rsidR="00DD6418" w:rsidRPr="00D04895">
        <w:rPr>
          <w:rFonts w:ascii="Times New Roman" w:hAnsi="Times New Roman" w:cs="Times New Roman"/>
          <w:i/>
          <w:sz w:val="24"/>
          <w:szCs w:val="24"/>
        </w:rPr>
        <w:t xml:space="preserve">il contributo di costruzione non è dovuto su opere che sorgono in area demaniale atteso che la quota di contributo commisurata al costo di costruzione integra una prestazione di natura </w:t>
      </w:r>
      <w:proofErr w:type="spellStart"/>
      <w:r w:rsidR="00DD6418" w:rsidRPr="00D04895">
        <w:rPr>
          <w:rFonts w:ascii="Times New Roman" w:hAnsi="Times New Roman" w:cs="Times New Roman"/>
          <w:b/>
          <w:i/>
          <w:sz w:val="24"/>
          <w:szCs w:val="24"/>
        </w:rPr>
        <w:t>paratributaria</w:t>
      </w:r>
      <w:proofErr w:type="spellEnd"/>
      <w:r w:rsidR="00DD6418" w:rsidRPr="00D04895">
        <w:rPr>
          <w:rFonts w:ascii="Times New Roman" w:hAnsi="Times New Roman" w:cs="Times New Roman"/>
          <w:i/>
          <w:sz w:val="24"/>
          <w:szCs w:val="24"/>
        </w:rPr>
        <w:t>, determinata tenendo conto della produzione della ricchezza generata dallo sfruttamento del territorio, che non è ravvisabile nelle costruzioni s</w:t>
      </w:r>
      <w:r w:rsidR="00833681" w:rsidRPr="00D04895">
        <w:rPr>
          <w:rFonts w:ascii="Times New Roman" w:hAnsi="Times New Roman" w:cs="Times New Roman"/>
          <w:i/>
          <w:sz w:val="24"/>
          <w:szCs w:val="24"/>
        </w:rPr>
        <w:t>u</w:t>
      </w:r>
      <w:r w:rsidR="00DD6418" w:rsidRPr="00D04895">
        <w:rPr>
          <w:rFonts w:ascii="Times New Roman" w:hAnsi="Times New Roman" w:cs="Times New Roman"/>
          <w:i/>
          <w:sz w:val="24"/>
          <w:szCs w:val="24"/>
        </w:rPr>
        <w:t xml:space="preserve"> area demaniale, in quanto insuscettibili di commercializzazione e destinate a ricadere, alla cessazione del rapporto di concessione dell’area demaniale, in proprietà dell’amministrazione concedente (cfr. Tar Sicilia, Palermo, sentenza n. 2144/2016 e Tar Marche sentenza n. 862/2015)</w:t>
      </w:r>
      <w:r w:rsidR="00DD6418" w:rsidRPr="00D04895">
        <w:rPr>
          <w:rFonts w:ascii="Times New Roman" w:hAnsi="Times New Roman" w:cs="Times New Roman"/>
          <w:sz w:val="24"/>
          <w:szCs w:val="24"/>
        </w:rPr>
        <w:t>”</w:t>
      </w:r>
      <w:r w:rsidR="006554B4" w:rsidRPr="00D04895">
        <w:rPr>
          <w:rStyle w:val="Rimandonotaapidipagina"/>
          <w:rFonts w:ascii="Times New Roman" w:hAnsi="Times New Roman"/>
          <w:sz w:val="24"/>
          <w:szCs w:val="24"/>
        </w:rPr>
        <w:footnoteReference w:id="27"/>
      </w:r>
      <w:r w:rsidR="00DD6418" w:rsidRPr="00D04895">
        <w:rPr>
          <w:rFonts w:ascii="Times New Roman" w:hAnsi="Times New Roman" w:cs="Times New Roman"/>
          <w:sz w:val="24"/>
          <w:szCs w:val="24"/>
        </w:rPr>
        <w:t>.</w:t>
      </w:r>
    </w:p>
    <w:p w:rsidR="004C7028" w:rsidRPr="00D04895" w:rsidRDefault="00DD6418"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 xml:space="preserve">La devoluzione dell’opera al demanio statale, o, in altri termini, l’acquisizione della stessa come proprietà dello Stato, accade in applicazione di una speciale disposizione contenuta all’art. </w:t>
      </w:r>
      <w:r w:rsidRPr="00D04895">
        <w:rPr>
          <w:rFonts w:ascii="Times New Roman" w:hAnsi="Times New Roman" w:cs="Times New Roman"/>
          <w:b/>
          <w:sz w:val="24"/>
          <w:szCs w:val="24"/>
        </w:rPr>
        <w:t>49</w:t>
      </w:r>
      <w:r w:rsidRPr="00D04895">
        <w:rPr>
          <w:rFonts w:ascii="Times New Roman" w:hAnsi="Times New Roman" w:cs="Times New Roman"/>
          <w:sz w:val="24"/>
          <w:szCs w:val="24"/>
        </w:rPr>
        <w:t xml:space="preserve"> del Codice della Navigazione </w:t>
      </w:r>
      <w:r w:rsidR="002A5926" w:rsidRPr="00D04895">
        <w:rPr>
          <w:rFonts w:ascii="Times New Roman" w:hAnsi="Times New Roman" w:cs="Times New Roman"/>
          <w:sz w:val="24"/>
          <w:szCs w:val="24"/>
        </w:rPr>
        <w:t>(R.D. 30 marzo 1942 n. 327)</w:t>
      </w:r>
      <w:r w:rsidR="004C7028" w:rsidRPr="00D04895">
        <w:rPr>
          <w:rFonts w:ascii="Times New Roman" w:hAnsi="Times New Roman" w:cs="Times New Roman"/>
          <w:sz w:val="24"/>
          <w:szCs w:val="24"/>
        </w:rPr>
        <w:t xml:space="preserve"> </w:t>
      </w:r>
      <w:r w:rsidRPr="00D04895">
        <w:rPr>
          <w:rFonts w:ascii="Times New Roman" w:hAnsi="Times New Roman" w:cs="Times New Roman"/>
          <w:sz w:val="24"/>
          <w:szCs w:val="24"/>
        </w:rPr>
        <w:t xml:space="preserve">la quale, </w:t>
      </w:r>
      <w:r w:rsidR="004C7028" w:rsidRPr="00D04895">
        <w:rPr>
          <w:rFonts w:ascii="Times New Roman" w:hAnsi="Times New Roman" w:cs="Times New Roman"/>
          <w:sz w:val="24"/>
          <w:szCs w:val="24"/>
        </w:rPr>
        <w:t>sotto il titolo</w:t>
      </w:r>
      <w:r w:rsidR="002A5926" w:rsidRPr="00D04895">
        <w:rPr>
          <w:rFonts w:ascii="Times New Roman" w:hAnsi="Times New Roman" w:cs="Times New Roman"/>
          <w:sz w:val="24"/>
          <w:szCs w:val="24"/>
        </w:rPr>
        <w:t xml:space="preserve"> “</w:t>
      </w:r>
      <w:r w:rsidRPr="00D04895">
        <w:rPr>
          <w:rFonts w:ascii="Times New Roman" w:hAnsi="Times New Roman" w:cs="Times New Roman"/>
          <w:sz w:val="24"/>
          <w:szCs w:val="24"/>
        </w:rPr>
        <w:t>D</w:t>
      </w:r>
      <w:r w:rsidR="002A5926" w:rsidRPr="00D04895">
        <w:rPr>
          <w:rFonts w:ascii="Times New Roman" w:hAnsi="Times New Roman" w:cs="Times New Roman"/>
          <w:sz w:val="24"/>
          <w:szCs w:val="24"/>
        </w:rPr>
        <w:t>evoluzione delle opere non amovibili” stabilisce che “</w:t>
      </w:r>
      <w:r w:rsidR="002A5926" w:rsidRPr="00D04895">
        <w:rPr>
          <w:rFonts w:ascii="Times New Roman" w:hAnsi="Times New Roman" w:cs="Times New Roman"/>
          <w:i/>
          <w:sz w:val="24"/>
          <w:szCs w:val="24"/>
        </w:rPr>
        <w:t>1. Salvo che non sia diversamente stabilito nell’atto di concessione, quando venga a cessare la concessione, le opere non amovibili, costruite sulla zona demaniale, restano acquisite allo Stato, senza alcun compenso o rimborso, salva la facoltà dell’autorità concedente di ordinarne la demolizione con la restituzione del bene demaniale nel pristino stato. 2. In quest’ultimo caso, l’amministrazione, ove il concessionario non esegua l’ordine di demolizione, può provvedervi a termini dell’articolo 54</w:t>
      </w:r>
      <w:r w:rsidR="002A5926" w:rsidRPr="00D04895">
        <w:rPr>
          <w:rFonts w:ascii="Times New Roman" w:hAnsi="Times New Roman" w:cs="Times New Roman"/>
          <w:sz w:val="24"/>
          <w:szCs w:val="24"/>
        </w:rPr>
        <w:t>”.</w:t>
      </w:r>
    </w:p>
    <w:p w:rsidR="002A5926" w:rsidRPr="00D04895" w:rsidRDefault="002A5926"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L’amministrazione, al termine del rapporto concedente-concessionario (intendendosi per “termine” la cessazione definitiva della concessione, non pi</w:t>
      </w:r>
      <w:r w:rsidR="003F7CB3" w:rsidRPr="00D04895">
        <w:rPr>
          <w:rFonts w:ascii="Times New Roman" w:hAnsi="Times New Roman" w:cs="Times New Roman"/>
          <w:sz w:val="24"/>
          <w:szCs w:val="24"/>
        </w:rPr>
        <w:t>ù prorogata né rinnovata</w:t>
      </w:r>
      <w:r w:rsidR="003F7CB3" w:rsidRPr="00D04895">
        <w:rPr>
          <w:rStyle w:val="Rimandonotaapidipagina"/>
          <w:rFonts w:ascii="Times New Roman" w:hAnsi="Times New Roman"/>
          <w:sz w:val="24"/>
          <w:szCs w:val="24"/>
        </w:rPr>
        <w:footnoteReference w:id="28"/>
      </w:r>
      <w:r w:rsidR="003F7CB3" w:rsidRPr="00D04895">
        <w:rPr>
          <w:rFonts w:ascii="Times New Roman" w:hAnsi="Times New Roman" w:cs="Times New Roman"/>
          <w:sz w:val="24"/>
          <w:szCs w:val="24"/>
        </w:rPr>
        <w:t xml:space="preserve">), acquisisce </w:t>
      </w:r>
      <w:r w:rsidR="003F7CB3" w:rsidRPr="00D04895">
        <w:rPr>
          <w:rFonts w:ascii="Times New Roman" w:hAnsi="Times New Roman" w:cs="Times New Roman"/>
          <w:sz w:val="24"/>
          <w:szCs w:val="24"/>
        </w:rPr>
        <w:lastRenderedPageBreak/>
        <w:t>per diretta disposizione di legge le opere di difficile rimozione</w:t>
      </w:r>
      <w:r w:rsidR="007E5AE2" w:rsidRPr="00D04895">
        <w:rPr>
          <w:rStyle w:val="Rimandonotaapidipagina"/>
          <w:rFonts w:ascii="Times New Roman" w:hAnsi="Times New Roman"/>
          <w:sz w:val="24"/>
          <w:szCs w:val="24"/>
        </w:rPr>
        <w:footnoteReference w:id="29"/>
      </w:r>
      <w:r w:rsidR="003F7CB3" w:rsidRPr="00D04895">
        <w:rPr>
          <w:rFonts w:ascii="Times New Roman" w:hAnsi="Times New Roman" w:cs="Times New Roman"/>
          <w:sz w:val="24"/>
          <w:szCs w:val="24"/>
        </w:rPr>
        <w:t xml:space="preserve"> (</w:t>
      </w:r>
      <w:r w:rsidR="00DD6418" w:rsidRPr="00D04895">
        <w:rPr>
          <w:rFonts w:ascii="Times New Roman" w:hAnsi="Times New Roman" w:cs="Times New Roman"/>
          <w:sz w:val="24"/>
          <w:szCs w:val="24"/>
        </w:rPr>
        <w:t>in</w:t>
      </w:r>
      <w:r w:rsidR="003F7CB3" w:rsidRPr="00D04895">
        <w:rPr>
          <w:rFonts w:ascii="Times New Roman" w:hAnsi="Times New Roman" w:cs="Times New Roman"/>
          <w:sz w:val="24"/>
          <w:szCs w:val="24"/>
        </w:rPr>
        <w:t xml:space="preserve">amovibili) che il privato ha eretto sull’area demaniale, senza riconoscimento in favore di quest’ultimo di indennizzi o compensi. L’effetto devolutivo si produce </w:t>
      </w:r>
      <w:proofErr w:type="spellStart"/>
      <w:r w:rsidR="003F7CB3" w:rsidRPr="00D04895">
        <w:rPr>
          <w:rFonts w:ascii="Times New Roman" w:hAnsi="Times New Roman" w:cs="Times New Roman"/>
          <w:i/>
          <w:sz w:val="24"/>
          <w:szCs w:val="24"/>
        </w:rPr>
        <w:t>ope</w:t>
      </w:r>
      <w:proofErr w:type="spellEnd"/>
      <w:r w:rsidR="003F7CB3" w:rsidRPr="00D04895">
        <w:rPr>
          <w:rFonts w:ascii="Times New Roman" w:hAnsi="Times New Roman" w:cs="Times New Roman"/>
          <w:i/>
          <w:sz w:val="24"/>
          <w:szCs w:val="24"/>
        </w:rPr>
        <w:t xml:space="preserve"> </w:t>
      </w:r>
      <w:proofErr w:type="spellStart"/>
      <w:r w:rsidR="003F7CB3" w:rsidRPr="00D04895">
        <w:rPr>
          <w:rFonts w:ascii="Times New Roman" w:hAnsi="Times New Roman" w:cs="Times New Roman"/>
          <w:i/>
          <w:sz w:val="24"/>
          <w:szCs w:val="24"/>
        </w:rPr>
        <w:t>legis</w:t>
      </w:r>
      <w:proofErr w:type="spellEnd"/>
      <w:r w:rsidR="00DD6418" w:rsidRPr="00D04895">
        <w:rPr>
          <w:rStyle w:val="Rimandonotaapidipagina"/>
          <w:rFonts w:ascii="Times New Roman" w:hAnsi="Times New Roman"/>
          <w:sz w:val="24"/>
          <w:szCs w:val="24"/>
        </w:rPr>
        <w:footnoteReference w:id="30"/>
      </w:r>
      <w:r w:rsidR="003F7CB3" w:rsidRPr="00D04895">
        <w:rPr>
          <w:rFonts w:ascii="Times New Roman" w:hAnsi="Times New Roman" w:cs="Times New Roman"/>
          <w:sz w:val="24"/>
          <w:szCs w:val="24"/>
        </w:rPr>
        <w:t>, con consolidamento della proprietà statale dal sedime (fondo) all’opera sovrastante che viene così “incorporata”.</w:t>
      </w:r>
    </w:p>
    <w:p w:rsidR="003F7CB3" w:rsidRPr="00D04895" w:rsidRDefault="003F7CB3"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Come dottrina e giurisprudenza hanno evidenziato sul punto</w:t>
      </w:r>
      <w:r w:rsidR="007E5AE2" w:rsidRPr="00D04895">
        <w:rPr>
          <w:rStyle w:val="Rimandonotaapidipagina"/>
          <w:rFonts w:ascii="Times New Roman" w:hAnsi="Times New Roman"/>
          <w:sz w:val="24"/>
          <w:szCs w:val="24"/>
        </w:rPr>
        <w:footnoteReference w:id="31"/>
      </w:r>
      <w:r w:rsidRPr="00D04895">
        <w:rPr>
          <w:rFonts w:ascii="Times New Roman" w:hAnsi="Times New Roman" w:cs="Times New Roman"/>
          <w:sz w:val="24"/>
          <w:szCs w:val="24"/>
        </w:rPr>
        <w:t>, sul demanio marittim</w:t>
      </w:r>
      <w:r w:rsidR="00BB4ADF" w:rsidRPr="00D04895">
        <w:rPr>
          <w:rFonts w:ascii="Times New Roman" w:hAnsi="Times New Roman" w:cs="Times New Roman"/>
          <w:sz w:val="24"/>
          <w:szCs w:val="24"/>
        </w:rPr>
        <w:t>o</w:t>
      </w:r>
      <w:r w:rsidRPr="00D04895">
        <w:rPr>
          <w:rFonts w:ascii="Times New Roman" w:hAnsi="Times New Roman" w:cs="Times New Roman"/>
          <w:sz w:val="24"/>
          <w:szCs w:val="24"/>
        </w:rPr>
        <w:t xml:space="preserve"> </w:t>
      </w:r>
      <w:r w:rsidR="007E5AE2" w:rsidRPr="00D04895">
        <w:rPr>
          <w:rFonts w:ascii="Times New Roman" w:hAnsi="Times New Roman" w:cs="Times New Roman"/>
          <w:sz w:val="24"/>
          <w:szCs w:val="24"/>
        </w:rPr>
        <w:t xml:space="preserve">opera </w:t>
      </w:r>
      <w:r w:rsidRPr="00D04895">
        <w:rPr>
          <w:rFonts w:ascii="Times New Roman" w:hAnsi="Times New Roman" w:cs="Times New Roman"/>
          <w:sz w:val="24"/>
          <w:szCs w:val="24"/>
        </w:rPr>
        <w:t xml:space="preserve">l’istituto, di matrice civilistica, dell’accessione gratuita, </w:t>
      </w:r>
      <w:r w:rsidR="007E5AE2" w:rsidRPr="00D04895">
        <w:rPr>
          <w:rFonts w:ascii="Times New Roman" w:hAnsi="Times New Roman" w:cs="Times New Roman"/>
          <w:sz w:val="24"/>
          <w:szCs w:val="24"/>
        </w:rPr>
        <w:t>realizzandosi la condizione dell’espansione della proprietà pubblica d</w:t>
      </w:r>
      <w:r w:rsidR="006843C9" w:rsidRPr="00D04895">
        <w:rPr>
          <w:rFonts w:ascii="Times New Roman" w:hAnsi="Times New Roman" w:cs="Times New Roman"/>
          <w:sz w:val="24"/>
          <w:szCs w:val="24"/>
        </w:rPr>
        <w:t>al fondo all</w:t>
      </w:r>
      <w:r w:rsidR="007E5AE2" w:rsidRPr="00D04895">
        <w:rPr>
          <w:rFonts w:ascii="Times New Roman" w:hAnsi="Times New Roman" w:cs="Times New Roman"/>
          <w:sz w:val="24"/>
          <w:szCs w:val="24"/>
        </w:rPr>
        <w:t>’opera sovrastante, che viene così inglobata</w:t>
      </w:r>
      <w:r w:rsidRPr="00D04895">
        <w:rPr>
          <w:rFonts w:ascii="Times New Roman" w:hAnsi="Times New Roman" w:cs="Times New Roman"/>
          <w:sz w:val="24"/>
          <w:szCs w:val="24"/>
        </w:rPr>
        <w:t xml:space="preserve"> con </w:t>
      </w:r>
      <w:r w:rsidR="007E5AE2" w:rsidRPr="00D04895">
        <w:rPr>
          <w:rFonts w:ascii="Times New Roman" w:hAnsi="Times New Roman" w:cs="Times New Roman"/>
          <w:sz w:val="24"/>
          <w:szCs w:val="24"/>
        </w:rPr>
        <w:t>conseguente st</w:t>
      </w:r>
      <w:r w:rsidRPr="00D04895">
        <w:rPr>
          <w:rFonts w:ascii="Times New Roman" w:hAnsi="Times New Roman" w:cs="Times New Roman"/>
          <w:sz w:val="24"/>
          <w:szCs w:val="24"/>
        </w:rPr>
        <w:t xml:space="preserve">abilizzazione della proprietà pubblica demaniale. L’opera che viene in tal modo incorporata al suolo diventa pertinenza demaniale, di proprietà dello Stato (iscritta al </w:t>
      </w:r>
      <w:r w:rsidRPr="00D04895">
        <w:rPr>
          <w:rFonts w:ascii="Times New Roman" w:hAnsi="Times New Roman" w:cs="Times New Roman"/>
          <w:i/>
          <w:sz w:val="24"/>
          <w:szCs w:val="24"/>
        </w:rPr>
        <w:t xml:space="preserve">Registro </w:t>
      </w:r>
      <w:r w:rsidR="00E06516" w:rsidRPr="00D04895">
        <w:rPr>
          <w:rFonts w:ascii="Times New Roman" w:hAnsi="Times New Roman" w:cs="Times New Roman"/>
          <w:i/>
          <w:sz w:val="24"/>
          <w:szCs w:val="24"/>
        </w:rPr>
        <w:t xml:space="preserve">Inventario dei beni immobiliari demaniali dello Stato </w:t>
      </w:r>
      <w:proofErr w:type="spellStart"/>
      <w:r w:rsidR="00E06516" w:rsidRPr="00D04895">
        <w:rPr>
          <w:rFonts w:ascii="Times New Roman" w:hAnsi="Times New Roman" w:cs="Times New Roman"/>
          <w:i/>
          <w:sz w:val="24"/>
          <w:szCs w:val="24"/>
        </w:rPr>
        <w:t>Mod</w:t>
      </w:r>
      <w:proofErr w:type="spellEnd"/>
      <w:r w:rsidR="00E06516" w:rsidRPr="00D04895">
        <w:rPr>
          <w:rFonts w:ascii="Times New Roman" w:hAnsi="Times New Roman" w:cs="Times New Roman"/>
          <w:i/>
          <w:sz w:val="24"/>
          <w:szCs w:val="24"/>
        </w:rPr>
        <w:t>. 23.D1</w:t>
      </w:r>
      <w:r w:rsidRPr="00D04895">
        <w:rPr>
          <w:rFonts w:ascii="Times New Roman" w:hAnsi="Times New Roman" w:cs="Times New Roman"/>
          <w:sz w:val="24"/>
          <w:szCs w:val="24"/>
        </w:rPr>
        <w:t>).</w:t>
      </w:r>
    </w:p>
    <w:p w:rsidR="00B2452F" w:rsidRPr="00D04895" w:rsidRDefault="003F7CB3"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L’</w:t>
      </w:r>
      <w:r w:rsidR="00F003A7" w:rsidRPr="00D04895">
        <w:rPr>
          <w:rFonts w:ascii="Times New Roman" w:hAnsi="Times New Roman" w:cs="Times New Roman"/>
          <w:sz w:val="24"/>
          <w:szCs w:val="24"/>
        </w:rPr>
        <w:t xml:space="preserve">atto per mezzo del quale è </w:t>
      </w:r>
      <w:r w:rsidR="00E06516" w:rsidRPr="00D04895">
        <w:rPr>
          <w:rFonts w:ascii="Times New Roman" w:hAnsi="Times New Roman" w:cs="Times New Roman"/>
          <w:sz w:val="24"/>
          <w:szCs w:val="24"/>
        </w:rPr>
        <w:t>“</w:t>
      </w:r>
      <w:r w:rsidR="00F003A7" w:rsidRPr="00D04895">
        <w:rPr>
          <w:rFonts w:ascii="Times New Roman" w:hAnsi="Times New Roman" w:cs="Times New Roman"/>
          <w:sz w:val="24"/>
          <w:szCs w:val="24"/>
        </w:rPr>
        <w:t>svelata</w:t>
      </w:r>
      <w:r w:rsidR="00E06516" w:rsidRPr="00D04895">
        <w:rPr>
          <w:rFonts w:ascii="Times New Roman" w:hAnsi="Times New Roman" w:cs="Times New Roman"/>
          <w:sz w:val="24"/>
          <w:szCs w:val="24"/>
        </w:rPr>
        <w:t>”</w:t>
      </w:r>
      <w:r w:rsidR="00F003A7" w:rsidRPr="00D04895">
        <w:rPr>
          <w:rFonts w:ascii="Times New Roman" w:hAnsi="Times New Roman" w:cs="Times New Roman"/>
          <w:sz w:val="24"/>
          <w:szCs w:val="24"/>
        </w:rPr>
        <w:t xml:space="preserve"> la demanialità dell’opera</w:t>
      </w:r>
      <w:r w:rsidR="00B2452F" w:rsidRPr="00D04895">
        <w:rPr>
          <w:rFonts w:ascii="Times New Roman" w:hAnsi="Times New Roman" w:cs="Times New Roman"/>
          <w:sz w:val="24"/>
          <w:szCs w:val="24"/>
        </w:rPr>
        <w:t>,</w:t>
      </w:r>
      <w:r w:rsidR="00F003A7" w:rsidRPr="00D04895">
        <w:rPr>
          <w:rFonts w:ascii="Times New Roman" w:hAnsi="Times New Roman" w:cs="Times New Roman"/>
          <w:sz w:val="24"/>
          <w:szCs w:val="24"/>
        </w:rPr>
        <w:t xml:space="preserve"> </w:t>
      </w:r>
      <w:r w:rsidR="007E5AE2" w:rsidRPr="00D04895">
        <w:rPr>
          <w:rFonts w:ascii="Times New Roman" w:hAnsi="Times New Roman" w:cs="Times New Roman"/>
          <w:sz w:val="24"/>
          <w:szCs w:val="24"/>
        </w:rPr>
        <w:t>nel senso di essere riconosciuta come effetto intrinseco, è denominato</w:t>
      </w:r>
      <w:r w:rsidR="00F003A7" w:rsidRPr="00D04895">
        <w:rPr>
          <w:rFonts w:ascii="Times New Roman" w:hAnsi="Times New Roman" w:cs="Times New Roman"/>
          <w:sz w:val="24"/>
          <w:szCs w:val="24"/>
        </w:rPr>
        <w:t xml:space="preserve"> “</w:t>
      </w:r>
      <w:r w:rsidR="00F003A7" w:rsidRPr="00D04895">
        <w:rPr>
          <w:rFonts w:ascii="Times New Roman" w:hAnsi="Times New Roman" w:cs="Times New Roman"/>
          <w:b/>
          <w:sz w:val="24"/>
          <w:szCs w:val="24"/>
        </w:rPr>
        <w:t>Verbale di constatazione e Testimoniale di Stato</w:t>
      </w:r>
      <w:r w:rsidR="00F003A7" w:rsidRPr="00D04895">
        <w:rPr>
          <w:rFonts w:ascii="Times New Roman" w:hAnsi="Times New Roman" w:cs="Times New Roman"/>
          <w:sz w:val="24"/>
          <w:szCs w:val="24"/>
        </w:rPr>
        <w:t>”</w:t>
      </w:r>
      <w:r w:rsidR="007E5AE2" w:rsidRPr="00D04895">
        <w:rPr>
          <w:rFonts w:ascii="Times New Roman" w:hAnsi="Times New Roman" w:cs="Times New Roman"/>
          <w:sz w:val="24"/>
          <w:szCs w:val="24"/>
        </w:rPr>
        <w:t>.</w:t>
      </w:r>
      <w:r w:rsidR="00F003A7" w:rsidRPr="00D04895">
        <w:rPr>
          <w:rFonts w:ascii="Times New Roman" w:hAnsi="Times New Roman" w:cs="Times New Roman"/>
          <w:sz w:val="24"/>
          <w:szCs w:val="24"/>
        </w:rPr>
        <w:t xml:space="preserve"> </w:t>
      </w:r>
      <w:r w:rsidR="007E5AE2" w:rsidRPr="00D04895">
        <w:rPr>
          <w:rFonts w:ascii="Times New Roman" w:hAnsi="Times New Roman" w:cs="Times New Roman"/>
          <w:sz w:val="24"/>
          <w:szCs w:val="24"/>
        </w:rPr>
        <w:t>E’</w:t>
      </w:r>
      <w:r w:rsidR="00F003A7" w:rsidRPr="00D04895">
        <w:rPr>
          <w:rFonts w:ascii="Times New Roman" w:hAnsi="Times New Roman" w:cs="Times New Roman"/>
          <w:sz w:val="24"/>
          <w:szCs w:val="24"/>
        </w:rPr>
        <w:t xml:space="preserve"> un atto a struttura complessa </w:t>
      </w:r>
      <w:r w:rsidR="007E5AE2" w:rsidRPr="00D04895">
        <w:rPr>
          <w:rFonts w:ascii="Times New Roman" w:hAnsi="Times New Roman" w:cs="Times New Roman"/>
          <w:sz w:val="24"/>
          <w:szCs w:val="24"/>
        </w:rPr>
        <w:t xml:space="preserve">con il quale </w:t>
      </w:r>
      <w:r w:rsidR="00F003A7" w:rsidRPr="00D04895">
        <w:rPr>
          <w:rFonts w:ascii="Times New Roman" w:hAnsi="Times New Roman" w:cs="Times New Roman"/>
          <w:sz w:val="24"/>
          <w:szCs w:val="24"/>
        </w:rPr>
        <w:t>le autorità amministrative preposte</w:t>
      </w:r>
      <w:r w:rsidR="00357C78" w:rsidRPr="00D04895">
        <w:rPr>
          <w:rStyle w:val="Rimandonotaapidipagina"/>
          <w:rFonts w:ascii="Times New Roman" w:hAnsi="Times New Roman"/>
          <w:sz w:val="24"/>
          <w:szCs w:val="24"/>
        </w:rPr>
        <w:footnoteReference w:id="32"/>
      </w:r>
      <w:r w:rsidR="00F003A7" w:rsidRPr="00D04895">
        <w:rPr>
          <w:rFonts w:ascii="Times New Roman" w:hAnsi="Times New Roman" w:cs="Times New Roman"/>
          <w:sz w:val="24"/>
          <w:szCs w:val="24"/>
        </w:rPr>
        <w:t xml:space="preserve"> riconoscono il carattere della inamovibilità attraverso l’indicazione delle caratteristiche tecniche dell’intervento, che viene descritto in maniera completa ed esaustiva. All’atto, a farne parte integrante, è allegata la planimetria dell’area con le opere insistenti e l’estratto del certificato catastale (se le opere risultano accatastate). </w:t>
      </w:r>
      <w:r w:rsidR="00B2452F" w:rsidRPr="00D04895">
        <w:rPr>
          <w:rFonts w:ascii="Times New Roman" w:hAnsi="Times New Roman" w:cs="Times New Roman"/>
          <w:sz w:val="24"/>
          <w:szCs w:val="24"/>
        </w:rPr>
        <w:t>Il carattere ricognitivo dell’atto, che non “costituisce” la proprietà pubblica ma la riconosce meramente, è conclusione ormai pacifica cui la giurisprudenza del Supremo Consesso è giunta da tempo</w:t>
      </w:r>
      <w:r w:rsidR="00B2452F" w:rsidRPr="00D04895">
        <w:rPr>
          <w:rStyle w:val="Rimandonotaapidipagina"/>
          <w:rFonts w:ascii="Times New Roman" w:hAnsi="Times New Roman"/>
          <w:sz w:val="24"/>
          <w:szCs w:val="24"/>
        </w:rPr>
        <w:footnoteReference w:id="33"/>
      </w:r>
      <w:r w:rsidR="00B2452F" w:rsidRPr="00D04895">
        <w:rPr>
          <w:rFonts w:ascii="Times New Roman" w:hAnsi="Times New Roman" w:cs="Times New Roman"/>
          <w:sz w:val="24"/>
          <w:szCs w:val="24"/>
        </w:rPr>
        <w:t>.</w:t>
      </w:r>
      <w:r w:rsidR="008B735E" w:rsidRPr="00D04895">
        <w:rPr>
          <w:rFonts w:ascii="Times New Roman" w:hAnsi="Times New Roman" w:cs="Times New Roman"/>
          <w:sz w:val="24"/>
          <w:szCs w:val="24"/>
        </w:rPr>
        <w:t xml:space="preserve"> </w:t>
      </w:r>
      <w:r w:rsidR="00B2452F" w:rsidRPr="00D04895">
        <w:rPr>
          <w:rFonts w:ascii="Times New Roman" w:hAnsi="Times New Roman" w:cs="Times New Roman"/>
          <w:sz w:val="24"/>
          <w:szCs w:val="24"/>
        </w:rPr>
        <w:t xml:space="preserve">L’opera entra in tal modo a far parte del demanio c.d. </w:t>
      </w:r>
      <w:r w:rsidR="00B2452F" w:rsidRPr="00D04895">
        <w:rPr>
          <w:rFonts w:ascii="Times New Roman" w:hAnsi="Times New Roman" w:cs="Times New Roman"/>
          <w:i/>
          <w:sz w:val="24"/>
          <w:szCs w:val="24"/>
        </w:rPr>
        <w:t>accidentale</w:t>
      </w:r>
      <w:r w:rsidR="00B2452F" w:rsidRPr="00D04895">
        <w:rPr>
          <w:rFonts w:ascii="Times New Roman" w:hAnsi="Times New Roman" w:cs="Times New Roman"/>
          <w:sz w:val="24"/>
          <w:szCs w:val="24"/>
        </w:rPr>
        <w:t xml:space="preserve">, che è la parte più cospicua del demanio statale, definita all’art. 29 Codice della Navigazione come quella parte costituita dalle </w:t>
      </w:r>
      <w:r w:rsidR="00B2452F" w:rsidRPr="00D04895">
        <w:rPr>
          <w:rFonts w:ascii="Times New Roman" w:hAnsi="Times New Roman" w:cs="Times New Roman"/>
          <w:b/>
          <w:sz w:val="24"/>
          <w:szCs w:val="24"/>
        </w:rPr>
        <w:t>pertinenze</w:t>
      </w:r>
      <w:r w:rsidR="00B2452F" w:rsidRPr="00D04895">
        <w:rPr>
          <w:rFonts w:ascii="Times New Roman" w:hAnsi="Times New Roman" w:cs="Times New Roman"/>
          <w:sz w:val="24"/>
          <w:szCs w:val="24"/>
        </w:rPr>
        <w:t xml:space="preserve"> </w:t>
      </w:r>
      <w:r w:rsidR="00B2452F" w:rsidRPr="00D04895">
        <w:rPr>
          <w:rFonts w:ascii="Times New Roman" w:hAnsi="Times New Roman" w:cs="Times New Roman"/>
          <w:b/>
          <w:sz w:val="24"/>
          <w:szCs w:val="24"/>
        </w:rPr>
        <w:t>demaniali</w:t>
      </w:r>
      <w:r w:rsidR="00B2452F" w:rsidRPr="00D04895">
        <w:rPr>
          <w:rFonts w:ascii="Times New Roman" w:hAnsi="Times New Roman" w:cs="Times New Roman"/>
          <w:sz w:val="24"/>
          <w:szCs w:val="24"/>
        </w:rPr>
        <w:t>, cioè da costruzioni ed altre opere appartenenti allo Stato che esistono entro i limiti del demanio marittimo e del mare territoriale.</w:t>
      </w:r>
    </w:p>
    <w:p w:rsidR="00B74A3E" w:rsidRPr="00D04895" w:rsidRDefault="00B74A3E"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Producendosi nei termini anzidetti la devoluzione dell’opera allo Stato come bene demaniale</w:t>
      </w:r>
      <w:r w:rsidR="002B6616" w:rsidRPr="00D04895">
        <w:rPr>
          <w:rFonts w:ascii="Times New Roman" w:hAnsi="Times New Roman" w:cs="Times New Roman"/>
          <w:sz w:val="24"/>
          <w:szCs w:val="24"/>
        </w:rPr>
        <w:t>,</w:t>
      </w:r>
      <w:r w:rsidRPr="00D04895">
        <w:rPr>
          <w:rFonts w:ascii="Times New Roman" w:hAnsi="Times New Roman" w:cs="Times New Roman"/>
          <w:sz w:val="24"/>
          <w:szCs w:val="24"/>
        </w:rPr>
        <w:t xml:space="preserve"> l’opera non assume in sé i caratteri della commerciabilità essendo destinata ad essere “incamerata” al demanio i cui beni, come noto, non sono commerciabili in quanto non possono essere venduti, non possono formare oggetto di diritti da parte di terzi soggetti e sugli stessi non possono esercitarsi facoltà al di fuori di quelle proprie dello Stato, in virtù delle sue prerogative dominicali.</w:t>
      </w:r>
    </w:p>
    <w:p w:rsidR="00630594" w:rsidRPr="00D04895" w:rsidRDefault="007556EF" w:rsidP="00630594">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Sulla scorta di tale assunto i tribunal</w:t>
      </w:r>
      <w:r w:rsidR="00630594" w:rsidRPr="00D04895">
        <w:rPr>
          <w:rFonts w:ascii="Times New Roman" w:hAnsi="Times New Roman" w:cs="Times New Roman"/>
          <w:sz w:val="24"/>
          <w:szCs w:val="24"/>
        </w:rPr>
        <w:t>i</w:t>
      </w:r>
      <w:r w:rsidRPr="00D04895">
        <w:rPr>
          <w:rFonts w:ascii="Times New Roman" w:hAnsi="Times New Roman" w:cs="Times New Roman"/>
          <w:sz w:val="24"/>
          <w:szCs w:val="24"/>
        </w:rPr>
        <w:t xml:space="preserve"> di merito</w:t>
      </w:r>
      <w:r w:rsidR="006843C9" w:rsidRPr="00D04895">
        <w:rPr>
          <w:rFonts w:ascii="Times New Roman" w:hAnsi="Times New Roman" w:cs="Times New Roman"/>
          <w:sz w:val="24"/>
          <w:szCs w:val="24"/>
        </w:rPr>
        <w:t>,</w:t>
      </w:r>
      <w:r w:rsidRPr="00D04895">
        <w:rPr>
          <w:rFonts w:ascii="Times New Roman" w:hAnsi="Times New Roman" w:cs="Times New Roman"/>
          <w:sz w:val="24"/>
          <w:szCs w:val="24"/>
        </w:rPr>
        <w:t xml:space="preserve"> interpellati </w:t>
      </w:r>
      <w:r w:rsidR="007E5AE2" w:rsidRPr="00D04895">
        <w:rPr>
          <w:rFonts w:ascii="Times New Roman" w:hAnsi="Times New Roman" w:cs="Times New Roman"/>
          <w:sz w:val="24"/>
          <w:szCs w:val="24"/>
        </w:rPr>
        <w:t xml:space="preserve">di recente </w:t>
      </w:r>
      <w:r w:rsidRPr="00D04895">
        <w:rPr>
          <w:rFonts w:ascii="Times New Roman" w:hAnsi="Times New Roman" w:cs="Times New Roman"/>
          <w:sz w:val="24"/>
          <w:szCs w:val="24"/>
        </w:rPr>
        <w:t xml:space="preserve">per scrutinare le domande di chi, quale proprietario delle opere nonché concessionario demaniale, riteneva illegittima </w:t>
      </w:r>
      <w:r w:rsidRPr="00D04895">
        <w:rPr>
          <w:rFonts w:ascii="Times New Roman" w:hAnsi="Times New Roman" w:cs="Times New Roman"/>
          <w:sz w:val="24"/>
          <w:szCs w:val="24"/>
        </w:rPr>
        <w:lastRenderedPageBreak/>
        <w:t xml:space="preserve">l’applicazione e la relativa richiesta da parte dell’amministrazione dei costi di costruzione, </w:t>
      </w:r>
      <w:r w:rsidR="00E63226" w:rsidRPr="00D04895">
        <w:rPr>
          <w:rFonts w:ascii="Times New Roman" w:hAnsi="Times New Roman" w:cs="Times New Roman"/>
          <w:sz w:val="24"/>
          <w:szCs w:val="24"/>
        </w:rPr>
        <w:t>hanno definito la controversia in favore del privato.</w:t>
      </w:r>
      <w:r w:rsidR="00630594" w:rsidRPr="00D04895">
        <w:rPr>
          <w:rFonts w:ascii="Times New Roman" w:hAnsi="Times New Roman" w:cs="Times New Roman"/>
          <w:sz w:val="24"/>
          <w:szCs w:val="24"/>
        </w:rPr>
        <w:t xml:space="preserve"> </w:t>
      </w:r>
    </w:p>
    <w:p w:rsidR="002C7F9D" w:rsidRPr="00D04895" w:rsidRDefault="00E63226" w:rsidP="00630594">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Perplessità relativamente al suddetto esito non possono non sorgere tenuto conto del fatto che se alla fine del rapporto le opere (inamovibili) sono devolute allo Stato</w:t>
      </w:r>
      <w:r w:rsidR="002F4FC8" w:rsidRPr="00D04895">
        <w:rPr>
          <w:rFonts w:ascii="Times New Roman" w:hAnsi="Times New Roman" w:cs="Times New Roman"/>
          <w:sz w:val="24"/>
          <w:szCs w:val="24"/>
        </w:rPr>
        <w:t>,</w:t>
      </w:r>
      <w:r w:rsidRPr="00D04895">
        <w:rPr>
          <w:rFonts w:ascii="Times New Roman" w:hAnsi="Times New Roman" w:cs="Times New Roman"/>
          <w:sz w:val="24"/>
          <w:szCs w:val="24"/>
        </w:rPr>
        <w:t xml:space="preserve"> è pur vero </w:t>
      </w:r>
      <w:r w:rsidR="00843D77" w:rsidRPr="00D04895">
        <w:rPr>
          <w:rFonts w:ascii="Times New Roman" w:hAnsi="Times New Roman" w:cs="Times New Roman"/>
          <w:sz w:val="24"/>
          <w:szCs w:val="24"/>
        </w:rPr>
        <w:t>che nel corso dello stesso rapporto</w:t>
      </w:r>
      <w:r w:rsidRPr="00D04895">
        <w:rPr>
          <w:rFonts w:ascii="Times New Roman" w:hAnsi="Times New Roman" w:cs="Times New Roman"/>
          <w:sz w:val="24"/>
          <w:szCs w:val="24"/>
        </w:rPr>
        <w:t xml:space="preserve"> le stesse possono formare oggetto di compravendita, </w:t>
      </w:r>
      <w:r w:rsidR="002F4FC8" w:rsidRPr="00D04895">
        <w:rPr>
          <w:rFonts w:ascii="Times New Roman" w:hAnsi="Times New Roman" w:cs="Times New Roman"/>
          <w:sz w:val="24"/>
          <w:szCs w:val="24"/>
        </w:rPr>
        <w:t xml:space="preserve">possono costituire oggetto di </w:t>
      </w:r>
      <w:r w:rsidRPr="00D04895">
        <w:rPr>
          <w:rFonts w:ascii="Times New Roman" w:hAnsi="Times New Roman" w:cs="Times New Roman"/>
          <w:sz w:val="24"/>
          <w:szCs w:val="24"/>
        </w:rPr>
        <w:t xml:space="preserve">diritti di garanzia in favore di terzi e possono </w:t>
      </w:r>
      <w:r w:rsidR="002F4FC8" w:rsidRPr="00D04895">
        <w:rPr>
          <w:rFonts w:ascii="Times New Roman" w:hAnsi="Times New Roman" w:cs="Times New Roman"/>
          <w:sz w:val="24"/>
          <w:szCs w:val="24"/>
        </w:rPr>
        <w:t>essere</w:t>
      </w:r>
      <w:r w:rsidRPr="00D04895">
        <w:rPr>
          <w:rFonts w:ascii="Times New Roman" w:hAnsi="Times New Roman" w:cs="Times New Roman"/>
          <w:sz w:val="24"/>
          <w:szCs w:val="24"/>
        </w:rPr>
        <w:t xml:space="preserve"> oggetto di esecuzione forzata.</w:t>
      </w:r>
      <w:r w:rsidR="00EB7F3C" w:rsidRPr="00D04895">
        <w:rPr>
          <w:rFonts w:ascii="Times New Roman" w:hAnsi="Times New Roman" w:cs="Times New Roman"/>
          <w:sz w:val="24"/>
          <w:szCs w:val="24"/>
        </w:rPr>
        <w:t xml:space="preserve"> A mente dell’art. </w:t>
      </w:r>
      <w:r w:rsidR="002C7F9D" w:rsidRPr="00D04895">
        <w:rPr>
          <w:rFonts w:ascii="Times New Roman" w:hAnsi="Times New Roman" w:cs="Times New Roman"/>
          <w:sz w:val="24"/>
          <w:szCs w:val="24"/>
        </w:rPr>
        <w:t xml:space="preserve">41 </w:t>
      </w:r>
      <w:r w:rsidR="006843C9" w:rsidRPr="00D04895">
        <w:rPr>
          <w:rFonts w:ascii="Times New Roman" w:hAnsi="Times New Roman" w:cs="Times New Roman"/>
          <w:sz w:val="24"/>
          <w:szCs w:val="24"/>
        </w:rPr>
        <w:t>Codice della Navigazione</w:t>
      </w:r>
      <w:r w:rsidR="003B04C4" w:rsidRPr="00D04895">
        <w:rPr>
          <w:rFonts w:ascii="Times New Roman" w:hAnsi="Times New Roman" w:cs="Times New Roman"/>
          <w:sz w:val="24"/>
          <w:szCs w:val="24"/>
        </w:rPr>
        <w:t xml:space="preserve">, infatti, </w:t>
      </w:r>
      <w:r w:rsidR="002C7F9D" w:rsidRPr="00D04895">
        <w:rPr>
          <w:rFonts w:ascii="Times New Roman" w:hAnsi="Times New Roman" w:cs="Times New Roman"/>
          <w:sz w:val="24"/>
          <w:szCs w:val="24"/>
        </w:rPr>
        <w:t xml:space="preserve">previa autorizzazione dell’autorità concedente il concessionario può costituire ipoteca sulle opere dallo stesso erette sui beni demaniali; </w:t>
      </w:r>
      <w:r w:rsidR="003B04C4" w:rsidRPr="00D04895">
        <w:rPr>
          <w:rFonts w:ascii="Times New Roman" w:hAnsi="Times New Roman" w:cs="Times New Roman"/>
          <w:sz w:val="24"/>
          <w:szCs w:val="24"/>
        </w:rPr>
        <w:t>dall</w:t>
      </w:r>
      <w:r w:rsidR="002C7F9D" w:rsidRPr="00D04895">
        <w:rPr>
          <w:rFonts w:ascii="Times New Roman" w:hAnsi="Times New Roman" w:cs="Times New Roman"/>
          <w:sz w:val="24"/>
          <w:szCs w:val="24"/>
        </w:rPr>
        <w:t>’art. 46 in tema di “subingresso” nella concessione è possibile trarre, a contrario, la regola della vendita dell’opera o della sua escussione forzata, entrambe possibili con l’imprescindibile vincolo dell’autorizzazione – anche qui – dell’autorità concedente per consentire il subentro in concessione dell’acquirente o dell’aggiudicatario.</w:t>
      </w:r>
    </w:p>
    <w:p w:rsidR="00E63226" w:rsidRPr="00D04895" w:rsidRDefault="00E63226" w:rsidP="00630594">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Ciò a dimostrazione della “trasferibilità” del</w:t>
      </w:r>
      <w:r w:rsidR="002C7F9D" w:rsidRPr="00D04895">
        <w:rPr>
          <w:rFonts w:ascii="Times New Roman" w:hAnsi="Times New Roman" w:cs="Times New Roman"/>
          <w:sz w:val="24"/>
          <w:szCs w:val="24"/>
        </w:rPr>
        <w:t>l’opera o impianto</w:t>
      </w:r>
      <w:r w:rsidRPr="00D04895">
        <w:rPr>
          <w:rFonts w:ascii="Times New Roman" w:hAnsi="Times New Roman" w:cs="Times New Roman"/>
          <w:sz w:val="24"/>
          <w:szCs w:val="24"/>
        </w:rPr>
        <w:t>, della sua alienabilità, volontaria o forzata, al pari di qualsiasi altra opera realizzata su proprietà privata.</w:t>
      </w:r>
    </w:p>
    <w:p w:rsidR="00B74A3E" w:rsidRPr="00D04895" w:rsidRDefault="002F4FC8"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Il diritto che la concessione assicura al privato è, del resto, un diritto di superficie (diritto reale)</w:t>
      </w:r>
      <w:r w:rsidR="005A39F9" w:rsidRPr="00D04895">
        <w:rPr>
          <w:rStyle w:val="Rimandonotaapidipagina"/>
          <w:rFonts w:ascii="Times New Roman" w:hAnsi="Times New Roman"/>
          <w:sz w:val="24"/>
          <w:szCs w:val="24"/>
        </w:rPr>
        <w:footnoteReference w:id="34"/>
      </w:r>
      <w:r w:rsidRPr="00D04895">
        <w:rPr>
          <w:rFonts w:ascii="Times New Roman" w:hAnsi="Times New Roman" w:cs="Times New Roman"/>
          <w:sz w:val="24"/>
          <w:szCs w:val="24"/>
        </w:rPr>
        <w:t xml:space="preserve"> che si connota delle facoltà e dei poteri propri della categoria dei diritti reali</w:t>
      </w:r>
      <w:r w:rsidR="003B04C4" w:rsidRPr="00D04895">
        <w:rPr>
          <w:rFonts w:ascii="Times New Roman" w:hAnsi="Times New Roman" w:cs="Times New Roman"/>
          <w:sz w:val="24"/>
          <w:szCs w:val="24"/>
        </w:rPr>
        <w:t>, con conseguente equiparazione al diritto superficiario su proprietà privata. La differenza risiede nell’</w:t>
      </w:r>
      <w:r w:rsidR="003B04C4" w:rsidRPr="00D04895">
        <w:rPr>
          <w:rFonts w:ascii="Times New Roman" w:hAnsi="Times New Roman" w:cs="Times New Roman"/>
          <w:i/>
          <w:sz w:val="24"/>
          <w:szCs w:val="24"/>
        </w:rPr>
        <w:t>evolversi</w:t>
      </w:r>
      <w:r w:rsidR="003B04C4" w:rsidRPr="00D04895">
        <w:rPr>
          <w:rFonts w:ascii="Times New Roman" w:hAnsi="Times New Roman" w:cs="Times New Roman"/>
          <w:sz w:val="24"/>
          <w:szCs w:val="24"/>
        </w:rPr>
        <w:t xml:space="preserve"> del diritto al termine della concessione, perché è lì che la demanialità si espande</w:t>
      </w:r>
      <w:r w:rsidR="0067726A" w:rsidRPr="00D04895">
        <w:rPr>
          <w:rFonts w:ascii="Times New Roman" w:hAnsi="Times New Roman" w:cs="Times New Roman"/>
          <w:sz w:val="24"/>
          <w:szCs w:val="24"/>
        </w:rPr>
        <w:t xml:space="preserve"> sino alla costruzione realizzata sull’area.</w:t>
      </w:r>
      <w:r w:rsidR="003B04C4" w:rsidRPr="00D04895">
        <w:rPr>
          <w:rFonts w:ascii="Times New Roman" w:hAnsi="Times New Roman" w:cs="Times New Roman"/>
          <w:sz w:val="24"/>
          <w:szCs w:val="24"/>
        </w:rPr>
        <w:t xml:space="preserve"> Nel corso del rapporto vi è, infatti, quella che comunemente viene definita come compressione del</w:t>
      </w:r>
      <w:r w:rsidR="0067726A" w:rsidRPr="00D04895">
        <w:rPr>
          <w:rFonts w:ascii="Times New Roman" w:hAnsi="Times New Roman" w:cs="Times New Roman"/>
          <w:sz w:val="24"/>
          <w:szCs w:val="24"/>
        </w:rPr>
        <w:t xml:space="preserve">le facoltà demaniali, ovvero </w:t>
      </w:r>
      <w:r w:rsidR="00B935ED" w:rsidRPr="00D04895">
        <w:rPr>
          <w:rFonts w:ascii="Times New Roman" w:hAnsi="Times New Roman" w:cs="Times New Roman"/>
          <w:sz w:val="24"/>
          <w:szCs w:val="24"/>
        </w:rPr>
        <w:t>una</w:t>
      </w:r>
      <w:r w:rsidR="003B04C4" w:rsidRPr="00D04895">
        <w:rPr>
          <w:rFonts w:ascii="Times New Roman" w:hAnsi="Times New Roman" w:cs="Times New Roman"/>
          <w:sz w:val="24"/>
          <w:szCs w:val="24"/>
        </w:rPr>
        <w:t xml:space="preserve"> </w:t>
      </w:r>
      <w:r w:rsidR="003B04C4" w:rsidRPr="00D04895">
        <w:rPr>
          <w:rFonts w:ascii="Times New Roman" w:hAnsi="Times New Roman" w:cs="Times New Roman"/>
          <w:i/>
          <w:sz w:val="24"/>
          <w:szCs w:val="24"/>
        </w:rPr>
        <w:t>costrizione</w:t>
      </w:r>
      <w:r w:rsidR="003B04C4" w:rsidRPr="00D04895">
        <w:rPr>
          <w:rFonts w:ascii="Times New Roman" w:hAnsi="Times New Roman" w:cs="Times New Roman"/>
          <w:sz w:val="24"/>
          <w:szCs w:val="24"/>
        </w:rPr>
        <w:t xml:space="preserve"> delle facoltà statali che per effetto della concessione sono assicurate al soggetto privato; nel momento in cui la concessione cessa, però, tale </w:t>
      </w:r>
      <w:r w:rsidR="003B04C4" w:rsidRPr="00D04895">
        <w:rPr>
          <w:rFonts w:ascii="Times New Roman" w:hAnsi="Times New Roman" w:cs="Times New Roman"/>
          <w:i/>
          <w:sz w:val="24"/>
          <w:szCs w:val="24"/>
        </w:rPr>
        <w:t>costrizione</w:t>
      </w:r>
      <w:r w:rsidR="003B04C4" w:rsidRPr="00D04895">
        <w:rPr>
          <w:rFonts w:ascii="Times New Roman" w:hAnsi="Times New Roman" w:cs="Times New Roman"/>
          <w:sz w:val="24"/>
          <w:szCs w:val="24"/>
        </w:rPr>
        <w:t xml:space="preserve"> lascia il posto alla </w:t>
      </w:r>
      <w:r w:rsidR="006843C9" w:rsidRPr="00D04895">
        <w:rPr>
          <w:rFonts w:ascii="Times New Roman" w:hAnsi="Times New Roman" w:cs="Times New Roman"/>
          <w:sz w:val="24"/>
          <w:szCs w:val="24"/>
        </w:rPr>
        <w:t>“</w:t>
      </w:r>
      <w:r w:rsidR="003B04C4" w:rsidRPr="00D04895">
        <w:rPr>
          <w:rFonts w:ascii="Times New Roman" w:hAnsi="Times New Roman" w:cs="Times New Roman"/>
          <w:sz w:val="24"/>
          <w:szCs w:val="24"/>
        </w:rPr>
        <w:t>naturale</w:t>
      </w:r>
      <w:r w:rsidR="006843C9" w:rsidRPr="00D04895">
        <w:rPr>
          <w:rFonts w:ascii="Times New Roman" w:hAnsi="Times New Roman" w:cs="Times New Roman"/>
          <w:sz w:val="24"/>
          <w:szCs w:val="24"/>
        </w:rPr>
        <w:t>”</w:t>
      </w:r>
      <w:r w:rsidR="003B04C4" w:rsidRPr="00D04895">
        <w:rPr>
          <w:rFonts w:ascii="Times New Roman" w:hAnsi="Times New Roman" w:cs="Times New Roman"/>
          <w:sz w:val="24"/>
          <w:szCs w:val="24"/>
        </w:rPr>
        <w:t xml:space="preserve"> dilatazione della demanialità che torna </w:t>
      </w:r>
      <w:r w:rsidR="0067726A" w:rsidRPr="00D04895">
        <w:rPr>
          <w:rFonts w:ascii="Times New Roman" w:hAnsi="Times New Roman" w:cs="Times New Roman"/>
          <w:sz w:val="24"/>
          <w:szCs w:val="24"/>
        </w:rPr>
        <w:t>al</w:t>
      </w:r>
      <w:r w:rsidR="003B04C4" w:rsidRPr="00D04895">
        <w:rPr>
          <w:rFonts w:ascii="Times New Roman" w:hAnsi="Times New Roman" w:cs="Times New Roman"/>
          <w:sz w:val="24"/>
          <w:szCs w:val="24"/>
        </w:rPr>
        <w:t xml:space="preserve"> suo stato originario, inglobando per effetto espansivo anche l’opera </w:t>
      </w:r>
      <w:r w:rsidR="0067726A" w:rsidRPr="00D04895">
        <w:rPr>
          <w:rFonts w:ascii="Times New Roman" w:hAnsi="Times New Roman" w:cs="Times New Roman"/>
          <w:sz w:val="24"/>
          <w:szCs w:val="24"/>
        </w:rPr>
        <w:t>(</w:t>
      </w:r>
      <w:r w:rsidR="003B04C4" w:rsidRPr="00D04895">
        <w:rPr>
          <w:rFonts w:ascii="Times New Roman" w:hAnsi="Times New Roman" w:cs="Times New Roman"/>
          <w:sz w:val="24"/>
          <w:szCs w:val="24"/>
        </w:rPr>
        <w:t>inamovibile</w:t>
      </w:r>
      <w:r w:rsidR="0067726A" w:rsidRPr="00D04895">
        <w:rPr>
          <w:rFonts w:ascii="Times New Roman" w:hAnsi="Times New Roman" w:cs="Times New Roman"/>
          <w:sz w:val="24"/>
          <w:szCs w:val="24"/>
        </w:rPr>
        <w:t>)</w:t>
      </w:r>
      <w:r w:rsidR="003B04C4" w:rsidRPr="00D04895">
        <w:rPr>
          <w:rFonts w:ascii="Times New Roman" w:hAnsi="Times New Roman" w:cs="Times New Roman"/>
          <w:sz w:val="24"/>
          <w:szCs w:val="24"/>
        </w:rPr>
        <w:t xml:space="preserve"> che insiste sull’area.</w:t>
      </w:r>
    </w:p>
    <w:p w:rsidR="00800478" w:rsidRPr="00D04895" w:rsidRDefault="00800478"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 xml:space="preserve">Nel corso del rapporto </w:t>
      </w:r>
      <w:proofErr w:type="spellStart"/>
      <w:r w:rsidRPr="00D04895">
        <w:rPr>
          <w:rFonts w:ascii="Times New Roman" w:hAnsi="Times New Roman" w:cs="Times New Roman"/>
          <w:sz w:val="24"/>
          <w:szCs w:val="24"/>
        </w:rPr>
        <w:t>concessorio</w:t>
      </w:r>
      <w:proofErr w:type="spellEnd"/>
      <w:r w:rsidRPr="00D04895">
        <w:rPr>
          <w:rFonts w:ascii="Times New Roman" w:hAnsi="Times New Roman" w:cs="Times New Roman"/>
          <w:sz w:val="24"/>
          <w:szCs w:val="24"/>
        </w:rPr>
        <w:t xml:space="preserve"> quindi il titolare dell’opera può disporre del bene costruito come ogni altro titolare del diritto di superficie, fino al termine della concessione stessa.</w:t>
      </w:r>
    </w:p>
    <w:p w:rsidR="0063256D" w:rsidRPr="00D04895" w:rsidRDefault="006843C9"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Considerato</w:t>
      </w:r>
      <w:r w:rsidR="005A39F9" w:rsidRPr="00D04895">
        <w:rPr>
          <w:rFonts w:ascii="Times New Roman" w:hAnsi="Times New Roman" w:cs="Times New Roman"/>
          <w:sz w:val="24"/>
          <w:szCs w:val="24"/>
        </w:rPr>
        <w:t>,</w:t>
      </w:r>
      <w:r w:rsidRPr="00D04895">
        <w:rPr>
          <w:rFonts w:ascii="Times New Roman" w:hAnsi="Times New Roman" w:cs="Times New Roman"/>
          <w:sz w:val="24"/>
          <w:szCs w:val="24"/>
        </w:rPr>
        <w:t xml:space="preserve"> dunque</w:t>
      </w:r>
      <w:r w:rsidR="005A39F9" w:rsidRPr="00D04895">
        <w:rPr>
          <w:rFonts w:ascii="Times New Roman" w:hAnsi="Times New Roman" w:cs="Times New Roman"/>
          <w:sz w:val="24"/>
          <w:szCs w:val="24"/>
        </w:rPr>
        <w:t>,</w:t>
      </w:r>
      <w:r w:rsidRPr="00D04895">
        <w:rPr>
          <w:rFonts w:ascii="Times New Roman" w:hAnsi="Times New Roman" w:cs="Times New Roman"/>
          <w:sz w:val="24"/>
          <w:szCs w:val="24"/>
        </w:rPr>
        <w:t xml:space="preserve"> che in vigenza della concessione l’opera è idonea a costituire oggetto di “commercio”</w:t>
      </w:r>
      <w:r w:rsidR="005A39F9" w:rsidRPr="00D04895">
        <w:rPr>
          <w:rFonts w:ascii="Times New Roman" w:hAnsi="Times New Roman" w:cs="Times New Roman"/>
          <w:sz w:val="24"/>
          <w:szCs w:val="24"/>
        </w:rPr>
        <w:t>,</w:t>
      </w:r>
      <w:r w:rsidRPr="00D04895">
        <w:rPr>
          <w:rFonts w:ascii="Times New Roman" w:hAnsi="Times New Roman" w:cs="Times New Roman"/>
          <w:sz w:val="24"/>
          <w:szCs w:val="24"/>
        </w:rPr>
        <w:t xml:space="preserve"> </w:t>
      </w:r>
      <w:r w:rsidR="0063256D" w:rsidRPr="00D04895">
        <w:rPr>
          <w:rFonts w:ascii="Times New Roman" w:hAnsi="Times New Roman" w:cs="Times New Roman"/>
          <w:sz w:val="24"/>
          <w:szCs w:val="24"/>
        </w:rPr>
        <w:t xml:space="preserve">rispetto all’interesse pubblico tutelato dalla disciplina degli oneri concessori l’esenzione </w:t>
      </w:r>
      <w:r w:rsidR="0063256D" w:rsidRPr="00D04895">
        <w:rPr>
          <w:rFonts w:ascii="Times New Roman" w:hAnsi="Times New Roman" w:cs="Times New Roman"/>
          <w:i/>
          <w:sz w:val="24"/>
          <w:szCs w:val="24"/>
        </w:rPr>
        <w:t>tout court</w:t>
      </w:r>
      <w:r w:rsidR="0063256D" w:rsidRPr="00D04895">
        <w:rPr>
          <w:rFonts w:ascii="Times New Roman" w:hAnsi="Times New Roman" w:cs="Times New Roman"/>
          <w:sz w:val="24"/>
          <w:szCs w:val="24"/>
        </w:rPr>
        <w:t xml:space="preserve"> per i costi di costruzione potrebbe apparire divergente.</w:t>
      </w:r>
    </w:p>
    <w:p w:rsidR="008B0E63" w:rsidRPr="00D04895" w:rsidRDefault="007E4823"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Tornando agli oneri di urbanizzazione, e</w:t>
      </w:r>
      <w:r w:rsidR="008B0E63" w:rsidRPr="00D04895">
        <w:rPr>
          <w:rFonts w:ascii="Times New Roman" w:hAnsi="Times New Roman" w:cs="Times New Roman"/>
          <w:sz w:val="24"/>
          <w:szCs w:val="24"/>
        </w:rPr>
        <w:t xml:space="preserve">ssi rappresentano un </w:t>
      </w:r>
      <w:r w:rsidR="008B0E63" w:rsidRPr="00D04895">
        <w:rPr>
          <w:rFonts w:ascii="Times New Roman" w:hAnsi="Times New Roman" w:cs="Times New Roman"/>
          <w:b/>
          <w:sz w:val="24"/>
          <w:szCs w:val="24"/>
        </w:rPr>
        <w:t>corrispettivo</w:t>
      </w:r>
      <w:r w:rsidR="008B0E63" w:rsidRPr="00D04895">
        <w:rPr>
          <w:rFonts w:ascii="Times New Roman" w:hAnsi="Times New Roman" w:cs="Times New Roman"/>
          <w:sz w:val="24"/>
          <w:szCs w:val="24"/>
        </w:rPr>
        <w:t xml:space="preserve"> di </w:t>
      </w:r>
      <w:r w:rsidR="008B0E63" w:rsidRPr="00D04895">
        <w:rPr>
          <w:rFonts w:ascii="Times New Roman" w:hAnsi="Times New Roman" w:cs="Times New Roman"/>
          <w:b/>
          <w:sz w:val="24"/>
          <w:szCs w:val="24"/>
        </w:rPr>
        <w:t>diritto pubblico</w:t>
      </w:r>
      <w:r w:rsidR="008B0E63" w:rsidRPr="00D04895">
        <w:rPr>
          <w:rFonts w:ascii="Times New Roman" w:hAnsi="Times New Roman" w:cs="Times New Roman"/>
          <w:sz w:val="24"/>
          <w:szCs w:val="24"/>
        </w:rPr>
        <w:t xml:space="preserve"> di </w:t>
      </w:r>
      <w:r w:rsidR="008B0E63" w:rsidRPr="00D04895">
        <w:rPr>
          <w:rFonts w:ascii="Times New Roman" w:hAnsi="Times New Roman" w:cs="Times New Roman"/>
          <w:b/>
          <w:sz w:val="24"/>
          <w:szCs w:val="24"/>
        </w:rPr>
        <w:t>natura non tributaria</w:t>
      </w:r>
      <w:r w:rsidR="008B0E63" w:rsidRPr="00D04895">
        <w:rPr>
          <w:rFonts w:ascii="Times New Roman" w:hAnsi="Times New Roman" w:cs="Times New Roman"/>
          <w:sz w:val="24"/>
          <w:szCs w:val="24"/>
        </w:rPr>
        <w:t>, a carico del privato a titolo di partecipazione dei costi delle opere di urbanizzazione in proporzione all’insieme dei benefici che la nuova costruzione o opera ne trae (</w:t>
      </w:r>
      <w:proofErr w:type="spellStart"/>
      <w:r w:rsidR="008B0E63" w:rsidRPr="00D04895">
        <w:rPr>
          <w:rFonts w:ascii="Times New Roman" w:hAnsi="Times New Roman" w:cs="Times New Roman"/>
          <w:sz w:val="24"/>
          <w:szCs w:val="24"/>
        </w:rPr>
        <w:t>Cons</w:t>
      </w:r>
      <w:proofErr w:type="spellEnd"/>
      <w:r w:rsidR="008B0E63" w:rsidRPr="00D04895">
        <w:rPr>
          <w:rFonts w:ascii="Times New Roman" w:hAnsi="Times New Roman" w:cs="Times New Roman"/>
          <w:sz w:val="24"/>
          <w:szCs w:val="24"/>
        </w:rPr>
        <w:t>. Stato sez. V n. 4326 del 2013)</w:t>
      </w:r>
      <w:r w:rsidR="004E762E" w:rsidRPr="00D04895">
        <w:rPr>
          <w:rStyle w:val="Rimandonotaapidipagina"/>
          <w:rFonts w:ascii="Times New Roman" w:hAnsi="Times New Roman"/>
          <w:sz w:val="24"/>
          <w:szCs w:val="24"/>
        </w:rPr>
        <w:footnoteReference w:id="35"/>
      </w:r>
      <w:r w:rsidR="00171334" w:rsidRPr="00D04895">
        <w:rPr>
          <w:rFonts w:ascii="Times New Roman" w:hAnsi="Times New Roman" w:cs="Times New Roman"/>
          <w:sz w:val="24"/>
          <w:szCs w:val="24"/>
        </w:rPr>
        <w:t>.</w:t>
      </w:r>
    </w:p>
    <w:p w:rsidR="004630FC" w:rsidRPr="00D04895" w:rsidRDefault="004630FC"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In quanto tali, essi devono essere versati all’atto del rilascio del titolo edilizio, previa richiesta dell’ente concedente che ne quantifica l’importo.</w:t>
      </w:r>
    </w:p>
    <w:p w:rsidR="00B045AB" w:rsidRPr="00D04895" w:rsidRDefault="00B045AB"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Gli oneri di urbanizzazione devono essere parametrati al reale carico urbanistico, senza avere riguardo all’eventuale “stagionalità” dell’opera.</w:t>
      </w:r>
    </w:p>
    <w:p w:rsidR="00B045AB" w:rsidRPr="00D04895" w:rsidRDefault="00B045AB" w:rsidP="002A5926">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Il caso scrutinato dal Tar Sicilia, Palermo, sezione seconda, nella sentenza del 9 settembre 2016 n. 2144 (richiamata in nota), desta interesse in ordine alla corretta “quantificazione” degli oneri nell’ipotesi di manufatti quali capanne, costituenti opere precarie spesso utilizzate dai concessionari per il periodo estivo.</w:t>
      </w:r>
    </w:p>
    <w:p w:rsidR="00B045AB" w:rsidRPr="00D04895" w:rsidRDefault="00B045AB" w:rsidP="00B045AB">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Stabilisce il tribunale amministrativo che i predetti oneri devono essere calibrati in base all’incidenza effettiva del carico urbanistico di tali capanne sul territorio, e, dunque, “</w:t>
      </w:r>
      <w:r w:rsidRPr="00D04895">
        <w:rPr>
          <w:rFonts w:ascii="Times New Roman" w:hAnsi="Times New Roman" w:cs="Times New Roman"/>
          <w:i/>
          <w:sz w:val="24"/>
          <w:szCs w:val="24"/>
        </w:rPr>
        <w:t>avuto riguardo anche alla stagionalità della loro messa in opera (sono allestite per tre mesi l’anno salvo i casi di “destagionalizzazione”) e alla “durata” limitata nel tempo della concessione demaniale [elementi di valutazione non tenuti in considerazione nella tabella di calcolo allegata alla delibera impugnata]</w:t>
      </w:r>
      <w:r w:rsidRPr="00D04895">
        <w:rPr>
          <w:rFonts w:ascii="Times New Roman" w:hAnsi="Times New Roman" w:cs="Times New Roman"/>
          <w:sz w:val="24"/>
          <w:szCs w:val="24"/>
        </w:rPr>
        <w:t xml:space="preserve">”. </w:t>
      </w:r>
      <w:r w:rsidR="00315DC5" w:rsidRPr="00D04895">
        <w:rPr>
          <w:rFonts w:ascii="Times New Roman" w:hAnsi="Times New Roman" w:cs="Times New Roman"/>
          <w:sz w:val="24"/>
          <w:szCs w:val="24"/>
        </w:rPr>
        <w:t xml:space="preserve">Ne deriva che </w:t>
      </w:r>
      <w:r w:rsidRPr="00D04895">
        <w:rPr>
          <w:rFonts w:ascii="Times New Roman" w:hAnsi="Times New Roman" w:cs="Times New Roman"/>
          <w:sz w:val="24"/>
          <w:szCs w:val="24"/>
        </w:rPr>
        <w:t xml:space="preserve">gli oneri dovranno commisurati all’effettivo “peso” sul territorio dell’opera per la quale gli stessi vengono richiesti, con conseguente obbligo per le amministrazioni </w:t>
      </w:r>
      <w:r w:rsidRPr="00D04895">
        <w:rPr>
          <w:rFonts w:ascii="Times New Roman" w:hAnsi="Times New Roman" w:cs="Times New Roman"/>
          <w:sz w:val="24"/>
          <w:szCs w:val="24"/>
        </w:rPr>
        <w:lastRenderedPageBreak/>
        <w:t>di ben calibrare nelle</w:t>
      </w:r>
      <w:r w:rsidR="00315DC5" w:rsidRPr="00D04895">
        <w:rPr>
          <w:rFonts w:ascii="Times New Roman" w:hAnsi="Times New Roman" w:cs="Times New Roman"/>
          <w:sz w:val="24"/>
          <w:szCs w:val="24"/>
        </w:rPr>
        <w:t xml:space="preserve"> rispettive</w:t>
      </w:r>
      <w:r w:rsidRPr="00D04895">
        <w:rPr>
          <w:rFonts w:ascii="Times New Roman" w:hAnsi="Times New Roman" w:cs="Times New Roman"/>
          <w:sz w:val="24"/>
          <w:szCs w:val="24"/>
        </w:rPr>
        <w:t xml:space="preserve"> delibere</w:t>
      </w:r>
      <w:r w:rsidR="00E6125C" w:rsidRPr="00D04895">
        <w:rPr>
          <w:rFonts w:ascii="Times New Roman" w:hAnsi="Times New Roman" w:cs="Times New Roman"/>
          <w:sz w:val="24"/>
          <w:szCs w:val="24"/>
        </w:rPr>
        <w:t xml:space="preserve"> il relativo “quantum”</w:t>
      </w:r>
      <w:r w:rsidRPr="00D04895">
        <w:rPr>
          <w:rFonts w:ascii="Times New Roman" w:hAnsi="Times New Roman" w:cs="Times New Roman"/>
          <w:sz w:val="24"/>
          <w:szCs w:val="24"/>
        </w:rPr>
        <w:t>, tenuto conto anche dei parametri de</w:t>
      </w:r>
      <w:r w:rsidR="00E6125C" w:rsidRPr="00D04895">
        <w:rPr>
          <w:rFonts w:ascii="Times New Roman" w:hAnsi="Times New Roman" w:cs="Times New Roman"/>
          <w:sz w:val="24"/>
          <w:szCs w:val="24"/>
        </w:rPr>
        <w:t>sumibili nelle leggi regionali.</w:t>
      </w:r>
      <w:r w:rsidRPr="00D04895">
        <w:rPr>
          <w:rFonts w:ascii="Times New Roman" w:hAnsi="Times New Roman" w:cs="Times New Roman"/>
          <w:sz w:val="24"/>
          <w:szCs w:val="24"/>
        </w:rPr>
        <w:t xml:space="preserve"> </w:t>
      </w:r>
    </w:p>
    <w:p w:rsidR="002A5926" w:rsidRPr="00D04895" w:rsidRDefault="008C5FFE" w:rsidP="00916277">
      <w:pPr>
        <w:spacing w:after="0" w:line="242" w:lineRule="exact"/>
        <w:ind w:firstLine="360"/>
        <w:jc w:val="both"/>
        <w:rPr>
          <w:rFonts w:ascii="Times New Roman" w:hAnsi="Times New Roman" w:cs="Times New Roman"/>
          <w:sz w:val="24"/>
          <w:szCs w:val="24"/>
        </w:rPr>
      </w:pPr>
      <w:r w:rsidRPr="00D04895">
        <w:rPr>
          <w:rFonts w:ascii="Times New Roman" w:hAnsi="Times New Roman" w:cs="Times New Roman"/>
          <w:sz w:val="24"/>
          <w:szCs w:val="24"/>
        </w:rPr>
        <w:t xml:space="preserve">Il versamento del costo non dovuto per applicazione del regime di esenzione ex art. 17 comma 4 D.P.R. n. 380 comporta l’azione di restituzione (indebito oggettivo) con conseguente diritto del concessionario di chiedere la restituzione del costo di costruzione versato </w:t>
      </w:r>
      <w:r w:rsidR="007A4ADB" w:rsidRPr="00D04895">
        <w:rPr>
          <w:rFonts w:ascii="Times New Roman" w:hAnsi="Times New Roman" w:cs="Times New Roman"/>
          <w:sz w:val="24"/>
          <w:szCs w:val="24"/>
        </w:rPr>
        <w:t>nell’ambito del paritetico rapporto P</w:t>
      </w:r>
      <w:r w:rsidR="00D31204" w:rsidRPr="00D04895">
        <w:rPr>
          <w:rFonts w:ascii="Times New Roman" w:hAnsi="Times New Roman" w:cs="Times New Roman"/>
          <w:sz w:val="24"/>
          <w:szCs w:val="24"/>
        </w:rPr>
        <w:t>A</w:t>
      </w:r>
      <w:r w:rsidR="007A4ADB" w:rsidRPr="00D04895">
        <w:rPr>
          <w:rFonts w:ascii="Times New Roman" w:hAnsi="Times New Roman" w:cs="Times New Roman"/>
          <w:sz w:val="24"/>
          <w:szCs w:val="24"/>
        </w:rPr>
        <w:t>-</w:t>
      </w:r>
      <w:r w:rsidR="00D31204" w:rsidRPr="00D04895">
        <w:rPr>
          <w:rFonts w:ascii="Times New Roman" w:hAnsi="Times New Roman" w:cs="Times New Roman"/>
          <w:sz w:val="24"/>
          <w:szCs w:val="24"/>
        </w:rPr>
        <w:t xml:space="preserve">soggetti </w:t>
      </w:r>
      <w:r w:rsidR="007A4ADB" w:rsidRPr="00D04895">
        <w:rPr>
          <w:rFonts w:ascii="Times New Roman" w:hAnsi="Times New Roman" w:cs="Times New Roman"/>
          <w:sz w:val="24"/>
          <w:szCs w:val="24"/>
        </w:rPr>
        <w:t xml:space="preserve">privati. </w:t>
      </w:r>
      <w:r w:rsidRPr="00D04895">
        <w:rPr>
          <w:rFonts w:ascii="Times New Roman" w:hAnsi="Times New Roman" w:cs="Times New Roman"/>
          <w:sz w:val="24"/>
          <w:szCs w:val="24"/>
        </w:rPr>
        <w:t xml:space="preserve"> </w:t>
      </w:r>
      <w:r w:rsidR="002A5926" w:rsidRPr="00D04895">
        <w:rPr>
          <w:rFonts w:ascii="Times New Roman" w:hAnsi="Times New Roman" w:cs="Times New Roman"/>
          <w:sz w:val="24"/>
          <w:szCs w:val="24"/>
        </w:rPr>
        <w:tab/>
      </w:r>
    </w:p>
    <w:p w:rsidR="00541352" w:rsidRPr="00D04895" w:rsidRDefault="00541352" w:rsidP="00541352">
      <w:pPr>
        <w:pStyle w:val="Paragrafoelenco"/>
        <w:rPr>
          <w:sz w:val="24"/>
          <w:szCs w:val="24"/>
        </w:rPr>
      </w:pPr>
    </w:p>
    <w:p w:rsidR="00541352" w:rsidRPr="00D04895" w:rsidRDefault="00541352" w:rsidP="00541352">
      <w:pPr>
        <w:pStyle w:val="Paragrafoelenco"/>
        <w:numPr>
          <w:ilvl w:val="0"/>
          <w:numId w:val="4"/>
        </w:numPr>
        <w:jc w:val="both"/>
        <w:rPr>
          <w:rFonts w:ascii="Times New Roman" w:hAnsi="Times New Roman" w:cs="Times New Roman"/>
          <w:b/>
          <w:sz w:val="24"/>
          <w:szCs w:val="24"/>
        </w:rPr>
      </w:pPr>
      <w:r w:rsidRPr="00D04895">
        <w:rPr>
          <w:rFonts w:ascii="Times New Roman" w:hAnsi="Times New Roman" w:cs="Times New Roman"/>
          <w:b/>
          <w:sz w:val="24"/>
          <w:szCs w:val="24"/>
        </w:rPr>
        <w:t xml:space="preserve">L’azione di restituzione: il rapporto paritetico tra PA e privati. </w:t>
      </w:r>
    </w:p>
    <w:p w:rsidR="00541352" w:rsidRPr="00D04895" w:rsidRDefault="006554B4" w:rsidP="00D31204">
      <w:pPr>
        <w:spacing w:after="0" w:line="240" w:lineRule="auto"/>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Il rapporto tra amministrazione e concessionari privati, quanto alla restituzione degli oneri indebitamente versati, è soggetto alla giurisdizione esclusiva del G.A. </w:t>
      </w:r>
    </w:p>
    <w:p w:rsidR="006554B4" w:rsidRPr="00D04895" w:rsidRDefault="005A39F9" w:rsidP="00D31204">
      <w:pPr>
        <w:spacing w:after="0" w:line="240" w:lineRule="auto"/>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La controversia attiene difatti alla materia di cui all’art. 133 </w:t>
      </w:r>
      <w:proofErr w:type="spellStart"/>
      <w:r w:rsidRPr="00D04895">
        <w:rPr>
          <w:rFonts w:ascii="Times New Roman" w:hAnsi="Times New Roman" w:cs="Times New Roman"/>
          <w:sz w:val="24"/>
          <w:szCs w:val="24"/>
        </w:rPr>
        <w:t>lett</w:t>
      </w:r>
      <w:proofErr w:type="spellEnd"/>
      <w:r w:rsidRPr="00D04895">
        <w:rPr>
          <w:rFonts w:ascii="Times New Roman" w:hAnsi="Times New Roman" w:cs="Times New Roman"/>
          <w:sz w:val="24"/>
          <w:szCs w:val="24"/>
        </w:rPr>
        <w:t xml:space="preserve">. </w:t>
      </w:r>
      <w:r w:rsidRPr="001D1E8D">
        <w:rPr>
          <w:rFonts w:ascii="Times New Roman" w:hAnsi="Times New Roman" w:cs="Times New Roman"/>
          <w:i/>
          <w:sz w:val="24"/>
          <w:szCs w:val="24"/>
        </w:rPr>
        <w:t>f</w:t>
      </w:r>
      <w:r w:rsidRPr="00D04895">
        <w:rPr>
          <w:rFonts w:ascii="Times New Roman" w:hAnsi="Times New Roman" w:cs="Times New Roman"/>
          <w:sz w:val="24"/>
          <w:szCs w:val="24"/>
        </w:rPr>
        <w:t>) del codice del processo amministrativo</w:t>
      </w:r>
      <w:r w:rsidR="00CB7F59" w:rsidRPr="00D04895">
        <w:rPr>
          <w:rFonts w:ascii="Times New Roman" w:hAnsi="Times New Roman" w:cs="Times New Roman"/>
          <w:sz w:val="24"/>
          <w:szCs w:val="24"/>
        </w:rPr>
        <w:t xml:space="preserve"> (</w:t>
      </w:r>
      <w:proofErr w:type="spellStart"/>
      <w:r w:rsidR="00CB7F59" w:rsidRPr="00D04895">
        <w:rPr>
          <w:rFonts w:ascii="Times New Roman" w:hAnsi="Times New Roman" w:cs="Times New Roman"/>
          <w:sz w:val="24"/>
          <w:szCs w:val="24"/>
        </w:rPr>
        <w:t>c.p.a</w:t>
      </w:r>
      <w:proofErr w:type="spellEnd"/>
      <w:r w:rsidR="00CB7F59" w:rsidRPr="00D04895">
        <w:rPr>
          <w:rFonts w:ascii="Times New Roman" w:hAnsi="Times New Roman" w:cs="Times New Roman"/>
          <w:sz w:val="24"/>
          <w:szCs w:val="24"/>
        </w:rPr>
        <w:t>.)</w:t>
      </w:r>
      <w:r w:rsidR="004E762E" w:rsidRPr="00D04895">
        <w:rPr>
          <w:rStyle w:val="Rimandonotaapidipagina"/>
          <w:rFonts w:ascii="Times New Roman" w:hAnsi="Times New Roman"/>
          <w:sz w:val="24"/>
          <w:szCs w:val="24"/>
        </w:rPr>
        <w:footnoteReference w:id="36"/>
      </w:r>
      <w:r w:rsidR="00F95407" w:rsidRPr="00D04895">
        <w:rPr>
          <w:rFonts w:ascii="Times New Roman" w:hAnsi="Times New Roman" w:cs="Times New Roman"/>
          <w:sz w:val="24"/>
          <w:szCs w:val="24"/>
        </w:rPr>
        <w:t>.</w:t>
      </w:r>
    </w:p>
    <w:p w:rsidR="004B71B5" w:rsidRPr="00D04895" w:rsidRDefault="004B71B5" w:rsidP="00D31204">
      <w:pPr>
        <w:spacing w:after="0" w:line="240" w:lineRule="auto"/>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Come di recente ribadito dal Tar Calabria, sezione seconda, con la sentenza n. 1557 del 19.10.2017, </w:t>
      </w:r>
      <w:r w:rsidR="007863BA" w:rsidRPr="00D04895">
        <w:rPr>
          <w:rFonts w:ascii="Times New Roman" w:hAnsi="Times New Roman" w:cs="Times New Roman"/>
          <w:i/>
          <w:sz w:val="24"/>
          <w:szCs w:val="24"/>
        </w:rPr>
        <w:t xml:space="preserve">“… deve rilevarsi come le controversie che hanno ad oggetto la legittimità o meno del contributo relativo a concessione edilizia vertono sull’esistenza o sulla misura di una obbligazione direttamente stabilita dalla legge, sicché l’atto con cui l’amministrazione comunale provvede in merito alla determinazione del contributo </w:t>
      </w:r>
      <w:proofErr w:type="spellStart"/>
      <w:r w:rsidR="007863BA" w:rsidRPr="00D04895">
        <w:rPr>
          <w:rFonts w:ascii="Times New Roman" w:hAnsi="Times New Roman" w:cs="Times New Roman"/>
          <w:i/>
          <w:sz w:val="24"/>
          <w:szCs w:val="24"/>
        </w:rPr>
        <w:t>concessorio</w:t>
      </w:r>
      <w:proofErr w:type="spellEnd"/>
      <w:r w:rsidR="007863BA" w:rsidRPr="00D04895">
        <w:rPr>
          <w:rFonts w:ascii="Times New Roman" w:hAnsi="Times New Roman" w:cs="Times New Roman"/>
          <w:i/>
          <w:sz w:val="24"/>
          <w:szCs w:val="24"/>
        </w:rPr>
        <w:t xml:space="preserve"> non ha natura autoritativa e la posizione del soggetto nei cui confronti è richiesto il pagamento è di </w:t>
      </w:r>
      <w:r w:rsidR="007863BA" w:rsidRPr="00D04895">
        <w:rPr>
          <w:rFonts w:ascii="Times New Roman" w:hAnsi="Times New Roman" w:cs="Times New Roman"/>
          <w:b/>
          <w:i/>
          <w:sz w:val="24"/>
          <w:szCs w:val="24"/>
        </w:rPr>
        <w:t>diritto soggettivo</w:t>
      </w:r>
      <w:r w:rsidR="007863BA" w:rsidRPr="00D04895">
        <w:rPr>
          <w:rFonts w:ascii="Times New Roman" w:hAnsi="Times New Roman" w:cs="Times New Roman"/>
          <w:i/>
          <w:sz w:val="24"/>
          <w:szCs w:val="24"/>
        </w:rPr>
        <w:t xml:space="preserve"> e non di interesse legittimo. Conseguentemente la giurisdizione del giudice amministrativo in materia ha per oggetto sia le controversie inerenti </w:t>
      </w:r>
      <w:proofErr w:type="spellStart"/>
      <w:r w:rsidR="007863BA" w:rsidRPr="00D04895">
        <w:rPr>
          <w:rFonts w:ascii="Times New Roman" w:hAnsi="Times New Roman" w:cs="Times New Roman"/>
          <w:i/>
          <w:sz w:val="24"/>
          <w:szCs w:val="24"/>
        </w:rPr>
        <w:t>all’an</w:t>
      </w:r>
      <w:proofErr w:type="spellEnd"/>
      <w:r w:rsidR="007863BA" w:rsidRPr="00D04895">
        <w:rPr>
          <w:rFonts w:ascii="Times New Roman" w:hAnsi="Times New Roman" w:cs="Times New Roman"/>
          <w:i/>
          <w:sz w:val="24"/>
          <w:szCs w:val="24"/>
        </w:rPr>
        <w:t xml:space="preserve">, sia quelle inerenti al quantum della pretesa contributiva (cfr. TAR Lombardia, Milano, </w:t>
      </w:r>
      <w:proofErr w:type="spellStart"/>
      <w:r w:rsidR="007863BA" w:rsidRPr="00D04895">
        <w:rPr>
          <w:rFonts w:ascii="Times New Roman" w:hAnsi="Times New Roman" w:cs="Times New Roman"/>
          <w:i/>
          <w:sz w:val="24"/>
          <w:szCs w:val="24"/>
        </w:rPr>
        <w:t>sent</w:t>
      </w:r>
      <w:proofErr w:type="spellEnd"/>
      <w:r w:rsidR="007863BA" w:rsidRPr="00D04895">
        <w:rPr>
          <w:rFonts w:ascii="Times New Roman" w:hAnsi="Times New Roman" w:cs="Times New Roman"/>
          <w:i/>
          <w:sz w:val="24"/>
          <w:szCs w:val="24"/>
        </w:rPr>
        <w:t>. n. 389/2014)</w:t>
      </w:r>
      <w:r w:rsidR="007863BA" w:rsidRPr="00D04895">
        <w:rPr>
          <w:rFonts w:ascii="Times New Roman" w:hAnsi="Times New Roman" w:cs="Times New Roman"/>
          <w:sz w:val="24"/>
          <w:szCs w:val="24"/>
        </w:rPr>
        <w:t>”.</w:t>
      </w:r>
    </w:p>
    <w:p w:rsidR="007863BA" w:rsidRPr="00D04895" w:rsidRDefault="007863BA" w:rsidP="00D31204">
      <w:pPr>
        <w:spacing w:after="0" w:line="240" w:lineRule="auto"/>
        <w:ind w:firstLine="357"/>
        <w:jc w:val="both"/>
        <w:rPr>
          <w:rFonts w:ascii="Times New Roman" w:hAnsi="Times New Roman" w:cs="Times New Roman"/>
          <w:sz w:val="24"/>
          <w:szCs w:val="24"/>
        </w:rPr>
      </w:pPr>
      <w:r w:rsidRPr="00D04895">
        <w:rPr>
          <w:rFonts w:ascii="Times New Roman" w:hAnsi="Times New Roman" w:cs="Times New Roman"/>
          <w:sz w:val="24"/>
          <w:szCs w:val="24"/>
        </w:rPr>
        <w:t>Discende pertanto il rapporto paritetico tra amministrazione e soggetto privato in ordine all’affare degli oneri concessori, con conseguente applicazione dell’ordinario regime di prescrizione ai fini dell’azione di restituzione delle somme non dovute.</w:t>
      </w:r>
    </w:p>
    <w:p w:rsidR="007863BA" w:rsidRPr="00D04895" w:rsidRDefault="007863BA" w:rsidP="00D31204">
      <w:pPr>
        <w:spacing w:after="0" w:line="240" w:lineRule="auto"/>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Problemi possono però sorgere con riferimento al </w:t>
      </w:r>
      <w:proofErr w:type="spellStart"/>
      <w:r w:rsidRPr="00D04895">
        <w:rPr>
          <w:rFonts w:ascii="Times New Roman" w:hAnsi="Times New Roman" w:cs="Times New Roman"/>
          <w:i/>
          <w:sz w:val="24"/>
          <w:szCs w:val="24"/>
        </w:rPr>
        <w:t>dies</w:t>
      </w:r>
      <w:proofErr w:type="spellEnd"/>
      <w:r w:rsidRPr="00D04895">
        <w:rPr>
          <w:rFonts w:ascii="Times New Roman" w:hAnsi="Times New Roman" w:cs="Times New Roman"/>
          <w:i/>
          <w:sz w:val="24"/>
          <w:szCs w:val="24"/>
        </w:rPr>
        <w:t xml:space="preserve"> a quo</w:t>
      </w:r>
      <w:r w:rsidRPr="00D04895">
        <w:rPr>
          <w:rFonts w:ascii="Times New Roman" w:hAnsi="Times New Roman" w:cs="Times New Roman"/>
          <w:sz w:val="24"/>
          <w:szCs w:val="24"/>
        </w:rPr>
        <w:t xml:space="preserve"> per l’</w:t>
      </w:r>
      <w:proofErr w:type="spellStart"/>
      <w:r w:rsidRPr="00D04895">
        <w:rPr>
          <w:rFonts w:ascii="Times New Roman" w:hAnsi="Times New Roman" w:cs="Times New Roman"/>
          <w:sz w:val="24"/>
          <w:szCs w:val="24"/>
        </w:rPr>
        <w:t>esperibilità</w:t>
      </w:r>
      <w:proofErr w:type="spellEnd"/>
      <w:r w:rsidRPr="00D04895">
        <w:rPr>
          <w:rFonts w:ascii="Times New Roman" w:hAnsi="Times New Roman" w:cs="Times New Roman"/>
          <w:sz w:val="24"/>
          <w:szCs w:val="24"/>
        </w:rPr>
        <w:t xml:space="preserve"> dell’azione restitutoria.</w:t>
      </w:r>
    </w:p>
    <w:p w:rsidR="007863BA" w:rsidRPr="00D04895" w:rsidRDefault="007863BA" w:rsidP="00D31204">
      <w:pPr>
        <w:spacing w:after="0" w:line="240" w:lineRule="auto"/>
        <w:ind w:firstLine="357"/>
        <w:jc w:val="both"/>
        <w:rPr>
          <w:rFonts w:ascii="Times New Roman" w:hAnsi="Times New Roman" w:cs="Times New Roman"/>
          <w:sz w:val="24"/>
          <w:szCs w:val="24"/>
        </w:rPr>
      </w:pPr>
      <w:r w:rsidRPr="00D04895">
        <w:rPr>
          <w:rFonts w:ascii="Times New Roman" w:hAnsi="Times New Roman" w:cs="Times New Roman"/>
          <w:sz w:val="24"/>
          <w:szCs w:val="24"/>
        </w:rPr>
        <w:t>Occorre sul punto ricordare che</w:t>
      </w:r>
      <w:r w:rsidR="00E93990" w:rsidRPr="00D04895">
        <w:rPr>
          <w:rFonts w:ascii="Times New Roman" w:hAnsi="Times New Roman" w:cs="Times New Roman"/>
          <w:sz w:val="24"/>
          <w:szCs w:val="24"/>
        </w:rPr>
        <w:t>,</w:t>
      </w:r>
      <w:r w:rsidRPr="00D04895">
        <w:rPr>
          <w:rFonts w:ascii="Times New Roman" w:hAnsi="Times New Roman" w:cs="Times New Roman"/>
          <w:sz w:val="24"/>
          <w:szCs w:val="24"/>
        </w:rPr>
        <w:t xml:space="preserve"> per giurisprudenza consolidata</w:t>
      </w:r>
      <w:r w:rsidR="00E93990" w:rsidRPr="00D04895">
        <w:rPr>
          <w:rStyle w:val="Rimandonotaapidipagina"/>
          <w:rFonts w:ascii="Times New Roman" w:hAnsi="Times New Roman"/>
          <w:sz w:val="24"/>
          <w:szCs w:val="24"/>
        </w:rPr>
        <w:footnoteReference w:id="37"/>
      </w:r>
      <w:r w:rsidRPr="00D04895">
        <w:rPr>
          <w:rFonts w:ascii="Times New Roman" w:hAnsi="Times New Roman" w:cs="Times New Roman"/>
          <w:sz w:val="24"/>
          <w:szCs w:val="24"/>
        </w:rPr>
        <w:t>, per gli oneri di urbanizzazione e costo di costruzione il “</w:t>
      </w:r>
      <w:proofErr w:type="spellStart"/>
      <w:r w:rsidRPr="00D04895">
        <w:rPr>
          <w:rFonts w:ascii="Times New Roman" w:hAnsi="Times New Roman" w:cs="Times New Roman"/>
          <w:i/>
          <w:sz w:val="24"/>
          <w:szCs w:val="24"/>
        </w:rPr>
        <w:t>dies</w:t>
      </w:r>
      <w:proofErr w:type="spellEnd"/>
      <w:r w:rsidRPr="00D04895">
        <w:rPr>
          <w:rFonts w:ascii="Times New Roman" w:hAnsi="Times New Roman" w:cs="Times New Roman"/>
          <w:i/>
          <w:sz w:val="24"/>
          <w:szCs w:val="24"/>
        </w:rPr>
        <w:t xml:space="preserve"> a quo</w:t>
      </w:r>
      <w:r w:rsidRPr="00D04895">
        <w:rPr>
          <w:rFonts w:ascii="Times New Roman" w:hAnsi="Times New Roman" w:cs="Times New Roman"/>
          <w:sz w:val="24"/>
          <w:szCs w:val="24"/>
        </w:rPr>
        <w:t>” decorre dal rilascio della concessione edilizia e, quindi, da un momento in cui sono esattamente noti tutti gli elementi utili alla determinazione dell’entità del contributo</w:t>
      </w:r>
      <w:r w:rsidR="00E93990" w:rsidRPr="00D04895">
        <w:rPr>
          <w:rFonts w:ascii="Times New Roman" w:hAnsi="Times New Roman" w:cs="Times New Roman"/>
          <w:sz w:val="24"/>
          <w:szCs w:val="24"/>
        </w:rPr>
        <w:t xml:space="preserve">. Vi possono però essere eventi tali da “condizionare” la stessa efficacia nel tempo della concessione edilizia o la misura e l’entità degli importi richiesti. Basti pensare, nel primo caso, ad una concessione rimasta “inattiva” (perché scaduta o perché sono </w:t>
      </w:r>
      <w:r w:rsidR="00E93990" w:rsidRPr="00D04895">
        <w:rPr>
          <w:rFonts w:ascii="Times New Roman" w:hAnsi="Times New Roman" w:cs="Times New Roman"/>
          <w:i/>
          <w:sz w:val="24"/>
          <w:szCs w:val="24"/>
        </w:rPr>
        <w:t>medio tempore</w:t>
      </w:r>
      <w:r w:rsidR="00E93990" w:rsidRPr="00D04895">
        <w:rPr>
          <w:rFonts w:ascii="Times New Roman" w:hAnsi="Times New Roman" w:cs="Times New Roman"/>
          <w:sz w:val="24"/>
          <w:szCs w:val="24"/>
        </w:rPr>
        <w:t xml:space="preserve"> intervenute delle previsioni urbanistiche contrastanti con le opere autorizzate ma non ancora realizzate), o, nel secondo, a delibere comunali sopravvenute di “ricalcolo” ed “adeguamento” degli oneri concessori.</w:t>
      </w:r>
    </w:p>
    <w:p w:rsidR="00285D52" w:rsidRPr="00D04895" w:rsidRDefault="00E93990" w:rsidP="00D31204">
      <w:pPr>
        <w:spacing w:after="0" w:line="240" w:lineRule="auto"/>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In tali casi occorre fare riferimento alla previsione dell’art. </w:t>
      </w:r>
      <w:r w:rsidRPr="00D04895">
        <w:rPr>
          <w:rFonts w:ascii="Times New Roman" w:hAnsi="Times New Roman" w:cs="Times New Roman"/>
          <w:b/>
          <w:sz w:val="24"/>
          <w:szCs w:val="24"/>
        </w:rPr>
        <w:t>2935 cod. civ.</w:t>
      </w:r>
      <w:r w:rsidRPr="00D04895">
        <w:rPr>
          <w:rFonts w:ascii="Times New Roman" w:hAnsi="Times New Roman" w:cs="Times New Roman"/>
          <w:sz w:val="24"/>
          <w:szCs w:val="24"/>
        </w:rPr>
        <w:t xml:space="preserve"> secondo la quale il termine di prescrizione comincia a decorrere dal giorno in cui il diritto può essere fatto valere; pertanto, per gli esempi riportati, il diritto di credito del titolare di una concessione non utilizzata di ottenere le somme corrisposte per oneri di urbanizzazione decorre non già dalla data di rilascio dell’atto di assenso edificatorio, bensì dalla data in cui il titolare comunica alla amministrazione </w:t>
      </w:r>
      <w:r w:rsidR="00285D52" w:rsidRPr="00D04895">
        <w:rPr>
          <w:rFonts w:ascii="Times New Roman" w:hAnsi="Times New Roman" w:cs="Times New Roman"/>
          <w:sz w:val="24"/>
          <w:szCs w:val="24"/>
        </w:rPr>
        <w:t>la propria intenzione di rinunciare al titolo, o dalla data di adozione da parte della P.A. del provvedimento che dichiara la decadenza del permesso di costruire per scadenza dei termini (iniziali o finali) o per l’entrata in vigore delle previ</w:t>
      </w:r>
      <w:r w:rsidR="00791673" w:rsidRPr="00D04895">
        <w:rPr>
          <w:rFonts w:ascii="Times New Roman" w:hAnsi="Times New Roman" w:cs="Times New Roman"/>
          <w:sz w:val="24"/>
          <w:szCs w:val="24"/>
        </w:rPr>
        <w:t xml:space="preserve">sioni urbanistiche contrastanti, o, ancora, </w:t>
      </w:r>
      <w:r w:rsidR="000D691D" w:rsidRPr="00D04895">
        <w:rPr>
          <w:rFonts w:ascii="Times New Roman" w:hAnsi="Times New Roman" w:cs="Times New Roman"/>
          <w:sz w:val="24"/>
          <w:szCs w:val="24"/>
        </w:rPr>
        <w:t>dalla pubblicazione della delibera di ricalcolo e adeguamento dei nuovi importi (o eventualmente dalla successiva comunicazione personale al titolare della concessione degli importi ricalcolati dovuti)</w:t>
      </w:r>
      <w:r w:rsidR="000D691D" w:rsidRPr="00D04895">
        <w:rPr>
          <w:rStyle w:val="Rimandonotaapidipagina"/>
          <w:rFonts w:ascii="Times New Roman" w:hAnsi="Times New Roman"/>
          <w:sz w:val="24"/>
          <w:szCs w:val="24"/>
        </w:rPr>
        <w:footnoteReference w:id="38"/>
      </w:r>
      <w:r w:rsidR="000D691D" w:rsidRPr="00D04895">
        <w:rPr>
          <w:rFonts w:ascii="Times New Roman" w:hAnsi="Times New Roman" w:cs="Times New Roman"/>
          <w:sz w:val="24"/>
          <w:szCs w:val="24"/>
        </w:rPr>
        <w:t>.</w:t>
      </w:r>
    </w:p>
    <w:p w:rsidR="00541352" w:rsidRPr="00D04895" w:rsidRDefault="00285D52" w:rsidP="00916277">
      <w:pPr>
        <w:spacing w:after="0" w:line="240" w:lineRule="auto"/>
        <w:ind w:firstLine="357"/>
        <w:jc w:val="both"/>
        <w:rPr>
          <w:rFonts w:ascii="Times New Roman" w:hAnsi="Times New Roman" w:cs="Times New Roman"/>
          <w:sz w:val="24"/>
          <w:szCs w:val="24"/>
        </w:rPr>
      </w:pPr>
      <w:r w:rsidRPr="00D04895">
        <w:rPr>
          <w:rFonts w:ascii="Times New Roman" w:hAnsi="Times New Roman" w:cs="Times New Roman"/>
          <w:sz w:val="24"/>
          <w:szCs w:val="24"/>
        </w:rPr>
        <w:t xml:space="preserve"> </w:t>
      </w:r>
    </w:p>
    <w:p w:rsidR="00541352" w:rsidRPr="00D04895" w:rsidRDefault="00541352" w:rsidP="00541352">
      <w:pPr>
        <w:pStyle w:val="Paragrafoelenco"/>
        <w:numPr>
          <w:ilvl w:val="0"/>
          <w:numId w:val="4"/>
        </w:numPr>
        <w:jc w:val="both"/>
        <w:rPr>
          <w:rFonts w:ascii="Times New Roman" w:hAnsi="Times New Roman" w:cs="Times New Roman"/>
          <w:b/>
          <w:sz w:val="24"/>
          <w:szCs w:val="24"/>
        </w:rPr>
      </w:pPr>
      <w:r w:rsidRPr="00D04895">
        <w:rPr>
          <w:rFonts w:ascii="Times New Roman" w:hAnsi="Times New Roman" w:cs="Times New Roman"/>
          <w:b/>
          <w:sz w:val="24"/>
          <w:szCs w:val="24"/>
        </w:rPr>
        <w:t>Considerazioni finali.</w:t>
      </w:r>
    </w:p>
    <w:p w:rsidR="00FC6182" w:rsidRPr="00D04895" w:rsidRDefault="00541352" w:rsidP="00FC6182">
      <w:pPr>
        <w:spacing w:after="0" w:line="240" w:lineRule="auto"/>
        <w:jc w:val="both"/>
        <w:rPr>
          <w:rFonts w:ascii="Times New Roman" w:hAnsi="Times New Roman" w:cs="Times New Roman"/>
          <w:sz w:val="24"/>
          <w:szCs w:val="24"/>
        </w:rPr>
      </w:pPr>
      <w:r w:rsidRPr="00D04895">
        <w:rPr>
          <w:sz w:val="24"/>
          <w:szCs w:val="24"/>
        </w:rPr>
        <w:lastRenderedPageBreak/>
        <w:t xml:space="preserve"> </w:t>
      </w:r>
      <w:r w:rsidR="00FC6182" w:rsidRPr="00D04895">
        <w:rPr>
          <w:rFonts w:ascii="Times New Roman" w:hAnsi="Times New Roman" w:cs="Times New Roman"/>
          <w:sz w:val="24"/>
          <w:szCs w:val="24"/>
        </w:rPr>
        <w:t xml:space="preserve">La regolamentazione degli oneri concessori può, a giusto titolo, essere definita “anfibologica”. Infatti, essa costituisce una sorta di compromesso normativo, di punto di sintesi, che compendia due contrapposte esigenze: quella del privato, di realizzare celermente l’intervento edilizio autorizzato comprensivo anche delle opere di urbanizzazione, e quella più spiccatamente pubblicistica, di salvaguardare i meccanismi di tutela della concorrenza introdotti dal nuovo “Codice degli appalti pubblici”. Il prodotto finale, attraverso una complessa ed articolata modulazione regolativa, pare in grado di mediare efficacemente le due contrapposte esigenze facendo salvo, da un canto, il bisogno di speditezza, tipico del privato, e, da un altro, quello più propriamente pubblicistico che si risolve nella necessaria osservanza del portato europeo e nazionale in materia di tutela della concorrenza all’interno di un comparto così strategico e delicato quale quello delle opere pubbliche. In questo senso, è difficile stabilire se le due discipline conservino o meno la propria autonomia ed identità o se non siano, piuttosto, complementari l’una rispetto all’altra derivando tale complementarietà proprio dalla natura cedevole delle norme del TUE rispetto a quelle europee più propriamente dedicate a regolamentare il settore dei lavori pubblici. </w:t>
      </w:r>
      <w:r w:rsidR="001953D9" w:rsidRPr="00D04895">
        <w:rPr>
          <w:rFonts w:ascii="Times New Roman" w:hAnsi="Times New Roman" w:cs="Times New Roman"/>
          <w:sz w:val="24"/>
          <w:szCs w:val="24"/>
        </w:rPr>
        <w:t>Ovviamente tale cedevolezza non può non coinvolgere la ben più specifica disciplina edilizia quando essa impatti la gestione delle aree demaniali. Anche in questo caso vengono coinvolti valori costituzionalmente protetti. Si pensi, ad esempio, alla tutela della concorrenza, alla libertà economica privata</w:t>
      </w:r>
      <w:r w:rsidR="0069524F" w:rsidRPr="00D04895">
        <w:rPr>
          <w:rFonts w:ascii="Times New Roman" w:hAnsi="Times New Roman" w:cs="Times New Roman"/>
          <w:sz w:val="24"/>
          <w:szCs w:val="24"/>
        </w:rPr>
        <w:t>,</w:t>
      </w:r>
      <w:r w:rsidR="001953D9" w:rsidRPr="00D04895">
        <w:rPr>
          <w:rFonts w:ascii="Times New Roman" w:hAnsi="Times New Roman" w:cs="Times New Roman"/>
          <w:sz w:val="24"/>
          <w:szCs w:val="24"/>
        </w:rPr>
        <w:t xml:space="preserve"> agli stessi valori paesaggistici e naturalistici </w:t>
      </w:r>
      <w:r w:rsidR="0069524F" w:rsidRPr="00D04895">
        <w:rPr>
          <w:rFonts w:ascii="Times New Roman" w:hAnsi="Times New Roman" w:cs="Times New Roman"/>
          <w:sz w:val="24"/>
          <w:szCs w:val="24"/>
        </w:rPr>
        <w:t xml:space="preserve">protetti </w:t>
      </w:r>
      <w:r w:rsidR="001953D9" w:rsidRPr="00D04895">
        <w:rPr>
          <w:rFonts w:ascii="Times New Roman" w:hAnsi="Times New Roman" w:cs="Times New Roman"/>
          <w:sz w:val="24"/>
          <w:szCs w:val="24"/>
        </w:rPr>
        <w:t>che, sovente, vengono incisi dalla realizzazione di strutture balneari</w:t>
      </w:r>
      <w:r w:rsidR="0069524F" w:rsidRPr="00D04895">
        <w:rPr>
          <w:rFonts w:ascii="Times New Roman" w:hAnsi="Times New Roman" w:cs="Times New Roman"/>
          <w:sz w:val="24"/>
          <w:szCs w:val="24"/>
        </w:rPr>
        <w:t>, talvolt</w:t>
      </w:r>
      <w:r w:rsidR="000A37CD">
        <w:rPr>
          <w:rFonts w:ascii="Times New Roman" w:hAnsi="Times New Roman" w:cs="Times New Roman"/>
          <w:sz w:val="24"/>
          <w:szCs w:val="24"/>
        </w:rPr>
        <w:t>a</w:t>
      </w:r>
      <w:r w:rsidR="0069524F" w:rsidRPr="00D04895">
        <w:rPr>
          <w:rFonts w:ascii="Times New Roman" w:hAnsi="Times New Roman" w:cs="Times New Roman"/>
          <w:sz w:val="24"/>
          <w:szCs w:val="24"/>
        </w:rPr>
        <w:t xml:space="preserve"> anche eccessivamente “invasive”,</w:t>
      </w:r>
      <w:r w:rsidR="001953D9" w:rsidRPr="00D04895">
        <w:rPr>
          <w:rFonts w:ascii="Times New Roman" w:hAnsi="Times New Roman" w:cs="Times New Roman"/>
          <w:sz w:val="24"/>
          <w:szCs w:val="24"/>
        </w:rPr>
        <w:t xml:space="preserve"> la cui sorte al termine del rapporto </w:t>
      </w:r>
      <w:proofErr w:type="spellStart"/>
      <w:r w:rsidR="001953D9" w:rsidRPr="00D04895">
        <w:rPr>
          <w:rFonts w:ascii="Times New Roman" w:hAnsi="Times New Roman" w:cs="Times New Roman"/>
          <w:sz w:val="24"/>
          <w:szCs w:val="24"/>
        </w:rPr>
        <w:t>concessorio</w:t>
      </w:r>
      <w:proofErr w:type="spellEnd"/>
      <w:r w:rsidR="001953D9" w:rsidRPr="00D04895">
        <w:rPr>
          <w:rFonts w:ascii="Times New Roman" w:hAnsi="Times New Roman" w:cs="Times New Roman"/>
          <w:sz w:val="24"/>
          <w:szCs w:val="24"/>
        </w:rPr>
        <w:t xml:space="preserve"> è sempre più foriera di aspri e controversi contenziosi legali. In questo senso un ripensamento dell’art. 49 del Codice della navigazione sarebbe forse la via più breve da seguire ma, come è ormai noto, il </w:t>
      </w:r>
      <w:proofErr w:type="spellStart"/>
      <w:r w:rsidR="001953D9" w:rsidRPr="00D04895">
        <w:rPr>
          <w:rFonts w:ascii="Times New Roman" w:hAnsi="Times New Roman" w:cs="Times New Roman"/>
          <w:sz w:val="24"/>
          <w:szCs w:val="24"/>
        </w:rPr>
        <w:t>ddl</w:t>
      </w:r>
      <w:proofErr w:type="spellEnd"/>
      <w:r w:rsidR="001953D9" w:rsidRPr="00D04895">
        <w:rPr>
          <w:rFonts w:ascii="Times New Roman" w:hAnsi="Times New Roman" w:cs="Times New Roman"/>
          <w:sz w:val="24"/>
          <w:szCs w:val="24"/>
        </w:rPr>
        <w:t xml:space="preserve"> di riforma</w:t>
      </w:r>
      <w:r w:rsidR="0069524F" w:rsidRPr="00D04895">
        <w:rPr>
          <w:rStyle w:val="Rimandonotaapidipagina"/>
          <w:rFonts w:ascii="Times New Roman" w:hAnsi="Times New Roman"/>
          <w:sz w:val="24"/>
          <w:szCs w:val="24"/>
        </w:rPr>
        <w:footnoteReference w:id="39"/>
      </w:r>
      <w:r w:rsidR="001953D9" w:rsidRPr="00D04895">
        <w:rPr>
          <w:rFonts w:ascii="Times New Roman" w:hAnsi="Times New Roman" w:cs="Times New Roman"/>
          <w:sz w:val="24"/>
          <w:szCs w:val="24"/>
        </w:rPr>
        <w:t xml:space="preserve"> dell’intera disciplina del comparto</w:t>
      </w:r>
      <w:r w:rsidR="0069524F" w:rsidRPr="00D04895">
        <w:rPr>
          <w:rFonts w:ascii="Times New Roman" w:hAnsi="Times New Roman" w:cs="Times New Roman"/>
          <w:sz w:val="24"/>
          <w:szCs w:val="24"/>
        </w:rPr>
        <w:t>, che pure prevede questo viatico,</w:t>
      </w:r>
      <w:r w:rsidR="001953D9" w:rsidRPr="00D04895">
        <w:rPr>
          <w:rFonts w:ascii="Times New Roman" w:hAnsi="Times New Roman" w:cs="Times New Roman"/>
          <w:sz w:val="24"/>
          <w:szCs w:val="24"/>
        </w:rPr>
        <w:t xml:space="preserve"> </w:t>
      </w:r>
      <w:r w:rsidR="0069524F" w:rsidRPr="00D04895">
        <w:rPr>
          <w:rFonts w:ascii="Times New Roman" w:hAnsi="Times New Roman" w:cs="Times New Roman"/>
          <w:sz w:val="24"/>
          <w:szCs w:val="24"/>
        </w:rPr>
        <w:t>si è arenato per mesi</w:t>
      </w:r>
      <w:r w:rsidR="001953D9" w:rsidRPr="00D04895">
        <w:rPr>
          <w:rFonts w:ascii="Times New Roman" w:hAnsi="Times New Roman" w:cs="Times New Roman"/>
          <w:sz w:val="24"/>
          <w:szCs w:val="24"/>
        </w:rPr>
        <w:t xml:space="preserve"> nelle secche della varie Commissioni parlamentari che se ne sono occupate</w:t>
      </w:r>
      <w:r w:rsidR="0069524F" w:rsidRPr="00D04895">
        <w:rPr>
          <w:rFonts w:ascii="Times New Roman" w:hAnsi="Times New Roman" w:cs="Times New Roman"/>
          <w:sz w:val="24"/>
          <w:szCs w:val="24"/>
        </w:rPr>
        <w:t xml:space="preserve"> ed oggi è ancora in attesa di approvazione da parte del Senato</w:t>
      </w:r>
      <w:r w:rsidR="001953D9" w:rsidRPr="00D04895">
        <w:rPr>
          <w:rFonts w:ascii="Times New Roman" w:hAnsi="Times New Roman" w:cs="Times New Roman"/>
          <w:sz w:val="24"/>
          <w:szCs w:val="24"/>
        </w:rPr>
        <w:t>.</w:t>
      </w:r>
      <w:r w:rsidR="00FC6182" w:rsidRPr="00D04895">
        <w:rPr>
          <w:rFonts w:ascii="Times New Roman" w:hAnsi="Times New Roman" w:cs="Times New Roman"/>
          <w:sz w:val="24"/>
          <w:szCs w:val="24"/>
        </w:rPr>
        <w:t xml:space="preserve"> </w:t>
      </w:r>
      <w:r w:rsidR="0069524F" w:rsidRPr="00D04895">
        <w:rPr>
          <w:rFonts w:ascii="Times New Roman" w:hAnsi="Times New Roman" w:cs="Times New Roman"/>
          <w:sz w:val="24"/>
          <w:szCs w:val="24"/>
        </w:rPr>
        <w:t>Sarebbe auspicabile, allora, un organico riassetto della materia capace di compendiare le varie esigenze degli addetti ai lavori</w:t>
      </w:r>
      <w:r w:rsidR="000A37CD">
        <w:rPr>
          <w:rFonts w:ascii="Times New Roman" w:hAnsi="Times New Roman" w:cs="Times New Roman"/>
          <w:sz w:val="24"/>
          <w:szCs w:val="24"/>
        </w:rPr>
        <w:t>,</w:t>
      </w:r>
      <w:r w:rsidR="0069524F" w:rsidRPr="00D04895">
        <w:rPr>
          <w:rFonts w:ascii="Times New Roman" w:hAnsi="Times New Roman" w:cs="Times New Roman"/>
          <w:sz w:val="24"/>
          <w:szCs w:val="24"/>
        </w:rPr>
        <w:t xml:space="preserve"> sorte nel corso degli anni</w:t>
      </w:r>
      <w:r w:rsidR="000A37CD">
        <w:rPr>
          <w:rFonts w:ascii="Times New Roman" w:hAnsi="Times New Roman" w:cs="Times New Roman"/>
          <w:sz w:val="24"/>
          <w:szCs w:val="24"/>
        </w:rPr>
        <w:t>,</w:t>
      </w:r>
      <w:r w:rsidR="0069524F" w:rsidRPr="00D04895">
        <w:rPr>
          <w:rFonts w:ascii="Times New Roman" w:hAnsi="Times New Roman" w:cs="Times New Roman"/>
          <w:sz w:val="24"/>
          <w:szCs w:val="24"/>
        </w:rPr>
        <w:t xml:space="preserve"> mediante una disciplina meditata che ben si armonizzi con quella più generale dettata dal TUE all’interno del quadro normativo sovranazionale costituito dai Trattati europei.</w:t>
      </w:r>
      <w:r w:rsidR="00FC6182" w:rsidRPr="00D04895">
        <w:rPr>
          <w:rFonts w:ascii="Times New Roman" w:hAnsi="Times New Roman" w:cs="Times New Roman"/>
          <w:sz w:val="24"/>
          <w:szCs w:val="24"/>
        </w:rPr>
        <w:t xml:space="preserve"> </w:t>
      </w:r>
    </w:p>
    <w:p w:rsidR="00541352" w:rsidRDefault="00541352">
      <w:pPr>
        <w:rPr>
          <w:sz w:val="24"/>
          <w:szCs w:val="24"/>
        </w:rPr>
      </w:pPr>
    </w:p>
    <w:p w:rsidR="000F1300" w:rsidRDefault="000F1300">
      <w:pPr>
        <w:rPr>
          <w:sz w:val="24"/>
          <w:szCs w:val="24"/>
        </w:rPr>
      </w:pPr>
    </w:p>
    <w:p w:rsidR="000F1300" w:rsidRDefault="000F1300">
      <w:pPr>
        <w:rPr>
          <w:sz w:val="24"/>
          <w:szCs w:val="24"/>
        </w:rPr>
      </w:pPr>
    </w:p>
    <w:p w:rsidR="000F1300" w:rsidRDefault="000F1300" w:rsidP="000F1300">
      <w:pPr>
        <w:jc w:val="right"/>
        <w:rPr>
          <w:rFonts w:ascii="Times New Roman" w:hAnsi="Times New Roman" w:cs="Times New Roman"/>
          <w:b/>
          <w:sz w:val="24"/>
          <w:szCs w:val="24"/>
        </w:rPr>
      </w:pPr>
      <w:r>
        <w:rPr>
          <w:rFonts w:ascii="Times New Roman" w:hAnsi="Times New Roman" w:cs="Times New Roman"/>
          <w:b/>
          <w:sz w:val="24"/>
          <w:szCs w:val="24"/>
        </w:rPr>
        <w:t xml:space="preserve">Gerardo </w:t>
      </w:r>
      <w:bookmarkStart w:id="0" w:name="_GoBack"/>
      <w:proofErr w:type="spellStart"/>
      <w:r>
        <w:rPr>
          <w:rFonts w:ascii="Times New Roman" w:hAnsi="Times New Roman" w:cs="Times New Roman"/>
          <w:b/>
          <w:sz w:val="24"/>
          <w:szCs w:val="24"/>
        </w:rPr>
        <w:t>Guzzo</w:t>
      </w:r>
      <w:proofErr w:type="spellEnd"/>
      <w:r>
        <w:rPr>
          <w:rFonts w:ascii="Times New Roman" w:hAnsi="Times New Roman" w:cs="Times New Roman"/>
          <w:b/>
          <w:sz w:val="24"/>
          <w:szCs w:val="24"/>
        </w:rPr>
        <w:t>* – Morena Luchetti</w:t>
      </w:r>
      <w:bookmarkEnd w:id="0"/>
      <w:r>
        <w:rPr>
          <w:rFonts w:ascii="Times New Roman" w:hAnsi="Times New Roman" w:cs="Times New Roman"/>
          <w:b/>
          <w:sz w:val="24"/>
          <w:szCs w:val="24"/>
        </w:rPr>
        <w:t>**</w:t>
      </w:r>
    </w:p>
    <w:p w:rsidR="000F1300" w:rsidRPr="000F1300" w:rsidRDefault="000F1300" w:rsidP="000F1300">
      <w:pPr>
        <w:spacing w:after="0" w:line="240" w:lineRule="auto"/>
        <w:jc w:val="both"/>
        <w:rPr>
          <w:rFonts w:ascii="Times New Roman" w:hAnsi="Times New Roman" w:cs="Times New Roman"/>
          <w:sz w:val="18"/>
          <w:szCs w:val="18"/>
        </w:rPr>
      </w:pPr>
      <w:r w:rsidRPr="000F1300">
        <w:rPr>
          <w:rFonts w:ascii="Times New Roman" w:hAnsi="Times New Roman" w:cs="Times New Roman"/>
          <w:sz w:val="18"/>
          <w:szCs w:val="18"/>
        </w:rPr>
        <w:t xml:space="preserve">Docente universitario presso </w:t>
      </w:r>
      <w:proofErr w:type="spellStart"/>
      <w:r w:rsidRPr="000F1300">
        <w:rPr>
          <w:rFonts w:ascii="Times New Roman" w:hAnsi="Times New Roman" w:cs="Times New Roman"/>
          <w:sz w:val="18"/>
          <w:szCs w:val="18"/>
        </w:rPr>
        <w:t>UniSa</w:t>
      </w:r>
      <w:proofErr w:type="spellEnd"/>
      <w:r w:rsidRPr="000F1300">
        <w:rPr>
          <w:rFonts w:ascii="Times New Roman" w:hAnsi="Times New Roman" w:cs="Times New Roman"/>
          <w:sz w:val="18"/>
          <w:szCs w:val="18"/>
        </w:rPr>
        <w:t xml:space="preserve"> ed avvocato - **Docente universitario presso </w:t>
      </w:r>
      <w:proofErr w:type="spellStart"/>
      <w:r w:rsidRPr="000F1300">
        <w:rPr>
          <w:rFonts w:ascii="Times New Roman" w:hAnsi="Times New Roman" w:cs="Times New Roman"/>
          <w:sz w:val="18"/>
          <w:szCs w:val="18"/>
        </w:rPr>
        <w:t>UniMc</w:t>
      </w:r>
      <w:proofErr w:type="spellEnd"/>
      <w:r w:rsidRPr="000F1300">
        <w:rPr>
          <w:rFonts w:ascii="Times New Roman" w:hAnsi="Times New Roman" w:cs="Times New Roman"/>
          <w:sz w:val="18"/>
          <w:szCs w:val="18"/>
        </w:rPr>
        <w:t xml:space="preserve"> ed avvocato.</w:t>
      </w:r>
    </w:p>
    <w:p w:rsidR="000F1300" w:rsidRPr="000F1300" w:rsidRDefault="000F1300" w:rsidP="000F1300">
      <w:pPr>
        <w:spacing w:after="0" w:line="240" w:lineRule="auto"/>
        <w:jc w:val="both"/>
        <w:rPr>
          <w:rFonts w:ascii="Times New Roman" w:hAnsi="Times New Roman" w:cs="Times New Roman"/>
          <w:sz w:val="18"/>
          <w:szCs w:val="18"/>
        </w:rPr>
      </w:pPr>
      <w:r w:rsidRPr="000F1300">
        <w:rPr>
          <w:rFonts w:ascii="Times New Roman" w:hAnsi="Times New Roman" w:cs="Times New Roman"/>
          <w:sz w:val="18"/>
          <w:szCs w:val="18"/>
        </w:rPr>
        <w:t xml:space="preserve">Il lavoro, sebbene concepito in un’ottica unitaria, è da intendersi attribuito per i paragrafi 2-4 a Gerardo </w:t>
      </w:r>
      <w:proofErr w:type="spellStart"/>
      <w:r w:rsidRPr="000F1300">
        <w:rPr>
          <w:rFonts w:ascii="Times New Roman" w:hAnsi="Times New Roman" w:cs="Times New Roman"/>
          <w:sz w:val="18"/>
          <w:szCs w:val="18"/>
        </w:rPr>
        <w:t>Guzzo</w:t>
      </w:r>
      <w:proofErr w:type="spellEnd"/>
      <w:r w:rsidRPr="000F1300">
        <w:rPr>
          <w:rFonts w:ascii="Times New Roman" w:hAnsi="Times New Roman" w:cs="Times New Roman"/>
          <w:sz w:val="18"/>
          <w:szCs w:val="18"/>
        </w:rPr>
        <w:t xml:space="preserve"> e per i paragrafi 5-7 a Morena Luchetti. “Premessa” e “Considerazioni finali” sono da attribuirsi ad entrambi gli autori.</w:t>
      </w:r>
    </w:p>
    <w:p w:rsidR="000F1300" w:rsidRDefault="000F1300" w:rsidP="000F1300">
      <w:pPr>
        <w:jc w:val="right"/>
        <w:rPr>
          <w:rFonts w:ascii="Times New Roman" w:hAnsi="Times New Roman" w:cs="Times New Roman"/>
          <w:b/>
          <w:sz w:val="24"/>
          <w:szCs w:val="24"/>
        </w:rPr>
      </w:pPr>
    </w:p>
    <w:p w:rsidR="000F1300" w:rsidRDefault="000F1300" w:rsidP="000F1300">
      <w:pPr>
        <w:jc w:val="right"/>
        <w:rPr>
          <w:rFonts w:ascii="Times New Roman" w:hAnsi="Times New Roman" w:cs="Times New Roman"/>
          <w:b/>
          <w:sz w:val="24"/>
          <w:szCs w:val="24"/>
        </w:rPr>
      </w:pPr>
    </w:p>
    <w:p w:rsidR="000F1300" w:rsidRDefault="000F1300" w:rsidP="000F1300">
      <w:pPr>
        <w:jc w:val="right"/>
        <w:rPr>
          <w:rFonts w:ascii="Times New Roman" w:hAnsi="Times New Roman" w:cs="Times New Roman"/>
          <w:b/>
          <w:sz w:val="24"/>
          <w:szCs w:val="24"/>
        </w:rPr>
      </w:pPr>
    </w:p>
    <w:p w:rsidR="000F1300" w:rsidRPr="000F1300" w:rsidRDefault="000F1300" w:rsidP="000F1300">
      <w:pPr>
        <w:spacing w:after="0" w:line="240" w:lineRule="auto"/>
        <w:jc w:val="right"/>
        <w:rPr>
          <w:rFonts w:ascii="Times New Roman" w:hAnsi="Times New Roman" w:cs="Times New Roman"/>
          <w:sz w:val="18"/>
          <w:szCs w:val="18"/>
        </w:rPr>
      </w:pPr>
      <w:r w:rsidRPr="000F1300">
        <w:rPr>
          <w:rFonts w:ascii="Times New Roman" w:hAnsi="Times New Roman" w:cs="Times New Roman"/>
          <w:sz w:val="18"/>
          <w:szCs w:val="18"/>
        </w:rPr>
        <w:t>Pubblicato il 2 marzo 2018</w:t>
      </w:r>
    </w:p>
    <w:p w:rsidR="000F1300" w:rsidRDefault="000F1300" w:rsidP="000F1300">
      <w:pPr>
        <w:jc w:val="right"/>
        <w:rPr>
          <w:rFonts w:ascii="Times New Roman" w:hAnsi="Times New Roman" w:cs="Times New Roman"/>
          <w:b/>
          <w:sz w:val="24"/>
          <w:szCs w:val="24"/>
        </w:rPr>
      </w:pPr>
    </w:p>
    <w:p w:rsidR="000F1300" w:rsidRPr="00DB0DE2" w:rsidRDefault="000F1300" w:rsidP="000F1300">
      <w:pPr>
        <w:jc w:val="right"/>
        <w:rPr>
          <w:rFonts w:ascii="Times New Roman" w:hAnsi="Times New Roman" w:cs="Times New Roman"/>
          <w:b/>
          <w:sz w:val="24"/>
          <w:szCs w:val="24"/>
        </w:rPr>
      </w:pPr>
    </w:p>
    <w:p w:rsidR="000F1300" w:rsidRPr="000F1300" w:rsidRDefault="000F1300">
      <w:pPr>
        <w:spacing w:after="0" w:line="240" w:lineRule="auto"/>
        <w:jc w:val="both"/>
        <w:rPr>
          <w:rFonts w:ascii="Times New Roman" w:hAnsi="Times New Roman" w:cs="Times New Roman"/>
          <w:sz w:val="18"/>
          <w:szCs w:val="18"/>
        </w:rPr>
      </w:pPr>
    </w:p>
    <w:sectPr w:rsidR="000F1300" w:rsidRPr="000F1300" w:rsidSect="008F22C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CC7" w:rsidRDefault="00743CC7" w:rsidP="0071132A">
      <w:pPr>
        <w:spacing w:after="0" w:line="240" w:lineRule="auto"/>
      </w:pPr>
      <w:r>
        <w:separator/>
      </w:r>
    </w:p>
  </w:endnote>
  <w:endnote w:type="continuationSeparator" w:id="0">
    <w:p w:rsidR="00743CC7" w:rsidRDefault="00743CC7" w:rsidP="0071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erkeley-Book">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terFaceDa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CC7" w:rsidRDefault="00743CC7" w:rsidP="0071132A">
      <w:pPr>
        <w:spacing w:after="0" w:line="240" w:lineRule="auto"/>
      </w:pPr>
      <w:r>
        <w:separator/>
      </w:r>
    </w:p>
  </w:footnote>
  <w:footnote w:type="continuationSeparator" w:id="0">
    <w:p w:rsidR="00743CC7" w:rsidRDefault="00743CC7" w:rsidP="0071132A">
      <w:pPr>
        <w:spacing w:after="0" w:line="240" w:lineRule="auto"/>
      </w:pPr>
      <w:r>
        <w:continuationSeparator/>
      </w:r>
    </w:p>
  </w:footnote>
  <w:footnote w:id="1">
    <w:p w:rsidR="00F355E8" w:rsidRDefault="0041664F" w:rsidP="0041664F">
      <w:pPr>
        <w:pStyle w:val="NormaleWeb"/>
        <w:tabs>
          <w:tab w:val="left" w:pos="8370"/>
        </w:tabs>
        <w:spacing w:before="0" w:beforeAutospacing="0" w:after="0" w:afterAutospacing="0"/>
        <w:jc w:val="both"/>
        <w:rPr>
          <w:sz w:val="20"/>
          <w:szCs w:val="20"/>
        </w:rPr>
      </w:pPr>
      <w:r w:rsidRPr="000A2273">
        <w:rPr>
          <w:sz w:val="20"/>
          <w:szCs w:val="20"/>
        </w:rPr>
        <w:t>*Docente universitario</w:t>
      </w:r>
      <w:r w:rsidR="00C60FD2">
        <w:rPr>
          <w:sz w:val="20"/>
          <w:szCs w:val="20"/>
        </w:rPr>
        <w:t xml:space="preserve"> presso </w:t>
      </w:r>
      <w:proofErr w:type="spellStart"/>
      <w:r w:rsidR="00C60FD2">
        <w:rPr>
          <w:sz w:val="20"/>
          <w:szCs w:val="20"/>
        </w:rPr>
        <w:t>UniSa</w:t>
      </w:r>
      <w:proofErr w:type="spellEnd"/>
      <w:r w:rsidRPr="000A2273">
        <w:rPr>
          <w:sz w:val="20"/>
          <w:szCs w:val="20"/>
        </w:rPr>
        <w:t xml:space="preserve"> e</w:t>
      </w:r>
      <w:r w:rsidR="00F355E8">
        <w:rPr>
          <w:sz w:val="20"/>
          <w:szCs w:val="20"/>
        </w:rPr>
        <w:t>d avvocato - **Docente universitario</w:t>
      </w:r>
      <w:r w:rsidR="00C60FD2">
        <w:rPr>
          <w:sz w:val="20"/>
          <w:szCs w:val="20"/>
        </w:rPr>
        <w:t xml:space="preserve"> presso </w:t>
      </w:r>
      <w:proofErr w:type="spellStart"/>
      <w:r w:rsidR="00C60FD2">
        <w:rPr>
          <w:sz w:val="20"/>
          <w:szCs w:val="20"/>
        </w:rPr>
        <w:t>UniMc</w:t>
      </w:r>
      <w:proofErr w:type="spellEnd"/>
      <w:r w:rsidR="00F355E8">
        <w:rPr>
          <w:sz w:val="20"/>
          <w:szCs w:val="20"/>
        </w:rPr>
        <w:t xml:space="preserve"> ed avvocato</w:t>
      </w:r>
      <w:r w:rsidRPr="000A2273">
        <w:rPr>
          <w:sz w:val="20"/>
          <w:szCs w:val="20"/>
        </w:rPr>
        <w:t>.</w:t>
      </w:r>
    </w:p>
    <w:p w:rsidR="0041664F" w:rsidRPr="000A2273" w:rsidRDefault="00F355E8" w:rsidP="0041664F">
      <w:pPr>
        <w:pStyle w:val="NormaleWeb"/>
        <w:tabs>
          <w:tab w:val="left" w:pos="8370"/>
        </w:tabs>
        <w:spacing w:before="0" w:beforeAutospacing="0" w:after="0" w:afterAutospacing="0"/>
        <w:jc w:val="both"/>
        <w:rPr>
          <w:sz w:val="20"/>
          <w:szCs w:val="20"/>
        </w:rPr>
      </w:pPr>
      <w:r>
        <w:rPr>
          <w:sz w:val="20"/>
          <w:szCs w:val="20"/>
        </w:rPr>
        <w:t xml:space="preserve">Il lavoro, sebbene concepito in un’ottica unitaria, è da intendersi attribuito per i paragrafi </w:t>
      </w:r>
      <w:r w:rsidR="00A276CC">
        <w:rPr>
          <w:sz w:val="20"/>
          <w:szCs w:val="20"/>
        </w:rPr>
        <w:t xml:space="preserve">2-4 a Gerardo </w:t>
      </w:r>
      <w:proofErr w:type="spellStart"/>
      <w:r w:rsidR="00A276CC">
        <w:rPr>
          <w:sz w:val="20"/>
          <w:szCs w:val="20"/>
        </w:rPr>
        <w:t>Guzzo</w:t>
      </w:r>
      <w:proofErr w:type="spellEnd"/>
      <w:r w:rsidR="00A276CC">
        <w:rPr>
          <w:sz w:val="20"/>
          <w:szCs w:val="20"/>
        </w:rPr>
        <w:t xml:space="preserve"> e per i paragrafi 5-7 a Morena Luchetti. “Premessa” e “Considerazioni finali” sono da attribuirsi ad entrambi gli autori.</w:t>
      </w:r>
      <w:r w:rsidR="0041664F" w:rsidRPr="000A2273">
        <w:rPr>
          <w:sz w:val="20"/>
          <w:szCs w:val="20"/>
        </w:rPr>
        <w:tab/>
      </w:r>
    </w:p>
    <w:p w:rsidR="0041664F" w:rsidRDefault="0041664F" w:rsidP="0041664F">
      <w:pPr>
        <w:pStyle w:val="Testonotaapidipagina"/>
        <w:jc w:val="both"/>
      </w:pPr>
    </w:p>
    <w:p w:rsidR="0041664F" w:rsidRDefault="0041664F" w:rsidP="0041664F">
      <w:pPr>
        <w:pStyle w:val="Testonotaapidipagina"/>
        <w:jc w:val="both"/>
      </w:pPr>
      <w:r>
        <w:rPr>
          <w:rStyle w:val="Rimandonotaapidipagina"/>
        </w:rPr>
        <w:footnoteRef/>
      </w:r>
      <w:r>
        <w:t xml:space="preserve"> </w:t>
      </w:r>
      <w:r w:rsidRPr="00EE6A88">
        <w:rPr>
          <w:rFonts w:ascii="InterFaceDaMa" w:hAnsi="InterFaceDaMa" w:cs="InterFaceDaMa"/>
          <w:sz w:val="18"/>
          <w:szCs w:val="18"/>
        </w:rPr>
        <w:t xml:space="preserve">L'art. 2 l. n. 109/1994 fu sottoposto a diversi interventi normativi: modificato dall'art. 2 del </w:t>
      </w:r>
      <w:proofErr w:type="spellStart"/>
      <w:r w:rsidRPr="00EE6A88">
        <w:rPr>
          <w:rFonts w:ascii="InterFaceDaMa" w:hAnsi="InterFaceDaMa" w:cs="InterFaceDaMa"/>
          <w:sz w:val="18"/>
          <w:szCs w:val="18"/>
        </w:rPr>
        <w:t>d.l.</w:t>
      </w:r>
      <w:proofErr w:type="spellEnd"/>
      <w:r w:rsidRPr="00EE6A88">
        <w:rPr>
          <w:rFonts w:ascii="InterFaceDaMa" w:hAnsi="InterFaceDaMa" w:cs="InterFaceDaMa"/>
          <w:sz w:val="18"/>
          <w:szCs w:val="18"/>
        </w:rPr>
        <w:t xml:space="preserve"> 3 aprile 1995, n. 101, sostituito dall'art. 1 della l. 18 novembre 1998, n. 415 e dall'art. 65 della l. 23 dicembre 2000, n. 388 ed infine sostituito dall'art. 7, comma 1, della l. 1° agosto 2002, n. 166.</w:t>
      </w:r>
    </w:p>
  </w:footnote>
  <w:footnote w:id="2">
    <w:p w:rsidR="0041664F" w:rsidRPr="00A63779" w:rsidRDefault="0041664F" w:rsidP="0041664F">
      <w:pPr>
        <w:pStyle w:val="Testonotaapidipagina"/>
        <w:jc w:val="both"/>
        <w:rPr>
          <w:rFonts w:ascii="Times New Roman" w:hAnsi="Times New Roman" w:cs="Times New Roman"/>
        </w:rPr>
      </w:pPr>
      <w:r>
        <w:rPr>
          <w:rStyle w:val="Rimandonotaapidipagina"/>
        </w:rPr>
        <w:footnoteRef/>
      </w:r>
      <w:r>
        <w:t xml:space="preserve"> </w:t>
      </w:r>
      <w:r w:rsidRPr="00310783">
        <w:rPr>
          <w:rFonts w:ascii="Times New Roman" w:hAnsi="Times New Roman" w:cs="Times New Roman"/>
        </w:rPr>
        <w:t>Si tratta del nuovo codice degli appalti pubblici entrato in vigore il 19.4.2016 per effetto del d.lgs. n. 50/2016, in GU n. 91 del 19.4.2016. L’originario impianto è stato successivamente modificato dal d.lgs. n. 56/2017 e dalla legge n. 96/2017. Per una consultazione</w:t>
      </w:r>
      <w:r>
        <w:rPr>
          <w:rFonts w:ascii="Times New Roman" w:hAnsi="Times New Roman" w:cs="Times New Roman"/>
        </w:rPr>
        <w:t xml:space="preserve"> integrale del testo si rinvia a </w:t>
      </w:r>
      <w:hyperlink r:id="rId1" w:history="1">
        <w:r w:rsidRPr="0081755B">
          <w:rPr>
            <w:rStyle w:val="Collegamentoipertestuale"/>
            <w:rFonts w:ascii="Times New Roman" w:hAnsi="Times New Roman" w:cs="Times New Roman"/>
          </w:rPr>
          <w:t>www.lexitalia.it</w:t>
        </w:r>
      </w:hyperlink>
      <w:r>
        <w:rPr>
          <w:rFonts w:ascii="Times New Roman" w:hAnsi="Times New Roman" w:cs="Times New Roman"/>
        </w:rPr>
        <w:t>, n. 4/2016.</w:t>
      </w:r>
    </w:p>
  </w:footnote>
  <w:footnote w:id="3">
    <w:p w:rsidR="006E1C24" w:rsidRPr="00D25008" w:rsidRDefault="006E1C24" w:rsidP="006E1C24">
      <w:pPr>
        <w:pStyle w:val="Testonotaapidipagina"/>
        <w:jc w:val="both"/>
        <w:rPr>
          <w:rFonts w:ascii="Times New Roman" w:hAnsi="Times New Roman" w:cs="Times New Roman"/>
        </w:rPr>
      </w:pPr>
      <w:r>
        <w:rPr>
          <w:rStyle w:val="Rimandonotaapidipagina"/>
        </w:rPr>
        <w:footnoteRef/>
      </w:r>
      <w:r>
        <w:t xml:space="preserve"> </w:t>
      </w:r>
      <w:r w:rsidRPr="00D25008">
        <w:rPr>
          <w:rFonts w:ascii="Times New Roman" w:hAnsi="Times New Roman" w:cs="Times New Roman"/>
        </w:rPr>
        <w:t xml:space="preserve">Si tratta della legge di </w:t>
      </w:r>
      <w:r>
        <w:rPr>
          <w:rFonts w:ascii="Times New Roman" w:hAnsi="Times New Roman" w:cs="Times New Roman"/>
        </w:rPr>
        <w:t>c</w:t>
      </w:r>
      <w:r w:rsidRPr="00D25008">
        <w:rPr>
          <w:rFonts w:ascii="Times New Roman" w:hAnsi="Times New Roman" w:cs="Times New Roman"/>
          <w:bCs/>
        </w:rPr>
        <w:t>onversione, con modificazioni, del decreto-legge 11 settembre 2014, n. 133,</w:t>
      </w:r>
      <w:r>
        <w:rPr>
          <w:rFonts w:ascii="Times New Roman" w:hAnsi="Times New Roman" w:cs="Times New Roman"/>
          <w:bCs/>
        </w:rPr>
        <w:t xml:space="preserve"> recante</w:t>
      </w:r>
      <w:r w:rsidRPr="00D25008">
        <w:rPr>
          <w:rFonts w:ascii="Times New Roman" w:hAnsi="Times New Roman" w:cs="Times New Roman"/>
          <w:bCs/>
        </w:rPr>
        <w:t xml:space="preserve"> </w:t>
      </w:r>
      <w:r>
        <w:rPr>
          <w:rFonts w:ascii="Times New Roman" w:hAnsi="Times New Roman" w:cs="Times New Roman"/>
          <w:bCs/>
        </w:rPr>
        <w:t>“</w:t>
      </w:r>
      <w:r w:rsidRPr="00D25008">
        <w:rPr>
          <w:rFonts w:ascii="Times New Roman" w:hAnsi="Times New Roman" w:cs="Times New Roman"/>
          <w:bCs/>
        </w:rPr>
        <w:t>Misure urgenti per l'apertura dei cantieri, la realizzazione delle opere pubbliche, la digitalizzazione del Paese, la semplificazione burocratica, l'emergenza del dissesto idrogeologico e per la ripresa delle cattività produttive</w:t>
      </w:r>
      <w:r>
        <w:rPr>
          <w:rFonts w:ascii="Times New Roman" w:hAnsi="Times New Roman" w:cs="Times New Roman"/>
          <w:bCs/>
        </w:rPr>
        <w:t>”</w:t>
      </w:r>
      <w:r w:rsidRPr="00D25008">
        <w:rPr>
          <w:rFonts w:ascii="Times New Roman" w:hAnsi="Times New Roman" w:cs="Times New Roman"/>
          <w:bCs/>
        </w:rPr>
        <w:t xml:space="preserve">; in </w:t>
      </w:r>
      <w:r w:rsidRPr="00D25008">
        <w:rPr>
          <w:rFonts w:ascii="Times New Roman" w:hAnsi="Times New Roman" w:cs="Times New Roman"/>
        </w:rPr>
        <w:t xml:space="preserve">G.U. n. 262 dell'11 novembre 2014. </w:t>
      </w:r>
      <w:r>
        <w:rPr>
          <w:rFonts w:ascii="Times New Roman" w:hAnsi="Times New Roman" w:cs="Times New Roman"/>
        </w:rPr>
        <w:t xml:space="preserve">Per una consultazione integrale del testo si rinvia a </w:t>
      </w:r>
      <w:hyperlink r:id="rId2" w:history="1">
        <w:r w:rsidRPr="0081755B">
          <w:rPr>
            <w:rStyle w:val="Collegamentoipertestuale"/>
            <w:rFonts w:ascii="Times New Roman" w:hAnsi="Times New Roman" w:cs="Times New Roman"/>
          </w:rPr>
          <w:t>www.lexitalia.it</w:t>
        </w:r>
      </w:hyperlink>
      <w:r>
        <w:rPr>
          <w:rFonts w:ascii="Times New Roman" w:hAnsi="Times New Roman" w:cs="Times New Roman"/>
        </w:rPr>
        <w:t xml:space="preserve">, n. 11/2014. </w:t>
      </w:r>
    </w:p>
  </w:footnote>
  <w:footnote w:id="4">
    <w:p w:rsidR="006E1C24" w:rsidRPr="006074AB" w:rsidRDefault="006E1C24" w:rsidP="006E1C24">
      <w:pPr>
        <w:pStyle w:val="NormaleWeb"/>
        <w:spacing w:before="0" w:beforeAutospacing="0" w:after="0" w:afterAutospacing="0"/>
        <w:jc w:val="both"/>
        <w:rPr>
          <w:sz w:val="20"/>
          <w:szCs w:val="20"/>
        </w:rPr>
      </w:pPr>
      <w:r>
        <w:rPr>
          <w:rStyle w:val="Rimandonotaapidipagina"/>
        </w:rPr>
        <w:footnoteRef/>
      </w:r>
      <w:r>
        <w:t xml:space="preserve"> </w:t>
      </w:r>
      <w:r w:rsidRPr="00765216">
        <w:rPr>
          <w:sz w:val="20"/>
          <w:szCs w:val="20"/>
        </w:rPr>
        <w:t>Il testo della disposizione così recita: “(…)</w:t>
      </w:r>
      <w:r>
        <w:rPr>
          <w:sz w:val="20"/>
          <w:szCs w:val="20"/>
        </w:rPr>
        <w:t xml:space="preserve"> </w:t>
      </w:r>
      <w:r w:rsidRPr="0073691B">
        <w:rPr>
          <w:i/>
          <w:sz w:val="20"/>
          <w:szCs w:val="20"/>
        </w:rPr>
        <w:t>1. Salvo quanto disposto all'</w:t>
      </w:r>
      <w:hyperlink r:id="rId3" w:anchor="017" w:history="1">
        <w:r w:rsidRPr="0073691B">
          <w:rPr>
            <w:rStyle w:val="Collegamentoipertestuale"/>
            <w:i/>
            <w:color w:val="auto"/>
            <w:sz w:val="20"/>
            <w:szCs w:val="20"/>
            <w:u w:val="none"/>
          </w:rPr>
          <w:t>articolo 17, comma 3</w:t>
        </w:r>
      </w:hyperlink>
      <w:r w:rsidRPr="0073691B">
        <w:rPr>
          <w:i/>
          <w:sz w:val="20"/>
          <w:szCs w:val="20"/>
        </w:rPr>
        <w:t>, il rilascio del permesso di costruire comporta la corresponsione di un contributo commisurato all’incidenza degli oneri di urbanizzazione nonché al costo di costruzione, secondo le modalità indicate nel presente articolo. 2. La quota di contributo relativa agli oneri di urbanizzazione va corrisposta al comune all'atto del rilascio del permesso di costruire e, su richiesta dell’interessato, può essere rateizzata. A scomputo totale o parziale della quota dovuta, il titolare del permesso può obbligarsi a realizzare direttamente le opere di urbanizzazione, nel rispetto dell'</w:t>
      </w:r>
      <w:hyperlink r:id="rId4" w:anchor="001" w:history="1">
        <w:r w:rsidRPr="0073691B">
          <w:rPr>
            <w:rStyle w:val="Collegamentoipertestuale"/>
            <w:i/>
            <w:iCs/>
            <w:color w:val="auto"/>
            <w:sz w:val="20"/>
            <w:szCs w:val="20"/>
            <w:u w:val="none"/>
          </w:rPr>
          <w:t xml:space="preserve">art. 1, comma 2, </w:t>
        </w:r>
        <w:proofErr w:type="spellStart"/>
        <w:r w:rsidRPr="0073691B">
          <w:rPr>
            <w:rStyle w:val="Collegamentoipertestuale"/>
            <w:i/>
            <w:iCs/>
            <w:color w:val="auto"/>
            <w:sz w:val="20"/>
            <w:szCs w:val="20"/>
            <w:u w:val="none"/>
          </w:rPr>
          <w:t>lett</w:t>
        </w:r>
        <w:proofErr w:type="spellEnd"/>
        <w:r w:rsidRPr="0073691B">
          <w:rPr>
            <w:rStyle w:val="Collegamentoipertestuale"/>
            <w:i/>
            <w:iCs/>
            <w:color w:val="auto"/>
            <w:sz w:val="20"/>
            <w:szCs w:val="20"/>
            <w:u w:val="none"/>
          </w:rPr>
          <w:t>. e)</w:t>
        </w:r>
      </w:hyperlink>
      <w:r w:rsidRPr="0073691B">
        <w:rPr>
          <w:i/>
          <w:iCs/>
          <w:sz w:val="20"/>
          <w:szCs w:val="20"/>
        </w:rPr>
        <w:t xml:space="preserve"> e </w:t>
      </w:r>
      <w:hyperlink r:id="rId5" w:anchor="036" w:history="1">
        <w:r w:rsidRPr="0073691B">
          <w:rPr>
            <w:rStyle w:val="Collegamentoipertestuale"/>
            <w:i/>
            <w:iCs/>
            <w:color w:val="auto"/>
            <w:sz w:val="20"/>
            <w:szCs w:val="20"/>
            <w:u w:val="none"/>
          </w:rPr>
          <w:t>art. 36, commi 3 e 4, d.lgs. n. 50 del 2016</w:t>
        </w:r>
      </w:hyperlink>
      <w:r w:rsidRPr="0073691B">
        <w:rPr>
          <w:i/>
          <w:iCs/>
          <w:sz w:val="20"/>
          <w:szCs w:val="20"/>
        </w:rPr>
        <w:t xml:space="preserve"> </w:t>
      </w:r>
      <w:r w:rsidRPr="0073691B">
        <w:rPr>
          <w:i/>
          <w:sz w:val="20"/>
          <w:szCs w:val="20"/>
        </w:rPr>
        <w:t>con le modalità e le garanzie stabilite dal comune, con conseguente acquisizione delle opere realizzate al patrimonio indisponibile del comune. 2-bis. Nell'ambito degli strumenti attuativi e degli atti equivalenti comunque denominati nonché degli interventi in diretta attuazione dello strumento urbanistico generale, l'esecuzione diretta delle opere di urbanizzazione primaria di cui al comma 7, di importo inferiore alla soglia di cui all'</w:t>
      </w:r>
      <w:hyperlink r:id="rId6" w:anchor="001" w:history="1">
        <w:r w:rsidRPr="0073691B">
          <w:rPr>
            <w:rStyle w:val="Collegamentoipertestuale"/>
            <w:i/>
            <w:iCs/>
            <w:color w:val="auto"/>
            <w:sz w:val="20"/>
            <w:szCs w:val="20"/>
            <w:u w:val="none"/>
          </w:rPr>
          <w:t xml:space="preserve">art. 35, comma 1, </w:t>
        </w:r>
      </w:hyperlink>
      <w:hyperlink r:id="rId7" w:anchor="035" w:history="1">
        <w:r w:rsidRPr="0073691B">
          <w:rPr>
            <w:rStyle w:val="Collegamentoipertestuale"/>
            <w:i/>
            <w:iCs/>
            <w:color w:val="auto"/>
            <w:sz w:val="20"/>
            <w:szCs w:val="20"/>
            <w:u w:val="none"/>
          </w:rPr>
          <w:t>d.lgs. n. 50 del 2016</w:t>
        </w:r>
      </w:hyperlink>
      <w:r w:rsidRPr="0073691B">
        <w:rPr>
          <w:i/>
          <w:iCs/>
          <w:sz w:val="20"/>
          <w:szCs w:val="20"/>
        </w:rPr>
        <w:t xml:space="preserve"> </w:t>
      </w:r>
      <w:r w:rsidRPr="0073691B">
        <w:rPr>
          <w:i/>
          <w:sz w:val="20"/>
          <w:szCs w:val="20"/>
        </w:rPr>
        <w:t>, funzionali all'intervento di trasformazione urbanistica del territorio, è a carico del titolare del permesso di costruire e non trova applicazione il decreto legislativo 12 aprile 2006, n. 163. 3. La quota di contributo relativa al costo di costruzione, determinata all'atto del rilascio, è corrisposta in corso d'opera, con le modalità e le garanzie stabilite dal comune, non oltre sessanta giorni dalla ultimazione della costruzione. L’incidenza degli oneri di urbanizzazione primaria e secondaria è stabilita con deliberazione del consiglio comunale in base alle tabelle parametriche che la regione definisce per classi di comuni in relazione: a) all'ampiezza ed all'andamento demografico dei comuni; b) alle caratteristiche geografiche dei comuni; c) alle destinazioni di zona previste negli strumenti urbanistici vigenti; d) ai limiti e rapporti minimi inderogabili fissati in applicazione dall'</w:t>
      </w:r>
      <w:hyperlink r:id="rId8" w:anchor="41.qui" w:history="1">
        <w:r w:rsidRPr="0073691B">
          <w:rPr>
            <w:rStyle w:val="Collegamentoipertestuale"/>
            <w:i/>
            <w:color w:val="auto"/>
            <w:sz w:val="20"/>
            <w:szCs w:val="20"/>
            <w:u w:val="none"/>
          </w:rPr>
          <w:t>articolo 41-quinquies, penultimo e ultimo comma, della legge 17 agosto 1942, n. 1150</w:t>
        </w:r>
      </w:hyperlink>
      <w:r w:rsidRPr="0073691B">
        <w:rPr>
          <w:i/>
          <w:sz w:val="20"/>
          <w:szCs w:val="20"/>
        </w:rPr>
        <w:t>, e successive modifiche e integrazioni, nonché delle leggi regionali; d-bis) alla differenziazione tra gli interventi al fine di incentivare, in modo particolare nelle aree a maggiore densità del costruito, quelli di ristrutturazione edilizia di cui all'</w:t>
      </w:r>
      <w:hyperlink r:id="rId9" w:anchor="003" w:history="1">
        <w:r w:rsidRPr="0073691B">
          <w:rPr>
            <w:rStyle w:val="Collegamentoipertestuale"/>
            <w:i/>
            <w:color w:val="auto"/>
            <w:sz w:val="20"/>
            <w:szCs w:val="20"/>
            <w:u w:val="none"/>
          </w:rPr>
          <w:t>articolo 3, comma 1, lettera d)</w:t>
        </w:r>
      </w:hyperlink>
      <w:r w:rsidRPr="0073691B">
        <w:rPr>
          <w:i/>
          <w:sz w:val="20"/>
          <w:szCs w:val="20"/>
        </w:rPr>
        <w:t xml:space="preserve">, anziché quelli di nuova costruzione; </w:t>
      </w:r>
      <w:r w:rsidRPr="0073691B">
        <w:rPr>
          <w:i/>
          <w:iCs/>
          <w:sz w:val="20"/>
          <w:szCs w:val="20"/>
        </w:rPr>
        <w:t xml:space="preserve"> </w:t>
      </w:r>
      <w:r w:rsidRPr="0073691B">
        <w:rPr>
          <w:i/>
          <w:sz w:val="20"/>
          <w:szCs w:val="20"/>
        </w:rPr>
        <w:t>d-ter) alla valutazione del maggior valore generato da interventi su aree o immobili in variante urbanistica, in deroga o con cambio di destinazione d'uso. Tale maggior valore, calcolato dall'amministrazione comunale, è suddiviso in misura non inferiore al 50 per cento tra il comune e la parte privata ed è erogato da quest'ultima al comune stesso sotto forma di contributo straordinario, che attesta l'interesse pubblico, in versamento finanziario, vincolato a specifico centro di costo per la realizzazione di opere pubbliche e servizi da realizzare nel contesto in cui ricade l'intervento, cessione di aree o immobili da destinare a servizi di pubblica utilità, edilizia residenziale sociale od opere pubbliche. 4-bis. Con riferimento a quanto previsto dal secondo periodo della lettera d-ter) del comma 4, sono fatte salve le diverse disposizioni delle legislazioni regionali e degli strumenti urbanistici generali</w:t>
      </w:r>
      <w:r w:rsidRPr="006074AB">
        <w:rPr>
          <w:sz w:val="20"/>
          <w:szCs w:val="20"/>
        </w:rPr>
        <w:t xml:space="preserve"> </w:t>
      </w:r>
      <w:r w:rsidRPr="0073691B">
        <w:rPr>
          <w:i/>
          <w:sz w:val="20"/>
          <w:szCs w:val="20"/>
        </w:rPr>
        <w:t>comunali. 5. Nel caso di mancata definizione delle tabelle parametriche da parte della regione e fino alla definizione delle tabelle stesse, i comuni provvedono, in via provvisoria, con deliberazione del consiglio comunale, secondo i parametri di cui al comma 4, fermo restando quanto previsto dal comma 4-bis.</w:t>
      </w:r>
      <w:r w:rsidRPr="0073691B">
        <w:rPr>
          <w:b/>
          <w:bCs/>
          <w:i/>
          <w:sz w:val="20"/>
          <w:szCs w:val="20"/>
        </w:rPr>
        <w:t xml:space="preserve"> </w:t>
      </w:r>
      <w:r w:rsidRPr="0073691B">
        <w:rPr>
          <w:i/>
          <w:sz w:val="20"/>
          <w:szCs w:val="20"/>
        </w:rPr>
        <w:t xml:space="preserve">6. Ogni cinque anni i comuni provvedono ad aggiornare gli oneri di urbanizzazione primaria e secondaria, in conformità alle relative disposizioni regionali, in relazione ai riscontri e prevedibili costi delle opere di urbanizzazione primaria, secondaria e generale. 7. Gli oneri di urbanizzazione primaria sono relativi ai seguenti interventi: strade residenziali, spazi di sosta o di parcheggio, fognature, rete idrica, rete di distribuzione dell'energia elettrica e del gas, pubblica illuminazione, spazi di verde attrezzato. </w:t>
      </w:r>
      <w:r w:rsidRPr="0073691B">
        <w:rPr>
          <w:i/>
          <w:iCs/>
          <w:sz w:val="20"/>
          <w:szCs w:val="20"/>
        </w:rPr>
        <w:t xml:space="preserve"> </w:t>
      </w:r>
      <w:r w:rsidRPr="0073691B">
        <w:rPr>
          <w:i/>
          <w:sz w:val="20"/>
          <w:szCs w:val="20"/>
        </w:rPr>
        <w:t>7-bis. Tra gli interventi di urbanizzazione primaria di cui al comma 7 rientrano i cavedi multiservizi e i cavidotti per il passaggio di reti di telecomunicazioni, salvo nelle aree individuate dai comuni sulla base dei criteri definiti dalle regioni. 8. Gli oneri di urbanizzazione secondaria sono relativi ai seguenti interventi: asili nido e scuole materne, scuole dell’obbligo nonché strutture e complessi per l’istruzione superiore all’obbligo, mercati di quartiere, delegazioni comunali, chiese e altri edifici religiosi, impianti sportivi di quartiere, aree verdi di quartiere, centri sociali e attrezzature culturali e sanitarie. Nelle attrezzature sanitarie sono ricomprese le opere, le costruzioni e gli impianti destinati allo smaltimento, al riciclaggio o alla distruzione dei rifiuti urbani, speciali, pericolosi, solidi e liquidi, alla bonifica di aree inquinate. 9. Il costo di costruzione per i nuovi edifici è determinato periodicamente dalle regioni con riferimento ai costi massimi ammissibili per l'edilizia agevolata, definiti dalle stesse regioni a norma della lettera g) del primo comma dell'art. 4 della legge 5 agosto 1978, n. 457. Con lo stesso provvedimento le regioni identificano classi di edifici con caratteristiche superiori a quelle considerate nelle vigenti disposizioni di legge per l'edilizia agevolata, per le quali sono determinate maggiorazioni del detto costo di costruzione in misura non superiore al 50 per cento. Nei periodi intercorrenti tra le determinazioni regionali, ovvero in eventuale assenza di tali determinazioni, il costo di costruzione è adeguato annualmente, ed autonomamente, in ragione dell'intervenuta variazione dei costi di costruzione accertata dall'Istituto nazionale di statistica (ISTAT). Il contributo afferente al permesso di costruire comprende una quota di detto costo, variabile dal 5 per cento al 20 per cento, che viene determinata dalle regioni in funzione delle caratteristiche e delle tipologie delle costruzioni e della loro destinazione ed ubicazione. 10. Nel caso di interventi su edifici esistenti il costo di costruzione è determinato in relazione al costo degli interventi stessi, così come individuati dal comune in base ai progetti presentati per ottenere il permesso di costruire. Al fine di incentivare il recupero del patrimonio edilizio esistente, per gli interventi di ristrutturazione edilizia di cui all'</w:t>
      </w:r>
      <w:hyperlink r:id="rId10" w:anchor="003" w:history="1">
        <w:r w:rsidRPr="0073691B">
          <w:rPr>
            <w:rStyle w:val="Collegamentoipertestuale"/>
            <w:i/>
            <w:color w:val="auto"/>
            <w:sz w:val="20"/>
            <w:szCs w:val="20"/>
            <w:u w:val="none"/>
          </w:rPr>
          <w:t>articolo 3, comma 1, lettera d)</w:t>
        </w:r>
      </w:hyperlink>
      <w:r w:rsidRPr="0073691B">
        <w:rPr>
          <w:i/>
          <w:sz w:val="20"/>
          <w:szCs w:val="20"/>
        </w:rPr>
        <w:t>, i comuni hanno comunque la facoltà di deliberare che i costi di costruzione ad essi relativi siano inferiori ai valori determinati per le nuove costruzioni</w:t>
      </w:r>
      <w:r w:rsidRPr="006074AB">
        <w:rPr>
          <w:sz w:val="20"/>
          <w:szCs w:val="20"/>
        </w:rPr>
        <w:t xml:space="preserve"> (…)</w:t>
      </w:r>
      <w:proofErr w:type="gramStart"/>
      <w:r w:rsidRPr="006074AB">
        <w:rPr>
          <w:sz w:val="20"/>
          <w:szCs w:val="20"/>
        </w:rPr>
        <w:t>”.</w:t>
      </w:r>
      <w:r w:rsidRPr="006074AB">
        <w:rPr>
          <w:rFonts w:ascii="Tahoma" w:hAnsi="Tahoma" w:cs="Tahoma"/>
          <w:i/>
          <w:iCs/>
          <w:sz w:val="20"/>
          <w:szCs w:val="20"/>
        </w:rPr>
        <w:tab/>
      </w:r>
      <w:proofErr w:type="gramEnd"/>
      <w:r w:rsidRPr="006074AB">
        <w:rPr>
          <w:rFonts w:ascii="Tahoma" w:hAnsi="Tahoma" w:cs="Tahoma"/>
          <w:i/>
          <w:iCs/>
          <w:sz w:val="20"/>
          <w:szCs w:val="20"/>
        </w:rPr>
        <w:br/>
      </w:r>
    </w:p>
  </w:footnote>
  <w:footnote w:id="5">
    <w:p w:rsidR="006E1C24" w:rsidRPr="006074AB" w:rsidRDefault="006E1C24" w:rsidP="006E1C24">
      <w:pPr>
        <w:pStyle w:val="Testonotaapidipagina"/>
        <w:jc w:val="both"/>
        <w:rPr>
          <w:rFonts w:ascii="Times New Roman" w:hAnsi="Times New Roman" w:cs="Times New Roman"/>
        </w:rPr>
      </w:pPr>
      <w:r>
        <w:rPr>
          <w:rStyle w:val="Rimandonotaapidipagina"/>
        </w:rPr>
        <w:footnoteRef/>
      </w:r>
      <w:r>
        <w:t xml:space="preserve"> </w:t>
      </w:r>
      <w:r w:rsidRPr="006074AB">
        <w:rPr>
          <w:rFonts w:ascii="Times New Roman" w:hAnsi="Times New Roman" w:cs="Times New Roman"/>
        </w:rPr>
        <w:t>Si tratta della legge rubricata</w:t>
      </w:r>
      <w:r>
        <w:t xml:space="preserve"> “</w:t>
      </w:r>
      <w:r w:rsidRPr="006074AB">
        <w:rPr>
          <w:rFonts w:ascii="Times New Roman" w:hAnsi="Times New Roman" w:cs="Times New Roman"/>
          <w:bCs/>
          <w:i/>
        </w:rPr>
        <w:t>Autorizzazione ai Comuni e loro consorzi a contrarre mutui per l'acquisizione delle aree ai sensi della legge 18 aprile 1962, n. 167</w:t>
      </w:r>
      <w:proofErr w:type="gramStart"/>
      <w:r w:rsidRPr="006074AB">
        <w:rPr>
          <w:rFonts w:ascii="Times New Roman" w:hAnsi="Times New Roman" w:cs="Times New Roman"/>
          <w:bCs/>
          <w:i/>
        </w:rPr>
        <w:t>”</w:t>
      </w:r>
      <w:r>
        <w:rPr>
          <w:rFonts w:ascii="Times New Roman" w:hAnsi="Times New Roman" w:cs="Times New Roman"/>
          <w:bCs/>
          <w:i/>
        </w:rPr>
        <w:t xml:space="preserve"> </w:t>
      </w:r>
      <w:r>
        <w:rPr>
          <w:rFonts w:ascii="Times New Roman" w:hAnsi="Times New Roman" w:cs="Times New Roman"/>
          <w:bCs/>
        </w:rPr>
        <w:t>.</w:t>
      </w:r>
      <w:proofErr w:type="gramEnd"/>
      <w:r w:rsidRPr="006074AB">
        <w:rPr>
          <w:rFonts w:ascii="Times New Roman" w:hAnsi="Times New Roman" w:cs="Times New Roman"/>
        </w:rPr>
        <w:t xml:space="preserve"> </w:t>
      </w:r>
      <w:r>
        <w:rPr>
          <w:rFonts w:ascii="Times New Roman" w:hAnsi="Times New Roman" w:cs="Times New Roman"/>
        </w:rPr>
        <w:t xml:space="preserve">Per una consultazione integrale del testo, si rinvia al sito istituzionale </w:t>
      </w:r>
      <w:hyperlink r:id="rId11" w:history="1">
        <w:r w:rsidRPr="000850FB">
          <w:rPr>
            <w:rStyle w:val="Collegamentoipertestuale"/>
            <w:rFonts w:ascii="Times New Roman" w:hAnsi="Times New Roman" w:cs="Times New Roman"/>
          </w:rPr>
          <w:t>www.parlamento.it</w:t>
        </w:r>
      </w:hyperlink>
      <w:r>
        <w:rPr>
          <w:rFonts w:ascii="Times New Roman" w:hAnsi="Times New Roman" w:cs="Times New Roman"/>
        </w:rPr>
        <w:t xml:space="preserve">. </w:t>
      </w:r>
    </w:p>
    <w:p w:rsidR="006E1C24" w:rsidRPr="006074AB" w:rsidRDefault="006E1C24" w:rsidP="006E1C24">
      <w:pPr>
        <w:pStyle w:val="Testonotaapidipagina"/>
        <w:rPr>
          <w:rFonts w:ascii="Times New Roman" w:hAnsi="Times New Roman" w:cs="Times New Roman"/>
        </w:rPr>
      </w:pPr>
    </w:p>
  </w:footnote>
  <w:footnote w:id="6">
    <w:p w:rsidR="006E1C24" w:rsidRPr="006074AB" w:rsidRDefault="006E1C24" w:rsidP="006E1C24">
      <w:pPr>
        <w:pStyle w:val="Testonotaapidipagina"/>
        <w:rPr>
          <w:rFonts w:ascii="Times New Roman" w:hAnsi="Times New Roman" w:cs="Times New Roman"/>
        </w:rPr>
      </w:pPr>
      <w:r>
        <w:rPr>
          <w:rStyle w:val="Rimandonotaapidipagina"/>
        </w:rPr>
        <w:footnoteRef/>
      </w:r>
      <w:r>
        <w:t xml:space="preserve"> </w:t>
      </w:r>
      <w:r w:rsidRPr="006074AB">
        <w:rPr>
          <w:rFonts w:ascii="Times New Roman" w:hAnsi="Times New Roman" w:cs="Times New Roman"/>
        </w:rPr>
        <w:t>Si tratta del testo di legge recante le “</w:t>
      </w:r>
      <w:r w:rsidRPr="006074AB">
        <w:rPr>
          <w:rFonts w:ascii="Times New Roman" w:hAnsi="Times New Roman" w:cs="Times New Roman"/>
          <w:i/>
        </w:rPr>
        <w:t>Norme in materia di edificabilità dei suoli</w:t>
      </w:r>
      <w:r w:rsidRPr="006074AB">
        <w:rPr>
          <w:rFonts w:ascii="Times New Roman" w:hAnsi="Times New Roman" w:cs="Times New Roman"/>
        </w:rPr>
        <w:t>”.</w:t>
      </w:r>
      <w:r>
        <w:rPr>
          <w:rFonts w:ascii="Times New Roman" w:hAnsi="Times New Roman" w:cs="Times New Roman"/>
        </w:rPr>
        <w:t xml:space="preserve"> Per una consultazione integrale del testo, si rinvia al sito istituzionale </w:t>
      </w:r>
      <w:hyperlink r:id="rId12" w:history="1">
        <w:r w:rsidRPr="000850FB">
          <w:rPr>
            <w:rStyle w:val="Collegamentoipertestuale"/>
            <w:rFonts w:ascii="Times New Roman" w:hAnsi="Times New Roman" w:cs="Times New Roman"/>
          </w:rPr>
          <w:t>www.parlamento.it</w:t>
        </w:r>
      </w:hyperlink>
      <w:r>
        <w:rPr>
          <w:rFonts w:ascii="Times New Roman" w:hAnsi="Times New Roman" w:cs="Times New Roman"/>
        </w:rPr>
        <w:t xml:space="preserve">. </w:t>
      </w:r>
    </w:p>
  </w:footnote>
  <w:footnote w:id="7">
    <w:p w:rsidR="006E1C24" w:rsidRDefault="006E1C24" w:rsidP="006E1C24">
      <w:pPr>
        <w:pStyle w:val="Testonotaapidipagina"/>
        <w:jc w:val="both"/>
      </w:pPr>
      <w:r>
        <w:rPr>
          <w:rStyle w:val="Rimandonotaapidipagina"/>
        </w:rPr>
        <w:footnoteRef/>
      </w:r>
      <w:r>
        <w:t xml:space="preserve"> </w:t>
      </w:r>
      <w:r w:rsidRPr="00830793">
        <w:rPr>
          <w:rFonts w:ascii="Times New Roman" w:hAnsi="Times New Roman" w:cs="Times New Roman"/>
        </w:rPr>
        <w:t>Le tabelle parametriche che ciascuna regione avrebbe dovuto definire, entro 120 giorni dalla data di entrata in vigore della L. n. 10/1977 dovevano tenere conto dei seguenti elementi: ampiezza ed andamento demografico dei comuni, caratteristiche geografiche del comune, destinazione di zona previste dagli strumenti urbanistici, limiti e rapporti minimi inderogabili in applicazione dell’art. 41-</w:t>
      </w:r>
      <w:r w:rsidRPr="0073691B">
        <w:rPr>
          <w:rFonts w:ascii="Times New Roman" w:hAnsi="Times New Roman" w:cs="Times New Roman"/>
          <w:i/>
        </w:rPr>
        <w:t>quinquies</w:t>
      </w:r>
      <w:r w:rsidRPr="00830793">
        <w:rPr>
          <w:rFonts w:ascii="Times New Roman" w:hAnsi="Times New Roman" w:cs="Times New Roman"/>
        </w:rPr>
        <w:t xml:space="preserve"> L. n. 1150/1942.</w:t>
      </w:r>
    </w:p>
    <w:p w:rsidR="006E1C24" w:rsidRDefault="006E1C24" w:rsidP="006E1C24">
      <w:pPr>
        <w:pStyle w:val="Testonotaapidipagina"/>
      </w:pPr>
    </w:p>
  </w:footnote>
  <w:footnote w:id="8">
    <w:p w:rsidR="006E1C24" w:rsidRPr="00755F67" w:rsidRDefault="006E1C24" w:rsidP="006E1C24">
      <w:pPr>
        <w:pStyle w:val="Testonotaapidipagina"/>
        <w:rPr>
          <w:rFonts w:ascii="Times New Roman" w:hAnsi="Times New Roman" w:cs="Times New Roman"/>
        </w:rPr>
      </w:pPr>
      <w:r>
        <w:rPr>
          <w:rStyle w:val="Rimandonotaapidipagina"/>
        </w:rPr>
        <w:footnoteRef/>
      </w:r>
      <w:r>
        <w:t xml:space="preserve"> </w:t>
      </w:r>
      <w:r w:rsidRPr="00755F67">
        <w:rPr>
          <w:rFonts w:ascii="Times New Roman" w:hAnsi="Times New Roman" w:cs="Times New Roman"/>
        </w:rPr>
        <w:t>Per un approfondimento sul tema si rinvia, tra i tanti, a G. GUZZO</w:t>
      </w:r>
      <w:r>
        <w:rPr>
          <w:rFonts w:ascii="Times New Roman" w:hAnsi="Times New Roman" w:cs="Times New Roman"/>
        </w:rPr>
        <w:t xml:space="preserve"> –</w:t>
      </w:r>
      <w:r w:rsidRPr="00755F67">
        <w:rPr>
          <w:rFonts w:ascii="Times New Roman" w:hAnsi="Times New Roman" w:cs="Times New Roman"/>
        </w:rPr>
        <w:t xml:space="preserve"> GM</w:t>
      </w:r>
      <w:r>
        <w:rPr>
          <w:rFonts w:ascii="Times New Roman" w:hAnsi="Times New Roman" w:cs="Times New Roman"/>
        </w:rPr>
        <w:t>.</w:t>
      </w:r>
      <w:r w:rsidRPr="00755F67">
        <w:rPr>
          <w:rFonts w:ascii="Times New Roman" w:hAnsi="Times New Roman" w:cs="Times New Roman"/>
        </w:rPr>
        <w:t xml:space="preserve"> PALLIGGIANO, “</w:t>
      </w:r>
      <w:r w:rsidRPr="00F01447">
        <w:rPr>
          <w:rFonts w:ascii="Times New Roman" w:hAnsi="Times New Roman" w:cs="Times New Roman"/>
          <w:i/>
        </w:rPr>
        <w:t>L’attività edilizia. Titoli, procedure, sanzioni e tutela</w:t>
      </w:r>
      <w:r w:rsidRPr="00755F67">
        <w:rPr>
          <w:rFonts w:ascii="Times New Roman" w:hAnsi="Times New Roman" w:cs="Times New Roman"/>
        </w:rPr>
        <w:t xml:space="preserve">”; </w:t>
      </w:r>
      <w:proofErr w:type="spellStart"/>
      <w:r w:rsidRPr="00755F67">
        <w:rPr>
          <w:rFonts w:ascii="Times New Roman" w:hAnsi="Times New Roman" w:cs="Times New Roman"/>
        </w:rPr>
        <w:t>Giuffrè</w:t>
      </w:r>
      <w:proofErr w:type="spellEnd"/>
      <w:r w:rsidRPr="00755F67">
        <w:rPr>
          <w:rFonts w:ascii="Times New Roman" w:hAnsi="Times New Roman" w:cs="Times New Roman"/>
        </w:rPr>
        <w:t xml:space="preserve"> Editore; </w:t>
      </w:r>
      <w:proofErr w:type="spellStart"/>
      <w:r w:rsidRPr="00755F67">
        <w:rPr>
          <w:rFonts w:ascii="Times New Roman" w:hAnsi="Times New Roman" w:cs="Times New Roman"/>
        </w:rPr>
        <w:t>pagg</w:t>
      </w:r>
      <w:proofErr w:type="spellEnd"/>
      <w:r w:rsidRPr="00755F67">
        <w:rPr>
          <w:rFonts w:ascii="Times New Roman" w:hAnsi="Times New Roman" w:cs="Times New Roman"/>
        </w:rPr>
        <w:t>. 126 e segg.</w:t>
      </w:r>
    </w:p>
  </w:footnote>
  <w:footnote w:id="9">
    <w:p w:rsidR="006E1C24" w:rsidRPr="00755F67" w:rsidRDefault="006E1C24" w:rsidP="006E1C24">
      <w:pPr>
        <w:pStyle w:val="Testonotaapidipagina"/>
        <w:rPr>
          <w:rFonts w:ascii="Times New Roman" w:hAnsi="Times New Roman" w:cs="Times New Roman"/>
        </w:rPr>
      </w:pPr>
      <w:r>
        <w:rPr>
          <w:rStyle w:val="Rimandonotaapidipagina"/>
        </w:rPr>
        <w:footnoteRef/>
      </w:r>
      <w:r>
        <w:t xml:space="preserve"> </w:t>
      </w:r>
      <w:r w:rsidRPr="00755F67">
        <w:rPr>
          <w:rFonts w:ascii="Times New Roman" w:hAnsi="Times New Roman" w:cs="Times New Roman"/>
        </w:rPr>
        <w:t>Per una consultazione integrale del testo della sentenza si rinvia al sito eur-lex.europa.eu</w:t>
      </w:r>
      <w:r>
        <w:rPr>
          <w:rFonts w:ascii="Times New Roman" w:hAnsi="Times New Roman" w:cs="Times New Roman"/>
        </w:rPr>
        <w:t xml:space="preserve">. </w:t>
      </w:r>
      <w:r w:rsidRPr="00755F67">
        <w:rPr>
          <w:rFonts w:ascii="Times New Roman" w:hAnsi="Times New Roman" w:cs="Times New Roman"/>
        </w:rPr>
        <w:t xml:space="preserve"> </w:t>
      </w:r>
    </w:p>
  </w:footnote>
  <w:footnote w:id="10">
    <w:p w:rsidR="006E1C24" w:rsidRDefault="006E1C24" w:rsidP="006E1C24">
      <w:pPr>
        <w:pStyle w:val="Testonotaapidipagina"/>
        <w:jc w:val="both"/>
      </w:pPr>
      <w:r>
        <w:rPr>
          <w:rStyle w:val="Rimandonotaapidipagina"/>
        </w:rPr>
        <w:footnoteRef/>
      </w:r>
      <w:r>
        <w:t xml:space="preserve"> </w:t>
      </w:r>
      <w:r w:rsidRPr="00EE6A88">
        <w:rPr>
          <w:rFonts w:ascii="InterFaceDaMa" w:hAnsi="InterFaceDaMa" w:cs="InterFaceDaMa"/>
          <w:sz w:val="18"/>
          <w:szCs w:val="18"/>
        </w:rPr>
        <w:t xml:space="preserve">L'art. 2 l. n. 109/1994 fu sottoposto a diversi interventi normativi: modificato dall'art. 2 del </w:t>
      </w:r>
      <w:proofErr w:type="spellStart"/>
      <w:r w:rsidRPr="00EE6A88">
        <w:rPr>
          <w:rFonts w:ascii="InterFaceDaMa" w:hAnsi="InterFaceDaMa" w:cs="InterFaceDaMa"/>
          <w:sz w:val="18"/>
          <w:szCs w:val="18"/>
        </w:rPr>
        <w:t>d.l.</w:t>
      </w:r>
      <w:proofErr w:type="spellEnd"/>
      <w:r w:rsidRPr="00EE6A88">
        <w:rPr>
          <w:rFonts w:ascii="InterFaceDaMa" w:hAnsi="InterFaceDaMa" w:cs="InterFaceDaMa"/>
          <w:sz w:val="18"/>
          <w:szCs w:val="18"/>
        </w:rPr>
        <w:t xml:space="preserve"> 3 aprile 1995, n. 101, sostituito dall'art. 1 della l. 18 novembre 1998, n. 415 e dall'art. 65 della l. 23 dicembre 2000, n. 388 ed infine sostituito dall'art. 7, comma 1, della l. 1° agosto 2002, n. 166.</w:t>
      </w:r>
    </w:p>
  </w:footnote>
  <w:footnote w:id="11">
    <w:p w:rsidR="006E1C24" w:rsidRPr="00773153" w:rsidRDefault="006E1C24" w:rsidP="006E1C24">
      <w:pPr>
        <w:pStyle w:val="Testonotaapidipagina"/>
        <w:jc w:val="both"/>
        <w:rPr>
          <w:rFonts w:ascii="Times New Roman" w:hAnsi="Times New Roman" w:cs="Times New Roman"/>
        </w:rPr>
      </w:pPr>
      <w:r>
        <w:rPr>
          <w:rStyle w:val="Rimandonotaapidipagina"/>
        </w:rPr>
        <w:footnoteRef/>
      </w:r>
      <w:r>
        <w:t xml:space="preserve"> </w:t>
      </w:r>
      <w:r w:rsidRPr="00773153">
        <w:rPr>
          <w:rFonts w:ascii="Times New Roman" w:hAnsi="Times New Roman" w:cs="Times New Roman"/>
        </w:rPr>
        <w:t xml:space="preserve">Si tratta della legge quadro sui lavori pubblici di seguito dall’articolo 256 del d.lgs. n. 163/2006, a sua volta abrogato dal d.lgs. n. 50/2016 (TU in materia di </w:t>
      </w:r>
      <w:r>
        <w:rPr>
          <w:rFonts w:ascii="Times New Roman" w:hAnsi="Times New Roman" w:cs="Times New Roman"/>
        </w:rPr>
        <w:t>A</w:t>
      </w:r>
      <w:r w:rsidRPr="00773153">
        <w:rPr>
          <w:rFonts w:ascii="Times New Roman" w:hAnsi="Times New Roman" w:cs="Times New Roman"/>
        </w:rPr>
        <w:t xml:space="preserve">ppalti </w:t>
      </w:r>
      <w:r>
        <w:rPr>
          <w:rFonts w:ascii="Times New Roman" w:hAnsi="Times New Roman" w:cs="Times New Roman"/>
        </w:rPr>
        <w:t>P</w:t>
      </w:r>
      <w:r w:rsidRPr="00773153">
        <w:rPr>
          <w:rFonts w:ascii="Times New Roman" w:hAnsi="Times New Roman" w:cs="Times New Roman"/>
        </w:rPr>
        <w:t>ubblici).</w:t>
      </w:r>
      <w:r>
        <w:rPr>
          <w:rFonts w:ascii="Times New Roman" w:hAnsi="Times New Roman" w:cs="Times New Roman"/>
        </w:rPr>
        <w:t xml:space="preserve"> Per un approfondimento sul tema si rinvia, tra i tanti, a G. GUZZO, “</w:t>
      </w:r>
      <w:r w:rsidRPr="00D47B82">
        <w:rPr>
          <w:rFonts w:ascii="Times New Roman" w:hAnsi="Times New Roman" w:cs="Times New Roman"/>
          <w:i/>
        </w:rPr>
        <w:t>Appalti pubblici. Disciplina, procedura e nuovi profili processuali</w:t>
      </w:r>
      <w:r>
        <w:rPr>
          <w:rFonts w:ascii="Times New Roman" w:hAnsi="Times New Roman" w:cs="Times New Roman"/>
        </w:rPr>
        <w:t xml:space="preserve">”; </w:t>
      </w:r>
      <w:proofErr w:type="spellStart"/>
      <w:r>
        <w:rPr>
          <w:rFonts w:ascii="Times New Roman" w:hAnsi="Times New Roman" w:cs="Times New Roman"/>
        </w:rPr>
        <w:t>Giuffrè</w:t>
      </w:r>
      <w:proofErr w:type="spellEnd"/>
      <w:r>
        <w:rPr>
          <w:rFonts w:ascii="Times New Roman" w:hAnsi="Times New Roman" w:cs="Times New Roman"/>
        </w:rPr>
        <w:t xml:space="preserve"> Editore (2013).</w:t>
      </w:r>
    </w:p>
  </w:footnote>
  <w:footnote w:id="12">
    <w:p w:rsidR="006E1C24" w:rsidRPr="0073691B" w:rsidRDefault="006E1C24" w:rsidP="006E1C24">
      <w:pPr>
        <w:pStyle w:val="Testonotaapidipagina"/>
        <w:jc w:val="both"/>
        <w:rPr>
          <w:rFonts w:ascii="Times New Roman" w:hAnsi="Times New Roman" w:cs="Times New Roman"/>
        </w:rPr>
      </w:pPr>
      <w:r>
        <w:rPr>
          <w:rStyle w:val="Rimandonotaapidipagina"/>
        </w:rPr>
        <w:footnoteRef/>
      </w:r>
      <w:r>
        <w:t xml:space="preserve"> </w:t>
      </w:r>
      <w:r w:rsidRPr="0073691B">
        <w:rPr>
          <w:rFonts w:ascii="Times New Roman" w:hAnsi="Times New Roman" w:cs="Times New Roman"/>
        </w:rPr>
        <w:t xml:space="preserve">L’articolo 2, comma 5, della l. n. 109/1994 così recitava:”(…) </w:t>
      </w:r>
      <w:r w:rsidRPr="0073691B">
        <w:rPr>
          <w:rFonts w:ascii="Times New Roman" w:hAnsi="Times New Roman" w:cs="Times New Roman"/>
          <w:i/>
        </w:rPr>
        <w:t>Le disposizioni della presente legge non si applicano agli interventi eseguiti direttamente dai privati a scomputo di contributi connessi ad atti abilitanti all’attività edilizia o conseguenti agli obblighi di cui al quinto comma dell’</w:t>
      </w:r>
      <w:hyperlink r:id="rId13" w:anchor="28" w:history="1">
        <w:r w:rsidRPr="0073691B">
          <w:rPr>
            <w:rStyle w:val="Collegamentoipertestuale"/>
            <w:rFonts w:ascii="Times New Roman" w:hAnsi="Times New Roman" w:cs="Times New Roman"/>
            <w:i/>
            <w:color w:val="auto"/>
            <w:u w:val="none"/>
          </w:rPr>
          <w:t>articolo 28 della legge 17 agosto 1942, n. 1150</w:t>
        </w:r>
      </w:hyperlink>
      <w:r w:rsidRPr="0073691B">
        <w:rPr>
          <w:rFonts w:ascii="Times New Roman" w:hAnsi="Times New Roman" w:cs="Times New Roman"/>
          <w:i/>
        </w:rPr>
        <w:t>, e successive modificazioni, o di quanto agli interventi assimilabile; per le singole opere d’importo superiore alla soglia comunitaria i soggetti privati sono tenuti ad affidare le stesse nel rispetto delle procedure di gara previste dalla citata direttiva 93/37/CEE</w:t>
      </w:r>
      <w:r w:rsidRPr="0073691B">
        <w:rPr>
          <w:rFonts w:ascii="Times New Roman" w:hAnsi="Times New Roman" w:cs="Times New Roman"/>
        </w:rPr>
        <w:t xml:space="preserve"> (…)”.</w:t>
      </w:r>
    </w:p>
  </w:footnote>
  <w:footnote w:id="13">
    <w:p w:rsidR="006E1C24" w:rsidRPr="00662FBE" w:rsidRDefault="006E1C24" w:rsidP="006E1C24">
      <w:pPr>
        <w:pStyle w:val="Testonotaapidipagina"/>
        <w:jc w:val="both"/>
        <w:rPr>
          <w:rFonts w:ascii="Times New Roman" w:hAnsi="Times New Roman" w:cs="Times New Roman"/>
          <w:b/>
        </w:rPr>
      </w:pPr>
      <w:r>
        <w:rPr>
          <w:rStyle w:val="Rimandonotaapidipagina"/>
        </w:rPr>
        <w:footnoteRef/>
      </w:r>
      <w:r w:rsidRPr="00662FBE">
        <w:rPr>
          <w:rFonts w:ascii="Times New Roman" w:hAnsi="Times New Roman" w:cs="Times New Roman"/>
          <w:b/>
        </w:rPr>
        <w:t xml:space="preserve">La </w:t>
      </w:r>
      <w:r w:rsidRPr="00662FBE">
        <w:rPr>
          <w:rStyle w:val="Enfasigrassetto"/>
          <w:rFonts w:ascii="Times New Roman" w:hAnsi="Times New Roman" w:cs="Times New Roman"/>
        </w:rPr>
        <w:t xml:space="preserve">Direttiva 93/37/CEE del Consiglio, del 14 giugno 1993, coordina le procedure di aggiudicazione degli appalti pubblici di lavori. Essa è stata pubblicata in </w:t>
      </w:r>
      <w:r w:rsidRPr="00662FBE">
        <w:rPr>
          <w:rStyle w:val="Enfasicorsivo"/>
          <w:rFonts w:ascii="Times New Roman" w:hAnsi="Times New Roman" w:cs="Times New Roman"/>
        </w:rPr>
        <w:t>Gazzetta ufficiale n. L 199 del 09/08/1993 pag. 0054 – 0083. Per una consultazione integrale del testo si rinvia al sito eur-lex.europa.eu.</w:t>
      </w:r>
      <w:r w:rsidRPr="00662FBE">
        <w:rPr>
          <w:rStyle w:val="Enfasicorsivo"/>
          <w:rFonts w:ascii="Times New Roman" w:hAnsi="Times New Roman" w:cs="Times New Roman"/>
          <w:b/>
        </w:rPr>
        <w:t xml:space="preserve"> </w:t>
      </w:r>
    </w:p>
  </w:footnote>
  <w:footnote w:id="14">
    <w:p w:rsidR="006E1C24" w:rsidRPr="00D47B82" w:rsidRDefault="006E1C24" w:rsidP="006E1C24">
      <w:pPr>
        <w:pStyle w:val="Testonotaapidipagina"/>
        <w:rPr>
          <w:rFonts w:ascii="Times New Roman" w:hAnsi="Times New Roman" w:cs="Times New Roman"/>
        </w:rPr>
      </w:pPr>
      <w:r>
        <w:rPr>
          <w:rStyle w:val="Rimandonotaapidipagina"/>
        </w:rPr>
        <w:footnoteRef/>
      </w:r>
      <w:r>
        <w:t xml:space="preserve"> </w:t>
      </w:r>
      <w:r w:rsidRPr="00773153">
        <w:rPr>
          <w:rFonts w:ascii="Times New Roman" w:hAnsi="Times New Roman" w:cs="Times New Roman"/>
        </w:rPr>
        <w:t>Per una consultazione integrale</w:t>
      </w:r>
      <w:r w:rsidRPr="00755F67">
        <w:rPr>
          <w:rFonts w:ascii="Times New Roman" w:hAnsi="Times New Roman" w:cs="Times New Roman"/>
        </w:rPr>
        <w:t xml:space="preserve"> del testo della sentenza si rinvia al sito eur-lex.europa.eu</w:t>
      </w:r>
      <w:r>
        <w:rPr>
          <w:rFonts w:ascii="Times New Roman" w:hAnsi="Times New Roman" w:cs="Times New Roman"/>
        </w:rPr>
        <w:t xml:space="preserve">.  </w:t>
      </w:r>
      <w:r w:rsidRPr="00755F67">
        <w:rPr>
          <w:rFonts w:ascii="Times New Roman" w:hAnsi="Times New Roman" w:cs="Times New Roman"/>
        </w:rPr>
        <w:t xml:space="preserve"> </w:t>
      </w:r>
    </w:p>
  </w:footnote>
  <w:footnote w:id="15">
    <w:p w:rsidR="006E1C24" w:rsidRPr="00662FBE" w:rsidRDefault="006E1C24" w:rsidP="006E1C24">
      <w:pPr>
        <w:pStyle w:val="Testonotaapidipagina"/>
        <w:jc w:val="both"/>
        <w:rPr>
          <w:rFonts w:ascii="Times New Roman" w:hAnsi="Times New Roman" w:cs="Times New Roman"/>
          <w:b/>
        </w:rPr>
      </w:pPr>
      <w:r>
        <w:rPr>
          <w:rStyle w:val="Rimandonotaapidipagina"/>
        </w:rPr>
        <w:footnoteRef/>
      </w:r>
      <w:r>
        <w:t xml:space="preserve"> </w:t>
      </w:r>
      <w:r w:rsidRPr="00662FBE">
        <w:rPr>
          <w:rFonts w:ascii="Times New Roman" w:hAnsi="Times New Roman" w:cs="Times New Roman"/>
          <w:b/>
        </w:rPr>
        <w:t xml:space="preserve">La </w:t>
      </w:r>
      <w:r w:rsidRPr="00662FBE">
        <w:rPr>
          <w:rStyle w:val="Enfasigrassetto"/>
          <w:rFonts w:ascii="Times New Roman" w:hAnsi="Times New Roman" w:cs="Times New Roman"/>
        </w:rPr>
        <w:t>Direttiva 2004/18/CE del Parlamento europeo e del Consiglio, del 31 marzo 2004,</w:t>
      </w:r>
      <w:r>
        <w:rPr>
          <w:rStyle w:val="Enfasigrassetto"/>
          <w:rFonts w:ascii="Times New Roman" w:hAnsi="Times New Roman" w:cs="Times New Roman"/>
        </w:rPr>
        <w:t xml:space="preserve"> disciplina i</w:t>
      </w:r>
      <w:r w:rsidRPr="00662FBE">
        <w:rPr>
          <w:rStyle w:val="Enfasigrassetto"/>
          <w:rFonts w:ascii="Times New Roman" w:hAnsi="Times New Roman" w:cs="Times New Roman"/>
        </w:rPr>
        <w:t>l coordinamento delle procedure di aggiudicazione degli appalti pubblici di lavori, di forniture e di servizi</w:t>
      </w:r>
      <w:r>
        <w:rPr>
          <w:rStyle w:val="Enfasigrassetto"/>
          <w:rFonts w:ascii="Times New Roman" w:hAnsi="Times New Roman" w:cs="Times New Roman"/>
        </w:rPr>
        <w:t xml:space="preserve">. </w:t>
      </w:r>
      <w:r w:rsidRPr="00773153">
        <w:rPr>
          <w:rFonts w:ascii="Times New Roman" w:hAnsi="Times New Roman" w:cs="Times New Roman"/>
        </w:rPr>
        <w:t>Per una consultazione integrale</w:t>
      </w:r>
      <w:r w:rsidRPr="00755F67">
        <w:rPr>
          <w:rFonts w:ascii="Times New Roman" w:hAnsi="Times New Roman" w:cs="Times New Roman"/>
        </w:rPr>
        <w:t xml:space="preserve"> del testo del</w:t>
      </w:r>
      <w:r>
        <w:rPr>
          <w:rFonts w:ascii="Times New Roman" w:hAnsi="Times New Roman" w:cs="Times New Roman"/>
        </w:rPr>
        <w:t xml:space="preserve"> testo di legge </w:t>
      </w:r>
      <w:r w:rsidRPr="00755F67">
        <w:rPr>
          <w:rFonts w:ascii="Times New Roman" w:hAnsi="Times New Roman" w:cs="Times New Roman"/>
        </w:rPr>
        <w:t>si rinvia al sito eur-lex.europa.eu</w:t>
      </w:r>
      <w:r>
        <w:rPr>
          <w:rFonts w:ascii="Times New Roman" w:hAnsi="Times New Roman" w:cs="Times New Roman"/>
        </w:rPr>
        <w:t xml:space="preserve">.  </w:t>
      </w:r>
      <w:r w:rsidRPr="00755F67">
        <w:rPr>
          <w:rFonts w:ascii="Times New Roman" w:hAnsi="Times New Roman" w:cs="Times New Roman"/>
        </w:rPr>
        <w:t xml:space="preserve"> </w:t>
      </w:r>
      <w:r>
        <w:rPr>
          <w:rStyle w:val="Enfasigrassetto"/>
          <w:rFonts w:ascii="Times New Roman" w:hAnsi="Times New Roman" w:cs="Times New Roman"/>
        </w:rPr>
        <w:t xml:space="preserve"> </w:t>
      </w:r>
    </w:p>
  </w:footnote>
  <w:footnote w:id="16">
    <w:p w:rsidR="006E1C24" w:rsidRDefault="006E1C24" w:rsidP="006E1C24">
      <w:pPr>
        <w:pStyle w:val="Testonotaapidipagina"/>
        <w:jc w:val="both"/>
      </w:pPr>
      <w:r w:rsidRPr="00D47B82">
        <w:rPr>
          <w:rStyle w:val="Rimandonotaapidipagina"/>
          <w:rFonts w:ascii="Times New Roman" w:hAnsi="Times New Roman"/>
        </w:rPr>
        <w:footnoteRef/>
      </w:r>
      <w:r w:rsidRPr="00D47B82">
        <w:rPr>
          <w:rFonts w:ascii="Times New Roman" w:hAnsi="Times New Roman" w:cs="Times New Roman"/>
        </w:rPr>
        <w:t xml:space="preserve"> Per un approfondimento sull’argomento si rinvia a</w:t>
      </w:r>
      <w:r>
        <w:rPr>
          <w:rFonts w:ascii="Times New Roman" w:hAnsi="Times New Roman" w:cs="Times New Roman"/>
        </w:rPr>
        <w:t xml:space="preserve"> G. GUZZO, “</w:t>
      </w:r>
      <w:r w:rsidRPr="00D47B82">
        <w:rPr>
          <w:rFonts w:ascii="Times New Roman" w:hAnsi="Times New Roman" w:cs="Times New Roman"/>
          <w:i/>
        </w:rPr>
        <w:t>Appalti pubblici. Disciplina, procedura e nuovi profili processuali</w:t>
      </w:r>
      <w:r>
        <w:rPr>
          <w:rFonts w:ascii="Times New Roman" w:hAnsi="Times New Roman" w:cs="Times New Roman"/>
        </w:rPr>
        <w:t xml:space="preserve">”; </w:t>
      </w:r>
      <w:proofErr w:type="spellStart"/>
      <w:r>
        <w:rPr>
          <w:rFonts w:ascii="Times New Roman" w:hAnsi="Times New Roman" w:cs="Times New Roman"/>
        </w:rPr>
        <w:t>Giuffrè</w:t>
      </w:r>
      <w:proofErr w:type="spellEnd"/>
      <w:r>
        <w:rPr>
          <w:rFonts w:ascii="Times New Roman" w:hAnsi="Times New Roman" w:cs="Times New Roman"/>
        </w:rPr>
        <w:t xml:space="preserve"> Editore (2013); </w:t>
      </w:r>
      <w:r w:rsidRPr="0073691B">
        <w:rPr>
          <w:rFonts w:ascii="Times New Roman" w:hAnsi="Times New Roman" w:cs="Times New Roman"/>
          <w:i/>
        </w:rPr>
        <w:t>cit</w:t>
      </w:r>
      <w:r>
        <w:rPr>
          <w:rFonts w:ascii="Times New Roman" w:hAnsi="Times New Roman" w:cs="Times New Roman"/>
        </w:rPr>
        <w:t>.</w:t>
      </w:r>
    </w:p>
  </w:footnote>
  <w:footnote w:id="17">
    <w:p w:rsidR="006E1C24" w:rsidRPr="0073691B" w:rsidRDefault="006E1C24" w:rsidP="006E1C24">
      <w:pPr>
        <w:pStyle w:val="Testonotaapidipagina"/>
        <w:jc w:val="both"/>
        <w:rPr>
          <w:rFonts w:ascii="Times New Roman" w:hAnsi="Times New Roman" w:cs="Times New Roman"/>
        </w:rPr>
      </w:pPr>
      <w:r>
        <w:rPr>
          <w:rStyle w:val="Rimandonotaapidipagina"/>
        </w:rPr>
        <w:footnoteRef/>
      </w:r>
      <w:r>
        <w:t xml:space="preserve"> </w:t>
      </w:r>
      <w:r w:rsidRPr="0073691B">
        <w:rPr>
          <w:rFonts w:ascii="Times New Roman" w:hAnsi="Times New Roman" w:cs="Times New Roman"/>
        </w:rPr>
        <w:t>L’articolo 57, comma 6, del d.lgs. n. 163/20016 così recitava</w:t>
      </w:r>
      <w:proofErr w:type="gramStart"/>
      <w:r w:rsidRPr="0073691B">
        <w:rPr>
          <w:rFonts w:ascii="Times New Roman" w:hAnsi="Times New Roman" w:cs="Times New Roman"/>
        </w:rPr>
        <w:t>:”(</w:t>
      </w:r>
      <w:proofErr w:type="gramEnd"/>
      <w:r w:rsidRPr="0073691B">
        <w:rPr>
          <w:rFonts w:ascii="Times New Roman" w:hAnsi="Times New Roman" w:cs="Times New Roman"/>
        </w:rPr>
        <w:t xml:space="preserve">…) </w:t>
      </w:r>
      <w:r w:rsidRPr="0073691B">
        <w:rPr>
          <w:rFonts w:ascii="Times New Roman" w:hAnsi="Times New Roman" w:cs="Times New Roman"/>
          <w:i/>
        </w:rPr>
        <w:t>Ove possibile, la stazione appaltante individua gli operatori economici da consultare sulla base di informazioni riguardanti le caratteristiche di qualificazione economico finanziaria e tecnico organizzativa desunte dal mercato, nel rispetto dei principi di trasparenza, concorrenza, rotazione, e seleziona almeno tre operatori economici, se sussistono in tale numero soggetti idonei. Gli operatori economici selezionati vengono contemporaneamente invitati a presentare le offerte oggetto della negoziazione, con lettera contenente gli elementi essenziali della prestazione richiesta. La stazione appaltante sceglie l'operatore economico che ha offerto le condizioni più vantaggiose, secondo il criterio del prezzo più basso o dell'offerta economicamente più vantaggiosa, previa verifica del possesso dei requisiti di qualificazione previsti per l'affidamento di contratti di uguale importo mediante procedura aperta, ristretta, o negoziata previo bando</w:t>
      </w:r>
      <w:r w:rsidRPr="0073691B">
        <w:rPr>
          <w:rFonts w:ascii="Times New Roman" w:hAnsi="Times New Roman" w:cs="Times New Roman"/>
        </w:rPr>
        <w:t xml:space="preserve"> (…)”. </w:t>
      </w:r>
      <w:r>
        <w:rPr>
          <w:rFonts w:ascii="Times New Roman" w:hAnsi="Times New Roman" w:cs="Times New Roman"/>
        </w:rPr>
        <w:t xml:space="preserve">Com’è noto, la disposizione è stata abrogata dall’art. 217 del d.lgs. n. 50/2017. </w:t>
      </w:r>
    </w:p>
    <w:p w:rsidR="006E1C24" w:rsidRDefault="006E1C24" w:rsidP="006E1C24">
      <w:pPr>
        <w:pStyle w:val="Testonotaapidipagina"/>
      </w:pPr>
    </w:p>
  </w:footnote>
  <w:footnote w:id="18">
    <w:p w:rsidR="006E1C24" w:rsidRPr="00D47B82" w:rsidRDefault="006E1C24" w:rsidP="006E1C24">
      <w:pPr>
        <w:pStyle w:val="Testonotaapidipagina"/>
        <w:jc w:val="both"/>
        <w:rPr>
          <w:rFonts w:ascii="Times New Roman" w:hAnsi="Times New Roman" w:cs="Times New Roman"/>
        </w:rPr>
      </w:pPr>
      <w:r>
        <w:rPr>
          <w:rStyle w:val="Rimandonotaapidipagina"/>
        </w:rPr>
        <w:footnoteRef/>
      </w:r>
      <w:r>
        <w:t xml:space="preserve"> </w:t>
      </w:r>
      <w:r w:rsidRPr="00D47B82">
        <w:rPr>
          <w:rFonts w:ascii="Times New Roman" w:hAnsi="Times New Roman" w:cs="Times New Roman"/>
        </w:rPr>
        <w:t>Si tratta del testo di legge recante</w:t>
      </w:r>
      <w:r>
        <w:t xml:space="preserve"> </w:t>
      </w:r>
      <w:r w:rsidRPr="00D47B82">
        <w:rPr>
          <w:rFonts w:ascii="Times New Roman" w:hAnsi="Times New Roman" w:cs="Times New Roman"/>
        </w:rPr>
        <w:t>“</w:t>
      </w:r>
      <w:r w:rsidRPr="00D47B82">
        <w:rPr>
          <w:rFonts w:ascii="Times New Roman" w:hAnsi="Times New Roman" w:cs="Times New Roman"/>
          <w:bCs/>
          <w:i/>
        </w:rPr>
        <w:t xml:space="preserve">Disposizioni integrative e correttive al </w:t>
      </w:r>
      <w:hyperlink r:id="rId14" w:history="1">
        <w:r w:rsidRPr="00D47B82">
          <w:rPr>
            <w:rStyle w:val="Collegamentoipertestuale"/>
            <w:rFonts w:ascii="Times New Roman" w:hAnsi="Times New Roman" w:cs="Times New Roman"/>
            <w:bCs/>
            <w:i/>
            <w:color w:val="auto"/>
            <w:u w:val="none"/>
          </w:rPr>
          <w:t>decreto legislativo 18 aprile 2016, n. 50</w:t>
        </w:r>
      </w:hyperlink>
      <w:r w:rsidRPr="00D47B82">
        <w:rPr>
          <w:rFonts w:ascii="Times New Roman" w:hAnsi="Times New Roman" w:cs="Times New Roman"/>
          <w:bCs/>
        </w:rPr>
        <w:t>”</w:t>
      </w:r>
      <w:r>
        <w:rPr>
          <w:rFonts w:ascii="Times New Roman" w:hAnsi="Times New Roman" w:cs="Times New Roman"/>
          <w:bCs/>
        </w:rPr>
        <w:t>,</w:t>
      </w:r>
      <w:r w:rsidRPr="00D47B82">
        <w:rPr>
          <w:rFonts w:ascii="Times New Roman" w:hAnsi="Times New Roman" w:cs="Times New Roman"/>
          <w:bCs/>
        </w:rPr>
        <w:t xml:space="preserve"> pubblicato sulla </w:t>
      </w:r>
      <w:r w:rsidRPr="00D47B82">
        <w:rPr>
          <w:rFonts w:ascii="Times New Roman" w:hAnsi="Times New Roman" w:cs="Times New Roman"/>
        </w:rPr>
        <w:t>G.U. n. 103 del 5 maggio 2017</w:t>
      </w:r>
      <w:r>
        <w:rPr>
          <w:rFonts w:ascii="Times New Roman" w:hAnsi="Times New Roman" w:cs="Times New Roman"/>
        </w:rPr>
        <w:t xml:space="preserve"> e resosi necessario a seguito del parere della Commissione Speciale del Consiglio di Stato del 22.3.2017</w:t>
      </w:r>
      <w:r w:rsidRPr="00D47B82">
        <w:rPr>
          <w:rFonts w:ascii="Times New Roman" w:hAnsi="Times New Roman" w:cs="Times New Roman"/>
        </w:rPr>
        <w:t>.</w:t>
      </w:r>
      <w:r>
        <w:rPr>
          <w:rFonts w:ascii="Times New Roman" w:hAnsi="Times New Roman" w:cs="Times New Roman"/>
        </w:rPr>
        <w:t xml:space="preserve"> Per una consultazione integrale del testo si rinvia alla Rivista </w:t>
      </w:r>
      <w:hyperlink r:id="rId15" w:history="1">
        <w:r w:rsidRPr="000850FB">
          <w:rPr>
            <w:rStyle w:val="Collegamentoipertestuale"/>
            <w:rFonts w:ascii="Times New Roman" w:hAnsi="Times New Roman" w:cs="Times New Roman"/>
          </w:rPr>
          <w:t>www.lexitalia.it</w:t>
        </w:r>
      </w:hyperlink>
      <w:r>
        <w:rPr>
          <w:rFonts w:ascii="Times New Roman" w:hAnsi="Times New Roman" w:cs="Times New Roman"/>
        </w:rPr>
        <w:t>, n. 5/2017.</w:t>
      </w:r>
    </w:p>
  </w:footnote>
  <w:footnote w:id="19">
    <w:p w:rsidR="006E1C24" w:rsidRPr="00830793" w:rsidRDefault="006E1C24" w:rsidP="006E1C24">
      <w:pPr>
        <w:pStyle w:val="Testonotaapidipagina"/>
        <w:rPr>
          <w:rFonts w:ascii="Times New Roman" w:hAnsi="Times New Roman" w:cs="Times New Roman"/>
        </w:rPr>
      </w:pPr>
      <w:r>
        <w:rPr>
          <w:rStyle w:val="Rimandonotaapidipagina"/>
        </w:rPr>
        <w:footnoteRef/>
      </w:r>
      <w:r>
        <w:t xml:space="preserve"> </w:t>
      </w:r>
      <w:r w:rsidRPr="00830793">
        <w:rPr>
          <w:rFonts w:ascii="Times New Roman" w:hAnsi="Times New Roman" w:cs="Times New Roman"/>
        </w:rPr>
        <w:t>Si confronti la determinazione dell’Autorità vigilanza lavori pubblici (AVPC) 2 aprile 2008, n. 4.</w:t>
      </w:r>
    </w:p>
  </w:footnote>
  <w:footnote w:id="20">
    <w:p w:rsidR="006E1C24" w:rsidRPr="00865D52" w:rsidRDefault="006E1C24" w:rsidP="006E1C24">
      <w:pPr>
        <w:pStyle w:val="Testonotaapidipagina"/>
        <w:jc w:val="both"/>
        <w:rPr>
          <w:rFonts w:ascii="Times New Roman" w:hAnsi="Times New Roman" w:cs="Times New Roman"/>
        </w:rPr>
      </w:pPr>
      <w:r>
        <w:rPr>
          <w:rStyle w:val="Rimandonotaapidipagina"/>
        </w:rPr>
        <w:footnoteRef/>
      </w:r>
      <w:r>
        <w:t xml:space="preserve"> </w:t>
      </w:r>
      <w:r w:rsidRPr="00865D52">
        <w:rPr>
          <w:rFonts w:ascii="Times New Roman" w:hAnsi="Times New Roman" w:cs="Times New Roman"/>
        </w:rPr>
        <w:t xml:space="preserve">Si tratta del testo di legge recante “Norme per l’edilizia residenziale”. Per una consultazione integrale del testo si rinvia al sito istituzionale </w:t>
      </w:r>
      <w:hyperlink r:id="rId16" w:history="1">
        <w:r w:rsidRPr="00865D52">
          <w:rPr>
            <w:rStyle w:val="Collegamentoipertestuale"/>
            <w:rFonts w:ascii="Times New Roman" w:hAnsi="Times New Roman" w:cs="Times New Roman"/>
          </w:rPr>
          <w:t>www.parlamento.it</w:t>
        </w:r>
      </w:hyperlink>
      <w:r w:rsidRPr="00865D52">
        <w:rPr>
          <w:rFonts w:ascii="Times New Roman" w:hAnsi="Times New Roman" w:cs="Times New Roman"/>
        </w:rPr>
        <w:t xml:space="preserve">. Per un approfondimento </w:t>
      </w:r>
      <w:r>
        <w:rPr>
          <w:rFonts w:ascii="Times New Roman" w:hAnsi="Times New Roman" w:cs="Times New Roman"/>
        </w:rPr>
        <w:t>sugli interventi edilizi previsti dal</w:t>
      </w:r>
      <w:r w:rsidRPr="00865D52">
        <w:rPr>
          <w:rFonts w:ascii="Times New Roman" w:hAnsi="Times New Roman" w:cs="Times New Roman"/>
        </w:rPr>
        <w:t xml:space="preserve"> testo</w:t>
      </w:r>
      <w:r>
        <w:rPr>
          <w:rFonts w:ascii="Times New Roman" w:hAnsi="Times New Roman" w:cs="Times New Roman"/>
        </w:rPr>
        <w:t xml:space="preserve"> di legge</w:t>
      </w:r>
      <w:r w:rsidRPr="00865D52">
        <w:rPr>
          <w:rFonts w:ascii="Times New Roman" w:hAnsi="Times New Roman" w:cs="Times New Roman"/>
        </w:rPr>
        <w:t xml:space="preserve"> si rinvia a G. GUZZO</w:t>
      </w:r>
      <w:r>
        <w:rPr>
          <w:rFonts w:ascii="Times New Roman" w:hAnsi="Times New Roman" w:cs="Times New Roman"/>
        </w:rPr>
        <w:t xml:space="preserve"> -</w:t>
      </w:r>
      <w:r w:rsidRPr="00865D52">
        <w:rPr>
          <w:rFonts w:ascii="Times New Roman" w:hAnsi="Times New Roman" w:cs="Times New Roman"/>
        </w:rPr>
        <w:t xml:space="preserve"> GM PALLIGGIANO, “</w:t>
      </w:r>
      <w:r w:rsidRPr="00865D52">
        <w:rPr>
          <w:rFonts w:ascii="Times New Roman" w:hAnsi="Times New Roman" w:cs="Times New Roman"/>
          <w:i/>
        </w:rPr>
        <w:t>L’attività edilizia. Titoli, procedure, sanzioni e tutela</w:t>
      </w:r>
      <w:r w:rsidRPr="00865D52">
        <w:rPr>
          <w:rFonts w:ascii="Times New Roman" w:hAnsi="Times New Roman" w:cs="Times New Roman"/>
        </w:rPr>
        <w:t xml:space="preserve">”; </w:t>
      </w:r>
      <w:proofErr w:type="spellStart"/>
      <w:r w:rsidRPr="00865D52">
        <w:rPr>
          <w:rFonts w:ascii="Times New Roman" w:hAnsi="Times New Roman" w:cs="Times New Roman"/>
        </w:rPr>
        <w:t>Giuffrè</w:t>
      </w:r>
      <w:proofErr w:type="spellEnd"/>
      <w:r w:rsidRPr="00865D52">
        <w:rPr>
          <w:rFonts w:ascii="Times New Roman" w:hAnsi="Times New Roman" w:cs="Times New Roman"/>
        </w:rPr>
        <w:t xml:space="preserve"> Editore; </w:t>
      </w:r>
      <w:r w:rsidRPr="00865D52">
        <w:rPr>
          <w:rFonts w:ascii="Times New Roman" w:hAnsi="Times New Roman" w:cs="Times New Roman"/>
          <w:i/>
        </w:rPr>
        <w:t>cit</w:t>
      </w:r>
      <w:r w:rsidRPr="00865D52">
        <w:rPr>
          <w:rFonts w:ascii="Times New Roman" w:hAnsi="Times New Roman" w:cs="Times New Roman"/>
        </w:rPr>
        <w:t>.</w:t>
      </w:r>
    </w:p>
  </w:footnote>
  <w:footnote w:id="21">
    <w:p w:rsidR="006E1C24" w:rsidRPr="00541352" w:rsidRDefault="006E1C24" w:rsidP="006E1C24">
      <w:pPr>
        <w:pStyle w:val="Testonotaapidipagina"/>
        <w:jc w:val="both"/>
        <w:rPr>
          <w:rFonts w:ascii="Times New Roman" w:hAnsi="Times New Roman" w:cs="Times New Roman"/>
        </w:rPr>
      </w:pPr>
      <w:r>
        <w:rPr>
          <w:rStyle w:val="Rimandonotaapidipagina"/>
        </w:rPr>
        <w:footnoteRef/>
      </w:r>
      <w:r>
        <w:t xml:space="preserve"> </w:t>
      </w:r>
      <w:r w:rsidRPr="00541352">
        <w:rPr>
          <w:rFonts w:ascii="Times New Roman" w:hAnsi="Times New Roman" w:cs="Times New Roman"/>
        </w:rPr>
        <w:t xml:space="preserve">T.A.R. Campania, Salerno, </w:t>
      </w:r>
      <w:r>
        <w:rPr>
          <w:rFonts w:ascii="Times New Roman" w:hAnsi="Times New Roman" w:cs="Times New Roman"/>
        </w:rPr>
        <w:t>S</w:t>
      </w:r>
      <w:r w:rsidRPr="00541352">
        <w:rPr>
          <w:rFonts w:ascii="Times New Roman" w:hAnsi="Times New Roman" w:cs="Times New Roman"/>
        </w:rPr>
        <w:t xml:space="preserve">ez. II, </w:t>
      </w:r>
      <w:r>
        <w:rPr>
          <w:rFonts w:ascii="Times New Roman" w:hAnsi="Times New Roman" w:cs="Times New Roman"/>
        </w:rPr>
        <w:t xml:space="preserve">sentenza del </w:t>
      </w:r>
      <w:r w:rsidRPr="00541352">
        <w:rPr>
          <w:rFonts w:ascii="Times New Roman" w:hAnsi="Times New Roman" w:cs="Times New Roman"/>
        </w:rPr>
        <w:t xml:space="preserve">20 dicembre 2010, n. 13736. </w:t>
      </w:r>
      <w:r>
        <w:rPr>
          <w:rFonts w:ascii="Times New Roman" w:hAnsi="Times New Roman" w:cs="Times New Roman"/>
        </w:rPr>
        <w:t xml:space="preserve"> Per una consultazione integrale del testo della sentenza si rinvia a </w:t>
      </w:r>
      <w:hyperlink r:id="rId17" w:history="1">
        <w:r w:rsidRPr="000850FB">
          <w:rPr>
            <w:rStyle w:val="Collegamentoipertestuale"/>
            <w:rFonts w:ascii="Times New Roman" w:hAnsi="Times New Roman" w:cs="Times New Roman"/>
          </w:rPr>
          <w:t>www.giustizia-amministrativa.it</w:t>
        </w:r>
      </w:hyperlink>
      <w:r>
        <w:rPr>
          <w:rFonts w:ascii="Times New Roman" w:hAnsi="Times New Roman" w:cs="Times New Roman"/>
        </w:rPr>
        <w:t xml:space="preserve"> </w:t>
      </w:r>
    </w:p>
  </w:footnote>
  <w:footnote w:id="22">
    <w:p w:rsidR="006E1C24" w:rsidRPr="00445846" w:rsidRDefault="006E1C24" w:rsidP="006E1C24">
      <w:pPr>
        <w:pStyle w:val="Testonotaapidipagina"/>
        <w:rPr>
          <w:rFonts w:ascii="Times New Roman" w:hAnsi="Times New Roman" w:cs="Times New Roman"/>
        </w:rPr>
      </w:pPr>
      <w:r>
        <w:rPr>
          <w:rStyle w:val="Rimandonotaapidipagina"/>
        </w:rPr>
        <w:footnoteRef/>
      </w:r>
      <w:r>
        <w:t xml:space="preserve"> </w:t>
      </w:r>
      <w:r w:rsidRPr="00541352">
        <w:rPr>
          <w:rFonts w:ascii="Times New Roman" w:hAnsi="Times New Roman" w:cs="Times New Roman"/>
        </w:rPr>
        <w:t xml:space="preserve">C.G.A. Sicilia, </w:t>
      </w:r>
      <w:r>
        <w:rPr>
          <w:rFonts w:ascii="Times New Roman" w:hAnsi="Times New Roman" w:cs="Times New Roman"/>
        </w:rPr>
        <w:t>S</w:t>
      </w:r>
      <w:r w:rsidRPr="00541352">
        <w:rPr>
          <w:rFonts w:ascii="Times New Roman" w:hAnsi="Times New Roman" w:cs="Times New Roman"/>
        </w:rPr>
        <w:t xml:space="preserve">ez. </w:t>
      </w:r>
      <w:proofErr w:type="gramStart"/>
      <w:r>
        <w:rPr>
          <w:rFonts w:ascii="Times New Roman" w:hAnsi="Times New Roman" w:cs="Times New Roman"/>
        </w:rPr>
        <w:t>G</w:t>
      </w:r>
      <w:r w:rsidRPr="00541352">
        <w:rPr>
          <w:rFonts w:ascii="Times New Roman" w:hAnsi="Times New Roman" w:cs="Times New Roman"/>
        </w:rPr>
        <w:t>iur.,</w:t>
      </w:r>
      <w:proofErr w:type="gramEnd"/>
      <w:r>
        <w:rPr>
          <w:rFonts w:ascii="Times New Roman" w:hAnsi="Times New Roman" w:cs="Times New Roman"/>
        </w:rPr>
        <w:t xml:space="preserve"> sentenza del</w:t>
      </w:r>
      <w:r w:rsidRPr="00541352">
        <w:rPr>
          <w:rFonts w:ascii="Times New Roman" w:hAnsi="Times New Roman" w:cs="Times New Roman"/>
        </w:rPr>
        <w:t xml:space="preserve"> 18 aprile 2006, n. 159.</w:t>
      </w:r>
      <w:r w:rsidRPr="00445846">
        <w:rPr>
          <w:rFonts w:ascii="Times New Roman" w:hAnsi="Times New Roman" w:cs="Times New Roman"/>
        </w:rPr>
        <w:t xml:space="preserve"> </w:t>
      </w:r>
      <w:r>
        <w:rPr>
          <w:rFonts w:ascii="Times New Roman" w:hAnsi="Times New Roman" w:cs="Times New Roman"/>
        </w:rPr>
        <w:t xml:space="preserve">Per una consultazione integrale del testo della sentenza si rinvia a </w:t>
      </w:r>
      <w:hyperlink r:id="rId18" w:history="1">
        <w:proofErr w:type="gramStart"/>
        <w:r w:rsidRPr="000850FB">
          <w:rPr>
            <w:rStyle w:val="Collegamentoipertestuale"/>
            <w:rFonts w:ascii="Times New Roman" w:hAnsi="Times New Roman" w:cs="Times New Roman"/>
          </w:rPr>
          <w:t>www.giustizia-amministrativa.it</w:t>
        </w:r>
      </w:hyperlink>
      <w:r>
        <w:rPr>
          <w:rFonts w:ascii="Times New Roman" w:hAnsi="Times New Roman" w:cs="Times New Roman"/>
        </w:rPr>
        <w:t xml:space="preserve">.  </w:t>
      </w:r>
      <w:proofErr w:type="gramEnd"/>
      <w:r w:rsidR="00720F84" w:rsidRPr="00541352">
        <w:rPr>
          <w:rFonts w:ascii="Times New Roman" w:hAnsi="Times New Roman" w:cs="Times New Roman"/>
        </w:rPr>
        <w:fldChar w:fldCharType="begin"/>
      </w:r>
      <w:r w:rsidRPr="00541352">
        <w:rPr>
          <w:rFonts w:ascii="Times New Roman" w:hAnsi="Times New Roman" w:cs="Times New Roman"/>
        </w:rPr>
        <w:instrText>&lt;/para&gt;&lt;/nota&gt;</w:instrText>
      </w:r>
      <w:r w:rsidR="00720F84" w:rsidRPr="00541352">
        <w:rPr>
          <w:rFonts w:ascii="Times New Roman" w:hAnsi="Times New Roman" w:cs="Times New Roman"/>
        </w:rPr>
        <w:fldChar w:fldCharType="end"/>
      </w:r>
    </w:p>
  </w:footnote>
  <w:footnote w:id="23">
    <w:p w:rsidR="006E1C24" w:rsidRPr="00865D52" w:rsidRDefault="006E1C24" w:rsidP="006E1C24">
      <w:pPr>
        <w:pStyle w:val="Testonotaapidipagina"/>
        <w:jc w:val="both"/>
        <w:rPr>
          <w:rFonts w:ascii="Times New Roman" w:hAnsi="Times New Roman" w:cs="Times New Roman"/>
        </w:rPr>
      </w:pPr>
      <w:r>
        <w:rPr>
          <w:rStyle w:val="Rimandonotaapidipagina"/>
        </w:rPr>
        <w:footnoteRef/>
      </w:r>
      <w:r w:rsidRPr="00865D52">
        <w:rPr>
          <w:rFonts w:ascii="Times New Roman" w:hAnsi="Times New Roman" w:cs="Times New Roman"/>
        </w:rPr>
        <w:t xml:space="preserve">Per un approfondimento </w:t>
      </w:r>
      <w:r>
        <w:rPr>
          <w:rFonts w:ascii="Times New Roman" w:hAnsi="Times New Roman" w:cs="Times New Roman"/>
        </w:rPr>
        <w:t xml:space="preserve">sul tema </w:t>
      </w:r>
      <w:r w:rsidRPr="00865D52">
        <w:rPr>
          <w:rFonts w:ascii="Times New Roman" w:hAnsi="Times New Roman" w:cs="Times New Roman"/>
        </w:rPr>
        <w:t>si rinvia a G. GUZZO</w:t>
      </w:r>
      <w:r>
        <w:rPr>
          <w:rFonts w:ascii="Times New Roman" w:hAnsi="Times New Roman" w:cs="Times New Roman"/>
        </w:rPr>
        <w:t xml:space="preserve"> –</w:t>
      </w:r>
      <w:r w:rsidRPr="00865D52">
        <w:rPr>
          <w:rFonts w:ascii="Times New Roman" w:hAnsi="Times New Roman" w:cs="Times New Roman"/>
        </w:rPr>
        <w:t xml:space="preserve"> GM</w:t>
      </w:r>
      <w:r>
        <w:rPr>
          <w:rFonts w:ascii="Times New Roman" w:hAnsi="Times New Roman" w:cs="Times New Roman"/>
        </w:rPr>
        <w:t>.</w:t>
      </w:r>
      <w:r w:rsidRPr="00865D52">
        <w:rPr>
          <w:rFonts w:ascii="Times New Roman" w:hAnsi="Times New Roman" w:cs="Times New Roman"/>
        </w:rPr>
        <w:t xml:space="preserve"> PALLIGGIANO, “</w:t>
      </w:r>
      <w:r w:rsidRPr="00865D52">
        <w:rPr>
          <w:rFonts w:ascii="Times New Roman" w:hAnsi="Times New Roman" w:cs="Times New Roman"/>
          <w:i/>
        </w:rPr>
        <w:t>L’attività edilizia. Titoli, procedure, sanzioni e tutela</w:t>
      </w:r>
      <w:r w:rsidRPr="00865D52">
        <w:rPr>
          <w:rFonts w:ascii="Times New Roman" w:hAnsi="Times New Roman" w:cs="Times New Roman"/>
        </w:rPr>
        <w:t xml:space="preserve">”; </w:t>
      </w:r>
      <w:proofErr w:type="spellStart"/>
      <w:r w:rsidRPr="00865D52">
        <w:rPr>
          <w:rFonts w:ascii="Times New Roman" w:hAnsi="Times New Roman" w:cs="Times New Roman"/>
        </w:rPr>
        <w:t>Giuffrè</w:t>
      </w:r>
      <w:proofErr w:type="spellEnd"/>
      <w:r w:rsidRPr="00865D52">
        <w:rPr>
          <w:rFonts w:ascii="Times New Roman" w:hAnsi="Times New Roman" w:cs="Times New Roman"/>
        </w:rPr>
        <w:t xml:space="preserve"> Editore; </w:t>
      </w:r>
      <w:r w:rsidRPr="00865D52">
        <w:rPr>
          <w:rFonts w:ascii="Times New Roman" w:hAnsi="Times New Roman" w:cs="Times New Roman"/>
          <w:i/>
        </w:rPr>
        <w:t>cit</w:t>
      </w:r>
      <w:r w:rsidRPr="00865D52">
        <w:rPr>
          <w:rFonts w:ascii="Times New Roman" w:hAnsi="Times New Roman" w:cs="Times New Roman"/>
        </w:rPr>
        <w:t>.</w:t>
      </w:r>
    </w:p>
    <w:p w:rsidR="006E1C24" w:rsidRDefault="006E1C24" w:rsidP="006E1C24">
      <w:pPr>
        <w:pStyle w:val="Testonotaapidipagina"/>
      </w:pPr>
    </w:p>
  </w:footnote>
  <w:footnote w:id="24">
    <w:p w:rsidR="00843D77" w:rsidRPr="00AE1888" w:rsidRDefault="00843D77" w:rsidP="00833681">
      <w:pPr>
        <w:pStyle w:val="Testonotaapidipagina"/>
        <w:jc w:val="both"/>
        <w:rPr>
          <w:rFonts w:ascii="Times New Roman" w:hAnsi="Times New Roman" w:cs="Times New Roman"/>
        </w:rPr>
      </w:pPr>
      <w:r>
        <w:rPr>
          <w:rStyle w:val="Rimandonotaapidipagina"/>
        </w:rPr>
        <w:footnoteRef/>
      </w:r>
      <w:r>
        <w:t xml:space="preserve"> </w:t>
      </w:r>
      <w:r w:rsidRPr="00AE1888">
        <w:rPr>
          <w:rFonts w:ascii="Times New Roman" w:hAnsi="Times New Roman" w:cs="Times New Roman"/>
        </w:rPr>
        <w:t xml:space="preserve">V. </w:t>
      </w:r>
      <w:proofErr w:type="spellStart"/>
      <w:r w:rsidRPr="00AE1888">
        <w:rPr>
          <w:rFonts w:ascii="Times New Roman" w:hAnsi="Times New Roman" w:cs="Times New Roman"/>
        </w:rPr>
        <w:t>Lexitalia</w:t>
      </w:r>
      <w:proofErr w:type="spellEnd"/>
      <w:r w:rsidRPr="00AE1888">
        <w:rPr>
          <w:rFonts w:ascii="Times New Roman" w:hAnsi="Times New Roman" w:cs="Times New Roman"/>
        </w:rPr>
        <w:t>, Rivista di diritto pubblico, 6 novembre 2017, “</w:t>
      </w:r>
      <w:r w:rsidRPr="00AE1888">
        <w:rPr>
          <w:rFonts w:ascii="Times New Roman" w:hAnsi="Times New Roman" w:cs="Times New Roman"/>
          <w:i/>
        </w:rPr>
        <w:t>Concessioni demaniali e disciplina edilizia: sistemi convergenti o insanabile distonia?</w:t>
      </w:r>
      <w:r w:rsidRPr="00AE1888">
        <w:rPr>
          <w:rFonts w:ascii="Times New Roman" w:hAnsi="Times New Roman" w:cs="Times New Roman"/>
        </w:rPr>
        <w:t xml:space="preserve">”, G. GUZZO e M. LUCHETTI, </w:t>
      </w:r>
      <w:hyperlink r:id="rId19" w:history="1">
        <w:r w:rsidRPr="00AE1888">
          <w:rPr>
            <w:rStyle w:val="Collegamentoipertestuale"/>
            <w:rFonts w:ascii="Times New Roman" w:hAnsi="Times New Roman" w:cs="Times New Roman"/>
          </w:rPr>
          <w:t>www.lexitalia.it</w:t>
        </w:r>
      </w:hyperlink>
      <w:r w:rsidRPr="00AE1888">
        <w:rPr>
          <w:rFonts w:ascii="Times New Roman" w:hAnsi="Times New Roman" w:cs="Times New Roman"/>
        </w:rPr>
        <w:t>.</w:t>
      </w:r>
    </w:p>
  </w:footnote>
  <w:footnote w:id="25">
    <w:p w:rsidR="00843D77" w:rsidRPr="00AE1888" w:rsidRDefault="00843D77" w:rsidP="00833681">
      <w:pPr>
        <w:pStyle w:val="Testonotaapidipagina"/>
        <w:jc w:val="both"/>
        <w:rPr>
          <w:rFonts w:ascii="Times New Roman" w:hAnsi="Times New Roman" w:cs="Times New Roman"/>
        </w:rPr>
      </w:pPr>
      <w:r w:rsidRPr="00AE1888">
        <w:rPr>
          <w:rStyle w:val="Rimandonotaapidipagina"/>
          <w:rFonts w:ascii="Times New Roman" w:hAnsi="Times New Roman"/>
        </w:rPr>
        <w:footnoteRef/>
      </w:r>
      <w:r w:rsidRPr="00AE1888">
        <w:rPr>
          <w:rFonts w:ascii="Times New Roman" w:hAnsi="Times New Roman" w:cs="Times New Roman"/>
        </w:rPr>
        <w:t xml:space="preserve"> Il Decreto Legislativo</w:t>
      </w:r>
      <w:r>
        <w:rPr>
          <w:rFonts w:ascii="Times New Roman" w:hAnsi="Times New Roman" w:cs="Times New Roman"/>
        </w:rPr>
        <w:t xml:space="preserve"> 25 novembre 2016 n. 222 “</w:t>
      </w:r>
      <w:r w:rsidRPr="00833681">
        <w:rPr>
          <w:rFonts w:ascii="Times New Roman" w:hAnsi="Times New Roman" w:cs="Times New Roman"/>
          <w:i/>
        </w:rPr>
        <w:t>Individuazione dei procedimenti oggetto di autorizzazione, segnalazione certificata di inizio attività (SCIA), silenzio assenso e comunicazione di definizione dei regimi amministrativi applicabili a determinate attività e procedimenti, ai sensi dell’articolo 5 della legge 7 agosto 2015 n. 124</w:t>
      </w:r>
      <w:r>
        <w:rPr>
          <w:rFonts w:ascii="Times New Roman" w:hAnsi="Times New Roman" w:cs="Times New Roman"/>
        </w:rPr>
        <w:t xml:space="preserve">”, segnatamente l’art. 3, ha apportato modifiche al Capo III del decreto del Presidente della Repubblica 6 giugno 2001 n. 380 </w:t>
      </w:r>
      <w:proofErr w:type="spellStart"/>
      <w:r>
        <w:rPr>
          <w:rFonts w:ascii="Times New Roman" w:hAnsi="Times New Roman" w:cs="Times New Roman"/>
        </w:rPr>
        <w:t>ridenominato</w:t>
      </w:r>
      <w:proofErr w:type="spellEnd"/>
      <w:r>
        <w:rPr>
          <w:rFonts w:ascii="Times New Roman" w:hAnsi="Times New Roman" w:cs="Times New Roman"/>
        </w:rPr>
        <w:t xml:space="preserve"> “</w:t>
      </w:r>
      <w:r w:rsidRPr="00833681">
        <w:rPr>
          <w:rFonts w:ascii="Times New Roman" w:hAnsi="Times New Roman" w:cs="Times New Roman"/>
          <w:i/>
        </w:rPr>
        <w:t>Segnalazione certificata di inizio attività</w:t>
      </w:r>
      <w:r>
        <w:rPr>
          <w:rFonts w:ascii="Times New Roman" w:hAnsi="Times New Roman" w:cs="Times New Roman"/>
        </w:rPr>
        <w:t>” ed ha previsto, secondo l’allegata Tabella A, al punto 4 per le “</w:t>
      </w:r>
      <w:r w:rsidRPr="00833681">
        <w:rPr>
          <w:rFonts w:ascii="Times New Roman" w:hAnsi="Times New Roman" w:cs="Times New Roman"/>
          <w:i/>
        </w:rPr>
        <w:t>Strutture ricettive e stabilimenti balneari</w:t>
      </w:r>
      <w:r>
        <w:rPr>
          <w:rFonts w:ascii="Times New Roman" w:hAnsi="Times New Roman" w:cs="Times New Roman"/>
        </w:rPr>
        <w:t xml:space="preserve">” il regime amministrativo della SCIA, previa concessione demaniale, per l’avvio dell’attività dello stabilimento balneare; se l’attività contempla anche la somministrazione di civi e bevande, l’avvio è subordinato alla SCIA unica, sempre previa concessione demaniale.  </w:t>
      </w:r>
      <w:r w:rsidRPr="00AE1888">
        <w:rPr>
          <w:rFonts w:ascii="Times New Roman" w:hAnsi="Times New Roman" w:cs="Times New Roman"/>
        </w:rPr>
        <w:t xml:space="preserve"> </w:t>
      </w:r>
    </w:p>
  </w:footnote>
  <w:footnote w:id="26">
    <w:p w:rsidR="001D1E8D" w:rsidRDefault="001D1E8D">
      <w:pPr>
        <w:pStyle w:val="Testonotaapidipagina"/>
      </w:pPr>
      <w:r>
        <w:rPr>
          <w:rStyle w:val="Rimandonotaapidipagina"/>
        </w:rPr>
        <w:footnoteRef/>
      </w:r>
      <w:r>
        <w:t xml:space="preserve"> </w:t>
      </w:r>
      <w:r w:rsidRPr="001D1E8D">
        <w:rPr>
          <w:rFonts w:ascii="Times New Roman" w:hAnsi="Times New Roman" w:cs="Times New Roman"/>
        </w:rPr>
        <w:t xml:space="preserve">Per una consultazione integrale del testo della sentenza si rinvia al sito istituzionale </w:t>
      </w:r>
      <w:hyperlink r:id="rId20" w:history="1">
        <w:r w:rsidRPr="001D1E8D">
          <w:rPr>
            <w:rStyle w:val="Collegamentoipertestuale"/>
            <w:rFonts w:ascii="Times New Roman" w:hAnsi="Times New Roman" w:cs="Times New Roman"/>
          </w:rPr>
          <w:t>www.giustizia-amministrativa.it</w:t>
        </w:r>
      </w:hyperlink>
      <w:r>
        <w:rPr>
          <w:rFonts w:ascii="Times New Roman" w:hAnsi="Times New Roman" w:cs="Times New Roman"/>
        </w:rPr>
        <w:t>.</w:t>
      </w:r>
      <w:r>
        <w:t xml:space="preserve"> </w:t>
      </w:r>
    </w:p>
  </w:footnote>
  <w:footnote w:id="27">
    <w:p w:rsidR="00843D77" w:rsidRPr="00475006" w:rsidRDefault="00843D77" w:rsidP="00475006">
      <w:pPr>
        <w:pStyle w:val="Testonotaapidipagina"/>
        <w:jc w:val="both"/>
        <w:rPr>
          <w:rFonts w:ascii="Times New Roman" w:hAnsi="Times New Roman" w:cs="Times New Roman"/>
        </w:rPr>
      </w:pPr>
      <w:r>
        <w:rPr>
          <w:rStyle w:val="Rimandonotaapidipagina"/>
        </w:rPr>
        <w:footnoteRef/>
      </w:r>
      <w:r>
        <w:t xml:space="preserve"> </w:t>
      </w:r>
      <w:r w:rsidRPr="00475006">
        <w:rPr>
          <w:rFonts w:ascii="Times New Roman" w:hAnsi="Times New Roman" w:cs="Times New Roman"/>
        </w:rPr>
        <w:t>Secondo</w:t>
      </w:r>
      <w:r>
        <w:rPr>
          <w:rFonts w:ascii="Times New Roman" w:hAnsi="Times New Roman" w:cs="Times New Roman"/>
        </w:rPr>
        <w:t xml:space="preserve"> il </w:t>
      </w:r>
      <w:r w:rsidRPr="00475006">
        <w:rPr>
          <w:rFonts w:ascii="Times New Roman" w:hAnsi="Times New Roman" w:cs="Times New Roman"/>
        </w:rPr>
        <w:t xml:space="preserve">Parere </w:t>
      </w:r>
      <w:r>
        <w:rPr>
          <w:rFonts w:ascii="Times New Roman" w:hAnsi="Times New Roman" w:cs="Times New Roman"/>
        </w:rPr>
        <w:t xml:space="preserve">della </w:t>
      </w:r>
      <w:r w:rsidRPr="00475006">
        <w:rPr>
          <w:rFonts w:ascii="Times New Roman" w:hAnsi="Times New Roman" w:cs="Times New Roman"/>
        </w:rPr>
        <w:t>Corte d</w:t>
      </w:r>
      <w:r>
        <w:rPr>
          <w:rFonts w:ascii="Times New Roman" w:hAnsi="Times New Roman" w:cs="Times New Roman"/>
        </w:rPr>
        <w:t>ei</w:t>
      </w:r>
      <w:r w:rsidRPr="00475006">
        <w:rPr>
          <w:rFonts w:ascii="Times New Roman" w:hAnsi="Times New Roman" w:cs="Times New Roman"/>
        </w:rPr>
        <w:t xml:space="preserve"> Conti sezione regionale per la Sardegna n. 12/08</w:t>
      </w:r>
      <w:r>
        <w:rPr>
          <w:rFonts w:ascii="Times New Roman" w:hAnsi="Times New Roman" w:cs="Times New Roman"/>
        </w:rPr>
        <w:t xml:space="preserve">, sulla natura giuridica del contributo di costruzione, è scritto </w:t>
      </w:r>
      <w:r w:rsidRPr="00475006">
        <w:rPr>
          <w:rFonts w:ascii="Times New Roman" w:hAnsi="Times New Roman" w:cs="Times New Roman"/>
          <w:i/>
        </w:rPr>
        <w:t>“…non siamo dinanzi ad un tributo, neanche a seguito della Finanziaria 2008, ma ad una obbligazione contributiva (</w:t>
      </w:r>
      <w:proofErr w:type="spellStart"/>
      <w:r w:rsidRPr="00475006">
        <w:rPr>
          <w:rFonts w:ascii="Times New Roman" w:hAnsi="Times New Roman" w:cs="Times New Roman"/>
          <w:i/>
        </w:rPr>
        <w:t>Cons</w:t>
      </w:r>
      <w:proofErr w:type="spellEnd"/>
      <w:r w:rsidRPr="00475006">
        <w:rPr>
          <w:rFonts w:ascii="Times New Roman" w:hAnsi="Times New Roman" w:cs="Times New Roman"/>
          <w:i/>
        </w:rPr>
        <w:t>. Stato sez. V sentenza n. 1513 del 21 ottobre 1998) di diritto pubblico collegata all’emanazione da parte del comune del titolo edilizio… si tratta di un corrispettivo di natura non tributaria posto a carico del costruttore a titolo di partecipazione ai costi delle opere di urbanizzazione in proporzione all’insieme dei benefici che la nuova costruzione consegue…</w:t>
      </w:r>
      <w:r>
        <w:rPr>
          <w:rFonts w:ascii="Times New Roman" w:hAnsi="Times New Roman" w:cs="Times New Roman"/>
        </w:rPr>
        <w:t>”.</w:t>
      </w:r>
    </w:p>
  </w:footnote>
  <w:footnote w:id="28">
    <w:p w:rsidR="00843D77" w:rsidRPr="006554B4" w:rsidRDefault="00843D77" w:rsidP="00475006">
      <w:pPr>
        <w:pStyle w:val="Testonotaapidipagina"/>
        <w:jc w:val="both"/>
        <w:rPr>
          <w:rFonts w:ascii="Times New Roman" w:hAnsi="Times New Roman" w:cs="Times New Roman"/>
        </w:rPr>
      </w:pPr>
      <w:r w:rsidRPr="006554B4">
        <w:rPr>
          <w:rStyle w:val="Rimandonotaapidipagina"/>
          <w:rFonts w:ascii="Times New Roman" w:hAnsi="Times New Roman"/>
        </w:rPr>
        <w:footnoteRef/>
      </w:r>
      <w:r w:rsidRPr="006554B4">
        <w:rPr>
          <w:rFonts w:ascii="Times New Roman" w:hAnsi="Times New Roman" w:cs="Times New Roman"/>
        </w:rPr>
        <w:t xml:space="preserve"> </w:t>
      </w:r>
      <w:r>
        <w:rPr>
          <w:rFonts w:ascii="Times New Roman" w:hAnsi="Times New Roman" w:cs="Times New Roman"/>
        </w:rPr>
        <w:t xml:space="preserve">Consiglio di Stato, sezione VI, sentenza 26 maggio 2010 n. 3348 </w:t>
      </w:r>
      <w:r w:rsidRPr="00C35716">
        <w:rPr>
          <w:rFonts w:ascii="Times New Roman" w:hAnsi="Times New Roman" w:cs="Times New Roman"/>
        </w:rPr>
        <w:t>“</w:t>
      </w:r>
      <w:r w:rsidRPr="00C35716">
        <w:rPr>
          <w:rFonts w:ascii="Times New Roman" w:hAnsi="Times New Roman" w:cs="Times New Roman"/>
          <w:i/>
        </w:rPr>
        <w:t xml:space="preserve">… La disposizione in esame – che richiama in pratica l’istituto </w:t>
      </w:r>
      <w:proofErr w:type="gramStart"/>
      <w:r w:rsidRPr="00C35716">
        <w:rPr>
          <w:rFonts w:ascii="Times New Roman" w:hAnsi="Times New Roman" w:cs="Times New Roman"/>
          <w:i/>
        </w:rPr>
        <w:t>dell’accessione ,</w:t>
      </w:r>
      <w:proofErr w:type="gramEnd"/>
      <w:r w:rsidRPr="00C35716">
        <w:rPr>
          <w:rFonts w:ascii="Times New Roman" w:hAnsi="Times New Roman" w:cs="Times New Roman"/>
          <w:i/>
        </w:rPr>
        <w:t xml:space="preserve"> di cui all’art. 934 cod. civ. (</w:t>
      </w:r>
      <w:proofErr w:type="gramStart"/>
      <w:r w:rsidRPr="00C35716">
        <w:rPr>
          <w:rFonts w:ascii="Times New Roman" w:hAnsi="Times New Roman" w:cs="Times New Roman"/>
          <w:i/>
        </w:rPr>
        <w:t>con</w:t>
      </w:r>
      <w:proofErr w:type="gramEnd"/>
      <w:r w:rsidRPr="00C35716">
        <w:rPr>
          <w:rFonts w:ascii="Times New Roman" w:hAnsi="Times New Roman" w:cs="Times New Roman"/>
          <w:i/>
        </w:rPr>
        <w:t xml:space="preserve"> deroga al principio dell’indennizzo, di cui al successivo art. 936) – è stata più volte interpretata nel senso che l’accessione si verifica “ipso iure”, al termine del periodo di concessione e, secondo parte della giurisprudenza (</w:t>
      </w:r>
      <w:proofErr w:type="spellStart"/>
      <w:r w:rsidRPr="00C35716">
        <w:rPr>
          <w:rFonts w:ascii="Times New Roman" w:hAnsi="Times New Roman" w:cs="Times New Roman"/>
          <w:i/>
        </w:rPr>
        <w:t>Cass</w:t>
      </w:r>
      <w:proofErr w:type="spellEnd"/>
      <w:r w:rsidRPr="00C35716">
        <w:rPr>
          <w:rFonts w:ascii="Times New Roman" w:hAnsi="Times New Roman" w:cs="Times New Roman"/>
          <w:i/>
        </w:rPr>
        <w:t xml:space="preserve">. </w:t>
      </w:r>
      <w:proofErr w:type="spellStart"/>
      <w:r w:rsidRPr="00C35716">
        <w:rPr>
          <w:rFonts w:ascii="Times New Roman" w:hAnsi="Times New Roman" w:cs="Times New Roman"/>
          <w:i/>
        </w:rPr>
        <w:t>Civ</w:t>
      </w:r>
      <w:proofErr w:type="spellEnd"/>
      <w:r w:rsidRPr="00C35716">
        <w:rPr>
          <w:rFonts w:ascii="Times New Roman" w:hAnsi="Times New Roman" w:cs="Times New Roman"/>
          <w:i/>
        </w:rPr>
        <w:t xml:space="preserve">. sez. III, 24.3.2004 n. 5842 e sez. I, 5.5.1998 n. 4504) va applicata anche in caso di rinnovo della concessione stessa, implicando il rinnovo – a differenza della proroga – una nuova concessione in senso proprio, dopo l’estinzione della concessione precedente alla relativa scadenza, con automatica produzione degli effetti, di cui al predetto art. 49 cod. </w:t>
      </w:r>
      <w:proofErr w:type="spellStart"/>
      <w:r w:rsidRPr="00C35716">
        <w:rPr>
          <w:rFonts w:ascii="Times New Roman" w:hAnsi="Times New Roman" w:cs="Times New Roman"/>
          <w:i/>
        </w:rPr>
        <w:t>nav</w:t>
      </w:r>
      <w:proofErr w:type="spellEnd"/>
      <w:r w:rsidRPr="00C35716">
        <w:rPr>
          <w:rFonts w:ascii="Times New Roman" w:hAnsi="Times New Roman" w:cs="Times New Roman"/>
          <w:i/>
        </w:rPr>
        <w:t>. (</w:t>
      </w:r>
      <w:proofErr w:type="gramStart"/>
      <w:r w:rsidRPr="00C35716">
        <w:rPr>
          <w:rFonts w:ascii="Times New Roman" w:hAnsi="Times New Roman" w:cs="Times New Roman"/>
          <w:i/>
        </w:rPr>
        <w:t>cfr.</w:t>
      </w:r>
      <w:proofErr w:type="gramEnd"/>
      <w:r w:rsidRPr="00C35716">
        <w:rPr>
          <w:rFonts w:ascii="Times New Roman" w:hAnsi="Times New Roman" w:cs="Times New Roman"/>
          <w:i/>
        </w:rPr>
        <w:t xml:space="preserve"> in tal senso anche </w:t>
      </w:r>
      <w:proofErr w:type="spellStart"/>
      <w:r w:rsidRPr="00C35716">
        <w:rPr>
          <w:rFonts w:ascii="Times New Roman" w:hAnsi="Times New Roman" w:cs="Times New Roman"/>
          <w:i/>
        </w:rPr>
        <w:t>Cons</w:t>
      </w:r>
      <w:proofErr w:type="spellEnd"/>
      <w:r w:rsidRPr="00C35716">
        <w:rPr>
          <w:rFonts w:ascii="Times New Roman" w:hAnsi="Times New Roman" w:cs="Times New Roman"/>
          <w:i/>
        </w:rPr>
        <w:t xml:space="preserve">. St. sez. VI, 27.4.1995, n. 365 e 5.5.1995 n. 406). La soluzione indicata non si presta, tuttavia, a generalizzazioni…[omissis]. Nel caso di specie, in tutti gli atti di concessione depositati (per il periodo compreso fra il 2002 e il 2008) è riportata la seguente clausola “nel giorno della scadenza il concessionario dovrà sgomberare a proprie spese l’area occupata, asportando i manufatti impiantati, e quindi </w:t>
      </w:r>
      <w:proofErr w:type="spellStart"/>
      <w:r w:rsidRPr="00C35716">
        <w:rPr>
          <w:rFonts w:ascii="Times New Roman" w:hAnsi="Times New Roman" w:cs="Times New Roman"/>
          <w:i/>
        </w:rPr>
        <w:t>riconsdegnarla</w:t>
      </w:r>
      <w:proofErr w:type="spellEnd"/>
      <w:r w:rsidRPr="00C35716">
        <w:rPr>
          <w:rFonts w:ascii="Times New Roman" w:hAnsi="Times New Roman" w:cs="Times New Roman"/>
          <w:i/>
        </w:rPr>
        <w:t xml:space="preserve"> nel pristino stato all’Amministrazione marittima, salvo che questa non consenta di rinnovare la presente licenza su una nuova domanda del concessionario, da presentarsi prima di detta scadenza, in modo che all’epoca in cui questa dovrà verificarsi, siano pagati il canone e le tasse relative al nuovo periodo di concessione”. Non va dimenticato, a tale riguardo, che il più volte citato art. 49 del codice della navigazione prevede l’acquisizione di quanto costruito dal concessionario da parte dello Stato ma “salvo che non sia diversamente stabilito nell’atto di concessione”. Ad avviso del Collegio detto inciso può giustificare l’inapplicabilità del principio dell’accessione gratuita – fortemente penalizzante per il diritto dei superficiari e per gli investimenti, che potrebbero contribuire alla valorizzazione del demanio marittimo – anche quando il titolo </w:t>
      </w:r>
      <w:proofErr w:type="spellStart"/>
      <w:r w:rsidRPr="00C35716">
        <w:rPr>
          <w:rFonts w:ascii="Times New Roman" w:hAnsi="Times New Roman" w:cs="Times New Roman"/>
          <w:i/>
        </w:rPr>
        <w:t>concessorio</w:t>
      </w:r>
      <w:proofErr w:type="spellEnd"/>
      <w:r w:rsidRPr="00C35716">
        <w:rPr>
          <w:rFonts w:ascii="Times New Roman" w:hAnsi="Times New Roman" w:cs="Times New Roman"/>
          <w:i/>
        </w:rPr>
        <w:t xml:space="preserve"> preveda, come nel caso di specie, forme di rinnovo automatico e preordinato in a</w:t>
      </w:r>
      <w:r>
        <w:rPr>
          <w:rFonts w:ascii="Times New Roman" w:hAnsi="Times New Roman" w:cs="Times New Roman"/>
          <w:i/>
        </w:rPr>
        <w:t>ntecedenza</w:t>
      </w:r>
      <w:r w:rsidRPr="00C35716">
        <w:rPr>
          <w:rFonts w:ascii="Times New Roman" w:hAnsi="Times New Roman" w:cs="Times New Roman"/>
          <w:i/>
        </w:rPr>
        <w:t>, rispetto alla data naturale di scadenza della concessione, tanto da configurare il rinnovo stesso – al di là del “</w:t>
      </w:r>
      <w:proofErr w:type="spellStart"/>
      <w:r w:rsidRPr="00C35716">
        <w:rPr>
          <w:rFonts w:ascii="Times New Roman" w:hAnsi="Times New Roman" w:cs="Times New Roman"/>
          <w:i/>
        </w:rPr>
        <w:t>nomen</w:t>
      </w:r>
      <w:proofErr w:type="spellEnd"/>
      <w:r w:rsidRPr="00C35716">
        <w:rPr>
          <w:rFonts w:ascii="Times New Roman" w:hAnsi="Times New Roman" w:cs="Times New Roman"/>
          <w:i/>
        </w:rPr>
        <w:t xml:space="preserve"> </w:t>
      </w:r>
      <w:proofErr w:type="spellStart"/>
      <w:r w:rsidRPr="00C35716">
        <w:rPr>
          <w:rFonts w:ascii="Times New Roman" w:hAnsi="Times New Roman" w:cs="Times New Roman"/>
          <w:i/>
        </w:rPr>
        <w:t>iuris</w:t>
      </w:r>
      <w:proofErr w:type="spellEnd"/>
      <w:r w:rsidRPr="00C35716">
        <w:rPr>
          <w:rFonts w:ascii="Times New Roman" w:hAnsi="Times New Roman" w:cs="Times New Roman"/>
          <w:i/>
        </w:rPr>
        <w:t>” – come una vera e propria proroga, protraendosi il medesimo rapporto senza soluzione di continuità</w:t>
      </w:r>
      <w:r>
        <w:rPr>
          <w:rFonts w:ascii="Times New Roman" w:hAnsi="Times New Roman" w:cs="Times New Roman"/>
        </w:rPr>
        <w:t xml:space="preserve">”. Ne deriva che in presenza della condizione speciale contenuta nell’atto </w:t>
      </w:r>
      <w:proofErr w:type="spellStart"/>
      <w:r>
        <w:rPr>
          <w:rFonts w:ascii="Times New Roman" w:hAnsi="Times New Roman" w:cs="Times New Roman"/>
        </w:rPr>
        <w:t>concessorio</w:t>
      </w:r>
      <w:proofErr w:type="spellEnd"/>
      <w:r>
        <w:rPr>
          <w:rFonts w:ascii="Times New Roman" w:hAnsi="Times New Roman" w:cs="Times New Roman"/>
        </w:rPr>
        <w:t>, pur nei casi di “formale” rinnovo del titolo, il rapporto prosegue senza soluzione di continuità equiparandosi il rinnovo alla proroga.</w:t>
      </w:r>
    </w:p>
  </w:footnote>
  <w:footnote w:id="29">
    <w:p w:rsidR="00843D77" w:rsidRPr="006554B4" w:rsidRDefault="00843D77" w:rsidP="00475006">
      <w:pPr>
        <w:pStyle w:val="Testonotaapidipagina"/>
        <w:jc w:val="both"/>
        <w:rPr>
          <w:rFonts w:ascii="Times New Roman" w:hAnsi="Times New Roman" w:cs="Times New Roman"/>
        </w:rPr>
      </w:pPr>
      <w:r w:rsidRPr="006554B4">
        <w:rPr>
          <w:rStyle w:val="Rimandonotaapidipagina"/>
          <w:rFonts w:ascii="Times New Roman" w:hAnsi="Times New Roman"/>
        </w:rPr>
        <w:footnoteRef/>
      </w:r>
      <w:r w:rsidRPr="006554B4">
        <w:rPr>
          <w:rFonts w:ascii="Times New Roman" w:hAnsi="Times New Roman" w:cs="Times New Roman"/>
        </w:rPr>
        <w:t xml:space="preserve"> Circolare Agenzia Demanio </w:t>
      </w:r>
      <w:r>
        <w:rPr>
          <w:rFonts w:ascii="Times New Roman" w:hAnsi="Times New Roman" w:cs="Times New Roman"/>
        </w:rPr>
        <w:t xml:space="preserve">n. </w:t>
      </w:r>
      <w:proofErr w:type="spellStart"/>
      <w:r>
        <w:rPr>
          <w:rFonts w:ascii="Times New Roman" w:hAnsi="Times New Roman" w:cs="Times New Roman"/>
        </w:rPr>
        <w:t>prot</w:t>
      </w:r>
      <w:proofErr w:type="spellEnd"/>
      <w:r>
        <w:rPr>
          <w:rFonts w:ascii="Times New Roman" w:hAnsi="Times New Roman" w:cs="Times New Roman"/>
        </w:rPr>
        <w:t xml:space="preserve">. 2007/71/62/DAO del 21.2.2007 che definisce “opere inamovibili o di difficile rimozione” ai sensi del codice della navigazione “impianti, manufatti, opere aventi struttura stabile, in muratura di cemento armato” o realizzate con sistema misto “con elementi di prefabbricazione di notevole peso, la cui rimozione comporti necessariamente la distruzione totale o parziale del manufatto e che non ne consente la recuperabilità”. Sono invece definite “opere amovibili o di facile rimozione” quegli impianti e manufatti le cui strutture possono essere effettuate con montaggio di parti elementari leggere (strutture prefabbricate leggere realizzate su piattaforma di cemento armato amovibile… o appoggiate con calcestruzzo in basamento amovibile… su suolo o interrate…), con possibile recupero e spostamento altrove della struttura attraverso semplice rimontaggio “senza che la rimozione comporti necessariamente la distruzione” della stessa. </w:t>
      </w:r>
    </w:p>
  </w:footnote>
  <w:footnote w:id="30">
    <w:p w:rsidR="00843D77" w:rsidRPr="00333E04" w:rsidRDefault="00843D77" w:rsidP="00475006">
      <w:pPr>
        <w:pStyle w:val="Testonotaapidipagina"/>
        <w:jc w:val="both"/>
        <w:rPr>
          <w:rFonts w:ascii="Times New Roman" w:hAnsi="Times New Roman" w:cs="Times New Roman"/>
          <w:i/>
        </w:rPr>
      </w:pPr>
      <w:r w:rsidRPr="006554B4">
        <w:rPr>
          <w:rStyle w:val="Rimandonotaapidipagina"/>
          <w:rFonts w:ascii="Times New Roman" w:hAnsi="Times New Roman"/>
        </w:rPr>
        <w:footnoteRef/>
      </w:r>
      <w:r w:rsidRPr="006554B4">
        <w:rPr>
          <w:rFonts w:ascii="Times New Roman" w:hAnsi="Times New Roman" w:cs="Times New Roman"/>
        </w:rPr>
        <w:t xml:space="preserve"> </w:t>
      </w:r>
      <w:r>
        <w:rPr>
          <w:rFonts w:ascii="Times New Roman" w:hAnsi="Times New Roman" w:cs="Times New Roman"/>
        </w:rPr>
        <w:t xml:space="preserve">Consiglio di Stato, sez. VI, sentenza 17.2.2017 n. 729 (richiama </w:t>
      </w:r>
      <w:proofErr w:type="spellStart"/>
      <w:r>
        <w:rPr>
          <w:rFonts w:ascii="Times New Roman" w:hAnsi="Times New Roman" w:cs="Times New Roman"/>
        </w:rPr>
        <w:t>Cons</w:t>
      </w:r>
      <w:proofErr w:type="spellEnd"/>
      <w:r>
        <w:rPr>
          <w:rFonts w:ascii="Times New Roman" w:hAnsi="Times New Roman" w:cs="Times New Roman"/>
        </w:rPr>
        <w:t xml:space="preserve">. Stato, VI, 28.9.2012 n. 5123; sez. I, 24.1.2012 n. 3522; sez. VI, 14.10.2010) </w:t>
      </w:r>
      <w:r w:rsidRPr="00333E04">
        <w:rPr>
          <w:rFonts w:ascii="Times New Roman" w:hAnsi="Times New Roman" w:cs="Times New Roman"/>
          <w:i/>
        </w:rPr>
        <w:t xml:space="preserve">“… il Collegio aderisce all’orientamento giurisprudenziale […] in base al quale l’articolo 49 citato va interpretato nel senso che l’accessione si verifica ipso iure, al termine del periodo di concessione, per le opere non amovibili, costruite su zona demaniale; con la conseguenza che il successivo atto amministrativo, avente </w:t>
      </w:r>
      <w:proofErr w:type="spellStart"/>
      <w:r w:rsidRPr="00333E04">
        <w:rPr>
          <w:rFonts w:ascii="Times New Roman" w:hAnsi="Times New Roman" w:cs="Times New Roman"/>
          <w:i/>
        </w:rPr>
        <w:t>nomen</w:t>
      </w:r>
      <w:proofErr w:type="spellEnd"/>
      <w:r w:rsidRPr="00333E04">
        <w:rPr>
          <w:rFonts w:ascii="Times New Roman" w:hAnsi="Times New Roman" w:cs="Times New Roman"/>
          <w:i/>
        </w:rPr>
        <w:t xml:space="preserve"> </w:t>
      </w:r>
      <w:proofErr w:type="spellStart"/>
      <w:r w:rsidRPr="00333E04">
        <w:rPr>
          <w:rFonts w:ascii="Times New Roman" w:hAnsi="Times New Roman" w:cs="Times New Roman"/>
          <w:i/>
        </w:rPr>
        <w:t>iuris</w:t>
      </w:r>
      <w:proofErr w:type="spellEnd"/>
      <w:r w:rsidRPr="00333E04">
        <w:rPr>
          <w:rFonts w:ascii="Times New Roman" w:hAnsi="Times New Roman" w:cs="Times New Roman"/>
          <w:i/>
        </w:rPr>
        <w:t xml:space="preserve"> di “incameramento” o altro equivalente, ha natura meramente ricognitiva e di accertamento”</w:t>
      </w:r>
      <w:r>
        <w:rPr>
          <w:rFonts w:ascii="Times New Roman" w:hAnsi="Times New Roman" w:cs="Times New Roman"/>
          <w:i/>
        </w:rPr>
        <w:t>.</w:t>
      </w:r>
    </w:p>
  </w:footnote>
  <w:footnote w:id="31">
    <w:p w:rsidR="00843D77" w:rsidRPr="00333E04" w:rsidRDefault="00843D77" w:rsidP="00475006">
      <w:pPr>
        <w:pStyle w:val="Testonotaapidipagina"/>
        <w:jc w:val="both"/>
        <w:rPr>
          <w:rFonts w:ascii="Times New Roman" w:hAnsi="Times New Roman" w:cs="Times New Roman"/>
        </w:rPr>
      </w:pPr>
      <w:r w:rsidRPr="005A39F9">
        <w:rPr>
          <w:rStyle w:val="Rimandonotaapidipagina"/>
          <w:rFonts w:ascii="Times New Roman" w:hAnsi="Times New Roman"/>
        </w:rPr>
        <w:footnoteRef/>
      </w:r>
      <w:r w:rsidRPr="005A39F9">
        <w:rPr>
          <w:rFonts w:ascii="Times New Roman" w:hAnsi="Times New Roman" w:cs="Times New Roman"/>
        </w:rPr>
        <w:t xml:space="preserve"> </w:t>
      </w:r>
      <w:r w:rsidRPr="00333E04">
        <w:rPr>
          <w:rFonts w:ascii="Times New Roman" w:hAnsi="Times New Roman" w:cs="Times New Roman"/>
        </w:rPr>
        <w:t xml:space="preserve">Cfr. Gaeta, </w:t>
      </w:r>
      <w:r w:rsidRPr="00766666">
        <w:rPr>
          <w:rFonts w:ascii="Times New Roman" w:hAnsi="Times New Roman" w:cs="Times New Roman"/>
          <w:i/>
        </w:rPr>
        <w:t>Sulla devoluzione delle opere costruite dal concessionario sul demanio marittimo</w:t>
      </w:r>
      <w:r w:rsidRPr="00333E04">
        <w:rPr>
          <w:rFonts w:ascii="Times New Roman" w:hAnsi="Times New Roman" w:cs="Times New Roman"/>
        </w:rPr>
        <w:t xml:space="preserve">, in </w:t>
      </w:r>
      <w:r w:rsidRPr="00766666">
        <w:rPr>
          <w:rFonts w:ascii="Times New Roman" w:hAnsi="Times New Roman" w:cs="Times New Roman"/>
          <w:i/>
        </w:rPr>
        <w:t>Rivista del diritto della navigazione</w:t>
      </w:r>
      <w:r w:rsidRPr="00333E04">
        <w:rPr>
          <w:rFonts w:ascii="Times New Roman" w:hAnsi="Times New Roman" w:cs="Times New Roman"/>
        </w:rPr>
        <w:t xml:space="preserve">, 1964; </w:t>
      </w:r>
      <w:proofErr w:type="spellStart"/>
      <w:r w:rsidRPr="00333E04">
        <w:rPr>
          <w:rFonts w:ascii="Times New Roman" w:hAnsi="Times New Roman" w:cs="Times New Roman"/>
        </w:rPr>
        <w:t>Vallario</w:t>
      </w:r>
      <w:proofErr w:type="spellEnd"/>
      <w:r w:rsidRPr="00333E04">
        <w:rPr>
          <w:rFonts w:ascii="Times New Roman" w:hAnsi="Times New Roman" w:cs="Times New Roman"/>
        </w:rPr>
        <w:t xml:space="preserve">, </w:t>
      </w:r>
      <w:r w:rsidRPr="00766666">
        <w:rPr>
          <w:rFonts w:ascii="Times New Roman" w:hAnsi="Times New Roman" w:cs="Times New Roman"/>
          <w:i/>
        </w:rPr>
        <w:t>Il demanio marittimo</w:t>
      </w:r>
      <w:r w:rsidRPr="00333E04">
        <w:rPr>
          <w:rFonts w:ascii="Times New Roman" w:hAnsi="Times New Roman" w:cs="Times New Roman"/>
        </w:rPr>
        <w:t>, Hoepli Editore Spa, 1970.</w:t>
      </w:r>
    </w:p>
  </w:footnote>
  <w:footnote w:id="32">
    <w:p w:rsidR="00843D77" w:rsidRPr="006554B4" w:rsidRDefault="00843D77" w:rsidP="00475006">
      <w:pPr>
        <w:pStyle w:val="Testonotaapidipagina"/>
        <w:jc w:val="both"/>
        <w:rPr>
          <w:rFonts w:ascii="Times New Roman" w:hAnsi="Times New Roman" w:cs="Times New Roman"/>
        </w:rPr>
      </w:pPr>
      <w:r w:rsidRPr="006554B4">
        <w:rPr>
          <w:rStyle w:val="Rimandonotaapidipagina"/>
          <w:rFonts w:ascii="Times New Roman" w:hAnsi="Times New Roman"/>
        </w:rPr>
        <w:footnoteRef/>
      </w:r>
      <w:r w:rsidRPr="006554B4">
        <w:rPr>
          <w:rFonts w:ascii="Times New Roman" w:hAnsi="Times New Roman" w:cs="Times New Roman"/>
        </w:rPr>
        <w:t xml:space="preserve"> </w:t>
      </w:r>
      <w:r>
        <w:rPr>
          <w:rFonts w:ascii="Times New Roman" w:hAnsi="Times New Roman" w:cs="Times New Roman"/>
        </w:rPr>
        <w:t xml:space="preserve">Cfr. Parere Adunanza della Commissione speciale del 22 febbraio 2012 Consiglio di Stato, numero 01808/2012 e data 12/4/2012, numero affare 01212/2011, Estensore G. Montedoro Presidente A. </w:t>
      </w:r>
      <w:proofErr w:type="spellStart"/>
      <w:r>
        <w:rPr>
          <w:rFonts w:ascii="Times New Roman" w:hAnsi="Times New Roman" w:cs="Times New Roman"/>
        </w:rPr>
        <w:t>Pajno</w:t>
      </w:r>
      <w:proofErr w:type="spellEnd"/>
      <w:r>
        <w:rPr>
          <w:rFonts w:ascii="Times New Roman" w:hAnsi="Times New Roman" w:cs="Times New Roman"/>
        </w:rPr>
        <w:t>, sul quesito di riparto di competenze e funzioni in materia di demanio marittimo secondo cui “</w:t>
      </w:r>
      <w:r w:rsidRPr="00843D77">
        <w:rPr>
          <w:rFonts w:ascii="Times New Roman" w:hAnsi="Times New Roman" w:cs="Times New Roman"/>
          <w:i/>
        </w:rPr>
        <w:t xml:space="preserve">Il parere della Commissione speciale è nel senso che spetti all’Agenzia del Demanio la titolarità del potere dovere di iniziativa nelle materie menzionate in precedenza… […] la devoluzione allo Stato delle opere non amovibili è questione dominicale nel silenzio della normativa (art. 49) […]. Ai sensi e per gli effetti del citato art. 49 cod. </w:t>
      </w:r>
      <w:proofErr w:type="spellStart"/>
      <w:r w:rsidRPr="00843D77">
        <w:rPr>
          <w:rFonts w:ascii="Times New Roman" w:hAnsi="Times New Roman" w:cs="Times New Roman"/>
          <w:i/>
        </w:rPr>
        <w:t>nav</w:t>
      </w:r>
      <w:proofErr w:type="spellEnd"/>
      <w:r w:rsidRPr="00843D77">
        <w:rPr>
          <w:rFonts w:ascii="Times New Roman" w:hAnsi="Times New Roman" w:cs="Times New Roman"/>
          <w:i/>
        </w:rPr>
        <w:t xml:space="preserve">. </w:t>
      </w:r>
      <w:proofErr w:type="gramStart"/>
      <w:r w:rsidRPr="00843D77">
        <w:rPr>
          <w:rFonts w:ascii="Times New Roman" w:hAnsi="Times New Roman" w:cs="Times New Roman"/>
          <w:i/>
        </w:rPr>
        <w:t>infatti</w:t>
      </w:r>
      <w:proofErr w:type="gramEnd"/>
      <w:r w:rsidRPr="00843D77">
        <w:rPr>
          <w:rFonts w:ascii="Times New Roman" w:hAnsi="Times New Roman" w:cs="Times New Roman"/>
          <w:i/>
        </w:rPr>
        <w:t xml:space="preserve"> sono soggette ad accessione, al termine del rapporto </w:t>
      </w:r>
      <w:proofErr w:type="spellStart"/>
      <w:r w:rsidRPr="00843D77">
        <w:rPr>
          <w:rFonts w:ascii="Times New Roman" w:hAnsi="Times New Roman" w:cs="Times New Roman"/>
          <w:i/>
        </w:rPr>
        <w:t>concessorio</w:t>
      </w:r>
      <w:proofErr w:type="spellEnd"/>
      <w:r w:rsidRPr="00843D77">
        <w:rPr>
          <w:rFonts w:ascii="Times New Roman" w:hAnsi="Times New Roman" w:cs="Times New Roman"/>
          <w:i/>
        </w:rPr>
        <w:t>, solo le opere “non amovibili” nel presupposto che solo per tali opere, destinate a restare sul territorio o ad essere distrutte, debba assicurarsi la piena disponibilità per l’ente proprietario del suolo, ai fini della corretta gestione del medesimo – quando non più in uso del concessionario – nell’interesse pubblico…</w:t>
      </w:r>
      <w:r>
        <w:rPr>
          <w:rFonts w:ascii="Times New Roman" w:hAnsi="Times New Roman" w:cs="Times New Roman"/>
        </w:rPr>
        <w:t>”.</w:t>
      </w:r>
    </w:p>
  </w:footnote>
  <w:footnote w:id="33">
    <w:p w:rsidR="00843D77" w:rsidRPr="006554B4" w:rsidRDefault="00843D77" w:rsidP="00475006">
      <w:pPr>
        <w:pStyle w:val="Testonotaapidipagina"/>
        <w:jc w:val="both"/>
        <w:rPr>
          <w:rFonts w:ascii="Times New Roman" w:hAnsi="Times New Roman" w:cs="Times New Roman"/>
        </w:rPr>
      </w:pPr>
      <w:r w:rsidRPr="006554B4">
        <w:rPr>
          <w:rStyle w:val="Rimandonotaapidipagina"/>
          <w:rFonts w:ascii="Times New Roman" w:hAnsi="Times New Roman"/>
        </w:rPr>
        <w:footnoteRef/>
      </w:r>
      <w:r w:rsidRPr="006554B4">
        <w:rPr>
          <w:rFonts w:ascii="Times New Roman" w:hAnsi="Times New Roman" w:cs="Times New Roman"/>
        </w:rPr>
        <w:t xml:space="preserve"> </w:t>
      </w:r>
      <w:r>
        <w:rPr>
          <w:rFonts w:ascii="Times New Roman" w:hAnsi="Times New Roman" w:cs="Times New Roman"/>
        </w:rPr>
        <w:t xml:space="preserve">Cfr. cit. </w:t>
      </w:r>
      <w:proofErr w:type="spellStart"/>
      <w:r>
        <w:rPr>
          <w:rFonts w:ascii="Times New Roman" w:hAnsi="Times New Roman" w:cs="Times New Roman"/>
        </w:rPr>
        <w:t>CdS</w:t>
      </w:r>
      <w:proofErr w:type="spellEnd"/>
      <w:r>
        <w:rPr>
          <w:rFonts w:ascii="Times New Roman" w:hAnsi="Times New Roman" w:cs="Times New Roman"/>
        </w:rPr>
        <w:t xml:space="preserve"> sez. VI sentenza 17.2.2017 n. 729.</w:t>
      </w:r>
    </w:p>
  </w:footnote>
  <w:footnote w:id="34">
    <w:p w:rsidR="005A39F9" w:rsidRPr="005A39F9" w:rsidRDefault="005A39F9">
      <w:pPr>
        <w:pStyle w:val="Testonotaapidipagina"/>
        <w:rPr>
          <w:rFonts w:ascii="Times New Roman" w:hAnsi="Times New Roman" w:cs="Times New Roman"/>
        </w:rPr>
      </w:pPr>
      <w:r>
        <w:rPr>
          <w:rStyle w:val="Rimandonotaapidipagina"/>
        </w:rPr>
        <w:footnoteRef/>
      </w:r>
      <w:r>
        <w:t xml:space="preserve"> </w:t>
      </w:r>
      <w:proofErr w:type="spellStart"/>
      <w:r w:rsidRPr="005A39F9">
        <w:rPr>
          <w:rFonts w:ascii="Times New Roman" w:hAnsi="Times New Roman" w:cs="Times New Roman"/>
        </w:rPr>
        <w:t>CdS</w:t>
      </w:r>
      <w:proofErr w:type="spellEnd"/>
      <w:r>
        <w:rPr>
          <w:rFonts w:ascii="Times New Roman" w:hAnsi="Times New Roman" w:cs="Times New Roman"/>
        </w:rPr>
        <w:t xml:space="preserve">, sez.VI, 13.6.2013 n. 3308; </w:t>
      </w:r>
      <w:proofErr w:type="spellStart"/>
      <w:r>
        <w:rPr>
          <w:rFonts w:ascii="Times New Roman" w:hAnsi="Times New Roman" w:cs="Times New Roman"/>
        </w:rPr>
        <w:t>CdS</w:t>
      </w:r>
      <w:proofErr w:type="spellEnd"/>
      <w:r>
        <w:rPr>
          <w:rFonts w:ascii="Times New Roman" w:hAnsi="Times New Roman" w:cs="Times New Roman"/>
        </w:rPr>
        <w:t xml:space="preserve">, sez. VI, 10.6.2013 n. 3196. </w:t>
      </w:r>
    </w:p>
  </w:footnote>
  <w:footnote w:id="35">
    <w:p w:rsidR="004E762E" w:rsidRPr="004E762E" w:rsidRDefault="004E762E" w:rsidP="004E762E">
      <w:pPr>
        <w:pStyle w:val="Testonotaapidipagina"/>
        <w:jc w:val="both"/>
        <w:rPr>
          <w:rFonts w:ascii="Times New Roman" w:hAnsi="Times New Roman" w:cs="Times New Roman"/>
        </w:rPr>
      </w:pPr>
      <w:r>
        <w:rPr>
          <w:rStyle w:val="Rimandonotaapidipagina"/>
        </w:rPr>
        <w:footnoteRef/>
      </w:r>
      <w:r>
        <w:t xml:space="preserve"> </w:t>
      </w:r>
      <w:r w:rsidRPr="00A126B2">
        <w:rPr>
          <w:rFonts w:ascii="Times New Roman" w:hAnsi="Times New Roman" w:cs="Times New Roman"/>
          <w:i/>
        </w:rPr>
        <w:t>Cfr</w:t>
      </w:r>
      <w:r w:rsidRPr="004E762E">
        <w:rPr>
          <w:rFonts w:ascii="Times New Roman" w:hAnsi="Times New Roman" w:cs="Times New Roman"/>
        </w:rPr>
        <w:t xml:space="preserve">. Tar Sicilia, Palermo, sezione II, sentenza 9 settembre 2016 n. 2144 </w:t>
      </w:r>
      <w:r w:rsidRPr="004E762E">
        <w:rPr>
          <w:rFonts w:ascii="Times New Roman" w:hAnsi="Times New Roman" w:cs="Times New Roman"/>
          <w:i/>
        </w:rPr>
        <w:t xml:space="preserve">“… per giurisprudenza pressoché costante, ai fini dell’insorgenza dell’obbligo di corresponsione degli oneri concessori è rilevante il verificarsi di un maggior carico urbanistico quale effetto dell’intervento edilizio, se ne muti, la realtà strutturale e la fruibilità urbanistica, con oneri conseguentemente riferiti all’oggettiva rivalutazione dell’immobile e funzionali a sopportare l’aggiuntivo carico socio-economico che l’attività edilizia comporta anche quando l’incremento dell’impatto sul territorio consegua solo a marginali lavori. Da quanto precede deriva l’irrilevanza della natura del titolo edilizio ai fini dell’obbligo contributivo di cui trattasi, rilevando, invece, l’incremento sostanziale del carico urbanistico correlato alla natura dell’opera ed alle sue modalità di esecuzione. In definitiva, </w:t>
      </w:r>
      <w:r w:rsidRPr="004E762E">
        <w:rPr>
          <w:rFonts w:ascii="Times New Roman" w:hAnsi="Times New Roman" w:cs="Times New Roman"/>
          <w:b/>
          <w:i/>
        </w:rPr>
        <w:t>l’obbligo di contribuzione va correlato al presupposto sostanziale dell’aumento del carico urbanistico connesso all’intervento edilizio anziché alla natura del titolo abilitativo</w:t>
      </w:r>
      <w:r>
        <w:rPr>
          <w:rFonts w:ascii="Times New Roman" w:hAnsi="Times New Roman" w:cs="Times New Roman"/>
        </w:rPr>
        <w:t>.”</w:t>
      </w:r>
    </w:p>
  </w:footnote>
  <w:footnote w:id="36">
    <w:p w:rsidR="004E762E" w:rsidRPr="004E762E" w:rsidRDefault="004E762E" w:rsidP="004E762E">
      <w:pPr>
        <w:pStyle w:val="Testonotaapidipagina"/>
        <w:jc w:val="both"/>
        <w:rPr>
          <w:rFonts w:ascii="Times New Roman" w:hAnsi="Times New Roman" w:cs="Times New Roman"/>
        </w:rPr>
      </w:pPr>
      <w:r w:rsidRPr="004E762E">
        <w:rPr>
          <w:rStyle w:val="Rimandonotaapidipagina"/>
          <w:rFonts w:ascii="Times New Roman" w:hAnsi="Times New Roman"/>
        </w:rPr>
        <w:footnoteRef/>
      </w:r>
      <w:r w:rsidRPr="004E762E">
        <w:rPr>
          <w:rFonts w:ascii="Times New Roman" w:hAnsi="Times New Roman" w:cs="Times New Roman"/>
        </w:rPr>
        <w:t xml:space="preserve"> Nello stesso senso art. 1 legge 28 gennaio 1977 n. 10</w:t>
      </w:r>
      <w:r w:rsidR="004B71B5">
        <w:rPr>
          <w:rFonts w:ascii="Times New Roman" w:hAnsi="Times New Roman" w:cs="Times New Roman"/>
        </w:rPr>
        <w:t>, oggi art. 16 D.P.R. 380/2001.</w:t>
      </w:r>
    </w:p>
  </w:footnote>
  <w:footnote w:id="37">
    <w:p w:rsidR="00E93990" w:rsidRPr="0069524F" w:rsidRDefault="00E93990">
      <w:pPr>
        <w:pStyle w:val="Testonotaapidipagina"/>
        <w:rPr>
          <w:rFonts w:ascii="Times New Roman" w:hAnsi="Times New Roman" w:cs="Times New Roman"/>
        </w:rPr>
      </w:pPr>
      <w:r>
        <w:rPr>
          <w:rStyle w:val="Rimandonotaapidipagina"/>
        </w:rPr>
        <w:footnoteRef/>
      </w:r>
      <w:r>
        <w:t xml:space="preserve"> </w:t>
      </w:r>
      <w:proofErr w:type="spellStart"/>
      <w:r w:rsidRPr="0069524F">
        <w:rPr>
          <w:rFonts w:ascii="Times New Roman" w:hAnsi="Times New Roman" w:cs="Times New Roman"/>
        </w:rPr>
        <w:t>Cons</w:t>
      </w:r>
      <w:proofErr w:type="spellEnd"/>
      <w:r w:rsidRPr="0069524F">
        <w:rPr>
          <w:rFonts w:ascii="Times New Roman" w:hAnsi="Times New Roman" w:cs="Times New Roman"/>
        </w:rPr>
        <w:t>. Stato, sez. IV, 3 ottobre 2012 n. 5201.</w:t>
      </w:r>
    </w:p>
  </w:footnote>
  <w:footnote w:id="38">
    <w:p w:rsidR="000D691D" w:rsidRPr="0069524F" w:rsidRDefault="000D691D">
      <w:pPr>
        <w:pStyle w:val="Testonotaapidipagina"/>
        <w:rPr>
          <w:rFonts w:ascii="Times New Roman" w:hAnsi="Times New Roman" w:cs="Times New Roman"/>
        </w:rPr>
      </w:pPr>
      <w:r w:rsidRPr="0069524F">
        <w:rPr>
          <w:rStyle w:val="Rimandonotaapidipagina"/>
          <w:rFonts w:ascii="Times New Roman" w:hAnsi="Times New Roman"/>
        </w:rPr>
        <w:footnoteRef/>
      </w:r>
      <w:r w:rsidRPr="0069524F">
        <w:rPr>
          <w:rFonts w:ascii="Times New Roman" w:hAnsi="Times New Roman" w:cs="Times New Roman"/>
        </w:rPr>
        <w:t xml:space="preserve"> </w:t>
      </w:r>
      <w:proofErr w:type="spellStart"/>
      <w:r w:rsidRPr="0069524F">
        <w:rPr>
          <w:rFonts w:ascii="Times New Roman" w:hAnsi="Times New Roman" w:cs="Times New Roman"/>
        </w:rPr>
        <w:t>Cons</w:t>
      </w:r>
      <w:proofErr w:type="spellEnd"/>
      <w:r w:rsidRPr="0069524F">
        <w:rPr>
          <w:rFonts w:ascii="Times New Roman" w:hAnsi="Times New Roman" w:cs="Times New Roman"/>
        </w:rPr>
        <w:t>. Stato, sez. V, 19 giugno 2003 n. 954; Tar Campani, Salerno, sez. II, 28 febbraio 2008 n. 247.</w:t>
      </w:r>
    </w:p>
  </w:footnote>
  <w:footnote w:id="39">
    <w:p w:rsidR="0069524F" w:rsidRPr="0069524F" w:rsidRDefault="0069524F">
      <w:pPr>
        <w:pStyle w:val="Testonotaapidipagina"/>
        <w:rPr>
          <w:rFonts w:ascii="Times New Roman" w:hAnsi="Times New Roman" w:cs="Times New Roman"/>
        </w:rPr>
      </w:pPr>
      <w:r w:rsidRPr="0069524F">
        <w:rPr>
          <w:rStyle w:val="Rimandonotaapidipagina"/>
          <w:rFonts w:ascii="Times New Roman" w:hAnsi="Times New Roman"/>
        </w:rPr>
        <w:footnoteRef/>
      </w:r>
      <w:r w:rsidRPr="0069524F">
        <w:rPr>
          <w:rFonts w:ascii="Times New Roman" w:hAnsi="Times New Roman" w:cs="Times New Roman"/>
        </w:rPr>
        <w:t xml:space="preserve"> Si tratta del DDL n. 4302, presentato il 15.2.2017, approvato dalla Camera lo scorso 26.10.2017 e trasmesso al Senato per la discussione.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12B0"/>
    <w:multiLevelType w:val="hybridMultilevel"/>
    <w:tmpl w:val="5E3A6786"/>
    <w:lvl w:ilvl="0" w:tplc="41F602A8">
      <w:start w:val="1"/>
      <w:numFmt w:val="bullet"/>
      <w:lvlText w:val="-"/>
      <w:lvlJc w:val="left"/>
      <w:pPr>
        <w:ind w:left="702" w:hanging="360"/>
      </w:pPr>
      <w:rPr>
        <w:rFonts w:ascii="Berkeley-Book" w:eastAsia="Times New Roman" w:hAnsi="Berkeley-Book" w:hint="default"/>
      </w:rPr>
    </w:lvl>
    <w:lvl w:ilvl="1" w:tplc="04100003" w:tentative="1">
      <w:start w:val="1"/>
      <w:numFmt w:val="bullet"/>
      <w:lvlText w:val="o"/>
      <w:lvlJc w:val="left"/>
      <w:pPr>
        <w:ind w:left="1422" w:hanging="360"/>
      </w:pPr>
      <w:rPr>
        <w:rFonts w:ascii="Courier New" w:hAnsi="Courier New" w:hint="default"/>
      </w:rPr>
    </w:lvl>
    <w:lvl w:ilvl="2" w:tplc="04100005" w:tentative="1">
      <w:start w:val="1"/>
      <w:numFmt w:val="bullet"/>
      <w:lvlText w:val=""/>
      <w:lvlJc w:val="left"/>
      <w:pPr>
        <w:ind w:left="2142" w:hanging="360"/>
      </w:pPr>
      <w:rPr>
        <w:rFonts w:ascii="Wingdings" w:hAnsi="Wingdings" w:hint="default"/>
      </w:rPr>
    </w:lvl>
    <w:lvl w:ilvl="3" w:tplc="04100001" w:tentative="1">
      <w:start w:val="1"/>
      <w:numFmt w:val="bullet"/>
      <w:lvlText w:val=""/>
      <w:lvlJc w:val="left"/>
      <w:pPr>
        <w:ind w:left="2862" w:hanging="360"/>
      </w:pPr>
      <w:rPr>
        <w:rFonts w:ascii="Symbol" w:hAnsi="Symbol" w:hint="default"/>
      </w:rPr>
    </w:lvl>
    <w:lvl w:ilvl="4" w:tplc="04100003" w:tentative="1">
      <w:start w:val="1"/>
      <w:numFmt w:val="bullet"/>
      <w:lvlText w:val="o"/>
      <w:lvlJc w:val="left"/>
      <w:pPr>
        <w:ind w:left="3582" w:hanging="360"/>
      </w:pPr>
      <w:rPr>
        <w:rFonts w:ascii="Courier New" w:hAnsi="Courier New" w:hint="default"/>
      </w:rPr>
    </w:lvl>
    <w:lvl w:ilvl="5" w:tplc="04100005" w:tentative="1">
      <w:start w:val="1"/>
      <w:numFmt w:val="bullet"/>
      <w:lvlText w:val=""/>
      <w:lvlJc w:val="left"/>
      <w:pPr>
        <w:ind w:left="4302" w:hanging="360"/>
      </w:pPr>
      <w:rPr>
        <w:rFonts w:ascii="Wingdings" w:hAnsi="Wingdings" w:hint="default"/>
      </w:rPr>
    </w:lvl>
    <w:lvl w:ilvl="6" w:tplc="04100001" w:tentative="1">
      <w:start w:val="1"/>
      <w:numFmt w:val="bullet"/>
      <w:lvlText w:val=""/>
      <w:lvlJc w:val="left"/>
      <w:pPr>
        <w:ind w:left="5022" w:hanging="360"/>
      </w:pPr>
      <w:rPr>
        <w:rFonts w:ascii="Symbol" w:hAnsi="Symbol" w:hint="default"/>
      </w:rPr>
    </w:lvl>
    <w:lvl w:ilvl="7" w:tplc="04100003" w:tentative="1">
      <w:start w:val="1"/>
      <w:numFmt w:val="bullet"/>
      <w:lvlText w:val="o"/>
      <w:lvlJc w:val="left"/>
      <w:pPr>
        <w:ind w:left="5742" w:hanging="360"/>
      </w:pPr>
      <w:rPr>
        <w:rFonts w:ascii="Courier New" w:hAnsi="Courier New" w:hint="default"/>
      </w:rPr>
    </w:lvl>
    <w:lvl w:ilvl="8" w:tplc="04100005" w:tentative="1">
      <w:start w:val="1"/>
      <w:numFmt w:val="bullet"/>
      <w:lvlText w:val=""/>
      <w:lvlJc w:val="left"/>
      <w:pPr>
        <w:ind w:left="6462" w:hanging="360"/>
      </w:pPr>
      <w:rPr>
        <w:rFonts w:ascii="Wingdings" w:hAnsi="Wingdings" w:hint="default"/>
      </w:rPr>
    </w:lvl>
  </w:abstractNum>
  <w:abstractNum w:abstractNumId="1" w15:restartNumberingAfterBreak="0">
    <w:nsid w:val="245929CE"/>
    <w:multiLevelType w:val="hybridMultilevel"/>
    <w:tmpl w:val="60A86B60"/>
    <w:lvl w:ilvl="0" w:tplc="2F541BB6">
      <w:start w:val="4"/>
      <w:numFmt w:val="decimal"/>
      <w:lvlText w:val="%1."/>
      <w:lvlJc w:val="left"/>
      <w:pPr>
        <w:ind w:left="720" w:hanging="360"/>
      </w:pPr>
      <w:rPr>
        <w:rFonts w:ascii="Times New Roman" w:hAnsi="Times New Roman" w:cs="Times New Roman"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97080E"/>
    <w:multiLevelType w:val="hybridMultilevel"/>
    <w:tmpl w:val="1958AE72"/>
    <w:lvl w:ilvl="0" w:tplc="1410E9FC">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4E782451"/>
    <w:multiLevelType w:val="hybridMultilevel"/>
    <w:tmpl w:val="16B8D6CC"/>
    <w:lvl w:ilvl="0" w:tplc="AF3C0FB0">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58421AE1"/>
    <w:multiLevelType w:val="hybridMultilevel"/>
    <w:tmpl w:val="1A743620"/>
    <w:lvl w:ilvl="0" w:tplc="B014782A">
      <w:start w:val="1"/>
      <w:numFmt w:val="decimal"/>
      <w:lvlText w:val="%1."/>
      <w:lvlJc w:val="left"/>
      <w:pPr>
        <w:ind w:left="720" w:hanging="360"/>
      </w:pPr>
      <w:rPr>
        <w:rFonts w:ascii="Times New Roman" w:hAnsi="Times New Roman" w:cs="Times New Roman"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2A"/>
    <w:rsid w:val="00005227"/>
    <w:rsid w:val="00006BD3"/>
    <w:rsid w:val="00026BB0"/>
    <w:rsid w:val="00046A45"/>
    <w:rsid w:val="00053A53"/>
    <w:rsid w:val="000606BB"/>
    <w:rsid w:val="0008686D"/>
    <w:rsid w:val="000A37CD"/>
    <w:rsid w:val="000A4C5D"/>
    <w:rsid w:val="000C560E"/>
    <w:rsid w:val="000D3054"/>
    <w:rsid w:val="000D691D"/>
    <w:rsid w:val="000F1300"/>
    <w:rsid w:val="0015559E"/>
    <w:rsid w:val="00171334"/>
    <w:rsid w:val="001953D9"/>
    <w:rsid w:val="001B25AA"/>
    <w:rsid w:val="001D1E8D"/>
    <w:rsid w:val="001D2B98"/>
    <w:rsid w:val="00223CD2"/>
    <w:rsid w:val="00285D52"/>
    <w:rsid w:val="002A5926"/>
    <w:rsid w:val="002B30ED"/>
    <w:rsid w:val="002B6616"/>
    <w:rsid w:val="002C7F9D"/>
    <w:rsid w:val="002F4FC8"/>
    <w:rsid w:val="003064F0"/>
    <w:rsid w:val="00315DC5"/>
    <w:rsid w:val="00333E04"/>
    <w:rsid w:val="00357C78"/>
    <w:rsid w:val="00381BDE"/>
    <w:rsid w:val="003A7A5D"/>
    <w:rsid w:val="003B04C4"/>
    <w:rsid w:val="003F7CB3"/>
    <w:rsid w:val="0041664F"/>
    <w:rsid w:val="00432836"/>
    <w:rsid w:val="00445846"/>
    <w:rsid w:val="004630FC"/>
    <w:rsid w:val="004727D0"/>
    <w:rsid w:val="00475006"/>
    <w:rsid w:val="004B71B5"/>
    <w:rsid w:val="004C7028"/>
    <w:rsid w:val="004E762E"/>
    <w:rsid w:val="00513159"/>
    <w:rsid w:val="00541352"/>
    <w:rsid w:val="00561B99"/>
    <w:rsid w:val="005A39F9"/>
    <w:rsid w:val="005B705A"/>
    <w:rsid w:val="005C2ACF"/>
    <w:rsid w:val="005D27FB"/>
    <w:rsid w:val="00600BED"/>
    <w:rsid w:val="006074AB"/>
    <w:rsid w:val="00620EC9"/>
    <w:rsid w:val="00630594"/>
    <w:rsid w:val="0063256D"/>
    <w:rsid w:val="006554B4"/>
    <w:rsid w:val="0067726A"/>
    <w:rsid w:val="006843C9"/>
    <w:rsid w:val="0069524F"/>
    <w:rsid w:val="006E1C24"/>
    <w:rsid w:val="00704105"/>
    <w:rsid w:val="0071132A"/>
    <w:rsid w:val="007143E4"/>
    <w:rsid w:val="00720F84"/>
    <w:rsid w:val="0073691B"/>
    <w:rsid w:val="00743CC7"/>
    <w:rsid w:val="007556EF"/>
    <w:rsid w:val="00755F67"/>
    <w:rsid w:val="0076325E"/>
    <w:rsid w:val="00765216"/>
    <w:rsid w:val="00766666"/>
    <w:rsid w:val="00773153"/>
    <w:rsid w:val="007863BA"/>
    <w:rsid w:val="00791673"/>
    <w:rsid w:val="007A4ADB"/>
    <w:rsid w:val="007B7587"/>
    <w:rsid w:val="007E2323"/>
    <w:rsid w:val="007E4823"/>
    <w:rsid w:val="007E5AE2"/>
    <w:rsid w:val="00800478"/>
    <w:rsid w:val="0082689B"/>
    <w:rsid w:val="00830793"/>
    <w:rsid w:val="00833681"/>
    <w:rsid w:val="00843D77"/>
    <w:rsid w:val="00846BE8"/>
    <w:rsid w:val="00856E37"/>
    <w:rsid w:val="00862A69"/>
    <w:rsid w:val="00865D52"/>
    <w:rsid w:val="008850E4"/>
    <w:rsid w:val="008B0E63"/>
    <w:rsid w:val="008B735E"/>
    <w:rsid w:val="008C387B"/>
    <w:rsid w:val="008C5FFE"/>
    <w:rsid w:val="008D6005"/>
    <w:rsid w:val="008F22C0"/>
    <w:rsid w:val="00916277"/>
    <w:rsid w:val="00924F1E"/>
    <w:rsid w:val="00947ECC"/>
    <w:rsid w:val="00960D8E"/>
    <w:rsid w:val="00962644"/>
    <w:rsid w:val="00975F79"/>
    <w:rsid w:val="00984387"/>
    <w:rsid w:val="00990D26"/>
    <w:rsid w:val="009D1432"/>
    <w:rsid w:val="009F537F"/>
    <w:rsid w:val="00A126B2"/>
    <w:rsid w:val="00A276CC"/>
    <w:rsid w:val="00A51E37"/>
    <w:rsid w:val="00A74135"/>
    <w:rsid w:val="00A77D67"/>
    <w:rsid w:val="00A906D0"/>
    <w:rsid w:val="00A94CB1"/>
    <w:rsid w:val="00AB5BE8"/>
    <w:rsid w:val="00AC4D19"/>
    <w:rsid w:val="00AE1888"/>
    <w:rsid w:val="00AF5C64"/>
    <w:rsid w:val="00B045AB"/>
    <w:rsid w:val="00B24068"/>
    <w:rsid w:val="00B2452F"/>
    <w:rsid w:val="00B54706"/>
    <w:rsid w:val="00B6791A"/>
    <w:rsid w:val="00B74A3E"/>
    <w:rsid w:val="00B75CF3"/>
    <w:rsid w:val="00B935ED"/>
    <w:rsid w:val="00BB4ADF"/>
    <w:rsid w:val="00BC7D9A"/>
    <w:rsid w:val="00BD67BA"/>
    <w:rsid w:val="00C26D14"/>
    <w:rsid w:val="00C35716"/>
    <w:rsid w:val="00C60FD2"/>
    <w:rsid w:val="00C62605"/>
    <w:rsid w:val="00C84773"/>
    <w:rsid w:val="00C93732"/>
    <w:rsid w:val="00CA0AA4"/>
    <w:rsid w:val="00CB1FBB"/>
    <w:rsid w:val="00CB4819"/>
    <w:rsid w:val="00CB7F59"/>
    <w:rsid w:val="00CE3650"/>
    <w:rsid w:val="00D04895"/>
    <w:rsid w:val="00D1620F"/>
    <w:rsid w:val="00D31204"/>
    <w:rsid w:val="00D464C7"/>
    <w:rsid w:val="00D47B82"/>
    <w:rsid w:val="00D55252"/>
    <w:rsid w:val="00D66DE2"/>
    <w:rsid w:val="00D6732E"/>
    <w:rsid w:val="00DC402D"/>
    <w:rsid w:val="00DC4D69"/>
    <w:rsid w:val="00DC66B7"/>
    <w:rsid w:val="00DD6418"/>
    <w:rsid w:val="00DE2E5B"/>
    <w:rsid w:val="00DE4BF6"/>
    <w:rsid w:val="00E06516"/>
    <w:rsid w:val="00E6125C"/>
    <w:rsid w:val="00E63226"/>
    <w:rsid w:val="00E93990"/>
    <w:rsid w:val="00EB7F3C"/>
    <w:rsid w:val="00ED6167"/>
    <w:rsid w:val="00EE2E60"/>
    <w:rsid w:val="00F003A7"/>
    <w:rsid w:val="00F219ED"/>
    <w:rsid w:val="00F27230"/>
    <w:rsid w:val="00F32FD4"/>
    <w:rsid w:val="00F355E8"/>
    <w:rsid w:val="00F66501"/>
    <w:rsid w:val="00F95407"/>
    <w:rsid w:val="00FC6182"/>
    <w:rsid w:val="00FD5FB3"/>
    <w:rsid w:val="00FE5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F2003-FB08-4DB9-81B9-A701739E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705A"/>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ated">
    <w:name w:val="generated"/>
    <w:rsid w:val="0071132A"/>
    <w:rPr>
      <w:shd w:val="diagStripe" w:color="FFFFFF" w:themeColor="background1" w:fill="auto"/>
    </w:rPr>
  </w:style>
  <w:style w:type="paragraph" w:customStyle="1" w:styleId="para">
    <w:name w:val="para"/>
    <w:rsid w:val="0071132A"/>
    <w:pPr>
      <w:spacing w:after="0"/>
      <w:jc w:val="both"/>
    </w:pPr>
    <w:rPr>
      <w:rFonts w:eastAsiaTheme="minorEastAsia"/>
      <w:lang w:eastAsia="it-IT"/>
    </w:rPr>
  </w:style>
  <w:style w:type="paragraph" w:customStyle="1" w:styleId="domanda">
    <w:name w:val="domanda"/>
    <w:rsid w:val="0071132A"/>
    <w:pPr>
      <w:spacing w:before="128" w:after="0" w:line="256" w:lineRule="exact"/>
      <w:ind w:firstLine="342"/>
      <w:jc w:val="both"/>
    </w:pPr>
    <w:rPr>
      <w:rFonts w:eastAsiaTheme="minorEastAsia"/>
      <w:lang w:eastAsia="it-IT"/>
    </w:rPr>
  </w:style>
  <w:style w:type="paragraph" w:styleId="Testonotaapidipagina">
    <w:name w:val="footnote text"/>
    <w:basedOn w:val="Normale"/>
    <w:link w:val="TestonotaapidipaginaCarattere"/>
    <w:uiPriority w:val="99"/>
    <w:unhideWhenUsed/>
    <w:rsid w:val="0071132A"/>
    <w:pPr>
      <w:spacing w:after="0" w:line="240" w:lineRule="auto"/>
    </w:pPr>
    <w:rPr>
      <w:rFonts w:eastAsiaTheme="minorEastAsia"/>
      <w:sz w:val="20"/>
      <w:szCs w:val="20"/>
      <w:lang w:eastAsia="it-IT"/>
    </w:rPr>
  </w:style>
  <w:style w:type="character" w:customStyle="1" w:styleId="TestonotaapidipaginaCarattere">
    <w:name w:val="Testo nota a piè di pagina Carattere"/>
    <w:basedOn w:val="Carpredefinitoparagrafo"/>
    <w:link w:val="Testonotaapidipagina"/>
    <w:uiPriority w:val="99"/>
    <w:rsid w:val="0071132A"/>
    <w:rPr>
      <w:rFonts w:eastAsiaTheme="minorEastAsia"/>
      <w:sz w:val="20"/>
      <w:szCs w:val="20"/>
      <w:lang w:eastAsia="it-IT"/>
    </w:rPr>
  </w:style>
  <w:style w:type="character" w:styleId="Rimandonotaapidipagina">
    <w:name w:val="footnote reference"/>
    <w:basedOn w:val="Carpredefinitoparagrafo"/>
    <w:uiPriority w:val="99"/>
    <w:unhideWhenUsed/>
    <w:rsid w:val="0071132A"/>
    <w:rPr>
      <w:rFonts w:cs="Times New Roman"/>
      <w:vertAlign w:val="superscript"/>
    </w:rPr>
  </w:style>
  <w:style w:type="paragraph" w:styleId="Paragrafoelenco">
    <w:name w:val="List Paragraph"/>
    <w:basedOn w:val="Normale"/>
    <w:uiPriority w:val="34"/>
    <w:qFormat/>
    <w:rsid w:val="005B705A"/>
    <w:pPr>
      <w:ind w:left="720"/>
      <w:contextualSpacing/>
    </w:pPr>
  </w:style>
  <w:style w:type="paragraph" w:styleId="NormaleWeb">
    <w:name w:val="Normal (Web)"/>
    <w:basedOn w:val="Normale"/>
    <w:uiPriority w:val="99"/>
    <w:unhideWhenUsed/>
    <w:rsid w:val="0076521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65216"/>
    <w:rPr>
      <w:color w:val="0000FF"/>
      <w:u w:val="single"/>
    </w:rPr>
  </w:style>
  <w:style w:type="paragraph" w:styleId="Testofumetto">
    <w:name w:val="Balloon Text"/>
    <w:basedOn w:val="Normale"/>
    <w:link w:val="TestofumettoCarattere"/>
    <w:uiPriority w:val="99"/>
    <w:semiHidden/>
    <w:unhideWhenUsed/>
    <w:rsid w:val="00CB1FB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1FBB"/>
    <w:rPr>
      <w:rFonts w:ascii="Segoe UI" w:hAnsi="Segoe UI" w:cs="Segoe UI"/>
      <w:sz w:val="18"/>
      <w:szCs w:val="18"/>
    </w:rPr>
  </w:style>
  <w:style w:type="character" w:styleId="Enfasigrassetto">
    <w:name w:val="Strong"/>
    <w:basedOn w:val="Carpredefinitoparagrafo"/>
    <w:uiPriority w:val="22"/>
    <w:qFormat/>
    <w:rsid w:val="006E1C24"/>
    <w:rPr>
      <w:b/>
      <w:bCs/>
    </w:rPr>
  </w:style>
  <w:style w:type="character" w:styleId="Enfasicorsivo">
    <w:name w:val="Emphasis"/>
    <w:basedOn w:val="Carpredefinitoparagrafo"/>
    <w:uiPriority w:val="20"/>
    <w:qFormat/>
    <w:rsid w:val="006E1C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971197">
      <w:bodyDiv w:val="1"/>
      <w:marLeft w:val="0"/>
      <w:marRight w:val="0"/>
      <w:marTop w:val="0"/>
      <w:marBottom w:val="0"/>
      <w:divBdr>
        <w:top w:val="none" w:sz="0" w:space="0" w:color="auto"/>
        <w:left w:val="none" w:sz="0" w:space="0" w:color="auto"/>
        <w:bottom w:val="none" w:sz="0" w:space="0" w:color="auto"/>
        <w:right w:val="none" w:sz="0" w:space="0" w:color="auto"/>
      </w:divBdr>
      <w:divsChild>
        <w:div w:id="159300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bosettiegatti.eu/info/norme/statali/1942_1150.htm" TargetMode="External"/><Relationship Id="rId13" Type="http://schemas.openxmlformats.org/officeDocument/2006/relationships/hyperlink" Target="http://www.bosettiegatti.eu/info/norme/statali/1942_1150.htm" TargetMode="External"/><Relationship Id="rId18" Type="http://schemas.openxmlformats.org/officeDocument/2006/relationships/hyperlink" Target="http://www.giustizia-amministrativa.it" TargetMode="External"/><Relationship Id="rId3" Type="http://schemas.openxmlformats.org/officeDocument/2006/relationships/hyperlink" Target="http://www.bosettiegatti.eu/info/norme/statali/2001_0380.htm" TargetMode="External"/><Relationship Id="rId7" Type="http://schemas.openxmlformats.org/officeDocument/2006/relationships/hyperlink" Target="http://www.bosettiegatti.eu/info/norme/statali/2016_0050.htm" TargetMode="External"/><Relationship Id="rId12" Type="http://schemas.openxmlformats.org/officeDocument/2006/relationships/hyperlink" Target="http://www.parlamento.it" TargetMode="External"/><Relationship Id="rId17" Type="http://schemas.openxmlformats.org/officeDocument/2006/relationships/hyperlink" Target="http://www.giustizia-amministrativa.it" TargetMode="External"/><Relationship Id="rId2" Type="http://schemas.openxmlformats.org/officeDocument/2006/relationships/hyperlink" Target="http://www.lexitalia.it" TargetMode="External"/><Relationship Id="rId16" Type="http://schemas.openxmlformats.org/officeDocument/2006/relationships/hyperlink" Target="http://www.parlamento.it" TargetMode="External"/><Relationship Id="rId20" Type="http://schemas.openxmlformats.org/officeDocument/2006/relationships/hyperlink" Target="http://www.giustizia-amministrativa.it" TargetMode="External"/><Relationship Id="rId1" Type="http://schemas.openxmlformats.org/officeDocument/2006/relationships/hyperlink" Target="http://www.lexitalia.it" TargetMode="External"/><Relationship Id="rId6" Type="http://schemas.openxmlformats.org/officeDocument/2006/relationships/hyperlink" Target="http://www.bosettiegatti.eu/info/norme/statali/2016_0050.htm" TargetMode="External"/><Relationship Id="rId11" Type="http://schemas.openxmlformats.org/officeDocument/2006/relationships/hyperlink" Target="http://www.parlamento.it" TargetMode="External"/><Relationship Id="rId5" Type="http://schemas.openxmlformats.org/officeDocument/2006/relationships/hyperlink" Target="http://www.bosettiegatti.eu/info/norme/statali/2016_0050.htm" TargetMode="External"/><Relationship Id="rId15" Type="http://schemas.openxmlformats.org/officeDocument/2006/relationships/hyperlink" Target="http://www.lexitalia.it" TargetMode="External"/><Relationship Id="rId10" Type="http://schemas.openxmlformats.org/officeDocument/2006/relationships/hyperlink" Target="http://www.bosettiegatti.eu/info/norme/statali/2001_0380.htm" TargetMode="External"/><Relationship Id="rId19" Type="http://schemas.openxmlformats.org/officeDocument/2006/relationships/hyperlink" Target="http://www.lexitalia.it" TargetMode="External"/><Relationship Id="rId4" Type="http://schemas.openxmlformats.org/officeDocument/2006/relationships/hyperlink" Target="http://www.bosettiegatti.eu/info/norme/statali/2016_0050.htm" TargetMode="External"/><Relationship Id="rId9" Type="http://schemas.openxmlformats.org/officeDocument/2006/relationships/hyperlink" Target="http://www.bosettiegatti.eu/info/norme/statali/2001_0380.htm" TargetMode="External"/><Relationship Id="rId14" Type="http://schemas.openxmlformats.org/officeDocument/2006/relationships/hyperlink" Target="http://www.bosettiegatti.eu/info/norme/statali/2016_0050.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039AF-F26B-4225-90FD-DAB03E43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8539</Words>
  <Characters>48673</Characters>
  <Application>Microsoft Office Word</Application>
  <DocSecurity>0</DocSecurity>
  <Lines>405</Lines>
  <Paragraphs>114</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57098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dc:creator>
  <cp:keywords/>
  <dc:description/>
  <cp:lastModifiedBy>FERRARI Giulia</cp:lastModifiedBy>
  <cp:revision>2</cp:revision>
  <cp:lastPrinted>2018-01-16T14:55:00Z</cp:lastPrinted>
  <dcterms:created xsi:type="dcterms:W3CDTF">2018-03-01T20:14:00Z</dcterms:created>
  <dcterms:modified xsi:type="dcterms:W3CDTF">2018-03-01T20:14:00Z</dcterms:modified>
</cp:coreProperties>
</file>