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6F1" w:rsidRDefault="005B1A11" w:rsidP="005B1A11">
      <w:pPr>
        <w:pStyle w:val="ListParagraph"/>
        <w:jc w:val="center"/>
        <w:rPr>
          <w:rFonts w:ascii="Times New Roman" w:hAnsi="Times New Roman" w:cs="Times New Roman"/>
          <w:b/>
          <w:sz w:val="44"/>
          <w:szCs w:val="44"/>
        </w:rPr>
      </w:pPr>
      <w:r>
        <w:rPr>
          <w:rFonts w:ascii="Times New Roman" w:hAnsi="Times New Roman" w:cs="Times New Roman"/>
          <w:b/>
          <w:sz w:val="44"/>
          <w:szCs w:val="44"/>
        </w:rPr>
        <w:t>La difficile convivenza del</w:t>
      </w:r>
      <w:r w:rsidR="000B1D90">
        <w:rPr>
          <w:rFonts w:ascii="Times New Roman" w:hAnsi="Times New Roman" w:cs="Times New Roman"/>
          <w:b/>
          <w:sz w:val="44"/>
          <w:szCs w:val="44"/>
        </w:rPr>
        <w:t>l’a</w:t>
      </w:r>
      <w:r w:rsidR="00956333">
        <w:rPr>
          <w:rFonts w:ascii="Times New Roman" w:hAnsi="Times New Roman" w:cs="Times New Roman"/>
          <w:b/>
          <w:sz w:val="44"/>
          <w:szCs w:val="44"/>
        </w:rPr>
        <w:t xml:space="preserve">ccesso </w:t>
      </w:r>
      <w:r w:rsidR="00B82CFC">
        <w:rPr>
          <w:rFonts w:ascii="Times New Roman" w:hAnsi="Times New Roman" w:cs="Times New Roman"/>
          <w:b/>
          <w:sz w:val="44"/>
          <w:szCs w:val="44"/>
        </w:rPr>
        <w:t xml:space="preserve">civico </w:t>
      </w:r>
      <w:r>
        <w:rPr>
          <w:rFonts w:ascii="Times New Roman" w:hAnsi="Times New Roman" w:cs="Times New Roman"/>
          <w:b/>
          <w:sz w:val="44"/>
          <w:szCs w:val="44"/>
        </w:rPr>
        <w:t>generalizzato (FOIA) con</w:t>
      </w:r>
      <w:r w:rsidR="00956333">
        <w:rPr>
          <w:rFonts w:ascii="Times New Roman" w:hAnsi="Times New Roman" w:cs="Times New Roman"/>
          <w:b/>
          <w:sz w:val="44"/>
          <w:szCs w:val="44"/>
        </w:rPr>
        <w:t xml:space="preserve"> </w:t>
      </w:r>
      <w:r w:rsidR="000B1D90">
        <w:rPr>
          <w:rFonts w:ascii="Times New Roman" w:hAnsi="Times New Roman" w:cs="Times New Roman"/>
          <w:b/>
          <w:sz w:val="44"/>
          <w:szCs w:val="44"/>
        </w:rPr>
        <w:t xml:space="preserve">la </w:t>
      </w:r>
      <w:r w:rsidR="00E57E84">
        <w:rPr>
          <w:rFonts w:ascii="Times New Roman" w:hAnsi="Times New Roman" w:cs="Times New Roman"/>
          <w:b/>
          <w:sz w:val="44"/>
          <w:szCs w:val="44"/>
        </w:rPr>
        <w:t>tu</w:t>
      </w:r>
      <w:r w:rsidR="008D73BA">
        <w:rPr>
          <w:rFonts w:ascii="Times New Roman" w:hAnsi="Times New Roman" w:cs="Times New Roman"/>
          <w:b/>
          <w:sz w:val="44"/>
          <w:szCs w:val="44"/>
        </w:rPr>
        <w:t xml:space="preserve">tela della </w:t>
      </w:r>
      <w:r w:rsidR="00956333">
        <w:rPr>
          <w:rFonts w:ascii="Times New Roman" w:hAnsi="Times New Roman" w:cs="Times New Roman"/>
          <w:b/>
          <w:sz w:val="44"/>
          <w:szCs w:val="44"/>
        </w:rPr>
        <w:t>privacy</w:t>
      </w:r>
      <w:r w:rsidR="00990C90">
        <w:rPr>
          <w:rFonts w:ascii="Times New Roman" w:hAnsi="Times New Roman" w:cs="Times New Roman"/>
          <w:b/>
          <w:sz w:val="44"/>
          <w:szCs w:val="44"/>
        </w:rPr>
        <w:t>: u</w:t>
      </w:r>
      <w:r w:rsidR="008D73BA">
        <w:rPr>
          <w:rFonts w:ascii="Times New Roman" w:hAnsi="Times New Roman" w:cs="Times New Roman"/>
          <w:b/>
          <w:sz w:val="44"/>
          <w:szCs w:val="44"/>
        </w:rPr>
        <w:t>n conflitto insanabile?</w:t>
      </w:r>
    </w:p>
    <w:p w:rsidR="004B164E" w:rsidRDefault="004B164E" w:rsidP="00561C5A">
      <w:pPr>
        <w:pStyle w:val="ListParagraph"/>
        <w:jc w:val="center"/>
        <w:rPr>
          <w:rFonts w:ascii="Times New Roman" w:hAnsi="Times New Roman" w:cs="Times New Roman"/>
          <w:b/>
          <w:sz w:val="44"/>
          <w:szCs w:val="44"/>
        </w:rPr>
      </w:pPr>
    </w:p>
    <w:p w:rsidR="004B164E" w:rsidRPr="004B164E" w:rsidRDefault="004B164E" w:rsidP="004B164E">
      <w:pPr>
        <w:pStyle w:val="ListParagraph"/>
        <w:jc w:val="center"/>
        <w:rPr>
          <w:rFonts w:ascii="Times New Roman" w:hAnsi="Times New Roman" w:cs="Times New Roman"/>
          <w:i/>
          <w:sz w:val="44"/>
          <w:szCs w:val="44"/>
        </w:rPr>
      </w:pPr>
    </w:p>
    <w:p w:rsidR="004E6F4E" w:rsidRPr="009B7A57" w:rsidRDefault="009B7A57" w:rsidP="00FD4C1E">
      <w:pPr>
        <w:jc w:val="both"/>
        <w:rPr>
          <w:rFonts w:ascii="Times New Roman" w:hAnsi="Times New Roman" w:cs="Times New Roman"/>
          <w:b/>
          <w:sz w:val="28"/>
          <w:szCs w:val="28"/>
        </w:rPr>
      </w:pPr>
      <w:bookmarkStart w:id="0" w:name="_GoBack"/>
      <w:r w:rsidRPr="009B7A57">
        <w:rPr>
          <w:rStyle w:val="Strong"/>
          <w:rFonts w:ascii="Times New Roman" w:hAnsi="Times New Roman" w:cs="Times New Roman"/>
          <w:color w:val="000000"/>
          <w:sz w:val="28"/>
          <w:szCs w:val="28"/>
          <w:u w:val="single"/>
          <w:shd w:val="clear" w:color="auto" w:fill="FFFFFF"/>
        </w:rPr>
        <w:t>SOMMARIO:</w:t>
      </w:r>
      <w:r w:rsidRPr="009B7A57">
        <w:rPr>
          <w:rStyle w:val="Strong"/>
          <w:rFonts w:ascii="Times New Roman" w:hAnsi="Times New Roman" w:cs="Times New Roman"/>
          <w:color w:val="000000"/>
          <w:sz w:val="28"/>
          <w:szCs w:val="28"/>
          <w:shd w:val="clear" w:color="auto" w:fill="FFFFFF"/>
        </w:rPr>
        <w:t> 1.- Il problema antico del conflitto tra trasparenza e privacy; 2.- La diversa costruzione normativa del diritto di accesso documentale e di quello civico generalizzato; 3.- L’utilizzo, ancora, della </w:t>
      </w:r>
      <w:r w:rsidRPr="009B7A57">
        <w:rPr>
          <w:rStyle w:val="Emphasis"/>
          <w:rFonts w:ascii="Times New Roman" w:hAnsi="Times New Roman" w:cs="Times New Roman"/>
          <w:b/>
          <w:bCs/>
          <w:color w:val="000000"/>
          <w:sz w:val="28"/>
          <w:szCs w:val="28"/>
          <w:shd w:val="clear" w:color="auto" w:fill="FFFFFF"/>
        </w:rPr>
        <w:t>soft law</w:t>
      </w:r>
      <w:r w:rsidRPr="009B7A57">
        <w:rPr>
          <w:rStyle w:val="Strong"/>
          <w:rFonts w:ascii="Times New Roman" w:hAnsi="Times New Roman" w:cs="Times New Roman"/>
          <w:color w:val="000000"/>
          <w:sz w:val="28"/>
          <w:szCs w:val="28"/>
          <w:shd w:val="clear" w:color="auto" w:fill="FFFFFF"/>
        </w:rPr>
        <w:t> per orientare l’esame delle istanze di accesso civico generalizzato; 4.- La difficile valutazione dell’esistenza di un pregiudizio concreto che imponga il diniego dell’accesso; 5.- Ulteriori criticità della disciplina dell’accesso civico generalizzato; 6.- Considerazioni conclusive.</w:t>
      </w:r>
      <w:bookmarkEnd w:id="0"/>
      <w:r w:rsidR="00592958" w:rsidRPr="009B7A57">
        <w:rPr>
          <w:rFonts w:ascii="Times New Roman" w:hAnsi="Times New Roman" w:cs="Times New Roman"/>
          <w:b/>
          <w:sz w:val="28"/>
          <w:szCs w:val="28"/>
        </w:rPr>
        <w:t xml:space="preserve"> </w:t>
      </w:r>
    </w:p>
    <w:p w:rsidR="00956333" w:rsidRPr="00FD4C1E" w:rsidRDefault="00E57E84" w:rsidP="00FD4C1E">
      <w:pPr>
        <w:jc w:val="both"/>
        <w:rPr>
          <w:rFonts w:ascii="Times New Roman" w:hAnsi="Times New Roman" w:cs="Times New Roman"/>
          <w:sz w:val="28"/>
          <w:szCs w:val="28"/>
        </w:rPr>
      </w:pPr>
      <w:r w:rsidRPr="00FD4C1E">
        <w:rPr>
          <w:rFonts w:ascii="Times New Roman" w:hAnsi="Times New Roman" w:cs="Times New Roman"/>
          <w:sz w:val="28"/>
          <w:szCs w:val="28"/>
        </w:rPr>
        <w:t xml:space="preserve">1.- La prossima entrata in vigore del regolamento </w:t>
      </w:r>
      <w:r w:rsidR="00FC085F">
        <w:rPr>
          <w:rFonts w:ascii="Times New Roman" w:hAnsi="Times New Roman" w:cs="Times New Roman"/>
          <w:sz w:val="28"/>
          <w:szCs w:val="28"/>
        </w:rPr>
        <w:t>europeo sulla protezione dei dati personali (n.679 del 2016)</w:t>
      </w:r>
      <w:r w:rsidR="0033176A" w:rsidRPr="00FD4C1E">
        <w:rPr>
          <w:rFonts w:ascii="Times New Roman" w:hAnsi="Times New Roman" w:cs="Times New Roman"/>
          <w:sz w:val="28"/>
          <w:szCs w:val="28"/>
        </w:rPr>
        <w:t xml:space="preserve"> impone alcune riflessioni in ordine all’</w:t>
      </w:r>
      <w:r w:rsidRPr="00FD4C1E">
        <w:rPr>
          <w:rFonts w:ascii="Times New Roman" w:hAnsi="Times New Roman" w:cs="Times New Roman"/>
          <w:sz w:val="28"/>
          <w:szCs w:val="28"/>
        </w:rPr>
        <w:t xml:space="preserve">impatto delle esigenze di </w:t>
      </w:r>
      <w:r w:rsidR="00FC085F">
        <w:rPr>
          <w:rFonts w:ascii="Times New Roman" w:hAnsi="Times New Roman" w:cs="Times New Roman"/>
          <w:sz w:val="28"/>
          <w:szCs w:val="28"/>
        </w:rPr>
        <w:t>tutela della privacy</w:t>
      </w:r>
      <w:r w:rsidR="0033176A" w:rsidRPr="00FD4C1E">
        <w:rPr>
          <w:rFonts w:ascii="Times New Roman" w:hAnsi="Times New Roman" w:cs="Times New Roman"/>
          <w:sz w:val="28"/>
          <w:szCs w:val="28"/>
        </w:rPr>
        <w:t xml:space="preserve"> su</w:t>
      </w:r>
      <w:r w:rsidR="00FC085F">
        <w:rPr>
          <w:rFonts w:ascii="Times New Roman" w:hAnsi="Times New Roman" w:cs="Times New Roman"/>
          <w:sz w:val="28"/>
          <w:szCs w:val="28"/>
        </w:rPr>
        <w:t>ll’esercizio del</w:t>
      </w:r>
      <w:r w:rsidRPr="00FD4C1E">
        <w:rPr>
          <w:rFonts w:ascii="Times New Roman" w:hAnsi="Times New Roman" w:cs="Times New Roman"/>
          <w:sz w:val="28"/>
          <w:szCs w:val="28"/>
        </w:rPr>
        <w:t xml:space="preserve"> diritto di accesso </w:t>
      </w:r>
      <w:r w:rsidR="00C41A5A" w:rsidRPr="00FD4C1E">
        <w:rPr>
          <w:rFonts w:ascii="Times New Roman" w:hAnsi="Times New Roman" w:cs="Times New Roman"/>
          <w:sz w:val="28"/>
          <w:szCs w:val="28"/>
        </w:rPr>
        <w:t xml:space="preserve">civico </w:t>
      </w:r>
      <w:r w:rsidRPr="00FD4C1E">
        <w:rPr>
          <w:rFonts w:ascii="Times New Roman" w:hAnsi="Times New Roman" w:cs="Times New Roman"/>
          <w:sz w:val="28"/>
          <w:szCs w:val="28"/>
        </w:rPr>
        <w:t>generalizzato</w:t>
      </w:r>
      <w:r w:rsidR="00C41A5A" w:rsidRPr="00FD4C1E">
        <w:rPr>
          <w:rFonts w:ascii="Times New Roman" w:hAnsi="Times New Roman" w:cs="Times New Roman"/>
          <w:sz w:val="28"/>
          <w:szCs w:val="28"/>
        </w:rPr>
        <w:t xml:space="preserve"> (d’ora innanzi ACG)</w:t>
      </w:r>
      <w:r w:rsidRPr="00FD4C1E">
        <w:rPr>
          <w:rFonts w:ascii="Times New Roman" w:hAnsi="Times New Roman" w:cs="Times New Roman"/>
          <w:sz w:val="28"/>
          <w:szCs w:val="28"/>
        </w:rPr>
        <w:t>, per come introdotto co</w:t>
      </w:r>
      <w:r w:rsidR="00D76218">
        <w:rPr>
          <w:rFonts w:ascii="Times New Roman" w:hAnsi="Times New Roman" w:cs="Times New Roman"/>
          <w:sz w:val="28"/>
          <w:szCs w:val="28"/>
        </w:rPr>
        <w:t>n il d.lgs. n.97</w:t>
      </w:r>
      <w:r w:rsidR="00BC15E2" w:rsidRPr="00FD4C1E">
        <w:rPr>
          <w:rFonts w:ascii="Times New Roman" w:hAnsi="Times New Roman" w:cs="Times New Roman"/>
          <w:sz w:val="28"/>
          <w:szCs w:val="28"/>
        </w:rPr>
        <w:t xml:space="preserve">/2016, che ha </w:t>
      </w:r>
      <w:r w:rsidRPr="00FD4C1E">
        <w:rPr>
          <w:rFonts w:ascii="Times New Roman" w:hAnsi="Times New Roman" w:cs="Times New Roman"/>
          <w:sz w:val="28"/>
          <w:szCs w:val="28"/>
        </w:rPr>
        <w:t xml:space="preserve">modificato il </w:t>
      </w:r>
      <w:r w:rsidR="004E6F4E" w:rsidRPr="00FD4C1E">
        <w:rPr>
          <w:rFonts w:ascii="Times New Roman" w:hAnsi="Times New Roman" w:cs="Times New Roman"/>
          <w:sz w:val="28"/>
          <w:szCs w:val="28"/>
        </w:rPr>
        <w:t>d.lgs.</w:t>
      </w:r>
      <w:r w:rsidRPr="00FD4C1E">
        <w:rPr>
          <w:rFonts w:ascii="Times New Roman" w:hAnsi="Times New Roman" w:cs="Times New Roman"/>
          <w:sz w:val="28"/>
          <w:szCs w:val="28"/>
        </w:rPr>
        <w:t xml:space="preserve"> n.33 del 2013.</w:t>
      </w:r>
    </w:p>
    <w:p w:rsidR="0033176A" w:rsidRPr="00FD4C1E" w:rsidRDefault="0033176A" w:rsidP="00FD4C1E">
      <w:pPr>
        <w:jc w:val="both"/>
        <w:rPr>
          <w:rFonts w:ascii="Times New Roman" w:hAnsi="Times New Roman" w:cs="Times New Roman"/>
          <w:sz w:val="28"/>
          <w:szCs w:val="28"/>
        </w:rPr>
      </w:pPr>
      <w:r w:rsidRPr="00FD4C1E">
        <w:rPr>
          <w:rFonts w:ascii="Times New Roman" w:hAnsi="Times New Roman" w:cs="Times New Roman"/>
          <w:sz w:val="28"/>
          <w:szCs w:val="28"/>
        </w:rPr>
        <w:t>Si ripropone, in altri termini, seppur con accenti inediti, diversi e, forse, più acuti, il tradizionale tema del conflitto tra il diritto di accesso agli atti amministrativi e le esigenze di riservatezza delle informazioni che riguardano soggetti controinteressati (che ha affaticato dottrina e giurisprudenza fin dall’approvazione della legge n.241 del 1990).</w:t>
      </w:r>
    </w:p>
    <w:p w:rsidR="0033176A" w:rsidRPr="00FD4C1E" w:rsidRDefault="0033176A" w:rsidP="00FD4C1E">
      <w:pPr>
        <w:jc w:val="both"/>
        <w:rPr>
          <w:rFonts w:ascii="Times New Roman" w:hAnsi="Times New Roman" w:cs="Times New Roman"/>
          <w:sz w:val="28"/>
          <w:szCs w:val="28"/>
        </w:rPr>
      </w:pPr>
      <w:r w:rsidRPr="00FD4C1E">
        <w:rPr>
          <w:rFonts w:ascii="Times New Roman" w:hAnsi="Times New Roman" w:cs="Times New Roman"/>
          <w:sz w:val="28"/>
          <w:szCs w:val="28"/>
        </w:rPr>
        <w:t xml:space="preserve">I sicuri approdi ai quali era giunto il dibattito circa l’equilibrio tra i suddetti, confliggenti interessi sono, infatti, destinati a tornare incerti per effetto della </w:t>
      </w:r>
      <w:r w:rsidR="00D76218">
        <w:rPr>
          <w:rFonts w:ascii="Times New Roman" w:hAnsi="Times New Roman" w:cs="Times New Roman"/>
          <w:sz w:val="28"/>
          <w:szCs w:val="28"/>
        </w:rPr>
        <w:t xml:space="preserve">progressiva </w:t>
      </w:r>
      <w:r w:rsidRPr="00FD4C1E">
        <w:rPr>
          <w:rFonts w:ascii="Times New Roman" w:hAnsi="Times New Roman" w:cs="Times New Roman"/>
          <w:sz w:val="28"/>
          <w:szCs w:val="28"/>
        </w:rPr>
        <w:t xml:space="preserve">dilatazione degli spazi operativi dell’accesso ai documenti amministrativi e della contestuale ridefinizione della regolazione e della protezione dei dati personali.  </w:t>
      </w:r>
    </w:p>
    <w:p w:rsidR="007839CE" w:rsidRPr="00FD4C1E" w:rsidRDefault="007839CE" w:rsidP="00FD4C1E">
      <w:pPr>
        <w:jc w:val="both"/>
        <w:rPr>
          <w:rFonts w:ascii="Times New Roman" w:hAnsi="Times New Roman" w:cs="Times New Roman"/>
          <w:sz w:val="28"/>
          <w:szCs w:val="28"/>
        </w:rPr>
      </w:pPr>
      <w:r w:rsidRPr="00FD4C1E">
        <w:rPr>
          <w:rFonts w:ascii="Times New Roman" w:hAnsi="Times New Roman" w:cs="Times New Roman"/>
          <w:sz w:val="28"/>
          <w:szCs w:val="28"/>
        </w:rPr>
        <w:t xml:space="preserve">All’originaria fattispecie dell’accesso documentale di cui agli artt.22 e seguenti della legge n.241 del 1990, si sono, poi, aggiunti, l’accesso civico semplice, che serve solo a correggere le inadempienze agli obblighi di pubblicazione, e, da ultimo (con il </w:t>
      </w:r>
      <w:r w:rsidR="004E6F4E" w:rsidRPr="00FD4C1E">
        <w:rPr>
          <w:rFonts w:ascii="Times New Roman" w:hAnsi="Times New Roman" w:cs="Times New Roman"/>
          <w:sz w:val="28"/>
          <w:szCs w:val="28"/>
        </w:rPr>
        <w:t>d.lgs.</w:t>
      </w:r>
      <w:r w:rsidRPr="00FD4C1E">
        <w:rPr>
          <w:rFonts w:ascii="Times New Roman" w:hAnsi="Times New Roman" w:cs="Times New Roman"/>
          <w:sz w:val="28"/>
          <w:szCs w:val="28"/>
        </w:rPr>
        <w:t xml:space="preserve">, n.91 del 2016), quello </w:t>
      </w:r>
      <w:r w:rsidR="00FC085F">
        <w:rPr>
          <w:rFonts w:ascii="Times New Roman" w:hAnsi="Times New Roman" w:cs="Times New Roman"/>
          <w:sz w:val="28"/>
          <w:szCs w:val="28"/>
        </w:rPr>
        <w:t xml:space="preserve">civico </w:t>
      </w:r>
      <w:r w:rsidRPr="00FD4C1E">
        <w:rPr>
          <w:rFonts w:ascii="Times New Roman" w:hAnsi="Times New Roman" w:cs="Times New Roman"/>
          <w:sz w:val="28"/>
          <w:szCs w:val="28"/>
        </w:rPr>
        <w:t>generalizzato.</w:t>
      </w:r>
    </w:p>
    <w:p w:rsidR="00CB26A0" w:rsidRPr="00FD4C1E" w:rsidRDefault="007839CE" w:rsidP="00FD4C1E">
      <w:pPr>
        <w:jc w:val="both"/>
        <w:rPr>
          <w:rFonts w:ascii="Times New Roman" w:hAnsi="Times New Roman" w:cs="Times New Roman"/>
          <w:sz w:val="28"/>
          <w:szCs w:val="28"/>
        </w:rPr>
      </w:pPr>
      <w:r w:rsidRPr="00FD4C1E">
        <w:rPr>
          <w:rFonts w:ascii="Times New Roman" w:hAnsi="Times New Roman" w:cs="Times New Roman"/>
          <w:sz w:val="28"/>
          <w:szCs w:val="28"/>
        </w:rPr>
        <w:t xml:space="preserve">Quest’ultimo istituto, in particolare, rivela, da subito, </w:t>
      </w:r>
      <w:r w:rsidR="00CB26A0" w:rsidRPr="00FD4C1E">
        <w:rPr>
          <w:rFonts w:ascii="Times New Roman" w:hAnsi="Times New Roman" w:cs="Times New Roman"/>
          <w:sz w:val="28"/>
          <w:szCs w:val="28"/>
        </w:rPr>
        <w:t>un’</w:t>
      </w:r>
      <w:r w:rsidRPr="00FD4C1E">
        <w:rPr>
          <w:rFonts w:ascii="Times New Roman" w:hAnsi="Times New Roman" w:cs="Times New Roman"/>
          <w:sz w:val="28"/>
          <w:szCs w:val="28"/>
        </w:rPr>
        <w:t>evidente</w:t>
      </w:r>
      <w:r w:rsidR="00CB26A0" w:rsidRPr="00FD4C1E">
        <w:rPr>
          <w:rFonts w:ascii="Times New Roman" w:hAnsi="Times New Roman" w:cs="Times New Roman"/>
          <w:sz w:val="28"/>
          <w:szCs w:val="28"/>
        </w:rPr>
        <w:t xml:space="preserve"> e fisiologica attitudine a invadere la sfera di riservatezza dei soggetti controinteressati alla conoscenza del documento oggetto dell’accesso.</w:t>
      </w:r>
    </w:p>
    <w:p w:rsidR="00A92322" w:rsidRPr="00FD4C1E" w:rsidRDefault="00CB26A0" w:rsidP="00FD4C1E">
      <w:pPr>
        <w:jc w:val="both"/>
        <w:rPr>
          <w:rFonts w:ascii="Times New Roman" w:hAnsi="Times New Roman" w:cs="Times New Roman"/>
          <w:sz w:val="28"/>
          <w:szCs w:val="28"/>
        </w:rPr>
      </w:pPr>
      <w:r w:rsidRPr="00FD4C1E">
        <w:rPr>
          <w:rFonts w:ascii="Times New Roman" w:hAnsi="Times New Roman" w:cs="Times New Roman"/>
          <w:sz w:val="28"/>
          <w:szCs w:val="28"/>
        </w:rPr>
        <w:t>Nella misura, in cui, infatti</w:t>
      </w:r>
      <w:r w:rsidR="00FC085F">
        <w:rPr>
          <w:rFonts w:ascii="Times New Roman" w:hAnsi="Times New Roman" w:cs="Times New Roman"/>
          <w:sz w:val="28"/>
          <w:szCs w:val="28"/>
        </w:rPr>
        <w:t xml:space="preserve">, </w:t>
      </w:r>
      <w:r w:rsidR="00D76218">
        <w:rPr>
          <w:rFonts w:ascii="Times New Roman" w:hAnsi="Times New Roman" w:cs="Times New Roman"/>
          <w:sz w:val="28"/>
          <w:szCs w:val="28"/>
        </w:rPr>
        <w:t>il diritto al</w:t>
      </w:r>
      <w:r w:rsidR="00FC085F">
        <w:rPr>
          <w:rFonts w:ascii="Times New Roman" w:hAnsi="Times New Roman" w:cs="Times New Roman"/>
          <w:sz w:val="28"/>
          <w:szCs w:val="28"/>
        </w:rPr>
        <w:t>l’ACG</w:t>
      </w:r>
      <w:r w:rsidRPr="00FD4C1E">
        <w:rPr>
          <w:rFonts w:ascii="Times New Roman" w:hAnsi="Times New Roman" w:cs="Times New Roman"/>
          <w:sz w:val="28"/>
          <w:szCs w:val="28"/>
        </w:rPr>
        <w:t xml:space="preserve"> risulta attribuito a ogni cittadino, senza necessità che sia titolare di una legittimazione collegata a un interesse qualificato e differenziato, e preordinato a garantire un controllo democratico </w:t>
      </w:r>
      <w:r w:rsidR="00A92322" w:rsidRPr="00FD4C1E">
        <w:rPr>
          <w:rFonts w:ascii="Times New Roman" w:hAnsi="Times New Roman" w:cs="Times New Roman"/>
          <w:sz w:val="28"/>
          <w:szCs w:val="28"/>
        </w:rPr>
        <w:t xml:space="preserve">e diffuso </w:t>
      </w:r>
      <w:r w:rsidRPr="00FD4C1E">
        <w:rPr>
          <w:rFonts w:ascii="Times New Roman" w:hAnsi="Times New Roman" w:cs="Times New Roman"/>
          <w:sz w:val="28"/>
          <w:szCs w:val="28"/>
        </w:rPr>
        <w:t xml:space="preserve">sul corretto esercizio delle pubbliche funzioni, esso </w:t>
      </w:r>
      <w:r w:rsidR="00A92322" w:rsidRPr="00FD4C1E">
        <w:rPr>
          <w:rFonts w:ascii="Times New Roman" w:hAnsi="Times New Roman" w:cs="Times New Roman"/>
          <w:sz w:val="28"/>
          <w:szCs w:val="28"/>
        </w:rPr>
        <w:t>si pone in immediata antinomia con le esigenze di protezione dei dati delle persone coinvolte, a qualsiasi titolo, nel documento che si chiede di conoscere.</w:t>
      </w:r>
    </w:p>
    <w:p w:rsidR="00A92322" w:rsidRPr="00FD4C1E" w:rsidRDefault="00BD1BB2" w:rsidP="00FD4C1E">
      <w:pPr>
        <w:jc w:val="both"/>
        <w:rPr>
          <w:rFonts w:ascii="Times New Roman" w:hAnsi="Times New Roman" w:cs="Times New Roman"/>
          <w:sz w:val="28"/>
          <w:szCs w:val="28"/>
        </w:rPr>
      </w:pPr>
      <w:r>
        <w:rPr>
          <w:rFonts w:ascii="Times New Roman" w:hAnsi="Times New Roman" w:cs="Times New Roman"/>
          <w:sz w:val="28"/>
          <w:szCs w:val="28"/>
        </w:rPr>
        <w:t xml:space="preserve">2.- </w:t>
      </w:r>
      <w:r w:rsidR="00A92322" w:rsidRPr="00FD4C1E">
        <w:rPr>
          <w:rFonts w:ascii="Times New Roman" w:hAnsi="Times New Roman" w:cs="Times New Roman"/>
          <w:sz w:val="28"/>
          <w:szCs w:val="28"/>
        </w:rPr>
        <w:t>Sennonchè, mentre la legge del 1990 aveva risolto la predetta aporia con una</w:t>
      </w:r>
      <w:r w:rsidR="00B80CA6" w:rsidRPr="00FD4C1E">
        <w:rPr>
          <w:rFonts w:ascii="Times New Roman" w:hAnsi="Times New Roman" w:cs="Times New Roman"/>
          <w:sz w:val="28"/>
          <w:szCs w:val="28"/>
        </w:rPr>
        <w:t xml:space="preserve"> costruzione normativa</w:t>
      </w:r>
      <w:r w:rsidR="00A92322" w:rsidRPr="00FD4C1E">
        <w:rPr>
          <w:rFonts w:ascii="Times New Roman" w:hAnsi="Times New Roman" w:cs="Times New Roman"/>
          <w:sz w:val="28"/>
          <w:szCs w:val="28"/>
        </w:rPr>
        <w:t xml:space="preserve"> lineare e sicura, il decret</w:t>
      </w:r>
      <w:r w:rsidR="00B80CA6" w:rsidRPr="00FD4C1E">
        <w:rPr>
          <w:rFonts w:ascii="Times New Roman" w:hAnsi="Times New Roman" w:cs="Times New Roman"/>
          <w:sz w:val="28"/>
          <w:szCs w:val="28"/>
        </w:rPr>
        <w:t>o legislativo del 2016 ha optato</w:t>
      </w:r>
      <w:r w:rsidR="00A92322" w:rsidRPr="00FD4C1E">
        <w:rPr>
          <w:rFonts w:ascii="Times New Roman" w:hAnsi="Times New Roman" w:cs="Times New Roman"/>
          <w:sz w:val="28"/>
          <w:szCs w:val="28"/>
        </w:rPr>
        <w:t xml:space="preserve"> per la diversa, ma meno affidabile, soluzione della </w:t>
      </w:r>
      <w:r w:rsidR="00A92322" w:rsidRPr="00FC085F">
        <w:rPr>
          <w:rFonts w:ascii="Times New Roman" w:hAnsi="Times New Roman" w:cs="Times New Roman"/>
          <w:i/>
          <w:sz w:val="28"/>
          <w:szCs w:val="28"/>
        </w:rPr>
        <w:t>soft law</w:t>
      </w:r>
      <w:r w:rsidR="00A92322" w:rsidRPr="00FD4C1E">
        <w:rPr>
          <w:rFonts w:ascii="Times New Roman" w:hAnsi="Times New Roman" w:cs="Times New Roman"/>
          <w:sz w:val="28"/>
          <w:szCs w:val="28"/>
        </w:rPr>
        <w:t xml:space="preserve"> (che sembra ormai diventata la panacea </w:t>
      </w:r>
      <w:r w:rsidR="00357E45" w:rsidRPr="00FD4C1E">
        <w:rPr>
          <w:rFonts w:ascii="Times New Roman" w:hAnsi="Times New Roman" w:cs="Times New Roman"/>
          <w:sz w:val="28"/>
          <w:szCs w:val="28"/>
        </w:rPr>
        <w:t>di tuti</w:t>
      </w:r>
      <w:r w:rsidR="00FC085F">
        <w:rPr>
          <w:rFonts w:ascii="Times New Roman" w:hAnsi="Times New Roman" w:cs="Times New Roman"/>
          <w:sz w:val="28"/>
          <w:szCs w:val="28"/>
        </w:rPr>
        <w:t xml:space="preserve"> i mali connessi a</w:t>
      </w:r>
      <w:r w:rsidR="00357E45" w:rsidRPr="00FD4C1E">
        <w:rPr>
          <w:rFonts w:ascii="Times New Roman" w:hAnsi="Times New Roman" w:cs="Times New Roman"/>
          <w:sz w:val="28"/>
          <w:szCs w:val="28"/>
        </w:rPr>
        <w:t>lla regolazione di secondo livello</w:t>
      </w:r>
      <w:r w:rsidR="00A92322" w:rsidRPr="00FD4C1E">
        <w:rPr>
          <w:rFonts w:ascii="Times New Roman" w:hAnsi="Times New Roman" w:cs="Times New Roman"/>
          <w:sz w:val="28"/>
          <w:szCs w:val="28"/>
        </w:rPr>
        <w:t>).</w:t>
      </w:r>
    </w:p>
    <w:p w:rsidR="00B80CA6" w:rsidRPr="00D130B7" w:rsidRDefault="00B80CA6" w:rsidP="00D130B7">
      <w:pPr>
        <w:jc w:val="both"/>
        <w:rPr>
          <w:rFonts w:ascii="Times New Roman" w:hAnsi="Times New Roman" w:cs="Times New Roman"/>
          <w:sz w:val="28"/>
          <w:szCs w:val="28"/>
        </w:rPr>
      </w:pPr>
      <w:r w:rsidRPr="00D130B7">
        <w:rPr>
          <w:rFonts w:ascii="Times New Roman" w:hAnsi="Times New Roman" w:cs="Times New Roman"/>
          <w:sz w:val="28"/>
          <w:szCs w:val="28"/>
        </w:rPr>
        <w:t>Se, infatti, il Legislatore del 1990 aveva autorizzato l’</w:t>
      </w:r>
      <w:r w:rsidR="003C6891" w:rsidRPr="00D130B7">
        <w:rPr>
          <w:rFonts w:ascii="Times New Roman" w:hAnsi="Times New Roman" w:cs="Times New Roman"/>
          <w:sz w:val="28"/>
          <w:szCs w:val="28"/>
        </w:rPr>
        <w:t>ema</w:t>
      </w:r>
      <w:r w:rsidRPr="00D130B7">
        <w:rPr>
          <w:rFonts w:ascii="Times New Roman" w:hAnsi="Times New Roman" w:cs="Times New Roman"/>
          <w:sz w:val="28"/>
          <w:szCs w:val="28"/>
        </w:rPr>
        <w:t>nazione di regolamenti conten</w:t>
      </w:r>
      <w:r w:rsidR="00357E45" w:rsidRPr="00D130B7">
        <w:rPr>
          <w:rFonts w:ascii="Times New Roman" w:hAnsi="Times New Roman" w:cs="Times New Roman"/>
          <w:sz w:val="28"/>
          <w:szCs w:val="28"/>
        </w:rPr>
        <w:t>en</w:t>
      </w:r>
      <w:r w:rsidRPr="00D130B7">
        <w:rPr>
          <w:rFonts w:ascii="Times New Roman" w:hAnsi="Times New Roman" w:cs="Times New Roman"/>
          <w:sz w:val="28"/>
          <w:szCs w:val="28"/>
        </w:rPr>
        <w:t>ti la classificazione delle tipologie di atti amministrativ</w:t>
      </w:r>
      <w:r w:rsidR="003C6891" w:rsidRPr="00D130B7">
        <w:rPr>
          <w:rFonts w:ascii="Times New Roman" w:hAnsi="Times New Roman" w:cs="Times New Roman"/>
          <w:sz w:val="28"/>
          <w:szCs w:val="28"/>
        </w:rPr>
        <w:t>i</w:t>
      </w:r>
      <w:r w:rsidRPr="00D130B7">
        <w:rPr>
          <w:rFonts w:ascii="Times New Roman" w:hAnsi="Times New Roman" w:cs="Times New Roman"/>
          <w:sz w:val="28"/>
          <w:szCs w:val="28"/>
        </w:rPr>
        <w:t xml:space="preserve"> </w:t>
      </w:r>
      <w:r w:rsidR="003C6891" w:rsidRPr="00D130B7">
        <w:rPr>
          <w:rFonts w:ascii="Times New Roman" w:hAnsi="Times New Roman" w:cs="Times New Roman"/>
          <w:sz w:val="28"/>
          <w:szCs w:val="28"/>
        </w:rPr>
        <w:t>sottra</w:t>
      </w:r>
      <w:r w:rsidRPr="00D130B7">
        <w:rPr>
          <w:rFonts w:ascii="Times New Roman" w:hAnsi="Times New Roman" w:cs="Times New Roman"/>
          <w:sz w:val="28"/>
          <w:szCs w:val="28"/>
        </w:rPr>
        <w:t>tt</w:t>
      </w:r>
      <w:r w:rsidR="003C6891" w:rsidRPr="00D130B7">
        <w:rPr>
          <w:rFonts w:ascii="Times New Roman" w:hAnsi="Times New Roman" w:cs="Times New Roman"/>
          <w:sz w:val="28"/>
          <w:szCs w:val="28"/>
        </w:rPr>
        <w:t>i</w:t>
      </w:r>
      <w:r w:rsidRPr="00D130B7">
        <w:rPr>
          <w:rFonts w:ascii="Times New Roman" w:hAnsi="Times New Roman" w:cs="Times New Roman"/>
          <w:sz w:val="28"/>
          <w:szCs w:val="28"/>
        </w:rPr>
        <w:t xml:space="preserve"> all’ac</w:t>
      </w:r>
      <w:r w:rsidR="003C6891" w:rsidRPr="00D130B7">
        <w:rPr>
          <w:rFonts w:ascii="Times New Roman" w:hAnsi="Times New Roman" w:cs="Times New Roman"/>
          <w:sz w:val="28"/>
          <w:szCs w:val="28"/>
        </w:rPr>
        <w:t>c</w:t>
      </w:r>
      <w:r w:rsidRPr="00D130B7">
        <w:rPr>
          <w:rFonts w:ascii="Times New Roman" w:hAnsi="Times New Roman" w:cs="Times New Roman"/>
          <w:sz w:val="28"/>
          <w:szCs w:val="28"/>
        </w:rPr>
        <w:t>esso, quello del 2016 si è, invece, limitato a indicare nell’atto legislativo gli interessi, pubblici e privati, che, se implicati dall’ostensione dei documenti richiesti, possono subire un pregiudizio concreto, con conseguente obbligo</w:t>
      </w:r>
      <w:r w:rsidR="0010672B" w:rsidRPr="00D130B7">
        <w:rPr>
          <w:rFonts w:ascii="Times New Roman" w:hAnsi="Times New Roman" w:cs="Times New Roman"/>
          <w:sz w:val="28"/>
          <w:szCs w:val="28"/>
        </w:rPr>
        <w:t>, in tale situ</w:t>
      </w:r>
      <w:r w:rsidR="00357E45" w:rsidRPr="00D130B7">
        <w:rPr>
          <w:rFonts w:ascii="Times New Roman" w:hAnsi="Times New Roman" w:cs="Times New Roman"/>
          <w:sz w:val="28"/>
          <w:szCs w:val="28"/>
        </w:rPr>
        <w:t>azione,</w:t>
      </w:r>
      <w:r w:rsidRPr="00D130B7">
        <w:rPr>
          <w:rFonts w:ascii="Times New Roman" w:hAnsi="Times New Roman" w:cs="Times New Roman"/>
          <w:sz w:val="28"/>
          <w:szCs w:val="28"/>
        </w:rPr>
        <w:t xml:space="preserve"> di negare l’accesso, ed ha rinviato a linee guida dell’ANAC la precisazione dei criteri di valutazione del predetto pericolo.</w:t>
      </w:r>
    </w:p>
    <w:p w:rsidR="00C41A5A" w:rsidRPr="00D130B7" w:rsidRDefault="00F417CE" w:rsidP="00D130B7">
      <w:pPr>
        <w:jc w:val="both"/>
        <w:rPr>
          <w:rFonts w:ascii="Times New Roman" w:hAnsi="Times New Roman" w:cs="Times New Roman"/>
          <w:sz w:val="28"/>
          <w:szCs w:val="28"/>
        </w:rPr>
      </w:pPr>
      <w:r w:rsidRPr="00D130B7">
        <w:rPr>
          <w:rFonts w:ascii="Times New Roman" w:hAnsi="Times New Roman" w:cs="Times New Roman"/>
          <w:sz w:val="28"/>
          <w:szCs w:val="28"/>
        </w:rPr>
        <w:t>La disciplina normativa dell’ACG risulta, quindi, costruita secondo uno schema (finora) inedito: l’enunciazione nella legge del diritto all’ACG, con l’esplicitazione del</w:t>
      </w:r>
      <w:r w:rsidR="00152DF7">
        <w:rPr>
          <w:rFonts w:ascii="Times New Roman" w:hAnsi="Times New Roman" w:cs="Times New Roman"/>
          <w:sz w:val="28"/>
          <w:szCs w:val="28"/>
        </w:rPr>
        <w:t>la sue finalità (art.5, comma 2</w:t>
      </w:r>
      <w:r w:rsidRPr="00D130B7">
        <w:rPr>
          <w:rFonts w:ascii="Times New Roman" w:hAnsi="Times New Roman" w:cs="Times New Roman"/>
          <w:sz w:val="28"/>
          <w:szCs w:val="28"/>
        </w:rPr>
        <w:t>, d.lgs. n.33 del 2013), l’indicazione, sempre nella fonte primaria, dei limiti al suo esercizio, mediante la sola classificazione nominale e generica, degli interessi che, se concretamente pregiudicati, autorizzano, anz</w:t>
      </w:r>
      <w:r w:rsidR="00FC085F">
        <w:rPr>
          <w:rFonts w:ascii="Times New Roman" w:hAnsi="Times New Roman" w:cs="Times New Roman"/>
          <w:sz w:val="28"/>
          <w:szCs w:val="28"/>
        </w:rPr>
        <w:t>i: impongono, il diniego all’accesso</w:t>
      </w:r>
      <w:r w:rsidRPr="00D130B7">
        <w:rPr>
          <w:rFonts w:ascii="Times New Roman" w:hAnsi="Times New Roman" w:cs="Times New Roman"/>
          <w:sz w:val="28"/>
          <w:szCs w:val="28"/>
        </w:rPr>
        <w:t xml:space="preserve"> (art.5-bis, commi 1 e 2, d.lgs. n</w:t>
      </w:r>
      <w:r w:rsidR="00152DF7">
        <w:rPr>
          <w:rFonts w:ascii="Times New Roman" w:hAnsi="Times New Roman" w:cs="Times New Roman"/>
          <w:sz w:val="28"/>
          <w:szCs w:val="28"/>
        </w:rPr>
        <w:t>.33 del 2013), e il rinvio a un</w:t>
      </w:r>
      <w:r w:rsidRPr="00D130B7">
        <w:rPr>
          <w:rFonts w:ascii="Times New Roman" w:hAnsi="Times New Roman" w:cs="Times New Roman"/>
          <w:sz w:val="28"/>
          <w:szCs w:val="28"/>
        </w:rPr>
        <w:t xml:space="preserve"> atto amministrativo, e privo di valenza normativa, quali le linee guida dell’ANAC, d’intesa con il Garante per la protezione dei dati personali, della precisazione dell’ambito operativo delle esclusioni e dei limiti all’ACG (art.5-bis, comma 6, d.lgs. n.33 del 2013).</w:t>
      </w:r>
    </w:p>
    <w:p w:rsidR="00C97403" w:rsidRDefault="00C97403" w:rsidP="00D130B7">
      <w:pPr>
        <w:jc w:val="both"/>
        <w:rPr>
          <w:rFonts w:ascii="Times New Roman" w:hAnsi="Times New Roman" w:cs="Times New Roman"/>
          <w:sz w:val="28"/>
          <w:szCs w:val="28"/>
        </w:rPr>
      </w:pPr>
      <w:r w:rsidRPr="00D130B7">
        <w:rPr>
          <w:rFonts w:ascii="Times New Roman" w:hAnsi="Times New Roman" w:cs="Times New Roman"/>
          <w:sz w:val="28"/>
          <w:szCs w:val="28"/>
        </w:rPr>
        <w:t>L’atto legislativo, quindi, omette prescrizioni puntuali circa le fattispecie che costituiscono limitazioni all’ACS e rinvia a un atto amministrativo non vincolante la definizione del perimetro operativo delle generiche clausole escludenti stabilite nella legge.</w:t>
      </w:r>
    </w:p>
    <w:p w:rsidR="00304B1A" w:rsidRPr="00304B1A" w:rsidRDefault="00304B1A" w:rsidP="00D130B7">
      <w:pPr>
        <w:jc w:val="both"/>
        <w:rPr>
          <w:rFonts w:ascii="Times New Roman" w:hAnsi="Times New Roman" w:cs="Times New Roman"/>
          <w:sz w:val="28"/>
          <w:szCs w:val="28"/>
        </w:rPr>
      </w:pPr>
      <w:r>
        <w:rPr>
          <w:rFonts w:ascii="Times New Roman" w:hAnsi="Times New Roman" w:cs="Times New Roman"/>
          <w:sz w:val="28"/>
          <w:szCs w:val="28"/>
        </w:rPr>
        <w:t xml:space="preserve">La scelta della </w:t>
      </w:r>
      <w:r>
        <w:rPr>
          <w:rFonts w:ascii="Times New Roman" w:hAnsi="Times New Roman" w:cs="Times New Roman"/>
          <w:i/>
          <w:sz w:val="28"/>
          <w:szCs w:val="28"/>
        </w:rPr>
        <w:t xml:space="preserve">soft law </w:t>
      </w:r>
      <w:r>
        <w:rPr>
          <w:rFonts w:ascii="Times New Roman" w:hAnsi="Times New Roman" w:cs="Times New Roman"/>
          <w:sz w:val="28"/>
          <w:szCs w:val="28"/>
        </w:rPr>
        <w:t xml:space="preserve">risulta, peraltro, confermata </w:t>
      </w:r>
      <w:r w:rsidR="00152DF7">
        <w:rPr>
          <w:rFonts w:ascii="Times New Roman" w:hAnsi="Times New Roman" w:cs="Times New Roman"/>
          <w:sz w:val="28"/>
          <w:szCs w:val="28"/>
        </w:rPr>
        <w:t xml:space="preserve">e aggravata </w:t>
      </w:r>
      <w:r>
        <w:rPr>
          <w:rFonts w:ascii="Times New Roman" w:hAnsi="Times New Roman" w:cs="Times New Roman"/>
          <w:sz w:val="28"/>
          <w:szCs w:val="28"/>
        </w:rPr>
        <w:t>dal divieto, per le pubbliche amministrazioni, di classificare, con fonti regolamentari, le tipologie di atti sottratti all’ACG (come precisato dalla circolare n.2/2017 del Ministro per la semplificazione e la pubblica amministrazione, che richiama, a supporto, la riserva di legge contenuta nell’</w:t>
      </w:r>
      <w:r w:rsidR="00152DF7">
        <w:rPr>
          <w:rFonts w:ascii="Times New Roman" w:hAnsi="Times New Roman" w:cs="Times New Roman"/>
          <w:sz w:val="28"/>
          <w:szCs w:val="28"/>
        </w:rPr>
        <w:t>art</w:t>
      </w:r>
      <w:r>
        <w:rPr>
          <w:rFonts w:ascii="Times New Roman" w:hAnsi="Times New Roman" w:cs="Times New Roman"/>
          <w:sz w:val="28"/>
          <w:szCs w:val="28"/>
        </w:rPr>
        <w:t>.10 della CEDU).</w:t>
      </w:r>
    </w:p>
    <w:p w:rsidR="00D130B7" w:rsidRDefault="00A2367B" w:rsidP="00D130B7">
      <w:pPr>
        <w:jc w:val="both"/>
        <w:rPr>
          <w:rFonts w:ascii="Times New Roman" w:hAnsi="Times New Roman" w:cs="Times New Roman"/>
          <w:sz w:val="28"/>
          <w:szCs w:val="28"/>
        </w:rPr>
      </w:pPr>
      <w:r w:rsidRPr="00D130B7">
        <w:rPr>
          <w:rFonts w:ascii="Times New Roman" w:hAnsi="Times New Roman" w:cs="Times New Roman"/>
          <w:sz w:val="28"/>
          <w:szCs w:val="28"/>
        </w:rPr>
        <w:t>La differente costruzione regolativa de</w:t>
      </w:r>
      <w:r w:rsidR="00D130B7" w:rsidRPr="00D130B7">
        <w:rPr>
          <w:rFonts w:ascii="Times New Roman" w:hAnsi="Times New Roman" w:cs="Times New Roman"/>
          <w:sz w:val="28"/>
          <w:szCs w:val="28"/>
        </w:rPr>
        <w:t xml:space="preserve">lle due tipologie di accesso confrontate </w:t>
      </w:r>
      <w:r w:rsidR="00D130B7">
        <w:rPr>
          <w:rFonts w:ascii="Times New Roman" w:hAnsi="Times New Roman" w:cs="Times New Roman"/>
          <w:sz w:val="28"/>
          <w:szCs w:val="28"/>
        </w:rPr>
        <w:t xml:space="preserve">          </w:t>
      </w:r>
      <w:r w:rsidR="00D130B7" w:rsidRPr="00D130B7">
        <w:rPr>
          <w:rFonts w:ascii="Times New Roman" w:hAnsi="Times New Roman" w:cs="Times New Roman"/>
          <w:sz w:val="28"/>
          <w:szCs w:val="28"/>
        </w:rPr>
        <w:t>(quello documentale e quello civico generalizzato) produce un primo corollario:</w:t>
      </w:r>
      <w:r w:rsidR="00D130B7" w:rsidRPr="00D130B7">
        <w:rPr>
          <w:rFonts w:ascii="Times New Roman" w:hAnsi="Times New Roman" w:cs="Times New Roman"/>
          <w:b/>
          <w:sz w:val="28"/>
          <w:szCs w:val="28"/>
        </w:rPr>
        <w:t xml:space="preserve"> </w:t>
      </w:r>
      <w:r w:rsidR="00D130B7" w:rsidRPr="00D130B7">
        <w:rPr>
          <w:rFonts w:ascii="Times New Roman" w:hAnsi="Times New Roman" w:cs="Times New Roman"/>
          <w:sz w:val="28"/>
          <w:szCs w:val="28"/>
        </w:rPr>
        <w:t>mentre, a fronte di un accesso documentale</w:t>
      </w:r>
      <w:r w:rsidR="00FC085F">
        <w:rPr>
          <w:rFonts w:ascii="Times New Roman" w:hAnsi="Times New Roman" w:cs="Times New Roman"/>
          <w:sz w:val="28"/>
          <w:szCs w:val="28"/>
        </w:rPr>
        <w:t>,</w:t>
      </w:r>
      <w:r w:rsidR="00D130B7" w:rsidRPr="00D130B7">
        <w:rPr>
          <w:rFonts w:ascii="Times New Roman" w:hAnsi="Times New Roman" w:cs="Times New Roman"/>
          <w:sz w:val="28"/>
          <w:szCs w:val="28"/>
        </w:rPr>
        <w:t xml:space="preserve"> il funzionario deve rispettare un apparato regolatorio chiaro e vincolante, costituito dal combinato disposto della disciplina primaria e di quella secondaria (regolamentare) che classifica le tipologie di atti sottratti</w:t>
      </w:r>
      <w:r w:rsidR="00FC085F">
        <w:rPr>
          <w:rFonts w:ascii="Times New Roman" w:hAnsi="Times New Roman" w:cs="Times New Roman"/>
          <w:sz w:val="28"/>
          <w:szCs w:val="28"/>
        </w:rPr>
        <w:t xml:space="preserve"> all’accesso; nel caso dell’ACG</w:t>
      </w:r>
      <w:r w:rsidR="00D130B7" w:rsidRPr="00D130B7">
        <w:rPr>
          <w:rFonts w:ascii="Times New Roman" w:hAnsi="Times New Roman" w:cs="Times New Roman"/>
          <w:sz w:val="28"/>
          <w:szCs w:val="28"/>
        </w:rPr>
        <w:t xml:space="preserve"> il funzionario</w:t>
      </w:r>
      <w:r w:rsidR="00D130B7" w:rsidRPr="00D130B7">
        <w:rPr>
          <w:rFonts w:ascii="Times New Roman" w:hAnsi="Times New Roman" w:cs="Times New Roman"/>
          <w:b/>
          <w:sz w:val="28"/>
          <w:szCs w:val="28"/>
        </w:rPr>
        <w:t xml:space="preserve"> </w:t>
      </w:r>
      <w:r w:rsidR="00D130B7" w:rsidRPr="00D130B7">
        <w:rPr>
          <w:rFonts w:ascii="Times New Roman" w:hAnsi="Times New Roman" w:cs="Times New Roman"/>
          <w:sz w:val="28"/>
          <w:szCs w:val="28"/>
        </w:rPr>
        <w:t>deve seguire una serie di istruzioni operative prive di carattere cogente, spesso generiche e</w:t>
      </w:r>
      <w:r w:rsidR="00D130B7">
        <w:rPr>
          <w:rFonts w:ascii="Times New Roman" w:hAnsi="Times New Roman" w:cs="Times New Roman"/>
          <w:sz w:val="28"/>
          <w:szCs w:val="28"/>
        </w:rPr>
        <w:t>, in ogni caso,</w:t>
      </w:r>
      <w:r w:rsidR="00D130B7" w:rsidRPr="00D130B7">
        <w:rPr>
          <w:rFonts w:ascii="Times New Roman" w:hAnsi="Times New Roman" w:cs="Times New Roman"/>
          <w:sz w:val="28"/>
          <w:szCs w:val="28"/>
        </w:rPr>
        <w:t xml:space="preserve"> inidonee a </w:t>
      </w:r>
      <w:r w:rsidR="00C8404A">
        <w:rPr>
          <w:rFonts w:ascii="Times New Roman" w:hAnsi="Times New Roman" w:cs="Times New Roman"/>
          <w:sz w:val="28"/>
          <w:szCs w:val="28"/>
        </w:rPr>
        <w:t xml:space="preserve">completare </w:t>
      </w:r>
      <w:r w:rsidR="00FC085F">
        <w:rPr>
          <w:rFonts w:ascii="Times New Roman" w:hAnsi="Times New Roman" w:cs="Times New Roman"/>
          <w:sz w:val="28"/>
          <w:szCs w:val="28"/>
        </w:rPr>
        <w:t xml:space="preserve">in maniera esaustiva </w:t>
      </w:r>
      <w:r w:rsidR="00C8404A">
        <w:rPr>
          <w:rFonts w:ascii="Times New Roman" w:hAnsi="Times New Roman" w:cs="Times New Roman"/>
          <w:sz w:val="28"/>
          <w:szCs w:val="28"/>
        </w:rPr>
        <w:t>la scarna disciplina legislativa con un apparato regolativo univoco e puntuale.</w:t>
      </w:r>
    </w:p>
    <w:p w:rsidR="003000BD" w:rsidRDefault="00776E83" w:rsidP="00776E83">
      <w:pPr>
        <w:jc w:val="both"/>
        <w:rPr>
          <w:rFonts w:ascii="Times New Roman" w:hAnsi="Times New Roman" w:cs="Times New Roman"/>
          <w:sz w:val="28"/>
          <w:szCs w:val="28"/>
        </w:rPr>
      </w:pPr>
      <w:r w:rsidRPr="00776E83">
        <w:rPr>
          <w:rFonts w:ascii="Times New Roman" w:hAnsi="Times New Roman" w:cs="Times New Roman"/>
          <w:sz w:val="28"/>
          <w:szCs w:val="28"/>
        </w:rPr>
        <w:t xml:space="preserve">Nonostante l’apprezzabile sforzo esegetico ed esplicativo </w:t>
      </w:r>
      <w:r>
        <w:rPr>
          <w:rFonts w:ascii="Times New Roman" w:hAnsi="Times New Roman" w:cs="Times New Roman"/>
          <w:sz w:val="28"/>
          <w:szCs w:val="28"/>
        </w:rPr>
        <w:t xml:space="preserve">ivi </w:t>
      </w:r>
      <w:r w:rsidRPr="00776E83">
        <w:rPr>
          <w:rFonts w:ascii="Times New Roman" w:hAnsi="Times New Roman" w:cs="Times New Roman"/>
          <w:sz w:val="28"/>
          <w:szCs w:val="28"/>
        </w:rPr>
        <w:t>cristallizzato</w:t>
      </w:r>
      <w:r>
        <w:rPr>
          <w:rFonts w:ascii="Times New Roman" w:hAnsi="Times New Roman" w:cs="Times New Roman"/>
          <w:sz w:val="28"/>
          <w:szCs w:val="28"/>
        </w:rPr>
        <w:t xml:space="preserve">, </w:t>
      </w:r>
      <w:r w:rsidRPr="00776E83">
        <w:rPr>
          <w:rFonts w:ascii="Times New Roman" w:hAnsi="Times New Roman" w:cs="Times New Roman"/>
          <w:sz w:val="28"/>
          <w:szCs w:val="28"/>
        </w:rPr>
        <w:t xml:space="preserve">le linee guida dell’ANAC (approvate con delibera n.1309 del 28 dicembre 2016) contengono </w:t>
      </w:r>
      <w:r w:rsidR="00CF4B5D">
        <w:rPr>
          <w:rFonts w:ascii="Times New Roman" w:hAnsi="Times New Roman" w:cs="Times New Roman"/>
          <w:sz w:val="28"/>
          <w:szCs w:val="28"/>
        </w:rPr>
        <w:t>sì, infatti,</w:t>
      </w:r>
      <w:r w:rsidRPr="00776E83">
        <w:rPr>
          <w:rFonts w:ascii="Times New Roman" w:hAnsi="Times New Roman" w:cs="Times New Roman"/>
          <w:sz w:val="28"/>
          <w:szCs w:val="28"/>
        </w:rPr>
        <w:t xml:space="preserve"> </w:t>
      </w:r>
      <w:r w:rsidR="00CF4B5D">
        <w:rPr>
          <w:rFonts w:ascii="Times New Roman" w:hAnsi="Times New Roman" w:cs="Times New Roman"/>
          <w:sz w:val="28"/>
          <w:szCs w:val="28"/>
        </w:rPr>
        <w:t xml:space="preserve">una </w:t>
      </w:r>
      <w:r w:rsidRPr="00776E83">
        <w:rPr>
          <w:rFonts w:ascii="Times New Roman" w:hAnsi="Times New Roman" w:cs="Times New Roman"/>
          <w:sz w:val="28"/>
          <w:szCs w:val="28"/>
        </w:rPr>
        <w:t xml:space="preserve">serie di indirizzi </w:t>
      </w:r>
      <w:r>
        <w:rPr>
          <w:rFonts w:ascii="Times New Roman" w:hAnsi="Times New Roman" w:cs="Times New Roman"/>
          <w:sz w:val="28"/>
          <w:szCs w:val="28"/>
        </w:rPr>
        <w:t>relativi</w:t>
      </w:r>
      <w:r w:rsidRPr="00776E83">
        <w:rPr>
          <w:rFonts w:ascii="Times New Roman" w:hAnsi="Times New Roman" w:cs="Times New Roman"/>
          <w:sz w:val="28"/>
          <w:szCs w:val="28"/>
        </w:rPr>
        <w:t xml:space="preserve"> ai criteri alla cui stregua dev’essere condotto il giudizio sulla sussistenza del pregiudizio concreto per gli interessi classifi</w:t>
      </w:r>
      <w:r w:rsidR="003000BD">
        <w:rPr>
          <w:rFonts w:ascii="Times New Roman" w:hAnsi="Times New Roman" w:cs="Times New Roman"/>
          <w:sz w:val="28"/>
          <w:szCs w:val="28"/>
        </w:rPr>
        <w:t>cati dalla legge come sensibili</w:t>
      </w:r>
      <w:r w:rsidR="00CF4B5D">
        <w:rPr>
          <w:rFonts w:ascii="Times New Roman" w:hAnsi="Times New Roman" w:cs="Times New Roman"/>
          <w:sz w:val="28"/>
          <w:szCs w:val="28"/>
        </w:rPr>
        <w:t>, ma</w:t>
      </w:r>
      <w:r w:rsidR="00FC085F">
        <w:rPr>
          <w:rFonts w:ascii="Times New Roman" w:hAnsi="Times New Roman" w:cs="Times New Roman"/>
          <w:sz w:val="28"/>
          <w:szCs w:val="28"/>
        </w:rPr>
        <w:t xml:space="preserve"> non valgono</w:t>
      </w:r>
      <w:r w:rsidR="003000BD">
        <w:rPr>
          <w:rFonts w:ascii="Times New Roman" w:hAnsi="Times New Roman" w:cs="Times New Roman"/>
          <w:sz w:val="28"/>
          <w:szCs w:val="28"/>
        </w:rPr>
        <w:t>, tuttavia,</w:t>
      </w:r>
      <w:r w:rsidRPr="00776E83">
        <w:rPr>
          <w:rFonts w:ascii="Times New Roman" w:hAnsi="Times New Roman" w:cs="Times New Roman"/>
          <w:sz w:val="28"/>
          <w:szCs w:val="28"/>
        </w:rPr>
        <w:t xml:space="preserve"> </w:t>
      </w:r>
      <w:r w:rsidR="00FC085F">
        <w:rPr>
          <w:rFonts w:ascii="Times New Roman" w:hAnsi="Times New Roman" w:cs="Times New Roman"/>
          <w:sz w:val="28"/>
          <w:szCs w:val="28"/>
        </w:rPr>
        <w:t>a</w:t>
      </w:r>
      <w:r w:rsidRPr="00776E83">
        <w:rPr>
          <w:rFonts w:ascii="Times New Roman" w:hAnsi="Times New Roman" w:cs="Times New Roman"/>
          <w:sz w:val="28"/>
          <w:szCs w:val="28"/>
        </w:rPr>
        <w:t xml:space="preserve"> esaurire </w:t>
      </w:r>
      <w:r w:rsidR="003000BD">
        <w:rPr>
          <w:rFonts w:ascii="Times New Roman" w:hAnsi="Times New Roman" w:cs="Times New Roman"/>
          <w:sz w:val="28"/>
          <w:szCs w:val="28"/>
        </w:rPr>
        <w:t xml:space="preserve">i canoni  del </w:t>
      </w:r>
      <w:r w:rsidRPr="00776E83">
        <w:rPr>
          <w:rFonts w:ascii="Times New Roman" w:hAnsi="Times New Roman" w:cs="Times New Roman"/>
          <w:sz w:val="28"/>
          <w:szCs w:val="28"/>
        </w:rPr>
        <w:t xml:space="preserve">giudizio di bilanciamento tra i contrapposti interessi e </w:t>
      </w:r>
      <w:r w:rsidR="003000BD">
        <w:rPr>
          <w:rFonts w:ascii="Times New Roman" w:hAnsi="Times New Roman" w:cs="Times New Roman"/>
          <w:sz w:val="28"/>
          <w:szCs w:val="28"/>
        </w:rPr>
        <w:t>continuano a imporre</w:t>
      </w:r>
      <w:r w:rsidRPr="00776E83">
        <w:rPr>
          <w:rFonts w:ascii="Times New Roman" w:hAnsi="Times New Roman" w:cs="Times New Roman"/>
          <w:sz w:val="28"/>
          <w:szCs w:val="28"/>
        </w:rPr>
        <w:t xml:space="preserve"> una valutazione </w:t>
      </w:r>
      <w:r w:rsidR="003000BD">
        <w:rPr>
          <w:rFonts w:ascii="Times New Roman" w:hAnsi="Times New Roman" w:cs="Times New Roman"/>
          <w:sz w:val="28"/>
          <w:szCs w:val="28"/>
        </w:rPr>
        <w:t xml:space="preserve">ampiamente </w:t>
      </w:r>
      <w:r w:rsidRPr="00776E83">
        <w:rPr>
          <w:rFonts w:ascii="Times New Roman" w:hAnsi="Times New Roman" w:cs="Times New Roman"/>
          <w:sz w:val="28"/>
          <w:szCs w:val="28"/>
        </w:rPr>
        <w:t>discrezionale al funzionario responsabile</w:t>
      </w:r>
      <w:r w:rsidR="003000BD">
        <w:rPr>
          <w:rFonts w:ascii="Times New Roman" w:hAnsi="Times New Roman" w:cs="Times New Roman"/>
          <w:sz w:val="28"/>
          <w:szCs w:val="28"/>
        </w:rPr>
        <w:t xml:space="preserve"> (per quanto guidata dalle direttive ivi impartite).</w:t>
      </w:r>
    </w:p>
    <w:p w:rsidR="00CF4B5D" w:rsidRDefault="00CF4B5D" w:rsidP="00776E83">
      <w:pPr>
        <w:jc w:val="both"/>
        <w:rPr>
          <w:rFonts w:ascii="Times New Roman" w:hAnsi="Times New Roman" w:cs="Times New Roman"/>
          <w:sz w:val="28"/>
          <w:szCs w:val="28"/>
        </w:rPr>
      </w:pPr>
      <w:r>
        <w:rPr>
          <w:rFonts w:ascii="Times New Roman" w:hAnsi="Times New Roman" w:cs="Times New Roman"/>
          <w:sz w:val="28"/>
          <w:szCs w:val="28"/>
        </w:rPr>
        <w:t>L’apprezzamento circa l’esposizione a un pregiudizio concreto degli interessi classificati dalla legge come limitativi dell’ACG resta, in altri termini, e non</w:t>
      </w:r>
      <w:r w:rsidR="00FC085F">
        <w:rPr>
          <w:rFonts w:ascii="Times New Roman" w:hAnsi="Times New Roman" w:cs="Times New Roman"/>
          <w:sz w:val="28"/>
          <w:szCs w:val="28"/>
        </w:rPr>
        <w:t>ostante le linee guida, affidato</w:t>
      </w:r>
      <w:r>
        <w:rPr>
          <w:rFonts w:ascii="Times New Roman" w:hAnsi="Times New Roman" w:cs="Times New Roman"/>
          <w:sz w:val="28"/>
          <w:szCs w:val="28"/>
        </w:rPr>
        <w:t xml:space="preserve"> a un giudizio comparativo rimesso alla responsabilità del funzionario incaricato dell’esame dell’istanza di accesso, senza che le direttive dell’ANAC valgano a ridurre la relativa discrezionalità o a indirizzarla secondo parametri valutativi stringenti e univoci.</w:t>
      </w:r>
    </w:p>
    <w:p w:rsidR="00CF4B5D" w:rsidRDefault="00CF4B5D" w:rsidP="00776E83">
      <w:pPr>
        <w:jc w:val="both"/>
        <w:rPr>
          <w:rFonts w:ascii="Times New Roman" w:hAnsi="Times New Roman" w:cs="Times New Roman"/>
          <w:sz w:val="28"/>
          <w:szCs w:val="28"/>
        </w:rPr>
      </w:pPr>
      <w:r>
        <w:rPr>
          <w:rFonts w:ascii="Times New Roman" w:hAnsi="Times New Roman" w:cs="Times New Roman"/>
          <w:sz w:val="28"/>
          <w:szCs w:val="28"/>
        </w:rPr>
        <w:t xml:space="preserve">E’ sufficiente la lettura della suddetta deliberazione dell’ANAC per avvedersi che, al di là di taluni indirizzi idonei a orientare la scelta inerente il bilanciamento degli interessi confliggenti, il giudizio circa la sussistenza degli estremi dell’ipotesi limitativa contemplata dalla fonte primaria (il pregiudizio concreto per gli interessi ivi censiti come idonei a paralizzare il diritto all’ACG) rimane connotato da </w:t>
      </w:r>
      <w:r w:rsidR="004E133F">
        <w:rPr>
          <w:rFonts w:ascii="Times New Roman" w:hAnsi="Times New Roman" w:cs="Times New Roman"/>
          <w:sz w:val="28"/>
          <w:szCs w:val="28"/>
        </w:rPr>
        <w:t>un margine di d</w:t>
      </w:r>
      <w:r w:rsidR="00FC085F">
        <w:rPr>
          <w:rFonts w:ascii="Times New Roman" w:hAnsi="Times New Roman" w:cs="Times New Roman"/>
          <w:sz w:val="28"/>
          <w:szCs w:val="28"/>
        </w:rPr>
        <w:t>iscrezionalità dai confini oltremodo</w:t>
      </w:r>
      <w:r w:rsidR="004E133F">
        <w:rPr>
          <w:rFonts w:ascii="Times New Roman" w:hAnsi="Times New Roman" w:cs="Times New Roman"/>
          <w:sz w:val="28"/>
          <w:szCs w:val="28"/>
        </w:rPr>
        <w:t xml:space="preserve"> ampli</w:t>
      </w:r>
      <w:r w:rsidR="00FC085F">
        <w:rPr>
          <w:rFonts w:ascii="Times New Roman" w:hAnsi="Times New Roman" w:cs="Times New Roman"/>
          <w:sz w:val="28"/>
          <w:szCs w:val="28"/>
        </w:rPr>
        <w:t xml:space="preserve">, se non </w:t>
      </w:r>
      <w:r w:rsidR="004E133F">
        <w:rPr>
          <w:rFonts w:ascii="Times New Roman" w:hAnsi="Times New Roman" w:cs="Times New Roman"/>
          <w:sz w:val="28"/>
          <w:szCs w:val="28"/>
        </w:rPr>
        <w:t>indefiniti.</w:t>
      </w:r>
      <w:r>
        <w:rPr>
          <w:rFonts w:ascii="Times New Roman" w:hAnsi="Times New Roman" w:cs="Times New Roman"/>
          <w:sz w:val="28"/>
          <w:szCs w:val="28"/>
        </w:rPr>
        <w:t xml:space="preserve">   </w:t>
      </w:r>
    </w:p>
    <w:p w:rsidR="00CF4B5D" w:rsidRDefault="004E6F4E" w:rsidP="00776E83">
      <w:pPr>
        <w:jc w:val="both"/>
        <w:rPr>
          <w:rFonts w:ascii="Times New Roman" w:hAnsi="Times New Roman" w:cs="Times New Roman"/>
          <w:sz w:val="28"/>
          <w:szCs w:val="28"/>
        </w:rPr>
      </w:pPr>
      <w:r>
        <w:rPr>
          <w:rFonts w:ascii="Times New Roman" w:hAnsi="Times New Roman" w:cs="Times New Roman"/>
          <w:sz w:val="28"/>
          <w:szCs w:val="28"/>
        </w:rPr>
        <w:t xml:space="preserve">3.- </w:t>
      </w:r>
      <w:r w:rsidR="00CF4B5D">
        <w:rPr>
          <w:rFonts w:ascii="Times New Roman" w:hAnsi="Times New Roman" w:cs="Times New Roman"/>
          <w:sz w:val="28"/>
          <w:szCs w:val="28"/>
        </w:rPr>
        <w:t>Non solo, ma l’intero quadro</w:t>
      </w:r>
      <w:r w:rsidR="004E133F">
        <w:rPr>
          <w:rFonts w:ascii="Times New Roman" w:hAnsi="Times New Roman" w:cs="Times New Roman"/>
          <w:sz w:val="28"/>
          <w:szCs w:val="28"/>
        </w:rPr>
        <w:t xml:space="preserve"> regolativo di secondo livello si rivela incapace di offrire paradigmi valutativi sicuri e coerenti.</w:t>
      </w:r>
      <w:r w:rsidR="00CF4B5D">
        <w:rPr>
          <w:rFonts w:ascii="Times New Roman" w:hAnsi="Times New Roman" w:cs="Times New Roman"/>
          <w:sz w:val="28"/>
          <w:szCs w:val="28"/>
        </w:rPr>
        <w:t xml:space="preserve">   </w:t>
      </w:r>
    </w:p>
    <w:p w:rsidR="00A5416E" w:rsidRDefault="004E133F" w:rsidP="004E133F">
      <w:pPr>
        <w:jc w:val="both"/>
        <w:rPr>
          <w:rFonts w:ascii="Times New Roman" w:hAnsi="Times New Roman" w:cs="Times New Roman"/>
          <w:sz w:val="28"/>
          <w:szCs w:val="28"/>
        </w:rPr>
      </w:pPr>
      <w:r>
        <w:rPr>
          <w:rFonts w:ascii="Times New Roman" w:hAnsi="Times New Roman" w:cs="Times New Roman"/>
          <w:sz w:val="28"/>
          <w:szCs w:val="28"/>
        </w:rPr>
        <w:t>Se, infatti,</w:t>
      </w:r>
      <w:r w:rsidRPr="004E133F">
        <w:rPr>
          <w:rFonts w:ascii="Times New Roman" w:hAnsi="Times New Roman" w:cs="Times New Roman"/>
          <w:sz w:val="28"/>
          <w:szCs w:val="28"/>
        </w:rPr>
        <w:t xml:space="preserve"> le linee guida dell’ANAC</w:t>
      </w:r>
      <w:r w:rsidR="00685E9C">
        <w:rPr>
          <w:rFonts w:ascii="Times New Roman" w:hAnsi="Times New Roman" w:cs="Times New Roman"/>
          <w:sz w:val="28"/>
          <w:szCs w:val="28"/>
        </w:rPr>
        <w:t xml:space="preserve"> forniscono parametri</w:t>
      </w:r>
      <w:r w:rsidRPr="004E133F">
        <w:rPr>
          <w:rFonts w:ascii="Times New Roman" w:hAnsi="Times New Roman" w:cs="Times New Roman"/>
          <w:sz w:val="28"/>
          <w:szCs w:val="28"/>
        </w:rPr>
        <w:t xml:space="preserve"> </w:t>
      </w:r>
      <w:r>
        <w:rPr>
          <w:rFonts w:ascii="Times New Roman" w:hAnsi="Times New Roman" w:cs="Times New Roman"/>
          <w:sz w:val="28"/>
          <w:szCs w:val="28"/>
        </w:rPr>
        <w:t>generici, ma</w:t>
      </w:r>
      <w:r w:rsidR="00685E9C">
        <w:rPr>
          <w:rFonts w:ascii="Times New Roman" w:hAnsi="Times New Roman" w:cs="Times New Roman"/>
          <w:sz w:val="28"/>
          <w:szCs w:val="28"/>
        </w:rPr>
        <w:t>, nondimeno,</w:t>
      </w:r>
      <w:r>
        <w:rPr>
          <w:rFonts w:ascii="Times New Roman" w:hAnsi="Times New Roman" w:cs="Times New Roman"/>
          <w:sz w:val="28"/>
          <w:szCs w:val="28"/>
        </w:rPr>
        <w:t xml:space="preserve"> </w:t>
      </w:r>
      <w:r w:rsidRPr="004E133F">
        <w:rPr>
          <w:rFonts w:ascii="Times New Roman" w:hAnsi="Times New Roman" w:cs="Times New Roman"/>
          <w:sz w:val="28"/>
          <w:szCs w:val="28"/>
        </w:rPr>
        <w:t>neutri</w:t>
      </w:r>
      <w:r w:rsidR="000B1D90">
        <w:rPr>
          <w:rFonts w:ascii="Times New Roman" w:hAnsi="Times New Roman" w:cs="Times New Roman"/>
          <w:sz w:val="28"/>
          <w:szCs w:val="28"/>
        </w:rPr>
        <w:t xml:space="preserve"> (anche se i limiti all’accesso vengono qualificati come eccezioni e se ne raccomanda un’esegesi restrittiva)</w:t>
      </w:r>
      <w:r w:rsidRPr="004E133F">
        <w:rPr>
          <w:rFonts w:ascii="Times New Roman" w:hAnsi="Times New Roman" w:cs="Times New Roman"/>
          <w:sz w:val="28"/>
          <w:szCs w:val="28"/>
        </w:rPr>
        <w:t xml:space="preserve">, </w:t>
      </w:r>
      <w:r w:rsidR="0087175B">
        <w:rPr>
          <w:rFonts w:ascii="Times New Roman" w:hAnsi="Times New Roman" w:cs="Times New Roman"/>
          <w:sz w:val="28"/>
          <w:szCs w:val="28"/>
        </w:rPr>
        <w:t>la circolare del Ministro per la semplificazione e la pubblica amministrazione</w:t>
      </w:r>
      <w:r w:rsidRPr="004E133F">
        <w:rPr>
          <w:rFonts w:ascii="Times New Roman" w:hAnsi="Times New Roman" w:cs="Times New Roman"/>
          <w:sz w:val="28"/>
          <w:szCs w:val="28"/>
        </w:rPr>
        <w:t xml:space="preserve"> </w:t>
      </w:r>
      <w:r>
        <w:rPr>
          <w:rFonts w:ascii="Times New Roman" w:hAnsi="Times New Roman" w:cs="Times New Roman"/>
          <w:sz w:val="28"/>
          <w:szCs w:val="28"/>
        </w:rPr>
        <w:t>(</w:t>
      </w:r>
      <w:r w:rsidRPr="004E133F">
        <w:rPr>
          <w:rFonts w:ascii="Times New Roman" w:hAnsi="Times New Roman" w:cs="Times New Roman"/>
          <w:sz w:val="28"/>
          <w:szCs w:val="28"/>
        </w:rPr>
        <w:t>n.2 del 30 maggio 2017</w:t>
      </w:r>
      <w:r>
        <w:rPr>
          <w:rFonts w:ascii="Times New Roman" w:hAnsi="Times New Roman" w:cs="Times New Roman"/>
          <w:sz w:val="28"/>
          <w:szCs w:val="28"/>
        </w:rPr>
        <w:t>)</w:t>
      </w:r>
      <w:r w:rsidRPr="004E133F">
        <w:rPr>
          <w:rFonts w:ascii="Times New Roman" w:hAnsi="Times New Roman" w:cs="Times New Roman"/>
          <w:sz w:val="28"/>
          <w:szCs w:val="28"/>
        </w:rPr>
        <w:t>, che si occupa perlopiù di definire questioni organizzative, amministrative e procedurali, indica</w:t>
      </w:r>
      <w:r w:rsidR="000B1D90">
        <w:rPr>
          <w:rFonts w:ascii="Times New Roman" w:hAnsi="Times New Roman" w:cs="Times New Roman"/>
          <w:sz w:val="28"/>
          <w:szCs w:val="28"/>
        </w:rPr>
        <w:t xml:space="preserve"> esplicitamente</w:t>
      </w:r>
      <w:r w:rsidRPr="004E133F">
        <w:rPr>
          <w:rFonts w:ascii="Times New Roman" w:hAnsi="Times New Roman" w:cs="Times New Roman"/>
          <w:sz w:val="28"/>
          <w:szCs w:val="28"/>
        </w:rPr>
        <w:t>, come principio generale</w:t>
      </w:r>
      <w:r w:rsidR="00685E9C">
        <w:rPr>
          <w:rFonts w:ascii="Times New Roman" w:hAnsi="Times New Roman" w:cs="Times New Roman"/>
          <w:sz w:val="28"/>
          <w:szCs w:val="28"/>
        </w:rPr>
        <w:t>,</w:t>
      </w:r>
      <w:r w:rsidRPr="004E133F">
        <w:rPr>
          <w:rFonts w:ascii="Times New Roman" w:hAnsi="Times New Roman" w:cs="Times New Roman"/>
          <w:sz w:val="28"/>
          <w:szCs w:val="28"/>
        </w:rPr>
        <w:t xml:space="preserve"> quello della “tutela preferenziale dell’interesse conoscitivo” (</w:t>
      </w:r>
      <w:r w:rsidR="00685E9C">
        <w:rPr>
          <w:rFonts w:ascii="Times New Roman" w:hAnsi="Times New Roman" w:cs="Times New Roman"/>
          <w:sz w:val="28"/>
          <w:szCs w:val="28"/>
        </w:rPr>
        <w:t>che implica</w:t>
      </w:r>
      <w:r>
        <w:rPr>
          <w:rFonts w:ascii="Times New Roman" w:hAnsi="Times New Roman" w:cs="Times New Roman"/>
          <w:sz w:val="28"/>
          <w:szCs w:val="28"/>
        </w:rPr>
        <w:t xml:space="preserve">, nei casi dubbi, </w:t>
      </w:r>
      <w:r w:rsidR="00685E9C">
        <w:rPr>
          <w:rFonts w:ascii="Times New Roman" w:hAnsi="Times New Roman" w:cs="Times New Roman"/>
          <w:sz w:val="28"/>
          <w:szCs w:val="28"/>
        </w:rPr>
        <w:t xml:space="preserve">il dovere di accordare </w:t>
      </w:r>
      <w:r w:rsidR="000B1D90">
        <w:rPr>
          <w:rFonts w:ascii="Times New Roman" w:hAnsi="Times New Roman" w:cs="Times New Roman"/>
          <w:sz w:val="28"/>
          <w:szCs w:val="28"/>
        </w:rPr>
        <w:t>prevalenza all’accesso);</w:t>
      </w:r>
      <w:r>
        <w:rPr>
          <w:rFonts w:ascii="Times New Roman" w:hAnsi="Times New Roman" w:cs="Times New Roman"/>
          <w:sz w:val="28"/>
          <w:szCs w:val="28"/>
        </w:rPr>
        <w:t xml:space="preserve"> ma</w:t>
      </w:r>
      <w:r w:rsidRPr="004E133F">
        <w:rPr>
          <w:rFonts w:ascii="Times New Roman" w:hAnsi="Times New Roman" w:cs="Times New Roman"/>
          <w:sz w:val="28"/>
          <w:szCs w:val="28"/>
        </w:rPr>
        <w:t xml:space="preserve"> la valenza di tale criterio generale è stata formalmente ed espressamente contestata dal Garante per la privacy</w:t>
      </w:r>
      <w:r>
        <w:rPr>
          <w:rFonts w:ascii="Times New Roman" w:hAnsi="Times New Roman" w:cs="Times New Roman"/>
          <w:sz w:val="28"/>
          <w:szCs w:val="28"/>
        </w:rPr>
        <w:t xml:space="preserve"> (cfr. provv. n.521 del 15 dicembre 2016; lettera del Presidente del Garante al Ministro per </w:t>
      </w:r>
      <w:r w:rsidR="00685E9C">
        <w:rPr>
          <w:rFonts w:ascii="Times New Roman" w:hAnsi="Times New Roman" w:cs="Times New Roman"/>
          <w:sz w:val="28"/>
          <w:szCs w:val="28"/>
        </w:rPr>
        <w:t xml:space="preserve">la </w:t>
      </w:r>
      <w:r w:rsidR="0087175B">
        <w:rPr>
          <w:rFonts w:ascii="Times New Roman" w:hAnsi="Times New Roman" w:cs="Times New Roman"/>
          <w:sz w:val="28"/>
          <w:szCs w:val="28"/>
        </w:rPr>
        <w:t xml:space="preserve">semplificazione e </w:t>
      </w:r>
      <w:r>
        <w:rPr>
          <w:rFonts w:ascii="Times New Roman" w:hAnsi="Times New Roman" w:cs="Times New Roman"/>
          <w:sz w:val="28"/>
          <w:szCs w:val="28"/>
        </w:rPr>
        <w:t>la pubblica amministrazione e il parere della medesima Autorità n.363 in data 28 agosto 2017)</w:t>
      </w:r>
      <w:r w:rsidRPr="004E133F">
        <w:rPr>
          <w:rFonts w:ascii="Times New Roman" w:hAnsi="Times New Roman" w:cs="Times New Roman"/>
          <w:sz w:val="28"/>
          <w:szCs w:val="28"/>
        </w:rPr>
        <w:t>, che ha ricordato la pari dignità degli interessi contrapposti</w:t>
      </w:r>
      <w:r>
        <w:rPr>
          <w:rFonts w:ascii="Times New Roman" w:hAnsi="Times New Roman" w:cs="Times New Roman"/>
          <w:sz w:val="28"/>
          <w:szCs w:val="28"/>
        </w:rPr>
        <w:t xml:space="preserve">, la copertura </w:t>
      </w:r>
      <w:r w:rsidR="00152DF7">
        <w:rPr>
          <w:rFonts w:ascii="Times New Roman" w:hAnsi="Times New Roman" w:cs="Times New Roman"/>
          <w:sz w:val="28"/>
          <w:szCs w:val="28"/>
        </w:rPr>
        <w:t>del diritto alla riservatezza da parte di</w:t>
      </w:r>
      <w:r>
        <w:rPr>
          <w:rFonts w:ascii="Times New Roman" w:hAnsi="Times New Roman" w:cs="Times New Roman"/>
          <w:sz w:val="28"/>
          <w:szCs w:val="28"/>
        </w:rPr>
        <w:t xml:space="preserve"> fonti sovranazionali (art.8 della CEDU e artt. 7 e 8 della Carta dei diritti fondamentali dell’Unione Europea)</w:t>
      </w:r>
      <w:r w:rsidRPr="004E133F">
        <w:rPr>
          <w:rFonts w:ascii="Times New Roman" w:hAnsi="Times New Roman" w:cs="Times New Roman"/>
          <w:sz w:val="28"/>
          <w:szCs w:val="28"/>
        </w:rPr>
        <w:t xml:space="preserve"> e la </w:t>
      </w:r>
      <w:r>
        <w:rPr>
          <w:rFonts w:ascii="Times New Roman" w:hAnsi="Times New Roman" w:cs="Times New Roman"/>
          <w:sz w:val="28"/>
          <w:szCs w:val="28"/>
        </w:rPr>
        <w:t xml:space="preserve">conseguente </w:t>
      </w:r>
      <w:r w:rsidRPr="004E133F">
        <w:rPr>
          <w:rFonts w:ascii="Times New Roman" w:hAnsi="Times New Roman" w:cs="Times New Roman"/>
          <w:sz w:val="28"/>
          <w:szCs w:val="28"/>
        </w:rPr>
        <w:t>necessità che il giudizio di bilanciamento sia formulato in esito a una valutazione comparativa neutra</w:t>
      </w:r>
      <w:r w:rsidR="00A5416E">
        <w:rPr>
          <w:rFonts w:ascii="Times New Roman" w:hAnsi="Times New Roman" w:cs="Times New Roman"/>
          <w:sz w:val="28"/>
          <w:szCs w:val="28"/>
        </w:rPr>
        <w:t>le, e non vincolata da criteri preferenziali,</w:t>
      </w:r>
      <w:r w:rsidRPr="004E133F">
        <w:rPr>
          <w:rFonts w:ascii="Times New Roman" w:hAnsi="Times New Roman" w:cs="Times New Roman"/>
          <w:sz w:val="28"/>
          <w:szCs w:val="28"/>
        </w:rPr>
        <w:t xml:space="preserve"> del conflitto</w:t>
      </w:r>
      <w:r w:rsidR="00152DF7">
        <w:rPr>
          <w:rFonts w:ascii="Times New Roman" w:hAnsi="Times New Roman" w:cs="Times New Roman"/>
          <w:sz w:val="28"/>
          <w:szCs w:val="28"/>
        </w:rPr>
        <w:t xml:space="preserve"> tra</w:t>
      </w:r>
      <w:r w:rsidR="00A5416E">
        <w:rPr>
          <w:rFonts w:ascii="Times New Roman" w:hAnsi="Times New Roman" w:cs="Times New Roman"/>
          <w:sz w:val="28"/>
          <w:szCs w:val="28"/>
        </w:rPr>
        <w:t xml:space="preserve"> diritti</w:t>
      </w:r>
      <w:r>
        <w:rPr>
          <w:rFonts w:ascii="Times New Roman" w:hAnsi="Times New Roman" w:cs="Times New Roman"/>
          <w:sz w:val="28"/>
          <w:szCs w:val="28"/>
        </w:rPr>
        <w:t xml:space="preserve"> con</w:t>
      </w:r>
      <w:r w:rsidR="00A5416E">
        <w:rPr>
          <w:rFonts w:ascii="Times New Roman" w:hAnsi="Times New Roman" w:cs="Times New Roman"/>
          <w:sz w:val="28"/>
          <w:szCs w:val="28"/>
        </w:rPr>
        <w:t xml:space="preserve">fliggenti </w:t>
      </w:r>
      <w:r w:rsidR="00152DF7">
        <w:rPr>
          <w:rFonts w:ascii="Times New Roman" w:hAnsi="Times New Roman" w:cs="Times New Roman"/>
          <w:sz w:val="28"/>
          <w:szCs w:val="28"/>
        </w:rPr>
        <w:t xml:space="preserve">di uguale valore </w:t>
      </w:r>
      <w:r w:rsidR="00A5416E">
        <w:rPr>
          <w:rFonts w:ascii="Times New Roman" w:hAnsi="Times New Roman" w:cs="Times New Roman"/>
          <w:sz w:val="28"/>
          <w:szCs w:val="28"/>
        </w:rPr>
        <w:t>(quello alla conoscenza di atti amministrativi e quello alla protezione dei dati personali ivi contenuti)</w:t>
      </w:r>
      <w:r>
        <w:rPr>
          <w:rFonts w:ascii="Times New Roman" w:hAnsi="Times New Roman" w:cs="Times New Roman"/>
          <w:sz w:val="28"/>
          <w:szCs w:val="28"/>
        </w:rPr>
        <w:t>.</w:t>
      </w:r>
    </w:p>
    <w:p w:rsidR="00485D8D" w:rsidRPr="00485D8D" w:rsidRDefault="001337B6" w:rsidP="00485D8D">
      <w:pPr>
        <w:jc w:val="both"/>
        <w:rPr>
          <w:rFonts w:ascii="Times New Roman" w:hAnsi="Times New Roman" w:cs="Times New Roman"/>
          <w:sz w:val="28"/>
          <w:szCs w:val="28"/>
        </w:rPr>
      </w:pPr>
      <w:r>
        <w:rPr>
          <w:rFonts w:ascii="Times New Roman" w:hAnsi="Times New Roman" w:cs="Times New Roman"/>
          <w:sz w:val="28"/>
          <w:szCs w:val="28"/>
        </w:rPr>
        <w:t>Da tale confuso</w:t>
      </w:r>
      <w:r w:rsidR="00485D8D">
        <w:rPr>
          <w:rFonts w:ascii="Times New Roman" w:hAnsi="Times New Roman" w:cs="Times New Roman"/>
          <w:sz w:val="28"/>
          <w:szCs w:val="28"/>
        </w:rPr>
        <w:t xml:space="preserve"> compendio di indirizzi contraddittori discende l’ulteriore corollario per cui </w:t>
      </w:r>
      <w:r w:rsidR="00485D8D" w:rsidRPr="00485D8D">
        <w:rPr>
          <w:rFonts w:ascii="Times New Roman" w:hAnsi="Times New Roman" w:cs="Times New Roman"/>
          <w:sz w:val="28"/>
          <w:szCs w:val="28"/>
        </w:rPr>
        <w:t xml:space="preserve">il funzionario responsabile di esaminare l’istanza di accesso si trova </w:t>
      </w:r>
      <w:r w:rsidR="00485D8D">
        <w:rPr>
          <w:rFonts w:ascii="Times New Roman" w:hAnsi="Times New Roman" w:cs="Times New Roman"/>
          <w:sz w:val="28"/>
          <w:szCs w:val="28"/>
        </w:rPr>
        <w:t>a doverla definire</w:t>
      </w:r>
      <w:r w:rsidR="00485D8D" w:rsidRPr="00485D8D">
        <w:rPr>
          <w:rFonts w:ascii="Times New Roman" w:hAnsi="Times New Roman" w:cs="Times New Roman"/>
          <w:sz w:val="28"/>
          <w:szCs w:val="28"/>
        </w:rPr>
        <w:t xml:space="preserve"> in un tempo molto stretto (</w:t>
      </w:r>
      <w:r w:rsidR="00485D8D">
        <w:rPr>
          <w:rFonts w:ascii="Times New Roman" w:hAnsi="Times New Roman" w:cs="Times New Roman"/>
          <w:sz w:val="28"/>
          <w:szCs w:val="28"/>
        </w:rPr>
        <w:t xml:space="preserve">e, in particolare, </w:t>
      </w:r>
      <w:r w:rsidR="00485D8D" w:rsidRPr="00485D8D">
        <w:rPr>
          <w:rFonts w:ascii="Times New Roman" w:hAnsi="Times New Roman" w:cs="Times New Roman"/>
          <w:sz w:val="28"/>
          <w:szCs w:val="28"/>
        </w:rPr>
        <w:t>nel termine di 30 g</w:t>
      </w:r>
      <w:r w:rsidR="00685E9C">
        <w:rPr>
          <w:rFonts w:ascii="Times New Roman" w:hAnsi="Times New Roman" w:cs="Times New Roman"/>
          <w:sz w:val="28"/>
          <w:szCs w:val="28"/>
        </w:rPr>
        <w:t>iorni, la cui violazione concorre a integrare</w:t>
      </w:r>
      <w:r w:rsidR="00485D8D" w:rsidRPr="00485D8D">
        <w:rPr>
          <w:rFonts w:ascii="Times New Roman" w:hAnsi="Times New Roman" w:cs="Times New Roman"/>
          <w:sz w:val="28"/>
          <w:szCs w:val="28"/>
        </w:rPr>
        <w:t xml:space="preserve"> gli estremi della responsabilità dirigenziale), dovendo compiere un’istruttoria spesso complessa </w:t>
      </w:r>
      <w:r w:rsidR="00485D8D">
        <w:rPr>
          <w:rFonts w:ascii="Times New Roman" w:hAnsi="Times New Roman" w:cs="Times New Roman"/>
          <w:sz w:val="28"/>
          <w:szCs w:val="28"/>
        </w:rPr>
        <w:t>(con il necessario interpello dei controinteressati) e in ossequio a direttive non univoche</w:t>
      </w:r>
      <w:r w:rsidR="00485D8D" w:rsidRPr="00485D8D">
        <w:rPr>
          <w:rFonts w:ascii="Times New Roman" w:hAnsi="Times New Roman" w:cs="Times New Roman"/>
          <w:sz w:val="28"/>
          <w:szCs w:val="28"/>
        </w:rPr>
        <w:t xml:space="preserve"> e che</w:t>
      </w:r>
      <w:r w:rsidR="00485D8D">
        <w:rPr>
          <w:rFonts w:ascii="Times New Roman" w:hAnsi="Times New Roman" w:cs="Times New Roman"/>
          <w:sz w:val="28"/>
          <w:szCs w:val="28"/>
        </w:rPr>
        <w:t>, perciò,</w:t>
      </w:r>
      <w:r w:rsidR="00485D8D" w:rsidRPr="00485D8D">
        <w:rPr>
          <w:rFonts w:ascii="Times New Roman" w:hAnsi="Times New Roman" w:cs="Times New Roman"/>
          <w:sz w:val="28"/>
          <w:szCs w:val="28"/>
        </w:rPr>
        <w:t xml:space="preserve"> lasciano intatto </w:t>
      </w:r>
      <w:r w:rsidR="00485D8D">
        <w:rPr>
          <w:rFonts w:ascii="Times New Roman" w:hAnsi="Times New Roman" w:cs="Times New Roman"/>
          <w:sz w:val="28"/>
          <w:szCs w:val="28"/>
        </w:rPr>
        <w:t xml:space="preserve">(anzi: aggravano) </w:t>
      </w:r>
      <w:r w:rsidR="00485D8D" w:rsidRPr="00485D8D">
        <w:rPr>
          <w:rFonts w:ascii="Times New Roman" w:hAnsi="Times New Roman" w:cs="Times New Roman"/>
          <w:sz w:val="28"/>
          <w:szCs w:val="28"/>
        </w:rPr>
        <w:t>uno spazio di discr</w:t>
      </w:r>
      <w:r w:rsidR="00485D8D">
        <w:rPr>
          <w:rFonts w:ascii="Times New Roman" w:hAnsi="Times New Roman" w:cs="Times New Roman"/>
          <w:sz w:val="28"/>
          <w:szCs w:val="28"/>
        </w:rPr>
        <w:t xml:space="preserve">ezionalità </w:t>
      </w:r>
      <w:r w:rsidR="004E6F4E">
        <w:rPr>
          <w:rFonts w:ascii="Times New Roman" w:hAnsi="Times New Roman" w:cs="Times New Roman"/>
          <w:sz w:val="28"/>
          <w:szCs w:val="28"/>
        </w:rPr>
        <w:t>pressoché</w:t>
      </w:r>
      <w:r w:rsidR="00485D8D">
        <w:rPr>
          <w:rFonts w:ascii="Times New Roman" w:hAnsi="Times New Roman" w:cs="Times New Roman"/>
          <w:sz w:val="28"/>
          <w:szCs w:val="28"/>
        </w:rPr>
        <w:t xml:space="preserve"> illimitato.</w:t>
      </w:r>
    </w:p>
    <w:p w:rsidR="00485D8D" w:rsidRPr="00485D8D" w:rsidRDefault="00485D8D" w:rsidP="00485D8D">
      <w:pPr>
        <w:jc w:val="both"/>
        <w:rPr>
          <w:rFonts w:ascii="Times New Roman" w:hAnsi="Times New Roman" w:cs="Times New Roman"/>
          <w:sz w:val="28"/>
          <w:szCs w:val="28"/>
        </w:rPr>
      </w:pPr>
      <w:r w:rsidRPr="00485D8D">
        <w:rPr>
          <w:rFonts w:ascii="Times New Roman" w:hAnsi="Times New Roman" w:cs="Times New Roman"/>
          <w:sz w:val="28"/>
          <w:szCs w:val="28"/>
        </w:rPr>
        <w:t>Da una parte</w:t>
      </w:r>
      <w:r>
        <w:rPr>
          <w:rFonts w:ascii="Times New Roman" w:hAnsi="Times New Roman" w:cs="Times New Roman"/>
          <w:sz w:val="28"/>
          <w:szCs w:val="28"/>
        </w:rPr>
        <w:t>, infatti,</w:t>
      </w:r>
      <w:r w:rsidRPr="00485D8D">
        <w:rPr>
          <w:rFonts w:ascii="Times New Roman" w:hAnsi="Times New Roman" w:cs="Times New Roman"/>
          <w:sz w:val="28"/>
          <w:szCs w:val="28"/>
        </w:rPr>
        <w:t xml:space="preserve"> l’ANAC indica canoni valutativi coerenti, ma necessariamente generici; da un’altra parte il Ministro </w:t>
      </w:r>
      <w:r w:rsidR="00685E9C">
        <w:rPr>
          <w:rFonts w:ascii="Times New Roman" w:hAnsi="Times New Roman" w:cs="Times New Roman"/>
          <w:sz w:val="28"/>
          <w:szCs w:val="28"/>
        </w:rPr>
        <w:t>per la semplificazione e la pubblica amministrazione</w:t>
      </w:r>
      <w:r w:rsidR="00685E9C" w:rsidRPr="004E133F">
        <w:rPr>
          <w:rFonts w:ascii="Times New Roman" w:hAnsi="Times New Roman" w:cs="Times New Roman"/>
          <w:sz w:val="28"/>
          <w:szCs w:val="28"/>
        </w:rPr>
        <w:t xml:space="preserve"> </w:t>
      </w:r>
      <w:r>
        <w:rPr>
          <w:rFonts w:ascii="Times New Roman" w:hAnsi="Times New Roman" w:cs="Times New Roman"/>
          <w:sz w:val="28"/>
          <w:szCs w:val="28"/>
        </w:rPr>
        <w:t>enuncia,</w:t>
      </w:r>
      <w:r w:rsidRPr="00485D8D">
        <w:rPr>
          <w:rFonts w:ascii="Times New Roman" w:hAnsi="Times New Roman" w:cs="Times New Roman"/>
          <w:sz w:val="28"/>
          <w:szCs w:val="28"/>
        </w:rPr>
        <w:t xml:space="preserve"> come principio generale</w:t>
      </w:r>
      <w:r>
        <w:rPr>
          <w:rFonts w:ascii="Times New Roman" w:hAnsi="Times New Roman" w:cs="Times New Roman"/>
          <w:sz w:val="28"/>
          <w:szCs w:val="28"/>
        </w:rPr>
        <w:t>,</w:t>
      </w:r>
      <w:r w:rsidRPr="00485D8D">
        <w:rPr>
          <w:rFonts w:ascii="Times New Roman" w:hAnsi="Times New Roman" w:cs="Times New Roman"/>
          <w:sz w:val="28"/>
          <w:szCs w:val="28"/>
        </w:rPr>
        <w:t xml:space="preserve"> quello della preferenza, nel dubbio, per l’interesse alla trasparenza; da un’altra parte ancora il Garante per la privacy chiarisce che</w:t>
      </w:r>
      <w:r w:rsidR="0087175B">
        <w:rPr>
          <w:rFonts w:ascii="Times New Roman" w:hAnsi="Times New Roman" w:cs="Times New Roman"/>
          <w:sz w:val="28"/>
          <w:szCs w:val="28"/>
        </w:rPr>
        <w:t>, al contrario,</w:t>
      </w:r>
      <w:r w:rsidRPr="00485D8D">
        <w:rPr>
          <w:rFonts w:ascii="Times New Roman" w:hAnsi="Times New Roman" w:cs="Times New Roman"/>
          <w:sz w:val="28"/>
          <w:szCs w:val="28"/>
        </w:rPr>
        <w:t xml:space="preserve"> il giudizio comparativo deve restare su un piano di bilanciamento di int</w:t>
      </w:r>
      <w:r>
        <w:rPr>
          <w:rFonts w:ascii="Times New Roman" w:hAnsi="Times New Roman" w:cs="Times New Roman"/>
          <w:sz w:val="28"/>
          <w:szCs w:val="28"/>
        </w:rPr>
        <w:t>eressi di pari dignità e valore.</w:t>
      </w:r>
    </w:p>
    <w:p w:rsidR="004E133F" w:rsidRDefault="00320334" w:rsidP="004E133F">
      <w:pPr>
        <w:jc w:val="both"/>
        <w:rPr>
          <w:rFonts w:ascii="Times New Roman" w:hAnsi="Times New Roman" w:cs="Times New Roman"/>
          <w:sz w:val="28"/>
          <w:szCs w:val="28"/>
        </w:rPr>
      </w:pPr>
      <w:r>
        <w:rPr>
          <w:rFonts w:ascii="Times New Roman" w:hAnsi="Times New Roman" w:cs="Times New Roman"/>
          <w:sz w:val="28"/>
          <w:szCs w:val="28"/>
        </w:rPr>
        <w:t>I</w:t>
      </w:r>
      <w:r w:rsidR="0087175B">
        <w:rPr>
          <w:rFonts w:ascii="Times New Roman" w:hAnsi="Times New Roman" w:cs="Times New Roman"/>
          <w:sz w:val="28"/>
          <w:szCs w:val="28"/>
        </w:rPr>
        <w:t xml:space="preserve">l funzionario incaricato dell’esame e della definizione di un’istanza di ACG che implica la conoscenza di dati o informazioni personali </w:t>
      </w:r>
      <w:r>
        <w:rPr>
          <w:rFonts w:ascii="Times New Roman" w:hAnsi="Times New Roman" w:cs="Times New Roman"/>
          <w:sz w:val="28"/>
          <w:szCs w:val="28"/>
        </w:rPr>
        <w:t>dovrà, quindi, compiere la valutazione circa il pericolo che l’ostensione degli atti richiesti arrechi un pregi</w:t>
      </w:r>
      <w:r w:rsidR="00737BCE">
        <w:rPr>
          <w:rFonts w:ascii="Times New Roman" w:hAnsi="Times New Roman" w:cs="Times New Roman"/>
          <w:sz w:val="28"/>
          <w:szCs w:val="28"/>
        </w:rPr>
        <w:t>udizio concreto a</w:t>
      </w:r>
      <w:r>
        <w:rPr>
          <w:rFonts w:ascii="Times New Roman" w:hAnsi="Times New Roman" w:cs="Times New Roman"/>
          <w:sz w:val="28"/>
          <w:szCs w:val="28"/>
        </w:rPr>
        <w:t xml:space="preserve">i </w:t>
      </w:r>
      <w:r w:rsidR="00737BCE">
        <w:rPr>
          <w:rFonts w:ascii="Times New Roman" w:hAnsi="Times New Roman" w:cs="Times New Roman"/>
          <w:sz w:val="28"/>
          <w:szCs w:val="28"/>
        </w:rPr>
        <w:t>suddetti interessi, in difetto di indirizzi chiari e puntuali circa i criteri che devono presiedere al pertinente giudizio.</w:t>
      </w:r>
    </w:p>
    <w:p w:rsidR="008F424A" w:rsidRDefault="008F424A" w:rsidP="004E133F">
      <w:pPr>
        <w:jc w:val="both"/>
        <w:rPr>
          <w:rFonts w:ascii="Times New Roman" w:hAnsi="Times New Roman" w:cs="Times New Roman"/>
          <w:sz w:val="28"/>
          <w:szCs w:val="28"/>
        </w:rPr>
      </w:pPr>
      <w:r>
        <w:rPr>
          <w:rFonts w:ascii="Times New Roman" w:hAnsi="Times New Roman" w:cs="Times New Roman"/>
          <w:sz w:val="28"/>
          <w:szCs w:val="28"/>
        </w:rPr>
        <w:t>L’anzidetta valutazione si rivel</w:t>
      </w:r>
      <w:r w:rsidR="00BD1BB2">
        <w:rPr>
          <w:rFonts w:ascii="Times New Roman" w:hAnsi="Times New Roman" w:cs="Times New Roman"/>
          <w:sz w:val="28"/>
          <w:szCs w:val="28"/>
        </w:rPr>
        <w:t>a</w:t>
      </w:r>
      <w:r w:rsidR="00685E9C">
        <w:rPr>
          <w:rFonts w:ascii="Times New Roman" w:hAnsi="Times New Roman" w:cs="Times New Roman"/>
          <w:sz w:val="28"/>
          <w:szCs w:val="28"/>
        </w:rPr>
        <w:t>, peraltro,</w:t>
      </w:r>
      <w:r w:rsidR="00BD1BB2">
        <w:rPr>
          <w:rFonts w:ascii="Times New Roman" w:hAnsi="Times New Roman" w:cs="Times New Roman"/>
          <w:sz w:val="28"/>
          <w:szCs w:val="28"/>
        </w:rPr>
        <w:t xml:space="preserve"> oltremodo problematica</w:t>
      </w:r>
      <w:r>
        <w:rPr>
          <w:rFonts w:ascii="Times New Roman" w:hAnsi="Times New Roman" w:cs="Times New Roman"/>
          <w:sz w:val="28"/>
          <w:szCs w:val="28"/>
        </w:rPr>
        <w:t xml:space="preserve"> e comple</w:t>
      </w:r>
      <w:r w:rsidR="00BD1BB2">
        <w:rPr>
          <w:rFonts w:ascii="Times New Roman" w:hAnsi="Times New Roman" w:cs="Times New Roman"/>
          <w:sz w:val="28"/>
          <w:szCs w:val="28"/>
        </w:rPr>
        <w:t>ssa</w:t>
      </w:r>
      <w:r>
        <w:rPr>
          <w:rFonts w:ascii="Times New Roman" w:hAnsi="Times New Roman" w:cs="Times New Roman"/>
          <w:sz w:val="28"/>
          <w:szCs w:val="28"/>
        </w:rPr>
        <w:t>, in quanto non può arrestarsi alla delibazione dell’incidenza dell’accesso sulla sfera di riservatezza dei controinteressati, presidiata dalla normativa sulla privacy, ma deve estendersi fino alla classificazione di quel pregiudizio come concreto e (si intende</w:t>
      </w:r>
      <w:r w:rsidR="00685E9C">
        <w:rPr>
          <w:rFonts w:ascii="Times New Roman" w:hAnsi="Times New Roman" w:cs="Times New Roman"/>
          <w:sz w:val="28"/>
          <w:szCs w:val="28"/>
        </w:rPr>
        <w:t>) idoneo, come tale, a paralizzare l</w:t>
      </w:r>
      <w:r>
        <w:rPr>
          <w:rFonts w:ascii="Times New Roman" w:hAnsi="Times New Roman" w:cs="Times New Roman"/>
          <w:sz w:val="28"/>
          <w:szCs w:val="28"/>
        </w:rPr>
        <w:t>e istanze conoscitive sottese alla richiesta di ACG.</w:t>
      </w:r>
    </w:p>
    <w:p w:rsidR="00DD735E" w:rsidRDefault="008F424A" w:rsidP="004E133F">
      <w:pPr>
        <w:jc w:val="both"/>
        <w:rPr>
          <w:rFonts w:ascii="Times New Roman" w:hAnsi="Times New Roman" w:cs="Times New Roman"/>
          <w:sz w:val="28"/>
          <w:szCs w:val="28"/>
        </w:rPr>
      </w:pPr>
      <w:r>
        <w:rPr>
          <w:rFonts w:ascii="Times New Roman" w:hAnsi="Times New Roman" w:cs="Times New Roman"/>
          <w:sz w:val="28"/>
          <w:szCs w:val="28"/>
        </w:rPr>
        <w:t>Si tratta, in definitiva, di un giudizio sul conflitto tra la trasparenza total</w:t>
      </w:r>
      <w:r w:rsidR="00304B1A">
        <w:rPr>
          <w:rFonts w:ascii="Times New Roman" w:hAnsi="Times New Roman" w:cs="Times New Roman"/>
          <w:sz w:val="28"/>
          <w:szCs w:val="28"/>
        </w:rPr>
        <w:t>e che ha ispirato il FOIA</w:t>
      </w:r>
      <w:r w:rsidR="00685E9C">
        <w:rPr>
          <w:rFonts w:ascii="Times New Roman" w:hAnsi="Times New Roman" w:cs="Times New Roman"/>
          <w:sz w:val="28"/>
          <w:szCs w:val="28"/>
        </w:rPr>
        <w:t>, su</w:t>
      </w:r>
      <w:r>
        <w:rPr>
          <w:rFonts w:ascii="Times New Roman" w:hAnsi="Times New Roman" w:cs="Times New Roman"/>
          <w:sz w:val="28"/>
          <w:szCs w:val="28"/>
        </w:rPr>
        <w:t xml:space="preserve">l quale si </w:t>
      </w:r>
      <w:r w:rsidR="00685E9C">
        <w:rPr>
          <w:rFonts w:ascii="Times New Roman" w:hAnsi="Times New Roman" w:cs="Times New Roman"/>
          <w:sz w:val="28"/>
          <w:szCs w:val="28"/>
        </w:rPr>
        <w:t xml:space="preserve">fondano </w:t>
      </w:r>
      <w:r>
        <w:rPr>
          <w:rFonts w:ascii="Times New Roman" w:hAnsi="Times New Roman" w:cs="Times New Roman"/>
          <w:sz w:val="28"/>
          <w:szCs w:val="28"/>
        </w:rPr>
        <w:t>le interpretazioni più evolute di una concezione aperta e controllabile della democrazia (che implica un accesso diffuso a</w:t>
      </w:r>
      <w:r w:rsidR="00DD735E">
        <w:rPr>
          <w:rFonts w:ascii="Times New Roman" w:hAnsi="Times New Roman" w:cs="Times New Roman"/>
          <w:sz w:val="28"/>
          <w:szCs w:val="28"/>
        </w:rPr>
        <w:t>gl</w:t>
      </w:r>
      <w:r>
        <w:rPr>
          <w:rFonts w:ascii="Times New Roman" w:hAnsi="Times New Roman" w:cs="Times New Roman"/>
          <w:sz w:val="28"/>
          <w:szCs w:val="28"/>
        </w:rPr>
        <w:t xml:space="preserve">i </w:t>
      </w:r>
      <w:r w:rsidR="00DD735E">
        <w:rPr>
          <w:rFonts w:ascii="Times New Roman" w:hAnsi="Times New Roman" w:cs="Times New Roman"/>
          <w:sz w:val="28"/>
          <w:szCs w:val="28"/>
        </w:rPr>
        <w:t xml:space="preserve">atti nei </w:t>
      </w:r>
      <w:r>
        <w:rPr>
          <w:rFonts w:ascii="Times New Roman" w:hAnsi="Times New Roman" w:cs="Times New Roman"/>
          <w:sz w:val="28"/>
          <w:szCs w:val="28"/>
        </w:rPr>
        <w:t>quali si esplica il potere), e le esigenze</w:t>
      </w:r>
      <w:r w:rsidR="00DD735E">
        <w:rPr>
          <w:rFonts w:ascii="Times New Roman" w:hAnsi="Times New Roman" w:cs="Times New Roman"/>
          <w:sz w:val="28"/>
          <w:szCs w:val="28"/>
        </w:rPr>
        <w:t xml:space="preserve"> di protezione d</w:t>
      </w:r>
      <w:r>
        <w:rPr>
          <w:rFonts w:ascii="Times New Roman" w:hAnsi="Times New Roman" w:cs="Times New Roman"/>
          <w:sz w:val="28"/>
          <w:szCs w:val="28"/>
        </w:rPr>
        <w:t>e</w:t>
      </w:r>
      <w:r w:rsidR="00DD735E">
        <w:rPr>
          <w:rFonts w:ascii="Times New Roman" w:hAnsi="Times New Roman" w:cs="Times New Roman"/>
          <w:sz w:val="28"/>
          <w:szCs w:val="28"/>
        </w:rPr>
        <w:t>i dat</w:t>
      </w:r>
      <w:r>
        <w:rPr>
          <w:rFonts w:ascii="Times New Roman" w:hAnsi="Times New Roman" w:cs="Times New Roman"/>
          <w:sz w:val="28"/>
          <w:szCs w:val="28"/>
        </w:rPr>
        <w:t>i p</w:t>
      </w:r>
      <w:r w:rsidR="00DD735E">
        <w:rPr>
          <w:rFonts w:ascii="Times New Roman" w:hAnsi="Times New Roman" w:cs="Times New Roman"/>
          <w:sz w:val="28"/>
          <w:szCs w:val="28"/>
        </w:rPr>
        <w:t>ersonali, che</w:t>
      </w:r>
      <w:r w:rsidR="00685E9C">
        <w:rPr>
          <w:rFonts w:ascii="Times New Roman" w:hAnsi="Times New Roman" w:cs="Times New Roman"/>
          <w:sz w:val="28"/>
          <w:szCs w:val="28"/>
        </w:rPr>
        <w:t>,</w:t>
      </w:r>
      <w:r w:rsidR="00DD735E">
        <w:rPr>
          <w:rFonts w:ascii="Times New Roman" w:hAnsi="Times New Roman" w:cs="Times New Roman"/>
          <w:sz w:val="28"/>
          <w:szCs w:val="28"/>
        </w:rPr>
        <w:t xml:space="preserve"> p</w:t>
      </w:r>
      <w:r>
        <w:rPr>
          <w:rFonts w:ascii="Times New Roman" w:hAnsi="Times New Roman" w:cs="Times New Roman"/>
          <w:sz w:val="28"/>
          <w:szCs w:val="28"/>
        </w:rPr>
        <w:t>ure, r</w:t>
      </w:r>
      <w:r w:rsidR="00DD735E">
        <w:rPr>
          <w:rFonts w:ascii="Times New Roman" w:hAnsi="Times New Roman" w:cs="Times New Roman"/>
          <w:sz w:val="28"/>
          <w:szCs w:val="28"/>
        </w:rPr>
        <w:t xml:space="preserve">icevono tutela </w:t>
      </w:r>
      <w:r>
        <w:rPr>
          <w:rFonts w:ascii="Times New Roman" w:hAnsi="Times New Roman" w:cs="Times New Roman"/>
          <w:sz w:val="28"/>
          <w:szCs w:val="28"/>
        </w:rPr>
        <w:t>da</w:t>
      </w:r>
      <w:r w:rsidR="00DD735E">
        <w:rPr>
          <w:rFonts w:ascii="Times New Roman" w:hAnsi="Times New Roman" w:cs="Times New Roman"/>
          <w:sz w:val="28"/>
          <w:szCs w:val="28"/>
        </w:rPr>
        <w:t>lle conven</w:t>
      </w:r>
      <w:r>
        <w:rPr>
          <w:rFonts w:ascii="Times New Roman" w:hAnsi="Times New Roman" w:cs="Times New Roman"/>
          <w:sz w:val="28"/>
          <w:szCs w:val="28"/>
        </w:rPr>
        <w:t xml:space="preserve">zioni </w:t>
      </w:r>
      <w:r w:rsidR="00DD735E">
        <w:rPr>
          <w:rFonts w:ascii="Times New Roman" w:hAnsi="Times New Roman" w:cs="Times New Roman"/>
          <w:sz w:val="28"/>
          <w:szCs w:val="28"/>
        </w:rPr>
        <w:t>inter</w:t>
      </w:r>
      <w:r>
        <w:rPr>
          <w:rFonts w:ascii="Times New Roman" w:hAnsi="Times New Roman" w:cs="Times New Roman"/>
          <w:sz w:val="28"/>
          <w:szCs w:val="28"/>
        </w:rPr>
        <w:t>n</w:t>
      </w:r>
      <w:r w:rsidR="00DD735E">
        <w:rPr>
          <w:rFonts w:ascii="Times New Roman" w:hAnsi="Times New Roman" w:cs="Times New Roman"/>
          <w:sz w:val="28"/>
          <w:szCs w:val="28"/>
        </w:rPr>
        <w:t>azio</w:t>
      </w:r>
      <w:r>
        <w:rPr>
          <w:rFonts w:ascii="Times New Roman" w:hAnsi="Times New Roman" w:cs="Times New Roman"/>
          <w:sz w:val="28"/>
          <w:szCs w:val="28"/>
        </w:rPr>
        <w:t>n</w:t>
      </w:r>
      <w:r w:rsidR="00DD735E">
        <w:rPr>
          <w:rFonts w:ascii="Times New Roman" w:hAnsi="Times New Roman" w:cs="Times New Roman"/>
          <w:sz w:val="28"/>
          <w:szCs w:val="28"/>
        </w:rPr>
        <w:t>al</w:t>
      </w:r>
      <w:r>
        <w:rPr>
          <w:rFonts w:ascii="Times New Roman" w:hAnsi="Times New Roman" w:cs="Times New Roman"/>
          <w:sz w:val="28"/>
          <w:szCs w:val="28"/>
        </w:rPr>
        <w:t>i e dagli ordinamenti sovranazionali.</w:t>
      </w:r>
    </w:p>
    <w:p w:rsidR="00737BCE" w:rsidRPr="004E133F" w:rsidRDefault="00CA6EC7" w:rsidP="004E133F">
      <w:pPr>
        <w:jc w:val="both"/>
        <w:rPr>
          <w:rFonts w:ascii="Times New Roman" w:hAnsi="Times New Roman" w:cs="Times New Roman"/>
          <w:sz w:val="28"/>
          <w:szCs w:val="28"/>
        </w:rPr>
      </w:pPr>
      <w:r>
        <w:rPr>
          <w:rFonts w:ascii="Times New Roman" w:hAnsi="Times New Roman" w:cs="Times New Roman"/>
          <w:sz w:val="28"/>
          <w:szCs w:val="28"/>
        </w:rPr>
        <w:t xml:space="preserve">La delicatezza estrema di tale conflitto </w:t>
      </w:r>
      <w:r w:rsidR="00D67912">
        <w:rPr>
          <w:rFonts w:ascii="Times New Roman" w:hAnsi="Times New Roman" w:cs="Times New Roman"/>
          <w:sz w:val="28"/>
          <w:szCs w:val="28"/>
        </w:rPr>
        <w:t xml:space="preserve">(si direbbe: epocale) </w:t>
      </w:r>
      <w:r>
        <w:rPr>
          <w:rFonts w:ascii="Times New Roman" w:hAnsi="Times New Roman" w:cs="Times New Roman"/>
          <w:sz w:val="28"/>
          <w:szCs w:val="28"/>
        </w:rPr>
        <w:t>non sembra, tuttavia, risolvibile per mezzo della responsabilizzazione totale</w:t>
      </w:r>
      <w:r w:rsidR="00685E9C">
        <w:rPr>
          <w:rFonts w:ascii="Times New Roman" w:hAnsi="Times New Roman" w:cs="Times New Roman"/>
          <w:sz w:val="28"/>
          <w:szCs w:val="28"/>
        </w:rPr>
        <w:t xml:space="preserve"> di un funzionario e mediante</w:t>
      </w:r>
      <w:r>
        <w:rPr>
          <w:rFonts w:ascii="Times New Roman" w:hAnsi="Times New Roman" w:cs="Times New Roman"/>
          <w:sz w:val="28"/>
          <w:szCs w:val="28"/>
        </w:rPr>
        <w:t xml:space="preserve"> strumenti </w:t>
      </w:r>
      <w:r w:rsidR="00685E9C">
        <w:rPr>
          <w:rFonts w:ascii="Times New Roman" w:hAnsi="Times New Roman" w:cs="Times New Roman"/>
          <w:sz w:val="28"/>
          <w:szCs w:val="28"/>
        </w:rPr>
        <w:t xml:space="preserve">regolativi </w:t>
      </w:r>
      <w:r>
        <w:rPr>
          <w:rFonts w:ascii="Times New Roman" w:hAnsi="Times New Roman" w:cs="Times New Roman"/>
          <w:sz w:val="28"/>
          <w:szCs w:val="28"/>
        </w:rPr>
        <w:t xml:space="preserve">di (sola) </w:t>
      </w:r>
      <w:r w:rsidRPr="00152DF7">
        <w:rPr>
          <w:rFonts w:ascii="Times New Roman" w:hAnsi="Times New Roman" w:cs="Times New Roman"/>
          <w:i/>
          <w:sz w:val="28"/>
          <w:szCs w:val="28"/>
        </w:rPr>
        <w:t>soft law</w:t>
      </w:r>
      <w:r>
        <w:rPr>
          <w:rFonts w:ascii="Times New Roman" w:hAnsi="Times New Roman" w:cs="Times New Roman"/>
          <w:sz w:val="28"/>
          <w:szCs w:val="28"/>
        </w:rPr>
        <w:t>.</w:t>
      </w:r>
      <w:r w:rsidR="008F424A">
        <w:rPr>
          <w:rFonts w:ascii="Times New Roman" w:hAnsi="Times New Roman" w:cs="Times New Roman"/>
          <w:sz w:val="28"/>
          <w:szCs w:val="28"/>
        </w:rPr>
        <w:t xml:space="preserve">    </w:t>
      </w:r>
    </w:p>
    <w:p w:rsidR="00D67912" w:rsidRDefault="00D67912" w:rsidP="00776E83">
      <w:pPr>
        <w:jc w:val="both"/>
        <w:rPr>
          <w:rFonts w:ascii="Times New Roman" w:hAnsi="Times New Roman" w:cs="Times New Roman"/>
          <w:sz w:val="28"/>
          <w:szCs w:val="28"/>
        </w:rPr>
      </w:pPr>
      <w:r>
        <w:rPr>
          <w:rFonts w:ascii="Times New Roman" w:hAnsi="Times New Roman" w:cs="Times New Roman"/>
          <w:sz w:val="28"/>
          <w:szCs w:val="28"/>
        </w:rPr>
        <w:t>Le stesse aspettative ingenerate dalle formulazioni lessicali delle enunciazioni di principio utilizzate nel d.lgs. n.33 del 2013 sembrano, peraltro, idonee ad aggravare l’antinomia rinvenibile nella legge e le connesse difficoltà applicative.</w:t>
      </w:r>
    </w:p>
    <w:p w:rsidR="00D67912" w:rsidRDefault="00D67912" w:rsidP="00776E83">
      <w:pPr>
        <w:jc w:val="both"/>
        <w:rPr>
          <w:rFonts w:ascii="Times New Roman" w:hAnsi="Times New Roman" w:cs="Times New Roman"/>
          <w:sz w:val="28"/>
          <w:szCs w:val="28"/>
        </w:rPr>
      </w:pPr>
      <w:r>
        <w:rPr>
          <w:rFonts w:ascii="Times New Roman" w:hAnsi="Times New Roman" w:cs="Times New Roman"/>
          <w:sz w:val="28"/>
          <w:szCs w:val="28"/>
        </w:rPr>
        <w:t xml:space="preserve">L’enfasi testuale rintracciabile nelle definizioni di trasparenza e di accesso civico generalizzato come canoni indefettibili e generali del controllo democratico e diffuso dell’esercizio delle pubbliche funzioni se, per un verso, confligge con l’ampia catalogazione delle eccezioni e delle limitazioni </w:t>
      </w:r>
      <w:r w:rsidR="00685E9C">
        <w:rPr>
          <w:rFonts w:ascii="Times New Roman" w:hAnsi="Times New Roman" w:cs="Times New Roman"/>
          <w:sz w:val="28"/>
          <w:szCs w:val="28"/>
        </w:rPr>
        <w:t>(</w:t>
      </w:r>
      <w:r>
        <w:rPr>
          <w:rFonts w:ascii="Times New Roman" w:hAnsi="Times New Roman" w:cs="Times New Roman"/>
          <w:sz w:val="28"/>
          <w:szCs w:val="28"/>
        </w:rPr>
        <w:t>ivi sancite</w:t>
      </w:r>
      <w:r w:rsidR="00685E9C">
        <w:rPr>
          <w:rFonts w:ascii="Times New Roman" w:hAnsi="Times New Roman" w:cs="Times New Roman"/>
          <w:sz w:val="28"/>
          <w:szCs w:val="28"/>
        </w:rPr>
        <w:t>)</w:t>
      </w:r>
      <w:r>
        <w:rPr>
          <w:rFonts w:ascii="Times New Roman" w:hAnsi="Times New Roman" w:cs="Times New Roman"/>
          <w:sz w:val="28"/>
          <w:szCs w:val="28"/>
        </w:rPr>
        <w:t xml:space="preserve"> ai medesimi principi, per un altro ingenera l’idea che spetti al cittadino la conoscenza di tutte le informazioni e i documenti detenuti dalle pubbliche amministrazioni, proprio al fine di consentirgli una consapevole partecipazione al dibattitto pubblico circa la correttezza della gestione della </w:t>
      </w:r>
      <w:r w:rsidRPr="00152DF7">
        <w:rPr>
          <w:rFonts w:ascii="Times New Roman" w:hAnsi="Times New Roman" w:cs="Times New Roman"/>
          <w:i/>
          <w:sz w:val="28"/>
          <w:szCs w:val="28"/>
        </w:rPr>
        <w:t>Res Publica</w:t>
      </w:r>
      <w:r>
        <w:rPr>
          <w:rFonts w:ascii="Times New Roman" w:hAnsi="Times New Roman" w:cs="Times New Roman"/>
          <w:sz w:val="28"/>
          <w:szCs w:val="28"/>
        </w:rPr>
        <w:t>.</w:t>
      </w:r>
    </w:p>
    <w:p w:rsidR="00D67912" w:rsidRDefault="00DD1E95" w:rsidP="00776E83">
      <w:pPr>
        <w:jc w:val="both"/>
        <w:rPr>
          <w:rFonts w:ascii="Times New Roman" w:hAnsi="Times New Roman" w:cs="Times New Roman"/>
          <w:sz w:val="28"/>
          <w:szCs w:val="28"/>
        </w:rPr>
      </w:pPr>
      <w:r>
        <w:rPr>
          <w:rFonts w:ascii="Times New Roman" w:hAnsi="Times New Roman" w:cs="Times New Roman"/>
          <w:sz w:val="28"/>
          <w:szCs w:val="28"/>
        </w:rPr>
        <w:t>Sennonchè tali aspettative sono destinate a infrangersi contro le esigenze di protezione delle informazioni personali, sicchè l’ap</w:t>
      </w:r>
      <w:r w:rsidR="00685E9C">
        <w:rPr>
          <w:rFonts w:ascii="Times New Roman" w:hAnsi="Times New Roman" w:cs="Times New Roman"/>
          <w:sz w:val="28"/>
          <w:szCs w:val="28"/>
        </w:rPr>
        <w:t>proccio enfatico</w:t>
      </w:r>
      <w:r>
        <w:rPr>
          <w:rFonts w:ascii="Times New Roman" w:hAnsi="Times New Roman" w:cs="Times New Roman"/>
          <w:sz w:val="28"/>
          <w:szCs w:val="28"/>
        </w:rPr>
        <w:t xml:space="preserve"> sotteso alle affermazioni relative alla trasparenza totale finisce per generare una delusione che, a ben vedere, con un metodo (di scrittura e di comunicazione) più sobrio sarebbe stata evitata.</w:t>
      </w:r>
    </w:p>
    <w:p w:rsidR="00A02355" w:rsidRDefault="00592958" w:rsidP="00776E83">
      <w:pPr>
        <w:jc w:val="both"/>
        <w:rPr>
          <w:rFonts w:ascii="Times New Roman" w:hAnsi="Times New Roman" w:cs="Times New Roman"/>
          <w:sz w:val="28"/>
          <w:szCs w:val="28"/>
        </w:rPr>
      </w:pPr>
      <w:r>
        <w:rPr>
          <w:rFonts w:ascii="Times New Roman" w:hAnsi="Times New Roman" w:cs="Times New Roman"/>
          <w:sz w:val="28"/>
          <w:szCs w:val="28"/>
        </w:rPr>
        <w:t>4</w:t>
      </w:r>
      <w:r w:rsidR="00BD1BB2">
        <w:rPr>
          <w:rFonts w:ascii="Times New Roman" w:hAnsi="Times New Roman" w:cs="Times New Roman"/>
          <w:sz w:val="28"/>
          <w:szCs w:val="28"/>
        </w:rPr>
        <w:t xml:space="preserve">.- </w:t>
      </w:r>
      <w:r w:rsidR="00FD4C1E">
        <w:rPr>
          <w:rFonts w:ascii="Times New Roman" w:hAnsi="Times New Roman" w:cs="Times New Roman"/>
          <w:sz w:val="28"/>
          <w:szCs w:val="28"/>
        </w:rPr>
        <w:t>In ogni caso, lo scrutinio della spettanza dell’ACG, per quando discrezionale, dev’essere compiuto in esito a una seque</w:t>
      </w:r>
      <w:r w:rsidR="00B934FF">
        <w:rPr>
          <w:rFonts w:ascii="Times New Roman" w:hAnsi="Times New Roman" w:cs="Times New Roman"/>
          <w:sz w:val="28"/>
          <w:szCs w:val="28"/>
        </w:rPr>
        <w:t>nza logica che si articola nelle</w:t>
      </w:r>
      <w:r w:rsidR="00FD4C1E">
        <w:rPr>
          <w:rFonts w:ascii="Times New Roman" w:hAnsi="Times New Roman" w:cs="Times New Roman"/>
          <w:sz w:val="28"/>
          <w:szCs w:val="28"/>
        </w:rPr>
        <w:t xml:space="preserve"> </w:t>
      </w:r>
      <w:r w:rsidR="003078D6">
        <w:rPr>
          <w:rFonts w:ascii="Times New Roman" w:hAnsi="Times New Roman" w:cs="Times New Roman"/>
          <w:sz w:val="28"/>
          <w:szCs w:val="28"/>
        </w:rPr>
        <w:t xml:space="preserve">distinte </w:t>
      </w:r>
      <w:r w:rsidR="00FD4C1E">
        <w:rPr>
          <w:rFonts w:ascii="Times New Roman" w:hAnsi="Times New Roman" w:cs="Times New Roman"/>
          <w:sz w:val="28"/>
          <w:szCs w:val="28"/>
        </w:rPr>
        <w:t>fasi</w:t>
      </w:r>
      <w:r w:rsidR="00B934FF">
        <w:rPr>
          <w:rFonts w:ascii="Times New Roman" w:hAnsi="Times New Roman" w:cs="Times New Roman"/>
          <w:sz w:val="28"/>
          <w:szCs w:val="28"/>
        </w:rPr>
        <w:t xml:space="preserve"> di seguito indicate</w:t>
      </w:r>
      <w:r w:rsidR="00FD4C1E">
        <w:rPr>
          <w:rFonts w:ascii="Times New Roman" w:hAnsi="Times New Roman" w:cs="Times New Roman"/>
          <w:sz w:val="28"/>
          <w:szCs w:val="28"/>
        </w:rPr>
        <w:t>.</w:t>
      </w:r>
    </w:p>
    <w:p w:rsidR="00B934FF" w:rsidRDefault="00685E9C" w:rsidP="00776E83">
      <w:pPr>
        <w:jc w:val="both"/>
        <w:rPr>
          <w:rFonts w:ascii="Times New Roman" w:hAnsi="Times New Roman" w:cs="Times New Roman"/>
          <w:sz w:val="28"/>
          <w:szCs w:val="28"/>
        </w:rPr>
      </w:pPr>
      <w:r>
        <w:rPr>
          <w:rFonts w:ascii="Times New Roman" w:hAnsi="Times New Roman" w:cs="Times New Roman"/>
          <w:sz w:val="28"/>
          <w:szCs w:val="28"/>
        </w:rPr>
        <w:t>Dapprima</w:t>
      </w:r>
      <w:r w:rsidR="00B934FF">
        <w:rPr>
          <w:rFonts w:ascii="Times New Roman" w:hAnsi="Times New Roman" w:cs="Times New Roman"/>
          <w:sz w:val="28"/>
          <w:szCs w:val="28"/>
        </w:rPr>
        <w:t xml:space="preserve"> il funzionario deve verificare se l’istanza di ACG implichi o meno il coinvolgimento di uno degli interessi, p</w:t>
      </w:r>
      <w:r>
        <w:rPr>
          <w:rFonts w:ascii="Times New Roman" w:hAnsi="Times New Roman" w:cs="Times New Roman"/>
          <w:sz w:val="28"/>
          <w:szCs w:val="28"/>
        </w:rPr>
        <w:t>ubblici o privati, elencati ai c</w:t>
      </w:r>
      <w:r w:rsidR="00B934FF">
        <w:rPr>
          <w:rFonts w:ascii="Times New Roman" w:hAnsi="Times New Roman" w:cs="Times New Roman"/>
          <w:sz w:val="28"/>
          <w:szCs w:val="28"/>
        </w:rPr>
        <w:t>ommi 2 e 3 dell’art.5-bis del d.lgs. n.33 del 2013</w:t>
      </w:r>
      <w:r w:rsidR="00BC190F">
        <w:rPr>
          <w:rFonts w:ascii="Times New Roman" w:hAnsi="Times New Roman" w:cs="Times New Roman"/>
          <w:sz w:val="28"/>
          <w:szCs w:val="28"/>
        </w:rPr>
        <w:t xml:space="preserve"> (non dovendo, invece, controllare la legittimazione all’accesso, ormai estesa a ogni cittadino, senza il legame con un interesse qualificato alla conoscenza degli atti richiesti)</w:t>
      </w:r>
      <w:r w:rsidR="00B934FF">
        <w:rPr>
          <w:rFonts w:ascii="Times New Roman" w:hAnsi="Times New Roman" w:cs="Times New Roman"/>
          <w:sz w:val="28"/>
          <w:szCs w:val="28"/>
        </w:rPr>
        <w:t>.</w:t>
      </w:r>
    </w:p>
    <w:p w:rsidR="00B934FF" w:rsidRDefault="00B934FF" w:rsidP="00776E83">
      <w:pPr>
        <w:jc w:val="both"/>
        <w:rPr>
          <w:rFonts w:ascii="Times New Roman" w:hAnsi="Times New Roman" w:cs="Times New Roman"/>
          <w:sz w:val="28"/>
          <w:szCs w:val="28"/>
        </w:rPr>
      </w:pPr>
      <w:r>
        <w:rPr>
          <w:rFonts w:ascii="Times New Roman" w:hAnsi="Times New Roman" w:cs="Times New Roman"/>
          <w:sz w:val="28"/>
          <w:szCs w:val="28"/>
        </w:rPr>
        <w:t>Nel caso in cui rilevi l’esistenza di controinteressati, titolari degli interess</w:t>
      </w:r>
      <w:r w:rsidR="00152DF7">
        <w:rPr>
          <w:rFonts w:ascii="Times New Roman" w:hAnsi="Times New Roman" w:cs="Times New Roman"/>
          <w:sz w:val="28"/>
          <w:szCs w:val="28"/>
        </w:rPr>
        <w:t>i censiti al comma 2 dell’art.5-</w:t>
      </w:r>
      <w:r>
        <w:rPr>
          <w:rFonts w:ascii="Times New Roman" w:hAnsi="Times New Roman" w:cs="Times New Roman"/>
          <w:sz w:val="28"/>
          <w:szCs w:val="28"/>
        </w:rPr>
        <w:t xml:space="preserve">bis, il funzionario dovrà avviare con essi un’interlocuzione procedimentale, al fine di acquisirne la posizione in merito all’ostensione degli atti richiesti (secondo le modalità di cui all’art.5, comma 5). </w:t>
      </w:r>
    </w:p>
    <w:p w:rsidR="00A06A85" w:rsidRDefault="00B934FF" w:rsidP="00776E83">
      <w:pPr>
        <w:jc w:val="both"/>
        <w:rPr>
          <w:rFonts w:ascii="Times New Roman" w:hAnsi="Times New Roman" w:cs="Times New Roman"/>
          <w:sz w:val="28"/>
          <w:szCs w:val="28"/>
        </w:rPr>
      </w:pPr>
      <w:r>
        <w:rPr>
          <w:rFonts w:ascii="Times New Roman" w:hAnsi="Times New Roman" w:cs="Times New Roman"/>
          <w:sz w:val="28"/>
          <w:szCs w:val="28"/>
        </w:rPr>
        <w:t>Una volta esaurita tale fase istruttoria (che non esime l’amministrazione dalla valutazione sull’esistenza del pregiudizio concreto in ipotesi d</w:t>
      </w:r>
      <w:r w:rsidR="00CE0792">
        <w:rPr>
          <w:rFonts w:ascii="Times New Roman" w:hAnsi="Times New Roman" w:cs="Times New Roman"/>
          <w:sz w:val="28"/>
          <w:szCs w:val="28"/>
        </w:rPr>
        <w:t>i silenzio dei controinteressati</w:t>
      </w:r>
      <w:r>
        <w:rPr>
          <w:rFonts w:ascii="Times New Roman" w:hAnsi="Times New Roman" w:cs="Times New Roman"/>
          <w:sz w:val="28"/>
          <w:szCs w:val="28"/>
        </w:rPr>
        <w:t xml:space="preserve"> e che </w:t>
      </w:r>
      <w:r w:rsidR="00A06A85">
        <w:rPr>
          <w:rFonts w:ascii="Times New Roman" w:hAnsi="Times New Roman" w:cs="Times New Roman"/>
          <w:sz w:val="28"/>
          <w:szCs w:val="28"/>
        </w:rPr>
        <w:t xml:space="preserve">la </w:t>
      </w:r>
      <w:r>
        <w:rPr>
          <w:rFonts w:ascii="Times New Roman" w:hAnsi="Times New Roman" w:cs="Times New Roman"/>
          <w:sz w:val="28"/>
          <w:szCs w:val="28"/>
        </w:rPr>
        <w:t>impone</w:t>
      </w:r>
      <w:r w:rsidR="00A06A85">
        <w:rPr>
          <w:rFonts w:ascii="Times New Roman" w:hAnsi="Times New Roman" w:cs="Times New Roman"/>
          <w:sz w:val="28"/>
          <w:szCs w:val="28"/>
        </w:rPr>
        <w:t>, comunque, anche in caso di formalizzazione dell’opposizione all’accesso), il funzionario dovrà compiere una triplice valutazione.</w:t>
      </w:r>
    </w:p>
    <w:p w:rsidR="00CE0792" w:rsidRDefault="00CE0792" w:rsidP="00776E83">
      <w:pPr>
        <w:jc w:val="both"/>
        <w:rPr>
          <w:rFonts w:ascii="Times New Roman" w:hAnsi="Times New Roman" w:cs="Times New Roman"/>
          <w:sz w:val="28"/>
          <w:szCs w:val="28"/>
        </w:rPr>
      </w:pPr>
      <w:r>
        <w:rPr>
          <w:rFonts w:ascii="Times New Roman" w:hAnsi="Times New Roman" w:cs="Times New Roman"/>
          <w:sz w:val="28"/>
          <w:szCs w:val="28"/>
        </w:rPr>
        <w:t>Innanzitutto, deve a</w:t>
      </w:r>
      <w:r w:rsidR="00A06A85">
        <w:rPr>
          <w:rFonts w:ascii="Times New Roman" w:hAnsi="Times New Roman" w:cs="Times New Roman"/>
          <w:sz w:val="28"/>
          <w:szCs w:val="28"/>
        </w:rPr>
        <w:t xml:space="preserve">pprezzare </w:t>
      </w:r>
      <w:r w:rsidR="00BC190F">
        <w:rPr>
          <w:rFonts w:ascii="Times New Roman" w:hAnsi="Times New Roman" w:cs="Times New Roman"/>
          <w:sz w:val="28"/>
          <w:szCs w:val="28"/>
        </w:rPr>
        <w:t>l’esistenza di un pregiudizio concreto alla sfera dei co</w:t>
      </w:r>
      <w:r w:rsidR="003B2927">
        <w:rPr>
          <w:rFonts w:ascii="Times New Roman" w:hAnsi="Times New Roman" w:cs="Times New Roman"/>
          <w:sz w:val="28"/>
          <w:szCs w:val="28"/>
        </w:rPr>
        <w:t>ntrointeressati</w:t>
      </w:r>
      <w:r>
        <w:rPr>
          <w:rFonts w:ascii="Times New Roman" w:hAnsi="Times New Roman" w:cs="Times New Roman"/>
          <w:sz w:val="28"/>
          <w:szCs w:val="28"/>
        </w:rPr>
        <w:t xml:space="preserve"> e, cioè, la consistenza effettiva </w:t>
      </w:r>
      <w:r w:rsidR="00210D71">
        <w:rPr>
          <w:rFonts w:ascii="Times New Roman" w:hAnsi="Times New Roman" w:cs="Times New Roman"/>
          <w:sz w:val="28"/>
          <w:szCs w:val="28"/>
        </w:rPr>
        <w:t xml:space="preserve">del complesso </w:t>
      </w:r>
      <w:r>
        <w:rPr>
          <w:rFonts w:ascii="Times New Roman" w:hAnsi="Times New Roman" w:cs="Times New Roman"/>
          <w:sz w:val="28"/>
          <w:szCs w:val="28"/>
        </w:rPr>
        <w:t xml:space="preserve">delle conseguenze lesive che </w:t>
      </w:r>
      <w:r w:rsidR="00EA0ED9">
        <w:rPr>
          <w:rFonts w:ascii="Times New Roman" w:hAnsi="Times New Roman" w:cs="Times New Roman"/>
          <w:sz w:val="28"/>
          <w:szCs w:val="28"/>
        </w:rPr>
        <w:t>deriverebbero dal</w:t>
      </w:r>
      <w:r>
        <w:rPr>
          <w:rFonts w:ascii="Times New Roman" w:hAnsi="Times New Roman" w:cs="Times New Roman"/>
          <w:sz w:val="28"/>
          <w:szCs w:val="28"/>
        </w:rPr>
        <w:t>l’ostensione degli atti rich</w:t>
      </w:r>
      <w:r w:rsidR="00EA0ED9">
        <w:rPr>
          <w:rFonts w:ascii="Times New Roman" w:hAnsi="Times New Roman" w:cs="Times New Roman"/>
          <w:sz w:val="28"/>
          <w:szCs w:val="28"/>
        </w:rPr>
        <w:t>iesti</w:t>
      </w:r>
      <w:r>
        <w:rPr>
          <w:rFonts w:ascii="Times New Roman" w:hAnsi="Times New Roman" w:cs="Times New Roman"/>
          <w:sz w:val="28"/>
          <w:szCs w:val="28"/>
        </w:rPr>
        <w:t>.</w:t>
      </w:r>
    </w:p>
    <w:p w:rsidR="00EA0ED9" w:rsidRDefault="00CE0792" w:rsidP="00776E83">
      <w:pPr>
        <w:jc w:val="both"/>
        <w:rPr>
          <w:rFonts w:ascii="Times New Roman" w:hAnsi="Times New Roman" w:cs="Times New Roman"/>
          <w:sz w:val="28"/>
          <w:szCs w:val="28"/>
        </w:rPr>
      </w:pPr>
      <w:r>
        <w:rPr>
          <w:rFonts w:ascii="Times New Roman" w:hAnsi="Times New Roman" w:cs="Times New Roman"/>
          <w:sz w:val="28"/>
          <w:szCs w:val="28"/>
        </w:rPr>
        <w:t xml:space="preserve">Tale analisi serve, in particolare, a evidenziare tutti gli effetti negativi che l’accesso </w:t>
      </w:r>
      <w:r w:rsidR="00EA0ED9">
        <w:rPr>
          <w:rFonts w:ascii="Times New Roman" w:hAnsi="Times New Roman" w:cs="Times New Roman"/>
          <w:sz w:val="28"/>
          <w:szCs w:val="28"/>
        </w:rPr>
        <w:t xml:space="preserve">produrrebbe nella sfera </w:t>
      </w:r>
      <w:r w:rsidR="000B1D90">
        <w:rPr>
          <w:rFonts w:ascii="Times New Roman" w:hAnsi="Times New Roman" w:cs="Times New Roman"/>
          <w:sz w:val="28"/>
          <w:szCs w:val="28"/>
        </w:rPr>
        <w:t xml:space="preserve">(non solo) </w:t>
      </w:r>
      <w:r w:rsidR="00EA0ED9">
        <w:rPr>
          <w:rFonts w:ascii="Times New Roman" w:hAnsi="Times New Roman" w:cs="Times New Roman"/>
          <w:sz w:val="28"/>
          <w:szCs w:val="28"/>
        </w:rPr>
        <w:t>giuridica o</w:t>
      </w:r>
      <w:r w:rsidR="000B1D90">
        <w:rPr>
          <w:rFonts w:ascii="Times New Roman" w:hAnsi="Times New Roman" w:cs="Times New Roman"/>
          <w:sz w:val="28"/>
          <w:szCs w:val="28"/>
        </w:rPr>
        <w:t>d</w:t>
      </w:r>
      <w:r w:rsidR="00EA0ED9">
        <w:rPr>
          <w:rFonts w:ascii="Times New Roman" w:hAnsi="Times New Roman" w:cs="Times New Roman"/>
          <w:sz w:val="28"/>
          <w:szCs w:val="28"/>
        </w:rPr>
        <w:t xml:space="preserve"> economica</w:t>
      </w:r>
      <w:r w:rsidR="00210D71">
        <w:rPr>
          <w:rFonts w:ascii="Times New Roman" w:hAnsi="Times New Roman" w:cs="Times New Roman"/>
          <w:sz w:val="28"/>
          <w:szCs w:val="28"/>
        </w:rPr>
        <w:t>, (ma anche)</w:t>
      </w:r>
      <w:r w:rsidR="000B1D90">
        <w:rPr>
          <w:rFonts w:ascii="Times New Roman" w:hAnsi="Times New Roman" w:cs="Times New Roman"/>
          <w:sz w:val="28"/>
          <w:szCs w:val="28"/>
        </w:rPr>
        <w:t xml:space="preserve"> morale</w:t>
      </w:r>
      <w:r w:rsidR="00210D71">
        <w:rPr>
          <w:rFonts w:ascii="Times New Roman" w:hAnsi="Times New Roman" w:cs="Times New Roman"/>
          <w:sz w:val="28"/>
          <w:szCs w:val="28"/>
        </w:rPr>
        <w:t>,</w:t>
      </w:r>
      <w:r w:rsidR="000B1D90">
        <w:rPr>
          <w:rFonts w:ascii="Times New Roman" w:hAnsi="Times New Roman" w:cs="Times New Roman"/>
          <w:sz w:val="28"/>
          <w:szCs w:val="28"/>
        </w:rPr>
        <w:t xml:space="preserve"> relazione e sociale</w:t>
      </w:r>
      <w:r w:rsidR="00210D71">
        <w:rPr>
          <w:rFonts w:ascii="Times New Roman" w:hAnsi="Times New Roman" w:cs="Times New Roman"/>
          <w:sz w:val="28"/>
          <w:szCs w:val="28"/>
        </w:rPr>
        <w:t>,</w:t>
      </w:r>
      <w:r w:rsidR="00EA0ED9">
        <w:rPr>
          <w:rFonts w:ascii="Times New Roman" w:hAnsi="Times New Roman" w:cs="Times New Roman"/>
          <w:sz w:val="28"/>
          <w:szCs w:val="28"/>
        </w:rPr>
        <w:t xml:space="preserve"> del controinteressato.</w:t>
      </w:r>
    </w:p>
    <w:p w:rsidR="00EA0ED9" w:rsidRDefault="00EA0ED9" w:rsidP="00776E83">
      <w:pPr>
        <w:jc w:val="both"/>
        <w:rPr>
          <w:rFonts w:ascii="Times New Roman" w:hAnsi="Times New Roman" w:cs="Times New Roman"/>
          <w:sz w:val="28"/>
          <w:szCs w:val="28"/>
        </w:rPr>
      </w:pPr>
      <w:r>
        <w:rPr>
          <w:rFonts w:ascii="Times New Roman" w:hAnsi="Times New Roman" w:cs="Times New Roman"/>
          <w:sz w:val="28"/>
          <w:szCs w:val="28"/>
        </w:rPr>
        <w:t>La latitudine della lesione deve</w:t>
      </w:r>
      <w:r w:rsidR="00152DF7">
        <w:rPr>
          <w:rFonts w:ascii="Times New Roman" w:hAnsi="Times New Roman" w:cs="Times New Roman"/>
          <w:sz w:val="28"/>
          <w:szCs w:val="28"/>
        </w:rPr>
        <w:t>, infatti,</w:t>
      </w:r>
      <w:r>
        <w:rPr>
          <w:rFonts w:ascii="Times New Roman" w:hAnsi="Times New Roman" w:cs="Times New Roman"/>
          <w:sz w:val="28"/>
          <w:szCs w:val="28"/>
        </w:rPr>
        <w:t xml:space="preserve"> intendersi estremamente estesa e, come tale, comprensiva di qualsiasi rischio che la conoscenza dei documenti o delle informazioni richiesti appare idoneo a provocare, ivi compresi possibili azioni giudiziarie, rivendicazioni, pretese economiche, discriminazioni, minacce, rit</w:t>
      </w:r>
      <w:r w:rsidR="00152DF7">
        <w:rPr>
          <w:rFonts w:ascii="Times New Roman" w:hAnsi="Times New Roman" w:cs="Times New Roman"/>
          <w:sz w:val="28"/>
          <w:szCs w:val="28"/>
        </w:rPr>
        <w:t>orsioni, rischi di vario genere o</w:t>
      </w:r>
      <w:r>
        <w:rPr>
          <w:rFonts w:ascii="Times New Roman" w:hAnsi="Times New Roman" w:cs="Times New Roman"/>
          <w:sz w:val="28"/>
          <w:szCs w:val="28"/>
        </w:rPr>
        <w:t xml:space="preserve"> furti di identità.</w:t>
      </w:r>
    </w:p>
    <w:p w:rsidR="00EA0ED9" w:rsidRDefault="00EA0ED9" w:rsidP="00776E83">
      <w:pPr>
        <w:jc w:val="both"/>
        <w:rPr>
          <w:rFonts w:ascii="Times New Roman" w:hAnsi="Times New Roman" w:cs="Times New Roman"/>
          <w:sz w:val="28"/>
          <w:szCs w:val="28"/>
        </w:rPr>
      </w:pPr>
      <w:r>
        <w:rPr>
          <w:rFonts w:ascii="Times New Roman" w:hAnsi="Times New Roman" w:cs="Times New Roman"/>
          <w:sz w:val="28"/>
          <w:szCs w:val="28"/>
        </w:rPr>
        <w:t>Una volta verificato che l’accesso richiesto rischia di esporre, in concreto, il controinteressato a conseguenze pregiudizievoli, occorre</w:t>
      </w:r>
      <w:r w:rsidR="003B2927">
        <w:rPr>
          <w:rFonts w:ascii="Times New Roman" w:hAnsi="Times New Roman" w:cs="Times New Roman"/>
          <w:sz w:val="28"/>
          <w:szCs w:val="28"/>
        </w:rPr>
        <w:t xml:space="preserve"> operare un giu</w:t>
      </w:r>
      <w:r w:rsidR="00BC190F">
        <w:rPr>
          <w:rFonts w:ascii="Times New Roman" w:hAnsi="Times New Roman" w:cs="Times New Roman"/>
          <w:sz w:val="28"/>
          <w:szCs w:val="28"/>
        </w:rPr>
        <w:t>dizio di bilanciamento tra l’</w:t>
      </w:r>
      <w:r w:rsidR="003B2927">
        <w:rPr>
          <w:rFonts w:ascii="Times New Roman" w:hAnsi="Times New Roman" w:cs="Times New Roman"/>
          <w:sz w:val="28"/>
          <w:szCs w:val="28"/>
        </w:rPr>
        <w:t>esigenza con</w:t>
      </w:r>
      <w:r w:rsidR="00BC190F">
        <w:rPr>
          <w:rFonts w:ascii="Times New Roman" w:hAnsi="Times New Roman" w:cs="Times New Roman"/>
          <w:sz w:val="28"/>
          <w:szCs w:val="28"/>
        </w:rPr>
        <w:t>oscitiva e la protezione dei dati personali</w:t>
      </w:r>
      <w:r w:rsidR="00152DF7">
        <w:rPr>
          <w:rFonts w:ascii="Times New Roman" w:hAnsi="Times New Roman" w:cs="Times New Roman"/>
          <w:sz w:val="28"/>
          <w:szCs w:val="28"/>
        </w:rPr>
        <w:t>, proprio al fine di verificare che per scongiurare il pregiudizio sia “necessario” negare l’accesso (come testualmente esige la legge)</w:t>
      </w:r>
      <w:r>
        <w:rPr>
          <w:rFonts w:ascii="Times New Roman" w:hAnsi="Times New Roman" w:cs="Times New Roman"/>
          <w:sz w:val="28"/>
          <w:szCs w:val="28"/>
        </w:rPr>
        <w:t>.</w:t>
      </w:r>
    </w:p>
    <w:p w:rsidR="00EA0ED9" w:rsidRDefault="00EA0ED9" w:rsidP="00776E83">
      <w:pPr>
        <w:jc w:val="both"/>
        <w:rPr>
          <w:rFonts w:ascii="Times New Roman" w:hAnsi="Times New Roman" w:cs="Times New Roman"/>
          <w:sz w:val="28"/>
          <w:szCs w:val="28"/>
        </w:rPr>
      </w:pPr>
      <w:r>
        <w:rPr>
          <w:rFonts w:ascii="Times New Roman" w:hAnsi="Times New Roman" w:cs="Times New Roman"/>
          <w:sz w:val="28"/>
          <w:szCs w:val="28"/>
        </w:rPr>
        <w:t>Lo scrutinio comparativo tra i contrapposti valori andrà condotto alla duplice stregua del canone finalistico e di quello di proporzionalità.</w:t>
      </w:r>
    </w:p>
    <w:p w:rsidR="00EA0ED9" w:rsidRDefault="00EA0ED9" w:rsidP="00776E83">
      <w:pPr>
        <w:jc w:val="both"/>
        <w:rPr>
          <w:rFonts w:ascii="Times New Roman" w:hAnsi="Times New Roman" w:cs="Times New Roman"/>
          <w:sz w:val="28"/>
          <w:szCs w:val="28"/>
        </w:rPr>
      </w:pPr>
      <w:r>
        <w:rPr>
          <w:rFonts w:ascii="Times New Roman" w:hAnsi="Times New Roman" w:cs="Times New Roman"/>
          <w:sz w:val="28"/>
          <w:szCs w:val="28"/>
        </w:rPr>
        <w:t xml:space="preserve">Si dovrà, cioè, verificare se e in che misura la conoscenza degli atti e delle informazioni richiesti serva </w:t>
      </w:r>
      <w:r w:rsidR="007A71FD">
        <w:rPr>
          <w:rFonts w:ascii="Times New Roman" w:hAnsi="Times New Roman" w:cs="Times New Roman"/>
          <w:sz w:val="28"/>
          <w:szCs w:val="28"/>
        </w:rPr>
        <w:t>effettivamente</w:t>
      </w:r>
      <w:r>
        <w:rPr>
          <w:rFonts w:ascii="Times New Roman" w:hAnsi="Times New Roman" w:cs="Times New Roman"/>
          <w:sz w:val="28"/>
          <w:szCs w:val="28"/>
        </w:rPr>
        <w:t xml:space="preserve"> a garantire</w:t>
      </w:r>
      <w:r w:rsidR="00C41586">
        <w:rPr>
          <w:rFonts w:ascii="Times New Roman" w:hAnsi="Times New Roman" w:cs="Times New Roman"/>
          <w:sz w:val="28"/>
          <w:szCs w:val="28"/>
        </w:rPr>
        <w:t xml:space="preserve"> il controllo sul</w:t>
      </w:r>
      <w:r w:rsidR="00685E9C">
        <w:rPr>
          <w:rFonts w:ascii="Times New Roman" w:hAnsi="Times New Roman" w:cs="Times New Roman"/>
          <w:sz w:val="28"/>
          <w:szCs w:val="28"/>
        </w:rPr>
        <w:t>l</w:t>
      </w:r>
      <w:r w:rsidR="00C41586">
        <w:rPr>
          <w:rFonts w:ascii="Times New Roman" w:hAnsi="Times New Roman" w:cs="Times New Roman"/>
          <w:sz w:val="28"/>
          <w:szCs w:val="28"/>
        </w:rPr>
        <w:t>a correttezza dell’esercizio delle pubbliche funzioni e la consapevole partecipazione del cittadino al dibattito pubblico (restando, comunque</w:t>
      </w:r>
      <w:r w:rsidR="00685E9C">
        <w:rPr>
          <w:rFonts w:ascii="Times New Roman" w:hAnsi="Times New Roman" w:cs="Times New Roman"/>
          <w:sz w:val="28"/>
          <w:szCs w:val="28"/>
        </w:rPr>
        <w:t>,</w:t>
      </w:r>
      <w:r w:rsidR="00C41586">
        <w:rPr>
          <w:rFonts w:ascii="Times New Roman" w:hAnsi="Times New Roman" w:cs="Times New Roman"/>
          <w:sz w:val="28"/>
          <w:szCs w:val="28"/>
        </w:rPr>
        <w:t xml:space="preserve"> l’ACG funzionale al perseguimento di quegli scopi)</w:t>
      </w:r>
      <w:r>
        <w:rPr>
          <w:rFonts w:ascii="Times New Roman" w:hAnsi="Times New Roman" w:cs="Times New Roman"/>
          <w:sz w:val="28"/>
          <w:szCs w:val="28"/>
        </w:rPr>
        <w:t>.</w:t>
      </w:r>
    </w:p>
    <w:p w:rsidR="00C41586" w:rsidRDefault="00C41586" w:rsidP="00776E83">
      <w:pPr>
        <w:jc w:val="both"/>
        <w:rPr>
          <w:rFonts w:ascii="Times New Roman" w:hAnsi="Times New Roman" w:cs="Times New Roman"/>
          <w:sz w:val="28"/>
          <w:szCs w:val="28"/>
        </w:rPr>
      </w:pPr>
      <w:r>
        <w:rPr>
          <w:rFonts w:ascii="Times New Roman" w:hAnsi="Times New Roman" w:cs="Times New Roman"/>
          <w:sz w:val="28"/>
          <w:szCs w:val="28"/>
        </w:rPr>
        <w:t xml:space="preserve">Tale scrutinio deve confermare che l’ACG obbedisce a un’esigenza conoscitiva che presenta rilevanza pubblica e che risulti, quindi, coerente con le finalità dell’istituto, per come consacrata nelle espressioni lessicali utilizzate nell’incpit dell’art.5, comma 2, d.lgs. n.33 del 2013.  </w:t>
      </w:r>
    </w:p>
    <w:p w:rsidR="00685E9C" w:rsidRDefault="00685E9C" w:rsidP="00776E83">
      <w:pPr>
        <w:jc w:val="both"/>
        <w:rPr>
          <w:rFonts w:ascii="Times New Roman" w:hAnsi="Times New Roman" w:cs="Times New Roman"/>
          <w:sz w:val="28"/>
          <w:szCs w:val="28"/>
        </w:rPr>
      </w:pPr>
      <w:r>
        <w:rPr>
          <w:rFonts w:ascii="Times New Roman" w:hAnsi="Times New Roman" w:cs="Times New Roman"/>
          <w:sz w:val="28"/>
          <w:szCs w:val="28"/>
        </w:rPr>
        <w:t xml:space="preserve">Per quanto la legge non esiga l’esplicitazione della motivazione della richiesta di accesso, deve intendersi implicita </w:t>
      </w:r>
      <w:r w:rsidR="005D472F">
        <w:rPr>
          <w:rFonts w:ascii="Times New Roman" w:hAnsi="Times New Roman" w:cs="Times New Roman"/>
          <w:sz w:val="28"/>
          <w:szCs w:val="28"/>
        </w:rPr>
        <w:t>la sua rispondenza alla soddisfazione di un interesse che present</w:t>
      </w:r>
      <w:r w:rsidR="007A71FD">
        <w:rPr>
          <w:rFonts w:ascii="Times New Roman" w:hAnsi="Times New Roman" w:cs="Times New Roman"/>
          <w:sz w:val="28"/>
          <w:szCs w:val="28"/>
        </w:rPr>
        <w:t>i valenza pubblica</w:t>
      </w:r>
      <w:r w:rsidR="005D472F">
        <w:rPr>
          <w:rFonts w:ascii="Times New Roman" w:hAnsi="Times New Roman" w:cs="Times New Roman"/>
          <w:sz w:val="28"/>
          <w:szCs w:val="28"/>
        </w:rPr>
        <w:t xml:space="preserve"> e che non resti confinato a un bisogno conoscitivo esclusivamente privato, individuale o, addirittura, utilitaristico</w:t>
      </w:r>
      <w:r w:rsidR="000B1D90">
        <w:rPr>
          <w:rFonts w:ascii="Times New Roman" w:hAnsi="Times New Roman" w:cs="Times New Roman"/>
          <w:sz w:val="28"/>
          <w:szCs w:val="28"/>
        </w:rPr>
        <w:t xml:space="preserve"> (come confermato dal parere n.360 del 10 agosto 2017 del Garante per la protezione dei dati personali</w:t>
      </w:r>
      <w:r w:rsidR="007A71FD">
        <w:rPr>
          <w:rFonts w:ascii="Times New Roman" w:hAnsi="Times New Roman" w:cs="Times New Roman"/>
          <w:sz w:val="28"/>
          <w:szCs w:val="28"/>
        </w:rPr>
        <w:t>,</w:t>
      </w:r>
      <w:r w:rsidR="000B1D90">
        <w:rPr>
          <w:rFonts w:ascii="Times New Roman" w:hAnsi="Times New Roman" w:cs="Times New Roman"/>
          <w:sz w:val="28"/>
          <w:szCs w:val="28"/>
        </w:rPr>
        <w:t xml:space="preserve"> che ha stigmatizzato l’interesse esclusivamente commerciale sotteso alla richiesta di accesso a tutte le SCIA e le CILA presentate in un Comune, in un determinato periodo)</w:t>
      </w:r>
      <w:r w:rsidR="005D472F">
        <w:rPr>
          <w:rFonts w:ascii="Times New Roman" w:hAnsi="Times New Roman" w:cs="Times New Roman"/>
          <w:sz w:val="28"/>
          <w:szCs w:val="28"/>
        </w:rPr>
        <w:t xml:space="preserve">. </w:t>
      </w:r>
    </w:p>
    <w:p w:rsidR="00210D71" w:rsidRDefault="00210D71" w:rsidP="00776E83">
      <w:pPr>
        <w:jc w:val="both"/>
        <w:rPr>
          <w:rFonts w:ascii="Times New Roman" w:hAnsi="Times New Roman" w:cs="Times New Roman"/>
          <w:sz w:val="28"/>
          <w:szCs w:val="28"/>
        </w:rPr>
      </w:pPr>
      <w:r>
        <w:rPr>
          <w:rFonts w:ascii="Times New Roman" w:hAnsi="Times New Roman" w:cs="Times New Roman"/>
          <w:sz w:val="28"/>
          <w:szCs w:val="28"/>
        </w:rPr>
        <w:t>Il convincimento che l’accesso sia preordinato alla cognizione delle sole informazioni che rivestono valenza generale resta, peraltro avvalorato dalla giurisprudenza della Corte EDU (Magyar Helsinky Bizottsag v. Ungheria, o novembre 2016, parr.156 e 160-163), che ha chiarito la preordinazione della conoscenza degli atti in possesso delle autorità pubbliche all’esercizio della libertà del richiedente di acquisire e diffondere notizie che attengono a “questio</w:t>
      </w:r>
      <w:r w:rsidR="007A71FD">
        <w:rPr>
          <w:rFonts w:ascii="Times New Roman" w:hAnsi="Times New Roman" w:cs="Times New Roman"/>
          <w:sz w:val="28"/>
          <w:szCs w:val="28"/>
        </w:rPr>
        <w:t>ni</w:t>
      </w:r>
      <w:r>
        <w:rPr>
          <w:rFonts w:ascii="Times New Roman" w:hAnsi="Times New Roman" w:cs="Times New Roman"/>
          <w:sz w:val="28"/>
          <w:szCs w:val="28"/>
        </w:rPr>
        <w:t xml:space="preserve"> di interesse pubblico”.</w:t>
      </w:r>
    </w:p>
    <w:p w:rsidR="00210D71" w:rsidRDefault="00210D71" w:rsidP="00776E83">
      <w:pPr>
        <w:jc w:val="both"/>
        <w:rPr>
          <w:rFonts w:ascii="Times New Roman" w:hAnsi="Times New Roman" w:cs="Times New Roman"/>
          <w:sz w:val="28"/>
          <w:szCs w:val="28"/>
        </w:rPr>
      </w:pPr>
      <w:r>
        <w:rPr>
          <w:rFonts w:ascii="Times New Roman" w:hAnsi="Times New Roman" w:cs="Times New Roman"/>
          <w:sz w:val="28"/>
          <w:szCs w:val="28"/>
        </w:rPr>
        <w:t xml:space="preserve">Tale funzione consente, inoltre, di affermare, a contrario, che devono intendersi precluse istanze di accesso meramente strumentali, egoistiche o, peggio, emulative, in quanto si risolvono, a ben vedere, nell’abuso di uno strumento concepito per favorire la consapevole partecipazione del cittadino al dibattito pubblico (e non per ostacolare l’attività amministrativa o, addirittura, per arricchire il solo patrimonio di conoscenze del </w:t>
      </w:r>
      <w:r w:rsidR="007A71FD">
        <w:rPr>
          <w:rFonts w:ascii="Times New Roman" w:hAnsi="Times New Roman" w:cs="Times New Roman"/>
          <w:sz w:val="28"/>
          <w:szCs w:val="28"/>
        </w:rPr>
        <w:t>richiedente</w:t>
      </w:r>
      <w:r>
        <w:rPr>
          <w:rFonts w:ascii="Times New Roman" w:hAnsi="Times New Roman" w:cs="Times New Roman"/>
          <w:sz w:val="28"/>
          <w:szCs w:val="28"/>
        </w:rPr>
        <w:t xml:space="preserve">).   </w:t>
      </w:r>
    </w:p>
    <w:p w:rsidR="00C41586" w:rsidRDefault="00EA0ED9" w:rsidP="00776E83">
      <w:pPr>
        <w:jc w:val="both"/>
        <w:rPr>
          <w:rFonts w:ascii="Times New Roman" w:hAnsi="Times New Roman" w:cs="Times New Roman"/>
          <w:sz w:val="28"/>
          <w:szCs w:val="28"/>
        </w:rPr>
      </w:pPr>
      <w:r>
        <w:rPr>
          <w:rFonts w:ascii="Times New Roman" w:hAnsi="Times New Roman" w:cs="Times New Roman"/>
          <w:sz w:val="28"/>
          <w:szCs w:val="28"/>
        </w:rPr>
        <w:t>Non solo, ma si dovrà anche controllare che</w:t>
      </w:r>
      <w:r w:rsidR="00C41586">
        <w:rPr>
          <w:rFonts w:ascii="Times New Roman" w:hAnsi="Times New Roman" w:cs="Times New Roman"/>
          <w:sz w:val="28"/>
          <w:szCs w:val="28"/>
        </w:rPr>
        <w:t xml:space="preserve"> l’oggetto dell’istanza conoscitiva rispetti </w:t>
      </w:r>
      <w:r w:rsidR="00C41586" w:rsidRPr="00C41586">
        <w:rPr>
          <w:rFonts w:ascii="Times New Roman" w:hAnsi="Times New Roman" w:cs="Times New Roman"/>
          <w:sz w:val="28"/>
          <w:szCs w:val="28"/>
        </w:rPr>
        <w:t xml:space="preserve">i canoni di necessità, proporzionalità, pertinenza e non eccedenza, già elaborati </w:t>
      </w:r>
      <w:r w:rsidR="00C41586">
        <w:rPr>
          <w:rFonts w:ascii="Times New Roman" w:hAnsi="Times New Roman" w:cs="Times New Roman"/>
          <w:sz w:val="28"/>
          <w:szCs w:val="28"/>
        </w:rPr>
        <w:t xml:space="preserve">dalla giurisprudenza (nazionale e sovranazionale) </w:t>
      </w:r>
      <w:r w:rsidR="00C41586" w:rsidRPr="00C41586">
        <w:rPr>
          <w:rFonts w:ascii="Times New Roman" w:hAnsi="Times New Roman" w:cs="Times New Roman"/>
          <w:sz w:val="28"/>
          <w:szCs w:val="28"/>
        </w:rPr>
        <w:t>con riferimento al trattamento dei dati personali</w:t>
      </w:r>
      <w:r w:rsidR="00C41586">
        <w:rPr>
          <w:rFonts w:ascii="Times New Roman" w:hAnsi="Times New Roman" w:cs="Times New Roman"/>
          <w:sz w:val="28"/>
          <w:szCs w:val="28"/>
        </w:rPr>
        <w:t>.</w:t>
      </w:r>
    </w:p>
    <w:p w:rsidR="00EA0ED9" w:rsidRDefault="00B40000" w:rsidP="00776E83">
      <w:pPr>
        <w:jc w:val="both"/>
        <w:rPr>
          <w:rFonts w:ascii="Times New Roman" w:hAnsi="Times New Roman" w:cs="Times New Roman"/>
          <w:sz w:val="28"/>
          <w:szCs w:val="28"/>
        </w:rPr>
      </w:pPr>
      <w:r>
        <w:rPr>
          <w:rFonts w:ascii="Times New Roman" w:hAnsi="Times New Roman" w:cs="Times New Roman"/>
          <w:sz w:val="28"/>
          <w:szCs w:val="28"/>
        </w:rPr>
        <w:t xml:space="preserve">Se la richiesta di ACG realizza le finalità sopra ricordate e non appare “sproporzionata” l’accesso andrà accordato; se, viceversa, pur apparendo coerente con lo scopo dell’istituto, si rivela “eccedente” e irragionevolmente invasiva della sfera di riservatezza </w:t>
      </w:r>
      <w:r w:rsidR="007A71FD">
        <w:rPr>
          <w:rFonts w:ascii="Times New Roman" w:hAnsi="Times New Roman" w:cs="Times New Roman"/>
          <w:sz w:val="28"/>
          <w:szCs w:val="28"/>
        </w:rPr>
        <w:t>garantita a</w:t>
      </w:r>
      <w:r>
        <w:rPr>
          <w:rFonts w:ascii="Times New Roman" w:hAnsi="Times New Roman" w:cs="Times New Roman"/>
          <w:sz w:val="28"/>
          <w:szCs w:val="28"/>
        </w:rPr>
        <w:t>i soggetti controinteressati</w:t>
      </w:r>
      <w:r w:rsidR="007A71FD">
        <w:rPr>
          <w:rFonts w:ascii="Times New Roman" w:hAnsi="Times New Roman" w:cs="Times New Roman"/>
          <w:sz w:val="28"/>
          <w:szCs w:val="28"/>
        </w:rPr>
        <w:t>,</w:t>
      </w:r>
      <w:r>
        <w:rPr>
          <w:rFonts w:ascii="Times New Roman" w:hAnsi="Times New Roman" w:cs="Times New Roman"/>
          <w:sz w:val="28"/>
          <w:szCs w:val="28"/>
        </w:rPr>
        <w:t xml:space="preserve"> oc</w:t>
      </w:r>
      <w:r w:rsidR="007A71FD">
        <w:rPr>
          <w:rFonts w:ascii="Times New Roman" w:hAnsi="Times New Roman" w:cs="Times New Roman"/>
          <w:sz w:val="28"/>
          <w:szCs w:val="28"/>
        </w:rPr>
        <w:t>correrà verificare se le istanze</w:t>
      </w:r>
      <w:r>
        <w:rPr>
          <w:rFonts w:ascii="Times New Roman" w:hAnsi="Times New Roman" w:cs="Times New Roman"/>
          <w:sz w:val="28"/>
          <w:szCs w:val="28"/>
        </w:rPr>
        <w:t xml:space="preserve"> conoscitive possono essere soddisfatte mediante un accesso parziale e, in particolare, per mezzo dell’ostensione del documento, ma con l’oscuramento dei dati personali.</w:t>
      </w:r>
      <w:r w:rsidR="00EA0ED9">
        <w:rPr>
          <w:rFonts w:ascii="Times New Roman" w:hAnsi="Times New Roman" w:cs="Times New Roman"/>
          <w:sz w:val="28"/>
          <w:szCs w:val="28"/>
        </w:rPr>
        <w:t xml:space="preserve">   </w:t>
      </w:r>
    </w:p>
    <w:p w:rsidR="00BC190F" w:rsidRDefault="00B40000" w:rsidP="00776E83">
      <w:pPr>
        <w:jc w:val="both"/>
        <w:rPr>
          <w:rFonts w:ascii="Times New Roman" w:hAnsi="Times New Roman" w:cs="Times New Roman"/>
          <w:sz w:val="28"/>
          <w:szCs w:val="28"/>
        </w:rPr>
      </w:pPr>
      <w:r>
        <w:rPr>
          <w:rFonts w:ascii="Times New Roman" w:hAnsi="Times New Roman" w:cs="Times New Roman"/>
          <w:sz w:val="28"/>
          <w:szCs w:val="28"/>
        </w:rPr>
        <w:t>Se tale opzione è praticabile, andrà senz’altro preferita, in quanto idonea a realizzare, al contempo, l’interesse conoscitivo attivato dal cittadino e a proteggere le informazioni personali dei controinteressati</w:t>
      </w:r>
      <w:r w:rsidR="000B1D90">
        <w:rPr>
          <w:rFonts w:ascii="Times New Roman" w:hAnsi="Times New Roman" w:cs="Times New Roman"/>
          <w:sz w:val="28"/>
          <w:szCs w:val="28"/>
        </w:rPr>
        <w:t xml:space="preserve"> (come si ricava dalla lettura del parere del Garante per la protezione dei dati personali n.363 del 28 agosto 2017, che ha </w:t>
      </w:r>
      <w:r w:rsidR="007A71FD">
        <w:rPr>
          <w:rFonts w:ascii="Times New Roman" w:hAnsi="Times New Roman" w:cs="Times New Roman"/>
          <w:sz w:val="28"/>
          <w:szCs w:val="28"/>
        </w:rPr>
        <w:t>ammesso</w:t>
      </w:r>
      <w:r w:rsidR="000B1D90">
        <w:rPr>
          <w:rFonts w:ascii="Times New Roman" w:hAnsi="Times New Roman" w:cs="Times New Roman"/>
          <w:sz w:val="28"/>
          <w:szCs w:val="28"/>
        </w:rPr>
        <w:t xml:space="preserve"> l’ostensione della dichiarazione sulla insussistenza di incompatibilità ai fini dell’assunzione dell’incarico di commissario straordinario in una procedura di amministrazione straordinaria,</w:t>
      </w:r>
      <w:r w:rsidR="007A71FD">
        <w:rPr>
          <w:rFonts w:ascii="Times New Roman" w:hAnsi="Times New Roman" w:cs="Times New Roman"/>
          <w:sz w:val="28"/>
          <w:szCs w:val="28"/>
        </w:rPr>
        <w:t xml:space="preserve"> raccomandando, tuttavia,</w:t>
      </w:r>
      <w:r w:rsidR="000B1D90">
        <w:rPr>
          <w:rFonts w:ascii="Times New Roman" w:hAnsi="Times New Roman" w:cs="Times New Roman"/>
          <w:sz w:val="28"/>
          <w:szCs w:val="28"/>
        </w:rPr>
        <w:t xml:space="preserve"> l’oscuramento dei dati personali)</w:t>
      </w:r>
      <w:r>
        <w:rPr>
          <w:rFonts w:ascii="Times New Roman" w:hAnsi="Times New Roman" w:cs="Times New Roman"/>
          <w:sz w:val="28"/>
          <w:szCs w:val="28"/>
        </w:rPr>
        <w:t>.</w:t>
      </w:r>
    </w:p>
    <w:p w:rsidR="00B40000" w:rsidRDefault="005D472F" w:rsidP="00776E83">
      <w:pPr>
        <w:jc w:val="both"/>
        <w:rPr>
          <w:rFonts w:ascii="Times New Roman" w:hAnsi="Times New Roman" w:cs="Times New Roman"/>
          <w:sz w:val="28"/>
          <w:szCs w:val="28"/>
        </w:rPr>
      </w:pPr>
      <w:r>
        <w:rPr>
          <w:rFonts w:ascii="Times New Roman" w:hAnsi="Times New Roman" w:cs="Times New Roman"/>
          <w:sz w:val="28"/>
          <w:szCs w:val="28"/>
        </w:rPr>
        <w:t>Se, invece, l’oscuramento d</w:t>
      </w:r>
      <w:r w:rsidR="00B40000">
        <w:rPr>
          <w:rFonts w:ascii="Times New Roman" w:hAnsi="Times New Roman" w:cs="Times New Roman"/>
          <w:sz w:val="28"/>
          <w:szCs w:val="28"/>
        </w:rPr>
        <w:t>e</w:t>
      </w:r>
      <w:r>
        <w:rPr>
          <w:rFonts w:ascii="Times New Roman" w:hAnsi="Times New Roman" w:cs="Times New Roman"/>
          <w:sz w:val="28"/>
          <w:szCs w:val="28"/>
        </w:rPr>
        <w:t>i</w:t>
      </w:r>
      <w:r w:rsidR="00B40000">
        <w:rPr>
          <w:rFonts w:ascii="Times New Roman" w:hAnsi="Times New Roman" w:cs="Times New Roman"/>
          <w:sz w:val="28"/>
          <w:szCs w:val="28"/>
        </w:rPr>
        <w:t xml:space="preserve"> dati personali non vale, di per sé, a conservare l’integrità dell’interesse conoscitivo, si dovrà compiere, in via definitiva, il giudizio circa l’esposizione dei controinteressati a un pregiudizio concreto e negare l’ACG quando la sua concessione produrrebbe conseguenze lesive nella loro sfera personale</w:t>
      </w:r>
      <w:r w:rsidR="007A71FD">
        <w:rPr>
          <w:rFonts w:ascii="Times New Roman" w:hAnsi="Times New Roman" w:cs="Times New Roman"/>
          <w:sz w:val="28"/>
          <w:szCs w:val="28"/>
        </w:rPr>
        <w:t xml:space="preserve"> (e quando, appunto il diniego si rivela “necessario” al fine di evitare tale danno)</w:t>
      </w:r>
      <w:r w:rsidR="00B40000">
        <w:rPr>
          <w:rFonts w:ascii="Times New Roman" w:hAnsi="Times New Roman" w:cs="Times New Roman"/>
          <w:sz w:val="28"/>
          <w:szCs w:val="28"/>
        </w:rPr>
        <w:t>.</w:t>
      </w:r>
    </w:p>
    <w:p w:rsidR="00B40000" w:rsidRDefault="00B40000" w:rsidP="00776E83">
      <w:pPr>
        <w:jc w:val="both"/>
        <w:rPr>
          <w:rFonts w:ascii="Times New Roman" w:hAnsi="Times New Roman" w:cs="Times New Roman"/>
          <w:sz w:val="28"/>
          <w:szCs w:val="28"/>
        </w:rPr>
      </w:pPr>
      <w:r>
        <w:rPr>
          <w:rFonts w:ascii="Times New Roman" w:hAnsi="Times New Roman" w:cs="Times New Roman"/>
          <w:sz w:val="28"/>
          <w:szCs w:val="28"/>
        </w:rPr>
        <w:t>Nella formulazione di tale valutazione si dovrà tenere conto sia della consistenza e della natura degli interessi privati coinvolti (che imporrà maggiore cautela quando si tratti di interessi afferenti a dati sensibili, giudiziari,</w:t>
      </w:r>
      <w:r w:rsidRPr="00B40000">
        <w:rPr>
          <w:rFonts w:ascii="Times New Roman" w:hAnsi="Times New Roman" w:cs="Times New Roman"/>
          <w:sz w:val="28"/>
          <w:szCs w:val="28"/>
        </w:rPr>
        <w:t xml:space="preserve"> genetici, biometrici, sulla localizzazione, sull</w:t>
      </w:r>
      <w:r>
        <w:rPr>
          <w:rFonts w:ascii="Times New Roman" w:hAnsi="Times New Roman" w:cs="Times New Roman"/>
          <w:sz w:val="28"/>
          <w:szCs w:val="28"/>
        </w:rPr>
        <w:t>a solvibilità economica</w:t>
      </w:r>
      <w:r w:rsidRPr="00B40000">
        <w:rPr>
          <w:rFonts w:ascii="Times New Roman" w:hAnsi="Times New Roman" w:cs="Times New Roman"/>
          <w:sz w:val="28"/>
          <w:szCs w:val="28"/>
        </w:rPr>
        <w:t xml:space="preserve"> </w:t>
      </w:r>
      <w:r w:rsidR="005D472F">
        <w:rPr>
          <w:rFonts w:ascii="Times New Roman" w:hAnsi="Times New Roman" w:cs="Times New Roman"/>
          <w:sz w:val="28"/>
          <w:szCs w:val="28"/>
        </w:rPr>
        <w:t xml:space="preserve">o </w:t>
      </w:r>
      <w:r w:rsidRPr="00B40000">
        <w:rPr>
          <w:rFonts w:ascii="Times New Roman" w:hAnsi="Times New Roman" w:cs="Times New Roman"/>
          <w:sz w:val="28"/>
          <w:szCs w:val="28"/>
        </w:rPr>
        <w:t>riguardanti minori</w:t>
      </w:r>
      <w:r>
        <w:rPr>
          <w:rFonts w:ascii="Times New Roman" w:hAnsi="Times New Roman" w:cs="Times New Roman"/>
          <w:sz w:val="28"/>
          <w:szCs w:val="28"/>
        </w:rPr>
        <w:t>), ma anche della posizione (pubblica o meno) ricoperta dal controinteressato (dovendosi accordare maggiore protezione alle persone fisiche che non svolgono funzioni pubbliche e che non possono, quindi, intendersi naturalmente esposte a un controllo diffuso del loro operato).</w:t>
      </w:r>
    </w:p>
    <w:p w:rsidR="00C97403" w:rsidRPr="00B919B0" w:rsidRDefault="00B40000" w:rsidP="00B919B0">
      <w:pPr>
        <w:jc w:val="both"/>
        <w:rPr>
          <w:rFonts w:ascii="Times New Roman" w:hAnsi="Times New Roman" w:cs="Times New Roman"/>
          <w:sz w:val="28"/>
          <w:szCs w:val="28"/>
        </w:rPr>
      </w:pPr>
      <w:r>
        <w:rPr>
          <w:rFonts w:ascii="Times New Roman" w:hAnsi="Times New Roman" w:cs="Times New Roman"/>
          <w:sz w:val="28"/>
          <w:szCs w:val="28"/>
        </w:rPr>
        <w:t>Come si vede, si tratt</w:t>
      </w:r>
      <w:r w:rsidR="005D472F">
        <w:rPr>
          <w:rFonts w:ascii="Times New Roman" w:hAnsi="Times New Roman" w:cs="Times New Roman"/>
          <w:sz w:val="28"/>
          <w:szCs w:val="28"/>
        </w:rPr>
        <w:t>a di una valutazione complessa,</w:t>
      </w:r>
      <w:r>
        <w:rPr>
          <w:rFonts w:ascii="Times New Roman" w:hAnsi="Times New Roman" w:cs="Times New Roman"/>
          <w:sz w:val="28"/>
          <w:szCs w:val="28"/>
        </w:rPr>
        <w:t xml:space="preserve"> che involge il delicato apprezzamento del conflitto tra due valori parimenti meritevoli di tutela e che avrebbe meritato un</w:t>
      </w:r>
      <w:r w:rsidR="005D472F">
        <w:rPr>
          <w:rFonts w:ascii="Times New Roman" w:hAnsi="Times New Roman" w:cs="Times New Roman"/>
          <w:sz w:val="28"/>
          <w:szCs w:val="28"/>
        </w:rPr>
        <w:t>a</w:t>
      </w:r>
      <w:r>
        <w:rPr>
          <w:rFonts w:ascii="Times New Roman" w:hAnsi="Times New Roman" w:cs="Times New Roman"/>
          <w:sz w:val="28"/>
          <w:szCs w:val="28"/>
        </w:rPr>
        <w:t xml:space="preserve"> diversa </w:t>
      </w:r>
      <w:r w:rsidR="007A71FD">
        <w:rPr>
          <w:rFonts w:ascii="Times New Roman" w:hAnsi="Times New Roman" w:cs="Times New Roman"/>
          <w:sz w:val="28"/>
          <w:szCs w:val="28"/>
        </w:rPr>
        <w:t>attenzione</w:t>
      </w:r>
      <w:r>
        <w:rPr>
          <w:rFonts w:ascii="Times New Roman" w:hAnsi="Times New Roman" w:cs="Times New Roman"/>
          <w:sz w:val="28"/>
          <w:szCs w:val="28"/>
        </w:rPr>
        <w:t xml:space="preserve"> regolativa.</w:t>
      </w:r>
    </w:p>
    <w:p w:rsidR="0010672B" w:rsidRDefault="00592958" w:rsidP="00737BCE">
      <w:pPr>
        <w:jc w:val="both"/>
        <w:rPr>
          <w:rFonts w:ascii="Times New Roman" w:hAnsi="Times New Roman" w:cs="Times New Roman"/>
          <w:sz w:val="28"/>
          <w:szCs w:val="28"/>
        </w:rPr>
      </w:pPr>
      <w:r>
        <w:rPr>
          <w:rFonts w:ascii="Times New Roman" w:hAnsi="Times New Roman" w:cs="Times New Roman"/>
          <w:sz w:val="28"/>
          <w:szCs w:val="28"/>
        </w:rPr>
        <w:t>5</w:t>
      </w:r>
      <w:r w:rsidR="00B919B0">
        <w:rPr>
          <w:rFonts w:ascii="Times New Roman" w:hAnsi="Times New Roman" w:cs="Times New Roman"/>
          <w:sz w:val="28"/>
          <w:szCs w:val="28"/>
        </w:rPr>
        <w:t xml:space="preserve">.- </w:t>
      </w:r>
      <w:r w:rsidR="001C691B">
        <w:rPr>
          <w:rFonts w:ascii="Times New Roman" w:hAnsi="Times New Roman" w:cs="Times New Roman"/>
          <w:sz w:val="28"/>
          <w:szCs w:val="28"/>
        </w:rPr>
        <w:t>La legislazione esaminata risulta, inoltre, critica anche nella misura in cui</w:t>
      </w:r>
      <w:r w:rsidR="0010672B" w:rsidRPr="00737BCE">
        <w:rPr>
          <w:rFonts w:ascii="Times New Roman" w:hAnsi="Times New Roman" w:cs="Times New Roman"/>
          <w:sz w:val="28"/>
          <w:szCs w:val="28"/>
        </w:rPr>
        <w:t xml:space="preserve"> è stata deliberata senza il coordinamento, formale e sostanziale, con la disciplina dell’accesso documentale contenuta nella legge n.241 del 1990 e in difetto di un’adeguata ponderazione della capacità amministrativa alla sua puntuale attuazione.</w:t>
      </w:r>
    </w:p>
    <w:p w:rsidR="00703B32" w:rsidRDefault="00703B32" w:rsidP="00737BCE">
      <w:pPr>
        <w:jc w:val="both"/>
        <w:rPr>
          <w:rFonts w:ascii="Times New Roman" w:hAnsi="Times New Roman" w:cs="Times New Roman"/>
          <w:sz w:val="28"/>
          <w:szCs w:val="28"/>
        </w:rPr>
      </w:pPr>
      <w:r>
        <w:rPr>
          <w:rFonts w:ascii="Times New Roman" w:hAnsi="Times New Roman" w:cs="Times New Roman"/>
          <w:sz w:val="28"/>
          <w:szCs w:val="28"/>
        </w:rPr>
        <w:t>Ogni intervento legislativo dev’essere, in particolare, preceduto, oltre che da un’adeguata analisi di impatto della regolamentazione, dalla previa disamina del corpus normativo nel quale si inserisce</w:t>
      </w:r>
      <w:r w:rsidR="003733DC">
        <w:rPr>
          <w:rFonts w:ascii="Times New Roman" w:hAnsi="Times New Roman" w:cs="Times New Roman"/>
          <w:sz w:val="28"/>
          <w:szCs w:val="28"/>
        </w:rPr>
        <w:t>, al fine di precisare, nell</w:t>
      </w:r>
      <w:r>
        <w:rPr>
          <w:rFonts w:ascii="Times New Roman" w:hAnsi="Times New Roman" w:cs="Times New Roman"/>
          <w:sz w:val="28"/>
          <w:szCs w:val="28"/>
        </w:rPr>
        <w:t>’</w:t>
      </w:r>
      <w:r w:rsidR="003733DC">
        <w:rPr>
          <w:rFonts w:ascii="Times New Roman" w:hAnsi="Times New Roman" w:cs="Times New Roman"/>
          <w:sz w:val="28"/>
          <w:szCs w:val="28"/>
        </w:rPr>
        <w:t>intervento regolativo successi</w:t>
      </w:r>
      <w:r>
        <w:rPr>
          <w:rFonts w:ascii="Times New Roman" w:hAnsi="Times New Roman" w:cs="Times New Roman"/>
          <w:sz w:val="28"/>
          <w:szCs w:val="28"/>
        </w:rPr>
        <w:t>v</w:t>
      </w:r>
      <w:r w:rsidR="003733DC">
        <w:rPr>
          <w:rFonts w:ascii="Times New Roman" w:hAnsi="Times New Roman" w:cs="Times New Roman"/>
          <w:sz w:val="28"/>
          <w:szCs w:val="28"/>
        </w:rPr>
        <w:t>o</w:t>
      </w:r>
      <w:r>
        <w:rPr>
          <w:rFonts w:ascii="Times New Roman" w:hAnsi="Times New Roman" w:cs="Times New Roman"/>
          <w:sz w:val="28"/>
          <w:szCs w:val="28"/>
        </w:rPr>
        <w:t xml:space="preserve">, </w:t>
      </w:r>
      <w:r w:rsidR="003733DC">
        <w:rPr>
          <w:rFonts w:ascii="Times New Roman" w:hAnsi="Times New Roman" w:cs="Times New Roman"/>
          <w:sz w:val="28"/>
          <w:szCs w:val="28"/>
        </w:rPr>
        <w:t>i rapporti con la normativa v</w:t>
      </w:r>
      <w:r>
        <w:rPr>
          <w:rFonts w:ascii="Times New Roman" w:hAnsi="Times New Roman" w:cs="Times New Roman"/>
          <w:sz w:val="28"/>
          <w:szCs w:val="28"/>
        </w:rPr>
        <w:t>igente.</w:t>
      </w:r>
    </w:p>
    <w:p w:rsidR="00703B32" w:rsidRDefault="00703B32" w:rsidP="00737BCE">
      <w:pPr>
        <w:jc w:val="both"/>
        <w:rPr>
          <w:rFonts w:ascii="Times New Roman" w:hAnsi="Times New Roman" w:cs="Times New Roman"/>
          <w:sz w:val="28"/>
          <w:szCs w:val="28"/>
        </w:rPr>
      </w:pPr>
      <w:r>
        <w:rPr>
          <w:rFonts w:ascii="Times New Roman" w:hAnsi="Times New Roman" w:cs="Times New Roman"/>
          <w:sz w:val="28"/>
          <w:szCs w:val="28"/>
        </w:rPr>
        <w:t xml:space="preserve">Ogni nuova legge dovrebbe, in particolare, chiarire le relazioni con la legislazione </w:t>
      </w:r>
      <w:r w:rsidR="00E72459">
        <w:rPr>
          <w:rFonts w:ascii="Times New Roman" w:hAnsi="Times New Roman" w:cs="Times New Roman"/>
          <w:sz w:val="28"/>
          <w:szCs w:val="28"/>
        </w:rPr>
        <w:t xml:space="preserve">vigente </w:t>
      </w:r>
      <w:r>
        <w:rPr>
          <w:rFonts w:ascii="Times New Roman" w:hAnsi="Times New Roman" w:cs="Times New Roman"/>
          <w:sz w:val="28"/>
          <w:szCs w:val="28"/>
        </w:rPr>
        <w:t>che regola la medesima materia, al fine di evitare ogni dubbio esegetico sui rapporti tra i due assetti regolatori.</w:t>
      </w:r>
    </w:p>
    <w:p w:rsidR="00703B32" w:rsidRDefault="00703B32" w:rsidP="00737BCE">
      <w:pPr>
        <w:jc w:val="both"/>
        <w:rPr>
          <w:rFonts w:ascii="Times New Roman" w:hAnsi="Times New Roman" w:cs="Times New Roman"/>
          <w:sz w:val="28"/>
          <w:szCs w:val="28"/>
        </w:rPr>
      </w:pPr>
      <w:r>
        <w:rPr>
          <w:rFonts w:ascii="Times New Roman" w:hAnsi="Times New Roman" w:cs="Times New Roman"/>
          <w:sz w:val="28"/>
          <w:szCs w:val="28"/>
        </w:rPr>
        <w:t>La legge successiva dovrebbe, segnatamente, precisare se le norme precedenti sono abrogate o se continuano ad applicarsi.</w:t>
      </w:r>
    </w:p>
    <w:p w:rsidR="00703B32" w:rsidRDefault="00703B32" w:rsidP="00737BCE">
      <w:pPr>
        <w:jc w:val="both"/>
        <w:rPr>
          <w:rFonts w:ascii="Times New Roman" w:hAnsi="Times New Roman" w:cs="Times New Roman"/>
          <w:sz w:val="28"/>
          <w:szCs w:val="28"/>
        </w:rPr>
      </w:pPr>
      <w:r>
        <w:rPr>
          <w:rFonts w:ascii="Times New Roman" w:hAnsi="Times New Roman" w:cs="Times New Roman"/>
          <w:sz w:val="28"/>
          <w:szCs w:val="28"/>
        </w:rPr>
        <w:t>Nel primo caso, la questione è risolta.</w:t>
      </w:r>
    </w:p>
    <w:p w:rsidR="00703B32" w:rsidRDefault="00703B32" w:rsidP="00737BCE">
      <w:pPr>
        <w:jc w:val="both"/>
        <w:rPr>
          <w:rFonts w:ascii="Times New Roman" w:hAnsi="Times New Roman" w:cs="Times New Roman"/>
          <w:sz w:val="28"/>
          <w:szCs w:val="28"/>
        </w:rPr>
      </w:pPr>
      <w:r>
        <w:rPr>
          <w:rFonts w:ascii="Times New Roman" w:hAnsi="Times New Roman" w:cs="Times New Roman"/>
          <w:sz w:val="28"/>
          <w:szCs w:val="28"/>
        </w:rPr>
        <w:t>Nel secondo caso, invece, la legge successiva dovrebbe precisare i vincoli di coesistenza tra i due corpi normativi, operando il necessario coordinamento tra i pertinenti ambiti applicativi, se del caso chiarendo i rapporti di specialità o di deroga tra gli stessi.</w:t>
      </w:r>
    </w:p>
    <w:p w:rsidR="00703B32" w:rsidRDefault="00703B32" w:rsidP="00737BCE">
      <w:pPr>
        <w:jc w:val="both"/>
        <w:rPr>
          <w:rFonts w:ascii="Times New Roman" w:hAnsi="Times New Roman" w:cs="Times New Roman"/>
          <w:sz w:val="28"/>
          <w:szCs w:val="28"/>
        </w:rPr>
      </w:pPr>
      <w:r>
        <w:rPr>
          <w:rFonts w:ascii="Times New Roman" w:hAnsi="Times New Roman" w:cs="Times New Roman"/>
          <w:sz w:val="28"/>
          <w:szCs w:val="28"/>
        </w:rPr>
        <w:t>Se, invece, l’</w:t>
      </w:r>
      <w:r w:rsidR="00FC55A2">
        <w:rPr>
          <w:rFonts w:ascii="Times New Roman" w:hAnsi="Times New Roman" w:cs="Times New Roman"/>
          <w:sz w:val="28"/>
          <w:szCs w:val="28"/>
        </w:rPr>
        <w:t>intervento successivo tace in ordine agli</w:t>
      </w:r>
      <w:r>
        <w:rPr>
          <w:rFonts w:ascii="Times New Roman" w:hAnsi="Times New Roman" w:cs="Times New Roman"/>
          <w:sz w:val="28"/>
          <w:szCs w:val="28"/>
        </w:rPr>
        <w:t xml:space="preserve"> effetti prodotti sulla normativa vigente che regola la stessa materia, si pone un </w:t>
      </w:r>
      <w:r w:rsidR="00E72459">
        <w:rPr>
          <w:rFonts w:ascii="Times New Roman" w:hAnsi="Times New Roman" w:cs="Times New Roman"/>
          <w:sz w:val="28"/>
          <w:szCs w:val="28"/>
        </w:rPr>
        <w:t xml:space="preserve">serio </w:t>
      </w:r>
      <w:r>
        <w:rPr>
          <w:rFonts w:ascii="Times New Roman" w:hAnsi="Times New Roman" w:cs="Times New Roman"/>
          <w:sz w:val="28"/>
          <w:szCs w:val="28"/>
        </w:rPr>
        <w:t>problema ermeneutico</w:t>
      </w:r>
      <w:r w:rsidR="00E72459">
        <w:rPr>
          <w:rFonts w:ascii="Times New Roman" w:hAnsi="Times New Roman" w:cs="Times New Roman"/>
          <w:sz w:val="28"/>
          <w:szCs w:val="28"/>
        </w:rPr>
        <w:t>,</w:t>
      </w:r>
      <w:r>
        <w:rPr>
          <w:rFonts w:ascii="Times New Roman" w:hAnsi="Times New Roman" w:cs="Times New Roman"/>
          <w:sz w:val="28"/>
          <w:szCs w:val="28"/>
        </w:rPr>
        <w:t xml:space="preserve"> che può condurre sia all’opzione interpretativa dell’abrogazione tacita, sia a quella della persistente vigenza della disciplina antecedente, con il conseguente sforzo esegetico</w:t>
      </w:r>
      <w:r w:rsidR="00FC55A2">
        <w:rPr>
          <w:rFonts w:ascii="Times New Roman" w:hAnsi="Times New Roman" w:cs="Times New Roman"/>
          <w:sz w:val="28"/>
          <w:szCs w:val="28"/>
        </w:rPr>
        <w:t xml:space="preserve"> de</w:t>
      </w:r>
      <w:r>
        <w:rPr>
          <w:rFonts w:ascii="Times New Roman" w:hAnsi="Times New Roman" w:cs="Times New Roman"/>
          <w:sz w:val="28"/>
          <w:szCs w:val="28"/>
        </w:rPr>
        <w:t>l coordinamento tra le due leggi.</w:t>
      </w:r>
    </w:p>
    <w:p w:rsidR="00703B32" w:rsidRDefault="00703B32" w:rsidP="00737BCE">
      <w:pPr>
        <w:jc w:val="both"/>
        <w:rPr>
          <w:rFonts w:ascii="Times New Roman" w:hAnsi="Times New Roman" w:cs="Times New Roman"/>
          <w:sz w:val="28"/>
          <w:szCs w:val="28"/>
        </w:rPr>
      </w:pPr>
      <w:r>
        <w:rPr>
          <w:rFonts w:ascii="Times New Roman" w:hAnsi="Times New Roman" w:cs="Times New Roman"/>
          <w:sz w:val="28"/>
          <w:szCs w:val="28"/>
        </w:rPr>
        <w:t xml:space="preserve">Purtroppo il d.lgs. n.33 del 2013 ha trascurato di chiarire gli effetti delle nuove discipline </w:t>
      </w:r>
      <w:r w:rsidR="00FC55A2">
        <w:rPr>
          <w:rFonts w:ascii="Times New Roman" w:hAnsi="Times New Roman" w:cs="Times New Roman"/>
          <w:sz w:val="28"/>
          <w:szCs w:val="28"/>
        </w:rPr>
        <w:t>relative all’accesso civico semplice e a</w:t>
      </w:r>
      <w:r>
        <w:rPr>
          <w:rFonts w:ascii="Times New Roman" w:hAnsi="Times New Roman" w:cs="Times New Roman"/>
          <w:sz w:val="28"/>
          <w:szCs w:val="28"/>
        </w:rPr>
        <w:t xml:space="preserve">ll’accesso civico generalizzato sulla vigenza </w:t>
      </w:r>
      <w:r w:rsidR="00E72459">
        <w:rPr>
          <w:rFonts w:ascii="Times New Roman" w:hAnsi="Times New Roman" w:cs="Times New Roman"/>
          <w:sz w:val="28"/>
          <w:szCs w:val="28"/>
        </w:rPr>
        <w:t xml:space="preserve">e sui persistenti spazi di operatività </w:t>
      </w:r>
      <w:r>
        <w:rPr>
          <w:rFonts w:ascii="Times New Roman" w:hAnsi="Times New Roman" w:cs="Times New Roman"/>
          <w:sz w:val="28"/>
          <w:szCs w:val="28"/>
        </w:rPr>
        <w:t>degli artt. 22 e seguenti della legge n.241 del 1990.</w:t>
      </w:r>
    </w:p>
    <w:p w:rsidR="00703B32" w:rsidRDefault="00922FA5" w:rsidP="00737BCE">
      <w:pPr>
        <w:jc w:val="both"/>
        <w:rPr>
          <w:rFonts w:ascii="Times New Roman" w:hAnsi="Times New Roman" w:cs="Times New Roman"/>
          <w:sz w:val="28"/>
          <w:szCs w:val="28"/>
        </w:rPr>
      </w:pPr>
      <w:r>
        <w:rPr>
          <w:rFonts w:ascii="Times New Roman" w:hAnsi="Times New Roman" w:cs="Times New Roman"/>
          <w:sz w:val="28"/>
          <w:szCs w:val="28"/>
        </w:rPr>
        <w:t xml:space="preserve">Nel silenzio del legislatore compete, quindi, all’interprete decifrare i non semplici rapporti tra la normativa relativa all’accesso documentale </w:t>
      </w:r>
      <w:r w:rsidR="003733DC">
        <w:rPr>
          <w:rFonts w:ascii="Times New Roman" w:hAnsi="Times New Roman" w:cs="Times New Roman"/>
          <w:sz w:val="28"/>
          <w:szCs w:val="28"/>
        </w:rPr>
        <w:t xml:space="preserve">(contenuta nella legge n.241 del 1990) </w:t>
      </w:r>
      <w:r>
        <w:rPr>
          <w:rFonts w:ascii="Times New Roman" w:hAnsi="Times New Roman" w:cs="Times New Roman"/>
          <w:sz w:val="28"/>
          <w:szCs w:val="28"/>
        </w:rPr>
        <w:t>e quella sopravvenuta relativa all’accesso civico (nella duplice fattispecie prevista dal d.lgs. n.33 del 2013) e non vale l’es</w:t>
      </w:r>
      <w:r w:rsidR="00E8612A">
        <w:rPr>
          <w:rFonts w:ascii="Times New Roman" w:hAnsi="Times New Roman" w:cs="Times New Roman"/>
          <w:sz w:val="28"/>
          <w:szCs w:val="28"/>
        </w:rPr>
        <w:t>egesi proposta</w:t>
      </w:r>
      <w:r>
        <w:rPr>
          <w:rFonts w:ascii="Times New Roman" w:hAnsi="Times New Roman" w:cs="Times New Roman"/>
          <w:sz w:val="28"/>
          <w:szCs w:val="28"/>
        </w:rPr>
        <w:t xml:space="preserve"> </w:t>
      </w:r>
      <w:r w:rsidR="00E72459">
        <w:rPr>
          <w:rFonts w:ascii="Times New Roman" w:hAnsi="Times New Roman" w:cs="Times New Roman"/>
          <w:sz w:val="28"/>
          <w:szCs w:val="28"/>
        </w:rPr>
        <w:t xml:space="preserve">(peraltro senza indicazioni chiare) </w:t>
      </w:r>
      <w:r>
        <w:rPr>
          <w:rFonts w:ascii="Times New Roman" w:hAnsi="Times New Roman" w:cs="Times New Roman"/>
          <w:sz w:val="28"/>
          <w:szCs w:val="28"/>
        </w:rPr>
        <w:t>nelle linee guida dell’ANAC a risolvere il problema con efficacia vincolante (in considerazione dell’assenza, nel predetto documento, di ogni valenza normativa).</w:t>
      </w:r>
    </w:p>
    <w:p w:rsidR="003733DC" w:rsidRDefault="00E8612A" w:rsidP="00737BCE">
      <w:pPr>
        <w:jc w:val="both"/>
        <w:rPr>
          <w:rFonts w:ascii="Times New Roman" w:hAnsi="Times New Roman" w:cs="Times New Roman"/>
          <w:sz w:val="28"/>
          <w:szCs w:val="28"/>
        </w:rPr>
      </w:pPr>
      <w:r>
        <w:rPr>
          <w:rFonts w:ascii="Times New Roman" w:hAnsi="Times New Roman" w:cs="Times New Roman"/>
          <w:sz w:val="28"/>
          <w:szCs w:val="28"/>
        </w:rPr>
        <w:t xml:space="preserve">Rispettando i limiti del presente studio (perlopiù dedicato all’analisi dei rapporti tra ACG e tutela della riservatezza), </w:t>
      </w:r>
      <w:r w:rsidR="003733DC">
        <w:rPr>
          <w:rFonts w:ascii="Times New Roman" w:hAnsi="Times New Roman" w:cs="Times New Roman"/>
          <w:sz w:val="28"/>
          <w:szCs w:val="28"/>
        </w:rPr>
        <w:t>è sufficiente rilevare che appare arduo configurare un’ipotesi di abrogazione tacita della legge del 1990, atteso che le due fattispecie di accesso obbediscono a requisiti e presupposti applicativi diversi</w:t>
      </w:r>
      <w:r w:rsidR="00E72459">
        <w:rPr>
          <w:rFonts w:ascii="Times New Roman" w:hAnsi="Times New Roman" w:cs="Times New Roman"/>
          <w:sz w:val="28"/>
          <w:szCs w:val="28"/>
        </w:rPr>
        <w:t>, che assolvono funzioni parzialmente differenti,</w:t>
      </w:r>
      <w:r w:rsidR="003733DC">
        <w:rPr>
          <w:rFonts w:ascii="Times New Roman" w:hAnsi="Times New Roman" w:cs="Times New Roman"/>
          <w:sz w:val="28"/>
          <w:szCs w:val="28"/>
        </w:rPr>
        <w:t xml:space="preserve"> che conservano, quindi, una loro autonoma disciplina, e che, tuttavia, la coesistenza dei due regim</w:t>
      </w:r>
      <w:r w:rsidR="00FC55A2">
        <w:rPr>
          <w:rFonts w:ascii="Times New Roman" w:hAnsi="Times New Roman" w:cs="Times New Roman"/>
          <w:sz w:val="28"/>
          <w:szCs w:val="28"/>
        </w:rPr>
        <w:t>i normativi non appare scevra da</w:t>
      </w:r>
      <w:r w:rsidR="003733DC">
        <w:rPr>
          <w:rFonts w:ascii="Times New Roman" w:hAnsi="Times New Roman" w:cs="Times New Roman"/>
          <w:sz w:val="28"/>
          <w:szCs w:val="28"/>
        </w:rPr>
        <w:t xml:space="preserve"> difficoltà di coordinamento.</w:t>
      </w:r>
    </w:p>
    <w:p w:rsidR="003733DC" w:rsidRDefault="003733DC" w:rsidP="00737BCE">
      <w:pPr>
        <w:jc w:val="both"/>
        <w:rPr>
          <w:rFonts w:ascii="Times New Roman" w:hAnsi="Times New Roman" w:cs="Times New Roman"/>
          <w:sz w:val="28"/>
          <w:szCs w:val="28"/>
        </w:rPr>
      </w:pPr>
      <w:r>
        <w:rPr>
          <w:rFonts w:ascii="Times New Roman" w:hAnsi="Times New Roman" w:cs="Times New Roman"/>
          <w:sz w:val="28"/>
          <w:szCs w:val="28"/>
        </w:rPr>
        <w:t>Non risulta</w:t>
      </w:r>
      <w:r w:rsidR="00E72459">
        <w:rPr>
          <w:rFonts w:ascii="Times New Roman" w:hAnsi="Times New Roman" w:cs="Times New Roman"/>
          <w:sz w:val="28"/>
          <w:szCs w:val="28"/>
        </w:rPr>
        <w:t>no chiari</w:t>
      </w:r>
      <w:r>
        <w:rPr>
          <w:rFonts w:ascii="Times New Roman" w:hAnsi="Times New Roman" w:cs="Times New Roman"/>
          <w:sz w:val="28"/>
          <w:szCs w:val="28"/>
        </w:rPr>
        <w:t>, in particolare, il perimetro applicativo oggettivo dei due rimedi</w:t>
      </w:r>
      <w:r w:rsidR="00FC55A2">
        <w:rPr>
          <w:rFonts w:ascii="Times New Roman" w:hAnsi="Times New Roman" w:cs="Times New Roman"/>
          <w:sz w:val="28"/>
          <w:szCs w:val="28"/>
        </w:rPr>
        <w:t xml:space="preserve"> (e, in particolare, se coincida o se differisca)</w:t>
      </w:r>
      <w:r w:rsidR="00E72459">
        <w:rPr>
          <w:rFonts w:ascii="Times New Roman" w:hAnsi="Times New Roman" w:cs="Times New Roman"/>
          <w:sz w:val="28"/>
          <w:szCs w:val="28"/>
        </w:rPr>
        <w:t xml:space="preserve"> e</w:t>
      </w:r>
      <w:r>
        <w:rPr>
          <w:rFonts w:ascii="Times New Roman" w:hAnsi="Times New Roman" w:cs="Times New Roman"/>
          <w:sz w:val="28"/>
          <w:szCs w:val="28"/>
        </w:rPr>
        <w:t xml:space="preserve"> </w:t>
      </w:r>
      <w:r w:rsidR="00E72459">
        <w:rPr>
          <w:rFonts w:ascii="Times New Roman" w:hAnsi="Times New Roman" w:cs="Times New Roman"/>
          <w:sz w:val="28"/>
          <w:szCs w:val="28"/>
        </w:rPr>
        <w:t xml:space="preserve">la sequenza logica dell’attivazione dei due rimedi, </w:t>
      </w:r>
      <w:r>
        <w:rPr>
          <w:rFonts w:ascii="Times New Roman" w:hAnsi="Times New Roman" w:cs="Times New Roman"/>
          <w:sz w:val="28"/>
          <w:szCs w:val="28"/>
        </w:rPr>
        <w:t>così come sfugge la relazione dell’operatività delle eccezioni contemplate nelle due normative confrontate (quella del 1990 affidata a una classificazione regolamentare degli atti sottratti all’accesso; quella del 2016 delegata a indirizzi non vincolanti dell’ANAC).</w:t>
      </w:r>
    </w:p>
    <w:p w:rsidR="003733DC" w:rsidRDefault="003733DC" w:rsidP="00737BCE">
      <w:pPr>
        <w:jc w:val="both"/>
        <w:rPr>
          <w:rFonts w:ascii="Times New Roman" w:hAnsi="Times New Roman" w:cs="Times New Roman"/>
          <w:sz w:val="28"/>
          <w:szCs w:val="28"/>
        </w:rPr>
      </w:pPr>
      <w:r>
        <w:rPr>
          <w:rFonts w:ascii="Times New Roman" w:hAnsi="Times New Roman" w:cs="Times New Roman"/>
          <w:sz w:val="28"/>
          <w:szCs w:val="28"/>
        </w:rPr>
        <w:t>Resta a differenzi</w:t>
      </w:r>
      <w:r w:rsidR="00FC55A2">
        <w:rPr>
          <w:rFonts w:ascii="Times New Roman" w:hAnsi="Times New Roman" w:cs="Times New Roman"/>
          <w:sz w:val="28"/>
          <w:szCs w:val="28"/>
        </w:rPr>
        <w:t>are i due istituti la diversa</w:t>
      </w:r>
      <w:r>
        <w:rPr>
          <w:rFonts w:ascii="Times New Roman" w:hAnsi="Times New Roman" w:cs="Times New Roman"/>
          <w:sz w:val="28"/>
          <w:szCs w:val="28"/>
        </w:rPr>
        <w:t xml:space="preserve"> legittimazione ad attivare i ri</w:t>
      </w:r>
      <w:r w:rsidR="00FC55A2">
        <w:rPr>
          <w:rFonts w:ascii="Times New Roman" w:hAnsi="Times New Roman" w:cs="Times New Roman"/>
          <w:sz w:val="28"/>
          <w:szCs w:val="28"/>
        </w:rPr>
        <w:t>medi che, tuttavia, non vale, d</w:t>
      </w:r>
      <w:r>
        <w:rPr>
          <w:rFonts w:ascii="Times New Roman" w:hAnsi="Times New Roman" w:cs="Times New Roman"/>
          <w:sz w:val="28"/>
          <w:szCs w:val="28"/>
        </w:rPr>
        <w:t>i per sé, a perimetrare in maniera esatta i confini di efficacia delle due tipologie di accesso.</w:t>
      </w:r>
    </w:p>
    <w:p w:rsidR="00B80CA6" w:rsidRDefault="003733DC" w:rsidP="00737BCE">
      <w:pPr>
        <w:jc w:val="both"/>
        <w:rPr>
          <w:rFonts w:ascii="Times New Roman" w:hAnsi="Times New Roman" w:cs="Times New Roman"/>
          <w:sz w:val="28"/>
          <w:szCs w:val="28"/>
        </w:rPr>
      </w:pPr>
      <w:r>
        <w:rPr>
          <w:rFonts w:ascii="Times New Roman" w:hAnsi="Times New Roman" w:cs="Times New Roman"/>
          <w:sz w:val="28"/>
          <w:szCs w:val="28"/>
        </w:rPr>
        <w:t>Basti qui aver rilevato l’esigenza di coordinamento tra le due normative e avere segnalato i più evidenti profili di criticità prodotti dalla coesistenza dei due istituti.</w:t>
      </w:r>
    </w:p>
    <w:p w:rsidR="00695837" w:rsidRDefault="00B919B0" w:rsidP="00737BCE">
      <w:pPr>
        <w:jc w:val="both"/>
        <w:rPr>
          <w:rFonts w:ascii="Times New Roman" w:hAnsi="Times New Roman" w:cs="Times New Roman"/>
          <w:sz w:val="28"/>
          <w:szCs w:val="28"/>
        </w:rPr>
      </w:pPr>
      <w:r>
        <w:rPr>
          <w:rFonts w:ascii="Times New Roman" w:hAnsi="Times New Roman" w:cs="Times New Roman"/>
          <w:sz w:val="28"/>
          <w:szCs w:val="28"/>
        </w:rPr>
        <w:t>In ordine al secondo aspetto, merita di essere ricordato che</w:t>
      </w:r>
      <w:r w:rsidRPr="00B919B0">
        <w:rPr>
          <w:rFonts w:ascii="Times New Roman" w:hAnsi="Times New Roman" w:cs="Times New Roman"/>
          <w:sz w:val="28"/>
          <w:szCs w:val="28"/>
        </w:rPr>
        <w:t xml:space="preserve"> </w:t>
      </w:r>
      <w:r w:rsidR="003733DC">
        <w:rPr>
          <w:rFonts w:ascii="Times New Roman" w:hAnsi="Times New Roman" w:cs="Times New Roman"/>
          <w:sz w:val="28"/>
          <w:szCs w:val="28"/>
        </w:rPr>
        <w:t>o</w:t>
      </w:r>
      <w:r>
        <w:rPr>
          <w:rFonts w:ascii="Times New Roman" w:hAnsi="Times New Roman" w:cs="Times New Roman"/>
          <w:sz w:val="28"/>
          <w:szCs w:val="28"/>
        </w:rPr>
        <w:t xml:space="preserve">gni riforma </w:t>
      </w:r>
      <w:r w:rsidR="003733DC">
        <w:rPr>
          <w:rFonts w:ascii="Times New Roman" w:hAnsi="Times New Roman" w:cs="Times New Roman"/>
          <w:sz w:val="28"/>
          <w:szCs w:val="28"/>
        </w:rPr>
        <w:t xml:space="preserve">che introduce nuovi adempimenti a carico di pubbliche amministrazioni </w:t>
      </w:r>
      <w:r>
        <w:rPr>
          <w:rFonts w:ascii="Times New Roman" w:hAnsi="Times New Roman" w:cs="Times New Roman"/>
          <w:sz w:val="28"/>
          <w:szCs w:val="28"/>
        </w:rPr>
        <w:t xml:space="preserve">impone la predisposizione di un adeguato apparato organizzativo e di proporzionate dotazioni umane e finanziarie, oltre </w:t>
      </w:r>
      <w:r w:rsidRPr="00B919B0">
        <w:rPr>
          <w:rFonts w:ascii="Times New Roman" w:hAnsi="Times New Roman" w:cs="Times New Roman"/>
          <w:sz w:val="28"/>
          <w:szCs w:val="28"/>
        </w:rPr>
        <w:t>alla previa valutazione del suo impatto.</w:t>
      </w:r>
    </w:p>
    <w:p w:rsidR="00695837" w:rsidRDefault="00695837" w:rsidP="00737BCE">
      <w:pPr>
        <w:jc w:val="both"/>
        <w:rPr>
          <w:rFonts w:ascii="Times New Roman" w:hAnsi="Times New Roman" w:cs="Times New Roman"/>
          <w:sz w:val="28"/>
          <w:szCs w:val="28"/>
        </w:rPr>
      </w:pPr>
      <w:r>
        <w:rPr>
          <w:rFonts w:ascii="Times New Roman" w:hAnsi="Times New Roman" w:cs="Times New Roman"/>
          <w:sz w:val="28"/>
          <w:szCs w:val="28"/>
        </w:rPr>
        <w:t>Tale verifica, che attiene alla c.d. “capacità amministrativa”</w:t>
      </w:r>
      <w:r w:rsidR="00FC55A2">
        <w:rPr>
          <w:rFonts w:ascii="Times New Roman" w:hAnsi="Times New Roman" w:cs="Times New Roman"/>
          <w:sz w:val="28"/>
          <w:szCs w:val="28"/>
        </w:rPr>
        <w:t>,</w:t>
      </w:r>
      <w:r>
        <w:rPr>
          <w:rFonts w:ascii="Times New Roman" w:hAnsi="Times New Roman" w:cs="Times New Roman"/>
          <w:sz w:val="28"/>
          <w:szCs w:val="28"/>
        </w:rPr>
        <w:t xml:space="preserve"> risulta nella specie omessa.</w:t>
      </w:r>
    </w:p>
    <w:p w:rsidR="00B919B0" w:rsidRDefault="00AA72A3" w:rsidP="00737BCE">
      <w:pPr>
        <w:jc w:val="both"/>
        <w:rPr>
          <w:rFonts w:ascii="Times New Roman" w:hAnsi="Times New Roman" w:cs="Times New Roman"/>
          <w:sz w:val="28"/>
          <w:szCs w:val="28"/>
        </w:rPr>
      </w:pPr>
      <w:r>
        <w:rPr>
          <w:rFonts w:ascii="Times New Roman" w:hAnsi="Times New Roman" w:cs="Times New Roman"/>
          <w:sz w:val="28"/>
          <w:szCs w:val="28"/>
        </w:rPr>
        <w:t>Un’innovazione così radicale, che legittima qualsiasi cittadino a chiedere l’accesso a qualsiasi documento o informazione diversi da quelli soggetti a pubblicazione avrebbe, infatti, imposto una seria disamina dell’idoneità delle dotazioni organizzative esistenti a sopportare il carico di tale nuova funzione.</w:t>
      </w:r>
    </w:p>
    <w:p w:rsidR="00AA72A3" w:rsidRDefault="00AA72A3" w:rsidP="00737BCE">
      <w:pPr>
        <w:jc w:val="both"/>
        <w:rPr>
          <w:rFonts w:ascii="Times New Roman" w:hAnsi="Times New Roman" w:cs="Times New Roman"/>
          <w:sz w:val="28"/>
          <w:szCs w:val="28"/>
        </w:rPr>
      </w:pPr>
      <w:r>
        <w:rPr>
          <w:rFonts w:ascii="Times New Roman" w:hAnsi="Times New Roman" w:cs="Times New Roman"/>
          <w:sz w:val="28"/>
          <w:szCs w:val="28"/>
        </w:rPr>
        <w:t>Inoltre, la rilevanza dell’impatto avrebbe dovuto suggerire un’entrata in vigore sperimentale e differenziata della riforma, al fine di verificare la misura concreta degli effetti della sua attuazione sull’organizzazione amministrativa.</w:t>
      </w:r>
    </w:p>
    <w:p w:rsidR="00AA72A3" w:rsidRDefault="00AA72A3" w:rsidP="00737BCE">
      <w:pPr>
        <w:jc w:val="both"/>
        <w:rPr>
          <w:rFonts w:ascii="Times New Roman" w:hAnsi="Times New Roman" w:cs="Times New Roman"/>
          <w:sz w:val="28"/>
          <w:szCs w:val="28"/>
        </w:rPr>
      </w:pPr>
      <w:r>
        <w:rPr>
          <w:rFonts w:ascii="Times New Roman" w:hAnsi="Times New Roman" w:cs="Times New Roman"/>
          <w:sz w:val="28"/>
          <w:szCs w:val="28"/>
        </w:rPr>
        <w:t>In ogni caso, la rilevanza dell’incidenza dell’ACG sul funzionamento delle pubbliche amministrazioni esige un rigoroso monitoraggio del suo impatto, al fine di rettificare o modificare gli aspetti dell’appa</w:t>
      </w:r>
      <w:r w:rsidR="00E72459">
        <w:rPr>
          <w:rFonts w:ascii="Times New Roman" w:hAnsi="Times New Roman" w:cs="Times New Roman"/>
          <w:sz w:val="28"/>
          <w:szCs w:val="28"/>
        </w:rPr>
        <w:t>rato regolativo che</w:t>
      </w:r>
      <w:r w:rsidR="00FC55A2">
        <w:rPr>
          <w:rFonts w:ascii="Times New Roman" w:hAnsi="Times New Roman" w:cs="Times New Roman"/>
          <w:sz w:val="28"/>
          <w:szCs w:val="28"/>
        </w:rPr>
        <w:t xml:space="preserve"> si sono rivelati</w:t>
      </w:r>
      <w:r>
        <w:rPr>
          <w:rFonts w:ascii="Times New Roman" w:hAnsi="Times New Roman" w:cs="Times New Roman"/>
          <w:sz w:val="28"/>
          <w:szCs w:val="28"/>
        </w:rPr>
        <w:t xml:space="preserve"> più critici, oltre che al fine di provvedere a garantire un’adeguata capacità amministrativa, ove dovesse rivelarsi inidonea.   </w:t>
      </w:r>
    </w:p>
    <w:p w:rsidR="006359C8" w:rsidRPr="006359C8" w:rsidRDefault="00FC55A2" w:rsidP="006359C8">
      <w:pPr>
        <w:jc w:val="both"/>
        <w:rPr>
          <w:rFonts w:ascii="Times New Roman" w:hAnsi="Times New Roman" w:cs="Times New Roman"/>
          <w:sz w:val="28"/>
          <w:szCs w:val="28"/>
        </w:rPr>
      </w:pPr>
      <w:r>
        <w:rPr>
          <w:rFonts w:ascii="Times New Roman" w:hAnsi="Times New Roman" w:cs="Times New Roman"/>
          <w:sz w:val="28"/>
          <w:szCs w:val="28"/>
        </w:rPr>
        <w:t>6</w:t>
      </w:r>
      <w:r w:rsidR="00DD3FB6" w:rsidRPr="006359C8">
        <w:rPr>
          <w:rFonts w:ascii="Times New Roman" w:hAnsi="Times New Roman" w:cs="Times New Roman"/>
          <w:sz w:val="28"/>
          <w:szCs w:val="28"/>
        </w:rPr>
        <w:t xml:space="preserve">.- </w:t>
      </w:r>
      <w:r w:rsidR="001337B6">
        <w:rPr>
          <w:rFonts w:ascii="Times New Roman" w:hAnsi="Times New Roman" w:cs="Times New Roman"/>
          <w:sz w:val="28"/>
          <w:szCs w:val="28"/>
        </w:rPr>
        <w:t xml:space="preserve">La disamina che precede ci consegna </w:t>
      </w:r>
      <w:r w:rsidR="006359C8" w:rsidRPr="006359C8">
        <w:rPr>
          <w:rFonts w:ascii="Times New Roman" w:hAnsi="Times New Roman" w:cs="Times New Roman"/>
          <w:sz w:val="28"/>
          <w:szCs w:val="28"/>
        </w:rPr>
        <w:t xml:space="preserve">un sistema regolativo debole e, per certi versi, incoerente, </w:t>
      </w:r>
      <w:r w:rsidR="001337B6">
        <w:rPr>
          <w:rFonts w:ascii="Times New Roman" w:hAnsi="Times New Roman" w:cs="Times New Roman"/>
          <w:sz w:val="28"/>
          <w:szCs w:val="28"/>
        </w:rPr>
        <w:t>che si fonda, in ultima analisi, su</w:t>
      </w:r>
      <w:r w:rsidR="006359C8" w:rsidRPr="006359C8">
        <w:rPr>
          <w:rFonts w:ascii="Times New Roman" w:hAnsi="Times New Roman" w:cs="Times New Roman"/>
          <w:sz w:val="28"/>
          <w:szCs w:val="28"/>
        </w:rPr>
        <w:t xml:space="preserve"> una responsabilizzazione eccessiva del funzionario chiamato a decidere sull’i</w:t>
      </w:r>
      <w:r>
        <w:rPr>
          <w:rFonts w:ascii="Times New Roman" w:hAnsi="Times New Roman" w:cs="Times New Roman"/>
          <w:sz w:val="28"/>
          <w:szCs w:val="28"/>
        </w:rPr>
        <w:t>stanza di ACG</w:t>
      </w:r>
      <w:r w:rsidR="006359C8" w:rsidRPr="006359C8">
        <w:rPr>
          <w:rFonts w:ascii="Times New Roman" w:hAnsi="Times New Roman" w:cs="Times New Roman"/>
          <w:sz w:val="28"/>
          <w:szCs w:val="28"/>
        </w:rPr>
        <w:t xml:space="preserve"> </w:t>
      </w:r>
      <w:r w:rsidR="001337B6">
        <w:rPr>
          <w:rFonts w:ascii="Times New Roman" w:hAnsi="Times New Roman" w:cs="Times New Roman"/>
          <w:sz w:val="28"/>
          <w:szCs w:val="28"/>
        </w:rPr>
        <w:t xml:space="preserve">(soprattutto </w:t>
      </w:r>
      <w:r w:rsidR="006359C8" w:rsidRPr="006359C8">
        <w:rPr>
          <w:rFonts w:ascii="Times New Roman" w:hAnsi="Times New Roman" w:cs="Times New Roman"/>
          <w:sz w:val="28"/>
          <w:szCs w:val="28"/>
        </w:rPr>
        <w:t>quando confligge con gli interess</w:t>
      </w:r>
      <w:r w:rsidR="001337B6">
        <w:rPr>
          <w:rFonts w:ascii="Times New Roman" w:hAnsi="Times New Roman" w:cs="Times New Roman"/>
          <w:sz w:val="28"/>
          <w:szCs w:val="28"/>
        </w:rPr>
        <w:t>i di riservatezza intestati ad altri soggetti).</w:t>
      </w:r>
    </w:p>
    <w:p w:rsidR="0018132F" w:rsidRDefault="0018132F" w:rsidP="006359C8">
      <w:pPr>
        <w:jc w:val="both"/>
        <w:rPr>
          <w:rFonts w:ascii="Times New Roman" w:hAnsi="Times New Roman" w:cs="Times New Roman"/>
          <w:sz w:val="28"/>
          <w:szCs w:val="28"/>
        </w:rPr>
      </w:pPr>
      <w:r>
        <w:rPr>
          <w:rFonts w:ascii="Times New Roman" w:hAnsi="Times New Roman" w:cs="Times New Roman"/>
          <w:sz w:val="28"/>
          <w:szCs w:val="28"/>
        </w:rPr>
        <w:t>Il contrasto, per certi versi ineliminabile, tra il principio di trasparenza, su cui si fondano sempre più le democrazie contemporanee, e le esigenze di protezione dei dati personali, in un contesto in cui la relativa sfera risulta esposta a minacce e in</w:t>
      </w:r>
      <w:r w:rsidR="00FC55A2">
        <w:rPr>
          <w:rFonts w:ascii="Times New Roman" w:hAnsi="Times New Roman" w:cs="Times New Roman"/>
          <w:sz w:val="28"/>
          <w:szCs w:val="28"/>
        </w:rPr>
        <w:t>gerenze di ogni ti</w:t>
      </w:r>
      <w:r>
        <w:rPr>
          <w:rFonts w:ascii="Times New Roman" w:hAnsi="Times New Roman" w:cs="Times New Roman"/>
          <w:sz w:val="28"/>
          <w:szCs w:val="28"/>
        </w:rPr>
        <w:t>po, postula la definizione normativa di criteri valutativi sufficientemente puntuali e specifici, anche se non esaurienti e risolutivi.</w:t>
      </w:r>
    </w:p>
    <w:p w:rsidR="0018132F" w:rsidRDefault="0018132F" w:rsidP="006359C8">
      <w:pPr>
        <w:jc w:val="both"/>
        <w:rPr>
          <w:rFonts w:ascii="Times New Roman" w:hAnsi="Times New Roman" w:cs="Times New Roman"/>
          <w:sz w:val="28"/>
          <w:szCs w:val="28"/>
        </w:rPr>
      </w:pPr>
      <w:r>
        <w:rPr>
          <w:rFonts w:ascii="Times New Roman" w:hAnsi="Times New Roman" w:cs="Times New Roman"/>
          <w:sz w:val="28"/>
          <w:szCs w:val="28"/>
        </w:rPr>
        <w:t xml:space="preserve">Ma la soluzione dell’antinomia segnalata non può restare affidata a una valutazione </w:t>
      </w:r>
      <w:r w:rsidR="00F60CE9">
        <w:rPr>
          <w:rFonts w:ascii="Times New Roman" w:hAnsi="Times New Roman" w:cs="Times New Roman"/>
          <w:sz w:val="28"/>
          <w:szCs w:val="28"/>
        </w:rPr>
        <w:t>(ampiamente) discrezionale</w:t>
      </w:r>
      <w:r w:rsidR="00DE2AC0">
        <w:rPr>
          <w:rFonts w:ascii="Times New Roman" w:hAnsi="Times New Roman" w:cs="Times New Roman"/>
          <w:sz w:val="28"/>
          <w:szCs w:val="28"/>
        </w:rPr>
        <w:t>, se non libera,</w:t>
      </w:r>
      <w:r w:rsidR="00F60CE9">
        <w:rPr>
          <w:rFonts w:ascii="Times New Roman" w:hAnsi="Times New Roman" w:cs="Times New Roman"/>
          <w:sz w:val="28"/>
          <w:szCs w:val="28"/>
        </w:rPr>
        <w:t xml:space="preserve"> </w:t>
      </w:r>
      <w:r w:rsidR="009669D7">
        <w:rPr>
          <w:rFonts w:ascii="Times New Roman" w:hAnsi="Times New Roman" w:cs="Times New Roman"/>
          <w:sz w:val="28"/>
          <w:szCs w:val="28"/>
        </w:rPr>
        <w:t>di un funzionario</w:t>
      </w:r>
      <w:r w:rsidR="00DE2AC0">
        <w:rPr>
          <w:rFonts w:ascii="Times New Roman" w:hAnsi="Times New Roman" w:cs="Times New Roman"/>
          <w:sz w:val="28"/>
          <w:szCs w:val="28"/>
        </w:rPr>
        <w:t>, costretto a compierla in tempi strettissimi e in mancanza della guida sicura e affidabile di paradigmi normativi cogenti e precisi.</w:t>
      </w:r>
      <w:r>
        <w:rPr>
          <w:rFonts w:ascii="Times New Roman" w:hAnsi="Times New Roman" w:cs="Times New Roman"/>
          <w:sz w:val="28"/>
          <w:szCs w:val="28"/>
        </w:rPr>
        <w:t xml:space="preserve">  </w:t>
      </w:r>
    </w:p>
    <w:p w:rsidR="006359C8" w:rsidRDefault="006359C8" w:rsidP="006359C8">
      <w:pPr>
        <w:jc w:val="both"/>
        <w:rPr>
          <w:rFonts w:ascii="Times New Roman" w:hAnsi="Times New Roman" w:cs="Times New Roman"/>
          <w:sz w:val="28"/>
          <w:szCs w:val="28"/>
        </w:rPr>
      </w:pPr>
      <w:r w:rsidRPr="006359C8">
        <w:rPr>
          <w:rFonts w:ascii="Times New Roman" w:hAnsi="Times New Roman" w:cs="Times New Roman"/>
          <w:sz w:val="28"/>
          <w:szCs w:val="28"/>
        </w:rPr>
        <w:t xml:space="preserve">Sarebbe stato meglio confermare l’apparato regolativo </w:t>
      </w:r>
      <w:r w:rsidR="00DE2AC0">
        <w:rPr>
          <w:rFonts w:ascii="Times New Roman" w:hAnsi="Times New Roman" w:cs="Times New Roman"/>
          <w:sz w:val="28"/>
          <w:szCs w:val="28"/>
        </w:rPr>
        <w:t xml:space="preserve">utilizzato </w:t>
      </w:r>
      <w:r w:rsidRPr="006359C8">
        <w:rPr>
          <w:rFonts w:ascii="Times New Roman" w:hAnsi="Times New Roman" w:cs="Times New Roman"/>
          <w:sz w:val="28"/>
          <w:szCs w:val="28"/>
        </w:rPr>
        <w:t xml:space="preserve">della legge </w:t>
      </w:r>
      <w:r w:rsidR="00DE2AC0">
        <w:rPr>
          <w:rFonts w:ascii="Times New Roman" w:hAnsi="Times New Roman" w:cs="Times New Roman"/>
          <w:sz w:val="28"/>
          <w:szCs w:val="28"/>
        </w:rPr>
        <w:t xml:space="preserve">del 1990 (composto dalla fonte primaria e da </w:t>
      </w:r>
      <w:r w:rsidRPr="006359C8">
        <w:rPr>
          <w:rFonts w:ascii="Times New Roman" w:hAnsi="Times New Roman" w:cs="Times New Roman"/>
          <w:sz w:val="28"/>
          <w:szCs w:val="28"/>
        </w:rPr>
        <w:t>più regolamenti di attuazione che classificano, con valenza normativa, le tipologie d</w:t>
      </w:r>
      <w:r w:rsidR="00DE2AC0">
        <w:rPr>
          <w:rFonts w:ascii="Times New Roman" w:hAnsi="Times New Roman" w:cs="Times New Roman"/>
          <w:sz w:val="28"/>
          <w:szCs w:val="28"/>
        </w:rPr>
        <w:t>egli atti sottratti all’accesso), secondo uno schema che avrebbe il pregio e l’utilità di assicurare</w:t>
      </w:r>
      <w:r w:rsidRPr="006359C8">
        <w:rPr>
          <w:rFonts w:ascii="Times New Roman" w:hAnsi="Times New Roman" w:cs="Times New Roman"/>
          <w:sz w:val="28"/>
          <w:szCs w:val="28"/>
        </w:rPr>
        <w:t xml:space="preserve"> un</w:t>
      </w:r>
      <w:r w:rsidR="00E72459">
        <w:rPr>
          <w:rFonts w:ascii="Times New Roman" w:hAnsi="Times New Roman" w:cs="Times New Roman"/>
          <w:sz w:val="28"/>
          <w:szCs w:val="28"/>
        </w:rPr>
        <w:t xml:space="preserve"> apparato di regole più chiaro,</w:t>
      </w:r>
      <w:r w:rsidRPr="006359C8">
        <w:rPr>
          <w:rFonts w:ascii="Times New Roman" w:hAnsi="Times New Roman" w:cs="Times New Roman"/>
          <w:sz w:val="28"/>
          <w:szCs w:val="28"/>
        </w:rPr>
        <w:t xml:space="preserve"> sicuro </w:t>
      </w:r>
      <w:r w:rsidR="00E72459">
        <w:rPr>
          <w:rFonts w:ascii="Times New Roman" w:hAnsi="Times New Roman" w:cs="Times New Roman"/>
          <w:sz w:val="28"/>
          <w:szCs w:val="28"/>
        </w:rPr>
        <w:t xml:space="preserve">e trasparente (appunto) </w:t>
      </w:r>
      <w:r w:rsidRPr="006359C8">
        <w:rPr>
          <w:rFonts w:ascii="Times New Roman" w:hAnsi="Times New Roman" w:cs="Times New Roman"/>
          <w:sz w:val="28"/>
          <w:szCs w:val="28"/>
        </w:rPr>
        <w:t xml:space="preserve">nell’amministrazione dell’ACG. </w:t>
      </w:r>
    </w:p>
    <w:p w:rsidR="00DE2AC0" w:rsidRDefault="00F252D5" w:rsidP="006359C8">
      <w:pPr>
        <w:jc w:val="both"/>
        <w:rPr>
          <w:rFonts w:ascii="Times New Roman" w:hAnsi="Times New Roman" w:cs="Times New Roman"/>
          <w:sz w:val="28"/>
          <w:szCs w:val="28"/>
        </w:rPr>
      </w:pPr>
      <w:r>
        <w:rPr>
          <w:rFonts w:ascii="Times New Roman" w:hAnsi="Times New Roman" w:cs="Times New Roman"/>
          <w:sz w:val="28"/>
          <w:szCs w:val="28"/>
        </w:rPr>
        <w:t xml:space="preserve">L’accessibilità totale agli atti e alle informazioni in possesso delle pubbliche amministrazioni garantisce sì, in astratto, un controllo diffuso dell’esercizio del potere pubblico, ma non può essere </w:t>
      </w:r>
      <w:r w:rsidR="0016043C">
        <w:rPr>
          <w:rFonts w:ascii="Times New Roman" w:hAnsi="Times New Roman" w:cs="Times New Roman"/>
          <w:sz w:val="28"/>
          <w:szCs w:val="28"/>
        </w:rPr>
        <w:t xml:space="preserve">concepita, </w:t>
      </w:r>
      <w:r>
        <w:rPr>
          <w:rFonts w:ascii="Times New Roman" w:hAnsi="Times New Roman" w:cs="Times New Roman"/>
          <w:sz w:val="28"/>
          <w:szCs w:val="28"/>
        </w:rPr>
        <w:t xml:space="preserve">intesa e declinata senza una proporzionata protezione </w:t>
      </w:r>
      <w:r w:rsidR="0016043C">
        <w:rPr>
          <w:rFonts w:ascii="Times New Roman" w:hAnsi="Times New Roman" w:cs="Times New Roman"/>
          <w:sz w:val="28"/>
          <w:szCs w:val="28"/>
        </w:rPr>
        <w:t xml:space="preserve">delle informazioni personali </w:t>
      </w:r>
      <w:r>
        <w:rPr>
          <w:rFonts w:ascii="Times New Roman" w:hAnsi="Times New Roman" w:cs="Times New Roman"/>
          <w:sz w:val="28"/>
          <w:szCs w:val="28"/>
        </w:rPr>
        <w:t>da un’ingiustificata ed eccessiva invasione della sfera di riservatezza delle persone coinvolte</w:t>
      </w:r>
      <w:r w:rsidR="00E72459">
        <w:rPr>
          <w:rFonts w:ascii="Times New Roman" w:hAnsi="Times New Roman" w:cs="Times New Roman"/>
          <w:sz w:val="28"/>
          <w:szCs w:val="28"/>
        </w:rPr>
        <w:t xml:space="preserve">, </w:t>
      </w:r>
      <w:r>
        <w:rPr>
          <w:rFonts w:ascii="Times New Roman" w:hAnsi="Times New Roman" w:cs="Times New Roman"/>
          <w:sz w:val="28"/>
          <w:szCs w:val="28"/>
        </w:rPr>
        <w:t xml:space="preserve">soprattutto in un contesto storico-tecnologico in cui la privacy appare sempre più indifesa e confinata in spazi angusti </w:t>
      </w:r>
      <w:r w:rsidR="00E72459">
        <w:rPr>
          <w:rFonts w:ascii="Times New Roman" w:hAnsi="Times New Roman" w:cs="Times New Roman"/>
          <w:sz w:val="28"/>
          <w:szCs w:val="28"/>
        </w:rPr>
        <w:t>(</w:t>
      </w:r>
      <w:r>
        <w:rPr>
          <w:rFonts w:ascii="Times New Roman" w:hAnsi="Times New Roman" w:cs="Times New Roman"/>
          <w:sz w:val="28"/>
          <w:szCs w:val="28"/>
        </w:rPr>
        <w:t>se non inesistenti).</w:t>
      </w:r>
    </w:p>
    <w:p w:rsidR="00C970F1" w:rsidRDefault="00990C90" w:rsidP="006359C8">
      <w:pPr>
        <w:jc w:val="both"/>
        <w:rPr>
          <w:rFonts w:ascii="Times New Roman" w:hAnsi="Times New Roman" w:cs="Times New Roman"/>
          <w:sz w:val="28"/>
          <w:szCs w:val="28"/>
        </w:rPr>
      </w:pPr>
      <w:r>
        <w:rPr>
          <w:rFonts w:ascii="Times New Roman" w:hAnsi="Times New Roman" w:cs="Times New Roman"/>
          <w:sz w:val="28"/>
          <w:szCs w:val="28"/>
        </w:rPr>
        <w:t>La democrazia implica anche, se non soprattutto, la libertà del cittadino di non essere controllato e schedato (Rodotà), a meno di non voler cedere all</w:t>
      </w:r>
      <w:r w:rsidR="00C970F1">
        <w:rPr>
          <w:rFonts w:ascii="Times New Roman" w:hAnsi="Times New Roman" w:cs="Times New Roman"/>
          <w:sz w:val="28"/>
          <w:szCs w:val="28"/>
        </w:rPr>
        <w:t>e affermazioni</w:t>
      </w:r>
      <w:r>
        <w:rPr>
          <w:rFonts w:ascii="Times New Roman" w:hAnsi="Times New Roman" w:cs="Times New Roman"/>
          <w:sz w:val="28"/>
          <w:szCs w:val="28"/>
        </w:rPr>
        <w:t xml:space="preserve"> </w:t>
      </w:r>
      <w:r w:rsidR="00C970F1">
        <w:rPr>
          <w:rFonts w:ascii="Times New Roman" w:hAnsi="Times New Roman" w:cs="Times New Roman"/>
          <w:sz w:val="28"/>
          <w:szCs w:val="28"/>
        </w:rPr>
        <w:t>(di segno utilitaristico)</w:t>
      </w:r>
      <w:r>
        <w:rPr>
          <w:rFonts w:ascii="Times New Roman" w:hAnsi="Times New Roman" w:cs="Times New Roman"/>
          <w:sz w:val="28"/>
          <w:szCs w:val="28"/>
        </w:rPr>
        <w:t xml:space="preserve"> </w:t>
      </w:r>
      <w:r w:rsidR="00C970F1">
        <w:rPr>
          <w:rFonts w:ascii="Times New Roman" w:hAnsi="Times New Roman" w:cs="Times New Roman"/>
          <w:sz w:val="28"/>
          <w:szCs w:val="28"/>
        </w:rPr>
        <w:t xml:space="preserve">secondo </w:t>
      </w:r>
      <w:r>
        <w:rPr>
          <w:rFonts w:ascii="Times New Roman" w:hAnsi="Times New Roman" w:cs="Times New Roman"/>
          <w:sz w:val="28"/>
          <w:szCs w:val="28"/>
        </w:rPr>
        <w:t>cui la “privacy è morta” (Zuckerberg).</w:t>
      </w:r>
    </w:p>
    <w:p w:rsidR="00990C90" w:rsidRDefault="00C970F1" w:rsidP="006359C8">
      <w:pPr>
        <w:jc w:val="both"/>
        <w:rPr>
          <w:rFonts w:ascii="Times New Roman" w:hAnsi="Times New Roman" w:cs="Times New Roman"/>
          <w:sz w:val="28"/>
          <w:szCs w:val="28"/>
        </w:rPr>
      </w:pPr>
      <w:r>
        <w:rPr>
          <w:rFonts w:ascii="Times New Roman" w:hAnsi="Times New Roman" w:cs="Times New Roman"/>
          <w:sz w:val="28"/>
          <w:szCs w:val="28"/>
        </w:rPr>
        <w:t>Ma il diritto (naturale) alle libertà della persona ha una sua forza, che resiste anche alle concezioni più avanzate di una democrazia fondata sulla trasparenza totale e indiscriminata (e che si prestano, tuttavia, a essere strumentalizzate per uno sfruttamento economico dei dati personali detenuti dalle pubbliche amministrazioni).</w:t>
      </w:r>
      <w:r w:rsidR="00990C90">
        <w:rPr>
          <w:rFonts w:ascii="Times New Roman" w:hAnsi="Times New Roman" w:cs="Times New Roman"/>
          <w:sz w:val="28"/>
          <w:szCs w:val="28"/>
        </w:rPr>
        <w:t xml:space="preserve"> </w:t>
      </w:r>
    </w:p>
    <w:p w:rsidR="00F252D5" w:rsidRPr="006359C8" w:rsidRDefault="00F252D5" w:rsidP="006359C8">
      <w:pPr>
        <w:jc w:val="both"/>
        <w:rPr>
          <w:rFonts w:ascii="Times New Roman" w:hAnsi="Times New Roman" w:cs="Times New Roman"/>
          <w:sz w:val="28"/>
          <w:szCs w:val="28"/>
        </w:rPr>
      </w:pPr>
    </w:p>
    <w:p w:rsidR="006E6146" w:rsidRPr="006E6146" w:rsidRDefault="006E6146" w:rsidP="006E6146">
      <w:pPr>
        <w:jc w:val="right"/>
        <w:rPr>
          <w:rFonts w:ascii="Times New Roman" w:hAnsi="Times New Roman" w:cs="Times New Roman"/>
          <w:b/>
          <w:sz w:val="40"/>
          <w:szCs w:val="40"/>
        </w:rPr>
      </w:pPr>
      <w:r w:rsidRPr="006E6146">
        <w:rPr>
          <w:rFonts w:ascii="Times New Roman" w:hAnsi="Times New Roman" w:cs="Times New Roman"/>
          <w:b/>
          <w:sz w:val="40"/>
          <w:szCs w:val="40"/>
        </w:rPr>
        <w:t xml:space="preserve"> Carlo Deodato</w:t>
      </w:r>
    </w:p>
    <w:p w:rsidR="00DD3FB6" w:rsidRDefault="006E6146" w:rsidP="006E6146">
      <w:pPr>
        <w:jc w:val="right"/>
        <w:rPr>
          <w:rFonts w:ascii="Times New Roman" w:hAnsi="Times New Roman" w:cs="Times New Roman"/>
          <w:sz w:val="28"/>
          <w:szCs w:val="28"/>
        </w:rPr>
      </w:pPr>
      <w:r>
        <w:rPr>
          <w:rFonts w:ascii="Times New Roman" w:hAnsi="Times New Roman" w:cs="Times New Roman"/>
          <w:sz w:val="28"/>
          <w:szCs w:val="28"/>
        </w:rPr>
        <w:t xml:space="preserve"> </w:t>
      </w:r>
      <w:r w:rsidRPr="006E6146">
        <w:rPr>
          <w:rFonts w:ascii="Times New Roman" w:hAnsi="Times New Roman" w:cs="Times New Roman"/>
          <w:sz w:val="28"/>
          <w:szCs w:val="28"/>
        </w:rPr>
        <w:t xml:space="preserve"> Presidente assegnato alla Sezione Giurisdizionale del Consiglio di Giustizia Amministrativa per la Regione Siciliana</w:t>
      </w:r>
    </w:p>
    <w:p w:rsidR="006E6146" w:rsidRDefault="006E6146" w:rsidP="006E6146">
      <w:pPr>
        <w:jc w:val="right"/>
        <w:rPr>
          <w:rFonts w:ascii="Times New Roman" w:hAnsi="Times New Roman" w:cs="Times New Roman"/>
          <w:sz w:val="28"/>
          <w:szCs w:val="28"/>
        </w:rPr>
      </w:pPr>
    </w:p>
    <w:p w:rsidR="006359C8" w:rsidRPr="006E6146" w:rsidRDefault="00E32C70" w:rsidP="00E32C70">
      <w:pPr>
        <w:jc w:val="right"/>
        <w:rPr>
          <w:rFonts w:ascii="Times New Roman" w:hAnsi="Times New Roman" w:cs="Times New Roman"/>
          <w:sz w:val="28"/>
          <w:szCs w:val="28"/>
        </w:rPr>
      </w:pPr>
      <w:r w:rsidRPr="006E6146">
        <w:rPr>
          <w:rFonts w:ascii="Times New Roman" w:hAnsi="Times New Roman" w:cs="Times New Roman"/>
          <w:sz w:val="28"/>
          <w:szCs w:val="28"/>
        </w:rPr>
        <w:t xml:space="preserve"> </w:t>
      </w:r>
      <w:r w:rsidR="006E6146" w:rsidRPr="006E6146">
        <w:rPr>
          <w:rFonts w:ascii="Times New Roman" w:hAnsi="Times New Roman" w:cs="Times New Roman"/>
          <w:sz w:val="28"/>
          <w:szCs w:val="28"/>
        </w:rPr>
        <w:t>pubblicato il 20 dicembre 2017</w:t>
      </w:r>
    </w:p>
    <w:p w:rsidR="006359C8" w:rsidRDefault="006359C8" w:rsidP="00737BCE">
      <w:pPr>
        <w:jc w:val="both"/>
        <w:rPr>
          <w:rFonts w:ascii="Times New Roman" w:hAnsi="Times New Roman" w:cs="Times New Roman"/>
          <w:sz w:val="28"/>
          <w:szCs w:val="28"/>
        </w:rPr>
      </w:pPr>
    </w:p>
    <w:p w:rsidR="006359C8" w:rsidRDefault="006359C8" w:rsidP="00737BCE">
      <w:pPr>
        <w:jc w:val="both"/>
        <w:rPr>
          <w:rFonts w:ascii="Times New Roman" w:hAnsi="Times New Roman" w:cs="Times New Roman"/>
          <w:sz w:val="28"/>
          <w:szCs w:val="28"/>
        </w:rPr>
      </w:pPr>
    </w:p>
    <w:p w:rsidR="006359C8" w:rsidRDefault="006359C8" w:rsidP="00737BCE">
      <w:pPr>
        <w:jc w:val="both"/>
        <w:rPr>
          <w:rFonts w:ascii="Times New Roman" w:hAnsi="Times New Roman" w:cs="Times New Roman"/>
          <w:sz w:val="28"/>
          <w:szCs w:val="28"/>
        </w:rPr>
      </w:pPr>
    </w:p>
    <w:p w:rsidR="006359C8" w:rsidRDefault="006359C8" w:rsidP="00737BCE">
      <w:pPr>
        <w:jc w:val="both"/>
        <w:rPr>
          <w:rFonts w:ascii="Times New Roman" w:hAnsi="Times New Roman" w:cs="Times New Roman"/>
          <w:sz w:val="28"/>
          <w:szCs w:val="28"/>
        </w:rPr>
      </w:pPr>
    </w:p>
    <w:p w:rsidR="006359C8" w:rsidRDefault="006359C8" w:rsidP="00737BCE">
      <w:pPr>
        <w:jc w:val="both"/>
        <w:rPr>
          <w:rFonts w:ascii="Times New Roman" w:hAnsi="Times New Roman" w:cs="Times New Roman"/>
          <w:sz w:val="28"/>
          <w:szCs w:val="28"/>
        </w:rPr>
      </w:pPr>
    </w:p>
    <w:p w:rsidR="00DD3FB6" w:rsidRDefault="00DD3FB6" w:rsidP="00737BCE">
      <w:pPr>
        <w:jc w:val="both"/>
        <w:rPr>
          <w:rFonts w:ascii="Times New Roman" w:hAnsi="Times New Roman" w:cs="Times New Roman"/>
          <w:sz w:val="28"/>
          <w:szCs w:val="28"/>
        </w:rPr>
      </w:pPr>
    </w:p>
    <w:p w:rsidR="00DD3FB6" w:rsidRDefault="00DD3FB6" w:rsidP="00737BCE">
      <w:pPr>
        <w:jc w:val="both"/>
        <w:rPr>
          <w:rFonts w:ascii="Times New Roman" w:hAnsi="Times New Roman" w:cs="Times New Roman"/>
          <w:sz w:val="28"/>
          <w:szCs w:val="28"/>
        </w:rPr>
      </w:pPr>
    </w:p>
    <w:p w:rsidR="004E6F4E" w:rsidRDefault="004E6F4E" w:rsidP="00737BCE">
      <w:pPr>
        <w:jc w:val="both"/>
        <w:rPr>
          <w:rFonts w:ascii="Times New Roman" w:hAnsi="Times New Roman" w:cs="Times New Roman"/>
          <w:sz w:val="28"/>
          <w:szCs w:val="28"/>
        </w:rPr>
      </w:pPr>
    </w:p>
    <w:p w:rsidR="004E6F4E" w:rsidRDefault="004E6F4E" w:rsidP="00737BCE">
      <w:pPr>
        <w:jc w:val="both"/>
        <w:rPr>
          <w:rFonts w:ascii="Times New Roman" w:hAnsi="Times New Roman" w:cs="Times New Roman"/>
          <w:sz w:val="28"/>
          <w:szCs w:val="28"/>
        </w:rPr>
      </w:pPr>
    </w:p>
    <w:p w:rsidR="004E6F4E" w:rsidRDefault="004E6F4E" w:rsidP="00737BCE">
      <w:pPr>
        <w:jc w:val="both"/>
        <w:rPr>
          <w:rFonts w:ascii="Times New Roman" w:hAnsi="Times New Roman" w:cs="Times New Roman"/>
          <w:sz w:val="28"/>
          <w:szCs w:val="28"/>
        </w:rPr>
      </w:pPr>
    </w:p>
    <w:p w:rsidR="004E6F4E" w:rsidRDefault="004E6F4E" w:rsidP="00737BCE">
      <w:pPr>
        <w:jc w:val="both"/>
        <w:rPr>
          <w:rFonts w:ascii="Times New Roman" w:hAnsi="Times New Roman" w:cs="Times New Roman"/>
          <w:sz w:val="28"/>
          <w:szCs w:val="28"/>
        </w:rPr>
      </w:pPr>
    </w:p>
    <w:p w:rsidR="004E6F4E" w:rsidRDefault="004E6F4E" w:rsidP="00737BCE">
      <w:pPr>
        <w:jc w:val="both"/>
        <w:rPr>
          <w:rFonts w:ascii="Times New Roman" w:hAnsi="Times New Roman" w:cs="Times New Roman"/>
          <w:sz w:val="28"/>
          <w:szCs w:val="28"/>
        </w:rPr>
      </w:pPr>
    </w:p>
    <w:p w:rsidR="004E6F4E" w:rsidRPr="00737BCE" w:rsidRDefault="004E6F4E" w:rsidP="00737BCE">
      <w:pPr>
        <w:jc w:val="both"/>
        <w:rPr>
          <w:rFonts w:ascii="Times New Roman" w:hAnsi="Times New Roman" w:cs="Times New Roman"/>
          <w:sz w:val="28"/>
          <w:szCs w:val="28"/>
        </w:rPr>
      </w:pPr>
    </w:p>
    <w:p w:rsidR="007839CE" w:rsidRDefault="00A92322" w:rsidP="00E57E84">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w:t>
      </w:r>
      <w:r w:rsidR="007839CE">
        <w:rPr>
          <w:rFonts w:ascii="Times New Roman" w:hAnsi="Times New Roman" w:cs="Times New Roman"/>
          <w:sz w:val="28"/>
          <w:szCs w:val="28"/>
        </w:rPr>
        <w:t xml:space="preserve"> </w:t>
      </w:r>
    </w:p>
    <w:p w:rsidR="009234DE" w:rsidRPr="00CC2777" w:rsidRDefault="0033176A" w:rsidP="00CC2777">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w:t>
      </w:r>
      <w:r w:rsidRPr="0033176A">
        <w:rPr>
          <w:rFonts w:ascii="Times New Roman" w:hAnsi="Times New Roman" w:cs="Times New Roman"/>
          <w:sz w:val="28"/>
          <w:szCs w:val="28"/>
        </w:rPr>
        <w:t xml:space="preserve"> </w:t>
      </w:r>
    </w:p>
    <w:p w:rsidR="00A14FF3" w:rsidRPr="00CC2777" w:rsidRDefault="00577BB1" w:rsidP="00CC2777">
      <w:pPr>
        <w:jc w:val="both"/>
        <w:rPr>
          <w:rFonts w:ascii="Times New Roman" w:hAnsi="Times New Roman" w:cs="Times New Roman"/>
          <w:sz w:val="28"/>
          <w:szCs w:val="28"/>
        </w:rPr>
      </w:pPr>
      <w:r>
        <w:rPr>
          <w:rFonts w:ascii="Times New Roman" w:hAnsi="Times New Roman" w:cs="Times New Roman"/>
          <w:b/>
          <w:sz w:val="28"/>
          <w:szCs w:val="28"/>
        </w:rPr>
        <w:t xml:space="preserve"> </w:t>
      </w:r>
    </w:p>
    <w:p w:rsidR="00A14FF3" w:rsidRPr="00A14FF3" w:rsidRDefault="00A14FF3" w:rsidP="00A14FF3">
      <w:pPr>
        <w:jc w:val="both"/>
        <w:rPr>
          <w:rFonts w:ascii="Times New Roman" w:hAnsi="Times New Roman" w:cs="Times New Roman"/>
          <w:sz w:val="28"/>
          <w:szCs w:val="28"/>
        </w:rPr>
      </w:pPr>
    </w:p>
    <w:p w:rsidR="00655D56" w:rsidRDefault="00FE6564" w:rsidP="00655D56">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w:t>
      </w:r>
    </w:p>
    <w:p w:rsidR="00655D56" w:rsidRPr="00655D56" w:rsidRDefault="009234DE" w:rsidP="00655D56">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w:t>
      </w:r>
    </w:p>
    <w:p w:rsidR="00B7415E" w:rsidRPr="00AA790C" w:rsidRDefault="00E14432" w:rsidP="009C2343">
      <w:pPr>
        <w:pStyle w:val="ListParagraph"/>
        <w:jc w:val="center"/>
        <w:rPr>
          <w:rFonts w:ascii="Times New Roman" w:hAnsi="Times New Roman" w:cs="Times New Roman"/>
          <w:b/>
          <w:sz w:val="36"/>
          <w:szCs w:val="36"/>
        </w:rPr>
      </w:pPr>
      <w:r>
        <w:rPr>
          <w:rFonts w:ascii="Times New Roman" w:hAnsi="Times New Roman" w:cs="Times New Roman"/>
          <w:b/>
          <w:i/>
          <w:sz w:val="36"/>
          <w:szCs w:val="36"/>
        </w:rPr>
        <w:t xml:space="preserve"> </w:t>
      </w:r>
    </w:p>
    <w:p w:rsidR="006028D0" w:rsidRDefault="006028D0" w:rsidP="006028D0">
      <w:pPr>
        <w:widowControl w:val="0"/>
        <w:autoSpaceDE w:val="0"/>
        <w:autoSpaceDN w:val="0"/>
        <w:adjustRightInd w:val="0"/>
        <w:spacing w:after="240" w:line="340" w:lineRule="atLeast"/>
        <w:jc w:val="both"/>
        <w:rPr>
          <w:rFonts w:ascii="Times" w:hAnsi="Times" w:cs="Times"/>
          <w:b/>
          <w:i/>
          <w:iCs/>
          <w:color w:val="202227"/>
          <w:sz w:val="29"/>
          <w:szCs w:val="29"/>
        </w:rPr>
      </w:pPr>
    </w:p>
    <w:p w:rsidR="00AF7F79" w:rsidRDefault="00E14432" w:rsidP="00561C5A">
      <w:pPr>
        <w:spacing w:line="360" w:lineRule="auto"/>
        <w:jc w:val="both"/>
        <w:rPr>
          <w:rFonts w:ascii="Times New Roman" w:hAnsi="Times New Roman" w:cs="Times New Roman"/>
          <w:sz w:val="28"/>
          <w:szCs w:val="28"/>
        </w:rPr>
      </w:pPr>
      <w:r>
        <w:rPr>
          <w:rFonts w:ascii="Times" w:hAnsi="Times" w:cs="Times"/>
          <w:b/>
          <w:i/>
          <w:iCs/>
          <w:color w:val="202227"/>
          <w:sz w:val="29"/>
          <w:szCs w:val="29"/>
        </w:rPr>
        <w:t xml:space="preserve"> </w:t>
      </w:r>
    </w:p>
    <w:p w:rsidR="009C2343" w:rsidRPr="00460766" w:rsidRDefault="009C2343" w:rsidP="009C2343">
      <w:pPr>
        <w:pStyle w:val="ListParagraph"/>
        <w:jc w:val="center"/>
        <w:rPr>
          <w:rFonts w:ascii="Times New Roman" w:hAnsi="Times New Roman" w:cs="Times New Roman"/>
          <w:sz w:val="28"/>
          <w:szCs w:val="28"/>
        </w:rPr>
      </w:pPr>
    </w:p>
    <w:sectPr w:rsidR="009C2343" w:rsidRPr="00460766" w:rsidSect="00982636">
      <w:pgSz w:w="11906" w:h="16838"/>
      <w:pgMar w:top="184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E76E2"/>
    <w:multiLevelType w:val="hybridMultilevel"/>
    <w:tmpl w:val="0252836E"/>
    <w:lvl w:ilvl="0" w:tplc="EF1CBB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561C3094"/>
    <w:multiLevelType w:val="hybridMultilevel"/>
    <w:tmpl w:val="78A85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D84AEA"/>
    <w:multiLevelType w:val="hybridMultilevel"/>
    <w:tmpl w:val="488A49C0"/>
    <w:lvl w:ilvl="0" w:tplc="F2B0F7B4">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66"/>
    <w:rsid w:val="00001EEB"/>
    <w:rsid w:val="00003DC9"/>
    <w:rsid w:val="000116C7"/>
    <w:rsid w:val="00011990"/>
    <w:rsid w:val="00023D72"/>
    <w:rsid w:val="00024D4E"/>
    <w:rsid w:val="00036E35"/>
    <w:rsid w:val="000427BB"/>
    <w:rsid w:val="00046EEC"/>
    <w:rsid w:val="00047EB1"/>
    <w:rsid w:val="0005068F"/>
    <w:rsid w:val="000553D0"/>
    <w:rsid w:val="00060868"/>
    <w:rsid w:val="000678BD"/>
    <w:rsid w:val="00074322"/>
    <w:rsid w:val="0007529B"/>
    <w:rsid w:val="00083142"/>
    <w:rsid w:val="00085496"/>
    <w:rsid w:val="000B1D90"/>
    <w:rsid w:val="000B3560"/>
    <w:rsid w:val="000C5AFE"/>
    <w:rsid w:val="000D7AD2"/>
    <w:rsid w:val="000F1E80"/>
    <w:rsid w:val="001060D6"/>
    <w:rsid w:val="0010672B"/>
    <w:rsid w:val="0011562B"/>
    <w:rsid w:val="00132C6E"/>
    <w:rsid w:val="001337B6"/>
    <w:rsid w:val="0014124A"/>
    <w:rsid w:val="0014390B"/>
    <w:rsid w:val="00152DF7"/>
    <w:rsid w:val="00154236"/>
    <w:rsid w:val="0016043C"/>
    <w:rsid w:val="0016061B"/>
    <w:rsid w:val="00163D99"/>
    <w:rsid w:val="0018132F"/>
    <w:rsid w:val="0019189B"/>
    <w:rsid w:val="00197089"/>
    <w:rsid w:val="001A126D"/>
    <w:rsid w:val="001B28A4"/>
    <w:rsid w:val="001B41A5"/>
    <w:rsid w:val="001B5E08"/>
    <w:rsid w:val="001B631D"/>
    <w:rsid w:val="001C11C6"/>
    <w:rsid w:val="001C4F9E"/>
    <w:rsid w:val="001C5F8D"/>
    <w:rsid w:val="001C691B"/>
    <w:rsid w:val="001D4636"/>
    <w:rsid w:val="001D619D"/>
    <w:rsid w:val="001E3EEC"/>
    <w:rsid w:val="001E40C0"/>
    <w:rsid w:val="00207559"/>
    <w:rsid w:val="00210D71"/>
    <w:rsid w:val="002130CD"/>
    <w:rsid w:val="00230E75"/>
    <w:rsid w:val="00232209"/>
    <w:rsid w:val="00236306"/>
    <w:rsid w:val="002440EA"/>
    <w:rsid w:val="002505AE"/>
    <w:rsid w:val="002641ED"/>
    <w:rsid w:val="0026695F"/>
    <w:rsid w:val="00295B9B"/>
    <w:rsid w:val="002A57DD"/>
    <w:rsid w:val="002B3170"/>
    <w:rsid w:val="002B51EA"/>
    <w:rsid w:val="002C4DB5"/>
    <w:rsid w:val="002E047B"/>
    <w:rsid w:val="002E070E"/>
    <w:rsid w:val="002E2F9D"/>
    <w:rsid w:val="002E4180"/>
    <w:rsid w:val="002F5654"/>
    <w:rsid w:val="003000BD"/>
    <w:rsid w:val="00301F78"/>
    <w:rsid w:val="00302B32"/>
    <w:rsid w:val="00304B1A"/>
    <w:rsid w:val="003078D6"/>
    <w:rsid w:val="00310C76"/>
    <w:rsid w:val="003147ED"/>
    <w:rsid w:val="0031536A"/>
    <w:rsid w:val="00320334"/>
    <w:rsid w:val="00321E03"/>
    <w:rsid w:val="00330F65"/>
    <w:rsid w:val="0033176A"/>
    <w:rsid w:val="00334A01"/>
    <w:rsid w:val="00341F31"/>
    <w:rsid w:val="00345863"/>
    <w:rsid w:val="00357E45"/>
    <w:rsid w:val="00367883"/>
    <w:rsid w:val="0037158A"/>
    <w:rsid w:val="003733DC"/>
    <w:rsid w:val="00376645"/>
    <w:rsid w:val="00382E55"/>
    <w:rsid w:val="003964E0"/>
    <w:rsid w:val="003B2097"/>
    <w:rsid w:val="003B2927"/>
    <w:rsid w:val="003B474B"/>
    <w:rsid w:val="003C6891"/>
    <w:rsid w:val="003C7AA9"/>
    <w:rsid w:val="003C7C77"/>
    <w:rsid w:val="003C7CB4"/>
    <w:rsid w:val="003D3C5E"/>
    <w:rsid w:val="003E5389"/>
    <w:rsid w:val="003E6B31"/>
    <w:rsid w:val="00407F25"/>
    <w:rsid w:val="00413850"/>
    <w:rsid w:val="00415552"/>
    <w:rsid w:val="0042191D"/>
    <w:rsid w:val="00426BED"/>
    <w:rsid w:val="004376D2"/>
    <w:rsid w:val="0044336D"/>
    <w:rsid w:val="00444C94"/>
    <w:rsid w:val="0045166D"/>
    <w:rsid w:val="0045415F"/>
    <w:rsid w:val="00457CDC"/>
    <w:rsid w:val="00460766"/>
    <w:rsid w:val="00470642"/>
    <w:rsid w:val="004801DF"/>
    <w:rsid w:val="00485D8D"/>
    <w:rsid w:val="00490A6E"/>
    <w:rsid w:val="00495D16"/>
    <w:rsid w:val="004964D6"/>
    <w:rsid w:val="004B164E"/>
    <w:rsid w:val="004B5109"/>
    <w:rsid w:val="004C18E8"/>
    <w:rsid w:val="004D2BBC"/>
    <w:rsid w:val="004D7EE6"/>
    <w:rsid w:val="004E133F"/>
    <w:rsid w:val="004E1EB4"/>
    <w:rsid w:val="004E631D"/>
    <w:rsid w:val="004E6F4E"/>
    <w:rsid w:val="004F0048"/>
    <w:rsid w:val="00501B73"/>
    <w:rsid w:val="00503D63"/>
    <w:rsid w:val="00507193"/>
    <w:rsid w:val="00510559"/>
    <w:rsid w:val="00515603"/>
    <w:rsid w:val="00522E52"/>
    <w:rsid w:val="0053015F"/>
    <w:rsid w:val="00531428"/>
    <w:rsid w:val="00537FA2"/>
    <w:rsid w:val="00544FC6"/>
    <w:rsid w:val="00561C5A"/>
    <w:rsid w:val="00566807"/>
    <w:rsid w:val="00574B02"/>
    <w:rsid w:val="00577BB1"/>
    <w:rsid w:val="00583FA3"/>
    <w:rsid w:val="00592958"/>
    <w:rsid w:val="005A1CA8"/>
    <w:rsid w:val="005B1A11"/>
    <w:rsid w:val="005C0378"/>
    <w:rsid w:val="005D2974"/>
    <w:rsid w:val="005D472F"/>
    <w:rsid w:val="005D7D53"/>
    <w:rsid w:val="005F5ADD"/>
    <w:rsid w:val="006028D0"/>
    <w:rsid w:val="0060795F"/>
    <w:rsid w:val="00613A0F"/>
    <w:rsid w:val="00616DF6"/>
    <w:rsid w:val="006359C8"/>
    <w:rsid w:val="00635D64"/>
    <w:rsid w:val="00642FFB"/>
    <w:rsid w:val="0064627A"/>
    <w:rsid w:val="00652FF8"/>
    <w:rsid w:val="0065426B"/>
    <w:rsid w:val="00655D56"/>
    <w:rsid w:val="0066436C"/>
    <w:rsid w:val="00666ADF"/>
    <w:rsid w:val="00685E9C"/>
    <w:rsid w:val="00695837"/>
    <w:rsid w:val="006A5224"/>
    <w:rsid w:val="006A662F"/>
    <w:rsid w:val="006B558A"/>
    <w:rsid w:val="006C443B"/>
    <w:rsid w:val="006D1A7B"/>
    <w:rsid w:val="006D28FF"/>
    <w:rsid w:val="006E6146"/>
    <w:rsid w:val="006F65CC"/>
    <w:rsid w:val="0070399D"/>
    <w:rsid w:val="00703B32"/>
    <w:rsid w:val="0071708E"/>
    <w:rsid w:val="00720EF9"/>
    <w:rsid w:val="007216DB"/>
    <w:rsid w:val="00726963"/>
    <w:rsid w:val="00737BCE"/>
    <w:rsid w:val="00752B4C"/>
    <w:rsid w:val="007562F8"/>
    <w:rsid w:val="00766D0C"/>
    <w:rsid w:val="0076780A"/>
    <w:rsid w:val="00776E83"/>
    <w:rsid w:val="007839CE"/>
    <w:rsid w:val="00784947"/>
    <w:rsid w:val="00791799"/>
    <w:rsid w:val="0079515E"/>
    <w:rsid w:val="007A0B1D"/>
    <w:rsid w:val="007A0B74"/>
    <w:rsid w:val="007A2682"/>
    <w:rsid w:val="007A71FD"/>
    <w:rsid w:val="007B16B5"/>
    <w:rsid w:val="007D78C2"/>
    <w:rsid w:val="007E0885"/>
    <w:rsid w:val="007E0EE8"/>
    <w:rsid w:val="00804011"/>
    <w:rsid w:val="00815563"/>
    <w:rsid w:val="00821EDD"/>
    <w:rsid w:val="00837198"/>
    <w:rsid w:val="008422D7"/>
    <w:rsid w:val="00845A8F"/>
    <w:rsid w:val="00854C39"/>
    <w:rsid w:val="00867BA3"/>
    <w:rsid w:val="0087175B"/>
    <w:rsid w:val="008737EF"/>
    <w:rsid w:val="00886B7F"/>
    <w:rsid w:val="00891183"/>
    <w:rsid w:val="00896D6F"/>
    <w:rsid w:val="008975CC"/>
    <w:rsid w:val="008A1120"/>
    <w:rsid w:val="008B0043"/>
    <w:rsid w:val="008C200E"/>
    <w:rsid w:val="008D73BA"/>
    <w:rsid w:val="008F1404"/>
    <w:rsid w:val="008F424A"/>
    <w:rsid w:val="00904F51"/>
    <w:rsid w:val="009072EC"/>
    <w:rsid w:val="00913884"/>
    <w:rsid w:val="00922FA5"/>
    <w:rsid w:val="009234DE"/>
    <w:rsid w:val="0092619E"/>
    <w:rsid w:val="00944B32"/>
    <w:rsid w:val="00956333"/>
    <w:rsid w:val="009669D7"/>
    <w:rsid w:val="00967052"/>
    <w:rsid w:val="00973AC6"/>
    <w:rsid w:val="0097798E"/>
    <w:rsid w:val="00982636"/>
    <w:rsid w:val="00990C90"/>
    <w:rsid w:val="009910BB"/>
    <w:rsid w:val="009B7A57"/>
    <w:rsid w:val="009C1B17"/>
    <w:rsid w:val="009C2343"/>
    <w:rsid w:val="009C74D3"/>
    <w:rsid w:val="009D0012"/>
    <w:rsid w:val="009D5F33"/>
    <w:rsid w:val="009E187D"/>
    <w:rsid w:val="009F421A"/>
    <w:rsid w:val="00A02355"/>
    <w:rsid w:val="00A028C7"/>
    <w:rsid w:val="00A04D37"/>
    <w:rsid w:val="00A06A85"/>
    <w:rsid w:val="00A07600"/>
    <w:rsid w:val="00A14FF3"/>
    <w:rsid w:val="00A2367B"/>
    <w:rsid w:val="00A25335"/>
    <w:rsid w:val="00A34B84"/>
    <w:rsid w:val="00A360F8"/>
    <w:rsid w:val="00A40BCD"/>
    <w:rsid w:val="00A453BC"/>
    <w:rsid w:val="00A51391"/>
    <w:rsid w:val="00A52404"/>
    <w:rsid w:val="00A52494"/>
    <w:rsid w:val="00A5416E"/>
    <w:rsid w:val="00A66026"/>
    <w:rsid w:val="00A72B27"/>
    <w:rsid w:val="00A84C09"/>
    <w:rsid w:val="00A87360"/>
    <w:rsid w:val="00A911BE"/>
    <w:rsid w:val="00A92322"/>
    <w:rsid w:val="00A92954"/>
    <w:rsid w:val="00AA4A7C"/>
    <w:rsid w:val="00AA72A3"/>
    <w:rsid w:val="00AA790C"/>
    <w:rsid w:val="00AC0B46"/>
    <w:rsid w:val="00AC0E53"/>
    <w:rsid w:val="00AD69AB"/>
    <w:rsid w:val="00AD69C2"/>
    <w:rsid w:val="00AF38AF"/>
    <w:rsid w:val="00AF5DFB"/>
    <w:rsid w:val="00AF7F79"/>
    <w:rsid w:val="00B042AE"/>
    <w:rsid w:val="00B04A08"/>
    <w:rsid w:val="00B12816"/>
    <w:rsid w:val="00B15771"/>
    <w:rsid w:val="00B26C7C"/>
    <w:rsid w:val="00B36181"/>
    <w:rsid w:val="00B40000"/>
    <w:rsid w:val="00B40E66"/>
    <w:rsid w:val="00B50426"/>
    <w:rsid w:val="00B643FA"/>
    <w:rsid w:val="00B71EE8"/>
    <w:rsid w:val="00B7415E"/>
    <w:rsid w:val="00B74A79"/>
    <w:rsid w:val="00B80CA6"/>
    <w:rsid w:val="00B82CFC"/>
    <w:rsid w:val="00B84193"/>
    <w:rsid w:val="00B87BE1"/>
    <w:rsid w:val="00B919B0"/>
    <w:rsid w:val="00B934FF"/>
    <w:rsid w:val="00BB1F96"/>
    <w:rsid w:val="00BB4C9C"/>
    <w:rsid w:val="00BC15E2"/>
    <w:rsid w:val="00BC190F"/>
    <w:rsid w:val="00BC653F"/>
    <w:rsid w:val="00BC7206"/>
    <w:rsid w:val="00BD1BB2"/>
    <w:rsid w:val="00BE1FC3"/>
    <w:rsid w:val="00C00FA9"/>
    <w:rsid w:val="00C061E8"/>
    <w:rsid w:val="00C208B6"/>
    <w:rsid w:val="00C41586"/>
    <w:rsid w:val="00C41A5A"/>
    <w:rsid w:val="00C47F35"/>
    <w:rsid w:val="00C5556E"/>
    <w:rsid w:val="00C56893"/>
    <w:rsid w:val="00C5779C"/>
    <w:rsid w:val="00C57FA4"/>
    <w:rsid w:val="00C600B1"/>
    <w:rsid w:val="00C646E6"/>
    <w:rsid w:val="00C70B0F"/>
    <w:rsid w:val="00C8404A"/>
    <w:rsid w:val="00C9095C"/>
    <w:rsid w:val="00C92B11"/>
    <w:rsid w:val="00C92C5B"/>
    <w:rsid w:val="00C92F81"/>
    <w:rsid w:val="00C957B8"/>
    <w:rsid w:val="00C970F1"/>
    <w:rsid w:val="00C97403"/>
    <w:rsid w:val="00CA3DDE"/>
    <w:rsid w:val="00CA64B5"/>
    <w:rsid w:val="00CA6EC7"/>
    <w:rsid w:val="00CB26A0"/>
    <w:rsid w:val="00CB282A"/>
    <w:rsid w:val="00CB5BDE"/>
    <w:rsid w:val="00CC2777"/>
    <w:rsid w:val="00CD17E1"/>
    <w:rsid w:val="00CD6D70"/>
    <w:rsid w:val="00CD7B6E"/>
    <w:rsid w:val="00CE0792"/>
    <w:rsid w:val="00CE7FCA"/>
    <w:rsid w:val="00CF4B5D"/>
    <w:rsid w:val="00D130B7"/>
    <w:rsid w:val="00D158B6"/>
    <w:rsid w:val="00D27EFF"/>
    <w:rsid w:val="00D424E9"/>
    <w:rsid w:val="00D45100"/>
    <w:rsid w:val="00D458A7"/>
    <w:rsid w:val="00D469CE"/>
    <w:rsid w:val="00D604F3"/>
    <w:rsid w:val="00D6135F"/>
    <w:rsid w:val="00D67912"/>
    <w:rsid w:val="00D76218"/>
    <w:rsid w:val="00D81480"/>
    <w:rsid w:val="00D87668"/>
    <w:rsid w:val="00D90218"/>
    <w:rsid w:val="00DA24CF"/>
    <w:rsid w:val="00DB34C2"/>
    <w:rsid w:val="00DD1E95"/>
    <w:rsid w:val="00DD3FB6"/>
    <w:rsid w:val="00DD60CA"/>
    <w:rsid w:val="00DD735E"/>
    <w:rsid w:val="00DE2AC0"/>
    <w:rsid w:val="00DE67B4"/>
    <w:rsid w:val="00DF75E1"/>
    <w:rsid w:val="00DF7B7B"/>
    <w:rsid w:val="00E124AA"/>
    <w:rsid w:val="00E13ABB"/>
    <w:rsid w:val="00E14432"/>
    <w:rsid w:val="00E32C70"/>
    <w:rsid w:val="00E34A41"/>
    <w:rsid w:val="00E36132"/>
    <w:rsid w:val="00E5566D"/>
    <w:rsid w:val="00E57A41"/>
    <w:rsid w:val="00E57E84"/>
    <w:rsid w:val="00E67677"/>
    <w:rsid w:val="00E71476"/>
    <w:rsid w:val="00E71DD4"/>
    <w:rsid w:val="00E72459"/>
    <w:rsid w:val="00E72824"/>
    <w:rsid w:val="00E73965"/>
    <w:rsid w:val="00E82519"/>
    <w:rsid w:val="00E829CC"/>
    <w:rsid w:val="00E856EC"/>
    <w:rsid w:val="00E8612A"/>
    <w:rsid w:val="00E95166"/>
    <w:rsid w:val="00EA0ED9"/>
    <w:rsid w:val="00EA5607"/>
    <w:rsid w:val="00EC3FE7"/>
    <w:rsid w:val="00ED14C9"/>
    <w:rsid w:val="00EE48E2"/>
    <w:rsid w:val="00EF2E68"/>
    <w:rsid w:val="00F027E8"/>
    <w:rsid w:val="00F10DEA"/>
    <w:rsid w:val="00F13240"/>
    <w:rsid w:val="00F14902"/>
    <w:rsid w:val="00F252D5"/>
    <w:rsid w:val="00F40B0F"/>
    <w:rsid w:val="00F417CE"/>
    <w:rsid w:val="00F417E7"/>
    <w:rsid w:val="00F50425"/>
    <w:rsid w:val="00F57B28"/>
    <w:rsid w:val="00F6038A"/>
    <w:rsid w:val="00F60CE9"/>
    <w:rsid w:val="00F6438E"/>
    <w:rsid w:val="00F7137A"/>
    <w:rsid w:val="00F932C1"/>
    <w:rsid w:val="00F94B42"/>
    <w:rsid w:val="00FA06F1"/>
    <w:rsid w:val="00FA0E33"/>
    <w:rsid w:val="00FA186A"/>
    <w:rsid w:val="00FA18D4"/>
    <w:rsid w:val="00FB17B6"/>
    <w:rsid w:val="00FB18DB"/>
    <w:rsid w:val="00FB3896"/>
    <w:rsid w:val="00FB6B39"/>
    <w:rsid w:val="00FC085F"/>
    <w:rsid w:val="00FC55A2"/>
    <w:rsid w:val="00FD40FF"/>
    <w:rsid w:val="00FD4C1E"/>
    <w:rsid w:val="00FD667B"/>
    <w:rsid w:val="00FE197C"/>
    <w:rsid w:val="00FE5424"/>
    <w:rsid w:val="00FE60E5"/>
    <w:rsid w:val="00FE6564"/>
    <w:rsid w:val="00FE7B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C756A-CB95-4B7F-A34E-186801FD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BDE"/>
    <w:pPr>
      <w:ind w:left="720"/>
      <w:contextualSpacing/>
    </w:pPr>
  </w:style>
  <w:style w:type="paragraph" w:styleId="BalloonText">
    <w:name w:val="Balloon Text"/>
    <w:basedOn w:val="Normal"/>
    <w:link w:val="BalloonTextChar"/>
    <w:uiPriority w:val="99"/>
    <w:semiHidden/>
    <w:unhideWhenUsed/>
    <w:rsid w:val="00330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F65"/>
    <w:rPr>
      <w:rFonts w:ascii="Tahoma" w:hAnsi="Tahoma" w:cs="Tahoma"/>
      <w:sz w:val="16"/>
      <w:szCs w:val="16"/>
    </w:rPr>
  </w:style>
  <w:style w:type="character" w:styleId="Strong">
    <w:name w:val="Strong"/>
    <w:basedOn w:val="DefaultParagraphFont"/>
    <w:uiPriority w:val="22"/>
    <w:qFormat/>
    <w:rsid w:val="009B7A57"/>
    <w:rPr>
      <w:b/>
      <w:bCs/>
    </w:rPr>
  </w:style>
  <w:style w:type="character" w:styleId="Emphasis">
    <w:name w:val="Emphasis"/>
    <w:basedOn w:val="DefaultParagraphFont"/>
    <w:uiPriority w:val="20"/>
    <w:qFormat/>
    <w:rsid w:val="009B7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4154</Words>
  <Characters>23682</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utente_locale</dc:creator>
  <cp:lastModifiedBy>Bonacchi, Mauro</cp:lastModifiedBy>
  <cp:revision>3</cp:revision>
  <cp:lastPrinted>2017-12-15T07:36:00Z</cp:lastPrinted>
  <dcterms:created xsi:type="dcterms:W3CDTF">2017-12-20T14:01:00Z</dcterms:created>
  <dcterms:modified xsi:type="dcterms:W3CDTF">2017-12-22T09:22:00Z</dcterms:modified>
</cp:coreProperties>
</file>