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CAE" w:rsidRPr="00465F58" w:rsidRDefault="00465F58" w:rsidP="00465F58">
      <w:pPr>
        <w:spacing w:line="360" w:lineRule="auto"/>
        <w:jc w:val="center"/>
        <w:rPr>
          <w:rFonts w:ascii="Times New Roman" w:hAnsi="Times New Roman"/>
          <w:b/>
          <w:sz w:val="44"/>
          <w:szCs w:val="44"/>
        </w:rPr>
      </w:pPr>
      <w:bookmarkStart w:id="0" w:name="_GoBack"/>
      <w:r w:rsidRPr="00465F58">
        <w:rPr>
          <w:rFonts w:ascii="Times New Roman" w:hAnsi="Times New Roman"/>
          <w:b/>
          <w:sz w:val="44"/>
          <w:szCs w:val="44"/>
        </w:rPr>
        <w:t>Valore del precedente e nomofilachia</w:t>
      </w:r>
    </w:p>
    <w:bookmarkEnd w:id="0"/>
    <w:p w:rsidR="008C4558" w:rsidRPr="00900CAE" w:rsidRDefault="00BA41B0" w:rsidP="00900CAE">
      <w:pPr>
        <w:spacing w:line="360" w:lineRule="auto"/>
        <w:jc w:val="both"/>
        <w:rPr>
          <w:rFonts w:ascii="Times New Roman" w:hAnsi="Times New Roman"/>
          <w:sz w:val="24"/>
          <w:szCs w:val="24"/>
        </w:rPr>
      </w:pPr>
      <w:r w:rsidRPr="00900CAE">
        <w:rPr>
          <w:rFonts w:ascii="Times New Roman" w:hAnsi="Times New Roman"/>
          <w:sz w:val="24"/>
          <w:szCs w:val="24"/>
        </w:rPr>
        <w:t>(Intervento alla tavola rotonda</w:t>
      </w:r>
      <w:r w:rsidR="00A32733" w:rsidRPr="00900CAE">
        <w:rPr>
          <w:rFonts w:ascii="Times New Roman" w:hAnsi="Times New Roman"/>
          <w:sz w:val="24"/>
          <w:szCs w:val="24"/>
        </w:rPr>
        <w:t xml:space="preserve"> </w:t>
      </w:r>
      <w:r w:rsidRPr="00900CAE">
        <w:rPr>
          <w:rFonts w:ascii="Times New Roman" w:hAnsi="Times New Roman"/>
          <w:sz w:val="24"/>
          <w:szCs w:val="24"/>
        </w:rPr>
        <w:t>nell’ambito del Convegno organizzato dal Consiglio Nazionale Forense “Il valore del precedente nel sistema ordinamentale” – Roma, 13 ottobre 2017)</w:t>
      </w:r>
    </w:p>
    <w:p w:rsidR="008C4558" w:rsidRPr="00AC6A83" w:rsidRDefault="008C4558" w:rsidP="006D440E">
      <w:pPr>
        <w:spacing w:line="360" w:lineRule="auto"/>
        <w:jc w:val="both"/>
        <w:rPr>
          <w:rFonts w:ascii="Times New Roman" w:hAnsi="Times New Roman"/>
          <w:b/>
          <w:sz w:val="32"/>
          <w:szCs w:val="32"/>
          <w:u w:val="single"/>
        </w:rPr>
      </w:pPr>
      <w:r w:rsidRPr="00AC6A83">
        <w:rPr>
          <w:rFonts w:ascii="Times New Roman" w:hAnsi="Times New Roman"/>
          <w:b/>
          <w:sz w:val="32"/>
          <w:szCs w:val="32"/>
          <w:u w:val="single"/>
        </w:rPr>
        <w:t xml:space="preserve">1 </w:t>
      </w:r>
      <w:r w:rsidR="00A32733">
        <w:rPr>
          <w:rFonts w:ascii="Times New Roman" w:hAnsi="Times New Roman"/>
          <w:b/>
          <w:sz w:val="32"/>
          <w:szCs w:val="32"/>
          <w:u w:val="single"/>
        </w:rPr>
        <w:t>–</w:t>
      </w:r>
      <w:r w:rsidRPr="00AC6A83">
        <w:rPr>
          <w:rFonts w:ascii="Times New Roman" w:hAnsi="Times New Roman"/>
          <w:b/>
          <w:sz w:val="32"/>
          <w:szCs w:val="32"/>
          <w:u w:val="single"/>
        </w:rPr>
        <w:t xml:space="preserve"> </w:t>
      </w:r>
      <w:r w:rsidR="00A32733">
        <w:rPr>
          <w:rFonts w:ascii="Times New Roman" w:hAnsi="Times New Roman"/>
          <w:b/>
          <w:sz w:val="32"/>
          <w:szCs w:val="32"/>
          <w:u w:val="single"/>
        </w:rPr>
        <w:t>I perché di un tema (tornato) attuale</w:t>
      </w:r>
    </w:p>
    <w:p w:rsidR="008C4558" w:rsidRDefault="008C4558" w:rsidP="006D440E">
      <w:pPr>
        <w:spacing w:line="360" w:lineRule="auto"/>
        <w:jc w:val="both"/>
        <w:rPr>
          <w:rFonts w:ascii="Times New Roman" w:hAnsi="Times New Roman"/>
          <w:sz w:val="32"/>
          <w:szCs w:val="32"/>
        </w:rPr>
      </w:pPr>
      <w:r w:rsidRPr="003570E5">
        <w:rPr>
          <w:rFonts w:ascii="Times New Roman" w:hAnsi="Times New Roman"/>
          <w:sz w:val="32"/>
          <w:szCs w:val="32"/>
        </w:rPr>
        <w:t>Il tema del</w:t>
      </w:r>
      <w:r w:rsidR="00A32733" w:rsidRPr="003570E5">
        <w:rPr>
          <w:rFonts w:ascii="Times New Roman" w:hAnsi="Times New Roman"/>
          <w:sz w:val="32"/>
          <w:szCs w:val="32"/>
        </w:rPr>
        <w:t xml:space="preserve"> valore del precedente e quello, come vedremo speculare, della nomofilachia</w:t>
      </w:r>
      <w:r w:rsidR="00A32733">
        <w:rPr>
          <w:rFonts w:ascii="Times New Roman" w:hAnsi="Times New Roman"/>
          <w:sz w:val="32"/>
          <w:szCs w:val="32"/>
        </w:rPr>
        <w:t>, sempre presenti nella cultura giuridica, assumono</w:t>
      </w:r>
      <w:r>
        <w:rPr>
          <w:rFonts w:ascii="Times New Roman" w:hAnsi="Times New Roman"/>
          <w:sz w:val="32"/>
          <w:szCs w:val="32"/>
        </w:rPr>
        <w:t xml:space="preserve"> oggi una </w:t>
      </w:r>
      <w:r w:rsidRPr="003570E5">
        <w:rPr>
          <w:rFonts w:ascii="Times New Roman" w:hAnsi="Times New Roman"/>
          <w:sz w:val="32"/>
          <w:szCs w:val="32"/>
        </w:rPr>
        <w:t>rilevanza centrale</w:t>
      </w:r>
      <w:r>
        <w:rPr>
          <w:rFonts w:ascii="Times New Roman" w:hAnsi="Times New Roman"/>
          <w:sz w:val="32"/>
          <w:szCs w:val="32"/>
        </w:rPr>
        <w:t xml:space="preserve"> anche nel dibattito </w:t>
      </w:r>
      <w:r w:rsidR="00A32733">
        <w:rPr>
          <w:rFonts w:ascii="Times New Roman" w:hAnsi="Times New Roman"/>
          <w:sz w:val="32"/>
          <w:szCs w:val="32"/>
        </w:rPr>
        <w:t>politico-istituzionale e investono</w:t>
      </w:r>
      <w:r>
        <w:rPr>
          <w:rFonts w:ascii="Times New Roman" w:hAnsi="Times New Roman"/>
          <w:sz w:val="32"/>
          <w:szCs w:val="32"/>
        </w:rPr>
        <w:t xml:space="preserve"> problematiche di ordine generale che spaziano dal diritto costituzionale al dir</w:t>
      </w:r>
      <w:r w:rsidR="00A32733">
        <w:rPr>
          <w:rFonts w:ascii="Times New Roman" w:hAnsi="Times New Roman"/>
          <w:sz w:val="32"/>
          <w:szCs w:val="32"/>
        </w:rPr>
        <w:t>itto processuale, sì da renderli</w:t>
      </w:r>
      <w:r>
        <w:rPr>
          <w:rFonts w:ascii="Times New Roman" w:hAnsi="Times New Roman"/>
          <w:sz w:val="32"/>
          <w:szCs w:val="32"/>
        </w:rPr>
        <w:t xml:space="preserve"> </w:t>
      </w:r>
      <w:r w:rsidR="00A32733">
        <w:rPr>
          <w:rFonts w:ascii="Times New Roman" w:hAnsi="Times New Roman"/>
          <w:sz w:val="32"/>
          <w:szCs w:val="32"/>
        </w:rPr>
        <w:t>temi</w:t>
      </w:r>
      <w:r>
        <w:rPr>
          <w:rFonts w:ascii="Times New Roman" w:hAnsi="Times New Roman"/>
          <w:sz w:val="32"/>
          <w:szCs w:val="32"/>
        </w:rPr>
        <w:t xml:space="preserve"> di teoria generale. Al tempo stesso, la</w:t>
      </w:r>
      <w:r w:rsidR="00A32733">
        <w:rPr>
          <w:rFonts w:ascii="Times New Roman" w:hAnsi="Times New Roman"/>
          <w:sz w:val="32"/>
          <w:szCs w:val="32"/>
        </w:rPr>
        <w:t xml:space="preserve"> loro</w:t>
      </w:r>
      <w:r>
        <w:rPr>
          <w:rFonts w:ascii="Times New Roman" w:hAnsi="Times New Roman"/>
          <w:sz w:val="32"/>
          <w:szCs w:val="32"/>
        </w:rPr>
        <w:t xml:space="preserve"> presenza nel dibattito politico-istituzionale </w:t>
      </w:r>
      <w:r w:rsidRPr="003570E5">
        <w:rPr>
          <w:rFonts w:ascii="Times New Roman" w:hAnsi="Times New Roman"/>
          <w:sz w:val="32"/>
          <w:szCs w:val="32"/>
        </w:rPr>
        <w:t>si spiega con la crescente e</w:t>
      </w:r>
      <w:r w:rsidR="00BA41B0" w:rsidRPr="003570E5">
        <w:rPr>
          <w:rFonts w:ascii="Times New Roman" w:hAnsi="Times New Roman"/>
          <w:sz w:val="32"/>
          <w:szCs w:val="32"/>
        </w:rPr>
        <w:t>sigenza di certezza del diritto</w:t>
      </w:r>
      <w:r>
        <w:rPr>
          <w:rFonts w:ascii="Times New Roman" w:hAnsi="Times New Roman"/>
          <w:sz w:val="32"/>
          <w:szCs w:val="32"/>
        </w:rPr>
        <w:t xml:space="preserve">, esigenza che, posta ai giuristi e dai giuristi, in realtà è avvertita nel mondo dell’economia, della politica, dell’imprenditoria, dei comuni cittadini che abbiano rapporti controversi con altri privati o </w:t>
      </w:r>
      <w:r w:rsidR="00845398">
        <w:rPr>
          <w:rFonts w:ascii="Times New Roman" w:hAnsi="Times New Roman"/>
          <w:sz w:val="32"/>
          <w:szCs w:val="32"/>
        </w:rPr>
        <w:t xml:space="preserve">con la pubblica amministrazione: secondo un processo di “irruzione del diritto in altri </w:t>
      </w:r>
      <w:proofErr w:type="spellStart"/>
      <w:r w:rsidR="00845398">
        <w:rPr>
          <w:rFonts w:ascii="Times New Roman" w:hAnsi="Times New Roman"/>
          <w:sz w:val="32"/>
          <w:szCs w:val="32"/>
        </w:rPr>
        <w:t>saperi</w:t>
      </w:r>
      <w:proofErr w:type="spellEnd"/>
      <w:r w:rsidR="00845398">
        <w:rPr>
          <w:rFonts w:ascii="Times New Roman" w:hAnsi="Times New Roman"/>
          <w:sz w:val="32"/>
          <w:szCs w:val="32"/>
        </w:rPr>
        <w:t>” (Canzio), che obbliga sempre più attori a districarsi nel “labirinto delle leggi” (Manes).</w:t>
      </w:r>
    </w:p>
    <w:p w:rsidR="00ED6A41" w:rsidRPr="003570E5" w:rsidRDefault="00A32733" w:rsidP="006D440E">
      <w:pPr>
        <w:spacing w:line="360" w:lineRule="auto"/>
        <w:jc w:val="both"/>
        <w:rPr>
          <w:rFonts w:ascii="Times New Roman" w:hAnsi="Times New Roman"/>
          <w:sz w:val="32"/>
          <w:szCs w:val="32"/>
        </w:rPr>
      </w:pPr>
      <w:r w:rsidRPr="003570E5">
        <w:rPr>
          <w:rFonts w:ascii="Times New Roman" w:hAnsi="Times New Roman"/>
          <w:sz w:val="32"/>
          <w:szCs w:val="32"/>
        </w:rPr>
        <w:t>Questa esigenza ha un nome: calcolabilità del diritto e prevedibilità delle decisioni dei giudici</w:t>
      </w:r>
      <w:r w:rsidR="00CF3187">
        <w:rPr>
          <w:rStyle w:val="Rimandonotaapidipagina"/>
          <w:rFonts w:ascii="Times New Roman" w:hAnsi="Times New Roman"/>
          <w:sz w:val="32"/>
          <w:szCs w:val="32"/>
        </w:rPr>
        <w:footnoteReference w:id="1"/>
      </w:r>
      <w:r w:rsidRPr="003570E5">
        <w:rPr>
          <w:rFonts w:ascii="Times New Roman" w:hAnsi="Times New Roman"/>
          <w:sz w:val="32"/>
          <w:szCs w:val="32"/>
        </w:rPr>
        <w:t>. In ciò si declina l’esigenza di certezza del diritto</w:t>
      </w:r>
      <w:r w:rsidR="00ED6A41" w:rsidRPr="003570E5">
        <w:rPr>
          <w:rFonts w:ascii="Times New Roman" w:hAnsi="Times New Roman"/>
          <w:sz w:val="32"/>
          <w:szCs w:val="32"/>
        </w:rPr>
        <w:t>.</w:t>
      </w:r>
      <w:r w:rsidR="00CB2555">
        <w:rPr>
          <w:rFonts w:ascii="Times New Roman" w:hAnsi="Times New Roman"/>
          <w:sz w:val="32"/>
          <w:szCs w:val="32"/>
        </w:rPr>
        <w:t xml:space="preserve"> Una certezza, peraltro, che –come è stato rilevato da precedenti relatori- rischia di divenire una chimera nell’attuale complessità degli ordinamenti e delle fonti; e che forse può essere intesa –come suggerisce il prof. </w:t>
      </w:r>
      <w:proofErr w:type="spellStart"/>
      <w:r w:rsidR="00CB2555">
        <w:rPr>
          <w:rFonts w:ascii="Times New Roman" w:hAnsi="Times New Roman"/>
          <w:sz w:val="32"/>
          <w:szCs w:val="32"/>
        </w:rPr>
        <w:t>Stanzione</w:t>
      </w:r>
      <w:proofErr w:type="spellEnd"/>
      <w:r w:rsidR="00CB2555">
        <w:rPr>
          <w:rFonts w:ascii="Times New Roman" w:hAnsi="Times New Roman"/>
          <w:sz w:val="32"/>
          <w:szCs w:val="32"/>
        </w:rPr>
        <w:t xml:space="preserve">- nel senso di (mera) conoscibilità, a fronte di una “calcolabilità”, non solo poco </w:t>
      </w:r>
      <w:r w:rsidR="00CB2555">
        <w:rPr>
          <w:rFonts w:ascii="Times New Roman" w:hAnsi="Times New Roman"/>
          <w:sz w:val="32"/>
          <w:szCs w:val="32"/>
        </w:rPr>
        <w:lastRenderedPageBreak/>
        <w:t xml:space="preserve">realistica, ma che non può prescindere dal sistema dei princìpi e dei valori, a rischio di diventare –come ammoniva il prof. </w:t>
      </w:r>
      <w:proofErr w:type="spellStart"/>
      <w:r w:rsidR="00CB2555">
        <w:rPr>
          <w:rFonts w:ascii="Times New Roman" w:hAnsi="Times New Roman"/>
          <w:sz w:val="32"/>
          <w:szCs w:val="32"/>
        </w:rPr>
        <w:t>Monateri</w:t>
      </w:r>
      <w:proofErr w:type="spellEnd"/>
      <w:r w:rsidR="00CB2555">
        <w:rPr>
          <w:rFonts w:ascii="Times New Roman" w:hAnsi="Times New Roman"/>
          <w:sz w:val="32"/>
          <w:szCs w:val="32"/>
        </w:rPr>
        <w:t>- una “calcolabilità senza valori”.</w:t>
      </w:r>
    </w:p>
    <w:p w:rsidR="00ED6A41" w:rsidRDefault="00ED6A41" w:rsidP="006D440E">
      <w:pPr>
        <w:spacing w:line="360" w:lineRule="auto"/>
        <w:jc w:val="both"/>
        <w:rPr>
          <w:rFonts w:ascii="Times New Roman" w:hAnsi="Times New Roman"/>
          <w:sz w:val="32"/>
          <w:szCs w:val="32"/>
        </w:rPr>
      </w:pPr>
      <w:r w:rsidRPr="003570E5">
        <w:rPr>
          <w:rFonts w:ascii="Times New Roman" w:hAnsi="Times New Roman"/>
          <w:sz w:val="32"/>
          <w:szCs w:val="32"/>
        </w:rPr>
        <w:t>Il problema</w:t>
      </w:r>
      <w:r>
        <w:rPr>
          <w:rFonts w:ascii="Times New Roman" w:hAnsi="Times New Roman"/>
          <w:sz w:val="32"/>
          <w:szCs w:val="32"/>
        </w:rPr>
        <w:t xml:space="preserve"> è che negli Stati moderni e nel costituzionalismo moderno questo compito è affidato alla legge e ai parlamenti; oggi</w:t>
      </w:r>
      <w:r w:rsidR="003570E5">
        <w:rPr>
          <w:rFonts w:ascii="Times New Roman" w:hAnsi="Times New Roman"/>
          <w:sz w:val="32"/>
          <w:szCs w:val="32"/>
        </w:rPr>
        <w:t>,</w:t>
      </w:r>
      <w:r>
        <w:rPr>
          <w:rFonts w:ascii="Times New Roman" w:hAnsi="Times New Roman"/>
          <w:sz w:val="32"/>
          <w:szCs w:val="32"/>
        </w:rPr>
        <w:t xml:space="preserve"> con la “crisi della legge” e della politica, si è andato sempre più affermando una collocazione propria della giurisprudenza nell’ambito della “fabbrica delle leggi”.</w:t>
      </w:r>
    </w:p>
    <w:p w:rsidR="00CB2555" w:rsidRDefault="00ED6A41" w:rsidP="006D440E">
      <w:pPr>
        <w:spacing w:line="360" w:lineRule="auto"/>
        <w:jc w:val="both"/>
        <w:rPr>
          <w:rFonts w:ascii="Times New Roman" w:hAnsi="Times New Roman"/>
          <w:sz w:val="32"/>
          <w:szCs w:val="32"/>
        </w:rPr>
      </w:pPr>
      <w:r>
        <w:rPr>
          <w:rFonts w:ascii="Times New Roman" w:hAnsi="Times New Roman"/>
          <w:sz w:val="32"/>
          <w:szCs w:val="32"/>
        </w:rPr>
        <w:t>Si parla, quindi, di</w:t>
      </w:r>
      <w:r w:rsidR="00A32733">
        <w:rPr>
          <w:rFonts w:ascii="Times New Roman" w:hAnsi="Times New Roman"/>
          <w:sz w:val="32"/>
          <w:szCs w:val="32"/>
        </w:rPr>
        <w:t xml:space="preserve"> </w:t>
      </w:r>
      <w:r w:rsidR="00A32733" w:rsidRPr="003570E5">
        <w:rPr>
          <w:rFonts w:ascii="Times New Roman" w:hAnsi="Times New Roman"/>
          <w:sz w:val="32"/>
          <w:szCs w:val="32"/>
        </w:rPr>
        <w:t>“diritto giurisprudenziale”</w:t>
      </w:r>
      <w:r w:rsidRPr="003570E5">
        <w:rPr>
          <w:rFonts w:ascii="Times New Roman" w:hAnsi="Times New Roman"/>
          <w:sz w:val="32"/>
          <w:szCs w:val="32"/>
        </w:rPr>
        <w:t>,</w:t>
      </w:r>
      <w:r>
        <w:rPr>
          <w:rFonts w:ascii="Times New Roman" w:hAnsi="Times New Roman"/>
          <w:sz w:val="32"/>
          <w:szCs w:val="32"/>
        </w:rPr>
        <w:t xml:space="preserve"> che è</w:t>
      </w:r>
      <w:r w:rsidR="00A32733">
        <w:rPr>
          <w:rFonts w:ascii="Times New Roman" w:hAnsi="Times New Roman"/>
          <w:sz w:val="32"/>
          <w:szCs w:val="32"/>
        </w:rPr>
        <w:t xml:space="preserve"> il diritto che “si forma” con l’apporto, diret</w:t>
      </w:r>
      <w:r w:rsidR="00CB2555">
        <w:rPr>
          <w:rFonts w:ascii="Times New Roman" w:hAnsi="Times New Roman"/>
          <w:sz w:val="32"/>
          <w:szCs w:val="32"/>
        </w:rPr>
        <w:t>to o indiretto, dei giudici, i quali</w:t>
      </w:r>
      <w:r w:rsidR="00A32733">
        <w:rPr>
          <w:rFonts w:ascii="Times New Roman" w:hAnsi="Times New Roman"/>
          <w:sz w:val="32"/>
          <w:szCs w:val="32"/>
        </w:rPr>
        <w:t xml:space="preserve"> tendono ad assumere un ruolo di “fabbricanti di regole” in una società in cui</w:t>
      </w:r>
      <w:r w:rsidR="00D963F2">
        <w:rPr>
          <w:rFonts w:ascii="Times New Roman" w:hAnsi="Times New Roman"/>
          <w:sz w:val="32"/>
          <w:szCs w:val="32"/>
        </w:rPr>
        <w:t xml:space="preserve"> la legge, la fonte tradizionale e primaria di formazione del diritto, sembra entrare in crisi per una serie di ragioni che attengono, </w:t>
      </w:r>
      <w:r w:rsidR="00B33936">
        <w:rPr>
          <w:rFonts w:ascii="Times New Roman" w:hAnsi="Times New Roman"/>
          <w:sz w:val="32"/>
          <w:szCs w:val="32"/>
        </w:rPr>
        <w:t xml:space="preserve">solo </w:t>
      </w:r>
      <w:r w:rsidR="00D963F2">
        <w:rPr>
          <w:rFonts w:ascii="Times New Roman" w:hAnsi="Times New Roman"/>
          <w:sz w:val="32"/>
          <w:szCs w:val="32"/>
        </w:rPr>
        <w:t>in parte</w:t>
      </w:r>
      <w:r w:rsidR="00B33936">
        <w:rPr>
          <w:rFonts w:ascii="Times New Roman" w:hAnsi="Times New Roman"/>
          <w:sz w:val="32"/>
          <w:szCs w:val="32"/>
        </w:rPr>
        <w:t xml:space="preserve"> però</w:t>
      </w:r>
      <w:r w:rsidR="00D963F2">
        <w:rPr>
          <w:rFonts w:ascii="Times New Roman" w:hAnsi="Times New Roman"/>
          <w:sz w:val="32"/>
          <w:szCs w:val="32"/>
        </w:rPr>
        <w:t>, alla patologia di un sistema politico-istituzionale incapace di dare risposta alla domanda di giustizia e, p</w:t>
      </w:r>
      <w:r>
        <w:rPr>
          <w:rFonts w:ascii="Times New Roman" w:hAnsi="Times New Roman"/>
          <w:sz w:val="32"/>
          <w:szCs w:val="32"/>
        </w:rPr>
        <w:t>er altra parte</w:t>
      </w:r>
      <w:r w:rsidR="00D963F2">
        <w:rPr>
          <w:rFonts w:ascii="Times New Roman" w:hAnsi="Times New Roman"/>
          <w:sz w:val="32"/>
          <w:szCs w:val="32"/>
        </w:rPr>
        <w:t>, alla tendenza “espansiva” dei giudici nel</w:t>
      </w:r>
      <w:r>
        <w:rPr>
          <w:rFonts w:ascii="Times New Roman" w:hAnsi="Times New Roman"/>
          <w:sz w:val="32"/>
          <w:szCs w:val="32"/>
        </w:rPr>
        <w:t xml:space="preserve"> dare risposta a tale domanda “a prescindere” da un sicuro ancoraggio normativo.</w:t>
      </w:r>
    </w:p>
    <w:p w:rsidR="00A32733" w:rsidRDefault="00CB2555" w:rsidP="006D440E">
      <w:pPr>
        <w:spacing w:line="360" w:lineRule="auto"/>
        <w:jc w:val="both"/>
        <w:rPr>
          <w:rFonts w:ascii="Times New Roman" w:hAnsi="Times New Roman"/>
          <w:sz w:val="32"/>
          <w:szCs w:val="32"/>
        </w:rPr>
      </w:pPr>
      <w:r>
        <w:rPr>
          <w:rFonts w:ascii="Times New Roman" w:hAnsi="Times New Roman"/>
          <w:sz w:val="32"/>
          <w:szCs w:val="32"/>
        </w:rPr>
        <w:t>Il diritto giurisprudenziale evoca qualcosa in più del “diritto vivente”, in quanto il primo sembra recare in sé una nota di creatività, mentre il diritto vivente sembra rimandare a una mera ricognizione degli orientamenti dei giudici in una data materia. Ed è per questo che il tema del precedente, al di là dell’aspetto strettamente tecnico, richiama il tema generale del ruolo del giudice nell’applicazione del diritto. Ruolo ineliminabile perché –come ci ha ricordato</w:t>
      </w:r>
      <w:r w:rsidR="00033D7B">
        <w:rPr>
          <w:rFonts w:ascii="Times New Roman" w:hAnsi="Times New Roman"/>
          <w:sz w:val="32"/>
          <w:szCs w:val="32"/>
        </w:rPr>
        <w:t xml:space="preserve"> oggi</w:t>
      </w:r>
      <w:r>
        <w:rPr>
          <w:rFonts w:ascii="Times New Roman" w:hAnsi="Times New Roman"/>
          <w:sz w:val="32"/>
          <w:szCs w:val="32"/>
        </w:rPr>
        <w:t xml:space="preserve"> il prof. Gentili- “la legge fornisce la disposizione, il </w:t>
      </w:r>
      <w:r>
        <w:rPr>
          <w:rFonts w:ascii="Times New Roman" w:hAnsi="Times New Roman"/>
          <w:sz w:val="32"/>
          <w:szCs w:val="32"/>
        </w:rPr>
        <w:lastRenderedPageBreak/>
        <w:t>giudice pone, attraverso la sua interpretazione, la norma” del caso concreto</w:t>
      </w:r>
      <w:r w:rsidR="00033D7B">
        <w:rPr>
          <w:rFonts w:ascii="Times New Roman" w:hAnsi="Times New Roman"/>
          <w:sz w:val="32"/>
          <w:szCs w:val="32"/>
        </w:rPr>
        <w:t>”</w:t>
      </w:r>
      <w:r w:rsidR="00A01328">
        <w:rPr>
          <w:rStyle w:val="Rimandonotaapidipagina"/>
          <w:rFonts w:ascii="Times New Roman" w:hAnsi="Times New Roman"/>
          <w:sz w:val="32"/>
          <w:szCs w:val="32"/>
        </w:rPr>
        <w:footnoteReference w:id="2"/>
      </w:r>
      <w:r>
        <w:rPr>
          <w:rFonts w:ascii="Times New Roman" w:hAnsi="Times New Roman"/>
          <w:sz w:val="32"/>
          <w:szCs w:val="32"/>
        </w:rPr>
        <w:t>.</w:t>
      </w:r>
    </w:p>
    <w:p w:rsidR="008C4558" w:rsidRDefault="008C4558" w:rsidP="006D440E">
      <w:pPr>
        <w:spacing w:line="360" w:lineRule="auto"/>
        <w:jc w:val="both"/>
        <w:rPr>
          <w:rFonts w:ascii="Times New Roman" w:hAnsi="Times New Roman"/>
          <w:sz w:val="32"/>
          <w:szCs w:val="32"/>
        </w:rPr>
      </w:pPr>
      <w:r>
        <w:rPr>
          <w:rFonts w:ascii="Times New Roman" w:hAnsi="Times New Roman"/>
          <w:sz w:val="32"/>
          <w:szCs w:val="32"/>
        </w:rPr>
        <w:t>In quest’ambito</w:t>
      </w:r>
      <w:r w:rsidR="00B830CD">
        <w:rPr>
          <w:rFonts w:ascii="Times New Roman" w:hAnsi="Times New Roman"/>
          <w:sz w:val="32"/>
          <w:szCs w:val="32"/>
        </w:rPr>
        <w:t>,</w:t>
      </w:r>
      <w:r>
        <w:rPr>
          <w:rFonts w:ascii="Times New Roman" w:hAnsi="Times New Roman"/>
          <w:sz w:val="32"/>
          <w:szCs w:val="32"/>
        </w:rPr>
        <w:t xml:space="preserve"> “diritto giurisprudenziale” e legislazione positiva </w:t>
      </w:r>
      <w:r w:rsidR="00CB2555">
        <w:rPr>
          <w:rFonts w:ascii="Times New Roman" w:hAnsi="Times New Roman"/>
          <w:sz w:val="32"/>
          <w:szCs w:val="32"/>
        </w:rPr>
        <w:t>sono accomunati</w:t>
      </w:r>
      <w:r w:rsidR="00263260">
        <w:rPr>
          <w:rFonts w:ascii="Times New Roman" w:hAnsi="Times New Roman"/>
          <w:sz w:val="32"/>
          <w:szCs w:val="32"/>
        </w:rPr>
        <w:t xml:space="preserve"> e risentono dei</w:t>
      </w:r>
      <w:r w:rsidR="00ED6A41">
        <w:rPr>
          <w:rFonts w:ascii="Times New Roman" w:hAnsi="Times New Roman"/>
          <w:sz w:val="32"/>
          <w:szCs w:val="32"/>
        </w:rPr>
        <w:t xml:space="preserve"> problemi</w:t>
      </w:r>
      <w:r>
        <w:rPr>
          <w:rFonts w:ascii="Times New Roman" w:hAnsi="Times New Roman"/>
          <w:sz w:val="32"/>
          <w:szCs w:val="32"/>
        </w:rPr>
        <w:t xml:space="preserve"> </w:t>
      </w:r>
      <w:r w:rsidR="00263260">
        <w:rPr>
          <w:rFonts w:ascii="Times New Roman" w:hAnsi="Times New Roman"/>
          <w:sz w:val="32"/>
          <w:szCs w:val="32"/>
        </w:rPr>
        <w:t>legati a</w:t>
      </w:r>
      <w:r>
        <w:rPr>
          <w:rFonts w:ascii="Times New Roman" w:hAnsi="Times New Roman"/>
          <w:sz w:val="32"/>
          <w:szCs w:val="32"/>
        </w:rPr>
        <w:t>lla incertezza delle regole, dovuta alle difficoltà che incontra la legge a porre</w:t>
      </w:r>
      <w:r w:rsidR="00263260">
        <w:rPr>
          <w:rFonts w:ascii="Times New Roman" w:hAnsi="Times New Roman"/>
          <w:sz w:val="32"/>
          <w:szCs w:val="32"/>
        </w:rPr>
        <w:t>, per l’appunto,</w:t>
      </w:r>
      <w:r>
        <w:rPr>
          <w:rFonts w:ascii="Times New Roman" w:hAnsi="Times New Roman"/>
          <w:sz w:val="32"/>
          <w:szCs w:val="32"/>
        </w:rPr>
        <w:t xml:space="preserve"> regole chiare e definite</w:t>
      </w:r>
      <w:r w:rsidR="00ED6A41">
        <w:rPr>
          <w:rFonts w:ascii="Times New Roman" w:hAnsi="Times New Roman"/>
          <w:sz w:val="32"/>
          <w:szCs w:val="32"/>
        </w:rPr>
        <w:t>,</w:t>
      </w:r>
      <w:r>
        <w:rPr>
          <w:rFonts w:ascii="Times New Roman" w:hAnsi="Times New Roman"/>
          <w:sz w:val="32"/>
          <w:szCs w:val="32"/>
        </w:rPr>
        <w:t xml:space="preserve"> e </w:t>
      </w:r>
      <w:r w:rsidR="00263260">
        <w:rPr>
          <w:rFonts w:ascii="Times New Roman" w:hAnsi="Times New Roman"/>
          <w:sz w:val="32"/>
          <w:szCs w:val="32"/>
        </w:rPr>
        <w:t>a</w:t>
      </w:r>
      <w:r>
        <w:rPr>
          <w:rFonts w:ascii="Times New Roman" w:hAnsi="Times New Roman"/>
          <w:sz w:val="32"/>
          <w:szCs w:val="32"/>
        </w:rPr>
        <w:t>lla</w:t>
      </w:r>
      <w:r w:rsidR="00ED6A41">
        <w:rPr>
          <w:rFonts w:ascii="Times New Roman" w:hAnsi="Times New Roman"/>
          <w:sz w:val="32"/>
          <w:szCs w:val="32"/>
        </w:rPr>
        <w:t xml:space="preserve"> conseguente</w:t>
      </w:r>
      <w:r>
        <w:rPr>
          <w:rFonts w:ascii="Times New Roman" w:hAnsi="Times New Roman"/>
          <w:sz w:val="32"/>
          <w:szCs w:val="32"/>
        </w:rPr>
        <w:t xml:space="preserve"> intrinseca imprevedibilità –in certa misura- delle decisioni dei giudici, che costituiscono un potere diffuso</w:t>
      </w:r>
      <w:r w:rsidR="00B830CD">
        <w:rPr>
          <w:rFonts w:ascii="Times New Roman" w:hAnsi="Times New Roman"/>
          <w:sz w:val="32"/>
          <w:szCs w:val="32"/>
        </w:rPr>
        <w:t xml:space="preserve"> e</w:t>
      </w:r>
      <w:r>
        <w:rPr>
          <w:rFonts w:ascii="Times New Roman" w:hAnsi="Times New Roman"/>
          <w:sz w:val="32"/>
          <w:szCs w:val="32"/>
        </w:rPr>
        <w:t xml:space="preserve"> che giudicano su casi inevitabilmente influenzati dalla singola situazione di fatto.</w:t>
      </w:r>
    </w:p>
    <w:p w:rsidR="008C4558" w:rsidRDefault="008C4558" w:rsidP="006D440E">
      <w:pPr>
        <w:spacing w:line="360" w:lineRule="auto"/>
        <w:jc w:val="both"/>
        <w:rPr>
          <w:rFonts w:ascii="Times New Roman" w:hAnsi="Times New Roman"/>
          <w:sz w:val="32"/>
          <w:szCs w:val="32"/>
        </w:rPr>
      </w:pPr>
      <w:r w:rsidRPr="003570E5">
        <w:rPr>
          <w:rFonts w:ascii="Times New Roman" w:hAnsi="Times New Roman"/>
          <w:sz w:val="32"/>
          <w:szCs w:val="32"/>
        </w:rPr>
        <w:t>Difficoltà del legislatore</w:t>
      </w:r>
      <w:r>
        <w:rPr>
          <w:rFonts w:ascii="Times New Roman" w:hAnsi="Times New Roman"/>
          <w:sz w:val="32"/>
          <w:szCs w:val="32"/>
        </w:rPr>
        <w:t xml:space="preserve">: oggi la difficoltà di avere leggi chiare, al di là della minore o maggiore competenza tecnica dei “fabbricanti di leggi”, deriva dalla oggettiva difficoltà di regolare, e quindi di governare, una società complessa, disomogenea al suo interno, </w:t>
      </w:r>
      <w:r w:rsidRPr="003570E5">
        <w:rPr>
          <w:rFonts w:ascii="Times New Roman" w:hAnsi="Times New Roman"/>
          <w:sz w:val="32"/>
          <w:szCs w:val="32"/>
        </w:rPr>
        <w:t>in cui la mediazione del conflitto tende spesso a spostarsi dal momento della creazione della regola a quello della sua applicazione,</w:t>
      </w:r>
      <w:r>
        <w:rPr>
          <w:rFonts w:ascii="Times New Roman" w:hAnsi="Times New Roman"/>
          <w:sz w:val="32"/>
          <w:szCs w:val="32"/>
        </w:rPr>
        <w:t xml:space="preserve"> sicché la regola esce poco chiara o poco definita (nel senso che attua una scelta indefinita o incompleta) proprio p</w:t>
      </w:r>
      <w:r w:rsidR="00B830CD">
        <w:rPr>
          <w:rFonts w:ascii="Times New Roman" w:hAnsi="Times New Roman"/>
          <w:sz w:val="32"/>
          <w:szCs w:val="32"/>
        </w:rPr>
        <w:t>erché non si è riusciti a compor</w:t>
      </w:r>
      <w:r>
        <w:rPr>
          <w:rFonts w:ascii="Times New Roman" w:hAnsi="Times New Roman"/>
          <w:sz w:val="32"/>
          <w:szCs w:val="32"/>
        </w:rPr>
        <w:t xml:space="preserve">re il conflitto a livello politico. </w:t>
      </w:r>
      <w:r w:rsidRPr="003570E5">
        <w:rPr>
          <w:rFonts w:ascii="Times New Roman" w:hAnsi="Times New Roman"/>
          <w:sz w:val="32"/>
          <w:szCs w:val="32"/>
        </w:rPr>
        <w:t>Ma il momento dell’applicazione de</w:t>
      </w:r>
      <w:r w:rsidR="00B33936" w:rsidRPr="003570E5">
        <w:rPr>
          <w:rFonts w:ascii="Times New Roman" w:hAnsi="Times New Roman"/>
          <w:sz w:val="32"/>
          <w:szCs w:val="32"/>
        </w:rPr>
        <w:t xml:space="preserve">l diritto ad opera dei giudici </w:t>
      </w:r>
      <w:r w:rsidRPr="003570E5">
        <w:rPr>
          <w:rFonts w:ascii="Times New Roman" w:hAnsi="Times New Roman"/>
          <w:sz w:val="32"/>
          <w:szCs w:val="32"/>
        </w:rPr>
        <w:t>è inevitabilmente frammentato,</w:t>
      </w:r>
      <w:r>
        <w:rPr>
          <w:rFonts w:ascii="Times New Roman" w:hAnsi="Times New Roman"/>
          <w:sz w:val="32"/>
          <w:szCs w:val="32"/>
        </w:rPr>
        <w:t xml:space="preserve"> influenzato dal caso </w:t>
      </w:r>
      <w:r w:rsidR="00F31E7A">
        <w:rPr>
          <w:rFonts w:ascii="Times New Roman" w:hAnsi="Times New Roman"/>
          <w:sz w:val="32"/>
          <w:szCs w:val="32"/>
        </w:rPr>
        <w:t xml:space="preserve">concreto </w:t>
      </w:r>
      <w:r>
        <w:rPr>
          <w:rFonts w:ascii="Times New Roman" w:hAnsi="Times New Roman"/>
          <w:sz w:val="32"/>
          <w:szCs w:val="32"/>
        </w:rPr>
        <w:t>e dalla formazione del giudice, anzi dei tanti giudici che affrontano casi simili tra loro, in tempi diversi e situazioni di fatto dissimili.</w:t>
      </w:r>
    </w:p>
    <w:p w:rsidR="008C4558" w:rsidRDefault="008C4558" w:rsidP="006D440E">
      <w:pPr>
        <w:spacing w:line="360" w:lineRule="auto"/>
        <w:jc w:val="both"/>
        <w:rPr>
          <w:rFonts w:ascii="Times New Roman" w:hAnsi="Times New Roman"/>
          <w:sz w:val="32"/>
          <w:szCs w:val="32"/>
        </w:rPr>
      </w:pPr>
      <w:r>
        <w:rPr>
          <w:rFonts w:ascii="Times New Roman" w:hAnsi="Times New Roman"/>
          <w:sz w:val="32"/>
          <w:szCs w:val="32"/>
        </w:rPr>
        <w:lastRenderedPageBreak/>
        <w:t xml:space="preserve">Ma se la </w:t>
      </w:r>
      <w:proofErr w:type="spellStart"/>
      <w:r w:rsidRPr="00D94603">
        <w:rPr>
          <w:rFonts w:ascii="Times New Roman" w:hAnsi="Times New Roman"/>
          <w:i/>
          <w:sz w:val="32"/>
          <w:szCs w:val="32"/>
        </w:rPr>
        <w:t>traslatio</w:t>
      </w:r>
      <w:proofErr w:type="spellEnd"/>
      <w:r w:rsidR="00B830CD">
        <w:rPr>
          <w:rFonts w:ascii="Times New Roman" w:hAnsi="Times New Roman"/>
          <w:sz w:val="32"/>
          <w:szCs w:val="32"/>
        </w:rPr>
        <w:t xml:space="preserve">, lo “scivolamento”, </w:t>
      </w:r>
      <w:r>
        <w:rPr>
          <w:rFonts w:ascii="Times New Roman" w:hAnsi="Times New Roman"/>
          <w:sz w:val="32"/>
          <w:szCs w:val="32"/>
        </w:rPr>
        <w:t>dalla legge al giudice della scelta “politica” costituisce una patologia</w:t>
      </w:r>
      <w:r w:rsidR="003570E5">
        <w:rPr>
          <w:rFonts w:ascii="Times New Roman" w:hAnsi="Times New Roman"/>
          <w:sz w:val="32"/>
          <w:szCs w:val="32"/>
        </w:rPr>
        <w:t>, per quanto difficilmente eliminabile ma semmai solo attenuabile,</w:t>
      </w:r>
      <w:r>
        <w:rPr>
          <w:rFonts w:ascii="Times New Roman" w:hAnsi="Times New Roman"/>
          <w:sz w:val="32"/>
          <w:szCs w:val="32"/>
        </w:rPr>
        <w:t xml:space="preserve"> del sistema, bisogna riconoscere che vi sono </w:t>
      </w:r>
      <w:r w:rsidRPr="003570E5">
        <w:rPr>
          <w:rFonts w:ascii="Times New Roman" w:hAnsi="Times New Roman"/>
          <w:sz w:val="32"/>
          <w:szCs w:val="32"/>
        </w:rPr>
        <w:t>anche fattori di tipo oggettivo, di sistema,</w:t>
      </w:r>
      <w:r>
        <w:rPr>
          <w:rFonts w:ascii="Times New Roman" w:hAnsi="Times New Roman"/>
          <w:sz w:val="32"/>
          <w:szCs w:val="32"/>
        </w:rPr>
        <w:t xml:space="preserve"> che tendono a caricare i giudici di una responsabilità </w:t>
      </w:r>
      <w:r w:rsidRPr="00263260">
        <w:rPr>
          <w:rFonts w:ascii="Times New Roman" w:hAnsi="Times New Roman"/>
          <w:i/>
          <w:sz w:val="32"/>
          <w:szCs w:val="32"/>
        </w:rPr>
        <w:t>propria</w:t>
      </w:r>
      <w:r>
        <w:rPr>
          <w:rFonts w:ascii="Times New Roman" w:hAnsi="Times New Roman"/>
          <w:sz w:val="32"/>
          <w:szCs w:val="32"/>
        </w:rPr>
        <w:t xml:space="preserve"> nell’applicazione del diritto.</w:t>
      </w:r>
    </w:p>
    <w:p w:rsidR="008C4558" w:rsidRDefault="00B33936" w:rsidP="006D440E">
      <w:pPr>
        <w:spacing w:line="360" w:lineRule="auto"/>
        <w:jc w:val="both"/>
        <w:rPr>
          <w:rFonts w:ascii="Times New Roman" w:hAnsi="Times New Roman"/>
          <w:sz w:val="32"/>
          <w:szCs w:val="32"/>
        </w:rPr>
      </w:pPr>
      <w:r>
        <w:rPr>
          <w:rFonts w:ascii="Times New Roman" w:hAnsi="Times New Roman"/>
          <w:sz w:val="32"/>
          <w:szCs w:val="32"/>
        </w:rPr>
        <w:t xml:space="preserve">Il primo di questi fattori è collegato </w:t>
      </w:r>
      <w:r w:rsidRPr="003570E5">
        <w:rPr>
          <w:rFonts w:ascii="Times New Roman" w:hAnsi="Times New Roman"/>
          <w:sz w:val="32"/>
          <w:szCs w:val="32"/>
        </w:rPr>
        <w:t>all’evoluzione del principio di legalità</w:t>
      </w:r>
      <w:r>
        <w:rPr>
          <w:rFonts w:ascii="Times New Roman" w:hAnsi="Times New Roman"/>
          <w:sz w:val="32"/>
          <w:szCs w:val="32"/>
        </w:rPr>
        <w:t>: i</w:t>
      </w:r>
      <w:r w:rsidR="008C4558">
        <w:rPr>
          <w:rFonts w:ascii="Times New Roman" w:hAnsi="Times New Roman"/>
          <w:sz w:val="32"/>
          <w:szCs w:val="32"/>
        </w:rPr>
        <w:t>l primato della legge in senso illuministico e il giudice bocca della legge</w:t>
      </w:r>
      <w:r>
        <w:rPr>
          <w:rFonts w:ascii="Times New Roman" w:hAnsi="Times New Roman"/>
          <w:sz w:val="32"/>
          <w:szCs w:val="32"/>
        </w:rPr>
        <w:t xml:space="preserve"> costituiscono (forse da sempre)</w:t>
      </w:r>
      <w:r w:rsidR="008C4558">
        <w:rPr>
          <w:rFonts w:ascii="Times New Roman" w:hAnsi="Times New Roman"/>
          <w:sz w:val="32"/>
          <w:szCs w:val="32"/>
        </w:rPr>
        <w:t xml:space="preserve"> quasi una ipotesi di scuola che non regge più nemmeno in quei Paesi, come il Regno unito, che sono riusciti nel tempo a coniugare primazia del Parlamento e vincolatività del precedente giudiziario.</w:t>
      </w:r>
      <w:r w:rsidR="00263260">
        <w:rPr>
          <w:rFonts w:ascii="Times New Roman" w:hAnsi="Times New Roman"/>
          <w:sz w:val="32"/>
          <w:szCs w:val="32"/>
        </w:rPr>
        <w:t xml:space="preserve"> Il prof. </w:t>
      </w:r>
      <w:proofErr w:type="spellStart"/>
      <w:r w:rsidR="00263260">
        <w:rPr>
          <w:rFonts w:ascii="Times New Roman" w:hAnsi="Times New Roman"/>
          <w:sz w:val="32"/>
          <w:szCs w:val="32"/>
        </w:rPr>
        <w:t>Monateri</w:t>
      </w:r>
      <w:proofErr w:type="spellEnd"/>
      <w:r w:rsidR="00263260">
        <w:rPr>
          <w:rFonts w:ascii="Times New Roman" w:hAnsi="Times New Roman"/>
          <w:sz w:val="32"/>
          <w:szCs w:val="32"/>
        </w:rPr>
        <w:t xml:space="preserve">, anzi, oggi ci ammonisce a considerare che in quel Paese gli spazi regolati dal legislatore sopravanzano quelli rimessi alla creazione giurisprudenziale attraverso la tecnica del precedente, restando attribuito un maggiore spazio al ruolo del giudice semmai nel giudizio di </w:t>
      </w:r>
      <w:proofErr w:type="spellStart"/>
      <w:r w:rsidR="00263260" w:rsidRPr="00263260">
        <w:rPr>
          <w:rFonts w:ascii="Times New Roman" w:hAnsi="Times New Roman"/>
          <w:i/>
          <w:sz w:val="32"/>
          <w:szCs w:val="32"/>
        </w:rPr>
        <w:t>equity</w:t>
      </w:r>
      <w:proofErr w:type="spellEnd"/>
      <w:r w:rsidR="00263260">
        <w:rPr>
          <w:rFonts w:ascii="Times New Roman" w:hAnsi="Times New Roman"/>
          <w:sz w:val="32"/>
          <w:szCs w:val="32"/>
        </w:rPr>
        <w:t>.</w:t>
      </w:r>
      <w:r w:rsidR="008C4558">
        <w:rPr>
          <w:rFonts w:ascii="Times New Roman" w:hAnsi="Times New Roman"/>
          <w:sz w:val="32"/>
          <w:szCs w:val="32"/>
        </w:rPr>
        <w:t xml:space="preserve"> </w:t>
      </w:r>
      <w:r w:rsidR="00263260">
        <w:rPr>
          <w:rFonts w:ascii="Times New Roman" w:hAnsi="Times New Roman"/>
          <w:sz w:val="32"/>
          <w:szCs w:val="32"/>
        </w:rPr>
        <w:t>Per tornare a noi, o</w:t>
      </w:r>
      <w:r w:rsidR="008C4558">
        <w:rPr>
          <w:rFonts w:ascii="Times New Roman" w:hAnsi="Times New Roman"/>
          <w:sz w:val="32"/>
          <w:szCs w:val="32"/>
        </w:rPr>
        <w:t>ggi il principio di legalità sostanziale, che</w:t>
      </w:r>
      <w:r w:rsidR="00B830CD">
        <w:rPr>
          <w:rFonts w:ascii="Times New Roman" w:hAnsi="Times New Roman"/>
          <w:sz w:val="32"/>
          <w:szCs w:val="32"/>
        </w:rPr>
        <w:t>,</w:t>
      </w:r>
      <w:r w:rsidR="008C4558">
        <w:rPr>
          <w:rFonts w:ascii="Times New Roman" w:hAnsi="Times New Roman"/>
          <w:sz w:val="32"/>
          <w:szCs w:val="32"/>
        </w:rPr>
        <w:t xml:space="preserve"> per esigenze di certezza e primazia della legge, aveva preso il posto della legalità formale (per il cui rispetto bastava l’attribuzione per legge della potestà pubblica)</w:t>
      </w:r>
      <w:r w:rsidR="00263260">
        <w:rPr>
          <w:rFonts w:ascii="Times New Roman" w:hAnsi="Times New Roman"/>
          <w:sz w:val="32"/>
          <w:szCs w:val="32"/>
        </w:rPr>
        <w:t>,</w:t>
      </w:r>
      <w:r w:rsidR="008C4558">
        <w:rPr>
          <w:rFonts w:ascii="Times New Roman" w:hAnsi="Times New Roman"/>
          <w:sz w:val="32"/>
          <w:szCs w:val="32"/>
        </w:rPr>
        <w:t xml:space="preserve"> va </w:t>
      </w:r>
      <w:r w:rsidR="00263260">
        <w:rPr>
          <w:rFonts w:ascii="Times New Roman" w:hAnsi="Times New Roman"/>
          <w:sz w:val="32"/>
          <w:szCs w:val="32"/>
        </w:rPr>
        <w:t>cedendo il posto al</w:t>
      </w:r>
      <w:r w:rsidR="008C4558" w:rsidRPr="003570E5">
        <w:rPr>
          <w:rFonts w:ascii="Times New Roman" w:hAnsi="Times New Roman"/>
          <w:sz w:val="32"/>
          <w:szCs w:val="32"/>
        </w:rPr>
        <w:t xml:space="preserve"> principio di legalità procedurale, in cui il metodo di formazione della decisione amministrativa prevale sul suo contenuto, in quanto la scelta amministrativa “si fa” sulla base di un modello normativo “aperto” e indefinito, nel rispetto del principio del contraddittorio e nella logica della comparazione degli interessi. Correlativamente, il giudice</w:t>
      </w:r>
      <w:r w:rsidR="008C4558">
        <w:rPr>
          <w:rFonts w:ascii="Times New Roman" w:hAnsi="Times New Roman"/>
          <w:sz w:val="32"/>
          <w:szCs w:val="32"/>
        </w:rPr>
        <w:t xml:space="preserve"> –soprattutto quello amministrativo, ma non solo- è chiamato fisiologicamente ad a</w:t>
      </w:r>
      <w:r w:rsidR="00263260">
        <w:rPr>
          <w:rFonts w:ascii="Times New Roman" w:hAnsi="Times New Roman"/>
          <w:sz w:val="32"/>
          <w:szCs w:val="32"/>
        </w:rPr>
        <w:t>dottare</w:t>
      </w:r>
      <w:r w:rsidR="008C4558">
        <w:rPr>
          <w:rFonts w:ascii="Times New Roman" w:hAnsi="Times New Roman"/>
          <w:sz w:val="32"/>
          <w:szCs w:val="32"/>
        </w:rPr>
        <w:t xml:space="preserve"> </w:t>
      </w:r>
      <w:r w:rsidRPr="003570E5">
        <w:rPr>
          <w:rFonts w:ascii="Times New Roman" w:hAnsi="Times New Roman"/>
          <w:sz w:val="32"/>
          <w:szCs w:val="32"/>
        </w:rPr>
        <w:t xml:space="preserve">tecniche di tutela fondate su princìpi e clausole generali, quando </w:t>
      </w:r>
      <w:r w:rsidR="008C4558" w:rsidRPr="003570E5">
        <w:rPr>
          <w:rFonts w:ascii="Times New Roman" w:hAnsi="Times New Roman"/>
          <w:sz w:val="32"/>
          <w:szCs w:val="32"/>
        </w:rPr>
        <w:t xml:space="preserve">non è chiamato addirittura al “riconoscimento”, cioè alla </w:t>
      </w:r>
      <w:r w:rsidR="008C4558" w:rsidRPr="003570E5">
        <w:rPr>
          <w:rFonts w:ascii="Times New Roman" w:hAnsi="Times New Roman"/>
          <w:sz w:val="32"/>
          <w:szCs w:val="32"/>
        </w:rPr>
        <w:lastRenderedPageBreak/>
        <w:t>individuazione di situazioni soggettive tutelate</w:t>
      </w:r>
      <w:r w:rsidR="008C4558" w:rsidRPr="00B33936">
        <w:rPr>
          <w:rFonts w:ascii="Times New Roman" w:hAnsi="Times New Roman"/>
          <w:b/>
          <w:sz w:val="32"/>
          <w:szCs w:val="32"/>
        </w:rPr>
        <w:t xml:space="preserve"> </w:t>
      </w:r>
      <w:r w:rsidR="008C4558">
        <w:rPr>
          <w:rFonts w:ascii="Times New Roman" w:hAnsi="Times New Roman"/>
          <w:sz w:val="32"/>
          <w:szCs w:val="32"/>
        </w:rPr>
        <w:t>(si pensi all’illecito aquiliano o all’</w:t>
      </w:r>
      <w:r w:rsidR="00F31E7A">
        <w:rPr>
          <w:rFonts w:ascii="Times New Roman" w:hAnsi="Times New Roman"/>
          <w:sz w:val="32"/>
          <w:szCs w:val="32"/>
        </w:rPr>
        <w:t>estensione dell’</w:t>
      </w:r>
      <w:r w:rsidR="008C4558">
        <w:rPr>
          <w:rFonts w:ascii="Times New Roman" w:hAnsi="Times New Roman"/>
          <w:sz w:val="32"/>
          <w:szCs w:val="32"/>
        </w:rPr>
        <w:t>area della “legittimazione”, sul piano sostanziale degli interessi</w:t>
      </w:r>
      <w:r w:rsidR="00263260">
        <w:rPr>
          <w:rFonts w:ascii="Times New Roman" w:hAnsi="Times New Roman"/>
          <w:sz w:val="32"/>
          <w:szCs w:val="32"/>
        </w:rPr>
        <w:t xml:space="preserve"> riconosciuti meritevoli di tutela,</w:t>
      </w:r>
      <w:r w:rsidR="008C4558">
        <w:rPr>
          <w:rFonts w:ascii="Times New Roman" w:hAnsi="Times New Roman"/>
          <w:sz w:val="32"/>
          <w:szCs w:val="32"/>
        </w:rPr>
        <w:t xml:space="preserve"> prima ancora della loro titolarità, da parte del giudice amministrativo). </w:t>
      </w:r>
    </w:p>
    <w:p w:rsidR="00ED6A41" w:rsidRDefault="008C4558" w:rsidP="006D440E">
      <w:pPr>
        <w:spacing w:line="360" w:lineRule="auto"/>
        <w:jc w:val="both"/>
        <w:rPr>
          <w:rFonts w:ascii="Times New Roman" w:hAnsi="Times New Roman"/>
          <w:sz w:val="32"/>
          <w:szCs w:val="32"/>
        </w:rPr>
      </w:pPr>
      <w:r>
        <w:rPr>
          <w:rFonts w:ascii="Times New Roman" w:hAnsi="Times New Roman"/>
          <w:sz w:val="32"/>
          <w:szCs w:val="32"/>
        </w:rPr>
        <w:t xml:space="preserve">Il secondo fattore è costituito </w:t>
      </w:r>
      <w:r w:rsidRPr="003570E5">
        <w:rPr>
          <w:rFonts w:ascii="Times New Roman" w:hAnsi="Times New Roman"/>
          <w:sz w:val="32"/>
          <w:szCs w:val="32"/>
        </w:rPr>
        <w:t>dall’inserimento delle tutele in un sistema multilivello di fonti del diritto</w:t>
      </w:r>
      <w:r>
        <w:rPr>
          <w:rFonts w:ascii="Times New Roman" w:hAnsi="Times New Roman"/>
          <w:sz w:val="32"/>
          <w:szCs w:val="32"/>
        </w:rPr>
        <w:t>, a livello nazionale ed europe</w:t>
      </w:r>
      <w:r w:rsidR="003570E5">
        <w:rPr>
          <w:rFonts w:ascii="Times New Roman" w:hAnsi="Times New Roman"/>
          <w:sz w:val="32"/>
          <w:szCs w:val="32"/>
        </w:rPr>
        <w:t>o (e talvolta internazionale). In</w:t>
      </w:r>
      <w:r>
        <w:rPr>
          <w:rFonts w:ascii="Times New Roman" w:hAnsi="Times New Roman"/>
          <w:sz w:val="32"/>
          <w:szCs w:val="32"/>
        </w:rPr>
        <w:t xml:space="preserve"> questo sistema, accanto alle fonti tradizionali (ma assai diversificate)</w:t>
      </w:r>
      <w:r w:rsidR="00B830CD">
        <w:rPr>
          <w:rFonts w:ascii="Times New Roman" w:hAnsi="Times New Roman"/>
          <w:sz w:val="32"/>
          <w:szCs w:val="32"/>
        </w:rPr>
        <w:t>,</w:t>
      </w:r>
      <w:r>
        <w:rPr>
          <w:rFonts w:ascii="Times New Roman" w:hAnsi="Times New Roman"/>
          <w:sz w:val="32"/>
          <w:szCs w:val="32"/>
        </w:rPr>
        <w:t xml:space="preserve"> va prendendo piede sempre più il diritto giurisprudenziale, cioè</w:t>
      </w:r>
      <w:r w:rsidR="00263260">
        <w:rPr>
          <w:rFonts w:ascii="Times New Roman" w:hAnsi="Times New Roman"/>
          <w:sz w:val="32"/>
          <w:szCs w:val="32"/>
        </w:rPr>
        <w:t xml:space="preserve"> quello costituito dal</w:t>
      </w:r>
      <w:r>
        <w:rPr>
          <w:rFonts w:ascii="Times New Roman" w:hAnsi="Times New Roman"/>
          <w:sz w:val="32"/>
          <w:szCs w:val="32"/>
        </w:rPr>
        <w:t>le sentenze dei giudici, nazionali e soprattutto europei.</w:t>
      </w:r>
      <w:r w:rsidR="00ED6A41">
        <w:rPr>
          <w:rFonts w:ascii="Times New Roman" w:hAnsi="Times New Roman"/>
          <w:sz w:val="32"/>
          <w:szCs w:val="32"/>
        </w:rPr>
        <w:t xml:space="preserve"> </w:t>
      </w:r>
    </w:p>
    <w:p w:rsidR="008C4558" w:rsidRPr="0049286C" w:rsidRDefault="00ED6A41" w:rsidP="00ED6A41">
      <w:pPr>
        <w:spacing w:line="360" w:lineRule="auto"/>
        <w:jc w:val="both"/>
        <w:rPr>
          <w:rFonts w:ascii="Times New Roman" w:hAnsi="Times New Roman"/>
          <w:sz w:val="32"/>
          <w:szCs w:val="32"/>
        </w:rPr>
      </w:pPr>
      <w:r w:rsidRPr="003570E5">
        <w:rPr>
          <w:rFonts w:ascii="Times New Roman" w:hAnsi="Times New Roman"/>
          <w:sz w:val="32"/>
          <w:szCs w:val="32"/>
        </w:rPr>
        <w:t>Le sentenze diventano</w:t>
      </w:r>
      <w:r w:rsidR="003570E5">
        <w:rPr>
          <w:rFonts w:ascii="Times New Roman" w:hAnsi="Times New Roman"/>
          <w:sz w:val="32"/>
          <w:szCs w:val="32"/>
        </w:rPr>
        <w:t xml:space="preserve"> così</w:t>
      </w:r>
      <w:r w:rsidRPr="003570E5">
        <w:rPr>
          <w:rFonts w:ascii="Times New Roman" w:hAnsi="Times New Roman"/>
          <w:sz w:val="32"/>
          <w:szCs w:val="32"/>
        </w:rPr>
        <w:t xml:space="preserve"> sempre più, esse stesse, oggetto</w:t>
      </w:r>
      <w:r w:rsidR="008C4558" w:rsidRPr="003570E5">
        <w:rPr>
          <w:rFonts w:ascii="Times New Roman" w:hAnsi="Times New Roman"/>
          <w:sz w:val="32"/>
          <w:szCs w:val="32"/>
        </w:rPr>
        <w:t xml:space="preserve"> di interpretazione</w:t>
      </w:r>
      <w:r w:rsidR="008C4558" w:rsidRPr="00B33936">
        <w:rPr>
          <w:rFonts w:ascii="Times New Roman" w:hAnsi="Times New Roman"/>
          <w:b/>
          <w:sz w:val="32"/>
          <w:szCs w:val="32"/>
          <w:vertAlign w:val="superscript"/>
        </w:rPr>
        <w:footnoteReference w:id="3"/>
      </w:r>
      <w:r w:rsidR="008C4558" w:rsidRPr="00B33936">
        <w:rPr>
          <w:rFonts w:ascii="Times New Roman" w:hAnsi="Times New Roman"/>
          <w:b/>
          <w:sz w:val="32"/>
          <w:szCs w:val="32"/>
        </w:rPr>
        <w:t>:</w:t>
      </w:r>
      <w:r w:rsidR="008C4558" w:rsidRPr="0049286C">
        <w:rPr>
          <w:rFonts w:ascii="Times New Roman" w:hAnsi="Times New Roman"/>
          <w:sz w:val="32"/>
          <w:szCs w:val="32"/>
        </w:rPr>
        <w:t xml:space="preserve"> </w:t>
      </w:r>
      <w:r>
        <w:rPr>
          <w:rFonts w:ascii="Times New Roman" w:hAnsi="Times New Roman"/>
          <w:sz w:val="32"/>
          <w:szCs w:val="32"/>
        </w:rPr>
        <w:t xml:space="preserve">perché </w:t>
      </w:r>
      <w:r w:rsidRPr="003570E5">
        <w:rPr>
          <w:rFonts w:ascii="Times New Roman" w:hAnsi="Times New Roman"/>
          <w:sz w:val="32"/>
          <w:szCs w:val="32"/>
        </w:rPr>
        <w:t>direttamente</w:t>
      </w:r>
      <w:r w:rsidR="008C4558" w:rsidRPr="00B33936">
        <w:rPr>
          <w:rFonts w:ascii="Times New Roman" w:hAnsi="Times New Roman"/>
          <w:b/>
          <w:sz w:val="32"/>
          <w:szCs w:val="32"/>
        </w:rPr>
        <w:t xml:space="preserve"> </w:t>
      </w:r>
      <w:r w:rsidR="008C4558" w:rsidRPr="0049286C">
        <w:rPr>
          <w:rFonts w:ascii="Times New Roman" w:hAnsi="Times New Roman"/>
          <w:sz w:val="32"/>
          <w:szCs w:val="32"/>
        </w:rPr>
        <w:t xml:space="preserve">fonti del diritto nel senso classico del termine (penso alle sentenze della Corte dell’Unione europea che vincolano il giudice nazionale non in quanto sentenze, secondo il modello del precedente, ma perché </w:t>
      </w:r>
      <w:r w:rsidR="008C4558" w:rsidRPr="0049286C">
        <w:rPr>
          <w:rFonts w:ascii="Times New Roman" w:hAnsi="Times New Roman"/>
          <w:i/>
          <w:sz w:val="32"/>
          <w:szCs w:val="32"/>
        </w:rPr>
        <w:t>costituiscono</w:t>
      </w:r>
      <w:r w:rsidR="008C4558" w:rsidRPr="0049286C">
        <w:rPr>
          <w:rFonts w:ascii="Times New Roman" w:hAnsi="Times New Roman"/>
          <w:sz w:val="32"/>
          <w:szCs w:val="32"/>
        </w:rPr>
        <w:t xml:space="preserve"> esse stesse l’ordinamento comunitario</w:t>
      </w:r>
      <w:r w:rsidR="003570E5">
        <w:rPr>
          <w:rFonts w:ascii="Times New Roman" w:hAnsi="Times New Roman"/>
          <w:sz w:val="32"/>
          <w:szCs w:val="32"/>
        </w:rPr>
        <w:t>)</w:t>
      </w:r>
      <w:r w:rsidR="008C4558" w:rsidRPr="0049286C">
        <w:rPr>
          <w:rFonts w:ascii="Times New Roman" w:hAnsi="Times New Roman"/>
          <w:sz w:val="32"/>
          <w:szCs w:val="32"/>
        </w:rPr>
        <w:t xml:space="preserve">; </w:t>
      </w:r>
      <w:r w:rsidR="008C4558" w:rsidRPr="003570E5">
        <w:rPr>
          <w:rFonts w:ascii="Times New Roman" w:hAnsi="Times New Roman"/>
          <w:sz w:val="32"/>
          <w:szCs w:val="32"/>
        </w:rPr>
        <w:t xml:space="preserve">oppure </w:t>
      </w:r>
      <w:r w:rsidR="00B33936" w:rsidRPr="003570E5">
        <w:rPr>
          <w:rFonts w:ascii="Times New Roman" w:hAnsi="Times New Roman"/>
          <w:sz w:val="32"/>
          <w:szCs w:val="32"/>
        </w:rPr>
        <w:t xml:space="preserve">perché </w:t>
      </w:r>
      <w:r w:rsidR="008C4558" w:rsidRPr="003570E5">
        <w:rPr>
          <w:rFonts w:ascii="Times New Roman" w:hAnsi="Times New Roman"/>
          <w:sz w:val="32"/>
          <w:szCs w:val="32"/>
        </w:rPr>
        <w:t>saranno da considerarsi, nel momento in cui danno vita a un  precedente, come “fonte culturale”</w:t>
      </w:r>
      <w:r w:rsidR="008C4558" w:rsidRPr="0049286C">
        <w:rPr>
          <w:rFonts w:ascii="Times New Roman" w:hAnsi="Times New Roman"/>
          <w:sz w:val="32"/>
          <w:szCs w:val="32"/>
          <w:vertAlign w:val="superscript"/>
        </w:rPr>
        <w:footnoteReference w:id="4"/>
      </w:r>
      <w:r w:rsidR="008C4558" w:rsidRPr="0049286C">
        <w:rPr>
          <w:rFonts w:ascii="Times New Roman" w:hAnsi="Times New Roman"/>
          <w:sz w:val="32"/>
          <w:szCs w:val="32"/>
        </w:rPr>
        <w:t xml:space="preserve">, dotata di efficacia persuasiva oppure più o meno vincolante. </w:t>
      </w:r>
    </w:p>
    <w:p w:rsidR="008C4558" w:rsidRPr="0049286C" w:rsidRDefault="008C4558" w:rsidP="0049286C">
      <w:pPr>
        <w:spacing w:line="360" w:lineRule="auto"/>
        <w:jc w:val="both"/>
        <w:rPr>
          <w:rFonts w:ascii="Times New Roman" w:hAnsi="Times New Roman"/>
          <w:sz w:val="32"/>
          <w:szCs w:val="32"/>
        </w:rPr>
      </w:pPr>
      <w:r w:rsidRPr="0049286C">
        <w:rPr>
          <w:rFonts w:ascii="Times New Roman" w:hAnsi="Times New Roman"/>
          <w:sz w:val="32"/>
          <w:szCs w:val="32"/>
        </w:rPr>
        <w:t xml:space="preserve">Nell’uno e nell’altro caso, </w:t>
      </w:r>
      <w:r w:rsidRPr="003570E5">
        <w:rPr>
          <w:rFonts w:ascii="Times New Roman" w:hAnsi="Times New Roman"/>
          <w:sz w:val="32"/>
          <w:szCs w:val="32"/>
        </w:rPr>
        <w:t>il giudice interpreta (anche) sentenze ai fini della decisione di nuovi casi;</w:t>
      </w:r>
      <w:r w:rsidRPr="0049286C">
        <w:rPr>
          <w:rFonts w:ascii="Times New Roman" w:hAnsi="Times New Roman"/>
          <w:sz w:val="32"/>
          <w:szCs w:val="32"/>
        </w:rPr>
        <w:t xml:space="preserve"> e conseguentemente alle sentenze precedenti </w:t>
      </w:r>
      <w:r w:rsidRPr="0049286C">
        <w:rPr>
          <w:rFonts w:ascii="Times New Roman" w:hAnsi="Times New Roman"/>
          <w:sz w:val="32"/>
          <w:szCs w:val="32"/>
        </w:rPr>
        <w:lastRenderedPageBreak/>
        <w:t>guardano gli avvocati, ai fini di una interpretazione della legge che ponga in risalto gli argomenti favorevoli alla propria tesi; e alle sentenze guardano gli studiosi, la dottrina, che anzi fin troppo talvolta procede a una opera di interpretazione e</w:t>
      </w:r>
      <w:r w:rsidR="00263260">
        <w:rPr>
          <w:rFonts w:ascii="Times New Roman" w:hAnsi="Times New Roman"/>
          <w:sz w:val="32"/>
          <w:szCs w:val="32"/>
        </w:rPr>
        <w:t xml:space="preserve"> mera</w:t>
      </w:r>
      <w:r w:rsidRPr="0049286C">
        <w:rPr>
          <w:rFonts w:ascii="Times New Roman" w:hAnsi="Times New Roman"/>
          <w:sz w:val="32"/>
          <w:szCs w:val="32"/>
        </w:rPr>
        <w:t xml:space="preserve"> sistemazione della giurisprudenza</w:t>
      </w:r>
      <w:r w:rsidR="00263260">
        <w:rPr>
          <w:rFonts w:ascii="Times New Roman" w:hAnsi="Times New Roman"/>
          <w:sz w:val="32"/>
          <w:szCs w:val="32"/>
        </w:rPr>
        <w:t>,</w:t>
      </w:r>
      <w:r w:rsidRPr="0049286C">
        <w:rPr>
          <w:rFonts w:ascii="Times New Roman" w:hAnsi="Times New Roman"/>
          <w:sz w:val="32"/>
          <w:szCs w:val="32"/>
        </w:rPr>
        <w:t xml:space="preserve"> attenuando il  proprio fondamentale ruolo guida nel processo ermeneutico, sia pure svincolato da casi concreti.</w:t>
      </w:r>
    </w:p>
    <w:p w:rsidR="008C4558" w:rsidRPr="003570E5" w:rsidRDefault="004D17F7" w:rsidP="0049286C">
      <w:pPr>
        <w:spacing w:line="360" w:lineRule="auto"/>
        <w:jc w:val="both"/>
        <w:rPr>
          <w:rFonts w:ascii="Times New Roman" w:hAnsi="Times New Roman"/>
          <w:sz w:val="32"/>
          <w:szCs w:val="32"/>
        </w:rPr>
      </w:pPr>
      <w:r w:rsidRPr="003570E5">
        <w:rPr>
          <w:rFonts w:ascii="Times New Roman" w:hAnsi="Times New Roman"/>
          <w:sz w:val="32"/>
          <w:szCs w:val="32"/>
        </w:rPr>
        <w:t>Q</w:t>
      </w:r>
      <w:r w:rsidR="008C4558" w:rsidRPr="003570E5">
        <w:rPr>
          <w:rFonts w:ascii="Times New Roman" w:hAnsi="Times New Roman"/>
          <w:sz w:val="32"/>
          <w:szCs w:val="32"/>
        </w:rPr>
        <w:t>uesto diritto giurisprudenziale, sia pure inquadrato in un sistema di princìpi e valori positivamente posti in modo che non trascenda nell’occasionalismo giurisprudenziale</w:t>
      </w:r>
      <w:r w:rsidR="008C4558" w:rsidRPr="003570E5">
        <w:rPr>
          <w:rFonts w:ascii="Times New Roman" w:hAnsi="Times New Roman"/>
          <w:sz w:val="32"/>
          <w:szCs w:val="32"/>
          <w:vertAlign w:val="superscript"/>
        </w:rPr>
        <w:footnoteReference w:id="5"/>
      </w:r>
      <w:r w:rsidR="008C4558" w:rsidRPr="003570E5">
        <w:rPr>
          <w:rFonts w:ascii="Times New Roman" w:hAnsi="Times New Roman"/>
          <w:sz w:val="32"/>
          <w:szCs w:val="32"/>
        </w:rPr>
        <w:t>, concorre inevitabilmente, direi “a prescindere” (dall’adesione all’una o all’altra teoria o ideologia o Scuola</w:t>
      </w:r>
      <w:r w:rsidR="00263260">
        <w:rPr>
          <w:rFonts w:ascii="Times New Roman" w:hAnsi="Times New Roman"/>
          <w:sz w:val="32"/>
          <w:szCs w:val="32"/>
        </w:rPr>
        <w:t>, cui si riferiva prima il prof. Alpa</w:t>
      </w:r>
      <w:r w:rsidR="008C4558" w:rsidRPr="003570E5">
        <w:rPr>
          <w:rFonts w:ascii="Times New Roman" w:hAnsi="Times New Roman"/>
          <w:sz w:val="32"/>
          <w:szCs w:val="32"/>
        </w:rPr>
        <w:t>)</w:t>
      </w:r>
      <w:r w:rsidR="00263260">
        <w:rPr>
          <w:rStyle w:val="Rimandonotaapidipagina"/>
          <w:rFonts w:ascii="Times New Roman" w:hAnsi="Times New Roman"/>
          <w:sz w:val="32"/>
          <w:szCs w:val="32"/>
        </w:rPr>
        <w:footnoteReference w:id="6"/>
      </w:r>
      <w:r w:rsidR="008C4558" w:rsidRPr="003570E5">
        <w:rPr>
          <w:rFonts w:ascii="Times New Roman" w:hAnsi="Times New Roman"/>
          <w:sz w:val="32"/>
          <w:szCs w:val="32"/>
        </w:rPr>
        <w:t>, a “formare” diritto, cioè a costituire il diritto come concretamente applicato ogniqualvolta si chieda l’intervento del giudice per dirimere una controversia</w:t>
      </w:r>
      <w:r w:rsidR="00B830CD" w:rsidRPr="003570E5">
        <w:rPr>
          <w:rStyle w:val="Rimandonotaapidipagina"/>
          <w:rFonts w:ascii="Times New Roman" w:hAnsi="Times New Roman"/>
          <w:sz w:val="32"/>
          <w:szCs w:val="32"/>
        </w:rPr>
        <w:footnoteReference w:id="7"/>
      </w:r>
      <w:r w:rsidR="008C4558" w:rsidRPr="003570E5">
        <w:rPr>
          <w:rFonts w:ascii="Times New Roman" w:hAnsi="Times New Roman"/>
          <w:sz w:val="32"/>
          <w:szCs w:val="32"/>
        </w:rPr>
        <w:t>. Nel diritt</w:t>
      </w:r>
      <w:r w:rsidR="00B830CD" w:rsidRPr="003570E5">
        <w:rPr>
          <w:rFonts w:ascii="Times New Roman" w:hAnsi="Times New Roman"/>
          <w:sz w:val="32"/>
          <w:szCs w:val="32"/>
        </w:rPr>
        <w:t>o giurisprudenziale trova ampio</w:t>
      </w:r>
      <w:r w:rsidR="00C85068" w:rsidRPr="003570E5">
        <w:rPr>
          <w:rFonts w:ascii="Times New Roman" w:hAnsi="Times New Roman"/>
          <w:sz w:val="32"/>
          <w:szCs w:val="32"/>
        </w:rPr>
        <w:t>,</w:t>
      </w:r>
      <w:r w:rsidR="008C4558" w:rsidRPr="003570E5">
        <w:rPr>
          <w:rFonts w:ascii="Times New Roman" w:hAnsi="Times New Roman"/>
          <w:sz w:val="32"/>
          <w:szCs w:val="32"/>
        </w:rPr>
        <w:t xml:space="preserve"> e direi</w:t>
      </w:r>
      <w:r w:rsidR="00B830CD" w:rsidRPr="003570E5">
        <w:rPr>
          <w:rFonts w:ascii="Times New Roman" w:hAnsi="Times New Roman"/>
          <w:sz w:val="32"/>
          <w:szCs w:val="32"/>
        </w:rPr>
        <w:t xml:space="preserve"> talvolta</w:t>
      </w:r>
      <w:r w:rsidR="008C4558" w:rsidRPr="003570E5">
        <w:rPr>
          <w:rFonts w:ascii="Times New Roman" w:hAnsi="Times New Roman"/>
          <w:sz w:val="32"/>
          <w:szCs w:val="32"/>
        </w:rPr>
        <w:t xml:space="preserve"> eccessivo</w:t>
      </w:r>
      <w:r w:rsidR="00C85068" w:rsidRPr="003570E5">
        <w:rPr>
          <w:rFonts w:ascii="Times New Roman" w:hAnsi="Times New Roman"/>
          <w:sz w:val="32"/>
          <w:szCs w:val="32"/>
        </w:rPr>
        <w:t>,</w:t>
      </w:r>
      <w:r w:rsidR="008C4558" w:rsidRPr="003570E5">
        <w:rPr>
          <w:rFonts w:ascii="Times New Roman" w:hAnsi="Times New Roman"/>
          <w:sz w:val="32"/>
          <w:szCs w:val="32"/>
        </w:rPr>
        <w:t xml:space="preserve"> posto la cd. </w:t>
      </w:r>
      <w:proofErr w:type="gramStart"/>
      <w:r w:rsidR="008C4558" w:rsidRPr="003570E5">
        <w:rPr>
          <w:rFonts w:ascii="Times New Roman" w:hAnsi="Times New Roman"/>
          <w:sz w:val="32"/>
          <w:szCs w:val="32"/>
        </w:rPr>
        <w:t>discrezionalità</w:t>
      </w:r>
      <w:proofErr w:type="gramEnd"/>
      <w:r w:rsidR="008C4558" w:rsidRPr="003570E5">
        <w:rPr>
          <w:rFonts w:ascii="Times New Roman" w:hAnsi="Times New Roman"/>
          <w:sz w:val="32"/>
          <w:szCs w:val="32"/>
        </w:rPr>
        <w:t xml:space="preserve"> giudiziaria</w:t>
      </w:r>
      <w:r w:rsidR="008C4558" w:rsidRPr="003570E5">
        <w:rPr>
          <w:rStyle w:val="Rimandonotaapidipagina"/>
          <w:rFonts w:ascii="Times New Roman" w:hAnsi="Times New Roman"/>
          <w:sz w:val="32"/>
          <w:szCs w:val="32"/>
        </w:rPr>
        <w:footnoteReference w:id="8"/>
      </w:r>
      <w:r w:rsidR="008C4558" w:rsidRPr="003570E5">
        <w:rPr>
          <w:rFonts w:ascii="Times New Roman" w:hAnsi="Times New Roman"/>
          <w:sz w:val="32"/>
          <w:szCs w:val="32"/>
        </w:rPr>
        <w:t>, che contribuisce a rendere meno prevedibile la decisione del giudice.</w:t>
      </w:r>
    </w:p>
    <w:p w:rsidR="00B33936" w:rsidRDefault="008C4558" w:rsidP="0049286C">
      <w:pPr>
        <w:spacing w:line="360" w:lineRule="auto"/>
        <w:jc w:val="both"/>
        <w:rPr>
          <w:rFonts w:ascii="Times New Roman" w:hAnsi="Times New Roman"/>
          <w:sz w:val="32"/>
          <w:szCs w:val="32"/>
        </w:rPr>
      </w:pPr>
      <w:r w:rsidRPr="003570E5">
        <w:rPr>
          <w:rFonts w:ascii="Times New Roman" w:hAnsi="Times New Roman"/>
          <w:sz w:val="32"/>
          <w:szCs w:val="32"/>
        </w:rPr>
        <w:t>Nel diritto amministrativo la situazione è</w:t>
      </w:r>
      <w:r w:rsidR="00845398">
        <w:rPr>
          <w:rFonts w:ascii="Times New Roman" w:hAnsi="Times New Roman"/>
          <w:sz w:val="32"/>
          <w:szCs w:val="32"/>
        </w:rPr>
        <w:t xml:space="preserve"> ancora</w:t>
      </w:r>
      <w:r w:rsidRPr="003570E5">
        <w:rPr>
          <w:rFonts w:ascii="Times New Roman" w:hAnsi="Times New Roman"/>
          <w:sz w:val="32"/>
          <w:szCs w:val="32"/>
        </w:rPr>
        <w:t xml:space="preserve"> </w:t>
      </w:r>
      <w:r w:rsidR="008335A7" w:rsidRPr="003570E5">
        <w:rPr>
          <w:rFonts w:ascii="Times New Roman" w:hAnsi="Times New Roman"/>
          <w:sz w:val="32"/>
          <w:szCs w:val="32"/>
        </w:rPr>
        <w:t>più</w:t>
      </w:r>
      <w:r w:rsidRPr="003570E5">
        <w:rPr>
          <w:rFonts w:ascii="Times New Roman" w:hAnsi="Times New Roman"/>
          <w:sz w:val="32"/>
          <w:szCs w:val="32"/>
        </w:rPr>
        <w:t xml:space="preserve"> complicata.</w:t>
      </w:r>
      <w:r>
        <w:rPr>
          <w:rFonts w:ascii="Times New Roman" w:hAnsi="Times New Roman"/>
          <w:sz w:val="32"/>
          <w:szCs w:val="32"/>
        </w:rPr>
        <w:t xml:space="preserve"> Per ragioni varie:</w:t>
      </w:r>
    </w:p>
    <w:p w:rsidR="004D17F7" w:rsidRDefault="008C4558" w:rsidP="0049286C">
      <w:pPr>
        <w:spacing w:line="360" w:lineRule="auto"/>
        <w:jc w:val="both"/>
        <w:rPr>
          <w:rFonts w:ascii="Times New Roman" w:hAnsi="Times New Roman"/>
          <w:sz w:val="32"/>
          <w:szCs w:val="32"/>
        </w:rPr>
      </w:pPr>
      <w:r>
        <w:rPr>
          <w:rFonts w:ascii="Times New Roman" w:hAnsi="Times New Roman"/>
          <w:sz w:val="32"/>
          <w:szCs w:val="32"/>
        </w:rPr>
        <w:t xml:space="preserve"> </w:t>
      </w:r>
      <w:r w:rsidR="004D17F7">
        <w:rPr>
          <w:rFonts w:ascii="Times New Roman" w:hAnsi="Times New Roman"/>
          <w:sz w:val="32"/>
          <w:szCs w:val="32"/>
        </w:rPr>
        <w:t xml:space="preserve">a) </w:t>
      </w:r>
      <w:r w:rsidRPr="003570E5">
        <w:rPr>
          <w:rFonts w:ascii="Times New Roman" w:hAnsi="Times New Roman"/>
          <w:sz w:val="32"/>
          <w:szCs w:val="32"/>
        </w:rPr>
        <w:t xml:space="preserve">perché storicamente il giudice amministrativo ha contribuito a “creare” il diritto amministrativo, a regolare i rapporti tra cittadino e potere pubblico, </w:t>
      </w:r>
      <w:r w:rsidRPr="003570E5">
        <w:rPr>
          <w:rFonts w:ascii="Times New Roman" w:hAnsi="Times New Roman"/>
          <w:sz w:val="32"/>
          <w:szCs w:val="32"/>
        </w:rPr>
        <w:lastRenderedPageBreak/>
        <w:t>a dettare regole di comportamento ai poteri pubblici attraverso l’effetto conformativo della sentenza, a creare situazioni soggettive tutelabili.</w:t>
      </w:r>
      <w:r>
        <w:rPr>
          <w:rFonts w:ascii="Times New Roman" w:hAnsi="Times New Roman"/>
          <w:sz w:val="32"/>
          <w:szCs w:val="32"/>
        </w:rPr>
        <w:t xml:space="preserve"> Certo, oggi la fase creativa, pretoria, è recessiva a seguito della </w:t>
      </w:r>
      <w:proofErr w:type="spellStart"/>
      <w:r>
        <w:rPr>
          <w:rFonts w:ascii="Times New Roman" w:hAnsi="Times New Roman"/>
          <w:sz w:val="32"/>
          <w:szCs w:val="32"/>
        </w:rPr>
        <w:t>positivizzazione</w:t>
      </w:r>
      <w:proofErr w:type="spellEnd"/>
      <w:r>
        <w:rPr>
          <w:rFonts w:ascii="Times New Roman" w:hAnsi="Times New Roman"/>
          <w:sz w:val="32"/>
          <w:szCs w:val="32"/>
        </w:rPr>
        <w:t xml:space="preserve"> in legge dei princìpi giurisprudenziali</w:t>
      </w:r>
      <w:r>
        <w:rPr>
          <w:rStyle w:val="Rimandonotaapidipagina"/>
          <w:rFonts w:ascii="Times New Roman" w:hAnsi="Times New Roman"/>
          <w:sz w:val="32"/>
          <w:szCs w:val="32"/>
        </w:rPr>
        <w:footnoteReference w:id="9"/>
      </w:r>
      <w:r>
        <w:rPr>
          <w:rFonts w:ascii="Times New Roman" w:hAnsi="Times New Roman"/>
          <w:sz w:val="32"/>
          <w:szCs w:val="32"/>
        </w:rPr>
        <w:t>; ma è altresì vero che “per paradossale che possa sembrare</w:t>
      </w:r>
      <w:r w:rsidR="004D17F7">
        <w:rPr>
          <w:rFonts w:ascii="Times New Roman" w:hAnsi="Times New Roman"/>
          <w:sz w:val="32"/>
          <w:szCs w:val="32"/>
        </w:rPr>
        <w:t>” oggi il ricorso ai princìpi e alla sistemazione degli istituti in categorie</w:t>
      </w:r>
      <w:r>
        <w:rPr>
          <w:rFonts w:ascii="Times New Roman" w:hAnsi="Times New Roman"/>
          <w:sz w:val="32"/>
          <w:szCs w:val="32"/>
        </w:rPr>
        <w:t xml:space="preserve"> </w:t>
      </w:r>
      <w:r w:rsidR="004D17F7">
        <w:rPr>
          <w:rFonts w:ascii="Times New Roman" w:hAnsi="Times New Roman"/>
          <w:sz w:val="32"/>
          <w:szCs w:val="32"/>
        </w:rPr>
        <w:t>“</w:t>
      </w:r>
      <w:r>
        <w:rPr>
          <w:rFonts w:ascii="Times New Roman" w:hAnsi="Times New Roman"/>
          <w:sz w:val="32"/>
          <w:szCs w:val="32"/>
        </w:rPr>
        <w:t>è reso necessario non dall’assenza di indicazioni normative, ma dall’eccesso e dalla contraddittorietà di queste”</w:t>
      </w:r>
      <w:r>
        <w:rPr>
          <w:rStyle w:val="Rimandonotaapidipagina"/>
          <w:rFonts w:ascii="Times New Roman" w:hAnsi="Times New Roman"/>
          <w:sz w:val="32"/>
          <w:szCs w:val="32"/>
        </w:rPr>
        <w:footnoteReference w:id="10"/>
      </w:r>
      <w:r>
        <w:rPr>
          <w:rFonts w:ascii="Times New Roman" w:hAnsi="Times New Roman"/>
          <w:sz w:val="32"/>
          <w:szCs w:val="32"/>
        </w:rPr>
        <w:t xml:space="preserve">. E’ indubbio che il giudice amministrativo, ancor più di quello civile, </w:t>
      </w:r>
      <w:r w:rsidRPr="003570E5">
        <w:rPr>
          <w:rFonts w:ascii="Times New Roman" w:hAnsi="Times New Roman"/>
          <w:sz w:val="32"/>
          <w:szCs w:val="32"/>
        </w:rPr>
        <w:t>utilizza modelli normativi aperti e ricorre a clausole generali molto più di frequente del giudice civile,</w:t>
      </w:r>
      <w:r>
        <w:rPr>
          <w:rFonts w:ascii="Times New Roman" w:hAnsi="Times New Roman"/>
          <w:sz w:val="32"/>
          <w:szCs w:val="32"/>
        </w:rPr>
        <w:t xml:space="preserve"> anche se –come si è detto- anche nel diritto civile, e segnatamente nel settore</w:t>
      </w:r>
      <w:r w:rsidR="00845398">
        <w:rPr>
          <w:rStyle w:val="Rimandonotaapidipagina"/>
          <w:rFonts w:ascii="Times New Roman" w:hAnsi="Times New Roman"/>
          <w:sz w:val="32"/>
          <w:szCs w:val="32"/>
        </w:rPr>
        <w:footnoteReference w:id="11"/>
      </w:r>
      <w:r>
        <w:rPr>
          <w:rFonts w:ascii="Times New Roman" w:hAnsi="Times New Roman"/>
          <w:sz w:val="32"/>
          <w:szCs w:val="32"/>
        </w:rPr>
        <w:t xml:space="preserve"> dei contratti e dell’illecito, il ricorso a modelli normativi aperti induce sempre più anche quel giudice ad adott</w:t>
      </w:r>
      <w:r w:rsidR="004D17F7">
        <w:rPr>
          <w:rFonts w:ascii="Times New Roman" w:hAnsi="Times New Roman"/>
          <w:sz w:val="32"/>
          <w:szCs w:val="32"/>
        </w:rPr>
        <w:t>are analoghe tecniche di tutela;</w:t>
      </w:r>
    </w:p>
    <w:p w:rsidR="008C4558" w:rsidRDefault="004D17F7" w:rsidP="004D17F7">
      <w:pPr>
        <w:spacing w:line="360" w:lineRule="auto"/>
        <w:jc w:val="both"/>
        <w:rPr>
          <w:rFonts w:ascii="Times New Roman" w:hAnsi="Times New Roman"/>
          <w:sz w:val="32"/>
          <w:szCs w:val="32"/>
        </w:rPr>
      </w:pPr>
      <w:r>
        <w:rPr>
          <w:rFonts w:ascii="Times New Roman" w:hAnsi="Times New Roman"/>
          <w:sz w:val="32"/>
          <w:szCs w:val="32"/>
        </w:rPr>
        <w:t xml:space="preserve">b) </w:t>
      </w:r>
      <w:r w:rsidR="008C4558">
        <w:rPr>
          <w:rFonts w:ascii="Times New Roman" w:hAnsi="Times New Roman"/>
          <w:sz w:val="32"/>
          <w:szCs w:val="32"/>
        </w:rPr>
        <w:t xml:space="preserve"> la poca prevedibilità della decisione del giudice amministrativo risente anche dalla </w:t>
      </w:r>
      <w:r w:rsidR="008C4558" w:rsidRPr="003570E5">
        <w:rPr>
          <w:rFonts w:ascii="Times New Roman" w:hAnsi="Times New Roman"/>
          <w:sz w:val="32"/>
          <w:szCs w:val="32"/>
        </w:rPr>
        <w:t>imprevedibilità del potere pubblico, conseguenza del regredire della legalità sostanziale e del defini</w:t>
      </w:r>
      <w:r w:rsidR="00C85068" w:rsidRPr="003570E5">
        <w:rPr>
          <w:rFonts w:ascii="Times New Roman" w:hAnsi="Times New Roman"/>
          <w:sz w:val="32"/>
          <w:szCs w:val="32"/>
        </w:rPr>
        <w:t>rsi</w:t>
      </w:r>
      <w:r w:rsidR="008C4558" w:rsidRPr="003570E5">
        <w:rPr>
          <w:rFonts w:ascii="Times New Roman" w:hAnsi="Times New Roman"/>
          <w:sz w:val="32"/>
          <w:szCs w:val="32"/>
        </w:rPr>
        <w:t xml:space="preserve"> </w:t>
      </w:r>
      <w:r w:rsidR="008C4558" w:rsidRPr="003570E5">
        <w:rPr>
          <w:rFonts w:ascii="Times New Roman" w:hAnsi="Times New Roman"/>
          <w:i/>
          <w:sz w:val="32"/>
          <w:szCs w:val="32"/>
        </w:rPr>
        <w:t>in progress</w:t>
      </w:r>
      <w:r w:rsidR="00C85068" w:rsidRPr="003570E5">
        <w:rPr>
          <w:rFonts w:ascii="Times New Roman" w:hAnsi="Times New Roman"/>
          <w:sz w:val="32"/>
          <w:szCs w:val="32"/>
        </w:rPr>
        <w:t xml:space="preserve"> dell’interesse</w:t>
      </w:r>
      <w:r w:rsidR="00C85068">
        <w:rPr>
          <w:rFonts w:ascii="Times New Roman" w:hAnsi="Times New Roman"/>
          <w:sz w:val="32"/>
          <w:szCs w:val="32"/>
        </w:rPr>
        <w:t xml:space="preserve"> pubblico </w:t>
      </w:r>
      <w:r>
        <w:rPr>
          <w:rFonts w:ascii="Times New Roman" w:hAnsi="Times New Roman"/>
          <w:sz w:val="32"/>
          <w:szCs w:val="32"/>
        </w:rPr>
        <w:t>in concreto perseguito;</w:t>
      </w:r>
    </w:p>
    <w:p w:rsidR="008C4558" w:rsidRDefault="004D17F7" w:rsidP="0049286C">
      <w:pPr>
        <w:spacing w:line="360" w:lineRule="auto"/>
        <w:jc w:val="both"/>
        <w:rPr>
          <w:rFonts w:ascii="Times New Roman" w:hAnsi="Times New Roman"/>
          <w:sz w:val="32"/>
          <w:szCs w:val="32"/>
        </w:rPr>
      </w:pPr>
      <w:r>
        <w:rPr>
          <w:rFonts w:ascii="Times New Roman" w:hAnsi="Times New Roman"/>
          <w:sz w:val="32"/>
          <w:szCs w:val="32"/>
        </w:rPr>
        <w:t xml:space="preserve">c) </w:t>
      </w:r>
      <w:r w:rsidR="008C4558">
        <w:rPr>
          <w:rFonts w:ascii="Times New Roman" w:hAnsi="Times New Roman"/>
          <w:sz w:val="32"/>
          <w:szCs w:val="32"/>
        </w:rPr>
        <w:t xml:space="preserve">lo stesso </w:t>
      </w:r>
      <w:r w:rsidR="008C4558" w:rsidRPr="003570E5">
        <w:rPr>
          <w:rFonts w:ascii="Times New Roman" w:hAnsi="Times New Roman"/>
          <w:sz w:val="32"/>
          <w:szCs w:val="32"/>
        </w:rPr>
        <w:t>ordinamento europeo</w:t>
      </w:r>
      <w:r w:rsidR="008C4558">
        <w:rPr>
          <w:rFonts w:ascii="Times New Roman" w:hAnsi="Times New Roman"/>
          <w:sz w:val="32"/>
          <w:szCs w:val="32"/>
        </w:rPr>
        <w:t xml:space="preserve"> risente sempre più dell’influsso creativo del giudice</w:t>
      </w:r>
      <w:r w:rsidR="003570E5">
        <w:rPr>
          <w:rStyle w:val="Rimandonotaapidipagina"/>
          <w:rFonts w:ascii="Times New Roman" w:hAnsi="Times New Roman"/>
          <w:sz w:val="32"/>
          <w:szCs w:val="32"/>
        </w:rPr>
        <w:footnoteReference w:id="12"/>
      </w:r>
      <w:r w:rsidR="008C4558">
        <w:rPr>
          <w:rFonts w:ascii="Times New Roman" w:hAnsi="Times New Roman"/>
          <w:sz w:val="32"/>
          <w:szCs w:val="32"/>
        </w:rPr>
        <w:t xml:space="preserve">; un po’ per la scarsa rilevanza, che oggi rasenta la crisi, delle istituzioni europee rappresentative (e questa è la patologia), ma molto </w:t>
      </w:r>
      <w:r w:rsidR="008C4558" w:rsidRPr="003570E5">
        <w:rPr>
          <w:rFonts w:ascii="Times New Roman" w:hAnsi="Times New Roman"/>
          <w:sz w:val="32"/>
          <w:szCs w:val="32"/>
        </w:rPr>
        <w:t>perché il noto meccanismo triangolare</w:t>
      </w:r>
      <w:r w:rsidR="008C4558">
        <w:rPr>
          <w:rFonts w:ascii="Times New Roman" w:hAnsi="Times New Roman"/>
          <w:sz w:val="32"/>
          <w:szCs w:val="32"/>
        </w:rPr>
        <w:t xml:space="preserve"> che guida l’azione della Corte di giustizia, che trasforma le tradizioni costituzionali comuni in princìpi di </w:t>
      </w:r>
      <w:r w:rsidR="008C4558">
        <w:rPr>
          <w:rFonts w:ascii="Times New Roman" w:hAnsi="Times New Roman"/>
          <w:sz w:val="32"/>
          <w:szCs w:val="32"/>
        </w:rPr>
        <w:lastRenderedPageBreak/>
        <w:t>diritto europeo, rende le sentenze della Corte –come si diceva- vere e proprie fonti de</w:t>
      </w:r>
      <w:r w:rsidR="00845398">
        <w:rPr>
          <w:rFonts w:ascii="Times New Roman" w:hAnsi="Times New Roman"/>
          <w:sz w:val="32"/>
          <w:szCs w:val="32"/>
        </w:rPr>
        <w:t>l diritto, ben al di là del</w:t>
      </w:r>
      <w:r w:rsidR="008C4558">
        <w:rPr>
          <w:rFonts w:ascii="Times New Roman" w:hAnsi="Times New Roman"/>
          <w:sz w:val="32"/>
          <w:szCs w:val="32"/>
        </w:rPr>
        <w:t xml:space="preserve"> valore</w:t>
      </w:r>
      <w:r w:rsidR="00845398">
        <w:rPr>
          <w:rFonts w:ascii="Times New Roman" w:hAnsi="Times New Roman"/>
          <w:sz w:val="32"/>
          <w:szCs w:val="32"/>
        </w:rPr>
        <w:t xml:space="preserve"> loro attribuito come</w:t>
      </w:r>
      <w:r w:rsidR="008C4558">
        <w:rPr>
          <w:rFonts w:ascii="Times New Roman" w:hAnsi="Times New Roman"/>
          <w:sz w:val="32"/>
          <w:szCs w:val="32"/>
        </w:rPr>
        <w:t xml:space="preserve"> prec</w:t>
      </w:r>
      <w:r w:rsidR="00845398">
        <w:rPr>
          <w:rFonts w:ascii="Times New Roman" w:hAnsi="Times New Roman"/>
          <w:sz w:val="32"/>
          <w:szCs w:val="32"/>
        </w:rPr>
        <w:t>edente (quand’anche vincolante); meccanismo –si badi- che “pesca” prevalentemente negli orientamenti delle Corti nazionali e si riversa negli ordinamenti nazionali dopo la loro “selezione” ad opera della Corte di giustizia.</w:t>
      </w:r>
    </w:p>
    <w:p w:rsidR="00D963F2" w:rsidRDefault="008C4558" w:rsidP="0049286C">
      <w:pPr>
        <w:spacing w:line="360" w:lineRule="auto"/>
        <w:jc w:val="both"/>
        <w:rPr>
          <w:rFonts w:ascii="Times New Roman" w:hAnsi="Times New Roman"/>
          <w:sz w:val="32"/>
          <w:szCs w:val="32"/>
        </w:rPr>
      </w:pPr>
      <w:r>
        <w:rPr>
          <w:rFonts w:ascii="Times New Roman" w:hAnsi="Times New Roman"/>
          <w:sz w:val="32"/>
          <w:szCs w:val="32"/>
        </w:rPr>
        <w:t xml:space="preserve">Tutto questo </w:t>
      </w:r>
      <w:r w:rsidRPr="003570E5">
        <w:rPr>
          <w:rFonts w:ascii="Times New Roman" w:hAnsi="Times New Roman"/>
          <w:sz w:val="32"/>
          <w:szCs w:val="32"/>
        </w:rPr>
        <w:t>magmatico diritto giurisprudenziale</w:t>
      </w:r>
      <w:r>
        <w:rPr>
          <w:rFonts w:ascii="Times New Roman" w:hAnsi="Times New Roman"/>
          <w:sz w:val="32"/>
          <w:szCs w:val="32"/>
        </w:rPr>
        <w:t xml:space="preserve">, che mette in serio pericolo valori quali la certezza del diritto e la prevedibilità delle decisioni, come tradizionalmente intesi, e, in ultima analisi, il principio di pari trattamento di fronte alla legge, </w:t>
      </w:r>
      <w:r w:rsidRPr="003570E5">
        <w:rPr>
          <w:rFonts w:ascii="Times New Roman" w:hAnsi="Times New Roman"/>
          <w:sz w:val="32"/>
          <w:szCs w:val="32"/>
        </w:rPr>
        <w:t xml:space="preserve">costituisce la ragione più forte che è alla base </w:t>
      </w:r>
      <w:r w:rsidR="008335A7" w:rsidRPr="003570E5">
        <w:rPr>
          <w:rFonts w:ascii="Times New Roman" w:hAnsi="Times New Roman"/>
          <w:sz w:val="32"/>
          <w:szCs w:val="32"/>
        </w:rPr>
        <w:t xml:space="preserve">dell’esigenza </w:t>
      </w:r>
      <w:r w:rsidR="00D963F2" w:rsidRPr="003570E5">
        <w:rPr>
          <w:rFonts w:ascii="Times New Roman" w:hAnsi="Times New Roman"/>
          <w:sz w:val="32"/>
          <w:szCs w:val="32"/>
        </w:rPr>
        <w:t>di individuare meccanismi volti ad attenuare questo pericolo,</w:t>
      </w:r>
      <w:r w:rsidR="00D963F2">
        <w:rPr>
          <w:rFonts w:ascii="Times New Roman" w:hAnsi="Times New Roman"/>
          <w:sz w:val="32"/>
          <w:szCs w:val="32"/>
        </w:rPr>
        <w:t xml:space="preserve"> pur prendendo atto della ineludibilità, nei suoi aspetti fisiologici, di una quota-parte di formazione giurisprudenziale del nostro ordinamento.</w:t>
      </w:r>
    </w:p>
    <w:p w:rsidR="004D17F7" w:rsidRDefault="008C4558" w:rsidP="0049286C">
      <w:pPr>
        <w:spacing w:line="360" w:lineRule="auto"/>
        <w:jc w:val="both"/>
        <w:rPr>
          <w:rFonts w:ascii="Times New Roman" w:hAnsi="Times New Roman"/>
          <w:b/>
          <w:sz w:val="32"/>
          <w:szCs w:val="32"/>
          <w:u w:val="single"/>
        </w:rPr>
      </w:pPr>
      <w:r w:rsidRPr="00AC6A83">
        <w:rPr>
          <w:rFonts w:ascii="Times New Roman" w:hAnsi="Times New Roman"/>
          <w:b/>
          <w:sz w:val="32"/>
          <w:szCs w:val="32"/>
          <w:u w:val="single"/>
        </w:rPr>
        <w:t xml:space="preserve">2 </w:t>
      </w:r>
      <w:r w:rsidR="004D17F7">
        <w:rPr>
          <w:rFonts w:ascii="Times New Roman" w:hAnsi="Times New Roman"/>
          <w:b/>
          <w:sz w:val="32"/>
          <w:szCs w:val="32"/>
          <w:u w:val="single"/>
        </w:rPr>
        <w:t>–</w:t>
      </w:r>
      <w:r w:rsidRPr="00AC6A83">
        <w:rPr>
          <w:rFonts w:ascii="Times New Roman" w:hAnsi="Times New Roman"/>
          <w:b/>
          <w:sz w:val="32"/>
          <w:szCs w:val="32"/>
          <w:u w:val="single"/>
        </w:rPr>
        <w:t xml:space="preserve"> </w:t>
      </w:r>
      <w:r w:rsidR="004D17F7">
        <w:rPr>
          <w:rFonts w:ascii="Times New Roman" w:hAnsi="Times New Roman"/>
          <w:b/>
          <w:sz w:val="32"/>
          <w:szCs w:val="32"/>
          <w:u w:val="single"/>
        </w:rPr>
        <w:t>Valore del precedente e nomofilachia</w:t>
      </w:r>
    </w:p>
    <w:p w:rsidR="002C45E2" w:rsidRPr="00B33936" w:rsidRDefault="002C45E2" w:rsidP="0049286C">
      <w:pPr>
        <w:spacing w:line="360" w:lineRule="auto"/>
        <w:jc w:val="both"/>
        <w:rPr>
          <w:rFonts w:ascii="Times New Roman" w:hAnsi="Times New Roman"/>
          <w:b/>
          <w:sz w:val="32"/>
          <w:szCs w:val="32"/>
        </w:rPr>
      </w:pPr>
      <w:r>
        <w:rPr>
          <w:rFonts w:ascii="Times New Roman" w:hAnsi="Times New Roman"/>
          <w:sz w:val="32"/>
          <w:szCs w:val="32"/>
        </w:rPr>
        <w:t xml:space="preserve">Assicurare una </w:t>
      </w:r>
      <w:r w:rsidRPr="003570E5">
        <w:rPr>
          <w:rFonts w:ascii="Times New Roman" w:hAnsi="Times New Roman"/>
          <w:sz w:val="32"/>
          <w:szCs w:val="32"/>
        </w:rPr>
        <w:t>tendenziale prevedibilità delle decisioni giudiziarie è dunque un bene irrinunciabile. Come fare?</w:t>
      </w:r>
    </w:p>
    <w:p w:rsidR="002C45E2" w:rsidRDefault="002C45E2" w:rsidP="0049286C">
      <w:pPr>
        <w:spacing w:line="360" w:lineRule="auto"/>
        <w:jc w:val="both"/>
        <w:rPr>
          <w:rFonts w:ascii="Times New Roman" w:hAnsi="Times New Roman"/>
          <w:sz w:val="32"/>
          <w:szCs w:val="32"/>
        </w:rPr>
      </w:pPr>
      <w:r>
        <w:rPr>
          <w:rFonts w:ascii="Times New Roman" w:hAnsi="Times New Roman"/>
          <w:sz w:val="32"/>
          <w:szCs w:val="32"/>
        </w:rPr>
        <w:t xml:space="preserve">L’ideale sarebbe che il giudice sappia fare </w:t>
      </w:r>
      <w:r w:rsidRPr="003570E5">
        <w:rPr>
          <w:rFonts w:ascii="Times New Roman" w:hAnsi="Times New Roman"/>
          <w:sz w:val="32"/>
          <w:szCs w:val="32"/>
        </w:rPr>
        <w:t>buon uso della propria “discrezionalità” (</w:t>
      </w:r>
      <w:proofErr w:type="spellStart"/>
      <w:r w:rsidRPr="003570E5">
        <w:rPr>
          <w:rFonts w:ascii="Times New Roman" w:hAnsi="Times New Roman"/>
          <w:sz w:val="32"/>
          <w:szCs w:val="32"/>
        </w:rPr>
        <w:t>Barak</w:t>
      </w:r>
      <w:proofErr w:type="spellEnd"/>
      <w:r w:rsidRPr="003570E5">
        <w:rPr>
          <w:rFonts w:ascii="Times New Roman" w:hAnsi="Times New Roman"/>
          <w:sz w:val="32"/>
          <w:szCs w:val="32"/>
        </w:rPr>
        <w:t>), “creandosi delle fattispecie”,</w:t>
      </w:r>
      <w:r>
        <w:rPr>
          <w:rFonts w:ascii="Times New Roman" w:hAnsi="Times New Roman"/>
          <w:sz w:val="32"/>
          <w:szCs w:val="32"/>
        </w:rPr>
        <w:t xml:space="preserve"> secondo un modello risalente all’editto pretorile del diritto romano classico. Nel processo amministrativo, tale ruolo può essere assegnato al </w:t>
      </w:r>
      <w:r w:rsidRPr="003570E5">
        <w:rPr>
          <w:rFonts w:ascii="Times New Roman" w:hAnsi="Times New Roman"/>
          <w:sz w:val="32"/>
          <w:szCs w:val="32"/>
        </w:rPr>
        <w:t xml:space="preserve">cd. </w:t>
      </w:r>
      <w:proofErr w:type="gramStart"/>
      <w:r w:rsidRPr="003570E5">
        <w:rPr>
          <w:rFonts w:ascii="Times New Roman" w:hAnsi="Times New Roman"/>
          <w:sz w:val="32"/>
          <w:szCs w:val="32"/>
        </w:rPr>
        <w:t>effetto</w:t>
      </w:r>
      <w:proofErr w:type="gramEnd"/>
      <w:r w:rsidRPr="003570E5">
        <w:rPr>
          <w:rFonts w:ascii="Times New Roman" w:hAnsi="Times New Roman"/>
          <w:sz w:val="32"/>
          <w:szCs w:val="32"/>
        </w:rPr>
        <w:t xml:space="preserve"> conformativo esterno della sentenza,</w:t>
      </w:r>
      <w:r>
        <w:rPr>
          <w:rFonts w:ascii="Times New Roman" w:hAnsi="Times New Roman"/>
          <w:sz w:val="32"/>
          <w:szCs w:val="32"/>
        </w:rPr>
        <w:t xml:space="preserve"> che si collega alla funzione extraprocessuale delle sentenze di cui parlava Gino Gorla: il giudice, nel decidere un caso, pone all’amministrazione una regola di comportamento che vale per quel caso ma che può e deve valere per futuri casi simili.</w:t>
      </w:r>
    </w:p>
    <w:p w:rsidR="002C45E2" w:rsidRPr="00856949" w:rsidRDefault="002C45E2" w:rsidP="002C45E2">
      <w:pPr>
        <w:spacing w:line="360" w:lineRule="auto"/>
        <w:jc w:val="both"/>
        <w:rPr>
          <w:rFonts w:ascii="Times New Roman" w:hAnsi="Times New Roman"/>
          <w:sz w:val="32"/>
          <w:szCs w:val="32"/>
        </w:rPr>
      </w:pPr>
      <w:r>
        <w:rPr>
          <w:rFonts w:ascii="Times New Roman" w:hAnsi="Times New Roman"/>
          <w:sz w:val="32"/>
          <w:szCs w:val="32"/>
        </w:rPr>
        <w:lastRenderedPageBreak/>
        <w:t xml:space="preserve">Ma la risposta apparentemente più semplice per assicurare la prevedibilità delle decisioni è il meccanismo dello </w:t>
      </w:r>
      <w:r w:rsidRPr="003570E5">
        <w:rPr>
          <w:rFonts w:ascii="Times New Roman" w:hAnsi="Times New Roman"/>
          <w:i/>
          <w:sz w:val="32"/>
          <w:szCs w:val="32"/>
        </w:rPr>
        <w:t xml:space="preserve">stare </w:t>
      </w:r>
      <w:proofErr w:type="spellStart"/>
      <w:r w:rsidRPr="003570E5">
        <w:rPr>
          <w:rFonts w:ascii="Times New Roman" w:hAnsi="Times New Roman"/>
          <w:i/>
          <w:sz w:val="32"/>
          <w:szCs w:val="32"/>
        </w:rPr>
        <w:t>decisis</w:t>
      </w:r>
      <w:proofErr w:type="spellEnd"/>
      <w:r w:rsidRPr="003570E5">
        <w:rPr>
          <w:rFonts w:ascii="Times New Roman" w:hAnsi="Times New Roman"/>
          <w:sz w:val="32"/>
          <w:szCs w:val="32"/>
        </w:rPr>
        <w:t>,</w:t>
      </w:r>
      <w:r>
        <w:rPr>
          <w:rFonts w:ascii="Times New Roman" w:hAnsi="Times New Roman"/>
          <w:sz w:val="32"/>
          <w:szCs w:val="32"/>
        </w:rPr>
        <w:t xml:space="preserve"> in cui il precedente assume valore vincolante. Dico apparentemente, perché quel metodo è corretto, come è noto, da una</w:t>
      </w:r>
      <w:r w:rsidRPr="002C45E2">
        <w:rPr>
          <w:rFonts w:ascii="Times New Roman" w:hAnsi="Times New Roman"/>
          <w:sz w:val="32"/>
          <w:szCs w:val="32"/>
        </w:rPr>
        <w:t xml:space="preserve"> “corretta” ricostruzione del “caso”, </w:t>
      </w:r>
      <w:r>
        <w:rPr>
          <w:rFonts w:ascii="Times New Roman" w:hAnsi="Times New Roman"/>
          <w:sz w:val="32"/>
          <w:szCs w:val="32"/>
        </w:rPr>
        <w:t xml:space="preserve">che viene </w:t>
      </w:r>
      <w:r w:rsidRPr="002C45E2">
        <w:rPr>
          <w:rFonts w:ascii="Times New Roman" w:hAnsi="Times New Roman"/>
          <w:sz w:val="32"/>
          <w:szCs w:val="32"/>
        </w:rPr>
        <w:t xml:space="preserve">ancor prima della enucleazione della regola di diritto, </w:t>
      </w:r>
      <w:r>
        <w:rPr>
          <w:rFonts w:ascii="Times New Roman" w:hAnsi="Times New Roman"/>
          <w:sz w:val="32"/>
          <w:szCs w:val="32"/>
        </w:rPr>
        <w:t>e che fonda</w:t>
      </w:r>
      <w:r w:rsidRPr="002C45E2">
        <w:rPr>
          <w:rFonts w:ascii="Times New Roman" w:hAnsi="Times New Roman"/>
          <w:sz w:val="32"/>
          <w:szCs w:val="32"/>
        </w:rPr>
        <w:t xml:space="preserve"> </w:t>
      </w:r>
      <w:r w:rsidR="00E5465E">
        <w:rPr>
          <w:rFonts w:ascii="Times New Roman" w:hAnsi="Times New Roman"/>
          <w:sz w:val="32"/>
          <w:szCs w:val="32"/>
        </w:rPr>
        <w:t xml:space="preserve">la </w:t>
      </w:r>
      <w:r w:rsidRPr="002C45E2">
        <w:rPr>
          <w:rFonts w:ascii="Times New Roman" w:hAnsi="Times New Roman"/>
          <w:sz w:val="32"/>
          <w:szCs w:val="32"/>
        </w:rPr>
        <w:t xml:space="preserve">tecnica del </w:t>
      </w:r>
      <w:proofErr w:type="spellStart"/>
      <w:r w:rsidRPr="002C45E2">
        <w:rPr>
          <w:rFonts w:ascii="Times New Roman" w:hAnsi="Times New Roman"/>
          <w:i/>
          <w:sz w:val="32"/>
          <w:szCs w:val="32"/>
        </w:rPr>
        <w:t>distinguishing</w:t>
      </w:r>
      <w:proofErr w:type="spellEnd"/>
      <w:r w:rsidRPr="002C45E2">
        <w:rPr>
          <w:rFonts w:ascii="Times New Roman" w:hAnsi="Times New Roman"/>
          <w:sz w:val="32"/>
          <w:szCs w:val="32"/>
        </w:rPr>
        <w:t xml:space="preserve"> (che toglie valore al precedente) in relazione alla varietà possibile dei “casi”.</w:t>
      </w:r>
    </w:p>
    <w:p w:rsidR="00E5465E" w:rsidRPr="00856949" w:rsidRDefault="00845398" w:rsidP="002C45E2">
      <w:pPr>
        <w:spacing w:line="360" w:lineRule="auto"/>
        <w:jc w:val="both"/>
        <w:rPr>
          <w:rFonts w:ascii="Times New Roman" w:hAnsi="Times New Roman"/>
          <w:sz w:val="32"/>
          <w:szCs w:val="32"/>
        </w:rPr>
      </w:pPr>
      <w:r>
        <w:rPr>
          <w:rFonts w:ascii="Times New Roman" w:hAnsi="Times New Roman"/>
          <w:sz w:val="32"/>
          <w:szCs w:val="32"/>
        </w:rPr>
        <w:t>E’ assunto comune che n</w:t>
      </w:r>
      <w:r w:rsidR="00E5465E" w:rsidRPr="00856949">
        <w:rPr>
          <w:rFonts w:ascii="Times New Roman" w:hAnsi="Times New Roman"/>
          <w:sz w:val="32"/>
          <w:szCs w:val="32"/>
        </w:rPr>
        <w:t>el nostro ordinamento non vige la regola del precedente vincolante. Eppure va diffondendosi, nella giurisprudenza e nella legislazione, la consapevolezza che la stabilità della giurisprudenza sia un bene da salvaguardare.</w:t>
      </w:r>
    </w:p>
    <w:p w:rsidR="00E5465E" w:rsidRDefault="00E5465E" w:rsidP="002C45E2">
      <w:pPr>
        <w:spacing w:line="360" w:lineRule="auto"/>
        <w:jc w:val="both"/>
        <w:rPr>
          <w:rFonts w:ascii="Times New Roman" w:hAnsi="Times New Roman"/>
          <w:sz w:val="32"/>
          <w:szCs w:val="32"/>
        </w:rPr>
      </w:pPr>
      <w:r w:rsidRPr="00856949">
        <w:rPr>
          <w:rFonts w:ascii="Times New Roman" w:hAnsi="Times New Roman"/>
          <w:sz w:val="32"/>
          <w:szCs w:val="32"/>
        </w:rPr>
        <w:t>Nella giurisprudenza.</w:t>
      </w:r>
      <w:r>
        <w:rPr>
          <w:rFonts w:ascii="Times New Roman" w:hAnsi="Times New Roman"/>
          <w:sz w:val="32"/>
          <w:szCs w:val="32"/>
        </w:rPr>
        <w:t xml:space="preserve"> Vorrei citare una sentenza della Cassazione (SS.UU 6 novembre 2014 n. 23675), che richiede la sussistenza di “buone ragioni” per mutare un indirizzo giurisprudenziale acquisito, e di “ottime ragioni” per giustificare l’</w:t>
      </w:r>
      <w:proofErr w:type="spellStart"/>
      <w:r w:rsidRPr="00E5465E">
        <w:rPr>
          <w:rFonts w:ascii="Times New Roman" w:hAnsi="Times New Roman"/>
          <w:i/>
          <w:sz w:val="32"/>
          <w:szCs w:val="32"/>
        </w:rPr>
        <w:t>overruling</w:t>
      </w:r>
      <w:proofErr w:type="spellEnd"/>
      <w:r>
        <w:rPr>
          <w:rFonts w:ascii="Times New Roman" w:hAnsi="Times New Roman"/>
          <w:sz w:val="32"/>
          <w:szCs w:val="32"/>
        </w:rPr>
        <w:t xml:space="preserve"> nel settore processuale, che incide sull’affidamento dei cittadini in ordine alla portata delle “regole del gioco”.</w:t>
      </w:r>
      <w:r w:rsidR="00845398">
        <w:rPr>
          <w:rFonts w:ascii="Times New Roman" w:hAnsi="Times New Roman"/>
          <w:sz w:val="32"/>
          <w:szCs w:val="32"/>
        </w:rPr>
        <w:t xml:space="preserve"> E in altra sentenza (la n. 13620 del 2012), la stessa Corte, pur convenendo sull’inesistenza della regola dello </w:t>
      </w:r>
      <w:r w:rsidR="00845398" w:rsidRPr="00845398">
        <w:rPr>
          <w:rFonts w:ascii="Times New Roman" w:hAnsi="Times New Roman"/>
          <w:i/>
          <w:sz w:val="32"/>
          <w:szCs w:val="32"/>
        </w:rPr>
        <w:t xml:space="preserve">stare </w:t>
      </w:r>
      <w:proofErr w:type="spellStart"/>
      <w:r w:rsidR="00845398" w:rsidRPr="00845398">
        <w:rPr>
          <w:rFonts w:ascii="Times New Roman" w:hAnsi="Times New Roman"/>
          <w:i/>
          <w:sz w:val="32"/>
          <w:szCs w:val="32"/>
        </w:rPr>
        <w:t>decisis</w:t>
      </w:r>
      <w:proofErr w:type="spellEnd"/>
      <w:r w:rsidR="00845398">
        <w:rPr>
          <w:rFonts w:ascii="Times New Roman" w:hAnsi="Times New Roman"/>
          <w:sz w:val="32"/>
          <w:szCs w:val="32"/>
        </w:rPr>
        <w:t xml:space="preserve"> nel nostro ordinamento, parla di una direttiva</w:t>
      </w:r>
      <w:r w:rsidR="00E0106E">
        <w:rPr>
          <w:rFonts w:ascii="Times New Roman" w:hAnsi="Times New Roman"/>
          <w:sz w:val="32"/>
          <w:szCs w:val="32"/>
        </w:rPr>
        <w:t xml:space="preserve"> immanente per cui non ci si possa</w:t>
      </w:r>
      <w:r w:rsidR="00845398">
        <w:rPr>
          <w:rFonts w:ascii="Times New Roman" w:hAnsi="Times New Roman"/>
          <w:sz w:val="32"/>
          <w:szCs w:val="32"/>
        </w:rPr>
        <w:t xml:space="preserve"> discostare da un orienta</w:t>
      </w:r>
      <w:r w:rsidR="00E0106E">
        <w:rPr>
          <w:rFonts w:ascii="Times New Roman" w:hAnsi="Times New Roman"/>
          <w:sz w:val="32"/>
          <w:szCs w:val="32"/>
        </w:rPr>
        <w:t>mento della Corte senza forti e apprezzabili</w:t>
      </w:r>
      <w:r w:rsidR="00845398">
        <w:rPr>
          <w:rFonts w:ascii="Times New Roman" w:hAnsi="Times New Roman"/>
          <w:sz w:val="32"/>
          <w:szCs w:val="32"/>
        </w:rPr>
        <w:t xml:space="preserve"> ragioni giustificatrici (significativa anche la sentenza n.124 del 2015).</w:t>
      </w:r>
      <w:r w:rsidR="00E0106E">
        <w:rPr>
          <w:rStyle w:val="Rimandonotaapidipagina"/>
          <w:rFonts w:ascii="Times New Roman" w:hAnsi="Times New Roman"/>
          <w:sz w:val="32"/>
          <w:szCs w:val="32"/>
        </w:rPr>
        <w:footnoteReference w:id="13"/>
      </w:r>
    </w:p>
    <w:p w:rsidR="00E5465E" w:rsidRDefault="00E5465E" w:rsidP="002C45E2">
      <w:pPr>
        <w:spacing w:line="360" w:lineRule="auto"/>
        <w:jc w:val="both"/>
        <w:rPr>
          <w:rFonts w:ascii="Times New Roman" w:hAnsi="Times New Roman"/>
          <w:sz w:val="32"/>
          <w:szCs w:val="32"/>
        </w:rPr>
      </w:pPr>
      <w:r>
        <w:rPr>
          <w:rFonts w:ascii="Times New Roman" w:hAnsi="Times New Roman"/>
          <w:sz w:val="32"/>
          <w:szCs w:val="32"/>
        </w:rPr>
        <w:lastRenderedPageBreak/>
        <w:t>In linea di principio, comunque, come si è ricordato, il precedente ha un valore “culturale” o “persuasivo”, nel senso che si fonda sull’autorevolezza dell’organo che si è pronunciato e delle argomentazioni adoperate; e il consolidarsi di un precedente attribuisce maggior forza allo stesso, ma non impedisce</w:t>
      </w:r>
      <w:r w:rsidR="0050387D">
        <w:rPr>
          <w:rFonts w:ascii="Times New Roman" w:hAnsi="Times New Roman"/>
          <w:sz w:val="32"/>
          <w:szCs w:val="32"/>
        </w:rPr>
        <w:t xml:space="preserve"> che una successiva pronuncia d</w:t>
      </w:r>
      <w:r w:rsidR="00E0106E">
        <w:rPr>
          <w:rFonts w:ascii="Times New Roman" w:hAnsi="Times New Roman"/>
          <w:sz w:val="32"/>
          <w:szCs w:val="32"/>
        </w:rPr>
        <w:t>a quel precedente si discosti p</w:t>
      </w:r>
      <w:r w:rsidR="0050387D">
        <w:rPr>
          <w:rFonts w:ascii="Times New Roman" w:hAnsi="Times New Roman"/>
          <w:sz w:val="32"/>
          <w:szCs w:val="32"/>
        </w:rPr>
        <w:t>iù o meno motivatamente.</w:t>
      </w:r>
    </w:p>
    <w:p w:rsidR="00E5465E" w:rsidRDefault="0050387D" w:rsidP="002C45E2">
      <w:pPr>
        <w:spacing w:line="360" w:lineRule="auto"/>
        <w:jc w:val="both"/>
        <w:rPr>
          <w:rFonts w:ascii="Times New Roman" w:hAnsi="Times New Roman"/>
          <w:sz w:val="32"/>
          <w:szCs w:val="32"/>
        </w:rPr>
      </w:pPr>
      <w:r w:rsidRPr="00856949">
        <w:rPr>
          <w:rFonts w:ascii="Times New Roman" w:hAnsi="Times New Roman"/>
          <w:sz w:val="32"/>
          <w:szCs w:val="32"/>
        </w:rPr>
        <w:t>Nella legislazione</w:t>
      </w:r>
      <w:r>
        <w:rPr>
          <w:rFonts w:ascii="Times New Roman" w:hAnsi="Times New Roman"/>
          <w:sz w:val="32"/>
          <w:szCs w:val="32"/>
        </w:rPr>
        <w:t xml:space="preserve">, si è andata affermando una tendenza che, senza incidere direttamente sul valore del precedente, mira alla stabilità della </w:t>
      </w:r>
      <w:r w:rsidRPr="00856949">
        <w:rPr>
          <w:rFonts w:ascii="Times New Roman" w:hAnsi="Times New Roman"/>
          <w:sz w:val="32"/>
          <w:szCs w:val="32"/>
        </w:rPr>
        <w:t>giurisprudenza</w:t>
      </w:r>
      <w:r w:rsidR="00E0106E">
        <w:rPr>
          <w:rFonts w:ascii="Times New Roman" w:hAnsi="Times New Roman"/>
          <w:sz w:val="32"/>
          <w:szCs w:val="32"/>
        </w:rPr>
        <w:t>, vuoi “incentivando” l’adesione al precedente (o “disincentivando” il discostarsi da esso), vuoi, soprattutto,</w:t>
      </w:r>
      <w:r w:rsidRPr="00856949">
        <w:rPr>
          <w:rFonts w:ascii="Times New Roman" w:hAnsi="Times New Roman"/>
          <w:sz w:val="32"/>
          <w:szCs w:val="32"/>
        </w:rPr>
        <w:t xml:space="preserve"> attraverso il rafforzamento della funzione nomofilattica delle Corti di ultima istanza.</w:t>
      </w:r>
    </w:p>
    <w:p w:rsidR="00E0106E" w:rsidRDefault="00E0106E" w:rsidP="002C45E2">
      <w:pPr>
        <w:spacing w:line="360" w:lineRule="auto"/>
        <w:jc w:val="both"/>
        <w:rPr>
          <w:rFonts w:ascii="Times New Roman" w:hAnsi="Times New Roman"/>
          <w:sz w:val="32"/>
          <w:szCs w:val="32"/>
        </w:rPr>
      </w:pPr>
      <w:r>
        <w:rPr>
          <w:rFonts w:ascii="Times New Roman" w:hAnsi="Times New Roman"/>
          <w:sz w:val="32"/>
          <w:szCs w:val="32"/>
        </w:rPr>
        <w:t xml:space="preserve">Sotto il primo profilo, basta richiamare le disposizioni del codice di procedura civile -cui faceva cenno l’avv. </w:t>
      </w:r>
      <w:proofErr w:type="spellStart"/>
      <w:r>
        <w:rPr>
          <w:rFonts w:ascii="Times New Roman" w:hAnsi="Times New Roman"/>
          <w:sz w:val="32"/>
          <w:szCs w:val="32"/>
        </w:rPr>
        <w:t>Jannotta</w:t>
      </w:r>
      <w:proofErr w:type="spellEnd"/>
      <w:r>
        <w:rPr>
          <w:rFonts w:ascii="Times New Roman" w:hAnsi="Times New Roman"/>
          <w:sz w:val="32"/>
          <w:szCs w:val="32"/>
        </w:rPr>
        <w:t>- che consentono una motivazione semplificata delle sentenze attraverso il richiamo a precedenti conformi (analogamente a quanto dal 2005 la legge ha disposto per il giudizio amministrativo</w:t>
      </w:r>
      <w:r w:rsidR="00091198">
        <w:rPr>
          <w:rFonts w:ascii="Times New Roman" w:hAnsi="Times New Roman"/>
          <w:sz w:val="32"/>
          <w:szCs w:val="32"/>
        </w:rPr>
        <w:t xml:space="preserve"> con la sentenza in forma semplificata</w:t>
      </w:r>
      <w:r w:rsidR="00091198">
        <w:rPr>
          <w:rStyle w:val="Rimandonotaapidipagina"/>
          <w:rFonts w:ascii="Times New Roman" w:hAnsi="Times New Roman"/>
          <w:sz w:val="32"/>
          <w:szCs w:val="32"/>
        </w:rPr>
        <w:footnoteReference w:id="14"/>
      </w:r>
      <w:r>
        <w:rPr>
          <w:rFonts w:ascii="Times New Roman" w:hAnsi="Times New Roman"/>
          <w:sz w:val="32"/>
          <w:szCs w:val="32"/>
        </w:rPr>
        <w:t>) o, viceversa, che consentono la declaratoria di inammissibilità dell’appello o del ricorso per cassazione</w:t>
      </w:r>
      <w:r w:rsidR="00091198">
        <w:rPr>
          <w:rFonts w:ascii="Times New Roman" w:hAnsi="Times New Roman"/>
          <w:sz w:val="32"/>
          <w:szCs w:val="32"/>
        </w:rPr>
        <w:t xml:space="preserve"> se le sentenze impugnate siano conformi a giurisprudenza consolidata e non emergano profili che inducano a cambiare la detta giurisprudenza.</w:t>
      </w:r>
    </w:p>
    <w:p w:rsidR="00091198" w:rsidRPr="00856949" w:rsidRDefault="00091198" w:rsidP="002C45E2">
      <w:pPr>
        <w:spacing w:line="360" w:lineRule="auto"/>
        <w:jc w:val="both"/>
        <w:rPr>
          <w:rFonts w:ascii="Times New Roman" w:hAnsi="Times New Roman"/>
          <w:sz w:val="32"/>
          <w:szCs w:val="32"/>
        </w:rPr>
      </w:pPr>
      <w:r>
        <w:rPr>
          <w:rFonts w:ascii="Times New Roman" w:hAnsi="Times New Roman"/>
          <w:sz w:val="32"/>
          <w:szCs w:val="32"/>
        </w:rPr>
        <w:lastRenderedPageBreak/>
        <w:t>Più interessante, e per certi spetti problematico, è il versante del rafforzamento della funzione nomofilattica delle Giurisdizioni superiori.</w:t>
      </w:r>
    </w:p>
    <w:p w:rsidR="008C4558" w:rsidRDefault="0050387D" w:rsidP="0049286C">
      <w:pPr>
        <w:spacing w:line="360" w:lineRule="auto"/>
        <w:jc w:val="both"/>
        <w:rPr>
          <w:rFonts w:ascii="Times New Roman" w:hAnsi="Times New Roman"/>
          <w:sz w:val="32"/>
          <w:szCs w:val="32"/>
        </w:rPr>
      </w:pPr>
      <w:r w:rsidRPr="00856949">
        <w:rPr>
          <w:rFonts w:ascii="Times New Roman" w:hAnsi="Times New Roman"/>
          <w:sz w:val="32"/>
          <w:szCs w:val="32"/>
        </w:rPr>
        <w:t>Nel nostro sistema fondato sul pluralismo delle giurisdizioni –secondo un modello, pur diversamente applicato, ricorrente nei Paesi europei e non-  il ruolo è affidato alle Corti di ultima istanza di ciascun plesso giurisdizionale.</w:t>
      </w:r>
      <w:r>
        <w:rPr>
          <w:rFonts w:ascii="Times New Roman" w:hAnsi="Times New Roman"/>
          <w:sz w:val="32"/>
          <w:szCs w:val="32"/>
        </w:rPr>
        <w:t xml:space="preserve"> </w:t>
      </w:r>
      <w:r w:rsidRPr="0050387D">
        <w:rPr>
          <w:rFonts w:ascii="Times New Roman" w:hAnsi="Times New Roman"/>
          <w:sz w:val="32"/>
          <w:szCs w:val="32"/>
        </w:rPr>
        <w:t xml:space="preserve">Coerentemente con tale modello, l’articolo 111 della Costituzione stabilisce che il ricorso per Cassazione avverso le sentenze del Consiglio di Stato e della Corte dei conti è ammesso “per i </w:t>
      </w:r>
      <w:r w:rsidRPr="0050387D">
        <w:rPr>
          <w:rFonts w:ascii="Times New Roman" w:hAnsi="Times New Roman"/>
          <w:i/>
          <w:sz w:val="32"/>
          <w:szCs w:val="32"/>
        </w:rPr>
        <w:t>soli</w:t>
      </w:r>
      <w:r w:rsidRPr="0050387D">
        <w:rPr>
          <w:rFonts w:ascii="Times New Roman" w:hAnsi="Times New Roman"/>
          <w:sz w:val="32"/>
          <w:szCs w:val="32"/>
        </w:rPr>
        <w:t xml:space="preserve"> motivi inerenti alla giurisdizione”.</w:t>
      </w:r>
      <w:r>
        <w:rPr>
          <w:rFonts w:ascii="Times New Roman" w:hAnsi="Times New Roman"/>
          <w:sz w:val="32"/>
          <w:szCs w:val="32"/>
        </w:rPr>
        <w:t xml:space="preserve"> </w:t>
      </w:r>
      <w:r w:rsidR="008C05A1" w:rsidRPr="00856949">
        <w:rPr>
          <w:rFonts w:ascii="Times New Roman" w:hAnsi="Times New Roman"/>
          <w:sz w:val="32"/>
          <w:szCs w:val="32"/>
        </w:rPr>
        <w:t xml:space="preserve">Né potrebbe essere altrimenti: </w:t>
      </w:r>
      <w:r w:rsidR="008C4558" w:rsidRPr="00856949">
        <w:rPr>
          <w:rFonts w:ascii="Times New Roman" w:hAnsi="Times New Roman"/>
          <w:sz w:val="32"/>
          <w:szCs w:val="32"/>
        </w:rPr>
        <w:t xml:space="preserve">la nomofilachia è un attributo </w:t>
      </w:r>
      <w:r w:rsidR="008C4558" w:rsidRPr="00856949">
        <w:rPr>
          <w:rFonts w:ascii="Times New Roman" w:hAnsi="Times New Roman"/>
          <w:i/>
          <w:sz w:val="32"/>
          <w:szCs w:val="32"/>
        </w:rPr>
        <w:t>interno</w:t>
      </w:r>
      <w:r w:rsidR="008C4558" w:rsidRPr="00856949">
        <w:rPr>
          <w:rFonts w:ascii="Times New Roman" w:hAnsi="Times New Roman"/>
          <w:sz w:val="32"/>
          <w:szCs w:val="32"/>
        </w:rPr>
        <w:t xml:space="preserve"> alla giurisdizione, nel senso che è volto ad assicurare l’uniforme applicazione del diritto da parte di quel giudice che quel diritto è chiamato ad applicare, cioè dal giudice munito di giurisdizione sulla controversia. Meno coerente con la funzione nomofilattica sarebbe proprio affidare il compito di dire l’ultima parola sull’interpretazione di una norma a un giudice che poi non sia chiamato ad applicare quella norma perché sfornito di giurisdizione</w:t>
      </w:r>
      <w:r w:rsidR="008C05A1">
        <w:rPr>
          <w:rFonts w:ascii="Times New Roman" w:hAnsi="Times New Roman"/>
          <w:sz w:val="32"/>
          <w:szCs w:val="32"/>
        </w:rPr>
        <w:t xml:space="preserve">. </w:t>
      </w:r>
      <w:r w:rsidR="008C4558">
        <w:rPr>
          <w:rFonts w:ascii="Times New Roman" w:hAnsi="Times New Roman"/>
          <w:sz w:val="32"/>
          <w:szCs w:val="32"/>
        </w:rPr>
        <w:t xml:space="preserve">Questo è il motivo per cui sono molto </w:t>
      </w:r>
      <w:r w:rsidR="008C4558" w:rsidRPr="00856949">
        <w:rPr>
          <w:rFonts w:ascii="Times New Roman" w:hAnsi="Times New Roman"/>
          <w:sz w:val="32"/>
          <w:szCs w:val="32"/>
        </w:rPr>
        <w:t>perplesso</w:t>
      </w:r>
      <w:r w:rsidR="008C4558">
        <w:rPr>
          <w:rFonts w:ascii="Times New Roman" w:hAnsi="Times New Roman"/>
          <w:sz w:val="32"/>
          <w:szCs w:val="32"/>
        </w:rPr>
        <w:t xml:space="preserve"> a fronte di tesi –che allo stato mi sembrano sostanzialmente non condivise dalle Sezioni unite- che tendono a ipotizzare </w:t>
      </w:r>
      <w:r w:rsidR="008C4558" w:rsidRPr="00856949">
        <w:rPr>
          <w:rFonts w:ascii="Times New Roman" w:hAnsi="Times New Roman"/>
          <w:sz w:val="32"/>
          <w:szCs w:val="32"/>
        </w:rPr>
        <w:t xml:space="preserve">una funzione nomofilattica, talvolta definita </w:t>
      </w:r>
      <w:r w:rsidR="008C4558" w:rsidRPr="00856949">
        <w:rPr>
          <w:rFonts w:ascii="Times New Roman" w:hAnsi="Times New Roman"/>
          <w:i/>
          <w:sz w:val="32"/>
          <w:szCs w:val="32"/>
        </w:rPr>
        <w:t>esterna</w:t>
      </w:r>
      <w:r w:rsidR="008C4558" w:rsidRPr="00856949">
        <w:rPr>
          <w:rFonts w:ascii="Times New Roman" w:hAnsi="Times New Roman"/>
          <w:sz w:val="32"/>
          <w:szCs w:val="32"/>
        </w:rPr>
        <w:t xml:space="preserve"> </w:t>
      </w:r>
      <w:r w:rsidR="008C4558">
        <w:rPr>
          <w:rFonts w:ascii="Times New Roman" w:hAnsi="Times New Roman"/>
          <w:sz w:val="32"/>
          <w:szCs w:val="32"/>
        </w:rPr>
        <w:t>(e la definizione la dice lunga), della Corte di cassazione in materie attrib</w:t>
      </w:r>
      <w:r w:rsidR="008C05A1">
        <w:rPr>
          <w:rFonts w:ascii="Times New Roman" w:hAnsi="Times New Roman"/>
          <w:sz w:val="32"/>
          <w:szCs w:val="32"/>
        </w:rPr>
        <w:t>u</w:t>
      </w:r>
      <w:r w:rsidR="00776159">
        <w:rPr>
          <w:rFonts w:ascii="Times New Roman" w:hAnsi="Times New Roman"/>
          <w:sz w:val="32"/>
          <w:szCs w:val="32"/>
        </w:rPr>
        <w:t xml:space="preserve">ite ai giudici cc.dd. </w:t>
      </w:r>
      <w:proofErr w:type="gramStart"/>
      <w:r w:rsidR="00776159">
        <w:rPr>
          <w:rFonts w:ascii="Times New Roman" w:hAnsi="Times New Roman"/>
          <w:sz w:val="32"/>
          <w:szCs w:val="32"/>
        </w:rPr>
        <w:t>speciali</w:t>
      </w:r>
      <w:proofErr w:type="gramEnd"/>
      <w:r w:rsidR="00776159">
        <w:rPr>
          <w:rFonts w:ascii="Times New Roman" w:hAnsi="Times New Roman"/>
          <w:sz w:val="32"/>
          <w:szCs w:val="32"/>
        </w:rPr>
        <w:t xml:space="preserve">, i quali </w:t>
      </w:r>
      <w:r w:rsidR="008C05A1">
        <w:rPr>
          <w:rFonts w:ascii="Times New Roman" w:hAnsi="Times New Roman"/>
          <w:sz w:val="32"/>
          <w:szCs w:val="32"/>
        </w:rPr>
        <w:t>oggi, quanto meno a partire dalla pronuncia 204 del</w:t>
      </w:r>
      <w:r w:rsidR="00776159">
        <w:rPr>
          <w:rFonts w:ascii="Times New Roman" w:hAnsi="Times New Roman"/>
          <w:sz w:val="32"/>
          <w:szCs w:val="32"/>
        </w:rPr>
        <w:t xml:space="preserve"> 2004 della Corte costituzionale</w:t>
      </w:r>
      <w:r w:rsidR="008C05A1">
        <w:rPr>
          <w:rFonts w:ascii="Times New Roman" w:hAnsi="Times New Roman"/>
          <w:sz w:val="32"/>
          <w:szCs w:val="32"/>
        </w:rPr>
        <w:t>, tanto speciali non sono più.</w:t>
      </w:r>
      <w:r w:rsidR="00532962">
        <w:rPr>
          <w:rFonts w:ascii="Times New Roman" w:hAnsi="Times New Roman"/>
          <w:sz w:val="32"/>
          <w:szCs w:val="32"/>
        </w:rPr>
        <w:t xml:space="preserve"> Tesi che sarebbero anche di difficile applicazione –dal che si evince la </w:t>
      </w:r>
      <w:proofErr w:type="spellStart"/>
      <w:r w:rsidR="00532962">
        <w:rPr>
          <w:rFonts w:ascii="Times New Roman" w:hAnsi="Times New Roman"/>
          <w:sz w:val="32"/>
          <w:szCs w:val="32"/>
        </w:rPr>
        <w:t>asistematicità</w:t>
      </w:r>
      <w:proofErr w:type="spellEnd"/>
      <w:r w:rsidR="00532962">
        <w:rPr>
          <w:rFonts w:ascii="Times New Roman" w:hAnsi="Times New Roman"/>
          <w:sz w:val="32"/>
          <w:szCs w:val="32"/>
        </w:rPr>
        <w:t xml:space="preserve"> della soluzione- ove l’Adunanza plenaria si pronunci sul “solo” principio di diritto pur quando questo possa rivelarsi ininfluente nel giudizio </w:t>
      </w:r>
      <w:r w:rsidR="00532962" w:rsidRPr="00532962">
        <w:rPr>
          <w:rFonts w:ascii="Times New Roman" w:hAnsi="Times New Roman"/>
          <w:i/>
          <w:sz w:val="32"/>
          <w:szCs w:val="32"/>
        </w:rPr>
        <w:t>a quo</w:t>
      </w:r>
      <w:r w:rsidR="00532962">
        <w:rPr>
          <w:rFonts w:ascii="Times New Roman" w:hAnsi="Times New Roman"/>
          <w:sz w:val="32"/>
          <w:szCs w:val="32"/>
        </w:rPr>
        <w:t xml:space="preserve">, nel qual caso non si capisce come si </w:t>
      </w:r>
      <w:r w:rsidR="00532962">
        <w:rPr>
          <w:rFonts w:ascii="Times New Roman" w:hAnsi="Times New Roman"/>
          <w:sz w:val="32"/>
          <w:szCs w:val="32"/>
        </w:rPr>
        <w:lastRenderedPageBreak/>
        <w:t>svolgerebbe il sindacato ex articolo 111 sulla sentenza del Consiglio di Stato: con l’affermazione, probabilmente, di un principio di diritto doppiamente virtuale.</w:t>
      </w:r>
    </w:p>
    <w:p w:rsidR="008C4558" w:rsidRPr="00776159" w:rsidRDefault="008C4558" w:rsidP="008C05A1">
      <w:pPr>
        <w:spacing w:after="120" w:line="360" w:lineRule="auto"/>
        <w:jc w:val="both"/>
        <w:rPr>
          <w:rFonts w:ascii="Times New Roman" w:hAnsi="Times New Roman"/>
          <w:sz w:val="24"/>
          <w:szCs w:val="24"/>
        </w:rPr>
      </w:pPr>
      <w:r w:rsidRPr="00776159">
        <w:rPr>
          <w:rFonts w:ascii="Times New Roman" w:hAnsi="Times New Roman"/>
          <w:sz w:val="24"/>
          <w:szCs w:val="24"/>
        </w:rPr>
        <w:t>Queste tesi fanno leva su due ordini di argomentazioni, sostanzialmente diversi tra loro.</w:t>
      </w:r>
    </w:p>
    <w:p w:rsidR="008C4558" w:rsidRPr="00776159" w:rsidRDefault="008C4558" w:rsidP="008C05A1">
      <w:pPr>
        <w:spacing w:after="120" w:line="360" w:lineRule="auto"/>
        <w:jc w:val="both"/>
        <w:rPr>
          <w:rFonts w:ascii="Times New Roman" w:hAnsi="Times New Roman"/>
          <w:sz w:val="24"/>
          <w:szCs w:val="24"/>
        </w:rPr>
      </w:pPr>
      <w:r w:rsidRPr="00776159">
        <w:rPr>
          <w:rFonts w:ascii="Times New Roman" w:hAnsi="Times New Roman"/>
          <w:sz w:val="24"/>
          <w:szCs w:val="24"/>
        </w:rPr>
        <w:t>Il primo guarda alle situazioni soggettive considerate dalla norma. Si tende a dire che</w:t>
      </w:r>
      <w:r w:rsidR="00C85068" w:rsidRPr="00776159">
        <w:rPr>
          <w:rFonts w:ascii="Times New Roman" w:hAnsi="Times New Roman"/>
          <w:sz w:val="24"/>
          <w:szCs w:val="24"/>
        </w:rPr>
        <w:t>,</w:t>
      </w:r>
      <w:r w:rsidRPr="00776159">
        <w:rPr>
          <w:rFonts w:ascii="Times New Roman" w:hAnsi="Times New Roman"/>
          <w:sz w:val="24"/>
          <w:szCs w:val="24"/>
        </w:rPr>
        <w:t xml:space="preserve"> nel momento in cui due giudici applicano lo stesso istituto e la stessa norma</w:t>
      </w:r>
      <w:r w:rsidR="00C85068" w:rsidRPr="00776159">
        <w:rPr>
          <w:rFonts w:ascii="Times New Roman" w:hAnsi="Times New Roman"/>
          <w:sz w:val="24"/>
          <w:szCs w:val="24"/>
        </w:rPr>
        <w:t>,</w:t>
      </w:r>
      <w:r w:rsidRPr="00776159">
        <w:rPr>
          <w:rFonts w:ascii="Times New Roman" w:hAnsi="Times New Roman"/>
          <w:sz w:val="24"/>
          <w:szCs w:val="24"/>
        </w:rPr>
        <w:t xml:space="preserve"> non è possibile che la situazione soggettiva sottesa sia trattata in modo diverso. In altri termini, se il giudice amministrativo tratta, in sede di giurisdizione esclusiva un diritto soggettivo, l’applicazione della norma di diritto non può essere difforme dall’applicazione che se ne ha dinanzi al giudice ordinario. E poiché dinanzi a quest’ultimo la funzione nomofilattica spetta alla Cassazione, anche in questo caso dovrebbe ammettersi il ricorso per cassazione contro una sentenza del Consiglio di Stato. Se poi la controversia </w:t>
      </w:r>
      <w:r w:rsidR="00C85068" w:rsidRPr="00776159">
        <w:rPr>
          <w:rFonts w:ascii="Times New Roman" w:hAnsi="Times New Roman"/>
          <w:sz w:val="24"/>
          <w:szCs w:val="24"/>
        </w:rPr>
        <w:t>riguarda</w:t>
      </w:r>
      <w:r w:rsidRPr="00776159">
        <w:rPr>
          <w:rFonts w:ascii="Times New Roman" w:hAnsi="Times New Roman"/>
          <w:sz w:val="24"/>
          <w:szCs w:val="24"/>
        </w:rPr>
        <w:t xml:space="preserve"> un diritto fondamentale, il riportato ragionamento…vale di più.</w:t>
      </w:r>
    </w:p>
    <w:p w:rsidR="008C4558" w:rsidRPr="00776159" w:rsidRDefault="008C4558" w:rsidP="008C05A1">
      <w:pPr>
        <w:spacing w:after="120" w:line="360" w:lineRule="auto"/>
        <w:jc w:val="both"/>
        <w:rPr>
          <w:rFonts w:ascii="Times New Roman" w:hAnsi="Times New Roman"/>
          <w:sz w:val="24"/>
          <w:szCs w:val="24"/>
        </w:rPr>
      </w:pPr>
      <w:r w:rsidRPr="00776159">
        <w:rPr>
          <w:rFonts w:ascii="Times New Roman" w:hAnsi="Times New Roman"/>
          <w:sz w:val="24"/>
          <w:szCs w:val="24"/>
        </w:rPr>
        <w:t>Questa tesi –ripeto finora mai accolta dalla Corte di cassazione- presenta tanti punti deboli che posso enumerarli schematicamente:</w:t>
      </w:r>
    </w:p>
    <w:p w:rsidR="008C4558" w:rsidRPr="00776159" w:rsidRDefault="00C85068" w:rsidP="008C05A1">
      <w:pPr>
        <w:pStyle w:val="Paragrafoelenco"/>
        <w:numPr>
          <w:ilvl w:val="0"/>
          <w:numId w:val="1"/>
        </w:numPr>
        <w:spacing w:after="120" w:line="360" w:lineRule="auto"/>
        <w:jc w:val="both"/>
        <w:rPr>
          <w:rFonts w:ascii="Times New Roman" w:hAnsi="Times New Roman"/>
          <w:sz w:val="24"/>
          <w:szCs w:val="24"/>
        </w:rPr>
      </w:pPr>
      <w:proofErr w:type="gramStart"/>
      <w:r w:rsidRPr="00776159">
        <w:rPr>
          <w:rFonts w:ascii="Times New Roman" w:hAnsi="Times New Roman"/>
          <w:sz w:val="24"/>
          <w:szCs w:val="24"/>
        </w:rPr>
        <w:t>o</w:t>
      </w:r>
      <w:r w:rsidR="008C4558" w:rsidRPr="00776159">
        <w:rPr>
          <w:rFonts w:ascii="Times New Roman" w:hAnsi="Times New Roman"/>
          <w:sz w:val="24"/>
          <w:szCs w:val="24"/>
        </w:rPr>
        <w:t>blitera</w:t>
      </w:r>
      <w:proofErr w:type="gramEnd"/>
      <w:r w:rsidR="008C4558" w:rsidRPr="00776159">
        <w:rPr>
          <w:rFonts w:ascii="Times New Roman" w:hAnsi="Times New Roman"/>
          <w:sz w:val="24"/>
          <w:szCs w:val="24"/>
        </w:rPr>
        <w:t xml:space="preserve"> il dato </w:t>
      </w:r>
      <w:r w:rsidRPr="00776159">
        <w:rPr>
          <w:rFonts w:ascii="Times New Roman" w:hAnsi="Times New Roman"/>
          <w:sz w:val="24"/>
          <w:szCs w:val="24"/>
        </w:rPr>
        <w:t>testuale</w:t>
      </w:r>
      <w:r w:rsidR="008C4558" w:rsidRPr="00776159">
        <w:rPr>
          <w:rFonts w:ascii="Times New Roman" w:hAnsi="Times New Roman"/>
          <w:sz w:val="24"/>
          <w:szCs w:val="24"/>
        </w:rPr>
        <w:t xml:space="preserve"> che limita il ricorso per cassazione ai soli motivi inerenti alla giurisdizione;</w:t>
      </w:r>
    </w:p>
    <w:p w:rsidR="008C4558" w:rsidRPr="00776159" w:rsidRDefault="00C85068" w:rsidP="008C05A1">
      <w:pPr>
        <w:pStyle w:val="Paragrafoelenco"/>
        <w:numPr>
          <w:ilvl w:val="0"/>
          <w:numId w:val="1"/>
        </w:numPr>
        <w:spacing w:after="120" w:line="360" w:lineRule="auto"/>
        <w:jc w:val="both"/>
        <w:rPr>
          <w:rFonts w:ascii="Times New Roman" w:hAnsi="Times New Roman"/>
          <w:sz w:val="24"/>
          <w:szCs w:val="24"/>
        </w:rPr>
      </w:pPr>
      <w:r w:rsidRPr="00776159">
        <w:rPr>
          <w:rFonts w:ascii="Times New Roman" w:hAnsi="Times New Roman"/>
          <w:sz w:val="24"/>
          <w:szCs w:val="24"/>
        </w:rPr>
        <w:t>p</w:t>
      </w:r>
      <w:r w:rsidR="008C4558" w:rsidRPr="00776159">
        <w:rPr>
          <w:rFonts w:ascii="Times New Roman" w:hAnsi="Times New Roman"/>
          <w:sz w:val="24"/>
          <w:szCs w:val="24"/>
        </w:rPr>
        <w:t xml:space="preserve">resuppone un’assoluta identità tra situazioni soggettive obliterando il dato </w:t>
      </w:r>
      <w:r w:rsidRPr="00776159">
        <w:rPr>
          <w:rFonts w:ascii="Times New Roman" w:hAnsi="Times New Roman"/>
          <w:sz w:val="24"/>
          <w:szCs w:val="24"/>
        </w:rPr>
        <w:t>“</w:t>
      </w:r>
      <w:r w:rsidR="008C4558" w:rsidRPr="00776159">
        <w:rPr>
          <w:rFonts w:ascii="Times New Roman" w:hAnsi="Times New Roman"/>
          <w:sz w:val="24"/>
          <w:szCs w:val="24"/>
        </w:rPr>
        <w:t>relazionale</w:t>
      </w:r>
      <w:r w:rsidRPr="00776159">
        <w:rPr>
          <w:rFonts w:ascii="Times New Roman" w:hAnsi="Times New Roman"/>
          <w:sz w:val="24"/>
          <w:szCs w:val="24"/>
        </w:rPr>
        <w:t>”</w:t>
      </w:r>
      <w:r w:rsidR="008C4558" w:rsidRPr="00776159">
        <w:rPr>
          <w:rFonts w:ascii="Times New Roman" w:hAnsi="Times New Roman"/>
          <w:sz w:val="24"/>
          <w:szCs w:val="24"/>
        </w:rPr>
        <w:t xml:space="preserve"> del diritto, </w:t>
      </w:r>
      <w:r w:rsidRPr="00776159">
        <w:rPr>
          <w:rFonts w:ascii="Times New Roman" w:hAnsi="Times New Roman"/>
          <w:sz w:val="24"/>
          <w:szCs w:val="24"/>
        </w:rPr>
        <w:t>che prenda cioè in considerazione se la situazione</w:t>
      </w:r>
      <w:r w:rsidR="008C4558" w:rsidRPr="00776159">
        <w:rPr>
          <w:rFonts w:ascii="Times New Roman" w:hAnsi="Times New Roman"/>
          <w:sz w:val="24"/>
          <w:szCs w:val="24"/>
        </w:rPr>
        <w:t xml:space="preserve"> soggettiva si relazioni con una pari situazione soggettiva</w:t>
      </w:r>
      <w:r w:rsidRPr="00776159">
        <w:rPr>
          <w:rFonts w:ascii="Times New Roman" w:hAnsi="Times New Roman"/>
          <w:sz w:val="24"/>
          <w:szCs w:val="24"/>
        </w:rPr>
        <w:t xml:space="preserve"> </w:t>
      </w:r>
      <w:r w:rsidR="008C4558" w:rsidRPr="00776159">
        <w:rPr>
          <w:rFonts w:ascii="Times New Roman" w:hAnsi="Times New Roman"/>
          <w:sz w:val="24"/>
          <w:szCs w:val="24"/>
        </w:rPr>
        <w:t>o con un potere, potendo</w:t>
      </w:r>
      <w:r w:rsidRPr="00776159">
        <w:rPr>
          <w:rFonts w:ascii="Times New Roman" w:hAnsi="Times New Roman"/>
          <w:sz w:val="24"/>
          <w:szCs w:val="24"/>
        </w:rPr>
        <w:t xml:space="preserve"> essa</w:t>
      </w:r>
      <w:r w:rsidR="008C4558" w:rsidRPr="00776159">
        <w:rPr>
          <w:rFonts w:ascii="Times New Roman" w:hAnsi="Times New Roman"/>
          <w:sz w:val="24"/>
          <w:szCs w:val="24"/>
        </w:rPr>
        <w:t xml:space="preserve"> assumere in tali ultimi casi una consistenza (si badi, non necessariamente inferiore, soprattutto in termini di tutela) diversa e quindi</w:t>
      </w:r>
      <w:r w:rsidRPr="00776159">
        <w:rPr>
          <w:rFonts w:ascii="Times New Roman" w:hAnsi="Times New Roman"/>
          <w:sz w:val="24"/>
          <w:szCs w:val="24"/>
        </w:rPr>
        <w:t xml:space="preserve"> ricevere</w:t>
      </w:r>
      <w:r w:rsidR="008C4558" w:rsidRPr="00776159">
        <w:rPr>
          <w:rFonts w:ascii="Times New Roman" w:hAnsi="Times New Roman"/>
          <w:sz w:val="24"/>
          <w:szCs w:val="24"/>
        </w:rPr>
        <w:t xml:space="preserve"> una forma di tutela diversa; e la vicenda si complica ulteriormente se si introduce un’ulteriore distinzione tra diritti semplici e diritti fondamentali, distinzione (espressamente rifiutata dalla Corte costituzionale ai fini del riparto) rispetto alla quale la </w:t>
      </w:r>
      <w:r w:rsidRPr="00776159">
        <w:rPr>
          <w:rFonts w:ascii="Times New Roman" w:hAnsi="Times New Roman"/>
          <w:sz w:val="24"/>
          <w:szCs w:val="24"/>
        </w:rPr>
        <w:t xml:space="preserve">comprensione della </w:t>
      </w:r>
      <w:r w:rsidR="008C4558" w:rsidRPr="00776159">
        <w:rPr>
          <w:rFonts w:ascii="Times New Roman" w:hAnsi="Times New Roman"/>
          <w:sz w:val="24"/>
          <w:szCs w:val="24"/>
        </w:rPr>
        <w:t>distinzione tra diritto soggettivo e interesse legittimo diventa un gioco da ragazzi;</w:t>
      </w:r>
    </w:p>
    <w:p w:rsidR="008C4558" w:rsidRPr="00776159" w:rsidRDefault="003A0CFE" w:rsidP="008C05A1">
      <w:pPr>
        <w:pStyle w:val="Paragrafoelenco"/>
        <w:numPr>
          <w:ilvl w:val="0"/>
          <w:numId w:val="1"/>
        </w:numPr>
        <w:spacing w:after="120" w:line="360" w:lineRule="auto"/>
        <w:jc w:val="both"/>
        <w:rPr>
          <w:rFonts w:ascii="Times New Roman" w:hAnsi="Times New Roman"/>
          <w:sz w:val="24"/>
          <w:szCs w:val="24"/>
        </w:rPr>
      </w:pPr>
      <w:proofErr w:type="gramStart"/>
      <w:r w:rsidRPr="00776159">
        <w:rPr>
          <w:rFonts w:ascii="Times New Roman" w:hAnsi="Times New Roman"/>
          <w:sz w:val="24"/>
          <w:szCs w:val="24"/>
        </w:rPr>
        <w:t>n</w:t>
      </w:r>
      <w:r w:rsidR="008C4558" w:rsidRPr="00776159">
        <w:rPr>
          <w:rFonts w:ascii="Times New Roman" w:hAnsi="Times New Roman"/>
          <w:sz w:val="24"/>
          <w:szCs w:val="24"/>
        </w:rPr>
        <w:t>on</w:t>
      </w:r>
      <w:proofErr w:type="gramEnd"/>
      <w:r w:rsidR="008C4558" w:rsidRPr="00776159">
        <w:rPr>
          <w:rFonts w:ascii="Times New Roman" w:hAnsi="Times New Roman"/>
          <w:sz w:val="24"/>
          <w:szCs w:val="24"/>
        </w:rPr>
        <w:t xml:space="preserve"> considera, conseguentemente, che la devoluzione dei diritti in sede di giurisdizione esclusiva deriva proprio dall’esigenza che vi sia un unico giudice dei diritti e degli interessi, ammesso che oggi ancora si voglia </w:t>
      </w:r>
      <w:r w:rsidRPr="00776159">
        <w:rPr>
          <w:rFonts w:ascii="Times New Roman" w:hAnsi="Times New Roman"/>
          <w:sz w:val="24"/>
          <w:szCs w:val="24"/>
        </w:rPr>
        <w:t>dare un decisivo risalto a tale distinzione</w:t>
      </w:r>
      <w:r w:rsidR="008C4558" w:rsidRPr="00776159">
        <w:rPr>
          <w:rFonts w:ascii="Times New Roman" w:hAnsi="Times New Roman"/>
          <w:sz w:val="24"/>
          <w:szCs w:val="24"/>
        </w:rPr>
        <w:t>, a fronte di situazioni soggettive complesse caratterizzate essenzialmente dal loro relazionarsi con un potere pubblico.</w:t>
      </w:r>
    </w:p>
    <w:p w:rsidR="008C4558" w:rsidRPr="00776159" w:rsidRDefault="008C4558" w:rsidP="008C05A1">
      <w:pPr>
        <w:spacing w:after="120" w:line="360" w:lineRule="auto"/>
        <w:jc w:val="both"/>
        <w:rPr>
          <w:rFonts w:ascii="Times New Roman" w:hAnsi="Times New Roman"/>
          <w:sz w:val="24"/>
          <w:szCs w:val="24"/>
        </w:rPr>
      </w:pPr>
      <w:r w:rsidRPr="00776159">
        <w:rPr>
          <w:rFonts w:ascii="Times New Roman" w:hAnsi="Times New Roman"/>
          <w:sz w:val="24"/>
          <w:szCs w:val="24"/>
        </w:rPr>
        <w:t>Più raffinato è l’orientamento facente leva sulla definizione dei “soli motivi inerenti alla giurisdizione” e volto a ridefinire il concetto di giurisdizione e, conseguentemente, il sindacato della Corte di cassazione ai sensi dell’articolo 111 della Costituzione.</w:t>
      </w:r>
    </w:p>
    <w:p w:rsidR="008C4558" w:rsidRPr="00776159" w:rsidRDefault="008C4558" w:rsidP="008C05A1">
      <w:pPr>
        <w:spacing w:after="120" w:line="360" w:lineRule="auto"/>
        <w:jc w:val="both"/>
        <w:rPr>
          <w:rFonts w:ascii="Times New Roman" w:hAnsi="Times New Roman"/>
          <w:sz w:val="24"/>
          <w:szCs w:val="24"/>
        </w:rPr>
      </w:pPr>
      <w:r w:rsidRPr="00776159">
        <w:rPr>
          <w:rFonts w:ascii="Times New Roman" w:hAnsi="Times New Roman"/>
          <w:sz w:val="24"/>
          <w:szCs w:val="24"/>
        </w:rPr>
        <w:lastRenderedPageBreak/>
        <w:t xml:space="preserve">Credo che sia difficile non prendere atto dell’evoluzione che tale concetto ha avuto nella giurisprudenza della Corte di cassazione e in parte della dottrina; evoluzione che in ampia misura condivido, soprattutto alla luce dell’applicazione che la Corte ne ha fatto. </w:t>
      </w:r>
      <w:r w:rsidR="003A0CFE" w:rsidRPr="00776159">
        <w:rPr>
          <w:rFonts w:ascii="Times New Roman" w:hAnsi="Times New Roman"/>
          <w:sz w:val="24"/>
          <w:szCs w:val="24"/>
        </w:rPr>
        <w:t xml:space="preserve">D’altra parte mi sembra innegabile convenire sul fatto che si è venuta elaborando una nozione di giurisdizione “disarticolata” e distinte rispetto a quella </w:t>
      </w:r>
      <w:proofErr w:type="spellStart"/>
      <w:r w:rsidR="003A0CFE" w:rsidRPr="00776159">
        <w:rPr>
          <w:rFonts w:ascii="Times New Roman" w:hAnsi="Times New Roman"/>
          <w:sz w:val="24"/>
          <w:szCs w:val="24"/>
        </w:rPr>
        <w:t>codicistica</w:t>
      </w:r>
      <w:proofErr w:type="spellEnd"/>
      <w:r w:rsidR="003A0CFE" w:rsidRPr="00776159">
        <w:rPr>
          <w:rFonts w:ascii="Times New Roman" w:hAnsi="Times New Roman"/>
          <w:sz w:val="24"/>
          <w:szCs w:val="24"/>
        </w:rPr>
        <w:t>, incentrata proprio sul rilievo che la Carta costituzionale ne dà all’articolo 111.</w:t>
      </w:r>
    </w:p>
    <w:p w:rsidR="008C4558" w:rsidRPr="00CF0AFA" w:rsidRDefault="008C4558" w:rsidP="008C05A1">
      <w:pPr>
        <w:spacing w:after="120" w:line="360" w:lineRule="auto"/>
        <w:jc w:val="both"/>
        <w:rPr>
          <w:rFonts w:ascii="Times New Roman" w:hAnsi="Times New Roman"/>
          <w:sz w:val="32"/>
          <w:szCs w:val="32"/>
        </w:rPr>
      </w:pPr>
      <w:r w:rsidRPr="00776159">
        <w:rPr>
          <w:rFonts w:ascii="Times New Roman" w:hAnsi="Times New Roman"/>
          <w:sz w:val="24"/>
          <w:szCs w:val="24"/>
        </w:rPr>
        <w:t>Oggi i motivi “inerenti alla giurisdizione” non attengono al solo riparto, ma possono investire l’esercizio della giurisdizione in modo eccedente rispetto all’attribuzione che ne faccia l’ordinamento a quel giudice (eccesso di potere giurisdizionale) o in modo, per così dire</w:t>
      </w:r>
      <w:r w:rsidR="003A0CFE" w:rsidRPr="00776159">
        <w:rPr>
          <w:rFonts w:ascii="Times New Roman" w:hAnsi="Times New Roman"/>
          <w:sz w:val="24"/>
          <w:szCs w:val="24"/>
        </w:rPr>
        <w:t>,</w:t>
      </w:r>
      <w:r w:rsidRPr="00776159">
        <w:rPr>
          <w:rFonts w:ascii="Times New Roman" w:hAnsi="Times New Roman"/>
          <w:sz w:val="24"/>
          <w:szCs w:val="24"/>
        </w:rPr>
        <w:t xml:space="preserve"> deficitario (cd. </w:t>
      </w:r>
      <w:proofErr w:type="gramStart"/>
      <w:r w:rsidRPr="00776159">
        <w:rPr>
          <w:rFonts w:ascii="Times New Roman" w:hAnsi="Times New Roman"/>
          <w:sz w:val="24"/>
          <w:szCs w:val="24"/>
        </w:rPr>
        <w:t>diniego</w:t>
      </w:r>
      <w:proofErr w:type="gramEnd"/>
      <w:r w:rsidRPr="00776159">
        <w:rPr>
          <w:rFonts w:ascii="Times New Roman" w:hAnsi="Times New Roman"/>
          <w:sz w:val="24"/>
          <w:szCs w:val="24"/>
        </w:rPr>
        <w:t xml:space="preserve"> o rifiuto di giurisdizione), nel senso che si traduce in un radicale diniego di tutela </w:t>
      </w:r>
      <w:r w:rsidRPr="00776159">
        <w:rPr>
          <w:rFonts w:ascii="Times New Roman" w:hAnsi="Times New Roman"/>
          <w:i/>
          <w:sz w:val="24"/>
          <w:szCs w:val="24"/>
        </w:rPr>
        <w:t>in astratto</w:t>
      </w:r>
      <w:r w:rsidRPr="00776159">
        <w:rPr>
          <w:rFonts w:ascii="Times New Roman" w:hAnsi="Times New Roman"/>
          <w:sz w:val="24"/>
          <w:szCs w:val="24"/>
        </w:rPr>
        <w:t>.</w:t>
      </w:r>
      <w:r>
        <w:rPr>
          <w:rFonts w:ascii="Times New Roman" w:hAnsi="Times New Roman"/>
          <w:sz w:val="32"/>
          <w:szCs w:val="32"/>
        </w:rPr>
        <w:t xml:space="preserve"> </w:t>
      </w:r>
    </w:p>
    <w:p w:rsidR="008C4558" w:rsidRPr="00776159" w:rsidRDefault="008C4558" w:rsidP="006D440E">
      <w:pPr>
        <w:spacing w:line="360" w:lineRule="auto"/>
        <w:jc w:val="both"/>
        <w:rPr>
          <w:rFonts w:ascii="Times New Roman" w:hAnsi="Times New Roman"/>
          <w:sz w:val="24"/>
          <w:szCs w:val="24"/>
        </w:rPr>
      </w:pPr>
      <w:r w:rsidRPr="00776159">
        <w:rPr>
          <w:rFonts w:ascii="Times New Roman" w:hAnsi="Times New Roman"/>
          <w:sz w:val="24"/>
          <w:szCs w:val="24"/>
        </w:rPr>
        <w:t>L’orientamento che tende a</w:t>
      </w:r>
      <w:r w:rsidR="003A0CFE" w:rsidRPr="00776159">
        <w:rPr>
          <w:rFonts w:ascii="Times New Roman" w:hAnsi="Times New Roman"/>
          <w:sz w:val="24"/>
          <w:szCs w:val="24"/>
        </w:rPr>
        <w:t xml:space="preserve">d ammettere una nomofilachia cd. </w:t>
      </w:r>
      <w:proofErr w:type="gramStart"/>
      <w:r w:rsidRPr="00776159">
        <w:rPr>
          <w:rFonts w:ascii="Times New Roman" w:hAnsi="Times New Roman"/>
          <w:sz w:val="24"/>
          <w:szCs w:val="24"/>
        </w:rPr>
        <w:t>esterna</w:t>
      </w:r>
      <w:proofErr w:type="gramEnd"/>
      <w:r w:rsidRPr="00776159">
        <w:rPr>
          <w:rFonts w:ascii="Times New Roman" w:hAnsi="Times New Roman"/>
          <w:sz w:val="24"/>
          <w:szCs w:val="24"/>
        </w:rPr>
        <w:t xml:space="preserve"> della Corte muove dal principio di effettività della tutela e ammette il sindacato della Corte ex articolo 111 tutte le volte in cui il giudice speciale non abbia dato una tutela “appropriata” sul piano sostanziale e secondo le regole del giusto processo. La Corte assolverebbe, sembra di capire, una funzione di chiusura del sistema delle tutele a garanzia dell’ordinamento. Ammetto che l’idea mi prende; ma ammetto anche che non saprei, da giudice, come applicare questo criterio. Configurare poi la Cassazione come l’organo in grado di verificare se sia stata assicurata una tutela appropriata ed effettiva in campi, settori, conoscenze esulanti dalla propria giurisdizione, e dall’ordinario esercizio di questa da parte dei suoi giudici, mi sembra un</w:t>
      </w:r>
      <w:r w:rsidR="00BC51E2" w:rsidRPr="00776159">
        <w:rPr>
          <w:rFonts w:ascii="Times New Roman" w:hAnsi="Times New Roman"/>
          <w:sz w:val="24"/>
          <w:szCs w:val="24"/>
        </w:rPr>
        <w:t>a cosa bizzarra; tanto da indurre, probabilmente a torto, a pensare, come esplicitamente ipotizza</w:t>
      </w:r>
      <w:r w:rsidRPr="00776159">
        <w:rPr>
          <w:rFonts w:ascii="Times New Roman" w:hAnsi="Times New Roman"/>
          <w:sz w:val="24"/>
          <w:szCs w:val="24"/>
        </w:rPr>
        <w:t xml:space="preserve"> Riccardo Villata</w:t>
      </w:r>
      <w:r w:rsidR="00BC51E2" w:rsidRPr="00776159">
        <w:rPr>
          <w:rStyle w:val="Rimandonotaapidipagina"/>
          <w:rFonts w:ascii="Times New Roman" w:hAnsi="Times New Roman"/>
          <w:sz w:val="24"/>
          <w:szCs w:val="24"/>
        </w:rPr>
        <w:footnoteReference w:id="15"/>
      </w:r>
      <w:r w:rsidRPr="00776159">
        <w:rPr>
          <w:rFonts w:ascii="Times New Roman" w:hAnsi="Times New Roman"/>
          <w:sz w:val="24"/>
          <w:szCs w:val="24"/>
        </w:rPr>
        <w:t>, che i fautori di questa tesi mirino essenzialmente a mutare l’assetto delle giurisdizioni a Costituzione invariata, ma in violazione del tenore testuale della stessa.</w:t>
      </w:r>
    </w:p>
    <w:p w:rsidR="008C4558" w:rsidRPr="00776159" w:rsidRDefault="008C4558" w:rsidP="006D440E">
      <w:pPr>
        <w:spacing w:line="360" w:lineRule="auto"/>
        <w:jc w:val="both"/>
        <w:rPr>
          <w:rFonts w:ascii="Times New Roman" w:hAnsi="Times New Roman"/>
          <w:i/>
          <w:sz w:val="24"/>
          <w:szCs w:val="24"/>
        </w:rPr>
      </w:pPr>
      <w:r w:rsidRPr="00776159">
        <w:rPr>
          <w:rFonts w:ascii="Times New Roman" w:hAnsi="Times New Roman"/>
          <w:sz w:val="24"/>
          <w:szCs w:val="24"/>
        </w:rPr>
        <w:t>Tutto questo non esclude che il sindacato ex articolo 111 possa avere un ruolo fondamentale nell’assicurare l’unità dell’ordinamento e che la sua ampiezza possa estendersi fino a ricomprendervi fattispecie “estreme” in cui l’esercizio della giurisdizione abbia minato in radice la tutela in astratto riconosciuta dall’ordinamento a una situazione soggettiva.</w:t>
      </w:r>
      <w:r w:rsidR="003A0CFE" w:rsidRPr="00776159">
        <w:rPr>
          <w:rFonts w:ascii="Times New Roman" w:hAnsi="Times New Roman"/>
          <w:sz w:val="24"/>
          <w:szCs w:val="24"/>
        </w:rPr>
        <w:t xml:space="preserve"> Da questo punto di vista, forse lavorando più sul concetto di sentenza “abnorme” che su quello di casi “estremi”</w:t>
      </w:r>
      <w:r w:rsidR="008335A7" w:rsidRPr="00776159">
        <w:rPr>
          <w:rFonts w:ascii="Times New Roman" w:hAnsi="Times New Roman"/>
          <w:sz w:val="24"/>
          <w:szCs w:val="24"/>
        </w:rPr>
        <w:t>,</w:t>
      </w:r>
      <w:r w:rsidR="003A0CFE" w:rsidRPr="00776159">
        <w:rPr>
          <w:rFonts w:ascii="Times New Roman" w:hAnsi="Times New Roman"/>
          <w:sz w:val="24"/>
          <w:szCs w:val="24"/>
        </w:rPr>
        <w:t xml:space="preserve"> è possibile riconoscere alla Corte un ruolo “straordinario” di chiusura del sistema giurisprudenziale.</w:t>
      </w:r>
    </w:p>
    <w:p w:rsidR="00776159" w:rsidRDefault="00776159" w:rsidP="006D440E">
      <w:pPr>
        <w:spacing w:line="360" w:lineRule="auto"/>
        <w:jc w:val="both"/>
        <w:rPr>
          <w:rFonts w:ascii="Times New Roman" w:hAnsi="Times New Roman"/>
          <w:sz w:val="32"/>
          <w:szCs w:val="32"/>
        </w:rPr>
      </w:pPr>
      <w:r>
        <w:rPr>
          <w:rFonts w:ascii="Times New Roman" w:hAnsi="Times New Roman"/>
          <w:sz w:val="32"/>
          <w:szCs w:val="32"/>
        </w:rPr>
        <w:t xml:space="preserve">Ciò </w:t>
      </w:r>
      <w:r w:rsidRPr="00856949">
        <w:rPr>
          <w:rFonts w:ascii="Times New Roman" w:hAnsi="Times New Roman"/>
          <w:sz w:val="32"/>
          <w:szCs w:val="32"/>
        </w:rPr>
        <w:t>non esclude che possano verificarsi interferenze tra nomofilachie,</w:t>
      </w:r>
      <w:r>
        <w:rPr>
          <w:rFonts w:ascii="Times New Roman" w:hAnsi="Times New Roman"/>
          <w:sz w:val="32"/>
          <w:szCs w:val="32"/>
        </w:rPr>
        <w:t xml:space="preserve"> </w:t>
      </w:r>
      <w:r w:rsidRPr="00091198">
        <w:rPr>
          <w:rFonts w:ascii="Times New Roman" w:hAnsi="Times New Roman"/>
          <w:sz w:val="32"/>
          <w:szCs w:val="32"/>
        </w:rPr>
        <w:t>ma</w:t>
      </w:r>
      <w:r w:rsidRPr="00AC3755">
        <w:rPr>
          <w:rFonts w:ascii="Times New Roman" w:hAnsi="Times New Roman"/>
          <w:i/>
          <w:sz w:val="32"/>
          <w:szCs w:val="32"/>
        </w:rPr>
        <w:t xml:space="preserve"> </w:t>
      </w:r>
      <w:r w:rsidRPr="00856949">
        <w:rPr>
          <w:rFonts w:ascii="Times New Roman" w:hAnsi="Times New Roman"/>
          <w:sz w:val="32"/>
          <w:szCs w:val="32"/>
        </w:rPr>
        <w:t xml:space="preserve">tali interferenze possono trovare composizione, come finora è sempre </w:t>
      </w:r>
      <w:r w:rsidRPr="00856949">
        <w:rPr>
          <w:rFonts w:ascii="Times New Roman" w:hAnsi="Times New Roman"/>
          <w:sz w:val="32"/>
          <w:szCs w:val="32"/>
        </w:rPr>
        <w:lastRenderedPageBreak/>
        <w:t>avvenuto, in sede di dialogo tra le Corti e non con atteggiamenti conflittuali che, in tutti i campi, solitamente tagliano le ali alle colombe del dialogo e nutrono i falchi del conflitto, incidendo seriamente sulla “prevedibilità della stessa nomofilachia</w:t>
      </w:r>
      <w:r>
        <w:rPr>
          <w:rFonts w:ascii="Times New Roman" w:hAnsi="Times New Roman"/>
          <w:sz w:val="32"/>
          <w:szCs w:val="32"/>
        </w:rPr>
        <w:t>”.</w:t>
      </w:r>
    </w:p>
    <w:p w:rsidR="00776159" w:rsidRDefault="00776159" w:rsidP="006D440E">
      <w:pPr>
        <w:spacing w:line="360" w:lineRule="auto"/>
        <w:jc w:val="both"/>
        <w:rPr>
          <w:rFonts w:ascii="Times New Roman" w:hAnsi="Times New Roman"/>
          <w:sz w:val="32"/>
          <w:szCs w:val="32"/>
        </w:rPr>
      </w:pPr>
      <w:r w:rsidRPr="00856949">
        <w:rPr>
          <w:rFonts w:ascii="Times New Roman" w:hAnsi="Times New Roman"/>
          <w:sz w:val="32"/>
          <w:szCs w:val="32"/>
        </w:rPr>
        <w:t>Nella legislazione, dicevo, si sono in</w:t>
      </w:r>
      <w:r w:rsidR="00AC3755" w:rsidRPr="00856949">
        <w:rPr>
          <w:rFonts w:ascii="Times New Roman" w:hAnsi="Times New Roman"/>
          <w:sz w:val="32"/>
          <w:szCs w:val="32"/>
        </w:rPr>
        <w:t>trodotti i noti meccanismi</w:t>
      </w:r>
      <w:r w:rsidRPr="00856949">
        <w:rPr>
          <w:rFonts w:ascii="Times New Roman" w:hAnsi="Times New Roman"/>
          <w:sz w:val="32"/>
          <w:szCs w:val="32"/>
        </w:rPr>
        <w:t xml:space="preserve"> volti a rafforzare la funzione nomofilattica delle Corti superiori, e </w:t>
      </w:r>
      <w:r w:rsidR="00532962" w:rsidRPr="00856949">
        <w:rPr>
          <w:rFonts w:ascii="Times New Roman" w:hAnsi="Times New Roman"/>
          <w:sz w:val="32"/>
          <w:szCs w:val="32"/>
        </w:rPr>
        <w:t>segnatamente di tali Corti in</w:t>
      </w:r>
      <w:r w:rsidRPr="00856949">
        <w:rPr>
          <w:rFonts w:ascii="Times New Roman" w:hAnsi="Times New Roman"/>
          <w:sz w:val="32"/>
          <w:szCs w:val="32"/>
        </w:rPr>
        <w:t xml:space="preserve"> particolare composizione</w:t>
      </w:r>
      <w:r w:rsidR="00532962">
        <w:rPr>
          <w:rFonts w:ascii="Times New Roman" w:hAnsi="Times New Roman"/>
          <w:sz w:val="32"/>
          <w:szCs w:val="32"/>
        </w:rPr>
        <w:t>, imponendo alla Sezione che intenda discostarsi da un precedente delle Sezioni unite o della Plenaria, debba necessariamente rimettere la questione a quella sede.</w:t>
      </w:r>
    </w:p>
    <w:p w:rsidR="008C4558" w:rsidRDefault="003C5679" w:rsidP="006D440E">
      <w:pPr>
        <w:spacing w:line="360" w:lineRule="auto"/>
        <w:jc w:val="both"/>
        <w:rPr>
          <w:rFonts w:ascii="Times New Roman" w:hAnsi="Times New Roman"/>
          <w:sz w:val="32"/>
          <w:szCs w:val="32"/>
        </w:rPr>
      </w:pPr>
      <w:r>
        <w:rPr>
          <w:rFonts w:ascii="Times New Roman" w:hAnsi="Times New Roman"/>
          <w:sz w:val="32"/>
          <w:szCs w:val="32"/>
        </w:rPr>
        <w:t xml:space="preserve">Questo meccanismo, peraltro, è </w:t>
      </w:r>
      <w:r w:rsidRPr="00856949">
        <w:rPr>
          <w:rFonts w:ascii="Times New Roman" w:hAnsi="Times New Roman"/>
          <w:sz w:val="32"/>
          <w:szCs w:val="32"/>
        </w:rPr>
        <w:t xml:space="preserve">messo a rischio nel settore dei rapporti tra ordinamento nazionale e ordinamento europeo. </w:t>
      </w:r>
      <w:r w:rsidR="008C4558" w:rsidRPr="00856949">
        <w:rPr>
          <w:rFonts w:ascii="Times New Roman" w:hAnsi="Times New Roman"/>
          <w:sz w:val="32"/>
          <w:szCs w:val="32"/>
        </w:rPr>
        <w:t>Il tema riguarda due aspetti:</w:t>
      </w:r>
      <w:r w:rsidR="008C4558">
        <w:rPr>
          <w:rFonts w:ascii="Times New Roman" w:hAnsi="Times New Roman"/>
          <w:sz w:val="32"/>
          <w:szCs w:val="32"/>
        </w:rPr>
        <w:t xml:space="preserve"> la posizione della Corte rispetto alle Corti supreme interne deputate ad assicurare la nomofilachia; ancora una volta, il rapporto tra nomofilachia europea e sindacato della Corte di cassazione.</w:t>
      </w:r>
    </w:p>
    <w:p w:rsidR="008C4558" w:rsidRDefault="008C4558" w:rsidP="006D440E">
      <w:pPr>
        <w:spacing w:line="360" w:lineRule="auto"/>
        <w:jc w:val="both"/>
        <w:rPr>
          <w:rFonts w:ascii="Times New Roman" w:hAnsi="Times New Roman"/>
          <w:sz w:val="32"/>
          <w:szCs w:val="32"/>
        </w:rPr>
      </w:pPr>
      <w:r>
        <w:rPr>
          <w:rFonts w:ascii="Times New Roman" w:hAnsi="Times New Roman"/>
          <w:sz w:val="32"/>
          <w:szCs w:val="32"/>
        </w:rPr>
        <w:t xml:space="preserve">Il primo aspetto è quello posto dalla </w:t>
      </w:r>
      <w:r w:rsidRPr="00856949">
        <w:rPr>
          <w:rFonts w:ascii="Times New Roman" w:hAnsi="Times New Roman"/>
          <w:sz w:val="32"/>
          <w:szCs w:val="32"/>
        </w:rPr>
        <w:t xml:space="preserve">nota sentenza </w:t>
      </w:r>
      <w:proofErr w:type="spellStart"/>
      <w:r w:rsidRPr="00856949">
        <w:rPr>
          <w:rFonts w:ascii="Times New Roman" w:hAnsi="Times New Roman"/>
          <w:i/>
          <w:sz w:val="32"/>
          <w:szCs w:val="32"/>
        </w:rPr>
        <w:t>Puligienica</w:t>
      </w:r>
      <w:proofErr w:type="spellEnd"/>
      <w:r w:rsidR="008335A7">
        <w:rPr>
          <w:rFonts w:ascii="Times New Roman" w:hAnsi="Times New Roman"/>
          <w:i/>
          <w:sz w:val="32"/>
          <w:szCs w:val="32"/>
        </w:rPr>
        <w:t xml:space="preserve"> </w:t>
      </w:r>
      <w:r w:rsidR="008335A7">
        <w:rPr>
          <w:rFonts w:ascii="Times New Roman" w:hAnsi="Times New Roman"/>
          <w:sz w:val="32"/>
          <w:szCs w:val="32"/>
        </w:rPr>
        <w:t>(sentenza 5 aprile 2013, C-689/13)</w:t>
      </w:r>
      <w:r w:rsidRPr="00EF54F4">
        <w:rPr>
          <w:rFonts w:ascii="Times New Roman" w:hAnsi="Times New Roman"/>
          <w:i/>
          <w:sz w:val="32"/>
          <w:szCs w:val="32"/>
        </w:rPr>
        <w:t xml:space="preserve"> </w:t>
      </w:r>
      <w:r>
        <w:rPr>
          <w:rFonts w:ascii="Times New Roman" w:hAnsi="Times New Roman"/>
          <w:sz w:val="32"/>
          <w:szCs w:val="32"/>
        </w:rPr>
        <w:t xml:space="preserve">e dai suoi successivi sviluppi, che non hanno sostanzialmente modificato l’arresto </w:t>
      </w:r>
      <w:proofErr w:type="spellStart"/>
      <w:r w:rsidRPr="008335A7">
        <w:rPr>
          <w:rFonts w:ascii="Times New Roman" w:hAnsi="Times New Roman"/>
          <w:i/>
          <w:sz w:val="32"/>
          <w:szCs w:val="32"/>
        </w:rPr>
        <w:t>Puligienica</w:t>
      </w:r>
      <w:proofErr w:type="spellEnd"/>
      <w:r>
        <w:rPr>
          <w:rFonts w:ascii="Times New Roman" w:hAnsi="Times New Roman"/>
          <w:sz w:val="32"/>
          <w:szCs w:val="32"/>
        </w:rPr>
        <w:t xml:space="preserve">; arresto peraltro che trova dei precedenti nei casi </w:t>
      </w:r>
      <w:proofErr w:type="spellStart"/>
      <w:r w:rsidRPr="00EF54F4">
        <w:rPr>
          <w:rFonts w:ascii="Times New Roman" w:hAnsi="Times New Roman"/>
          <w:i/>
          <w:sz w:val="32"/>
          <w:szCs w:val="32"/>
        </w:rPr>
        <w:t>Interedil</w:t>
      </w:r>
      <w:proofErr w:type="spellEnd"/>
      <w:r w:rsidRPr="00EF54F4">
        <w:rPr>
          <w:rFonts w:ascii="Times New Roman" w:hAnsi="Times New Roman"/>
          <w:i/>
          <w:sz w:val="32"/>
          <w:szCs w:val="32"/>
        </w:rPr>
        <w:t xml:space="preserve"> </w:t>
      </w:r>
      <w:r>
        <w:rPr>
          <w:rFonts w:ascii="Times New Roman" w:hAnsi="Times New Roman"/>
          <w:sz w:val="32"/>
          <w:szCs w:val="32"/>
        </w:rPr>
        <w:t xml:space="preserve">(sentenza 20 ottobre 2011, C-369/09) ed </w:t>
      </w:r>
      <w:proofErr w:type="spellStart"/>
      <w:r w:rsidRPr="00EF54F4">
        <w:rPr>
          <w:rFonts w:ascii="Times New Roman" w:hAnsi="Times New Roman"/>
          <w:i/>
          <w:sz w:val="32"/>
          <w:szCs w:val="32"/>
        </w:rPr>
        <w:t>Elchinov</w:t>
      </w:r>
      <w:proofErr w:type="spellEnd"/>
      <w:r>
        <w:rPr>
          <w:rFonts w:ascii="Times New Roman" w:hAnsi="Times New Roman"/>
          <w:sz w:val="32"/>
          <w:szCs w:val="32"/>
        </w:rPr>
        <w:t xml:space="preserve"> /sentenza 5 ottobre 2010, in C-173/09).</w:t>
      </w:r>
    </w:p>
    <w:p w:rsidR="008C4558" w:rsidRPr="00C55EBE" w:rsidRDefault="008C4558" w:rsidP="00BA41B0">
      <w:pPr>
        <w:spacing w:line="360" w:lineRule="auto"/>
        <w:jc w:val="both"/>
        <w:rPr>
          <w:rFonts w:ascii="Times New Roman" w:hAnsi="Times New Roman"/>
          <w:sz w:val="32"/>
          <w:szCs w:val="32"/>
        </w:rPr>
      </w:pPr>
      <w:r>
        <w:rPr>
          <w:rFonts w:ascii="Times New Roman" w:hAnsi="Times New Roman"/>
          <w:sz w:val="32"/>
          <w:szCs w:val="32"/>
        </w:rPr>
        <w:t>Con quest’orientamento, l</w:t>
      </w:r>
      <w:r w:rsidRPr="00C55EBE">
        <w:rPr>
          <w:rFonts w:ascii="Times New Roman" w:hAnsi="Times New Roman"/>
          <w:sz w:val="32"/>
          <w:szCs w:val="32"/>
        </w:rPr>
        <w:t xml:space="preserve">a Corte UE tende costantemente ad affermare </w:t>
      </w:r>
      <w:r>
        <w:rPr>
          <w:rFonts w:ascii="Times New Roman" w:hAnsi="Times New Roman"/>
          <w:sz w:val="32"/>
          <w:szCs w:val="32"/>
        </w:rPr>
        <w:t xml:space="preserve">la propria funzione di </w:t>
      </w:r>
      <w:r w:rsidRPr="00C55EBE">
        <w:rPr>
          <w:rFonts w:ascii="Times New Roman" w:hAnsi="Times New Roman"/>
          <w:sz w:val="32"/>
          <w:szCs w:val="32"/>
        </w:rPr>
        <w:t xml:space="preserve">nomofilachia </w:t>
      </w:r>
      <w:r>
        <w:rPr>
          <w:rFonts w:ascii="Times New Roman" w:hAnsi="Times New Roman"/>
          <w:sz w:val="32"/>
          <w:szCs w:val="32"/>
        </w:rPr>
        <w:t>con riguardo al</w:t>
      </w:r>
      <w:r w:rsidRPr="00C55EBE">
        <w:rPr>
          <w:rFonts w:ascii="Times New Roman" w:hAnsi="Times New Roman"/>
          <w:sz w:val="32"/>
          <w:szCs w:val="32"/>
        </w:rPr>
        <w:t xml:space="preserve"> diritto europeo, anche a discapito di normative nazionali, come quella italiana, che, nel rafforzare la funzione nomofilattica interna delle Giurisdizioni super</w:t>
      </w:r>
      <w:r w:rsidR="003A0CFE">
        <w:rPr>
          <w:rFonts w:ascii="Times New Roman" w:hAnsi="Times New Roman"/>
          <w:sz w:val="32"/>
          <w:szCs w:val="32"/>
        </w:rPr>
        <w:t>iori, tendeva a configurare queste come</w:t>
      </w:r>
      <w:r w:rsidRPr="00C55EBE">
        <w:rPr>
          <w:rFonts w:ascii="Times New Roman" w:hAnsi="Times New Roman"/>
          <w:sz w:val="32"/>
          <w:szCs w:val="32"/>
        </w:rPr>
        <w:t xml:space="preserve"> interlocutore privilegiato della Corte UE, in re</w:t>
      </w:r>
      <w:r w:rsidR="003A0CFE">
        <w:rPr>
          <w:rFonts w:ascii="Times New Roman" w:hAnsi="Times New Roman"/>
          <w:sz w:val="32"/>
          <w:szCs w:val="32"/>
        </w:rPr>
        <w:t>lazione al rinvio pregiudiziale.</w:t>
      </w:r>
      <w:r w:rsidRPr="00C55EBE">
        <w:rPr>
          <w:rFonts w:ascii="Times New Roman" w:hAnsi="Times New Roman"/>
          <w:sz w:val="32"/>
          <w:szCs w:val="32"/>
        </w:rPr>
        <w:t xml:space="preserve"> </w:t>
      </w:r>
      <w:r>
        <w:rPr>
          <w:rFonts w:ascii="Times New Roman" w:hAnsi="Times New Roman"/>
          <w:sz w:val="32"/>
          <w:szCs w:val="32"/>
        </w:rPr>
        <w:t>In forza di quest’orientamento, infatti,</w:t>
      </w:r>
      <w:r w:rsidRPr="00C55EBE">
        <w:rPr>
          <w:rFonts w:ascii="Times New Roman" w:hAnsi="Times New Roman"/>
          <w:sz w:val="32"/>
          <w:szCs w:val="32"/>
        </w:rPr>
        <w:t xml:space="preserve"> resta </w:t>
      </w:r>
      <w:r w:rsidRPr="00C55EBE">
        <w:rPr>
          <w:rFonts w:ascii="Times New Roman" w:hAnsi="Times New Roman"/>
          <w:sz w:val="32"/>
          <w:szCs w:val="32"/>
        </w:rPr>
        <w:lastRenderedPageBreak/>
        <w:t>il principio secondo cui la sezione semplice, che non condivida il principio di diritto affermato dalle sezioni unite o dall’adunanza plenaria</w:t>
      </w:r>
      <w:r>
        <w:rPr>
          <w:rFonts w:ascii="Times New Roman" w:hAnsi="Times New Roman"/>
          <w:sz w:val="32"/>
          <w:szCs w:val="32"/>
        </w:rPr>
        <w:t xml:space="preserve"> o dalle sezioni riunite della Corte dei conti</w:t>
      </w:r>
      <w:r w:rsidRPr="00C55EBE">
        <w:rPr>
          <w:rFonts w:ascii="Times New Roman" w:hAnsi="Times New Roman"/>
          <w:sz w:val="32"/>
          <w:szCs w:val="32"/>
        </w:rPr>
        <w:t xml:space="preserve"> in materia comunitaria, ben può, e forse deve, </w:t>
      </w:r>
      <w:proofErr w:type="spellStart"/>
      <w:r w:rsidRPr="00C55EBE">
        <w:rPr>
          <w:rFonts w:ascii="Times New Roman" w:hAnsi="Times New Roman"/>
          <w:sz w:val="32"/>
          <w:szCs w:val="32"/>
        </w:rPr>
        <w:t>adìre</w:t>
      </w:r>
      <w:proofErr w:type="spellEnd"/>
      <w:r w:rsidRPr="00C55EBE">
        <w:rPr>
          <w:rFonts w:ascii="Times New Roman" w:hAnsi="Times New Roman"/>
          <w:sz w:val="32"/>
          <w:szCs w:val="32"/>
        </w:rPr>
        <w:t xml:space="preserve"> direttamente la Corte UE senza dover </w:t>
      </w:r>
      <w:r w:rsidR="00D164C4">
        <w:rPr>
          <w:rFonts w:ascii="Times New Roman" w:hAnsi="Times New Roman"/>
          <w:sz w:val="32"/>
          <w:szCs w:val="32"/>
        </w:rPr>
        <w:t>“transita</w:t>
      </w:r>
      <w:r w:rsidRPr="00C55EBE">
        <w:rPr>
          <w:rFonts w:ascii="Times New Roman" w:hAnsi="Times New Roman"/>
          <w:sz w:val="32"/>
          <w:szCs w:val="32"/>
        </w:rPr>
        <w:t>re</w:t>
      </w:r>
      <w:r w:rsidR="00D164C4">
        <w:rPr>
          <w:rFonts w:ascii="Times New Roman" w:hAnsi="Times New Roman"/>
          <w:sz w:val="32"/>
          <w:szCs w:val="32"/>
        </w:rPr>
        <w:t>”</w:t>
      </w:r>
      <w:r w:rsidRPr="00C55EBE">
        <w:rPr>
          <w:rFonts w:ascii="Times New Roman" w:hAnsi="Times New Roman"/>
          <w:sz w:val="32"/>
          <w:szCs w:val="32"/>
        </w:rPr>
        <w:t xml:space="preserve"> per le sezioni unite o la plenaria.</w:t>
      </w:r>
      <w:r>
        <w:rPr>
          <w:rFonts w:ascii="Times New Roman" w:hAnsi="Times New Roman"/>
          <w:sz w:val="32"/>
          <w:szCs w:val="32"/>
        </w:rPr>
        <w:t xml:space="preserve"> </w:t>
      </w:r>
    </w:p>
    <w:p w:rsidR="008C4558" w:rsidRDefault="008C4558" w:rsidP="00C55EBE">
      <w:pPr>
        <w:spacing w:line="360" w:lineRule="auto"/>
        <w:jc w:val="both"/>
        <w:rPr>
          <w:rFonts w:ascii="Times New Roman" w:hAnsi="Times New Roman"/>
          <w:sz w:val="32"/>
          <w:szCs w:val="32"/>
        </w:rPr>
      </w:pPr>
      <w:r w:rsidRPr="00C55EBE">
        <w:rPr>
          <w:rFonts w:ascii="Times New Roman" w:hAnsi="Times New Roman"/>
          <w:sz w:val="32"/>
          <w:szCs w:val="32"/>
        </w:rPr>
        <w:t xml:space="preserve">La sentenza </w:t>
      </w:r>
      <w:proofErr w:type="spellStart"/>
      <w:r w:rsidRPr="00C55EBE">
        <w:rPr>
          <w:rFonts w:ascii="Times New Roman" w:hAnsi="Times New Roman"/>
          <w:i/>
          <w:sz w:val="32"/>
          <w:szCs w:val="32"/>
        </w:rPr>
        <w:t>Puligienica</w:t>
      </w:r>
      <w:proofErr w:type="spellEnd"/>
      <w:r w:rsidRPr="00C55EBE">
        <w:rPr>
          <w:rFonts w:ascii="Times New Roman" w:hAnsi="Times New Roman"/>
          <w:i/>
          <w:sz w:val="32"/>
          <w:szCs w:val="32"/>
        </w:rPr>
        <w:t xml:space="preserve"> </w:t>
      </w:r>
      <w:r w:rsidRPr="00C55EBE">
        <w:rPr>
          <w:rFonts w:ascii="Times New Roman" w:hAnsi="Times New Roman"/>
          <w:sz w:val="32"/>
          <w:szCs w:val="32"/>
        </w:rPr>
        <w:t xml:space="preserve">sembra in qualche modo </w:t>
      </w:r>
      <w:r w:rsidRPr="00856949">
        <w:rPr>
          <w:rFonts w:ascii="Times New Roman" w:hAnsi="Times New Roman"/>
          <w:sz w:val="32"/>
          <w:szCs w:val="32"/>
        </w:rPr>
        <w:t>pesantemente interferire con l’organizzazione interna del processo e dell’</w:t>
      </w:r>
      <w:r w:rsidR="00D164C4" w:rsidRPr="00856949">
        <w:rPr>
          <w:rFonts w:ascii="Times New Roman" w:hAnsi="Times New Roman"/>
          <w:sz w:val="32"/>
          <w:szCs w:val="32"/>
        </w:rPr>
        <w:t>autorità giudiziaria nazionale; cioè con l’autonomia procedurale degli Stati membri</w:t>
      </w:r>
      <w:r w:rsidR="00D164C4">
        <w:rPr>
          <w:rFonts w:ascii="Times New Roman" w:hAnsi="Times New Roman"/>
          <w:sz w:val="32"/>
          <w:szCs w:val="32"/>
        </w:rPr>
        <w:t>.</w:t>
      </w:r>
    </w:p>
    <w:p w:rsidR="008C4558" w:rsidRPr="00C55EBE" w:rsidRDefault="008C4558" w:rsidP="00C55EBE">
      <w:pPr>
        <w:spacing w:line="360" w:lineRule="auto"/>
        <w:jc w:val="both"/>
        <w:rPr>
          <w:rFonts w:ascii="Times New Roman" w:hAnsi="Times New Roman"/>
          <w:sz w:val="32"/>
          <w:szCs w:val="32"/>
        </w:rPr>
      </w:pPr>
      <w:r w:rsidRPr="00C55EBE">
        <w:rPr>
          <w:rFonts w:ascii="Times New Roman" w:hAnsi="Times New Roman"/>
          <w:sz w:val="32"/>
          <w:szCs w:val="32"/>
        </w:rPr>
        <w:t xml:space="preserve">Così come, su di un diverso piano, </w:t>
      </w:r>
      <w:r>
        <w:rPr>
          <w:rFonts w:ascii="Times New Roman" w:hAnsi="Times New Roman"/>
          <w:sz w:val="32"/>
          <w:szCs w:val="32"/>
        </w:rPr>
        <w:t xml:space="preserve">interno, </w:t>
      </w:r>
      <w:r w:rsidRPr="00C55EBE">
        <w:rPr>
          <w:rFonts w:ascii="Times New Roman" w:hAnsi="Times New Roman"/>
          <w:sz w:val="32"/>
          <w:szCs w:val="32"/>
        </w:rPr>
        <w:t>suscita perplessità quell’orientamento che</w:t>
      </w:r>
      <w:r>
        <w:rPr>
          <w:rFonts w:ascii="Times New Roman" w:hAnsi="Times New Roman"/>
          <w:sz w:val="32"/>
          <w:szCs w:val="32"/>
        </w:rPr>
        <w:t>, ancora una volta ampliando il sindacato della Corte di cassazione,</w:t>
      </w:r>
      <w:r w:rsidRPr="00C55EBE">
        <w:rPr>
          <w:rFonts w:ascii="Times New Roman" w:hAnsi="Times New Roman"/>
          <w:sz w:val="32"/>
          <w:szCs w:val="32"/>
        </w:rPr>
        <w:t xml:space="preserve"> sembra </w:t>
      </w:r>
      <w:r w:rsidRPr="00856949">
        <w:rPr>
          <w:rFonts w:ascii="Times New Roman" w:hAnsi="Times New Roman"/>
          <w:sz w:val="32"/>
          <w:szCs w:val="32"/>
        </w:rPr>
        <w:t>ricondurre a questione di giurisdizione, sotto il profilo dell’eccesso o del diniego, ricorribile ex art. 111, la violazione del diritto dell’Unione europea</w:t>
      </w:r>
      <w:r w:rsidRPr="00AC3755">
        <w:rPr>
          <w:rFonts w:ascii="Times New Roman" w:hAnsi="Times New Roman"/>
          <w:b/>
          <w:sz w:val="32"/>
          <w:szCs w:val="32"/>
        </w:rPr>
        <w:t>:</w:t>
      </w:r>
      <w:r w:rsidRPr="00C55EBE">
        <w:rPr>
          <w:rFonts w:ascii="Times New Roman" w:hAnsi="Times New Roman"/>
          <w:sz w:val="32"/>
          <w:szCs w:val="32"/>
        </w:rPr>
        <w:t xml:space="preserve"> in tal modo trattando alla stregua di una questione di giurisdizione una questione di denunciato errore di diritto e incidendo, ancora una volta, per “via comunitaria” sull’assetto interno della giurisdizione e sullo stesso regime di responsabilità gravante –come è noto- sul “giudice di ultima istanza”, che finirebbe con l’essere la Corte di cassazione anche in materie devolute alla giurisdizione amministrativa</w:t>
      </w:r>
      <w:r w:rsidR="00D164C4">
        <w:rPr>
          <w:rStyle w:val="Rimandonotaapidipagina"/>
          <w:rFonts w:ascii="Times New Roman" w:hAnsi="Times New Roman"/>
          <w:sz w:val="32"/>
          <w:szCs w:val="32"/>
        </w:rPr>
        <w:footnoteReference w:id="16"/>
      </w:r>
      <w:r w:rsidRPr="00C55EBE">
        <w:rPr>
          <w:rFonts w:ascii="Times New Roman" w:hAnsi="Times New Roman"/>
          <w:sz w:val="32"/>
          <w:szCs w:val="32"/>
        </w:rPr>
        <w:t>.</w:t>
      </w:r>
    </w:p>
    <w:p w:rsidR="008C4558" w:rsidRPr="004B5F3D" w:rsidRDefault="008C4558" w:rsidP="00C55EBE">
      <w:pPr>
        <w:spacing w:line="360" w:lineRule="auto"/>
        <w:jc w:val="both"/>
        <w:rPr>
          <w:rFonts w:ascii="Times New Roman" w:hAnsi="Times New Roman"/>
          <w:b/>
          <w:sz w:val="32"/>
          <w:szCs w:val="32"/>
          <w:u w:val="single"/>
        </w:rPr>
      </w:pPr>
      <w:r w:rsidRPr="004B5F3D">
        <w:rPr>
          <w:rFonts w:ascii="Times New Roman" w:hAnsi="Times New Roman"/>
          <w:b/>
          <w:sz w:val="32"/>
          <w:szCs w:val="32"/>
          <w:u w:val="single"/>
        </w:rPr>
        <w:t>5 – Conclusioni</w:t>
      </w:r>
    </w:p>
    <w:p w:rsidR="008C4558" w:rsidRPr="00C55EBE" w:rsidRDefault="004D17F7" w:rsidP="00C55EBE">
      <w:pPr>
        <w:spacing w:line="360" w:lineRule="auto"/>
        <w:jc w:val="both"/>
        <w:rPr>
          <w:rFonts w:ascii="Times New Roman" w:hAnsi="Times New Roman"/>
          <w:sz w:val="32"/>
          <w:szCs w:val="32"/>
        </w:rPr>
      </w:pPr>
      <w:r w:rsidRPr="00856949">
        <w:rPr>
          <w:rFonts w:ascii="Times New Roman" w:hAnsi="Times New Roman"/>
          <w:sz w:val="32"/>
          <w:szCs w:val="32"/>
        </w:rPr>
        <w:t>Valore del precedente e nomofilachia</w:t>
      </w:r>
      <w:r>
        <w:rPr>
          <w:rFonts w:ascii="Times New Roman" w:hAnsi="Times New Roman"/>
          <w:sz w:val="32"/>
          <w:szCs w:val="32"/>
        </w:rPr>
        <w:t>, pur tra mille complessità e criticità, presentano</w:t>
      </w:r>
      <w:r w:rsidR="008C4558">
        <w:rPr>
          <w:rFonts w:ascii="Times New Roman" w:hAnsi="Times New Roman"/>
          <w:sz w:val="32"/>
          <w:szCs w:val="32"/>
        </w:rPr>
        <w:t xml:space="preserve"> uno </w:t>
      </w:r>
      <w:r w:rsidR="008C4558" w:rsidRPr="00856949">
        <w:rPr>
          <w:rFonts w:ascii="Times New Roman" w:hAnsi="Times New Roman"/>
          <w:sz w:val="32"/>
          <w:szCs w:val="32"/>
        </w:rPr>
        <w:t>zoccolo duro</w:t>
      </w:r>
      <w:r w:rsidR="008C4558">
        <w:rPr>
          <w:rFonts w:ascii="Times New Roman" w:hAnsi="Times New Roman"/>
          <w:sz w:val="32"/>
          <w:szCs w:val="32"/>
        </w:rPr>
        <w:t xml:space="preserve"> di natura</w:t>
      </w:r>
      <w:r>
        <w:rPr>
          <w:rFonts w:ascii="Times New Roman" w:hAnsi="Times New Roman"/>
          <w:sz w:val="32"/>
          <w:szCs w:val="32"/>
        </w:rPr>
        <w:t xml:space="preserve"> assiologica,</w:t>
      </w:r>
      <w:r w:rsidR="008C4558">
        <w:rPr>
          <w:rFonts w:ascii="Times New Roman" w:hAnsi="Times New Roman"/>
          <w:sz w:val="32"/>
          <w:szCs w:val="32"/>
        </w:rPr>
        <w:t xml:space="preserve"> teleologica: </w:t>
      </w:r>
      <w:r>
        <w:rPr>
          <w:rFonts w:ascii="Times New Roman" w:hAnsi="Times New Roman"/>
          <w:sz w:val="32"/>
          <w:szCs w:val="32"/>
        </w:rPr>
        <w:t xml:space="preserve">porsi </w:t>
      </w:r>
      <w:r w:rsidR="008C4558" w:rsidRPr="00C55EBE">
        <w:rPr>
          <w:rFonts w:ascii="Times New Roman" w:hAnsi="Times New Roman"/>
          <w:sz w:val="32"/>
          <w:szCs w:val="32"/>
        </w:rPr>
        <w:t xml:space="preserve">come </w:t>
      </w:r>
      <w:r w:rsidR="008C4558" w:rsidRPr="00856949">
        <w:rPr>
          <w:rFonts w:ascii="Times New Roman" w:hAnsi="Times New Roman"/>
          <w:sz w:val="32"/>
          <w:szCs w:val="32"/>
        </w:rPr>
        <w:lastRenderedPageBreak/>
        <w:t>contraltare alla crescente “imprevedibilità” delle decisioni giudiziarie</w:t>
      </w:r>
      <w:r w:rsidR="008C4558" w:rsidRPr="00C55EBE">
        <w:rPr>
          <w:rFonts w:ascii="Times New Roman" w:hAnsi="Times New Roman"/>
          <w:sz w:val="32"/>
          <w:szCs w:val="32"/>
        </w:rPr>
        <w:t xml:space="preserve"> che, mettendo in crisi la certezza del diritto</w:t>
      </w:r>
      <w:r w:rsidR="002C5936">
        <w:rPr>
          <w:rStyle w:val="Rimandonotaapidipagina"/>
          <w:rFonts w:ascii="Times New Roman" w:hAnsi="Times New Roman"/>
          <w:sz w:val="32"/>
          <w:szCs w:val="32"/>
        </w:rPr>
        <w:footnoteReference w:id="17"/>
      </w:r>
      <w:r w:rsidR="008C4558" w:rsidRPr="00C55EBE">
        <w:rPr>
          <w:rFonts w:ascii="Times New Roman" w:hAnsi="Times New Roman"/>
          <w:sz w:val="32"/>
          <w:szCs w:val="32"/>
        </w:rPr>
        <w:t>, rischiano di depotenziare il principio di uguaglianza, l’affidamento del cittadino nella scelta degli atti e comportamenti che pone in essere e la possibilità per i legali di consigliare e difendere in giudizio i cittadini medesimi.</w:t>
      </w:r>
    </w:p>
    <w:p w:rsidR="008C4558" w:rsidRPr="00C55EBE" w:rsidRDefault="008C4558" w:rsidP="00C55EBE">
      <w:pPr>
        <w:spacing w:line="360" w:lineRule="auto"/>
        <w:jc w:val="both"/>
        <w:rPr>
          <w:rFonts w:ascii="Times New Roman" w:hAnsi="Times New Roman"/>
          <w:sz w:val="32"/>
          <w:szCs w:val="32"/>
        </w:rPr>
      </w:pPr>
      <w:r w:rsidRPr="00C55EBE">
        <w:rPr>
          <w:rFonts w:ascii="Times New Roman" w:hAnsi="Times New Roman"/>
          <w:sz w:val="32"/>
          <w:szCs w:val="32"/>
        </w:rPr>
        <w:t>Partiamo</w:t>
      </w:r>
      <w:r w:rsidR="004D17F7">
        <w:rPr>
          <w:rFonts w:ascii="Times New Roman" w:hAnsi="Times New Roman"/>
          <w:sz w:val="32"/>
          <w:szCs w:val="32"/>
        </w:rPr>
        <w:t xml:space="preserve"> pure</w:t>
      </w:r>
      <w:r w:rsidRPr="00C55EBE">
        <w:rPr>
          <w:rFonts w:ascii="Times New Roman" w:hAnsi="Times New Roman"/>
          <w:sz w:val="32"/>
          <w:szCs w:val="32"/>
        </w:rPr>
        <w:t xml:space="preserve"> da </w:t>
      </w:r>
      <w:r w:rsidRPr="00856949">
        <w:rPr>
          <w:rFonts w:ascii="Times New Roman" w:hAnsi="Times New Roman"/>
          <w:sz w:val="32"/>
          <w:szCs w:val="32"/>
        </w:rPr>
        <w:t>due punti fermi: nel nostro ordinamento non esiste il valore vincolante del precedente; la soggezione del giudice soltanto alla legge non può impedire forme di rafforzamento della funzione</w:t>
      </w:r>
      <w:r w:rsidRPr="00AC3755">
        <w:rPr>
          <w:rFonts w:ascii="Times New Roman" w:hAnsi="Times New Roman"/>
          <w:b/>
          <w:sz w:val="32"/>
          <w:szCs w:val="32"/>
        </w:rPr>
        <w:t xml:space="preserve"> </w:t>
      </w:r>
      <w:r w:rsidRPr="00856949">
        <w:rPr>
          <w:rFonts w:ascii="Times New Roman" w:hAnsi="Times New Roman"/>
          <w:sz w:val="32"/>
          <w:szCs w:val="32"/>
        </w:rPr>
        <w:t>nomofilattica</w:t>
      </w:r>
      <w:r w:rsidRPr="00C55EBE">
        <w:rPr>
          <w:rFonts w:ascii="Times New Roman" w:hAnsi="Times New Roman"/>
          <w:sz w:val="32"/>
          <w:szCs w:val="32"/>
        </w:rPr>
        <w:t xml:space="preserve"> e la fissazione al giudice di criteri rigidi per discostarsi dal precedente (per converso è possibile “incentivare” l’adeguamento al precedente per esempio prevedendo una motivazione semplificata delle sentenze con riferimento ai precedenti conformi).</w:t>
      </w:r>
    </w:p>
    <w:p w:rsidR="004D17F7" w:rsidRDefault="008C4558" w:rsidP="00C55EBE">
      <w:pPr>
        <w:spacing w:line="360" w:lineRule="auto"/>
        <w:jc w:val="both"/>
        <w:rPr>
          <w:rFonts w:ascii="Times New Roman" w:hAnsi="Times New Roman"/>
          <w:sz w:val="32"/>
          <w:szCs w:val="32"/>
        </w:rPr>
      </w:pPr>
      <w:r w:rsidRPr="00C55EBE">
        <w:rPr>
          <w:rFonts w:ascii="Times New Roman" w:hAnsi="Times New Roman"/>
          <w:sz w:val="32"/>
          <w:szCs w:val="32"/>
        </w:rPr>
        <w:t xml:space="preserve">Il </w:t>
      </w:r>
      <w:r w:rsidRPr="00856949">
        <w:rPr>
          <w:rFonts w:ascii="Times New Roman" w:hAnsi="Times New Roman"/>
          <w:sz w:val="32"/>
          <w:szCs w:val="32"/>
        </w:rPr>
        <w:t>secondo aspetto merita un chiarimento: non è in discussione l’autonomia di giudizio del singolo giudice e la valenza positiva dell’innovazione</w:t>
      </w:r>
      <w:r w:rsidRPr="00C55EBE">
        <w:rPr>
          <w:rFonts w:ascii="Times New Roman" w:hAnsi="Times New Roman"/>
          <w:sz w:val="32"/>
          <w:szCs w:val="32"/>
        </w:rPr>
        <w:t xml:space="preserve"> giurisprudenziale che consente all’ordinamento di evolvere. Ma ciò </w:t>
      </w:r>
      <w:r w:rsidRPr="00856949">
        <w:rPr>
          <w:rFonts w:ascii="Times New Roman" w:hAnsi="Times New Roman"/>
          <w:sz w:val="32"/>
          <w:szCs w:val="32"/>
        </w:rPr>
        <w:t xml:space="preserve">non può andare a discapito di valori altrettanto importanti come l’uguaglianza di fronte all’applicazione della legge e un’apprezzabile prevedibilità delle decisioni. </w:t>
      </w:r>
      <w:r w:rsidR="00D164C4" w:rsidRPr="00856949">
        <w:rPr>
          <w:rFonts w:ascii="Times New Roman" w:hAnsi="Times New Roman"/>
          <w:sz w:val="32"/>
          <w:szCs w:val="32"/>
        </w:rPr>
        <w:t xml:space="preserve"> Questi valori impongono un bilanciamento di interessi,</w:t>
      </w:r>
      <w:r w:rsidR="00D164C4" w:rsidRPr="00AC3755">
        <w:rPr>
          <w:rFonts w:ascii="Times New Roman" w:hAnsi="Times New Roman"/>
          <w:b/>
          <w:sz w:val="32"/>
          <w:szCs w:val="32"/>
        </w:rPr>
        <w:t xml:space="preserve"> </w:t>
      </w:r>
      <w:r w:rsidR="00D164C4">
        <w:rPr>
          <w:rFonts w:ascii="Times New Roman" w:hAnsi="Times New Roman"/>
          <w:sz w:val="32"/>
          <w:szCs w:val="32"/>
        </w:rPr>
        <w:t xml:space="preserve">alla cui luce va valutata la compatibilità costituzionale dei meccanismi processuali; e forse anche la costituzionalità di meccanismi, per converso, che pongano </w:t>
      </w:r>
      <w:r w:rsidR="00D164C4">
        <w:rPr>
          <w:rFonts w:ascii="Times New Roman" w:hAnsi="Times New Roman"/>
          <w:sz w:val="32"/>
          <w:szCs w:val="32"/>
        </w:rPr>
        <w:lastRenderedPageBreak/>
        <w:t xml:space="preserve">in serio pericolo l’uguaglianza dei cittadini di fronte alla legge. </w:t>
      </w:r>
      <w:r w:rsidRPr="00C55EBE">
        <w:rPr>
          <w:rFonts w:ascii="Times New Roman" w:hAnsi="Times New Roman"/>
          <w:sz w:val="32"/>
          <w:szCs w:val="32"/>
        </w:rPr>
        <w:t>Riguardato dal punto di vista del singolo giudice</w:t>
      </w:r>
      <w:r w:rsidRPr="00856949">
        <w:rPr>
          <w:rFonts w:ascii="Times New Roman" w:hAnsi="Times New Roman"/>
          <w:sz w:val="32"/>
          <w:szCs w:val="32"/>
        </w:rPr>
        <w:t>, l’art.101 della Costituzione è a presidio della sua indipendenza;</w:t>
      </w:r>
      <w:r w:rsidRPr="00C55EBE">
        <w:rPr>
          <w:rFonts w:ascii="Times New Roman" w:hAnsi="Times New Roman"/>
          <w:sz w:val="32"/>
          <w:szCs w:val="32"/>
        </w:rPr>
        <w:t xml:space="preserve"> e tale valore va</w:t>
      </w:r>
      <w:r w:rsidR="00BA41B0">
        <w:rPr>
          <w:rFonts w:ascii="Times New Roman" w:hAnsi="Times New Roman"/>
          <w:sz w:val="32"/>
          <w:szCs w:val="32"/>
        </w:rPr>
        <w:t xml:space="preserve"> ovviamente</w:t>
      </w:r>
      <w:r w:rsidRPr="00C55EBE">
        <w:rPr>
          <w:rFonts w:ascii="Times New Roman" w:hAnsi="Times New Roman"/>
          <w:sz w:val="32"/>
          <w:szCs w:val="32"/>
        </w:rPr>
        <w:t xml:space="preserve"> preservato. Ma il giudice è inquadrato in un sistema che rende un servizio: riguardato dal punto di vista del cittadino, il giudice non è la singola persona ma l’organo giudicante, che</w:t>
      </w:r>
      <w:r w:rsidR="00D164C4">
        <w:rPr>
          <w:rFonts w:ascii="Times New Roman" w:hAnsi="Times New Roman"/>
          <w:sz w:val="32"/>
          <w:szCs w:val="32"/>
        </w:rPr>
        <w:t>,</w:t>
      </w:r>
      <w:r w:rsidRPr="00C55EBE">
        <w:rPr>
          <w:rFonts w:ascii="Times New Roman" w:hAnsi="Times New Roman"/>
          <w:sz w:val="32"/>
          <w:szCs w:val="32"/>
        </w:rPr>
        <w:t xml:space="preserve"> pur composto da più individui, è, per il cittadino, uno; e non è normale che giudichi in maniera difforme casi identici. Quello che per il giudice è autonomia di giudizio</w:t>
      </w:r>
      <w:r w:rsidRPr="00856949">
        <w:rPr>
          <w:rFonts w:ascii="Times New Roman" w:hAnsi="Times New Roman"/>
          <w:sz w:val="32"/>
          <w:szCs w:val="32"/>
        </w:rPr>
        <w:t>, per il cittadino può diventare un caso clinico di schizofrenia</w:t>
      </w:r>
      <w:r w:rsidRPr="00C55EBE">
        <w:rPr>
          <w:rFonts w:ascii="Times New Roman" w:hAnsi="Times New Roman"/>
          <w:sz w:val="32"/>
          <w:szCs w:val="32"/>
        </w:rPr>
        <w:t xml:space="preserve"> (se non un, infondato, sintomo di parzialità). </w:t>
      </w:r>
      <w:r w:rsidRPr="00856949">
        <w:rPr>
          <w:rFonts w:ascii="Times New Roman" w:hAnsi="Times New Roman"/>
          <w:sz w:val="32"/>
          <w:szCs w:val="32"/>
        </w:rPr>
        <w:t>Che fare allora?</w:t>
      </w:r>
      <w:r w:rsidRPr="00C55EBE">
        <w:rPr>
          <w:rFonts w:ascii="Times New Roman" w:hAnsi="Times New Roman"/>
          <w:sz w:val="32"/>
          <w:szCs w:val="32"/>
        </w:rPr>
        <w:t xml:space="preserve"> La “buona pratica del giudice” dovrebbe consigliare a ciascun giudice di evitare di discostarsi dai precedenti, specie se conformi, salvo a rimettere a una sede decisoria a ciò deputata l’</w:t>
      </w:r>
      <w:proofErr w:type="spellStart"/>
      <w:r w:rsidR="00C27AE8">
        <w:rPr>
          <w:rFonts w:ascii="Times New Roman" w:hAnsi="Times New Roman"/>
          <w:i/>
          <w:sz w:val="32"/>
          <w:szCs w:val="32"/>
        </w:rPr>
        <w:t>overrulin</w:t>
      </w:r>
      <w:r w:rsidRPr="00C55EBE">
        <w:rPr>
          <w:rFonts w:ascii="Times New Roman" w:hAnsi="Times New Roman"/>
          <w:i/>
          <w:sz w:val="32"/>
          <w:szCs w:val="32"/>
        </w:rPr>
        <w:t>g</w:t>
      </w:r>
      <w:proofErr w:type="spellEnd"/>
      <w:r w:rsidRPr="00C55EBE">
        <w:rPr>
          <w:rFonts w:ascii="Times New Roman" w:hAnsi="Times New Roman"/>
          <w:sz w:val="32"/>
          <w:szCs w:val="32"/>
        </w:rPr>
        <w:t xml:space="preserve"> o, se giudice di primo grado, a motivare approfonditamente le ragioni del dissenso. Sul piano sistemico, credo vada valutato positivamente il </w:t>
      </w:r>
      <w:r w:rsidRPr="00856949">
        <w:rPr>
          <w:rFonts w:ascii="Times New Roman" w:hAnsi="Times New Roman"/>
          <w:sz w:val="32"/>
          <w:szCs w:val="32"/>
        </w:rPr>
        <w:t>vincolo attribuito al precedente dagli organi di vertice in composizione allargata dalle ormai non recenti riforme processuali: vincolo, si badi, non positivo (per cui la sezione semplice sia tenuta a uniformarsi), bensì negativo</w:t>
      </w:r>
      <w:r w:rsidR="00B6146D">
        <w:rPr>
          <w:rFonts w:ascii="Times New Roman" w:hAnsi="Times New Roman"/>
          <w:sz w:val="32"/>
          <w:szCs w:val="32"/>
        </w:rPr>
        <w:t xml:space="preserve">; infatti, </w:t>
      </w:r>
      <w:r w:rsidRPr="00C55EBE">
        <w:rPr>
          <w:rFonts w:ascii="Times New Roman" w:hAnsi="Times New Roman"/>
          <w:sz w:val="32"/>
          <w:szCs w:val="32"/>
        </w:rPr>
        <w:t>la sezione non può decidere in modo difforme ma deve investire l’organo a ciò deputato: quindi la sua autonomia di giudizio è ragionevolmente attenuata</w:t>
      </w:r>
      <w:r w:rsidR="00D164C4">
        <w:rPr>
          <w:rFonts w:ascii="Times New Roman" w:hAnsi="Times New Roman"/>
          <w:sz w:val="32"/>
          <w:szCs w:val="32"/>
        </w:rPr>
        <w:t xml:space="preserve"> –come del resto avviene quando decida in formazione collegiale e dissenta dalla decisione presa a maggioranza</w:t>
      </w:r>
      <w:r w:rsidR="00B6146D">
        <w:rPr>
          <w:rStyle w:val="Rimandonotaapidipagina"/>
          <w:rFonts w:ascii="Times New Roman" w:hAnsi="Times New Roman"/>
          <w:sz w:val="32"/>
          <w:szCs w:val="32"/>
        </w:rPr>
        <w:footnoteReference w:id="18"/>
      </w:r>
      <w:r w:rsidR="00D164C4">
        <w:rPr>
          <w:rFonts w:ascii="Times New Roman" w:hAnsi="Times New Roman"/>
          <w:sz w:val="32"/>
          <w:szCs w:val="32"/>
        </w:rPr>
        <w:t>-</w:t>
      </w:r>
      <w:r w:rsidRPr="00C55EBE">
        <w:rPr>
          <w:rFonts w:ascii="Times New Roman" w:hAnsi="Times New Roman"/>
          <w:sz w:val="32"/>
          <w:szCs w:val="32"/>
        </w:rPr>
        <w:t xml:space="preserve"> ma non subisce alcuna imposizione.</w:t>
      </w:r>
      <w:r w:rsidR="00B6146D">
        <w:rPr>
          <w:rFonts w:ascii="Times New Roman" w:hAnsi="Times New Roman"/>
          <w:sz w:val="32"/>
          <w:szCs w:val="32"/>
        </w:rPr>
        <w:t xml:space="preserve"> </w:t>
      </w:r>
    </w:p>
    <w:p w:rsidR="008C4558" w:rsidRPr="00856949" w:rsidRDefault="00B6146D" w:rsidP="00C55EBE">
      <w:pPr>
        <w:spacing w:line="360" w:lineRule="auto"/>
        <w:jc w:val="both"/>
        <w:rPr>
          <w:rFonts w:ascii="Times New Roman" w:hAnsi="Times New Roman"/>
          <w:sz w:val="32"/>
          <w:szCs w:val="32"/>
        </w:rPr>
      </w:pPr>
      <w:r>
        <w:rPr>
          <w:rFonts w:ascii="Times New Roman" w:hAnsi="Times New Roman"/>
          <w:sz w:val="32"/>
          <w:szCs w:val="32"/>
        </w:rPr>
        <w:t>Il delineato</w:t>
      </w:r>
      <w:r w:rsidR="008C4558">
        <w:rPr>
          <w:rFonts w:ascii="Times New Roman" w:hAnsi="Times New Roman"/>
          <w:sz w:val="32"/>
          <w:szCs w:val="32"/>
        </w:rPr>
        <w:t xml:space="preserve"> assetto deve ora fare i conti, quanto al diritto europeo, con il richiamato orientamento della Corte di giustizia; ma esso non impedisce ai giudici un </w:t>
      </w:r>
      <w:r w:rsidR="008C4558" w:rsidRPr="00856949">
        <w:rPr>
          <w:rFonts w:ascii="Times New Roman" w:hAnsi="Times New Roman"/>
          <w:i/>
          <w:sz w:val="32"/>
          <w:szCs w:val="32"/>
        </w:rPr>
        <w:t>self-</w:t>
      </w:r>
      <w:proofErr w:type="spellStart"/>
      <w:r w:rsidR="008C4558" w:rsidRPr="00856949">
        <w:rPr>
          <w:rFonts w:ascii="Times New Roman" w:hAnsi="Times New Roman"/>
          <w:i/>
          <w:sz w:val="32"/>
          <w:szCs w:val="32"/>
        </w:rPr>
        <w:t>restraint</w:t>
      </w:r>
      <w:proofErr w:type="spellEnd"/>
      <w:r w:rsidR="008C4558" w:rsidRPr="00856949">
        <w:rPr>
          <w:rFonts w:ascii="Times New Roman" w:hAnsi="Times New Roman"/>
          <w:sz w:val="32"/>
          <w:szCs w:val="32"/>
        </w:rPr>
        <w:t xml:space="preserve"> agli istinti di “ribellione” (pur talvolta </w:t>
      </w:r>
      <w:r w:rsidR="008C4558" w:rsidRPr="00856949">
        <w:rPr>
          <w:rFonts w:ascii="Times New Roman" w:hAnsi="Times New Roman"/>
          <w:sz w:val="32"/>
          <w:szCs w:val="32"/>
        </w:rPr>
        <w:lastRenderedPageBreak/>
        <w:t>comprensibili)</w:t>
      </w:r>
      <w:r w:rsidRPr="00856949">
        <w:rPr>
          <w:rFonts w:ascii="Times New Roman" w:hAnsi="Times New Roman"/>
          <w:sz w:val="32"/>
          <w:szCs w:val="32"/>
        </w:rPr>
        <w:t xml:space="preserve"> e</w:t>
      </w:r>
      <w:r w:rsidR="00BA41B0" w:rsidRPr="00856949">
        <w:rPr>
          <w:rFonts w:ascii="Times New Roman" w:hAnsi="Times New Roman"/>
          <w:sz w:val="32"/>
          <w:szCs w:val="32"/>
        </w:rPr>
        <w:t xml:space="preserve"> a individualismi intellettuali;</w:t>
      </w:r>
      <w:r w:rsidR="00F31E7A" w:rsidRPr="00856949">
        <w:rPr>
          <w:rFonts w:ascii="Times New Roman" w:hAnsi="Times New Roman"/>
          <w:sz w:val="32"/>
          <w:szCs w:val="32"/>
        </w:rPr>
        <w:t xml:space="preserve"> </w:t>
      </w:r>
      <w:r w:rsidR="00F31E7A" w:rsidRPr="00856949">
        <w:rPr>
          <w:rFonts w:ascii="Times New Roman" w:hAnsi="Times New Roman"/>
          <w:i/>
          <w:sz w:val="32"/>
          <w:szCs w:val="32"/>
        </w:rPr>
        <w:t>self-</w:t>
      </w:r>
      <w:proofErr w:type="spellStart"/>
      <w:r w:rsidR="00F31E7A" w:rsidRPr="00856949">
        <w:rPr>
          <w:rFonts w:ascii="Times New Roman" w:hAnsi="Times New Roman"/>
          <w:i/>
          <w:sz w:val="32"/>
          <w:szCs w:val="32"/>
        </w:rPr>
        <w:t>restraint</w:t>
      </w:r>
      <w:proofErr w:type="spellEnd"/>
      <w:r w:rsidR="008C4558" w:rsidRPr="00856949">
        <w:rPr>
          <w:rFonts w:ascii="Times New Roman" w:hAnsi="Times New Roman"/>
          <w:sz w:val="32"/>
          <w:szCs w:val="32"/>
        </w:rPr>
        <w:t xml:space="preserve"> in nome di una maggiore comprensibilità dei comportamenti delle Corti da parte dei cittadini.</w:t>
      </w:r>
    </w:p>
    <w:p w:rsidR="008C4558" w:rsidRDefault="008C4558" w:rsidP="00C55EBE">
      <w:pPr>
        <w:spacing w:line="360" w:lineRule="auto"/>
        <w:jc w:val="both"/>
        <w:rPr>
          <w:rFonts w:ascii="Times New Roman" w:hAnsi="Times New Roman"/>
          <w:sz w:val="32"/>
          <w:szCs w:val="32"/>
        </w:rPr>
      </w:pPr>
      <w:r w:rsidRPr="00C55EBE">
        <w:rPr>
          <w:rFonts w:ascii="Times New Roman" w:hAnsi="Times New Roman"/>
          <w:sz w:val="32"/>
          <w:szCs w:val="32"/>
        </w:rPr>
        <w:t xml:space="preserve"> </w:t>
      </w:r>
    </w:p>
    <w:p w:rsidR="00900CAE" w:rsidRDefault="00900CAE" w:rsidP="00900CAE">
      <w:pPr>
        <w:spacing w:line="360" w:lineRule="auto"/>
        <w:jc w:val="right"/>
        <w:rPr>
          <w:rFonts w:ascii="Times New Roman" w:hAnsi="Times New Roman"/>
          <w:sz w:val="32"/>
          <w:szCs w:val="32"/>
        </w:rPr>
      </w:pPr>
      <w:proofErr w:type="gramStart"/>
      <w:r>
        <w:rPr>
          <w:rFonts w:ascii="Times New Roman" w:hAnsi="Times New Roman"/>
          <w:sz w:val="32"/>
          <w:szCs w:val="32"/>
        </w:rPr>
        <w:t>di</w:t>
      </w:r>
      <w:proofErr w:type="gramEnd"/>
      <w:r>
        <w:rPr>
          <w:rFonts w:ascii="Times New Roman" w:hAnsi="Times New Roman"/>
          <w:sz w:val="32"/>
          <w:szCs w:val="32"/>
        </w:rPr>
        <w:t xml:space="preserve"> Filippo Patroni Griffi</w:t>
      </w:r>
    </w:p>
    <w:p w:rsidR="00900CAE" w:rsidRDefault="00900CAE" w:rsidP="00900CAE">
      <w:pPr>
        <w:spacing w:line="360" w:lineRule="auto"/>
        <w:jc w:val="right"/>
        <w:rPr>
          <w:rFonts w:ascii="Times New Roman" w:hAnsi="Times New Roman"/>
          <w:sz w:val="24"/>
          <w:szCs w:val="24"/>
        </w:rPr>
      </w:pPr>
      <w:r w:rsidRPr="00BA41B0">
        <w:rPr>
          <w:rFonts w:ascii="Times New Roman" w:hAnsi="Times New Roman"/>
          <w:sz w:val="24"/>
          <w:szCs w:val="24"/>
        </w:rPr>
        <w:t>Presidente aggiunto del Consiglio di Stato</w:t>
      </w:r>
    </w:p>
    <w:p w:rsidR="00900CAE" w:rsidRDefault="00900CAE" w:rsidP="00900CAE">
      <w:pPr>
        <w:spacing w:line="360" w:lineRule="auto"/>
        <w:jc w:val="right"/>
        <w:rPr>
          <w:rFonts w:ascii="Times New Roman" w:hAnsi="Times New Roman"/>
          <w:sz w:val="24"/>
          <w:szCs w:val="24"/>
        </w:rPr>
      </w:pPr>
    </w:p>
    <w:p w:rsidR="00900CAE" w:rsidRPr="00BA41B0" w:rsidRDefault="00900CAE" w:rsidP="00900CAE">
      <w:pPr>
        <w:spacing w:line="360" w:lineRule="auto"/>
        <w:jc w:val="right"/>
        <w:rPr>
          <w:rFonts w:ascii="Times New Roman" w:hAnsi="Times New Roman"/>
          <w:sz w:val="24"/>
          <w:szCs w:val="24"/>
        </w:rPr>
      </w:pPr>
      <w:r>
        <w:rPr>
          <w:rFonts w:ascii="Times New Roman" w:hAnsi="Times New Roman"/>
          <w:sz w:val="24"/>
          <w:szCs w:val="24"/>
        </w:rPr>
        <w:t>Pubblicato il 16 ottobre 2017</w:t>
      </w:r>
    </w:p>
    <w:p w:rsidR="00900CAE" w:rsidRPr="00C55EBE" w:rsidRDefault="00900CAE" w:rsidP="00C55EBE">
      <w:pPr>
        <w:spacing w:line="360" w:lineRule="auto"/>
        <w:jc w:val="both"/>
        <w:rPr>
          <w:rFonts w:ascii="Times New Roman" w:hAnsi="Times New Roman"/>
          <w:sz w:val="32"/>
          <w:szCs w:val="32"/>
        </w:rPr>
      </w:pPr>
    </w:p>
    <w:sectPr w:rsidR="00900CAE" w:rsidRPr="00C55EBE" w:rsidSect="001D1238">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558" w:rsidRDefault="008C4558" w:rsidP="00333B31">
      <w:pPr>
        <w:spacing w:after="0" w:line="240" w:lineRule="auto"/>
      </w:pPr>
      <w:r>
        <w:separator/>
      </w:r>
    </w:p>
  </w:endnote>
  <w:endnote w:type="continuationSeparator" w:id="0">
    <w:p w:rsidR="008C4558" w:rsidRDefault="008C4558" w:rsidP="0033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558" w:rsidRDefault="008C4558" w:rsidP="0084748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C4558" w:rsidRDefault="008C4558" w:rsidP="00431D5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558" w:rsidRDefault="008C4558" w:rsidP="0084748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65F58">
      <w:rPr>
        <w:rStyle w:val="Numeropagina"/>
        <w:noProof/>
      </w:rPr>
      <w:t>18</w:t>
    </w:r>
    <w:r>
      <w:rPr>
        <w:rStyle w:val="Numeropagina"/>
      </w:rPr>
      <w:fldChar w:fldCharType="end"/>
    </w:r>
  </w:p>
  <w:p w:rsidR="008C4558" w:rsidRDefault="008C4558" w:rsidP="00431D5F">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558" w:rsidRDefault="008C4558" w:rsidP="00333B31">
      <w:pPr>
        <w:spacing w:after="0" w:line="240" w:lineRule="auto"/>
      </w:pPr>
      <w:r>
        <w:separator/>
      </w:r>
    </w:p>
  </w:footnote>
  <w:footnote w:type="continuationSeparator" w:id="0">
    <w:p w:rsidR="008C4558" w:rsidRDefault="008C4558" w:rsidP="00333B31">
      <w:pPr>
        <w:spacing w:after="0" w:line="240" w:lineRule="auto"/>
      </w:pPr>
      <w:r>
        <w:continuationSeparator/>
      </w:r>
    </w:p>
  </w:footnote>
  <w:footnote w:id="1">
    <w:p w:rsidR="00CF3187" w:rsidRPr="00CF3187" w:rsidRDefault="00CF3187" w:rsidP="00CF3187">
      <w:pPr>
        <w:pStyle w:val="Testonotaapidipagina"/>
        <w:rPr>
          <w:i/>
        </w:rPr>
      </w:pPr>
      <w:r>
        <w:rPr>
          <w:rStyle w:val="Rimandonotaapidipagina"/>
        </w:rPr>
        <w:footnoteRef/>
      </w:r>
      <w:r>
        <w:t xml:space="preserve"> Sulla tematica in generale, anche per ampie citazioni, si rinvia a </w:t>
      </w:r>
      <w:proofErr w:type="spellStart"/>
      <w:r>
        <w:t>N.Irti</w:t>
      </w:r>
      <w:proofErr w:type="spellEnd"/>
      <w:r>
        <w:t xml:space="preserve">, </w:t>
      </w:r>
      <w:r w:rsidRPr="008D4B9B">
        <w:rPr>
          <w:i/>
        </w:rPr>
        <w:t>Un diritto incalcolabile</w:t>
      </w:r>
      <w:r>
        <w:t xml:space="preserve">, Torino 2016; </w:t>
      </w:r>
      <w:proofErr w:type="spellStart"/>
      <w:r>
        <w:t>M.Bessone</w:t>
      </w:r>
      <w:proofErr w:type="spellEnd"/>
      <w:r>
        <w:t xml:space="preserve"> (a cura di</w:t>
      </w:r>
      <w:r w:rsidRPr="008D4B9B">
        <w:rPr>
          <w:i/>
        </w:rPr>
        <w:t>), Diritto giurisprudenziale</w:t>
      </w:r>
      <w:r>
        <w:t xml:space="preserve">, Torino 1996; G.B. Ratti, </w:t>
      </w:r>
      <w:r w:rsidRPr="00CF3187">
        <w:rPr>
          <w:i/>
        </w:rPr>
        <w:t xml:space="preserve">Some </w:t>
      </w:r>
      <w:proofErr w:type="spellStart"/>
      <w:r w:rsidRPr="00CF3187">
        <w:rPr>
          <w:i/>
        </w:rPr>
        <w:t>remarks</w:t>
      </w:r>
      <w:proofErr w:type="spellEnd"/>
      <w:r w:rsidRPr="00CF3187">
        <w:rPr>
          <w:i/>
        </w:rPr>
        <w:t xml:space="preserve"> on </w:t>
      </w:r>
      <w:proofErr w:type="spellStart"/>
      <w:r w:rsidRPr="00CF3187">
        <w:rPr>
          <w:i/>
        </w:rPr>
        <w:t>precedent</w:t>
      </w:r>
      <w:proofErr w:type="spellEnd"/>
      <w:r w:rsidRPr="00CF3187">
        <w:rPr>
          <w:i/>
        </w:rPr>
        <w:t xml:space="preserve"> and </w:t>
      </w:r>
      <w:proofErr w:type="spellStart"/>
      <w:r w:rsidRPr="00CF3187">
        <w:rPr>
          <w:i/>
        </w:rPr>
        <w:t>analogy</w:t>
      </w:r>
      <w:proofErr w:type="spellEnd"/>
      <w:r>
        <w:t xml:space="preserve">, in </w:t>
      </w:r>
      <w:r w:rsidRPr="008D4B9B">
        <w:rPr>
          <w:i/>
        </w:rPr>
        <w:t>M</w:t>
      </w:r>
      <w:r w:rsidR="008D4B9B" w:rsidRPr="008D4B9B">
        <w:rPr>
          <w:i/>
        </w:rPr>
        <w:t>a</w:t>
      </w:r>
      <w:r w:rsidRPr="008D4B9B">
        <w:rPr>
          <w:i/>
        </w:rPr>
        <w:t>teriali per una storia della cultura giuridica</w:t>
      </w:r>
      <w:r>
        <w:t xml:space="preserve">, n.1/2017; F. Patroni Griffi, </w:t>
      </w:r>
      <w:r w:rsidRPr="00CF3187">
        <w:rPr>
          <w:i/>
        </w:rPr>
        <w:t>Tecniche di decisione e prevedibilità nella sentenza amministrativa</w:t>
      </w:r>
      <w:r w:rsidRPr="00CF3187">
        <w:t>, in</w:t>
      </w:r>
      <w:r w:rsidRPr="00CF3187">
        <w:rPr>
          <w:i/>
        </w:rPr>
        <w:t xml:space="preserve"> </w:t>
      </w:r>
      <w:proofErr w:type="spellStart"/>
      <w:r w:rsidRPr="00CF3187">
        <w:rPr>
          <w:i/>
        </w:rPr>
        <w:t>Riv.dir.priv</w:t>
      </w:r>
      <w:proofErr w:type="spellEnd"/>
      <w:r w:rsidRPr="00CF3187">
        <w:rPr>
          <w:i/>
        </w:rPr>
        <w:t xml:space="preserve">. n.4/ 2016 </w:t>
      </w:r>
      <w:r w:rsidRPr="00CF3187">
        <w:t>e in</w:t>
      </w:r>
      <w:r w:rsidRPr="00CF3187">
        <w:rPr>
          <w:i/>
        </w:rPr>
        <w:t xml:space="preserve"> Calcolabilità giuridica </w:t>
      </w:r>
      <w:r w:rsidRPr="00CF3187">
        <w:t xml:space="preserve">(a cura di </w:t>
      </w:r>
      <w:proofErr w:type="spellStart"/>
      <w:r w:rsidRPr="00CF3187">
        <w:t>A.Carleo</w:t>
      </w:r>
      <w:proofErr w:type="spellEnd"/>
      <w:r w:rsidRPr="00CF3187">
        <w:t>), Bologna 2017, 175</w:t>
      </w:r>
    </w:p>
    <w:p w:rsidR="00CF3187" w:rsidRDefault="00CF3187">
      <w:pPr>
        <w:pStyle w:val="Testonotaapidipagina"/>
      </w:pPr>
    </w:p>
  </w:footnote>
  <w:footnote w:id="2">
    <w:p w:rsidR="00A01328" w:rsidRDefault="00A01328">
      <w:pPr>
        <w:pStyle w:val="Testonotaapidipagina"/>
      </w:pPr>
      <w:r>
        <w:rPr>
          <w:rStyle w:val="Rimandonotaapidipagina"/>
        </w:rPr>
        <w:footnoteRef/>
      </w:r>
      <w:r>
        <w:t xml:space="preserve"> Rinunciare al ruolo del giudice interprete significa rinunciare anche all’apporto creativo dell’avvocatura e, in qualche misura, della stessa dottrina, Il tema è piuttosto quello di assumere consapevolezza che, a fronte di una domanda di giustizia, occorre dare una risposta. E il rapporto tra giudice e legge è impostato sul principio dei vasi comunicanti: il legislatore deve occupare gli spazi; con la consapevolezza, però che dove il legislatore si ritrae (per esempio, nella bioetica), il giudice inevitabilmente avanza</w:t>
      </w:r>
    </w:p>
  </w:footnote>
  <w:footnote w:id="3">
    <w:p w:rsidR="008C4558" w:rsidRDefault="008C4558" w:rsidP="0049286C">
      <w:pPr>
        <w:pStyle w:val="Testonotaapidipagina"/>
      </w:pPr>
      <w:r>
        <w:rPr>
          <w:rStyle w:val="Rimandonotaapidipagina"/>
        </w:rPr>
        <w:footnoteRef/>
      </w:r>
      <w:r>
        <w:t xml:space="preserve"> S. Patti</w:t>
      </w:r>
      <w:r>
        <w:rPr>
          <w:i/>
        </w:rPr>
        <w:t>, L’interpretazione, il ruolo della giurisprudenza</w:t>
      </w:r>
      <w:r>
        <w:t xml:space="preserve">, in </w:t>
      </w:r>
      <w:proofErr w:type="spellStart"/>
      <w:r>
        <w:t>P.Rescigno</w:t>
      </w:r>
      <w:proofErr w:type="spellEnd"/>
      <w:r>
        <w:t xml:space="preserve"> e </w:t>
      </w:r>
      <w:proofErr w:type="spellStart"/>
      <w:r>
        <w:t>S.Patti</w:t>
      </w:r>
      <w:proofErr w:type="spellEnd"/>
      <w:r w:rsidRPr="00033D7B">
        <w:rPr>
          <w:i/>
        </w:rPr>
        <w:t>, La genesi della sentenza</w:t>
      </w:r>
      <w:r>
        <w:t xml:space="preserve">, Bologna 2016, 159. Anche sotto tale punto di vista –che evidenzia come anche le sentenze siano oggetto di interpretazione in senso tecnico- appare significativa l’ordinanza 31 luglio 2017 n. 3805, con cui la Quarta Sezione del Consiglio di Stato ha rimesso all’Adunanza plenaria la questione se l’interpretazione del principio di diritto da essa enunciato, ove ne sia in discussione la “portata”, competa alla medesima Adunanza Plenaria, cui il giudice rimettente, ove abbia perplessità, è tenuto a rimettere la questione, ovvero se tale interpretazione possa essere svolta dalla stessa Sezione cui è assegnato il ricorso, esulando tale fattispecie dall’obbligo di cui all’art. 99, co. 3, </w:t>
      </w:r>
      <w:proofErr w:type="spellStart"/>
      <w:r>
        <w:t>c.p.a</w:t>
      </w:r>
      <w:proofErr w:type="spellEnd"/>
      <w:r>
        <w:t>.).</w:t>
      </w:r>
    </w:p>
    <w:p w:rsidR="008C4558" w:rsidRDefault="008C4558" w:rsidP="0049286C">
      <w:pPr>
        <w:pStyle w:val="Testonotaapidipagina"/>
      </w:pPr>
    </w:p>
  </w:footnote>
  <w:footnote w:id="4">
    <w:p w:rsidR="008C4558" w:rsidRDefault="008C4558" w:rsidP="0049286C">
      <w:pPr>
        <w:pStyle w:val="Testonotaapidipagina"/>
      </w:pPr>
      <w:r>
        <w:rPr>
          <w:rStyle w:val="Rimandonotaapidipagina"/>
        </w:rPr>
        <w:footnoteRef/>
      </w:r>
      <w:r>
        <w:t xml:space="preserve"> E. </w:t>
      </w:r>
      <w:proofErr w:type="spellStart"/>
      <w:r>
        <w:t>Follieri</w:t>
      </w:r>
      <w:proofErr w:type="spellEnd"/>
      <w:r>
        <w:t xml:space="preserve">, </w:t>
      </w:r>
      <w:r w:rsidRPr="004D280B">
        <w:rPr>
          <w:i/>
        </w:rPr>
        <w:t>L’Adunanza plenaria del Consiglio di Stato</w:t>
      </w:r>
      <w:r>
        <w:t xml:space="preserve">, in </w:t>
      </w:r>
      <w:r w:rsidRPr="004D280B">
        <w:rPr>
          <w:i/>
        </w:rPr>
        <w:t>I princìpi vincolanti dell’Adunanza plenaria del Consiglio di Stato sul codice del processo amministrativo 2010-2015</w:t>
      </w:r>
      <w:r>
        <w:t xml:space="preserve"> (a cura di </w:t>
      </w:r>
      <w:proofErr w:type="spellStart"/>
      <w:r>
        <w:t>E.Follieri</w:t>
      </w:r>
      <w:proofErr w:type="spellEnd"/>
      <w:r>
        <w:t xml:space="preserve"> e </w:t>
      </w:r>
      <w:proofErr w:type="spellStart"/>
      <w:r>
        <w:t>A.Barone</w:t>
      </w:r>
      <w:proofErr w:type="spellEnd"/>
      <w:r>
        <w:t>), Padova 2015, 25ss. spec. 56</w:t>
      </w:r>
    </w:p>
  </w:footnote>
  <w:footnote w:id="5">
    <w:p w:rsidR="008C4558" w:rsidRDefault="008C4558" w:rsidP="0049286C">
      <w:pPr>
        <w:pStyle w:val="Testonotaapidipagina"/>
      </w:pPr>
      <w:r>
        <w:rPr>
          <w:rStyle w:val="Rimandonotaapidipagina"/>
        </w:rPr>
        <w:footnoteRef/>
      </w:r>
      <w:r>
        <w:t xml:space="preserve"> M. </w:t>
      </w:r>
      <w:proofErr w:type="spellStart"/>
      <w:r>
        <w:t>Betzu</w:t>
      </w:r>
      <w:proofErr w:type="spellEnd"/>
      <w:r>
        <w:t xml:space="preserve">, </w:t>
      </w:r>
      <w:r w:rsidRPr="00501274">
        <w:rPr>
          <w:i/>
        </w:rPr>
        <w:t xml:space="preserve">Diritto giurisprudenziale </w:t>
      </w:r>
      <w:r w:rsidRPr="00501274">
        <w:t>vs</w:t>
      </w:r>
      <w:r w:rsidRPr="00501274">
        <w:rPr>
          <w:i/>
        </w:rPr>
        <w:t xml:space="preserve"> occasionalismo giurisprudenziale</w:t>
      </w:r>
      <w:r>
        <w:t xml:space="preserve">, in </w:t>
      </w:r>
      <w:r w:rsidRPr="00501274">
        <w:rPr>
          <w:i/>
        </w:rPr>
        <w:t>Diritto pubblico</w:t>
      </w:r>
      <w:r>
        <w:t xml:space="preserve"> 2017, 41 ss.</w:t>
      </w:r>
    </w:p>
  </w:footnote>
  <w:footnote w:id="6">
    <w:p w:rsidR="00263260" w:rsidRDefault="00263260">
      <w:pPr>
        <w:pStyle w:val="Testonotaapidipagina"/>
      </w:pPr>
      <w:r>
        <w:rPr>
          <w:rStyle w:val="Rimandonotaapidipagina"/>
        </w:rPr>
        <w:footnoteRef/>
      </w:r>
      <w:r>
        <w:t xml:space="preserve"> Tra le due Scuole di pensiero vi è ampio spazio per segmenti intermedi capaci di coniugare perimetro rimesso al giudice nell’applicazione del diritto e ineludibile dose di discrezionalità giudiziaria </w:t>
      </w:r>
    </w:p>
  </w:footnote>
  <w:footnote w:id="7">
    <w:p w:rsidR="00B830CD" w:rsidRDefault="00B830CD">
      <w:pPr>
        <w:pStyle w:val="Testonotaapidipagina"/>
      </w:pPr>
      <w:r>
        <w:rPr>
          <w:rStyle w:val="Rimandonotaapidipagina"/>
        </w:rPr>
        <w:footnoteRef/>
      </w:r>
      <w:r>
        <w:t xml:space="preserve"> E’ questo il senso ultimo del cd. </w:t>
      </w:r>
      <w:proofErr w:type="gramStart"/>
      <w:r>
        <w:t>diritto</w:t>
      </w:r>
      <w:proofErr w:type="gramEnd"/>
      <w:r>
        <w:t xml:space="preserve"> vivente, alla cui rilevanza ha dato impulso significativo la Corte costituzionale n</w:t>
      </w:r>
      <w:r w:rsidR="00033D7B">
        <w:t>el riconos</w:t>
      </w:r>
      <w:r>
        <w:t xml:space="preserve">cere al giudice della causa il potere della </w:t>
      </w:r>
      <w:proofErr w:type="spellStart"/>
      <w:r>
        <w:t>cd.interpretazione</w:t>
      </w:r>
      <w:proofErr w:type="spellEnd"/>
      <w:r>
        <w:t xml:space="preserve"> conforme, fino a far assumere rilievo alla mancata considerazione del diritto vivente e alla mancata utilizzazione della tecnica della interpretazione conforme sul piano della rilevanza della questione di costituzionalità</w:t>
      </w:r>
    </w:p>
  </w:footnote>
  <w:footnote w:id="8">
    <w:p w:rsidR="008C4558" w:rsidRDefault="008C4558">
      <w:pPr>
        <w:pStyle w:val="Testonotaapidipagina"/>
      </w:pPr>
      <w:r>
        <w:rPr>
          <w:rStyle w:val="Rimandonotaapidipagina"/>
        </w:rPr>
        <w:footnoteRef/>
      </w:r>
      <w:r>
        <w:t xml:space="preserve"> </w:t>
      </w:r>
      <w:r w:rsidR="00B830CD">
        <w:t xml:space="preserve">Su cui </w:t>
      </w:r>
      <w:proofErr w:type="spellStart"/>
      <w:r w:rsidR="00B830CD">
        <w:t>vd</w:t>
      </w:r>
      <w:proofErr w:type="spellEnd"/>
      <w:r w:rsidR="00B830CD">
        <w:t xml:space="preserve">. </w:t>
      </w:r>
      <w:proofErr w:type="gramStart"/>
      <w:r w:rsidR="00033D7B">
        <w:t>il</w:t>
      </w:r>
      <w:proofErr w:type="gramEnd"/>
      <w:r w:rsidR="00033D7B">
        <w:t xml:space="preserve"> classico</w:t>
      </w:r>
      <w:r w:rsidR="00B830CD">
        <w:t xml:space="preserve"> A. </w:t>
      </w:r>
      <w:proofErr w:type="spellStart"/>
      <w:r w:rsidR="00B830CD">
        <w:t>Barak</w:t>
      </w:r>
      <w:proofErr w:type="spellEnd"/>
      <w:r w:rsidR="00B830CD">
        <w:t xml:space="preserve">, </w:t>
      </w:r>
      <w:r w:rsidR="00B830CD" w:rsidRPr="00C85068">
        <w:rPr>
          <w:i/>
        </w:rPr>
        <w:t>La discrezionalità del giudice</w:t>
      </w:r>
      <w:r w:rsidR="00B830CD">
        <w:t xml:space="preserve">, </w:t>
      </w:r>
      <w:r w:rsidR="00615C9C">
        <w:t xml:space="preserve">1989, trad.it. </w:t>
      </w:r>
      <w:r w:rsidR="00B830CD">
        <w:t>Milano 19</w:t>
      </w:r>
      <w:r w:rsidR="00615C9C">
        <w:t>95</w:t>
      </w:r>
    </w:p>
  </w:footnote>
  <w:footnote w:id="9">
    <w:p w:rsidR="008C4558" w:rsidRDefault="008C4558">
      <w:pPr>
        <w:pStyle w:val="Testonotaapidipagina"/>
      </w:pPr>
      <w:r>
        <w:rPr>
          <w:rStyle w:val="Rimandonotaapidipagina"/>
        </w:rPr>
        <w:footnoteRef/>
      </w:r>
      <w:r>
        <w:t xml:space="preserve"> </w:t>
      </w:r>
      <w:proofErr w:type="spellStart"/>
      <w:r>
        <w:t>A.Pajno</w:t>
      </w:r>
      <w:proofErr w:type="spellEnd"/>
      <w:r w:rsidR="00C1377A">
        <w:rPr>
          <w:i/>
        </w:rPr>
        <w:t xml:space="preserve">, </w:t>
      </w:r>
      <w:r w:rsidR="00C1377A" w:rsidRPr="00C1377A">
        <w:rPr>
          <w:i/>
        </w:rPr>
        <w:t xml:space="preserve">Nomofilachia e giustizia amministrativa, in Riv.it.dir.pubbl.com. 2015, 345 </w:t>
      </w:r>
      <w:proofErr w:type="spellStart"/>
      <w:r w:rsidR="00C1377A" w:rsidRPr="00C1377A">
        <w:rPr>
          <w:i/>
        </w:rPr>
        <w:t>ss</w:t>
      </w:r>
      <w:proofErr w:type="spellEnd"/>
      <w:r w:rsidR="00C1377A">
        <w:t>,</w:t>
      </w:r>
      <w:r>
        <w:t xml:space="preserve"> 356</w:t>
      </w:r>
    </w:p>
  </w:footnote>
  <w:footnote w:id="10">
    <w:p w:rsidR="008C4558" w:rsidRDefault="008C4558">
      <w:pPr>
        <w:pStyle w:val="Testonotaapidipagina"/>
      </w:pPr>
      <w:r>
        <w:rPr>
          <w:rStyle w:val="Rimandonotaapidipagina"/>
        </w:rPr>
        <w:footnoteRef/>
      </w:r>
      <w:r>
        <w:t xml:space="preserve"> </w:t>
      </w:r>
      <w:r w:rsidRPr="00CD0AE5">
        <w:rPr>
          <w:i/>
        </w:rPr>
        <w:t>Id</w:t>
      </w:r>
      <w:r>
        <w:t>., 357</w:t>
      </w:r>
    </w:p>
  </w:footnote>
  <w:footnote w:id="11">
    <w:p w:rsidR="00845398" w:rsidRDefault="00845398">
      <w:pPr>
        <w:pStyle w:val="Testonotaapidipagina"/>
      </w:pPr>
      <w:r>
        <w:rPr>
          <w:rStyle w:val="Rimandonotaapidipagina"/>
        </w:rPr>
        <w:footnoteRef/>
      </w:r>
      <w:r>
        <w:t xml:space="preserve"> E’ questo il settore –ci ricorda oggi </w:t>
      </w:r>
      <w:proofErr w:type="spellStart"/>
      <w:r>
        <w:t>Monateri</w:t>
      </w:r>
      <w:proofErr w:type="spellEnd"/>
      <w:r>
        <w:t xml:space="preserve">- in cui nel Regno unito rimane considerevole lo spazio rimesso alla </w:t>
      </w:r>
      <w:r w:rsidRPr="00845398">
        <w:rPr>
          <w:i/>
        </w:rPr>
        <w:t>case-law</w:t>
      </w:r>
      <w:r>
        <w:t xml:space="preserve"> rispetto alla </w:t>
      </w:r>
      <w:proofErr w:type="spellStart"/>
      <w:r w:rsidRPr="00845398">
        <w:rPr>
          <w:i/>
        </w:rPr>
        <w:t>legislation</w:t>
      </w:r>
      <w:proofErr w:type="spellEnd"/>
    </w:p>
  </w:footnote>
  <w:footnote w:id="12">
    <w:p w:rsidR="003570E5" w:rsidRDefault="003570E5">
      <w:pPr>
        <w:pStyle w:val="Testonotaapidipagina"/>
      </w:pPr>
      <w:r>
        <w:rPr>
          <w:rStyle w:val="Rimandonotaapidipagina"/>
        </w:rPr>
        <w:footnoteRef/>
      </w:r>
      <w:r>
        <w:t xml:space="preserve"> F. Patroni Griffi, </w:t>
      </w:r>
      <w:r w:rsidRPr="003570E5">
        <w:rPr>
          <w:i/>
        </w:rPr>
        <w:t xml:space="preserve">Corti nazionali e Corti europee: verso un diritto europeo dei giudici </w:t>
      </w:r>
      <w:r w:rsidRPr="003570E5">
        <w:t>oltre</w:t>
      </w:r>
      <w:r w:rsidRPr="003570E5">
        <w:rPr>
          <w:i/>
        </w:rPr>
        <w:t xml:space="preserve"> la crisi del processo di integrazione</w:t>
      </w:r>
      <w:r>
        <w:t xml:space="preserve">, in </w:t>
      </w:r>
      <w:r w:rsidRPr="003570E5">
        <w:rPr>
          <w:i/>
        </w:rPr>
        <w:t>Riv.it.dir.pubbl.com</w:t>
      </w:r>
      <w:r>
        <w:t xml:space="preserve">. 2017, 449 </w:t>
      </w:r>
      <w:r w:rsidRPr="003570E5">
        <w:rPr>
          <w:i/>
        </w:rPr>
        <w:t>ss</w:t>
      </w:r>
      <w:r>
        <w:t>.</w:t>
      </w:r>
    </w:p>
  </w:footnote>
  <w:footnote w:id="13">
    <w:p w:rsidR="00E0106E" w:rsidRDefault="00E0106E">
      <w:pPr>
        <w:pStyle w:val="Testonotaapidipagina"/>
      </w:pPr>
      <w:r>
        <w:rPr>
          <w:rStyle w:val="Rimandonotaapidipagina"/>
        </w:rPr>
        <w:footnoteRef/>
      </w:r>
      <w:r>
        <w:t xml:space="preserve"> La valorizzazione del precedente in via (meramente- giurisprudenziale pone inevitabilmente alcuni interrogativi, come ci ricorda il prof. Alpa: il richiamo giurisprudenziale costituisce un precedente? E’ precedente solo l’ultimo arresto della Cassazione o bisogna “fare i conti” anche con un </w:t>
      </w:r>
      <w:proofErr w:type="spellStart"/>
      <w:r>
        <w:t>preceente</w:t>
      </w:r>
      <w:proofErr w:type="spellEnd"/>
      <w:r>
        <w:t xml:space="preserve"> orientamento consolidato? Sentenze di giudici di merito, magari particolarmente competenti nel settore (es. tribunale delle imprese), costituisce precedente? Il precedente è quello che si ritrae dalla massima e quanto incide sul principio di diritto massimato la considerazione del caso?</w:t>
      </w:r>
    </w:p>
  </w:footnote>
  <w:footnote w:id="14">
    <w:p w:rsidR="00091198" w:rsidRDefault="00091198">
      <w:pPr>
        <w:pStyle w:val="Testonotaapidipagina"/>
      </w:pPr>
      <w:r>
        <w:rPr>
          <w:rStyle w:val="Rimandonotaapidipagina"/>
        </w:rPr>
        <w:footnoteRef/>
      </w:r>
      <w:r>
        <w:t xml:space="preserve"> Non convengo –contrariamente a quanto di solito avviene- con la prof. </w:t>
      </w:r>
      <w:proofErr w:type="spellStart"/>
      <w:r>
        <w:t>Sandulli</w:t>
      </w:r>
      <w:proofErr w:type="spellEnd"/>
      <w:r>
        <w:t>, che ha oggi richiamato all’esigenza di un particolare approfondimento di ogni caso, in fatto e in diritto, con riferimento “a ogni censura e anche alle argomentazioni”. Ovviamente ogni caso va approfondito in fatto e in diritto (non anche con riferimento a ogni argomentazione, per la verità, ma sicuramente con riferimento a ogni censura</w:t>
      </w:r>
      <w:r w:rsidR="002C5936">
        <w:t>)</w:t>
      </w:r>
      <w:r>
        <w:t>. Non ritengo però che sinteticità degli atti processuali e percorsi argomentativi schematici e lineari costituiscano un modo per fare “pe</w:t>
      </w:r>
      <w:r w:rsidR="002C5936">
        <w:t>g</w:t>
      </w:r>
      <w:r>
        <w:t>giore giustizia”. Talvolta è proprio la lunghezza esorbitante di un atto di parte o di una sentenza a rendere tali atti poco comprensibili; e non credo possa indulgersi all’idea che scrivere poco e chiaro sia sintomo di superficialità, mentre scrivere tanto e in maniera particolarmente elaborata, se non contorta, sia indice di approfondimento. Purtroppo la nostra letteratura giuridica e la pratica giudiziaria danno talvolta questa sensazione</w:t>
      </w:r>
    </w:p>
  </w:footnote>
  <w:footnote w:id="15">
    <w:p w:rsidR="00BC51E2" w:rsidRDefault="00BC51E2">
      <w:pPr>
        <w:pStyle w:val="Testonotaapidipagina"/>
      </w:pPr>
      <w:r>
        <w:rPr>
          <w:rStyle w:val="Rimandonotaapidipagina"/>
        </w:rPr>
        <w:footnoteRef/>
      </w:r>
      <w:r>
        <w:t xml:space="preserve"> </w:t>
      </w:r>
      <w:proofErr w:type="spellStart"/>
      <w:r>
        <w:t>R.Villata</w:t>
      </w:r>
      <w:proofErr w:type="spellEnd"/>
      <w:r>
        <w:t xml:space="preserve">, </w:t>
      </w:r>
      <w:r w:rsidRPr="00BC51E2">
        <w:rPr>
          <w:i/>
        </w:rPr>
        <w:t>“Lunga marcia” della Cassazione verso la giurisdizione unica (“dimenticando l’art.103 della Costituzione)?</w:t>
      </w:r>
      <w:r>
        <w:t xml:space="preserve"> e </w:t>
      </w:r>
      <w:r w:rsidRPr="00BC51E2">
        <w:rPr>
          <w:i/>
        </w:rPr>
        <w:t>Giustizia amministrativa e giurisdizione unica</w:t>
      </w:r>
      <w:r>
        <w:t xml:space="preserve">, ora entrambi </w:t>
      </w:r>
      <w:r w:rsidRPr="00BC51E2">
        <w:rPr>
          <w:i/>
        </w:rPr>
        <w:t>in Scritti di giustizia amministrativa</w:t>
      </w:r>
      <w:r>
        <w:t xml:space="preserve">, Milano 2015, 483 ss. e 517 ss.; ma già, rispettivamente, in </w:t>
      </w:r>
      <w:proofErr w:type="spellStart"/>
      <w:r w:rsidRPr="00F81109">
        <w:rPr>
          <w:i/>
        </w:rPr>
        <w:t>Dir.proc.amm</w:t>
      </w:r>
      <w:proofErr w:type="spellEnd"/>
      <w:r>
        <w:t xml:space="preserve">. 2013, 324 e </w:t>
      </w:r>
      <w:proofErr w:type="spellStart"/>
      <w:r w:rsidRPr="00F81109">
        <w:rPr>
          <w:i/>
        </w:rPr>
        <w:t>Riv.dir.proc</w:t>
      </w:r>
      <w:proofErr w:type="spellEnd"/>
      <w:r>
        <w:t>. 2014, 285</w:t>
      </w:r>
    </w:p>
  </w:footnote>
  <w:footnote w:id="16">
    <w:p w:rsidR="00D164C4" w:rsidRDefault="00D164C4">
      <w:pPr>
        <w:pStyle w:val="Testonotaapidipagina"/>
      </w:pPr>
      <w:r>
        <w:rPr>
          <w:rStyle w:val="Rimandonotaapidipagina"/>
        </w:rPr>
        <w:footnoteRef/>
      </w:r>
      <w:r>
        <w:t xml:space="preserve"> Un discorso più articolato potrebbe svolgersi con riferimento a quelle ipotesi -che ritengo “</w:t>
      </w:r>
      <w:proofErr w:type="gramStart"/>
      <w:r>
        <w:t>estreme”-</w:t>
      </w:r>
      <w:proofErr w:type="gramEnd"/>
      <w:r>
        <w:t xml:space="preserve"> in cui, pur a fronte di una questione di pregiudizialità comunitaria posta dalle parti, il Consiglio di Stato abbia omesso del tutto qualsiasi motivazione sull’omesso rinvio pregiudiziale. In tal caso potrebbe configurarsi un rifiuto di </w:t>
      </w:r>
      <w:proofErr w:type="gramStart"/>
      <w:r>
        <w:t>giurisdizione ,</w:t>
      </w:r>
      <w:proofErr w:type="gramEnd"/>
      <w:r>
        <w:t xml:space="preserve"> caratterizzato non dall’omesso rinvio in sé (quando questi risulti motivato, nell’ambito delle attribuzioni del giudice chi</w:t>
      </w:r>
      <w:r w:rsidR="00D07F27">
        <w:t>a</w:t>
      </w:r>
      <w:r>
        <w:t>mato ad applicare il diritto), bensì dalla formale o sostanziale obliterazione della questione di compatibilità comunitaria posta dalle parti</w:t>
      </w:r>
    </w:p>
  </w:footnote>
  <w:footnote w:id="17">
    <w:p w:rsidR="002C5936" w:rsidRDefault="002C5936">
      <w:pPr>
        <w:pStyle w:val="Testonotaapidipagina"/>
      </w:pPr>
      <w:r>
        <w:rPr>
          <w:rStyle w:val="Rimandonotaapidipagina"/>
        </w:rPr>
        <w:footnoteRef/>
      </w:r>
      <w:r>
        <w:t xml:space="preserve"> Più complesso il tema di teoria generale posto dal prof. Manes, che si interroga, nella complessità delineata delle fonti, sulla persistenza nel nostro ordinamento di un </w:t>
      </w:r>
      <w:r w:rsidRPr="002C5936">
        <w:rPr>
          <w:i/>
        </w:rPr>
        <w:t>sistema</w:t>
      </w:r>
      <w:r>
        <w:t xml:space="preserve">, cioè sulla configurabilità stessa del nostro ordinamento come </w:t>
      </w:r>
      <w:r w:rsidRPr="002C5936">
        <w:rPr>
          <w:i/>
        </w:rPr>
        <w:t>sistema</w:t>
      </w:r>
      <w:r>
        <w:t xml:space="preserve"> giuridico. Senza poter affrontare il tema, mi sentirei di dire che la logica e il dato positivo di un sistema di carattere </w:t>
      </w:r>
      <w:r w:rsidRPr="002C5936">
        <w:rPr>
          <w:i/>
        </w:rPr>
        <w:t>dogmatico</w:t>
      </w:r>
      <w:r>
        <w:t xml:space="preserve"> è sicuramente in crisi. Ciò però non può indurci a rinunciare al valore ordinante del diritto, sia pure secondo schemi non dogmatici e rigidi, bensì flessibili e aperti a categorie in movimento. Con tutti i limiti dell’approssimazione, sembra che dottrina e giurisprudenza civili e amministrative sono stati tradizionalmente divisi da una maggiore caratterizzazione in senso dogmatico le prime (con la prevalenza della fattispecie e del metodo sillogistico), e da una logica pragmatica e rimediale le seconde (nel senso anglosassone di “</w:t>
      </w:r>
      <w:proofErr w:type="spellStart"/>
      <w:r>
        <w:t>remedies</w:t>
      </w:r>
      <w:proofErr w:type="spellEnd"/>
      <w:r>
        <w:t xml:space="preserve"> precede </w:t>
      </w:r>
      <w:proofErr w:type="spellStart"/>
      <w:r>
        <w:t>rights</w:t>
      </w:r>
      <w:proofErr w:type="spellEnd"/>
      <w:r>
        <w:t xml:space="preserve">”). Oggi tale distanza va attenuandosi, per una maggior ricorso a modelli normativi aperti nel diritto civile e una maggiore </w:t>
      </w:r>
      <w:proofErr w:type="spellStart"/>
      <w:r>
        <w:t>positivizzazione</w:t>
      </w:r>
      <w:proofErr w:type="spellEnd"/>
      <w:r>
        <w:t xml:space="preserve"> del diritto amministrativo.</w:t>
      </w:r>
    </w:p>
  </w:footnote>
  <w:footnote w:id="18">
    <w:p w:rsidR="00B6146D" w:rsidRDefault="00B6146D">
      <w:pPr>
        <w:pStyle w:val="Testonotaapidipagina"/>
      </w:pPr>
      <w:r>
        <w:rPr>
          <w:rStyle w:val="Rimandonotaapidipagina"/>
        </w:rPr>
        <w:footnoteRef/>
      </w:r>
      <w:r>
        <w:t xml:space="preserve"> E’ vero che in questi casi il giudice, se relatore, può essere esonerato dalla redazione della sentenza; ma ciò non impedisce che la decisione sia riferibile a 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209F6"/>
    <w:multiLevelType w:val="hybridMultilevel"/>
    <w:tmpl w:val="A78C3BB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751C7965"/>
    <w:multiLevelType w:val="hybridMultilevel"/>
    <w:tmpl w:val="606693A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0E"/>
    <w:rsid w:val="00011551"/>
    <w:rsid w:val="00033D7B"/>
    <w:rsid w:val="00040070"/>
    <w:rsid w:val="00091198"/>
    <w:rsid w:val="00120A21"/>
    <w:rsid w:val="00123CE2"/>
    <w:rsid w:val="001953A4"/>
    <w:rsid w:val="001D1238"/>
    <w:rsid w:val="00217A85"/>
    <w:rsid w:val="00226C96"/>
    <w:rsid w:val="00263260"/>
    <w:rsid w:val="00284372"/>
    <w:rsid w:val="002C45E2"/>
    <w:rsid w:val="002C5936"/>
    <w:rsid w:val="003116DE"/>
    <w:rsid w:val="00333B31"/>
    <w:rsid w:val="003570E5"/>
    <w:rsid w:val="003A0CFE"/>
    <w:rsid w:val="003B27F4"/>
    <w:rsid w:val="003C5679"/>
    <w:rsid w:val="00431D5F"/>
    <w:rsid w:val="00465F58"/>
    <w:rsid w:val="0049286C"/>
    <w:rsid w:val="004956AE"/>
    <w:rsid w:val="004B5F3D"/>
    <w:rsid w:val="004D17F7"/>
    <w:rsid w:val="004D280B"/>
    <w:rsid w:val="00501274"/>
    <w:rsid w:val="0050387D"/>
    <w:rsid w:val="00532962"/>
    <w:rsid w:val="00615C9C"/>
    <w:rsid w:val="006D440E"/>
    <w:rsid w:val="00730E01"/>
    <w:rsid w:val="00776159"/>
    <w:rsid w:val="007F130A"/>
    <w:rsid w:val="008335A7"/>
    <w:rsid w:val="00845398"/>
    <w:rsid w:val="0084748C"/>
    <w:rsid w:val="00856949"/>
    <w:rsid w:val="00873728"/>
    <w:rsid w:val="008C05A1"/>
    <w:rsid w:val="008C4558"/>
    <w:rsid w:val="008D0AF7"/>
    <w:rsid w:val="008D4B9B"/>
    <w:rsid w:val="00900CAE"/>
    <w:rsid w:val="00A01328"/>
    <w:rsid w:val="00A32733"/>
    <w:rsid w:val="00AC3755"/>
    <w:rsid w:val="00AC6A83"/>
    <w:rsid w:val="00B33936"/>
    <w:rsid w:val="00B4694A"/>
    <w:rsid w:val="00B52064"/>
    <w:rsid w:val="00B6146D"/>
    <w:rsid w:val="00B830CD"/>
    <w:rsid w:val="00BA41B0"/>
    <w:rsid w:val="00BC51E2"/>
    <w:rsid w:val="00C1377A"/>
    <w:rsid w:val="00C27AE8"/>
    <w:rsid w:val="00C515AD"/>
    <w:rsid w:val="00C55EBE"/>
    <w:rsid w:val="00C85068"/>
    <w:rsid w:val="00CA421E"/>
    <w:rsid w:val="00CB2555"/>
    <w:rsid w:val="00CD0AE5"/>
    <w:rsid w:val="00CF0AFA"/>
    <w:rsid w:val="00CF3187"/>
    <w:rsid w:val="00D07F27"/>
    <w:rsid w:val="00D164C4"/>
    <w:rsid w:val="00D76FEE"/>
    <w:rsid w:val="00D94603"/>
    <w:rsid w:val="00D963F2"/>
    <w:rsid w:val="00E0106E"/>
    <w:rsid w:val="00E30A44"/>
    <w:rsid w:val="00E5465E"/>
    <w:rsid w:val="00ED6A41"/>
    <w:rsid w:val="00EF54F4"/>
    <w:rsid w:val="00F31E7A"/>
    <w:rsid w:val="00F771EF"/>
    <w:rsid w:val="00F8110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962F88-8041-4E27-A801-BEBDECE1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1238"/>
    <w:pPr>
      <w:spacing w:after="160" w:line="259"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333B3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333B31"/>
    <w:rPr>
      <w:rFonts w:cs="Times New Roman"/>
      <w:sz w:val="20"/>
      <w:szCs w:val="20"/>
    </w:rPr>
  </w:style>
  <w:style w:type="character" w:styleId="Rimandonotaapidipagina">
    <w:name w:val="footnote reference"/>
    <w:basedOn w:val="Carpredefinitoparagrafo"/>
    <w:uiPriority w:val="99"/>
    <w:semiHidden/>
    <w:rsid w:val="00333B31"/>
    <w:rPr>
      <w:rFonts w:cs="Times New Roman"/>
      <w:vertAlign w:val="superscript"/>
    </w:rPr>
  </w:style>
  <w:style w:type="paragraph" w:styleId="Paragrafoelenco">
    <w:name w:val="List Paragraph"/>
    <w:basedOn w:val="Normale"/>
    <w:uiPriority w:val="99"/>
    <w:qFormat/>
    <w:rsid w:val="00226C96"/>
    <w:pPr>
      <w:ind w:left="720"/>
      <w:contextualSpacing/>
    </w:pPr>
  </w:style>
  <w:style w:type="paragraph" w:styleId="Pidipagina">
    <w:name w:val="footer"/>
    <w:basedOn w:val="Normale"/>
    <w:link w:val="PidipaginaCarattere"/>
    <w:uiPriority w:val="99"/>
    <w:rsid w:val="00431D5F"/>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10DA0"/>
    <w:rPr>
      <w:lang w:eastAsia="en-US"/>
    </w:rPr>
  </w:style>
  <w:style w:type="character" w:styleId="Numeropagina">
    <w:name w:val="page number"/>
    <w:basedOn w:val="Carpredefinitoparagrafo"/>
    <w:uiPriority w:val="99"/>
    <w:rsid w:val="00431D5F"/>
    <w:rPr>
      <w:rFonts w:cs="Times New Roman"/>
    </w:rPr>
  </w:style>
  <w:style w:type="paragraph" w:styleId="Intestazione">
    <w:name w:val="header"/>
    <w:basedOn w:val="Normale"/>
    <w:link w:val="IntestazioneCarattere"/>
    <w:uiPriority w:val="99"/>
    <w:unhideWhenUsed/>
    <w:rsid w:val="00CF31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31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4D5DB-CAAF-4FF0-BF09-ADCCE98C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4204</Words>
  <Characters>24902</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PATRONI GRIFFI Filippo</dc:creator>
  <cp:keywords/>
  <dc:description/>
  <cp:lastModifiedBy>FERRARI Giulia</cp:lastModifiedBy>
  <cp:revision>3</cp:revision>
  <cp:lastPrinted>2017-09-20T12:49:00Z</cp:lastPrinted>
  <dcterms:created xsi:type="dcterms:W3CDTF">2017-10-14T14:19:00Z</dcterms:created>
  <dcterms:modified xsi:type="dcterms:W3CDTF">2017-10-14T14:23:00Z</dcterms:modified>
</cp:coreProperties>
</file>