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20" w:rsidRPr="00ED3D20" w:rsidRDefault="009661CD" w:rsidP="00A240C4">
      <w:pPr>
        <w:spacing w:line="360" w:lineRule="auto"/>
        <w:ind w:left="357"/>
        <w:jc w:val="both"/>
        <w:rPr>
          <w:rFonts w:ascii="Times New Roman" w:hAnsi="Times New Roman" w:cs="Times New Roman"/>
          <w:b/>
          <w:sz w:val="28"/>
          <w:szCs w:val="28"/>
        </w:rPr>
      </w:pPr>
      <w:r>
        <w:rPr>
          <w:b/>
          <w:sz w:val="28"/>
          <w:szCs w:val="28"/>
        </w:rPr>
        <w:t xml:space="preserve"> </w:t>
      </w:r>
    </w:p>
    <w:p w:rsidR="002F0F5A" w:rsidRDefault="002F0F5A" w:rsidP="002F0F5A">
      <w:pPr>
        <w:ind w:left="360"/>
        <w:jc w:val="center"/>
        <w:rPr>
          <w:rFonts w:ascii="Times New Roman" w:hAnsi="Times New Roman" w:cs="Times New Roman"/>
          <w:b/>
          <w:sz w:val="32"/>
          <w:szCs w:val="32"/>
        </w:rPr>
      </w:pPr>
      <w:r w:rsidRPr="00981A81">
        <w:rPr>
          <w:rFonts w:ascii="Times New Roman" w:hAnsi="Times New Roman" w:cs="Times New Roman"/>
          <w:b/>
          <w:sz w:val="32"/>
          <w:szCs w:val="32"/>
        </w:rPr>
        <w:t xml:space="preserve">Il </w:t>
      </w:r>
      <w:r w:rsidR="00FF18BC" w:rsidRPr="00981A81">
        <w:rPr>
          <w:rFonts w:ascii="Times New Roman" w:hAnsi="Times New Roman" w:cs="Times New Roman"/>
          <w:b/>
          <w:sz w:val="32"/>
          <w:szCs w:val="32"/>
        </w:rPr>
        <w:t>Subappalto</w:t>
      </w:r>
      <w:r w:rsidR="00055E68">
        <w:rPr>
          <w:rFonts w:ascii="Times New Roman" w:hAnsi="Times New Roman" w:cs="Times New Roman"/>
          <w:b/>
          <w:sz w:val="32"/>
          <w:szCs w:val="32"/>
        </w:rPr>
        <w:t>: u</w:t>
      </w:r>
      <w:r w:rsidR="000A23DF">
        <w:rPr>
          <w:rFonts w:ascii="Times New Roman" w:hAnsi="Times New Roman" w:cs="Times New Roman"/>
          <w:b/>
          <w:sz w:val="32"/>
          <w:szCs w:val="32"/>
        </w:rPr>
        <w:t>n problema</w:t>
      </w:r>
      <w:r w:rsidR="00981A81" w:rsidRPr="00981A81">
        <w:rPr>
          <w:rFonts w:ascii="Times New Roman" w:hAnsi="Times New Roman" w:cs="Times New Roman"/>
          <w:b/>
          <w:sz w:val="32"/>
          <w:szCs w:val="32"/>
        </w:rPr>
        <w:t xml:space="preserve"> </w:t>
      </w:r>
      <w:r w:rsidRPr="00981A81">
        <w:rPr>
          <w:rFonts w:ascii="Times New Roman" w:hAnsi="Times New Roman" w:cs="Times New Roman"/>
          <w:b/>
          <w:sz w:val="32"/>
          <w:szCs w:val="32"/>
        </w:rPr>
        <w:t>o un’opportunità?</w:t>
      </w:r>
      <w:r w:rsidR="00F5387D">
        <w:rPr>
          <w:rStyle w:val="Rimandonotaapidipagina"/>
          <w:rFonts w:ascii="Times New Roman" w:hAnsi="Times New Roman" w:cs="Times New Roman"/>
          <w:b/>
          <w:sz w:val="32"/>
          <w:szCs w:val="32"/>
        </w:rPr>
        <w:footnoteReference w:id="1"/>
      </w:r>
    </w:p>
    <w:p w:rsidR="00F233F7" w:rsidRPr="00F233F7" w:rsidRDefault="00DB2DEC" w:rsidP="002F0F5A">
      <w:pPr>
        <w:ind w:left="360"/>
        <w:jc w:val="center"/>
        <w:rPr>
          <w:rFonts w:ascii="Times New Roman" w:hAnsi="Times New Roman" w:cs="Times New Roman"/>
          <w:b/>
          <w:i/>
          <w:sz w:val="32"/>
          <w:szCs w:val="32"/>
        </w:rPr>
      </w:pPr>
      <w:r>
        <w:rPr>
          <w:rFonts w:ascii="Times New Roman" w:hAnsi="Times New Roman" w:cs="Times New Roman"/>
          <w:b/>
          <w:i/>
          <w:sz w:val="32"/>
          <w:szCs w:val="32"/>
        </w:rPr>
        <w:t xml:space="preserve"> </w:t>
      </w:r>
      <w:bookmarkStart w:id="0" w:name="_GoBack"/>
      <w:bookmarkEnd w:id="0"/>
    </w:p>
    <w:p w:rsidR="00C36950" w:rsidRPr="00C36950" w:rsidRDefault="00C36950" w:rsidP="005E42A9">
      <w:pPr>
        <w:widowControl w:val="0"/>
        <w:autoSpaceDE w:val="0"/>
        <w:autoSpaceDN w:val="0"/>
        <w:adjustRightInd w:val="0"/>
        <w:spacing w:after="240" w:line="340" w:lineRule="atLeast"/>
        <w:jc w:val="both"/>
        <w:rPr>
          <w:rFonts w:ascii="Times" w:hAnsi="Times" w:cs="Times"/>
          <w:b/>
          <w:i/>
          <w:iCs/>
          <w:color w:val="202227"/>
          <w:sz w:val="29"/>
          <w:szCs w:val="29"/>
        </w:rPr>
      </w:pPr>
      <w:r w:rsidRPr="00C36950">
        <w:rPr>
          <w:rFonts w:ascii="Times" w:hAnsi="Times" w:cs="Times"/>
          <w:b/>
          <w:i/>
          <w:iCs/>
          <w:color w:val="202227"/>
          <w:sz w:val="29"/>
          <w:szCs w:val="29"/>
        </w:rPr>
        <w:t xml:space="preserve">SOMMARIO: 1. Premessa - 2. </w:t>
      </w:r>
      <w:r>
        <w:rPr>
          <w:rFonts w:ascii="Times" w:hAnsi="Times" w:cs="Times"/>
          <w:b/>
          <w:i/>
          <w:iCs/>
          <w:color w:val="202227"/>
          <w:sz w:val="29"/>
          <w:szCs w:val="29"/>
        </w:rPr>
        <w:t>I differenti obiettivi della regolazione europea e italiana del subappalto</w:t>
      </w:r>
      <w:r w:rsidRPr="00C36950">
        <w:rPr>
          <w:rFonts w:ascii="Times" w:hAnsi="Times" w:cs="Times"/>
          <w:b/>
          <w:i/>
          <w:iCs/>
          <w:color w:val="202227"/>
          <w:sz w:val="29"/>
          <w:szCs w:val="29"/>
        </w:rPr>
        <w:t xml:space="preserve"> - 3.</w:t>
      </w:r>
      <w:r w:rsidRPr="00C36950">
        <w:rPr>
          <w:b/>
        </w:rPr>
        <w:t xml:space="preserve"> </w:t>
      </w:r>
      <w:r w:rsidRPr="00C36950">
        <w:rPr>
          <w:rFonts w:ascii="Times" w:hAnsi="Times" w:cs="Times"/>
          <w:b/>
          <w:i/>
          <w:iCs/>
          <w:color w:val="202227"/>
          <w:sz w:val="29"/>
          <w:szCs w:val="29"/>
        </w:rPr>
        <w:t xml:space="preserve">L’analisi del Consiglio di Stato - 4. Genesi ed evoluzione del subappalto - 5. </w:t>
      </w:r>
      <w:r>
        <w:rPr>
          <w:rFonts w:ascii="Times" w:hAnsi="Times" w:cs="Times"/>
          <w:b/>
          <w:i/>
          <w:iCs/>
          <w:color w:val="202227"/>
          <w:sz w:val="29"/>
          <w:szCs w:val="29"/>
        </w:rPr>
        <w:t xml:space="preserve">La limitazione quantitativa: un caso di gold plating? </w:t>
      </w:r>
      <w:r w:rsidR="005E42A9">
        <w:rPr>
          <w:rFonts w:ascii="Times" w:hAnsi="Times" w:cs="Times"/>
          <w:b/>
          <w:i/>
          <w:iCs/>
          <w:color w:val="202227"/>
          <w:sz w:val="29"/>
          <w:szCs w:val="29"/>
        </w:rPr>
        <w:t>-</w:t>
      </w:r>
      <w:r w:rsidRPr="00C36950">
        <w:rPr>
          <w:rFonts w:ascii="Times" w:hAnsi="Times" w:cs="Times"/>
          <w:b/>
          <w:i/>
          <w:iCs/>
          <w:color w:val="202227"/>
          <w:sz w:val="29"/>
          <w:szCs w:val="29"/>
        </w:rPr>
        <w:t xml:space="preserve"> </w:t>
      </w:r>
      <w:r w:rsidR="005E42A9">
        <w:rPr>
          <w:rFonts w:ascii="Times" w:hAnsi="Times" w:cs="Times"/>
          <w:b/>
          <w:i/>
          <w:iCs/>
          <w:color w:val="202227"/>
          <w:sz w:val="29"/>
          <w:szCs w:val="29"/>
        </w:rPr>
        <w:t>6. La giustificazione relativa alla tutela delle piccole e medie imprese - 7. I possibili correttivi.</w:t>
      </w:r>
    </w:p>
    <w:p w:rsidR="00981A81" w:rsidRDefault="00981A81" w:rsidP="00A240C4">
      <w:pPr>
        <w:ind w:left="360"/>
        <w:jc w:val="both"/>
        <w:rPr>
          <w:rFonts w:ascii="Times New Roman" w:hAnsi="Times New Roman" w:cs="Times New Roman"/>
          <w:sz w:val="28"/>
          <w:szCs w:val="28"/>
        </w:rPr>
      </w:pPr>
    </w:p>
    <w:p w:rsidR="00C36950" w:rsidRPr="00C36950" w:rsidRDefault="00C36950" w:rsidP="00A240C4">
      <w:pPr>
        <w:ind w:left="360"/>
        <w:jc w:val="both"/>
        <w:rPr>
          <w:rFonts w:ascii="Times New Roman" w:hAnsi="Times New Roman" w:cs="Times New Roman"/>
          <w:b/>
          <w:sz w:val="28"/>
          <w:szCs w:val="28"/>
        </w:rPr>
      </w:pPr>
      <w:r>
        <w:rPr>
          <w:rFonts w:ascii="Times New Roman" w:hAnsi="Times New Roman" w:cs="Times New Roman"/>
          <w:b/>
          <w:sz w:val="28"/>
          <w:szCs w:val="28"/>
        </w:rPr>
        <w:t>1.- Premessa</w:t>
      </w:r>
    </w:p>
    <w:p w:rsidR="002F0F5A" w:rsidRPr="00A240C4" w:rsidRDefault="00A240C4" w:rsidP="00A240C4">
      <w:pPr>
        <w:ind w:left="360"/>
        <w:jc w:val="both"/>
        <w:rPr>
          <w:rFonts w:ascii="Times New Roman" w:hAnsi="Times New Roman" w:cs="Times New Roman"/>
          <w:sz w:val="28"/>
          <w:szCs w:val="28"/>
        </w:rPr>
      </w:pPr>
      <w:r w:rsidRPr="00A240C4">
        <w:rPr>
          <w:rFonts w:ascii="Times New Roman" w:hAnsi="Times New Roman" w:cs="Times New Roman"/>
          <w:sz w:val="28"/>
          <w:szCs w:val="28"/>
        </w:rPr>
        <w:t>Il subappalto è senz’altro uno degli istituti più tormentati dell’ordinamento dei contratti pubblici.</w:t>
      </w:r>
    </w:p>
    <w:p w:rsidR="00A240C4" w:rsidRPr="00596E79" w:rsidRDefault="00596E79" w:rsidP="00A240C4">
      <w:pPr>
        <w:ind w:left="360"/>
        <w:jc w:val="both"/>
        <w:rPr>
          <w:rFonts w:ascii="Times New Roman" w:hAnsi="Times New Roman" w:cs="Times New Roman"/>
          <w:sz w:val="28"/>
          <w:szCs w:val="28"/>
        </w:rPr>
      </w:pPr>
      <w:r w:rsidRPr="00596E79">
        <w:rPr>
          <w:rFonts w:ascii="Times New Roman" w:hAnsi="Times New Roman" w:cs="Times New Roman"/>
          <w:sz w:val="28"/>
          <w:szCs w:val="28"/>
        </w:rPr>
        <w:t>Ancorchè, in</w:t>
      </w:r>
      <w:r w:rsidR="00C24741">
        <w:rPr>
          <w:rFonts w:ascii="Times New Roman" w:hAnsi="Times New Roman" w:cs="Times New Roman"/>
          <w:sz w:val="28"/>
          <w:szCs w:val="28"/>
        </w:rPr>
        <w:t>fatti,</w:t>
      </w:r>
      <w:r w:rsidRPr="00596E79">
        <w:rPr>
          <w:rFonts w:ascii="Times New Roman" w:hAnsi="Times New Roman" w:cs="Times New Roman"/>
          <w:sz w:val="28"/>
          <w:szCs w:val="28"/>
        </w:rPr>
        <w:t xml:space="preserve"> </w:t>
      </w:r>
      <w:r w:rsidR="00F55F32">
        <w:rPr>
          <w:rFonts w:ascii="Times New Roman" w:hAnsi="Times New Roman" w:cs="Times New Roman"/>
          <w:sz w:val="28"/>
          <w:szCs w:val="28"/>
        </w:rPr>
        <w:t xml:space="preserve">il subappalto </w:t>
      </w:r>
      <w:r w:rsidRPr="00596E79">
        <w:rPr>
          <w:rFonts w:ascii="Times New Roman" w:hAnsi="Times New Roman" w:cs="Times New Roman"/>
          <w:sz w:val="28"/>
          <w:szCs w:val="28"/>
        </w:rPr>
        <w:t>abbia ricevuto, nelle diverse direttive europee, un regime normativo piuttosto liberale, il Legisl</w:t>
      </w:r>
      <w:r w:rsidR="00B542F8">
        <w:rPr>
          <w:rFonts w:ascii="Times New Roman" w:hAnsi="Times New Roman" w:cs="Times New Roman"/>
          <w:sz w:val="28"/>
          <w:szCs w:val="28"/>
        </w:rPr>
        <w:t>atore italiano si è affannato a</w:t>
      </w:r>
      <w:r w:rsidR="00F55F32">
        <w:rPr>
          <w:rFonts w:ascii="Times New Roman" w:hAnsi="Times New Roman" w:cs="Times New Roman"/>
          <w:sz w:val="28"/>
          <w:szCs w:val="28"/>
        </w:rPr>
        <w:t xml:space="preserve"> presidiarlo</w:t>
      </w:r>
      <w:r w:rsidRPr="00596E79">
        <w:rPr>
          <w:rFonts w:ascii="Times New Roman" w:hAnsi="Times New Roman" w:cs="Times New Roman"/>
          <w:sz w:val="28"/>
          <w:szCs w:val="28"/>
        </w:rPr>
        <w:t xml:space="preserve"> di limitazioni e condizioni che ne hanno circoscritto significativamente l’ambito applicativo.</w:t>
      </w:r>
    </w:p>
    <w:p w:rsidR="00B542F8" w:rsidRDefault="00B542F8" w:rsidP="00A240C4">
      <w:pPr>
        <w:ind w:left="360"/>
        <w:jc w:val="both"/>
        <w:rPr>
          <w:rFonts w:ascii="Times New Roman" w:hAnsi="Times New Roman" w:cs="Times New Roman"/>
          <w:sz w:val="28"/>
          <w:szCs w:val="28"/>
        </w:rPr>
      </w:pPr>
      <w:r>
        <w:rPr>
          <w:rFonts w:ascii="Times New Roman" w:hAnsi="Times New Roman" w:cs="Times New Roman"/>
          <w:sz w:val="28"/>
          <w:szCs w:val="28"/>
        </w:rPr>
        <w:t>La disciplina più restrittiva è stata dichiaratamente giustificata con l’esigenza di realizzare i preminenti interessi pubblici alla preservazione del mercato dei contratti pubblici da rischi di infiltrazione, proprio attraverso l’uso fraudolento dello strumento del subappalto, della criminalità organizzata (si veda la relazione AIR al decreto legislativo n.50 del 2016).</w:t>
      </w:r>
    </w:p>
    <w:p w:rsidR="00B542F8" w:rsidRDefault="00B542F8" w:rsidP="00A240C4">
      <w:pPr>
        <w:ind w:left="360"/>
        <w:jc w:val="both"/>
        <w:rPr>
          <w:rFonts w:ascii="Times New Roman" w:hAnsi="Times New Roman" w:cs="Times New Roman"/>
          <w:sz w:val="28"/>
          <w:szCs w:val="28"/>
        </w:rPr>
      </w:pPr>
      <w:r>
        <w:rPr>
          <w:rFonts w:ascii="Times New Roman" w:hAnsi="Times New Roman" w:cs="Times New Roman"/>
          <w:sz w:val="28"/>
          <w:szCs w:val="28"/>
        </w:rPr>
        <w:t>Sennonchè la Corte di Giustizia UE ha ripetutamente affermato il principi</w:t>
      </w:r>
      <w:r w:rsidR="00341F7B">
        <w:rPr>
          <w:rFonts w:ascii="Times New Roman" w:hAnsi="Times New Roman" w:cs="Times New Roman"/>
          <w:sz w:val="28"/>
          <w:szCs w:val="28"/>
        </w:rPr>
        <w:t>o (s</w:t>
      </w:r>
      <w:r>
        <w:rPr>
          <w:rFonts w:ascii="Times New Roman" w:hAnsi="Times New Roman" w:cs="Times New Roman"/>
          <w:sz w:val="28"/>
          <w:szCs w:val="28"/>
        </w:rPr>
        <w:t>i vedano le sentenze</w:t>
      </w:r>
      <w:r w:rsidR="004A5D60">
        <w:rPr>
          <w:rFonts w:ascii="Times New Roman" w:hAnsi="Times New Roman" w:cs="Times New Roman"/>
          <w:sz w:val="28"/>
          <w:szCs w:val="28"/>
        </w:rPr>
        <w:t xml:space="preserve"> 5 aprile 2017, C-298/15; 14 luglio 2916, C-406/14; 10 ottobre 2013, C-94/12</w:t>
      </w:r>
      <w:r>
        <w:rPr>
          <w:rFonts w:ascii="Times New Roman" w:hAnsi="Times New Roman" w:cs="Times New Roman"/>
          <w:sz w:val="28"/>
          <w:szCs w:val="28"/>
        </w:rPr>
        <w:t>) della difformità dal diritto euro-unitario in materia di appalti pubblici di discipline legislative nazionali che introducano divieti o limitazioni all’operatività del subappalto.</w:t>
      </w:r>
    </w:p>
    <w:p w:rsidR="00B542F8" w:rsidRDefault="00B542F8" w:rsidP="00A240C4">
      <w:pPr>
        <w:ind w:left="360"/>
        <w:jc w:val="both"/>
        <w:rPr>
          <w:rFonts w:ascii="Times New Roman" w:hAnsi="Times New Roman" w:cs="Times New Roman"/>
          <w:sz w:val="28"/>
          <w:szCs w:val="28"/>
        </w:rPr>
      </w:pPr>
      <w:r>
        <w:rPr>
          <w:rFonts w:ascii="Times New Roman" w:hAnsi="Times New Roman" w:cs="Times New Roman"/>
          <w:sz w:val="28"/>
          <w:szCs w:val="28"/>
        </w:rPr>
        <w:t xml:space="preserve">E’ vero che le decisioni citate sono state assunte con riferimento alle direttive previgenti, ma è anche vero che </w:t>
      </w:r>
      <w:r w:rsidR="00E036E2">
        <w:rPr>
          <w:rFonts w:ascii="Times New Roman" w:hAnsi="Times New Roman" w:cs="Times New Roman"/>
          <w:sz w:val="28"/>
          <w:szCs w:val="28"/>
        </w:rPr>
        <w:t>le direttive attualmente in vigore</w:t>
      </w:r>
      <w:r>
        <w:rPr>
          <w:rFonts w:ascii="Times New Roman" w:hAnsi="Times New Roman" w:cs="Times New Roman"/>
          <w:sz w:val="28"/>
          <w:szCs w:val="28"/>
        </w:rPr>
        <w:t xml:space="preserve"> non differiscono dalle precedenti, qua</w:t>
      </w:r>
      <w:r w:rsidR="00C24741">
        <w:rPr>
          <w:rFonts w:ascii="Times New Roman" w:hAnsi="Times New Roman" w:cs="Times New Roman"/>
          <w:sz w:val="28"/>
          <w:szCs w:val="28"/>
        </w:rPr>
        <w:t>nto al profilo della limitazione quantitativa</w:t>
      </w:r>
      <w:r>
        <w:rPr>
          <w:rFonts w:ascii="Times New Roman" w:hAnsi="Times New Roman" w:cs="Times New Roman"/>
          <w:sz w:val="28"/>
          <w:szCs w:val="28"/>
        </w:rPr>
        <w:t xml:space="preserve">, e che la stessa Commissione Europea (investita della questione da un esposto dell’ANCE), </w:t>
      </w:r>
      <w:r w:rsidR="00F24EDA">
        <w:rPr>
          <w:rFonts w:ascii="Times New Roman" w:hAnsi="Times New Roman" w:cs="Times New Roman"/>
          <w:sz w:val="28"/>
          <w:szCs w:val="28"/>
        </w:rPr>
        <w:t xml:space="preserve">ha segnalato </w:t>
      </w:r>
      <w:r>
        <w:rPr>
          <w:rFonts w:ascii="Times New Roman" w:hAnsi="Times New Roman" w:cs="Times New Roman"/>
          <w:sz w:val="28"/>
          <w:szCs w:val="28"/>
        </w:rPr>
        <w:t>nella lettera indirizzata al Governo Italiano in</w:t>
      </w:r>
      <w:r w:rsidR="00F24EDA">
        <w:rPr>
          <w:rFonts w:ascii="Times New Roman" w:hAnsi="Times New Roman" w:cs="Times New Roman"/>
          <w:sz w:val="28"/>
          <w:szCs w:val="28"/>
        </w:rPr>
        <w:t xml:space="preserve"> data 30 marzo 2017</w:t>
      </w:r>
      <w:r>
        <w:rPr>
          <w:rFonts w:ascii="Times New Roman" w:hAnsi="Times New Roman" w:cs="Times New Roman"/>
          <w:sz w:val="28"/>
          <w:szCs w:val="28"/>
        </w:rPr>
        <w:t xml:space="preserve">, </w:t>
      </w:r>
      <w:r>
        <w:rPr>
          <w:rFonts w:ascii="Times New Roman" w:hAnsi="Times New Roman" w:cs="Times New Roman"/>
          <w:sz w:val="28"/>
          <w:szCs w:val="28"/>
        </w:rPr>
        <w:lastRenderedPageBreak/>
        <w:t>l’incompatibilità anche con la direttiva 2014/24/UE</w:t>
      </w:r>
      <w:r w:rsidR="00AD3BBF">
        <w:rPr>
          <w:rFonts w:ascii="Times New Roman" w:hAnsi="Times New Roman" w:cs="Times New Roman"/>
          <w:sz w:val="28"/>
          <w:szCs w:val="28"/>
        </w:rPr>
        <w:t xml:space="preserve"> (che è vero che</w:t>
      </w:r>
      <w:r w:rsidR="00055E68">
        <w:rPr>
          <w:rFonts w:ascii="Times New Roman" w:hAnsi="Times New Roman" w:cs="Times New Roman"/>
          <w:sz w:val="28"/>
          <w:szCs w:val="28"/>
        </w:rPr>
        <w:t>, all’art.71,</w:t>
      </w:r>
      <w:r w:rsidR="00AD3BBF">
        <w:rPr>
          <w:rFonts w:ascii="Times New Roman" w:hAnsi="Times New Roman" w:cs="Times New Roman"/>
          <w:sz w:val="28"/>
          <w:szCs w:val="28"/>
        </w:rPr>
        <w:t xml:space="preserve"> autorizza interventi regolativi più restrittivi, ma per profili della disciplina del tutto diversi </w:t>
      </w:r>
      <w:r w:rsidR="00C24741">
        <w:rPr>
          <w:rFonts w:ascii="Times New Roman" w:hAnsi="Times New Roman" w:cs="Times New Roman"/>
          <w:sz w:val="28"/>
          <w:szCs w:val="28"/>
        </w:rPr>
        <w:t>da quello puramente dime</w:t>
      </w:r>
      <w:r w:rsidR="00876FEF">
        <w:rPr>
          <w:rFonts w:ascii="Times New Roman" w:hAnsi="Times New Roman" w:cs="Times New Roman"/>
          <w:sz w:val="28"/>
          <w:szCs w:val="28"/>
        </w:rPr>
        <w:t>n</w:t>
      </w:r>
      <w:r w:rsidR="00C24741">
        <w:rPr>
          <w:rFonts w:ascii="Times New Roman" w:hAnsi="Times New Roman" w:cs="Times New Roman"/>
          <w:sz w:val="28"/>
          <w:szCs w:val="28"/>
        </w:rPr>
        <w:t>sionale</w:t>
      </w:r>
      <w:r w:rsidR="00AD3BBF">
        <w:rPr>
          <w:rFonts w:ascii="Times New Roman" w:hAnsi="Times New Roman" w:cs="Times New Roman"/>
          <w:sz w:val="28"/>
          <w:szCs w:val="28"/>
        </w:rPr>
        <w:t>)</w:t>
      </w:r>
      <w:r>
        <w:rPr>
          <w:rFonts w:ascii="Times New Roman" w:hAnsi="Times New Roman" w:cs="Times New Roman"/>
          <w:sz w:val="28"/>
          <w:szCs w:val="28"/>
        </w:rPr>
        <w:t>, di taluni aspetti dell</w:t>
      </w:r>
      <w:r w:rsidR="00F24EDA">
        <w:rPr>
          <w:rFonts w:ascii="Times New Roman" w:hAnsi="Times New Roman" w:cs="Times New Roman"/>
          <w:sz w:val="28"/>
          <w:szCs w:val="28"/>
        </w:rPr>
        <w:t>a regolazione nazionale italiana</w:t>
      </w:r>
      <w:r>
        <w:rPr>
          <w:rFonts w:ascii="Times New Roman" w:hAnsi="Times New Roman" w:cs="Times New Roman"/>
          <w:sz w:val="28"/>
          <w:szCs w:val="28"/>
        </w:rPr>
        <w:t xml:space="preserve"> del subappalto, tra i quali merita di essere esaminato quello afferente alla limitazione al 30% della quota subappaltabile (e al corrispondente divieto di subappalto per il restante 70%).  </w:t>
      </w:r>
    </w:p>
    <w:p w:rsidR="00B542F8" w:rsidRDefault="00B542F8" w:rsidP="00A240C4">
      <w:pPr>
        <w:ind w:left="360"/>
        <w:jc w:val="both"/>
        <w:rPr>
          <w:rFonts w:ascii="Times New Roman" w:hAnsi="Times New Roman" w:cs="Times New Roman"/>
          <w:sz w:val="28"/>
          <w:szCs w:val="28"/>
        </w:rPr>
      </w:pPr>
      <w:r>
        <w:rPr>
          <w:rFonts w:ascii="Times New Roman" w:hAnsi="Times New Roman" w:cs="Times New Roman"/>
          <w:sz w:val="28"/>
          <w:szCs w:val="28"/>
        </w:rPr>
        <w:t>Senza alcuna pretesa di esaustività nel</w:t>
      </w:r>
      <w:r w:rsidR="00C24741">
        <w:rPr>
          <w:rFonts w:ascii="Times New Roman" w:hAnsi="Times New Roman" w:cs="Times New Roman"/>
          <w:sz w:val="28"/>
          <w:szCs w:val="28"/>
        </w:rPr>
        <w:t>la trattazione del contratto di</w:t>
      </w:r>
      <w:r>
        <w:rPr>
          <w:rFonts w:ascii="Times New Roman" w:hAnsi="Times New Roman" w:cs="Times New Roman"/>
          <w:sz w:val="28"/>
          <w:szCs w:val="28"/>
        </w:rPr>
        <w:t xml:space="preserve"> subappalto, l’analisi che segue resterà circoscritta alla disamina della</w:t>
      </w:r>
      <w:r w:rsidR="00F24EDA">
        <w:rPr>
          <w:rFonts w:ascii="Times New Roman" w:hAnsi="Times New Roman" w:cs="Times New Roman"/>
          <w:sz w:val="28"/>
          <w:szCs w:val="28"/>
        </w:rPr>
        <w:t xml:space="preserve"> coerenza con il diritto europeo</w:t>
      </w:r>
      <w:r>
        <w:rPr>
          <w:rFonts w:ascii="Times New Roman" w:hAnsi="Times New Roman" w:cs="Times New Roman"/>
          <w:sz w:val="28"/>
          <w:szCs w:val="28"/>
        </w:rPr>
        <w:t xml:space="preserve"> della suddetta limitazione quantitativa e, comunque, della sua appropriatezza ed utilità, rispetto al </w:t>
      </w:r>
      <w:r w:rsidR="00F24EDA">
        <w:rPr>
          <w:rFonts w:ascii="Times New Roman" w:hAnsi="Times New Roman" w:cs="Times New Roman"/>
          <w:sz w:val="28"/>
          <w:szCs w:val="28"/>
        </w:rPr>
        <w:t xml:space="preserve">(condivisibile) </w:t>
      </w:r>
      <w:r w:rsidR="00EC492D">
        <w:rPr>
          <w:rFonts w:ascii="Times New Roman" w:hAnsi="Times New Roman" w:cs="Times New Roman"/>
          <w:sz w:val="28"/>
          <w:szCs w:val="28"/>
        </w:rPr>
        <w:t>fine dichiarato</w:t>
      </w:r>
      <w:r>
        <w:rPr>
          <w:rFonts w:ascii="Times New Roman" w:hAnsi="Times New Roman" w:cs="Times New Roman"/>
          <w:sz w:val="28"/>
          <w:szCs w:val="28"/>
        </w:rPr>
        <w:t xml:space="preserve"> dal Legislatore italiano.  </w:t>
      </w:r>
    </w:p>
    <w:p w:rsidR="00C36950" w:rsidRPr="00C36950" w:rsidRDefault="00C36950" w:rsidP="00A240C4">
      <w:pPr>
        <w:ind w:left="360"/>
        <w:jc w:val="both"/>
        <w:rPr>
          <w:rFonts w:ascii="Times New Roman" w:hAnsi="Times New Roman" w:cs="Times New Roman"/>
          <w:b/>
          <w:sz w:val="28"/>
          <w:szCs w:val="28"/>
        </w:rPr>
      </w:pPr>
      <w:r>
        <w:rPr>
          <w:rFonts w:ascii="Times New Roman" w:hAnsi="Times New Roman" w:cs="Times New Roman"/>
          <w:b/>
          <w:sz w:val="28"/>
          <w:szCs w:val="28"/>
        </w:rPr>
        <w:t>2.- I differenti obiettivi della regolazione europea e italiana del subappalto</w:t>
      </w:r>
    </w:p>
    <w:p w:rsidR="006477C7" w:rsidRDefault="00E13562" w:rsidP="00A240C4">
      <w:pPr>
        <w:ind w:left="360"/>
        <w:jc w:val="both"/>
        <w:rPr>
          <w:rFonts w:ascii="Times New Roman" w:hAnsi="Times New Roman" w:cs="Times New Roman"/>
          <w:sz w:val="28"/>
          <w:szCs w:val="28"/>
        </w:rPr>
      </w:pPr>
      <w:r>
        <w:rPr>
          <w:rFonts w:ascii="Times New Roman" w:hAnsi="Times New Roman" w:cs="Times New Roman"/>
          <w:sz w:val="28"/>
          <w:szCs w:val="28"/>
        </w:rPr>
        <w:t>Prima di procedere allo scrutini</w:t>
      </w:r>
      <w:r w:rsidR="00C24741">
        <w:rPr>
          <w:rFonts w:ascii="Times New Roman" w:hAnsi="Times New Roman" w:cs="Times New Roman"/>
          <w:sz w:val="28"/>
          <w:szCs w:val="28"/>
        </w:rPr>
        <w:t>o in concreto della questione relativa a</w:t>
      </w:r>
      <w:r>
        <w:rPr>
          <w:rFonts w:ascii="Times New Roman" w:hAnsi="Times New Roman" w:cs="Times New Roman"/>
          <w:sz w:val="28"/>
          <w:szCs w:val="28"/>
        </w:rPr>
        <w:t xml:space="preserve">lla </w:t>
      </w:r>
      <w:r w:rsidRPr="00AD3BBF">
        <w:rPr>
          <w:rFonts w:ascii="Times New Roman" w:hAnsi="Times New Roman" w:cs="Times New Roman"/>
          <w:i/>
          <w:sz w:val="28"/>
          <w:szCs w:val="28"/>
        </w:rPr>
        <w:t>compliance</w:t>
      </w:r>
      <w:r>
        <w:rPr>
          <w:rFonts w:ascii="Times New Roman" w:hAnsi="Times New Roman" w:cs="Times New Roman"/>
          <w:sz w:val="28"/>
          <w:szCs w:val="28"/>
        </w:rPr>
        <w:t xml:space="preserve"> europea della disciplina nazione del subappalto, appare, tuttavia, necessario precisare i (diversi e divergenti) obiettivi perseguiti dal</w:t>
      </w:r>
      <w:r w:rsidR="006477C7">
        <w:rPr>
          <w:rFonts w:ascii="Times New Roman" w:hAnsi="Times New Roman" w:cs="Times New Roman"/>
          <w:sz w:val="28"/>
          <w:szCs w:val="28"/>
        </w:rPr>
        <w:t>la sua regolazione</w:t>
      </w:r>
      <w:r>
        <w:rPr>
          <w:rFonts w:ascii="Times New Roman" w:hAnsi="Times New Roman" w:cs="Times New Roman"/>
          <w:sz w:val="28"/>
          <w:szCs w:val="28"/>
        </w:rPr>
        <w:t xml:space="preserve"> </w:t>
      </w:r>
      <w:r w:rsidR="006477C7">
        <w:rPr>
          <w:rFonts w:ascii="Times New Roman" w:hAnsi="Times New Roman" w:cs="Times New Roman"/>
          <w:sz w:val="28"/>
          <w:szCs w:val="28"/>
        </w:rPr>
        <w:t xml:space="preserve">nelle </w:t>
      </w:r>
      <w:r>
        <w:rPr>
          <w:rFonts w:ascii="Times New Roman" w:hAnsi="Times New Roman" w:cs="Times New Roman"/>
          <w:sz w:val="28"/>
          <w:szCs w:val="28"/>
        </w:rPr>
        <w:t xml:space="preserve">direttive di riferimento e dalla </w:t>
      </w:r>
      <w:r w:rsidR="006477C7">
        <w:rPr>
          <w:rFonts w:ascii="Times New Roman" w:hAnsi="Times New Roman" w:cs="Times New Roman"/>
          <w:sz w:val="28"/>
          <w:szCs w:val="28"/>
        </w:rPr>
        <w:t>pertinente</w:t>
      </w:r>
      <w:r w:rsidR="00F24EDA">
        <w:rPr>
          <w:rFonts w:ascii="Times New Roman" w:hAnsi="Times New Roman" w:cs="Times New Roman"/>
          <w:sz w:val="28"/>
          <w:szCs w:val="28"/>
        </w:rPr>
        <w:t xml:space="preserve"> loro</w:t>
      </w:r>
      <w:r w:rsidR="006477C7">
        <w:rPr>
          <w:rFonts w:ascii="Times New Roman" w:hAnsi="Times New Roman" w:cs="Times New Roman"/>
          <w:sz w:val="28"/>
          <w:szCs w:val="28"/>
        </w:rPr>
        <w:t xml:space="preserve"> declinazione nel diritto interno.</w:t>
      </w:r>
    </w:p>
    <w:p w:rsidR="00F917B6" w:rsidRDefault="00DB26CB" w:rsidP="00AD3BBF">
      <w:pPr>
        <w:ind w:left="360"/>
        <w:jc w:val="both"/>
        <w:rPr>
          <w:rFonts w:ascii="Times New Roman" w:hAnsi="Times New Roman" w:cs="Times New Roman"/>
          <w:sz w:val="28"/>
          <w:szCs w:val="28"/>
        </w:rPr>
      </w:pPr>
      <w:r>
        <w:rPr>
          <w:rFonts w:ascii="Times New Roman" w:hAnsi="Times New Roman" w:cs="Times New Roman"/>
          <w:sz w:val="28"/>
          <w:szCs w:val="28"/>
        </w:rPr>
        <w:t xml:space="preserve">Mentre il </w:t>
      </w:r>
      <w:r w:rsidR="00E036E2">
        <w:rPr>
          <w:rFonts w:ascii="Times New Roman" w:hAnsi="Times New Roman" w:cs="Times New Roman"/>
          <w:sz w:val="28"/>
          <w:szCs w:val="28"/>
        </w:rPr>
        <w:t>regolatore</w:t>
      </w:r>
      <w:r>
        <w:rPr>
          <w:rFonts w:ascii="Times New Roman" w:hAnsi="Times New Roman" w:cs="Times New Roman"/>
          <w:sz w:val="28"/>
          <w:szCs w:val="28"/>
        </w:rPr>
        <w:t xml:space="preserve"> europeo ha inteso concepire il subappalto come uno strumento che accresce la concorrenza e favorisce l’</w:t>
      </w:r>
      <w:r w:rsidR="00F24EDA">
        <w:rPr>
          <w:rFonts w:ascii="Times New Roman" w:hAnsi="Times New Roman" w:cs="Times New Roman"/>
          <w:sz w:val="28"/>
          <w:szCs w:val="28"/>
        </w:rPr>
        <w:t>accesso de</w:t>
      </w:r>
      <w:r>
        <w:rPr>
          <w:rFonts w:ascii="Times New Roman" w:hAnsi="Times New Roman" w:cs="Times New Roman"/>
          <w:sz w:val="28"/>
          <w:szCs w:val="28"/>
        </w:rPr>
        <w:t>lle piccole e medie imprese agli appalti pubblici</w:t>
      </w:r>
      <w:r w:rsidR="00AD3BBF">
        <w:rPr>
          <w:rFonts w:ascii="Times New Roman" w:hAnsi="Times New Roman" w:cs="Times New Roman"/>
          <w:sz w:val="28"/>
          <w:szCs w:val="28"/>
        </w:rPr>
        <w:t xml:space="preserve"> (come espressamente enunciato al punto 48 della citata sentenza del 5 aprile 2017 della Corte di Giustizia)</w:t>
      </w:r>
      <w:r>
        <w:rPr>
          <w:rFonts w:ascii="Times New Roman" w:hAnsi="Times New Roman" w:cs="Times New Roman"/>
          <w:sz w:val="28"/>
          <w:szCs w:val="28"/>
        </w:rPr>
        <w:t xml:space="preserve">, quello italiano </w:t>
      </w:r>
      <w:r w:rsidR="00E036E2">
        <w:rPr>
          <w:rFonts w:ascii="Times New Roman" w:hAnsi="Times New Roman" w:cs="Times New Roman"/>
          <w:sz w:val="28"/>
          <w:szCs w:val="28"/>
        </w:rPr>
        <w:t xml:space="preserve">si </w:t>
      </w:r>
      <w:r>
        <w:rPr>
          <w:rFonts w:ascii="Times New Roman" w:hAnsi="Times New Roman" w:cs="Times New Roman"/>
          <w:sz w:val="28"/>
          <w:szCs w:val="28"/>
        </w:rPr>
        <w:t>è più preoccupato di circondare l’istituto di regole</w:t>
      </w:r>
      <w:r w:rsidR="00F917B6">
        <w:rPr>
          <w:rFonts w:ascii="Times New Roman" w:hAnsi="Times New Roman" w:cs="Times New Roman"/>
          <w:sz w:val="28"/>
          <w:szCs w:val="28"/>
        </w:rPr>
        <w:t xml:space="preserve">, </w:t>
      </w:r>
      <w:r w:rsidR="00EC492D">
        <w:rPr>
          <w:rFonts w:ascii="Times New Roman" w:hAnsi="Times New Roman" w:cs="Times New Roman"/>
          <w:sz w:val="28"/>
          <w:szCs w:val="28"/>
        </w:rPr>
        <w:t>prescrizioni, adempimenti e</w:t>
      </w:r>
      <w:r w:rsidR="00F917B6">
        <w:rPr>
          <w:rFonts w:ascii="Times New Roman" w:hAnsi="Times New Roman" w:cs="Times New Roman"/>
          <w:sz w:val="28"/>
          <w:szCs w:val="28"/>
        </w:rPr>
        <w:t xml:space="preserve"> divieti che servono principalmente a scongiurare e prevenire l’infiltrazione criminale nel settore dei contratti pubblici.</w:t>
      </w:r>
    </w:p>
    <w:p w:rsidR="00F917B6" w:rsidRDefault="00F917B6" w:rsidP="00A240C4">
      <w:pPr>
        <w:ind w:left="360"/>
        <w:jc w:val="both"/>
        <w:rPr>
          <w:rFonts w:ascii="Times New Roman" w:hAnsi="Times New Roman" w:cs="Times New Roman"/>
          <w:sz w:val="28"/>
          <w:szCs w:val="28"/>
        </w:rPr>
      </w:pPr>
      <w:r>
        <w:rPr>
          <w:rFonts w:ascii="Times New Roman" w:hAnsi="Times New Roman" w:cs="Times New Roman"/>
          <w:sz w:val="28"/>
          <w:szCs w:val="28"/>
        </w:rPr>
        <w:t>Come si vede, quindi, l’obbiettivo perseguito dalle due regolazioni confrontate si divarica verso direzioni diverse</w:t>
      </w:r>
      <w:r w:rsidR="00AD3BBF">
        <w:rPr>
          <w:rFonts w:ascii="Times New Roman" w:hAnsi="Times New Roman" w:cs="Times New Roman"/>
          <w:sz w:val="28"/>
          <w:szCs w:val="28"/>
        </w:rPr>
        <w:t>, se non opposte</w:t>
      </w:r>
      <w:r w:rsidR="00C24741">
        <w:rPr>
          <w:rFonts w:ascii="Times New Roman" w:hAnsi="Times New Roman" w:cs="Times New Roman"/>
          <w:sz w:val="28"/>
          <w:szCs w:val="28"/>
        </w:rPr>
        <w:t>, la cui coniugazione si rivela tutt’altro che agevole</w:t>
      </w:r>
      <w:r>
        <w:rPr>
          <w:rFonts w:ascii="Times New Roman" w:hAnsi="Times New Roman" w:cs="Times New Roman"/>
          <w:sz w:val="28"/>
          <w:szCs w:val="28"/>
        </w:rPr>
        <w:t>.</w:t>
      </w:r>
    </w:p>
    <w:p w:rsidR="00F917B6" w:rsidRDefault="00F917B6" w:rsidP="00A240C4">
      <w:pPr>
        <w:ind w:left="360"/>
        <w:jc w:val="both"/>
        <w:rPr>
          <w:rFonts w:ascii="Times New Roman" w:hAnsi="Times New Roman" w:cs="Times New Roman"/>
          <w:sz w:val="28"/>
          <w:szCs w:val="28"/>
        </w:rPr>
      </w:pPr>
      <w:r>
        <w:rPr>
          <w:rFonts w:ascii="Times New Roman" w:hAnsi="Times New Roman" w:cs="Times New Roman"/>
          <w:sz w:val="28"/>
          <w:szCs w:val="28"/>
        </w:rPr>
        <w:t>La discrasia finalistica dei due regimi normativi esige, quindi, una (ri)composizione armonica.</w:t>
      </w:r>
    </w:p>
    <w:p w:rsidR="00C36950" w:rsidRPr="00C36950" w:rsidRDefault="00C36950" w:rsidP="00A240C4">
      <w:pPr>
        <w:ind w:left="360"/>
        <w:jc w:val="both"/>
        <w:rPr>
          <w:rFonts w:ascii="Times New Roman" w:hAnsi="Times New Roman" w:cs="Times New Roman"/>
          <w:b/>
          <w:sz w:val="28"/>
          <w:szCs w:val="28"/>
        </w:rPr>
      </w:pPr>
      <w:r>
        <w:rPr>
          <w:rFonts w:ascii="Times New Roman" w:hAnsi="Times New Roman" w:cs="Times New Roman"/>
          <w:b/>
          <w:sz w:val="28"/>
          <w:szCs w:val="28"/>
        </w:rPr>
        <w:t>3.- L’analisi del Consiglio di Stato</w:t>
      </w:r>
    </w:p>
    <w:p w:rsidR="00F917B6" w:rsidRDefault="00F917B6" w:rsidP="00A240C4">
      <w:pPr>
        <w:ind w:left="360"/>
        <w:jc w:val="both"/>
        <w:rPr>
          <w:rFonts w:ascii="Times New Roman" w:hAnsi="Times New Roman" w:cs="Times New Roman"/>
          <w:sz w:val="28"/>
          <w:szCs w:val="28"/>
        </w:rPr>
      </w:pPr>
      <w:r>
        <w:rPr>
          <w:rFonts w:ascii="Times New Roman" w:hAnsi="Times New Roman" w:cs="Times New Roman"/>
          <w:sz w:val="28"/>
          <w:szCs w:val="28"/>
        </w:rPr>
        <w:t>Il Consiglio di Stato, nell’esame degli schemi del decreto legislativo di recepimento delle direttive del 2014 e del successivo correttivo, ha esaminato il problema e ha indicato, nella formulazione dei relativi pareri, alcune coordinate valutative, che appare opportuno rammentare.</w:t>
      </w:r>
    </w:p>
    <w:p w:rsidR="00B85083" w:rsidRDefault="004B5A2D" w:rsidP="00A240C4">
      <w:pPr>
        <w:ind w:left="360"/>
        <w:jc w:val="both"/>
        <w:rPr>
          <w:rFonts w:ascii="Times New Roman" w:hAnsi="Times New Roman" w:cs="Times New Roman"/>
          <w:sz w:val="28"/>
          <w:szCs w:val="28"/>
        </w:rPr>
      </w:pPr>
      <w:r>
        <w:rPr>
          <w:rFonts w:ascii="Times New Roman" w:hAnsi="Times New Roman" w:cs="Times New Roman"/>
          <w:sz w:val="28"/>
          <w:szCs w:val="28"/>
        </w:rPr>
        <w:lastRenderedPageBreak/>
        <w:t>Il contributo consul</w:t>
      </w:r>
      <w:r w:rsidR="00F24EDA">
        <w:rPr>
          <w:rFonts w:ascii="Times New Roman" w:hAnsi="Times New Roman" w:cs="Times New Roman"/>
          <w:sz w:val="28"/>
          <w:szCs w:val="28"/>
        </w:rPr>
        <w:t>tivo di palazzo Spada è stato metodologicamente</w:t>
      </w:r>
      <w:r>
        <w:rPr>
          <w:rFonts w:ascii="Times New Roman" w:hAnsi="Times New Roman" w:cs="Times New Roman"/>
          <w:sz w:val="28"/>
          <w:szCs w:val="28"/>
        </w:rPr>
        <w:t xml:space="preserve"> sintetizzato nell’analisi riferita al rispetto del divieto di </w:t>
      </w:r>
      <w:r w:rsidRPr="00AD3BBF">
        <w:rPr>
          <w:rFonts w:ascii="Times New Roman" w:hAnsi="Times New Roman" w:cs="Times New Roman"/>
          <w:i/>
          <w:sz w:val="28"/>
          <w:szCs w:val="28"/>
        </w:rPr>
        <w:t>gold</w:t>
      </w:r>
      <w:r w:rsidR="00AD3BBF" w:rsidRPr="00AD3BBF">
        <w:rPr>
          <w:rFonts w:ascii="Times New Roman" w:hAnsi="Times New Roman" w:cs="Times New Roman"/>
          <w:i/>
          <w:sz w:val="28"/>
          <w:szCs w:val="28"/>
        </w:rPr>
        <w:t xml:space="preserve"> </w:t>
      </w:r>
      <w:r w:rsidRPr="00AD3BBF">
        <w:rPr>
          <w:rFonts w:ascii="Times New Roman" w:hAnsi="Times New Roman" w:cs="Times New Roman"/>
          <w:i/>
          <w:sz w:val="28"/>
          <w:szCs w:val="28"/>
        </w:rPr>
        <w:t>plating</w:t>
      </w:r>
      <w:r>
        <w:rPr>
          <w:rFonts w:ascii="Times New Roman" w:hAnsi="Times New Roman" w:cs="Times New Roman"/>
          <w:sz w:val="28"/>
          <w:szCs w:val="28"/>
        </w:rPr>
        <w:t>.</w:t>
      </w:r>
    </w:p>
    <w:p w:rsidR="004B5A2D" w:rsidRDefault="00EC492D" w:rsidP="00A240C4">
      <w:pPr>
        <w:ind w:left="360"/>
        <w:jc w:val="both"/>
        <w:rPr>
          <w:rFonts w:ascii="Times New Roman" w:hAnsi="Times New Roman" w:cs="Times New Roman"/>
          <w:sz w:val="28"/>
          <w:szCs w:val="28"/>
        </w:rPr>
      </w:pPr>
      <w:r>
        <w:rPr>
          <w:rFonts w:ascii="Times New Roman" w:hAnsi="Times New Roman" w:cs="Times New Roman"/>
          <w:sz w:val="28"/>
          <w:szCs w:val="28"/>
        </w:rPr>
        <w:t>E’ stato, al riguardo, chiarito</w:t>
      </w:r>
      <w:r w:rsidR="004B5A2D">
        <w:rPr>
          <w:rFonts w:ascii="Times New Roman" w:hAnsi="Times New Roman" w:cs="Times New Roman"/>
          <w:sz w:val="28"/>
          <w:szCs w:val="28"/>
        </w:rPr>
        <w:t xml:space="preserve"> che, se è vero che le direttive europee non autorizzano direttamente limitazioni quantitative al subappalto e che la giurisprudenza della Corte di Giustizia UE formatasi con riferimento alle direttive previgenti ha precisato l’incoeren</w:t>
      </w:r>
      <w:r w:rsidR="00F24EDA">
        <w:rPr>
          <w:rFonts w:ascii="Times New Roman" w:hAnsi="Times New Roman" w:cs="Times New Roman"/>
          <w:sz w:val="28"/>
          <w:szCs w:val="28"/>
        </w:rPr>
        <w:t>za con il diritto europeo di</w:t>
      </w:r>
      <w:r w:rsidR="004B5A2D">
        <w:rPr>
          <w:rFonts w:ascii="Times New Roman" w:hAnsi="Times New Roman" w:cs="Times New Roman"/>
          <w:sz w:val="28"/>
          <w:szCs w:val="28"/>
        </w:rPr>
        <w:t xml:space="preserve"> una disciplina che riduce l’ambito operativo oggettivo dell’istituto, è anche vero che una regolazione più restrittiva della concorrenza, come quella italiana, può intendersi</w:t>
      </w:r>
      <w:r w:rsidR="00C24741">
        <w:rPr>
          <w:rFonts w:ascii="Times New Roman" w:hAnsi="Times New Roman" w:cs="Times New Roman"/>
          <w:sz w:val="28"/>
          <w:szCs w:val="28"/>
        </w:rPr>
        <w:t>, in astratto,</w:t>
      </w:r>
      <w:r w:rsidR="004B5A2D">
        <w:rPr>
          <w:rFonts w:ascii="Times New Roman" w:hAnsi="Times New Roman" w:cs="Times New Roman"/>
          <w:sz w:val="28"/>
          <w:szCs w:val="28"/>
        </w:rPr>
        <w:t xml:space="preserve"> giustificata dall’esigenza di tutelare i valori superiori indicati all’art.36 TFUE, tra i quali quelli all’ordine e alla sicurezza pubblica possono essere senz’altro assunti come idonei a legittimare il parziale divieto di subappalto codificato all’</w:t>
      </w:r>
      <w:r w:rsidR="00F24EDA">
        <w:rPr>
          <w:rFonts w:ascii="Times New Roman" w:hAnsi="Times New Roman" w:cs="Times New Roman"/>
          <w:sz w:val="28"/>
          <w:szCs w:val="28"/>
        </w:rPr>
        <w:t>art.105, comma 5, d.lgs.</w:t>
      </w:r>
      <w:r w:rsidR="004B5A2D">
        <w:rPr>
          <w:rFonts w:ascii="Times New Roman" w:hAnsi="Times New Roman" w:cs="Times New Roman"/>
          <w:sz w:val="28"/>
          <w:szCs w:val="28"/>
        </w:rPr>
        <w:t xml:space="preserve"> n.50 del 2016. </w:t>
      </w:r>
    </w:p>
    <w:p w:rsidR="004B5A2D" w:rsidRDefault="004B5A2D" w:rsidP="00A240C4">
      <w:pPr>
        <w:ind w:left="360"/>
        <w:jc w:val="both"/>
        <w:rPr>
          <w:rFonts w:ascii="Times New Roman" w:hAnsi="Times New Roman" w:cs="Times New Roman"/>
          <w:sz w:val="28"/>
          <w:szCs w:val="28"/>
        </w:rPr>
      </w:pPr>
      <w:r>
        <w:rPr>
          <w:rFonts w:ascii="Times New Roman" w:hAnsi="Times New Roman" w:cs="Times New Roman"/>
          <w:sz w:val="28"/>
          <w:szCs w:val="28"/>
        </w:rPr>
        <w:t xml:space="preserve">Il Consiglio di Stato, quindi, lungi dal risolvere la questione con formulazioni assertive, </w:t>
      </w:r>
      <w:r w:rsidR="00F24EDA">
        <w:rPr>
          <w:rFonts w:ascii="Times New Roman" w:hAnsi="Times New Roman" w:cs="Times New Roman"/>
          <w:sz w:val="28"/>
          <w:szCs w:val="28"/>
        </w:rPr>
        <w:t xml:space="preserve">e dimostrando, anzi, di avvertirne gli aspetti più problematici, </w:t>
      </w:r>
      <w:r>
        <w:rPr>
          <w:rFonts w:ascii="Times New Roman" w:hAnsi="Times New Roman" w:cs="Times New Roman"/>
          <w:sz w:val="28"/>
          <w:szCs w:val="28"/>
        </w:rPr>
        <w:t xml:space="preserve">ha correttamente indicato al Governo il fondamento giuridico della scelta esaminata, argomentando in ordine alle ragioni che appaiono (in astratto) spendibili al fine di difendere l’opzione regolatoria più restrittiva e la sua compatibilità con i principi generali del Trattato. </w:t>
      </w:r>
    </w:p>
    <w:p w:rsidR="00C36950" w:rsidRPr="00C36950" w:rsidRDefault="00C36950" w:rsidP="00A240C4">
      <w:pPr>
        <w:ind w:left="360"/>
        <w:jc w:val="both"/>
        <w:rPr>
          <w:rFonts w:ascii="Times New Roman" w:hAnsi="Times New Roman" w:cs="Times New Roman"/>
          <w:b/>
          <w:sz w:val="28"/>
          <w:szCs w:val="28"/>
        </w:rPr>
      </w:pPr>
      <w:r>
        <w:rPr>
          <w:rFonts w:ascii="Times New Roman" w:hAnsi="Times New Roman" w:cs="Times New Roman"/>
          <w:b/>
          <w:sz w:val="28"/>
          <w:szCs w:val="28"/>
        </w:rPr>
        <w:t>4.- Genesi ed evoluzione del subappalto</w:t>
      </w:r>
    </w:p>
    <w:p w:rsidR="00596E79" w:rsidRDefault="00B85083" w:rsidP="00A240C4">
      <w:pPr>
        <w:ind w:left="360"/>
        <w:jc w:val="both"/>
        <w:rPr>
          <w:rFonts w:ascii="Times New Roman" w:hAnsi="Times New Roman" w:cs="Times New Roman"/>
          <w:sz w:val="28"/>
          <w:szCs w:val="28"/>
        </w:rPr>
      </w:pPr>
      <w:r>
        <w:rPr>
          <w:rFonts w:ascii="Times New Roman" w:hAnsi="Times New Roman" w:cs="Times New Roman"/>
          <w:sz w:val="28"/>
          <w:szCs w:val="28"/>
        </w:rPr>
        <w:t>Così chiariti i termini della questione, si deve premettere che i</w:t>
      </w:r>
      <w:r w:rsidR="00596E79" w:rsidRPr="00596E79">
        <w:rPr>
          <w:rFonts w:ascii="Times New Roman" w:hAnsi="Times New Roman" w:cs="Times New Roman"/>
          <w:sz w:val="28"/>
          <w:szCs w:val="28"/>
        </w:rPr>
        <w:t>l subappalto</w:t>
      </w:r>
      <w:r w:rsidR="00596E79">
        <w:rPr>
          <w:rFonts w:ascii="Times New Roman" w:hAnsi="Times New Roman" w:cs="Times New Roman"/>
          <w:sz w:val="28"/>
          <w:szCs w:val="28"/>
        </w:rPr>
        <w:t xml:space="preserve">, astrattamente e inizialmente concepito come un negozio </w:t>
      </w:r>
      <w:r w:rsidR="00596E79" w:rsidRPr="00EC492D">
        <w:rPr>
          <w:rFonts w:ascii="Times New Roman" w:hAnsi="Times New Roman" w:cs="Times New Roman"/>
          <w:i/>
          <w:sz w:val="28"/>
          <w:szCs w:val="28"/>
        </w:rPr>
        <w:t>inter alios</w:t>
      </w:r>
      <w:r w:rsidR="00596E79">
        <w:rPr>
          <w:rFonts w:ascii="Times New Roman" w:hAnsi="Times New Roman" w:cs="Times New Roman"/>
          <w:sz w:val="28"/>
          <w:szCs w:val="28"/>
        </w:rPr>
        <w:t xml:space="preserve"> afferente alla fase dell’adempimento dell’obbligazione assunta dall’a</w:t>
      </w:r>
      <w:r w:rsidR="00981A81">
        <w:rPr>
          <w:rFonts w:ascii="Times New Roman" w:hAnsi="Times New Roman" w:cs="Times New Roman"/>
          <w:sz w:val="28"/>
          <w:szCs w:val="28"/>
        </w:rPr>
        <w:t xml:space="preserve">ppaltatore, </w:t>
      </w:r>
      <w:r w:rsidR="00B542F8">
        <w:rPr>
          <w:rFonts w:ascii="Times New Roman" w:hAnsi="Times New Roman" w:cs="Times New Roman"/>
          <w:sz w:val="28"/>
          <w:szCs w:val="28"/>
        </w:rPr>
        <w:t xml:space="preserve">e </w:t>
      </w:r>
      <w:r w:rsidR="00BB6A3C">
        <w:rPr>
          <w:rFonts w:ascii="Times New Roman" w:hAnsi="Times New Roman" w:cs="Times New Roman"/>
          <w:sz w:val="28"/>
          <w:szCs w:val="28"/>
        </w:rPr>
        <w:t xml:space="preserve">rispetto al quale l’Amministrazione resta estranea e indifferente, </w:t>
      </w:r>
      <w:r w:rsidR="00981A81">
        <w:rPr>
          <w:rFonts w:ascii="Times New Roman" w:hAnsi="Times New Roman" w:cs="Times New Roman"/>
          <w:sz w:val="28"/>
          <w:szCs w:val="28"/>
        </w:rPr>
        <w:t>è stato progressiva</w:t>
      </w:r>
      <w:r w:rsidR="00596E79">
        <w:rPr>
          <w:rFonts w:ascii="Times New Roman" w:hAnsi="Times New Roman" w:cs="Times New Roman"/>
          <w:sz w:val="28"/>
          <w:szCs w:val="28"/>
        </w:rPr>
        <w:t>mente trasformato</w:t>
      </w:r>
      <w:r w:rsidR="00BB6A3C">
        <w:rPr>
          <w:rFonts w:ascii="Times New Roman" w:hAnsi="Times New Roman" w:cs="Times New Roman"/>
          <w:sz w:val="28"/>
          <w:szCs w:val="28"/>
        </w:rPr>
        <w:t xml:space="preserve"> in un contratto</w:t>
      </w:r>
      <w:r w:rsidR="00064F7B">
        <w:rPr>
          <w:rFonts w:ascii="Times New Roman" w:hAnsi="Times New Roman" w:cs="Times New Roman"/>
          <w:sz w:val="28"/>
          <w:szCs w:val="28"/>
        </w:rPr>
        <w:t>,</w:t>
      </w:r>
      <w:r w:rsidR="00BB6A3C">
        <w:rPr>
          <w:rFonts w:ascii="Times New Roman" w:hAnsi="Times New Roman" w:cs="Times New Roman"/>
          <w:sz w:val="28"/>
          <w:szCs w:val="28"/>
        </w:rPr>
        <w:t xml:space="preserve"> </w:t>
      </w:r>
      <w:r w:rsidR="00064F7B">
        <w:rPr>
          <w:rFonts w:ascii="Times New Roman" w:hAnsi="Times New Roman" w:cs="Times New Roman"/>
          <w:sz w:val="28"/>
          <w:szCs w:val="28"/>
        </w:rPr>
        <w:t xml:space="preserve">sì </w:t>
      </w:r>
      <w:r w:rsidR="00BB6A3C">
        <w:rPr>
          <w:rFonts w:ascii="Times New Roman" w:hAnsi="Times New Roman" w:cs="Times New Roman"/>
          <w:sz w:val="28"/>
          <w:szCs w:val="28"/>
        </w:rPr>
        <w:t>derivato da quello (principale) di appalto</w:t>
      </w:r>
      <w:r w:rsidR="00064F7B">
        <w:rPr>
          <w:rFonts w:ascii="Times New Roman" w:hAnsi="Times New Roman" w:cs="Times New Roman"/>
          <w:sz w:val="28"/>
          <w:szCs w:val="28"/>
        </w:rPr>
        <w:t xml:space="preserve"> e circoscritto agli impegni negoziali assunti dall’appaltatore e dal subappaltatore, ma</w:t>
      </w:r>
      <w:r w:rsidR="00BB6A3C">
        <w:rPr>
          <w:rFonts w:ascii="Times New Roman" w:hAnsi="Times New Roman" w:cs="Times New Roman"/>
          <w:sz w:val="28"/>
          <w:szCs w:val="28"/>
        </w:rPr>
        <w:t xml:space="preserve"> attratto nella sfera regolativa della procedura di scelta del contraente.</w:t>
      </w:r>
    </w:p>
    <w:p w:rsidR="00064F7B" w:rsidRDefault="00064F7B" w:rsidP="00A240C4">
      <w:pPr>
        <w:ind w:left="360"/>
        <w:jc w:val="both"/>
        <w:rPr>
          <w:rFonts w:ascii="Times New Roman" w:hAnsi="Times New Roman" w:cs="Times New Roman"/>
          <w:sz w:val="28"/>
          <w:szCs w:val="28"/>
        </w:rPr>
      </w:pPr>
      <w:r>
        <w:rPr>
          <w:rFonts w:ascii="Times New Roman" w:hAnsi="Times New Roman" w:cs="Times New Roman"/>
          <w:sz w:val="28"/>
          <w:szCs w:val="28"/>
        </w:rPr>
        <w:t xml:space="preserve">Sia la direttiva europea, sia il decreto legislativo di recepimento si sono, infatti, preoccupati di </w:t>
      </w:r>
      <w:r w:rsidR="00925FD0">
        <w:rPr>
          <w:rFonts w:ascii="Times New Roman" w:hAnsi="Times New Roman" w:cs="Times New Roman"/>
          <w:sz w:val="28"/>
          <w:szCs w:val="28"/>
        </w:rPr>
        <w:t>introdurre obblighi informativi ed oneri procedurali finalizzati proprio a consentire alla stazione appaltante di conoscere, in anticipo,</w:t>
      </w:r>
      <w:r w:rsidR="00E316A3" w:rsidRPr="00E316A3">
        <w:rPr>
          <w:rFonts w:ascii="Times New Roman" w:hAnsi="Times New Roman" w:cs="Times New Roman"/>
          <w:sz w:val="28"/>
          <w:szCs w:val="28"/>
        </w:rPr>
        <w:t xml:space="preserve"> </w:t>
      </w:r>
      <w:r w:rsidR="00E316A3">
        <w:rPr>
          <w:rFonts w:ascii="Times New Roman" w:hAnsi="Times New Roman" w:cs="Times New Roman"/>
          <w:sz w:val="28"/>
          <w:szCs w:val="28"/>
        </w:rPr>
        <w:t>le parti della prestazione che si intendono subappaltare</w:t>
      </w:r>
      <w:r w:rsidR="00925FD0">
        <w:rPr>
          <w:rFonts w:ascii="Times New Roman" w:hAnsi="Times New Roman" w:cs="Times New Roman"/>
          <w:sz w:val="28"/>
          <w:szCs w:val="28"/>
        </w:rPr>
        <w:t xml:space="preserve"> </w:t>
      </w:r>
      <w:r w:rsidR="00E316A3">
        <w:rPr>
          <w:rFonts w:ascii="Times New Roman" w:hAnsi="Times New Roman" w:cs="Times New Roman"/>
          <w:sz w:val="28"/>
          <w:szCs w:val="28"/>
        </w:rPr>
        <w:t xml:space="preserve">e </w:t>
      </w:r>
      <w:r w:rsidR="00925FD0">
        <w:rPr>
          <w:rFonts w:ascii="Times New Roman" w:hAnsi="Times New Roman" w:cs="Times New Roman"/>
          <w:sz w:val="28"/>
          <w:szCs w:val="28"/>
        </w:rPr>
        <w:t>l’identità delle imprese (possibil</w:t>
      </w:r>
      <w:r w:rsidR="00E316A3">
        <w:rPr>
          <w:rFonts w:ascii="Times New Roman" w:hAnsi="Times New Roman" w:cs="Times New Roman"/>
          <w:sz w:val="28"/>
          <w:szCs w:val="28"/>
        </w:rPr>
        <w:t>i) subappaltatrici</w:t>
      </w:r>
      <w:r w:rsidR="00E95C60">
        <w:rPr>
          <w:rFonts w:ascii="Times New Roman" w:hAnsi="Times New Roman" w:cs="Times New Roman"/>
          <w:sz w:val="28"/>
          <w:szCs w:val="28"/>
        </w:rPr>
        <w:t xml:space="preserve">, </w:t>
      </w:r>
      <w:r w:rsidR="00925FD0">
        <w:rPr>
          <w:rFonts w:ascii="Times New Roman" w:hAnsi="Times New Roman" w:cs="Times New Roman"/>
          <w:sz w:val="28"/>
          <w:szCs w:val="28"/>
        </w:rPr>
        <w:t>di controllarne la qualificazione, di verificare l’assenza di cause ostative</w:t>
      </w:r>
      <w:r w:rsidR="00E95C60">
        <w:rPr>
          <w:rFonts w:ascii="Times New Roman" w:hAnsi="Times New Roman" w:cs="Times New Roman"/>
          <w:sz w:val="28"/>
          <w:szCs w:val="28"/>
        </w:rPr>
        <w:t>, di accertare la regolarità contributiva del subappaltatore e il rispetto degli obblighi di sicurezza e di assentire, in definitiva</w:t>
      </w:r>
      <w:r w:rsidR="00925FD0">
        <w:rPr>
          <w:rFonts w:ascii="Times New Roman" w:hAnsi="Times New Roman" w:cs="Times New Roman"/>
          <w:sz w:val="28"/>
          <w:szCs w:val="28"/>
        </w:rPr>
        <w:t>, il sub-affidamento della prestazione a un operatore capace e immune da controindicazioni.</w:t>
      </w:r>
    </w:p>
    <w:p w:rsidR="00925FD0" w:rsidRDefault="00925FD0" w:rsidP="00A240C4">
      <w:pPr>
        <w:ind w:left="360"/>
        <w:jc w:val="both"/>
        <w:rPr>
          <w:rFonts w:ascii="Times New Roman" w:hAnsi="Times New Roman" w:cs="Times New Roman"/>
          <w:sz w:val="28"/>
          <w:szCs w:val="28"/>
        </w:rPr>
      </w:pPr>
      <w:r>
        <w:rPr>
          <w:rFonts w:ascii="Times New Roman" w:hAnsi="Times New Roman" w:cs="Times New Roman"/>
          <w:sz w:val="28"/>
          <w:szCs w:val="28"/>
        </w:rPr>
        <w:t>Il s</w:t>
      </w:r>
      <w:r w:rsidR="00E95C60">
        <w:rPr>
          <w:rFonts w:ascii="Times New Roman" w:hAnsi="Times New Roman" w:cs="Times New Roman"/>
          <w:sz w:val="28"/>
          <w:szCs w:val="28"/>
        </w:rPr>
        <w:t xml:space="preserve">ubappalto, in altri termini, </w:t>
      </w:r>
      <w:r w:rsidR="00C24741">
        <w:rPr>
          <w:rFonts w:ascii="Times New Roman" w:hAnsi="Times New Roman" w:cs="Times New Roman"/>
          <w:sz w:val="28"/>
          <w:szCs w:val="28"/>
        </w:rPr>
        <w:t xml:space="preserve">sembra aver </w:t>
      </w:r>
      <w:r w:rsidR="00E95C60">
        <w:rPr>
          <w:rFonts w:ascii="Times New Roman" w:hAnsi="Times New Roman" w:cs="Times New Roman"/>
          <w:sz w:val="28"/>
          <w:szCs w:val="28"/>
        </w:rPr>
        <w:t xml:space="preserve">perso i caratteri </w:t>
      </w:r>
      <w:r w:rsidR="00F24EDA">
        <w:rPr>
          <w:rFonts w:ascii="Times New Roman" w:hAnsi="Times New Roman" w:cs="Times New Roman"/>
          <w:sz w:val="28"/>
          <w:szCs w:val="28"/>
        </w:rPr>
        <w:t xml:space="preserve">essenziali </w:t>
      </w:r>
      <w:r w:rsidR="00E95C60">
        <w:rPr>
          <w:rFonts w:ascii="Times New Roman" w:hAnsi="Times New Roman" w:cs="Times New Roman"/>
          <w:sz w:val="28"/>
          <w:szCs w:val="28"/>
        </w:rPr>
        <w:t xml:space="preserve">di un sub-contratto (che </w:t>
      </w:r>
      <w:r w:rsidR="00F24EDA">
        <w:rPr>
          <w:rFonts w:ascii="Times New Roman" w:hAnsi="Times New Roman" w:cs="Times New Roman"/>
          <w:sz w:val="28"/>
          <w:szCs w:val="28"/>
        </w:rPr>
        <w:t>esaurisce la sua efficacia tra le</w:t>
      </w:r>
      <w:r w:rsidR="00E95C60">
        <w:rPr>
          <w:rFonts w:ascii="Times New Roman" w:hAnsi="Times New Roman" w:cs="Times New Roman"/>
          <w:sz w:val="28"/>
          <w:szCs w:val="28"/>
        </w:rPr>
        <w:t xml:space="preserve"> sole parti contraenti), per assumere quelli di un negozio giuridico che produce effetti (diretti e indiretti) anche nei confronti di una parte estranea, ma comunque titolare di un interesse pubblico</w:t>
      </w:r>
      <w:r w:rsidR="00F24EDA">
        <w:rPr>
          <w:rFonts w:ascii="Times New Roman" w:hAnsi="Times New Roman" w:cs="Times New Roman"/>
          <w:sz w:val="28"/>
          <w:szCs w:val="28"/>
        </w:rPr>
        <w:t xml:space="preserve"> (come la stazione appaltante)</w:t>
      </w:r>
      <w:r w:rsidR="00E95C60">
        <w:rPr>
          <w:rFonts w:ascii="Times New Roman" w:hAnsi="Times New Roman" w:cs="Times New Roman"/>
          <w:sz w:val="28"/>
          <w:szCs w:val="28"/>
        </w:rPr>
        <w:t>, alla trasparente e regolare esecuzione del contratto principale.</w:t>
      </w:r>
    </w:p>
    <w:p w:rsidR="00E95C60" w:rsidRDefault="00E95C60" w:rsidP="00A240C4">
      <w:pPr>
        <w:ind w:left="360"/>
        <w:jc w:val="both"/>
        <w:rPr>
          <w:rFonts w:ascii="Times New Roman" w:hAnsi="Times New Roman" w:cs="Times New Roman"/>
          <w:sz w:val="28"/>
          <w:szCs w:val="28"/>
        </w:rPr>
      </w:pPr>
      <w:r>
        <w:rPr>
          <w:rFonts w:ascii="Times New Roman" w:hAnsi="Times New Roman" w:cs="Times New Roman"/>
          <w:sz w:val="28"/>
          <w:szCs w:val="28"/>
        </w:rPr>
        <w:t xml:space="preserve">Il più visibile riscontro di tale mutazione genetica del subappalto, oltre ai citati doveri informativi, è costituto </w:t>
      </w:r>
      <w:r w:rsidR="00C24741">
        <w:rPr>
          <w:rFonts w:ascii="Times New Roman" w:hAnsi="Times New Roman" w:cs="Times New Roman"/>
          <w:sz w:val="28"/>
          <w:szCs w:val="28"/>
        </w:rPr>
        <w:t>dal rafforzamento de</w:t>
      </w:r>
      <w:r>
        <w:rPr>
          <w:rFonts w:ascii="Times New Roman" w:hAnsi="Times New Roman" w:cs="Times New Roman"/>
          <w:sz w:val="28"/>
          <w:szCs w:val="28"/>
        </w:rPr>
        <w:t>lla previsione del pagamento diretto dell’impresa subappaltatrice,</w:t>
      </w:r>
      <w:r w:rsidR="00C24741">
        <w:rPr>
          <w:rFonts w:ascii="Times New Roman" w:hAnsi="Times New Roman" w:cs="Times New Roman"/>
          <w:sz w:val="28"/>
          <w:szCs w:val="28"/>
        </w:rPr>
        <w:t xml:space="preserve"> che conferma l’estensione di alcuni</w:t>
      </w:r>
      <w:r>
        <w:rPr>
          <w:rFonts w:ascii="Times New Roman" w:hAnsi="Times New Roman" w:cs="Times New Roman"/>
          <w:sz w:val="28"/>
          <w:szCs w:val="28"/>
        </w:rPr>
        <w:t xml:space="preserve"> effetti giuridici del nuovo contratto oltre i confini soggettivi delle sue parti</w:t>
      </w:r>
      <w:r w:rsidR="004052AC">
        <w:rPr>
          <w:rFonts w:ascii="Times New Roman" w:hAnsi="Times New Roman" w:cs="Times New Roman"/>
          <w:sz w:val="28"/>
          <w:szCs w:val="28"/>
        </w:rPr>
        <w:t xml:space="preserve"> (anche se merita di essere osserva</w:t>
      </w:r>
      <w:r w:rsidR="00EC492D">
        <w:rPr>
          <w:rFonts w:ascii="Times New Roman" w:hAnsi="Times New Roman" w:cs="Times New Roman"/>
          <w:sz w:val="28"/>
          <w:szCs w:val="28"/>
        </w:rPr>
        <w:t>to che la maggiore tutela assicurata a</w:t>
      </w:r>
      <w:r w:rsidR="004052AC">
        <w:rPr>
          <w:rFonts w:ascii="Times New Roman" w:hAnsi="Times New Roman" w:cs="Times New Roman"/>
          <w:sz w:val="28"/>
          <w:szCs w:val="28"/>
        </w:rPr>
        <w:t>l subappaltat</w:t>
      </w:r>
      <w:r w:rsidR="00E316A3">
        <w:rPr>
          <w:rFonts w:ascii="Times New Roman" w:hAnsi="Times New Roman" w:cs="Times New Roman"/>
          <w:sz w:val="28"/>
          <w:szCs w:val="28"/>
        </w:rPr>
        <w:t>ore rischia di essere vanificata</w:t>
      </w:r>
      <w:r w:rsidR="004052AC">
        <w:rPr>
          <w:rFonts w:ascii="Times New Roman" w:hAnsi="Times New Roman" w:cs="Times New Roman"/>
          <w:sz w:val="28"/>
          <w:szCs w:val="28"/>
        </w:rPr>
        <w:t xml:space="preserve"> dal ritardo, stigmatizzato anche dalla Commissione Europea, con cui le amministrazioni pubbliche ad</w:t>
      </w:r>
      <w:r w:rsidR="00F24EDA">
        <w:rPr>
          <w:rFonts w:ascii="Times New Roman" w:hAnsi="Times New Roman" w:cs="Times New Roman"/>
          <w:sz w:val="28"/>
          <w:szCs w:val="28"/>
        </w:rPr>
        <w:t>empiono</w:t>
      </w:r>
      <w:r w:rsidR="004052AC">
        <w:rPr>
          <w:rFonts w:ascii="Times New Roman" w:hAnsi="Times New Roman" w:cs="Times New Roman"/>
          <w:sz w:val="28"/>
          <w:szCs w:val="28"/>
        </w:rPr>
        <w:t xml:space="preserve"> le loro obbligazioni pecuniarie nei confronti delle imprese creditrici)</w:t>
      </w:r>
      <w:r>
        <w:rPr>
          <w:rFonts w:ascii="Times New Roman" w:hAnsi="Times New Roman" w:cs="Times New Roman"/>
          <w:sz w:val="28"/>
          <w:szCs w:val="28"/>
        </w:rPr>
        <w:t>.</w:t>
      </w:r>
    </w:p>
    <w:p w:rsidR="00E95C60" w:rsidRDefault="00E95C60" w:rsidP="00A240C4">
      <w:pPr>
        <w:ind w:left="360"/>
        <w:jc w:val="both"/>
        <w:rPr>
          <w:rFonts w:ascii="Times New Roman" w:hAnsi="Times New Roman" w:cs="Times New Roman"/>
          <w:sz w:val="28"/>
          <w:szCs w:val="28"/>
        </w:rPr>
      </w:pPr>
      <w:r>
        <w:rPr>
          <w:rFonts w:ascii="Times New Roman" w:hAnsi="Times New Roman" w:cs="Times New Roman"/>
          <w:sz w:val="28"/>
          <w:szCs w:val="28"/>
        </w:rPr>
        <w:t>L’impresa subappaltatrice, quindi, resta ormai soggetta ai medesimi controlli operati nei riguardi di quella affidataria e, pur non assumendo la veste di contraente della stazione appaltante, acquisis</w:t>
      </w:r>
      <w:r w:rsidR="00E316A3">
        <w:rPr>
          <w:rFonts w:ascii="Times New Roman" w:hAnsi="Times New Roman" w:cs="Times New Roman"/>
          <w:sz w:val="28"/>
          <w:szCs w:val="28"/>
        </w:rPr>
        <w:t>ce una posizione soggettiva che si riflette anche nella sfera di quest’ultima</w:t>
      </w:r>
      <w:r>
        <w:rPr>
          <w:rFonts w:ascii="Times New Roman" w:hAnsi="Times New Roman" w:cs="Times New Roman"/>
          <w:sz w:val="28"/>
          <w:szCs w:val="28"/>
        </w:rPr>
        <w:t>.</w:t>
      </w:r>
    </w:p>
    <w:p w:rsidR="00D034C0" w:rsidRDefault="00D034C0" w:rsidP="00A240C4">
      <w:pPr>
        <w:ind w:left="360"/>
        <w:jc w:val="both"/>
        <w:rPr>
          <w:rFonts w:ascii="Times New Roman" w:hAnsi="Times New Roman" w:cs="Times New Roman"/>
          <w:sz w:val="28"/>
          <w:szCs w:val="28"/>
        </w:rPr>
      </w:pPr>
      <w:r>
        <w:rPr>
          <w:rFonts w:ascii="Times New Roman" w:hAnsi="Times New Roman" w:cs="Times New Roman"/>
          <w:sz w:val="28"/>
          <w:szCs w:val="28"/>
        </w:rPr>
        <w:t xml:space="preserve">Si tratta, quindi, di uno schema contrattuale che presenta significativi profili di atipicità, nella misura in cui produce taluni (importanti) effetti </w:t>
      </w:r>
      <w:r w:rsidR="00E316A3">
        <w:rPr>
          <w:rFonts w:ascii="Times New Roman" w:hAnsi="Times New Roman" w:cs="Times New Roman"/>
          <w:sz w:val="28"/>
          <w:szCs w:val="28"/>
        </w:rPr>
        <w:t>di diritto nei riguardi</w:t>
      </w:r>
      <w:r>
        <w:rPr>
          <w:rFonts w:ascii="Times New Roman" w:hAnsi="Times New Roman" w:cs="Times New Roman"/>
          <w:sz w:val="28"/>
          <w:szCs w:val="28"/>
        </w:rPr>
        <w:t xml:space="preserve"> di un soggetto estraneo al vincolo negoziale (la stazione appaltante).</w:t>
      </w:r>
    </w:p>
    <w:p w:rsidR="00C36950" w:rsidRPr="00C36950" w:rsidRDefault="00C36950" w:rsidP="00A240C4">
      <w:pPr>
        <w:ind w:left="360"/>
        <w:jc w:val="both"/>
        <w:rPr>
          <w:rFonts w:ascii="Times New Roman" w:hAnsi="Times New Roman" w:cs="Times New Roman"/>
          <w:b/>
          <w:sz w:val="28"/>
          <w:szCs w:val="28"/>
        </w:rPr>
      </w:pPr>
      <w:r>
        <w:rPr>
          <w:rFonts w:ascii="Times New Roman" w:hAnsi="Times New Roman" w:cs="Times New Roman"/>
          <w:b/>
          <w:sz w:val="28"/>
          <w:szCs w:val="28"/>
        </w:rPr>
        <w:t>5.- La limitazione quantitativa: un caso di gold plating?</w:t>
      </w:r>
    </w:p>
    <w:p w:rsidR="004052AC" w:rsidRDefault="004052AC" w:rsidP="00A240C4">
      <w:pPr>
        <w:ind w:left="360"/>
        <w:jc w:val="both"/>
        <w:rPr>
          <w:rFonts w:ascii="Times New Roman" w:hAnsi="Times New Roman" w:cs="Times New Roman"/>
          <w:sz w:val="28"/>
          <w:szCs w:val="28"/>
        </w:rPr>
      </w:pPr>
      <w:r>
        <w:rPr>
          <w:rFonts w:ascii="Times New Roman" w:hAnsi="Times New Roman" w:cs="Times New Roman"/>
          <w:sz w:val="28"/>
          <w:szCs w:val="28"/>
        </w:rPr>
        <w:t xml:space="preserve">Resta, quindi, da verificare se, a fronte di una regolazione </w:t>
      </w:r>
      <w:r w:rsidR="005E481F">
        <w:rPr>
          <w:rFonts w:ascii="Times New Roman" w:hAnsi="Times New Roman" w:cs="Times New Roman"/>
          <w:sz w:val="28"/>
          <w:szCs w:val="28"/>
        </w:rPr>
        <w:t>siffatta</w:t>
      </w:r>
      <w:r>
        <w:rPr>
          <w:rFonts w:ascii="Times New Roman" w:hAnsi="Times New Roman" w:cs="Times New Roman"/>
          <w:sz w:val="28"/>
          <w:szCs w:val="28"/>
        </w:rPr>
        <w:t>, le esigenze di prevenzione delle infiltrazioni criminali</w:t>
      </w:r>
      <w:r w:rsidR="00F24EDA">
        <w:rPr>
          <w:rFonts w:ascii="Times New Roman" w:hAnsi="Times New Roman" w:cs="Times New Roman"/>
          <w:sz w:val="28"/>
          <w:szCs w:val="28"/>
        </w:rPr>
        <w:t xml:space="preserve"> valgano ancora a giustificare il</w:t>
      </w:r>
      <w:r>
        <w:rPr>
          <w:rFonts w:ascii="Times New Roman" w:hAnsi="Times New Roman" w:cs="Times New Roman"/>
          <w:sz w:val="28"/>
          <w:szCs w:val="28"/>
        </w:rPr>
        <w:t xml:space="preserve"> </w:t>
      </w:r>
      <w:r w:rsidRPr="00AD3BBF">
        <w:rPr>
          <w:rFonts w:ascii="Times New Roman" w:hAnsi="Times New Roman" w:cs="Times New Roman"/>
          <w:i/>
          <w:sz w:val="28"/>
          <w:szCs w:val="28"/>
        </w:rPr>
        <w:t>gold</w:t>
      </w:r>
      <w:r w:rsidR="00AD3BBF" w:rsidRPr="00AD3BBF">
        <w:rPr>
          <w:rFonts w:ascii="Times New Roman" w:hAnsi="Times New Roman" w:cs="Times New Roman"/>
          <w:i/>
          <w:sz w:val="28"/>
          <w:szCs w:val="28"/>
        </w:rPr>
        <w:t xml:space="preserve"> </w:t>
      </w:r>
      <w:r w:rsidRPr="00AD3BBF">
        <w:rPr>
          <w:rFonts w:ascii="Times New Roman" w:hAnsi="Times New Roman" w:cs="Times New Roman"/>
          <w:i/>
          <w:sz w:val="28"/>
          <w:szCs w:val="28"/>
        </w:rPr>
        <w:t>plating</w:t>
      </w:r>
      <w:r>
        <w:rPr>
          <w:rFonts w:ascii="Times New Roman" w:hAnsi="Times New Roman" w:cs="Times New Roman"/>
          <w:sz w:val="28"/>
          <w:szCs w:val="28"/>
        </w:rPr>
        <w:t xml:space="preserve"> o, in ogni caso, l’introduzione di una disciplina del subappalto più restrittiva di quella europea.</w:t>
      </w:r>
    </w:p>
    <w:p w:rsidR="004052AC" w:rsidRDefault="004052AC" w:rsidP="00A240C4">
      <w:pPr>
        <w:ind w:left="360"/>
        <w:jc w:val="both"/>
        <w:rPr>
          <w:rFonts w:ascii="Times New Roman" w:hAnsi="Times New Roman" w:cs="Times New Roman"/>
          <w:sz w:val="28"/>
          <w:szCs w:val="28"/>
        </w:rPr>
      </w:pPr>
      <w:r>
        <w:rPr>
          <w:rFonts w:ascii="Times New Roman" w:hAnsi="Times New Roman" w:cs="Times New Roman"/>
          <w:sz w:val="28"/>
          <w:szCs w:val="28"/>
        </w:rPr>
        <w:t>La limitazione quantitativa, infatti, appare idonea a scongiurare la penetrazione della criminalità organizzata nel “mercato” degli appalti pubblici in un contesto regolatorio in cui la stazione appaltante difetta di adeguati strumenti di controllo sull’integrità e sulla qualificazione delle imprese subappaltatrici.</w:t>
      </w:r>
    </w:p>
    <w:p w:rsidR="00706C46" w:rsidRDefault="004052AC" w:rsidP="00A240C4">
      <w:pPr>
        <w:ind w:left="360"/>
        <w:jc w:val="both"/>
        <w:rPr>
          <w:rFonts w:ascii="Times New Roman" w:hAnsi="Times New Roman" w:cs="Times New Roman"/>
          <w:sz w:val="28"/>
          <w:szCs w:val="28"/>
        </w:rPr>
      </w:pPr>
      <w:r>
        <w:rPr>
          <w:rFonts w:ascii="Times New Roman" w:hAnsi="Times New Roman" w:cs="Times New Roman"/>
          <w:sz w:val="28"/>
          <w:szCs w:val="28"/>
        </w:rPr>
        <w:t>In u</w:t>
      </w:r>
      <w:r w:rsidR="00706C46">
        <w:rPr>
          <w:rFonts w:ascii="Times New Roman" w:hAnsi="Times New Roman" w:cs="Times New Roman"/>
          <w:sz w:val="28"/>
          <w:szCs w:val="28"/>
        </w:rPr>
        <w:t xml:space="preserve">na situazione siffatta, a ben vedere, il subappalto si </w:t>
      </w:r>
      <w:r w:rsidR="00C24741">
        <w:rPr>
          <w:rFonts w:ascii="Times New Roman" w:hAnsi="Times New Roman" w:cs="Times New Roman"/>
          <w:sz w:val="28"/>
          <w:szCs w:val="28"/>
        </w:rPr>
        <w:t xml:space="preserve">potrebbe </w:t>
      </w:r>
      <w:r w:rsidR="00706C46">
        <w:rPr>
          <w:rFonts w:ascii="Times New Roman" w:hAnsi="Times New Roman" w:cs="Times New Roman"/>
          <w:sz w:val="28"/>
          <w:szCs w:val="28"/>
        </w:rPr>
        <w:t>presta</w:t>
      </w:r>
      <w:r w:rsidR="00C24741">
        <w:rPr>
          <w:rFonts w:ascii="Times New Roman" w:hAnsi="Times New Roman" w:cs="Times New Roman"/>
          <w:sz w:val="28"/>
          <w:szCs w:val="28"/>
        </w:rPr>
        <w:t>re</w:t>
      </w:r>
      <w:r w:rsidR="00706C46">
        <w:rPr>
          <w:rFonts w:ascii="Times New Roman" w:hAnsi="Times New Roman" w:cs="Times New Roman"/>
          <w:sz w:val="28"/>
          <w:szCs w:val="28"/>
        </w:rPr>
        <w:t xml:space="preserve"> ad essere fraudolentemente utilizzato per eludere le regole delle procedure di aggiudicazione e per acquisire indebitamente</w:t>
      </w:r>
      <w:r w:rsidR="00C24741">
        <w:rPr>
          <w:rFonts w:ascii="Times New Roman" w:hAnsi="Times New Roman" w:cs="Times New Roman"/>
          <w:sz w:val="28"/>
          <w:szCs w:val="28"/>
        </w:rPr>
        <w:t>, nella fase di attuazione del contratto,</w:t>
      </w:r>
      <w:r w:rsidR="00706C46">
        <w:rPr>
          <w:rFonts w:ascii="Times New Roman" w:hAnsi="Times New Roman" w:cs="Times New Roman"/>
          <w:sz w:val="28"/>
          <w:szCs w:val="28"/>
        </w:rPr>
        <w:t xml:space="preserve"> commesse frutto</w:t>
      </w:r>
      <w:r w:rsidR="00C24741">
        <w:rPr>
          <w:rFonts w:ascii="Times New Roman" w:hAnsi="Times New Roman" w:cs="Times New Roman"/>
          <w:sz w:val="28"/>
          <w:szCs w:val="28"/>
        </w:rPr>
        <w:t xml:space="preserve"> di intese illecite o, addirittura, di estorsioni</w:t>
      </w:r>
      <w:r w:rsidR="00706C46">
        <w:rPr>
          <w:rFonts w:ascii="Times New Roman" w:hAnsi="Times New Roman" w:cs="Times New Roman"/>
          <w:sz w:val="28"/>
          <w:szCs w:val="28"/>
        </w:rPr>
        <w:t>.</w:t>
      </w:r>
    </w:p>
    <w:p w:rsidR="00ED5E78" w:rsidRDefault="00C24741" w:rsidP="00ED5E78">
      <w:pPr>
        <w:ind w:left="360"/>
        <w:jc w:val="both"/>
        <w:rPr>
          <w:rFonts w:ascii="Times New Roman" w:hAnsi="Times New Roman" w:cs="Times New Roman"/>
          <w:sz w:val="28"/>
          <w:szCs w:val="28"/>
        </w:rPr>
      </w:pPr>
      <w:r>
        <w:rPr>
          <w:rFonts w:ascii="Times New Roman" w:hAnsi="Times New Roman" w:cs="Times New Roman"/>
          <w:sz w:val="28"/>
          <w:szCs w:val="28"/>
        </w:rPr>
        <w:t>Se, infatti</w:t>
      </w:r>
      <w:r w:rsidR="00706C46">
        <w:rPr>
          <w:rFonts w:ascii="Times New Roman" w:hAnsi="Times New Roman" w:cs="Times New Roman"/>
          <w:sz w:val="28"/>
          <w:szCs w:val="28"/>
        </w:rPr>
        <w:t>, il subappalto resta confinato alla fase esecutiva dell’appalto e sfugge a ogni controllo amministrativo, senza, in particolare, che sia dato alla stazione appaltante di poterne verificare ex ante la correttezza (in tutti i profili che rilevano), il ris</w:t>
      </w:r>
      <w:r w:rsidR="00375B42">
        <w:rPr>
          <w:rFonts w:ascii="Times New Roman" w:hAnsi="Times New Roman" w:cs="Times New Roman"/>
          <w:sz w:val="28"/>
          <w:szCs w:val="28"/>
        </w:rPr>
        <w:t>chio di un suo utilizzo distorto e inquinato diventa grave e</w:t>
      </w:r>
      <w:r w:rsidR="00ED5E78">
        <w:rPr>
          <w:rFonts w:ascii="Times New Roman" w:hAnsi="Times New Roman" w:cs="Times New Roman"/>
          <w:sz w:val="28"/>
          <w:szCs w:val="28"/>
        </w:rPr>
        <w:t xml:space="preserve"> allarmante.</w:t>
      </w:r>
    </w:p>
    <w:p w:rsidR="00ED5E78" w:rsidRDefault="00ED5E78" w:rsidP="00ED5E78">
      <w:pPr>
        <w:ind w:left="360"/>
        <w:jc w:val="both"/>
        <w:rPr>
          <w:rFonts w:ascii="Times New Roman" w:hAnsi="Times New Roman" w:cs="Times New Roman"/>
          <w:sz w:val="28"/>
          <w:szCs w:val="28"/>
        </w:rPr>
      </w:pPr>
      <w:r>
        <w:rPr>
          <w:rFonts w:ascii="Times New Roman" w:hAnsi="Times New Roman" w:cs="Times New Roman"/>
          <w:sz w:val="28"/>
          <w:szCs w:val="28"/>
        </w:rPr>
        <w:t>Ove, invece, la regolazione positiva del subappalto permette (anzi: impone) un controllo di tutti i requisiti di qualificazione e una verifica dell’assenza di cause ostative in capo all’impresa subappaltatrice, le esigenze di prevenzione di infiltrazioni criminali si rivelano meno preganti e, forse, inidonee a giustificare la riduzione dell’ambito di operatività dell’istituto.</w:t>
      </w:r>
    </w:p>
    <w:p w:rsidR="00ED5E78" w:rsidRDefault="00ED5E78" w:rsidP="00ED5E78">
      <w:pPr>
        <w:ind w:left="360"/>
        <w:jc w:val="both"/>
        <w:rPr>
          <w:rFonts w:ascii="Times New Roman" w:hAnsi="Times New Roman" w:cs="Times New Roman"/>
          <w:sz w:val="28"/>
          <w:szCs w:val="28"/>
        </w:rPr>
      </w:pPr>
      <w:r>
        <w:rPr>
          <w:rFonts w:ascii="Times New Roman" w:hAnsi="Times New Roman" w:cs="Times New Roman"/>
          <w:sz w:val="28"/>
          <w:szCs w:val="28"/>
        </w:rPr>
        <w:t xml:space="preserve">O, meglio, il (sacrosanto) obiettivo di assicurare l’integrità dei contratti pubblici e la loro immunità da infiltrazioni mafiose può intendersi già compiutamente raggiunto per mezzo della altre (ricordate) misure afferenti agli obblighi informativi e agli adempimenti procedurali che attengono al controllo della trasparenza del sub-affidamento. </w:t>
      </w:r>
    </w:p>
    <w:p w:rsidR="00ED5E78" w:rsidRDefault="00ED5E78" w:rsidP="00ED5E78">
      <w:pPr>
        <w:ind w:left="360"/>
        <w:jc w:val="both"/>
        <w:rPr>
          <w:rFonts w:ascii="Times New Roman" w:hAnsi="Times New Roman" w:cs="Times New Roman"/>
          <w:sz w:val="28"/>
          <w:szCs w:val="28"/>
        </w:rPr>
      </w:pPr>
      <w:r>
        <w:rPr>
          <w:rFonts w:ascii="Times New Roman" w:hAnsi="Times New Roman" w:cs="Times New Roman"/>
          <w:sz w:val="28"/>
          <w:szCs w:val="28"/>
        </w:rPr>
        <w:t>Gli oneri procedimentali già segnalati paiono, infatti, esaurire ogni esigenza regolativa che serva alla stazione appaltante ad impedire il subappalto a imprese inquinate da controindicazioni mafiose o non qualificate.</w:t>
      </w:r>
    </w:p>
    <w:p w:rsidR="00ED5E78" w:rsidRDefault="00ED5E78" w:rsidP="00ED5E78">
      <w:pPr>
        <w:ind w:left="360"/>
        <w:jc w:val="both"/>
        <w:rPr>
          <w:rFonts w:ascii="Times New Roman" w:hAnsi="Times New Roman" w:cs="Times New Roman"/>
          <w:sz w:val="28"/>
          <w:szCs w:val="28"/>
        </w:rPr>
      </w:pPr>
      <w:r>
        <w:rPr>
          <w:rFonts w:ascii="Times New Roman" w:hAnsi="Times New Roman" w:cs="Times New Roman"/>
          <w:sz w:val="28"/>
          <w:szCs w:val="28"/>
        </w:rPr>
        <w:t>Ma, se è così, allora la limitazione (puramente) quantitativa rischia di perdere quella giustificazione astrattamente riconducibile alle esigenze di tutela dei valori dell’ordine e della sicurezza pubblica e finisce, invece, per frustrare gli obiettivi di apertura alla concorrenza e di favore per l’accesso delle PMI agli appalti pubblici.</w:t>
      </w:r>
    </w:p>
    <w:p w:rsidR="00A774E3" w:rsidRDefault="00A774E3" w:rsidP="00ED5E78">
      <w:pPr>
        <w:ind w:left="360"/>
        <w:jc w:val="both"/>
        <w:rPr>
          <w:rFonts w:ascii="Times New Roman" w:hAnsi="Times New Roman" w:cs="Times New Roman"/>
          <w:sz w:val="28"/>
          <w:szCs w:val="28"/>
        </w:rPr>
      </w:pPr>
      <w:r>
        <w:rPr>
          <w:rFonts w:ascii="Times New Roman" w:hAnsi="Times New Roman" w:cs="Times New Roman"/>
          <w:sz w:val="28"/>
          <w:szCs w:val="28"/>
        </w:rPr>
        <w:t xml:space="preserve">Anzi, più precisamente, la restrizione dell’operatività dell’istituto si presta a una censura di difetto di proporzionalità, nella misura in cui il divieto di subappaltare il 70 % della prestazione dovuta non appare funzionale al perseguimento del valore dell’integrità del mercato degli appalti pubblici o, comunque, non risulta lo strumento più efficace ed utile al soddisfacimento di quell’interesse.    </w:t>
      </w:r>
    </w:p>
    <w:p w:rsidR="00C36950" w:rsidRPr="005E42A9" w:rsidRDefault="005E42A9" w:rsidP="00ED5E78">
      <w:pPr>
        <w:ind w:left="360"/>
        <w:jc w:val="both"/>
        <w:rPr>
          <w:rFonts w:ascii="Times New Roman" w:hAnsi="Times New Roman" w:cs="Times New Roman"/>
          <w:b/>
          <w:sz w:val="28"/>
          <w:szCs w:val="28"/>
        </w:rPr>
      </w:pPr>
      <w:r>
        <w:rPr>
          <w:rFonts w:ascii="Times New Roman" w:hAnsi="Times New Roman" w:cs="Times New Roman"/>
          <w:b/>
          <w:sz w:val="28"/>
          <w:szCs w:val="28"/>
        </w:rPr>
        <w:t>6.- La giustificazione relativa alla tutela delle piccole e medie imprese</w:t>
      </w:r>
    </w:p>
    <w:p w:rsidR="00267EE9" w:rsidRDefault="00267EE9" w:rsidP="00ED5E78">
      <w:pPr>
        <w:ind w:left="360"/>
        <w:jc w:val="both"/>
        <w:rPr>
          <w:rFonts w:ascii="Times New Roman" w:hAnsi="Times New Roman" w:cs="Times New Roman"/>
          <w:sz w:val="28"/>
          <w:szCs w:val="28"/>
        </w:rPr>
      </w:pPr>
      <w:r>
        <w:rPr>
          <w:rFonts w:ascii="Times New Roman" w:hAnsi="Times New Roman" w:cs="Times New Roman"/>
          <w:sz w:val="28"/>
          <w:szCs w:val="28"/>
        </w:rPr>
        <w:t xml:space="preserve">Resta, ancora, da verificare se la limitazione esaminata possa trovare una giustificazione (diversa da quella dichiarata) nell’esigenza (pure da taluno indicata come vera ragione del parziale divieto introdotto dal Legislatore italiano) di proteggere le piccole e medie imprese dai rischi di “sfruttamento” a cui </w:t>
      </w:r>
      <w:r w:rsidR="008B7121">
        <w:rPr>
          <w:rFonts w:ascii="Times New Roman" w:hAnsi="Times New Roman" w:cs="Times New Roman"/>
          <w:sz w:val="28"/>
          <w:szCs w:val="28"/>
        </w:rPr>
        <w:t xml:space="preserve">possono restare </w:t>
      </w:r>
      <w:r>
        <w:rPr>
          <w:rFonts w:ascii="Times New Roman" w:hAnsi="Times New Roman" w:cs="Times New Roman"/>
          <w:sz w:val="28"/>
          <w:szCs w:val="28"/>
        </w:rPr>
        <w:t xml:space="preserve">esposte nelle dinamiche </w:t>
      </w:r>
      <w:r w:rsidR="00191042">
        <w:rPr>
          <w:rFonts w:ascii="Times New Roman" w:hAnsi="Times New Roman" w:cs="Times New Roman"/>
          <w:sz w:val="28"/>
          <w:szCs w:val="28"/>
        </w:rPr>
        <w:t>imprenditoriali afferenti al subappalto.</w:t>
      </w:r>
      <w:r>
        <w:rPr>
          <w:rFonts w:ascii="Times New Roman" w:hAnsi="Times New Roman" w:cs="Times New Roman"/>
          <w:sz w:val="28"/>
          <w:szCs w:val="28"/>
        </w:rPr>
        <w:t xml:space="preserve">  </w:t>
      </w:r>
    </w:p>
    <w:p w:rsidR="0067644A" w:rsidRDefault="00191042" w:rsidP="00ED5E78">
      <w:pPr>
        <w:ind w:left="360"/>
        <w:jc w:val="both"/>
        <w:rPr>
          <w:rFonts w:ascii="Times New Roman" w:hAnsi="Times New Roman" w:cs="Times New Roman"/>
          <w:sz w:val="28"/>
          <w:szCs w:val="28"/>
        </w:rPr>
      </w:pPr>
      <w:r>
        <w:rPr>
          <w:rFonts w:ascii="Times New Roman" w:hAnsi="Times New Roman" w:cs="Times New Roman"/>
          <w:sz w:val="28"/>
          <w:szCs w:val="28"/>
        </w:rPr>
        <w:t xml:space="preserve">Secondo questa differente lettura della questione, la misura limitativa </w:t>
      </w:r>
      <w:r w:rsidR="00C24FD9">
        <w:rPr>
          <w:rFonts w:ascii="Times New Roman" w:hAnsi="Times New Roman" w:cs="Times New Roman"/>
          <w:sz w:val="28"/>
          <w:szCs w:val="28"/>
        </w:rPr>
        <w:t>servirebbe</w:t>
      </w:r>
      <w:r>
        <w:rPr>
          <w:rFonts w:ascii="Times New Roman" w:hAnsi="Times New Roman" w:cs="Times New Roman"/>
          <w:sz w:val="28"/>
          <w:szCs w:val="28"/>
        </w:rPr>
        <w:t>, oltre che a scongiurare deviazioni inquinate del mercato dei contratti pubblici, a rafforzare la posizione delle piccole e medie imprese per mezzo dell’induzione alla ricerca di accordi</w:t>
      </w:r>
      <w:r w:rsidR="0067644A">
        <w:rPr>
          <w:rFonts w:ascii="Times New Roman" w:hAnsi="Times New Roman" w:cs="Times New Roman"/>
          <w:sz w:val="28"/>
          <w:szCs w:val="28"/>
        </w:rPr>
        <w:t xml:space="preserve"> in associazioni temporanee di imprese che attribuiscano loro la veste formale (con le connesse tutele) di parti contraenti dell’Amministrazione. </w:t>
      </w:r>
      <w:r>
        <w:rPr>
          <w:rFonts w:ascii="Times New Roman" w:hAnsi="Times New Roman" w:cs="Times New Roman"/>
          <w:sz w:val="28"/>
          <w:szCs w:val="28"/>
        </w:rPr>
        <w:t xml:space="preserve"> </w:t>
      </w:r>
    </w:p>
    <w:p w:rsidR="0067644A" w:rsidRDefault="0067644A" w:rsidP="00ED5E78">
      <w:pPr>
        <w:ind w:left="360"/>
        <w:jc w:val="both"/>
        <w:rPr>
          <w:rFonts w:ascii="Times New Roman" w:hAnsi="Times New Roman" w:cs="Times New Roman"/>
          <w:sz w:val="28"/>
          <w:szCs w:val="28"/>
        </w:rPr>
      </w:pPr>
      <w:r>
        <w:rPr>
          <w:rFonts w:ascii="Times New Roman" w:hAnsi="Times New Roman" w:cs="Times New Roman"/>
          <w:sz w:val="28"/>
          <w:szCs w:val="28"/>
        </w:rPr>
        <w:t xml:space="preserve">Il paradosso di tale esegesi è che il subappalto, concepito in sede europea come un’opportunità e un vantaggio per le piccole </w:t>
      </w:r>
      <w:r w:rsidR="00C24FD9">
        <w:rPr>
          <w:rFonts w:ascii="Times New Roman" w:hAnsi="Times New Roman" w:cs="Times New Roman"/>
          <w:sz w:val="28"/>
          <w:szCs w:val="28"/>
        </w:rPr>
        <w:t xml:space="preserve">e </w:t>
      </w:r>
      <w:r>
        <w:rPr>
          <w:rFonts w:ascii="Times New Roman" w:hAnsi="Times New Roman" w:cs="Times New Roman"/>
          <w:sz w:val="28"/>
          <w:szCs w:val="28"/>
        </w:rPr>
        <w:t>medie imprese, viene, da questa interpretazione, qualificato come un problema per la medesima categoria di operatori.</w:t>
      </w:r>
    </w:p>
    <w:p w:rsidR="00191042" w:rsidRDefault="0067644A" w:rsidP="00ED5E78">
      <w:pPr>
        <w:ind w:left="360"/>
        <w:jc w:val="both"/>
        <w:rPr>
          <w:rFonts w:ascii="Times New Roman" w:hAnsi="Times New Roman" w:cs="Times New Roman"/>
          <w:sz w:val="28"/>
          <w:szCs w:val="28"/>
        </w:rPr>
      </w:pPr>
      <w:r>
        <w:rPr>
          <w:rFonts w:ascii="Times New Roman" w:hAnsi="Times New Roman" w:cs="Times New Roman"/>
          <w:sz w:val="28"/>
          <w:szCs w:val="28"/>
        </w:rPr>
        <w:t>L’aporia, a ben vedere,</w:t>
      </w:r>
      <w:r w:rsidR="00432285">
        <w:rPr>
          <w:rFonts w:ascii="Times New Roman" w:hAnsi="Times New Roman" w:cs="Times New Roman"/>
          <w:sz w:val="28"/>
          <w:szCs w:val="28"/>
        </w:rPr>
        <w:t xml:space="preserve"> è solo apparente, non essendo dato di ravvisare alcuna contraddizione logica nel rilievo che lo strumento del subappalto, di per sé idoneo, in as</w:t>
      </w:r>
      <w:r w:rsidR="000A5057">
        <w:rPr>
          <w:rFonts w:ascii="Times New Roman" w:hAnsi="Times New Roman" w:cs="Times New Roman"/>
          <w:sz w:val="28"/>
          <w:szCs w:val="28"/>
        </w:rPr>
        <w:t>tratto, a</w:t>
      </w:r>
      <w:r w:rsidR="00432285">
        <w:rPr>
          <w:rFonts w:ascii="Times New Roman" w:hAnsi="Times New Roman" w:cs="Times New Roman"/>
          <w:sz w:val="28"/>
          <w:szCs w:val="28"/>
        </w:rPr>
        <w:t xml:space="preserve"> favorire l’accesso ai contratti pubblici delle piccole e medie imprese, possa</w:t>
      </w:r>
      <w:r w:rsidR="00E316A3">
        <w:rPr>
          <w:rFonts w:ascii="Times New Roman" w:hAnsi="Times New Roman" w:cs="Times New Roman"/>
          <w:sz w:val="28"/>
          <w:szCs w:val="28"/>
        </w:rPr>
        <w:t xml:space="preserve"> essere strumentalizzato</w:t>
      </w:r>
      <w:r w:rsidR="00C24FD9">
        <w:rPr>
          <w:rFonts w:ascii="Times New Roman" w:hAnsi="Times New Roman" w:cs="Times New Roman"/>
          <w:sz w:val="28"/>
          <w:szCs w:val="28"/>
        </w:rPr>
        <w:t>, laddove usato in maniera distorta,</w:t>
      </w:r>
      <w:r w:rsidR="00432285">
        <w:rPr>
          <w:rFonts w:ascii="Times New Roman" w:hAnsi="Times New Roman" w:cs="Times New Roman"/>
          <w:sz w:val="28"/>
          <w:szCs w:val="28"/>
        </w:rPr>
        <w:t xml:space="preserve"> dalla parte più f</w:t>
      </w:r>
      <w:r w:rsidR="00C24FD9">
        <w:rPr>
          <w:rFonts w:ascii="Times New Roman" w:hAnsi="Times New Roman" w:cs="Times New Roman"/>
          <w:sz w:val="28"/>
          <w:szCs w:val="28"/>
        </w:rPr>
        <w:t>orte (l’impresa aggiudicataria)</w:t>
      </w:r>
      <w:r w:rsidR="00432285">
        <w:rPr>
          <w:rFonts w:ascii="Times New Roman" w:hAnsi="Times New Roman" w:cs="Times New Roman"/>
          <w:sz w:val="28"/>
          <w:szCs w:val="28"/>
        </w:rPr>
        <w:t xml:space="preserve"> </w:t>
      </w:r>
      <w:r w:rsidR="00C24FD9">
        <w:rPr>
          <w:rFonts w:ascii="Times New Roman" w:hAnsi="Times New Roman" w:cs="Times New Roman"/>
          <w:sz w:val="28"/>
          <w:szCs w:val="28"/>
        </w:rPr>
        <w:t>al fine di</w:t>
      </w:r>
      <w:r w:rsidR="00432285">
        <w:rPr>
          <w:rFonts w:ascii="Times New Roman" w:hAnsi="Times New Roman" w:cs="Times New Roman"/>
          <w:sz w:val="28"/>
          <w:szCs w:val="28"/>
        </w:rPr>
        <w:t xml:space="preserve"> “sfruttare” la posizione di debolezza degli operatori </w:t>
      </w:r>
      <w:r w:rsidR="00C141F4">
        <w:rPr>
          <w:rFonts w:ascii="Times New Roman" w:hAnsi="Times New Roman" w:cs="Times New Roman"/>
          <w:sz w:val="28"/>
          <w:szCs w:val="28"/>
        </w:rPr>
        <w:t>rimasti estranei al circuito delle aggiudicazioni.</w:t>
      </w:r>
      <w:r w:rsidR="00432285">
        <w:rPr>
          <w:rFonts w:ascii="Times New Roman" w:hAnsi="Times New Roman" w:cs="Times New Roman"/>
          <w:sz w:val="28"/>
          <w:szCs w:val="28"/>
        </w:rPr>
        <w:t xml:space="preserve">  </w:t>
      </w:r>
      <w:r>
        <w:rPr>
          <w:rFonts w:ascii="Times New Roman" w:hAnsi="Times New Roman" w:cs="Times New Roman"/>
          <w:sz w:val="28"/>
          <w:szCs w:val="28"/>
        </w:rPr>
        <w:t xml:space="preserve">  </w:t>
      </w:r>
      <w:r w:rsidR="00191042">
        <w:rPr>
          <w:rFonts w:ascii="Times New Roman" w:hAnsi="Times New Roman" w:cs="Times New Roman"/>
          <w:sz w:val="28"/>
          <w:szCs w:val="28"/>
        </w:rPr>
        <w:t xml:space="preserve">  </w:t>
      </w:r>
    </w:p>
    <w:p w:rsidR="002F1D8F" w:rsidRDefault="00C141F4" w:rsidP="00ED5E78">
      <w:pPr>
        <w:ind w:left="360"/>
        <w:jc w:val="both"/>
        <w:rPr>
          <w:rFonts w:ascii="Times New Roman" w:hAnsi="Times New Roman" w:cs="Times New Roman"/>
          <w:sz w:val="28"/>
          <w:szCs w:val="28"/>
        </w:rPr>
      </w:pPr>
      <w:r>
        <w:rPr>
          <w:rFonts w:ascii="Times New Roman" w:hAnsi="Times New Roman" w:cs="Times New Roman"/>
          <w:sz w:val="28"/>
          <w:szCs w:val="28"/>
        </w:rPr>
        <w:t xml:space="preserve">La prospettazione esaminata, in sintesi, merita rispetto, nella misura in cui si fonda sull’argomentazione (del tutto plausibile e realistica) </w:t>
      </w:r>
      <w:r w:rsidR="002F1D8F">
        <w:rPr>
          <w:rFonts w:ascii="Times New Roman" w:hAnsi="Times New Roman" w:cs="Times New Roman"/>
          <w:sz w:val="28"/>
          <w:szCs w:val="28"/>
        </w:rPr>
        <w:t>della preordinazione della misura limitativa in questione proprio alla garanzia di una maggiore tutela della categoria di imprese che, invece, dovrebbero essere avvantaggiate dalla liberalizzazione del subappalto.</w:t>
      </w:r>
    </w:p>
    <w:p w:rsidR="00C141F4" w:rsidRDefault="002F1D8F" w:rsidP="00ED5E78">
      <w:pPr>
        <w:ind w:left="360"/>
        <w:jc w:val="both"/>
        <w:rPr>
          <w:rFonts w:ascii="Times New Roman" w:hAnsi="Times New Roman" w:cs="Times New Roman"/>
          <w:sz w:val="28"/>
          <w:szCs w:val="28"/>
        </w:rPr>
      </w:pPr>
      <w:r>
        <w:rPr>
          <w:rFonts w:ascii="Times New Roman" w:hAnsi="Times New Roman" w:cs="Times New Roman"/>
          <w:sz w:val="28"/>
          <w:szCs w:val="28"/>
        </w:rPr>
        <w:t>Sennonchè, anche qui, la soluzione più appropriata non appare quella del divieto, ancorchè parziale, di subappalto</w:t>
      </w:r>
      <w:r w:rsidR="00BE1BF0">
        <w:rPr>
          <w:rFonts w:ascii="Times New Roman" w:hAnsi="Times New Roman" w:cs="Times New Roman"/>
          <w:sz w:val="28"/>
          <w:szCs w:val="28"/>
        </w:rPr>
        <w:t>, che si risolverebbe, comunque, in una misura, di dubbia compatibilità europea e, in ogni caso, produttiva dell’effetto della riduzione dell’operatività di uno strumento che, se rettamente usato, appare concepito e strutturato proprio per agevolare l’accesso delle piccole e medie imprese al settore degli appalti pubblici</w:t>
      </w:r>
      <w:r>
        <w:rPr>
          <w:rFonts w:ascii="Times New Roman" w:hAnsi="Times New Roman" w:cs="Times New Roman"/>
          <w:sz w:val="28"/>
          <w:szCs w:val="28"/>
        </w:rPr>
        <w:t xml:space="preserve">.   </w:t>
      </w:r>
      <w:r w:rsidR="00C141F4">
        <w:rPr>
          <w:rFonts w:ascii="Times New Roman" w:hAnsi="Times New Roman" w:cs="Times New Roman"/>
          <w:sz w:val="28"/>
          <w:szCs w:val="28"/>
        </w:rPr>
        <w:t xml:space="preserve">   </w:t>
      </w:r>
    </w:p>
    <w:p w:rsidR="00267EE9" w:rsidRDefault="00E041C1" w:rsidP="00267EE9">
      <w:pPr>
        <w:ind w:left="360"/>
        <w:jc w:val="both"/>
        <w:rPr>
          <w:rFonts w:ascii="Times New Roman" w:hAnsi="Times New Roman" w:cs="Times New Roman"/>
          <w:sz w:val="28"/>
          <w:szCs w:val="28"/>
        </w:rPr>
      </w:pPr>
      <w:r>
        <w:rPr>
          <w:rFonts w:ascii="Times New Roman" w:hAnsi="Times New Roman" w:cs="Times New Roman"/>
          <w:sz w:val="28"/>
          <w:szCs w:val="28"/>
        </w:rPr>
        <w:t>Se è vero, infatti, che le piccole e medie imprese</w:t>
      </w:r>
      <w:r w:rsidR="00267EE9">
        <w:rPr>
          <w:rFonts w:ascii="Times New Roman" w:hAnsi="Times New Roman" w:cs="Times New Roman"/>
          <w:sz w:val="28"/>
          <w:szCs w:val="28"/>
        </w:rPr>
        <w:t xml:space="preserve"> restano libere, anche con la limitazione quantitativa, di partecipare alle procedure di aggiudicazione come co-offerenti, è anche vero che lo strumento del subappalto appare </w:t>
      </w:r>
      <w:r>
        <w:rPr>
          <w:rFonts w:ascii="Times New Roman" w:hAnsi="Times New Roman" w:cs="Times New Roman"/>
          <w:sz w:val="28"/>
          <w:szCs w:val="28"/>
        </w:rPr>
        <w:t>come quello più utile</w:t>
      </w:r>
      <w:r w:rsidR="00267EE9">
        <w:rPr>
          <w:rFonts w:ascii="Times New Roman" w:hAnsi="Times New Roman" w:cs="Times New Roman"/>
          <w:sz w:val="28"/>
          <w:szCs w:val="28"/>
        </w:rPr>
        <w:t xml:space="preserve"> ed efficace (rispetto a quello dell’associazione temporanea di imprese) a garantire il loro accesso ai contratti pubblici (in coerenza con l’obiettivo stabilito dal secondo considerando della direttiva 2014/24 UE</w:t>
      </w:r>
      <w:r>
        <w:rPr>
          <w:rFonts w:ascii="Times New Roman" w:hAnsi="Times New Roman" w:cs="Times New Roman"/>
          <w:sz w:val="28"/>
          <w:szCs w:val="28"/>
        </w:rPr>
        <w:t xml:space="preserve">). </w:t>
      </w:r>
    </w:p>
    <w:p w:rsidR="00CE3AB4" w:rsidRDefault="00E041C1" w:rsidP="00E041C1">
      <w:pPr>
        <w:ind w:left="360"/>
        <w:jc w:val="both"/>
        <w:rPr>
          <w:rFonts w:ascii="Times New Roman" w:hAnsi="Times New Roman" w:cs="Times New Roman"/>
          <w:sz w:val="28"/>
          <w:szCs w:val="28"/>
        </w:rPr>
      </w:pPr>
      <w:r>
        <w:rPr>
          <w:rFonts w:ascii="Times New Roman" w:hAnsi="Times New Roman" w:cs="Times New Roman"/>
          <w:sz w:val="28"/>
          <w:szCs w:val="28"/>
        </w:rPr>
        <w:t xml:space="preserve">Non è, infatti, in alcun modo dimostrato che gli accordi partecipativi incentivati dal parziale divieto di subappalto garantiscano di </w:t>
      </w:r>
      <w:r w:rsidR="00CE3AB4">
        <w:rPr>
          <w:rFonts w:ascii="Times New Roman" w:hAnsi="Times New Roman" w:cs="Times New Roman"/>
          <w:sz w:val="28"/>
          <w:szCs w:val="28"/>
        </w:rPr>
        <w:t xml:space="preserve">più le piccole e medie imprese, </w:t>
      </w:r>
      <w:r>
        <w:rPr>
          <w:rFonts w:ascii="Times New Roman" w:hAnsi="Times New Roman" w:cs="Times New Roman"/>
          <w:sz w:val="28"/>
          <w:szCs w:val="28"/>
        </w:rPr>
        <w:t>come, peraltro, espressamente chiarito dalla CGUE nella recente sent</w:t>
      </w:r>
      <w:r w:rsidR="00CE3AB4">
        <w:rPr>
          <w:rFonts w:ascii="Times New Roman" w:hAnsi="Times New Roman" w:cs="Times New Roman"/>
          <w:sz w:val="28"/>
          <w:szCs w:val="28"/>
        </w:rPr>
        <w:t>enza 5 aprile 2017.</w:t>
      </w:r>
    </w:p>
    <w:p w:rsidR="00E041C1" w:rsidRDefault="00CE3AB4" w:rsidP="00E041C1">
      <w:pPr>
        <w:ind w:left="360"/>
        <w:jc w:val="both"/>
        <w:rPr>
          <w:rFonts w:ascii="Times New Roman" w:hAnsi="Times New Roman" w:cs="Times New Roman"/>
          <w:sz w:val="28"/>
          <w:szCs w:val="28"/>
        </w:rPr>
      </w:pPr>
      <w:r>
        <w:rPr>
          <w:rFonts w:ascii="Times New Roman" w:hAnsi="Times New Roman" w:cs="Times New Roman"/>
          <w:sz w:val="28"/>
          <w:szCs w:val="28"/>
        </w:rPr>
        <w:t>I</w:t>
      </w:r>
      <w:r w:rsidR="00E041C1">
        <w:rPr>
          <w:rFonts w:ascii="Times New Roman" w:hAnsi="Times New Roman" w:cs="Times New Roman"/>
          <w:sz w:val="28"/>
          <w:szCs w:val="28"/>
        </w:rPr>
        <w:t xml:space="preserve">l subappalto, </w:t>
      </w:r>
      <w:r>
        <w:rPr>
          <w:rFonts w:ascii="Times New Roman" w:hAnsi="Times New Roman" w:cs="Times New Roman"/>
          <w:sz w:val="28"/>
          <w:szCs w:val="28"/>
        </w:rPr>
        <w:t xml:space="preserve">infatti, </w:t>
      </w:r>
      <w:r w:rsidR="00E041C1">
        <w:rPr>
          <w:rFonts w:ascii="Times New Roman" w:hAnsi="Times New Roman" w:cs="Times New Roman"/>
          <w:sz w:val="28"/>
          <w:szCs w:val="28"/>
        </w:rPr>
        <w:t>se circondato da ulteriori garanzie di protezione delle imprese subappaltatrici e dei loro dipendenti, sembra assicurare in maniera più duttile ed effettiva l’acquisizione d</w:t>
      </w:r>
      <w:r>
        <w:rPr>
          <w:rFonts w:ascii="Times New Roman" w:hAnsi="Times New Roman" w:cs="Times New Roman"/>
          <w:sz w:val="28"/>
          <w:szCs w:val="28"/>
        </w:rPr>
        <w:t>i segmenti contrattuali ai quali</w:t>
      </w:r>
      <w:r w:rsidR="00E041C1">
        <w:rPr>
          <w:rFonts w:ascii="Times New Roman" w:hAnsi="Times New Roman" w:cs="Times New Roman"/>
          <w:sz w:val="28"/>
          <w:szCs w:val="28"/>
        </w:rPr>
        <w:t xml:space="preserve"> le PMI dovrebbero altri</w:t>
      </w:r>
      <w:r w:rsidR="00754278">
        <w:rPr>
          <w:rFonts w:ascii="Times New Roman" w:hAnsi="Times New Roman" w:cs="Times New Roman"/>
          <w:sz w:val="28"/>
          <w:szCs w:val="28"/>
        </w:rPr>
        <w:t>menti accedere per mezzo di ATI</w:t>
      </w:r>
      <w:r w:rsidR="00E041C1">
        <w:rPr>
          <w:rFonts w:ascii="Times New Roman" w:hAnsi="Times New Roman" w:cs="Times New Roman"/>
          <w:sz w:val="28"/>
          <w:szCs w:val="28"/>
        </w:rPr>
        <w:t xml:space="preserve"> </w:t>
      </w:r>
      <w:r w:rsidR="00754278">
        <w:rPr>
          <w:rFonts w:ascii="Times New Roman" w:hAnsi="Times New Roman" w:cs="Times New Roman"/>
          <w:sz w:val="28"/>
          <w:szCs w:val="28"/>
        </w:rPr>
        <w:t>(nelle quali, forse,</w:t>
      </w:r>
      <w:r w:rsidR="00E041C1">
        <w:rPr>
          <w:rFonts w:ascii="Times New Roman" w:hAnsi="Times New Roman" w:cs="Times New Roman"/>
          <w:sz w:val="28"/>
          <w:szCs w:val="28"/>
        </w:rPr>
        <w:t xml:space="preserve"> la lor</w:t>
      </w:r>
      <w:r w:rsidR="000A5057">
        <w:rPr>
          <w:rFonts w:ascii="Times New Roman" w:hAnsi="Times New Roman" w:cs="Times New Roman"/>
          <w:sz w:val="28"/>
          <w:szCs w:val="28"/>
        </w:rPr>
        <w:t>o</w:t>
      </w:r>
      <w:r w:rsidR="00E041C1">
        <w:rPr>
          <w:rFonts w:ascii="Times New Roman" w:hAnsi="Times New Roman" w:cs="Times New Roman"/>
          <w:sz w:val="28"/>
          <w:szCs w:val="28"/>
        </w:rPr>
        <w:t xml:space="preserve"> posizione di debolezza le esporrebbe a un trattamento ancora meno garantito</w:t>
      </w:r>
      <w:r w:rsidR="00754278">
        <w:rPr>
          <w:rFonts w:ascii="Times New Roman" w:hAnsi="Times New Roman" w:cs="Times New Roman"/>
          <w:sz w:val="28"/>
          <w:szCs w:val="28"/>
        </w:rPr>
        <w:t>)</w:t>
      </w:r>
      <w:r w:rsidR="00E041C1">
        <w:rPr>
          <w:rFonts w:ascii="Times New Roman" w:hAnsi="Times New Roman" w:cs="Times New Roman"/>
          <w:sz w:val="28"/>
          <w:szCs w:val="28"/>
        </w:rPr>
        <w:t>.</w:t>
      </w:r>
    </w:p>
    <w:p w:rsidR="00754278" w:rsidRDefault="00754278" w:rsidP="00754278">
      <w:pPr>
        <w:ind w:left="360"/>
        <w:jc w:val="both"/>
        <w:rPr>
          <w:rFonts w:ascii="Times New Roman" w:hAnsi="Times New Roman" w:cs="Times New Roman"/>
          <w:sz w:val="28"/>
          <w:szCs w:val="28"/>
        </w:rPr>
      </w:pPr>
      <w:r>
        <w:rPr>
          <w:rFonts w:ascii="Times New Roman" w:hAnsi="Times New Roman" w:cs="Times New Roman"/>
          <w:sz w:val="28"/>
          <w:szCs w:val="28"/>
        </w:rPr>
        <w:t xml:space="preserve">Non solo, ma, soprattutto, la partecipazione delle PMI come co-offerenti le espone ad assumere responsabilità contrattuali dirette nei riguardi della stazione appaltante, mentre con il subappalto la responsabilità resta </w:t>
      </w:r>
      <w:r w:rsidR="00E316A3">
        <w:rPr>
          <w:rFonts w:ascii="Times New Roman" w:hAnsi="Times New Roman" w:cs="Times New Roman"/>
          <w:sz w:val="28"/>
          <w:szCs w:val="28"/>
        </w:rPr>
        <w:t xml:space="preserve">intestata, </w:t>
      </w:r>
      <w:r>
        <w:rPr>
          <w:rFonts w:ascii="Times New Roman" w:hAnsi="Times New Roman" w:cs="Times New Roman"/>
          <w:sz w:val="28"/>
          <w:szCs w:val="28"/>
        </w:rPr>
        <w:t>in via esclusiva</w:t>
      </w:r>
      <w:r w:rsidR="00E316A3">
        <w:rPr>
          <w:rFonts w:ascii="Times New Roman" w:hAnsi="Times New Roman" w:cs="Times New Roman"/>
          <w:sz w:val="28"/>
          <w:szCs w:val="28"/>
        </w:rPr>
        <w:t>,</w:t>
      </w:r>
      <w:r>
        <w:rPr>
          <w:rFonts w:ascii="Times New Roman" w:hAnsi="Times New Roman" w:cs="Times New Roman"/>
          <w:sz w:val="28"/>
          <w:szCs w:val="28"/>
        </w:rPr>
        <w:t xml:space="preserve"> in capo all’impresa aggiudicat</w:t>
      </w:r>
      <w:r w:rsidR="00F06DDC">
        <w:rPr>
          <w:rFonts w:ascii="Times New Roman" w:hAnsi="Times New Roman" w:cs="Times New Roman"/>
          <w:sz w:val="28"/>
          <w:szCs w:val="28"/>
        </w:rPr>
        <w:t>aria</w:t>
      </w:r>
      <w:r w:rsidR="0021776B">
        <w:rPr>
          <w:rFonts w:ascii="Times New Roman" w:hAnsi="Times New Roman" w:cs="Times New Roman"/>
          <w:sz w:val="28"/>
          <w:szCs w:val="28"/>
        </w:rPr>
        <w:t xml:space="preserve">, </w:t>
      </w:r>
      <w:r w:rsidR="005E42A9">
        <w:rPr>
          <w:rFonts w:ascii="Times New Roman" w:hAnsi="Times New Roman" w:cs="Times New Roman"/>
          <w:sz w:val="28"/>
          <w:szCs w:val="28"/>
        </w:rPr>
        <w:t xml:space="preserve">con un evidente vantaggio per quelle </w:t>
      </w:r>
      <w:r w:rsidR="00E036E2">
        <w:rPr>
          <w:rFonts w:ascii="Times New Roman" w:hAnsi="Times New Roman" w:cs="Times New Roman"/>
          <w:sz w:val="28"/>
          <w:szCs w:val="28"/>
        </w:rPr>
        <w:t>subappaltatrici</w:t>
      </w:r>
      <w:r w:rsidR="0021776B">
        <w:rPr>
          <w:rFonts w:ascii="Times New Roman" w:hAnsi="Times New Roman" w:cs="Times New Roman"/>
          <w:sz w:val="28"/>
          <w:szCs w:val="28"/>
        </w:rPr>
        <w:t xml:space="preserve"> (oltre che per la stessa Amministrazione, che rimane garantita dall’operatore che ha selezionato</w:t>
      </w:r>
      <w:r w:rsidR="005E42A9">
        <w:rPr>
          <w:rFonts w:ascii="Times New Roman" w:hAnsi="Times New Roman" w:cs="Times New Roman"/>
          <w:sz w:val="28"/>
          <w:szCs w:val="28"/>
        </w:rPr>
        <w:t>)</w:t>
      </w:r>
      <w:r>
        <w:rPr>
          <w:rFonts w:ascii="Times New Roman" w:hAnsi="Times New Roman" w:cs="Times New Roman"/>
          <w:sz w:val="28"/>
          <w:szCs w:val="28"/>
        </w:rPr>
        <w:t>.</w:t>
      </w:r>
    </w:p>
    <w:p w:rsidR="00267EE9" w:rsidRDefault="00BE1BF0" w:rsidP="00ED5E78">
      <w:pPr>
        <w:ind w:left="360"/>
        <w:jc w:val="both"/>
        <w:rPr>
          <w:rFonts w:ascii="Times New Roman" w:hAnsi="Times New Roman" w:cs="Times New Roman"/>
          <w:sz w:val="28"/>
          <w:szCs w:val="28"/>
        </w:rPr>
      </w:pPr>
      <w:r>
        <w:rPr>
          <w:rFonts w:ascii="Times New Roman" w:hAnsi="Times New Roman" w:cs="Times New Roman"/>
          <w:sz w:val="28"/>
          <w:szCs w:val="28"/>
        </w:rPr>
        <w:t xml:space="preserve">I correttivi </w:t>
      </w:r>
      <w:r w:rsidR="00E041C1">
        <w:rPr>
          <w:rFonts w:ascii="Times New Roman" w:hAnsi="Times New Roman" w:cs="Times New Roman"/>
          <w:sz w:val="28"/>
          <w:szCs w:val="28"/>
        </w:rPr>
        <w:t>al problema (correttamente segnalato) vanno, allora, ricercati altrove e con interventi diversi dalle limitazioni quantitative, come meglio di seguito precisato.</w:t>
      </w:r>
    </w:p>
    <w:p w:rsidR="005E42A9" w:rsidRPr="005E42A9" w:rsidRDefault="005E42A9" w:rsidP="00ED5E78">
      <w:pPr>
        <w:ind w:left="360"/>
        <w:jc w:val="both"/>
        <w:rPr>
          <w:rFonts w:ascii="Times New Roman" w:hAnsi="Times New Roman" w:cs="Times New Roman"/>
          <w:b/>
          <w:sz w:val="28"/>
          <w:szCs w:val="28"/>
        </w:rPr>
      </w:pPr>
      <w:r>
        <w:rPr>
          <w:rFonts w:ascii="Times New Roman" w:hAnsi="Times New Roman" w:cs="Times New Roman"/>
          <w:b/>
          <w:sz w:val="28"/>
          <w:szCs w:val="28"/>
        </w:rPr>
        <w:t>7.- I possibili correttivi</w:t>
      </w:r>
    </w:p>
    <w:p w:rsidR="00A774E3" w:rsidRDefault="00ED5E78" w:rsidP="00ED5E78">
      <w:pPr>
        <w:ind w:left="360"/>
        <w:jc w:val="both"/>
        <w:rPr>
          <w:rFonts w:ascii="Times New Roman" w:hAnsi="Times New Roman" w:cs="Times New Roman"/>
          <w:sz w:val="28"/>
          <w:szCs w:val="28"/>
        </w:rPr>
      </w:pPr>
      <w:r>
        <w:rPr>
          <w:rFonts w:ascii="Times New Roman" w:hAnsi="Times New Roman" w:cs="Times New Roman"/>
          <w:sz w:val="28"/>
          <w:szCs w:val="28"/>
        </w:rPr>
        <w:t>Una so</w:t>
      </w:r>
      <w:r w:rsidR="00E041C1">
        <w:rPr>
          <w:rFonts w:ascii="Times New Roman" w:hAnsi="Times New Roman" w:cs="Times New Roman"/>
          <w:sz w:val="28"/>
          <w:szCs w:val="28"/>
        </w:rPr>
        <w:t>luzione equilibrata ai</w:t>
      </w:r>
      <w:r>
        <w:rPr>
          <w:rFonts w:ascii="Times New Roman" w:hAnsi="Times New Roman" w:cs="Times New Roman"/>
          <w:sz w:val="28"/>
          <w:szCs w:val="28"/>
        </w:rPr>
        <w:t xml:space="preserve"> profili di incoerenza tra le due normative potrebbe, allora, essere ravvisata </w:t>
      </w:r>
      <w:r w:rsidR="00055E68">
        <w:rPr>
          <w:rFonts w:ascii="Times New Roman" w:hAnsi="Times New Roman" w:cs="Times New Roman"/>
          <w:sz w:val="28"/>
          <w:szCs w:val="28"/>
        </w:rPr>
        <w:t xml:space="preserve">nella rimozione della limitazione quantitativa </w:t>
      </w:r>
      <w:r w:rsidR="0038304D">
        <w:rPr>
          <w:rFonts w:ascii="Times New Roman" w:hAnsi="Times New Roman" w:cs="Times New Roman"/>
          <w:sz w:val="28"/>
          <w:szCs w:val="28"/>
        </w:rPr>
        <w:t xml:space="preserve">(o in una sua rimodulazione, come appresso suggerito) </w:t>
      </w:r>
      <w:r w:rsidR="00055E68">
        <w:rPr>
          <w:rFonts w:ascii="Times New Roman" w:hAnsi="Times New Roman" w:cs="Times New Roman"/>
          <w:sz w:val="28"/>
          <w:szCs w:val="28"/>
        </w:rPr>
        <w:t xml:space="preserve">e nella contestuale </w:t>
      </w:r>
      <w:r>
        <w:rPr>
          <w:rFonts w:ascii="Times New Roman" w:hAnsi="Times New Roman" w:cs="Times New Roman"/>
          <w:sz w:val="28"/>
          <w:szCs w:val="28"/>
        </w:rPr>
        <w:t xml:space="preserve">adozione di misure, legislative, ma anche </w:t>
      </w:r>
      <w:r w:rsidR="00055E68">
        <w:rPr>
          <w:rFonts w:ascii="Times New Roman" w:hAnsi="Times New Roman" w:cs="Times New Roman"/>
          <w:sz w:val="28"/>
          <w:szCs w:val="28"/>
        </w:rPr>
        <w:t>afferenti al potere</w:t>
      </w:r>
      <w:r w:rsidR="004973E4">
        <w:rPr>
          <w:rFonts w:ascii="Times New Roman" w:hAnsi="Times New Roman" w:cs="Times New Roman"/>
          <w:sz w:val="28"/>
          <w:szCs w:val="28"/>
        </w:rPr>
        <w:t xml:space="preserve"> di indirizzo dell’ANAC,</w:t>
      </w:r>
      <w:r w:rsidR="0038304D">
        <w:rPr>
          <w:rFonts w:ascii="Times New Roman" w:hAnsi="Times New Roman" w:cs="Times New Roman"/>
          <w:sz w:val="28"/>
          <w:szCs w:val="28"/>
        </w:rPr>
        <w:t xml:space="preserve"> che servano a impedire</w:t>
      </w:r>
      <w:r w:rsidR="00A774E3">
        <w:rPr>
          <w:rFonts w:ascii="Times New Roman" w:hAnsi="Times New Roman" w:cs="Times New Roman"/>
          <w:sz w:val="28"/>
          <w:szCs w:val="28"/>
        </w:rPr>
        <w:t xml:space="preserve"> la traslazione </w:t>
      </w:r>
      <w:r w:rsidR="005E04F3">
        <w:rPr>
          <w:rFonts w:ascii="Times New Roman" w:hAnsi="Times New Roman" w:cs="Times New Roman"/>
          <w:sz w:val="28"/>
          <w:szCs w:val="28"/>
        </w:rPr>
        <w:t>dell’esecuzione</w:t>
      </w:r>
      <w:r w:rsidR="00A774E3">
        <w:rPr>
          <w:rFonts w:ascii="Times New Roman" w:hAnsi="Times New Roman" w:cs="Times New Roman"/>
          <w:sz w:val="28"/>
          <w:szCs w:val="28"/>
        </w:rPr>
        <w:t xml:space="preserve"> </w:t>
      </w:r>
      <w:r w:rsidR="00375B42">
        <w:rPr>
          <w:rFonts w:ascii="Times New Roman" w:hAnsi="Times New Roman" w:cs="Times New Roman"/>
          <w:sz w:val="28"/>
          <w:szCs w:val="28"/>
        </w:rPr>
        <w:t>dell’appalto a imprese infette</w:t>
      </w:r>
      <w:r w:rsidR="00E316A3">
        <w:rPr>
          <w:rFonts w:ascii="Times New Roman" w:hAnsi="Times New Roman" w:cs="Times New Roman"/>
          <w:sz w:val="28"/>
          <w:szCs w:val="28"/>
        </w:rPr>
        <w:t xml:space="preserve"> o</w:t>
      </w:r>
      <w:r w:rsidR="00A774E3">
        <w:rPr>
          <w:rFonts w:ascii="Times New Roman" w:hAnsi="Times New Roman" w:cs="Times New Roman"/>
          <w:sz w:val="28"/>
          <w:szCs w:val="28"/>
        </w:rPr>
        <w:t xml:space="preserve"> che </w:t>
      </w:r>
      <w:r w:rsidR="000A5057">
        <w:rPr>
          <w:rFonts w:ascii="Times New Roman" w:hAnsi="Times New Roman" w:cs="Times New Roman"/>
          <w:sz w:val="28"/>
          <w:szCs w:val="28"/>
        </w:rPr>
        <w:t xml:space="preserve">non </w:t>
      </w:r>
      <w:r w:rsidR="00A774E3">
        <w:rPr>
          <w:rFonts w:ascii="Times New Roman" w:hAnsi="Times New Roman" w:cs="Times New Roman"/>
          <w:sz w:val="28"/>
          <w:szCs w:val="28"/>
        </w:rPr>
        <w:t>garantiscano la qualità delle prestazioni su</w:t>
      </w:r>
      <w:r w:rsidR="00F24EDA">
        <w:rPr>
          <w:rFonts w:ascii="Times New Roman" w:hAnsi="Times New Roman" w:cs="Times New Roman"/>
          <w:sz w:val="28"/>
          <w:szCs w:val="28"/>
        </w:rPr>
        <w:t>bappaltate</w:t>
      </w:r>
      <w:r w:rsidR="00A774E3">
        <w:rPr>
          <w:rFonts w:ascii="Times New Roman" w:hAnsi="Times New Roman" w:cs="Times New Roman"/>
          <w:sz w:val="28"/>
          <w:szCs w:val="28"/>
        </w:rPr>
        <w:t xml:space="preserve"> </w:t>
      </w:r>
      <w:r w:rsidR="00E316A3">
        <w:rPr>
          <w:rFonts w:ascii="Times New Roman" w:hAnsi="Times New Roman" w:cs="Times New Roman"/>
          <w:sz w:val="28"/>
          <w:szCs w:val="28"/>
        </w:rPr>
        <w:t>ovvero, ancora,</w:t>
      </w:r>
      <w:r w:rsidR="00E041C1">
        <w:rPr>
          <w:rFonts w:ascii="Times New Roman" w:hAnsi="Times New Roman" w:cs="Times New Roman"/>
          <w:sz w:val="28"/>
          <w:szCs w:val="28"/>
        </w:rPr>
        <w:t xml:space="preserve"> che </w:t>
      </w:r>
      <w:r w:rsidR="000A5057">
        <w:rPr>
          <w:rFonts w:ascii="Times New Roman" w:hAnsi="Times New Roman" w:cs="Times New Roman"/>
          <w:sz w:val="28"/>
          <w:szCs w:val="28"/>
        </w:rPr>
        <w:t xml:space="preserve">non </w:t>
      </w:r>
      <w:r w:rsidR="00E041C1">
        <w:rPr>
          <w:rFonts w:ascii="Times New Roman" w:hAnsi="Times New Roman" w:cs="Times New Roman"/>
          <w:sz w:val="28"/>
          <w:szCs w:val="28"/>
        </w:rPr>
        <w:t xml:space="preserve">risultino adeguatamente tutelate </w:t>
      </w:r>
      <w:r w:rsidR="00A774E3">
        <w:rPr>
          <w:rFonts w:ascii="Times New Roman" w:hAnsi="Times New Roman" w:cs="Times New Roman"/>
          <w:sz w:val="28"/>
          <w:szCs w:val="28"/>
        </w:rPr>
        <w:t>(evitando, ad esempio, che nel sub-affidamento la decurtazione del corrispettivo rischi di pregiudicare la corretta esecuzione dell’appalto</w:t>
      </w:r>
      <w:r w:rsidR="00E041C1">
        <w:rPr>
          <w:rFonts w:ascii="Times New Roman" w:hAnsi="Times New Roman" w:cs="Times New Roman"/>
          <w:sz w:val="28"/>
          <w:szCs w:val="28"/>
        </w:rPr>
        <w:t>, oltre alla posizione dei dipendenti dell’impresa subappaltatrice)</w:t>
      </w:r>
      <w:r w:rsidR="00A774E3">
        <w:rPr>
          <w:rFonts w:ascii="Times New Roman" w:hAnsi="Times New Roman" w:cs="Times New Roman"/>
          <w:sz w:val="28"/>
          <w:szCs w:val="28"/>
        </w:rPr>
        <w:t>.</w:t>
      </w:r>
    </w:p>
    <w:p w:rsidR="00A774E3" w:rsidRDefault="00A774E3" w:rsidP="00055E68">
      <w:pPr>
        <w:ind w:left="360"/>
        <w:jc w:val="both"/>
        <w:rPr>
          <w:rFonts w:ascii="Times New Roman" w:hAnsi="Times New Roman" w:cs="Times New Roman"/>
          <w:sz w:val="28"/>
          <w:szCs w:val="28"/>
        </w:rPr>
      </w:pPr>
      <w:r>
        <w:rPr>
          <w:rFonts w:ascii="Times New Roman" w:hAnsi="Times New Roman" w:cs="Times New Roman"/>
          <w:sz w:val="28"/>
          <w:szCs w:val="28"/>
        </w:rPr>
        <w:t xml:space="preserve">Più che ridurre l’ambito oggettivo di operatività dell’istituto, servono, in definitiva, regole che </w:t>
      </w:r>
      <w:r w:rsidR="004A2AB2">
        <w:rPr>
          <w:rFonts w:ascii="Times New Roman" w:hAnsi="Times New Roman" w:cs="Times New Roman"/>
          <w:sz w:val="28"/>
          <w:szCs w:val="28"/>
        </w:rPr>
        <w:t>permettano alla stazione appaltante di verificare che le prestazioni subappaltat</w:t>
      </w:r>
      <w:r w:rsidR="000A5057">
        <w:rPr>
          <w:rFonts w:ascii="Times New Roman" w:hAnsi="Times New Roman" w:cs="Times New Roman"/>
          <w:sz w:val="28"/>
          <w:szCs w:val="28"/>
        </w:rPr>
        <w:t>e siano eseguite correttamente,</w:t>
      </w:r>
      <w:r w:rsidR="004A2AB2">
        <w:rPr>
          <w:rFonts w:ascii="Times New Roman" w:hAnsi="Times New Roman" w:cs="Times New Roman"/>
          <w:sz w:val="28"/>
          <w:szCs w:val="28"/>
        </w:rPr>
        <w:t xml:space="preserve"> da imprese qualificate e immuni </w:t>
      </w:r>
      <w:r w:rsidR="00D32CA9">
        <w:rPr>
          <w:rFonts w:ascii="Times New Roman" w:hAnsi="Times New Roman" w:cs="Times New Roman"/>
          <w:sz w:val="28"/>
          <w:szCs w:val="28"/>
        </w:rPr>
        <w:t>da contaminazioni mafiose</w:t>
      </w:r>
      <w:r w:rsidR="00055E68">
        <w:rPr>
          <w:rFonts w:ascii="Times New Roman" w:hAnsi="Times New Roman" w:cs="Times New Roman"/>
          <w:sz w:val="28"/>
          <w:szCs w:val="28"/>
        </w:rPr>
        <w:t>, tanto che la stessa Corte di Giustizia UE ha giudicato legittimo il</w:t>
      </w:r>
      <w:r w:rsidR="00375B42">
        <w:rPr>
          <w:rFonts w:ascii="Times New Roman" w:hAnsi="Times New Roman" w:cs="Times New Roman"/>
          <w:sz w:val="28"/>
          <w:szCs w:val="28"/>
        </w:rPr>
        <w:t xml:space="preserve"> divieto di subappalto nella sola ipotesi in cui l’A</w:t>
      </w:r>
      <w:r w:rsidR="00055E68">
        <w:rPr>
          <w:rFonts w:ascii="Times New Roman" w:hAnsi="Times New Roman" w:cs="Times New Roman"/>
          <w:sz w:val="28"/>
          <w:szCs w:val="28"/>
        </w:rPr>
        <w:t>mministrazione non ha potuto verificare la capacità dei subappaltatori indicati (CGUE, 18 marzo 2004, Siemens e ARGE Telekom, C-314/01)</w:t>
      </w:r>
      <w:r w:rsidR="000A5057">
        <w:rPr>
          <w:rFonts w:ascii="Times New Roman" w:hAnsi="Times New Roman" w:cs="Times New Roman"/>
          <w:sz w:val="28"/>
          <w:szCs w:val="28"/>
        </w:rPr>
        <w:t>, e che restino adeguatamente protette nel rapporto contrattuale con l’impresa aggiudicataria.</w:t>
      </w:r>
    </w:p>
    <w:p w:rsidR="00D32CA9" w:rsidRDefault="00D32CA9" w:rsidP="00ED5E78">
      <w:pPr>
        <w:ind w:left="360"/>
        <w:jc w:val="both"/>
        <w:rPr>
          <w:rFonts w:ascii="Times New Roman" w:hAnsi="Times New Roman" w:cs="Times New Roman"/>
          <w:sz w:val="28"/>
          <w:szCs w:val="28"/>
        </w:rPr>
      </w:pPr>
      <w:r>
        <w:rPr>
          <w:rFonts w:ascii="Times New Roman" w:hAnsi="Times New Roman" w:cs="Times New Roman"/>
          <w:sz w:val="28"/>
          <w:szCs w:val="28"/>
        </w:rPr>
        <w:t xml:space="preserve">Come si è già rilevato, l’apparato regolatorio vigente garantisce in larga misura tali obiettivi, ma lo sforzo di prevenzione dei rischi di infiltrazioni criminali </w:t>
      </w:r>
      <w:r w:rsidR="000A5057">
        <w:rPr>
          <w:rFonts w:ascii="Times New Roman" w:hAnsi="Times New Roman" w:cs="Times New Roman"/>
          <w:sz w:val="28"/>
          <w:szCs w:val="28"/>
        </w:rPr>
        <w:t xml:space="preserve">e di garanzia della qualità della prestazione </w:t>
      </w:r>
      <w:r>
        <w:rPr>
          <w:rFonts w:ascii="Times New Roman" w:hAnsi="Times New Roman" w:cs="Times New Roman"/>
          <w:sz w:val="28"/>
          <w:szCs w:val="28"/>
        </w:rPr>
        <w:t>può essere implementato accrescendo i controlli, e non vietando (in tutto o in parte) il subappalto.</w:t>
      </w:r>
    </w:p>
    <w:p w:rsidR="00341F7B" w:rsidRDefault="00D32CA9" w:rsidP="00ED5E78">
      <w:pPr>
        <w:ind w:left="360"/>
        <w:jc w:val="both"/>
        <w:rPr>
          <w:rFonts w:ascii="Times New Roman" w:hAnsi="Times New Roman" w:cs="Times New Roman"/>
          <w:sz w:val="28"/>
          <w:szCs w:val="28"/>
        </w:rPr>
      </w:pPr>
      <w:r>
        <w:rPr>
          <w:rFonts w:ascii="Times New Roman" w:hAnsi="Times New Roman" w:cs="Times New Roman"/>
          <w:sz w:val="28"/>
          <w:szCs w:val="28"/>
        </w:rPr>
        <w:t>In questa prospettiva, lo strumento del subappalto può recuperare la sua reale funzione di promozione della concorrenza e di apertura del mercato alle piccole e medie imprese</w:t>
      </w:r>
      <w:r w:rsidR="00F24EDA">
        <w:rPr>
          <w:rFonts w:ascii="Times New Roman" w:hAnsi="Times New Roman" w:cs="Times New Roman"/>
          <w:sz w:val="28"/>
          <w:szCs w:val="28"/>
        </w:rPr>
        <w:t xml:space="preserve"> (come voluto proprio dal regolatore europeo)</w:t>
      </w:r>
      <w:r>
        <w:rPr>
          <w:rFonts w:ascii="Times New Roman" w:hAnsi="Times New Roman" w:cs="Times New Roman"/>
          <w:sz w:val="28"/>
          <w:szCs w:val="28"/>
        </w:rPr>
        <w:t>.</w:t>
      </w:r>
    </w:p>
    <w:p w:rsidR="00341F7B" w:rsidRDefault="00341F7B" w:rsidP="00ED5E78">
      <w:pPr>
        <w:ind w:left="360"/>
        <w:jc w:val="both"/>
        <w:rPr>
          <w:rFonts w:ascii="Times New Roman" w:hAnsi="Times New Roman" w:cs="Times New Roman"/>
          <w:sz w:val="28"/>
          <w:szCs w:val="28"/>
        </w:rPr>
      </w:pPr>
      <w:r>
        <w:rPr>
          <w:rFonts w:ascii="Times New Roman" w:hAnsi="Times New Roman" w:cs="Times New Roman"/>
          <w:sz w:val="28"/>
          <w:szCs w:val="28"/>
        </w:rPr>
        <w:t>Se, poi, si intende evitare che l’impresa aggiudicataria si spogli per intero dell’appalto e prescrivere, quindi, che esegua almeno una parte della prestazione, si potrebbe immaginare una modifica che inverta le quote (e che vieti</w:t>
      </w:r>
      <w:r w:rsidR="00375B42">
        <w:rPr>
          <w:rFonts w:ascii="Times New Roman" w:hAnsi="Times New Roman" w:cs="Times New Roman"/>
          <w:sz w:val="28"/>
          <w:szCs w:val="28"/>
        </w:rPr>
        <w:t xml:space="preserve">, quindi, il subappalto del 30%, invece del 70%, </w:t>
      </w:r>
      <w:r>
        <w:rPr>
          <w:rFonts w:ascii="Times New Roman" w:hAnsi="Times New Roman" w:cs="Times New Roman"/>
          <w:sz w:val="28"/>
          <w:szCs w:val="28"/>
        </w:rPr>
        <w:t>dell’importo).</w:t>
      </w:r>
    </w:p>
    <w:p w:rsidR="00341F7B" w:rsidRDefault="00341F7B" w:rsidP="00ED5E78">
      <w:pPr>
        <w:ind w:left="360"/>
        <w:jc w:val="both"/>
        <w:rPr>
          <w:rFonts w:ascii="Times New Roman" w:hAnsi="Times New Roman" w:cs="Times New Roman"/>
          <w:sz w:val="28"/>
          <w:szCs w:val="28"/>
        </w:rPr>
      </w:pPr>
      <w:r>
        <w:rPr>
          <w:rFonts w:ascii="Times New Roman" w:hAnsi="Times New Roman" w:cs="Times New Roman"/>
          <w:sz w:val="28"/>
          <w:szCs w:val="28"/>
        </w:rPr>
        <w:t>Una modifica così concepita resisterebbe con maggiori chance</w:t>
      </w:r>
      <w:r w:rsidR="00876FEF">
        <w:rPr>
          <w:rFonts w:ascii="Times New Roman" w:hAnsi="Times New Roman" w:cs="Times New Roman"/>
          <w:sz w:val="28"/>
          <w:szCs w:val="28"/>
        </w:rPr>
        <w:t>s</w:t>
      </w:r>
      <w:r>
        <w:rPr>
          <w:rFonts w:ascii="Times New Roman" w:hAnsi="Times New Roman" w:cs="Times New Roman"/>
          <w:sz w:val="28"/>
          <w:szCs w:val="28"/>
        </w:rPr>
        <w:t xml:space="preserve"> di successo alle contestazioni europee, nella misura in cui si fonda su</w:t>
      </w:r>
      <w:r w:rsidR="00375B42">
        <w:rPr>
          <w:rFonts w:ascii="Times New Roman" w:hAnsi="Times New Roman" w:cs="Times New Roman"/>
          <w:sz w:val="28"/>
          <w:szCs w:val="28"/>
        </w:rPr>
        <w:t>l</w:t>
      </w:r>
      <w:r>
        <w:rPr>
          <w:rFonts w:ascii="Times New Roman" w:hAnsi="Times New Roman" w:cs="Times New Roman"/>
          <w:sz w:val="28"/>
          <w:szCs w:val="28"/>
        </w:rPr>
        <w:t>la ragionevole e proporzionata esigenza di garantire che l’operatore economico affidatario realizzi almeno una porzione dell’appalto.</w:t>
      </w:r>
    </w:p>
    <w:p w:rsidR="00ED5E78" w:rsidRDefault="00341F7B" w:rsidP="00ED5E78">
      <w:pPr>
        <w:ind w:left="360"/>
        <w:jc w:val="both"/>
        <w:rPr>
          <w:rFonts w:ascii="Times New Roman" w:hAnsi="Times New Roman" w:cs="Times New Roman"/>
          <w:sz w:val="28"/>
          <w:szCs w:val="28"/>
        </w:rPr>
      </w:pPr>
      <w:r>
        <w:rPr>
          <w:rFonts w:ascii="Times New Roman" w:hAnsi="Times New Roman" w:cs="Times New Roman"/>
          <w:sz w:val="28"/>
          <w:szCs w:val="28"/>
        </w:rPr>
        <w:t>Occorre, in definitiva, selezionare gli interventi regolativi in modo da garantire, sì, la protezione dei contra</w:t>
      </w:r>
      <w:r w:rsidR="00375B42">
        <w:rPr>
          <w:rFonts w:ascii="Times New Roman" w:hAnsi="Times New Roman" w:cs="Times New Roman"/>
          <w:sz w:val="28"/>
          <w:szCs w:val="28"/>
        </w:rPr>
        <w:t>t</w:t>
      </w:r>
      <w:r>
        <w:rPr>
          <w:rFonts w:ascii="Times New Roman" w:hAnsi="Times New Roman" w:cs="Times New Roman"/>
          <w:sz w:val="28"/>
          <w:szCs w:val="28"/>
        </w:rPr>
        <w:t>ti pubblici dai tentativi di infiltrazione della crim</w:t>
      </w:r>
      <w:r w:rsidR="0038304D">
        <w:rPr>
          <w:rFonts w:ascii="Times New Roman" w:hAnsi="Times New Roman" w:cs="Times New Roman"/>
          <w:sz w:val="28"/>
          <w:szCs w:val="28"/>
        </w:rPr>
        <w:t>inalità organizzata</w:t>
      </w:r>
      <w:r w:rsidR="000A5057">
        <w:rPr>
          <w:rFonts w:ascii="Times New Roman" w:hAnsi="Times New Roman" w:cs="Times New Roman"/>
          <w:sz w:val="28"/>
          <w:szCs w:val="28"/>
        </w:rPr>
        <w:t xml:space="preserve"> e dai rischi di distorsioni nelle dinamiche imprenditoriali del sub-affidamento</w:t>
      </w:r>
      <w:r w:rsidR="0038304D">
        <w:rPr>
          <w:rFonts w:ascii="Times New Roman" w:hAnsi="Times New Roman" w:cs="Times New Roman"/>
          <w:sz w:val="28"/>
          <w:szCs w:val="28"/>
        </w:rPr>
        <w:t>, ma senza s</w:t>
      </w:r>
      <w:r>
        <w:rPr>
          <w:rFonts w:ascii="Times New Roman" w:hAnsi="Times New Roman" w:cs="Times New Roman"/>
          <w:sz w:val="28"/>
          <w:szCs w:val="28"/>
        </w:rPr>
        <w:t>a</w:t>
      </w:r>
      <w:r w:rsidR="0038304D">
        <w:rPr>
          <w:rFonts w:ascii="Times New Roman" w:hAnsi="Times New Roman" w:cs="Times New Roman"/>
          <w:sz w:val="28"/>
          <w:szCs w:val="28"/>
        </w:rPr>
        <w:t>c</w:t>
      </w:r>
      <w:r>
        <w:rPr>
          <w:rFonts w:ascii="Times New Roman" w:hAnsi="Times New Roman" w:cs="Times New Roman"/>
          <w:sz w:val="28"/>
          <w:szCs w:val="28"/>
        </w:rPr>
        <w:t>rificare l’obiettivo, a cui risulta dichiaratamente preordinata la previsione europea del subappalto, dell’apertura alla concorrenza e, segnatamente, dell’accesso al mercato delle piccole e medie imprese</w:t>
      </w:r>
      <w:r w:rsidR="0038304D">
        <w:rPr>
          <w:rFonts w:ascii="Times New Roman" w:hAnsi="Times New Roman" w:cs="Times New Roman"/>
          <w:sz w:val="28"/>
          <w:szCs w:val="28"/>
        </w:rPr>
        <w:t>.</w:t>
      </w:r>
      <w:r>
        <w:rPr>
          <w:rFonts w:ascii="Times New Roman" w:hAnsi="Times New Roman" w:cs="Times New Roman"/>
          <w:sz w:val="28"/>
          <w:szCs w:val="28"/>
        </w:rPr>
        <w:t xml:space="preserve">  </w:t>
      </w:r>
      <w:r w:rsidR="00D32CA9">
        <w:rPr>
          <w:rFonts w:ascii="Times New Roman" w:hAnsi="Times New Roman" w:cs="Times New Roman"/>
          <w:sz w:val="28"/>
          <w:szCs w:val="28"/>
        </w:rPr>
        <w:t xml:space="preserve">  </w:t>
      </w:r>
      <w:r w:rsidR="004973E4">
        <w:rPr>
          <w:rFonts w:ascii="Times New Roman" w:hAnsi="Times New Roman" w:cs="Times New Roman"/>
          <w:sz w:val="28"/>
          <w:szCs w:val="28"/>
        </w:rPr>
        <w:t xml:space="preserve"> </w:t>
      </w:r>
      <w:r w:rsidR="00ED5E78">
        <w:rPr>
          <w:rFonts w:ascii="Times New Roman" w:hAnsi="Times New Roman" w:cs="Times New Roman"/>
          <w:sz w:val="28"/>
          <w:szCs w:val="28"/>
        </w:rPr>
        <w:t xml:space="preserve">  </w:t>
      </w:r>
    </w:p>
    <w:p w:rsidR="00E95C60" w:rsidRDefault="00ED5E78" w:rsidP="00ED5E78">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06C46">
        <w:rPr>
          <w:rFonts w:ascii="Times New Roman" w:hAnsi="Times New Roman" w:cs="Times New Roman"/>
          <w:sz w:val="28"/>
          <w:szCs w:val="28"/>
        </w:rPr>
        <w:t xml:space="preserve">    </w:t>
      </w:r>
      <w:r w:rsidR="004052AC">
        <w:rPr>
          <w:rFonts w:ascii="Times New Roman" w:hAnsi="Times New Roman" w:cs="Times New Roman"/>
          <w:sz w:val="28"/>
          <w:szCs w:val="28"/>
        </w:rPr>
        <w:t xml:space="preserve"> </w:t>
      </w:r>
      <w:r w:rsidR="00E95C60">
        <w:rPr>
          <w:rFonts w:ascii="Times New Roman" w:hAnsi="Times New Roman" w:cs="Times New Roman"/>
          <w:sz w:val="28"/>
          <w:szCs w:val="28"/>
        </w:rPr>
        <w:t xml:space="preserve">  </w:t>
      </w:r>
    </w:p>
    <w:p w:rsidR="00BB6A3C" w:rsidRPr="00596E79" w:rsidRDefault="00BB6A3C" w:rsidP="00A240C4">
      <w:pPr>
        <w:ind w:left="360"/>
        <w:jc w:val="both"/>
        <w:rPr>
          <w:rFonts w:ascii="Times New Roman" w:hAnsi="Times New Roman" w:cs="Times New Roman"/>
          <w:sz w:val="28"/>
          <w:szCs w:val="28"/>
        </w:rPr>
      </w:pPr>
    </w:p>
    <w:p w:rsidR="00A240C4" w:rsidRDefault="00A240C4" w:rsidP="00C04A05">
      <w:pPr>
        <w:ind w:left="360"/>
        <w:jc w:val="both"/>
        <w:rPr>
          <w:rFonts w:cstheme="minorHAnsi"/>
          <w:b/>
          <w:sz w:val="28"/>
          <w:szCs w:val="28"/>
        </w:rPr>
      </w:pPr>
    </w:p>
    <w:p w:rsidR="003F53ED" w:rsidRDefault="00D32CA9" w:rsidP="00DB2DEC">
      <w:pPr>
        <w:ind w:left="360"/>
        <w:jc w:val="right"/>
        <w:rPr>
          <w:rFonts w:cstheme="minorHAnsi"/>
          <w:b/>
          <w:sz w:val="28"/>
          <w:szCs w:val="28"/>
        </w:rPr>
      </w:pPr>
      <w:r>
        <w:rPr>
          <w:rFonts w:cstheme="minorHAnsi"/>
          <w:b/>
          <w:sz w:val="28"/>
          <w:szCs w:val="28"/>
        </w:rPr>
        <w:t xml:space="preserve"> </w:t>
      </w:r>
      <w:r w:rsidR="00DB2DEC">
        <w:rPr>
          <w:rFonts w:cstheme="minorHAnsi"/>
          <w:b/>
          <w:sz w:val="28"/>
          <w:szCs w:val="28"/>
        </w:rPr>
        <w:t>Carlo Deodato</w:t>
      </w:r>
    </w:p>
    <w:p w:rsidR="00DB2DEC" w:rsidRDefault="00DB2DEC" w:rsidP="00DB2DEC">
      <w:pPr>
        <w:ind w:left="360"/>
        <w:jc w:val="right"/>
        <w:rPr>
          <w:rFonts w:cstheme="minorHAnsi"/>
          <w:sz w:val="28"/>
          <w:szCs w:val="28"/>
        </w:rPr>
      </w:pPr>
      <w:r w:rsidRPr="00DB2DEC">
        <w:rPr>
          <w:rFonts w:cstheme="minorHAnsi"/>
          <w:sz w:val="28"/>
          <w:szCs w:val="28"/>
        </w:rPr>
        <w:t xml:space="preserve">Presidente Sezione giurisdizionale </w:t>
      </w:r>
      <w:proofErr w:type="spellStart"/>
      <w:r w:rsidRPr="00DB2DEC">
        <w:rPr>
          <w:rFonts w:cstheme="minorHAnsi"/>
          <w:sz w:val="28"/>
          <w:szCs w:val="28"/>
        </w:rPr>
        <w:t>C.g.a</w:t>
      </w:r>
      <w:proofErr w:type="spellEnd"/>
      <w:r w:rsidRPr="00DB2DEC">
        <w:rPr>
          <w:rFonts w:cstheme="minorHAnsi"/>
          <w:sz w:val="28"/>
          <w:szCs w:val="28"/>
        </w:rPr>
        <w:t>.</w:t>
      </w:r>
    </w:p>
    <w:p w:rsidR="00DB2DEC" w:rsidRDefault="00DB2DEC" w:rsidP="00DB2DEC">
      <w:pPr>
        <w:ind w:left="360"/>
        <w:jc w:val="right"/>
        <w:rPr>
          <w:rFonts w:cstheme="minorHAnsi"/>
          <w:sz w:val="28"/>
          <w:szCs w:val="28"/>
        </w:rPr>
      </w:pPr>
    </w:p>
    <w:p w:rsidR="00DB2DEC" w:rsidRPr="00DB2DEC" w:rsidRDefault="00DB2DEC" w:rsidP="00DB2DEC">
      <w:pPr>
        <w:ind w:left="360"/>
        <w:jc w:val="right"/>
        <w:rPr>
          <w:rFonts w:cstheme="minorHAnsi"/>
          <w:sz w:val="28"/>
          <w:szCs w:val="28"/>
        </w:rPr>
      </w:pPr>
      <w:r>
        <w:rPr>
          <w:rFonts w:cstheme="minorHAnsi"/>
          <w:sz w:val="28"/>
          <w:szCs w:val="28"/>
        </w:rPr>
        <w:t>Pubblicato il 13 ottobre 2017</w:t>
      </w:r>
    </w:p>
    <w:sectPr w:rsidR="00DB2DEC" w:rsidRPr="00DB2DE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21" w:rsidRDefault="00C47421" w:rsidP="00020E8E">
      <w:pPr>
        <w:spacing w:after="0" w:line="240" w:lineRule="auto"/>
      </w:pPr>
      <w:r>
        <w:separator/>
      </w:r>
    </w:p>
  </w:endnote>
  <w:endnote w:type="continuationSeparator" w:id="0">
    <w:p w:rsidR="00C47421" w:rsidRDefault="00C47421" w:rsidP="0002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21" w:rsidRDefault="00C47421" w:rsidP="00020E8E">
      <w:pPr>
        <w:spacing w:after="0" w:line="240" w:lineRule="auto"/>
      </w:pPr>
      <w:r>
        <w:separator/>
      </w:r>
    </w:p>
  </w:footnote>
  <w:footnote w:type="continuationSeparator" w:id="0">
    <w:p w:rsidR="00C47421" w:rsidRDefault="00C47421" w:rsidP="00020E8E">
      <w:pPr>
        <w:spacing w:after="0" w:line="240" w:lineRule="auto"/>
      </w:pPr>
      <w:r>
        <w:continuationSeparator/>
      </w:r>
    </w:p>
  </w:footnote>
  <w:footnote w:id="1">
    <w:p w:rsidR="00F5387D" w:rsidRDefault="00F5387D">
      <w:pPr>
        <w:pStyle w:val="Testonotaapidipagina"/>
      </w:pPr>
      <w:r>
        <w:rPr>
          <w:rStyle w:val="Rimandonotaapidipagina"/>
        </w:rPr>
        <w:footnoteRef/>
      </w:r>
      <w:r>
        <w:t xml:space="preserve"> Pubblicato l’11 ottobre 2017 su “L’amministrativista”.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6DC9C1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3BB54450"/>
    <w:multiLevelType w:val="hybridMultilevel"/>
    <w:tmpl w:val="6EB6CD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93B2945"/>
    <w:multiLevelType w:val="hybridMultilevel"/>
    <w:tmpl w:val="3F9835B2"/>
    <w:lvl w:ilvl="0" w:tplc="4820733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0A"/>
    <w:rsid w:val="00003682"/>
    <w:rsid w:val="00020E8E"/>
    <w:rsid w:val="0003140F"/>
    <w:rsid w:val="00047DAE"/>
    <w:rsid w:val="00052AD5"/>
    <w:rsid w:val="00055E68"/>
    <w:rsid w:val="00064F7B"/>
    <w:rsid w:val="0006602C"/>
    <w:rsid w:val="000A23DF"/>
    <w:rsid w:val="000A5057"/>
    <w:rsid w:val="000B12D5"/>
    <w:rsid w:val="000C0564"/>
    <w:rsid w:val="000E622A"/>
    <w:rsid w:val="000F5520"/>
    <w:rsid w:val="001639FE"/>
    <w:rsid w:val="00191042"/>
    <w:rsid w:val="00192857"/>
    <w:rsid w:val="001D3F58"/>
    <w:rsid w:val="0021776B"/>
    <w:rsid w:val="002242AC"/>
    <w:rsid w:val="002272CF"/>
    <w:rsid w:val="00237D75"/>
    <w:rsid w:val="00267EE9"/>
    <w:rsid w:val="002A571F"/>
    <w:rsid w:val="002B281A"/>
    <w:rsid w:val="002E446E"/>
    <w:rsid w:val="002F0568"/>
    <w:rsid w:val="002F0F5A"/>
    <w:rsid w:val="002F1D8F"/>
    <w:rsid w:val="002F3381"/>
    <w:rsid w:val="003218B3"/>
    <w:rsid w:val="00336028"/>
    <w:rsid w:val="00341F7B"/>
    <w:rsid w:val="003531DA"/>
    <w:rsid w:val="00375B42"/>
    <w:rsid w:val="0038304D"/>
    <w:rsid w:val="003B7AC8"/>
    <w:rsid w:val="003D42AB"/>
    <w:rsid w:val="003D5140"/>
    <w:rsid w:val="003E56C0"/>
    <w:rsid w:val="003E644B"/>
    <w:rsid w:val="003F385B"/>
    <w:rsid w:val="003F53ED"/>
    <w:rsid w:val="004052AC"/>
    <w:rsid w:val="00406751"/>
    <w:rsid w:val="00414ABE"/>
    <w:rsid w:val="004167BB"/>
    <w:rsid w:val="00432285"/>
    <w:rsid w:val="00475D87"/>
    <w:rsid w:val="004973E4"/>
    <w:rsid w:val="004A2AB2"/>
    <w:rsid w:val="004A3960"/>
    <w:rsid w:val="004A3E2F"/>
    <w:rsid w:val="004A5B80"/>
    <w:rsid w:val="004A5D60"/>
    <w:rsid w:val="004B040F"/>
    <w:rsid w:val="004B3B39"/>
    <w:rsid w:val="004B5A2D"/>
    <w:rsid w:val="004C0E77"/>
    <w:rsid w:val="004E6282"/>
    <w:rsid w:val="00525EE2"/>
    <w:rsid w:val="005323C5"/>
    <w:rsid w:val="0054382B"/>
    <w:rsid w:val="005533C2"/>
    <w:rsid w:val="00560C7C"/>
    <w:rsid w:val="005639FB"/>
    <w:rsid w:val="00596E79"/>
    <w:rsid w:val="005A49D6"/>
    <w:rsid w:val="005A58C0"/>
    <w:rsid w:val="005A72E9"/>
    <w:rsid w:val="005B53FF"/>
    <w:rsid w:val="005D1282"/>
    <w:rsid w:val="005E04F3"/>
    <w:rsid w:val="005E42A9"/>
    <w:rsid w:val="005E481F"/>
    <w:rsid w:val="00644134"/>
    <w:rsid w:val="006477C7"/>
    <w:rsid w:val="00660944"/>
    <w:rsid w:val="0067644A"/>
    <w:rsid w:val="0068320D"/>
    <w:rsid w:val="006A0E1A"/>
    <w:rsid w:val="006B71C4"/>
    <w:rsid w:val="006D144F"/>
    <w:rsid w:val="006D34FE"/>
    <w:rsid w:val="006E7C37"/>
    <w:rsid w:val="00706C46"/>
    <w:rsid w:val="00716ABF"/>
    <w:rsid w:val="007351D1"/>
    <w:rsid w:val="00754278"/>
    <w:rsid w:val="0077645E"/>
    <w:rsid w:val="00794915"/>
    <w:rsid w:val="0081581E"/>
    <w:rsid w:val="00847EEA"/>
    <w:rsid w:val="00854A18"/>
    <w:rsid w:val="008556DF"/>
    <w:rsid w:val="00860CE5"/>
    <w:rsid w:val="00873BBD"/>
    <w:rsid w:val="00876FEF"/>
    <w:rsid w:val="00887915"/>
    <w:rsid w:val="008959E6"/>
    <w:rsid w:val="008B6370"/>
    <w:rsid w:val="008B7121"/>
    <w:rsid w:val="008F208B"/>
    <w:rsid w:val="00925FD0"/>
    <w:rsid w:val="00926797"/>
    <w:rsid w:val="009339BE"/>
    <w:rsid w:val="009548F5"/>
    <w:rsid w:val="009661CD"/>
    <w:rsid w:val="00981A81"/>
    <w:rsid w:val="0098400F"/>
    <w:rsid w:val="009B309C"/>
    <w:rsid w:val="009B5C71"/>
    <w:rsid w:val="009C0E07"/>
    <w:rsid w:val="009C38C3"/>
    <w:rsid w:val="009D6726"/>
    <w:rsid w:val="009E64B6"/>
    <w:rsid w:val="00A240C4"/>
    <w:rsid w:val="00A36B96"/>
    <w:rsid w:val="00A50981"/>
    <w:rsid w:val="00A74002"/>
    <w:rsid w:val="00A774E3"/>
    <w:rsid w:val="00A969CD"/>
    <w:rsid w:val="00AA1399"/>
    <w:rsid w:val="00AA47DD"/>
    <w:rsid w:val="00AD3BBF"/>
    <w:rsid w:val="00AD5FA9"/>
    <w:rsid w:val="00AD693A"/>
    <w:rsid w:val="00AE09C5"/>
    <w:rsid w:val="00B47D43"/>
    <w:rsid w:val="00B542F8"/>
    <w:rsid w:val="00B85083"/>
    <w:rsid w:val="00B94A97"/>
    <w:rsid w:val="00BA2CCA"/>
    <w:rsid w:val="00BB6A3C"/>
    <w:rsid w:val="00BC0076"/>
    <w:rsid w:val="00BC2681"/>
    <w:rsid w:val="00BE1BF0"/>
    <w:rsid w:val="00BF1208"/>
    <w:rsid w:val="00BF7B86"/>
    <w:rsid w:val="00C04A05"/>
    <w:rsid w:val="00C13D04"/>
    <w:rsid w:val="00C141F4"/>
    <w:rsid w:val="00C173D6"/>
    <w:rsid w:val="00C24741"/>
    <w:rsid w:val="00C24FD9"/>
    <w:rsid w:val="00C36950"/>
    <w:rsid w:val="00C47421"/>
    <w:rsid w:val="00C63CFF"/>
    <w:rsid w:val="00C83334"/>
    <w:rsid w:val="00CE375C"/>
    <w:rsid w:val="00CE3AB4"/>
    <w:rsid w:val="00D034C0"/>
    <w:rsid w:val="00D2085E"/>
    <w:rsid w:val="00D32CA9"/>
    <w:rsid w:val="00D53328"/>
    <w:rsid w:val="00D604E9"/>
    <w:rsid w:val="00D65C7A"/>
    <w:rsid w:val="00D90498"/>
    <w:rsid w:val="00DB26CB"/>
    <w:rsid w:val="00DB2DEC"/>
    <w:rsid w:val="00DE33DA"/>
    <w:rsid w:val="00DE3A8C"/>
    <w:rsid w:val="00DE544F"/>
    <w:rsid w:val="00E036E2"/>
    <w:rsid w:val="00E041C1"/>
    <w:rsid w:val="00E13562"/>
    <w:rsid w:val="00E1550F"/>
    <w:rsid w:val="00E30C7B"/>
    <w:rsid w:val="00E316A3"/>
    <w:rsid w:val="00E441D2"/>
    <w:rsid w:val="00E619A8"/>
    <w:rsid w:val="00E67ED9"/>
    <w:rsid w:val="00E75F2A"/>
    <w:rsid w:val="00E87169"/>
    <w:rsid w:val="00E95C60"/>
    <w:rsid w:val="00EA79F5"/>
    <w:rsid w:val="00EC492D"/>
    <w:rsid w:val="00ED3D20"/>
    <w:rsid w:val="00ED5E78"/>
    <w:rsid w:val="00EF7C03"/>
    <w:rsid w:val="00F06DDC"/>
    <w:rsid w:val="00F233F7"/>
    <w:rsid w:val="00F23498"/>
    <w:rsid w:val="00F24EDA"/>
    <w:rsid w:val="00F27454"/>
    <w:rsid w:val="00F31B0A"/>
    <w:rsid w:val="00F5387D"/>
    <w:rsid w:val="00F55F32"/>
    <w:rsid w:val="00F8634D"/>
    <w:rsid w:val="00F8724B"/>
    <w:rsid w:val="00F917B6"/>
    <w:rsid w:val="00FA6D6E"/>
    <w:rsid w:val="00FB1117"/>
    <w:rsid w:val="00FB3B23"/>
    <w:rsid w:val="00FD74CB"/>
    <w:rsid w:val="00FF1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4B9DE-86A7-4E7E-A086-9EAB575D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1B0A"/>
    <w:pPr>
      <w:ind w:left="720"/>
      <w:contextualSpacing/>
    </w:pPr>
  </w:style>
  <w:style w:type="character" w:styleId="Collegamentoipertestuale">
    <w:name w:val="Hyperlink"/>
    <w:basedOn w:val="Carpredefinitoparagrafo"/>
    <w:uiPriority w:val="99"/>
    <w:semiHidden/>
    <w:unhideWhenUsed/>
    <w:rsid w:val="002242AC"/>
    <w:rPr>
      <w:strike w:val="0"/>
      <w:dstrike w:val="0"/>
      <w:color w:val="67AF34"/>
      <w:u w:val="none"/>
      <w:effect w:val="none"/>
    </w:rPr>
  </w:style>
  <w:style w:type="character" w:customStyle="1" w:styleId="provvnumart">
    <w:name w:val="provv_numart"/>
    <w:basedOn w:val="Carpredefinitoparagrafo"/>
    <w:rsid w:val="002242AC"/>
    <w:rPr>
      <w:b/>
      <w:bCs/>
    </w:rPr>
  </w:style>
  <w:style w:type="paragraph" w:customStyle="1" w:styleId="provvr01">
    <w:name w:val="provv_r01"/>
    <w:basedOn w:val="Normale"/>
    <w:rsid w:val="002242AC"/>
    <w:pPr>
      <w:spacing w:before="100" w:beforeAutospacing="1" w:after="45" w:line="240" w:lineRule="auto"/>
      <w:jc w:val="both"/>
    </w:pPr>
    <w:rPr>
      <w:rFonts w:ascii="Times New Roman" w:eastAsia="Times New Roman" w:hAnsi="Times New Roman" w:cs="Times New Roman"/>
      <w:sz w:val="24"/>
      <w:szCs w:val="24"/>
      <w:lang w:eastAsia="it-IT"/>
    </w:rPr>
  </w:style>
  <w:style w:type="paragraph" w:styleId="Puntoelenco">
    <w:name w:val="List Bullet"/>
    <w:basedOn w:val="Normale"/>
    <w:uiPriority w:val="99"/>
    <w:unhideWhenUsed/>
    <w:rsid w:val="009B5C71"/>
    <w:pPr>
      <w:numPr>
        <w:numId w:val="2"/>
      </w:numPr>
      <w:contextualSpacing/>
    </w:pPr>
  </w:style>
  <w:style w:type="paragraph" w:styleId="Testofumetto">
    <w:name w:val="Balloon Text"/>
    <w:basedOn w:val="Normale"/>
    <w:link w:val="TestofumettoCarattere"/>
    <w:uiPriority w:val="99"/>
    <w:semiHidden/>
    <w:unhideWhenUsed/>
    <w:rsid w:val="009C38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38C3"/>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020E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0E8E"/>
    <w:rPr>
      <w:sz w:val="20"/>
      <w:szCs w:val="20"/>
    </w:rPr>
  </w:style>
  <w:style w:type="character" w:styleId="Rimandonotaapidipagina">
    <w:name w:val="footnote reference"/>
    <w:basedOn w:val="Carpredefinitoparagrafo"/>
    <w:uiPriority w:val="99"/>
    <w:semiHidden/>
    <w:unhideWhenUsed/>
    <w:rsid w:val="00020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3923">
      <w:bodyDiv w:val="1"/>
      <w:marLeft w:val="0"/>
      <w:marRight w:val="0"/>
      <w:marTop w:val="150"/>
      <w:marBottom w:val="0"/>
      <w:divBdr>
        <w:top w:val="none" w:sz="0" w:space="0" w:color="auto"/>
        <w:left w:val="none" w:sz="0" w:space="0" w:color="auto"/>
        <w:bottom w:val="none" w:sz="0" w:space="0" w:color="auto"/>
        <w:right w:val="none" w:sz="0" w:space="0" w:color="auto"/>
      </w:divBdr>
      <w:divsChild>
        <w:div w:id="1793473904">
          <w:marLeft w:val="0"/>
          <w:marRight w:val="0"/>
          <w:marTop w:val="0"/>
          <w:marBottom w:val="0"/>
          <w:divBdr>
            <w:top w:val="none" w:sz="0" w:space="0" w:color="auto"/>
            <w:left w:val="none" w:sz="0" w:space="0" w:color="auto"/>
            <w:bottom w:val="none" w:sz="0" w:space="0" w:color="auto"/>
            <w:right w:val="none" w:sz="0" w:space="0" w:color="auto"/>
          </w:divBdr>
          <w:divsChild>
            <w:div w:id="767502405">
              <w:marLeft w:val="0"/>
              <w:marRight w:val="0"/>
              <w:marTop w:val="0"/>
              <w:marBottom w:val="0"/>
              <w:divBdr>
                <w:top w:val="none" w:sz="0" w:space="0" w:color="auto"/>
                <w:left w:val="none" w:sz="0" w:space="0" w:color="auto"/>
                <w:bottom w:val="none" w:sz="0" w:space="0" w:color="auto"/>
                <w:right w:val="none" w:sz="0" w:space="0" w:color="auto"/>
              </w:divBdr>
              <w:divsChild>
                <w:div w:id="411464797">
                  <w:marLeft w:val="0"/>
                  <w:marRight w:val="0"/>
                  <w:marTop w:val="0"/>
                  <w:marBottom w:val="0"/>
                  <w:divBdr>
                    <w:top w:val="none" w:sz="0" w:space="0" w:color="auto"/>
                    <w:left w:val="none" w:sz="0" w:space="0" w:color="auto"/>
                    <w:bottom w:val="none" w:sz="0" w:space="0" w:color="auto"/>
                    <w:right w:val="none" w:sz="0" w:space="0" w:color="auto"/>
                  </w:divBdr>
                  <w:divsChild>
                    <w:div w:id="840588178">
                      <w:marLeft w:val="0"/>
                      <w:marRight w:val="0"/>
                      <w:marTop w:val="0"/>
                      <w:marBottom w:val="0"/>
                      <w:divBdr>
                        <w:top w:val="none" w:sz="0" w:space="0" w:color="auto"/>
                        <w:left w:val="none" w:sz="0" w:space="0" w:color="auto"/>
                        <w:bottom w:val="none" w:sz="0" w:space="0" w:color="auto"/>
                        <w:right w:val="none" w:sz="0" w:space="0" w:color="auto"/>
                      </w:divBdr>
                      <w:divsChild>
                        <w:div w:id="1994945956">
                          <w:marLeft w:val="375"/>
                          <w:marRight w:val="0"/>
                          <w:marTop w:val="0"/>
                          <w:marBottom w:val="0"/>
                          <w:divBdr>
                            <w:top w:val="none" w:sz="0" w:space="0" w:color="auto"/>
                            <w:left w:val="none" w:sz="0" w:space="0" w:color="auto"/>
                            <w:bottom w:val="none" w:sz="0" w:space="0" w:color="auto"/>
                            <w:right w:val="none" w:sz="0" w:space="0" w:color="auto"/>
                          </w:divBdr>
                          <w:divsChild>
                            <w:div w:id="51078851">
                              <w:marLeft w:val="0"/>
                              <w:marRight w:val="0"/>
                              <w:marTop w:val="0"/>
                              <w:marBottom w:val="300"/>
                              <w:divBdr>
                                <w:top w:val="none" w:sz="0" w:space="0" w:color="auto"/>
                                <w:left w:val="single" w:sz="6" w:space="0" w:color="EDEDED"/>
                                <w:bottom w:val="single" w:sz="6" w:space="26" w:color="EDEDED"/>
                                <w:right w:val="single" w:sz="6" w:space="0" w:color="EDEDED"/>
                              </w:divBdr>
                              <w:divsChild>
                                <w:div w:id="1088382586">
                                  <w:marLeft w:val="0"/>
                                  <w:marRight w:val="0"/>
                                  <w:marTop w:val="0"/>
                                  <w:marBottom w:val="0"/>
                                  <w:divBdr>
                                    <w:top w:val="none" w:sz="0" w:space="0" w:color="auto"/>
                                    <w:left w:val="none" w:sz="0" w:space="0" w:color="auto"/>
                                    <w:bottom w:val="none" w:sz="0" w:space="0" w:color="auto"/>
                                    <w:right w:val="none" w:sz="0" w:space="0" w:color="auto"/>
                                  </w:divBdr>
                                  <w:divsChild>
                                    <w:div w:id="2130199852">
                                      <w:marLeft w:val="0"/>
                                      <w:marRight w:val="0"/>
                                      <w:marTop w:val="0"/>
                                      <w:marBottom w:val="240"/>
                                      <w:divBdr>
                                        <w:top w:val="none" w:sz="0" w:space="0" w:color="auto"/>
                                        <w:left w:val="none" w:sz="0" w:space="0" w:color="auto"/>
                                        <w:bottom w:val="none" w:sz="0" w:space="0" w:color="auto"/>
                                        <w:right w:val="none" w:sz="0" w:space="0" w:color="auto"/>
                                      </w:divBdr>
                                      <w:divsChild>
                                        <w:div w:id="397434876">
                                          <w:marLeft w:val="0"/>
                                          <w:marRight w:val="0"/>
                                          <w:marTop w:val="0"/>
                                          <w:marBottom w:val="0"/>
                                          <w:divBdr>
                                            <w:top w:val="none" w:sz="0" w:space="0" w:color="auto"/>
                                            <w:left w:val="none" w:sz="0" w:space="0" w:color="auto"/>
                                            <w:bottom w:val="none" w:sz="0" w:space="0" w:color="auto"/>
                                            <w:right w:val="none" w:sz="0" w:space="0" w:color="auto"/>
                                          </w:divBdr>
                                        </w:div>
                                        <w:div w:id="1480338474">
                                          <w:marLeft w:val="0"/>
                                          <w:marRight w:val="0"/>
                                          <w:marTop w:val="0"/>
                                          <w:marBottom w:val="0"/>
                                          <w:divBdr>
                                            <w:top w:val="none" w:sz="0" w:space="0" w:color="auto"/>
                                            <w:left w:val="none" w:sz="0" w:space="0" w:color="auto"/>
                                            <w:bottom w:val="none" w:sz="0" w:space="0" w:color="auto"/>
                                            <w:right w:val="none" w:sz="0" w:space="0" w:color="auto"/>
                                          </w:divBdr>
                                        </w:div>
                                        <w:div w:id="14688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968041">
      <w:bodyDiv w:val="1"/>
      <w:marLeft w:val="0"/>
      <w:marRight w:val="0"/>
      <w:marTop w:val="150"/>
      <w:marBottom w:val="0"/>
      <w:divBdr>
        <w:top w:val="none" w:sz="0" w:space="0" w:color="auto"/>
        <w:left w:val="none" w:sz="0" w:space="0" w:color="auto"/>
        <w:bottom w:val="none" w:sz="0" w:space="0" w:color="auto"/>
        <w:right w:val="none" w:sz="0" w:space="0" w:color="auto"/>
      </w:divBdr>
      <w:divsChild>
        <w:div w:id="1883904737">
          <w:marLeft w:val="0"/>
          <w:marRight w:val="0"/>
          <w:marTop w:val="0"/>
          <w:marBottom w:val="0"/>
          <w:divBdr>
            <w:top w:val="none" w:sz="0" w:space="0" w:color="auto"/>
            <w:left w:val="none" w:sz="0" w:space="0" w:color="auto"/>
            <w:bottom w:val="none" w:sz="0" w:space="0" w:color="auto"/>
            <w:right w:val="none" w:sz="0" w:space="0" w:color="auto"/>
          </w:divBdr>
          <w:divsChild>
            <w:div w:id="749501979">
              <w:marLeft w:val="0"/>
              <w:marRight w:val="0"/>
              <w:marTop w:val="0"/>
              <w:marBottom w:val="0"/>
              <w:divBdr>
                <w:top w:val="none" w:sz="0" w:space="0" w:color="auto"/>
                <w:left w:val="none" w:sz="0" w:space="0" w:color="auto"/>
                <w:bottom w:val="none" w:sz="0" w:space="0" w:color="auto"/>
                <w:right w:val="none" w:sz="0" w:space="0" w:color="auto"/>
              </w:divBdr>
              <w:divsChild>
                <w:div w:id="2068528036">
                  <w:marLeft w:val="0"/>
                  <w:marRight w:val="0"/>
                  <w:marTop w:val="0"/>
                  <w:marBottom w:val="0"/>
                  <w:divBdr>
                    <w:top w:val="none" w:sz="0" w:space="0" w:color="auto"/>
                    <w:left w:val="none" w:sz="0" w:space="0" w:color="auto"/>
                    <w:bottom w:val="none" w:sz="0" w:space="0" w:color="auto"/>
                    <w:right w:val="none" w:sz="0" w:space="0" w:color="auto"/>
                  </w:divBdr>
                  <w:divsChild>
                    <w:div w:id="78258792">
                      <w:marLeft w:val="0"/>
                      <w:marRight w:val="0"/>
                      <w:marTop w:val="0"/>
                      <w:marBottom w:val="0"/>
                      <w:divBdr>
                        <w:top w:val="none" w:sz="0" w:space="0" w:color="auto"/>
                        <w:left w:val="none" w:sz="0" w:space="0" w:color="auto"/>
                        <w:bottom w:val="none" w:sz="0" w:space="0" w:color="auto"/>
                        <w:right w:val="none" w:sz="0" w:space="0" w:color="auto"/>
                      </w:divBdr>
                      <w:divsChild>
                        <w:div w:id="289172801">
                          <w:marLeft w:val="375"/>
                          <w:marRight w:val="0"/>
                          <w:marTop w:val="0"/>
                          <w:marBottom w:val="0"/>
                          <w:divBdr>
                            <w:top w:val="none" w:sz="0" w:space="0" w:color="auto"/>
                            <w:left w:val="none" w:sz="0" w:space="0" w:color="auto"/>
                            <w:bottom w:val="none" w:sz="0" w:space="0" w:color="auto"/>
                            <w:right w:val="none" w:sz="0" w:space="0" w:color="auto"/>
                          </w:divBdr>
                          <w:divsChild>
                            <w:div w:id="337657807">
                              <w:marLeft w:val="0"/>
                              <w:marRight w:val="0"/>
                              <w:marTop w:val="0"/>
                              <w:marBottom w:val="300"/>
                              <w:divBdr>
                                <w:top w:val="none" w:sz="0" w:space="0" w:color="auto"/>
                                <w:left w:val="single" w:sz="6" w:space="0" w:color="EDEDED"/>
                                <w:bottom w:val="single" w:sz="6" w:space="26" w:color="EDEDED"/>
                                <w:right w:val="single" w:sz="6" w:space="0" w:color="EDEDED"/>
                              </w:divBdr>
                              <w:divsChild>
                                <w:div w:id="1692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846189">
      <w:bodyDiv w:val="1"/>
      <w:marLeft w:val="0"/>
      <w:marRight w:val="0"/>
      <w:marTop w:val="150"/>
      <w:marBottom w:val="0"/>
      <w:divBdr>
        <w:top w:val="none" w:sz="0" w:space="0" w:color="auto"/>
        <w:left w:val="none" w:sz="0" w:space="0" w:color="auto"/>
        <w:bottom w:val="none" w:sz="0" w:space="0" w:color="auto"/>
        <w:right w:val="none" w:sz="0" w:space="0" w:color="auto"/>
      </w:divBdr>
      <w:divsChild>
        <w:div w:id="823204064">
          <w:marLeft w:val="0"/>
          <w:marRight w:val="0"/>
          <w:marTop w:val="0"/>
          <w:marBottom w:val="0"/>
          <w:divBdr>
            <w:top w:val="none" w:sz="0" w:space="0" w:color="auto"/>
            <w:left w:val="none" w:sz="0" w:space="0" w:color="auto"/>
            <w:bottom w:val="none" w:sz="0" w:space="0" w:color="auto"/>
            <w:right w:val="none" w:sz="0" w:space="0" w:color="auto"/>
          </w:divBdr>
          <w:divsChild>
            <w:div w:id="1551575057">
              <w:marLeft w:val="0"/>
              <w:marRight w:val="0"/>
              <w:marTop w:val="0"/>
              <w:marBottom w:val="0"/>
              <w:divBdr>
                <w:top w:val="none" w:sz="0" w:space="0" w:color="auto"/>
                <w:left w:val="none" w:sz="0" w:space="0" w:color="auto"/>
                <w:bottom w:val="none" w:sz="0" w:space="0" w:color="auto"/>
                <w:right w:val="none" w:sz="0" w:space="0" w:color="auto"/>
              </w:divBdr>
              <w:divsChild>
                <w:div w:id="442770991">
                  <w:marLeft w:val="0"/>
                  <w:marRight w:val="0"/>
                  <w:marTop w:val="0"/>
                  <w:marBottom w:val="0"/>
                  <w:divBdr>
                    <w:top w:val="none" w:sz="0" w:space="0" w:color="auto"/>
                    <w:left w:val="none" w:sz="0" w:space="0" w:color="auto"/>
                    <w:bottom w:val="none" w:sz="0" w:space="0" w:color="auto"/>
                    <w:right w:val="none" w:sz="0" w:space="0" w:color="auto"/>
                  </w:divBdr>
                  <w:divsChild>
                    <w:div w:id="2037534766">
                      <w:marLeft w:val="0"/>
                      <w:marRight w:val="0"/>
                      <w:marTop w:val="0"/>
                      <w:marBottom w:val="0"/>
                      <w:divBdr>
                        <w:top w:val="none" w:sz="0" w:space="0" w:color="auto"/>
                        <w:left w:val="none" w:sz="0" w:space="0" w:color="auto"/>
                        <w:bottom w:val="none" w:sz="0" w:space="0" w:color="auto"/>
                        <w:right w:val="none" w:sz="0" w:space="0" w:color="auto"/>
                      </w:divBdr>
                      <w:divsChild>
                        <w:div w:id="1390306371">
                          <w:marLeft w:val="375"/>
                          <w:marRight w:val="0"/>
                          <w:marTop w:val="0"/>
                          <w:marBottom w:val="0"/>
                          <w:divBdr>
                            <w:top w:val="none" w:sz="0" w:space="0" w:color="auto"/>
                            <w:left w:val="none" w:sz="0" w:space="0" w:color="auto"/>
                            <w:bottom w:val="none" w:sz="0" w:space="0" w:color="auto"/>
                            <w:right w:val="none" w:sz="0" w:space="0" w:color="auto"/>
                          </w:divBdr>
                          <w:divsChild>
                            <w:div w:id="1446535233">
                              <w:marLeft w:val="0"/>
                              <w:marRight w:val="0"/>
                              <w:marTop w:val="0"/>
                              <w:marBottom w:val="300"/>
                              <w:divBdr>
                                <w:top w:val="none" w:sz="0" w:space="0" w:color="auto"/>
                                <w:left w:val="single" w:sz="6" w:space="0" w:color="EDEDED"/>
                                <w:bottom w:val="single" w:sz="6" w:space="26" w:color="EDEDED"/>
                                <w:right w:val="single" w:sz="6" w:space="0" w:color="EDEDED"/>
                              </w:divBdr>
                              <w:divsChild>
                                <w:div w:id="15498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625077">
      <w:bodyDiv w:val="1"/>
      <w:marLeft w:val="0"/>
      <w:marRight w:val="0"/>
      <w:marTop w:val="150"/>
      <w:marBottom w:val="0"/>
      <w:divBdr>
        <w:top w:val="none" w:sz="0" w:space="0" w:color="auto"/>
        <w:left w:val="none" w:sz="0" w:space="0" w:color="auto"/>
        <w:bottom w:val="none" w:sz="0" w:space="0" w:color="auto"/>
        <w:right w:val="none" w:sz="0" w:space="0" w:color="auto"/>
      </w:divBdr>
      <w:divsChild>
        <w:div w:id="190462209">
          <w:marLeft w:val="0"/>
          <w:marRight w:val="0"/>
          <w:marTop w:val="0"/>
          <w:marBottom w:val="0"/>
          <w:divBdr>
            <w:top w:val="none" w:sz="0" w:space="0" w:color="auto"/>
            <w:left w:val="none" w:sz="0" w:space="0" w:color="auto"/>
            <w:bottom w:val="none" w:sz="0" w:space="0" w:color="auto"/>
            <w:right w:val="none" w:sz="0" w:space="0" w:color="auto"/>
          </w:divBdr>
          <w:divsChild>
            <w:div w:id="587664749">
              <w:marLeft w:val="0"/>
              <w:marRight w:val="0"/>
              <w:marTop w:val="0"/>
              <w:marBottom w:val="0"/>
              <w:divBdr>
                <w:top w:val="none" w:sz="0" w:space="0" w:color="auto"/>
                <w:left w:val="none" w:sz="0" w:space="0" w:color="auto"/>
                <w:bottom w:val="none" w:sz="0" w:space="0" w:color="auto"/>
                <w:right w:val="none" w:sz="0" w:space="0" w:color="auto"/>
              </w:divBdr>
              <w:divsChild>
                <w:div w:id="766195913">
                  <w:marLeft w:val="0"/>
                  <w:marRight w:val="0"/>
                  <w:marTop w:val="0"/>
                  <w:marBottom w:val="0"/>
                  <w:divBdr>
                    <w:top w:val="none" w:sz="0" w:space="0" w:color="auto"/>
                    <w:left w:val="none" w:sz="0" w:space="0" w:color="auto"/>
                    <w:bottom w:val="none" w:sz="0" w:space="0" w:color="auto"/>
                    <w:right w:val="none" w:sz="0" w:space="0" w:color="auto"/>
                  </w:divBdr>
                  <w:divsChild>
                    <w:div w:id="1893999576">
                      <w:marLeft w:val="0"/>
                      <w:marRight w:val="0"/>
                      <w:marTop w:val="0"/>
                      <w:marBottom w:val="0"/>
                      <w:divBdr>
                        <w:top w:val="none" w:sz="0" w:space="0" w:color="auto"/>
                        <w:left w:val="none" w:sz="0" w:space="0" w:color="auto"/>
                        <w:bottom w:val="none" w:sz="0" w:space="0" w:color="auto"/>
                        <w:right w:val="none" w:sz="0" w:space="0" w:color="auto"/>
                      </w:divBdr>
                      <w:divsChild>
                        <w:div w:id="1449079584">
                          <w:marLeft w:val="375"/>
                          <w:marRight w:val="0"/>
                          <w:marTop w:val="0"/>
                          <w:marBottom w:val="0"/>
                          <w:divBdr>
                            <w:top w:val="none" w:sz="0" w:space="0" w:color="auto"/>
                            <w:left w:val="none" w:sz="0" w:space="0" w:color="auto"/>
                            <w:bottom w:val="none" w:sz="0" w:space="0" w:color="auto"/>
                            <w:right w:val="none" w:sz="0" w:space="0" w:color="auto"/>
                          </w:divBdr>
                          <w:divsChild>
                            <w:div w:id="555623268">
                              <w:marLeft w:val="0"/>
                              <w:marRight w:val="0"/>
                              <w:marTop w:val="0"/>
                              <w:marBottom w:val="300"/>
                              <w:divBdr>
                                <w:top w:val="none" w:sz="0" w:space="0" w:color="auto"/>
                                <w:left w:val="single" w:sz="6" w:space="0" w:color="EDEDED"/>
                                <w:bottom w:val="single" w:sz="6" w:space="26" w:color="EDEDED"/>
                                <w:right w:val="single" w:sz="6" w:space="0" w:color="EDEDED"/>
                              </w:divBdr>
                              <w:divsChild>
                                <w:div w:id="26026661">
                                  <w:marLeft w:val="0"/>
                                  <w:marRight w:val="0"/>
                                  <w:marTop w:val="0"/>
                                  <w:marBottom w:val="0"/>
                                  <w:divBdr>
                                    <w:top w:val="none" w:sz="0" w:space="0" w:color="auto"/>
                                    <w:left w:val="none" w:sz="0" w:space="0" w:color="auto"/>
                                    <w:bottom w:val="none" w:sz="0" w:space="0" w:color="auto"/>
                                    <w:right w:val="none" w:sz="0" w:space="0" w:color="auto"/>
                                  </w:divBdr>
                                  <w:divsChild>
                                    <w:div w:id="1789009925">
                                      <w:marLeft w:val="0"/>
                                      <w:marRight w:val="0"/>
                                      <w:marTop w:val="0"/>
                                      <w:marBottom w:val="240"/>
                                      <w:divBdr>
                                        <w:top w:val="none" w:sz="0" w:space="0" w:color="auto"/>
                                        <w:left w:val="none" w:sz="0" w:space="0" w:color="auto"/>
                                        <w:bottom w:val="none" w:sz="0" w:space="0" w:color="auto"/>
                                        <w:right w:val="none" w:sz="0" w:space="0" w:color="auto"/>
                                      </w:divBdr>
                                      <w:divsChild>
                                        <w:div w:id="1136527061">
                                          <w:marLeft w:val="0"/>
                                          <w:marRight w:val="0"/>
                                          <w:marTop w:val="0"/>
                                          <w:marBottom w:val="0"/>
                                          <w:divBdr>
                                            <w:top w:val="none" w:sz="0" w:space="0" w:color="auto"/>
                                            <w:left w:val="none" w:sz="0" w:space="0" w:color="auto"/>
                                            <w:bottom w:val="none" w:sz="0" w:space="0" w:color="auto"/>
                                            <w:right w:val="none" w:sz="0" w:space="0" w:color="auto"/>
                                          </w:divBdr>
                                        </w:div>
                                        <w:div w:id="433598596">
                                          <w:marLeft w:val="0"/>
                                          <w:marRight w:val="0"/>
                                          <w:marTop w:val="0"/>
                                          <w:marBottom w:val="0"/>
                                          <w:divBdr>
                                            <w:top w:val="none" w:sz="0" w:space="0" w:color="auto"/>
                                            <w:left w:val="none" w:sz="0" w:space="0" w:color="auto"/>
                                            <w:bottom w:val="none" w:sz="0" w:space="0" w:color="auto"/>
                                            <w:right w:val="none" w:sz="0" w:space="0" w:color="auto"/>
                                          </w:divBdr>
                                        </w:div>
                                        <w:div w:id="12847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EE42-20E6-437A-B2C6-87D067FC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2778</Words>
  <Characters>15839</Characters>
  <Application>Microsoft Office Word</Application>
  <DocSecurity>4</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DEODATO Carlo</dc:creator>
  <cp:lastModifiedBy>FERRARI Giulia</cp:lastModifiedBy>
  <cp:revision>2</cp:revision>
  <cp:lastPrinted>2017-10-08T15:39:00Z</cp:lastPrinted>
  <dcterms:created xsi:type="dcterms:W3CDTF">2017-10-12T17:50:00Z</dcterms:created>
  <dcterms:modified xsi:type="dcterms:W3CDTF">2017-10-12T17:50:00Z</dcterms:modified>
</cp:coreProperties>
</file>