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826CD" w14:textId="7FEE8CA6" w:rsidR="00873BBB" w:rsidRPr="002E0DD9" w:rsidRDefault="00832ACE" w:rsidP="001501CD">
      <w:pPr>
        <w:ind w:right="-7" w:firstLine="709"/>
        <w:jc w:val="center"/>
        <w:rPr>
          <w:rFonts w:ascii="Garamond" w:hAnsi="Garamond" w:cs="Times New Roman"/>
          <w:b/>
          <w:i/>
          <w:color w:val="000000" w:themeColor="text1"/>
          <w:sz w:val="36"/>
          <w:szCs w:val="36"/>
        </w:rPr>
      </w:pPr>
      <w:r w:rsidRPr="00C21674">
        <w:rPr>
          <w:rFonts w:ascii="Garamond" w:hAnsi="Garamond" w:cs="Times New Roman"/>
          <w:b/>
          <w:color w:val="000000" w:themeColor="text1"/>
          <w:sz w:val="36"/>
          <w:szCs w:val="36"/>
        </w:rPr>
        <w:t>L’omessa indicazione degli oneri di sicurezza quale causa di esclusione</w:t>
      </w:r>
      <w:r w:rsidR="00E673CD" w:rsidRPr="00C21674">
        <w:rPr>
          <w:rStyle w:val="Rimandonotaapidipagina"/>
          <w:rFonts w:ascii="Garamond" w:hAnsi="Garamond" w:cs="Times New Roman"/>
          <w:b/>
          <w:color w:val="000000" w:themeColor="text1"/>
          <w:sz w:val="36"/>
          <w:szCs w:val="36"/>
        </w:rPr>
        <w:footnoteReference w:id="1"/>
      </w:r>
    </w:p>
    <w:p w14:paraId="44751D32" w14:textId="77777777" w:rsidR="00A545D2" w:rsidRPr="002E0DD9" w:rsidRDefault="00A545D2" w:rsidP="001501CD">
      <w:pPr>
        <w:ind w:right="-7" w:firstLine="709"/>
        <w:jc w:val="center"/>
        <w:rPr>
          <w:rFonts w:ascii="Garamond" w:hAnsi="Garamond" w:cs="Times New Roman"/>
          <w:b/>
          <w:color w:val="000000" w:themeColor="text1"/>
        </w:rPr>
      </w:pPr>
    </w:p>
    <w:p w14:paraId="4D56FE5B" w14:textId="77777777" w:rsidR="00A545D2" w:rsidRPr="002E0DD9" w:rsidRDefault="00A545D2" w:rsidP="001501CD">
      <w:pPr>
        <w:ind w:right="-7"/>
        <w:jc w:val="both"/>
        <w:rPr>
          <w:rFonts w:ascii="Garamond" w:hAnsi="Garamond" w:cs="Times New Roman"/>
          <w:b/>
          <w:color w:val="000000" w:themeColor="text1"/>
        </w:rPr>
      </w:pPr>
    </w:p>
    <w:p w14:paraId="4C57A0A9" w14:textId="77777777" w:rsidR="007F0F21" w:rsidRPr="002E0DD9" w:rsidRDefault="007F0F21" w:rsidP="001501CD">
      <w:pPr>
        <w:ind w:right="-7"/>
        <w:jc w:val="both"/>
        <w:rPr>
          <w:rFonts w:ascii="Garamond" w:hAnsi="Garamond" w:cs="Times New Roman"/>
          <w:b/>
          <w:color w:val="000000" w:themeColor="text1"/>
        </w:rPr>
      </w:pPr>
    </w:p>
    <w:p w14:paraId="18E317FE" w14:textId="61159E71" w:rsidR="00935648" w:rsidRPr="002E0DD9" w:rsidRDefault="002E0DD9" w:rsidP="0092777A">
      <w:pPr>
        <w:ind w:right="-7" w:firstLine="709"/>
        <w:jc w:val="both"/>
        <w:rPr>
          <w:rFonts w:ascii="Garamond" w:hAnsi="Garamond" w:cs="Times New Roman"/>
          <w:b/>
          <w:i/>
          <w:color w:val="000000" w:themeColor="text1"/>
          <w:sz w:val="26"/>
          <w:szCs w:val="26"/>
        </w:rPr>
      </w:pPr>
      <w:r w:rsidRPr="002E0DD9">
        <w:rPr>
          <w:rFonts w:ascii="Garamond" w:hAnsi="Garamond" w:cs="Times New Roman"/>
          <w:b/>
          <w:color w:val="000000" w:themeColor="text1"/>
          <w:sz w:val="26"/>
          <w:szCs w:val="26"/>
        </w:rPr>
        <w:t>SOMMARIO</w:t>
      </w:r>
      <w:r w:rsidR="00A545D2" w:rsidRPr="002E0DD9">
        <w:rPr>
          <w:rFonts w:ascii="Garamond" w:hAnsi="Garamond" w:cs="Times New Roman"/>
          <w:b/>
          <w:color w:val="000000" w:themeColor="text1"/>
          <w:sz w:val="26"/>
          <w:szCs w:val="26"/>
        </w:rPr>
        <w:t xml:space="preserve">: 1. Rilievi introduttivi. – 2. I termini del problema e la prima evoluzione giurisprudenziale. – 3. Rilievi critici sull’approdo ermeneutico dell’Adunanza Plenaria 20 marzo 2015, n. 3. </w:t>
      </w:r>
      <w:r w:rsidR="008055D2" w:rsidRPr="002E0DD9">
        <w:rPr>
          <w:rFonts w:ascii="Garamond" w:hAnsi="Garamond" w:cs="Times New Roman"/>
          <w:b/>
          <w:color w:val="000000" w:themeColor="text1"/>
          <w:sz w:val="26"/>
          <w:szCs w:val="26"/>
        </w:rPr>
        <w:t xml:space="preserve">– 4. Il parziale </w:t>
      </w:r>
      <w:proofErr w:type="spellStart"/>
      <w:r w:rsidR="008055D2" w:rsidRPr="002E0DD9">
        <w:rPr>
          <w:rFonts w:ascii="Garamond" w:hAnsi="Garamond" w:cs="Times New Roman"/>
          <w:b/>
          <w:i/>
          <w:color w:val="000000" w:themeColor="text1"/>
          <w:sz w:val="26"/>
          <w:szCs w:val="26"/>
        </w:rPr>
        <w:t>révirement</w:t>
      </w:r>
      <w:proofErr w:type="spellEnd"/>
      <w:r w:rsidR="008055D2" w:rsidRPr="002E0DD9">
        <w:rPr>
          <w:rFonts w:ascii="Garamond" w:hAnsi="Garamond" w:cs="Times New Roman"/>
          <w:b/>
          <w:color w:val="000000" w:themeColor="text1"/>
          <w:sz w:val="26"/>
          <w:szCs w:val="26"/>
        </w:rPr>
        <w:t xml:space="preserve"> dell’Adunanza Plenaria 27 luglio 2016, n. 19.</w:t>
      </w:r>
      <w:r w:rsidR="00935648" w:rsidRPr="002E0DD9">
        <w:rPr>
          <w:rFonts w:ascii="Garamond" w:hAnsi="Garamond" w:cs="Times New Roman"/>
          <w:b/>
          <w:color w:val="000000" w:themeColor="text1"/>
          <w:sz w:val="26"/>
          <w:szCs w:val="26"/>
        </w:rPr>
        <w:t xml:space="preserve"> – 5. La Corte di Giustizia non consente l’esclusione automatica del concorrente in caso di mancata indicazione degli oneri di sicurezza impliciti.</w:t>
      </w:r>
      <w:r w:rsidR="0092777A" w:rsidRPr="002E0DD9">
        <w:rPr>
          <w:rFonts w:ascii="Garamond" w:hAnsi="Garamond" w:cs="Times New Roman"/>
          <w:b/>
          <w:color w:val="000000" w:themeColor="text1"/>
          <w:sz w:val="26"/>
          <w:szCs w:val="26"/>
        </w:rPr>
        <w:t xml:space="preserve"> –</w:t>
      </w:r>
      <w:r w:rsidR="00630A70" w:rsidRPr="002E0DD9">
        <w:rPr>
          <w:rFonts w:ascii="Garamond" w:hAnsi="Garamond" w:cs="Times New Roman"/>
          <w:b/>
          <w:color w:val="000000" w:themeColor="text1"/>
          <w:sz w:val="26"/>
          <w:szCs w:val="26"/>
        </w:rPr>
        <w:t xml:space="preserve"> </w:t>
      </w:r>
      <w:r w:rsidR="00D72766" w:rsidRPr="002E0DD9">
        <w:rPr>
          <w:rFonts w:ascii="Garamond" w:hAnsi="Garamond" w:cs="Times New Roman"/>
          <w:b/>
          <w:color w:val="000000" w:themeColor="text1"/>
          <w:sz w:val="26"/>
          <w:szCs w:val="26"/>
        </w:rPr>
        <w:t>6</w:t>
      </w:r>
      <w:r w:rsidR="0092777A" w:rsidRPr="002E0DD9">
        <w:rPr>
          <w:rFonts w:ascii="Garamond" w:hAnsi="Garamond" w:cs="Times New Roman"/>
          <w:b/>
          <w:color w:val="000000" w:themeColor="text1"/>
          <w:sz w:val="26"/>
          <w:szCs w:val="26"/>
        </w:rPr>
        <w:t>. Rapporti tra omessa indicazione degli oneri di sicurezza e soccorso istruttorio nella delibera ANAC 11 gennaio 2017, n. 2.</w:t>
      </w:r>
      <w:r w:rsidR="0092777A" w:rsidRPr="002E0DD9">
        <w:rPr>
          <w:rFonts w:ascii="Garamond" w:hAnsi="Garamond" w:cs="Times New Roman"/>
          <w:b/>
          <w:i/>
          <w:color w:val="000000" w:themeColor="text1"/>
          <w:sz w:val="26"/>
          <w:szCs w:val="26"/>
        </w:rPr>
        <w:t xml:space="preserve"> </w:t>
      </w:r>
      <w:r w:rsidR="00D72766" w:rsidRPr="002E0DD9">
        <w:rPr>
          <w:rFonts w:ascii="Garamond" w:hAnsi="Garamond" w:cs="Times New Roman"/>
          <w:b/>
          <w:color w:val="000000" w:themeColor="text1"/>
          <w:sz w:val="26"/>
          <w:szCs w:val="26"/>
        </w:rPr>
        <w:t>– 7</w:t>
      </w:r>
      <w:r w:rsidR="00630A70" w:rsidRPr="002E0DD9">
        <w:rPr>
          <w:rFonts w:ascii="Garamond" w:hAnsi="Garamond" w:cs="Times New Roman"/>
          <w:b/>
          <w:color w:val="000000" w:themeColor="text1"/>
          <w:sz w:val="26"/>
          <w:szCs w:val="26"/>
        </w:rPr>
        <w:t>. Rilievi conclusivi.</w:t>
      </w:r>
    </w:p>
    <w:p w14:paraId="2067163E" w14:textId="16739CAE" w:rsidR="00A545D2" w:rsidRPr="002E0DD9" w:rsidRDefault="00A545D2" w:rsidP="001501CD">
      <w:pPr>
        <w:ind w:right="-7"/>
        <w:jc w:val="both"/>
        <w:rPr>
          <w:rFonts w:ascii="Garamond" w:hAnsi="Garamond" w:cs="Times New Roman"/>
          <w:color w:val="000000" w:themeColor="text1"/>
        </w:rPr>
      </w:pPr>
    </w:p>
    <w:p w14:paraId="2DCD10C1" w14:textId="77777777" w:rsidR="00A545D2" w:rsidRPr="002E0DD9" w:rsidRDefault="00A545D2" w:rsidP="001501CD">
      <w:pPr>
        <w:ind w:right="-7" w:firstLine="709"/>
        <w:jc w:val="center"/>
        <w:rPr>
          <w:rFonts w:ascii="Garamond" w:hAnsi="Garamond" w:cs="Times New Roman"/>
          <w:b/>
          <w:color w:val="000000" w:themeColor="text1"/>
        </w:rPr>
      </w:pPr>
    </w:p>
    <w:p w14:paraId="43B5761E" w14:textId="3DA5C82B" w:rsidR="00873BBB" w:rsidRPr="002E0DD9" w:rsidRDefault="00873BBB" w:rsidP="00945697">
      <w:pPr>
        <w:pStyle w:val="Paragrafoelenco"/>
        <w:numPr>
          <w:ilvl w:val="0"/>
          <w:numId w:val="1"/>
        </w:numPr>
        <w:spacing w:line="360" w:lineRule="auto"/>
        <w:ind w:right="-7" w:firstLine="709"/>
        <w:jc w:val="both"/>
        <w:rPr>
          <w:rFonts w:ascii="Garamond" w:hAnsi="Garamond" w:cs="Times New Roman"/>
          <w:b/>
          <w:i/>
          <w:color w:val="000000" w:themeColor="text1"/>
          <w:sz w:val="26"/>
          <w:szCs w:val="26"/>
        </w:rPr>
      </w:pPr>
      <w:r w:rsidRPr="002E0DD9">
        <w:rPr>
          <w:rFonts w:ascii="Garamond" w:hAnsi="Garamond" w:cs="Times New Roman"/>
          <w:b/>
          <w:i/>
          <w:color w:val="000000" w:themeColor="text1"/>
          <w:sz w:val="26"/>
          <w:szCs w:val="26"/>
        </w:rPr>
        <w:t xml:space="preserve">Rilievi introduttivi.  </w:t>
      </w:r>
    </w:p>
    <w:p w14:paraId="2D1299DF" w14:textId="77777777" w:rsidR="00873BBB" w:rsidRPr="002E0DD9" w:rsidRDefault="00873BBB" w:rsidP="00945697">
      <w:pPr>
        <w:pStyle w:val="Paragrafoelenco"/>
        <w:spacing w:line="360" w:lineRule="auto"/>
        <w:ind w:left="1069" w:right="-7" w:firstLine="709"/>
        <w:jc w:val="both"/>
        <w:rPr>
          <w:rFonts w:ascii="Garamond" w:hAnsi="Garamond" w:cs="Times New Roman"/>
          <w:color w:val="000000" w:themeColor="text1"/>
          <w:sz w:val="26"/>
          <w:szCs w:val="26"/>
        </w:rPr>
      </w:pPr>
    </w:p>
    <w:p w14:paraId="66033931" w14:textId="2CD53D8F" w:rsidR="00476634" w:rsidRPr="002E0DD9" w:rsidRDefault="00476634"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hAnsi="Garamond" w:cs="Times New Roman"/>
          <w:color w:val="000000" w:themeColor="text1"/>
          <w:sz w:val="26"/>
          <w:szCs w:val="26"/>
        </w:rPr>
        <w:t>Intorno ai cosiddetti oneri di sicurezza interni si agita uno dei dibattiti più intensi del recente diritto degli appalti, che ha interessato il dialogo tra le Corti con un’iniziale distonia, poi ricomposta, tra la giurisprudenza del Consiglio di Stato e quella della Corte di Lussemburgo</w:t>
      </w:r>
      <w:r w:rsidR="007F0F21" w:rsidRPr="002E0DD9">
        <w:rPr>
          <w:rStyle w:val="Rimandonotaapidipagina"/>
          <w:rFonts w:ascii="Garamond" w:hAnsi="Garamond" w:cs="Times New Roman"/>
          <w:color w:val="000000" w:themeColor="text1"/>
          <w:sz w:val="26"/>
          <w:szCs w:val="26"/>
        </w:rPr>
        <w:footnoteReference w:id="2"/>
      </w:r>
      <w:r w:rsidRPr="002E0DD9">
        <w:rPr>
          <w:rFonts w:ascii="Garamond" w:hAnsi="Garamond" w:cs="Times New Roman"/>
          <w:color w:val="000000" w:themeColor="text1"/>
          <w:sz w:val="26"/>
          <w:szCs w:val="26"/>
        </w:rPr>
        <w:t>.</w:t>
      </w:r>
    </w:p>
    <w:p w14:paraId="669EE8BB" w14:textId="56F1C5DC" w:rsidR="00A65C3B" w:rsidRPr="002E0DD9" w:rsidRDefault="009859BB"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hAnsi="Garamond" w:cs="Times New Roman"/>
          <w:color w:val="000000" w:themeColor="text1"/>
          <w:sz w:val="26"/>
          <w:szCs w:val="26"/>
        </w:rPr>
        <w:t xml:space="preserve">La questione problematica concerne, </w:t>
      </w:r>
      <w:r w:rsidR="00D906FE" w:rsidRPr="002E0DD9">
        <w:rPr>
          <w:rFonts w:ascii="Garamond" w:hAnsi="Garamond" w:cs="Times New Roman"/>
          <w:color w:val="000000" w:themeColor="text1"/>
          <w:sz w:val="26"/>
          <w:szCs w:val="26"/>
        </w:rPr>
        <w:t>con riferimento agli appalti di lavori</w:t>
      </w:r>
      <w:r w:rsidRPr="002E0DD9">
        <w:rPr>
          <w:rFonts w:ascii="Garamond" w:hAnsi="Garamond" w:cs="Times New Roman"/>
          <w:color w:val="000000" w:themeColor="text1"/>
          <w:sz w:val="26"/>
          <w:szCs w:val="26"/>
        </w:rPr>
        <w:t>, la qualificazione del</w:t>
      </w:r>
      <w:r w:rsidR="00CA1230" w:rsidRPr="002E0DD9">
        <w:rPr>
          <w:rFonts w:ascii="Garamond" w:eastAsia="Times New Roman" w:hAnsi="Garamond" w:cs="Times New Roman"/>
          <w:color w:val="000000" w:themeColor="text1"/>
          <w:sz w:val="26"/>
          <w:szCs w:val="26"/>
          <w:shd w:val="clear" w:color="auto" w:fill="FFFFFF"/>
        </w:rPr>
        <w:t xml:space="preserve">la specifica </w:t>
      </w:r>
      <w:r w:rsidRPr="002E0DD9">
        <w:rPr>
          <w:rFonts w:ascii="Garamond" w:eastAsia="Times New Roman" w:hAnsi="Garamond" w:cs="Times New Roman"/>
          <w:color w:val="000000" w:themeColor="text1"/>
          <w:sz w:val="26"/>
          <w:szCs w:val="26"/>
          <w:shd w:val="clear" w:color="auto" w:fill="FFFFFF"/>
        </w:rPr>
        <w:t xml:space="preserve">indicazione degli oneri di sicurezza </w:t>
      </w:r>
      <w:r w:rsidR="00DB5E2B" w:rsidRPr="002E0DD9">
        <w:rPr>
          <w:rFonts w:ascii="Garamond" w:eastAsia="Times New Roman" w:hAnsi="Garamond" w:cs="Times New Roman"/>
          <w:color w:val="000000" w:themeColor="text1"/>
          <w:sz w:val="26"/>
          <w:szCs w:val="26"/>
          <w:shd w:val="clear" w:color="auto" w:fill="FFFFFF"/>
        </w:rPr>
        <w:t>aziendali</w:t>
      </w:r>
      <w:r w:rsidRPr="002E0DD9">
        <w:rPr>
          <w:rFonts w:ascii="Garamond" w:eastAsia="Times New Roman" w:hAnsi="Garamond" w:cs="Times New Roman"/>
          <w:color w:val="000000" w:themeColor="text1"/>
          <w:sz w:val="26"/>
          <w:szCs w:val="26"/>
          <w:shd w:val="clear" w:color="auto" w:fill="FFFFFF"/>
        </w:rPr>
        <w:t xml:space="preserve"> come</w:t>
      </w:r>
      <w:r w:rsidR="000D6565" w:rsidRPr="002E0DD9">
        <w:rPr>
          <w:rFonts w:ascii="Garamond" w:eastAsia="Times New Roman" w:hAnsi="Garamond" w:cs="Times New Roman"/>
          <w:color w:val="000000" w:themeColor="text1"/>
          <w:sz w:val="26"/>
          <w:szCs w:val="26"/>
          <w:shd w:val="clear" w:color="auto" w:fill="FFFFFF"/>
        </w:rPr>
        <w:t xml:space="preserve"> elemento</w:t>
      </w:r>
      <w:r w:rsidRPr="002E0DD9">
        <w:rPr>
          <w:rFonts w:ascii="Garamond" w:eastAsia="Times New Roman" w:hAnsi="Garamond" w:cs="Times New Roman"/>
          <w:color w:val="000000" w:themeColor="text1"/>
          <w:sz w:val="26"/>
          <w:szCs w:val="26"/>
          <w:shd w:val="clear" w:color="auto" w:fill="FFFFFF"/>
        </w:rPr>
        <w:t xml:space="preserve"> essenziale dell’offerta</w:t>
      </w:r>
      <w:r w:rsidR="00DB5E2B" w:rsidRPr="002E0DD9">
        <w:rPr>
          <w:rFonts w:ascii="Garamond" w:eastAsia="Times New Roman" w:hAnsi="Garamond" w:cs="Times New Roman"/>
          <w:color w:val="000000" w:themeColor="text1"/>
          <w:sz w:val="26"/>
          <w:szCs w:val="26"/>
          <w:shd w:val="clear" w:color="auto" w:fill="FFFFFF"/>
        </w:rPr>
        <w:t xml:space="preserve"> economica</w:t>
      </w:r>
      <w:r w:rsidRPr="002E0DD9">
        <w:rPr>
          <w:rFonts w:ascii="Garamond" w:eastAsia="Times New Roman" w:hAnsi="Garamond" w:cs="Times New Roman"/>
          <w:color w:val="000000" w:themeColor="text1"/>
          <w:sz w:val="26"/>
          <w:szCs w:val="26"/>
          <w:shd w:val="clear" w:color="auto" w:fill="FFFFFF"/>
        </w:rPr>
        <w:t>, tale da condurre all’esclusione</w:t>
      </w:r>
      <w:r w:rsidR="00DB5E2B" w:rsidRPr="002E0DD9">
        <w:rPr>
          <w:rFonts w:ascii="Garamond" w:eastAsia="Times New Roman" w:hAnsi="Garamond" w:cs="Times New Roman"/>
          <w:color w:val="000000" w:themeColor="text1"/>
          <w:sz w:val="26"/>
          <w:szCs w:val="26"/>
          <w:shd w:val="clear" w:color="auto" w:fill="FFFFFF"/>
        </w:rPr>
        <w:t xml:space="preserve"> del concorrente</w:t>
      </w:r>
      <w:r w:rsidRPr="002E0DD9">
        <w:rPr>
          <w:rFonts w:ascii="Garamond" w:eastAsia="Times New Roman" w:hAnsi="Garamond" w:cs="Times New Roman"/>
          <w:color w:val="000000" w:themeColor="text1"/>
          <w:sz w:val="26"/>
          <w:szCs w:val="26"/>
          <w:shd w:val="clear" w:color="auto" w:fill="FFFFFF"/>
        </w:rPr>
        <w:t xml:space="preserve"> in caso di </w:t>
      </w:r>
      <w:proofErr w:type="gramStart"/>
      <w:r w:rsidRPr="002E0DD9">
        <w:rPr>
          <w:rFonts w:ascii="Garamond" w:eastAsia="Times New Roman" w:hAnsi="Garamond" w:cs="Times New Roman"/>
          <w:color w:val="000000" w:themeColor="text1"/>
          <w:sz w:val="26"/>
          <w:szCs w:val="26"/>
          <w:shd w:val="clear" w:color="auto" w:fill="FFFFFF"/>
        </w:rPr>
        <w:t>omissione</w:t>
      </w:r>
      <w:proofErr w:type="gramEnd"/>
      <w:r w:rsidRPr="002E0DD9">
        <w:rPr>
          <w:rFonts w:ascii="Garamond" w:eastAsia="Times New Roman" w:hAnsi="Garamond" w:cs="Times New Roman"/>
          <w:color w:val="000000" w:themeColor="text1"/>
          <w:sz w:val="26"/>
          <w:szCs w:val="26"/>
          <w:shd w:val="clear" w:color="auto" w:fill="FFFFFF"/>
        </w:rPr>
        <w:t>.</w:t>
      </w:r>
    </w:p>
    <w:p w14:paraId="5F1298BE" w14:textId="74CFD42B" w:rsidR="00A65C3B" w:rsidRPr="002E0DD9" w:rsidRDefault="00A65C3B"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Il nuovo Codice dei contratti pubblici, recato dal decreto legislativo 18 aprile 2016, n. 50, risolve normativamente la questione, stabilendo al comma 10 dell’art. 95 che </w:t>
      </w:r>
      <w:r w:rsidR="00F65BCF" w:rsidRPr="002E0DD9">
        <w:rPr>
          <w:rFonts w:ascii="Garamond" w:hAnsi="Garamond" w:cs="Times New Roman"/>
          <w:i/>
          <w:color w:val="000000" w:themeColor="text1"/>
          <w:sz w:val="26"/>
          <w:szCs w:val="26"/>
        </w:rPr>
        <w:t>«</w:t>
      </w:r>
      <w:r w:rsidRPr="002E0DD9">
        <w:rPr>
          <w:rFonts w:ascii="Garamond" w:eastAsia="Times New Roman" w:hAnsi="Garamond" w:cs="Times New Roman"/>
          <w:i/>
          <w:color w:val="000000" w:themeColor="text1"/>
          <w:sz w:val="26"/>
          <w:szCs w:val="26"/>
          <w:shd w:val="clear" w:color="auto" w:fill="FFFFFF"/>
        </w:rPr>
        <w:t>nell’offerta economica l’operatore deve indicare i propri costi aziendali concernenti l’adempimento delle disposizioni in materia di salute e</w:t>
      </w:r>
      <w:r w:rsidR="00F65BCF" w:rsidRPr="002E0DD9">
        <w:rPr>
          <w:rFonts w:ascii="Garamond" w:eastAsia="Times New Roman" w:hAnsi="Garamond" w:cs="Times New Roman"/>
          <w:i/>
          <w:color w:val="000000" w:themeColor="text1"/>
          <w:sz w:val="26"/>
          <w:szCs w:val="26"/>
          <w:shd w:val="clear" w:color="auto" w:fill="FFFFFF"/>
        </w:rPr>
        <w:t xml:space="preserve"> sicurezza sui luoghi di lavoro</w:t>
      </w:r>
      <w:r w:rsidR="00F65BCF" w:rsidRPr="002E0DD9">
        <w:rPr>
          <w:rFonts w:ascii="Garamond" w:hAnsi="Garamond" w:cs="Times New Roman"/>
          <w:i/>
          <w:color w:val="000000" w:themeColor="text1"/>
          <w:sz w:val="26"/>
          <w:szCs w:val="26"/>
        </w:rPr>
        <w:t>»</w:t>
      </w:r>
      <w:r w:rsidRPr="002E0DD9">
        <w:rPr>
          <w:rFonts w:ascii="Garamond" w:eastAsia="Times New Roman" w:hAnsi="Garamond" w:cs="Times New Roman"/>
          <w:i/>
          <w:color w:val="000000" w:themeColor="text1"/>
          <w:sz w:val="26"/>
          <w:szCs w:val="26"/>
          <w:shd w:val="clear" w:color="auto" w:fill="FFFFFF"/>
        </w:rPr>
        <w:t>.</w:t>
      </w:r>
      <w:r w:rsidRPr="002E0DD9">
        <w:rPr>
          <w:rFonts w:ascii="Garamond" w:eastAsia="Times New Roman" w:hAnsi="Garamond" w:cs="Times New Roman"/>
          <w:color w:val="000000" w:themeColor="text1"/>
          <w:sz w:val="26"/>
          <w:szCs w:val="26"/>
          <w:shd w:val="clear" w:color="auto" w:fill="FFFFFF"/>
        </w:rPr>
        <w:t xml:space="preserve"> </w:t>
      </w:r>
    </w:p>
    <w:p w14:paraId="3BC200B0" w14:textId="301CD844" w:rsidR="00F52D01" w:rsidRPr="002E0DD9" w:rsidRDefault="005C5934"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La ricostruzione dell’evoluzione giurisprudenziale maturata sotto il vigore dell’abrogato Codice dei contratti pubblici è utile per chiarire, da un lato, la consistenza dei dubbi interpretativi che la nuova disposizione ha cercato d</w:t>
      </w:r>
      <w:r w:rsidR="00004578" w:rsidRPr="002E0DD9">
        <w:rPr>
          <w:rFonts w:ascii="Garamond" w:eastAsia="Times New Roman" w:hAnsi="Garamond" w:cs="Times New Roman"/>
          <w:color w:val="000000" w:themeColor="text1"/>
          <w:sz w:val="26"/>
          <w:szCs w:val="26"/>
          <w:shd w:val="clear" w:color="auto" w:fill="FFFFFF"/>
        </w:rPr>
        <w:t>i dissipare;</w:t>
      </w:r>
      <w:r w:rsidRPr="002E0DD9">
        <w:rPr>
          <w:rFonts w:ascii="Garamond" w:eastAsia="Times New Roman" w:hAnsi="Garamond" w:cs="Times New Roman"/>
          <w:color w:val="000000" w:themeColor="text1"/>
          <w:sz w:val="26"/>
          <w:szCs w:val="26"/>
          <w:shd w:val="clear" w:color="auto" w:fill="FFFFFF"/>
        </w:rPr>
        <w:t xml:space="preserve"> dall’altro</w:t>
      </w:r>
      <w:r w:rsidR="00004578" w:rsidRPr="002E0DD9">
        <w:rPr>
          <w:rFonts w:ascii="Garamond" w:eastAsia="Times New Roman" w:hAnsi="Garamond" w:cs="Times New Roman"/>
          <w:color w:val="000000" w:themeColor="text1"/>
          <w:sz w:val="26"/>
          <w:szCs w:val="26"/>
          <w:shd w:val="clear" w:color="auto" w:fill="FFFFFF"/>
        </w:rPr>
        <w:t xml:space="preserve"> lato</w:t>
      </w:r>
      <w:r w:rsidR="00A05715" w:rsidRPr="002E0DD9">
        <w:rPr>
          <w:rFonts w:ascii="Garamond" w:eastAsia="Times New Roman" w:hAnsi="Garamond" w:cs="Times New Roman"/>
          <w:color w:val="000000" w:themeColor="text1"/>
          <w:sz w:val="26"/>
          <w:szCs w:val="26"/>
          <w:shd w:val="clear" w:color="auto" w:fill="FFFFFF"/>
        </w:rPr>
        <w:t>, deve essere tenuta in considerazione con riferimento a quelle fattispecie che, in virtù dei criteri di successione delle leggi</w:t>
      </w:r>
      <w:r w:rsidR="00E43B37" w:rsidRPr="002E0DD9">
        <w:rPr>
          <w:rFonts w:ascii="Garamond" w:eastAsia="Times New Roman" w:hAnsi="Garamond" w:cs="Times New Roman"/>
          <w:color w:val="000000" w:themeColor="text1"/>
          <w:sz w:val="26"/>
          <w:szCs w:val="26"/>
          <w:shd w:val="clear" w:color="auto" w:fill="FFFFFF"/>
        </w:rPr>
        <w:t xml:space="preserve"> n</w:t>
      </w:r>
      <w:r w:rsidR="00A05715" w:rsidRPr="002E0DD9">
        <w:rPr>
          <w:rFonts w:ascii="Garamond" w:eastAsia="Times New Roman" w:hAnsi="Garamond" w:cs="Times New Roman"/>
          <w:color w:val="000000" w:themeColor="text1"/>
          <w:sz w:val="26"/>
          <w:szCs w:val="26"/>
          <w:shd w:val="clear" w:color="auto" w:fill="FFFFFF"/>
        </w:rPr>
        <w:t xml:space="preserve">el tempo, restano disciplinate dal d.lgs. </w:t>
      </w:r>
      <w:r w:rsidR="00873BBB" w:rsidRPr="002E0DD9">
        <w:rPr>
          <w:rFonts w:ascii="Garamond" w:eastAsia="Times New Roman" w:hAnsi="Garamond" w:cs="Times New Roman"/>
          <w:color w:val="000000" w:themeColor="text1"/>
          <w:sz w:val="26"/>
          <w:szCs w:val="26"/>
          <w:shd w:val="clear" w:color="auto" w:fill="FFFFFF"/>
        </w:rPr>
        <w:t>12 aprile 2006, n. 163.</w:t>
      </w:r>
    </w:p>
    <w:p w14:paraId="0195297C" w14:textId="2F03FD0F" w:rsidR="00A65C3B" w:rsidRPr="002E0DD9" w:rsidRDefault="00A65C3B" w:rsidP="00945697">
      <w:pPr>
        <w:spacing w:line="360" w:lineRule="auto"/>
        <w:ind w:right="-7" w:firstLine="709"/>
        <w:contextualSpacing/>
        <w:jc w:val="both"/>
        <w:rPr>
          <w:rFonts w:ascii="Garamond" w:hAnsi="Garamond" w:cs="Times New Roman"/>
          <w:color w:val="000000" w:themeColor="text1"/>
          <w:sz w:val="26"/>
          <w:szCs w:val="26"/>
        </w:rPr>
      </w:pPr>
    </w:p>
    <w:p w14:paraId="762F1BC4" w14:textId="63B9A2DB" w:rsidR="00476634" w:rsidRPr="002E0DD9" w:rsidRDefault="006E60E6" w:rsidP="00945697">
      <w:pPr>
        <w:spacing w:line="360" w:lineRule="auto"/>
        <w:ind w:right="-7" w:firstLine="709"/>
        <w:contextualSpacing/>
        <w:jc w:val="both"/>
        <w:rPr>
          <w:rFonts w:ascii="Garamond" w:hAnsi="Garamond" w:cs="Times New Roman"/>
          <w:b/>
          <w:i/>
          <w:color w:val="000000" w:themeColor="text1"/>
          <w:sz w:val="26"/>
          <w:szCs w:val="26"/>
        </w:rPr>
      </w:pPr>
      <w:r w:rsidRPr="002E0DD9">
        <w:rPr>
          <w:rFonts w:ascii="Garamond" w:hAnsi="Garamond" w:cs="Times New Roman"/>
          <w:b/>
          <w:i/>
          <w:color w:val="000000" w:themeColor="text1"/>
          <w:sz w:val="26"/>
          <w:szCs w:val="26"/>
        </w:rPr>
        <w:lastRenderedPageBreak/>
        <w:t>2. I termini del problema e la prima evoluzione giurisprudenziale.</w:t>
      </w:r>
      <w:r w:rsidR="00486A91" w:rsidRPr="002E0DD9">
        <w:rPr>
          <w:rFonts w:ascii="Garamond" w:hAnsi="Garamond" w:cs="Times New Roman"/>
          <w:b/>
          <w:i/>
          <w:color w:val="000000" w:themeColor="text1"/>
          <w:sz w:val="26"/>
          <w:szCs w:val="26"/>
        </w:rPr>
        <w:t xml:space="preserve"> </w:t>
      </w:r>
    </w:p>
    <w:p w14:paraId="1BF05A8C" w14:textId="77777777" w:rsidR="006E60E6" w:rsidRPr="002E0DD9" w:rsidRDefault="006E60E6" w:rsidP="00945697">
      <w:pPr>
        <w:spacing w:line="360" w:lineRule="auto"/>
        <w:ind w:right="-7" w:firstLine="709"/>
        <w:contextualSpacing/>
        <w:jc w:val="both"/>
        <w:rPr>
          <w:rFonts w:ascii="Garamond" w:hAnsi="Garamond" w:cs="Times New Roman"/>
          <w:color w:val="000000" w:themeColor="text1"/>
          <w:sz w:val="26"/>
          <w:szCs w:val="26"/>
        </w:rPr>
      </w:pPr>
    </w:p>
    <w:p w14:paraId="46AB246F" w14:textId="0FD1D108" w:rsidR="00C33DEF" w:rsidRPr="002E0DD9" w:rsidRDefault="00C33DEF"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hAnsi="Garamond" w:cs="Times New Roman"/>
          <w:color w:val="000000" w:themeColor="text1"/>
          <w:sz w:val="26"/>
          <w:szCs w:val="26"/>
        </w:rPr>
        <w:t xml:space="preserve">È rilevante in primo luogo distinguere, sulla scia della giurisprudenza, tra costi </w:t>
      </w:r>
      <w:r w:rsidR="00B46CA9" w:rsidRPr="002E0DD9">
        <w:rPr>
          <w:rFonts w:ascii="Garamond" w:hAnsi="Garamond" w:cs="Times New Roman"/>
          <w:color w:val="000000" w:themeColor="text1"/>
          <w:sz w:val="26"/>
          <w:szCs w:val="26"/>
        </w:rPr>
        <w:t xml:space="preserve">per la sicurezza </w:t>
      </w:r>
      <w:r w:rsidR="009C5025" w:rsidRPr="002E0DD9">
        <w:rPr>
          <w:rFonts w:ascii="Garamond" w:hAnsi="Garamond" w:cs="Times New Roman"/>
          <w:color w:val="000000" w:themeColor="text1"/>
          <w:sz w:val="26"/>
          <w:szCs w:val="26"/>
        </w:rPr>
        <w:t xml:space="preserve">“interferenziali” </w:t>
      </w:r>
      <w:r w:rsidRPr="002E0DD9">
        <w:rPr>
          <w:rFonts w:ascii="Garamond" w:hAnsi="Garamond" w:cs="Times New Roman"/>
          <w:color w:val="000000" w:themeColor="text1"/>
          <w:sz w:val="26"/>
          <w:szCs w:val="26"/>
        </w:rPr>
        <w:t>e costi c.d. aziendali o interni.</w:t>
      </w:r>
    </w:p>
    <w:p w14:paraId="6D0A4574" w14:textId="05ABBF0C" w:rsidR="00C33DEF" w:rsidRPr="002E0DD9" w:rsidRDefault="00C33DEF"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hAnsi="Garamond" w:cs="Times New Roman"/>
          <w:color w:val="000000" w:themeColor="text1"/>
          <w:sz w:val="26"/>
          <w:szCs w:val="26"/>
        </w:rPr>
        <w:t>I costi da interferenze sono contemplati dagli articoli 26, commi 3, 3</w:t>
      </w:r>
      <w:r w:rsidR="004A4B5A" w:rsidRPr="002E0DD9">
        <w:rPr>
          <w:rFonts w:ascii="Garamond" w:hAnsi="Garamond" w:cs="Times New Roman"/>
          <w:color w:val="000000" w:themeColor="text1"/>
          <w:sz w:val="26"/>
          <w:szCs w:val="26"/>
        </w:rPr>
        <w:t xml:space="preserve"> </w:t>
      </w:r>
      <w:r w:rsidRPr="002E0DD9">
        <w:rPr>
          <w:rFonts w:ascii="Garamond" w:hAnsi="Garamond" w:cs="Times New Roman"/>
          <w:i/>
          <w:color w:val="000000" w:themeColor="text1"/>
          <w:sz w:val="26"/>
          <w:szCs w:val="26"/>
        </w:rPr>
        <w:t>ter</w:t>
      </w:r>
      <w:r w:rsidRPr="002E0DD9">
        <w:rPr>
          <w:rFonts w:ascii="Garamond" w:hAnsi="Garamond" w:cs="Times New Roman"/>
          <w:color w:val="000000" w:themeColor="text1"/>
          <w:sz w:val="26"/>
          <w:szCs w:val="26"/>
        </w:rPr>
        <w:t xml:space="preserve"> e 5, del d.lgs. 9 aprile 2008, n. 81 (Attuazione dell'articolo 1 della legge 3 agosto 2007, n. 123, in materia di tutela della salute e della sicurezza nei </w:t>
      </w:r>
      <w:r w:rsidR="004A4B5A" w:rsidRPr="002E0DD9">
        <w:rPr>
          <w:rFonts w:ascii="Garamond" w:hAnsi="Garamond" w:cs="Times New Roman"/>
          <w:color w:val="000000" w:themeColor="text1"/>
          <w:sz w:val="26"/>
          <w:szCs w:val="26"/>
        </w:rPr>
        <w:t xml:space="preserve">luoghi di lavoro) e 86, comma 3 </w:t>
      </w:r>
      <w:r w:rsidRPr="002E0DD9">
        <w:rPr>
          <w:rFonts w:ascii="Garamond" w:hAnsi="Garamond" w:cs="Times New Roman"/>
          <w:i/>
          <w:color w:val="000000" w:themeColor="text1"/>
          <w:sz w:val="26"/>
          <w:szCs w:val="26"/>
        </w:rPr>
        <w:t>ter</w:t>
      </w:r>
      <w:r w:rsidRPr="002E0DD9">
        <w:rPr>
          <w:rFonts w:ascii="Garamond" w:hAnsi="Garamond" w:cs="Times New Roman"/>
          <w:color w:val="000000" w:themeColor="text1"/>
          <w:sz w:val="26"/>
          <w:szCs w:val="26"/>
        </w:rPr>
        <w:t>, 87, comma 4, e 131 del Codice previgente.</w:t>
      </w:r>
    </w:p>
    <w:p w14:paraId="278053CA" w14:textId="1A0DAB17" w:rsidR="00761AF0" w:rsidRPr="002E0DD9" w:rsidRDefault="00C33DEF"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hAnsi="Garamond" w:cs="Times New Roman"/>
          <w:color w:val="000000" w:themeColor="text1"/>
          <w:sz w:val="26"/>
          <w:szCs w:val="26"/>
        </w:rPr>
        <w:t xml:space="preserve">Tali costi hanno la funzione di eliminare i rischi da interferenza, intesa come contatto rischioso tra il personale del committente e quello dell'appaltatore, oppure tra il personale di imprese diverse che operano nella stessa sede aziendale con contratti differenti. Inoltre essi sono quantificati a monte dalla stazione appaltante, nel D.U.V.R.I. (documento unico per la valutazione dei rischi da interferenze, art. 26 del d.lgs. n. 81 del 2008) e, per gli appalti di lavori, nel PSC (piano di sicurezza e coordinamento, art. 100 d.lgs. n. 81/2008). Occorre altresì precisare che non sono soggetti a ribasso, perché ontologicamente diversi dalle prestazioni </w:t>
      </w:r>
      <w:proofErr w:type="spellStart"/>
      <w:r w:rsidRPr="002E0DD9">
        <w:rPr>
          <w:rFonts w:ascii="Garamond" w:hAnsi="Garamond" w:cs="Times New Roman"/>
          <w:i/>
          <w:color w:val="000000" w:themeColor="text1"/>
          <w:sz w:val="26"/>
          <w:szCs w:val="26"/>
        </w:rPr>
        <w:t>stricto</w:t>
      </w:r>
      <w:proofErr w:type="spellEnd"/>
      <w:r w:rsidRPr="002E0DD9">
        <w:rPr>
          <w:rFonts w:ascii="Garamond" w:hAnsi="Garamond" w:cs="Times New Roman"/>
          <w:i/>
          <w:color w:val="000000" w:themeColor="text1"/>
          <w:sz w:val="26"/>
          <w:szCs w:val="26"/>
        </w:rPr>
        <w:t xml:space="preserve"> </w:t>
      </w:r>
      <w:proofErr w:type="spellStart"/>
      <w:r w:rsidRPr="002E0DD9">
        <w:rPr>
          <w:rFonts w:ascii="Garamond" w:hAnsi="Garamond" w:cs="Times New Roman"/>
          <w:i/>
          <w:color w:val="000000" w:themeColor="text1"/>
          <w:sz w:val="26"/>
          <w:szCs w:val="26"/>
        </w:rPr>
        <w:t>sensu</w:t>
      </w:r>
      <w:proofErr w:type="spellEnd"/>
      <w:r w:rsidRPr="002E0DD9">
        <w:rPr>
          <w:rFonts w:ascii="Garamond" w:hAnsi="Garamond" w:cs="Times New Roman"/>
          <w:color w:val="000000" w:themeColor="text1"/>
          <w:sz w:val="26"/>
          <w:szCs w:val="26"/>
        </w:rPr>
        <w:t xml:space="preserve"> oggetto di affidamento</w:t>
      </w:r>
      <w:r w:rsidR="00761AF0" w:rsidRPr="002E0DD9">
        <w:rPr>
          <w:rFonts w:ascii="Garamond" w:hAnsi="Garamond" w:cs="Times New Roman"/>
          <w:color w:val="000000" w:themeColor="text1"/>
          <w:sz w:val="26"/>
          <w:szCs w:val="26"/>
        </w:rPr>
        <w:t>.</w:t>
      </w:r>
    </w:p>
    <w:p w14:paraId="0B9F6900" w14:textId="67F1CAE1" w:rsidR="00530AF4" w:rsidRPr="002E0DD9" w:rsidRDefault="00761AF0"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hAnsi="Garamond" w:cs="Times New Roman"/>
          <w:color w:val="000000" w:themeColor="text1"/>
          <w:sz w:val="26"/>
          <w:szCs w:val="26"/>
        </w:rPr>
        <w:t>Invece i costi</w:t>
      </w:r>
      <w:r w:rsidR="00C33DEF" w:rsidRPr="002E0DD9">
        <w:rPr>
          <w:rFonts w:ascii="Garamond" w:hAnsi="Garamond" w:cs="Times New Roman"/>
          <w:color w:val="000000" w:themeColor="text1"/>
          <w:sz w:val="26"/>
          <w:szCs w:val="26"/>
        </w:rPr>
        <w:t xml:space="preserve"> interni o aziendali, cui si riferiscono l'art. 26, comma 3, quinto periodo, del d.lgs. n. 81 d</w:t>
      </w:r>
      <w:r w:rsidR="005225B0" w:rsidRPr="002E0DD9">
        <w:rPr>
          <w:rFonts w:ascii="Garamond" w:hAnsi="Garamond" w:cs="Times New Roman"/>
          <w:color w:val="000000" w:themeColor="text1"/>
          <w:sz w:val="26"/>
          <w:szCs w:val="26"/>
        </w:rPr>
        <w:t xml:space="preserve">el 2008 e gli artt. 86, comma 3 </w:t>
      </w:r>
      <w:r w:rsidR="00C33DEF" w:rsidRPr="002E0DD9">
        <w:rPr>
          <w:rFonts w:ascii="Garamond" w:hAnsi="Garamond" w:cs="Times New Roman"/>
          <w:i/>
          <w:color w:val="000000" w:themeColor="text1"/>
          <w:sz w:val="26"/>
          <w:szCs w:val="26"/>
        </w:rPr>
        <w:t>bis</w:t>
      </w:r>
      <w:r w:rsidR="00C33DEF" w:rsidRPr="002E0DD9">
        <w:rPr>
          <w:rFonts w:ascii="Garamond" w:hAnsi="Garamond" w:cs="Times New Roman"/>
          <w:color w:val="000000" w:themeColor="text1"/>
          <w:sz w:val="26"/>
          <w:szCs w:val="26"/>
        </w:rPr>
        <w:t>, e 87, comma 4, secondo periodo, del Codice</w:t>
      </w:r>
      <w:r w:rsidR="007838CC" w:rsidRPr="002E0DD9">
        <w:rPr>
          <w:rFonts w:ascii="Garamond" w:hAnsi="Garamond" w:cs="Times New Roman"/>
          <w:color w:val="000000" w:themeColor="text1"/>
          <w:sz w:val="26"/>
          <w:szCs w:val="26"/>
        </w:rPr>
        <w:t xml:space="preserve"> previgente</w:t>
      </w:r>
      <w:r w:rsidR="00C33DEF" w:rsidRPr="002E0DD9">
        <w:rPr>
          <w:rFonts w:ascii="Garamond" w:hAnsi="Garamond" w:cs="Times New Roman"/>
          <w:color w:val="000000" w:themeColor="text1"/>
          <w:sz w:val="26"/>
          <w:szCs w:val="26"/>
        </w:rPr>
        <w:t xml:space="preserve">, </w:t>
      </w:r>
      <w:r w:rsidRPr="002E0DD9">
        <w:rPr>
          <w:rFonts w:ascii="Garamond" w:hAnsi="Garamond" w:cs="Times New Roman"/>
          <w:color w:val="000000" w:themeColor="text1"/>
          <w:sz w:val="26"/>
          <w:szCs w:val="26"/>
        </w:rPr>
        <w:t>attengono a</w:t>
      </w:r>
      <w:r w:rsidR="00C33DEF" w:rsidRPr="002E0DD9">
        <w:rPr>
          <w:rFonts w:ascii="Garamond" w:hAnsi="Garamond" w:cs="Times New Roman"/>
          <w:color w:val="000000" w:themeColor="text1"/>
          <w:sz w:val="26"/>
          <w:szCs w:val="26"/>
        </w:rPr>
        <w:t xml:space="preserve"> ciascuna impresa</w:t>
      </w:r>
      <w:r w:rsidRPr="002E0DD9">
        <w:rPr>
          <w:rFonts w:ascii="Garamond" w:hAnsi="Garamond" w:cs="Times New Roman"/>
          <w:color w:val="000000" w:themeColor="text1"/>
          <w:sz w:val="26"/>
          <w:szCs w:val="26"/>
        </w:rPr>
        <w:t xml:space="preserve"> e sono</w:t>
      </w:r>
      <w:r w:rsidR="00C33DEF" w:rsidRPr="002E0DD9">
        <w:rPr>
          <w:rFonts w:ascii="Garamond" w:hAnsi="Garamond" w:cs="Times New Roman"/>
          <w:color w:val="000000" w:themeColor="text1"/>
          <w:sz w:val="26"/>
          <w:szCs w:val="26"/>
        </w:rPr>
        <w:t xml:space="preserve"> connessi alla realizzazione dello specifico appalto, sostanzialmente contemplati dal DVR, documento di valutazione dei rischi; </w:t>
      </w:r>
      <w:r w:rsidRPr="002E0DD9">
        <w:rPr>
          <w:rFonts w:ascii="Garamond" w:hAnsi="Garamond" w:cs="Times New Roman"/>
          <w:color w:val="000000" w:themeColor="text1"/>
          <w:sz w:val="26"/>
          <w:szCs w:val="26"/>
        </w:rPr>
        <w:t xml:space="preserve">tali obblighi </w:t>
      </w:r>
      <w:r w:rsidR="00C33DEF" w:rsidRPr="002E0DD9">
        <w:rPr>
          <w:rFonts w:ascii="Garamond" w:hAnsi="Garamond" w:cs="Times New Roman"/>
          <w:color w:val="000000" w:themeColor="text1"/>
          <w:sz w:val="26"/>
          <w:szCs w:val="26"/>
        </w:rPr>
        <w:t>sono</w:t>
      </w:r>
      <w:r w:rsidRPr="002E0DD9">
        <w:rPr>
          <w:rFonts w:ascii="Garamond" w:hAnsi="Garamond" w:cs="Times New Roman"/>
          <w:color w:val="000000" w:themeColor="text1"/>
          <w:sz w:val="26"/>
          <w:szCs w:val="26"/>
        </w:rPr>
        <w:t xml:space="preserve"> inoltre</w:t>
      </w:r>
      <w:r w:rsidR="00C33DEF" w:rsidRPr="002E0DD9">
        <w:rPr>
          <w:rFonts w:ascii="Garamond" w:hAnsi="Garamond" w:cs="Times New Roman"/>
          <w:color w:val="000000" w:themeColor="text1"/>
          <w:sz w:val="26"/>
          <w:szCs w:val="26"/>
        </w:rPr>
        <w:t xml:space="preserve"> soggetti a un duplice obbligo in capo all'amministrazione e all'impresa concorrente.</w:t>
      </w:r>
    </w:p>
    <w:p w14:paraId="15024F58" w14:textId="77777777" w:rsidR="00530AF4" w:rsidRPr="002E0DD9" w:rsidRDefault="00530AF4"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hAnsi="Garamond" w:cs="Times New Roman"/>
          <w:color w:val="000000" w:themeColor="text1"/>
          <w:sz w:val="26"/>
          <w:szCs w:val="26"/>
        </w:rPr>
        <w:t xml:space="preserve">La questione interpretativa, di cui si è occupata la sentenza 20 marzo 2015, n. 3, dell’Adunanza Plenaria del Consiglio di Stato, concerne la determinazione del perimetro applicativo dell’art. 87, comma 4, del Codice dei contratti pubblici previgente, relativo agli oneri aziendali, ove si dispone che </w:t>
      </w:r>
      <w:r w:rsidRPr="002E0DD9">
        <w:rPr>
          <w:rFonts w:ascii="Garamond" w:hAnsi="Garamond" w:cs="Times New Roman"/>
          <w:i/>
          <w:color w:val="000000" w:themeColor="text1"/>
          <w:sz w:val="26"/>
          <w:szCs w:val="26"/>
        </w:rPr>
        <w:t>«Non sono ammesse giustificazioni in relazione agli oneri di sicurezza in conformità all'articolo 131, nonché al piano di sicurezza e coordinamento di cui all'articolo 12, decreto legislativo 14 agosto 1996, n. 494 e alla relativa stima dei costi conforme all'articolo 7, decreto del Presidente della Repubblica 3 luglio 2003, n. 222. Nella valutazione dell'anomalia la stazione appaltante tiene conto dei costi relativi alla sicurezza, che devono essere specificamente indicati nell'offerta e risultare congrui rispetto all'entità e alle caratteristiche dei servizi o delle forniture».</w:t>
      </w:r>
    </w:p>
    <w:p w14:paraId="236B35A3" w14:textId="77777777" w:rsidR="00A441AD" w:rsidRPr="002E0DD9" w:rsidRDefault="00530AF4"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hAnsi="Garamond" w:cs="Times New Roman"/>
          <w:color w:val="000000" w:themeColor="text1"/>
          <w:sz w:val="26"/>
          <w:szCs w:val="26"/>
        </w:rPr>
        <w:lastRenderedPageBreak/>
        <w:t>La questione che si pone è se questa disposizione riguardi soltanto gli appalti di servizi e di forniture, cui si riferisce espressamente l'inciso finale del testo.</w:t>
      </w:r>
    </w:p>
    <w:p w14:paraId="5923F9D4" w14:textId="4B375C6D" w:rsidR="00A441AD" w:rsidRPr="002E0DD9" w:rsidRDefault="00A441AD"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hAnsi="Garamond" w:cs="Times New Roman"/>
          <w:color w:val="000000" w:themeColor="text1"/>
          <w:sz w:val="26"/>
          <w:szCs w:val="26"/>
        </w:rPr>
        <w:t>L’indagine sull’alveo applicativo dell’art. 87, comma 4, deve tener conto dell’interpretazione dell’art. 86, comma 3 </w:t>
      </w:r>
      <w:r w:rsidRPr="002E0DD9">
        <w:rPr>
          <w:rFonts w:ascii="Garamond" w:hAnsi="Garamond" w:cs="Times New Roman"/>
          <w:i/>
          <w:iCs/>
          <w:color w:val="000000" w:themeColor="text1"/>
          <w:sz w:val="26"/>
          <w:szCs w:val="26"/>
        </w:rPr>
        <w:t>bis,</w:t>
      </w:r>
      <w:r w:rsidRPr="002E0DD9">
        <w:rPr>
          <w:rFonts w:ascii="Garamond" w:hAnsi="Garamond" w:cs="Times New Roman"/>
          <w:color w:val="000000" w:themeColor="text1"/>
          <w:sz w:val="26"/>
          <w:szCs w:val="26"/>
        </w:rPr>
        <w:t> del Codice dei contratti</w:t>
      </w:r>
      <w:r w:rsidR="00937114" w:rsidRPr="002E0DD9">
        <w:rPr>
          <w:rFonts w:ascii="Garamond" w:hAnsi="Garamond" w:cs="Times New Roman"/>
          <w:color w:val="000000" w:themeColor="text1"/>
          <w:sz w:val="26"/>
          <w:szCs w:val="26"/>
        </w:rPr>
        <w:t xml:space="preserve"> pubblici</w:t>
      </w:r>
      <w:r w:rsidRPr="002E0DD9">
        <w:rPr>
          <w:rFonts w:ascii="Garamond" w:hAnsi="Garamond" w:cs="Times New Roman"/>
          <w:color w:val="000000" w:themeColor="text1"/>
          <w:sz w:val="26"/>
          <w:szCs w:val="26"/>
        </w:rPr>
        <w:t xml:space="preserve"> previgente, alla cui stregua </w:t>
      </w:r>
      <w:r w:rsidRPr="002E0DD9">
        <w:rPr>
          <w:rFonts w:ascii="Garamond" w:hAnsi="Garamond" w:cs="Times New Roman"/>
          <w:i/>
          <w:color w:val="000000" w:themeColor="text1"/>
          <w:sz w:val="26"/>
          <w:szCs w:val="26"/>
        </w:rPr>
        <w:t>«</w:t>
      </w:r>
      <w:r w:rsidRPr="002E0DD9">
        <w:rPr>
          <w:rFonts w:ascii="Garamond" w:hAnsi="Garamond" w:cs="Times New Roman"/>
          <w:i/>
          <w:iCs/>
          <w:color w:val="000000" w:themeColor="text1"/>
          <w:sz w:val="26"/>
          <w:szCs w:val="26"/>
        </w:rPr>
        <w:t>Nella predisposizione delle gare di appalto e nella valutazione dell’anomalia delle offerte nelle procedure di affidamento di appalti di lavori pubblici, di servizi e di forniture, gli enti aggiudicatori sono tenuti a valutare che il valore economico sia adeguato e sufficiente rispetto al costo del lavoro e al costo relativo alla sicurezza, il quale deve essere specificamente indicato e risultare congruo rispetto all’entità e alle caratteristiche dei lavori, dei servizi o delle forniture</w:t>
      </w:r>
      <w:r w:rsidRPr="002E0DD9">
        <w:rPr>
          <w:rFonts w:ascii="Garamond" w:hAnsi="Garamond" w:cs="Times New Roman"/>
          <w:i/>
          <w:color w:val="000000" w:themeColor="text1"/>
          <w:sz w:val="26"/>
          <w:szCs w:val="26"/>
        </w:rPr>
        <w:t>»</w:t>
      </w:r>
      <w:r w:rsidRPr="002E0DD9">
        <w:rPr>
          <w:rFonts w:ascii="Garamond" w:hAnsi="Garamond" w:cs="Times New Roman"/>
          <w:color w:val="000000" w:themeColor="text1"/>
          <w:sz w:val="26"/>
          <w:szCs w:val="26"/>
        </w:rPr>
        <w:t>.</w:t>
      </w:r>
    </w:p>
    <w:p w14:paraId="55558A04" w14:textId="538CA534" w:rsidR="004138D1" w:rsidRPr="002E0DD9" w:rsidRDefault="00D5397E"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CFCFC"/>
        </w:rPr>
      </w:pPr>
      <w:r w:rsidRPr="002E0DD9">
        <w:rPr>
          <w:rFonts w:ascii="Garamond" w:hAnsi="Garamond" w:cs="Times New Roman"/>
          <w:color w:val="000000" w:themeColor="text1"/>
          <w:sz w:val="26"/>
          <w:szCs w:val="26"/>
        </w:rPr>
        <w:t xml:space="preserve">Secondo </w:t>
      </w:r>
      <w:r w:rsidR="009D06BB" w:rsidRPr="002E0DD9">
        <w:rPr>
          <w:rFonts w:ascii="Garamond" w:hAnsi="Garamond" w:cs="Times New Roman"/>
          <w:color w:val="000000" w:themeColor="text1"/>
          <w:sz w:val="26"/>
          <w:szCs w:val="26"/>
        </w:rPr>
        <w:t>un primo indirizzo ermeneutic</w:t>
      </w:r>
      <w:r w:rsidR="00A441AD" w:rsidRPr="002E0DD9">
        <w:rPr>
          <w:rFonts w:ascii="Garamond" w:hAnsi="Garamond" w:cs="Times New Roman"/>
          <w:color w:val="000000" w:themeColor="text1"/>
          <w:sz w:val="26"/>
          <w:szCs w:val="26"/>
        </w:rPr>
        <w:t>o, l’estensione della</w:t>
      </w:r>
      <w:r w:rsidR="009D06BB" w:rsidRPr="002E0DD9">
        <w:rPr>
          <w:rFonts w:ascii="Garamond" w:hAnsi="Garamond" w:cs="Times New Roman"/>
          <w:color w:val="000000" w:themeColor="text1"/>
          <w:sz w:val="26"/>
          <w:szCs w:val="26"/>
        </w:rPr>
        <w:t xml:space="preserve"> disciplina</w:t>
      </w:r>
      <w:r w:rsidR="00A441AD" w:rsidRPr="002E0DD9">
        <w:rPr>
          <w:rFonts w:ascii="Garamond" w:hAnsi="Garamond" w:cs="Times New Roman"/>
          <w:color w:val="000000" w:themeColor="text1"/>
          <w:sz w:val="26"/>
          <w:szCs w:val="26"/>
        </w:rPr>
        <w:t xml:space="preserve"> di cui all’art. 87, comma 4,</w:t>
      </w:r>
      <w:r w:rsidR="009D06BB" w:rsidRPr="002E0DD9">
        <w:rPr>
          <w:rFonts w:ascii="Garamond" w:hAnsi="Garamond" w:cs="Times New Roman"/>
          <w:color w:val="000000" w:themeColor="text1"/>
          <w:sz w:val="26"/>
          <w:szCs w:val="26"/>
        </w:rPr>
        <w:t xml:space="preserve"> anche agli appalti di lavori non è compatibile con il d</w:t>
      </w:r>
      <w:r w:rsidR="00A40D8B" w:rsidRPr="002E0DD9">
        <w:rPr>
          <w:rFonts w:ascii="Garamond" w:hAnsi="Garamond" w:cs="Times New Roman"/>
          <w:color w:val="000000" w:themeColor="text1"/>
          <w:sz w:val="26"/>
          <w:szCs w:val="26"/>
        </w:rPr>
        <w:t>ato letterale della norma, che appositamente non li contempla</w:t>
      </w:r>
      <w:r w:rsidR="009D06BB" w:rsidRPr="002E0DD9">
        <w:rPr>
          <w:rFonts w:ascii="Garamond" w:hAnsi="Garamond" w:cs="Times New Roman"/>
          <w:color w:val="000000" w:themeColor="text1"/>
          <w:sz w:val="26"/>
          <w:szCs w:val="26"/>
        </w:rPr>
        <w:t xml:space="preserve"> in conseguenza di una valutazione sistematica, alla cui stregua </w:t>
      </w:r>
      <w:r w:rsidRPr="002E0DD9">
        <w:rPr>
          <w:rFonts w:ascii="Garamond" w:eastAsia="Times New Roman" w:hAnsi="Garamond" w:cs="Times New Roman"/>
          <w:color w:val="000000" w:themeColor="text1"/>
          <w:sz w:val="26"/>
          <w:szCs w:val="26"/>
          <w:shd w:val="clear" w:color="auto" w:fill="FCFCFC"/>
        </w:rPr>
        <w:t xml:space="preserve">negli appalti di lavori è insita una maggiore rischiosità nella predisposizione dei cantieri, per cui la quantificazione degli oneri inerenti la sicurezza sarebbe rimessa all’ente aggiudicatore con la redazione del piano di sicurezza e coordinamento </w:t>
      </w:r>
      <w:r w:rsidRPr="002E0DD9">
        <w:rPr>
          <w:rFonts w:ascii="Garamond" w:eastAsia="Times New Roman" w:hAnsi="Garamond" w:cs="Times New Roman"/>
          <w:i/>
          <w:color w:val="000000" w:themeColor="text1"/>
          <w:sz w:val="26"/>
          <w:szCs w:val="26"/>
          <w:shd w:val="clear" w:color="auto" w:fill="FCFCFC"/>
        </w:rPr>
        <w:t>ex</w:t>
      </w:r>
      <w:r w:rsidRPr="002E0DD9">
        <w:rPr>
          <w:rFonts w:ascii="Garamond" w:eastAsia="Times New Roman" w:hAnsi="Garamond" w:cs="Times New Roman"/>
          <w:color w:val="000000" w:themeColor="text1"/>
          <w:sz w:val="26"/>
          <w:szCs w:val="26"/>
          <w:shd w:val="clear" w:color="auto" w:fill="FCFCFC"/>
        </w:rPr>
        <w:t xml:space="preserve"> art. 100 </w:t>
      </w:r>
      <w:proofErr w:type="spellStart"/>
      <w:r w:rsidRPr="002E0DD9">
        <w:rPr>
          <w:rFonts w:ascii="Garamond" w:eastAsia="Times New Roman" w:hAnsi="Garamond" w:cs="Times New Roman"/>
          <w:color w:val="000000" w:themeColor="text1"/>
          <w:sz w:val="26"/>
          <w:szCs w:val="26"/>
          <w:shd w:val="clear" w:color="auto" w:fill="FCFCFC"/>
        </w:rPr>
        <w:t>D.lgs</w:t>
      </w:r>
      <w:proofErr w:type="spellEnd"/>
      <w:r w:rsidRPr="002E0DD9">
        <w:rPr>
          <w:rFonts w:ascii="Garamond" w:eastAsia="Times New Roman" w:hAnsi="Garamond" w:cs="Times New Roman"/>
          <w:color w:val="000000" w:themeColor="text1"/>
          <w:sz w:val="26"/>
          <w:szCs w:val="26"/>
          <w:shd w:val="clear" w:color="auto" w:fill="FCFCFC"/>
        </w:rPr>
        <w:t xml:space="preserve"> 81/2008</w:t>
      </w:r>
      <w:r w:rsidR="009D06BB" w:rsidRPr="002E0DD9">
        <w:rPr>
          <w:rStyle w:val="Rimandonotaapidipagina"/>
          <w:rFonts w:ascii="Garamond" w:eastAsia="Times New Roman" w:hAnsi="Garamond" w:cs="Times New Roman"/>
          <w:color w:val="000000" w:themeColor="text1"/>
          <w:sz w:val="26"/>
          <w:szCs w:val="26"/>
          <w:shd w:val="clear" w:color="auto" w:fill="FCFCFC"/>
        </w:rPr>
        <w:footnoteReference w:id="3"/>
      </w:r>
      <w:r w:rsidR="009D06BB" w:rsidRPr="002E0DD9">
        <w:rPr>
          <w:rFonts w:ascii="Garamond" w:eastAsia="Times New Roman" w:hAnsi="Garamond" w:cs="Times New Roman"/>
          <w:color w:val="000000" w:themeColor="text1"/>
          <w:sz w:val="26"/>
          <w:szCs w:val="26"/>
          <w:shd w:val="clear" w:color="auto" w:fill="FCFCFC"/>
        </w:rPr>
        <w:t>.</w:t>
      </w:r>
    </w:p>
    <w:p w14:paraId="333A2848" w14:textId="3001A32F" w:rsidR="0070429F" w:rsidRPr="002E0DD9" w:rsidRDefault="00155C13" w:rsidP="00945697">
      <w:pPr>
        <w:spacing w:line="360" w:lineRule="auto"/>
        <w:ind w:right="-7" w:firstLine="709"/>
        <w:contextualSpacing/>
        <w:jc w:val="both"/>
        <w:rPr>
          <w:rFonts w:ascii="Garamond" w:eastAsia="Times New Roman" w:hAnsi="Garamond" w:cs="Times New Roman"/>
          <w:color w:val="000000" w:themeColor="text1"/>
          <w:sz w:val="26"/>
          <w:szCs w:val="26"/>
        </w:rPr>
      </w:pPr>
      <w:r w:rsidRPr="002E0DD9">
        <w:rPr>
          <w:rFonts w:ascii="Garamond" w:eastAsia="Times New Roman" w:hAnsi="Garamond" w:cs="Times New Roman"/>
          <w:color w:val="000000" w:themeColor="text1"/>
          <w:sz w:val="26"/>
          <w:szCs w:val="26"/>
        </w:rPr>
        <w:t>Da ciò discende</w:t>
      </w:r>
      <w:r w:rsidR="004138D1" w:rsidRPr="002E0DD9">
        <w:rPr>
          <w:rFonts w:ascii="Garamond" w:eastAsia="Times New Roman" w:hAnsi="Garamond" w:cs="Times New Roman"/>
          <w:color w:val="000000" w:themeColor="text1"/>
          <w:sz w:val="26"/>
          <w:szCs w:val="26"/>
        </w:rPr>
        <w:t xml:space="preserve"> che la regola di specificazione o separata indicazione dei costi di sicurezza, ai sensi dell’art. 86 del citato d.lgs., opera in via primaria nei confronti delle amministrazioni aggiudicatrici in sede </w:t>
      </w:r>
      <w:r w:rsidR="004138D1" w:rsidRPr="002E0DD9">
        <w:rPr>
          <w:rFonts w:ascii="Garamond" w:eastAsia="Times New Roman" w:hAnsi="Garamond" w:cs="Times New Roman"/>
          <w:i/>
          <w:iCs/>
          <w:color w:val="000000" w:themeColor="text1"/>
          <w:sz w:val="26"/>
          <w:szCs w:val="26"/>
        </w:rPr>
        <w:t>di predisposizione delle gare di appalto</w:t>
      </w:r>
      <w:r w:rsidR="004138D1" w:rsidRPr="002E0DD9">
        <w:rPr>
          <w:rFonts w:ascii="Garamond" w:eastAsia="Times New Roman" w:hAnsi="Garamond" w:cs="Times New Roman"/>
          <w:color w:val="000000" w:themeColor="text1"/>
          <w:sz w:val="26"/>
          <w:szCs w:val="26"/>
        </w:rPr>
        <w:t xml:space="preserve"> e di </w:t>
      </w:r>
      <w:r w:rsidR="004138D1" w:rsidRPr="002E0DD9">
        <w:rPr>
          <w:rFonts w:ascii="Garamond" w:eastAsia="Times New Roman" w:hAnsi="Garamond" w:cs="Times New Roman"/>
          <w:i/>
          <w:iCs/>
          <w:color w:val="000000" w:themeColor="text1"/>
          <w:sz w:val="26"/>
          <w:szCs w:val="26"/>
        </w:rPr>
        <w:t>valutazione dell’anomalia</w:t>
      </w:r>
      <w:r w:rsidR="004138D1" w:rsidRPr="002E0DD9">
        <w:rPr>
          <w:rFonts w:ascii="Garamond" w:eastAsia="Times New Roman" w:hAnsi="Garamond" w:cs="Times New Roman"/>
          <w:color w:val="000000" w:themeColor="text1"/>
          <w:sz w:val="26"/>
          <w:szCs w:val="26"/>
        </w:rPr>
        <w:t>, sicché l’assenza di scorporo nel </w:t>
      </w:r>
      <w:r w:rsidR="004138D1" w:rsidRPr="002E0DD9">
        <w:rPr>
          <w:rFonts w:ascii="Garamond" w:eastAsia="Times New Roman" w:hAnsi="Garamond" w:cs="Times New Roman"/>
          <w:i/>
          <w:iCs/>
          <w:color w:val="000000" w:themeColor="text1"/>
          <w:sz w:val="26"/>
          <w:szCs w:val="26"/>
        </w:rPr>
        <w:t>quantum</w:t>
      </w:r>
      <w:r w:rsidR="004138D1" w:rsidRPr="002E0DD9">
        <w:rPr>
          <w:rFonts w:ascii="Garamond" w:eastAsia="Times New Roman" w:hAnsi="Garamond" w:cs="Times New Roman"/>
          <w:color w:val="000000" w:themeColor="text1"/>
          <w:sz w:val="26"/>
          <w:szCs w:val="26"/>
        </w:rPr>
        <w:t xml:space="preserve"> fin dalla fase di presentazione dell’offerta non può risolversi in causa di esclusione dalla gara, anche alla luce dei criteri di tassatività della cause espulsive previsti dall’art. 46, comma 1 </w:t>
      </w:r>
      <w:r w:rsidR="004138D1" w:rsidRPr="002E0DD9">
        <w:rPr>
          <w:rFonts w:ascii="Garamond" w:eastAsia="Times New Roman" w:hAnsi="Garamond" w:cs="Times New Roman"/>
          <w:i/>
          <w:color w:val="000000" w:themeColor="text1"/>
          <w:sz w:val="26"/>
          <w:szCs w:val="26"/>
        </w:rPr>
        <w:t>bis</w:t>
      </w:r>
      <w:r w:rsidR="004138D1" w:rsidRPr="002E0DD9">
        <w:rPr>
          <w:rFonts w:ascii="Garamond" w:eastAsia="Times New Roman" w:hAnsi="Garamond" w:cs="Times New Roman"/>
          <w:color w:val="000000" w:themeColor="text1"/>
          <w:sz w:val="26"/>
          <w:szCs w:val="26"/>
        </w:rPr>
        <w:t>, del d.lgs. n. 163 del 2006.</w:t>
      </w:r>
    </w:p>
    <w:p w14:paraId="104BBE81" w14:textId="35FA8E6B" w:rsidR="0070429F" w:rsidRPr="002E0DD9" w:rsidRDefault="0070429F"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eastAsia="Times New Roman" w:hAnsi="Garamond" w:cs="Times New Roman"/>
          <w:color w:val="000000" w:themeColor="text1"/>
          <w:sz w:val="26"/>
          <w:szCs w:val="26"/>
        </w:rPr>
        <w:t>Tale orient</w:t>
      </w:r>
      <w:r w:rsidR="002F6271" w:rsidRPr="002E0DD9">
        <w:rPr>
          <w:rFonts w:ascii="Garamond" w:eastAsia="Times New Roman" w:hAnsi="Garamond" w:cs="Times New Roman"/>
          <w:color w:val="000000" w:themeColor="text1"/>
          <w:sz w:val="26"/>
          <w:szCs w:val="26"/>
        </w:rPr>
        <w:t>amento ermeneutico ha trovato sé</w:t>
      </w:r>
      <w:r w:rsidRPr="002E0DD9">
        <w:rPr>
          <w:rFonts w:ascii="Garamond" w:eastAsia="Times New Roman" w:hAnsi="Garamond" w:cs="Times New Roman"/>
          <w:color w:val="000000" w:themeColor="text1"/>
          <w:sz w:val="26"/>
          <w:szCs w:val="26"/>
        </w:rPr>
        <w:t xml:space="preserve">guito in un indirizzo giurisprudenziale del </w:t>
      </w:r>
      <w:r w:rsidR="00B10F70" w:rsidRPr="002E0DD9">
        <w:rPr>
          <w:rFonts w:ascii="Garamond" w:eastAsia="Times New Roman" w:hAnsi="Garamond" w:cs="Times New Roman"/>
          <w:color w:val="000000" w:themeColor="text1"/>
          <w:sz w:val="26"/>
          <w:szCs w:val="26"/>
        </w:rPr>
        <w:t>Consiglio di Stato</w:t>
      </w:r>
      <w:r w:rsidR="00B10F70" w:rsidRPr="002E0DD9">
        <w:rPr>
          <w:rStyle w:val="Rimandonotaapidipagina"/>
          <w:rFonts w:ascii="Garamond" w:hAnsi="Garamond" w:cs="Times New Roman"/>
          <w:color w:val="000000" w:themeColor="text1"/>
          <w:sz w:val="26"/>
          <w:szCs w:val="26"/>
        </w:rPr>
        <w:footnoteReference w:id="4"/>
      </w:r>
      <w:r w:rsidR="00B10F70" w:rsidRPr="002E0DD9">
        <w:rPr>
          <w:rFonts w:ascii="Garamond" w:eastAsia="Times New Roman" w:hAnsi="Garamond" w:cs="Times New Roman"/>
          <w:color w:val="000000" w:themeColor="text1"/>
          <w:sz w:val="26"/>
          <w:szCs w:val="26"/>
        </w:rPr>
        <w:t>, secondo cu</w:t>
      </w:r>
      <w:r w:rsidR="005225B0" w:rsidRPr="002E0DD9">
        <w:rPr>
          <w:rFonts w:ascii="Garamond" w:eastAsia="Times New Roman" w:hAnsi="Garamond" w:cs="Times New Roman"/>
          <w:color w:val="000000" w:themeColor="text1"/>
          <w:sz w:val="26"/>
          <w:szCs w:val="26"/>
        </w:rPr>
        <w:t>i</w:t>
      </w:r>
      <w:r w:rsidR="00B10F70" w:rsidRPr="002E0DD9">
        <w:rPr>
          <w:rFonts w:ascii="Garamond" w:eastAsia="Times New Roman" w:hAnsi="Garamond" w:cs="Times New Roman"/>
          <w:color w:val="000000" w:themeColor="text1"/>
          <w:sz w:val="26"/>
          <w:szCs w:val="26"/>
        </w:rPr>
        <w:t xml:space="preserve"> </w:t>
      </w:r>
      <w:r w:rsidRPr="002E0DD9">
        <w:rPr>
          <w:rFonts w:ascii="Garamond" w:eastAsia="Times New Roman" w:hAnsi="Garamond" w:cs="Times New Roman"/>
          <w:color w:val="000000" w:themeColor="text1"/>
          <w:sz w:val="26"/>
          <w:szCs w:val="26"/>
        </w:rPr>
        <w:t>nel caso di appalti non aventi ad oggetto l'esecuzione di lavori pubblici — nei cui confronti si applica la norma dettata </w:t>
      </w:r>
      <w:r w:rsidRPr="002E0DD9">
        <w:rPr>
          <w:rFonts w:ascii="Garamond" w:eastAsia="Times New Roman" w:hAnsi="Garamond" w:cs="Times New Roman"/>
          <w:i/>
          <w:iCs/>
          <w:color w:val="000000" w:themeColor="text1"/>
          <w:sz w:val="26"/>
          <w:szCs w:val="26"/>
        </w:rPr>
        <w:t>ad hoc</w:t>
      </w:r>
      <w:r w:rsidRPr="002E0DD9">
        <w:rPr>
          <w:rFonts w:ascii="Garamond" w:eastAsia="Times New Roman" w:hAnsi="Garamond" w:cs="Times New Roman"/>
          <w:i/>
          <w:color w:val="000000" w:themeColor="text1"/>
          <w:sz w:val="26"/>
          <w:szCs w:val="26"/>
        </w:rPr>
        <w:t> </w:t>
      </w:r>
      <w:r w:rsidRPr="002E0DD9">
        <w:rPr>
          <w:rFonts w:ascii="Garamond" w:eastAsia="Times New Roman" w:hAnsi="Garamond" w:cs="Times New Roman"/>
          <w:color w:val="000000" w:themeColor="text1"/>
          <w:sz w:val="26"/>
          <w:szCs w:val="26"/>
        </w:rPr>
        <w:t>dall'art. 131 d.lgs. n 163 del 2006 — ed il cui bando di gara non contenga una comminatoria espressa, l'omessa indicazione nell'offerta dello scorporo matematico degli oneri di sicurezza per rischio specifico non comporta di per sé l'esclusione dalla gara, ma rileva ai soli fini dell'anomalia del prezzo offerto, nel senso che, per scelta della stazione appaltante, il momento di valutazione dei suddetti oneri non è eliso, ma è posticipato al sub-procedimento di verifica della congruità dell'offerta nel suo complesso</w:t>
      </w:r>
      <w:r w:rsidR="009C4991" w:rsidRPr="002E0DD9">
        <w:rPr>
          <w:rStyle w:val="Rimandonotaapidipagina"/>
          <w:rFonts w:ascii="Garamond" w:eastAsia="Times New Roman" w:hAnsi="Garamond" w:cs="Times New Roman"/>
          <w:color w:val="000000" w:themeColor="text1"/>
          <w:sz w:val="26"/>
          <w:szCs w:val="26"/>
        </w:rPr>
        <w:footnoteReference w:id="5"/>
      </w:r>
      <w:r w:rsidR="009C4991" w:rsidRPr="002E0DD9">
        <w:rPr>
          <w:rFonts w:ascii="Garamond" w:eastAsia="Times New Roman" w:hAnsi="Garamond" w:cs="Times New Roman"/>
          <w:color w:val="000000" w:themeColor="text1"/>
          <w:sz w:val="26"/>
          <w:szCs w:val="26"/>
        </w:rPr>
        <w:t>.</w:t>
      </w:r>
      <w:r w:rsidRPr="002E0DD9">
        <w:rPr>
          <w:rFonts w:ascii="Garamond" w:eastAsia="Times New Roman" w:hAnsi="Garamond" w:cs="Times New Roman"/>
          <w:color w:val="000000" w:themeColor="text1"/>
          <w:sz w:val="26"/>
          <w:szCs w:val="26"/>
        </w:rPr>
        <w:t xml:space="preserve"> </w:t>
      </w:r>
    </w:p>
    <w:p w14:paraId="1BB7FA23" w14:textId="683D5B4F" w:rsidR="00B245D8" w:rsidRPr="002E0DD9" w:rsidRDefault="00F43AB1" w:rsidP="00945697">
      <w:pPr>
        <w:spacing w:line="360" w:lineRule="auto"/>
        <w:ind w:right="-7" w:firstLine="709"/>
        <w:contextualSpacing/>
        <w:jc w:val="both"/>
        <w:rPr>
          <w:rFonts w:ascii="Garamond" w:eastAsia="Times New Roman" w:hAnsi="Garamond" w:cs="Times New Roman"/>
          <w:color w:val="000000" w:themeColor="text1"/>
          <w:sz w:val="26"/>
          <w:szCs w:val="26"/>
        </w:rPr>
      </w:pPr>
      <w:r w:rsidRPr="002E0DD9">
        <w:rPr>
          <w:rFonts w:ascii="Garamond" w:hAnsi="Garamond" w:cs="Times New Roman"/>
          <w:color w:val="000000" w:themeColor="text1"/>
          <w:sz w:val="26"/>
          <w:szCs w:val="26"/>
        </w:rPr>
        <w:t xml:space="preserve">Secondo una diversa opzione ermeneutica, </w:t>
      </w:r>
      <w:r w:rsidR="000C5BEB" w:rsidRPr="002E0DD9">
        <w:rPr>
          <w:rFonts w:ascii="Garamond" w:hAnsi="Garamond" w:cs="Times New Roman"/>
          <w:color w:val="000000" w:themeColor="text1"/>
          <w:sz w:val="26"/>
          <w:szCs w:val="26"/>
        </w:rPr>
        <w:t xml:space="preserve">cui l’Adunanza Plenaria n. 3 del 2015 ha ritenuto di dare continuità, un’interpretazione logico-sistematica e costituzionalmente orientata dall’art. 86, comma 3 </w:t>
      </w:r>
      <w:r w:rsidR="000C5BEB" w:rsidRPr="002E0DD9">
        <w:rPr>
          <w:rFonts w:ascii="Garamond" w:hAnsi="Garamond" w:cs="Times New Roman"/>
          <w:i/>
          <w:color w:val="000000" w:themeColor="text1"/>
          <w:sz w:val="26"/>
          <w:szCs w:val="26"/>
        </w:rPr>
        <w:t>bis</w:t>
      </w:r>
      <w:r w:rsidR="000C5BEB" w:rsidRPr="002E0DD9">
        <w:rPr>
          <w:rFonts w:ascii="Garamond" w:hAnsi="Garamond" w:cs="Times New Roman"/>
          <w:color w:val="000000" w:themeColor="text1"/>
          <w:sz w:val="26"/>
          <w:szCs w:val="26"/>
        </w:rPr>
        <w:t>,</w:t>
      </w:r>
      <w:r w:rsidR="00151405" w:rsidRPr="002E0DD9">
        <w:rPr>
          <w:rFonts w:ascii="Garamond" w:hAnsi="Garamond" w:cs="Times New Roman"/>
          <w:color w:val="000000" w:themeColor="text1"/>
          <w:sz w:val="26"/>
          <w:szCs w:val="26"/>
        </w:rPr>
        <w:t xml:space="preserve"> e dell’art. 87, comma 4,</w:t>
      </w:r>
      <w:r w:rsidR="000C5BEB" w:rsidRPr="002E0DD9">
        <w:rPr>
          <w:rFonts w:ascii="Garamond" w:hAnsi="Garamond" w:cs="Times New Roman"/>
          <w:color w:val="000000" w:themeColor="text1"/>
          <w:sz w:val="26"/>
          <w:szCs w:val="26"/>
        </w:rPr>
        <w:t xml:space="preserve"> induce a ritenere che il relativo alveo applicativo sia esteso anche agli appalti di lavori</w:t>
      </w:r>
      <w:r w:rsidR="000C5BEB" w:rsidRPr="002E0DD9">
        <w:rPr>
          <w:rStyle w:val="Rimandonotaapidipagina"/>
          <w:rFonts w:ascii="Garamond" w:hAnsi="Garamond" w:cs="Times New Roman"/>
          <w:color w:val="000000" w:themeColor="text1"/>
          <w:sz w:val="26"/>
          <w:szCs w:val="26"/>
        </w:rPr>
        <w:footnoteReference w:id="6"/>
      </w:r>
      <w:r w:rsidR="000C5BEB" w:rsidRPr="002E0DD9">
        <w:rPr>
          <w:rFonts w:ascii="Garamond" w:hAnsi="Garamond" w:cs="Times New Roman"/>
          <w:color w:val="000000" w:themeColor="text1"/>
          <w:sz w:val="26"/>
          <w:szCs w:val="26"/>
        </w:rPr>
        <w:t>.</w:t>
      </w:r>
    </w:p>
    <w:p w14:paraId="4E64A44C" w14:textId="0B0EDCFD" w:rsidR="00B245D8" w:rsidRPr="002E0DD9" w:rsidRDefault="00B245D8" w:rsidP="00945697">
      <w:pPr>
        <w:spacing w:line="360" w:lineRule="auto"/>
        <w:ind w:right="-7" w:firstLine="709"/>
        <w:contextualSpacing/>
        <w:jc w:val="both"/>
        <w:rPr>
          <w:rFonts w:ascii="Garamond" w:eastAsia="Times New Roman" w:hAnsi="Garamond" w:cs="Times New Roman"/>
          <w:color w:val="000000" w:themeColor="text1"/>
          <w:sz w:val="26"/>
          <w:szCs w:val="26"/>
        </w:rPr>
      </w:pPr>
      <w:r w:rsidRPr="002E0DD9">
        <w:rPr>
          <w:rFonts w:ascii="Garamond" w:eastAsia="Times New Roman" w:hAnsi="Garamond" w:cs="Times New Roman"/>
          <w:color w:val="000000" w:themeColor="text1"/>
          <w:sz w:val="26"/>
          <w:szCs w:val="26"/>
        </w:rPr>
        <w:t xml:space="preserve">Ciò in quanto </w:t>
      </w:r>
      <w:r w:rsidRPr="002E0DD9">
        <w:rPr>
          <w:rFonts w:ascii="Garamond" w:hAnsi="Garamond" w:cs="Times New Roman"/>
          <w:color w:val="000000" w:themeColor="text1"/>
          <w:sz w:val="26"/>
          <w:szCs w:val="26"/>
        </w:rPr>
        <w:t>n</w:t>
      </w:r>
      <w:r w:rsidR="009222C0" w:rsidRPr="002E0DD9">
        <w:rPr>
          <w:rFonts w:ascii="Garamond" w:hAnsi="Garamond" w:cs="Times New Roman"/>
          <w:color w:val="000000" w:themeColor="text1"/>
          <w:sz w:val="26"/>
          <w:szCs w:val="26"/>
        </w:rPr>
        <w:t>on appare coerente</w:t>
      </w:r>
      <w:r w:rsidRPr="002E0DD9">
        <w:rPr>
          <w:rFonts w:ascii="Garamond" w:hAnsi="Garamond" w:cs="Times New Roman"/>
          <w:color w:val="000000" w:themeColor="text1"/>
          <w:sz w:val="26"/>
          <w:szCs w:val="26"/>
        </w:rPr>
        <w:t xml:space="preserve"> </w:t>
      </w:r>
      <w:r w:rsidR="009222C0" w:rsidRPr="002E0DD9">
        <w:rPr>
          <w:rFonts w:ascii="Garamond" w:hAnsi="Garamond" w:cs="Times New Roman"/>
          <w:color w:val="000000" w:themeColor="text1"/>
          <w:sz w:val="26"/>
          <w:szCs w:val="26"/>
        </w:rPr>
        <w:t xml:space="preserve">imporre alle stazioni appaltanti di tenere espresso conto nella determinazione del valore economico di tutti gli appalti dell'insieme dei costi della sicurezza, che devono altresì specificare per assicurarne la congruità, e non imporre ai concorrenti, per i soli appalti di lavori, un identico obbligo di indicazione nelle offerte dei loro costi specifici, il cui calcolo, infine, emergerebbe soltanto in via eventuale, nella non indefettibile fase della valutazione dell'anomalia; così come non si rinviene la </w:t>
      </w:r>
      <w:r w:rsidR="009222C0" w:rsidRPr="002E0DD9">
        <w:rPr>
          <w:rFonts w:ascii="Garamond" w:hAnsi="Garamond" w:cs="Times New Roman"/>
          <w:i/>
          <w:color w:val="000000" w:themeColor="text1"/>
          <w:sz w:val="26"/>
          <w:szCs w:val="26"/>
        </w:rPr>
        <w:t>ratio</w:t>
      </w:r>
      <w:r w:rsidR="009222C0" w:rsidRPr="002E0DD9">
        <w:rPr>
          <w:rFonts w:ascii="Garamond" w:hAnsi="Garamond" w:cs="Times New Roman"/>
          <w:color w:val="000000" w:themeColor="text1"/>
          <w:sz w:val="26"/>
          <w:szCs w:val="26"/>
        </w:rPr>
        <w:t xml:space="preserve"> di non prescrivere la specificazione dei detti costi per le offerte di lavori, nella cui esecuzione i rischi per la sicurezza sono n</w:t>
      </w:r>
      <w:r w:rsidR="00300C73" w:rsidRPr="002E0DD9">
        <w:rPr>
          <w:rFonts w:ascii="Garamond" w:hAnsi="Garamond" w:cs="Times New Roman"/>
          <w:color w:val="000000" w:themeColor="text1"/>
          <w:sz w:val="26"/>
          <w:szCs w:val="26"/>
        </w:rPr>
        <w:t>ormalmente più elevati.</w:t>
      </w:r>
    </w:p>
    <w:p w14:paraId="12303E64" w14:textId="2EFBCC59" w:rsidR="009222C0" w:rsidRPr="002E0DD9" w:rsidRDefault="00B245D8" w:rsidP="00945697">
      <w:pPr>
        <w:spacing w:line="360" w:lineRule="auto"/>
        <w:ind w:right="-7" w:firstLine="709"/>
        <w:contextualSpacing/>
        <w:jc w:val="both"/>
        <w:rPr>
          <w:rFonts w:ascii="Garamond" w:eastAsia="Times New Roman" w:hAnsi="Garamond" w:cs="Times New Roman"/>
          <w:i/>
          <w:color w:val="000000" w:themeColor="text1"/>
          <w:sz w:val="26"/>
          <w:szCs w:val="26"/>
        </w:rPr>
      </w:pPr>
      <w:proofErr w:type="spellStart"/>
      <w:r w:rsidRPr="002E0DD9">
        <w:rPr>
          <w:rFonts w:ascii="Garamond" w:hAnsi="Garamond" w:cs="Times New Roman"/>
          <w:color w:val="000000" w:themeColor="text1"/>
          <w:sz w:val="26"/>
          <w:szCs w:val="26"/>
        </w:rPr>
        <w:t>L’Ad</w:t>
      </w:r>
      <w:proofErr w:type="spellEnd"/>
      <w:r w:rsidRPr="002E0DD9">
        <w:rPr>
          <w:rFonts w:ascii="Garamond" w:hAnsi="Garamond" w:cs="Times New Roman"/>
          <w:color w:val="000000" w:themeColor="text1"/>
          <w:sz w:val="26"/>
          <w:szCs w:val="26"/>
        </w:rPr>
        <w:t xml:space="preserve">. </w:t>
      </w:r>
      <w:proofErr w:type="spellStart"/>
      <w:r w:rsidRPr="002E0DD9">
        <w:rPr>
          <w:rFonts w:ascii="Garamond" w:hAnsi="Garamond" w:cs="Times New Roman"/>
          <w:color w:val="000000" w:themeColor="text1"/>
          <w:sz w:val="26"/>
          <w:szCs w:val="26"/>
        </w:rPr>
        <w:t>Plen</w:t>
      </w:r>
      <w:proofErr w:type="spellEnd"/>
      <w:r w:rsidRPr="002E0DD9">
        <w:rPr>
          <w:rFonts w:ascii="Garamond" w:hAnsi="Garamond" w:cs="Times New Roman"/>
          <w:color w:val="000000" w:themeColor="text1"/>
          <w:sz w:val="26"/>
          <w:szCs w:val="26"/>
        </w:rPr>
        <w:t xml:space="preserve">. 20 marzo 2015, n. 3, </w:t>
      </w:r>
      <w:r w:rsidR="006209C9" w:rsidRPr="002E0DD9">
        <w:rPr>
          <w:rFonts w:ascii="Garamond" w:hAnsi="Garamond" w:cs="Times New Roman"/>
          <w:color w:val="000000" w:themeColor="text1"/>
          <w:sz w:val="26"/>
          <w:szCs w:val="26"/>
        </w:rPr>
        <w:t>ha ritenuto</w:t>
      </w:r>
      <w:r w:rsidRPr="002E0DD9">
        <w:rPr>
          <w:rFonts w:ascii="Garamond" w:hAnsi="Garamond" w:cs="Times New Roman"/>
          <w:color w:val="000000" w:themeColor="text1"/>
          <w:sz w:val="26"/>
          <w:szCs w:val="26"/>
        </w:rPr>
        <w:t xml:space="preserve">, dunque, che l’interpretazione attenta al dato letterale </w:t>
      </w:r>
      <w:r w:rsidRPr="002E0DD9">
        <w:rPr>
          <w:rFonts w:ascii="Garamond" w:hAnsi="Garamond" w:cs="Times New Roman"/>
          <w:i/>
          <w:color w:val="000000" w:themeColor="text1"/>
          <w:sz w:val="26"/>
          <w:szCs w:val="26"/>
        </w:rPr>
        <w:t>«</w:t>
      </w:r>
      <w:r w:rsidR="009222C0" w:rsidRPr="002E0DD9">
        <w:rPr>
          <w:rFonts w:ascii="Garamond" w:hAnsi="Garamond" w:cs="Times New Roman"/>
          <w:i/>
          <w:color w:val="000000" w:themeColor="text1"/>
          <w:sz w:val="26"/>
          <w:szCs w:val="26"/>
        </w:rPr>
        <w:t>risulterebbe incoerente con la prioritaria finalità della tutela della sicurezza del lavoro, che ha fondamento costituzionale negli articoli 1, 2 e 4 e, specificamente, negli articoli 32,</w:t>
      </w:r>
      <w:r w:rsidR="00CB4D38" w:rsidRPr="002E0DD9">
        <w:rPr>
          <w:rFonts w:ascii="Garamond" w:hAnsi="Garamond" w:cs="Times New Roman"/>
          <w:i/>
          <w:color w:val="000000" w:themeColor="text1"/>
          <w:sz w:val="26"/>
          <w:szCs w:val="26"/>
        </w:rPr>
        <w:t xml:space="preserve"> 35 e 41 della Costituzione, e “</w:t>
      </w:r>
      <w:r w:rsidR="009222C0" w:rsidRPr="002E0DD9">
        <w:rPr>
          <w:rFonts w:ascii="Garamond" w:hAnsi="Garamond" w:cs="Times New Roman"/>
          <w:i/>
          <w:color w:val="000000" w:themeColor="text1"/>
          <w:sz w:val="26"/>
          <w:szCs w:val="26"/>
        </w:rPr>
        <w:t>trascende i contrapposti interessi delle stazioni appaltanti e delle imprese partecipanti a procedure di affidamento di contratti pubblici, rispettivamente di aggiudicare questi ultimi alle migliori condizioni consentite dal mercato, da un lato, e di massimizzare l'utile ritraibile da</w:t>
      </w:r>
      <w:r w:rsidR="00CB4D38" w:rsidRPr="002E0DD9">
        <w:rPr>
          <w:rFonts w:ascii="Garamond" w:hAnsi="Garamond" w:cs="Times New Roman"/>
          <w:i/>
          <w:color w:val="000000" w:themeColor="text1"/>
          <w:sz w:val="26"/>
          <w:szCs w:val="26"/>
        </w:rPr>
        <w:t>l contratto dall'altro”</w:t>
      </w:r>
      <w:r w:rsidR="009222C0" w:rsidRPr="002E0DD9">
        <w:rPr>
          <w:rFonts w:ascii="Garamond" w:hAnsi="Garamond" w:cs="Times New Roman"/>
          <w:i/>
          <w:color w:val="000000" w:themeColor="text1"/>
          <w:sz w:val="26"/>
          <w:szCs w:val="26"/>
        </w:rPr>
        <w:t xml:space="preserve"> (Sez. V, n. 3056 del 2014)</w:t>
      </w:r>
      <w:r w:rsidRPr="002E0DD9">
        <w:rPr>
          <w:rFonts w:ascii="Garamond" w:hAnsi="Garamond" w:cs="Times New Roman"/>
          <w:i/>
          <w:color w:val="000000" w:themeColor="text1"/>
          <w:sz w:val="26"/>
          <w:szCs w:val="26"/>
        </w:rPr>
        <w:t>»</w:t>
      </w:r>
      <w:r w:rsidR="009222C0" w:rsidRPr="002E0DD9">
        <w:rPr>
          <w:rFonts w:ascii="Garamond" w:hAnsi="Garamond" w:cs="Times New Roman"/>
          <w:i/>
          <w:color w:val="000000" w:themeColor="text1"/>
          <w:sz w:val="26"/>
          <w:szCs w:val="26"/>
        </w:rPr>
        <w:t>.</w:t>
      </w:r>
    </w:p>
    <w:p w14:paraId="0CE61E49" w14:textId="1A6E9F5C" w:rsidR="007838CC" w:rsidRPr="002E0DD9" w:rsidRDefault="007838CC" w:rsidP="00945697">
      <w:pPr>
        <w:spacing w:line="360" w:lineRule="auto"/>
        <w:ind w:right="-7" w:firstLine="709"/>
        <w:contextualSpacing/>
        <w:jc w:val="both"/>
        <w:rPr>
          <w:rFonts w:ascii="Garamond" w:hAnsi="Garamond" w:cs="Times New Roman"/>
          <w:color w:val="000000" w:themeColor="text1"/>
          <w:sz w:val="26"/>
          <w:szCs w:val="26"/>
        </w:rPr>
      </w:pPr>
    </w:p>
    <w:p w14:paraId="06530389" w14:textId="77777777" w:rsidR="00472026" w:rsidRPr="002E0DD9" w:rsidRDefault="00D576E8" w:rsidP="00945697">
      <w:pPr>
        <w:pStyle w:val="Paragrafoelenco"/>
        <w:numPr>
          <w:ilvl w:val="0"/>
          <w:numId w:val="1"/>
        </w:numPr>
        <w:spacing w:line="360" w:lineRule="auto"/>
        <w:ind w:right="-7" w:firstLine="709"/>
        <w:jc w:val="both"/>
        <w:rPr>
          <w:rFonts w:ascii="Garamond" w:hAnsi="Garamond" w:cs="Times New Roman"/>
          <w:b/>
          <w:i/>
          <w:color w:val="000000" w:themeColor="text1"/>
          <w:sz w:val="26"/>
          <w:szCs w:val="26"/>
        </w:rPr>
      </w:pPr>
      <w:r w:rsidRPr="002E0DD9">
        <w:rPr>
          <w:rFonts w:ascii="Garamond" w:hAnsi="Garamond" w:cs="Times New Roman"/>
          <w:b/>
          <w:i/>
          <w:color w:val="000000" w:themeColor="text1"/>
          <w:sz w:val="26"/>
          <w:szCs w:val="26"/>
        </w:rPr>
        <w:t>Rilievi critici sull’approdo ermeneutico dell’Adunanza Plenaria 20 marzo 2015, n. 3.</w:t>
      </w:r>
    </w:p>
    <w:p w14:paraId="137ED544" w14:textId="77777777" w:rsidR="00472026" w:rsidRPr="002E0DD9" w:rsidRDefault="00472026" w:rsidP="00945697">
      <w:pPr>
        <w:spacing w:line="360" w:lineRule="auto"/>
        <w:ind w:right="-7" w:firstLine="709"/>
        <w:contextualSpacing/>
        <w:jc w:val="both"/>
        <w:rPr>
          <w:rFonts w:ascii="Garamond" w:hAnsi="Garamond" w:cs="Times New Roman"/>
          <w:b/>
          <w:i/>
          <w:color w:val="000000" w:themeColor="text1"/>
          <w:sz w:val="26"/>
          <w:szCs w:val="26"/>
        </w:rPr>
      </w:pPr>
    </w:p>
    <w:p w14:paraId="42EB2F08" w14:textId="77777777" w:rsidR="00472026" w:rsidRPr="002E0DD9" w:rsidRDefault="00472026" w:rsidP="00945697">
      <w:pPr>
        <w:spacing w:line="360" w:lineRule="auto"/>
        <w:ind w:right="-7" w:firstLine="709"/>
        <w:contextualSpacing/>
        <w:jc w:val="both"/>
        <w:rPr>
          <w:rFonts w:ascii="Garamond" w:hAnsi="Garamond" w:cs="Times New Roman"/>
          <w:i/>
          <w:color w:val="000000" w:themeColor="text1"/>
          <w:sz w:val="26"/>
          <w:szCs w:val="26"/>
        </w:rPr>
      </w:pPr>
      <w:r w:rsidRPr="002E0DD9">
        <w:rPr>
          <w:rFonts w:ascii="Garamond" w:eastAsia="Times New Roman" w:hAnsi="Garamond" w:cs="Times New Roman"/>
          <w:color w:val="000000" w:themeColor="text1"/>
          <w:sz w:val="26"/>
          <w:szCs w:val="26"/>
          <w:shd w:val="clear" w:color="auto" w:fill="FFFFFF"/>
        </w:rPr>
        <w:t>Alla stregua di quanto statuito dall’Adunanza Plenaria n. 3 del 2015, dunque, nelle procedure di affidamento di lavori i partecipanti alla gara devono indicare nell'offerta economica i costi interni per la sicurezza del lavoro, pena l'esclusione dell'offerta dalla procedura anche se non prevista nel bando di gara.</w:t>
      </w:r>
    </w:p>
    <w:p w14:paraId="028CB1B6" w14:textId="69A91567" w:rsidR="00472026" w:rsidRPr="002E0DD9" w:rsidRDefault="00472026" w:rsidP="00945697">
      <w:pPr>
        <w:spacing w:line="360" w:lineRule="auto"/>
        <w:ind w:right="-7" w:firstLine="709"/>
        <w:contextualSpacing/>
        <w:jc w:val="both"/>
        <w:rPr>
          <w:rFonts w:ascii="Garamond" w:hAnsi="Garamond" w:cs="Times New Roman"/>
          <w:b/>
          <w:i/>
          <w:color w:val="000000" w:themeColor="text1"/>
          <w:sz w:val="26"/>
          <w:szCs w:val="26"/>
        </w:rPr>
      </w:pPr>
      <w:r w:rsidRPr="002E0DD9">
        <w:rPr>
          <w:rFonts w:ascii="Garamond" w:eastAsia="Times New Roman" w:hAnsi="Garamond" w:cs="Times New Roman"/>
          <w:color w:val="000000" w:themeColor="text1"/>
          <w:sz w:val="26"/>
          <w:szCs w:val="26"/>
          <w:shd w:val="clear" w:color="auto" w:fill="FFFFFF"/>
        </w:rPr>
        <w:t>Con la conseguenza che,</w:t>
      </w:r>
      <w:r w:rsidR="00A020AF" w:rsidRPr="002E0DD9">
        <w:rPr>
          <w:rFonts w:ascii="Garamond" w:eastAsia="Times New Roman" w:hAnsi="Garamond" w:cs="Times New Roman"/>
          <w:color w:val="000000" w:themeColor="text1"/>
          <w:sz w:val="26"/>
          <w:szCs w:val="26"/>
          <w:shd w:val="clear" w:color="auto" w:fill="FFFFFF"/>
        </w:rPr>
        <w:t xml:space="preserve"> ai sensi dell'art. 46, comma 1 </w:t>
      </w:r>
      <w:r w:rsidRPr="002E0DD9">
        <w:rPr>
          <w:rFonts w:ascii="Garamond" w:eastAsia="Times New Roman" w:hAnsi="Garamond" w:cs="Times New Roman"/>
          <w:i/>
          <w:color w:val="000000" w:themeColor="text1"/>
          <w:sz w:val="26"/>
          <w:szCs w:val="26"/>
          <w:shd w:val="clear" w:color="auto" w:fill="FFFFFF"/>
        </w:rPr>
        <w:t>bis</w:t>
      </w:r>
      <w:r w:rsidRPr="002E0DD9">
        <w:rPr>
          <w:rFonts w:ascii="Garamond" w:eastAsia="Times New Roman" w:hAnsi="Garamond" w:cs="Times New Roman"/>
          <w:color w:val="000000" w:themeColor="text1"/>
          <w:sz w:val="26"/>
          <w:szCs w:val="26"/>
          <w:shd w:val="clear" w:color="auto" w:fill="FFFFFF"/>
        </w:rPr>
        <w:t xml:space="preserve">, del Codice previgente, l'omessa specificazione nelle offerte per lavori dei costi di sicurezza interni configura un'ipotesi di </w:t>
      </w:r>
      <w:r w:rsidRPr="002E0DD9">
        <w:rPr>
          <w:rFonts w:ascii="Garamond" w:eastAsia="Times New Roman" w:hAnsi="Garamond" w:cs="Times New Roman"/>
          <w:i/>
          <w:color w:val="000000" w:themeColor="text1"/>
          <w:sz w:val="26"/>
          <w:szCs w:val="26"/>
          <w:shd w:val="clear" w:color="auto" w:fill="FFFFFF"/>
        </w:rPr>
        <w:t>«mancato adempimento alle prescrizioni previste dal presente codice»</w:t>
      </w:r>
      <w:r w:rsidRPr="002E0DD9">
        <w:rPr>
          <w:rFonts w:ascii="Garamond" w:eastAsia="Times New Roman" w:hAnsi="Garamond" w:cs="Times New Roman"/>
          <w:color w:val="000000" w:themeColor="text1"/>
          <w:sz w:val="26"/>
          <w:szCs w:val="26"/>
          <w:shd w:val="clear" w:color="auto" w:fill="FFFFFF"/>
        </w:rPr>
        <w:t xml:space="preserve"> idoneo a determinare </w:t>
      </w:r>
      <w:r w:rsidRPr="002E0DD9">
        <w:rPr>
          <w:rFonts w:ascii="Garamond" w:eastAsia="Times New Roman" w:hAnsi="Garamond" w:cs="Times New Roman"/>
          <w:i/>
          <w:color w:val="000000" w:themeColor="text1"/>
          <w:sz w:val="26"/>
          <w:szCs w:val="26"/>
          <w:shd w:val="clear" w:color="auto" w:fill="FFFFFF"/>
        </w:rPr>
        <w:t>«incertezza assoluta sul contenuto dell'offerta»</w:t>
      </w:r>
      <w:r w:rsidRPr="002E0DD9">
        <w:rPr>
          <w:rFonts w:ascii="Garamond" w:eastAsia="Times New Roman" w:hAnsi="Garamond" w:cs="Times New Roman"/>
          <w:color w:val="000000" w:themeColor="text1"/>
          <w:sz w:val="26"/>
          <w:szCs w:val="26"/>
          <w:shd w:val="clear" w:color="auto" w:fill="FFFFFF"/>
        </w:rPr>
        <w:t xml:space="preserve"> per difetto di un suo elemento essenziale, e comporta perciò, anche se non prevista nella </w:t>
      </w:r>
      <w:proofErr w:type="spellStart"/>
      <w:r w:rsidRPr="002E0DD9">
        <w:rPr>
          <w:rFonts w:ascii="Garamond" w:eastAsia="Times New Roman" w:hAnsi="Garamond" w:cs="Times New Roman"/>
          <w:i/>
          <w:color w:val="000000" w:themeColor="text1"/>
          <w:sz w:val="26"/>
          <w:szCs w:val="26"/>
          <w:shd w:val="clear" w:color="auto" w:fill="FFFFFF"/>
        </w:rPr>
        <w:t>lex</w:t>
      </w:r>
      <w:proofErr w:type="spellEnd"/>
      <w:r w:rsidRPr="002E0DD9">
        <w:rPr>
          <w:rFonts w:ascii="Garamond" w:eastAsia="Times New Roman" w:hAnsi="Garamond" w:cs="Times New Roman"/>
          <w:i/>
          <w:color w:val="000000" w:themeColor="text1"/>
          <w:sz w:val="26"/>
          <w:szCs w:val="26"/>
          <w:shd w:val="clear" w:color="auto" w:fill="FFFFFF"/>
        </w:rPr>
        <w:t xml:space="preserve"> </w:t>
      </w:r>
      <w:proofErr w:type="spellStart"/>
      <w:r w:rsidRPr="002E0DD9">
        <w:rPr>
          <w:rFonts w:ascii="Garamond" w:eastAsia="Times New Roman" w:hAnsi="Garamond" w:cs="Times New Roman"/>
          <w:i/>
          <w:color w:val="000000" w:themeColor="text1"/>
          <w:sz w:val="26"/>
          <w:szCs w:val="26"/>
          <w:shd w:val="clear" w:color="auto" w:fill="FFFFFF"/>
        </w:rPr>
        <w:t>specialis</w:t>
      </w:r>
      <w:proofErr w:type="spellEnd"/>
      <w:r w:rsidRPr="002E0DD9">
        <w:rPr>
          <w:rFonts w:ascii="Garamond" w:eastAsia="Times New Roman" w:hAnsi="Garamond" w:cs="Times New Roman"/>
          <w:color w:val="000000" w:themeColor="text1"/>
          <w:sz w:val="26"/>
          <w:szCs w:val="26"/>
          <w:shd w:val="clear" w:color="auto" w:fill="FFFFFF"/>
        </w:rPr>
        <w:t xml:space="preserve">, l'esclusione dalla procedura dell'offerta difettosa per l'inosservanza di un precetto a carattere imperativo che impone un determinato adempimento ai partecipanti alla gara (cfr. </w:t>
      </w:r>
      <w:proofErr w:type="spellStart"/>
      <w:r w:rsidR="006A32E6" w:rsidRPr="002E0DD9">
        <w:rPr>
          <w:rFonts w:ascii="Garamond" w:eastAsia="Times New Roman" w:hAnsi="Garamond" w:cs="Times New Roman"/>
          <w:color w:val="000000" w:themeColor="text1"/>
          <w:sz w:val="26"/>
          <w:szCs w:val="26"/>
          <w:shd w:val="clear" w:color="auto" w:fill="FFFFFF"/>
        </w:rPr>
        <w:t>Cons</w:t>
      </w:r>
      <w:proofErr w:type="spellEnd"/>
      <w:r w:rsidR="006A32E6" w:rsidRPr="002E0DD9">
        <w:rPr>
          <w:rFonts w:ascii="Garamond" w:eastAsia="Times New Roman" w:hAnsi="Garamond" w:cs="Times New Roman"/>
          <w:color w:val="000000" w:themeColor="text1"/>
          <w:sz w:val="26"/>
          <w:szCs w:val="26"/>
          <w:shd w:val="clear" w:color="auto" w:fill="FFFFFF"/>
        </w:rPr>
        <w:t xml:space="preserve">. Stato., Ad. </w:t>
      </w:r>
      <w:proofErr w:type="spellStart"/>
      <w:r w:rsidR="006A32E6" w:rsidRPr="002E0DD9">
        <w:rPr>
          <w:rFonts w:ascii="Garamond" w:eastAsia="Times New Roman" w:hAnsi="Garamond" w:cs="Times New Roman"/>
          <w:color w:val="000000" w:themeColor="text1"/>
          <w:sz w:val="26"/>
          <w:szCs w:val="26"/>
          <w:shd w:val="clear" w:color="auto" w:fill="FFFFFF"/>
        </w:rPr>
        <w:t>Plen</w:t>
      </w:r>
      <w:proofErr w:type="spellEnd"/>
      <w:r w:rsidR="006A32E6" w:rsidRPr="002E0DD9">
        <w:rPr>
          <w:rFonts w:ascii="Garamond" w:eastAsia="Times New Roman" w:hAnsi="Garamond" w:cs="Times New Roman"/>
          <w:color w:val="000000" w:themeColor="text1"/>
          <w:sz w:val="26"/>
          <w:szCs w:val="26"/>
          <w:shd w:val="clear" w:color="auto" w:fill="FFFFFF"/>
        </w:rPr>
        <w:t>.</w:t>
      </w:r>
      <w:r w:rsidRPr="002E0DD9">
        <w:rPr>
          <w:rFonts w:ascii="Garamond" w:eastAsia="Times New Roman" w:hAnsi="Garamond" w:cs="Times New Roman"/>
          <w:color w:val="000000" w:themeColor="text1"/>
          <w:sz w:val="26"/>
          <w:szCs w:val="26"/>
          <w:shd w:val="clear" w:color="auto" w:fill="FFFFFF"/>
        </w:rPr>
        <w:t>, sentenza n. 9 del 2014), non sanabile con il potere di soccorso istruttorio della stazione appaltante, di cui al comma 1 del medesimo articolo, non potendosi consentire di integrare successivamente un'offerta dal contenuto inizialmente carente di un suo elemento essenziale.</w:t>
      </w:r>
    </w:p>
    <w:p w14:paraId="480EF718" w14:textId="0854708D" w:rsidR="00B6227A" w:rsidRPr="002E0DD9" w:rsidRDefault="00EF2CE3"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hAnsi="Garamond" w:cs="Times New Roman"/>
          <w:color w:val="000000" w:themeColor="text1"/>
          <w:sz w:val="26"/>
          <w:szCs w:val="26"/>
        </w:rPr>
        <w:t>Tale approdo interpretativo si espone a numerose obiezioni.</w:t>
      </w:r>
    </w:p>
    <w:p w14:paraId="762F6697" w14:textId="1622F219" w:rsidR="00637E3B" w:rsidRPr="002E0DD9" w:rsidRDefault="0055738A"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hAnsi="Garamond" w:cs="Times New Roman"/>
          <w:color w:val="000000" w:themeColor="text1"/>
          <w:sz w:val="26"/>
          <w:szCs w:val="26"/>
        </w:rPr>
        <w:t>In primo</w:t>
      </w:r>
      <w:r w:rsidR="009E377A" w:rsidRPr="002E0DD9">
        <w:rPr>
          <w:rFonts w:ascii="Garamond" w:hAnsi="Garamond" w:cs="Times New Roman"/>
          <w:color w:val="000000" w:themeColor="text1"/>
          <w:sz w:val="26"/>
          <w:szCs w:val="26"/>
        </w:rPr>
        <w:t xml:space="preserve"> luogo,</w:t>
      </w:r>
      <w:r w:rsidR="001B7A72" w:rsidRPr="002E0DD9">
        <w:rPr>
          <w:rFonts w:ascii="Garamond" w:hAnsi="Garamond" w:cs="Times New Roman"/>
          <w:color w:val="000000" w:themeColor="text1"/>
          <w:sz w:val="26"/>
          <w:szCs w:val="26"/>
        </w:rPr>
        <w:t xml:space="preserve"> è bene rimarcare che</w:t>
      </w:r>
      <w:r w:rsidR="00B72532" w:rsidRPr="002E0DD9">
        <w:rPr>
          <w:rFonts w:ascii="Garamond" w:hAnsi="Garamond" w:cs="Times New Roman"/>
          <w:color w:val="000000" w:themeColor="text1"/>
          <w:sz w:val="26"/>
          <w:szCs w:val="26"/>
        </w:rPr>
        <w:t>,</w:t>
      </w:r>
      <w:r w:rsidR="009E377A" w:rsidRPr="002E0DD9">
        <w:rPr>
          <w:rFonts w:ascii="Garamond" w:hAnsi="Garamond" w:cs="Times New Roman"/>
          <w:color w:val="000000" w:themeColor="text1"/>
          <w:sz w:val="26"/>
          <w:szCs w:val="26"/>
        </w:rPr>
        <w:t xml:space="preserve"> a fronte di un dettato normativo che non impone</w:t>
      </w:r>
      <w:r w:rsidR="00C60FEE" w:rsidRPr="002E0DD9">
        <w:rPr>
          <w:rFonts w:ascii="Garamond" w:hAnsi="Garamond" w:cs="Times New Roman"/>
          <w:color w:val="000000" w:themeColor="text1"/>
          <w:sz w:val="26"/>
          <w:szCs w:val="26"/>
        </w:rPr>
        <w:t xml:space="preserve"> espressamente</w:t>
      </w:r>
      <w:r w:rsidR="00215201" w:rsidRPr="002E0DD9">
        <w:rPr>
          <w:rFonts w:ascii="Garamond" w:hAnsi="Garamond" w:cs="Times New Roman"/>
          <w:color w:val="000000" w:themeColor="text1"/>
          <w:sz w:val="26"/>
          <w:szCs w:val="26"/>
        </w:rPr>
        <w:t xml:space="preserve"> ai concorrenti</w:t>
      </w:r>
      <w:r w:rsidR="00C60FEE" w:rsidRPr="002E0DD9">
        <w:rPr>
          <w:rFonts w:ascii="Garamond" w:hAnsi="Garamond" w:cs="Times New Roman"/>
          <w:color w:val="000000" w:themeColor="text1"/>
          <w:sz w:val="26"/>
          <w:szCs w:val="26"/>
        </w:rPr>
        <w:t>, con riferimento agli appalti di lavori,</w:t>
      </w:r>
      <w:r w:rsidR="00215201" w:rsidRPr="002E0DD9">
        <w:rPr>
          <w:rFonts w:ascii="Garamond" w:hAnsi="Garamond" w:cs="Times New Roman"/>
          <w:color w:val="000000" w:themeColor="text1"/>
          <w:sz w:val="26"/>
          <w:szCs w:val="26"/>
        </w:rPr>
        <w:t xml:space="preserve"> </w:t>
      </w:r>
      <w:r w:rsidR="009E377A" w:rsidRPr="002E0DD9">
        <w:rPr>
          <w:rFonts w:ascii="Garamond" w:hAnsi="Garamond" w:cs="Times New Roman"/>
          <w:color w:val="000000" w:themeColor="text1"/>
          <w:sz w:val="26"/>
          <w:szCs w:val="26"/>
        </w:rPr>
        <w:t>la separata indicazione degli oneri di sicurezza interni, l’Adunanza Plenaria – sulla base di un’interpretazione logica e costituzionalmente conforme – fa discendere la conseguenza dell’esclusione automatica in caso di omessa indicazio</w:t>
      </w:r>
      <w:r w:rsidR="00637E3B" w:rsidRPr="002E0DD9">
        <w:rPr>
          <w:rFonts w:ascii="Garamond" w:hAnsi="Garamond" w:cs="Times New Roman"/>
          <w:color w:val="000000" w:themeColor="text1"/>
          <w:sz w:val="26"/>
          <w:szCs w:val="26"/>
        </w:rPr>
        <w:t>ne</w:t>
      </w:r>
      <w:r w:rsidR="009E377A" w:rsidRPr="002E0DD9">
        <w:rPr>
          <w:rFonts w:ascii="Garamond" w:hAnsi="Garamond" w:cs="Times New Roman"/>
          <w:color w:val="000000" w:themeColor="text1"/>
          <w:sz w:val="26"/>
          <w:szCs w:val="26"/>
        </w:rPr>
        <w:t xml:space="preserve">. </w:t>
      </w:r>
    </w:p>
    <w:p w14:paraId="4515ED1A" w14:textId="77777777" w:rsidR="00315D59" w:rsidRPr="002E0DD9" w:rsidRDefault="009E377A"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hAnsi="Garamond" w:cs="Times New Roman"/>
          <w:color w:val="000000" w:themeColor="text1"/>
          <w:sz w:val="26"/>
          <w:szCs w:val="26"/>
        </w:rPr>
        <w:t xml:space="preserve">È lecito dubitare </w:t>
      </w:r>
      <w:r w:rsidR="00637E3B" w:rsidRPr="002E0DD9">
        <w:rPr>
          <w:rFonts w:ascii="Garamond" w:hAnsi="Garamond" w:cs="Times New Roman"/>
          <w:color w:val="000000" w:themeColor="text1"/>
          <w:sz w:val="26"/>
          <w:szCs w:val="26"/>
        </w:rPr>
        <w:t>della ragionevolezza di una soluzione che, pur in assenza di una clausola del bando o della lettera di invito che prescriva tale spec</w:t>
      </w:r>
      <w:r w:rsidR="00D3640E" w:rsidRPr="002E0DD9">
        <w:rPr>
          <w:rFonts w:ascii="Garamond" w:hAnsi="Garamond" w:cs="Times New Roman"/>
          <w:color w:val="000000" w:themeColor="text1"/>
          <w:sz w:val="26"/>
          <w:szCs w:val="26"/>
        </w:rPr>
        <w:t>ifica indicazione, fa derivare</w:t>
      </w:r>
      <w:r w:rsidR="00637E3B" w:rsidRPr="002E0DD9">
        <w:rPr>
          <w:rFonts w:ascii="Garamond" w:hAnsi="Garamond" w:cs="Times New Roman"/>
          <w:color w:val="000000" w:themeColor="text1"/>
          <w:sz w:val="26"/>
          <w:szCs w:val="26"/>
        </w:rPr>
        <w:t xml:space="preserve"> la più severa e irrimediabile conseguenza non</w:t>
      </w:r>
      <w:r w:rsidR="00553324" w:rsidRPr="002E0DD9">
        <w:rPr>
          <w:rFonts w:ascii="Garamond" w:hAnsi="Garamond" w:cs="Times New Roman"/>
          <w:color w:val="000000" w:themeColor="text1"/>
          <w:sz w:val="26"/>
          <w:szCs w:val="26"/>
        </w:rPr>
        <w:t xml:space="preserve"> già</w:t>
      </w:r>
      <w:r w:rsidR="00637E3B" w:rsidRPr="002E0DD9">
        <w:rPr>
          <w:rFonts w:ascii="Garamond" w:hAnsi="Garamond" w:cs="Times New Roman"/>
          <w:color w:val="000000" w:themeColor="text1"/>
          <w:sz w:val="26"/>
          <w:szCs w:val="26"/>
        </w:rPr>
        <w:t xml:space="preserve"> da una espressa previsione imperativa di legge, ma da una rilettura correttiva e sistematica del quadro normativo, </w:t>
      </w:r>
      <w:r w:rsidR="00404524" w:rsidRPr="002E0DD9">
        <w:rPr>
          <w:rFonts w:ascii="Garamond" w:hAnsi="Garamond" w:cs="Times New Roman"/>
          <w:color w:val="000000" w:themeColor="text1"/>
          <w:sz w:val="26"/>
          <w:szCs w:val="26"/>
        </w:rPr>
        <w:t>per giunta in presenz</w:t>
      </w:r>
      <w:r w:rsidR="00414B4B" w:rsidRPr="002E0DD9">
        <w:rPr>
          <w:rFonts w:ascii="Garamond" w:hAnsi="Garamond" w:cs="Times New Roman"/>
          <w:color w:val="000000" w:themeColor="text1"/>
          <w:sz w:val="26"/>
          <w:szCs w:val="26"/>
        </w:rPr>
        <w:t>a di orientamenti non univoci della</w:t>
      </w:r>
      <w:r w:rsidR="00404524" w:rsidRPr="002E0DD9">
        <w:rPr>
          <w:rFonts w:ascii="Garamond" w:hAnsi="Garamond" w:cs="Times New Roman"/>
          <w:color w:val="000000" w:themeColor="text1"/>
          <w:sz w:val="26"/>
          <w:szCs w:val="26"/>
        </w:rPr>
        <w:t xml:space="preserve"> giurisprudenza.</w:t>
      </w:r>
    </w:p>
    <w:p w14:paraId="529693AB" w14:textId="7CE028DD" w:rsidR="00315D59" w:rsidRPr="002E0DD9" w:rsidRDefault="00404524"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hAnsi="Garamond" w:cs="Times New Roman"/>
          <w:color w:val="000000" w:themeColor="text1"/>
          <w:sz w:val="26"/>
          <w:szCs w:val="26"/>
        </w:rPr>
        <w:t xml:space="preserve">La soluzione prescelta dall’Adunanza Plenaria, nell’escludere l’esercizio del potere-dovere di soccorso istruttorio, </w:t>
      </w:r>
      <w:r w:rsidR="008934A1" w:rsidRPr="002E0DD9">
        <w:rPr>
          <w:rFonts w:ascii="Garamond" w:hAnsi="Garamond" w:cs="Times New Roman"/>
          <w:color w:val="000000" w:themeColor="text1"/>
          <w:sz w:val="26"/>
          <w:szCs w:val="26"/>
        </w:rPr>
        <w:t>non dà</w:t>
      </w:r>
      <w:r w:rsidR="00B37E69" w:rsidRPr="002E0DD9">
        <w:rPr>
          <w:rFonts w:ascii="Garamond" w:hAnsi="Garamond" w:cs="Times New Roman"/>
          <w:color w:val="000000" w:themeColor="text1"/>
          <w:sz w:val="26"/>
          <w:szCs w:val="26"/>
        </w:rPr>
        <w:t xml:space="preserve"> inoltre</w:t>
      </w:r>
      <w:r w:rsidR="008934A1" w:rsidRPr="002E0DD9">
        <w:rPr>
          <w:rFonts w:ascii="Garamond" w:hAnsi="Garamond" w:cs="Times New Roman"/>
          <w:color w:val="000000" w:themeColor="text1"/>
          <w:sz w:val="26"/>
          <w:szCs w:val="26"/>
        </w:rPr>
        <w:t xml:space="preserve"> modo di tutelare l’affidamento dei concorrenti che, in presenza di un </w:t>
      </w:r>
      <w:r w:rsidR="00DF7501" w:rsidRPr="002E0DD9">
        <w:rPr>
          <w:rFonts w:ascii="Garamond" w:hAnsi="Garamond" w:cs="Times New Roman"/>
          <w:color w:val="000000" w:themeColor="text1"/>
          <w:sz w:val="26"/>
          <w:szCs w:val="26"/>
        </w:rPr>
        <w:t>bando non richiedente la partita indicazione degli oneri di sicurezza e</w:t>
      </w:r>
      <w:r w:rsidR="00B37327" w:rsidRPr="002E0DD9">
        <w:rPr>
          <w:rFonts w:ascii="Garamond" w:hAnsi="Garamond" w:cs="Times New Roman"/>
          <w:color w:val="000000" w:themeColor="text1"/>
          <w:sz w:val="26"/>
          <w:szCs w:val="26"/>
        </w:rPr>
        <w:t>d in mancanza</w:t>
      </w:r>
      <w:r w:rsidR="00DF7501" w:rsidRPr="002E0DD9">
        <w:rPr>
          <w:rFonts w:ascii="Garamond" w:hAnsi="Garamond" w:cs="Times New Roman"/>
          <w:color w:val="000000" w:themeColor="text1"/>
          <w:sz w:val="26"/>
          <w:szCs w:val="26"/>
        </w:rPr>
        <w:t xml:space="preserve"> di una espressa contraria norma di legge, </w:t>
      </w:r>
      <w:r w:rsidR="006D54AF" w:rsidRPr="002E0DD9">
        <w:rPr>
          <w:rFonts w:ascii="Garamond" w:hAnsi="Garamond" w:cs="Times New Roman"/>
          <w:color w:val="000000" w:themeColor="text1"/>
          <w:sz w:val="26"/>
          <w:szCs w:val="26"/>
        </w:rPr>
        <w:t xml:space="preserve">sarebbero dunque onerati </w:t>
      </w:r>
      <w:r w:rsidR="00803AF4" w:rsidRPr="002E0DD9">
        <w:rPr>
          <w:rFonts w:ascii="Garamond" w:hAnsi="Garamond" w:cs="Times New Roman"/>
          <w:color w:val="000000" w:themeColor="text1"/>
          <w:sz w:val="26"/>
          <w:szCs w:val="26"/>
        </w:rPr>
        <w:t>di operare essi stessi una sorta di – difficilmente esigibile – interpretazione correttiv</w:t>
      </w:r>
      <w:r w:rsidR="00B37E69" w:rsidRPr="002E0DD9">
        <w:rPr>
          <w:rFonts w:ascii="Garamond" w:hAnsi="Garamond" w:cs="Times New Roman"/>
          <w:color w:val="000000" w:themeColor="text1"/>
          <w:sz w:val="26"/>
          <w:szCs w:val="26"/>
        </w:rPr>
        <w:t>a delle clausole del bando e delle disposizioni del</w:t>
      </w:r>
      <w:r w:rsidR="00803AF4" w:rsidRPr="002E0DD9">
        <w:rPr>
          <w:rFonts w:ascii="Garamond" w:hAnsi="Garamond" w:cs="Times New Roman"/>
          <w:color w:val="000000" w:themeColor="text1"/>
          <w:sz w:val="26"/>
          <w:szCs w:val="26"/>
        </w:rPr>
        <w:t xml:space="preserve"> Codice.</w:t>
      </w:r>
      <w:r w:rsidR="00315D59" w:rsidRPr="002E0DD9">
        <w:rPr>
          <w:rFonts w:ascii="Garamond" w:hAnsi="Garamond" w:cs="Times New Roman"/>
          <w:color w:val="000000" w:themeColor="text1"/>
          <w:sz w:val="26"/>
          <w:szCs w:val="26"/>
        </w:rPr>
        <w:t xml:space="preserve"> </w:t>
      </w:r>
    </w:p>
    <w:p w14:paraId="2CEE033F" w14:textId="7AF4F4EC" w:rsidR="00315D59" w:rsidRPr="002E0DD9" w:rsidRDefault="00315D59"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hAnsi="Garamond" w:cs="Times New Roman"/>
          <w:color w:val="000000" w:themeColor="text1"/>
          <w:sz w:val="26"/>
          <w:szCs w:val="26"/>
        </w:rPr>
        <w:t xml:space="preserve">L’Adunanza Plenaria è in seguito nuovamente intervenuta, con sentenza 2 novembre 2015, n.9, ad affermare che </w:t>
      </w:r>
      <w:r w:rsidRPr="002E0DD9">
        <w:rPr>
          <w:rFonts w:ascii="Garamond" w:hAnsi="Garamond" w:cs="Times New Roman"/>
          <w:iCs/>
          <w:color w:val="000000" w:themeColor="text1"/>
          <w:sz w:val="26"/>
          <w:szCs w:val="26"/>
        </w:rPr>
        <w:t>nelle procedure di affidamento di lavori i partecipanti alla gara devono indicare nell’offerta economica i costi interni per la sicurezza del lavoro, pena l’esclusione dell’offerta dalla procedura anche se non prevista nel bando di gara</w:t>
      </w:r>
      <w:r w:rsidR="002A5B4F" w:rsidRPr="002E0DD9">
        <w:rPr>
          <w:rFonts w:ascii="Garamond" w:hAnsi="Garamond" w:cs="Times New Roman"/>
          <w:color w:val="000000" w:themeColor="text1"/>
          <w:sz w:val="26"/>
          <w:szCs w:val="26"/>
        </w:rPr>
        <w:t>, rilevando</w:t>
      </w:r>
      <w:r w:rsidRPr="002E0DD9">
        <w:rPr>
          <w:rFonts w:ascii="Garamond" w:hAnsi="Garamond" w:cs="Times New Roman"/>
          <w:color w:val="000000" w:themeColor="text1"/>
          <w:sz w:val="26"/>
          <w:szCs w:val="26"/>
        </w:rPr>
        <w:t xml:space="preserve"> </w:t>
      </w:r>
      <w:r w:rsidR="002A5B4F" w:rsidRPr="002E0DD9">
        <w:rPr>
          <w:rFonts w:ascii="Garamond" w:hAnsi="Garamond" w:cs="Times New Roman"/>
          <w:color w:val="000000" w:themeColor="text1"/>
          <w:sz w:val="26"/>
          <w:szCs w:val="26"/>
        </w:rPr>
        <w:t>che, con la pr</w:t>
      </w:r>
      <w:r w:rsidR="00554F8E" w:rsidRPr="002E0DD9">
        <w:rPr>
          <w:rFonts w:ascii="Garamond" w:hAnsi="Garamond" w:cs="Times New Roman"/>
          <w:color w:val="000000" w:themeColor="text1"/>
          <w:sz w:val="26"/>
          <w:szCs w:val="26"/>
        </w:rPr>
        <w:t xml:space="preserve">opria precedente decisione n. 3 del </w:t>
      </w:r>
      <w:r w:rsidR="002A5B4F" w:rsidRPr="002E0DD9">
        <w:rPr>
          <w:rFonts w:ascii="Garamond" w:hAnsi="Garamond" w:cs="Times New Roman"/>
          <w:color w:val="000000" w:themeColor="text1"/>
          <w:sz w:val="26"/>
          <w:szCs w:val="26"/>
        </w:rPr>
        <w:t xml:space="preserve">2015, </w:t>
      </w:r>
      <w:r w:rsidR="00F65BCF" w:rsidRPr="002E0DD9">
        <w:rPr>
          <w:rFonts w:ascii="Garamond" w:hAnsi="Garamond" w:cs="Times New Roman"/>
          <w:i/>
          <w:color w:val="000000" w:themeColor="text1"/>
          <w:sz w:val="26"/>
          <w:szCs w:val="26"/>
        </w:rPr>
        <w:t>«</w:t>
      </w:r>
      <w:r w:rsidR="002A5B4F" w:rsidRPr="002E0DD9">
        <w:rPr>
          <w:rFonts w:ascii="Garamond" w:hAnsi="Garamond" w:cs="Times New Roman"/>
          <w:i/>
          <w:iCs/>
          <w:color w:val="000000" w:themeColor="text1"/>
          <w:sz w:val="26"/>
          <w:szCs w:val="26"/>
        </w:rPr>
        <w:t>è stato chiarito che l’obbligo, codificato all’art.87, comma 4, d.lgs. cit., di indicazione degli oneri di sicurezza aziendale si appli</w:t>
      </w:r>
      <w:r w:rsidR="00F65BCF" w:rsidRPr="002E0DD9">
        <w:rPr>
          <w:rFonts w:ascii="Garamond" w:hAnsi="Garamond" w:cs="Times New Roman"/>
          <w:i/>
          <w:iCs/>
          <w:color w:val="000000" w:themeColor="text1"/>
          <w:sz w:val="26"/>
          <w:szCs w:val="26"/>
        </w:rPr>
        <w:t>ca anche agli appalti di lavori</w:t>
      </w:r>
      <w:r w:rsidR="00F65BCF" w:rsidRPr="002E0DD9">
        <w:rPr>
          <w:rFonts w:ascii="Garamond" w:hAnsi="Garamond" w:cs="Times New Roman"/>
          <w:i/>
          <w:color w:val="000000" w:themeColor="text1"/>
          <w:sz w:val="26"/>
          <w:szCs w:val="26"/>
        </w:rPr>
        <w:t>»</w:t>
      </w:r>
      <w:r w:rsidR="002A5B4F" w:rsidRPr="002E0DD9">
        <w:rPr>
          <w:rFonts w:ascii="Garamond" w:hAnsi="Garamond" w:cs="Times New Roman"/>
          <w:i/>
          <w:iCs/>
          <w:color w:val="000000" w:themeColor="text1"/>
          <w:sz w:val="26"/>
          <w:szCs w:val="26"/>
        </w:rPr>
        <w:t>.</w:t>
      </w:r>
    </w:p>
    <w:p w14:paraId="27F5EBD0" w14:textId="07F85709" w:rsidR="002A5B4F" w:rsidRPr="002E0DD9" w:rsidRDefault="00315D59"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hAnsi="Garamond" w:cs="Times New Roman"/>
          <w:color w:val="000000" w:themeColor="text1"/>
          <w:sz w:val="26"/>
          <w:szCs w:val="26"/>
        </w:rPr>
        <w:t>A valle</w:t>
      </w:r>
      <w:r w:rsidR="00554F8E" w:rsidRPr="002E0DD9">
        <w:rPr>
          <w:rFonts w:ascii="Garamond" w:hAnsi="Garamond" w:cs="Times New Roman"/>
          <w:color w:val="000000" w:themeColor="text1"/>
          <w:sz w:val="26"/>
          <w:szCs w:val="26"/>
        </w:rPr>
        <w:t xml:space="preserve"> delle</w:t>
      </w:r>
      <w:r w:rsidRPr="002E0DD9">
        <w:rPr>
          <w:rFonts w:ascii="Garamond" w:hAnsi="Garamond" w:cs="Times New Roman"/>
          <w:color w:val="000000" w:themeColor="text1"/>
          <w:sz w:val="26"/>
          <w:szCs w:val="26"/>
        </w:rPr>
        <w:t xml:space="preserve"> </w:t>
      </w:r>
      <w:r w:rsidR="002A5B4F" w:rsidRPr="002E0DD9">
        <w:rPr>
          <w:rFonts w:ascii="Garamond" w:hAnsi="Garamond" w:cs="Times New Roman"/>
          <w:color w:val="000000" w:themeColor="text1"/>
          <w:sz w:val="26"/>
          <w:szCs w:val="26"/>
        </w:rPr>
        <w:t>menzionate</w:t>
      </w:r>
      <w:r w:rsidRPr="002E0DD9">
        <w:rPr>
          <w:rFonts w:ascii="Garamond" w:hAnsi="Garamond" w:cs="Times New Roman"/>
          <w:color w:val="000000" w:themeColor="text1"/>
          <w:sz w:val="26"/>
          <w:szCs w:val="26"/>
        </w:rPr>
        <w:t xml:space="preserve"> pronunce del </w:t>
      </w:r>
      <w:r w:rsidR="00554F8E" w:rsidRPr="002E0DD9">
        <w:rPr>
          <w:rFonts w:ascii="Garamond" w:hAnsi="Garamond" w:cs="Times New Roman"/>
          <w:color w:val="000000" w:themeColor="text1"/>
          <w:sz w:val="26"/>
          <w:szCs w:val="26"/>
        </w:rPr>
        <w:t>Consiglio di Stato</w:t>
      </w:r>
      <w:r w:rsidRPr="002E0DD9">
        <w:rPr>
          <w:rFonts w:ascii="Garamond" w:hAnsi="Garamond" w:cs="Times New Roman"/>
          <w:color w:val="000000" w:themeColor="text1"/>
          <w:sz w:val="26"/>
          <w:szCs w:val="26"/>
        </w:rPr>
        <w:t xml:space="preserve">, è stato ritenuto fondato </w:t>
      </w:r>
      <w:r w:rsidR="00F65BCF" w:rsidRPr="002E0DD9">
        <w:rPr>
          <w:rFonts w:ascii="Garamond" w:hAnsi="Garamond" w:cs="Times New Roman"/>
          <w:i/>
          <w:color w:val="000000" w:themeColor="text1"/>
          <w:sz w:val="26"/>
          <w:szCs w:val="26"/>
        </w:rPr>
        <w:t>«</w:t>
      </w:r>
      <w:r w:rsidRPr="002E0DD9">
        <w:rPr>
          <w:rFonts w:ascii="Garamond" w:hAnsi="Garamond" w:cs="Times New Roman"/>
          <w:i/>
          <w:iCs/>
          <w:color w:val="000000" w:themeColor="text1"/>
          <w:sz w:val="26"/>
          <w:szCs w:val="26"/>
        </w:rPr>
        <w:t xml:space="preserve">alla luce dei principi sanciti dall’Adunanza Plenaria di questo Consiglio con le sentenze </w:t>
      </w:r>
      <w:proofErr w:type="spellStart"/>
      <w:r w:rsidRPr="002E0DD9">
        <w:rPr>
          <w:rFonts w:ascii="Garamond" w:hAnsi="Garamond" w:cs="Times New Roman"/>
          <w:i/>
          <w:iCs/>
          <w:color w:val="000000" w:themeColor="text1"/>
          <w:sz w:val="26"/>
          <w:szCs w:val="26"/>
        </w:rPr>
        <w:t>nn</w:t>
      </w:r>
      <w:proofErr w:type="spellEnd"/>
      <w:r w:rsidRPr="002E0DD9">
        <w:rPr>
          <w:rFonts w:ascii="Garamond" w:hAnsi="Garamond" w:cs="Times New Roman"/>
          <w:i/>
          <w:iCs/>
          <w:color w:val="000000" w:themeColor="text1"/>
          <w:sz w:val="26"/>
          <w:szCs w:val="26"/>
        </w:rPr>
        <w:t xml:space="preserve">. 3 e 9 del 2015, il motivo di ricorso con cui si contesta la violazione… dell’obbligo, a pena di esclusione, di specificazione degli oneri di sicurezza aziendali come adempimento direttamente imposto al concorrente dalla legge (artt. 86, comma 3 bis e 87, commi 3 e 3 bis, del codice dei contratti pubblici), anche in via di etero-integrazione della disciplina recata dalla </w:t>
      </w:r>
      <w:proofErr w:type="spellStart"/>
      <w:r w:rsidRPr="002E0DD9">
        <w:rPr>
          <w:rFonts w:ascii="Garamond" w:hAnsi="Garamond" w:cs="Times New Roman"/>
          <w:iCs/>
          <w:color w:val="000000" w:themeColor="text1"/>
          <w:sz w:val="26"/>
          <w:szCs w:val="26"/>
        </w:rPr>
        <w:t>lex</w:t>
      </w:r>
      <w:proofErr w:type="spellEnd"/>
      <w:r w:rsidRPr="002E0DD9">
        <w:rPr>
          <w:rFonts w:ascii="Garamond" w:hAnsi="Garamond" w:cs="Times New Roman"/>
          <w:iCs/>
          <w:color w:val="000000" w:themeColor="text1"/>
          <w:sz w:val="26"/>
          <w:szCs w:val="26"/>
        </w:rPr>
        <w:t xml:space="preserve"> </w:t>
      </w:r>
      <w:proofErr w:type="spellStart"/>
      <w:r w:rsidRPr="002E0DD9">
        <w:rPr>
          <w:rFonts w:ascii="Garamond" w:hAnsi="Garamond" w:cs="Times New Roman"/>
          <w:iCs/>
          <w:color w:val="000000" w:themeColor="text1"/>
          <w:sz w:val="26"/>
          <w:szCs w:val="26"/>
        </w:rPr>
        <w:t>specialis</w:t>
      </w:r>
      <w:proofErr w:type="spellEnd"/>
      <w:r w:rsidR="00F65BCF" w:rsidRPr="002E0DD9">
        <w:rPr>
          <w:rFonts w:ascii="Garamond" w:hAnsi="Garamond" w:cs="Times New Roman"/>
          <w:i/>
          <w:color w:val="000000" w:themeColor="text1"/>
          <w:sz w:val="26"/>
          <w:szCs w:val="26"/>
        </w:rPr>
        <w:t>»</w:t>
      </w:r>
      <w:r w:rsidR="002A5B4F" w:rsidRPr="002E0DD9">
        <w:rPr>
          <w:rStyle w:val="Rimandonotaapidipagina"/>
          <w:rFonts w:ascii="Garamond" w:hAnsi="Garamond" w:cs="Times New Roman"/>
          <w:color w:val="000000" w:themeColor="text1"/>
          <w:sz w:val="26"/>
          <w:szCs w:val="26"/>
        </w:rPr>
        <w:footnoteReference w:id="7"/>
      </w:r>
      <w:r w:rsidRPr="002E0DD9">
        <w:rPr>
          <w:rFonts w:ascii="Garamond" w:hAnsi="Garamond" w:cs="Times New Roman"/>
          <w:color w:val="000000" w:themeColor="text1"/>
          <w:sz w:val="26"/>
          <w:szCs w:val="26"/>
        </w:rPr>
        <w:t xml:space="preserve"> </w:t>
      </w:r>
      <w:r w:rsidR="002A5B4F" w:rsidRPr="002E0DD9">
        <w:rPr>
          <w:rFonts w:ascii="Garamond" w:hAnsi="Garamond" w:cs="Times New Roman"/>
          <w:color w:val="000000" w:themeColor="text1"/>
          <w:sz w:val="26"/>
          <w:szCs w:val="26"/>
        </w:rPr>
        <w:t xml:space="preserve">. </w:t>
      </w:r>
    </w:p>
    <w:p w14:paraId="4C1D2773" w14:textId="490F8753" w:rsidR="00315D59" w:rsidRPr="002E0DD9" w:rsidRDefault="002A5B4F"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hAnsi="Garamond" w:cs="Times New Roman"/>
          <w:color w:val="000000" w:themeColor="text1"/>
          <w:sz w:val="26"/>
          <w:szCs w:val="26"/>
        </w:rPr>
        <w:t>Si è confermato, inoltre,</w:t>
      </w:r>
      <w:r w:rsidR="00315D59" w:rsidRPr="002E0DD9">
        <w:rPr>
          <w:rFonts w:ascii="Garamond" w:hAnsi="Garamond" w:cs="Times New Roman"/>
          <w:color w:val="000000" w:themeColor="text1"/>
          <w:sz w:val="26"/>
          <w:szCs w:val="26"/>
        </w:rPr>
        <w:t xml:space="preserve"> che non </w:t>
      </w:r>
      <w:r w:rsidRPr="002E0DD9">
        <w:rPr>
          <w:rFonts w:ascii="Garamond" w:hAnsi="Garamond" w:cs="Times New Roman"/>
          <w:color w:val="000000" w:themeColor="text1"/>
          <w:sz w:val="26"/>
          <w:szCs w:val="26"/>
        </w:rPr>
        <w:t>può</w:t>
      </w:r>
      <w:r w:rsidR="00315D59" w:rsidRPr="002E0DD9">
        <w:rPr>
          <w:rFonts w:ascii="Garamond" w:hAnsi="Garamond" w:cs="Times New Roman"/>
          <w:color w:val="000000" w:themeColor="text1"/>
          <w:sz w:val="26"/>
          <w:szCs w:val="26"/>
        </w:rPr>
        <w:t xml:space="preserve"> utilmente invocarsi il soccorso istruttorio, </w:t>
      </w:r>
      <w:r w:rsidR="00F65BCF" w:rsidRPr="002E0DD9">
        <w:rPr>
          <w:rFonts w:ascii="Garamond" w:hAnsi="Garamond" w:cs="Times New Roman"/>
          <w:i/>
          <w:color w:val="000000" w:themeColor="text1"/>
          <w:sz w:val="26"/>
          <w:szCs w:val="26"/>
        </w:rPr>
        <w:t>«</w:t>
      </w:r>
      <w:r w:rsidR="00315D59" w:rsidRPr="002E0DD9">
        <w:rPr>
          <w:rFonts w:ascii="Garamond" w:hAnsi="Garamond" w:cs="Times New Roman"/>
          <w:i/>
          <w:iCs/>
          <w:color w:val="000000" w:themeColor="text1"/>
          <w:sz w:val="26"/>
          <w:szCs w:val="26"/>
        </w:rPr>
        <w:t>essendo stato espressamente escluso (Adunanza Plenaria n.3 e n.9 del 2015) per gli appalti di lavori che l’omissione del predetto adempimento possa essere sanata con i poteri di soccorso istruttorio e dovendo, quindi, a fortiori, escludersi tale possibilità per le procedure per le quali la norma era chiara fin dal principio</w:t>
      </w:r>
      <w:proofErr w:type="gramStart"/>
      <w:r w:rsidR="001A0896" w:rsidRPr="002E0DD9">
        <w:rPr>
          <w:rFonts w:ascii="Garamond" w:hAnsi="Garamond" w:cs="Times New Roman"/>
          <w:i/>
          <w:color w:val="000000" w:themeColor="text1"/>
          <w:sz w:val="26"/>
          <w:szCs w:val="26"/>
        </w:rPr>
        <w:t>»</w:t>
      </w:r>
      <w:r w:rsidR="00315D59" w:rsidRPr="002E0DD9">
        <w:rPr>
          <w:rFonts w:ascii="Garamond" w:hAnsi="Garamond" w:cs="Times New Roman"/>
          <w:color w:val="000000" w:themeColor="text1"/>
          <w:sz w:val="26"/>
          <w:szCs w:val="26"/>
        </w:rPr>
        <w:t xml:space="preserve"> </w:t>
      </w:r>
      <w:r w:rsidRPr="002E0DD9">
        <w:rPr>
          <w:rStyle w:val="Rimandonotaapidipagina"/>
          <w:rFonts w:ascii="Garamond" w:hAnsi="Garamond" w:cs="Times New Roman"/>
          <w:color w:val="000000" w:themeColor="text1"/>
          <w:sz w:val="26"/>
          <w:szCs w:val="26"/>
        </w:rPr>
        <w:footnoteReference w:id="8"/>
      </w:r>
      <w:r w:rsidR="001A0896" w:rsidRPr="002E0DD9">
        <w:rPr>
          <w:rFonts w:ascii="Garamond" w:hAnsi="Garamond" w:cs="Times New Roman"/>
          <w:color w:val="000000" w:themeColor="text1"/>
          <w:sz w:val="26"/>
          <w:szCs w:val="26"/>
        </w:rPr>
        <w:t>.</w:t>
      </w:r>
      <w:proofErr w:type="gramEnd"/>
    </w:p>
    <w:p w14:paraId="27F23E37" w14:textId="77777777" w:rsidR="00B37E69" w:rsidRPr="002E0DD9" w:rsidRDefault="00B37E69" w:rsidP="00945697">
      <w:pPr>
        <w:spacing w:line="360" w:lineRule="auto"/>
        <w:ind w:right="-7" w:firstLine="709"/>
        <w:contextualSpacing/>
        <w:jc w:val="both"/>
        <w:rPr>
          <w:rFonts w:ascii="Garamond" w:hAnsi="Garamond" w:cs="Times New Roman"/>
          <w:b/>
          <w:i/>
          <w:color w:val="000000" w:themeColor="text1"/>
          <w:sz w:val="26"/>
          <w:szCs w:val="26"/>
        </w:rPr>
      </w:pPr>
    </w:p>
    <w:p w14:paraId="5FEFD0CC" w14:textId="2346A6A6" w:rsidR="00B02CCD" w:rsidRPr="002E0DD9" w:rsidRDefault="00B02CCD" w:rsidP="00945697">
      <w:pPr>
        <w:spacing w:line="360" w:lineRule="auto"/>
        <w:ind w:right="-7" w:firstLine="709"/>
        <w:contextualSpacing/>
        <w:jc w:val="both"/>
        <w:rPr>
          <w:rFonts w:ascii="Garamond" w:hAnsi="Garamond" w:cs="Times New Roman"/>
          <w:b/>
          <w:i/>
          <w:color w:val="000000" w:themeColor="text1"/>
          <w:sz w:val="26"/>
          <w:szCs w:val="26"/>
        </w:rPr>
      </w:pPr>
      <w:r w:rsidRPr="002E0DD9">
        <w:rPr>
          <w:rFonts w:ascii="Garamond" w:hAnsi="Garamond" w:cs="Times New Roman"/>
          <w:b/>
          <w:i/>
          <w:color w:val="000000" w:themeColor="text1"/>
          <w:sz w:val="26"/>
          <w:szCs w:val="26"/>
        </w:rPr>
        <w:t>4. Il parziale</w:t>
      </w:r>
      <w:r w:rsidRPr="002E0DD9">
        <w:rPr>
          <w:rFonts w:ascii="Garamond" w:hAnsi="Garamond" w:cs="Times New Roman"/>
          <w:b/>
          <w:color w:val="000000" w:themeColor="text1"/>
          <w:sz w:val="26"/>
          <w:szCs w:val="26"/>
        </w:rPr>
        <w:t xml:space="preserve"> </w:t>
      </w:r>
      <w:proofErr w:type="spellStart"/>
      <w:r w:rsidRPr="002E0DD9">
        <w:rPr>
          <w:rFonts w:ascii="Garamond" w:hAnsi="Garamond" w:cs="Times New Roman"/>
          <w:b/>
          <w:color w:val="000000" w:themeColor="text1"/>
          <w:sz w:val="26"/>
          <w:szCs w:val="26"/>
        </w:rPr>
        <w:t>révirement</w:t>
      </w:r>
      <w:proofErr w:type="spellEnd"/>
      <w:r w:rsidRPr="002E0DD9">
        <w:rPr>
          <w:rFonts w:ascii="Garamond" w:hAnsi="Garamond" w:cs="Times New Roman"/>
          <w:b/>
          <w:color w:val="000000" w:themeColor="text1"/>
          <w:sz w:val="26"/>
          <w:szCs w:val="26"/>
        </w:rPr>
        <w:t xml:space="preserve"> </w:t>
      </w:r>
      <w:r w:rsidRPr="002E0DD9">
        <w:rPr>
          <w:rFonts w:ascii="Garamond" w:hAnsi="Garamond" w:cs="Times New Roman"/>
          <w:b/>
          <w:i/>
          <w:color w:val="000000" w:themeColor="text1"/>
          <w:sz w:val="26"/>
          <w:szCs w:val="26"/>
        </w:rPr>
        <w:t xml:space="preserve">dell’Adunanza Plenaria </w:t>
      </w:r>
      <w:r w:rsidR="008055D2" w:rsidRPr="002E0DD9">
        <w:rPr>
          <w:rFonts w:ascii="Garamond" w:hAnsi="Garamond" w:cs="Times New Roman"/>
          <w:b/>
          <w:i/>
          <w:color w:val="000000" w:themeColor="text1"/>
          <w:sz w:val="26"/>
          <w:szCs w:val="26"/>
        </w:rPr>
        <w:t>27 luglio 2016, n. 19.</w:t>
      </w:r>
    </w:p>
    <w:p w14:paraId="7E1D95F4" w14:textId="77777777" w:rsidR="002A5B4F" w:rsidRPr="002E0DD9" w:rsidRDefault="002A5B4F" w:rsidP="00945697">
      <w:pPr>
        <w:spacing w:line="360" w:lineRule="auto"/>
        <w:ind w:right="-7" w:firstLine="709"/>
        <w:contextualSpacing/>
        <w:jc w:val="both"/>
        <w:rPr>
          <w:rFonts w:ascii="Garamond" w:hAnsi="Garamond" w:cs="Times New Roman"/>
          <w:color w:val="000000" w:themeColor="text1"/>
          <w:sz w:val="26"/>
          <w:szCs w:val="26"/>
        </w:rPr>
      </w:pPr>
    </w:p>
    <w:p w14:paraId="08492ABD" w14:textId="44C52155" w:rsidR="00B00C3A" w:rsidRPr="002E0DD9" w:rsidRDefault="00B00C3A"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hAnsi="Garamond" w:cs="Times New Roman"/>
          <w:color w:val="000000" w:themeColor="text1"/>
          <w:sz w:val="26"/>
          <w:szCs w:val="26"/>
        </w:rPr>
        <w:t xml:space="preserve">Il </w:t>
      </w:r>
      <w:r w:rsidR="005E5618" w:rsidRPr="002E0DD9">
        <w:rPr>
          <w:rFonts w:ascii="Garamond" w:hAnsi="Garamond" w:cs="Times New Roman"/>
          <w:color w:val="000000" w:themeColor="text1"/>
          <w:sz w:val="26"/>
          <w:szCs w:val="26"/>
        </w:rPr>
        <w:t>Consiglio di Stato è tornato</w:t>
      </w:r>
      <w:r w:rsidRPr="002E0DD9">
        <w:rPr>
          <w:rFonts w:ascii="Garamond" w:hAnsi="Garamond" w:cs="Times New Roman"/>
          <w:color w:val="000000" w:themeColor="text1"/>
          <w:sz w:val="26"/>
          <w:szCs w:val="26"/>
        </w:rPr>
        <w:t>, nella sua più autorevole composizione, ad affrontare la questione dell’</w:t>
      </w:r>
      <w:proofErr w:type="spellStart"/>
      <w:r w:rsidRPr="002E0DD9">
        <w:rPr>
          <w:rFonts w:ascii="Garamond" w:hAnsi="Garamond" w:cs="Times New Roman"/>
          <w:color w:val="000000" w:themeColor="text1"/>
          <w:sz w:val="26"/>
          <w:szCs w:val="26"/>
        </w:rPr>
        <w:t>esperibilità</w:t>
      </w:r>
      <w:proofErr w:type="spellEnd"/>
      <w:r w:rsidRPr="002E0DD9">
        <w:rPr>
          <w:rFonts w:ascii="Garamond" w:hAnsi="Garamond" w:cs="Times New Roman"/>
          <w:color w:val="000000" w:themeColor="text1"/>
          <w:sz w:val="26"/>
          <w:szCs w:val="26"/>
        </w:rPr>
        <w:t xml:space="preserve"> del soccorso istruttorio in caso di mancata indicazione formale degli oneri di sicurezza impliciti, parzialmente rimeditando, alla luce dei principi del diritto euro-unitario, il proprio precedente indirizzo</w:t>
      </w:r>
      <w:r w:rsidR="00025E34" w:rsidRPr="002E0DD9">
        <w:rPr>
          <w:rStyle w:val="Rimandonotaapidipagina"/>
          <w:rFonts w:ascii="Garamond" w:hAnsi="Garamond" w:cs="Times New Roman"/>
          <w:color w:val="000000" w:themeColor="text1"/>
          <w:sz w:val="26"/>
          <w:szCs w:val="26"/>
        </w:rPr>
        <w:footnoteReference w:id="9"/>
      </w:r>
      <w:r w:rsidRPr="002E0DD9">
        <w:rPr>
          <w:rFonts w:ascii="Garamond" w:hAnsi="Garamond" w:cs="Times New Roman"/>
          <w:color w:val="000000" w:themeColor="text1"/>
          <w:sz w:val="26"/>
          <w:szCs w:val="26"/>
        </w:rPr>
        <w:t>.</w:t>
      </w:r>
    </w:p>
    <w:p w14:paraId="79F943F0" w14:textId="01B8B019" w:rsidR="00B00C3A" w:rsidRPr="002E0DD9" w:rsidRDefault="00B00C3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hAnsi="Garamond" w:cs="Times New Roman"/>
          <w:color w:val="000000" w:themeColor="text1"/>
          <w:sz w:val="26"/>
          <w:szCs w:val="26"/>
        </w:rPr>
        <w:t xml:space="preserve">Proprio la compatibilità del precedente orientamento con il diritto dell’Unione europea è oggetto della questione pregiudiziale rimessa alla Corte di Giustizia </w:t>
      </w:r>
      <w:r w:rsidRPr="002E0DD9">
        <w:rPr>
          <w:rFonts w:ascii="Garamond" w:eastAsia="Times New Roman" w:hAnsi="Garamond" w:cs="Times New Roman"/>
          <w:color w:val="000000" w:themeColor="text1"/>
          <w:sz w:val="26"/>
          <w:szCs w:val="26"/>
          <w:shd w:val="clear" w:color="auto" w:fill="FFFFFF"/>
        </w:rPr>
        <w:t xml:space="preserve">ai sensi dell’art. 267 TFUE da numerosi Tribunali amministrativi regionali, rispetto alla quale l’Adunanza Plenaria </w:t>
      </w:r>
      <w:r w:rsidR="00DC768C" w:rsidRPr="002E0DD9">
        <w:rPr>
          <w:rFonts w:ascii="Garamond" w:eastAsia="Times New Roman" w:hAnsi="Garamond" w:cs="Times New Roman"/>
          <w:color w:val="000000" w:themeColor="text1"/>
          <w:sz w:val="26"/>
          <w:szCs w:val="26"/>
          <w:shd w:val="clear" w:color="auto" w:fill="FFFFFF"/>
        </w:rPr>
        <w:t xml:space="preserve">27 luglio 2016, n. 19, </w:t>
      </w:r>
      <w:r w:rsidR="005E5618" w:rsidRPr="002E0DD9">
        <w:rPr>
          <w:rFonts w:ascii="Garamond" w:eastAsia="Times New Roman" w:hAnsi="Garamond" w:cs="Times New Roman"/>
          <w:color w:val="000000" w:themeColor="text1"/>
          <w:sz w:val="26"/>
          <w:szCs w:val="26"/>
          <w:shd w:val="clear" w:color="auto" w:fill="FFFFFF"/>
        </w:rPr>
        <w:t>ha</w:t>
      </w:r>
      <w:r w:rsidRPr="002E0DD9">
        <w:rPr>
          <w:rFonts w:ascii="Garamond" w:eastAsia="Times New Roman" w:hAnsi="Garamond" w:cs="Times New Roman"/>
          <w:color w:val="000000" w:themeColor="text1"/>
          <w:sz w:val="26"/>
          <w:szCs w:val="26"/>
          <w:shd w:val="clear" w:color="auto" w:fill="FFFFFF"/>
        </w:rPr>
        <w:t xml:space="preserve"> comunque </w:t>
      </w:r>
      <w:r w:rsidR="005E5618" w:rsidRPr="002E0DD9">
        <w:rPr>
          <w:rFonts w:ascii="Garamond" w:eastAsia="Times New Roman" w:hAnsi="Garamond" w:cs="Times New Roman"/>
          <w:color w:val="000000" w:themeColor="text1"/>
          <w:sz w:val="26"/>
          <w:szCs w:val="26"/>
          <w:shd w:val="clear" w:color="auto" w:fill="FFFFFF"/>
        </w:rPr>
        <w:t xml:space="preserve">ritenuto </w:t>
      </w:r>
      <w:r w:rsidRPr="002E0DD9">
        <w:rPr>
          <w:rFonts w:ascii="Garamond" w:eastAsia="Times New Roman" w:hAnsi="Garamond" w:cs="Times New Roman"/>
          <w:color w:val="000000" w:themeColor="text1"/>
          <w:sz w:val="26"/>
          <w:szCs w:val="26"/>
          <w:shd w:val="clear" w:color="auto" w:fill="FFFFFF"/>
        </w:rPr>
        <w:t>opportuno pronunciarsi, dando seguito ai prospettati dubbi di corretta interpretazione del diritto dell’Unione</w:t>
      </w:r>
      <w:r w:rsidR="00447D99" w:rsidRPr="002E0DD9">
        <w:rPr>
          <w:rStyle w:val="Rimandonotaapidipagina"/>
          <w:rFonts w:ascii="Garamond" w:eastAsia="Times New Roman" w:hAnsi="Garamond" w:cs="Times New Roman"/>
          <w:color w:val="000000" w:themeColor="text1"/>
          <w:sz w:val="26"/>
          <w:szCs w:val="26"/>
          <w:shd w:val="clear" w:color="auto" w:fill="FFFFFF"/>
        </w:rPr>
        <w:footnoteReference w:id="10"/>
      </w:r>
      <w:r w:rsidRPr="002E0DD9">
        <w:rPr>
          <w:rFonts w:ascii="Garamond" w:eastAsia="Times New Roman" w:hAnsi="Garamond" w:cs="Times New Roman"/>
          <w:color w:val="000000" w:themeColor="text1"/>
          <w:sz w:val="26"/>
          <w:szCs w:val="26"/>
          <w:shd w:val="clear" w:color="auto" w:fill="FFFFFF"/>
        </w:rPr>
        <w:t>.</w:t>
      </w:r>
    </w:p>
    <w:p w14:paraId="6AB03FA0" w14:textId="2F5815DA" w:rsidR="00B00C3A" w:rsidRPr="002E0DD9" w:rsidRDefault="00B00C3A" w:rsidP="00945697">
      <w:pPr>
        <w:spacing w:line="360" w:lineRule="auto"/>
        <w:ind w:right="-7" w:firstLine="709"/>
        <w:contextualSpacing/>
        <w:jc w:val="both"/>
        <w:rPr>
          <w:rFonts w:ascii="Garamond" w:eastAsia="Times New Roman" w:hAnsi="Garamond" w:cs="Times New Roman"/>
          <w:color w:val="000000" w:themeColor="text1"/>
          <w:sz w:val="26"/>
          <w:szCs w:val="26"/>
        </w:rPr>
      </w:pPr>
      <w:r w:rsidRPr="002E0DD9">
        <w:rPr>
          <w:rFonts w:ascii="Garamond" w:eastAsia="Times New Roman" w:hAnsi="Garamond" w:cs="Times New Roman"/>
          <w:color w:val="000000" w:themeColor="text1"/>
          <w:sz w:val="26"/>
          <w:szCs w:val="26"/>
          <w:shd w:val="clear" w:color="auto" w:fill="FFFFFF"/>
        </w:rPr>
        <w:t>La questione problematica concerne</w:t>
      </w:r>
      <w:r w:rsidR="005E5618" w:rsidRPr="002E0DD9">
        <w:rPr>
          <w:rFonts w:ascii="Garamond" w:eastAsia="Times New Roman" w:hAnsi="Garamond" w:cs="Times New Roman"/>
          <w:color w:val="000000" w:themeColor="text1"/>
          <w:sz w:val="26"/>
          <w:szCs w:val="26"/>
          <w:shd w:val="clear" w:color="auto" w:fill="FFFFFF"/>
        </w:rPr>
        <w:t>, ancora una volta,</w:t>
      </w:r>
      <w:r w:rsidRPr="002E0DD9">
        <w:rPr>
          <w:rFonts w:ascii="Garamond" w:eastAsia="Times New Roman" w:hAnsi="Garamond" w:cs="Times New Roman"/>
          <w:color w:val="000000" w:themeColor="text1"/>
          <w:sz w:val="26"/>
          <w:szCs w:val="26"/>
          <w:shd w:val="clear" w:color="auto" w:fill="FFFFFF"/>
        </w:rPr>
        <w:t xml:space="preserve"> le conseguenze della mancata indicazione separata degli oneri di sicurezza, pur considerati sostanzialmente nella formulazione dell’offerta economica, allorché la </w:t>
      </w:r>
      <w:proofErr w:type="spellStart"/>
      <w:r w:rsidRPr="002E0DD9">
        <w:rPr>
          <w:rFonts w:ascii="Garamond" w:eastAsia="Times New Roman" w:hAnsi="Garamond" w:cs="Times New Roman"/>
          <w:i/>
          <w:color w:val="000000" w:themeColor="text1"/>
          <w:sz w:val="26"/>
          <w:szCs w:val="26"/>
          <w:shd w:val="clear" w:color="auto" w:fill="FFFFFF"/>
        </w:rPr>
        <w:t>lex</w:t>
      </w:r>
      <w:proofErr w:type="spellEnd"/>
      <w:r w:rsidRPr="002E0DD9">
        <w:rPr>
          <w:rFonts w:ascii="Garamond" w:eastAsia="Times New Roman" w:hAnsi="Garamond" w:cs="Times New Roman"/>
          <w:i/>
          <w:color w:val="000000" w:themeColor="text1"/>
          <w:sz w:val="26"/>
          <w:szCs w:val="26"/>
          <w:shd w:val="clear" w:color="auto" w:fill="FFFFFF"/>
        </w:rPr>
        <w:t xml:space="preserve"> </w:t>
      </w:r>
      <w:proofErr w:type="spellStart"/>
      <w:r w:rsidRPr="002E0DD9">
        <w:rPr>
          <w:rFonts w:ascii="Garamond" w:eastAsia="Times New Roman" w:hAnsi="Garamond" w:cs="Times New Roman"/>
          <w:i/>
          <w:color w:val="000000" w:themeColor="text1"/>
          <w:sz w:val="26"/>
          <w:szCs w:val="26"/>
          <w:shd w:val="clear" w:color="auto" w:fill="FFFFFF"/>
        </w:rPr>
        <w:t>specialis</w:t>
      </w:r>
      <w:proofErr w:type="spellEnd"/>
      <w:r w:rsidRPr="002E0DD9">
        <w:rPr>
          <w:rFonts w:ascii="Garamond" w:eastAsia="Times New Roman" w:hAnsi="Garamond" w:cs="Times New Roman"/>
          <w:i/>
          <w:color w:val="000000" w:themeColor="text1"/>
          <w:sz w:val="26"/>
          <w:szCs w:val="26"/>
          <w:shd w:val="clear" w:color="auto" w:fill="FFFFFF"/>
        </w:rPr>
        <w:t xml:space="preserve"> </w:t>
      </w:r>
      <w:r w:rsidRPr="002E0DD9">
        <w:rPr>
          <w:rFonts w:ascii="Garamond" w:eastAsia="Times New Roman" w:hAnsi="Garamond" w:cs="Times New Roman"/>
          <w:color w:val="000000" w:themeColor="text1"/>
          <w:sz w:val="26"/>
          <w:szCs w:val="26"/>
          <w:shd w:val="clear" w:color="auto" w:fill="FFFFFF"/>
        </w:rPr>
        <w:t>di gara nulla disponga in merito a tale specifica indicazione.</w:t>
      </w:r>
    </w:p>
    <w:p w14:paraId="0685DDA1" w14:textId="0D25B6EB" w:rsidR="00B00C3A" w:rsidRPr="002E0DD9" w:rsidRDefault="00B00C3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L’Adunanza Plenaria, con </w:t>
      </w:r>
      <w:r w:rsidR="00F37BC8" w:rsidRPr="002E0DD9">
        <w:rPr>
          <w:rFonts w:ascii="Garamond" w:eastAsia="Times New Roman" w:hAnsi="Garamond" w:cs="Times New Roman"/>
          <w:color w:val="000000" w:themeColor="text1"/>
          <w:sz w:val="26"/>
          <w:szCs w:val="26"/>
          <w:shd w:val="clear" w:color="auto" w:fill="FFFFFF"/>
        </w:rPr>
        <w:t xml:space="preserve">l’esaminata </w:t>
      </w:r>
      <w:r w:rsidRPr="002E0DD9">
        <w:rPr>
          <w:rFonts w:ascii="Garamond" w:eastAsia="Times New Roman" w:hAnsi="Garamond" w:cs="Times New Roman"/>
          <w:color w:val="000000" w:themeColor="text1"/>
          <w:sz w:val="26"/>
          <w:szCs w:val="26"/>
          <w:shd w:val="clear" w:color="auto" w:fill="FFFFFF"/>
        </w:rPr>
        <w:t xml:space="preserve">sentenza n. 3 del 2015, ha statuito, peraltro, che l’indicazione degli oneri di sicurezza a tutela dei lavoratori costituisce un elemento essenziale dell’offerta, tale da condurre all’esclusione in caso di omissione. Se n’è esclusa, </w:t>
      </w:r>
      <w:r w:rsidR="00F37BC8" w:rsidRPr="002E0DD9">
        <w:rPr>
          <w:rFonts w:ascii="Garamond" w:eastAsia="Times New Roman" w:hAnsi="Garamond" w:cs="Times New Roman"/>
          <w:color w:val="000000" w:themeColor="text1"/>
          <w:sz w:val="26"/>
          <w:szCs w:val="26"/>
          <w:shd w:val="clear" w:color="auto" w:fill="FFFFFF"/>
        </w:rPr>
        <w:t>come è stato detto</w:t>
      </w:r>
      <w:r w:rsidRPr="002E0DD9">
        <w:rPr>
          <w:rFonts w:ascii="Garamond" w:eastAsia="Times New Roman" w:hAnsi="Garamond" w:cs="Times New Roman"/>
          <w:color w:val="000000" w:themeColor="text1"/>
          <w:sz w:val="26"/>
          <w:szCs w:val="26"/>
          <w:shd w:val="clear" w:color="auto" w:fill="FFFFFF"/>
        </w:rPr>
        <w:t>, la sanabilità per mezzo del soccorso istruttorio sul rilievo che essa si risolverebbe in un’inammissibile integrazione postuma dell’offerta e non già in una mera rettificazione o completamento di dichiarazioni già fornite.</w:t>
      </w:r>
    </w:p>
    <w:p w14:paraId="589430AB" w14:textId="77777777" w:rsidR="00B00C3A" w:rsidRPr="002E0DD9" w:rsidRDefault="00B00C3A" w:rsidP="00945697">
      <w:pPr>
        <w:pStyle w:val="NormaleWeb"/>
        <w:shd w:val="clear" w:color="auto" w:fill="FFFFFF"/>
        <w:spacing w:before="0" w:beforeAutospacing="0" w:after="0" w:afterAutospacing="0" w:line="360" w:lineRule="auto"/>
        <w:ind w:right="-7" w:firstLine="709"/>
        <w:contextualSpacing/>
        <w:jc w:val="both"/>
        <w:rPr>
          <w:rFonts w:ascii="Garamond" w:hAnsi="Garamond"/>
          <w:color w:val="000000" w:themeColor="text1"/>
          <w:sz w:val="26"/>
          <w:szCs w:val="26"/>
        </w:rPr>
      </w:pPr>
      <w:r w:rsidRPr="002E0DD9">
        <w:rPr>
          <w:rFonts w:ascii="Garamond" w:hAnsi="Garamond"/>
          <w:color w:val="000000" w:themeColor="text1"/>
          <w:sz w:val="26"/>
          <w:szCs w:val="26"/>
        </w:rPr>
        <w:t xml:space="preserve">Tale principio di diritto è stato rafforzato dalla successiva sentenza n. 9 del 2015, con la quale l’Adunanza Plenaria ha escluso la sussistenza dei presupposti per applicare il principio del c.d. </w:t>
      </w:r>
      <w:proofErr w:type="spellStart"/>
      <w:r w:rsidRPr="002E0DD9">
        <w:rPr>
          <w:rFonts w:ascii="Garamond" w:hAnsi="Garamond"/>
          <w:i/>
          <w:color w:val="000000" w:themeColor="text1"/>
          <w:sz w:val="26"/>
          <w:szCs w:val="26"/>
        </w:rPr>
        <w:t>prospective</w:t>
      </w:r>
      <w:proofErr w:type="spellEnd"/>
      <w:r w:rsidRPr="002E0DD9">
        <w:rPr>
          <w:rFonts w:ascii="Garamond" w:hAnsi="Garamond"/>
          <w:i/>
          <w:color w:val="000000" w:themeColor="text1"/>
          <w:sz w:val="26"/>
          <w:szCs w:val="26"/>
        </w:rPr>
        <w:t xml:space="preserve"> </w:t>
      </w:r>
      <w:proofErr w:type="spellStart"/>
      <w:r w:rsidRPr="002E0DD9">
        <w:rPr>
          <w:rFonts w:ascii="Garamond" w:hAnsi="Garamond"/>
          <w:i/>
          <w:color w:val="000000" w:themeColor="text1"/>
          <w:sz w:val="26"/>
          <w:szCs w:val="26"/>
        </w:rPr>
        <w:t>overruling</w:t>
      </w:r>
      <w:proofErr w:type="spellEnd"/>
      <w:r w:rsidRPr="002E0DD9">
        <w:rPr>
          <w:rFonts w:ascii="Garamond" w:hAnsi="Garamond"/>
          <w:i/>
          <w:color w:val="000000" w:themeColor="text1"/>
          <w:sz w:val="26"/>
          <w:szCs w:val="26"/>
        </w:rPr>
        <w:t xml:space="preserve"> </w:t>
      </w:r>
      <w:r w:rsidRPr="002E0DD9">
        <w:rPr>
          <w:rFonts w:ascii="Garamond" w:hAnsi="Garamond"/>
          <w:color w:val="000000" w:themeColor="text1"/>
          <w:sz w:val="26"/>
          <w:szCs w:val="26"/>
        </w:rPr>
        <w:t>in forza del quale, ricorrendo alcune condizioni, all’intervento nomofilattico si può attribuire carattere innovativo, con conseguente esclusione della sua portata retroattiva.</w:t>
      </w:r>
    </w:p>
    <w:p w14:paraId="481BFF64" w14:textId="1DA868BE" w:rsidR="00B00C3A" w:rsidRPr="002E0DD9" w:rsidRDefault="00B00C3A" w:rsidP="00945697">
      <w:pPr>
        <w:spacing w:line="360" w:lineRule="auto"/>
        <w:ind w:right="-7" w:firstLine="709"/>
        <w:contextualSpacing/>
        <w:jc w:val="both"/>
        <w:rPr>
          <w:rFonts w:ascii="Garamond" w:eastAsia="Times New Roman" w:hAnsi="Garamond" w:cs="Times New Roman"/>
          <w:i/>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L’Adunanza Plenaria n. 19 del 2016, </w:t>
      </w:r>
      <w:r w:rsidR="00F37BC8" w:rsidRPr="002E0DD9">
        <w:rPr>
          <w:rFonts w:ascii="Garamond" w:eastAsia="Times New Roman" w:hAnsi="Garamond" w:cs="Times New Roman"/>
          <w:color w:val="000000" w:themeColor="text1"/>
          <w:sz w:val="26"/>
          <w:szCs w:val="26"/>
          <w:shd w:val="clear" w:color="auto" w:fill="FFFFFF"/>
        </w:rPr>
        <w:t>ha rilevato</w:t>
      </w:r>
      <w:r w:rsidRPr="002E0DD9">
        <w:rPr>
          <w:rFonts w:ascii="Garamond" w:eastAsia="Times New Roman" w:hAnsi="Garamond" w:cs="Times New Roman"/>
          <w:color w:val="000000" w:themeColor="text1"/>
          <w:sz w:val="26"/>
          <w:szCs w:val="26"/>
          <w:shd w:val="clear" w:color="auto" w:fill="FFFFFF"/>
        </w:rPr>
        <w:t xml:space="preserve">, peraltro, come </w:t>
      </w:r>
      <w:r w:rsidR="00F65BCF" w:rsidRPr="002E0DD9">
        <w:rPr>
          <w:rFonts w:ascii="Garamond" w:hAnsi="Garamond" w:cs="Times New Roman"/>
          <w:i/>
          <w:color w:val="000000" w:themeColor="text1"/>
          <w:sz w:val="26"/>
          <w:szCs w:val="26"/>
        </w:rPr>
        <w:t>«</w:t>
      </w:r>
      <w:r w:rsidRPr="002E0DD9">
        <w:rPr>
          <w:rFonts w:ascii="Garamond" w:eastAsia="Times New Roman" w:hAnsi="Garamond" w:cs="Times New Roman"/>
          <w:i/>
          <w:color w:val="000000" w:themeColor="text1"/>
          <w:sz w:val="26"/>
          <w:szCs w:val="26"/>
          <w:shd w:val="clear" w:color="auto" w:fill="FFFFFF"/>
        </w:rPr>
        <w:t>all’esclusione dell’offerta che abbia omesso di indicare gli oneri di sicurezza aziendale pure nell’ipotesi in cui i documenti di gara non prevedano espressamente tale obbligo, si arriva, infatti, facendo applicazione, da un lato, del principio che, interpretando in maniera sostanzialistica la regola della tassatività delle cause di esclusione, predica l’esistenza di una causa di esclusione implicita in ogni norma imperativa che preveda un obbligo o un divieto (nel caso in cui l’obbligo non venga adempiuto o il divieto venga trasgredito), e, dall’altro, del principio di etero-integrazione del bando ad opera delle norme imperative di legge</w:t>
      </w:r>
      <w:r w:rsidR="001A0896" w:rsidRPr="002E0DD9">
        <w:rPr>
          <w:rFonts w:ascii="Garamond" w:hAnsi="Garamond" w:cs="Times New Roman"/>
          <w:i/>
          <w:color w:val="000000" w:themeColor="text1"/>
          <w:sz w:val="26"/>
          <w:szCs w:val="26"/>
        </w:rPr>
        <w:t>»</w:t>
      </w:r>
      <w:r w:rsidRPr="002E0DD9">
        <w:rPr>
          <w:rFonts w:ascii="Garamond" w:eastAsia="Times New Roman" w:hAnsi="Garamond" w:cs="Times New Roman"/>
          <w:i/>
          <w:color w:val="000000" w:themeColor="text1"/>
          <w:sz w:val="26"/>
          <w:szCs w:val="26"/>
          <w:shd w:val="clear" w:color="auto" w:fill="FFFFFF"/>
        </w:rPr>
        <w:t>.</w:t>
      </w:r>
    </w:p>
    <w:p w14:paraId="75216F0D" w14:textId="31E5CDDD" w:rsidR="00B00C3A" w:rsidRPr="002E0DD9" w:rsidRDefault="00F37BC8" w:rsidP="00945697">
      <w:pPr>
        <w:pStyle w:val="NormaleWeb"/>
        <w:shd w:val="clear" w:color="auto" w:fill="FFFFFF"/>
        <w:spacing w:before="0" w:beforeAutospacing="0" w:after="0" w:afterAutospacing="0" w:line="360" w:lineRule="auto"/>
        <w:ind w:right="-7" w:firstLine="709"/>
        <w:contextualSpacing/>
        <w:jc w:val="both"/>
        <w:rPr>
          <w:rFonts w:ascii="Garamond" w:hAnsi="Garamond"/>
          <w:color w:val="000000" w:themeColor="text1"/>
          <w:sz w:val="26"/>
          <w:szCs w:val="26"/>
        </w:rPr>
      </w:pPr>
      <w:r w:rsidRPr="002E0DD9">
        <w:rPr>
          <w:rFonts w:ascii="Garamond" w:hAnsi="Garamond"/>
          <w:color w:val="000000" w:themeColor="text1"/>
          <w:sz w:val="26"/>
          <w:szCs w:val="26"/>
        </w:rPr>
        <w:t xml:space="preserve">La recente </w:t>
      </w:r>
      <w:r w:rsidR="00B00C3A" w:rsidRPr="002E0DD9">
        <w:rPr>
          <w:rFonts w:ascii="Garamond" w:hAnsi="Garamond"/>
          <w:color w:val="000000" w:themeColor="text1"/>
          <w:sz w:val="26"/>
          <w:szCs w:val="26"/>
        </w:rPr>
        <w:t xml:space="preserve">Adunanza Plenaria </w:t>
      </w:r>
      <w:r w:rsidRPr="002E0DD9">
        <w:rPr>
          <w:rFonts w:ascii="Garamond" w:hAnsi="Garamond"/>
          <w:color w:val="000000" w:themeColor="text1"/>
          <w:sz w:val="26"/>
          <w:szCs w:val="26"/>
        </w:rPr>
        <w:t>n. 19 del 2016 ha ritenuto</w:t>
      </w:r>
      <w:r w:rsidR="00B00C3A" w:rsidRPr="002E0DD9">
        <w:rPr>
          <w:rFonts w:ascii="Garamond" w:hAnsi="Garamond"/>
          <w:color w:val="000000" w:themeColor="text1"/>
          <w:sz w:val="26"/>
          <w:szCs w:val="26"/>
        </w:rPr>
        <w:t xml:space="preserve"> che tale esito ermeneutico debba essere “mitigato”, onde evitare che l’automatismo dell’effetto escludente si ponga in contrasto con i principi di certezza del diritto, tutela dell’affidamento, nonché con quelli, che assumono particolare rilievo nell’ambito delle procedure di evidenza pubblica, di trasparenza, proporzionalità e </w:t>
      </w:r>
      <w:r w:rsidR="00B00C3A" w:rsidRPr="002E0DD9">
        <w:rPr>
          <w:rFonts w:ascii="Garamond" w:hAnsi="Garamond"/>
          <w:i/>
          <w:color w:val="000000" w:themeColor="text1"/>
          <w:sz w:val="26"/>
          <w:szCs w:val="26"/>
        </w:rPr>
        <w:t>par condicio</w:t>
      </w:r>
      <w:r w:rsidR="00B00C3A" w:rsidRPr="002E0DD9">
        <w:rPr>
          <w:rFonts w:ascii="Garamond" w:hAnsi="Garamond"/>
          <w:color w:val="000000" w:themeColor="text1"/>
          <w:sz w:val="26"/>
          <w:szCs w:val="26"/>
        </w:rPr>
        <w:t>.</w:t>
      </w:r>
    </w:p>
    <w:p w14:paraId="1EAE29C1" w14:textId="77777777" w:rsidR="00B00C3A" w:rsidRPr="002E0DD9" w:rsidRDefault="00B00C3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hAnsi="Garamond"/>
          <w:color w:val="000000" w:themeColor="text1"/>
          <w:sz w:val="26"/>
          <w:szCs w:val="26"/>
        </w:rPr>
        <w:t>Argomenti decisivi sono tratti, peraltro, dalla</w:t>
      </w:r>
      <w:r w:rsidRPr="002E0DD9">
        <w:rPr>
          <w:rFonts w:ascii="Garamond" w:hAnsi="Garamond" w:cs="Times New Roman"/>
          <w:color w:val="000000" w:themeColor="text1"/>
          <w:sz w:val="26"/>
          <w:szCs w:val="26"/>
        </w:rPr>
        <w:t xml:space="preserve"> Corte di giustizia</w:t>
      </w:r>
      <w:r w:rsidRPr="002E0DD9">
        <w:rPr>
          <w:rFonts w:ascii="Garamond" w:hAnsi="Garamond"/>
          <w:color w:val="000000" w:themeColor="text1"/>
          <w:sz w:val="26"/>
          <w:szCs w:val="26"/>
        </w:rPr>
        <w:t xml:space="preserve"> dell’Unione europea</w:t>
      </w:r>
      <w:r w:rsidRPr="002E0DD9">
        <w:rPr>
          <w:rFonts w:ascii="Garamond" w:hAnsi="Garamond" w:cs="Times New Roman"/>
          <w:color w:val="000000" w:themeColor="text1"/>
          <w:sz w:val="26"/>
          <w:szCs w:val="26"/>
        </w:rPr>
        <w:t xml:space="preserve"> (Sesta Sezione, sentenza 2 giugno 2016, C-27/15, Pippo Pizzo), che ha statuito come il </w:t>
      </w:r>
      <w:r w:rsidRPr="002E0DD9">
        <w:rPr>
          <w:rFonts w:ascii="Garamond" w:eastAsia="Times New Roman" w:hAnsi="Garamond" w:cs="Times New Roman"/>
          <w:color w:val="000000" w:themeColor="text1"/>
          <w:sz w:val="26"/>
          <w:szCs w:val="26"/>
          <w:shd w:val="clear" w:color="auto" w:fill="FFFFFF"/>
        </w:rPr>
        <w:t>principio di parità di trattamento impone che tutti gli offerenti dispongano delle stesse possibilità nella formulazione delle loro offerte e implica, quindi, che tali offerte siano soggette alle medesime condizioni per tutti gli offerenti. Inoltre, l’obbligo di trasparenza, che ne costituisce il corollario, ha come scopo quello di eliminare i rischi di favoritismo e di arbitrio da parte dell’Amministrazione aggiudicatrice. Tale obbligo implica che tutte le condizioni e le modalità della procedura di aggiudicazione siano formulate in maniera chiara, precisa e univoca nel bando di gara o nel capitolato d’oneri, così da permettere, da un lato, a tutti gli offerenti ragionevolmente informati e normalmente diligenti di comprenderne l’esatta portata e d’interpretarle allo stesso modo.</w:t>
      </w:r>
    </w:p>
    <w:p w14:paraId="1A849779" w14:textId="4E2B26D0" w:rsidR="00B00C3A" w:rsidRPr="002E0DD9" w:rsidRDefault="00B00C3A" w:rsidP="00945697">
      <w:pPr>
        <w:spacing w:line="360" w:lineRule="auto"/>
        <w:ind w:right="-7" w:firstLine="709"/>
        <w:contextualSpacing/>
        <w:jc w:val="both"/>
        <w:rPr>
          <w:rFonts w:ascii="Garamond" w:eastAsia="Times New Roman" w:hAnsi="Garamond" w:cs="Times New Roman"/>
          <w:color w:val="000000" w:themeColor="text1"/>
          <w:sz w:val="26"/>
          <w:szCs w:val="26"/>
        </w:rPr>
      </w:pPr>
      <w:r w:rsidRPr="002E0DD9">
        <w:rPr>
          <w:rFonts w:ascii="Garamond" w:eastAsia="Times New Roman" w:hAnsi="Garamond" w:cs="Times New Roman"/>
          <w:color w:val="000000" w:themeColor="text1"/>
          <w:sz w:val="26"/>
          <w:szCs w:val="26"/>
          <w:shd w:val="clear" w:color="auto" w:fill="FFFFFF"/>
        </w:rPr>
        <w:t xml:space="preserve">Il contrasto con i principi euro-unitari è vieppiù evidente atteso che, fino all’entrata in vigore del decreto legislativo 18 aprile 2016, n. 50 (che ora risolve la questione prevedendo espressamente, all’art. 95, comma 10, l’obbligo di indicare gli oneri di sicurezza: </w:t>
      </w:r>
      <w:r w:rsidR="00F65BCF" w:rsidRPr="002E0DD9">
        <w:rPr>
          <w:rFonts w:ascii="Garamond" w:hAnsi="Garamond" w:cs="Times New Roman"/>
          <w:i/>
          <w:color w:val="000000" w:themeColor="text1"/>
          <w:sz w:val="26"/>
          <w:szCs w:val="26"/>
        </w:rPr>
        <w:t>«</w:t>
      </w:r>
      <w:r w:rsidRPr="002E0DD9">
        <w:rPr>
          <w:rFonts w:ascii="Garamond" w:eastAsia="Times New Roman" w:hAnsi="Garamond" w:cs="Times New Roman"/>
          <w:i/>
          <w:color w:val="000000" w:themeColor="text1"/>
          <w:sz w:val="26"/>
          <w:szCs w:val="26"/>
          <w:shd w:val="clear" w:color="auto" w:fill="FFFFFF"/>
        </w:rPr>
        <w:t>Nell’offerta economica l’operatore deve indicare i propri costi aziendali concernenti l’adempimento delle disposizioni in materia di salute e sicurezza sui luoghi di lavoro</w:t>
      </w:r>
      <w:r w:rsidR="001A0896" w:rsidRPr="002E0DD9">
        <w:rPr>
          <w:rFonts w:ascii="Garamond" w:hAnsi="Garamond" w:cs="Times New Roman"/>
          <w:i/>
          <w:color w:val="000000" w:themeColor="text1"/>
          <w:sz w:val="26"/>
          <w:szCs w:val="26"/>
        </w:rPr>
        <w:t>»</w:t>
      </w:r>
      <w:r w:rsidRPr="002E0DD9">
        <w:rPr>
          <w:rFonts w:ascii="Garamond" w:eastAsia="Times New Roman" w:hAnsi="Garamond" w:cs="Times New Roman"/>
          <w:color w:val="000000" w:themeColor="text1"/>
          <w:sz w:val="26"/>
          <w:szCs w:val="26"/>
          <w:shd w:val="clear" w:color="auto" w:fill="FFFFFF"/>
        </w:rPr>
        <w:t>), nell’ordinamento nazionale mancava una norma che, in maniera chiara ed univoca, prescrivesse espressamente la doverosità della dichiarazione relativa agli oneri di sicurezza. Tale obbligo era frutto di un’interpretazione giurisprudenziale del diritto nazionale, interpretazione consolidatasi per effetto della sentenza dell’Adunanza plenaria n. 3 del 2015.</w:t>
      </w:r>
    </w:p>
    <w:p w14:paraId="6BB3C5EF" w14:textId="6941A4D1" w:rsidR="00B00C3A" w:rsidRPr="002E0DD9" w:rsidRDefault="00B00C3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Con sentenza n. 19 del 2016, pertant</w:t>
      </w:r>
      <w:r w:rsidR="00CF1761" w:rsidRPr="002E0DD9">
        <w:rPr>
          <w:rFonts w:ascii="Garamond" w:eastAsia="Times New Roman" w:hAnsi="Garamond" w:cs="Times New Roman"/>
          <w:color w:val="000000" w:themeColor="text1"/>
          <w:sz w:val="26"/>
          <w:szCs w:val="26"/>
          <w:shd w:val="clear" w:color="auto" w:fill="FFFFFF"/>
        </w:rPr>
        <w:t>o, l’Adunanza Plenaria ha statuito</w:t>
      </w:r>
      <w:r w:rsidRPr="002E0DD9">
        <w:rPr>
          <w:rFonts w:ascii="Garamond" w:eastAsia="Times New Roman" w:hAnsi="Garamond" w:cs="Times New Roman"/>
          <w:color w:val="000000" w:themeColor="text1"/>
          <w:sz w:val="26"/>
          <w:szCs w:val="26"/>
          <w:shd w:val="clear" w:color="auto" w:fill="FFFFFF"/>
        </w:rPr>
        <w:t xml:space="preserve"> che per le gare bandite anteriormente all’entrata in vigore del decreto legislativo 18 aprile 2016, n. 50, nelle ipotesi in cui l’obbligo di indicazione separata dei costi di sicurezza aziendale non sia stato specificato dalla legge di gara, e non sia in contestazione che dal punto di vista sostanziale l’offerta rispetti i costi minimi di sicurezza aziendale, l’esclusione del concorrente non può essere disposta se non dopo che lo stesso sia stato invitato a regolarizzare l’offerta dalla stazione appaltante nel doveroso esercizio dei poteri di soccorso istruttorio”.</w:t>
      </w:r>
    </w:p>
    <w:p w14:paraId="6ABD5EE1" w14:textId="29AAE0E3" w:rsidR="00B00C3A" w:rsidRPr="002E0DD9" w:rsidRDefault="00B00C3A" w:rsidP="00945697">
      <w:pPr>
        <w:spacing w:line="360" w:lineRule="auto"/>
        <w:ind w:right="-7" w:firstLine="709"/>
        <w:contextualSpacing/>
        <w:jc w:val="both"/>
        <w:rPr>
          <w:rFonts w:ascii="Garamond" w:eastAsia="Times New Roman" w:hAnsi="Garamond" w:cs="Times New Roman"/>
          <w:color w:val="000000" w:themeColor="text1"/>
          <w:sz w:val="26"/>
          <w:szCs w:val="26"/>
        </w:rPr>
      </w:pPr>
      <w:r w:rsidRPr="002E0DD9">
        <w:rPr>
          <w:rFonts w:ascii="Garamond" w:eastAsia="Times New Roman" w:hAnsi="Garamond" w:cs="Times New Roman"/>
          <w:color w:val="000000" w:themeColor="text1"/>
          <w:sz w:val="26"/>
          <w:szCs w:val="26"/>
          <w:shd w:val="clear" w:color="auto" w:fill="FFFFFF"/>
        </w:rPr>
        <w:t xml:space="preserve">L’Adunanza Plenaria peraltro prescinde, attesa la non rilevanza nel caso oggetto di decisione </w:t>
      </w:r>
      <w:proofErr w:type="spellStart"/>
      <w:r w:rsidRPr="002E0DD9">
        <w:rPr>
          <w:rFonts w:ascii="Garamond" w:eastAsia="Times New Roman" w:hAnsi="Garamond" w:cs="Times New Roman"/>
          <w:i/>
          <w:color w:val="000000" w:themeColor="text1"/>
          <w:sz w:val="26"/>
          <w:szCs w:val="26"/>
          <w:shd w:val="clear" w:color="auto" w:fill="FFFFFF"/>
        </w:rPr>
        <w:t>ratione</w:t>
      </w:r>
      <w:proofErr w:type="spellEnd"/>
      <w:r w:rsidRPr="002E0DD9">
        <w:rPr>
          <w:rFonts w:ascii="Garamond" w:eastAsia="Times New Roman" w:hAnsi="Garamond" w:cs="Times New Roman"/>
          <w:i/>
          <w:color w:val="000000" w:themeColor="text1"/>
          <w:sz w:val="26"/>
          <w:szCs w:val="26"/>
          <w:shd w:val="clear" w:color="auto" w:fill="FFFFFF"/>
        </w:rPr>
        <w:t xml:space="preserve"> </w:t>
      </w:r>
      <w:proofErr w:type="spellStart"/>
      <w:r w:rsidRPr="002E0DD9">
        <w:rPr>
          <w:rFonts w:ascii="Garamond" w:eastAsia="Times New Roman" w:hAnsi="Garamond" w:cs="Times New Roman"/>
          <w:i/>
          <w:color w:val="000000" w:themeColor="text1"/>
          <w:sz w:val="26"/>
          <w:szCs w:val="26"/>
          <w:shd w:val="clear" w:color="auto" w:fill="FFFFFF"/>
        </w:rPr>
        <w:t>temporis</w:t>
      </w:r>
      <w:proofErr w:type="spellEnd"/>
      <w:r w:rsidRPr="002E0DD9">
        <w:rPr>
          <w:rFonts w:ascii="Garamond" w:eastAsia="Times New Roman" w:hAnsi="Garamond" w:cs="Times New Roman"/>
          <w:color w:val="000000" w:themeColor="text1"/>
          <w:sz w:val="26"/>
          <w:szCs w:val="26"/>
          <w:shd w:val="clear" w:color="auto" w:fill="FFFFFF"/>
        </w:rPr>
        <w:t>, dalla centrale questione se l’ampia formulazione dell’art. 80, comma 9, del d.lgs. n. 50 del 2016 (che ammettere il soccorso istruttorio con riferimento a “qualsiasi elemento formale della domanda”) consenta, comunque,</w:t>
      </w:r>
      <w:r w:rsidR="001131EE" w:rsidRPr="002E0DD9">
        <w:rPr>
          <w:rFonts w:ascii="Garamond" w:eastAsia="Times New Roman" w:hAnsi="Garamond" w:cs="Times New Roman"/>
          <w:color w:val="000000" w:themeColor="text1"/>
          <w:sz w:val="26"/>
          <w:szCs w:val="26"/>
          <w:shd w:val="clear" w:color="auto" w:fill="FFFFFF"/>
        </w:rPr>
        <w:t xml:space="preserve"> anche nella vigenza del nuovo Codice</w:t>
      </w:r>
      <w:r w:rsidRPr="002E0DD9">
        <w:rPr>
          <w:rFonts w:ascii="Garamond" w:eastAsia="Times New Roman" w:hAnsi="Garamond" w:cs="Times New Roman"/>
          <w:color w:val="000000" w:themeColor="text1"/>
          <w:sz w:val="26"/>
          <w:szCs w:val="26"/>
          <w:shd w:val="clear" w:color="auto" w:fill="FFFFFF"/>
        </w:rPr>
        <w:t>, di sanare l’offerta che sia viziata solo per la mancata formale indicazione separata degli oneri di sicurezza.</w:t>
      </w:r>
    </w:p>
    <w:p w14:paraId="7DEDBDB8" w14:textId="77777777" w:rsidR="004E3AD4" w:rsidRPr="002E0DD9" w:rsidRDefault="004E3AD4" w:rsidP="00945697">
      <w:pPr>
        <w:spacing w:line="360" w:lineRule="auto"/>
        <w:ind w:right="-7" w:firstLine="709"/>
        <w:contextualSpacing/>
        <w:rPr>
          <w:rFonts w:ascii="Garamond" w:hAnsi="Garamond"/>
          <w:color w:val="000000" w:themeColor="text1"/>
          <w:sz w:val="26"/>
          <w:szCs w:val="26"/>
        </w:rPr>
      </w:pPr>
    </w:p>
    <w:p w14:paraId="6EABEF58" w14:textId="44FC4C40" w:rsidR="008961C1" w:rsidRPr="002E0DD9" w:rsidRDefault="008961C1" w:rsidP="00945697">
      <w:pPr>
        <w:spacing w:line="360" w:lineRule="auto"/>
        <w:ind w:right="-7" w:firstLine="709"/>
        <w:contextualSpacing/>
        <w:jc w:val="both"/>
        <w:rPr>
          <w:rFonts w:ascii="Garamond" w:hAnsi="Garamond" w:cs="Times New Roman"/>
          <w:b/>
          <w:i/>
          <w:color w:val="000000" w:themeColor="text1"/>
          <w:sz w:val="26"/>
          <w:szCs w:val="26"/>
        </w:rPr>
      </w:pPr>
      <w:r w:rsidRPr="002E0DD9">
        <w:rPr>
          <w:rFonts w:ascii="Garamond" w:hAnsi="Garamond" w:cs="Times New Roman"/>
          <w:b/>
          <w:i/>
          <w:color w:val="000000" w:themeColor="text1"/>
          <w:sz w:val="26"/>
          <w:szCs w:val="26"/>
        </w:rPr>
        <w:t>5. La Corte di Giustizia non consente l’esclusione automatica del concorrente in caso di mancata indicazione degli oneri di sicurezza impliciti.</w:t>
      </w:r>
    </w:p>
    <w:p w14:paraId="799E324A" w14:textId="77777777" w:rsidR="008961C1" w:rsidRPr="002E0DD9" w:rsidRDefault="008961C1" w:rsidP="00945697">
      <w:pPr>
        <w:spacing w:line="360" w:lineRule="auto"/>
        <w:ind w:right="-7" w:firstLine="709"/>
        <w:contextualSpacing/>
        <w:rPr>
          <w:rFonts w:ascii="Garamond" w:hAnsi="Garamond" w:cs="Times New Roman"/>
          <w:b/>
          <w:i/>
          <w:color w:val="000000" w:themeColor="text1"/>
          <w:sz w:val="26"/>
          <w:szCs w:val="26"/>
        </w:rPr>
      </w:pPr>
    </w:p>
    <w:p w14:paraId="29387BE6" w14:textId="5D6C4924" w:rsidR="00626D67" w:rsidRPr="002E0DD9" w:rsidRDefault="008961C1"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hAnsi="Garamond" w:cs="Times New Roman"/>
          <w:color w:val="000000" w:themeColor="text1"/>
          <w:sz w:val="26"/>
          <w:szCs w:val="26"/>
        </w:rPr>
        <w:t xml:space="preserve">Da ultimo, la Corte di Giustizia, Sez. VI, con l’ordinanza 10 novembre 2016 (Causa C-162/16), è tornata a pronunciarsi sugli oneri di sicurezza aziendali, facendo ampio riferimento al </w:t>
      </w:r>
      <w:r w:rsidR="004E31E9" w:rsidRPr="002E0DD9">
        <w:rPr>
          <w:rFonts w:ascii="Garamond" w:hAnsi="Garamond" w:cs="Times New Roman"/>
          <w:color w:val="000000" w:themeColor="text1"/>
          <w:sz w:val="26"/>
          <w:szCs w:val="26"/>
        </w:rPr>
        <w:t xml:space="preserve">menzionato </w:t>
      </w:r>
      <w:r w:rsidRPr="002E0DD9">
        <w:rPr>
          <w:rFonts w:ascii="Garamond" w:hAnsi="Garamond" w:cs="Times New Roman"/>
          <w:color w:val="000000" w:themeColor="text1"/>
          <w:sz w:val="26"/>
          <w:szCs w:val="26"/>
        </w:rPr>
        <w:t xml:space="preserve">precedente in termini della medesima Sezione, che ha consentito alla Corte di pronunciare un’ordinanza anziché una sentenza, sulla scorta della circostanza che la </w:t>
      </w:r>
      <w:r w:rsidRPr="002E0DD9">
        <w:rPr>
          <w:rFonts w:ascii="Garamond" w:eastAsia="Times New Roman" w:hAnsi="Garamond" w:cs="Times New Roman"/>
          <w:color w:val="000000" w:themeColor="text1"/>
          <w:sz w:val="26"/>
          <w:szCs w:val="26"/>
          <w:shd w:val="clear" w:color="auto" w:fill="FFFFFF"/>
        </w:rPr>
        <w:t xml:space="preserve">risposta alla nuova questione pregiudiziale </w:t>
      </w:r>
      <w:r w:rsidR="00F65BCF" w:rsidRPr="002E0DD9">
        <w:rPr>
          <w:rFonts w:ascii="Garamond" w:hAnsi="Garamond" w:cs="Times New Roman"/>
          <w:i/>
          <w:color w:val="000000" w:themeColor="text1"/>
          <w:sz w:val="26"/>
          <w:szCs w:val="26"/>
        </w:rPr>
        <w:t>«</w:t>
      </w:r>
      <w:r w:rsidRPr="002E0DD9">
        <w:rPr>
          <w:rFonts w:ascii="Garamond" w:eastAsia="Times New Roman" w:hAnsi="Garamond" w:cs="Times New Roman"/>
          <w:i/>
          <w:color w:val="000000" w:themeColor="text1"/>
          <w:sz w:val="26"/>
          <w:szCs w:val="26"/>
          <w:shd w:val="clear" w:color="auto" w:fill="FFFFFF"/>
        </w:rPr>
        <w:t>può essere chiaramente desunta dalla giurisprudenza o quando la risposta alla questione pregiudiziale non dà adito a nessun ragionevole dubbio</w:t>
      </w:r>
      <w:r w:rsidR="001A0896" w:rsidRPr="002E0DD9">
        <w:rPr>
          <w:rFonts w:ascii="Garamond" w:hAnsi="Garamond" w:cs="Times New Roman"/>
          <w:i/>
          <w:color w:val="000000" w:themeColor="text1"/>
          <w:sz w:val="26"/>
          <w:szCs w:val="26"/>
        </w:rPr>
        <w:t>»</w:t>
      </w:r>
      <w:r w:rsidR="00447D99" w:rsidRPr="002E0DD9">
        <w:rPr>
          <w:rFonts w:ascii="Garamond" w:hAnsi="Garamond" w:cs="Times New Roman"/>
          <w:i/>
          <w:color w:val="000000" w:themeColor="text1"/>
          <w:sz w:val="26"/>
          <w:szCs w:val="26"/>
        </w:rPr>
        <w:t>.</w:t>
      </w:r>
    </w:p>
    <w:p w14:paraId="12725198" w14:textId="77777777" w:rsidR="00F07F1F" w:rsidRPr="002E0DD9" w:rsidRDefault="006C7D14"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Nella specie, la Corte di Lussemburgo</w:t>
      </w:r>
      <w:r w:rsidR="00626D67" w:rsidRPr="002E0DD9">
        <w:rPr>
          <w:rFonts w:ascii="Garamond" w:eastAsia="Times New Roman" w:hAnsi="Garamond" w:cs="Times New Roman"/>
          <w:color w:val="000000" w:themeColor="text1"/>
          <w:sz w:val="26"/>
          <w:szCs w:val="26"/>
          <w:shd w:val="clear" w:color="auto" w:fill="FFFFFF"/>
        </w:rPr>
        <w:t xml:space="preserve"> ha ritenuto che</w:t>
      </w:r>
      <w:r w:rsidRPr="002E0DD9">
        <w:rPr>
          <w:rFonts w:ascii="Garamond" w:eastAsia="Times New Roman" w:hAnsi="Garamond" w:cs="Times New Roman"/>
          <w:color w:val="000000" w:themeColor="text1"/>
          <w:sz w:val="26"/>
          <w:szCs w:val="26"/>
          <w:shd w:val="clear" w:color="auto" w:fill="FFFFFF"/>
        </w:rPr>
        <w:t xml:space="preserve"> </w:t>
      </w:r>
      <w:r w:rsidR="00626D67" w:rsidRPr="002E0DD9">
        <w:rPr>
          <w:rFonts w:ascii="Garamond" w:eastAsia="Times New Roman" w:hAnsi="Garamond" w:cs="Times New Roman"/>
          <w:color w:val="000000" w:themeColor="text1"/>
          <w:sz w:val="26"/>
          <w:szCs w:val="26"/>
          <w:shd w:val="clear" w:color="auto" w:fill="FFFFFF"/>
        </w:rPr>
        <w:t xml:space="preserve">il principio della parità di trattamento e l’obbligo di trasparenza, come attuati dalla direttiva 2004/18, devono essere interpretati nel senso che ostano all’esclusione di un offerente dalla procedura di aggiudicazione di un appalto pubblico a seguito dell’inosservanza, da parte di detto offerente, dell’obbligo di indicare separatamente nell’offerta i costi aziendali per la sicurezza sul lavoro, obbligo il cui mancato rispetto è sanzionato con l’esclusione dalla procedura e che non risulta espressamente dai documenti di gara o dalla normativa nazionale, bensì emerge da un’interpretazione di tale normativa e dal meccanismo diretto a colmare, con l’intervento del giudice nazionale di ultima istanza, le lacune presenti in tali documenti. </w:t>
      </w:r>
    </w:p>
    <w:p w14:paraId="40475581" w14:textId="77777777" w:rsidR="00A8539C" w:rsidRPr="002E0DD9" w:rsidRDefault="00626D67"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I principi della parità di trattamento e di proporzionalità devono</w:t>
      </w:r>
      <w:r w:rsidR="00F07F1F" w:rsidRPr="002E0DD9">
        <w:rPr>
          <w:rFonts w:ascii="Garamond" w:eastAsia="Times New Roman" w:hAnsi="Garamond" w:cs="Times New Roman"/>
          <w:color w:val="000000" w:themeColor="text1"/>
          <w:sz w:val="26"/>
          <w:szCs w:val="26"/>
          <w:shd w:val="clear" w:color="auto" w:fill="FFFFFF"/>
        </w:rPr>
        <w:t>,</w:t>
      </w:r>
      <w:r w:rsidRPr="002E0DD9">
        <w:rPr>
          <w:rFonts w:ascii="Garamond" w:eastAsia="Times New Roman" w:hAnsi="Garamond" w:cs="Times New Roman"/>
          <w:color w:val="000000" w:themeColor="text1"/>
          <w:sz w:val="26"/>
          <w:szCs w:val="26"/>
          <w:shd w:val="clear" w:color="auto" w:fill="FFFFFF"/>
        </w:rPr>
        <w:t xml:space="preserve"> inoltre</w:t>
      </w:r>
      <w:r w:rsidR="00F07F1F" w:rsidRPr="002E0DD9">
        <w:rPr>
          <w:rFonts w:ascii="Garamond" w:eastAsia="Times New Roman" w:hAnsi="Garamond" w:cs="Times New Roman"/>
          <w:color w:val="000000" w:themeColor="text1"/>
          <w:sz w:val="26"/>
          <w:szCs w:val="26"/>
          <w:shd w:val="clear" w:color="auto" w:fill="FFFFFF"/>
        </w:rPr>
        <w:t>,</w:t>
      </w:r>
      <w:r w:rsidRPr="002E0DD9">
        <w:rPr>
          <w:rFonts w:ascii="Garamond" w:eastAsia="Times New Roman" w:hAnsi="Garamond" w:cs="Times New Roman"/>
          <w:color w:val="000000" w:themeColor="text1"/>
          <w:sz w:val="26"/>
          <w:szCs w:val="26"/>
          <w:shd w:val="clear" w:color="auto" w:fill="FFFFFF"/>
        </w:rPr>
        <w:t xml:space="preserve"> essere interpretati nel senso che non ostano al fatto di concedere a un tale offerente la possibilità di rimediare alla situazione e di adempiere detto obbligo entro un termine fissato dall’amministrazione aggiudicatrice.</w:t>
      </w:r>
    </w:p>
    <w:p w14:paraId="4D3AC92C" w14:textId="3D3A5CF9" w:rsidR="00A8539C" w:rsidRPr="002E0DD9" w:rsidRDefault="002B08FD"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eastAsia="Times New Roman" w:hAnsi="Garamond" w:cs="Times New Roman"/>
          <w:color w:val="000000" w:themeColor="text1"/>
          <w:sz w:val="26"/>
          <w:szCs w:val="26"/>
          <w:shd w:val="clear" w:color="auto" w:fill="FFFFFF"/>
        </w:rPr>
        <w:t>T</w:t>
      </w:r>
      <w:r w:rsidR="00A8539C" w:rsidRPr="002E0DD9">
        <w:rPr>
          <w:rFonts w:ascii="Garamond" w:eastAsia="Times New Roman" w:hAnsi="Garamond" w:cs="Times New Roman"/>
          <w:color w:val="000000" w:themeColor="text1"/>
          <w:sz w:val="26"/>
          <w:szCs w:val="26"/>
          <w:shd w:val="clear" w:color="auto" w:fill="FFFFFF"/>
        </w:rPr>
        <w:t xml:space="preserve">anto la Corte ha ritenuto sul presupposto che </w:t>
      </w:r>
      <w:r w:rsidR="00CF1761" w:rsidRPr="002E0DD9">
        <w:rPr>
          <w:rFonts w:ascii="Garamond" w:hAnsi="Garamond" w:cs="Times New Roman"/>
          <w:color w:val="000000" w:themeColor="text1"/>
          <w:sz w:val="26"/>
          <w:szCs w:val="26"/>
        </w:rPr>
        <w:t>u</w:t>
      </w:r>
      <w:r w:rsidR="00935648" w:rsidRPr="002E0DD9">
        <w:rPr>
          <w:rFonts w:ascii="Garamond" w:hAnsi="Garamond" w:cs="Times New Roman"/>
          <w:color w:val="000000" w:themeColor="text1"/>
          <w:sz w:val="26"/>
          <w:szCs w:val="26"/>
        </w:rPr>
        <w:t>na condizione, derivante dall’interpretazione del diritto nazionale</w:t>
      </w:r>
      <w:r w:rsidR="00A8539C" w:rsidRPr="002E0DD9">
        <w:rPr>
          <w:rFonts w:ascii="Garamond" w:hAnsi="Garamond" w:cs="Times New Roman"/>
          <w:color w:val="000000" w:themeColor="text1"/>
          <w:sz w:val="26"/>
          <w:szCs w:val="26"/>
        </w:rPr>
        <w:t xml:space="preserve"> e dalla prassi di un’autorità,</w:t>
      </w:r>
      <w:r w:rsidR="00935648" w:rsidRPr="002E0DD9">
        <w:rPr>
          <w:rFonts w:ascii="Garamond" w:hAnsi="Garamond" w:cs="Times New Roman"/>
          <w:color w:val="000000" w:themeColor="text1"/>
          <w:sz w:val="26"/>
          <w:szCs w:val="26"/>
        </w:rPr>
        <w:t xml:space="preserve"> che subordini il diritto di partecipare a una procedura di aggiudicazione sarebbe particolarmente sfavorevole per gli offerenti stabiliti in altri Stati membri, il cui grado di conoscenza del diritto nazionale e della sua interpretazione</w:t>
      </w:r>
      <w:r w:rsidR="00CF1761" w:rsidRPr="002E0DD9">
        <w:rPr>
          <w:rFonts w:ascii="Garamond" w:hAnsi="Garamond" w:cs="Times New Roman"/>
          <w:color w:val="000000" w:themeColor="text1"/>
          <w:sz w:val="26"/>
          <w:szCs w:val="26"/>
        </w:rPr>
        <w:t>,</w:t>
      </w:r>
      <w:r w:rsidR="00935648" w:rsidRPr="002E0DD9">
        <w:rPr>
          <w:rFonts w:ascii="Garamond" w:hAnsi="Garamond" w:cs="Times New Roman"/>
          <w:color w:val="000000" w:themeColor="text1"/>
          <w:sz w:val="26"/>
          <w:szCs w:val="26"/>
        </w:rPr>
        <w:t xml:space="preserve"> nonché della prassi delle autorità nazionali</w:t>
      </w:r>
      <w:r w:rsidR="00CF1761" w:rsidRPr="002E0DD9">
        <w:rPr>
          <w:rFonts w:ascii="Garamond" w:hAnsi="Garamond" w:cs="Times New Roman"/>
          <w:color w:val="000000" w:themeColor="text1"/>
          <w:sz w:val="26"/>
          <w:szCs w:val="26"/>
        </w:rPr>
        <w:t>,</w:t>
      </w:r>
      <w:r w:rsidR="00935648" w:rsidRPr="002E0DD9">
        <w:rPr>
          <w:rFonts w:ascii="Garamond" w:hAnsi="Garamond" w:cs="Times New Roman"/>
          <w:color w:val="000000" w:themeColor="text1"/>
          <w:sz w:val="26"/>
          <w:szCs w:val="26"/>
        </w:rPr>
        <w:t xml:space="preserve"> non può essere comparato a quello degli offerenti nazionali (sentenza del 2 giugno 2016, Pizzo, C</w:t>
      </w:r>
      <w:r w:rsidR="00935648" w:rsidRPr="002E0DD9">
        <w:rPr>
          <w:rFonts w:ascii="Garamond" w:hAnsi="Garamond" w:cs="Times New Roman"/>
          <w:color w:val="000000" w:themeColor="text1"/>
          <w:sz w:val="26"/>
          <w:szCs w:val="26"/>
        </w:rPr>
        <w:noBreakHyphen/>
        <w:t>27/15, EU:C:2016:404, punto 46).</w:t>
      </w:r>
    </w:p>
    <w:p w14:paraId="218DDEB8" w14:textId="7E9C1172" w:rsidR="00935648" w:rsidRPr="002E0DD9" w:rsidRDefault="00A8539C" w:rsidP="00945697">
      <w:pPr>
        <w:spacing w:line="360" w:lineRule="auto"/>
        <w:ind w:right="-7" w:firstLine="709"/>
        <w:contextualSpacing/>
        <w:jc w:val="both"/>
        <w:rPr>
          <w:rFonts w:ascii="Garamond" w:hAnsi="Garamond" w:cs="Times New Roman"/>
          <w:i/>
          <w:color w:val="000000" w:themeColor="text1"/>
          <w:sz w:val="26"/>
          <w:szCs w:val="26"/>
        </w:rPr>
      </w:pPr>
      <w:r w:rsidRPr="002E0DD9">
        <w:rPr>
          <w:rFonts w:ascii="Garamond" w:hAnsi="Garamond" w:cs="Times New Roman"/>
          <w:color w:val="000000" w:themeColor="text1"/>
          <w:sz w:val="26"/>
          <w:szCs w:val="26"/>
        </w:rPr>
        <w:t xml:space="preserve">Da ciò consegue che </w:t>
      </w:r>
      <w:r w:rsidR="00F65BCF" w:rsidRPr="002E0DD9">
        <w:rPr>
          <w:rFonts w:ascii="Garamond" w:hAnsi="Garamond" w:cs="Times New Roman"/>
          <w:i/>
          <w:color w:val="000000" w:themeColor="text1"/>
          <w:sz w:val="26"/>
          <w:szCs w:val="26"/>
        </w:rPr>
        <w:t>«</w:t>
      </w:r>
      <w:r w:rsidRPr="002E0DD9">
        <w:rPr>
          <w:rFonts w:ascii="Garamond" w:hAnsi="Garamond" w:cs="Times New Roman"/>
          <w:i/>
          <w:color w:val="000000" w:themeColor="text1"/>
          <w:sz w:val="26"/>
          <w:szCs w:val="26"/>
        </w:rPr>
        <w:t>n</w:t>
      </w:r>
      <w:r w:rsidR="00935648" w:rsidRPr="002E0DD9">
        <w:rPr>
          <w:rFonts w:ascii="Garamond" w:hAnsi="Garamond" w:cs="Times New Roman"/>
          <w:i/>
          <w:color w:val="000000" w:themeColor="text1"/>
          <w:sz w:val="26"/>
          <w:szCs w:val="26"/>
        </w:rPr>
        <w:t>ell’ipotesi in cui, come nelle controversie principali, una condizione per la partecipazione alla procedura di aggiudicazione, pena l’esclusione da quest’ultima, non sia espressamente prevista dai documenti dell’appalto e possa essere identificata solo con un’interpretazione giurisprudenziale del diritto nazionale, l’amministrazione aggiudicatrice può accordare all’offerente escluso un termine sufficiente per regolarizzare la sua omissione (sentenza del 2 giugno 2016, Pizzo, C</w:t>
      </w:r>
      <w:r w:rsidR="00935648" w:rsidRPr="002E0DD9">
        <w:rPr>
          <w:rFonts w:ascii="Garamond" w:hAnsi="Garamond" w:cs="Times New Roman"/>
          <w:i/>
          <w:color w:val="000000" w:themeColor="text1"/>
          <w:sz w:val="26"/>
          <w:szCs w:val="26"/>
        </w:rPr>
        <w:noBreakHyphen/>
        <w:t>27/15, EU:C:2016:404, punto 50</w:t>
      </w:r>
      <w:r w:rsidR="001A0896" w:rsidRPr="002E0DD9">
        <w:rPr>
          <w:rFonts w:ascii="Garamond" w:hAnsi="Garamond" w:cs="Times New Roman"/>
          <w:i/>
          <w:color w:val="000000" w:themeColor="text1"/>
          <w:sz w:val="26"/>
          <w:szCs w:val="26"/>
        </w:rPr>
        <w:t>)»</w:t>
      </w:r>
      <w:r w:rsidR="00935648" w:rsidRPr="002E0DD9">
        <w:rPr>
          <w:rFonts w:ascii="Garamond" w:hAnsi="Garamond" w:cs="Times New Roman"/>
          <w:i/>
          <w:color w:val="000000" w:themeColor="text1"/>
          <w:sz w:val="26"/>
          <w:szCs w:val="26"/>
        </w:rPr>
        <w:t>.</w:t>
      </w:r>
    </w:p>
    <w:p w14:paraId="0CE30B49" w14:textId="77777777" w:rsidR="00606B7A" w:rsidRPr="002E0DD9" w:rsidRDefault="00606B7A" w:rsidP="00945697">
      <w:pPr>
        <w:spacing w:line="360" w:lineRule="auto"/>
        <w:ind w:right="-7" w:firstLine="709"/>
        <w:contextualSpacing/>
        <w:jc w:val="both"/>
        <w:rPr>
          <w:rFonts w:ascii="Garamond" w:hAnsi="Garamond" w:cs="Times New Roman"/>
          <w:i/>
          <w:color w:val="000000" w:themeColor="text1"/>
          <w:sz w:val="26"/>
          <w:szCs w:val="26"/>
        </w:rPr>
      </w:pPr>
    </w:p>
    <w:p w14:paraId="462F3FF7" w14:textId="43654800" w:rsidR="00606B7A" w:rsidRPr="002E0DD9" w:rsidRDefault="00606B7A" w:rsidP="00945697">
      <w:pPr>
        <w:spacing w:line="360" w:lineRule="auto"/>
        <w:ind w:right="-7" w:firstLine="709"/>
        <w:contextualSpacing/>
        <w:jc w:val="both"/>
        <w:rPr>
          <w:rFonts w:ascii="Garamond" w:hAnsi="Garamond" w:cs="Times New Roman"/>
          <w:b/>
          <w:i/>
          <w:color w:val="000000" w:themeColor="text1"/>
          <w:sz w:val="26"/>
          <w:szCs w:val="26"/>
        </w:rPr>
      </w:pPr>
      <w:r w:rsidRPr="002E0DD9">
        <w:rPr>
          <w:rFonts w:ascii="Garamond" w:hAnsi="Garamond" w:cs="Times New Roman"/>
          <w:b/>
          <w:i/>
          <w:color w:val="000000" w:themeColor="text1"/>
          <w:sz w:val="26"/>
          <w:szCs w:val="26"/>
        </w:rPr>
        <w:t>6. Rapporti tra omessa indicazione degli oneri di sicurezza e soccorso istruttorio nella delibera ANAC 11 gennaio 2017, n. 2.</w:t>
      </w:r>
    </w:p>
    <w:p w14:paraId="1DB5BD0D" w14:textId="77777777" w:rsidR="00606B7A" w:rsidRPr="002E0DD9" w:rsidRDefault="00606B7A" w:rsidP="00945697">
      <w:pPr>
        <w:spacing w:line="360" w:lineRule="auto"/>
        <w:ind w:right="-7" w:firstLine="709"/>
        <w:contextualSpacing/>
        <w:jc w:val="both"/>
        <w:rPr>
          <w:rFonts w:ascii="Garamond" w:hAnsi="Garamond" w:cs="Times New Roman"/>
          <w:i/>
          <w:color w:val="000000" w:themeColor="text1"/>
          <w:sz w:val="26"/>
          <w:szCs w:val="26"/>
        </w:rPr>
      </w:pPr>
    </w:p>
    <w:p w14:paraId="52FB11C4" w14:textId="170C33EF" w:rsidR="00606B7A" w:rsidRPr="002E0DD9" w:rsidRDefault="00606B7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La questione giuridica sottoposta all’attenzione dell’Autorità presuppone la necessità di definire la sussistenza dell’obbligo di indicazione dei costi </w:t>
      </w:r>
      <w:proofErr w:type="gramStart"/>
      <w:r w:rsidRPr="002E0DD9">
        <w:rPr>
          <w:rFonts w:ascii="Garamond" w:eastAsia="Times New Roman" w:hAnsi="Garamond" w:cs="Times New Roman"/>
          <w:color w:val="000000" w:themeColor="text1"/>
          <w:sz w:val="26"/>
          <w:szCs w:val="26"/>
          <w:shd w:val="clear" w:color="auto" w:fill="FFFFFF"/>
        </w:rPr>
        <w:t>della  sicurezza</w:t>
      </w:r>
      <w:proofErr w:type="gramEnd"/>
      <w:r w:rsidRPr="002E0DD9">
        <w:rPr>
          <w:rFonts w:ascii="Garamond" w:eastAsia="Times New Roman" w:hAnsi="Garamond" w:cs="Times New Roman"/>
          <w:color w:val="000000" w:themeColor="text1"/>
          <w:sz w:val="26"/>
          <w:szCs w:val="26"/>
          <w:shd w:val="clear" w:color="auto" w:fill="FFFFFF"/>
        </w:rPr>
        <w:t xml:space="preserve"> e l’eventuale possibile </w:t>
      </w:r>
      <w:proofErr w:type="spellStart"/>
      <w:r w:rsidRPr="002E0DD9">
        <w:rPr>
          <w:rFonts w:ascii="Garamond" w:eastAsia="Times New Roman" w:hAnsi="Garamond" w:cs="Times New Roman"/>
          <w:color w:val="000000" w:themeColor="text1"/>
          <w:sz w:val="26"/>
          <w:szCs w:val="26"/>
          <w:shd w:val="clear" w:color="auto" w:fill="FFFFFF"/>
        </w:rPr>
        <w:t>esperibilità</w:t>
      </w:r>
      <w:proofErr w:type="spellEnd"/>
      <w:r w:rsidRPr="002E0DD9">
        <w:rPr>
          <w:rFonts w:ascii="Garamond" w:eastAsia="Times New Roman" w:hAnsi="Garamond" w:cs="Times New Roman"/>
          <w:color w:val="000000" w:themeColor="text1"/>
          <w:sz w:val="26"/>
          <w:szCs w:val="26"/>
          <w:shd w:val="clear" w:color="auto" w:fill="FFFFFF"/>
        </w:rPr>
        <w:t xml:space="preserve"> del soccorso istruttorio in caso  di mancata dichiarazione. Questioni che sono state oggetto di numerose pronunce dell’Autorità e della giurisprudenza amministrativa che, in vigenza </w:t>
      </w:r>
      <w:proofErr w:type="gramStart"/>
      <w:r w:rsidRPr="002E0DD9">
        <w:rPr>
          <w:rFonts w:ascii="Garamond" w:eastAsia="Times New Roman" w:hAnsi="Garamond" w:cs="Times New Roman"/>
          <w:color w:val="000000" w:themeColor="text1"/>
          <w:sz w:val="26"/>
          <w:szCs w:val="26"/>
          <w:shd w:val="clear" w:color="auto" w:fill="FFFFFF"/>
        </w:rPr>
        <w:t>del  vecchio</w:t>
      </w:r>
      <w:proofErr w:type="gramEnd"/>
      <w:r w:rsidRPr="002E0DD9">
        <w:rPr>
          <w:rFonts w:ascii="Garamond" w:eastAsia="Times New Roman" w:hAnsi="Garamond" w:cs="Times New Roman"/>
          <w:color w:val="000000" w:themeColor="text1"/>
          <w:sz w:val="26"/>
          <w:szCs w:val="26"/>
          <w:shd w:val="clear" w:color="auto" w:fill="FFFFFF"/>
        </w:rPr>
        <w:t xml:space="preserve"> codice, giungevano alla conclusione della legittimità dell’esclusione  del concorrente che non aveva indicato i costi di sicurezza, pur se non  espressamente richiesti dalla </w:t>
      </w:r>
      <w:proofErr w:type="spellStart"/>
      <w:r w:rsidRPr="002E0DD9">
        <w:rPr>
          <w:rFonts w:ascii="Garamond" w:eastAsia="Times New Roman" w:hAnsi="Garamond" w:cs="Times New Roman"/>
          <w:i/>
          <w:color w:val="000000" w:themeColor="text1"/>
          <w:sz w:val="26"/>
          <w:szCs w:val="26"/>
          <w:shd w:val="clear" w:color="auto" w:fill="FFFFFF"/>
        </w:rPr>
        <w:t>lex</w:t>
      </w:r>
      <w:proofErr w:type="spellEnd"/>
      <w:r w:rsidRPr="002E0DD9">
        <w:rPr>
          <w:rFonts w:ascii="Garamond" w:eastAsia="Times New Roman" w:hAnsi="Garamond" w:cs="Times New Roman"/>
          <w:i/>
          <w:color w:val="000000" w:themeColor="text1"/>
          <w:sz w:val="26"/>
          <w:szCs w:val="26"/>
          <w:shd w:val="clear" w:color="auto" w:fill="FFFFFF"/>
        </w:rPr>
        <w:t xml:space="preserve">  </w:t>
      </w:r>
      <w:proofErr w:type="spellStart"/>
      <w:r w:rsidRPr="002E0DD9">
        <w:rPr>
          <w:rFonts w:ascii="Garamond" w:eastAsia="Times New Roman" w:hAnsi="Garamond" w:cs="Times New Roman"/>
          <w:i/>
          <w:color w:val="000000" w:themeColor="text1"/>
          <w:sz w:val="26"/>
          <w:szCs w:val="26"/>
          <w:shd w:val="clear" w:color="auto" w:fill="FFFFFF"/>
        </w:rPr>
        <w:t>specialis</w:t>
      </w:r>
      <w:proofErr w:type="spellEnd"/>
      <w:r w:rsidRPr="002E0DD9">
        <w:rPr>
          <w:rFonts w:ascii="Garamond" w:eastAsia="Times New Roman" w:hAnsi="Garamond" w:cs="Times New Roman"/>
          <w:color w:val="000000" w:themeColor="text1"/>
          <w:sz w:val="26"/>
          <w:szCs w:val="26"/>
          <w:shd w:val="clear" w:color="auto" w:fill="FFFFFF"/>
        </w:rPr>
        <w:t xml:space="preserve"> (cfr. in tal senso,  Consiglio di Stato, Adunanza Plenaria, sentenza n. 9/2015).</w:t>
      </w:r>
    </w:p>
    <w:p w14:paraId="04E5812C" w14:textId="77777777" w:rsidR="00606B7A" w:rsidRPr="002E0DD9" w:rsidRDefault="00606B7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Il nuovo Codice ha </w:t>
      </w:r>
      <w:proofErr w:type="gramStart"/>
      <w:r w:rsidRPr="002E0DD9">
        <w:rPr>
          <w:rFonts w:ascii="Garamond" w:eastAsia="Times New Roman" w:hAnsi="Garamond" w:cs="Times New Roman"/>
          <w:color w:val="000000" w:themeColor="text1"/>
          <w:sz w:val="26"/>
          <w:szCs w:val="26"/>
          <w:shd w:val="clear" w:color="auto" w:fill="FFFFFF"/>
        </w:rPr>
        <w:t>introdotto  una</w:t>
      </w:r>
      <w:proofErr w:type="gramEnd"/>
      <w:r w:rsidRPr="002E0DD9">
        <w:rPr>
          <w:rFonts w:ascii="Garamond" w:eastAsia="Times New Roman" w:hAnsi="Garamond" w:cs="Times New Roman"/>
          <w:color w:val="000000" w:themeColor="text1"/>
          <w:sz w:val="26"/>
          <w:szCs w:val="26"/>
          <w:shd w:val="clear" w:color="auto" w:fill="FFFFFF"/>
        </w:rPr>
        <w:t xml:space="preserve"> specifica disposizione in merito ai costi aziendali: infatti, l’articolo  95, al comma 10, prevede che nell’offerta economica l’operatore deve indicare i  propri costi aziendali concernenti l’adempimento delle disposizioni in materia  di salute e sicurezza sui luoghi di lavoro.</w:t>
      </w:r>
    </w:p>
    <w:p w14:paraId="739916D9" w14:textId="77777777" w:rsidR="00606B7A" w:rsidRPr="002E0DD9" w:rsidRDefault="00606B7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Recentemente, sulla questione  è nuovamente intervenuta l’Adunanza Plenaria cui è stato richiesto di  pronunciarsi sul seguente quesito: se il principio di diritto enunciato  dall’Adunanza Plenaria n. 9/2015 è rispettoso dei principi euro-unitari, di  matrice giurisprudenziale, della tutela dell’affidamento e di certezza del  diritto, dei principi di libera circolazione delle merci, libertà di  stabilimento e di libera prestazione di servizi di cui al Trattato sul  Funzionamento dell’Unione Europea, nonché dei principi che ne derivano, come la  parità di trattamento, la non discriminazione, il mutuo riconoscimento, la  proporzionalità e la trasparenza.</w:t>
      </w:r>
    </w:p>
    <w:p w14:paraId="530E86EE" w14:textId="77777777" w:rsidR="00606B7A" w:rsidRPr="002E0DD9" w:rsidRDefault="00606B7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Il Consiglio di Stato,  nell’Adunanza Plenaria n. 19/2016 e nell’Adunanza Plenaria n. 20/2016, ha  affermato che </w:t>
      </w:r>
      <w:r w:rsidRPr="002E0DD9">
        <w:rPr>
          <w:rFonts w:ascii="Garamond" w:eastAsia="Times New Roman" w:hAnsi="Garamond" w:cs="Times New Roman"/>
          <w:i/>
          <w:color w:val="000000" w:themeColor="text1"/>
          <w:sz w:val="26"/>
          <w:szCs w:val="26"/>
          <w:shd w:val="clear" w:color="auto" w:fill="FFFFFF"/>
        </w:rPr>
        <w:t>«per le gare bandite  anteriormente alla data di entrata in vigore del d.lgs. 50/2016, nelle ipotesi  in cui l’obbligo di indicazione separata dei costi di sicurezza aziendale non  sia stato specificato dalla legge di gara e non sia in contestazione che dal  punto di vista sostanziale l’offerta rispetti i costi minimi di sicurezza  aziendale, l’esclusione del concorrente non può essere disposta se non dopo che  lo stesso sia stato invitato a regolarizzare l’offerta dalla stazione  appaltante nel doveroso esercizio dei poteri di soccorso istruttorio».</w:t>
      </w:r>
    </w:p>
    <w:p w14:paraId="6F5B3B4A" w14:textId="77777777" w:rsidR="00606B7A" w:rsidRPr="002E0DD9" w:rsidRDefault="00606B7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Secondo quanto affermato </w:t>
      </w:r>
      <w:proofErr w:type="gramStart"/>
      <w:r w:rsidRPr="002E0DD9">
        <w:rPr>
          <w:rFonts w:ascii="Garamond" w:eastAsia="Times New Roman" w:hAnsi="Garamond" w:cs="Times New Roman"/>
          <w:color w:val="000000" w:themeColor="text1"/>
          <w:sz w:val="26"/>
          <w:szCs w:val="26"/>
          <w:shd w:val="clear" w:color="auto" w:fill="FFFFFF"/>
        </w:rPr>
        <w:t>dal  Consiglio</w:t>
      </w:r>
      <w:proofErr w:type="gramEnd"/>
      <w:r w:rsidRPr="002E0DD9">
        <w:rPr>
          <w:rFonts w:ascii="Garamond" w:eastAsia="Times New Roman" w:hAnsi="Garamond" w:cs="Times New Roman"/>
          <w:color w:val="000000" w:themeColor="text1"/>
          <w:sz w:val="26"/>
          <w:szCs w:val="26"/>
          <w:shd w:val="clear" w:color="auto" w:fill="FFFFFF"/>
        </w:rPr>
        <w:t xml:space="preserve"> di Stato gli oneri di sicurezza rappresentano un elemento essenziale  dell’offerta, la cui mancanza è in grado di ingenerare una situazione di  insanabile incertezza assoluta sul suo contenuto, solo nel caso in cui si  contesta al concorrente di aver formulato un’offerta economica senza  considerare i costi derivanti dal doveroso adempimento degli obblighi di  sicurezza a tutela dei lavoratori. In questa ipotesi, vi è </w:t>
      </w:r>
      <w:proofErr w:type="gramStart"/>
      <w:r w:rsidRPr="002E0DD9">
        <w:rPr>
          <w:rFonts w:ascii="Garamond" w:eastAsia="Times New Roman" w:hAnsi="Garamond" w:cs="Times New Roman"/>
          <w:color w:val="000000" w:themeColor="text1"/>
          <w:sz w:val="26"/>
          <w:szCs w:val="26"/>
          <w:shd w:val="clear" w:color="auto" w:fill="FFFFFF"/>
        </w:rPr>
        <w:t>certamente  incertezza</w:t>
      </w:r>
      <w:proofErr w:type="gramEnd"/>
      <w:r w:rsidRPr="002E0DD9">
        <w:rPr>
          <w:rFonts w:ascii="Garamond" w:eastAsia="Times New Roman" w:hAnsi="Garamond" w:cs="Times New Roman"/>
          <w:color w:val="000000" w:themeColor="text1"/>
          <w:sz w:val="26"/>
          <w:szCs w:val="26"/>
          <w:shd w:val="clear" w:color="auto" w:fill="FFFFFF"/>
        </w:rPr>
        <w:t xml:space="preserve"> assoluta sul contenuto dell’offerta e la sua successiva sanatoria  richiederebbe una modifica sostanziale del “prezzo”, in quanto andrebbe  aggiunto l’importo corrispondente agli oneri di sicurezza.</w:t>
      </w:r>
    </w:p>
    <w:p w14:paraId="19FE7621" w14:textId="77777777" w:rsidR="00606B7A" w:rsidRPr="002E0DD9" w:rsidRDefault="00606B7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Laddove, invece, non è </w:t>
      </w:r>
      <w:proofErr w:type="gramStart"/>
      <w:r w:rsidRPr="002E0DD9">
        <w:rPr>
          <w:rFonts w:ascii="Garamond" w:eastAsia="Times New Roman" w:hAnsi="Garamond" w:cs="Times New Roman"/>
          <w:color w:val="000000" w:themeColor="text1"/>
          <w:sz w:val="26"/>
          <w:szCs w:val="26"/>
          <w:shd w:val="clear" w:color="auto" w:fill="FFFFFF"/>
        </w:rPr>
        <w:t>in  discussione</w:t>
      </w:r>
      <w:proofErr w:type="gramEnd"/>
      <w:r w:rsidRPr="002E0DD9">
        <w:rPr>
          <w:rFonts w:ascii="Garamond" w:eastAsia="Times New Roman" w:hAnsi="Garamond" w:cs="Times New Roman"/>
          <w:color w:val="000000" w:themeColor="text1"/>
          <w:sz w:val="26"/>
          <w:szCs w:val="26"/>
          <w:shd w:val="clear" w:color="auto" w:fill="FFFFFF"/>
        </w:rPr>
        <w:t xml:space="preserve"> l’adempimento da parte del concorrente degli obblighi di sicurezza,  né il computo dei relativi oneri nella formulazione dell’offerta, ma si  contesta soltanto che l’offerta non specifichi la quota di prezzo  corrispondente ai predetti oneri, la carenza, allora, non è sostanziale ma solo  formale. In questa ipotesi, il soccorso istruttorio - almeno nei casi in </w:t>
      </w:r>
      <w:proofErr w:type="gramStart"/>
      <w:r w:rsidRPr="002E0DD9">
        <w:rPr>
          <w:rFonts w:ascii="Garamond" w:eastAsia="Times New Roman" w:hAnsi="Garamond" w:cs="Times New Roman"/>
          <w:color w:val="000000" w:themeColor="text1"/>
          <w:sz w:val="26"/>
          <w:szCs w:val="26"/>
          <w:shd w:val="clear" w:color="auto" w:fill="FFFFFF"/>
        </w:rPr>
        <w:t>cui  l’amministrazione</w:t>
      </w:r>
      <w:proofErr w:type="gramEnd"/>
      <w:r w:rsidRPr="002E0DD9">
        <w:rPr>
          <w:rFonts w:ascii="Garamond" w:eastAsia="Times New Roman" w:hAnsi="Garamond" w:cs="Times New Roman"/>
          <w:color w:val="000000" w:themeColor="text1"/>
          <w:sz w:val="26"/>
          <w:szCs w:val="26"/>
          <w:shd w:val="clear" w:color="auto" w:fill="FFFFFF"/>
        </w:rPr>
        <w:t xml:space="preserve"> abbia ingenerato nei concorrenti un affidamento circa la non  sussistenza dell’obbligo di indicare nell’offerta economica gli oneri di  sicurezza non prevedendolo negli atti di gara - è doveroso, perché esso non si  traduce in una modifica sostanziale del contenuto dell’offerta, ma solo in una  specificazione formale di una voce che, pur considerata nel prezzo finale, non  è stata indicata dettagliatamente. </w:t>
      </w:r>
    </w:p>
    <w:p w14:paraId="5206875C" w14:textId="77777777" w:rsidR="00606B7A" w:rsidRPr="002E0DD9" w:rsidRDefault="00606B7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Tale orientamento </w:t>
      </w:r>
      <w:proofErr w:type="gramStart"/>
      <w:r w:rsidRPr="002E0DD9">
        <w:rPr>
          <w:rFonts w:ascii="Garamond" w:eastAsia="Times New Roman" w:hAnsi="Garamond" w:cs="Times New Roman"/>
          <w:color w:val="000000" w:themeColor="text1"/>
          <w:sz w:val="26"/>
          <w:szCs w:val="26"/>
          <w:shd w:val="clear" w:color="auto" w:fill="FFFFFF"/>
        </w:rPr>
        <w:t>trova  conferma</w:t>
      </w:r>
      <w:proofErr w:type="gramEnd"/>
      <w:r w:rsidRPr="002E0DD9">
        <w:rPr>
          <w:rFonts w:ascii="Garamond" w:eastAsia="Times New Roman" w:hAnsi="Garamond" w:cs="Times New Roman"/>
          <w:color w:val="000000" w:themeColor="text1"/>
          <w:sz w:val="26"/>
          <w:szCs w:val="26"/>
          <w:shd w:val="clear" w:color="auto" w:fill="FFFFFF"/>
        </w:rPr>
        <w:t xml:space="preserve"> nella successiva giurisprudenza amministrativa.</w:t>
      </w:r>
    </w:p>
    <w:p w14:paraId="5F83B72D" w14:textId="77777777" w:rsidR="00606B7A" w:rsidRPr="002E0DD9" w:rsidRDefault="00606B7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In particolare, rileva in questa sede </w:t>
      </w:r>
      <w:proofErr w:type="gramStart"/>
      <w:r w:rsidRPr="002E0DD9">
        <w:rPr>
          <w:rFonts w:ascii="Garamond" w:eastAsia="Times New Roman" w:hAnsi="Garamond" w:cs="Times New Roman"/>
          <w:color w:val="000000" w:themeColor="text1"/>
          <w:sz w:val="26"/>
          <w:szCs w:val="26"/>
          <w:shd w:val="clear" w:color="auto" w:fill="FFFFFF"/>
        </w:rPr>
        <w:t>la  recente</w:t>
      </w:r>
      <w:proofErr w:type="gramEnd"/>
      <w:r w:rsidRPr="002E0DD9">
        <w:rPr>
          <w:rFonts w:ascii="Garamond" w:eastAsia="Times New Roman" w:hAnsi="Garamond" w:cs="Times New Roman"/>
          <w:color w:val="000000" w:themeColor="text1"/>
          <w:sz w:val="26"/>
          <w:szCs w:val="26"/>
          <w:shd w:val="clear" w:color="auto" w:fill="FFFFFF"/>
        </w:rPr>
        <w:t xml:space="preserve"> pronuncia del TAR Sicilia, Catania, sez. III, sentenza n. 3217 del 12  dicembre 2016 che, richiamando quanto statuito nelle menzionate Adunanze  Plenarie, ha affermato che il Consiglio di Stato ha sostanzialmente anticipato  la soluzione cui è approdata la Corte di giustizia dell’UE con la sentenza Sez.  VI, 10 novembre 2016, C-140/16, C-697/15, C-162/16, la quale ha affermato che «Il principio della parità di trattamento e  l’obbligo di trasparenza, come attuati dalla direttiva 2004/18/CE del  Parlamento europeo e del Consiglio, del 31 marzo 2004, relativa al  coordinamento delle procedure di aggiudicazione degli appalti pubblici di  lavori, di forniture e di servizi, devono essere interpretati nel senso che  ostano all’esclusione di un offerente dalla procedura di aggiudicazione di un  appalto pubblico a seguito dell’inosservanza, da parte di detto offerente,  dell’obbligo di indicare separatamente nell’offerta i costi aziendali per la  sicurezza sul lavoro, obbligo il cui mancato rispetto è sanzionato con  l’esclusione dalla procedura e che non risulta espressamente dai documenti di  gara o dalla normativa nazionale, bensì emerge da un’interpretazione di tale  normativa e dal meccanismo diretto a colmare, con l’intervento del giudice  nazionale di ultima istanza, le lacune presenti in tali documenti. I </w:t>
      </w:r>
      <w:proofErr w:type="gramStart"/>
      <w:r w:rsidRPr="002E0DD9">
        <w:rPr>
          <w:rFonts w:ascii="Garamond" w:eastAsia="Times New Roman" w:hAnsi="Garamond" w:cs="Times New Roman"/>
          <w:color w:val="000000" w:themeColor="text1"/>
          <w:sz w:val="26"/>
          <w:szCs w:val="26"/>
          <w:shd w:val="clear" w:color="auto" w:fill="FFFFFF"/>
        </w:rPr>
        <w:t>principi  della</w:t>
      </w:r>
      <w:proofErr w:type="gramEnd"/>
      <w:r w:rsidRPr="002E0DD9">
        <w:rPr>
          <w:rFonts w:ascii="Garamond" w:eastAsia="Times New Roman" w:hAnsi="Garamond" w:cs="Times New Roman"/>
          <w:color w:val="000000" w:themeColor="text1"/>
          <w:sz w:val="26"/>
          <w:szCs w:val="26"/>
          <w:shd w:val="clear" w:color="auto" w:fill="FFFFFF"/>
        </w:rPr>
        <w:t xml:space="preserve"> parità di trattamento e di proporzionalità devono inoltre essere  interpretati nel senso che non ostano al fatto di concedere a un tale offerente  la possibilità di rimediare alla  situazione e di adempiere detto obbligo entro un termine fissato  dall’amministrazione aggiudicatrice.»</w:t>
      </w:r>
    </w:p>
    <w:p w14:paraId="5B17229F" w14:textId="77777777" w:rsidR="00606B7A" w:rsidRPr="002E0DD9" w:rsidRDefault="00606B7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La Corte di giustizia, </w:t>
      </w:r>
      <w:proofErr w:type="gramStart"/>
      <w:r w:rsidRPr="002E0DD9">
        <w:rPr>
          <w:rFonts w:ascii="Garamond" w:eastAsia="Times New Roman" w:hAnsi="Garamond" w:cs="Times New Roman"/>
          <w:color w:val="000000" w:themeColor="text1"/>
          <w:sz w:val="26"/>
          <w:szCs w:val="26"/>
          <w:shd w:val="clear" w:color="auto" w:fill="FFFFFF"/>
        </w:rPr>
        <w:t>dunque,  evidenzia</w:t>
      </w:r>
      <w:proofErr w:type="gramEnd"/>
      <w:r w:rsidRPr="002E0DD9">
        <w:rPr>
          <w:rFonts w:ascii="Garamond" w:eastAsia="Times New Roman" w:hAnsi="Garamond" w:cs="Times New Roman"/>
          <w:color w:val="000000" w:themeColor="text1"/>
          <w:sz w:val="26"/>
          <w:szCs w:val="26"/>
          <w:shd w:val="clear" w:color="auto" w:fill="FFFFFF"/>
        </w:rPr>
        <w:t xml:space="preserve"> il necessario rispetto dell’’obbligo del </w:t>
      </w:r>
      <w:r w:rsidRPr="002E0DD9">
        <w:rPr>
          <w:rFonts w:ascii="Garamond" w:eastAsia="Times New Roman" w:hAnsi="Garamond" w:cs="Times New Roman"/>
          <w:i/>
          <w:color w:val="000000" w:themeColor="text1"/>
          <w:sz w:val="26"/>
          <w:szCs w:val="26"/>
          <w:shd w:val="clear" w:color="auto" w:fill="FFFFFF"/>
        </w:rPr>
        <w:t>“</w:t>
      </w:r>
      <w:proofErr w:type="spellStart"/>
      <w:r w:rsidRPr="002E0DD9">
        <w:rPr>
          <w:rFonts w:ascii="Garamond" w:eastAsia="Times New Roman" w:hAnsi="Garamond" w:cs="Times New Roman"/>
          <w:i/>
          <w:color w:val="000000" w:themeColor="text1"/>
          <w:sz w:val="26"/>
          <w:szCs w:val="26"/>
          <w:shd w:val="clear" w:color="auto" w:fill="FFFFFF"/>
        </w:rPr>
        <w:t>clare</w:t>
      </w:r>
      <w:proofErr w:type="spellEnd"/>
      <w:r w:rsidRPr="002E0DD9">
        <w:rPr>
          <w:rFonts w:ascii="Garamond" w:eastAsia="Times New Roman" w:hAnsi="Garamond" w:cs="Times New Roman"/>
          <w:i/>
          <w:color w:val="000000" w:themeColor="text1"/>
          <w:sz w:val="26"/>
          <w:szCs w:val="26"/>
          <w:shd w:val="clear" w:color="auto" w:fill="FFFFFF"/>
        </w:rPr>
        <w:t xml:space="preserve"> </w:t>
      </w:r>
      <w:proofErr w:type="spellStart"/>
      <w:r w:rsidRPr="002E0DD9">
        <w:rPr>
          <w:rFonts w:ascii="Garamond" w:eastAsia="Times New Roman" w:hAnsi="Garamond" w:cs="Times New Roman"/>
          <w:i/>
          <w:color w:val="000000" w:themeColor="text1"/>
          <w:sz w:val="26"/>
          <w:szCs w:val="26"/>
          <w:shd w:val="clear" w:color="auto" w:fill="FFFFFF"/>
        </w:rPr>
        <w:t>loqui</w:t>
      </w:r>
      <w:proofErr w:type="spellEnd"/>
      <w:r w:rsidRPr="002E0DD9">
        <w:rPr>
          <w:rFonts w:ascii="Garamond" w:eastAsia="Times New Roman" w:hAnsi="Garamond" w:cs="Times New Roman"/>
          <w:i/>
          <w:color w:val="000000" w:themeColor="text1"/>
          <w:sz w:val="26"/>
          <w:szCs w:val="26"/>
          <w:shd w:val="clear" w:color="auto" w:fill="FFFFFF"/>
        </w:rPr>
        <w:t>”</w:t>
      </w:r>
      <w:r w:rsidRPr="002E0DD9">
        <w:rPr>
          <w:rFonts w:ascii="Garamond" w:eastAsia="Times New Roman" w:hAnsi="Garamond" w:cs="Times New Roman"/>
          <w:color w:val="000000" w:themeColor="text1"/>
          <w:sz w:val="26"/>
          <w:szCs w:val="26"/>
          <w:shd w:val="clear" w:color="auto" w:fill="FFFFFF"/>
        </w:rPr>
        <w:t xml:space="preserve"> che incombe sulle stazioni appaltanti, obbligo che è  funzionale a garantire la par condicio fra i concorrenti.</w:t>
      </w:r>
    </w:p>
    <w:p w14:paraId="21980F78" w14:textId="3E6E149E" w:rsidR="00606B7A" w:rsidRPr="002E0DD9" w:rsidRDefault="00606B7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La Corte richiama anche l’obbligo di trasparenza, che «ha come scopo quello di eliminare i rischi di favoritismo e di arbitrio da parte dell’amministrazione aggiudicatrice», che impone che tutte le  condizioni e le modalità della procedura di aggiudicazione siano formulate in  maniera chiara, precisa e univoca nel bando di gara o nel capitolato d’oneri e  afferma, infine, che i due principi della trasparenza e della parità di  trattamento richiedono che le condizioni sostanziali e procedurali relative  alla partecipazione a un appalto siano chiaramente definite in anticipo e rese  pubbliche, in particolare gli obblighi a carico degli offerenti, affinché  questi ultimi possano conoscere esattamente i vincoli procedurali ed essere  assicurati del fatto che gli stessi vincoli valgono per tutti i concorrenti.</w:t>
      </w:r>
    </w:p>
    <w:p w14:paraId="61964309" w14:textId="77777777" w:rsidR="00606B7A" w:rsidRPr="002E0DD9" w:rsidRDefault="00606B7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In ragione di tali  considerazioni, il TAR Sicilia citato ritiene che, sebbene l’Adunanza Plenaria  abbia ammesso il soccorso istruttorio per le offerte relative alle gare  anteriori alla entrata in vigore del nuovo Codice degli appalti pubblici  (d.lgs. 18 aprile 2016, n. 50, entrato in vigore il 19 aprile 2016), tuttavia  le medesime conclusioni siano applicabili alle gare indette dopo l’entrata in  vigore del nuovo codice degli appalti, anche alla luce dei principi enunciati e  ribaditi da Corte di Giustizia.</w:t>
      </w:r>
    </w:p>
    <w:p w14:paraId="5C96A54E" w14:textId="77777777" w:rsidR="00606B7A" w:rsidRPr="002E0DD9" w:rsidRDefault="00606B7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In particolare, </w:t>
      </w:r>
      <w:proofErr w:type="gramStart"/>
      <w:r w:rsidRPr="002E0DD9">
        <w:rPr>
          <w:rFonts w:ascii="Garamond" w:eastAsia="Times New Roman" w:hAnsi="Garamond" w:cs="Times New Roman"/>
          <w:color w:val="000000" w:themeColor="text1"/>
          <w:sz w:val="26"/>
          <w:szCs w:val="26"/>
          <w:shd w:val="clear" w:color="auto" w:fill="FFFFFF"/>
        </w:rPr>
        <w:t>viene  precisato</w:t>
      </w:r>
      <w:proofErr w:type="gramEnd"/>
      <w:r w:rsidRPr="002E0DD9">
        <w:rPr>
          <w:rFonts w:ascii="Garamond" w:eastAsia="Times New Roman" w:hAnsi="Garamond" w:cs="Times New Roman"/>
          <w:color w:val="000000" w:themeColor="text1"/>
          <w:sz w:val="26"/>
          <w:szCs w:val="26"/>
          <w:shd w:val="clear" w:color="auto" w:fill="FFFFFF"/>
        </w:rPr>
        <w:t xml:space="preserve"> che il disposto di cui all’articolo 83, comma 9, del </w:t>
      </w:r>
      <w:proofErr w:type="spellStart"/>
      <w:r w:rsidRPr="002E0DD9">
        <w:rPr>
          <w:rFonts w:ascii="Garamond" w:eastAsia="Times New Roman" w:hAnsi="Garamond" w:cs="Times New Roman"/>
          <w:color w:val="000000" w:themeColor="text1"/>
          <w:sz w:val="26"/>
          <w:szCs w:val="26"/>
          <w:shd w:val="clear" w:color="auto" w:fill="FFFFFF"/>
        </w:rPr>
        <w:t>d.lgs</w:t>
      </w:r>
      <w:proofErr w:type="spellEnd"/>
      <w:r w:rsidRPr="002E0DD9">
        <w:rPr>
          <w:rFonts w:ascii="Garamond" w:eastAsia="Times New Roman" w:hAnsi="Garamond" w:cs="Times New Roman"/>
          <w:color w:val="000000" w:themeColor="text1"/>
          <w:sz w:val="26"/>
          <w:szCs w:val="26"/>
          <w:shd w:val="clear" w:color="auto" w:fill="FFFFFF"/>
        </w:rPr>
        <w:t xml:space="preserve"> n.  50/2016, che esclude l’applicabilità della procedura di soccorso istruttorio  per la mancanza, l’incompletezza e ogni altra irregolarità essenziale «afferenti all'offerta tecnica ed economica»,  dopo l’intervento della Corte di Giustizia con la sentenza del 10 novembre 2016  debba essere contemperato con le esigenze considerate nella pronuncia, ovvero  la necessità, in applicazione dei principi di parità di trattamento e di  trasparenza, di una intermediazione/contraddittorio con l’appaltatore, che  potrebbe aver presentato comunque un’offerta comprensiva degli oneri senza  averla però dettagliata.</w:t>
      </w:r>
    </w:p>
    <w:p w14:paraId="1A5096E7" w14:textId="77777777" w:rsidR="00606B7A" w:rsidRPr="002E0DD9" w:rsidRDefault="00606B7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Ne consegue che </w:t>
      </w:r>
      <w:proofErr w:type="gramStart"/>
      <w:r w:rsidRPr="002E0DD9">
        <w:rPr>
          <w:rFonts w:ascii="Garamond" w:eastAsia="Times New Roman" w:hAnsi="Garamond" w:cs="Times New Roman"/>
          <w:color w:val="000000" w:themeColor="text1"/>
          <w:sz w:val="26"/>
          <w:szCs w:val="26"/>
          <w:shd w:val="clear" w:color="auto" w:fill="FFFFFF"/>
        </w:rPr>
        <w:t>l’esclusione  del</w:t>
      </w:r>
      <w:proofErr w:type="gramEnd"/>
      <w:r w:rsidRPr="002E0DD9">
        <w:rPr>
          <w:rFonts w:ascii="Garamond" w:eastAsia="Times New Roman" w:hAnsi="Garamond" w:cs="Times New Roman"/>
          <w:color w:val="000000" w:themeColor="text1"/>
          <w:sz w:val="26"/>
          <w:szCs w:val="26"/>
          <w:shd w:val="clear" w:color="auto" w:fill="FFFFFF"/>
        </w:rPr>
        <w:t xml:space="preserve"> concorrente non possa essere disposta se non dopo che lo stesso sia stato  invitato dalla stazione appaltante, nel doveroso esercizio dei poteri di  soccorso istruttorio, a regolarizzare l’offerta.</w:t>
      </w:r>
    </w:p>
    <w:p w14:paraId="20B9CF2C" w14:textId="1EEA8A8F" w:rsidR="00606B7A" w:rsidRPr="002E0DD9" w:rsidRDefault="00606B7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Alla luce di tali  considerazioni, nel caso </w:t>
      </w:r>
      <w:r w:rsidR="00A57076" w:rsidRPr="002E0DD9">
        <w:rPr>
          <w:rFonts w:ascii="Garamond" w:eastAsia="Times New Roman" w:hAnsi="Garamond" w:cs="Times New Roman"/>
          <w:color w:val="000000" w:themeColor="text1"/>
          <w:sz w:val="26"/>
          <w:szCs w:val="26"/>
          <w:shd w:val="clear" w:color="auto" w:fill="FFFFFF"/>
        </w:rPr>
        <w:t>sottoposto all’esame dell’Autorità</w:t>
      </w:r>
      <w:r w:rsidRPr="002E0DD9">
        <w:rPr>
          <w:rFonts w:ascii="Garamond" w:eastAsia="Times New Roman" w:hAnsi="Garamond" w:cs="Times New Roman"/>
          <w:color w:val="000000" w:themeColor="text1"/>
          <w:sz w:val="26"/>
          <w:szCs w:val="26"/>
          <w:shd w:val="clear" w:color="auto" w:fill="FFFFFF"/>
        </w:rPr>
        <w:t xml:space="preserve">, trattandosi di procedura di gara indetta in  vigenza del d.lgs. n. 50/2016, nella cui </w:t>
      </w:r>
      <w:proofErr w:type="spellStart"/>
      <w:r w:rsidRPr="002E0DD9">
        <w:rPr>
          <w:rFonts w:ascii="Garamond" w:eastAsia="Times New Roman" w:hAnsi="Garamond" w:cs="Times New Roman"/>
          <w:i/>
          <w:color w:val="000000" w:themeColor="text1"/>
          <w:sz w:val="26"/>
          <w:szCs w:val="26"/>
          <w:shd w:val="clear" w:color="auto" w:fill="FFFFFF"/>
        </w:rPr>
        <w:t>lex</w:t>
      </w:r>
      <w:proofErr w:type="spellEnd"/>
      <w:r w:rsidRPr="002E0DD9">
        <w:rPr>
          <w:rFonts w:ascii="Garamond" w:eastAsia="Times New Roman" w:hAnsi="Garamond" w:cs="Times New Roman"/>
          <w:i/>
          <w:color w:val="000000" w:themeColor="text1"/>
          <w:sz w:val="26"/>
          <w:szCs w:val="26"/>
          <w:shd w:val="clear" w:color="auto" w:fill="FFFFFF"/>
        </w:rPr>
        <w:t xml:space="preserve">  </w:t>
      </w:r>
      <w:proofErr w:type="spellStart"/>
      <w:r w:rsidRPr="002E0DD9">
        <w:rPr>
          <w:rFonts w:ascii="Garamond" w:eastAsia="Times New Roman" w:hAnsi="Garamond" w:cs="Times New Roman"/>
          <w:i/>
          <w:color w:val="000000" w:themeColor="text1"/>
          <w:sz w:val="26"/>
          <w:szCs w:val="26"/>
          <w:shd w:val="clear" w:color="auto" w:fill="FFFFFF"/>
        </w:rPr>
        <w:t>specialis</w:t>
      </w:r>
      <w:proofErr w:type="spellEnd"/>
      <w:r w:rsidRPr="002E0DD9">
        <w:rPr>
          <w:rFonts w:ascii="Garamond" w:eastAsia="Times New Roman" w:hAnsi="Garamond" w:cs="Times New Roman"/>
          <w:color w:val="000000" w:themeColor="text1"/>
          <w:sz w:val="26"/>
          <w:szCs w:val="26"/>
          <w:shd w:val="clear" w:color="auto" w:fill="FFFFFF"/>
        </w:rPr>
        <w:t xml:space="preserve"> non era previsto l’obbligo di indicazione degli oneri di  sicurezza, può ritenersi applicabile il principio di diritto enunciato dalle  menzionate sentenze, con conseguente applicabilità del soccorso istruttorio  previa necessaria distinzione da parte dell’amministrazione, secondo quanto  chiarito dal Consiglio di Stato, della natura sostanziale o formale  dell’eventuale integrazione degli oneri.</w:t>
      </w:r>
    </w:p>
    <w:p w14:paraId="134D87C1" w14:textId="77777777" w:rsidR="00606B7A" w:rsidRPr="002E0DD9" w:rsidRDefault="00606B7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Nel primo caso, infatti, </w:t>
      </w:r>
      <w:proofErr w:type="gramStart"/>
      <w:r w:rsidRPr="002E0DD9">
        <w:rPr>
          <w:rFonts w:ascii="Garamond" w:eastAsia="Times New Roman" w:hAnsi="Garamond" w:cs="Times New Roman"/>
          <w:color w:val="000000" w:themeColor="text1"/>
          <w:sz w:val="26"/>
          <w:szCs w:val="26"/>
          <w:shd w:val="clear" w:color="auto" w:fill="FFFFFF"/>
        </w:rPr>
        <w:t>il  soccorso</w:t>
      </w:r>
      <w:proofErr w:type="gramEnd"/>
      <w:r w:rsidRPr="002E0DD9">
        <w:rPr>
          <w:rFonts w:ascii="Garamond" w:eastAsia="Times New Roman" w:hAnsi="Garamond" w:cs="Times New Roman"/>
          <w:color w:val="000000" w:themeColor="text1"/>
          <w:sz w:val="26"/>
          <w:szCs w:val="26"/>
          <w:shd w:val="clear" w:color="auto" w:fill="FFFFFF"/>
        </w:rPr>
        <w:t xml:space="preserve"> istruttorio non potrebbe essere esperito, in quanto il concorrente,  formulando un’offerta economica senza considerare gli oneri di sicurezza, nel  sanare la propria offerta, apporterebbe una modifica sostanziale all’offerta,  in violazione dei principi generali in materia dei contratti pubblici. </w:t>
      </w:r>
    </w:p>
    <w:p w14:paraId="7D34A970" w14:textId="205DB681" w:rsidR="00606B7A" w:rsidRPr="002E0DD9" w:rsidRDefault="00606B7A"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Nel secondo caso, </w:t>
      </w:r>
      <w:proofErr w:type="gramStart"/>
      <w:r w:rsidRPr="002E0DD9">
        <w:rPr>
          <w:rFonts w:ascii="Garamond" w:eastAsia="Times New Roman" w:hAnsi="Garamond" w:cs="Times New Roman"/>
          <w:color w:val="000000" w:themeColor="text1"/>
          <w:sz w:val="26"/>
          <w:szCs w:val="26"/>
          <w:shd w:val="clear" w:color="auto" w:fill="FFFFFF"/>
        </w:rPr>
        <w:t>invece,  avendo</w:t>
      </w:r>
      <w:proofErr w:type="gramEnd"/>
      <w:r w:rsidRPr="002E0DD9">
        <w:rPr>
          <w:rFonts w:ascii="Garamond" w:eastAsia="Times New Roman" w:hAnsi="Garamond" w:cs="Times New Roman"/>
          <w:color w:val="000000" w:themeColor="text1"/>
          <w:sz w:val="26"/>
          <w:szCs w:val="26"/>
          <w:shd w:val="clear" w:color="auto" w:fill="FFFFFF"/>
        </w:rPr>
        <w:t xml:space="preserve"> il concorrente indicato un prezzo comprensivo degli oneri di sicurezza,  senza tuttavia chiarirne l’importo, l’amministrazione potrebbe procedere alla  richiesta di integrazione mediante soccorso istruttorio, trattandosi di una  specificazione formale di una voce, già prevista nell’offerta, ma non indicata  separatamente.</w:t>
      </w:r>
    </w:p>
    <w:p w14:paraId="42254F7B" w14:textId="71268903" w:rsidR="006C7D14" w:rsidRPr="002E0DD9" w:rsidRDefault="006C7D14" w:rsidP="00945697">
      <w:pPr>
        <w:spacing w:line="360" w:lineRule="auto"/>
        <w:ind w:right="-7" w:firstLine="709"/>
        <w:contextualSpacing/>
        <w:jc w:val="both"/>
        <w:rPr>
          <w:rFonts w:ascii="Garamond" w:eastAsia="Times New Roman" w:hAnsi="Garamond" w:cs="Times New Roman"/>
          <w:color w:val="000000" w:themeColor="text1"/>
          <w:sz w:val="26"/>
          <w:szCs w:val="26"/>
        </w:rPr>
      </w:pPr>
    </w:p>
    <w:p w14:paraId="0C4A7FC0" w14:textId="1C5E5675" w:rsidR="000346D1" w:rsidRPr="002E0DD9" w:rsidRDefault="00D72766" w:rsidP="00945697">
      <w:pPr>
        <w:spacing w:line="360" w:lineRule="auto"/>
        <w:ind w:right="-7" w:firstLine="709"/>
        <w:contextualSpacing/>
        <w:jc w:val="both"/>
        <w:rPr>
          <w:rFonts w:ascii="Garamond" w:eastAsia="Times New Roman" w:hAnsi="Garamond" w:cs="Times New Roman"/>
          <w:b/>
          <w:i/>
          <w:color w:val="000000" w:themeColor="text1"/>
          <w:sz w:val="26"/>
          <w:szCs w:val="26"/>
        </w:rPr>
      </w:pPr>
      <w:r w:rsidRPr="002E0DD9">
        <w:rPr>
          <w:rFonts w:ascii="Garamond" w:eastAsia="Times New Roman" w:hAnsi="Garamond" w:cs="Times New Roman"/>
          <w:b/>
          <w:i/>
          <w:color w:val="000000" w:themeColor="text1"/>
          <w:sz w:val="26"/>
          <w:szCs w:val="26"/>
        </w:rPr>
        <w:t>7</w:t>
      </w:r>
      <w:r w:rsidR="000346D1" w:rsidRPr="002E0DD9">
        <w:rPr>
          <w:rFonts w:ascii="Garamond" w:eastAsia="Times New Roman" w:hAnsi="Garamond" w:cs="Times New Roman"/>
          <w:b/>
          <w:i/>
          <w:color w:val="000000" w:themeColor="text1"/>
          <w:sz w:val="26"/>
          <w:szCs w:val="26"/>
        </w:rPr>
        <w:t>. Rilievi conclusivi.</w:t>
      </w:r>
    </w:p>
    <w:p w14:paraId="12F82E3D" w14:textId="77777777" w:rsidR="00E12805" w:rsidRPr="002E0DD9" w:rsidRDefault="00E12805" w:rsidP="00945697">
      <w:pPr>
        <w:spacing w:line="360" w:lineRule="auto"/>
        <w:ind w:right="-7" w:firstLine="709"/>
        <w:contextualSpacing/>
        <w:jc w:val="both"/>
        <w:rPr>
          <w:rFonts w:ascii="Garamond" w:eastAsia="Times New Roman" w:hAnsi="Garamond" w:cs="Times New Roman"/>
          <w:b/>
          <w:i/>
          <w:color w:val="000000" w:themeColor="text1"/>
          <w:sz w:val="26"/>
          <w:szCs w:val="26"/>
        </w:rPr>
      </w:pPr>
    </w:p>
    <w:p w14:paraId="56128518" w14:textId="56EA884B" w:rsidR="00E12805" w:rsidRPr="002E0DD9" w:rsidRDefault="00F65BCF" w:rsidP="00945697">
      <w:pPr>
        <w:spacing w:line="360" w:lineRule="auto"/>
        <w:ind w:right="-7" w:firstLine="709"/>
        <w:contextualSpacing/>
        <w:jc w:val="both"/>
        <w:rPr>
          <w:rFonts w:ascii="Garamond" w:eastAsia="Times New Roman" w:hAnsi="Garamond" w:cs="Times New Roman"/>
          <w:color w:val="000000" w:themeColor="text1"/>
          <w:sz w:val="26"/>
          <w:szCs w:val="26"/>
        </w:rPr>
      </w:pPr>
      <w:r w:rsidRPr="002E0DD9">
        <w:rPr>
          <w:rFonts w:ascii="Garamond" w:eastAsia="Times New Roman" w:hAnsi="Garamond" w:cs="Times New Roman"/>
          <w:color w:val="000000" w:themeColor="text1"/>
          <w:sz w:val="26"/>
          <w:szCs w:val="26"/>
        </w:rPr>
        <w:t xml:space="preserve">A valle del complesso </w:t>
      </w:r>
      <w:r w:rsidRPr="002E0DD9">
        <w:rPr>
          <w:rFonts w:ascii="Garamond" w:eastAsia="Times New Roman" w:hAnsi="Garamond" w:cs="Times New Roman"/>
          <w:i/>
          <w:color w:val="000000" w:themeColor="text1"/>
          <w:sz w:val="26"/>
          <w:szCs w:val="26"/>
        </w:rPr>
        <w:t xml:space="preserve">iter </w:t>
      </w:r>
      <w:r w:rsidRPr="002E0DD9">
        <w:rPr>
          <w:rFonts w:ascii="Garamond" w:eastAsia="Times New Roman" w:hAnsi="Garamond" w:cs="Times New Roman"/>
          <w:color w:val="000000" w:themeColor="text1"/>
          <w:sz w:val="26"/>
          <w:szCs w:val="26"/>
        </w:rPr>
        <w:t xml:space="preserve">normativo e giurisprudenziale, di cui si è dato conto nei precedenti paragrafi, il Giudice amministrativo sembra aver </w:t>
      </w:r>
      <w:r w:rsidRPr="002E0DD9">
        <w:rPr>
          <w:rFonts w:ascii="Garamond" w:eastAsia="Times New Roman" w:hAnsi="Garamond" w:cs="Times New Roman"/>
          <w:i/>
          <w:color w:val="000000" w:themeColor="text1"/>
          <w:sz w:val="26"/>
          <w:szCs w:val="26"/>
        </w:rPr>
        <w:t xml:space="preserve">“messo ordine” </w:t>
      </w:r>
      <w:r w:rsidRPr="002E0DD9">
        <w:rPr>
          <w:rFonts w:ascii="Garamond" w:eastAsia="Times New Roman" w:hAnsi="Garamond" w:cs="Times New Roman"/>
          <w:color w:val="000000" w:themeColor="text1"/>
          <w:sz w:val="26"/>
          <w:szCs w:val="26"/>
        </w:rPr>
        <w:t>nella materia degli oneri di sicurezza interni.</w:t>
      </w:r>
    </w:p>
    <w:p w14:paraId="2EDD5645" w14:textId="7B898438" w:rsidR="00F65BCF" w:rsidRPr="002E0DD9" w:rsidRDefault="00F65BCF" w:rsidP="00945697">
      <w:pPr>
        <w:spacing w:line="360" w:lineRule="auto"/>
        <w:ind w:right="-7" w:firstLine="709"/>
        <w:contextualSpacing/>
        <w:jc w:val="both"/>
        <w:rPr>
          <w:rFonts w:ascii="Garamond" w:eastAsia="Times New Roman" w:hAnsi="Garamond" w:cs="Times New Roman"/>
          <w:color w:val="000000" w:themeColor="text1"/>
          <w:sz w:val="26"/>
          <w:szCs w:val="26"/>
        </w:rPr>
      </w:pPr>
      <w:r w:rsidRPr="002E0DD9">
        <w:rPr>
          <w:rFonts w:ascii="Garamond" w:eastAsia="Times New Roman" w:hAnsi="Garamond" w:cs="Times New Roman"/>
          <w:color w:val="000000" w:themeColor="text1"/>
          <w:sz w:val="26"/>
          <w:szCs w:val="26"/>
        </w:rPr>
        <w:t xml:space="preserve">In una recentissima pronuncia del Tar Puglia, infatti, nel quadro di una ricostruzione sistematica della disciplina, si afferma che – alla stregua dei principi affermati dal Consiglio di Stato e dalla Corte di Lussemburgo – </w:t>
      </w:r>
      <w:r w:rsidRPr="002E0DD9">
        <w:rPr>
          <w:rFonts w:ascii="Garamond" w:hAnsi="Garamond" w:cs="Times New Roman"/>
          <w:color w:val="000000" w:themeColor="text1"/>
          <w:sz w:val="26"/>
          <w:szCs w:val="26"/>
        </w:rPr>
        <w:t>qualora la </w:t>
      </w:r>
      <w:proofErr w:type="spellStart"/>
      <w:r w:rsidRPr="002E0DD9">
        <w:rPr>
          <w:rFonts w:ascii="Garamond" w:hAnsi="Garamond" w:cs="Times New Roman"/>
          <w:i/>
          <w:iCs/>
          <w:color w:val="000000" w:themeColor="text1"/>
          <w:sz w:val="26"/>
          <w:szCs w:val="26"/>
        </w:rPr>
        <w:t>lex</w:t>
      </w:r>
      <w:proofErr w:type="spellEnd"/>
      <w:r w:rsidRPr="002E0DD9">
        <w:rPr>
          <w:rFonts w:ascii="Garamond" w:hAnsi="Garamond" w:cs="Times New Roman"/>
          <w:i/>
          <w:iCs/>
          <w:color w:val="000000" w:themeColor="text1"/>
          <w:sz w:val="26"/>
          <w:szCs w:val="26"/>
        </w:rPr>
        <w:t xml:space="preserve"> </w:t>
      </w:r>
      <w:proofErr w:type="spellStart"/>
      <w:r w:rsidRPr="002E0DD9">
        <w:rPr>
          <w:rFonts w:ascii="Garamond" w:hAnsi="Garamond" w:cs="Times New Roman"/>
          <w:i/>
          <w:iCs/>
          <w:color w:val="000000" w:themeColor="text1"/>
          <w:sz w:val="26"/>
          <w:szCs w:val="26"/>
        </w:rPr>
        <w:t>specialis</w:t>
      </w:r>
      <w:proofErr w:type="spellEnd"/>
      <w:r w:rsidRPr="002E0DD9">
        <w:rPr>
          <w:rFonts w:ascii="Garamond" w:hAnsi="Garamond" w:cs="Times New Roman"/>
          <w:color w:val="000000" w:themeColor="text1"/>
          <w:sz w:val="26"/>
          <w:szCs w:val="26"/>
        </w:rPr>
        <w:t> imponga </w:t>
      </w:r>
      <w:proofErr w:type="spellStart"/>
      <w:r w:rsidRPr="002E0DD9">
        <w:rPr>
          <w:rFonts w:ascii="Garamond" w:hAnsi="Garamond" w:cs="Times New Roman"/>
          <w:i/>
          <w:iCs/>
          <w:color w:val="000000" w:themeColor="text1"/>
          <w:sz w:val="26"/>
          <w:szCs w:val="26"/>
        </w:rPr>
        <w:t>expressis</w:t>
      </w:r>
      <w:proofErr w:type="spellEnd"/>
      <w:r w:rsidRPr="002E0DD9">
        <w:rPr>
          <w:rFonts w:ascii="Garamond" w:hAnsi="Garamond" w:cs="Times New Roman"/>
          <w:i/>
          <w:iCs/>
          <w:color w:val="000000" w:themeColor="text1"/>
          <w:sz w:val="26"/>
          <w:szCs w:val="26"/>
        </w:rPr>
        <w:t xml:space="preserve"> </w:t>
      </w:r>
      <w:proofErr w:type="spellStart"/>
      <w:r w:rsidRPr="002E0DD9">
        <w:rPr>
          <w:rFonts w:ascii="Garamond" w:hAnsi="Garamond" w:cs="Times New Roman"/>
          <w:i/>
          <w:iCs/>
          <w:color w:val="000000" w:themeColor="text1"/>
          <w:sz w:val="26"/>
          <w:szCs w:val="26"/>
        </w:rPr>
        <w:t>verbis</w:t>
      </w:r>
      <w:proofErr w:type="spellEnd"/>
      <w:r w:rsidRPr="002E0DD9">
        <w:rPr>
          <w:rFonts w:ascii="Garamond" w:hAnsi="Garamond" w:cs="Times New Roman"/>
          <w:i/>
          <w:iCs/>
          <w:color w:val="000000" w:themeColor="text1"/>
          <w:sz w:val="26"/>
          <w:szCs w:val="26"/>
        </w:rPr>
        <w:t> </w:t>
      </w:r>
      <w:r w:rsidRPr="002E0DD9">
        <w:rPr>
          <w:rFonts w:ascii="Garamond" w:hAnsi="Garamond" w:cs="Times New Roman"/>
          <w:color w:val="000000" w:themeColor="text1"/>
          <w:sz w:val="26"/>
          <w:szCs w:val="26"/>
        </w:rPr>
        <w:t>l’obbligo (in uno alla relativa espressa comminatoria di esclusione in caso di inadempimento) di indicare già in sede di presentazione dell’offerta gli oneri di sicurezza aziendali (e tale obbligo non derivi, quindi, “automaticamente” dagli effetti etero-integrativi delle disposizioni normative nazionali, bensì da una precisa scelta della Stazione appaltante), siffatta previsione comporta due rilevanti conseguenze</w:t>
      </w:r>
      <w:r w:rsidR="000A103C" w:rsidRPr="002E0DD9">
        <w:rPr>
          <w:rStyle w:val="Rimandonotaapidipagina"/>
          <w:rFonts w:ascii="Garamond" w:hAnsi="Garamond" w:cs="Times New Roman"/>
          <w:color w:val="000000" w:themeColor="text1"/>
          <w:sz w:val="26"/>
          <w:szCs w:val="26"/>
        </w:rPr>
        <w:footnoteReference w:id="11"/>
      </w:r>
      <w:r w:rsidRPr="002E0DD9">
        <w:rPr>
          <w:rFonts w:ascii="Garamond" w:hAnsi="Garamond" w:cs="Times New Roman"/>
          <w:color w:val="000000" w:themeColor="text1"/>
          <w:sz w:val="26"/>
          <w:szCs w:val="26"/>
        </w:rPr>
        <w:t>.</w:t>
      </w:r>
    </w:p>
    <w:p w14:paraId="42A0D86B" w14:textId="77777777" w:rsidR="00CE13B8" w:rsidRPr="002E0DD9" w:rsidRDefault="00F65BCF" w:rsidP="00945697">
      <w:pPr>
        <w:spacing w:line="360" w:lineRule="auto"/>
        <w:ind w:right="-7" w:firstLine="709"/>
        <w:contextualSpacing/>
        <w:jc w:val="both"/>
        <w:rPr>
          <w:rFonts w:ascii="Garamond" w:eastAsia="Times New Roman" w:hAnsi="Garamond" w:cs="Times New Roman"/>
          <w:color w:val="000000" w:themeColor="text1"/>
          <w:sz w:val="26"/>
          <w:szCs w:val="26"/>
        </w:rPr>
      </w:pPr>
      <w:r w:rsidRPr="002E0DD9">
        <w:rPr>
          <w:rFonts w:ascii="Garamond" w:hAnsi="Garamond" w:cs="Times New Roman"/>
          <w:color w:val="000000" w:themeColor="text1"/>
          <w:sz w:val="26"/>
          <w:szCs w:val="26"/>
        </w:rPr>
        <w:t>Da un lato, l’univoco, chiaro e preciso recepimento di tale adempimento consente di escludere la violazione dei principi di </w:t>
      </w:r>
      <w:r w:rsidRPr="002E0DD9">
        <w:rPr>
          <w:rFonts w:ascii="Garamond" w:hAnsi="Garamond" w:cs="Times New Roman"/>
          <w:i/>
          <w:iCs/>
          <w:color w:val="000000" w:themeColor="text1"/>
          <w:sz w:val="26"/>
          <w:szCs w:val="26"/>
        </w:rPr>
        <w:t>par condicio, </w:t>
      </w:r>
      <w:r w:rsidRPr="002E0DD9">
        <w:rPr>
          <w:rFonts w:ascii="Garamond" w:hAnsi="Garamond" w:cs="Times New Roman"/>
          <w:color w:val="000000" w:themeColor="text1"/>
          <w:sz w:val="26"/>
          <w:szCs w:val="26"/>
        </w:rPr>
        <w:t xml:space="preserve">proporzionalità, trasparenza, certezza del diritto e legittimo affidamento </w:t>
      </w:r>
      <w:r w:rsidRPr="002E0DD9">
        <w:rPr>
          <w:rFonts w:ascii="Garamond" w:hAnsi="Garamond" w:cs="Times New Roman"/>
          <w:i/>
          <w:color w:val="000000" w:themeColor="text1"/>
          <w:sz w:val="26"/>
          <w:szCs w:val="26"/>
        </w:rPr>
        <w:t>«atteso che, in tal caso, tutti gli offerenti ragionevolmente informati e normalmente diligenti sono posti in grado di comprendere l’esatta portata delle disposizioni di gara - avendo la P.A. correttamente adempiuto all’obbligo del “</w:t>
      </w:r>
      <w:proofErr w:type="spellStart"/>
      <w:r w:rsidRPr="002E0DD9">
        <w:rPr>
          <w:rFonts w:ascii="Garamond" w:hAnsi="Garamond" w:cs="Times New Roman"/>
          <w:i/>
          <w:iCs/>
          <w:color w:val="000000" w:themeColor="text1"/>
          <w:sz w:val="26"/>
          <w:szCs w:val="26"/>
        </w:rPr>
        <w:t>clare</w:t>
      </w:r>
      <w:proofErr w:type="spellEnd"/>
      <w:r w:rsidRPr="002E0DD9">
        <w:rPr>
          <w:rFonts w:ascii="Garamond" w:hAnsi="Garamond" w:cs="Times New Roman"/>
          <w:i/>
          <w:iCs/>
          <w:color w:val="000000" w:themeColor="text1"/>
          <w:sz w:val="26"/>
          <w:szCs w:val="26"/>
        </w:rPr>
        <w:t xml:space="preserve"> </w:t>
      </w:r>
      <w:proofErr w:type="spellStart"/>
      <w:r w:rsidRPr="002E0DD9">
        <w:rPr>
          <w:rFonts w:ascii="Garamond" w:hAnsi="Garamond" w:cs="Times New Roman"/>
          <w:i/>
          <w:iCs/>
          <w:color w:val="000000" w:themeColor="text1"/>
          <w:sz w:val="26"/>
          <w:szCs w:val="26"/>
        </w:rPr>
        <w:t>loqui</w:t>
      </w:r>
      <w:proofErr w:type="spellEnd"/>
      <w:r w:rsidRPr="002E0DD9">
        <w:rPr>
          <w:rFonts w:ascii="Garamond" w:hAnsi="Garamond" w:cs="Times New Roman"/>
          <w:i/>
          <w:color w:val="000000" w:themeColor="text1"/>
          <w:sz w:val="26"/>
          <w:szCs w:val="26"/>
        </w:rPr>
        <w:t>” -, nonché di interpretarle nello stesso modo, senza far questione alcuna di esegesi del diritto nazionale, e non potendo configurarsi alcuno “scusabile” errore</w:t>
      </w:r>
      <w:r w:rsidR="001A0896" w:rsidRPr="002E0DD9">
        <w:rPr>
          <w:rFonts w:ascii="Garamond" w:hAnsi="Garamond" w:cs="Times New Roman"/>
          <w:i/>
          <w:color w:val="000000" w:themeColor="text1"/>
          <w:sz w:val="26"/>
          <w:szCs w:val="26"/>
        </w:rPr>
        <w:t>»</w:t>
      </w:r>
      <w:r w:rsidR="00391950" w:rsidRPr="002E0DD9">
        <w:rPr>
          <w:rFonts w:ascii="Garamond" w:hAnsi="Garamond" w:cs="Times New Roman"/>
          <w:i/>
          <w:color w:val="000000" w:themeColor="text1"/>
          <w:sz w:val="26"/>
          <w:szCs w:val="26"/>
        </w:rPr>
        <w:t>.</w:t>
      </w:r>
    </w:p>
    <w:p w14:paraId="6CAEC47B" w14:textId="1EFE5CCE" w:rsidR="00F65BCF" w:rsidRPr="002E0DD9" w:rsidRDefault="00CE13B8" w:rsidP="00945697">
      <w:pPr>
        <w:spacing w:line="360" w:lineRule="auto"/>
        <w:ind w:right="-7" w:firstLine="709"/>
        <w:contextualSpacing/>
        <w:jc w:val="both"/>
        <w:rPr>
          <w:rFonts w:ascii="Garamond" w:hAnsi="Garamond" w:cs="Times New Roman"/>
          <w:color w:val="000000" w:themeColor="text1"/>
          <w:sz w:val="26"/>
          <w:szCs w:val="26"/>
        </w:rPr>
      </w:pPr>
      <w:r w:rsidRPr="002E0DD9">
        <w:rPr>
          <w:rFonts w:ascii="Garamond" w:hAnsi="Garamond" w:cs="Times New Roman"/>
          <w:color w:val="000000" w:themeColor="text1"/>
          <w:sz w:val="26"/>
          <w:szCs w:val="26"/>
        </w:rPr>
        <w:t>Dall’altro lato,</w:t>
      </w:r>
      <w:r w:rsidR="00F65BCF" w:rsidRPr="002E0DD9">
        <w:rPr>
          <w:rFonts w:ascii="Garamond" w:hAnsi="Garamond" w:cs="Times New Roman"/>
          <w:color w:val="000000" w:themeColor="text1"/>
          <w:sz w:val="26"/>
          <w:szCs w:val="26"/>
        </w:rPr>
        <w:t xml:space="preserve"> il suddetto </w:t>
      </w:r>
      <w:r w:rsidRPr="002E0DD9">
        <w:rPr>
          <w:rFonts w:ascii="Garamond" w:hAnsi="Garamond" w:cs="Times New Roman"/>
          <w:color w:val="000000" w:themeColor="text1"/>
          <w:sz w:val="26"/>
          <w:szCs w:val="26"/>
        </w:rPr>
        <w:t xml:space="preserve">recepimento nel bando dell’obbligo di indicare partitamente gli oneri di sicurezza aziendali comporta </w:t>
      </w:r>
      <w:r w:rsidR="00F65BCF" w:rsidRPr="002E0DD9">
        <w:rPr>
          <w:rFonts w:ascii="Garamond" w:hAnsi="Garamond" w:cs="Times New Roman"/>
          <w:color w:val="000000" w:themeColor="text1"/>
          <w:sz w:val="26"/>
          <w:szCs w:val="26"/>
        </w:rPr>
        <w:t xml:space="preserve">che l’espressa indicazione </w:t>
      </w:r>
      <w:r w:rsidRPr="002E0DD9">
        <w:rPr>
          <w:rFonts w:ascii="Garamond" w:hAnsi="Garamond" w:cs="Times New Roman"/>
          <w:color w:val="000000" w:themeColor="text1"/>
          <w:sz w:val="26"/>
          <w:szCs w:val="26"/>
        </w:rPr>
        <w:t>di tali costi</w:t>
      </w:r>
      <w:r w:rsidR="00F65BCF" w:rsidRPr="002E0DD9">
        <w:rPr>
          <w:rFonts w:ascii="Garamond" w:hAnsi="Garamond" w:cs="Times New Roman"/>
          <w:color w:val="000000" w:themeColor="text1"/>
          <w:sz w:val="26"/>
          <w:szCs w:val="26"/>
        </w:rPr>
        <w:t xml:space="preserve"> assurga al “rango” di elemento essenziale dell’offerta </w:t>
      </w:r>
      <w:r w:rsidR="00F65BCF" w:rsidRPr="002E0DD9">
        <w:rPr>
          <w:rFonts w:ascii="Garamond" w:hAnsi="Garamond" w:cs="Times New Roman"/>
          <w:i/>
          <w:iCs/>
          <w:color w:val="000000" w:themeColor="text1"/>
          <w:sz w:val="26"/>
          <w:szCs w:val="26"/>
        </w:rPr>
        <w:t>ex </w:t>
      </w:r>
      <w:r w:rsidR="00F65BCF" w:rsidRPr="002E0DD9">
        <w:rPr>
          <w:rFonts w:ascii="Garamond" w:hAnsi="Garamond" w:cs="Times New Roman"/>
          <w:color w:val="000000" w:themeColor="text1"/>
          <w:sz w:val="26"/>
          <w:szCs w:val="26"/>
        </w:rPr>
        <w:t>art. 46, comma 1 </w:t>
      </w:r>
      <w:r w:rsidR="00F65BCF" w:rsidRPr="002E0DD9">
        <w:rPr>
          <w:rFonts w:ascii="Garamond" w:hAnsi="Garamond" w:cs="Times New Roman"/>
          <w:i/>
          <w:iCs/>
          <w:color w:val="000000" w:themeColor="text1"/>
          <w:sz w:val="26"/>
          <w:szCs w:val="26"/>
        </w:rPr>
        <w:t>bis </w:t>
      </w:r>
      <w:r w:rsidR="00F65BCF" w:rsidRPr="002E0DD9">
        <w:rPr>
          <w:rFonts w:ascii="Garamond" w:hAnsi="Garamond" w:cs="Times New Roman"/>
          <w:color w:val="000000" w:themeColor="text1"/>
          <w:sz w:val="26"/>
          <w:szCs w:val="26"/>
        </w:rPr>
        <w:t xml:space="preserve">del </w:t>
      </w:r>
      <w:proofErr w:type="spellStart"/>
      <w:r w:rsidR="00F65BCF" w:rsidRPr="002E0DD9">
        <w:rPr>
          <w:rFonts w:ascii="Garamond" w:hAnsi="Garamond" w:cs="Times New Roman"/>
          <w:color w:val="000000" w:themeColor="text1"/>
          <w:sz w:val="26"/>
          <w:szCs w:val="26"/>
        </w:rPr>
        <w:t>D.Lgs.</w:t>
      </w:r>
      <w:proofErr w:type="spellEnd"/>
      <w:r w:rsidR="00F65BCF" w:rsidRPr="002E0DD9">
        <w:rPr>
          <w:rFonts w:ascii="Garamond" w:hAnsi="Garamond" w:cs="Times New Roman"/>
          <w:color w:val="000000" w:themeColor="text1"/>
          <w:sz w:val="26"/>
          <w:szCs w:val="26"/>
        </w:rPr>
        <w:t xml:space="preserve"> n. 163/2006,</w:t>
      </w:r>
      <w:r w:rsidR="00AC6A84" w:rsidRPr="002E0DD9">
        <w:rPr>
          <w:rFonts w:ascii="Garamond" w:hAnsi="Garamond" w:cs="Times New Roman"/>
          <w:color w:val="000000" w:themeColor="text1"/>
          <w:sz w:val="26"/>
          <w:szCs w:val="26"/>
        </w:rPr>
        <w:t xml:space="preserve"> la cui omissione è</w:t>
      </w:r>
      <w:r w:rsidR="00F65BCF" w:rsidRPr="002E0DD9">
        <w:rPr>
          <w:rFonts w:ascii="Garamond" w:hAnsi="Garamond" w:cs="Times New Roman"/>
          <w:color w:val="000000" w:themeColor="text1"/>
          <w:sz w:val="26"/>
          <w:szCs w:val="26"/>
        </w:rPr>
        <w:t xml:space="preserve"> idonea a determinare incertezza assoluta del contenuto della stessa</w:t>
      </w:r>
      <w:r w:rsidRPr="002E0DD9">
        <w:rPr>
          <w:rFonts w:ascii="Garamond" w:hAnsi="Garamond" w:cs="Times New Roman"/>
          <w:color w:val="000000" w:themeColor="text1"/>
          <w:sz w:val="26"/>
          <w:szCs w:val="26"/>
        </w:rPr>
        <w:t>. Da ciò consegue che non può farsi luogo al soccorso istruttorio, che darebbe luogo ad una integrazione sostanziale del contenuto dell’offerta.</w:t>
      </w:r>
    </w:p>
    <w:p w14:paraId="1F3B1637" w14:textId="15D8D818" w:rsidR="00AC6A84" w:rsidRPr="002E0DD9" w:rsidRDefault="008F16C6" w:rsidP="00945697">
      <w:pPr>
        <w:spacing w:line="360" w:lineRule="auto"/>
        <w:ind w:right="-7" w:firstLine="709"/>
        <w:contextualSpacing/>
        <w:jc w:val="both"/>
        <w:rPr>
          <w:rFonts w:ascii="Garamond" w:eastAsia="Times New Roman" w:hAnsi="Garamond" w:cs="Times New Roman"/>
          <w:color w:val="000000" w:themeColor="text1"/>
          <w:sz w:val="26"/>
          <w:szCs w:val="26"/>
        </w:rPr>
      </w:pPr>
      <w:r w:rsidRPr="002E0DD9">
        <w:rPr>
          <w:rFonts w:ascii="Garamond" w:eastAsia="Times New Roman" w:hAnsi="Garamond" w:cs="Times New Roman"/>
          <w:color w:val="000000" w:themeColor="text1"/>
          <w:sz w:val="26"/>
          <w:szCs w:val="26"/>
        </w:rPr>
        <w:t>È interessante osservare, conclusivamente, che la disposizione di cui all’art. 95, comma 10, del nuovo Codice dei contratti pubblici sembra non aver placato, nonostante le attese, i dubbi interpretativi che hanno caratterizzato la previgente disciplina.</w:t>
      </w:r>
    </w:p>
    <w:p w14:paraId="28C47191" w14:textId="3A15945A" w:rsidR="00ED07C5" w:rsidRPr="002E0DD9" w:rsidRDefault="00ED07C5"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rPr>
        <w:t>Benché la nuova norma si</w:t>
      </w:r>
      <w:r w:rsidR="00885B53" w:rsidRPr="002E0DD9">
        <w:rPr>
          <w:rFonts w:ascii="Garamond" w:eastAsia="Times New Roman" w:hAnsi="Garamond" w:cs="Times New Roman"/>
          <w:color w:val="000000" w:themeColor="text1"/>
          <w:sz w:val="26"/>
          <w:szCs w:val="26"/>
        </w:rPr>
        <w:t>a</w:t>
      </w:r>
      <w:r w:rsidRPr="002E0DD9">
        <w:rPr>
          <w:rFonts w:ascii="Garamond" w:eastAsia="Times New Roman" w:hAnsi="Garamond" w:cs="Times New Roman"/>
          <w:color w:val="000000" w:themeColor="text1"/>
          <w:sz w:val="26"/>
          <w:szCs w:val="26"/>
        </w:rPr>
        <w:t xml:space="preserve"> chiara nel disporre che </w:t>
      </w:r>
      <w:r w:rsidRPr="002E0DD9">
        <w:rPr>
          <w:rFonts w:ascii="Garamond" w:eastAsia="Times New Roman" w:hAnsi="Garamond" w:cs="Times New Roman"/>
          <w:color w:val="000000" w:themeColor="text1"/>
          <w:sz w:val="26"/>
          <w:szCs w:val="26"/>
          <w:shd w:val="clear" w:color="auto" w:fill="FFFFFF"/>
        </w:rPr>
        <w:t xml:space="preserve">nell’offerta economica l’operatore deve indicare i propri costi aziendali concernenti l’adempimento delle disposizioni in materia di salute e sicurezza sui luoghi di lavoro, </w:t>
      </w:r>
      <w:r w:rsidR="00FB45FB" w:rsidRPr="002E0DD9">
        <w:rPr>
          <w:rFonts w:ascii="Garamond" w:eastAsia="Times New Roman" w:hAnsi="Garamond" w:cs="Times New Roman"/>
          <w:color w:val="000000" w:themeColor="text1"/>
          <w:sz w:val="26"/>
          <w:szCs w:val="26"/>
          <w:shd w:val="clear" w:color="auto" w:fill="FFFFFF"/>
        </w:rPr>
        <w:t>sono già giunti al Consiglio</w:t>
      </w:r>
      <w:r w:rsidR="00FC19A2" w:rsidRPr="002E0DD9">
        <w:rPr>
          <w:rFonts w:ascii="Garamond" w:eastAsia="Times New Roman" w:hAnsi="Garamond" w:cs="Times New Roman"/>
          <w:color w:val="000000" w:themeColor="text1"/>
          <w:sz w:val="26"/>
          <w:szCs w:val="26"/>
          <w:shd w:val="clear" w:color="auto" w:fill="FFFFFF"/>
        </w:rPr>
        <w:t xml:space="preserve"> di Stato ricorsi in appello</w:t>
      </w:r>
      <w:r w:rsidR="00FB45FB" w:rsidRPr="002E0DD9">
        <w:rPr>
          <w:rFonts w:ascii="Garamond" w:eastAsia="Times New Roman" w:hAnsi="Garamond" w:cs="Times New Roman"/>
          <w:color w:val="000000" w:themeColor="text1"/>
          <w:sz w:val="26"/>
          <w:szCs w:val="26"/>
          <w:shd w:val="clear" w:color="auto" w:fill="FFFFFF"/>
        </w:rPr>
        <w:t xml:space="preserve"> tendenti a mettere in discussione la compatibilità </w:t>
      </w:r>
      <w:r w:rsidR="00FC19A2" w:rsidRPr="002E0DD9">
        <w:rPr>
          <w:rFonts w:ascii="Garamond" w:eastAsia="Times New Roman" w:hAnsi="Garamond" w:cs="Times New Roman"/>
          <w:color w:val="000000" w:themeColor="text1"/>
          <w:sz w:val="26"/>
          <w:szCs w:val="26"/>
          <w:shd w:val="clear" w:color="auto" w:fill="FFFFFF"/>
        </w:rPr>
        <w:t>della nuova disciplina con il diritto euro</w:t>
      </w:r>
      <w:r w:rsidR="00750BE6" w:rsidRPr="002E0DD9">
        <w:rPr>
          <w:rFonts w:ascii="Garamond" w:eastAsia="Times New Roman" w:hAnsi="Garamond" w:cs="Times New Roman"/>
          <w:color w:val="000000" w:themeColor="text1"/>
          <w:sz w:val="26"/>
          <w:szCs w:val="26"/>
          <w:shd w:val="clear" w:color="auto" w:fill="FFFFFF"/>
        </w:rPr>
        <w:t>-</w:t>
      </w:r>
      <w:r w:rsidR="00FC19A2" w:rsidRPr="002E0DD9">
        <w:rPr>
          <w:rFonts w:ascii="Garamond" w:eastAsia="Times New Roman" w:hAnsi="Garamond" w:cs="Times New Roman"/>
          <w:color w:val="000000" w:themeColor="text1"/>
          <w:sz w:val="26"/>
          <w:szCs w:val="26"/>
          <w:shd w:val="clear" w:color="auto" w:fill="FFFFFF"/>
        </w:rPr>
        <w:t>unitario</w:t>
      </w:r>
      <w:r w:rsidR="00FC19A2" w:rsidRPr="002E0DD9">
        <w:rPr>
          <w:rStyle w:val="Rimandonotaapidipagina"/>
          <w:rFonts w:ascii="Garamond" w:eastAsia="Times New Roman" w:hAnsi="Garamond" w:cs="Times New Roman"/>
          <w:color w:val="000000" w:themeColor="text1"/>
          <w:sz w:val="26"/>
          <w:szCs w:val="26"/>
          <w:shd w:val="clear" w:color="auto" w:fill="FFFFFF"/>
        </w:rPr>
        <w:footnoteReference w:id="12"/>
      </w:r>
      <w:r w:rsidR="00FC19A2" w:rsidRPr="002E0DD9">
        <w:rPr>
          <w:rFonts w:ascii="Garamond" w:eastAsia="Times New Roman" w:hAnsi="Garamond" w:cs="Times New Roman"/>
          <w:color w:val="000000" w:themeColor="text1"/>
          <w:sz w:val="26"/>
          <w:szCs w:val="26"/>
          <w:shd w:val="clear" w:color="auto" w:fill="FFFFFF"/>
        </w:rPr>
        <w:t>.</w:t>
      </w:r>
      <w:r w:rsidR="00D45515" w:rsidRPr="002E0DD9">
        <w:rPr>
          <w:rFonts w:ascii="Garamond" w:eastAsia="Times New Roman" w:hAnsi="Garamond" w:cs="Times New Roman"/>
          <w:color w:val="000000" w:themeColor="text1"/>
          <w:sz w:val="26"/>
          <w:szCs w:val="26"/>
          <w:shd w:val="clear" w:color="auto" w:fill="FFFFFF"/>
        </w:rPr>
        <w:t xml:space="preserve"> </w:t>
      </w:r>
    </w:p>
    <w:p w14:paraId="7BF20DF5" w14:textId="16EDE3CE" w:rsidR="00D45515" w:rsidRPr="002E0DD9" w:rsidRDefault="00D45515"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Per quanto</w:t>
      </w:r>
      <w:r w:rsidR="008718E7" w:rsidRPr="002E0DD9">
        <w:rPr>
          <w:rFonts w:ascii="Garamond" w:eastAsia="Times New Roman" w:hAnsi="Garamond" w:cs="Times New Roman"/>
          <w:color w:val="000000" w:themeColor="text1"/>
          <w:sz w:val="26"/>
          <w:szCs w:val="26"/>
          <w:shd w:val="clear" w:color="auto" w:fill="FFFFFF"/>
        </w:rPr>
        <w:t>, dunque, non paiano completamente sopite</w:t>
      </w:r>
      <w:r w:rsidRPr="002E0DD9">
        <w:rPr>
          <w:rFonts w:ascii="Garamond" w:eastAsia="Times New Roman" w:hAnsi="Garamond" w:cs="Times New Roman"/>
          <w:color w:val="000000" w:themeColor="text1"/>
          <w:sz w:val="26"/>
          <w:szCs w:val="26"/>
          <w:shd w:val="clear" w:color="auto" w:fill="FFFFFF"/>
        </w:rPr>
        <w:t xml:space="preserve">, con l’entrata in vigore del nuovo Codice, </w:t>
      </w:r>
      <w:r w:rsidR="00BE2CEA" w:rsidRPr="002E0DD9">
        <w:rPr>
          <w:rFonts w:ascii="Garamond" w:eastAsia="Times New Roman" w:hAnsi="Garamond" w:cs="Times New Roman"/>
          <w:color w:val="000000" w:themeColor="text1"/>
          <w:sz w:val="26"/>
          <w:szCs w:val="26"/>
          <w:shd w:val="clear" w:color="auto" w:fill="FFFFFF"/>
        </w:rPr>
        <w:t>tutte le perplessità</w:t>
      </w:r>
      <w:r w:rsidRPr="002E0DD9">
        <w:rPr>
          <w:rFonts w:ascii="Garamond" w:eastAsia="Times New Roman" w:hAnsi="Garamond" w:cs="Times New Roman"/>
          <w:color w:val="000000" w:themeColor="text1"/>
          <w:sz w:val="26"/>
          <w:szCs w:val="26"/>
          <w:shd w:val="clear" w:color="auto" w:fill="FFFFFF"/>
        </w:rPr>
        <w:t xml:space="preserve"> degli operatori con riferimento alla famigerata </w:t>
      </w:r>
      <w:r w:rsidR="00BE2CEA" w:rsidRPr="002E0DD9">
        <w:rPr>
          <w:rFonts w:ascii="Garamond" w:eastAsia="Times New Roman" w:hAnsi="Garamond" w:cs="Times New Roman"/>
          <w:color w:val="000000" w:themeColor="text1"/>
          <w:sz w:val="26"/>
          <w:szCs w:val="26"/>
          <w:shd w:val="clear" w:color="auto" w:fill="FFFFFF"/>
        </w:rPr>
        <w:t>questione degli oneri di sicurezza interni, può</w:t>
      </w:r>
      <w:r w:rsidR="00730CC4" w:rsidRPr="002E0DD9">
        <w:rPr>
          <w:rFonts w:ascii="Garamond" w:eastAsia="Times New Roman" w:hAnsi="Garamond" w:cs="Times New Roman"/>
          <w:color w:val="000000" w:themeColor="text1"/>
          <w:sz w:val="26"/>
          <w:szCs w:val="26"/>
          <w:shd w:val="clear" w:color="auto" w:fill="FFFFFF"/>
        </w:rPr>
        <w:t xml:space="preserve"> comunque</w:t>
      </w:r>
      <w:r w:rsidR="00BE2CEA" w:rsidRPr="002E0DD9">
        <w:rPr>
          <w:rFonts w:ascii="Garamond" w:eastAsia="Times New Roman" w:hAnsi="Garamond" w:cs="Times New Roman"/>
          <w:color w:val="000000" w:themeColor="text1"/>
          <w:sz w:val="26"/>
          <w:szCs w:val="26"/>
          <w:shd w:val="clear" w:color="auto" w:fill="FFFFFF"/>
        </w:rPr>
        <w:t xml:space="preserve"> ritenersi che la disciplina di recente intr</w:t>
      </w:r>
      <w:r w:rsidR="007E393B" w:rsidRPr="002E0DD9">
        <w:rPr>
          <w:rFonts w:ascii="Garamond" w:eastAsia="Times New Roman" w:hAnsi="Garamond" w:cs="Times New Roman"/>
          <w:color w:val="000000" w:themeColor="text1"/>
          <w:sz w:val="26"/>
          <w:szCs w:val="26"/>
          <w:shd w:val="clear" w:color="auto" w:fill="FFFFFF"/>
        </w:rPr>
        <w:t>oduzione non presenti profili di</w:t>
      </w:r>
      <w:r w:rsidR="00BE2CEA" w:rsidRPr="002E0DD9">
        <w:rPr>
          <w:rFonts w:ascii="Garamond" w:eastAsia="Times New Roman" w:hAnsi="Garamond" w:cs="Times New Roman"/>
          <w:color w:val="000000" w:themeColor="text1"/>
          <w:sz w:val="26"/>
          <w:szCs w:val="26"/>
          <w:shd w:val="clear" w:color="auto" w:fill="FFFFFF"/>
        </w:rPr>
        <w:t xml:space="preserve"> incompatibilità con il diritto dell’Unione.</w:t>
      </w:r>
    </w:p>
    <w:p w14:paraId="74B12370" w14:textId="7269B78A" w:rsidR="00BE2CEA" w:rsidRPr="002E0DD9" w:rsidRDefault="00777D36"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Le </w:t>
      </w:r>
      <w:r w:rsidR="007E393B" w:rsidRPr="002E0DD9">
        <w:rPr>
          <w:rFonts w:ascii="Garamond" w:eastAsia="Times New Roman" w:hAnsi="Garamond" w:cs="Times New Roman"/>
          <w:color w:val="000000" w:themeColor="text1"/>
          <w:sz w:val="26"/>
          <w:szCs w:val="26"/>
          <w:shd w:val="clear" w:color="auto" w:fill="FFFFFF"/>
        </w:rPr>
        <w:t>suindicate</w:t>
      </w:r>
      <w:r w:rsidRPr="002E0DD9">
        <w:rPr>
          <w:rFonts w:ascii="Garamond" w:eastAsia="Times New Roman" w:hAnsi="Garamond" w:cs="Times New Roman"/>
          <w:color w:val="000000" w:themeColor="text1"/>
          <w:sz w:val="26"/>
          <w:szCs w:val="26"/>
          <w:shd w:val="clear" w:color="auto" w:fill="FFFFFF"/>
        </w:rPr>
        <w:t xml:space="preserve"> sentenze della Corte di Lussemburgo hanno stigmatizzato, infatti, il diritto interno nella misura in cui, in mancanza di una espressa norma di legge prescrivente l’obbligatoria indicazione separata degli oneri di sicurezza per gli appalti di lavori, favoriva gli operatori economici nazionali, dotati di migliore conoscenza della giurisprudenza delle Corti interne.</w:t>
      </w:r>
    </w:p>
    <w:p w14:paraId="25423B4C" w14:textId="08C0D0D8" w:rsidR="00777D36" w:rsidRPr="002E0DD9" w:rsidRDefault="00777D36" w:rsidP="00945697">
      <w:pPr>
        <w:spacing w:line="360" w:lineRule="auto"/>
        <w:ind w:right="-7" w:firstLine="709"/>
        <w:contextualSpacing/>
        <w:jc w:val="both"/>
        <w:rPr>
          <w:rFonts w:ascii="Garamond" w:eastAsia="Times New Roman" w:hAnsi="Garamond" w:cs="Times New Roman"/>
          <w:color w:val="000000" w:themeColor="text1"/>
          <w:sz w:val="26"/>
          <w:szCs w:val="26"/>
          <w:shd w:val="clear" w:color="auto" w:fill="FFFFFF"/>
        </w:rPr>
      </w:pPr>
      <w:r w:rsidRPr="002E0DD9">
        <w:rPr>
          <w:rFonts w:ascii="Garamond" w:eastAsia="Times New Roman" w:hAnsi="Garamond" w:cs="Times New Roman"/>
          <w:color w:val="000000" w:themeColor="text1"/>
          <w:sz w:val="26"/>
          <w:szCs w:val="26"/>
          <w:shd w:val="clear" w:color="auto" w:fill="FFFFFF"/>
        </w:rPr>
        <w:t xml:space="preserve">Tale violazione dei principi di trasparenza e parità di trattamento può ritenersi ragionevolmente venuta meno con la previsione positiva, da parte del legislatore delegato, del </w:t>
      </w:r>
      <w:r w:rsidR="00AE508B" w:rsidRPr="002E0DD9">
        <w:rPr>
          <w:rFonts w:ascii="Garamond" w:eastAsia="Times New Roman" w:hAnsi="Garamond" w:cs="Times New Roman"/>
          <w:color w:val="000000" w:themeColor="text1"/>
          <w:sz w:val="26"/>
          <w:szCs w:val="26"/>
          <w:shd w:val="clear" w:color="auto" w:fill="FFFFFF"/>
        </w:rPr>
        <w:t>generale obbligo di</w:t>
      </w:r>
      <w:r w:rsidRPr="002E0DD9">
        <w:rPr>
          <w:rFonts w:ascii="Garamond" w:eastAsia="Times New Roman" w:hAnsi="Garamond" w:cs="Times New Roman"/>
          <w:color w:val="000000" w:themeColor="text1"/>
          <w:sz w:val="26"/>
          <w:szCs w:val="26"/>
          <w:shd w:val="clear" w:color="auto" w:fill="FFFFFF"/>
        </w:rPr>
        <w:t xml:space="preserve"> </w:t>
      </w:r>
      <w:r w:rsidR="00AE508B" w:rsidRPr="002E0DD9">
        <w:rPr>
          <w:rFonts w:ascii="Garamond" w:eastAsia="Times New Roman" w:hAnsi="Garamond" w:cs="Times New Roman"/>
          <w:color w:val="000000" w:themeColor="text1"/>
          <w:sz w:val="26"/>
          <w:szCs w:val="26"/>
          <w:shd w:val="clear" w:color="auto" w:fill="FFFFFF"/>
        </w:rPr>
        <w:t>indicare partitamente</w:t>
      </w:r>
      <w:r w:rsidR="008F5186" w:rsidRPr="002E0DD9">
        <w:rPr>
          <w:rFonts w:ascii="Garamond" w:eastAsia="Times New Roman" w:hAnsi="Garamond" w:cs="Times New Roman"/>
          <w:color w:val="000000" w:themeColor="text1"/>
          <w:sz w:val="26"/>
          <w:szCs w:val="26"/>
          <w:shd w:val="clear" w:color="auto" w:fill="FFFFFF"/>
        </w:rPr>
        <w:t xml:space="preserve"> gli oneri di sicurezza</w:t>
      </w:r>
      <w:r w:rsidR="00215CA9" w:rsidRPr="002E0DD9">
        <w:rPr>
          <w:rFonts w:ascii="Garamond" w:eastAsia="Times New Roman" w:hAnsi="Garamond" w:cs="Times New Roman"/>
          <w:color w:val="000000" w:themeColor="text1"/>
          <w:sz w:val="26"/>
          <w:szCs w:val="26"/>
          <w:shd w:val="clear" w:color="auto" w:fill="FFFFFF"/>
        </w:rPr>
        <w:t xml:space="preserve"> interni</w:t>
      </w:r>
      <w:r w:rsidR="008F5186" w:rsidRPr="002E0DD9">
        <w:rPr>
          <w:rFonts w:ascii="Garamond" w:eastAsia="Times New Roman" w:hAnsi="Garamond" w:cs="Times New Roman"/>
          <w:color w:val="000000" w:themeColor="text1"/>
          <w:sz w:val="26"/>
          <w:szCs w:val="26"/>
          <w:shd w:val="clear" w:color="auto" w:fill="FFFFFF"/>
        </w:rPr>
        <w:t>, recata</w:t>
      </w:r>
      <w:r w:rsidR="00AE508B" w:rsidRPr="002E0DD9">
        <w:rPr>
          <w:rFonts w:ascii="Garamond" w:eastAsia="Times New Roman" w:hAnsi="Garamond" w:cs="Times New Roman"/>
          <w:color w:val="000000" w:themeColor="text1"/>
          <w:sz w:val="26"/>
          <w:szCs w:val="26"/>
          <w:shd w:val="clear" w:color="auto" w:fill="FFFFFF"/>
        </w:rPr>
        <w:t xml:space="preserve"> </w:t>
      </w:r>
      <w:r w:rsidR="008F5186" w:rsidRPr="002E0DD9">
        <w:rPr>
          <w:rFonts w:ascii="Garamond" w:eastAsia="Times New Roman" w:hAnsi="Garamond" w:cs="Times New Roman"/>
          <w:color w:val="000000" w:themeColor="text1"/>
          <w:sz w:val="26"/>
          <w:szCs w:val="26"/>
          <w:shd w:val="clear" w:color="auto" w:fill="FFFFFF"/>
        </w:rPr>
        <w:t>d</w:t>
      </w:r>
      <w:r w:rsidR="00AE508B" w:rsidRPr="002E0DD9">
        <w:rPr>
          <w:rFonts w:ascii="Garamond" w:eastAsia="Times New Roman" w:hAnsi="Garamond" w:cs="Times New Roman"/>
          <w:color w:val="000000" w:themeColor="text1"/>
          <w:sz w:val="26"/>
          <w:szCs w:val="26"/>
          <w:shd w:val="clear" w:color="auto" w:fill="FFFFFF"/>
        </w:rPr>
        <w:t>all’esaminato art. 95, comma 10, del nuovo Codice dei contratti pubblici.</w:t>
      </w:r>
    </w:p>
    <w:p w14:paraId="01B5E80E" w14:textId="77777777" w:rsidR="00FC19A2" w:rsidRPr="002E0DD9" w:rsidRDefault="00FC19A2" w:rsidP="00945697">
      <w:pPr>
        <w:spacing w:line="360" w:lineRule="auto"/>
        <w:ind w:right="-7" w:firstLine="709"/>
        <w:contextualSpacing/>
        <w:jc w:val="both"/>
        <w:rPr>
          <w:rFonts w:ascii="Garamond" w:eastAsia="Times New Roman" w:hAnsi="Garamond" w:cs="Times New Roman"/>
          <w:color w:val="000000" w:themeColor="text1"/>
          <w:sz w:val="26"/>
          <w:szCs w:val="26"/>
        </w:rPr>
      </w:pPr>
    </w:p>
    <w:p w14:paraId="273ACD0B" w14:textId="77777777" w:rsidR="008F16C6" w:rsidRPr="002E0DD9" w:rsidRDefault="008F16C6" w:rsidP="00945697">
      <w:pPr>
        <w:spacing w:line="360" w:lineRule="auto"/>
        <w:ind w:right="-7" w:firstLine="709"/>
        <w:contextualSpacing/>
        <w:jc w:val="both"/>
        <w:rPr>
          <w:rFonts w:ascii="Garamond" w:eastAsia="Times New Roman" w:hAnsi="Garamond" w:cs="Times New Roman"/>
          <w:color w:val="000000" w:themeColor="text1"/>
          <w:sz w:val="26"/>
          <w:szCs w:val="26"/>
        </w:rPr>
      </w:pPr>
    </w:p>
    <w:p w14:paraId="5482E511" w14:textId="60A8AFBF" w:rsidR="00E673CD" w:rsidRPr="006869FE" w:rsidRDefault="00E673CD" w:rsidP="00E673CD">
      <w:pPr>
        <w:jc w:val="right"/>
        <w:rPr>
          <w:rFonts w:ascii="Garamond" w:hAnsi="Garamond"/>
          <w:b/>
          <w:sz w:val="36"/>
          <w:szCs w:val="26"/>
        </w:rPr>
      </w:pPr>
      <w:r>
        <w:rPr>
          <w:rFonts w:ascii="Garamond" w:hAnsi="Garamond"/>
          <w:b/>
          <w:sz w:val="36"/>
          <w:szCs w:val="26"/>
        </w:rPr>
        <w:t>Francesco Maria Ciaralli</w:t>
      </w:r>
    </w:p>
    <w:p w14:paraId="51EF87DE" w14:textId="77777777" w:rsidR="00E673CD" w:rsidRDefault="00E673CD" w:rsidP="00E673CD">
      <w:pPr>
        <w:jc w:val="right"/>
        <w:rPr>
          <w:rFonts w:ascii="Garamond" w:hAnsi="Garamond"/>
          <w:szCs w:val="26"/>
        </w:rPr>
      </w:pPr>
      <w:r>
        <w:rPr>
          <w:rFonts w:ascii="Garamond" w:hAnsi="Garamond"/>
          <w:szCs w:val="26"/>
        </w:rPr>
        <w:t>Dottorando di Ricerca</w:t>
      </w:r>
      <w:r w:rsidRPr="006869FE">
        <w:rPr>
          <w:rFonts w:ascii="Garamond" w:hAnsi="Garamond"/>
          <w:szCs w:val="26"/>
        </w:rPr>
        <w:t xml:space="preserve"> in “</w:t>
      </w:r>
      <w:r>
        <w:rPr>
          <w:rFonts w:ascii="Garamond" w:hAnsi="Garamond"/>
          <w:szCs w:val="26"/>
        </w:rPr>
        <w:t>Diritto ed Impresa</w:t>
      </w:r>
      <w:r w:rsidRPr="006869FE">
        <w:rPr>
          <w:rFonts w:ascii="Garamond" w:hAnsi="Garamond"/>
          <w:szCs w:val="26"/>
        </w:rPr>
        <w:t xml:space="preserve">” </w:t>
      </w:r>
    </w:p>
    <w:p w14:paraId="13B6EE13" w14:textId="730FA203" w:rsidR="00E673CD" w:rsidRDefault="00E673CD" w:rsidP="00E673CD">
      <w:pPr>
        <w:jc w:val="right"/>
        <w:rPr>
          <w:rFonts w:ascii="Garamond" w:hAnsi="Garamond"/>
          <w:szCs w:val="26"/>
        </w:rPr>
      </w:pPr>
      <w:proofErr w:type="gramStart"/>
      <w:r w:rsidRPr="006869FE">
        <w:rPr>
          <w:rFonts w:ascii="Garamond" w:hAnsi="Garamond"/>
          <w:szCs w:val="26"/>
        </w:rPr>
        <w:t>presso</w:t>
      </w:r>
      <w:proofErr w:type="gramEnd"/>
      <w:r w:rsidRPr="006869FE">
        <w:rPr>
          <w:rFonts w:ascii="Garamond" w:hAnsi="Garamond"/>
          <w:szCs w:val="26"/>
        </w:rPr>
        <w:t xml:space="preserve"> </w:t>
      </w:r>
      <w:r>
        <w:rPr>
          <w:rFonts w:ascii="Garamond" w:hAnsi="Garamond"/>
          <w:szCs w:val="26"/>
        </w:rPr>
        <w:t>l’Università Luiss Guido Carli di Roma</w:t>
      </w:r>
    </w:p>
    <w:p w14:paraId="603F2F8A" w14:textId="084C39AF" w:rsidR="00E673CD" w:rsidRPr="006869FE" w:rsidRDefault="00E673CD" w:rsidP="00E673CD">
      <w:pPr>
        <w:jc w:val="right"/>
        <w:rPr>
          <w:rFonts w:ascii="Garamond" w:hAnsi="Garamond"/>
          <w:szCs w:val="26"/>
        </w:rPr>
      </w:pPr>
      <w:r>
        <w:rPr>
          <w:rFonts w:ascii="Garamond" w:hAnsi="Garamond"/>
          <w:szCs w:val="26"/>
        </w:rPr>
        <w:t xml:space="preserve">Avvocato presso il Foro di Roma </w:t>
      </w:r>
    </w:p>
    <w:p w14:paraId="1E060766" w14:textId="4476B241" w:rsidR="008961C1" w:rsidRDefault="008961C1" w:rsidP="00E673CD">
      <w:pPr>
        <w:spacing w:line="360" w:lineRule="auto"/>
        <w:ind w:right="-7" w:firstLine="709"/>
        <w:contextualSpacing/>
        <w:jc w:val="right"/>
        <w:rPr>
          <w:rFonts w:ascii="Garamond" w:hAnsi="Garamond" w:cs="Times New Roman"/>
          <w:color w:val="000000" w:themeColor="text1"/>
          <w:sz w:val="26"/>
          <w:szCs w:val="26"/>
        </w:rPr>
      </w:pPr>
    </w:p>
    <w:p w14:paraId="2292C885" w14:textId="77777777" w:rsidR="00040853" w:rsidRDefault="00040853" w:rsidP="00E673CD">
      <w:pPr>
        <w:spacing w:line="360" w:lineRule="auto"/>
        <w:ind w:right="-7" w:firstLine="709"/>
        <w:contextualSpacing/>
        <w:jc w:val="right"/>
        <w:rPr>
          <w:rFonts w:ascii="Garamond" w:hAnsi="Garamond" w:cs="Times New Roman"/>
          <w:color w:val="000000" w:themeColor="text1"/>
          <w:sz w:val="26"/>
          <w:szCs w:val="26"/>
        </w:rPr>
      </w:pPr>
    </w:p>
    <w:p w14:paraId="74235EC5" w14:textId="570C8857" w:rsidR="00040853" w:rsidRPr="002E0DD9" w:rsidRDefault="00040853" w:rsidP="00E673CD">
      <w:pPr>
        <w:spacing w:line="360" w:lineRule="auto"/>
        <w:ind w:right="-7" w:firstLine="709"/>
        <w:contextualSpacing/>
        <w:jc w:val="right"/>
        <w:rPr>
          <w:rFonts w:ascii="Garamond" w:hAnsi="Garamond" w:cs="Times New Roman"/>
          <w:color w:val="000000" w:themeColor="text1"/>
          <w:sz w:val="26"/>
          <w:szCs w:val="26"/>
        </w:rPr>
      </w:pPr>
      <w:r>
        <w:rPr>
          <w:rFonts w:ascii="Garamond" w:hAnsi="Garamond" w:cs="Times New Roman"/>
          <w:color w:val="000000" w:themeColor="text1"/>
          <w:sz w:val="26"/>
          <w:szCs w:val="26"/>
        </w:rPr>
        <w:t>Pubblicato</w:t>
      </w:r>
      <w:bookmarkStart w:id="0" w:name="_GoBack"/>
      <w:bookmarkEnd w:id="0"/>
      <w:r>
        <w:rPr>
          <w:rFonts w:ascii="Garamond" w:hAnsi="Garamond" w:cs="Times New Roman"/>
          <w:color w:val="000000" w:themeColor="text1"/>
          <w:sz w:val="26"/>
          <w:szCs w:val="26"/>
        </w:rPr>
        <w:t xml:space="preserve"> il 28 luglio 2017</w:t>
      </w:r>
    </w:p>
    <w:sectPr w:rsidR="00040853" w:rsidRPr="002E0DD9" w:rsidSect="0064558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B4A79" w14:textId="77777777" w:rsidR="00777D36" w:rsidRDefault="00777D36" w:rsidP="009D06BB">
      <w:r>
        <w:separator/>
      </w:r>
    </w:p>
  </w:endnote>
  <w:endnote w:type="continuationSeparator" w:id="0">
    <w:p w14:paraId="06067B5A" w14:textId="77777777" w:rsidR="00777D36" w:rsidRDefault="00777D36" w:rsidP="009D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377F9" w14:textId="77777777" w:rsidR="00777D36" w:rsidRDefault="00777D36" w:rsidP="009D06BB">
      <w:r>
        <w:separator/>
      </w:r>
    </w:p>
  </w:footnote>
  <w:footnote w:type="continuationSeparator" w:id="0">
    <w:p w14:paraId="35F2DA37" w14:textId="77777777" w:rsidR="00777D36" w:rsidRDefault="00777D36" w:rsidP="009D06BB">
      <w:r>
        <w:continuationSeparator/>
      </w:r>
    </w:p>
  </w:footnote>
  <w:footnote w:id="1">
    <w:p w14:paraId="7D96A99F" w14:textId="2AC93A35" w:rsidR="00E673CD" w:rsidRPr="00E673CD" w:rsidRDefault="00E673CD" w:rsidP="00E673CD">
      <w:pPr>
        <w:pStyle w:val="Testonotaapidipagina"/>
        <w:ind w:firstLine="709"/>
        <w:rPr>
          <w:rFonts w:ascii="Garamond" w:hAnsi="Garamond"/>
          <w:sz w:val="22"/>
          <w:szCs w:val="22"/>
        </w:rPr>
      </w:pPr>
      <w:r w:rsidRPr="00E673CD">
        <w:rPr>
          <w:rStyle w:val="Rimandonotaapidipagina"/>
          <w:rFonts w:ascii="Garamond" w:hAnsi="Garamond"/>
          <w:sz w:val="22"/>
          <w:szCs w:val="22"/>
        </w:rPr>
        <w:footnoteRef/>
      </w:r>
      <w:r w:rsidRPr="00E673CD">
        <w:rPr>
          <w:rFonts w:ascii="Garamond" w:hAnsi="Garamond"/>
          <w:sz w:val="22"/>
          <w:szCs w:val="22"/>
        </w:rPr>
        <w:t xml:space="preserve"> </w:t>
      </w:r>
      <w:r>
        <w:rPr>
          <w:rFonts w:ascii="Garamond" w:hAnsi="Garamond"/>
          <w:sz w:val="22"/>
          <w:szCs w:val="22"/>
        </w:rPr>
        <w:t xml:space="preserve">Il presente lavoro costituisce una rielaborazione ed aggiornamento del Capitolo VI della monografia di </w:t>
      </w:r>
      <w:r w:rsidRPr="00D16C98">
        <w:rPr>
          <w:rStyle w:val="Titolodellibro"/>
          <w:rFonts w:ascii="Garamond" w:hAnsi="Garamond"/>
          <w:b w:val="0"/>
          <w:sz w:val="22"/>
          <w:szCs w:val="22"/>
        </w:rPr>
        <w:t>Bottega D., Ciaralli F.M.</w:t>
      </w:r>
      <w:r>
        <w:rPr>
          <w:rFonts w:ascii="Garamond" w:hAnsi="Garamond"/>
          <w:sz w:val="22"/>
          <w:szCs w:val="22"/>
        </w:rPr>
        <w:t xml:space="preserve">, </w:t>
      </w:r>
      <w:r w:rsidRPr="00E673CD">
        <w:rPr>
          <w:rFonts w:ascii="Garamond" w:hAnsi="Garamond"/>
          <w:i/>
          <w:sz w:val="22"/>
          <w:szCs w:val="22"/>
        </w:rPr>
        <w:t>Requisiti di partecipazione e cause di esclusione nelle gare pubbliche</w:t>
      </w:r>
      <w:r>
        <w:rPr>
          <w:rFonts w:ascii="Garamond" w:hAnsi="Garamond"/>
          <w:sz w:val="22"/>
          <w:szCs w:val="22"/>
        </w:rPr>
        <w:t>, Roma, 2017.</w:t>
      </w:r>
    </w:p>
  </w:footnote>
  <w:footnote w:id="2">
    <w:p w14:paraId="0BA760D5" w14:textId="6FC212A7" w:rsidR="007F0F21" w:rsidRPr="00E673CD" w:rsidRDefault="007F0F21" w:rsidP="001501CD">
      <w:pPr>
        <w:pStyle w:val="Testonotaapidipagina"/>
        <w:tabs>
          <w:tab w:val="left" w:pos="8222"/>
          <w:tab w:val="left" w:pos="8931"/>
        </w:tabs>
        <w:ind w:right="-7" w:firstLine="709"/>
        <w:jc w:val="both"/>
        <w:rPr>
          <w:rFonts w:ascii="Garamond" w:hAnsi="Garamond" w:cs="Times New Roman"/>
          <w:sz w:val="22"/>
          <w:szCs w:val="22"/>
        </w:rPr>
      </w:pPr>
      <w:r w:rsidRPr="00E673CD">
        <w:rPr>
          <w:rStyle w:val="Rimandonotaapidipagina"/>
          <w:rFonts w:ascii="Garamond" w:hAnsi="Garamond" w:cs="Times New Roman"/>
          <w:sz w:val="22"/>
          <w:szCs w:val="22"/>
        </w:rPr>
        <w:footnoteRef/>
      </w:r>
      <w:r w:rsidRPr="00E673CD">
        <w:rPr>
          <w:rFonts w:ascii="Garamond" w:hAnsi="Garamond" w:cs="Times New Roman"/>
          <w:sz w:val="22"/>
          <w:szCs w:val="22"/>
        </w:rPr>
        <w:t xml:space="preserve"> </w:t>
      </w:r>
      <w:r w:rsidR="00D52EB5" w:rsidRPr="00E673CD">
        <w:rPr>
          <w:rFonts w:ascii="Garamond" w:hAnsi="Garamond" w:cs="Times New Roman"/>
          <w:sz w:val="22"/>
          <w:szCs w:val="22"/>
        </w:rPr>
        <w:t xml:space="preserve">La Corte di Giustizia dell’Unione europea si è recentemente pronunciata con la sentenza </w:t>
      </w:r>
      <w:r w:rsidR="00D52EB5" w:rsidRPr="00E673CD">
        <w:rPr>
          <w:rFonts w:ascii="Garamond" w:hAnsi="Garamond" w:cs="Times New Roman"/>
          <w:color w:val="000000" w:themeColor="text1"/>
          <w:sz w:val="22"/>
          <w:szCs w:val="22"/>
        </w:rPr>
        <w:t>2 giugno 2016, Pizzo, C</w:t>
      </w:r>
      <w:r w:rsidR="00D52EB5" w:rsidRPr="00E673CD">
        <w:rPr>
          <w:rFonts w:ascii="Garamond" w:hAnsi="Garamond" w:cs="Times New Roman"/>
          <w:color w:val="000000" w:themeColor="text1"/>
          <w:sz w:val="22"/>
          <w:szCs w:val="22"/>
        </w:rPr>
        <w:noBreakHyphen/>
        <w:t>27/15, nonché con l’ordinanza 10 novembre 2016, C-162/16, sostanzialmente recependo l’orientamento di cui all’Adunanza Plenaria 27 luglio 2016, n. 19.</w:t>
      </w:r>
    </w:p>
  </w:footnote>
  <w:footnote w:id="3">
    <w:p w14:paraId="50A9EC45" w14:textId="36A9BC40" w:rsidR="00777D36" w:rsidRPr="00E673CD" w:rsidRDefault="00777D36" w:rsidP="001501CD">
      <w:pPr>
        <w:tabs>
          <w:tab w:val="left" w:pos="8222"/>
          <w:tab w:val="left" w:pos="8931"/>
        </w:tabs>
        <w:ind w:right="1835" w:firstLine="709"/>
        <w:rPr>
          <w:rFonts w:ascii="Garamond" w:eastAsia="Times New Roman" w:hAnsi="Garamond" w:cs="Times New Roman"/>
          <w:sz w:val="22"/>
          <w:szCs w:val="22"/>
        </w:rPr>
      </w:pPr>
      <w:r w:rsidRPr="00E673CD">
        <w:rPr>
          <w:rStyle w:val="Rimandonotaapidipagina"/>
          <w:rFonts w:ascii="Garamond" w:hAnsi="Garamond" w:cs="Times New Roman"/>
          <w:sz w:val="22"/>
          <w:szCs w:val="22"/>
        </w:rPr>
        <w:footnoteRef/>
      </w:r>
      <w:r w:rsidRPr="00E673CD">
        <w:rPr>
          <w:rFonts w:ascii="Garamond" w:hAnsi="Garamond" w:cs="Times New Roman"/>
          <w:sz w:val="22"/>
          <w:szCs w:val="22"/>
        </w:rPr>
        <w:t xml:space="preserve"> T</w:t>
      </w:r>
      <w:r w:rsidRPr="00E673CD">
        <w:rPr>
          <w:rFonts w:ascii="Garamond" w:eastAsia="Times New Roman" w:hAnsi="Garamond" w:cs="Times New Roman"/>
          <w:color w:val="333333"/>
          <w:sz w:val="22"/>
          <w:szCs w:val="22"/>
          <w:shd w:val="clear" w:color="auto" w:fill="FCFCFC"/>
        </w:rPr>
        <w:t xml:space="preserve">AR Sicilia, </w:t>
      </w:r>
      <w:proofErr w:type="spellStart"/>
      <w:r w:rsidRPr="00E673CD">
        <w:rPr>
          <w:rFonts w:ascii="Garamond" w:eastAsia="Times New Roman" w:hAnsi="Garamond" w:cs="Times New Roman"/>
          <w:color w:val="333333"/>
          <w:sz w:val="22"/>
          <w:szCs w:val="22"/>
          <w:shd w:val="clear" w:color="auto" w:fill="FCFCFC"/>
        </w:rPr>
        <w:t>Sez</w:t>
      </w:r>
      <w:proofErr w:type="spellEnd"/>
      <w:r w:rsidRPr="00E673CD">
        <w:rPr>
          <w:rFonts w:ascii="Garamond" w:eastAsia="Times New Roman" w:hAnsi="Garamond" w:cs="Times New Roman"/>
          <w:color w:val="333333"/>
          <w:sz w:val="22"/>
          <w:szCs w:val="22"/>
          <w:shd w:val="clear" w:color="auto" w:fill="FCFCFC"/>
        </w:rPr>
        <w:t xml:space="preserve"> I, 18 luglio 2014, n. 2517.</w:t>
      </w:r>
    </w:p>
  </w:footnote>
  <w:footnote w:id="4">
    <w:p w14:paraId="3B24E20F" w14:textId="0288756A" w:rsidR="00777D36" w:rsidRPr="00E673CD" w:rsidRDefault="00777D36" w:rsidP="001501CD">
      <w:pPr>
        <w:tabs>
          <w:tab w:val="left" w:pos="8222"/>
          <w:tab w:val="left" w:pos="8931"/>
        </w:tabs>
        <w:ind w:right="1835" w:firstLine="709"/>
        <w:jc w:val="both"/>
        <w:rPr>
          <w:rFonts w:ascii="Garamond" w:eastAsia="Times New Roman" w:hAnsi="Garamond" w:cs="Times New Roman"/>
          <w:sz w:val="22"/>
          <w:szCs w:val="22"/>
        </w:rPr>
      </w:pPr>
      <w:r w:rsidRPr="00E673CD">
        <w:rPr>
          <w:rStyle w:val="Rimandonotaapidipagina"/>
          <w:rFonts w:ascii="Garamond" w:hAnsi="Garamond" w:cs="Times New Roman"/>
          <w:sz w:val="22"/>
          <w:szCs w:val="22"/>
        </w:rPr>
        <w:footnoteRef/>
      </w:r>
      <w:r w:rsidRPr="00E673CD">
        <w:rPr>
          <w:rFonts w:ascii="Garamond" w:hAnsi="Garamond" w:cs="Times New Roman"/>
          <w:sz w:val="22"/>
          <w:szCs w:val="22"/>
        </w:rPr>
        <w:t xml:space="preserve"> </w:t>
      </w:r>
      <w:r w:rsidRPr="00E673CD">
        <w:rPr>
          <w:rFonts w:ascii="Garamond" w:eastAsia="Times New Roman" w:hAnsi="Garamond" w:cs="Times New Roman"/>
          <w:color w:val="333333"/>
          <w:sz w:val="22"/>
          <w:szCs w:val="22"/>
          <w:shd w:val="clear" w:color="auto" w:fill="FCFCFC"/>
        </w:rPr>
        <w:t>Consiglio di Stato, Sez. III, 4 marzo 2014, n. 1030.</w:t>
      </w:r>
    </w:p>
  </w:footnote>
  <w:footnote w:id="5">
    <w:p w14:paraId="1CC9D484" w14:textId="04ED2D63" w:rsidR="00777D36" w:rsidRPr="00E673CD" w:rsidRDefault="00777D36" w:rsidP="001501CD">
      <w:pPr>
        <w:tabs>
          <w:tab w:val="left" w:pos="8222"/>
          <w:tab w:val="left" w:pos="8931"/>
        </w:tabs>
        <w:ind w:right="1835" w:firstLine="709"/>
        <w:jc w:val="both"/>
        <w:rPr>
          <w:rFonts w:ascii="Garamond" w:hAnsi="Garamond" w:cs="Times New Roman"/>
          <w:color w:val="000000"/>
          <w:sz w:val="22"/>
          <w:szCs w:val="22"/>
        </w:rPr>
      </w:pPr>
      <w:r w:rsidRPr="00E673CD">
        <w:rPr>
          <w:rStyle w:val="Rimandonotaapidipagina"/>
          <w:rFonts w:ascii="Garamond" w:hAnsi="Garamond"/>
          <w:sz w:val="22"/>
          <w:szCs w:val="22"/>
        </w:rPr>
        <w:footnoteRef/>
      </w:r>
      <w:r w:rsidRPr="00E673CD">
        <w:rPr>
          <w:rFonts w:ascii="Garamond" w:hAnsi="Garamond"/>
          <w:sz w:val="22"/>
          <w:szCs w:val="22"/>
        </w:rPr>
        <w:t xml:space="preserve"> </w:t>
      </w:r>
      <w:r w:rsidRPr="00E673CD">
        <w:rPr>
          <w:rFonts w:ascii="Garamond" w:eastAsia="Times New Roman" w:hAnsi="Garamond" w:cs="Times New Roman"/>
          <w:color w:val="000000"/>
          <w:sz w:val="22"/>
          <w:szCs w:val="22"/>
        </w:rPr>
        <w:t>Consiglio di Stato, sez. III, 18 ottobre 2013, n. 4070</w:t>
      </w:r>
      <w:r w:rsidRPr="00E673CD">
        <w:rPr>
          <w:rFonts w:ascii="Garamond" w:hAnsi="Garamond" w:cs="Times New Roman"/>
          <w:color w:val="000000"/>
          <w:sz w:val="22"/>
          <w:szCs w:val="22"/>
        </w:rPr>
        <w:t>.</w:t>
      </w:r>
    </w:p>
  </w:footnote>
  <w:footnote w:id="6">
    <w:p w14:paraId="677DE7F5" w14:textId="3ED1642F" w:rsidR="00777D36" w:rsidRPr="00E673CD" w:rsidRDefault="00777D36" w:rsidP="001501CD">
      <w:pPr>
        <w:tabs>
          <w:tab w:val="left" w:pos="8222"/>
          <w:tab w:val="left" w:pos="8931"/>
        </w:tabs>
        <w:ind w:right="1835" w:firstLine="709"/>
        <w:jc w:val="both"/>
        <w:rPr>
          <w:rFonts w:ascii="Garamond" w:eastAsia="Times New Roman" w:hAnsi="Garamond" w:cs="Times New Roman"/>
          <w:sz w:val="22"/>
          <w:szCs w:val="22"/>
        </w:rPr>
      </w:pPr>
      <w:r w:rsidRPr="00E673CD">
        <w:rPr>
          <w:rStyle w:val="Rimandonotaapidipagina"/>
          <w:rFonts w:ascii="Garamond" w:hAnsi="Garamond" w:cs="Times New Roman"/>
          <w:sz w:val="22"/>
          <w:szCs w:val="22"/>
        </w:rPr>
        <w:footnoteRef/>
      </w:r>
      <w:r w:rsidRPr="00E673CD">
        <w:rPr>
          <w:rFonts w:ascii="Garamond" w:hAnsi="Garamond" w:cs="Times New Roman"/>
          <w:sz w:val="22"/>
          <w:szCs w:val="22"/>
        </w:rPr>
        <w:t xml:space="preserve"> </w:t>
      </w:r>
      <w:r w:rsidRPr="00E673CD">
        <w:rPr>
          <w:rFonts w:ascii="Garamond" w:eastAsia="Times New Roman" w:hAnsi="Garamond" w:cs="Times New Roman"/>
          <w:color w:val="333333"/>
          <w:sz w:val="22"/>
          <w:szCs w:val="22"/>
          <w:shd w:val="clear" w:color="auto" w:fill="FCFCFC"/>
        </w:rPr>
        <w:t>Consiglio di Stato, Sez. III, 11 luglio 2014, n. 3602.</w:t>
      </w:r>
    </w:p>
    <w:p w14:paraId="05B8B9BD" w14:textId="777B285D" w:rsidR="00777D36" w:rsidRPr="00E673CD" w:rsidRDefault="00777D36" w:rsidP="001501CD">
      <w:pPr>
        <w:pStyle w:val="Testonotaapidipagina"/>
        <w:tabs>
          <w:tab w:val="left" w:pos="8222"/>
          <w:tab w:val="left" w:pos="8931"/>
        </w:tabs>
        <w:ind w:right="1835" w:firstLine="709"/>
        <w:jc w:val="both"/>
        <w:rPr>
          <w:rFonts w:ascii="Garamond" w:hAnsi="Garamond" w:cs="Times New Roman"/>
          <w:sz w:val="22"/>
          <w:szCs w:val="22"/>
        </w:rPr>
      </w:pPr>
    </w:p>
  </w:footnote>
  <w:footnote w:id="7">
    <w:p w14:paraId="219C6B18" w14:textId="71E09F4A" w:rsidR="00777D36" w:rsidRPr="00E673CD" w:rsidRDefault="00777D36" w:rsidP="001501CD">
      <w:pPr>
        <w:pStyle w:val="Testonotaapidipagina"/>
        <w:tabs>
          <w:tab w:val="left" w:pos="8222"/>
          <w:tab w:val="left" w:pos="8931"/>
        </w:tabs>
        <w:ind w:right="-7" w:firstLine="709"/>
        <w:jc w:val="both"/>
        <w:rPr>
          <w:rFonts w:ascii="Garamond" w:hAnsi="Garamond" w:cs="Times New Roman"/>
          <w:color w:val="000000" w:themeColor="text1"/>
          <w:sz w:val="22"/>
          <w:szCs w:val="22"/>
        </w:rPr>
      </w:pPr>
      <w:r w:rsidRPr="00E673CD">
        <w:rPr>
          <w:rStyle w:val="Rimandonotaapidipagina"/>
          <w:rFonts w:ascii="Garamond" w:hAnsi="Garamond" w:cs="Times New Roman"/>
          <w:color w:val="000000" w:themeColor="text1"/>
          <w:sz w:val="22"/>
          <w:szCs w:val="22"/>
        </w:rPr>
        <w:footnoteRef/>
      </w:r>
      <w:r w:rsidRPr="00E673CD">
        <w:rPr>
          <w:rFonts w:ascii="Garamond" w:hAnsi="Garamond" w:cs="Times New Roman"/>
          <w:color w:val="000000" w:themeColor="text1"/>
          <w:sz w:val="22"/>
          <w:szCs w:val="22"/>
        </w:rPr>
        <w:t xml:space="preserve"> Consiglio di Stato, Sez. V, 17 novembre 2015, n. 5264; in termini Consiglio di Stato, Sez. III, 24 novembre 2015, n. 5340; Consiglio di Stato, Sez. V, 3 febbraio 2016, n. 424.</w:t>
      </w:r>
    </w:p>
  </w:footnote>
  <w:footnote w:id="8">
    <w:p w14:paraId="41D671E5" w14:textId="645AD361" w:rsidR="00777D36" w:rsidRPr="00E673CD" w:rsidRDefault="00777D36" w:rsidP="001501CD">
      <w:pPr>
        <w:tabs>
          <w:tab w:val="left" w:pos="8222"/>
          <w:tab w:val="left" w:pos="8931"/>
        </w:tabs>
        <w:ind w:right="-7" w:firstLine="709"/>
        <w:jc w:val="both"/>
        <w:rPr>
          <w:rFonts w:ascii="Garamond" w:hAnsi="Garamond" w:cs="Times New Roman"/>
          <w:color w:val="000000" w:themeColor="text1"/>
          <w:sz w:val="22"/>
          <w:szCs w:val="22"/>
        </w:rPr>
      </w:pPr>
      <w:r w:rsidRPr="00E673CD">
        <w:rPr>
          <w:rStyle w:val="Rimandonotaapidipagina"/>
          <w:rFonts w:ascii="Garamond" w:hAnsi="Garamond" w:cs="Times New Roman"/>
          <w:color w:val="000000" w:themeColor="text1"/>
          <w:sz w:val="22"/>
          <w:szCs w:val="22"/>
        </w:rPr>
        <w:footnoteRef/>
      </w:r>
      <w:r w:rsidRPr="00E673CD">
        <w:rPr>
          <w:rFonts w:ascii="Garamond" w:hAnsi="Garamond" w:cs="Times New Roman"/>
          <w:color w:val="000000" w:themeColor="text1"/>
          <w:sz w:val="22"/>
          <w:szCs w:val="22"/>
        </w:rPr>
        <w:t xml:space="preserve"> Consiglio di Stato, Sez. III, n. 5340/2015; in termini, T.A.R. Puglia, Lecce, Sez. III, 29 febbraio 2016, n. 382.</w:t>
      </w:r>
    </w:p>
  </w:footnote>
  <w:footnote w:id="9">
    <w:p w14:paraId="599C9BBC" w14:textId="344B1790" w:rsidR="00777D36" w:rsidRPr="00E673CD" w:rsidRDefault="00777D36" w:rsidP="001501CD">
      <w:pPr>
        <w:tabs>
          <w:tab w:val="left" w:pos="8222"/>
          <w:tab w:val="left" w:pos="8931"/>
        </w:tabs>
        <w:ind w:right="-7" w:firstLine="709"/>
        <w:rPr>
          <w:rFonts w:ascii="Garamond" w:eastAsia="Times New Roman" w:hAnsi="Garamond" w:cs="Times New Roman"/>
          <w:color w:val="000000" w:themeColor="text1"/>
          <w:sz w:val="22"/>
          <w:szCs w:val="22"/>
        </w:rPr>
      </w:pPr>
      <w:r w:rsidRPr="00E673CD">
        <w:rPr>
          <w:rStyle w:val="Rimandonotaapidipagina"/>
          <w:rFonts w:ascii="Garamond" w:hAnsi="Garamond" w:cs="Times New Roman"/>
          <w:color w:val="000000" w:themeColor="text1"/>
          <w:sz w:val="22"/>
          <w:szCs w:val="22"/>
        </w:rPr>
        <w:footnoteRef/>
      </w:r>
      <w:r w:rsidRPr="00E673CD">
        <w:rPr>
          <w:rFonts w:ascii="Garamond" w:hAnsi="Garamond" w:cs="Times New Roman"/>
          <w:color w:val="000000" w:themeColor="text1"/>
          <w:sz w:val="22"/>
          <w:szCs w:val="22"/>
        </w:rPr>
        <w:t xml:space="preserve"> A séguito dell’ordinanza di rimessione del </w:t>
      </w:r>
      <w:r w:rsidRPr="00E673CD">
        <w:rPr>
          <w:rFonts w:ascii="Garamond" w:eastAsia="Times New Roman" w:hAnsi="Garamond" w:cs="Times New Roman"/>
          <w:color w:val="000000" w:themeColor="text1"/>
          <w:sz w:val="22"/>
          <w:szCs w:val="22"/>
          <w:shd w:val="clear" w:color="auto" w:fill="FCFCFC"/>
        </w:rPr>
        <w:t>C</w:t>
      </w:r>
      <w:r w:rsidR="007B532A" w:rsidRPr="00E673CD">
        <w:rPr>
          <w:rFonts w:ascii="Garamond" w:eastAsia="Times New Roman" w:hAnsi="Garamond" w:cs="Times New Roman"/>
          <w:color w:val="000000" w:themeColor="text1"/>
          <w:sz w:val="22"/>
          <w:szCs w:val="22"/>
          <w:shd w:val="clear" w:color="auto" w:fill="FCFCFC"/>
        </w:rPr>
        <w:t xml:space="preserve">onsiglio di Stato, Sez. V, 18 marzo </w:t>
      </w:r>
      <w:r w:rsidRPr="00E673CD">
        <w:rPr>
          <w:rFonts w:ascii="Garamond" w:eastAsia="Times New Roman" w:hAnsi="Garamond" w:cs="Times New Roman"/>
          <w:color w:val="000000" w:themeColor="text1"/>
          <w:sz w:val="22"/>
          <w:szCs w:val="22"/>
          <w:shd w:val="clear" w:color="auto" w:fill="FCFCFC"/>
        </w:rPr>
        <w:t>2016</w:t>
      </w:r>
      <w:r w:rsidR="007B532A" w:rsidRPr="00E673CD">
        <w:rPr>
          <w:rFonts w:ascii="Garamond" w:eastAsia="Times New Roman" w:hAnsi="Garamond" w:cs="Times New Roman"/>
          <w:color w:val="000000" w:themeColor="text1"/>
          <w:sz w:val="22"/>
          <w:szCs w:val="22"/>
          <w:shd w:val="clear" w:color="auto" w:fill="FCFCFC"/>
        </w:rPr>
        <w:t>,</w:t>
      </w:r>
      <w:r w:rsidRPr="00E673CD">
        <w:rPr>
          <w:rFonts w:ascii="Garamond" w:eastAsia="Times New Roman" w:hAnsi="Garamond" w:cs="Times New Roman"/>
          <w:color w:val="000000" w:themeColor="text1"/>
          <w:sz w:val="22"/>
          <w:szCs w:val="22"/>
          <w:shd w:val="clear" w:color="auto" w:fill="FCFCFC"/>
        </w:rPr>
        <w:t xml:space="preserve"> n. 1116.</w:t>
      </w:r>
    </w:p>
  </w:footnote>
  <w:footnote w:id="10">
    <w:p w14:paraId="688A4491" w14:textId="77777777" w:rsidR="00447D99" w:rsidRPr="00E673CD" w:rsidRDefault="00447D99" w:rsidP="001501CD">
      <w:pPr>
        <w:tabs>
          <w:tab w:val="left" w:pos="8222"/>
          <w:tab w:val="left" w:pos="8931"/>
        </w:tabs>
        <w:ind w:right="-7" w:firstLine="709"/>
        <w:jc w:val="both"/>
        <w:rPr>
          <w:rFonts w:ascii="Garamond" w:eastAsia="Times New Roman" w:hAnsi="Garamond" w:cs="Times New Roman"/>
          <w:sz w:val="22"/>
          <w:szCs w:val="22"/>
        </w:rPr>
      </w:pPr>
      <w:r w:rsidRPr="00E673CD">
        <w:rPr>
          <w:rStyle w:val="Rimandonotaapidipagina"/>
          <w:rFonts w:ascii="Garamond" w:hAnsi="Garamond" w:cs="Times New Roman"/>
          <w:sz w:val="22"/>
          <w:szCs w:val="22"/>
        </w:rPr>
        <w:footnoteRef/>
      </w:r>
      <w:r w:rsidRPr="00E673CD">
        <w:rPr>
          <w:rFonts w:ascii="Garamond" w:hAnsi="Garamond" w:cs="Times New Roman"/>
          <w:sz w:val="22"/>
          <w:szCs w:val="22"/>
        </w:rPr>
        <w:t xml:space="preserve"> </w:t>
      </w:r>
      <w:r w:rsidRPr="00E673CD">
        <w:rPr>
          <w:rFonts w:ascii="Garamond" w:eastAsia="Times New Roman" w:hAnsi="Garamond" w:cs="Times New Roman"/>
          <w:color w:val="333333"/>
          <w:sz w:val="22"/>
          <w:szCs w:val="22"/>
          <w:shd w:val="clear" w:color="auto" w:fill="FCFCFC"/>
        </w:rPr>
        <w:t>La questione pregiudiziale è stata sollevata dal Tar Molise, Sez. I, 12 febbraio 2016, n.77, sulla scia del TAR Piemonte sez. II, 16.12.2015, n. 1745.</w:t>
      </w:r>
    </w:p>
    <w:p w14:paraId="1B756537" w14:textId="77777777" w:rsidR="00447D99" w:rsidRPr="00E673CD" w:rsidRDefault="00447D99" w:rsidP="001501CD">
      <w:pPr>
        <w:pStyle w:val="Testonotaapidipagina"/>
        <w:tabs>
          <w:tab w:val="left" w:pos="8222"/>
          <w:tab w:val="left" w:pos="8931"/>
        </w:tabs>
        <w:ind w:right="1835" w:firstLine="709"/>
        <w:rPr>
          <w:rFonts w:ascii="Garamond" w:hAnsi="Garamond"/>
          <w:sz w:val="22"/>
          <w:szCs w:val="22"/>
        </w:rPr>
      </w:pPr>
    </w:p>
  </w:footnote>
  <w:footnote w:id="11">
    <w:p w14:paraId="65A25AD4" w14:textId="4317F54B" w:rsidR="00777D36" w:rsidRPr="00E673CD" w:rsidRDefault="00777D36" w:rsidP="001501CD">
      <w:pPr>
        <w:tabs>
          <w:tab w:val="left" w:pos="7797"/>
          <w:tab w:val="left" w:pos="8931"/>
          <w:tab w:val="left" w:pos="9632"/>
        </w:tabs>
        <w:ind w:right="-7" w:firstLine="709"/>
        <w:jc w:val="both"/>
        <w:rPr>
          <w:rFonts w:ascii="Garamond" w:hAnsi="Garamond" w:cs="Times New Roman"/>
          <w:sz w:val="22"/>
          <w:szCs w:val="22"/>
        </w:rPr>
      </w:pPr>
      <w:r w:rsidRPr="00E673CD">
        <w:rPr>
          <w:rStyle w:val="Rimandonotaapidipagina"/>
          <w:rFonts w:ascii="Garamond" w:hAnsi="Garamond" w:cs="Times New Roman"/>
          <w:sz w:val="22"/>
          <w:szCs w:val="22"/>
        </w:rPr>
        <w:footnoteRef/>
      </w:r>
      <w:r w:rsidRPr="00E673CD">
        <w:rPr>
          <w:rFonts w:ascii="Garamond" w:hAnsi="Garamond" w:cs="Times New Roman"/>
          <w:sz w:val="22"/>
          <w:szCs w:val="22"/>
        </w:rPr>
        <w:t xml:space="preserve"> </w:t>
      </w:r>
      <w:r w:rsidRPr="00E673CD">
        <w:rPr>
          <w:rFonts w:ascii="Garamond" w:eastAsia="Times New Roman" w:hAnsi="Garamond" w:cs="Times New Roman"/>
          <w:bCs/>
          <w:sz w:val="22"/>
          <w:szCs w:val="22"/>
        </w:rPr>
        <w:t xml:space="preserve">Tar Puglia – Lecce sez. III, sentenza 28 dicembre 2016, n. 2003, in </w:t>
      </w:r>
      <w:r w:rsidR="009C28EC" w:rsidRPr="00E673CD">
        <w:rPr>
          <w:rFonts w:ascii="Garamond" w:eastAsia="Times New Roman" w:hAnsi="Garamond" w:cs="Times New Roman"/>
          <w:bCs/>
          <w:i/>
          <w:sz w:val="22"/>
          <w:szCs w:val="22"/>
        </w:rPr>
        <w:t>italiappalti</w:t>
      </w:r>
      <w:r w:rsidR="00A6380B" w:rsidRPr="00E673CD">
        <w:rPr>
          <w:rFonts w:ascii="Garamond" w:eastAsia="Times New Roman" w:hAnsi="Garamond" w:cs="Times New Roman"/>
          <w:bCs/>
          <w:i/>
          <w:sz w:val="22"/>
          <w:szCs w:val="22"/>
        </w:rPr>
        <w:t>.it</w:t>
      </w:r>
      <w:r w:rsidRPr="00E673CD">
        <w:rPr>
          <w:rFonts w:ascii="Garamond" w:eastAsia="Times New Roman" w:hAnsi="Garamond" w:cs="Times New Roman"/>
          <w:bCs/>
          <w:sz w:val="22"/>
          <w:szCs w:val="22"/>
        </w:rPr>
        <w:t xml:space="preserve"> con nota di </w:t>
      </w:r>
      <w:r w:rsidR="009C28EC" w:rsidRPr="00E673CD">
        <w:rPr>
          <w:rFonts w:ascii="Garamond" w:eastAsia="Times New Roman" w:hAnsi="Garamond" w:cs="Times New Roman"/>
          <w:bCs/>
          <w:sz w:val="22"/>
          <w:szCs w:val="22"/>
        </w:rPr>
        <w:t xml:space="preserve">M. </w:t>
      </w:r>
      <w:r w:rsidRPr="00E673CD">
        <w:rPr>
          <w:rFonts w:ascii="Garamond" w:eastAsia="Times New Roman" w:hAnsi="Garamond" w:cs="Times New Roman"/>
          <w:smallCaps/>
          <w:sz w:val="22"/>
          <w:szCs w:val="22"/>
        </w:rPr>
        <w:t>Lesto</w:t>
      </w:r>
      <w:r w:rsidRPr="00E673CD">
        <w:rPr>
          <w:rFonts w:ascii="Garamond" w:eastAsia="Times New Roman" w:hAnsi="Garamond" w:cs="Times New Roman"/>
          <w:bCs/>
          <w:sz w:val="22"/>
          <w:szCs w:val="22"/>
        </w:rPr>
        <w:t>.</w:t>
      </w:r>
    </w:p>
  </w:footnote>
  <w:footnote w:id="12">
    <w:p w14:paraId="7F999EB5" w14:textId="7CF72B50" w:rsidR="00777D36" w:rsidRPr="00E673CD" w:rsidRDefault="00777D36" w:rsidP="001501CD">
      <w:pPr>
        <w:pStyle w:val="Testonotaapidipagina"/>
        <w:tabs>
          <w:tab w:val="left" w:pos="8222"/>
          <w:tab w:val="left" w:pos="8931"/>
        </w:tabs>
        <w:ind w:right="-7" w:firstLine="709"/>
        <w:jc w:val="both"/>
        <w:rPr>
          <w:rFonts w:ascii="Times New Roman" w:hAnsi="Times New Roman" w:cs="Times New Roman"/>
          <w:sz w:val="22"/>
          <w:szCs w:val="22"/>
        </w:rPr>
      </w:pPr>
      <w:r w:rsidRPr="00E673CD">
        <w:rPr>
          <w:rStyle w:val="Rimandonotaapidipagina"/>
          <w:rFonts w:ascii="Garamond" w:hAnsi="Garamond" w:cs="Times New Roman"/>
          <w:sz w:val="22"/>
          <w:szCs w:val="22"/>
        </w:rPr>
        <w:footnoteRef/>
      </w:r>
      <w:r w:rsidRPr="00E673CD">
        <w:rPr>
          <w:rFonts w:ascii="Garamond" w:hAnsi="Garamond" w:cs="Times New Roman"/>
          <w:sz w:val="22"/>
          <w:szCs w:val="22"/>
        </w:rPr>
        <w:t xml:space="preserve"> Si veda in proposito l’ordinanza del Consiglio di Stato, Sez. V, 15 dicembre 2016, n. 5582, in </w:t>
      </w:r>
      <w:r w:rsidR="009C28EC" w:rsidRPr="00E673CD">
        <w:rPr>
          <w:rFonts w:ascii="Garamond" w:hAnsi="Garamond" w:cs="Times New Roman"/>
          <w:i/>
          <w:sz w:val="22"/>
          <w:szCs w:val="22"/>
        </w:rPr>
        <w:t>italiappalti.it</w:t>
      </w:r>
      <w:r w:rsidRPr="00E673CD">
        <w:rPr>
          <w:rFonts w:ascii="Garamond" w:hAnsi="Garamond" w:cs="Times New Roman"/>
          <w:sz w:val="22"/>
          <w:szCs w:val="22"/>
        </w:rPr>
        <w:t xml:space="preserve"> con nota di </w:t>
      </w:r>
      <w:r w:rsidR="009C28EC" w:rsidRPr="00E673CD">
        <w:rPr>
          <w:rFonts w:ascii="Garamond" w:hAnsi="Garamond" w:cs="Times New Roman"/>
          <w:sz w:val="22"/>
          <w:szCs w:val="22"/>
        </w:rPr>
        <w:t xml:space="preserve">V. </w:t>
      </w:r>
      <w:r w:rsidRPr="00E673CD">
        <w:rPr>
          <w:rFonts w:ascii="Garamond" w:hAnsi="Garamond" w:cs="Times New Roman"/>
          <w:smallCaps/>
          <w:sz w:val="22"/>
          <w:szCs w:val="22"/>
        </w:rPr>
        <w:t>Vitale</w:t>
      </w:r>
      <w:r w:rsidRPr="00E673CD">
        <w:rPr>
          <w:rFonts w:ascii="Garamond" w:hAnsi="Garamond" w:cs="Times New Roman"/>
          <w:sz w:val="22"/>
          <w:szCs w:val="22"/>
        </w:rPr>
        <w:t>. Nella menzionata ordinanza, il Collegio ha recisamente respinto le prospettazioni dell’appellante.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C519E"/>
    <w:multiLevelType w:val="hybridMultilevel"/>
    <w:tmpl w:val="76A2A09C"/>
    <w:lvl w:ilvl="0" w:tplc="D390C24C">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3A"/>
    <w:rsid w:val="00004578"/>
    <w:rsid w:val="00022505"/>
    <w:rsid w:val="00025E34"/>
    <w:rsid w:val="000346D1"/>
    <w:rsid w:val="00040853"/>
    <w:rsid w:val="00054EC0"/>
    <w:rsid w:val="000A050E"/>
    <w:rsid w:val="000A103C"/>
    <w:rsid w:val="000C5BEB"/>
    <w:rsid w:val="000D6565"/>
    <w:rsid w:val="001131EE"/>
    <w:rsid w:val="001501CD"/>
    <w:rsid w:val="00151405"/>
    <w:rsid w:val="00155C13"/>
    <w:rsid w:val="00174725"/>
    <w:rsid w:val="001A0896"/>
    <w:rsid w:val="001B7A72"/>
    <w:rsid w:val="001D1C13"/>
    <w:rsid w:val="001E1FC2"/>
    <w:rsid w:val="00202F03"/>
    <w:rsid w:val="00215201"/>
    <w:rsid w:val="00215CA9"/>
    <w:rsid w:val="00257C92"/>
    <w:rsid w:val="0027617D"/>
    <w:rsid w:val="00280CFB"/>
    <w:rsid w:val="002A5B4F"/>
    <w:rsid w:val="002B08FD"/>
    <w:rsid w:val="002B6EEC"/>
    <w:rsid w:val="002E0DD9"/>
    <w:rsid w:val="002F6271"/>
    <w:rsid w:val="00300C73"/>
    <w:rsid w:val="00315D59"/>
    <w:rsid w:val="00391950"/>
    <w:rsid w:val="00404524"/>
    <w:rsid w:val="004138D1"/>
    <w:rsid w:val="00414B4B"/>
    <w:rsid w:val="00447D99"/>
    <w:rsid w:val="00472026"/>
    <w:rsid w:val="00476634"/>
    <w:rsid w:val="00486A91"/>
    <w:rsid w:val="004A4B5A"/>
    <w:rsid w:val="004E31E9"/>
    <w:rsid w:val="004E3AD4"/>
    <w:rsid w:val="00515C31"/>
    <w:rsid w:val="005225B0"/>
    <w:rsid w:val="00530AF4"/>
    <w:rsid w:val="00553324"/>
    <w:rsid w:val="00554F8E"/>
    <w:rsid w:val="0055738A"/>
    <w:rsid w:val="005C5934"/>
    <w:rsid w:val="005E5618"/>
    <w:rsid w:val="00606B7A"/>
    <w:rsid w:val="006209C9"/>
    <w:rsid w:val="00626D67"/>
    <w:rsid w:val="00630A70"/>
    <w:rsid w:val="00637E3B"/>
    <w:rsid w:val="00645581"/>
    <w:rsid w:val="00645F40"/>
    <w:rsid w:val="00681475"/>
    <w:rsid w:val="006A32E6"/>
    <w:rsid w:val="006C7D14"/>
    <w:rsid w:val="006D17A6"/>
    <w:rsid w:val="006D54AF"/>
    <w:rsid w:val="006E60E6"/>
    <w:rsid w:val="0070429F"/>
    <w:rsid w:val="00716D04"/>
    <w:rsid w:val="00730CC4"/>
    <w:rsid w:val="00750BE6"/>
    <w:rsid w:val="00761AF0"/>
    <w:rsid w:val="00777D36"/>
    <w:rsid w:val="007838CC"/>
    <w:rsid w:val="007B1C46"/>
    <w:rsid w:val="007B532A"/>
    <w:rsid w:val="007E393B"/>
    <w:rsid w:val="007F0F21"/>
    <w:rsid w:val="00803AF4"/>
    <w:rsid w:val="008055D2"/>
    <w:rsid w:val="00822C1F"/>
    <w:rsid w:val="00832ACE"/>
    <w:rsid w:val="00851E9D"/>
    <w:rsid w:val="00857C43"/>
    <w:rsid w:val="008718E7"/>
    <w:rsid w:val="00873BBB"/>
    <w:rsid w:val="00885B53"/>
    <w:rsid w:val="00885D38"/>
    <w:rsid w:val="008934A1"/>
    <w:rsid w:val="008954D5"/>
    <w:rsid w:val="008961C1"/>
    <w:rsid w:val="008C633C"/>
    <w:rsid w:val="008F16C6"/>
    <w:rsid w:val="008F5186"/>
    <w:rsid w:val="009222C0"/>
    <w:rsid w:val="0092777A"/>
    <w:rsid w:val="00935648"/>
    <w:rsid w:val="00937114"/>
    <w:rsid w:val="00945697"/>
    <w:rsid w:val="0097659F"/>
    <w:rsid w:val="009859BB"/>
    <w:rsid w:val="00991EC6"/>
    <w:rsid w:val="009B1A02"/>
    <w:rsid w:val="009C28EC"/>
    <w:rsid w:val="009C4991"/>
    <w:rsid w:val="009C5025"/>
    <w:rsid w:val="009D06BB"/>
    <w:rsid w:val="009E377A"/>
    <w:rsid w:val="00A020AF"/>
    <w:rsid w:val="00A05715"/>
    <w:rsid w:val="00A40D8B"/>
    <w:rsid w:val="00A441AD"/>
    <w:rsid w:val="00A545D2"/>
    <w:rsid w:val="00A57076"/>
    <w:rsid w:val="00A6380B"/>
    <w:rsid w:val="00A65C3B"/>
    <w:rsid w:val="00A8539C"/>
    <w:rsid w:val="00AB05F0"/>
    <w:rsid w:val="00AC6A84"/>
    <w:rsid w:val="00AE508B"/>
    <w:rsid w:val="00B00C3A"/>
    <w:rsid w:val="00B02CCD"/>
    <w:rsid w:val="00B10F70"/>
    <w:rsid w:val="00B1179D"/>
    <w:rsid w:val="00B245D8"/>
    <w:rsid w:val="00B37327"/>
    <w:rsid w:val="00B37E69"/>
    <w:rsid w:val="00B46CA9"/>
    <w:rsid w:val="00B6227A"/>
    <w:rsid w:val="00B72532"/>
    <w:rsid w:val="00BE2CEA"/>
    <w:rsid w:val="00C21674"/>
    <w:rsid w:val="00C222D4"/>
    <w:rsid w:val="00C33DEF"/>
    <w:rsid w:val="00C60FEE"/>
    <w:rsid w:val="00C859D6"/>
    <w:rsid w:val="00CA1230"/>
    <w:rsid w:val="00CB4D38"/>
    <w:rsid w:val="00CE13B8"/>
    <w:rsid w:val="00CE2D2B"/>
    <w:rsid w:val="00CE3FF2"/>
    <w:rsid w:val="00CF1761"/>
    <w:rsid w:val="00D16C98"/>
    <w:rsid w:val="00D3640E"/>
    <w:rsid w:val="00D45515"/>
    <w:rsid w:val="00D52EB5"/>
    <w:rsid w:val="00D5397E"/>
    <w:rsid w:val="00D576E8"/>
    <w:rsid w:val="00D72766"/>
    <w:rsid w:val="00D906FE"/>
    <w:rsid w:val="00DB5E2B"/>
    <w:rsid w:val="00DB7D00"/>
    <w:rsid w:val="00DC768C"/>
    <w:rsid w:val="00DF7501"/>
    <w:rsid w:val="00E12805"/>
    <w:rsid w:val="00E43B37"/>
    <w:rsid w:val="00E673CD"/>
    <w:rsid w:val="00ED07C5"/>
    <w:rsid w:val="00EF2CE3"/>
    <w:rsid w:val="00F07F1F"/>
    <w:rsid w:val="00F10DA4"/>
    <w:rsid w:val="00F37BC8"/>
    <w:rsid w:val="00F43AB1"/>
    <w:rsid w:val="00F52D01"/>
    <w:rsid w:val="00F65BCF"/>
    <w:rsid w:val="00FB45FB"/>
    <w:rsid w:val="00FC19A2"/>
    <w:rsid w:val="00FD16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BDF1C"/>
  <w14:defaultImageDpi w14:val="300"/>
  <w15:docId w15:val="{30868C17-587E-4F3F-BD64-AC0130CB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0C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00C3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predefinitoparagrafo"/>
    <w:rsid w:val="00A65C3B"/>
  </w:style>
  <w:style w:type="paragraph" w:styleId="Paragrafoelenco">
    <w:name w:val="List Paragraph"/>
    <w:basedOn w:val="Normale"/>
    <w:uiPriority w:val="34"/>
    <w:qFormat/>
    <w:rsid w:val="00873BBB"/>
    <w:pPr>
      <w:ind w:left="720"/>
      <w:contextualSpacing/>
    </w:pPr>
  </w:style>
  <w:style w:type="character" w:styleId="Collegamentoipertestuale">
    <w:name w:val="Hyperlink"/>
    <w:basedOn w:val="Carpredefinitoparagrafo"/>
    <w:uiPriority w:val="99"/>
    <w:semiHidden/>
    <w:unhideWhenUsed/>
    <w:rsid w:val="00D5397E"/>
    <w:rPr>
      <w:color w:val="0000FF"/>
      <w:u w:val="single"/>
    </w:rPr>
  </w:style>
  <w:style w:type="character" w:styleId="Enfasicorsivo">
    <w:name w:val="Emphasis"/>
    <w:basedOn w:val="Carpredefinitoparagrafo"/>
    <w:uiPriority w:val="20"/>
    <w:qFormat/>
    <w:rsid w:val="00D5397E"/>
    <w:rPr>
      <w:i/>
      <w:iCs/>
    </w:rPr>
  </w:style>
  <w:style w:type="paragraph" w:styleId="Testonotaapidipagina">
    <w:name w:val="footnote text"/>
    <w:basedOn w:val="Normale"/>
    <w:link w:val="TestonotaapidipaginaCarattere"/>
    <w:uiPriority w:val="99"/>
    <w:unhideWhenUsed/>
    <w:rsid w:val="009D06BB"/>
  </w:style>
  <w:style w:type="character" w:customStyle="1" w:styleId="TestonotaapidipaginaCarattere">
    <w:name w:val="Testo nota a piè di pagina Carattere"/>
    <w:basedOn w:val="Carpredefinitoparagrafo"/>
    <w:link w:val="Testonotaapidipagina"/>
    <w:uiPriority w:val="99"/>
    <w:rsid w:val="009D06BB"/>
  </w:style>
  <w:style w:type="character" w:styleId="Rimandonotaapidipagina">
    <w:name w:val="footnote reference"/>
    <w:basedOn w:val="Carpredefinitoparagrafo"/>
    <w:uiPriority w:val="99"/>
    <w:unhideWhenUsed/>
    <w:rsid w:val="009D06BB"/>
    <w:rPr>
      <w:vertAlign w:val="superscript"/>
    </w:rPr>
  </w:style>
  <w:style w:type="paragraph" w:customStyle="1" w:styleId="didefault">
    <w:name w:val="didefault"/>
    <w:basedOn w:val="Normale"/>
    <w:rsid w:val="00935648"/>
    <w:pPr>
      <w:spacing w:before="100" w:beforeAutospacing="1" w:after="100" w:afterAutospacing="1"/>
    </w:pPr>
    <w:rPr>
      <w:rFonts w:ascii="Times" w:hAnsi="Times"/>
      <w:sz w:val="20"/>
      <w:szCs w:val="20"/>
    </w:rPr>
  </w:style>
  <w:style w:type="character" w:styleId="Titolodellibro">
    <w:name w:val="Book Title"/>
    <w:basedOn w:val="Carpredefinitoparagrafo"/>
    <w:uiPriority w:val="33"/>
    <w:qFormat/>
    <w:rsid w:val="00D16C9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0806">
      <w:bodyDiv w:val="1"/>
      <w:marLeft w:val="0"/>
      <w:marRight w:val="0"/>
      <w:marTop w:val="0"/>
      <w:marBottom w:val="0"/>
      <w:divBdr>
        <w:top w:val="none" w:sz="0" w:space="0" w:color="auto"/>
        <w:left w:val="none" w:sz="0" w:space="0" w:color="auto"/>
        <w:bottom w:val="none" w:sz="0" w:space="0" w:color="auto"/>
        <w:right w:val="none" w:sz="0" w:space="0" w:color="auto"/>
      </w:divBdr>
    </w:div>
    <w:div w:id="190806876">
      <w:bodyDiv w:val="1"/>
      <w:marLeft w:val="0"/>
      <w:marRight w:val="0"/>
      <w:marTop w:val="0"/>
      <w:marBottom w:val="0"/>
      <w:divBdr>
        <w:top w:val="none" w:sz="0" w:space="0" w:color="auto"/>
        <w:left w:val="none" w:sz="0" w:space="0" w:color="auto"/>
        <w:bottom w:val="none" w:sz="0" w:space="0" w:color="auto"/>
        <w:right w:val="none" w:sz="0" w:space="0" w:color="auto"/>
      </w:divBdr>
    </w:div>
    <w:div w:id="357044492">
      <w:bodyDiv w:val="1"/>
      <w:marLeft w:val="0"/>
      <w:marRight w:val="0"/>
      <w:marTop w:val="0"/>
      <w:marBottom w:val="0"/>
      <w:divBdr>
        <w:top w:val="none" w:sz="0" w:space="0" w:color="auto"/>
        <w:left w:val="none" w:sz="0" w:space="0" w:color="auto"/>
        <w:bottom w:val="none" w:sz="0" w:space="0" w:color="auto"/>
        <w:right w:val="none" w:sz="0" w:space="0" w:color="auto"/>
      </w:divBdr>
    </w:div>
    <w:div w:id="433062744">
      <w:bodyDiv w:val="1"/>
      <w:marLeft w:val="0"/>
      <w:marRight w:val="0"/>
      <w:marTop w:val="0"/>
      <w:marBottom w:val="0"/>
      <w:divBdr>
        <w:top w:val="none" w:sz="0" w:space="0" w:color="auto"/>
        <w:left w:val="none" w:sz="0" w:space="0" w:color="auto"/>
        <w:bottom w:val="none" w:sz="0" w:space="0" w:color="auto"/>
        <w:right w:val="none" w:sz="0" w:space="0" w:color="auto"/>
      </w:divBdr>
    </w:div>
    <w:div w:id="488061448">
      <w:bodyDiv w:val="1"/>
      <w:marLeft w:val="0"/>
      <w:marRight w:val="0"/>
      <w:marTop w:val="0"/>
      <w:marBottom w:val="0"/>
      <w:divBdr>
        <w:top w:val="none" w:sz="0" w:space="0" w:color="auto"/>
        <w:left w:val="none" w:sz="0" w:space="0" w:color="auto"/>
        <w:bottom w:val="none" w:sz="0" w:space="0" w:color="auto"/>
        <w:right w:val="none" w:sz="0" w:space="0" w:color="auto"/>
      </w:divBdr>
    </w:div>
    <w:div w:id="615672420">
      <w:bodyDiv w:val="1"/>
      <w:marLeft w:val="0"/>
      <w:marRight w:val="0"/>
      <w:marTop w:val="0"/>
      <w:marBottom w:val="0"/>
      <w:divBdr>
        <w:top w:val="none" w:sz="0" w:space="0" w:color="auto"/>
        <w:left w:val="none" w:sz="0" w:space="0" w:color="auto"/>
        <w:bottom w:val="none" w:sz="0" w:space="0" w:color="auto"/>
        <w:right w:val="none" w:sz="0" w:space="0" w:color="auto"/>
      </w:divBdr>
    </w:div>
    <w:div w:id="790171436">
      <w:bodyDiv w:val="1"/>
      <w:marLeft w:val="0"/>
      <w:marRight w:val="0"/>
      <w:marTop w:val="0"/>
      <w:marBottom w:val="0"/>
      <w:divBdr>
        <w:top w:val="none" w:sz="0" w:space="0" w:color="auto"/>
        <w:left w:val="none" w:sz="0" w:space="0" w:color="auto"/>
        <w:bottom w:val="none" w:sz="0" w:space="0" w:color="auto"/>
        <w:right w:val="none" w:sz="0" w:space="0" w:color="auto"/>
      </w:divBdr>
    </w:div>
    <w:div w:id="832140391">
      <w:bodyDiv w:val="1"/>
      <w:marLeft w:val="0"/>
      <w:marRight w:val="0"/>
      <w:marTop w:val="0"/>
      <w:marBottom w:val="0"/>
      <w:divBdr>
        <w:top w:val="none" w:sz="0" w:space="0" w:color="auto"/>
        <w:left w:val="none" w:sz="0" w:space="0" w:color="auto"/>
        <w:bottom w:val="none" w:sz="0" w:space="0" w:color="auto"/>
        <w:right w:val="none" w:sz="0" w:space="0" w:color="auto"/>
      </w:divBdr>
    </w:div>
    <w:div w:id="902522338">
      <w:bodyDiv w:val="1"/>
      <w:marLeft w:val="0"/>
      <w:marRight w:val="0"/>
      <w:marTop w:val="0"/>
      <w:marBottom w:val="0"/>
      <w:divBdr>
        <w:top w:val="none" w:sz="0" w:space="0" w:color="auto"/>
        <w:left w:val="none" w:sz="0" w:space="0" w:color="auto"/>
        <w:bottom w:val="none" w:sz="0" w:space="0" w:color="auto"/>
        <w:right w:val="none" w:sz="0" w:space="0" w:color="auto"/>
      </w:divBdr>
    </w:div>
    <w:div w:id="971061597">
      <w:bodyDiv w:val="1"/>
      <w:marLeft w:val="0"/>
      <w:marRight w:val="0"/>
      <w:marTop w:val="0"/>
      <w:marBottom w:val="0"/>
      <w:divBdr>
        <w:top w:val="none" w:sz="0" w:space="0" w:color="auto"/>
        <w:left w:val="none" w:sz="0" w:space="0" w:color="auto"/>
        <w:bottom w:val="none" w:sz="0" w:space="0" w:color="auto"/>
        <w:right w:val="none" w:sz="0" w:space="0" w:color="auto"/>
      </w:divBdr>
    </w:div>
    <w:div w:id="1155100461">
      <w:bodyDiv w:val="1"/>
      <w:marLeft w:val="0"/>
      <w:marRight w:val="0"/>
      <w:marTop w:val="0"/>
      <w:marBottom w:val="0"/>
      <w:divBdr>
        <w:top w:val="none" w:sz="0" w:space="0" w:color="auto"/>
        <w:left w:val="none" w:sz="0" w:space="0" w:color="auto"/>
        <w:bottom w:val="none" w:sz="0" w:space="0" w:color="auto"/>
        <w:right w:val="none" w:sz="0" w:space="0" w:color="auto"/>
      </w:divBdr>
    </w:div>
    <w:div w:id="1331300171">
      <w:bodyDiv w:val="1"/>
      <w:marLeft w:val="0"/>
      <w:marRight w:val="0"/>
      <w:marTop w:val="0"/>
      <w:marBottom w:val="0"/>
      <w:divBdr>
        <w:top w:val="none" w:sz="0" w:space="0" w:color="auto"/>
        <w:left w:val="none" w:sz="0" w:space="0" w:color="auto"/>
        <w:bottom w:val="none" w:sz="0" w:space="0" w:color="auto"/>
        <w:right w:val="none" w:sz="0" w:space="0" w:color="auto"/>
      </w:divBdr>
    </w:div>
    <w:div w:id="1331828732">
      <w:bodyDiv w:val="1"/>
      <w:marLeft w:val="0"/>
      <w:marRight w:val="0"/>
      <w:marTop w:val="0"/>
      <w:marBottom w:val="0"/>
      <w:divBdr>
        <w:top w:val="none" w:sz="0" w:space="0" w:color="auto"/>
        <w:left w:val="none" w:sz="0" w:space="0" w:color="auto"/>
        <w:bottom w:val="none" w:sz="0" w:space="0" w:color="auto"/>
        <w:right w:val="none" w:sz="0" w:space="0" w:color="auto"/>
      </w:divBdr>
    </w:div>
    <w:div w:id="1488781852">
      <w:bodyDiv w:val="1"/>
      <w:marLeft w:val="0"/>
      <w:marRight w:val="0"/>
      <w:marTop w:val="0"/>
      <w:marBottom w:val="0"/>
      <w:divBdr>
        <w:top w:val="none" w:sz="0" w:space="0" w:color="auto"/>
        <w:left w:val="none" w:sz="0" w:space="0" w:color="auto"/>
        <w:bottom w:val="none" w:sz="0" w:space="0" w:color="auto"/>
        <w:right w:val="none" w:sz="0" w:space="0" w:color="auto"/>
      </w:divBdr>
    </w:div>
    <w:div w:id="1514568130">
      <w:bodyDiv w:val="1"/>
      <w:marLeft w:val="0"/>
      <w:marRight w:val="0"/>
      <w:marTop w:val="0"/>
      <w:marBottom w:val="0"/>
      <w:divBdr>
        <w:top w:val="none" w:sz="0" w:space="0" w:color="auto"/>
        <w:left w:val="none" w:sz="0" w:space="0" w:color="auto"/>
        <w:bottom w:val="none" w:sz="0" w:space="0" w:color="auto"/>
        <w:right w:val="none" w:sz="0" w:space="0" w:color="auto"/>
      </w:divBdr>
    </w:div>
    <w:div w:id="1632858964">
      <w:bodyDiv w:val="1"/>
      <w:marLeft w:val="0"/>
      <w:marRight w:val="0"/>
      <w:marTop w:val="0"/>
      <w:marBottom w:val="0"/>
      <w:divBdr>
        <w:top w:val="none" w:sz="0" w:space="0" w:color="auto"/>
        <w:left w:val="none" w:sz="0" w:space="0" w:color="auto"/>
        <w:bottom w:val="none" w:sz="0" w:space="0" w:color="auto"/>
        <w:right w:val="none" w:sz="0" w:space="0" w:color="auto"/>
      </w:divBdr>
    </w:div>
    <w:div w:id="1943411132">
      <w:bodyDiv w:val="1"/>
      <w:marLeft w:val="0"/>
      <w:marRight w:val="0"/>
      <w:marTop w:val="0"/>
      <w:marBottom w:val="0"/>
      <w:divBdr>
        <w:top w:val="none" w:sz="0" w:space="0" w:color="auto"/>
        <w:left w:val="none" w:sz="0" w:space="0" w:color="auto"/>
        <w:bottom w:val="none" w:sz="0" w:space="0" w:color="auto"/>
        <w:right w:val="none" w:sz="0" w:space="0" w:color="auto"/>
      </w:divBdr>
    </w:div>
    <w:div w:id="2063090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5D48-2AA4-446D-B177-45D21A4D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5325</Words>
  <Characters>30353</Characters>
  <Application>Microsoft Office Word</Application>
  <DocSecurity>0</DocSecurity>
  <Lines>252</Lines>
  <Paragraphs>71</Paragraphs>
  <ScaleCrop>false</ScaleCrop>
  <Company>Luiss Guido Carli</Company>
  <LinksUpToDate>false</LinksUpToDate>
  <CharactersWithSpaces>35607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Ciaralli</dc:creator>
  <cp:keywords/>
  <dc:description/>
  <cp:lastModifiedBy>FERRARI Giulia</cp:lastModifiedBy>
  <cp:revision>4</cp:revision>
  <dcterms:created xsi:type="dcterms:W3CDTF">2017-07-27T18:07:00Z</dcterms:created>
  <dcterms:modified xsi:type="dcterms:W3CDTF">2017-07-27T18:09:00Z</dcterms:modified>
</cp:coreProperties>
</file>