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EE" w:rsidRPr="004C3486" w:rsidRDefault="0081509D" w:rsidP="009731BA">
      <w:pPr>
        <w:spacing w:line="360" w:lineRule="auto"/>
        <w:jc w:val="center"/>
        <w:rPr>
          <w:b/>
          <w:sz w:val="48"/>
          <w:szCs w:val="48"/>
        </w:rPr>
      </w:pPr>
      <w:r>
        <w:rPr>
          <w:b/>
          <w:sz w:val="48"/>
          <w:szCs w:val="48"/>
        </w:rPr>
        <w:t xml:space="preserve"> </w:t>
      </w:r>
    </w:p>
    <w:p w:rsidR="00AB2541" w:rsidRPr="0081509D" w:rsidRDefault="00000354" w:rsidP="009731BA">
      <w:pPr>
        <w:spacing w:line="360" w:lineRule="auto"/>
        <w:jc w:val="center"/>
        <w:rPr>
          <w:b/>
          <w:sz w:val="48"/>
          <w:szCs w:val="48"/>
        </w:rPr>
      </w:pPr>
      <w:r>
        <w:rPr>
          <w:b/>
          <w:sz w:val="48"/>
          <w:szCs w:val="48"/>
        </w:rPr>
        <w:t>Le</w:t>
      </w:r>
      <w:r w:rsidR="0088582C" w:rsidRPr="0081509D">
        <w:rPr>
          <w:b/>
          <w:sz w:val="48"/>
          <w:szCs w:val="48"/>
        </w:rPr>
        <w:t xml:space="preserve"> linee gui</w:t>
      </w:r>
      <w:r w:rsidR="0010349B" w:rsidRPr="0081509D">
        <w:rPr>
          <w:b/>
          <w:sz w:val="48"/>
          <w:szCs w:val="48"/>
        </w:rPr>
        <w:t xml:space="preserve">da dell’ANAC: </w:t>
      </w:r>
      <w:r>
        <w:rPr>
          <w:b/>
          <w:sz w:val="48"/>
          <w:szCs w:val="48"/>
        </w:rPr>
        <w:t>una nuova fonte del diritto?</w:t>
      </w:r>
      <w:r w:rsidR="00C9050F" w:rsidRPr="0081509D">
        <w:rPr>
          <w:b/>
          <w:sz w:val="48"/>
          <w:szCs w:val="48"/>
        </w:rPr>
        <w:t xml:space="preserve"> </w:t>
      </w:r>
    </w:p>
    <w:p w:rsidR="00F61BE1" w:rsidRDefault="00F61BE1" w:rsidP="00C9050F">
      <w:pPr>
        <w:spacing w:line="360" w:lineRule="auto"/>
        <w:jc w:val="center"/>
        <w:rPr>
          <w:sz w:val="32"/>
          <w:szCs w:val="32"/>
        </w:rPr>
      </w:pPr>
    </w:p>
    <w:p w:rsidR="00BC4C03" w:rsidRDefault="00C9050F" w:rsidP="00C9050F">
      <w:pPr>
        <w:spacing w:line="360" w:lineRule="auto"/>
        <w:jc w:val="both"/>
        <w:rPr>
          <w:b/>
          <w:sz w:val="28"/>
        </w:rPr>
      </w:pPr>
      <w:r>
        <w:rPr>
          <w:b/>
          <w:sz w:val="28"/>
          <w:szCs w:val="28"/>
          <w:u w:val="single"/>
        </w:rPr>
        <w:t>SOMMARIO:</w:t>
      </w:r>
      <w:r>
        <w:rPr>
          <w:sz w:val="28"/>
          <w:szCs w:val="28"/>
        </w:rPr>
        <w:t xml:space="preserve"> </w:t>
      </w:r>
      <w:r>
        <w:rPr>
          <w:b/>
          <w:sz w:val="28"/>
          <w:szCs w:val="28"/>
        </w:rPr>
        <w:t>1.- Pre</w:t>
      </w:r>
      <w:r w:rsidR="00E95B0D">
        <w:rPr>
          <w:b/>
          <w:sz w:val="28"/>
          <w:szCs w:val="28"/>
        </w:rPr>
        <w:t>messa</w:t>
      </w:r>
      <w:r w:rsidR="0081509D">
        <w:rPr>
          <w:b/>
          <w:sz w:val="28"/>
          <w:szCs w:val="28"/>
        </w:rPr>
        <w:t>: la crisi del</w:t>
      </w:r>
      <w:r w:rsidR="00B85942">
        <w:rPr>
          <w:b/>
          <w:sz w:val="28"/>
          <w:szCs w:val="28"/>
        </w:rPr>
        <w:t xml:space="preserve"> sistema</w:t>
      </w:r>
      <w:r w:rsidR="0081509D">
        <w:rPr>
          <w:b/>
          <w:sz w:val="28"/>
          <w:szCs w:val="28"/>
        </w:rPr>
        <w:t xml:space="preserve"> delle fonti</w:t>
      </w:r>
      <w:r w:rsidR="00E95B0D">
        <w:rPr>
          <w:b/>
          <w:sz w:val="28"/>
          <w:szCs w:val="28"/>
        </w:rPr>
        <w:t>; 2.- Il potere regolamentare nella Costituzione e nella legge n.</w:t>
      </w:r>
      <w:r w:rsidR="00125B7C">
        <w:rPr>
          <w:b/>
          <w:sz w:val="28"/>
          <w:szCs w:val="28"/>
        </w:rPr>
        <w:t xml:space="preserve"> </w:t>
      </w:r>
      <w:r w:rsidR="00E95B0D">
        <w:rPr>
          <w:b/>
          <w:sz w:val="28"/>
          <w:szCs w:val="28"/>
        </w:rPr>
        <w:t>400 del 1988</w:t>
      </w:r>
      <w:r>
        <w:rPr>
          <w:b/>
          <w:sz w:val="28"/>
          <w:szCs w:val="28"/>
        </w:rPr>
        <w:t xml:space="preserve">; </w:t>
      </w:r>
      <w:r w:rsidR="00864178">
        <w:rPr>
          <w:b/>
          <w:sz w:val="28"/>
          <w:szCs w:val="28"/>
        </w:rPr>
        <w:t xml:space="preserve">3.- </w:t>
      </w:r>
      <w:r w:rsidR="00BF3F19">
        <w:rPr>
          <w:b/>
          <w:sz w:val="28"/>
          <w:szCs w:val="28"/>
        </w:rPr>
        <w:t>L</w:t>
      </w:r>
      <w:r w:rsidR="00E95B0D">
        <w:rPr>
          <w:b/>
          <w:sz w:val="28"/>
          <w:szCs w:val="28"/>
        </w:rPr>
        <w:t>a fuga dal regolamento</w:t>
      </w:r>
      <w:r w:rsidR="00864178">
        <w:rPr>
          <w:b/>
          <w:sz w:val="28"/>
          <w:szCs w:val="28"/>
        </w:rPr>
        <w:t xml:space="preserve">; </w:t>
      </w:r>
      <w:r w:rsidR="00E50609">
        <w:rPr>
          <w:b/>
          <w:sz w:val="28"/>
          <w:szCs w:val="28"/>
        </w:rPr>
        <w:t>4.- I caratteri identificativi degli atti di normazione secondaria</w:t>
      </w:r>
      <w:r w:rsidR="00DB7B27">
        <w:rPr>
          <w:b/>
          <w:sz w:val="28"/>
          <w:szCs w:val="28"/>
        </w:rPr>
        <w:t>; 5</w:t>
      </w:r>
      <w:r>
        <w:rPr>
          <w:b/>
          <w:sz w:val="28"/>
        </w:rPr>
        <w:t xml:space="preserve">.- </w:t>
      </w:r>
      <w:r w:rsidR="00E95B0D">
        <w:rPr>
          <w:b/>
          <w:sz w:val="28"/>
        </w:rPr>
        <w:t>Un fenomeno recente: le linee guida</w:t>
      </w:r>
      <w:r w:rsidR="00DB7B27">
        <w:rPr>
          <w:b/>
          <w:sz w:val="28"/>
        </w:rPr>
        <w:t xml:space="preserve">; </w:t>
      </w:r>
      <w:r w:rsidR="006F0FE4">
        <w:rPr>
          <w:b/>
          <w:sz w:val="28"/>
        </w:rPr>
        <w:t>6.- La (difficile) qualificazione giuridica delle line</w:t>
      </w:r>
      <w:r w:rsidR="0086052B">
        <w:rPr>
          <w:b/>
          <w:sz w:val="28"/>
        </w:rPr>
        <w:t>e</w:t>
      </w:r>
      <w:r w:rsidR="006F0FE4">
        <w:rPr>
          <w:b/>
          <w:sz w:val="28"/>
        </w:rPr>
        <w:t xml:space="preserve"> guida dell’ANAC</w:t>
      </w:r>
      <w:r w:rsidR="00DB7B27">
        <w:rPr>
          <w:b/>
          <w:sz w:val="28"/>
        </w:rPr>
        <w:t>; 7</w:t>
      </w:r>
      <w:r w:rsidR="00BC4C03">
        <w:rPr>
          <w:b/>
          <w:sz w:val="28"/>
        </w:rPr>
        <w:t>.-</w:t>
      </w:r>
      <w:r w:rsidR="009D5EEE">
        <w:rPr>
          <w:b/>
          <w:sz w:val="28"/>
        </w:rPr>
        <w:t xml:space="preserve"> La legittimazione democrati</w:t>
      </w:r>
      <w:r w:rsidR="00D807D4">
        <w:rPr>
          <w:b/>
          <w:sz w:val="28"/>
        </w:rPr>
        <w:t>ca nella produzione del</w:t>
      </w:r>
      <w:r w:rsidR="009D5EEE">
        <w:rPr>
          <w:b/>
          <w:sz w:val="28"/>
        </w:rPr>
        <w:t xml:space="preserve"> diritto; 8.-</w:t>
      </w:r>
      <w:r w:rsidR="00BC4C03">
        <w:rPr>
          <w:b/>
          <w:sz w:val="28"/>
        </w:rPr>
        <w:t xml:space="preserve"> Considerazioni finali</w:t>
      </w:r>
      <w:r w:rsidR="00FF2387">
        <w:rPr>
          <w:b/>
          <w:sz w:val="28"/>
        </w:rPr>
        <w:t>: un nuovo equilibrio tra politica e mercato</w:t>
      </w:r>
      <w:r w:rsidR="00BC4C03">
        <w:rPr>
          <w:b/>
          <w:sz w:val="28"/>
        </w:rPr>
        <w:t>.</w:t>
      </w:r>
    </w:p>
    <w:p w:rsidR="00BC4C03" w:rsidRDefault="00BC4C03" w:rsidP="00C9050F">
      <w:pPr>
        <w:spacing w:line="360" w:lineRule="auto"/>
        <w:jc w:val="both"/>
        <w:rPr>
          <w:b/>
          <w:sz w:val="28"/>
        </w:rPr>
      </w:pPr>
    </w:p>
    <w:p w:rsidR="00BC4C03" w:rsidRDefault="00BC4C03" w:rsidP="00BC4C03">
      <w:pPr>
        <w:spacing w:line="360" w:lineRule="auto"/>
        <w:jc w:val="both"/>
        <w:rPr>
          <w:b/>
          <w:sz w:val="28"/>
          <w:szCs w:val="28"/>
        </w:rPr>
      </w:pPr>
      <w:r>
        <w:rPr>
          <w:b/>
          <w:sz w:val="28"/>
          <w:szCs w:val="28"/>
        </w:rPr>
        <w:t>1.- Premessa</w:t>
      </w:r>
      <w:r w:rsidR="0081509D">
        <w:rPr>
          <w:b/>
          <w:sz w:val="28"/>
          <w:szCs w:val="28"/>
        </w:rPr>
        <w:t>: la crisi del</w:t>
      </w:r>
      <w:r w:rsidR="00B85942">
        <w:rPr>
          <w:b/>
          <w:sz w:val="28"/>
          <w:szCs w:val="28"/>
        </w:rPr>
        <w:t xml:space="preserve"> si</w:t>
      </w:r>
      <w:r w:rsidR="00FF2387">
        <w:rPr>
          <w:b/>
          <w:sz w:val="28"/>
          <w:szCs w:val="28"/>
        </w:rPr>
        <w:t>s</w:t>
      </w:r>
      <w:r w:rsidR="00B85942">
        <w:rPr>
          <w:b/>
          <w:sz w:val="28"/>
          <w:szCs w:val="28"/>
        </w:rPr>
        <w:t>tema</w:t>
      </w:r>
      <w:r w:rsidR="0081509D">
        <w:rPr>
          <w:b/>
          <w:sz w:val="28"/>
          <w:szCs w:val="28"/>
        </w:rPr>
        <w:t xml:space="preserve"> delle fonti</w:t>
      </w:r>
      <w:r>
        <w:rPr>
          <w:b/>
          <w:sz w:val="28"/>
          <w:szCs w:val="28"/>
        </w:rPr>
        <w:t>.</w:t>
      </w:r>
    </w:p>
    <w:p w:rsidR="00022BA6" w:rsidRDefault="00022BA6" w:rsidP="00BC4C03">
      <w:pPr>
        <w:spacing w:line="360" w:lineRule="auto"/>
        <w:jc w:val="both"/>
        <w:rPr>
          <w:sz w:val="28"/>
          <w:szCs w:val="28"/>
        </w:rPr>
      </w:pPr>
    </w:p>
    <w:p w:rsidR="003353A9" w:rsidRDefault="00021506" w:rsidP="00BC4C03">
      <w:pPr>
        <w:spacing w:line="360" w:lineRule="auto"/>
        <w:jc w:val="both"/>
        <w:rPr>
          <w:sz w:val="28"/>
          <w:szCs w:val="28"/>
        </w:rPr>
      </w:pPr>
      <w:r>
        <w:rPr>
          <w:sz w:val="28"/>
          <w:szCs w:val="28"/>
        </w:rPr>
        <w:t>L’i</w:t>
      </w:r>
      <w:r w:rsidR="009D5EEE">
        <w:rPr>
          <w:sz w:val="28"/>
          <w:szCs w:val="28"/>
        </w:rPr>
        <w:t>nsegnamento tradizionale</w:t>
      </w:r>
      <w:r>
        <w:rPr>
          <w:sz w:val="28"/>
          <w:szCs w:val="28"/>
        </w:rPr>
        <w:t xml:space="preserve">, rinvenibile in tutti gli studi classici dei costituzionalisti, della classificazione delle fonti del diritto in leggi, regolamenti e consuetudini non è mai apparso, come adesso, antico e, per molti versi, superato da prassi eversive di quell’ordine dogmatico. </w:t>
      </w:r>
    </w:p>
    <w:p w:rsidR="00021506" w:rsidRDefault="009D5EEE" w:rsidP="00BC4C03">
      <w:pPr>
        <w:spacing w:line="360" w:lineRule="auto"/>
        <w:jc w:val="both"/>
        <w:rPr>
          <w:sz w:val="28"/>
          <w:szCs w:val="28"/>
        </w:rPr>
      </w:pPr>
      <w:r>
        <w:rPr>
          <w:sz w:val="28"/>
          <w:szCs w:val="28"/>
        </w:rPr>
        <w:t xml:space="preserve">La </w:t>
      </w:r>
      <w:r w:rsidR="00021506">
        <w:rPr>
          <w:sz w:val="28"/>
          <w:szCs w:val="28"/>
        </w:rPr>
        <w:t>predetta catalogazione delle fonti di produzione delle norme giuridiche, concepita con riferimento a un assetto economico-sociale ottocentesco,</w:t>
      </w:r>
      <w:r>
        <w:rPr>
          <w:sz w:val="28"/>
          <w:szCs w:val="28"/>
        </w:rPr>
        <w:t xml:space="preserve"> è entrata in crisi </w:t>
      </w:r>
      <w:r w:rsidR="004A08D0">
        <w:rPr>
          <w:sz w:val="28"/>
          <w:szCs w:val="28"/>
        </w:rPr>
        <w:t>per effetto delle sollecitazioni</w:t>
      </w:r>
      <w:r>
        <w:rPr>
          <w:sz w:val="28"/>
          <w:szCs w:val="28"/>
        </w:rPr>
        <w:t xml:space="preserve"> dell’</w:t>
      </w:r>
      <w:r w:rsidR="00022BA6">
        <w:rPr>
          <w:sz w:val="28"/>
          <w:szCs w:val="28"/>
        </w:rPr>
        <w:t>economia globalizzata, che esige</w:t>
      </w:r>
      <w:r w:rsidR="004C3486">
        <w:rPr>
          <w:sz w:val="28"/>
          <w:szCs w:val="28"/>
        </w:rPr>
        <w:t xml:space="preserve"> </w:t>
      </w:r>
      <w:r w:rsidR="00AD0ECC">
        <w:rPr>
          <w:sz w:val="28"/>
          <w:szCs w:val="28"/>
        </w:rPr>
        <w:t>una regolazione più flessibile</w:t>
      </w:r>
      <w:r w:rsidR="00021506">
        <w:rPr>
          <w:sz w:val="28"/>
          <w:szCs w:val="28"/>
        </w:rPr>
        <w:t xml:space="preserve">, </w:t>
      </w:r>
      <w:r w:rsidR="004C3486">
        <w:rPr>
          <w:sz w:val="28"/>
          <w:szCs w:val="28"/>
        </w:rPr>
        <w:t xml:space="preserve">veloce e meno formale. </w:t>
      </w:r>
    </w:p>
    <w:p w:rsidR="009D5EEE" w:rsidRDefault="00021506" w:rsidP="00BC4C03">
      <w:pPr>
        <w:spacing w:line="360" w:lineRule="auto"/>
        <w:jc w:val="both"/>
        <w:rPr>
          <w:sz w:val="28"/>
          <w:szCs w:val="28"/>
        </w:rPr>
      </w:pPr>
      <w:r>
        <w:rPr>
          <w:sz w:val="28"/>
          <w:szCs w:val="28"/>
        </w:rPr>
        <w:t>Le impellenti e ineludibili pressioni del mondo del</w:t>
      </w:r>
      <w:r w:rsidR="005F26CA">
        <w:rPr>
          <w:sz w:val="28"/>
          <w:szCs w:val="28"/>
        </w:rPr>
        <w:t xml:space="preserve"> mercato</w:t>
      </w:r>
      <w:r>
        <w:rPr>
          <w:sz w:val="28"/>
          <w:szCs w:val="28"/>
        </w:rPr>
        <w:t xml:space="preserve"> e della finanza, in particolare, </w:t>
      </w:r>
      <w:r w:rsidR="00000354">
        <w:rPr>
          <w:sz w:val="28"/>
          <w:szCs w:val="28"/>
        </w:rPr>
        <w:t xml:space="preserve">hanno </w:t>
      </w:r>
      <w:r>
        <w:rPr>
          <w:sz w:val="28"/>
          <w:szCs w:val="28"/>
        </w:rPr>
        <w:t>prodotto una vera e propria destrutturazione dell’assetto delle fonti, per come disegnato nella Co</w:t>
      </w:r>
      <w:r w:rsidR="00440F48">
        <w:rPr>
          <w:sz w:val="28"/>
          <w:szCs w:val="28"/>
        </w:rPr>
        <w:t xml:space="preserve">stituzione </w:t>
      </w:r>
      <w:r>
        <w:rPr>
          <w:sz w:val="28"/>
          <w:szCs w:val="28"/>
        </w:rPr>
        <w:t>repubblicana,</w:t>
      </w:r>
      <w:r w:rsidR="00022BA6">
        <w:rPr>
          <w:sz w:val="28"/>
          <w:szCs w:val="28"/>
        </w:rPr>
        <w:t xml:space="preserve"> mediante</w:t>
      </w:r>
      <w:r w:rsidR="00661209">
        <w:rPr>
          <w:sz w:val="28"/>
          <w:szCs w:val="28"/>
        </w:rPr>
        <w:t xml:space="preserve"> forzature degli (e deviazioni dagli) schemi</w:t>
      </w:r>
      <w:r>
        <w:rPr>
          <w:sz w:val="28"/>
          <w:szCs w:val="28"/>
        </w:rPr>
        <w:t xml:space="preserve"> </w:t>
      </w:r>
      <w:r w:rsidR="00661209">
        <w:rPr>
          <w:sz w:val="28"/>
          <w:szCs w:val="28"/>
        </w:rPr>
        <w:t>normativi tipici e conosciuti</w:t>
      </w:r>
      <w:r w:rsidR="00B62C58">
        <w:rPr>
          <w:rStyle w:val="FootnoteReference"/>
          <w:sz w:val="28"/>
          <w:szCs w:val="28"/>
        </w:rPr>
        <w:footnoteReference w:id="1"/>
      </w:r>
      <w:r w:rsidR="00661209">
        <w:rPr>
          <w:sz w:val="28"/>
          <w:szCs w:val="28"/>
        </w:rPr>
        <w:t>.</w:t>
      </w:r>
    </w:p>
    <w:p w:rsidR="00661209" w:rsidRDefault="004C3486" w:rsidP="00BC4C03">
      <w:pPr>
        <w:spacing w:line="360" w:lineRule="auto"/>
        <w:jc w:val="both"/>
        <w:rPr>
          <w:sz w:val="28"/>
          <w:szCs w:val="28"/>
        </w:rPr>
      </w:pPr>
      <w:r>
        <w:rPr>
          <w:sz w:val="28"/>
          <w:szCs w:val="28"/>
        </w:rPr>
        <w:lastRenderedPageBreak/>
        <w:t>Sul pia</w:t>
      </w:r>
      <w:r w:rsidR="00661209">
        <w:rPr>
          <w:sz w:val="28"/>
          <w:szCs w:val="28"/>
        </w:rPr>
        <w:t>no delle fonti primarie, le esigenze di velocità e immediatezza degli interventi normativi sono state</w:t>
      </w:r>
      <w:r w:rsidR="00022BA6">
        <w:rPr>
          <w:sz w:val="28"/>
          <w:szCs w:val="28"/>
        </w:rPr>
        <w:t xml:space="preserve"> soddisfatte</w:t>
      </w:r>
      <w:r>
        <w:rPr>
          <w:sz w:val="28"/>
          <w:szCs w:val="28"/>
        </w:rPr>
        <w:t xml:space="preserve"> con un uso smodato (abnorme?) della decretazione d’urgenza, ai limiti (se non oltre) dei confini assegnati dalla Costituzione alla valida adozione di decreti legge</w:t>
      </w:r>
      <w:r w:rsidR="006E37D6">
        <w:rPr>
          <w:sz w:val="28"/>
          <w:szCs w:val="28"/>
        </w:rPr>
        <w:t xml:space="preserve"> (con il conseguente, improprio spostamento del baricentro decisionale dal Parlamento al Governo)</w:t>
      </w:r>
      <w:r>
        <w:rPr>
          <w:sz w:val="28"/>
          <w:szCs w:val="28"/>
        </w:rPr>
        <w:t>.</w:t>
      </w:r>
      <w:r w:rsidR="00661209">
        <w:rPr>
          <w:sz w:val="28"/>
          <w:szCs w:val="28"/>
        </w:rPr>
        <w:t xml:space="preserve"> </w:t>
      </w:r>
    </w:p>
    <w:p w:rsidR="004C3486" w:rsidRDefault="004C3486" w:rsidP="00BC4C03">
      <w:pPr>
        <w:spacing w:line="360" w:lineRule="auto"/>
        <w:jc w:val="both"/>
        <w:rPr>
          <w:sz w:val="28"/>
          <w:szCs w:val="28"/>
        </w:rPr>
      </w:pPr>
      <w:r>
        <w:rPr>
          <w:sz w:val="28"/>
          <w:szCs w:val="28"/>
        </w:rPr>
        <w:t>Ma la crisi più evidente ha colpito la normazione secondaria.</w:t>
      </w:r>
    </w:p>
    <w:p w:rsidR="00B34D55" w:rsidRDefault="004C3486" w:rsidP="00BC4C03">
      <w:pPr>
        <w:spacing w:line="360" w:lineRule="auto"/>
        <w:jc w:val="both"/>
        <w:rPr>
          <w:sz w:val="28"/>
          <w:szCs w:val="28"/>
        </w:rPr>
      </w:pPr>
      <w:r>
        <w:rPr>
          <w:sz w:val="28"/>
          <w:szCs w:val="28"/>
        </w:rPr>
        <w:t>I re</w:t>
      </w:r>
      <w:r w:rsidR="00BA2AB7">
        <w:rPr>
          <w:sz w:val="28"/>
          <w:szCs w:val="28"/>
        </w:rPr>
        <w:t>golamenti governativi sono</w:t>
      </w:r>
      <w:r>
        <w:rPr>
          <w:sz w:val="28"/>
          <w:szCs w:val="28"/>
        </w:rPr>
        <w:t>, infatti,</w:t>
      </w:r>
      <w:r w:rsidR="00BA2AB7">
        <w:rPr>
          <w:sz w:val="28"/>
          <w:szCs w:val="28"/>
        </w:rPr>
        <w:t xml:space="preserve"> ormai percepiti come strumenti regolativi obsoleti, lenti, inidonei a soddisfare le istanze</w:t>
      </w:r>
      <w:r w:rsidR="00021506">
        <w:rPr>
          <w:sz w:val="28"/>
          <w:szCs w:val="28"/>
        </w:rPr>
        <w:t>, dinamiche e mobili,</w:t>
      </w:r>
      <w:r w:rsidR="00BA2AB7">
        <w:rPr>
          <w:sz w:val="28"/>
          <w:szCs w:val="28"/>
        </w:rPr>
        <w:t xml:space="preserve"> </w:t>
      </w:r>
      <w:r w:rsidR="00021506">
        <w:rPr>
          <w:sz w:val="28"/>
          <w:szCs w:val="28"/>
        </w:rPr>
        <w:t xml:space="preserve">del mondo produttivo. </w:t>
      </w:r>
      <w:r>
        <w:rPr>
          <w:sz w:val="28"/>
          <w:szCs w:val="28"/>
        </w:rPr>
        <w:t xml:space="preserve">  </w:t>
      </w:r>
    </w:p>
    <w:p w:rsidR="00C06BE3" w:rsidRDefault="00661209" w:rsidP="00BC4C03">
      <w:pPr>
        <w:spacing w:line="360" w:lineRule="auto"/>
        <w:jc w:val="both"/>
        <w:rPr>
          <w:sz w:val="28"/>
          <w:szCs w:val="28"/>
        </w:rPr>
      </w:pPr>
      <w:r>
        <w:rPr>
          <w:sz w:val="28"/>
          <w:szCs w:val="28"/>
        </w:rPr>
        <w:t>La regolazione di rango secondario</w:t>
      </w:r>
      <w:r w:rsidR="00000354">
        <w:rPr>
          <w:sz w:val="28"/>
          <w:szCs w:val="28"/>
        </w:rPr>
        <w:t>, in particolare,</w:t>
      </w:r>
      <w:r w:rsidR="00B34D55">
        <w:rPr>
          <w:sz w:val="28"/>
          <w:szCs w:val="28"/>
        </w:rPr>
        <w:t xml:space="preserve"> </w:t>
      </w:r>
      <w:r>
        <w:rPr>
          <w:sz w:val="28"/>
          <w:szCs w:val="28"/>
        </w:rPr>
        <w:t>è stata</w:t>
      </w:r>
      <w:r w:rsidR="008419E3">
        <w:rPr>
          <w:sz w:val="28"/>
          <w:szCs w:val="28"/>
        </w:rPr>
        <w:t xml:space="preserve"> </w:t>
      </w:r>
      <w:r>
        <w:rPr>
          <w:sz w:val="28"/>
          <w:szCs w:val="28"/>
        </w:rPr>
        <w:t>sempre più spesso concepita e decretata al di fuori dello schema procedurale tipico stabilito da</w:t>
      </w:r>
      <w:r w:rsidR="00287B58">
        <w:rPr>
          <w:sz w:val="28"/>
          <w:szCs w:val="28"/>
        </w:rPr>
        <w:t>l</w:t>
      </w:r>
      <w:r>
        <w:rPr>
          <w:sz w:val="28"/>
          <w:szCs w:val="28"/>
        </w:rPr>
        <w:t xml:space="preserve">l’art.17 della legge n.400 del 1988 (con il fenomeno della c.d. fuga dal regolamento di cui ci occuperemo meglio </w:t>
      </w:r>
      <w:r w:rsidRPr="00340E2F">
        <w:rPr>
          <w:i/>
          <w:sz w:val="28"/>
          <w:szCs w:val="28"/>
        </w:rPr>
        <w:t>infra</w:t>
      </w:r>
      <w:r>
        <w:rPr>
          <w:sz w:val="28"/>
          <w:szCs w:val="28"/>
        </w:rPr>
        <w:t>)</w:t>
      </w:r>
      <w:r w:rsidR="00C06BE3">
        <w:rPr>
          <w:sz w:val="28"/>
          <w:szCs w:val="28"/>
        </w:rPr>
        <w:t>.</w:t>
      </w:r>
    </w:p>
    <w:p w:rsidR="00A366D4" w:rsidRDefault="00C06BE3" w:rsidP="00A366D4">
      <w:pPr>
        <w:spacing w:line="360" w:lineRule="auto"/>
        <w:jc w:val="both"/>
        <w:rPr>
          <w:sz w:val="28"/>
          <w:szCs w:val="28"/>
        </w:rPr>
      </w:pPr>
      <w:r>
        <w:rPr>
          <w:sz w:val="28"/>
          <w:szCs w:val="28"/>
        </w:rPr>
        <w:t>Al modello dei regolamenti governativi e ministeriali</w:t>
      </w:r>
      <w:r w:rsidR="00000354">
        <w:rPr>
          <w:sz w:val="28"/>
          <w:szCs w:val="28"/>
        </w:rPr>
        <w:t>, infatti,</w:t>
      </w:r>
      <w:r>
        <w:rPr>
          <w:sz w:val="28"/>
          <w:szCs w:val="28"/>
        </w:rPr>
        <w:t xml:space="preserve"> sono stati</w:t>
      </w:r>
      <w:r w:rsidR="008419E3">
        <w:rPr>
          <w:sz w:val="28"/>
          <w:szCs w:val="28"/>
        </w:rPr>
        <w:t xml:space="preserve"> </w:t>
      </w:r>
      <w:r>
        <w:rPr>
          <w:sz w:val="28"/>
          <w:szCs w:val="28"/>
        </w:rPr>
        <w:t xml:space="preserve">preferiti </w:t>
      </w:r>
      <w:r w:rsidR="00AD0ECC">
        <w:rPr>
          <w:sz w:val="28"/>
          <w:szCs w:val="28"/>
        </w:rPr>
        <w:t>schemi regolativi più agili e flessibili, a detrimento delle garanzie procedurali e conoscitive, ma con il pragmati</w:t>
      </w:r>
      <w:r w:rsidR="00A366D4">
        <w:rPr>
          <w:sz w:val="28"/>
          <w:szCs w:val="28"/>
        </w:rPr>
        <w:t xml:space="preserve">co vantaggio della rapidità dell’intervento.  </w:t>
      </w:r>
    </w:p>
    <w:p w:rsidR="00A366D4" w:rsidRDefault="00A366D4" w:rsidP="00A366D4">
      <w:pPr>
        <w:spacing w:line="360" w:lineRule="auto"/>
        <w:jc w:val="both"/>
        <w:rPr>
          <w:sz w:val="28"/>
          <w:szCs w:val="28"/>
        </w:rPr>
      </w:pPr>
      <w:r>
        <w:rPr>
          <w:sz w:val="28"/>
          <w:szCs w:val="28"/>
        </w:rPr>
        <w:t>E’ proprio con la disamina della crisi del regolamento che si avvertono, peraltro, i caratteri più macroscopici della frattura</w:t>
      </w:r>
      <w:r w:rsidR="00104983">
        <w:rPr>
          <w:sz w:val="28"/>
          <w:szCs w:val="28"/>
        </w:rPr>
        <w:t>, per effetto della spinta del mercato, delle regole classiche della legittimazione costituzionale nella produzione del diritto.</w:t>
      </w:r>
      <w:r>
        <w:rPr>
          <w:sz w:val="28"/>
          <w:szCs w:val="28"/>
        </w:rPr>
        <w:t xml:space="preserve">  </w:t>
      </w:r>
    </w:p>
    <w:p w:rsidR="008C37AA" w:rsidRDefault="00104983" w:rsidP="00BC4C03">
      <w:pPr>
        <w:spacing w:line="360" w:lineRule="auto"/>
        <w:jc w:val="both"/>
        <w:rPr>
          <w:sz w:val="28"/>
          <w:szCs w:val="28"/>
        </w:rPr>
      </w:pPr>
      <w:r>
        <w:rPr>
          <w:sz w:val="28"/>
          <w:szCs w:val="28"/>
        </w:rPr>
        <w:t>Sembra avverarsi l’auspicio, inizialmente formulato da Adam</w:t>
      </w:r>
      <w:r w:rsidR="008C37AA">
        <w:rPr>
          <w:sz w:val="28"/>
          <w:szCs w:val="28"/>
        </w:rPr>
        <w:t xml:space="preserve"> Smith e, poi, ripreso e teorizzato</w:t>
      </w:r>
      <w:r>
        <w:rPr>
          <w:sz w:val="28"/>
          <w:szCs w:val="28"/>
        </w:rPr>
        <w:t xml:space="preserve"> da</w:t>
      </w:r>
      <w:r w:rsidR="008C37AA">
        <w:rPr>
          <w:sz w:val="28"/>
          <w:szCs w:val="28"/>
        </w:rPr>
        <w:t xml:space="preserve"> Coase, circa la preminenza del mercato (in quanto </w:t>
      </w:r>
      <w:r w:rsidR="00340E2F">
        <w:rPr>
          <w:sz w:val="28"/>
          <w:szCs w:val="28"/>
        </w:rPr>
        <w:t xml:space="preserve">ritenuto </w:t>
      </w:r>
      <w:r w:rsidR="008C37AA">
        <w:rPr>
          <w:sz w:val="28"/>
          <w:szCs w:val="28"/>
        </w:rPr>
        <w:t xml:space="preserve">naturalmente capace di generare più efficienza) sulla politica, nella misura in cui la regolazione della finanza e delle transazioni </w:t>
      </w:r>
      <w:r w:rsidR="004A08D0">
        <w:rPr>
          <w:sz w:val="28"/>
          <w:szCs w:val="28"/>
        </w:rPr>
        <w:t xml:space="preserve">economiche </w:t>
      </w:r>
      <w:r w:rsidR="008C37AA">
        <w:rPr>
          <w:sz w:val="28"/>
          <w:szCs w:val="28"/>
        </w:rPr>
        <w:t xml:space="preserve">viene (sempre più) esternalizzata verso processi decisionali partecipati e negoziati tra gli operatori del mercato e autorità amministrative estranee al circuito della legittimazione democratica.  </w:t>
      </w:r>
    </w:p>
    <w:p w:rsidR="00A366D4" w:rsidRDefault="008C37AA" w:rsidP="00BC4C03">
      <w:pPr>
        <w:spacing w:line="360" w:lineRule="auto"/>
        <w:jc w:val="both"/>
        <w:rPr>
          <w:sz w:val="28"/>
          <w:szCs w:val="28"/>
        </w:rPr>
      </w:pPr>
      <w:r>
        <w:rPr>
          <w:sz w:val="28"/>
          <w:szCs w:val="28"/>
        </w:rPr>
        <w:t>Si tratta, in altri termini</w:t>
      </w:r>
      <w:r w:rsidR="00000354">
        <w:rPr>
          <w:sz w:val="28"/>
          <w:szCs w:val="28"/>
        </w:rPr>
        <w:t>,</w:t>
      </w:r>
      <w:r>
        <w:rPr>
          <w:sz w:val="28"/>
          <w:szCs w:val="28"/>
        </w:rPr>
        <w:t xml:space="preserve"> di un processo di progressiva erosione della sfera della regolazione autoritativa, formale e costituzionale</w:t>
      </w:r>
      <w:r w:rsidR="00000354">
        <w:rPr>
          <w:sz w:val="28"/>
          <w:szCs w:val="28"/>
        </w:rPr>
        <w:t>,</w:t>
      </w:r>
      <w:r>
        <w:rPr>
          <w:sz w:val="28"/>
          <w:szCs w:val="28"/>
        </w:rPr>
        <w:t xml:space="preserve"> in fa</w:t>
      </w:r>
      <w:r w:rsidR="004D2B3E">
        <w:rPr>
          <w:sz w:val="28"/>
          <w:szCs w:val="28"/>
        </w:rPr>
        <w:t>vore di strumenti di normazione</w:t>
      </w:r>
      <w:r>
        <w:rPr>
          <w:sz w:val="28"/>
          <w:szCs w:val="28"/>
        </w:rPr>
        <w:t xml:space="preserve"> flessibile, atipica e concertata, che si</w:t>
      </w:r>
      <w:r w:rsidR="004D2B3E">
        <w:rPr>
          <w:sz w:val="28"/>
          <w:szCs w:val="28"/>
        </w:rPr>
        <w:t xml:space="preserve"> pongono ai margini del perimetro di </w:t>
      </w:r>
      <w:r w:rsidR="004D2B3E">
        <w:rPr>
          <w:sz w:val="28"/>
          <w:szCs w:val="28"/>
        </w:rPr>
        <w:lastRenderedPageBreak/>
        <w:t>operatività</w:t>
      </w:r>
      <w:r>
        <w:rPr>
          <w:sz w:val="28"/>
          <w:szCs w:val="28"/>
        </w:rPr>
        <w:t xml:space="preserve"> del principio di legalità e che rischiano, in definitiva, di minare (paradossalmente) proprio le garanzie dello Stato liberale.   </w:t>
      </w:r>
      <w:r w:rsidR="00104983">
        <w:rPr>
          <w:sz w:val="28"/>
          <w:szCs w:val="28"/>
        </w:rPr>
        <w:t xml:space="preserve"> </w:t>
      </w:r>
    </w:p>
    <w:p w:rsidR="009D5EEE" w:rsidRDefault="00D71735" w:rsidP="00BC4C03">
      <w:pPr>
        <w:spacing w:line="360" w:lineRule="auto"/>
        <w:jc w:val="both"/>
        <w:rPr>
          <w:sz w:val="28"/>
          <w:szCs w:val="28"/>
        </w:rPr>
      </w:pPr>
      <w:r>
        <w:rPr>
          <w:sz w:val="28"/>
          <w:szCs w:val="28"/>
        </w:rPr>
        <w:t>L’</w:t>
      </w:r>
      <w:r w:rsidR="00AD0ECC">
        <w:rPr>
          <w:sz w:val="28"/>
          <w:szCs w:val="28"/>
        </w:rPr>
        <w:t>ultimo e</w:t>
      </w:r>
      <w:r>
        <w:rPr>
          <w:sz w:val="28"/>
          <w:szCs w:val="28"/>
        </w:rPr>
        <w:t xml:space="preserve"> più clamoroso </w:t>
      </w:r>
      <w:r w:rsidR="00AD0ECC">
        <w:rPr>
          <w:sz w:val="28"/>
          <w:szCs w:val="28"/>
        </w:rPr>
        <w:t xml:space="preserve">esempio </w:t>
      </w:r>
      <w:r>
        <w:rPr>
          <w:sz w:val="28"/>
          <w:szCs w:val="28"/>
        </w:rPr>
        <w:t xml:space="preserve">di questo “attentato” al sistema tradizionale delle fonti </w:t>
      </w:r>
      <w:r w:rsidR="00AD0ECC">
        <w:rPr>
          <w:sz w:val="28"/>
          <w:szCs w:val="28"/>
        </w:rPr>
        <w:t xml:space="preserve">secondarie </w:t>
      </w:r>
      <w:r>
        <w:rPr>
          <w:sz w:val="28"/>
          <w:szCs w:val="28"/>
        </w:rPr>
        <w:t>è costituito dalla recentissima innovazione delle linee guida dell’ANAC</w:t>
      </w:r>
      <w:r w:rsidR="00AD0ECC">
        <w:rPr>
          <w:sz w:val="28"/>
          <w:szCs w:val="28"/>
        </w:rPr>
        <w:t>, per come previste dal d.lgs. n. 18 aprile 2016, n.50 (d’ora innanzi Codice</w:t>
      </w:r>
      <w:r w:rsidR="0042350A">
        <w:rPr>
          <w:sz w:val="28"/>
          <w:szCs w:val="28"/>
        </w:rPr>
        <w:t xml:space="preserve"> degli appalti</w:t>
      </w:r>
      <w:r w:rsidR="00AD0ECC">
        <w:rPr>
          <w:sz w:val="28"/>
          <w:szCs w:val="28"/>
        </w:rPr>
        <w:t>, anche se la parola Codice non compare più nel titolo del decreto legislativo</w:t>
      </w:r>
      <w:r w:rsidR="00C53A77">
        <w:rPr>
          <w:sz w:val="28"/>
          <w:szCs w:val="28"/>
        </w:rPr>
        <w:t xml:space="preserve"> pubblicato in Gazzetta Ufficiale</w:t>
      </w:r>
      <w:r w:rsidR="00AD0ECC">
        <w:rPr>
          <w:sz w:val="28"/>
          <w:szCs w:val="28"/>
        </w:rPr>
        <w:t>),</w:t>
      </w:r>
      <w:r>
        <w:rPr>
          <w:sz w:val="28"/>
          <w:szCs w:val="28"/>
        </w:rPr>
        <w:t xml:space="preserve"> che costituisce una preziosa e imperdibile occasione di riflessione sull’</w:t>
      </w:r>
      <w:r w:rsidR="009D5EEE">
        <w:rPr>
          <w:sz w:val="28"/>
          <w:szCs w:val="28"/>
        </w:rPr>
        <w:t xml:space="preserve">attualità e </w:t>
      </w:r>
      <w:r>
        <w:rPr>
          <w:sz w:val="28"/>
          <w:szCs w:val="28"/>
        </w:rPr>
        <w:t>sull’</w:t>
      </w:r>
      <w:r w:rsidR="009D5EEE">
        <w:rPr>
          <w:sz w:val="28"/>
          <w:szCs w:val="28"/>
        </w:rPr>
        <w:t>utilità</w:t>
      </w:r>
      <w:r>
        <w:rPr>
          <w:sz w:val="28"/>
          <w:szCs w:val="28"/>
        </w:rPr>
        <w:t xml:space="preserve"> del sistema formale della produzione del diritto risultante dalla normativa costituzionale e ordinaria vigente</w:t>
      </w:r>
      <w:r w:rsidR="009D5EEE">
        <w:rPr>
          <w:sz w:val="28"/>
          <w:szCs w:val="28"/>
        </w:rPr>
        <w:t>.</w:t>
      </w:r>
    </w:p>
    <w:p w:rsidR="004A3423" w:rsidRDefault="004A3423" w:rsidP="00BC4C03">
      <w:pPr>
        <w:spacing w:line="360" w:lineRule="auto"/>
        <w:jc w:val="both"/>
        <w:rPr>
          <w:sz w:val="28"/>
          <w:szCs w:val="28"/>
        </w:rPr>
      </w:pPr>
      <w:r>
        <w:rPr>
          <w:sz w:val="28"/>
          <w:szCs w:val="28"/>
        </w:rPr>
        <w:t>Il presente studio resterà</w:t>
      </w:r>
      <w:r w:rsidR="00000354" w:rsidRPr="00000354">
        <w:rPr>
          <w:sz w:val="28"/>
          <w:szCs w:val="28"/>
        </w:rPr>
        <w:t xml:space="preserve"> </w:t>
      </w:r>
      <w:r w:rsidR="00000354">
        <w:rPr>
          <w:sz w:val="28"/>
          <w:szCs w:val="28"/>
        </w:rPr>
        <w:t>circoscritto</w:t>
      </w:r>
      <w:r>
        <w:rPr>
          <w:sz w:val="28"/>
          <w:szCs w:val="28"/>
        </w:rPr>
        <w:t xml:space="preserve">, in ogni caso, </w:t>
      </w:r>
      <w:r w:rsidR="00664D09">
        <w:rPr>
          <w:sz w:val="28"/>
          <w:szCs w:val="28"/>
        </w:rPr>
        <w:t>alla disamina delle difficoltà di tenuta</w:t>
      </w:r>
      <w:r>
        <w:rPr>
          <w:sz w:val="28"/>
          <w:szCs w:val="28"/>
        </w:rPr>
        <w:t xml:space="preserve"> della normazione secondaria, che appare come la tipologia di fonte</w:t>
      </w:r>
      <w:r w:rsidR="00664D09">
        <w:rPr>
          <w:sz w:val="28"/>
          <w:szCs w:val="28"/>
        </w:rPr>
        <w:t xml:space="preserve"> maggiormente in crisi </w:t>
      </w:r>
      <w:r w:rsidR="005532C2">
        <w:rPr>
          <w:sz w:val="28"/>
          <w:szCs w:val="28"/>
        </w:rPr>
        <w:t>(e anche tenuto conto dell’ampiezza della lett</w:t>
      </w:r>
      <w:r w:rsidR="005A6339">
        <w:rPr>
          <w:sz w:val="28"/>
          <w:szCs w:val="28"/>
        </w:rPr>
        <w:t>erat</w:t>
      </w:r>
      <w:r w:rsidR="005532C2">
        <w:rPr>
          <w:sz w:val="28"/>
          <w:szCs w:val="28"/>
        </w:rPr>
        <w:t>ura relativa all’abuso del decreto legge</w:t>
      </w:r>
      <w:r w:rsidR="00AD0ECC">
        <w:rPr>
          <w:sz w:val="28"/>
          <w:szCs w:val="28"/>
        </w:rPr>
        <w:t>, che ci esime da ogni ulteriore indagine al riguardo</w:t>
      </w:r>
      <w:r w:rsidR="005532C2">
        <w:rPr>
          <w:sz w:val="28"/>
          <w:szCs w:val="28"/>
        </w:rPr>
        <w:t xml:space="preserve">). </w:t>
      </w:r>
      <w:r>
        <w:rPr>
          <w:sz w:val="28"/>
          <w:szCs w:val="28"/>
        </w:rPr>
        <w:t xml:space="preserve"> </w:t>
      </w:r>
    </w:p>
    <w:p w:rsidR="009D5EEE" w:rsidRDefault="009D5EEE" w:rsidP="00BC4C03">
      <w:pPr>
        <w:spacing w:line="360" w:lineRule="auto"/>
        <w:jc w:val="both"/>
        <w:rPr>
          <w:sz w:val="28"/>
          <w:szCs w:val="28"/>
        </w:rPr>
      </w:pPr>
    </w:p>
    <w:p w:rsidR="00E50609" w:rsidRDefault="00E50609" w:rsidP="00E50609">
      <w:pPr>
        <w:spacing w:line="360" w:lineRule="auto"/>
        <w:jc w:val="both"/>
        <w:rPr>
          <w:b/>
          <w:sz w:val="28"/>
          <w:szCs w:val="28"/>
        </w:rPr>
      </w:pPr>
      <w:r>
        <w:rPr>
          <w:b/>
          <w:sz w:val="28"/>
          <w:szCs w:val="28"/>
        </w:rPr>
        <w:t>2.-</w:t>
      </w:r>
      <w:r>
        <w:rPr>
          <w:sz w:val="28"/>
          <w:szCs w:val="28"/>
        </w:rPr>
        <w:t xml:space="preserve"> </w:t>
      </w:r>
      <w:r>
        <w:rPr>
          <w:b/>
          <w:sz w:val="28"/>
          <w:szCs w:val="28"/>
        </w:rPr>
        <w:t>Il potere regolamentare nella Costituzione e nella legge n.400 del 1988.</w:t>
      </w:r>
    </w:p>
    <w:p w:rsidR="00664D09" w:rsidRDefault="00664D09" w:rsidP="00E50609">
      <w:pPr>
        <w:spacing w:line="360" w:lineRule="auto"/>
        <w:jc w:val="both"/>
        <w:rPr>
          <w:sz w:val="28"/>
          <w:szCs w:val="28"/>
        </w:rPr>
      </w:pPr>
    </w:p>
    <w:p w:rsidR="00871AA2" w:rsidRDefault="0081509D" w:rsidP="00E50609">
      <w:pPr>
        <w:spacing w:line="360" w:lineRule="auto"/>
        <w:jc w:val="both"/>
        <w:rPr>
          <w:sz w:val="28"/>
          <w:szCs w:val="28"/>
        </w:rPr>
      </w:pPr>
      <w:r>
        <w:rPr>
          <w:sz w:val="28"/>
          <w:szCs w:val="28"/>
        </w:rPr>
        <w:t>Com’è noto, l</w:t>
      </w:r>
      <w:r w:rsidR="004B5370">
        <w:rPr>
          <w:sz w:val="28"/>
          <w:szCs w:val="28"/>
        </w:rPr>
        <w:t xml:space="preserve">’esercizio del potere regolamentare è disciplinato, quanto ai presupposti e alla procedura, dagli artt.117, </w:t>
      </w:r>
      <w:r w:rsidR="00000354">
        <w:rPr>
          <w:sz w:val="28"/>
          <w:szCs w:val="28"/>
        </w:rPr>
        <w:t xml:space="preserve">sesto </w:t>
      </w:r>
      <w:r w:rsidR="004B5370">
        <w:rPr>
          <w:sz w:val="28"/>
          <w:szCs w:val="28"/>
        </w:rPr>
        <w:t>comma, della Costituzione</w:t>
      </w:r>
      <w:r w:rsidR="00000354">
        <w:rPr>
          <w:sz w:val="28"/>
          <w:szCs w:val="28"/>
        </w:rPr>
        <w:t>,</w:t>
      </w:r>
      <w:r w:rsidR="004B5370">
        <w:rPr>
          <w:sz w:val="28"/>
          <w:szCs w:val="28"/>
        </w:rPr>
        <w:t xml:space="preserve"> e 17 della legge n.400 del 1988, che regolano, appunto, sia il titolo di competenza sia </w:t>
      </w:r>
      <w:r w:rsidR="00871AA2">
        <w:rPr>
          <w:sz w:val="28"/>
          <w:szCs w:val="28"/>
        </w:rPr>
        <w:t>le modalità formali di adozione dei regolamenti.</w:t>
      </w:r>
    </w:p>
    <w:p w:rsidR="00925776" w:rsidRDefault="0081509D" w:rsidP="00E50609">
      <w:pPr>
        <w:spacing w:line="360" w:lineRule="auto"/>
        <w:jc w:val="both"/>
        <w:rPr>
          <w:sz w:val="28"/>
          <w:szCs w:val="28"/>
        </w:rPr>
      </w:pPr>
      <w:r>
        <w:rPr>
          <w:sz w:val="28"/>
          <w:szCs w:val="28"/>
        </w:rPr>
        <w:t>Se l</w:t>
      </w:r>
      <w:r w:rsidR="00122D9F">
        <w:rPr>
          <w:sz w:val="28"/>
          <w:szCs w:val="28"/>
        </w:rPr>
        <w:t xml:space="preserve">a disposizione costituzionale ha stabilito, in coerenza con il riparto delle competenze legislative tra Stato e Regioni, operato dalla riforma costituzionale del 2001, che la potestà regolamentare spetta allo Stato nelle </w:t>
      </w:r>
      <w:r w:rsidR="00B85942">
        <w:rPr>
          <w:sz w:val="28"/>
          <w:szCs w:val="28"/>
        </w:rPr>
        <w:t xml:space="preserve">sole </w:t>
      </w:r>
      <w:r w:rsidR="00122D9F">
        <w:rPr>
          <w:sz w:val="28"/>
          <w:szCs w:val="28"/>
        </w:rPr>
        <w:t xml:space="preserve">materie affidate alla sua competenza esclusiva, mentre </w:t>
      </w:r>
      <w:r w:rsidR="00692A98">
        <w:rPr>
          <w:sz w:val="28"/>
          <w:szCs w:val="28"/>
        </w:rPr>
        <w:t xml:space="preserve">compete alle Regioni </w:t>
      </w:r>
      <w:r w:rsidR="00795E62">
        <w:rPr>
          <w:sz w:val="28"/>
          <w:szCs w:val="28"/>
        </w:rPr>
        <w:t>in tutte le altre materie e agli enti locali limitatamente alla disciplina dell’organizzazione e dell’esercizio</w:t>
      </w:r>
      <w:r>
        <w:rPr>
          <w:sz w:val="28"/>
          <w:szCs w:val="28"/>
        </w:rPr>
        <w:t xml:space="preserve"> delle funzioni loro attribuite, quella</w:t>
      </w:r>
      <w:r w:rsidR="00795E62">
        <w:rPr>
          <w:sz w:val="28"/>
          <w:szCs w:val="28"/>
        </w:rPr>
        <w:t xml:space="preserve"> ordinaria</w:t>
      </w:r>
      <w:r>
        <w:rPr>
          <w:sz w:val="28"/>
          <w:szCs w:val="28"/>
        </w:rPr>
        <w:t xml:space="preserve"> si è</w:t>
      </w:r>
      <w:r w:rsidR="00000354" w:rsidRPr="00000354">
        <w:rPr>
          <w:sz w:val="28"/>
          <w:szCs w:val="28"/>
        </w:rPr>
        <w:t xml:space="preserve"> </w:t>
      </w:r>
      <w:r w:rsidR="00000354">
        <w:rPr>
          <w:sz w:val="28"/>
          <w:szCs w:val="28"/>
        </w:rPr>
        <w:t>preoccupata</w:t>
      </w:r>
      <w:r w:rsidR="00795E62">
        <w:rPr>
          <w:sz w:val="28"/>
          <w:szCs w:val="28"/>
        </w:rPr>
        <w:t xml:space="preserve">, invece, di prevedere e disciplinare le diverse tipologie di regolamenti, quanto a contenuti e presupposti, </w:t>
      </w:r>
      <w:r w:rsidR="00925776">
        <w:rPr>
          <w:sz w:val="28"/>
          <w:szCs w:val="28"/>
        </w:rPr>
        <w:t>e a regolar</w:t>
      </w:r>
      <w:r w:rsidR="00B85942">
        <w:rPr>
          <w:sz w:val="28"/>
          <w:szCs w:val="28"/>
        </w:rPr>
        <w:t>n</w:t>
      </w:r>
      <w:r w:rsidR="00925776">
        <w:rPr>
          <w:sz w:val="28"/>
          <w:szCs w:val="28"/>
        </w:rPr>
        <w:t>e la procedura di approvazione.</w:t>
      </w:r>
    </w:p>
    <w:p w:rsidR="00700511" w:rsidRDefault="00700511" w:rsidP="00E50609">
      <w:pPr>
        <w:spacing w:line="360" w:lineRule="auto"/>
        <w:jc w:val="both"/>
        <w:rPr>
          <w:sz w:val="28"/>
          <w:szCs w:val="28"/>
        </w:rPr>
      </w:pPr>
      <w:r>
        <w:rPr>
          <w:sz w:val="28"/>
          <w:szCs w:val="28"/>
        </w:rPr>
        <w:lastRenderedPageBreak/>
        <w:t>Il combinato disposto delle due previsioni potrebbe essere letto come prescrittivo di un sistema rigido e chiuso anche delle fonti sub-legislative.</w:t>
      </w:r>
    </w:p>
    <w:p w:rsidR="00A328F0" w:rsidRDefault="00700511" w:rsidP="00E50609">
      <w:pPr>
        <w:spacing w:line="360" w:lineRule="auto"/>
        <w:jc w:val="both"/>
        <w:rPr>
          <w:sz w:val="28"/>
          <w:szCs w:val="28"/>
        </w:rPr>
      </w:pPr>
      <w:r>
        <w:rPr>
          <w:sz w:val="28"/>
          <w:szCs w:val="28"/>
        </w:rPr>
        <w:t xml:space="preserve">Mentre, infatti, le fonti di rango primario </w:t>
      </w:r>
      <w:r w:rsidR="00704C72">
        <w:rPr>
          <w:sz w:val="28"/>
          <w:szCs w:val="28"/>
        </w:rPr>
        <w:t>sono pacific</w:t>
      </w:r>
      <w:r w:rsidR="00D332D4">
        <w:rPr>
          <w:sz w:val="28"/>
          <w:szCs w:val="28"/>
        </w:rPr>
        <w:t xml:space="preserve">amente considerate un </w:t>
      </w:r>
      <w:r w:rsidR="00D332D4" w:rsidRPr="00C53B0D">
        <w:rPr>
          <w:i/>
          <w:sz w:val="28"/>
          <w:szCs w:val="28"/>
        </w:rPr>
        <w:t>numerus c</w:t>
      </w:r>
      <w:r w:rsidR="00704C72" w:rsidRPr="00C53B0D">
        <w:rPr>
          <w:i/>
          <w:sz w:val="28"/>
          <w:szCs w:val="28"/>
        </w:rPr>
        <w:t>l</w:t>
      </w:r>
      <w:r w:rsidR="00D332D4" w:rsidRPr="00C53B0D">
        <w:rPr>
          <w:i/>
          <w:sz w:val="28"/>
          <w:szCs w:val="28"/>
        </w:rPr>
        <w:t>a</w:t>
      </w:r>
      <w:r w:rsidR="00704C72" w:rsidRPr="00C53B0D">
        <w:rPr>
          <w:i/>
          <w:sz w:val="28"/>
          <w:szCs w:val="28"/>
        </w:rPr>
        <w:t>usus</w:t>
      </w:r>
      <w:r w:rsidR="00704C72">
        <w:rPr>
          <w:sz w:val="28"/>
          <w:szCs w:val="28"/>
        </w:rPr>
        <w:t>, essendo tutte tassativamente previste in Costituzione, le fonti di rango secondario</w:t>
      </w:r>
      <w:r w:rsidR="00A328F0">
        <w:rPr>
          <w:sz w:val="28"/>
          <w:szCs w:val="28"/>
        </w:rPr>
        <w:t xml:space="preserve"> sono state da sempre ascritte a un assetto ordinamentale caratterizzato da atipicità e mobilità.</w:t>
      </w:r>
    </w:p>
    <w:p w:rsidR="00DF219F" w:rsidRDefault="00DF219F" w:rsidP="00E50609">
      <w:pPr>
        <w:spacing w:line="360" w:lineRule="auto"/>
        <w:jc w:val="both"/>
        <w:rPr>
          <w:sz w:val="28"/>
          <w:szCs w:val="28"/>
        </w:rPr>
      </w:pPr>
      <w:r>
        <w:rPr>
          <w:sz w:val="28"/>
          <w:szCs w:val="28"/>
        </w:rPr>
        <w:t>Secondo la</w:t>
      </w:r>
      <w:r w:rsidR="00A328F0">
        <w:rPr>
          <w:sz w:val="28"/>
          <w:szCs w:val="28"/>
        </w:rPr>
        <w:t xml:space="preserve"> lettura</w:t>
      </w:r>
      <w:r>
        <w:rPr>
          <w:sz w:val="28"/>
          <w:szCs w:val="28"/>
        </w:rPr>
        <w:t xml:space="preserve"> più accreditata delle fonti sulla produzione dei regolamenti, lo schema tipico disegnato dall’artl.17 l.cit. non può</w:t>
      </w:r>
      <w:r w:rsidR="0081509D">
        <w:rPr>
          <w:sz w:val="28"/>
          <w:szCs w:val="28"/>
        </w:rPr>
        <w:t>, tuttavia,</w:t>
      </w:r>
      <w:r>
        <w:rPr>
          <w:sz w:val="28"/>
          <w:szCs w:val="28"/>
        </w:rPr>
        <w:t xml:space="preserve"> essere considerato come unico e indefettibile, atteso che il rispetto del principi di legalità esige solo che una legge autorizzi un atto secondario a dettare una disciplina regolamentare, </w:t>
      </w:r>
      <w:r w:rsidR="00000354">
        <w:rPr>
          <w:sz w:val="28"/>
          <w:szCs w:val="28"/>
        </w:rPr>
        <w:t xml:space="preserve">ancorché </w:t>
      </w:r>
      <w:r>
        <w:rPr>
          <w:sz w:val="28"/>
          <w:szCs w:val="28"/>
        </w:rPr>
        <w:t>con forme e modalità diverse da quelle sancite da</w:t>
      </w:r>
      <w:r w:rsidR="00900B20">
        <w:rPr>
          <w:sz w:val="28"/>
          <w:szCs w:val="28"/>
        </w:rPr>
        <w:t>l</w:t>
      </w:r>
      <w:r>
        <w:rPr>
          <w:sz w:val="28"/>
          <w:szCs w:val="28"/>
        </w:rPr>
        <w:t>la predet</w:t>
      </w:r>
      <w:r w:rsidR="00900B20">
        <w:rPr>
          <w:sz w:val="28"/>
          <w:szCs w:val="28"/>
        </w:rPr>
        <w:t>t</w:t>
      </w:r>
      <w:r>
        <w:rPr>
          <w:sz w:val="28"/>
          <w:szCs w:val="28"/>
        </w:rPr>
        <w:t>a disposiz</w:t>
      </w:r>
      <w:r w:rsidR="00900B20">
        <w:rPr>
          <w:sz w:val="28"/>
          <w:szCs w:val="28"/>
        </w:rPr>
        <w:t>i</w:t>
      </w:r>
      <w:r>
        <w:rPr>
          <w:sz w:val="28"/>
          <w:szCs w:val="28"/>
        </w:rPr>
        <w:t>one.</w:t>
      </w:r>
    </w:p>
    <w:p w:rsidR="00DF219F" w:rsidRDefault="00DF219F" w:rsidP="00E50609">
      <w:pPr>
        <w:spacing w:line="360" w:lineRule="auto"/>
        <w:jc w:val="both"/>
        <w:rPr>
          <w:sz w:val="28"/>
          <w:szCs w:val="28"/>
        </w:rPr>
      </w:pPr>
      <w:r>
        <w:rPr>
          <w:sz w:val="28"/>
          <w:szCs w:val="28"/>
        </w:rPr>
        <w:t xml:space="preserve">In questo senso, la legge n.400 del 1988 </w:t>
      </w:r>
      <w:r w:rsidR="0006456E">
        <w:rPr>
          <w:sz w:val="28"/>
          <w:szCs w:val="28"/>
        </w:rPr>
        <w:t xml:space="preserve">(essendo rimasta priva di “copertura costituzionale”) </w:t>
      </w:r>
      <w:r>
        <w:rPr>
          <w:sz w:val="28"/>
          <w:szCs w:val="28"/>
        </w:rPr>
        <w:t>è stata definita “fragile” e instabile”</w:t>
      </w:r>
      <w:r w:rsidR="0006456E">
        <w:rPr>
          <w:rStyle w:val="FootnoteReference"/>
          <w:sz w:val="28"/>
          <w:szCs w:val="28"/>
        </w:rPr>
        <w:footnoteReference w:id="2"/>
      </w:r>
      <w:r>
        <w:rPr>
          <w:sz w:val="28"/>
          <w:szCs w:val="28"/>
        </w:rPr>
        <w:t>, per quanto qui rileva, proprio in ragione della sua inattitudine a vincolare il legislatore successivo a utilizzare il solo modello regolamentare ivi previsto</w:t>
      </w:r>
      <w:r w:rsidR="00B718EC">
        <w:rPr>
          <w:rStyle w:val="FootnoteReference"/>
          <w:sz w:val="28"/>
          <w:szCs w:val="28"/>
        </w:rPr>
        <w:footnoteReference w:id="3"/>
      </w:r>
      <w:r>
        <w:rPr>
          <w:sz w:val="28"/>
          <w:szCs w:val="28"/>
        </w:rPr>
        <w:t>.</w:t>
      </w:r>
    </w:p>
    <w:p w:rsidR="00704C72" w:rsidRDefault="00DF219F" w:rsidP="00E50609">
      <w:pPr>
        <w:spacing w:line="360" w:lineRule="auto"/>
        <w:jc w:val="both"/>
        <w:rPr>
          <w:sz w:val="28"/>
          <w:szCs w:val="28"/>
        </w:rPr>
      </w:pPr>
      <w:r>
        <w:rPr>
          <w:sz w:val="28"/>
          <w:szCs w:val="28"/>
        </w:rPr>
        <w:t xml:space="preserve">Il rango di legge ordinaria della legge in questione impedisce </w:t>
      </w:r>
      <w:r w:rsidR="00000354">
        <w:rPr>
          <w:sz w:val="28"/>
          <w:szCs w:val="28"/>
        </w:rPr>
        <w:t xml:space="preserve">di riconoscergli qualsiasi capacità di resistenza a disposizioni derogatorie successive di pari rango, </w:t>
      </w:r>
      <w:r>
        <w:rPr>
          <w:sz w:val="28"/>
          <w:szCs w:val="28"/>
        </w:rPr>
        <w:t>nonostante alcuni autorevoli tentativi di assegnar</w:t>
      </w:r>
      <w:r w:rsidR="00340E2F">
        <w:rPr>
          <w:sz w:val="28"/>
          <w:szCs w:val="28"/>
        </w:rPr>
        <w:t>g</w:t>
      </w:r>
      <w:r>
        <w:rPr>
          <w:sz w:val="28"/>
          <w:szCs w:val="28"/>
        </w:rPr>
        <w:t>li una forza superiore</w:t>
      </w:r>
      <w:r>
        <w:rPr>
          <w:rStyle w:val="FootnoteReference"/>
          <w:sz w:val="28"/>
          <w:szCs w:val="28"/>
        </w:rPr>
        <w:footnoteReference w:id="4"/>
      </w:r>
      <w:r>
        <w:rPr>
          <w:sz w:val="28"/>
          <w:szCs w:val="28"/>
        </w:rPr>
        <w:t xml:space="preserve">.  </w:t>
      </w:r>
      <w:r w:rsidR="00A328F0">
        <w:rPr>
          <w:sz w:val="28"/>
          <w:szCs w:val="28"/>
        </w:rPr>
        <w:t xml:space="preserve"> </w:t>
      </w:r>
      <w:r w:rsidR="00704C72">
        <w:rPr>
          <w:sz w:val="28"/>
          <w:szCs w:val="28"/>
        </w:rPr>
        <w:t xml:space="preserve"> </w:t>
      </w:r>
    </w:p>
    <w:p w:rsidR="00DF219F" w:rsidRDefault="00DF219F" w:rsidP="00E50609">
      <w:pPr>
        <w:spacing w:line="360" w:lineRule="auto"/>
        <w:jc w:val="both"/>
        <w:rPr>
          <w:sz w:val="28"/>
          <w:szCs w:val="28"/>
        </w:rPr>
      </w:pPr>
      <w:r>
        <w:rPr>
          <w:sz w:val="28"/>
          <w:szCs w:val="28"/>
        </w:rPr>
        <w:t>Nondimeno, l</w:t>
      </w:r>
      <w:r w:rsidR="00704C72">
        <w:rPr>
          <w:sz w:val="28"/>
          <w:szCs w:val="28"/>
        </w:rPr>
        <w:t xml:space="preserve">a sistemazione </w:t>
      </w:r>
      <w:r>
        <w:rPr>
          <w:sz w:val="28"/>
          <w:szCs w:val="28"/>
        </w:rPr>
        <w:t xml:space="preserve">delle fonti sub-legislative </w:t>
      </w:r>
      <w:r w:rsidR="00704C72">
        <w:rPr>
          <w:sz w:val="28"/>
          <w:szCs w:val="28"/>
        </w:rPr>
        <w:t>operata dalla legge n.400 del 1988 e dalla legge costituzi</w:t>
      </w:r>
      <w:r w:rsidR="00A328F0">
        <w:rPr>
          <w:sz w:val="28"/>
          <w:szCs w:val="28"/>
        </w:rPr>
        <w:t>o</w:t>
      </w:r>
      <w:r w:rsidR="00704C72">
        <w:rPr>
          <w:sz w:val="28"/>
          <w:szCs w:val="28"/>
        </w:rPr>
        <w:t>nale n.3 del 20</w:t>
      </w:r>
      <w:r>
        <w:rPr>
          <w:sz w:val="28"/>
          <w:szCs w:val="28"/>
        </w:rPr>
        <w:t>01 può essere decifrata anche secondo un diverso percorso ermeneutico.</w:t>
      </w:r>
    </w:p>
    <w:p w:rsidR="00D807D4" w:rsidRDefault="00FB116D" w:rsidP="00E50609">
      <w:pPr>
        <w:spacing w:line="360" w:lineRule="auto"/>
        <w:jc w:val="both"/>
        <w:rPr>
          <w:sz w:val="28"/>
          <w:szCs w:val="28"/>
        </w:rPr>
      </w:pPr>
      <w:r>
        <w:rPr>
          <w:sz w:val="28"/>
          <w:szCs w:val="28"/>
        </w:rPr>
        <w:t>Può, infatti, sostenersi</w:t>
      </w:r>
      <w:r>
        <w:rPr>
          <w:rStyle w:val="FootnoteReference"/>
          <w:sz w:val="28"/>
          <w:szCs w:val="28"/>
        </w:rPr>
        <w:footnoteReference w:id="5"/>
      </w:r>
      <w:r>
        <w:rPr>
          <w:sz w:val="28"/>
          <w:szCs w:val="28"/>
        </w:rPr>
        <w:t xml:space="preserve"> </w:t>
      </w:r>
      <w:r w:rsidR="00900B20">
        <w:rPr>
          <w:sz w:val="28"/>
          <w:szCs w:val="28"/>
        </w:rPr>
        <w:t>che</w:t>
      </w:r>
      <w:r w:rsidR="00D807D4">
        <w:rPr>
          <w:sz w:val="28"/>
          <w:szCs w:val="28"/>
        </w:rPr>
        <w:t xml:space="preserve"> l’assetto ordinamentale costituito dalle innovazioni appena ricordate abbia irrigidito il sistema delle fonti normative secondarie, fino a configurare il regolamento, per come disciplinato dalla legge n.400 del 1988, come l’unico atto sub-legislativo</w:t>
      </w:r>
      <w:r w:rsidR="004A08D0">
        <w:rPr>
          <w:sz w:val="28"/>
          <w:szCs w:val="28"/>
        </w:rPr>
        <w:t xml:space="preserve"> consentito</w:t>
      </w:r>
      <w:r w:rsidR="00D807D4">
        <w:rPr>
          <w:sz w:val="28"/>
          <w:szCs w:val="28"/>
        </w:rPr>
        <w:t>.</w:t>
      </w:r>
    </w:p>
    <w:p w:rsidR="00D807D4" w:rsidRDefault="00D807D4" w:rsidP="00E50609">
      <w:pPr>
        <w:spacing w:line="360" w:lineRule="auto"/>
        <w:jc w:val="both"/>
        <w:rPr>
          <w:sz w:val="28"/>
          <w:szCs w:val="28"/>
        </w:rPr>
      </w:pPr>
      <w:r>
        <w:rPr>
          <w:sz w:val="28"/>
          <w:szCs w:val="28"/>
        </w:rPr>
        <w:lastRenderedPageBreak/>
        <w:t>Secondo questa ricostruzione, quindi, il regolamento (governativo o ministeriale) è divenuto il tipico e il solo atto idoneo a introdurre nell’ordinamento norme giuridiche di rango secondario.</w:t>
      </w:r>
    </w:p>
    <w:p w:rsidR="00CC387A" w:rsidRDefault="00D807D4" w:rsidP="00E50609">
      <w:pPr>
        <w:spacing w:line="360" w:lineRule="auto"/>
        <w:jc w:val="both"/>
        <w:rPr>
          <w:sz w:val="28"/>
          <w:szCs w:val="28"/>
        </w:rPr>
      </w:pPr>
      <w:r>
        <w:rPr>
          <w:sz w:val="28"/>
          <w:szCs w:val="28"/>
        </w:rPr>
        <w:t xml:space="preserve">Là dove l’art.117, </w:t>
      </w:r>
      <w:r w:rsidR="00000354">
        <w:rPr>
          <w:sz w:val="28"/>
          <w:szCs w:val="28"/>
        </w:rPr>
        <w:t xml:space="preserve">sesto </w:t>
      </w:r>
      <w:r>
        <w:rPr>
          <w:sz w:val="28"/>
          <w:szCs w:val="28"/>
        </w:rPr>
        <w:t>comma, della Costituzione ha regolato la competenza all’esercizio della potestà regolamentare non si è limitato a distribuire, tra i diversi livelli di governo, il titolo di competenza all’</w:t>
      </w:r>
      <w:r w:rsidR="00CC387A">
        <w:rPr>
          <w:sz w:val="28"/>
          <w:szCs w:val="28"/>
        </w:rPr>
        <w:t>emanazione di regolamenti, ma ha configurato questi ultimi, costituzionalizzandone la sfera di attribuzione della pertinente responsabilità</w:t>
      </w:r>
      <w:r w:rsidR="00340E2F">
        <w:rPr>
          <w:rStyle w:val="FootnoteReference"/>
          <w:sz w:val="28"/>
          <w:szCs w:val="28"/>
        </w:rPr>
        <w:footnoteReference w:id="6"/>
      </w:r>
      <w:r w:rsidR="00CC387A">
        <w:rPr>
          <w:sz w:val="28"/>
          <w:szCs w:val="28"/>
        </w:rPr>
        <w:t xml:space="preserve">, quale l’unica fonte di normazione secondaria </w:t>
      </w:r>
      <w:r w:rsidR="004A08D0">
        <w:rPr>
          <w:sz w:val="28"/>
          <w:szCs w:val="28"/>
        </w:rPr>
        <w:t>ammessa</w:t>
      </w:r>
      <w:r w:rsidR="00CC387A">
        <w:rPr>
          <w:sz w:val="28"/>
          <w:szCs w:val="28"/>
        </w:rPr>
        <w:t>.</w:t>
      </w:r>
    </w:p>
    <w:p w:rsidR="00D807D4" w:rsidRDefault="00B25C6C" w:rsidP="00E50609">
      <w:pPr>
        <w:spacing w:line="360" w:lineRule="auto"/>
        <w:jc w:val="both"/>
        <w:rPr>
          <w:sz w:val="28"/>
          <w:szCs w:val="28"/>
        </w:rPr>
      </w:pPr>
      <w:r>
        <w:rPr>
          <w:sz w:val="28"/>
          <w:szCs w:val="28"/>
        </w:rPr>
        <w:t>Così come l’art.17 l.cit., nel disciplinare in maniera esauriente e compiuta tutti gli aspetti (formali e sostanziali) dell’esercizio della potestà regolamentare da parte del Governo, quale fonte generale sulla produzione di atti normativi,</w:t>
      </w:r>
      <w:r w:rsidR="00322264">
        <w:rPr>
          <w:sz w:val="28"/>
          <w:szCs w:val="28"/>
        </w:rPr>
        <w:t xml:space="preserve"> implicitam</w:t>
      </w:r>
      <w:r>
        <w:rPr>
          <w:sz w:val="28"/>
          <w:szCs w:val="28"/>
        </w:rPr>
        <w:t>e</w:t>
      </w:r>
      <w:r w:rsidR="00322264">
        <w:rPr>
          <w:sz w:val="28"/>
          <w:szCs w:val="28"/>
        </w:rPr>
        <w:t>n</w:t>
      </w:r>
      <w:r>
        <w:rPr>
          <w:sz w:val="28"/>
          <w:szCs w:val="28"/>
        </w:rPr>
        <w:t xml:space="preserve">te, </w:t>
      </w:r>
      <w:r w:rsidR="00000354">
        <w:rPr>
          <w:sz w:val="28"/>
          <w:szCs w:val="28"/>
        </w:rPr>
        <w:t xml:space="preserve">ancorché </w:t>
      </w:r>
      <w:r>
        <w:rPr>
          <w:sz w:val="28"/>
          <w:szCs w:val="28"/>
        </w:rPr>
        <w:t xml:space="preserve">chiaramente, </w:t>
      </w:r>
      <w:r w:rsidR="00000354">
        <w:rPr>
          <w:sz w:val="28"/>
          <w:szCs w:val="28"/>
        </w:rPr>
        <w:t xml:space="preserve">ha </w:t>
      </w:r>
      <w:r>
        <w:rPr>
          <w:sz w:val="28"/>
          <w:szCs w:val="28"/>
        </w:rPr>
        <w:t xml:space="preserve">escluso la praticabilità di schemi procedurali diversi da quelli ivi descritti. </w:t>
      </w:r>
    </w:p>
    <w:p w:rsidR="00322264" w:rsidRDefault="00D807D4" w:rsidP="00E50609">
      <w:pPr>
        <w:spacing w:line="360" w:lineRule="auto"/>
        <w:jc w:val="both"/>
        <w:rPr>
          <w:sz w:val="28"/>
          <w:szCs w:val="28"/>
        </w:rPr>
      </w:pPr>
      <w:r>
        <w:rPr>
          <w:sz w:val="28"/>
          <w:szCs w:val="28"/>
        </w:rPr>
        <w:t>La più immed</w:t>
      </w:r>
      <w:r w:rsidR="00322264">
        <w:rPr>
          <w:sz w:val="28"/>
          <w:szCs w:val="28"/>
        </w:rPr>
        <w:t>iata implicazione di questa tesi</w:t>
      </w:r>
      <w:r>
        <w:rPr>
          <w:sz w:val="28"/>
          <w:szCs w:val="28"/>
        </w:rPr>
        <w:t xml:space="preserve"> è costituita</w:t>
      </w:r>
      <w:r w:rsidR="00322264">
        <w:rPr>
          <w:sz w:val="28"/>
          <w:szCs w:val="28"/>
        </w:rPr>
        <w:t xml:space="preserve"> dalla illegittimità costituzionale di quelle disposizioni l</w:t>
      </w:r>
      <w:r w:rsidR="004A08D0">
        <w:rPr>
          <w:sz w:val="28"/>
          <w:szCs w:val="28"/>
        </w:rPr>
        <w:t>egislative che autorizzano</w:t>
      </w:r>
      <w:r w:rsidR="00322264">
        <w:rPr>
          <w:sz w:val="28"/>
          <w:szCs w:val="28"/>
        </w:rPr>
        <w:t xml:space="preserve"> l’emanazione di atti normativi secondari al di fuori dello schema formale previsto</w:t>
      </w:r>
      <w:r w:rsidR="00000354">
        <w:rPr>
          <w:sz w:val="28"/>
          <w:szCs w:val="28"/>
        </w:rPr>
        <w:t>, appunto,</w:t>
      </w:r>
      <w:r w:rsidR="00322264">
        <w:rPr>
          <w:sz w:val="28"/>
          <w:szCs w:val="28"/>
        </w:rPr>
        <w:t xml:space="preserve"> dall’art.17</w:t>
      </w:r>
      <w:r w:rsidR="00000354">
        <w:rPr>
          <w:sz w:val="28"/>
          <w:szCs w:val="28"/>
        </w:rPr>
        <w:t>,</w:t>
      </w:r>
      <w:r w:rsidR="00322264">
        <w:rPr>
          <w:sz w:val="28"/>
          <w:szCs w:val="28"/>
        </w:rPr>
        <w:t xml:space="preserve"> l.cit. (omettendo, ad esempio, le garanzie procedimentali o, peggio, affidandone l’adozione ad autorità diverse dal Governo</w:t>
      </w:r>
      <w:r w:rsidR="00000354">
        <w:rPr>
          <w:sz w:val="28"/>
          <w:szCs w:val="28"/>
        </w:rPr>
        <w:t>)</w:t>
      </w:r>
      <w:r w:rsidR="00322264">
        <w:rPr>
          <w:sz w:val="28"/>
          <w:szCs w:val="28"/>
        </w:rPr>
        <w:t xml:space="preserve">. </w:t>
      </w:r>
      <w:r>
        <w:rPr>
          <w:sz w:val="28"/>
          <w:szCs w:val="28"/>
        </w:rPr>
        <w:t xml:space="preserve">   </w:t>
      </w:r>
    </w:p>
    <w:p w:rsidR="00322264" w:rsidRDefault="00322264" w:rsidP="00E50609">
      <w:pPr>
        <w:spacing w:line="360" w:lineRule="auto"/>
        <w:jc w:val="both"/>
        <w:rPr>
          <w:sz w:val="28"/>
          <w:szCs w:val="28"/>
        </w:rPr>
      </w:pPr>
      <w:r>
        <w:rPr>
          <w:sz w:val="28"/>
          <w:szCs w:val="28"/>
        </w:rPr>
        <w:t xml:space="preserve">Una disposizione legislativa siffatta infrangerebbe l’art.117, </w:t>
      </w:r>
      <w:r w:rsidR="00000354">
        <w:rPr>
          <w:sz w:val="28"/>
          <w:szCs w:val="28"/>
        </w:rPr>
        <w:t xml:space="preserve">sesto </w:t>
      </w:r>
      <w:r>
        <w:rPr>
          <w:sz w:val="28"/>
          <w:szCs w:val="28"/>
        </w:rPr>
        <w:t xml:space="preserve">comma, della Cost., per come declinato dall’art.17 l.cit. (ancorchè antecedente), </w:t>
      </w:r>
      <w:r w:rsidR="00000354">
        <w:rPr>
          <w:sz w:val="28"/>
          <w:szCs w:val="28"/>
        </w:rPr>
        <w:t xml:space="preserve">qualora venisse </w:t>
      </w:r>
      <w:r>
        <w:rPr>
          <w:sz w:val="28"/>
          <w:szCs w:val="28"/>
        </w:rPr>
        <w:t>letto come prescrittivo del regolamento gover</w:t>
      </w:r>
      <w:r w:rsidR="004A08D0">
        <w:rPr>
          <w:sz w:val="28"/>
          <w:szCs w:val="28"/>
        </w:rPr>
        <w:t xml:space="preserve">nativo quale </w:t>
      </w:r>
      <w:r>
        <w:rPr>
          <w:sz w:val="28"/>
          <w:szCs w:val="28"/>
        </w:rPr>
        <w:t>unica tipologia formale di atto normativo sub-legislativo.</w:t>
      </w:r>
    </w:p>
    <w:p w:rsidR="00871AA2" w:rsidRDefault="00322264" w:rsidP="00E50609">
      <w:pPr>
        <w:spacing w:line="360" w:lineRule="auto"/>
        <w:jc w:val="both"/>
        <w:rPr>
          <w:sz w:val="28"/>
          <w:szCs w:val="28"/>
        </w:rPr>
      </w:pPr>
      <w:r>
        <w:rPr>
          <w:sz w:val="28"/>
          <w:szCs w:val="28"/>
        </w:rPr>
        <w:t>Si tratta, com’è evidente, di</w:t>
      </w:r>
      <w:r w:rsidR="009128C5">
        <w:rPr>
          <w:sz w:val="28"/>
          <w:szCs w:val="28"/>
        </w:rPr>
        <w:t xml:space="preserve"> due letture entrambe p</w:t>
      </w:r>
      <w:r>
        <w:rPr>
          <w:sz w:val="28"/>
          <w:szCs w:val="28"/>
        </w:rPr>
        <w:t>l</w:t>
      </w:r>
      <w:r w:rsidR="009128C5">
        <w:rPr>
          <w:sz w:val="28"/>
          <w:szCs w:val="28"/>
        </w:rPr>
        <w:t>a</w:t>
      </w:r>
      <w:r>
        <w:rPr>
          <w:sz w:val="28"/>
          <w:szCs w:val="28"/>
        </w:rPr>
        <w:t xml:space="preserve">usibili </w:t>
      </w:r>
      <w:r w:rsidR="009128C5">
        <w:rPr>
          <w:sz w:val="28"/>
          <w:szCs w:val="28"/>
        </w:rPr>
        <w:t>e che descrivono due fenomeni (la tipicità e l’atipicità degli atti normativi secondari) che, come si vedrà di seguito, obbediscono a due differenti interpretazioni, non solo dell’assetto dogmatico delle fonti del diritto, ma delle stesse esigenze regolative, in relazione alle istanze del mercato e alla garanzia delle libertà dei cittadini.</w:t>
      </w:r>
    </w:p>
    <w:p w:rsidR="00E50609" w:rsidRPr="00E50609" w:rsidRDefault="00322264" w:rsidP="00E50609">
      <w:pPr>
        <w:spacing w:line="360" w:lineRule="auto"/>
        <w:jc w:val="both"/>
        <w:rPr>
          <w:sz w:val="28"/>
          <w:szCs w:val="28"/>
        </w:rPr>
      </w:pPr>
      <w:r>
        <w:rPr>
          <w:sz w:val="28"/>
          <w:szCs w:val="28"/>
        </w:rPr>
        <w:t xml:space="preserve"> </w:t>
      </w:r>
    </w:p>
    <w:p w:rsidR="00E50609" w:rsidRDefault="00BF3F19" w:rsidP="00E50609">
      <w:pPr>
        <w:spacing w:line="360" w:lineRule="auto"/>
        <w:jc w:val="both"/>
        <w:rPr>
          <w:b/>
          <w:sz w:val="28"/>
          <w:szCs w:val="28"/>
        </w:rPr>
      </w:pPr>
      <w:r>
        <w:rPr>
          <w:b/>
          <w:sz w:val="28"/>
          <w:szCs w:val="28"/>
        </w:rPr>
        <w:lastRenderedPageBreak/>
        <w:t>3.- L</w:t>
      </w:r>
      <w:r w:rsidR="00E50609">
        <w:rPr>
          <w:b/>
          <w:sz w:val="28"/>
          <w:szCs w:val="28"/>
        </w:rPr>
        <w:t xml:space="preserve">a fuga dal regolamento. </w:t>
      </w:r>
    </w:p>
    <w:p w:rsidR="003370D1" w:rsidRDefault="003370D1" w:rsidP="00E50609">
      <w:pPr>
        <w:spacing w:line="360" w:lineRule="auto"/>
        <w:jc w:val="both"/>
        <w:rPr>
          <w:b/>
          <w:sz w:val="28"/>
          <w:szCs w:val="28"/>
        </w:rPr>
      </w:pPr>
    </w:p>
    <w:p w:rsidR="0052738F" w:rsidRDefault="0052738F" w:rsidP="00E50609">
      <w:pPr>
        <w:spacing w:line="360" w:lineRule="auto"/>
        <w:jc w:val="both"/>
        <w:rPr>
          <w:sz w:val="28"/>
          <w:szCs w:val="28"/>
        </w:rPr>
      </w:pPr>
      <w:r>
        <w:rPr>
          <w:sz w:val="28"/>
          <w:szCs w:val="28"/>
        </w:rPr>
        <w:t>La legge n.400 del 1988 ha dimostrato, tuttavia, da subito la sua “fragilità” determinando (o, comunque, in qualche misura, tollerando) quel fenomeno ormai noto come “fuga da regolamento”</w:t>
      </w:r>
      <w:r w:rsidR="00C53B0D">
        <w:rPr>
          <w:rStyle w:val="FootnoteReference"/>
          <w:sz w:val="28"/>
          <w:szCs w:val="28"/>
        </w:rPr>
        <w:footnoteReference w:id="7"/>
      </w:r>
      <w:r>
        <w:rPr>
          <w:sz w:val="28"/>
          <w:szCs w:val="28"/>
        </w:rPr>
        <w:t xml:space="preserve"> e che consiste nelle più diverse deviazioni dal modello procedimentale tipico dei regolamenti governativi e ministeriali, per come disciplinati dall’art.17.</w:t>
      </w:r>
    </w:p>
    <w:p w:rsidR="0052738F" w:rsidRDefault="0052738F" w:rsidP="00E50609">
      <w:pPr>
        <w:spacing w:line="360" w:lineRule="auto"/>
        <w:jc w:val="both"/>
        <w:rPr>
          <w:sz w:val="28"/>
          <w:szCs w:val="28"/>
        </w:rPr>
      </w:pPr>
      <w:r>
        <w:rPr>
          <w:sz w:val="28"/>
          <w:szCs w:val="28"/>
        </w:rPr>
        <w:t>L’entrata in vigore della riforma del Titolo V della Costituzione ha, successivamente, incoraggiato le deroghe al regime formale dei regolamenti governativi, nella misura in cui ha circoscritto il perimetro di operatività della potestà regolamentare dello Stato alle sole materie affidate alla sua competenza legislativa esclusiva.</w:t>
      </w:r>
    </w:p>
    <w:p w:rsidR="0052738F" w:rsidRDefault="0052738F" w:rsidP="00E50609">
      <w:pPr>
        <w:spacing w:line="360" w:lineRule="auto"/>
        <w:jc w:val="both"/>
        <w:rPr>
          <w:sz w:val="28"/>
          <w:szCs w:val="28"/>
        </w:rPr>
      </w:pPr>
      <w:r>
        <w:rPr>
          <w:sz w:val="28"/>
          <w:szCs w:val="28"/>
        </w:rPr>
        <w:t>Come si vede, quindi, il fenomeno in esame, la cui più vistosa manifestazione è rintracciabile nelle previsioni legislative che rinviano la disciplina attuativa a decreti ministe</w:t>
      </w:r>
      <w:r w:rsidR="00C53B0D">
        <w:rPr>
          <w:sz w:val="28"/>
          <w:szCs w:val="28"/>
        </w:rPr>
        <w:t>riali espressamente qualificati, peraltro con formula ambigua</w:t>
      </w:r>
      <w:r w:rsidR="00C53B0D">
        <w:rPr>
          <w:rStyle w:val="FootnoteReference"/>
          <w:sz w:val="28"/>
          <w:szCs w:val="28"/>
        </w:rPr>
        <w:footnoteReference w:id="8"/>
      </w:r>
      <w:r w:rsidR="00C53B0D">
        <w:rPr>
          <w:sz w:val="28"/>
          <w:szCs w:val="28"/>
        </w:rPr>
        <w:t xml:space="preserve">, </w:t>
      </w:r>
      <w:r>
        <w:rPr>
          <w:sz w:val="28"/>
          <w:szCs w:val="28"/>
        </w:rPr>
        <w:t>come “di natura non regolamentare”, obbedisce a un duplice intento fraudolento</w:t>
      </w:r>
      <w:r>
        <w:rPr>
          <w:rStyle w:val="FootnoteReference"/>
          <w:sz w:val="28"/>
          <w:szCs w:val="28"/>
        </w:rPr>
        <w:footnoteReference w:id="9"/>
      </w:r>
      <w:r>
        <w:rPr>
          <w:sz w:val="28"/>
          <w:szCs w:val="28"/>
        </w:rPr>
        <w:t xml:space="preserve">: l’elusione delle garanzie procedimentali sancite dall’art.17 l.cit. (parere del Consiglio di Stato, registrazione della Corte dei </w:t>
      </w:r>
      <w:r w:rsidR="00000354">
        <w:rPr>
          <w:sz w:val="28"/>
          <w:szCs w:val="28"/>
        </w:rPr>
        <w:t xml:space="preserve">conti </w:t>
      </w:r>
      <w:r>
        <w:rPr>
          <w:sz w:val="28"/>
          <w:szCs w:val="28"/>
        </w:rPr>
        <w:t>e pubblicazione in Gazzetta Ufficiale</w:t>
      </w:r>
      <w:r w:rsidR="00DE609D">
        <w:rPr>
          <w:sz w:val="28"/>
          <w:szCs w:val="28"/>
        </w:rPr>
        <w:t xml:space="preserve">, ma anche il </w:t>
      </w:r>
      <w:r w:rsidR="00C76877">
        <w:rPr>
          <w:sz w:val="28"/>
          <w:szCs w:val="28"/>
        </w:rPr>
        <w:t xml:space="preserve">parere </w:t>
      </w:r>
      <w:r w:rsidR="00DE609D">
        <w:rPr>
          <w:sz w:val="28"/>
          <w:szCs w:val="28"/>
        </w:rPr>
        <w:t xml:space="preserve">delle </w:t>
      </w:r>
      <w:r w:rsidR="00C76877">
        <w:rPr>
          <w:sz w:val="28"/>
          <w:szCs w:val="28"/>
        </w:rPr>
        <w:t xml:space="preserve">Commissioni </w:t>
      </w:r>
      <w:r w:rsidR="00DE609D">
        <w:rPr>
          <w:sz w:val="28"/>
          <w:szCs w:val="28"/>
        </w:rPr>
        <w:t>parlamentari e delle Conferenze, là dove previsto</w:t>
      </w:r>
      <w:r>
        <w:rPr>
          <w:sz w:val="28"/>
          <w:szCs w:val="28"/>
        </w:rPr>
        <w:t xml:space="preserve">) e la sottrazione al controllo del rispetto delle competenze normative delle Regioni.   </w:t>
      </w:r>
    </w:p>
    <w:p w:rsidR="00C53A77" w:rsidRDefault="00C53A77" w:rsidP="00E50609">
      <w:pPr>
        <w:spacing w:line="360" w:lineRule="auto"/>
        <w:jc w:val="both"/>
        <w:rPr>
          <w:sz w:val="28"/>
          <w:szCs w:val="28"/>
        </w:rPr>
      </w:pPr>
      <w:r>
        <w:rPr>
          <w:sz w:val="28"/>
          <w:szCs w:val="28"/>
        </w:rPr>
        <w:t>La discrasia tra la forma (di atti amministrativi generali) e la sostanza (di atti normativi) che caratterizza tale tipologia di provvedimenti</w:t>
      </w:r>
      <w:r w:rsidR="00C76877">
        <w:rPr>
          <w:sz w:val="28"/>
          <w:szCs w:val="28"/>
        </w:rPr>
        <w:t>, nondimeno,</w:t>
      </w:r>
      <w:r>
        <w:rPr>
          <w:sz w:val="28"/>
          <w:szCs w:val="28"/>
        </w:rPr>
        <w:t xml:space="preserve"> ha suscitato (se non imposto) una reazione del mondo accademico</w:t>
      </w:r>
      <w:r w:rsidR="009E7508">
        <w:rPr>
          <w:sz w:val="28"/>
          <w:szCs w:val="28"/>
        </w:rPr>
        <w:t>,</w:t>
      </w:r>
      <w:r>
        <w:rPr>
          <w:sz w:val="28"/>
          <w:szCs w:val="28"/>
        </w:rPr>
        <w:t xml:space="preserve"> che l</w:t>
      </w:r>
      <w:r w:rsidR="00C76877">
        <w:rPr>
          <w:sz w:val="28"/>
          <w:szCs w:val="28"/>
        </w:rPr>
        <w:t>’</w:t>
      </w:r>
      <w:r>
        <w:rPr>
          <w:sz w:val="28"/>
          <w:szCs w:val="28"/>
        </w:rPr>
        <w:t xml:space="preserve">ha </w:t>
      </w:r>
      <w:r w:rsidR="00C76877">
        <w:rPr>
          <w:sz w:val="28"/>
          <w:szCs w:val="28"/>
        </w:rPr>
        <w:t>stigmatizzata</w:t>
      </w:r>
      <w:r>
        <w:rPr>
          <w:sz w:val="28"/>
          <w:szCs w:val="28"/>
        </w:rPr>
        <w:t xml:space="preserve">, e dell’ordinamento che, per via perlopiù giurisprudenziale, ha tentato di ricondurre alla </w:t>
      </w:r>
      <w:r>
        <w:rPr>
          <w:sz w:val="28"/>
          <w:szCs w:val="28"/>
        </w:rPr>
        <w:lastRenderedPageBreak/>
        <w:t xml:space="preserve">legalità le fattispecie di deviazione di tali atti dal modello tipico dei regolamenti (come meglio spiegato di seguito).  </w:t>
      </w:r>
    </w:p>
    <w:p w:rsidR="0052738F" w:rsidRDefault="0052738F" w:rsidP="00E50609">
      <w:pPr>
        <w:spacing w:line="360" w:lineRule="auto"/>
        <w:jc w:val="both"/>
        <w:rPr>
          <w:sz w:val="28"/>
          <w:szCs w:val="28"/>
        </w:rPr>
      </w:pPr>
    </w:p>
    <w:p w:rsidR="003370D1" w:rsidRDefault="0052738F" w:rsidP="00E50609">
      <w:pPr>
        <w:spacing w:line="360" w:lineRule="auto"/>
        <w:jc w:val="both"/>
        <w:rPr>
          <w:b/>
          <w:sz w:val="28"/>
          <w:szCs w:val="28"/>
        </w:rPr>
      </w:pPr>
      <w:r>
        <w:rPr>
          <w:sz w:val="28"/>
          <w:szCs w:val="28"/>
        </w:rPr>
        <w:t xml:space="preserve"> </w:t>
      </w:r>
    </w:p>
    <w:p w:rsidR="00E50609" w:rsidRDefault="00E50609" w:rsidP="00E50609">
      <w:pPr>
        <w:spacing w:line="360" w:lineRule="auto"/>
        <w:jc w:val="both"/>
        <w:rPr>
          <w:b/>
          <w:sz w:val="28"/>
          <w:szCs w:val="28"/>
        </w:rPr>
      </w:pPr>
      <w:r>
        <w:rPr>
          <w:b/>
          <w:sz w:val="28"/>
          <w:szCs w:val="28"/>
        </w:rPr>
        <w:t>4.- I caratteri identificativi degli atti di normazione secondaria.</w:t>
      </w:r>
    </w:p>
    <w:p w:rsidR="003370D1" w:rsidRDefault="003370D1" w:rsidP="00E50609">
      <w:pPr>
        <w:spacing w:line="360" w:lineRule="auto"/>
        <w:jc w:val="both"/>
        <w:rPr>
          <w:sz w:val="28"/>
          <w:szCs w:val="28"/>
        </w:rPr>
      </w:pPr>
    </w:p>
    <w:p w:rsidR="004B20E6" w:rsidRDefault="00553A85" w:rsidP="00E50609">
      <w:pPr>
        <w:spacing w:line="360" w:lineRule="auto"/>
        <w:jc w:val="both"/>
        <w:rPr>
          <w:sz w:val="28"/>
          <w:szCs w:val="28"/>
        </w:rPr>
      </w:pPr>
      <w:r>
        <w:rPr>
          <w:sz w:val="28"/>
          <w:szCs w:val="28"/>
        </w:rPr>
        <w:t>I</w:t>
      </w:r>
      <w:r w:rsidR="00D807D4">
        <w:rPr>
          <w:sz w:val="28"/>
          <w:szCs w:val="28"/>
        </w:rPr>
        <w:t>l</w:t>
      </w:r>
      <w:r>
        <w:rPr>
          <w:sz w:val="28"/>
          <w:szCs w:val="28"/>
        </w:rPr>
        <w:t xml:space="preserve"> fenomeno della fuga dal regolamento ha indotto una revisione de</w:t>
      </w:r>
      <w:r w:rsidR="0027177B">
        <w:rPr>
          <w:sz w:val="28"/>
          <w:szCs w:val="28"/>
        </w:rPr>
        <w:t>i</w:t>
      </w:r>
      <w:r>
        <w:rPr>
          <w:sz w:val="28"/>
          <w:szCs w:val="28"/>
        </w:rPr>
        <w:t xml:space="preserve"> criteri di classificazione degli atti normativi</w:t>
      </w:r>
      <w:r w:rsidR="004B20E6">
        <w:rPr>
          <w:sz w:val="28"/>
          <w:szCs w:val="28"/>
        </w:rPr>
        <w:t xml:space="preserve"> e, soprattutto, dei parametri alla stregua dei quali questi vanno distinti dagli atti amministrativi generali.</w:t>
      </w:r>
    </w:p>
    <w:p w:rsidR="00553A85" w:rsidRDefault="00553A85" w:rsidP="00E50609">
      <w:pPr>
        <w:spacing w:line="360" w:lineRule="auto"/>
        <w:jc w:val="both"/>
        <w:rPr>
          <w:sz w:val="28"/>
          <w:szCs w:val="28"/>
        </w:rPr>
      </w:pPr>
      <w:r>
        <w:rPr>
          <w:sz w:val="28"/>
          <w:szCs w:val="28"/>
        </w:rPr>
        <w:t>Sono stati, inf</w:t>
      </w:r>
      <w:r w:rsidR="004B20E6">
        <w:rPr>
          <w:sz w:val="28"/>
          <w:szCs w:val="28"/>
        </w:rPr>
        <w:t xml:space="preserve">atti, </w:t>
      </w:r>
      <w:r w:rsidR="009E7508">
        <w:rPr>
          <w:sz w:val="28"/>
          <w:szCs w:val="28"/>
        </w:rPr>
        <w:t xml:space="preserve">da tempo </w:t>
      </w:r>
      <w:r w:rsidR="004B20E6">
        <w:rPr>
          <w:sz w:val="28"/>
          <w:szCs w:val="28"/>
        </w:rPr>
        <w:t>abbandonati</w:t>
      </w:r>
      <w:r w:rsidR="009E7508">
        <w:rPr>
          <w:sz w:val="28"/>
          <w:szCs w:val="28"/>
        </w:rPr>
        <w:t>, com’è noto,</w:t>
      </w:r>
      <w:r w:rsidR="004B20E6">
        <w:rPr>
          <w:sz w:val="28"/>
          <w:szCs w:val="28"/>
        </w:rPr>
        <w:t xml:space="preserve"> i canoni</w:t>
      </w:r>
      <w:r>
        <w:rPr>
          <w:sz w:val="28"/>
          <w:szCs w:val="28"/>
        </w:rPr>
        <w:t xml:space="preserve"> formalistici</w:t>
      </w:r>
      <w:r w:rsidR="007629BA">
        <w:rPr>
          <w:rStyle w:val="FootnoteReference"/>
          <w:sz w:val="28"/>
          <w:szCs w:val="28"/>
        </w:rPr>
        <w:footnoteReference w:id="10"/>
      </w:r>
      <w:r>
        <w:rPr>
          <w:sz w:val="28"/>
          <w:szCs w:val="28"/>
        </w:rPr>
        <w:t xml:space="preserve">, </w:t>
      </w:r>
      <w:r w:rsidR="004B20E6">
        <w:rPr>
          <w:sz w:val="28"/>
          <w:szCs w:val="28"/>
        </w:rPr>
        <w:t xml:space="preserve">sulla base dei quali dev’essere qualificato </w:t>
      </w:r>
      <w:r w:rsidR="001E5B9E">
        <w:rPr>
          <w:sz w:val="28"/>
          <w:szCs w:val="28"/>
        </w:rPr>
        <w:t xml:space="preserve">come regolamento il solo atto che è stato adottato nel rispetto delle regole estrinseche di esercizio della relativa potestà normativa, </w:t>
      </w:r>
      <w:r>
        <w:rPr>
          <w:sz w:val="28"/>
          <w:szCs w:val="28"/>
        </w:rPr>
        <w:t>in favore di una lettura sostanzialistica dell’enunciato provvedimentale</w:t>
      </w:r>
      <w:r w:rsidR="00A02DF2">
        <w:rPr>
          <w:sz w:val="28"/>
          <w:szCs w:val="28"/>
        </w:rPr>
        <w:t>, che ne valorizzi i contenuti precettivi e dispositivi</w:t>
      </w:r>
      <w:r w:rsidR="007629BA">
        <w:rPr>
          <w:rStyle w:val="FootnoteReference"/>
          <w:sz w:val="28"/>
          <w:szCs w:val="28"/>
        </w:rPr>
        <w:footnoteReference w:id="11"/>
      </w:r>
      <w:r>
        <w:rPr>
          <w:sz w:val="28"/>
          <w:szCs w:val="28"/>
        </w:rPr>
        <w:t>.</w:t>
      </w:r>
    </w:p>
    <w:p w:rsidR="00A02DF2" w:rsidRDefault="00A02DF2" w:rsidP="00E50609">
      <w:pPr>
        <w:spacing w:line="360" w:lineRule="auto"/>
        <w:jc w:val="both"/>
        <w:rPr>
          <w:sz w:val="28"/>
          <w:szCs w:val="28"/>
        </w:rPr>
      </w:pPr>
      <w:r>
        <w:rPr>
          <w:sz w:val="28"/>
          <w:szCs w:val="28"/>
        </w:rPr>
        <w:t>Declinando fino alle sue più logiche e stringenti conseguenze il principio generale della prevalenza della sostanza sulla forma</w:t>
      </w:r>
      <w:r w:rsidR="00EE6715">
        <w:rPr>
          <w:rStyle w:val="FootnoteReference"/>
          <w:sz w:val="28"/>
          <w:szCs w:val="28"/>
        </w:rPr>
        <w:footnoteReference w:id="12"/>
      </w:r>
      <w:r>
        <w:rPr>
          <w:sz w:val="28"/>
          <w:szCs w:val="28"/>
        </w:rPr>
        <w:t xml:space="preserve"> (che non vi è alcuna ragione che ne impedisca l’applicazione alla fattispecie considerata), si è, in particolare, ritenuto, per un verso, che l’autoqualificazione della natura dell’atto</w:t>
      </w:r>
      <w:r w:rsidR="00B85942">
        <w:rPr>
          <w:sz w:val="28"/>
          <w:szCs w:val="28"/>
        </w:rPr>
        <w:t xml:space="preserve">, e, cioè, il suo </w:t>
      </w:r>
      <w:r w:rsidR="00B85942">
        <w:rPr>
          <w:i/>
          <w:sz w:val="28"/>
          <w:szCs w:val="28"/>
        </w:rPr>
        <w:t>nomen iuris,</w:t>
      </w:r>
      <w:r>
        <w:rPr>
          <w:sz w:val="28"/>
          <w:szCs w:val="28"/>
        </w:rPr>
        <w:t xml:space="preserve"> resti del tutto ininfluente ai fini della sua qualificazione come provvedimento normativo o amministrativo generale (con la conseguenza che la dizione nella legge di “decreto di natura non regolamentare” non vale in alcun modo a </w:t>
      </w:r>
      <w:r w:rsidR="00C53B0D">
        <w:rPr>
          <w:sz w:val="28"/>
          <w:szCs w:val="28"/>
        </w:rPr>
        <w:t>escludere, invece, il suo carattere normativo</w:t>
      </w:r>
      <w:r>
        <w:rPr>
          <w:sz w:val="28"/>
          <w:szCs w:val="28"/>
        </w:rPr>
        <w:t xml:space="preserve">) e, per un altro, che </w:t>
      </w:r>
      <w:r w:rsidR="00B95A67">
        <w:rPr>
          <w:sz w:val="28"/>
          <w:szCs w:val="28"/>
        </w:rPr>
        <w:t>la natura dell’atto dev’essere identificata alla stregua del riscontro degli indici che, notoriamente, connotano gli atti normativi.</w:t>
      </w:r>
    </w:p>
    <w:p w:rsidR="00EC4005" w:rsidRDefault="00FD7BAF" w:rsidP="00E50609">
      <w:pPr>
        <w:spacing w:line="360" w:lineRule="auto"/>
        <w:jc w:val="both"/>
        <w:rPr>
          <w:sz w:val="28"/>
          <w:szCs w:val="28"/>
        </w:rPr>
      </w:pPr>
      <w:r>
        <w:rPr>
          <w:sz w:val="28"/>
          <w:szCs w:val="28"/>
        </w:rPr>
        <w:t xml:space="preserve">Vezio </w:t>
      </w:r>
      <w:r w:rsidR="00EC4005">
        <w:rPr>
          <w:sz w:val="28"/>
          <w:szCs w:val="28"/>
        </w:rPr>
        <w:t>Crisafulli</w:t>
      </w:r>
      <w:r w:rsidR="00EC4005">
        <w:rPr>
          <w:rStyle w:val="FootnoteReference"/>
          <w:sz w:val="28"/>
          <w:szCs w:val="28"/>
        </w:rPr>
        <w:footnoteReference w:id="13"/>
      </w:r>
      <w:r w:rsidR="00EC4005">
        <w:rPr>
          <w:sz w:val="28"/>
          <w:szCs w:val="28"/>
        </w:rPr>
        <w:t xml:space="preserve"> scriveva che “un conto è provvedere e un conto è disporre” e intendeva, con la sintesi linguistica propria dei grandi studiosi, che l’atto normativo si </w:t>
      </w:r>
      <w:r w:rsidR="00EC4005">
        <w:rPr>
          <w:sz w:val="28"/>
          <w:szCs w:val="28"/>
        </w:rPr>
        <w:lastRenderedPageBreak/>
        <w:t>distingue da quello amministrativo generale proprio per la sua attitudine a regolare fattispecie generali e astratte, e non situazioni concrete, eccezionali o limitate.</w:t>
      </w:r>
    </w:p>
    <w:p w:rsidR="00EC4005" w:rsidRDefault="00EC4005" w:rsidP="00E50609">
      <w:pPr>
        <w:spacing w:line="360" w:lineRule="auto"/>
        <w:jc w:val="both"/>
        <w:rPr>
          <w:sz w:val="28"/>
          <w:szCs w:val="28"/>
        </w:rPr>
      </w:pPr>
      <w:r>
        <w:rPr>
          <w:sz w:val="28"/>
          <w:szCs w:val="28"/>
        </w:rPr>
        <w:t xml:space="preserve">Senza dilungarci sulla ricognizione della </w:t>
      </w:r>
      <w:r w:rsidR="0081509D">
        <w:rPr>
          <w:sz w:val="28"/>
          <w:szCs w:val="28"/>
        </w:rPr>
        <w:t xml:space="preserve">nota </w:t>
      </w:r>
      <w:r>
        <w:rPr>
          <w:sz w:val="28"/>
          <w:szCs w:val="28"/>
        </w:rPr>
        <w:t>elaborazione, dottrinale</w:t>
      </w:r>
      <w:r w:rsidR="00AA1CBD">
        <w:rPr>
          <w:rStyle w:val="FootnoteReference"/>
          <w:sz w:val="28"/>
          <w:szCs w:val="28"/>
        </w:rPr>
        <w:footnoteReference w:id="14"/>
      </w:r>
      <w:r>
        <w:rPr>
          <w:sz w:val="28"/>
          <w:szCs w:val="28"/>
        </w:rPr>
        <w:t xml:space="preserve"> e giurisprudenziale</w:t>
      </w:r>
      <w:r w:rsidR="00AA1CBD">
        <w:rPr>
          <w:rStyle w:val="FootnoteReference"/>
          <w:sz w:val="28"/>
          <w:szCs w:val="28"/>
        </w:rPr>
        <w:footnoteReference w:id="15"/>
      </w:r>
      <w:r>
        <w:rPr>
          <w:sz w:val="28"/>
          <w:szCs w:val="28"/>
        </w:rPr>
        <w:t>, dei criteri distintivi dei regolamenti dagli atti amministrativi generali, basti ricordare che, secondo canoni ormai recepiti e consolidati</w:t>
      </w:r>
      <w:r w:rsidR="00D16CA8">
        <w:rPr>
          <w:rStyle w:val="FootnoteReference"/>
          <w:sz w:val="28"/>
          <w:szCs w:val="28"/>
        </w:rPr>
        <w:footnoteReference w:id="16"/>
      </w:r>
      <w:r>
        <w:rPr>
          <w:sz w:val="28"/>
          <w:szCs w:val="28"/>
        </w:rPr>
        <w:t>, l’atto normativo è caratterizzato dalla generalità (l’attitudine ad applicare il precetto a un numero indeterminato di soggetti), dall’astrattezza (l’attitudine ad applicare il precetto a un num</w:t>
      </w:r>
      <w:r w:rsidR="00605DE2">
        <w:rPr>
          <w:sz w:val="28"/>
          <w:szCs w:val="28"/>
        </w:rPr>
        <w:t>ero indeterminato di situazioni</w:t>
      </w:r>
      <w:r>
        <w:rPr>
          <w:sz w:val="28"/>
          <w:szCs w:val="28"/>
        </w:rPr>
        <w:t>), dalla innovatività (l’idoneità ad introdurre una norma giuridica nuova, e non a precisare le modalità di attuazione di un precetto esistente)</w:t>
      </w:r>
      <w:r w:rsidR="00D332D4">
        <w:rPr>
          <w:sz w:val="28"/>
          <w:szCs w:val="28"/>
        </w:rPr>
        <w:t>, dall’attitudine a integrare la fattispecie astratta</w:t>
      </w:r>
      <w:r w:rsidR="00605DE2">
        <w:rPr>
          <w:sz w:val="28"/>
          <w:szCs w:val="28"/>
        </w:rPr>
        <w:t xml:space="preserve"> e da</w:t>
      </w:r>
      <w:r>
        <w:rPr>
          <w:sz w:val="28"/>
          <w:szCs w:val="28"/>
        </w:rPr>
        <w:t xml:space="preserve">lla non eccezionalità </w:t>
      </w:r>
      <w:r w:rsidR="00C53B0D">
        <w:rPr>
          <w:sz w:val="28"/>
          <w:szCs w:val="28"/>
        </w:rPr>
        <w:t xml:space="preserve">e temporaneità </w:t>
      </w:r>
      <w:r w:rsidR="00605DE2">
        <w:rPr>
          <w:sz w:val="28"/>
          <w:szCs w:val="28"/>
        </w:rPr>
        <w:t xml:space="preserve">dei suoi effetti </w:t>
      </w:r>
      <w:r>
        <w:rPr>
          <w:sz w:val="28"/>
          <w:szCs w:val="28"/>
        </w:rPr>
        <w:t>(in negativo, la non riferibilità del dispositivo a una situazione transitoria, particolare o speciale).</w:t>
      </w:r>
    </w:p>
    <w:p w:rsidR="00AE4C78" w:rsidRDefault="00AA1CBD" w:rsidP="00E50609">
      <w:pPr>
        <w:spacing w:line="360" w:lineRule="auto"/>
        <w:jc w:val="both"/>
        <w:rPr>
          <w:sz w:val="28"/>
          <w:szCs w:val="28"/>
        </w:rPr>
      </w:pPr>
      <w:r>
        <w:rPr>
          <w:sz w:val="28"/>
          <w:szCs w:val="28"/>
        </w:rPr>
        <w:t>E’ stato</w:t>
      </w:r>
      <w:r w:rsidR="00C76877" w:rsidRPr="00C76877">
        <w:rPr>
          <w:sz w:val="28"/>
          <w:szCs w:val="28"/>
        </w:rPr>
        <w:t xml:space="preserve"> </w:t>
      </w:r>
      <w:r w:rsidR="00C76877">
        <w:rPr>
          <w:sz w:val="28"/>
          <w:szCs w:val="28"/>
        </w:rPr>
        <w:t>chiarito</w:t>
      </w:r>
      <w:r w:rsidR="00C76877">
        <w:rPr>
          <w:rStyle w:val="FootnoteReference"/>
          <w:sz w:val="28"/>
          <w:szCs w:val="28"/>
        </w:rPr>
        <w:footnoteReference w:id="17"/>
      </w:r>
      <w:r>
        <w:rPr>
          <w:sz w:val="28"/>
          <w:szCs w:val="28"/>
        </w:rPr>
        <w:t>, peraltro, che non è sufficiente a escludere il carattere normativo di un atto la sua applicazione</w:t>
      </w:r>
      <w:r w:rsidR="00AE4C78">
        <w:rPr>
          <w:sz w:val="28"/>
          <w:szCs w:val="28"/>
        </w:rPr>
        <w:t xml:space="preserve"> a un settore limitato di mercato, quando, all’interno di quel segmento di efficacia, il precetto si applichi, in via generale, a tutti i soggetti che vi operano.</w:t>
      </w:r>
    </w:p>
    <w:p w:rsidR="00D332D4" w:rsidRDefault="00D332D4" w:rsidP="00D332D4">
      <w:pPr>
        <w:spacing w:line="360" w:lineRule="auto"/>
        <w:jc w:val="both"/>
        <w:rPr>
          <w:sz w:val="28"/>
          <w:szCs w:val="28"/>
        </w:rPr>
      </w:pPr>
      <w:r>
        <w:rPr>
          <w:sz w:val="28"/>
          <w:szCs w:val="28"/>
        </w:rPr>
        <w:t>Al contrario, l’atto amministrativo generale si caratterizza per essere indirizzato a un numero limitato e identificabile di destinatari, per pro</w:t>
      </w:r>
      <w:r w:rsidR="00605DE2">
        <w:rPr>
          <w:sz w:val="28"/>
          <w:szCs w:val="28"/>
        </w:rPr>
        <w:t>durre effetti in ordine a una situazione</w:t>
      </w:r>
      <w:r w:rsidR="00C53B0D">
        <w:rPr>
          <w:sz w:val="28"/>
          <w:szCs w:val="28"/>
        </w:rPr>
        <w:t xml:space="preserve"> concreta e particolare e</w:t>
      </w:r>
      <w:r>
        <w:rPr>
          <w:sz w:val="28"/>
          <w:szCs w:val="28"/>
        </w:rPr>
        <w:t xml:space="preserve"> per esaurire la sua portata dispositiva alla regolazione di uno o più rapporti determinati</w:t>
      </w:r>
      <w:r w:rsidR="00605DE2">
        <w:rPr>
          <w:sz w:val="28"/>
          <w:szCs w:val="28"/>
        </w:rPr>
        <w:t xml:space="preserve"> o determinabili</w:t>
      </w:r>
      <w:r>
        <w:rPr>
          <w:sz w:val="28"/>
          <w:szCs w:val="28"/>
        </w:rPr>
        <w:t xml:space="preserve">.   </w:t>
      </w:r>
    </w:p>
    <w:p w:rsidR="00AE4C78" w:rsidRDefault="00AE4C78" w:rsidP="00E50609">
      <w:pPr>
        <w:spacing w:line="360" w:lineRule="auto"/>
        <w:jc w:val="both"/>
        <w:rPr>
          <w:sz w:val="28"/>
          <w:szCs w:val="28"/>
        </w:rPr>
      </w:pPr>
      <w:r>
        <w:rPr>
          <w:sz w:val="28"/>
          <w:szCs w:val="28"/>
        </w:rPr>
        <w:t>E’ vero che l’attendibilità e l’affidabilità di tali parametri sono state criticate</w:t>
      </w:r>
      <w:r w:rsidR="00C53B0D">
        <w:rPr>
          <w:rStyle w:val="FootnoteReference"/>
          <w:sz w:val="28"/>
          <w:szCs w:val="28"/>
        </w:rPr>
        <w:footnoteReference w:id="18"/>
      </w:r>
      <w:r>
        <w:rPr>
          <w:sz w:val="28"/>
          <w:szCs w:val="28"/>
        </w:rPr>
        <w:t>, non conducendo in maniera univ</w:t>
      </w:r>
      <w:r w:rsidR="00C53B0D">
        <w:rPr>
          <w:sz w:val="28"/>
          <w:szCs w:val="28"/>
        </w:rPr>
        <w:t>oca a risultati ermeneutici univoci</w:t>
      </w:r>
      <w:r>
        <w:rPr>
          <w:sz w:val="28"/>
          <w:szCs w:val="28"/>
        </w:rPr>
        <w:t xml:space="preserve"> e sicuri, ma è anche vero che le certezze dei canoni formalistici (è un regolamento sol</w:t>
      </w:r>
      <w:r w:rsidR="00D332D4">
        <w:rPr>
          <w:sz w:val="28"/>
          <w:szCs w:val="28"/>
        </w:rPr>
        <w:t>o</w:t>
      </w:r>
      <w:r>
        <w:rPr>
          <w:sz w:val="28"/>
          <w:szCs w:val="28"/>
        </w:rPr>
        <w:t xml:space="preserve"> quel</w:t>
      </w:r>
      <w:r w:rsidR="0081509D">
        <w:rPr>
          <w:sz w:val="28"/>
          <w:szCs w:val="28"/>
        </w:rPr>
        <w:t xml:space="preserve">lo che si chiama così) comportano </w:t>
      </w:r>
      <w:r>
        <w:rPr>
          <w:sz w:val="28"/>
          <w:szCs w:val="28"/>
        </w:rPr>
        <w:t xml:space="preserve">esiti ancora più paradossali e inaccettabili, sintetizzabili nel trattamento come un atto amministrativo (e, quindi, con l’elusione delle garanzie procedimentali e del vincolo del rispetto delle competenze normative regionali) di un </w:t>
      </w:r>
      <w:r>
        <w:rPr>
          <w:sz w:val="28"/>
          <w:szCs w:val="28"/>
        </w:rPr>
        <w:lastRenderedPageBreak/>
        <w:t>provvedimento, invece, sostanzialmente normativo, solo perché nella legge è stato definito (in maniera fraudolenta) come tale.</w:t>
      </w:r>
    </w:p>
    <w:p w:rsidR="00AE4C78" w:rsidRDefault="00AE4C78" w:rsidP="00E50609">
      <w:pPr>
        <w:spacing w:line="360" w:lineRule="auto"/>
        <w:jc w:val="both"/>
        <w:rPr>
          <w:sz w:val="28"/>
          <w:szCs w:val="28"/>
        </w:rPr>
      </w:pPr>
      <w:r>
        <w:rPr>
          <w:sz w:val="28"/>
          <w:szCs w:val="28"/>
        </w:rPr>
        <w:t xml:space="preserve">Meglio, allora, correre il rischio di applicare canoni valutativi non del tutto </w:t>
      </w:r>
      <w:r w:rsidR="00C76877">
        <w:rPr>
          <w:sz w:val="28"/>
          <w:szCs w:val="28"/>
        </w:rPr>
        <w:t>uniformi</w:t>
      </w:r>
      <w:r>
        <w:rPr>
          <w:sz w:val="28"/>
          <w:szCs w:val="28"/>
        </w:rPr>
        <w:t>, c</w:t>
      </w:r>
      <w:r w:rsidR="00D332D4">
        <w:rPr>
          <w:sz w:val="28"/>
          <w:szCs w:val="28"/>
        </w:rPr>
        <w:t>he avallare la prassi, per molti</w:t>
      </w:r>
      <w:r>
        <w:rPr>
          <w:sz w:val="28"/>
          <w:szCs w:val="28"/>
        </w:rPr>
        <w:t xml:space="preserve"> versi incostituzionale (come si dirà meglio infra), di rimettere all’arbitrio del legislatore la scelta della forma (e, quindi, secondo la tesi formalistica rifiutata, anche il regime sostanziale) dell’atto.</w:t>
      </w:r>
    </w:p>
    <w:p w:rsidR="00E50609" w:rsidRPr="00E50609" w:rsidRDefault="00AE4C78" w:rsidP="00E50609">
      <w:pPr>
        <w:spacing w:line="360" w:lineRule="auto"/>
        <w:jc w:val="both"/>
        <w:rPr>
          <w:sz w:val="28"/>
          <w:szCs w:val="28"/>
        </w:rPr>
      </w:pPr>
      <w:r>
        <w:rPr>
          <w:sz w:val="28"/>
          <w:szCs w:val="28"/>
        </w:rPr>
        <w:t xml:space="preserve">       </w:t>
      </w:r>
      <w:r w:rsidR="00AA1CBD">
        <w:rPr>
          <w:sz w:val="28"/>
          <w:szCs w:val="28"/>
        </w:rPr>
        <w:t xml:space="preserve"> </w:t>
      </w:r>
      <w:r w:rsidR="00EC4005">
        <w:rPr>
          <w:sz w:val="28"/>
          <w:szCs w:val="28"/>
        </w:rPr>
        <w:t xml:space="preserve">  </w:t>
      </w:r>
    </w:p>
    <w:p w:rsidR="00E50609" w:rsidRDefault="00E50609" w:rsidP="00E50609">
      <w:pPr>
        <w:spacing w:line="360" w:lineRule="auto"/>
        <w:jc w:val="both"/>
        <w:rPr>
          <w:b/>
          <w:sz w:val="28"/>
        </w:rPr>
      </w:pPr>
      <w:r>
        <w:rPr>
          <w:b/>
          <w:sz w:val="28"/>
          <w:szCs w:val="28"/>
        </w:rPr>
        <w:t>5</w:t>
      </w:r>
      <w:r>
        <w:rPr>
          <w:b/>
          <w:sz w:val="28"/>
        </w:rPr>
        <w:t>.- Un fenomeno recente: le linee guida.</w:t>
      </w:r>
    </w:p>
    <w:p w:rsidR="0042350A" w:rsidRDefault="0042350A" w:rsidP="00E50609">
      <w:pPr>
        <w:spacing w:line="360" w:lineRule="auto"/>
        <w:jc w:val="both"/>
        <w:rPr>
          <w:sz w:val="28"/>
        </w:rPr>
      </w:pPr>
    </w:p>
    <w:p w:rsidR="00553A85" w:rsidRDefault="0042350A" w:rsidP="00E50609">
      <w:pPr>
        <w:spacing w:line="360" w:lineRule="auto"/>
        <w:jc w:val="both"/>
        <w:rPr>
          <w:sz w:val="28"/>
        </w:rPr>
      </w:pPr>
      <w:r>
        <w:rPr>
          <w:sz w:val="28"/>
        </w:rPr>
        <w:t>Il dibattito, risalente e ormai stanco, sul fenomeno della fuga dal regolamento è destinato ad essere ripreso e vivacizzato da u</w:t>
      </w:r>
      <w:r w:rsidR="00553A85">
        <w:rPr>
          <w:sz w:val="28"/>
        </w:rPr>
        <w:t xml:space="preserve">n evento inedito e </w:t>
      </w:r>
      <w:r w:rsidR="00C53B0D">
        <w:rPr>
          <w:sz w:val="28"/>
        </w:rPr>
        <w:t xml:space="preserve">dirompente come la previsione </w:t>
      </w:r>
      <w:r>
        <w:rPr>
          <w:sz w:val="28"/>
        </w:rPr>
        <w:t>nel Codice degli appalti</w:t>
      </w:r>
      <w:r w:rsidR="00C53B0D">
        <w:rPr>
          <w:sz w:val="28"/>
        </w:rPr>
        <w:t xml:space="preserve"> di linee guida vincolanti, destinate, come tali, all’attuazione e all’integrazione della disciplina primaria</w:t>
      </w:r>
      <w:r>
        <w:rPr>
          <w:sz w:val="28"/>
        </w:rPr>
        <w:t>.</w:t>
      </w:r>
    </w:p>
    <w:p w:rsidR="0042350A" w:rsidRDefault="0042350A" w:rsidP="00E50609">
      <w:pPr>
        <w:spacing w:line="360" w:lineRule="auto"/>
        <w:jc w:val="both"/>
        <w:rPr>
          <w:sz w:val="28"/>
        </w:rPr>
      </w:pPr>
      <w:r>
        <w:rPr>
          <w:sz w:val="28"/>
        </w:rPr>
        <w:t>Si tratta di una novità assoluta (perl</w:t>
      </w:r>
      <w:r w:rsidR="00C53B0D">
        <w:rPr>
          <w:sz w:val="28"/>
        </w:rPr>
        <w:t>omeno nei termini in cui è stata concepita</w:t>
      </w:r>
      <w:r>
        <w:rPr>
          <w:sz w:val="28"/>
        </w:rPr>
        <w:t xml:space="preserve"> e</w:t>
      </w:r>
      <w:r w:rsidR="00C53B0D">
        <w:rPr>
          <w:sz w:val="28"/>
        </w:rPr>
        <w:t xml:space="preserve"> prevista</w:t>
      </w:r>
      <w:r>
        <w:rPr>
          <w:sz w:val="28"/>
        </w:rPr>
        <w:t>) per l’ordinamento giuridico italiano, che merita di essere esaminata e scrutinata in tutte le sue implicazioni dogmatiche e operative</w:t>
      </w:r>
      <w:r w:rsidR="00FF0A48">
        <w:rPr>
          <w:sz w:val="28"/>
        </w:rPr>
        <w:t xml:space="preserve"> e che rivela, fin da un primo approccio interpretativo, difficoltà ricostruttive del tutto peculiari e inesplorate</w:t>
      </w:r>
      <w:r>
        <w:rPr>
          <w:sz w:val="28"/>
        </w:rPr>
        <w:t>.</w:t>
      </w:r>
    </w:p>
    <w:p w:rsidR="005D0012" w:rsidRDefault="00FF0A48" w:rsidP="00E50609">
      <w:pPr>
        <w:spacing w:line="360" w:lineRule="auto"/>
        <w:jc w:val="both"/>
        <w:rPr>
          <w:sz w:val="28"/>
        </w:rPr>
      </w:pPr>
      <w:r>
        <w:rPr>
          <w:sz w:val="28"/>
        </w:rPr>
        <w:t>Se, infatti, già l</w:t>
      </w:r>
      <w:r w:rsidR="002D38CB">
        <w:rPr>
          <w:sz w:val="28"/>
        </w:rPr>
        <w:t>a classificazione dei decreti ministeriali “privi di natura normativa”</w:t>
      </w:r>
      <w:r w:rsidR="005D0012">
        <w:rPr>
          <w:sz w:val="28"/>
        </w:rPr>
        <w:t xml:space="preserve"> ha manifestato problemi di inquadramento e di catalogazione nel sistema delle fonti, la qualificazione giuridica di un atto del tutto atipico, fin nel nome, e sconosciuto al tradizionale assetto dei modelli di produzione del diritto (come le linee guida emanate da un’autorità diversa dal Governo) si appalesa del tutto incerta e critica.</w:t>
      </w:r>
    </w:p>
    <w:p w:rsidR="006F0FE4" w:rsidRDefault="006F0FE4" w:rsidP="00E50609">
      <w:pPr>
        <w:spacing w:line="360" w:lineRule="auto"/>
        <w:jc w:val="both"/>
        <w:rPr>
          <w:sz w:val="28"/>
        </w:rPr>
      </w:pPr>
      <w:r>
        <w:rPr>
          <w:sz w:val="28"/>
        </w:rPr>
        <w:t>Prima di esaminare il problema della classificazione delle linee</w:t>
      </w:r>
      <w:r w:rsidR="00C53B0D">
        <w:rPr>
          <w:sz w:val="28"/>
        </w:rPr>
        <w:t xml:space="preserve"> guida</w:t>
      </w:r>
      <w:r>
        <w:rPr>
          <w:sz w:val="28"/>
        </w:rPr>
        <w:t xml:space="preserve">, occorre, nondimeno, comprendere genesi, caratteri e finalità del fenomeno. </w:t>
      </w:r>
    </w:p>
    <w:p w:rsidR="00E97C3D" w:rsidRDefault="006F0FE4" w:rsidP="00E50609">
      <w:pPr>
        <w:spacing w:line="360" w:lineRule="auto"/>
        <w:jc w:val="both"/>
        <w:rPr>
          <w:sz w:val="28"/>
        </w:rPr>
      </w:pPr>
      <w:r>
        <w:rPr>
          <w:sz w:val="28"/>
        </w:rPr>
        <w:t>Si è già detto, in apertura, che la crisi del regolamento è stata generata in larga misura dalle istanze del mondo dell’economia reale e, in generale, del mercato di un</w:t>
      </w:r>
      <w:r w:rsidR="006E37D6">
        <w:rPr>
          <w:sz w:val="28"/>
        </w:rPr>
        <w:t>a regolazione</w:t>
      </w:r>
      <w:r w:rsidR="00E97C3D">
        <w:rPr>
          <w:sz w:val="28"/>
        </w:rPr>
        <w:t xml:space="preserve"> flessibile </w:t>
      </w:r>
      <w:r w:rsidR="006E37D6">
        <w:rPr>
          <w:sz w:val="28"/>
        </w:rPr>
        <w:t xml:space="preserve">e veloce (in questo senso appare più appropriato parlare di </w:t>
      </w:r>
      <w:r w:rsidR="006E37D6" w:rsidRPr="00C53B0D">
        <w:rPr>
          <w:i/>
          <w:sz w:val="28"/>
        </w:rPr>
        <w:t>fast law</w:t>
      </w:r>
      <w:r w:rsidR="006E37D6">
        <w:rPr>
          <w:sz w:val="28"/>
        </w:rPr>
        <w:t xml:space="preserve">, anzichè di </w:t>
      </w:r>
      <w:r w:rsidR="006E37D6" w:rsidRPr="00C53B0D">
        <w:rPr>
          <w:i/>
          <w:sz w:val="28"/>
        </w:rPr>
        <w:t>soft law</w:t>
      </w:r>
      <w:r w:rsidR="006E37D6">
        <w:rPr>
          <w:sz w:val="28"/>
        </w:rPr>
        <w:t xml:space="preserve">) </w:t>
      </w:r>
      <w:r w:rsidR="00E97C3D">
        <w:rPr>
          <w:sz w:val="28"/>
        </w:rPr>
        <w:t xml:space="preserve">e, soprattutto, non più imbrigliata nei lacci antiquati delle procedure formali di approvazione dei regolamenti (giudicate non più compatibili con </w:t>
      </w:r>
      <w:r w:rsidR="00E97C3D">
        <w:rPr>
          <w:sz w:val="28"/>
        </w:rPr>
        <w:lastRenderedPageBreak/>
        <w:t>le esigenze di un governo agile ed efficiente delle regole destinate a favorire lo sviluppo economico del Paese).</w:t>
      </w:r>
    </w:p>
    <w:p w:rsidR="008E2D45" w:rsidRDefault="008E2D45" w:rsidP="00E50609">
      <w:pPr>
        <w:spacing w:line="360" w:lineRule="auto"/>
        <w:jc w:val="both"/>
        <w:rPr>
          <w:sz w:val="28"/>
        </w:rPr>
      </w:pPr>
      <w:r>
        <w:rPr>
          <w:sz w:val="28"/>
        </w:rPr>
        <w:t>Va</w:t>
      </w:r>
      <w:r w:rsidR="00C76877" w:rsidRPr="00C76877">
        <w:rPr>
          <w:sz w:val="28"/>
        </w:rPr>
        <w:t xml:space="preserve"> </w:t>
      </w:r>
      <w:r w:rsidR="00C76877">
        <w:rPr>
          <w:sz w:val="28"/>
        </w:rPr>
        <w:t>segnalata</w:t>
      </w:r>
      <w:r>
        <w:rPr>
          <w:sz w:val="28"/>
        </w:rPr>
        <w:t xml:space="preserve">, tuttavia, l’inappropriatezza del richiamo alla nozione, invero molto incerta, di </w:t>
      </w:r>
      <w:r w:rsidRPr="004D79CB">
        <w:rPr>
          <w:i/>
          <w:sz w:val="28"/>
        </w:rPr>
        <w:t>soft law</w:t>
      </w:r>
      <w:r>
        <w:rPr>
          <w:sz w:val="28"/>
        </w:rPr>
        <w:t xml:space="preserve"> (pure da qualcuno evocata).</w:t>
      </w:r>
    </w:p>
    <w:p w:rsidR="008E2D45" w:rsidRDefault="008E2D45" w:rsidP="00E50609">
      <w:pPr>
        <w:spacing w:line="360" w:lineRule="auto"/>
        <w:jc w:val="both"/>
        <w:rPr>
          <w:sz w:val="28"/>
        </w:rPr>
      </w:pPr>
      <w:r>
        <w:rPr>
          <w:sz w:val="28"/>
        </w:rPr>
        <w:t xml:space="preserve">Mentre il fenomeno della </w:t>
      </w:r>
      <w:r w:rsidRPr="006D2819">
        <w:rPr>
          <w:i/>
          <w:sz w:val="28"/>
        </w:rPr>
        <w:t>soft law</w:t>
      </w:r>
      <w:r>
        <w:rPr>
          <w:sz w:val="28"/>
        </w:rPr>
        <w:t xml:space="preserve"> (generato nel diritto internazionale per risolvere questioni, transazioni, rapporti non soggetti ad alcuna normazione cogente) postula logicamente (come segnalato, peraltro, dall’uso dell’aggettivo </w:t>
      </w:r>
      <w:r w:rsidRPr="00DE609D">
        <w:rPr>
          <w:i/>
          <w:sz w:val="28"/>
        </w:rPr>
        <w:t>“soft</w:t>
      </w:r>
      <w:r w:rsidR="004D79CB" w:rsidRPr="00DE609D">
        <w:rPr>
          <w:i/>
          <w:sz w:val="28"/>
        </w:rPr>
        <w:t>”</w:t>
      </w:r>
      <w:r>
        <w:rPr>
          <w:sz w:val="28"/>
        </w:rPr>
        <w:t xml:space="preserve">) l’assenza di vincolatività </w:t>
      </w:r>
      <w:r w:rsidR="004D79CB">
        <w:rPr>
          <w:sz w:val="28"/>
        </w:rPr>
        <w:t xml:space="preserve">(viceversa prodotta solo dalla </w:t>
      </w:r>
      <w:r w:rsidR="004D79CB" w:rsidRPr="004D79CB">
        <w:rPr>
          <w:i/>
          <w:sz w:val="28"/>
        </w:rPr>
        <w:t>hard law</w:t>
      </w:r>
      <w:r w:rsidR="004D79CB">
        <w:rPr>
          <w:sz w:val="28"/>
        </w:rPr>
        <w:t xml:space="preserve">) </w:t>
      </w:r>
      <w:r>
        <w:rPr>
          <w:sz w:val="28"/>
        </w:rPr>
        <w:t>della regola di cui si tratta (</w:t>
      </w:r>
      <w:r w:rsidR="006D2819">
        <w:rPr>
          <w:sz w:val="28"/>
        </w:rPr>
        <w:t xml:space="preserve">proprio perché ascrivibile al novero delle </w:t>
      </w:r>
      <w:r w:rsidR="006D2819">
        <w:rPr>
          <w:i/>
          <w:sz w:val="28"/>
        </w:rPr>
        <w:t xml:space="preserve">tertiary </w:t>
      </w:r>
      <w:r w:rsidR="006D2819" w:rsidRPr="006D2819">
        <w:rPr>
          <w:i/>
          <w:sz w:val="28"/>
        </w:rPr>
        <w:t>rules</w:t>
      </w:r>
      <w:r w:rsidR="006D2819">
        <w:rPr>
          <w:sz w:val="28"/>
        </w:rPr>
        <w:t>)</w:t>
      </w:r>
      <w:r w:rsidR="00C76877">
        <w:rPr>
          <w:sz w:val="28"/>
        </w:rPr>
        <w:t>,</w:t>
      </w:r>
      <w:r w:rsidR="006D2819">
        <w:rPr>
          <w:sz w:val="28"/>
        </w:rPr>
        <w:t xml:space="preserve"> </w:t>
      </w:r>
      <w:r w:rsidRPr="006D2819">
        <w:rPr>
          <w:sz w:val="28"/>
        </w:rPr>
        <w:t>il</w:t>
      </w:r>
      <w:r>
        <w:rPr>
          <w:sz w:val="28"/>
        </w:rPr>
        <w:t xml:space="preserve"> cui rispetto viene sostanzialmente rimesso dall’adesione volontaria </w:t>
      </w:r>
      <w:r w:rsidR="006D2819">
        <w:rPr>
          <w:sz w:val="28"/>
        </w:rPr>
        <w:t xml:space="preserve">(anche per effetto della </w:t>
      </w:r>
      <w:r w:rsidR="006D2819">
        <w:rPr>
          <w:i/>
          <w:sz w:val="28"/>
        </w:rPr>
        <w:t xml:space="preserve">moral suasion o dissuasion </w:t>
      </w:r>
      <w:r w:rsidR="006D2819">
        <w:rPr>
          <w:sz w:val="28"/>
        </w:rPr>
        <w:t>operata, ad esempio, dalle autor</w:t>
      </w:r>
      <w:r w:rsidR="00605DE2">
        <w:rPr>
          <w:sz w:val="28"/>
        </w:rPr>
        <w:t>ità indipendenti</w:t>
      </w:r>
      <w:r w:rsidR="006D2819">
        <w:rPr>
          <w:rStyle w:val="FootnoteReference"/>
          <w:sz w:val="28"/>
        </w:rPr>
        <w:footnoteReference w:id="19"/>
      </w:r>
      <w:r w:rsidR="006D2819">
        <w:rPr>
          <w:sz w:val="28"/>
        </w:rPr>
        <w:t xml:space="preserve">) </w:t>
      </w:r>
      <w:r>
        <w:rPr>
          <w:sz w:val="28"/>
        </w:rPr>
        <w:t>dei soggetti coinvolti</w:t>
      </w:r>
      <w:r w:rsidR="006D2819">
        <w:rPr>
          <w:sz w:val="28"/>
        </w:rPr>
        <w:t xml:space="preserve"> nella sua sfera di operatività</w:t>
      </w:r>
      <w:r>
        <w:rPr>
          <w:sz w:val="28"/>
        </w:rPr>
        <w:t xml:space="preserve">, le linee guida, al contrario, sono state pensate e previste </w:t>
      </w:r>
      <w:r w:rsidR="004D79CB">
        <w:rPr>
          <w:sz w:val="28"/>
        </w:rPr>
        <w:t xml:space="preserve">(perlomeno in larga misura) </w:t>
      </w:r>
      <w:r>
        <w:rPr>
          <w:sz w:val="28"/>
        </w:rPr>
        <w:t xml:space="preserve">come idonee a costituire diritti e obblighi in capo ai destinatari, tanto da sostituire, come si vedrà meglio nel paragrafo che segue, </w:t>
      </w:r>
      <w:r w:rsidR="004D79CB">
        <w:rPr>
          <w:sz w:val="28"/>
        </w:rPr>
        <w:t xml:space="preserve">le </w:t>
      </w:r>
      <w:r>
        <w:rPr>
          <w:sz w:val="28"/>
        </w:rPr>
        <w:t>disposizioni (sicuramente) regolamentari contestualmente abrogate.</w:t>
      </w:r>
    </w:p>
    <w:p w:rsidR="00CD3E62" w:rsidRDefault="00DF0BA0" w:rsidP="00E50609">
      <w:pPr>
        <w:spacing w:line="360" w:lineRule="auto"/>
        <w:jc w:val="both"/>
        <w:rPr>
          <w:sz w:val="28"/>
        </w:rPr>
      </w:pPr>
      <w:r>
        <w:rPr>
          <w:sz w:val="28"/>
        </w:rPr>
        <w:t xml:space="preserve">Così chiarito che la </w:t>
      </w:r>
      <w:r w:rsidRPr="004D79CB">
        <w:rPr>
          <w:i/>
          <w:sz w:val="28"/>
        </w:rPr>
        <w:t>soft regulation</w:t>
      </w:r>
      <w:r>
        <w:rPr>
          <w:sz w:val="28"/>
        </w:rPr>
        <w:t xml:space="preserve"> attiene ad ambiti diversi da quelli riservati alle linee guida vincolanti, </w:t>
      </w:r>
      <w:r w:rsidR="00CD3E62">
        <w:rPr>
          <w:sz w:val="28"/>
        </w:rPr>
        <w:t>si osserva che, se è vero che gli operatori economici e (probabilmente) anche le amministrazioni pubbliche pretendono una regolazione più snella e veloce (rispetto ai tempi e alle modalità di approvazione dei regolamenti), è anche vero che tali esigenze, per quanto meritevoli di considerazione e di soddisfazione, non possono prevalere sugli interessi (perlomeno equivalenti, se non superiori) a una regolazione seria, strutturata, controllata, ma, soprattutto, affidata ad autorità che se ne assumano (potendolo fare) la responsabilità politica.</w:t>
      </w:r>
    </w:p>
    <w:p w:rsidR="0042350A" w:rsidRDefault="00CD3E62" w:rsidP="00E50609">
      <w:pPr>
        <w:spacing w:line="360" w:lineRule="auto"/>
        <w:jc w:val="both"/>
        <w:rPr>
          <w:sz w:val="28"/>
        </w:rPr>
      </w:pPr>
      <w:r>
        <w:rPr>
          <w:sz w:val="28"/>
        </w:rPr>
        <w:t xml:space="preserve">Si tratta, in altri termini, di identificare il più efficace (ma non facile) equilibrio tra le istanze </w:t>
      </w:r>
      <w:r w:rsidR="00983F1F">
        <w:rPr>
          <w:sz w:val="28"/>
        </w:rPr>
        <w:t xml:space="preserve">del mercato a una regolazione flessibile, adattabile e agile e le esigenze sottese alla riserva della produzione delle norme giuridiche ad autorità democraticamente legittimate all’introduzione di regole che incidono </w:t>
      </w:r>
      <w:r w:rsidR="00E825FF">
        <w:rPr>
          <w:sz w:val="28"/>
        </w:rPr>
        <w:t xml:space="preserve">direttamente </w:t>
      </w:r>
      <w:r w:rsidR="00983F1F">
        <w:rPr>
          <w:sz w:val="28"/>
        </w:rPr>
        <w:t>sulla sfera di libertà dei cittadini.</w:t>
      </w:r>
      <w:r>
        <w:rPr>
          <w:sz w:val="28"/>
        </w:rPr>
        <w:t xml:space="preserve"> </w:t>
      </w:r>
      <w:r w:rsidR="00DF0BA0">
        <w:rPr>
          <w:sz w:val="28"/>
        </w:rPr>
        <w:t xml:space="preserve"> </w:t>
      </w:r>
    </w:p>
    <w:p w:rsidR="00E50609" w:rsidRPr="00E50609" w:rsidRDefault="00DF0BA0" w:rsidP="00E50609">
      <w:pPr>
        <w:spacing w:line="360" w:lineRule="auto"/>
        <w:jc w:val="both"/>
        <w:rPr>
          <w:sz w:val="28"/>
        </w:rPr>
      </w:pPr>
      <w:r>
        <w:rPr>
          <w:sz w:val="28"/>
        </w:rPr>
        <w:lastRenderedPageBreak/>
        <w:t xml:space="preserve"> </w:t>
      </w:r>
    </w:p>
    <w:p w:rsidR="00E50609" w:rsidRDefault="0010349B" w:rsidP="00E50609">
      <w:pPr>
        <w:spacing w:line="360" w:lineRule="auto"/>
        <w:jc w:val="both"/>
        <w:rPr>
          <w:b/>
          <w:sz w:val="28"/>
        </w:rPr>
      </w:pPr>
      <w:r>
        <w:rPr>
          <w:b/>
          <w:sz w:val="28"/>
        </w:rPr>
        <w:t xml:space="preserve">6.- </w:t>
      </w:r>
      <w:r w:rsidR="006F0FE4">
        <w:rPr>
          <w:b/>
          <w:sz w:val="28"/>
        </w:rPr>
        <w:t>La (difficile) qualificazione giuridica delle line</w:t>
      </w:r>
      <w:r w:rsidR="0086052B">
        <w:rPr>
          <w:b/>
          <w:sz w:val="28"/>
        </w:rPr>
        <w:t>e</w:t>
      </w:r>
      <w:r w:rsidR="006F0FE4">
        <w:rPr>
          <w:b/>
          <w:sz w:val="28"/>
        </w:rPr>
        <w:t xml:space="preserve"> guida dell’ANAC.</w:t>
      </w:r>
      <w:r w:rsidR="00E50609">
        <w:rPr>
          <w:b/>
          <w:sz w:val="28"/>
        </w:rPr>
        <w:t xml:space="preserve"> </w:t>
      </w:r>
    </w:p>
    <w:p w:rsidR="00983F1F" w:rsidRDefault="00983F1F" w:rsidP="00E97C3D">
      <w:pPr>
        <w:spacing w:line="360" w:lineRule="auto"/>
        <w:jc w:val="both"/>
        <w:rPr>
          <w:sz w:val="28"/>
        </w:rPr>
      </w:pPr>
    </w:p>
    <w:p w:rsidR="000E6172" w:rsidRDefault="00E825FF" w:rsidP="00E97C3D">
      <w:pPr>
        <w:spacing w:line="360" w:lineRule="auto"/>
        <w:jc w:val="both"/>
        <w:rPr>
          <w:sz w:val="28"/>
        </w:rPr>
      </w:pPr>
      <w:r>
        <w:rPr>
          <w:sz w:val="28"/>
        </w:rPr>
        <w:t>Nel Codice degl</w:t>
      </w:r>
      <w:r w:rsidR="000E6172">
        <w:rPr>
          <w:sz w:val="28"/>
        </w:rPr>
        <w:t>i appalti è stato assegnato all’ANAC, per mezzo dello</w:t>
      </w:r>
      <w:r>
        <w:rPr>
          <w:sz w:val="28"/>
        </w:rPr>
        <w:t xml:space="preserve"> strumento delle linee guida, proprio perchè più agile del regolamento, </w:t>
      </w:r>
      <w:r w:rsidR="000E6172">
        <w:rPr>
          <w:sz w:val="28"/>
        </w:rPr>
        <w:t>un compito strategico ed essenziale nella definizione delle disciplina normativa secondaria.</w:t>
      </w:r>
    </w:p>
    <w:p w:rsidR="000E6172" w:rsidRDefault="000E6172" w:rsidP="00E97C3D">
      <w:pPr>
        <w:spacing w:line="360" w:lineRule="auto"/>
        <w:jc w:val="both"/>
        <w:rPr>
          <w:sz w:val="28"/>
        </w:rPr>
      </w:pPr>
      <w:r>
        <w:rPr>
          <w:sz w:val="28"/>
        </w:rPr>
        <w:t>E’ stata, infatti, riservata alle linee guida la disciplina di aspetti determinanti del regime normativo delle procedure di aggiudicazione degli appalti pubblici, sicchè si impone una loro qualificazione giuridica alla quale consegua l’identificazione del modello di fonte al quale devono essere ascritte.</w:t>
      </w:r>
    </w:p>
    <w:p w:rsidR="00E825FF" w:rsidRDefault="000E6172" w:rsidP="00E97C3D">
      <w:pPr>
        <w:spacing w:line="360" w:lineRule="auto"/>
        <w:jc w:val="both"/>
        <w:rPr>
          <w:sz w:val="28"/>
        </w:rPr>
      </w:pPr>
      <w:r>
        <w:rPr>
          <w:sz w:val="28"/>
        </w:rPr>
        <w:t>Tale già c</w:t>
      </w:r>
      <w:r w:rsidR="00605DE2">
        <w:rPr>
          <w:sz w:val="28"/>
        </w:rPr>
        <w:t>omplessa operazione ermeneutica</w:t>
      </w:r>
      <w:r>
        <w:rPr>
          <w:sz w:val="28"/>
        </w:rPr>
        <w:t xml:space="preserve"> si rivela, tuttavia, complicata dalla diversità delle tipologie di linee guida contemplate dal Codice degli appalti, sia quanto </w:t>
      </w:r>
      <w:r w:rsidR="00D748AB">
        <w:rPr>
          <w:sz w:val="28"/>
        </w:rPr>
        <w:t>ai contenuti, sia quanto all’autorità emanante, sia, ancora, quanto alla procedura formale prescritta per la loro adozione.</w:t>
      </w:r>
    </w:p>
    <w:p w:rsidR="00E97C3D" w:rsidRPr="00E50609" w:rsidRDefault="00E825FF" w:rsidP="00E97C3D">
      <w:pPr>
        <w:spacing w:line="360" w:lineRule="auto"/>
        <w:jc w:val="both"/>
        <w:rPr>
          <w:sz w:val="28"/>
        </w:rPr>
      </w:pPr>
      <w:r>
        <w:rPr>
          <w:sz w:val="28"/>
        </w:rPr>
        <w:t xml:space="preserve">Pur nella estrema (e, forse, eccessiva) </w:t>
      </w:r>
      <w:r w:rsidR="00D748AB">
        <w:rPr>
          <w:sz w:val="28"/>
        </w:rPr>
        <w:t xml:space="preserve">eterogeneità dei diversi modelli </w:t>
      </w:r>
      <w:r w:rsidR="00E97C3D">
        <w:rPr>
          <w:sz w:val="28"/>
        </w:rPr>
        <w:t>di linee guida</w:t>
      </w:r>
      <w:r w:rsidR="00D748AB">
        <w:rPr>
          <w:sz w:val="28"/>
        </w:rPr>
        <w:t>, il Consiglio di Stato</w:t>
      </w:r>
      <w:r w:rsidR="00D748AB">
        <w:rPr>
          <w:rStyle w:val="FootnoteReference"/>
          <w:sz w:val="28"/>
        </w:rPr>
        <w:footnoteReference w:id="20"/>
      </w:r>
      <w:r w:rsidR="00D748AB">
        <w:rPr>
          <w:sz w:val="28"/>
        </w:rPr>
        <w:t xml:space="preserve"> ne ha classificate tre tipologie</w:t>
      </w:r>
      <w:r w:rsidR="00E97C3D">
        <w:rPr>
          <w:sz w:val="28"/>
        </w:rPr>
        <w:t xml:space="preserve">: a) </w:t>
      </w:r>
      <w:r w:rsidR="00D748AB">
        <w:rPr>
          <w:sz w:val="28"/>
        </w:rPr>
        <w:t xml:space="preserve">quelle </w:t>
      </w:r>
      <w:r w:rsidR="00E97C3D">
        <w:rPr>
          <w:sz w:val="28"/>
        </w:rPr>
        <w:t xml:space="preserve">approvate con decreto ministeriale, b) </w:t>
      </w:r>
      <w:r w:rsidR="00D748AB">
        <w:rPr>
          <w:sz w:val="28"/>
        </w:rPr>
        <w:t xml:space="preserve">quelle </w:t>
      </w:r>
      <w:r w:rsidR="00E97C3D">
        <w:rPr>
          <w:sz w:val="28"/>
        </w:rPr>
        <w:t xml:space="preserve">vincolanti </w:t>
      </w:r>
      <w:r w:rsidR="003919E8">
        <w:rPr>
          <w:sz w:val="28"/>
        </w:rPr>
        <w:t xml:space="preserve">adottate dall’ANAC </w:t>
      </w:r>
      <w:r w:rsidR="00E97C3D">
        <w:rPr>
          <w:sz w:val="28"/>
        </w:rPr>
        <w:t xml:space="preserve">e c) </w:t>
      </w:r>
      <w:r w:rsidR="00D748AB">
        <w:rPr>
          <w:sz w:val="28"/>
        </w:rPr>
        <w:t xml:space="preserve">quelle </w:t>
      </w:r>
      <w:r w:rsidR="00E97C3D">
        <w:rPr>
          <w:sz w:val="28"/>
        </w:rPr>
        <w:t>non vincolanti</w:t>
      </w:r>
      <w:r w:rsidR="003919E8">
        <w:rPr>
          <w:sz w:val="28"/>
        </w:rPr>
        <w:t xml:space="preserve"> (sempre adottate dall’ANAC)</w:t>
      </w:r>
      <w:r w:rsidR="00E97C3D">
        <w:rPr>
          <w:sz w:val="28"/>
        </w:rPr>
        <w:t>.</w:t>
      </w:r>
    </w:p>
    <w:p w:rsidR="00981FAB" w:rsidRDefault="00981FAB" w:rsidP="00E50609">
      <w:pPr>
        <w:spacing w:line="360" w:lineRule="auto"/>
        <w:jc w:val="both"/>
        <w:rPr>
          <w:sz w:val="28"/>
        </w:rPr>
      </w:pPr>
      <w:r>
        <w:rPr>
          <w:sz w:val="28"/>
        </w:rPr>
        <w:t>Ora, mentre risulta agevole la qualificazione delle linee guida di cui ai modelli a), quali regolamenti ministeriali di cui all’art.17, comma 3, l.cit.</w:t>
      </w:r>
      <w:r w:rsidR="00C706DB">
        <w:rPr>
          <w:sz w:val="28"/>
        </w:rPr>
        <w:t>,</w:t>
      </w:r>
      <w:r w:rsidR="00C706DB" w:rsidRPr="00C706DB">
        <w:rPr>
          <w:sz w:val="28"/>
        </w:rPr>
        <w:t xml:space="preserve"> </w:t>
      </w:r>
      <w:r w:rsidR="00C706DB">
        <w:rPr>
          <w:sz w:val="28"/>
        </w:rPr>
        <w:t>con tutte le implicazioni in termini di rispetto delle garanzie procedimentali ivi previste (e nonostante la differente regolazione procedurale contenuta nel decreto legislativo, che si appalesa come un caso evidente di fuga dal regolamento)</w:t>
      </w:r>
      <w:r>
        <w:rPr>
          <w:sz w:val="28"/>
        </w:rPr>
        <w:t>, in ragione della loro pacifica natura normativa, e c), da valersi quali atti amministrativi generali al pari di circolari contenenti istruzioni operative sull’applicazione della normativa di riferimento, più problematica appare la catalogazione delle linee guida ascrivibili allo schema b)</w:t>
      </w:r>
      <w:r w:rsidR="00C706DB">
        <w:rPr>
          <w:sz w:val="28"/>
        </w:rPr>
        <w:t xml:space="preserve">, ovvero le </w:t>
      </w:r>
      <w:r>
        <w:rPr>
          <w:sz w:val="28"/>
        </w:rPr>
        <w:t>linee guida vincolanti adottate dall’ANAC, ma non approvate con decreto del Ministro per le infrastrutture e i tra</w:t>
      </w:r>
      <w:r w:rsidR="00C76877">
        <w:rPr>
          <w:sz w:val="28"/>
        </w:rPr>
        <w:t>s</w:t>
      </w:r>
      <w:r>
        <w:rPr>
          <w:sz w:val="28"/>
        </w:rPr>
        <w:t>porti.</w:t>
      </w:r>
    </w:p>
    <w:p w:rsidR="00F50541" w:rsidRDefault="00F50541" w:rsidP="00E50609">
      <w:pPr>
        <w:spacing w:line="360" w:lineRule="auto"/>
        <w:jc w:val="both"/>
        <w:rPr>
          <w:sz w:val="28"/>
        </w:rPr>
      </w:pPr>
      <w:r>
        <w:rPr>
          <w:sz w:val="28"/>
        </w:rPr>
        <w:lastRenderedPageBreak/>
        <w:t>Una prima difficoltà dev’essere indentificata nell’antinomia ontologi</w:t>
      </w:r>
      <w:r w:rsidR="00C76877">
        <w:rPr>
          <w:sz w:val="28"/>
        </w:rPr>
        <w:t>c</w:t>
      </w:r>
      <w:r>
        <w:rPr>
          <w:sz w:val="28"/>
        </w:rPr>
        <w:t>a tra la stessa nozione di line guida e il carattere vincolante assegnato a quelle in esame.</w:t>
      </w:r>
    </w:p>
    <w:p w:rsidR="00294E5F" w:rsidRDefault="00294E5F" w:rsidP="00E50609">
      <w:pPr>
        <w:spacing w:line="360" w:lineRule="auto"/>
        <w:jc w:val="both"/>
        <w:rPr>
          <w:sz w:val="28"/>
        </w:rPr>
      </w:pPr>
      <w:r>
        <w:rPr>
          <w:sz w:val="28"/>
        </w:rPr>
        <w:t>Secondo la concezione tradizionale</w:t>
      </w:r>
      <w:r w:rsidR="00FA20BA">
        <w:rPr>
          <w:sz w:val="28"/>
        </w:rPr>
        <w:t>,</w:t>
      </w:r>
      <w:r>
        <w:rPr>
          <w:sz w:val="28"/>
        </w:rPr>
        <w:t xml:space="preserve"> infatti, le linee guida costituiscono un’espressione propria del potere di direttiva</w:t>
      </w:r>
      <w:r w:rsidR="006D2819">
        <w:rPr>
          <w:rStyle w:val="FootnoteReference"/>
          <w:sz w:val="28"/>
        </w:rPr>
        <w:footnoteReference w:id="21"/>
      </w:r>
      <w:r>
        <w:rPr>
          <w:sz w:val="28"/>
        </w:rPr>
        <w:t xml:space="preserve"> (come si desume anche dalla valenza semantica dell’espressione usata per il loro nome), che si declina, a sua volta, per mezzo di raccomandazioni, istruzioni operative e, quindi, in definitiva, mediante l’indicazione delle modalità attuative del precetto normativo, ma mai per mezzo di regole cogenti e vincolanti (che, semmai, costituiscono il presupposto logico dei chiarimenti affidati alle linee guida).</w:t>
      </w:r>
    </w:p>
    <w:p w:rsidR="00F50541" w:rsidRDefault="006D2819" w:rsidP="00E50609">
      <w:pPr>
        <w:spacing w:line="360" w:lineRule="auto"/>
        <w:jc w:val="both"/>
        <w:rPr>
          <w:sz w:val="28"/>
        </w:rPr>
      </w:pPr>
      <w:r>
        <w:rPr>
          <w:sz w:val="28"/>
        </w:rPr>
        <w:t>La segnalata discrasia tra il nome e la sostanza delle linee guida in esame ha, da subito, rivelato la singolare complessità della loro classificazione dogmatica e ha legittimato due distinte ipotesi ricostruttive.</w:t>
      </w:r>
      <w:r w:rsidR="00294E5F">
        <w:rPr>
          <w:sz w:val="28"/>
        </w:rPr>
        <w:t xml:space="preserve">  </w:t>
      </w:r>
      <w:r w:rsidR="00F50541">
        <w:rPr>
          <w:sz w:val="28"/>
        </w:rPr>
        <w:t xml:space="preserve"> </w:t>
      </w:r>
    </w:p>
    <w:p w:rsidR="00981FAB" w:rsidRDefault="00981FAB" w:rsidP="00E50609">
      <w:pPr>
        <w:spacing w:line="360" w:lineRule="auto"/>
        <w:jc w:val="both"/>
        <w:rPr>
          <w:sz w:val="28"/>
        </w:rPr>
      </w:pPr>
      <w:r>
        <w:rPr>
          <w:sz w:val="28"/>
        </w:rPr>
        <w:t>Premesso, infatti, che la natura vincolante, oltre alla portata certamente generale, astratta e innovativa, del tipo di atto in questione (si pensi, ad es</w:t>
      </w:r>
      <w:r w:rsidR="00A57597">
        <w:rPr>
          <w:sz w:val="28"/>
        </w:rPr>
        <w:t>e</w:t>
      </w:r>
      <w:r>
        <w:rPr>
          <w:sz w:val="28"/>
        </w:rPr>
        <w:t>mpio, alle linee guida previste dagli artt.83 e 84 del Codice) impone di escludere la loro natura di atto amministrativo generale, anche in considerazione della loro preordinazione a sostituire il regime normativo contenuto nel regolament</w:t>
      </w:r>
      <w:r w:rsidR="00E66355">
        <w:rPr>
          <w:sz w:val="28"/>
        </w:rPr>
        <w:t>o di attuazione del previgente C</w:t>
      </w:r>
      <w:r>
        <w:rPr>
          <w:sz w:val="28"/>
        </w:rPr>
        <w:t>odice dei contrat</w:t>
      </w:r>
      <w:r w:rsidR="00A57597">
        <w:rPr>
          <w:sz w:val="28"/>
        </w:rPr>
        <w:t>ti pubblici, il Consiglio di Stato, nel formulare il parere sullo schema di decreto legislativo, ha dovuto esaminare du</w:t>
      </w:r>
      <w:r w:rsidR="006D2819">
        <w:rPr>
          <w:sz w:val="28"/>
        </w:rPr>
        <w:t>e diverse (e incompatibili) tesi</w:t>
      </w:r>
      <w:r w:rsidR="00A57597">
        <w:rPr>
          <w:sz w:val="28"/>
        </w:rPr>
        <w:t>: la qualificazione delle linee guida vincolanti come atti normativi atipici; la loro classificazione come atti di regolazione del tipo di quelli adottati dalle autorità amministrative indipendenti.</w:t>
      </w:r>
    </w:p>
    <w:p w:rsidR="00336CA2" w:rsidRDefault="00336CA2" w:rsidP="00E50609">
      <w:pPr>
        <w:spacing w:line="360" w:lineRule="auto"/>
        <w:jc w:val="both"/>
        <w:rPr>
          <w:sz w:val="28"/>
        </w:rPr>
      </w:pPr>
      <w:r>
        <w:rPr>
          <w:sz w:val="28"/>
        </w:rPr>
        <w:t xml:space="preserve">La preferenza accordata al secondo schema provvedimentale, </w:t>
      </w:r>
      <w:r w:rsidR="00C76877">
        <w:rPr>
          <w:sz w:val="28"/>
        </w:rPr>
        <w:t xml:space="preserve">ancorché </w:t>
      </w:r>
      <w:r>
        <w:rPr>
          <w:sz w:val="28"/>
        </w:rPr>
        <w:t>ben argomentata e circondata da opportune garanzie proc</w:t>
      </w:r>
      <w:r w:rsidR="00FB1969">
        <w:rPr>
          <w:sz w:val="28"/>
        </w:rPr>
        <w:t>edurali (la consultazione</w:t>
      </w:r>
      <w:r w:rsidR="00FA20BA">
        <w:rPr>
          <w:sz w:val="28"/>
        </w:rPr>
        <w:t xml:space="preserve"> degli operatori</w:t>
      </w:r>
      <w:r w:rsidR="00FB1969">
        <w:rPr>
          <w:sz w:val="28"/>
        </w:rPr>
        <w:t>, l’AIR, la VIR</w:t>
      </w:r>
      <w:r w:rsidR="00D86907">
        <w:rPr>
          <w:sz w:val="28"/>
        </w:rPr>
        <w:t>, la raccolta in testi unici, l’adozione di forme di adeguata pubblicità</w:t>
      </w:r>
      <w:r>
        <w:rPr>
          <w:sz w:val="28"/>
        </w:rPr>
        <w:t xml:space="preserve">), resta, </w:t>
      </w:r>
      <w:r w:rsidR="00C76877">
        <w:rPr>
          <w:sz w:val="28"/>
        </w:rPr>
        <w:t>però</w:t>
      </w:r>
      <w:r>
        <w:rPr>
          <w:sz w:val="28"/>
        </w:rPr>
        <w:t>, pro</w:t>
      </w:r>
      <w:r w:rsidR="00C706DB">
        <w:rPr>
          <w:sz w:val="28"/>
        </w:rPr>
        <w:t>blematica e si presta a</w:t>
      </w:r>
      <w:r>
        <w:rPr>
          <w:sz w:val="28"/>
        </w:rPr>
        <w:t xml:space="preserve"> plausibili </w:t>
      </w:r>
      <w:r w:rsidR="00C706DB">
        <w:rPr>
          <w:sz w:val="28"/>
        </w:rPr>
        <w:t xml:space="preserve">rilievi critici </w:t>
      </w:r>
      <w:r>
        <w:rPr>
          <w:sz w:val="28"/>
        </w:rPr>
        <w:t>(a conferma della estrema difficoltà di una convincente colloc</w:t>
      </w:r>
      <w:r w:rsidR="006D2819">
        <w:rPr>
          <w:sz w:val="28"/>
        </w:rPr>
        <w:t>azione degli atti in questione n</w:t>
      </w:r>
      <w:r>
        <w:rPr>
          <w:sz w:val="28"/>
        </w:rPr>
        <w:t>ella gerarchia delle fonti).</w:t>
      </w:r>
    </w:p>
    <w:p w:rsidR="006D2819" w:rsidRDefault="006D2819" w:rsidP="00E50609">
      <w:pPr>
        <w:spacing w:line="360" w:lineRule="auto"/>
        <w:jc w:val="both"/>
        <w:rPr>
          <w:sz w:val="28"/>
        </w:rPr>
      </w:pPr>
      <w:r>
        <w:rPr>
          <w:sz w:val="28"/>
        </w:rPr>
        <w:lastRenderedPageBreak/>
        <w:t>E’ vero, infatti, che</w:t>
      </w:r>
      <w:r w:rsidR="00DE609D">
        <w:rPr>
          <w:sz w:val="28"/>
        </w:rPr>
        <w:t xml:space="preserve"> la compatibilità con il sistema delle fonti della potestà regolamentare delle autorità indipendenti è stata riconosciuta da tempo</w:t>
      </w:r>
      <w:r w:rsidR="00DE609D">
        <w:rPr>
          <w:rStyle w:val="FootnoteReference"/>
          <w:sz w:val="28"/>
        </w:rPr>
        <w:footnoteReference w:id="22"/>
      </w:r>
      <w:r w:rsidR="00DE609D">
        <w:rPr>
          <w:sz w:val="28"/>
        </w:rPr>
        <w:t xml:space="preserve">, </w:t>
      </w:r>
      <w:r w:rsidR="00C76877">
        <w:rPr>
          <w:sz w:val="28"/>
        </w:rPr>
        <w:t xml:space="preserve">benché </w:t>
      </w:r>
      <w:r w:rsidR="00DE609D">
        <w:rPr>
          <w:sz w:val="28"/>
        </w:rPr>
        <w:t>sprovvista</w:t>
      </w:r>
      <w:r w:rsidR="00D813B8">
        <w:rPr>
          <w:sz w:val="28"/>
        </w:rPr>
        <w:t>, in generale,</w:t>
      </w:r>
      <w:r w:rsidR="00DE609D">
        <w:rPr>
          <w:sz w:val="28"/>
        </w:rPr>
        <w:t xml:space="preserve"> di copertura costituzionale, </w:t>
      </w:r>
      <w:r w:rsidR="00B90CE4">
        <w:rPr>
          <w:sz w:val="28"/>
        </w:rPr>
        <w:t>ma è anche vero che la titolarità e il valido esercizio del potere di r</w:t>
      </w:r>
      <w:r w:rsidR="00D86907">
        <w:rPr>
          <w:sz w:val="28"/>
        </w:rPr>
        <w:t>egolazione sono stati presidiati</w:t>
      </w:r>
      <w:r w:rsidR="00B90CE4">
        <w:rPr>
          <w:sz w:val="28"/>
        </w:rPr>
        <w:t xml:space="preserve"> da rilevanti cautele</w:t>
      </w:r>
      <w:r w:rsidR="00D813B8">
        <w:rPr>
          <w:sz w:val="28"/>
        </w:rPr>
        <w:t xml:space="preserve"> e condizioni</w:t>
      </w:r>
      <w:r w:rsidR="00B90CE4">
        <w:rPr>
          <w:sz w:val="28"/>
        </w:rPr>
        <w:t xml:space="preserve">, che, sole, consentono di affermare la loro compatibilità con il principio di legalità. </w:t>
      </w:r>
      <w:r w:rsidR="00DE609D">
        <w:rPr>
          <w:sz w:val="28"/>
        </w:rPr>
        <w:t xml:space="preserve"> </w:t>
      </w:r>
      <w:r>
        <w:rPr>
          <w:sz w:val="28"/>
        </w:rPr>
        <w:t xml:space="preserve"> </w:t>
      </w:r>
    </w:p>
    <w:p w:rsidR="00D813B8" w:rsidRDefault="00D813B8" w:rsidP="00E50609">
      <w:pPr>
        <w:spacing w:line="360" w:lineRule="auto"/>
        <w:jc w:val="both"/>
        <w:rPr>
          <w:sz w:val="28"/>
        </w:rPr>
      </w:pPr>
      <w:r>
        <w:rPr>
          <w:sz w:val="28"/>
        </w:rPr>
        <w:t>Tra queste meritano di essere ricordate la base costituzionale del potere in questione (</w:t>
      </w:r>
      <w:r w:rsidR="00C76877">
        <w:rPr>
          <w:sz w:val="28"/>
        </w:rPr>
        <w:t>identificata</w:t>
      </w:r>
      <w:r>
        <w:rPr>
          <w:sz w:val="28"/>
        </w:rPr>
        <w:t>, ad esempio, nell’art.47 Cost. per la disciplina dell’attività bancaria e, in generale, finanziaria), la copertura europea (individuata, in via insufficientemente astratta, nei principi del Trattato di libera circolazione e di concorrenza), il carattere settoriale e tecnico della regolazione</w:t>
      </w:r>
      <w:r>
        <w:rPr>
          <w:rStyle w:val="FootnoteReference"/>
          <w:sz w:val="28"/>
        </w:rPr>
        <w:footnoteReference w:id="23"/>
      </w:r>
      <w:r>
        <w:rPr>
          <w:sz w:val="28"/>
        </w:rPr>
        <w:t xml:space="preserve"> e i criteri di fondo per l’esercizio della potestà regolatoria</w:t>
      </w:r>
      <w:r>
        <w:rPr>
          <w:rStyle w:val="FootnoteReference"/>
          <w:sz w:val="28"/>
        </w:rPr>
        <w:footnoteReference w:id="24"/>
      </w:r>
      <w:r>
        <w:rPr>
          <w:sz w:val="28"/>
        </w:rPr>
        <w:t xml:space="preserve">.  </w:t>
      </w:r>
    </w:p>
    <w:p w:rsidR="00D813B8" w:rsidRDefault="00D813B8" w:rsidP="00E50609">
      <w:pPr>
        <w:spacing w:line="360" w:lineRule="auto"/>
        <w:jc w:val="both"/>
        <w:rPr>
          <w:sz w:val="28"/>
        </w:rPr>
      </w:pPr>
      <w:r>
        <w:rPr>
          <w:sz w:val="28"/>
        </w:rPr>
        <w:t>Orbene, le pre</w:t>
      </w:r>
      <w:r w:rsidR="00FA20BA">
        <w:rPr>
          <w:sz w:val="28"/>
        </w:rPr>
        <w:t>dette condizioni di legalità</w:t>
      </w:r>
      <w:r>
        <w:rPr>
          <w:sz w:val="28"/>
        </w:rPr>
        <w:t xml:space="preserve"> appaiono </w:t>
      </w:r>
      <w:r w:rsidR="00FA20BA">
        <w:rPr>
          <w:sz w:val="28"/>
        </w:rPr>
        <w:t xml:space="preserve">difficilmente </w:t>
      </w:r>
      <w:r>
        <w:rPr>
          <w:sz w:val="28"/>
        </w:rPr>
        <w:t>rintracciabili nelle linee guida in esame (se non in esito a un percorso ermeneutico incerto e tor</w:t>
      </w:r>
      <w:r w:rsidR="00BF3F19">
        <w:rPr>
          <w:sz w:val="28"/>
        </w:rPr>
        <w:t>t</w:t>
      </w:r>
      <w:r>
        <w:rPr>
          <w:sz w:val="28"/>
        </w:rPr>
        <w:t xml:space="preserve">uoso). </w:t>
      </w:r>
    </w:p>
    <w:p w:rsidR="008479E2" w:rsidRDefault="00336CA2" w:rsidP="00E50609">
      <w:pPr>
        <w:spacing w:line="360" w:lineRule="auto"/>
        <w:jc w:val="both"/>
        <w:rPr>
          <w:sz w:val="28"/>
        </w:rPr>
      </w:pPr>
      <w:r>
        <w:rPr>
          <w:sz w:val="28"/>
        </w:rPr>
        <w:t xml:space="preserve">Mentre, infatti, gli atti di regolazione rispondono all’esigenza di affidare a un’autorità indipendente dal Governo l’introduzione di regole perlopiù tecniche </w:t>
      </w:r>
      <w:r w:rsidR="008479E2">
        <w:rPr>
          <w:sz w:val="28"/>
        </w:rPr>
        <w:t>(tariffe, prezzi di accesso alla rete dell’</w:t>
      </w:r>
      <w:r w:rsidR="00E728A3" w:rsidRPr="00FB1969">
        <w:rPr>
          <w:i/>
          <w:sz w:val="28"/>
        </w:rPr>
        <w:t>incumbent</w:t>
      </w:r>
      <w:r w:rsidR="00E728A3">
        <w:rPr>
          <w:sz w:val="28"/>
        </w:rPr>
        <w:t>, ripartizione di risorse scarse, determinazione tecnica de</w:t>
      </w:r>
      <w:r w:rsidR="00D86907">
        <w:rPr>
          <w:sz w:val="28"/>
        </w:rPr>
        <w:t>i contenuti delle transazioni commerciali</w:t>
      </w:r>
      <w:r w:rsidR="008479E2">
        <w:rPr>
          <w:sz w:val="28"/>
        </w:rPr>
        <w:t xml:space="preserve">) </w:t>
      </w:r>
      <w:r>
        <w:rPr>
          <w:sz w:val="28"/>
        </w:rPr>
        <w:t xml:space="preserve">in segmenti di mercato circoscritti nei quali l’Esecutivo, per mezzo delle società partecipate, conserva un interesse </w:t>
      </w:r>
      <w:r w:rsidR="00FA20BA">
        <w:rPr>
          <w:sz w:val="28"/>
        </w:rPr>
        <w:t>(</w:t>
      </w:r>
      <w:r>
        <w:rPr>
          <w:sz w:val="28"/>
        </w:rPr>
        <w:t xml:space="preserve">diretto </w:t>
      </w:r>
      <w:r w:rsidR="00FA20BA">
        <w:rPr>
          <w:sz w:val="28"/>
        </w:rPr>
        <w:t xml:space="preserve">o indiretto) </w:t>
      </w:r>
      <w:r>
        <w:rPr>
          <w:sz w:val="28"/>
        </w:rPr>
        <w:t>che ne sconsiglia qualsivoglia intervento normativo, le linee guida dell’ANAC, al contrario, non presentano i caratt</w:t>
      </w:r>
      <w:r w:rsidR="008479E2">
        <w:rPr>
          <w:sz w:val="28"/>
        </w:rPr>
        <w:t xml:space="preserve">eri della tecnicalità e della settorialità, </w:t>
      </w:r>
      <w:r w:rsidR="00C76877">
        <w:rPr>
          <w:sz w:val="28"/>
        </w:rPr>
        <w:t>né intervengono</w:t>
      </w:r>
      <w:r w:rsidR="008479E2">
        <w:rPr>
          <w:sz w:val="28"/>
        </w:rPr>
        <w:t xml:space="preserve"> in un mercato che esige una regolazione autonoma dal Governo.</w:t>
      </w:r>
    </w:p>
    <w:p w:rsidR="008479E2" w:rsidRDefault="008479E2" w:rsidP="00E50609">
      <w:pPr>
        <w:spacing w:line="360" w:lineRule="auto"/>
        <w:jc w:val="both"/>
        <w:rPr>
          <w:sz w:val="28"/>
        </w:rPr>
      </w:pPr>
      <w:r>
        <w:rPr>
          <w:sz w:val="28"/>
        </w:rPr>
        <w:t xml:space="preserve">Le linee guida che dovranno definire, per gli appalti di lavori, il sistema di qualificazione delle imprese, i requisiti di partecipazione alle gare, le regole dell’avvalimento e il regime delle SOA (artt.83 e 84 del Codice) rivestono, per un verso, quei caratteri di generalità e astrattezza che caratterizzano la produzione </w:t>
      </w:r>
      <w:r>
        <w:rPr>
          <w:sz w:val="28"/>
        </w:rPr>
        <w:lastRenderedPageBreak/>
        <w:t>normativa regolamentare pr</w:t>
      </w:r>
      <w:r w:rsidR="00FA20BA">
        <w:rPr>
          <w:sz w:val="28"/>
        </w:rPr>
        <w:t xml:space="preserve">opriamente intesa, </w:t>
      </w:r>
      <w:r w:rsidR="00C76877">
        <w:rPr>
          <w:sz w:val="28"/>
        </w:rPr>
        <w:t>ma</w:t>
      </w:r>
      <w:r w:rsidR="00710137">
        <w:rPr>
          <w:sz w:val="28"/>
        </w:rPr>
        <w:t xml:space="preserve"> </w:t>
      </w:r>
      <w:r w:rsidR="00FA20BA">
        <w:rPr>
          <w:sz w:val="28"/>
        </w:rPr>
        <w:t>non presentan</w:t>
      </w:r>
      <w:r>
        <w:rPr>
          <w:sz w:val="28"/>
        </w:rPr>
        <w:t>o, per un altro, alcun profilo tecnico che ne impone l’affidamento a un’autorità di regolazione diversa dal Governo e si riferiscono, per un altro ancora, a un mercato tutt’altro che settoriale, nella misura in cui si applicano a tutte le procedure di affidamento di appalti pubblici di lavori.</w:t>
      </w:r>
    </w:p>
    <w:p w:rsidR="008479E2" w:rsidRDefault="008479E2" w:rsidP="00E50609">
      <w:pPr>
        <w:spacing w:line="360" w:lineRule="auto"/>
        <w:jc w:val="both"/>
        <w:rPr>
          <w:sz w:val="28"/>
        </w:rPr>
      </w:pPr>
      <w:r>
        <w:rPr>
          <w:sz w:val="28"/>
        </w:rPr>
        <w:t>Non solo, ma nel mercato dei lavori pubblici non sono neanche ravvisabili quelle esigenze di regolazione indipendente d</w:t>
      </w:r>
      <w:r w:rsidR="00B85942">
        <w:rPr>
          <w:sz w:val="28"/>
        </w:rPr>
        <w:t>all’Esecutivo (che non controlla</w:t>
      </w:r>
      <w:r>
        <w:rPr>
          <w:sz w:val="28"/>
        </w:rPr>
        <w:t>, direttamente o indirettamente, alcuna impresa</w:t>
      </w:r>
      <w:r w:rsidR="00B85942">
        <w:rPr>
          <w:sz w:val="28"/>
        </w:rPr>
        <w:t>, monopolista o ex monopolista,</w:t>
      </w:r>
      <w:r>
        <w:rPr>
          <w:sz w:val="28"/>
        </w:rPr>
        <w:t xml:space="preserve"> che rivesta una posizi</w:t>
      </w:r>
      <w:r w:rsidR="00FA20BA">
        <w:rPr>
          <w:sz w:val="28"/>
        </w:rPr>
        <w:t xml:space="preserve">one dominante) che sconsigli l’introduzione della </w:t>
      </w:r>
      <w:r>
        <w:rPr>
          <w:sz w:val="28"/>
        </w:rPr>
        <w:t>pertinente disciplina normativa mediante regolamenti governativi.</w:t>
      </w:r>
    </w:p>
    <w:p w:rsidR="00A84855" w:rsidRDefault="00A84855" w:rsidP="00E50609">
      <w:pPr>
        <w:spacing w:line="360" w:lineRule="auto"/>
        <w:jc w:val="both"/>
        <w:rPr>
          <w:sz w:val="28"/>
        </w:rPr>
      </w:pPr>
      <w:r>
        <w:rPr>
          <w:sz w:val="28"/>
        </w:rPr>
        <w:t xml:space="preserve">Da ultimo, non risultano rinvenibili, </w:t>
      </w:r>
      <w:r w:rsidR="00C76877">
        <w:rPr>
          <w:sz w:val="28"/>
        </w:rPr>
        <w:t xml:space="preserve">né </w:t>
      </w:r>
      <w:r>
        <w:rPr>
          <w:sz w:val="28"/>
        </w:rPr>
        <w:t xml:space="preserve">nella Costituzione </w:t>
      </w:r>
      <w:r w:rsidR="00C76877">
        <w:rPr>
          <w:sz w:val="28"/>
        </w:rPr>
        <w:t xml:space="preserve">né </w:t>
      </w:r>
      <w:r>
        <w:rPr>
          <w:sz w:val="28"/>
        </w:rPr>
        <w:t>nel diritto europeo, le basi (afferenti a un rango sovraordinato alla legge ordinaria) del potere regolativo affidato dalla legge all’ANAC, così come, nelle disposizioni legislative che lo prevedono e lo autorizzano, non appaio</w:t>
      </w:r>
      <w:r w:rsidR="00FA20BA">
        <w:rPr>
          <w:sz w:val="28"/>
        </w:rPr>
        <w:t xml:space="preserve">no rintracciabili i criteri e </w:t>
      </w:r>
      <w:r>
        <w:rPr>
          <w:sz w:val="28"/>
        </w:rPr>
        <w:t>i principi alla stregua dei quali dev’essere declinata la regolazione in questione</w:t>
      </w:r>
      <w:r w:rsidR="00760077">
        <w:rPr>
          <w:rStyle w:val="FootnoteReference"/>
          <w:sz w:val="28"/>
        </w:rPr>
        <w:footnoteReference w:id="25"/>
      </w:r>
      <w:r w:rsidR="009A28CE">
        <w:rPr>
          <w:sz w:val="28"/>
        </w:rPr>
        <w:t>, nella quale sono ravvisabili gli estremi di una vera e propria delega in bianco</w:t>
      </w:r>
      <w:r>
        <w:rPr>
          <w:sz w:val="28"/>
        </w:rPr>
        <w:t xml:space="preserve"> (con un ulteriore profilo di inosservanza del principio di legalità, che, si ripete, esige che il potere regolatorio affidato dal</w:t>
      </w:r>
      <w:r w:rsidR="00FA20BA">
        <w:rPr>
          <w:sz w:val="28"/>
        </w:rPr>
        <w:t>la legge a una fonte subordinata</w:t>
      </w:r>
      <w:r>
        <w:rPr>
          <w:sz w:val="28"/>
        </w:rPr>
        <w:t xml:space="preserve"> resti condizionato dal rispetto di parametri predefiniti dalla fonte legislativa).  </w:t>
      </w:r>
    </w:p>
    <w:p w:rsidR="0031696A" w:rsidRDefault="008479E2" w:rsidP="00E50609">
      <w:pPr>
        <w:spacing w:line="360" w:lineRule="auto"/>
        <w:jc w:val="both"/>
        <w:rPr>
          <w:sz w:val="28"/>
        </w:rPr>
      </w:pPr>
      <w:r>
        <w:rPr>
          <w:sz w:val="28"/>
        </w:rPr>
        <w:t>La catalogazione delle linee guida in esame nel novero degli atti di regolazione delle autorità indipendenti si rivela, in defin</w:t>
      </w:r>
      <w:r w:rsidR="0031696A">
        <w:rPr>
          <w:sz w:val="28"/>
        </w:rPr>
        <w:t xml:space="preserve">itiva, una forzatura ermeneutica dettata dalla duplice </w:t>
      </w:r>
      <w:r w:rsidR="00D86907">
        <w:rPr>
          <w:sz w:val="28"/>
        </w:rPr>
        <w:t xml:space="preserve">(e, comunque, apprezzabile) </w:t>
      </w:r>
      <w:r w:rsidR="0031696A">
        <w:rPr>
          <w:sz w:val="28"/>
        </w:rPr>
        <w:t>esigenza di conservare gli equilibri dell’assetto conosciuto delle fonti regolative e di evitare l’espresso riconoscimento dell’anomalia dell’introduzione di una nuova e atipica fonte del diritto, con tutte le difficoltà ricostruttive e sistematiche che ne conseguirebbero.</w:t>
      </w:r>
    </w:p>
    <w:p w:rsidR="008479E2" w:rsidRDefault="0031696A" w:rsidP="00E50609">
      <w:pPr>
        <w:spacing w:line="360" w:lineRule="auto"/>
        <w:jc w:val="both"/>
        <w:rPr>
          <w:sz w:val="28"/>
        </w:rPr>
      </w:pPr>
      <w:r>
        <w:rPr>
          <w:sz w:val="28"/>
        </w:rPr>
        <w:t xml:space="preserve">Il Consiglio di Stato ha, peraltro, dimostrato di avvertire la difficoltà del corretto inquadramento giuridico delle linee guida vincolanti dell’ANAC, là dove ha chiaramente suggerito al Governo (che, tuttavia, non ha recepito tale opportuna </w:t>
      </w:r>
      <w:r>
        <w:rPr>
          <w:sz w:val="28"/>
        </w:rPr>
        <w:lastRenderedPageBreak/>
        <w:t xml:space="preserve">suggestione) </w:t>
      </w:r>
      <w:r w:rsidR="0042628E">
        <w:rPr>
          <w:sz w:val="28"/>
        </w:rPr>
        <w:t xml:space="preserve">di riesaminare il riparto della disciplina attuativa tra i modelli dei decreti ministeriali e delle linee guida (consigliando, ad esempio, di ricondurre al primo schema le linee guida previste dagli artt.83 e 84). </w:t>
      </w:r>
      <w:r>
        <w:rPr>
          <w:sz w:val="28"/>
        </w:rPr>
        <w:t xml:space="preserve">   </w:t>
      </w:r>
      <w:r w:rsidR="008479E2">
        <w:rPr>
          <w:sz w:val="28"/>
        </w:rPr>
        <w:t xml:space="preserve">    </w:t>
      </w:r>
    </w:p>
    <w:p w:rsidR="00694A49" w:rsidRDefault="00694A49" w:rsidP="00E50609">
      <w:pPr>
        <w:spacing w:line="360" w:lineRule="auto"/>
        <w:jc w:val="both"/>
        <w:rPr>
          <w:sz w:val="28"/>
        </w:rPr>
      </w:pPr>
      <w:r>
        <w:rPr>
          <w:sz w:val="28"/>
        </w:rPr>
        <w:t>Resta, peraltro, estremamente complesso indagare le conseguenze, sul piano sistematico</w:t>
      </w:r>
      <w:r w:rsidR="00FA20BA">
        <w:rPr>
          <w:sz w:val="28"/>
        </w:rPr>
        <w:t>,</w:t>
      </w:r>
      <w:r>
        <w:rPr>
          <w:sz w:val="28"/>
        </w:rPr>
        <w:t xml:space="preserve"> ma anche su quello applicativo, della diversa </w:t>
      </w:r>
      <w:r w:rsidR="009A28CE">
        <w:rPr>
          <w:sz w:val="28"/>
        </w:rPr>
        <w:t xml:space="preserve">(e più sicura) </w:t>
      </w:r>
      <w:r>
        <w:rPr>
          <w:sz w:val="28"/>
        </w:rPr>
        <w:t>classificazione delle linee guida vincolanti come atti sostanzialmente normativi.</w:t>
      </w:r>
    </w:p>
    <w:p w:rsidR="00C967AF" w:rsidRDefault="00C967AF" w:rsidP="00C967AF">
      <w:pPr>
        <w:spacing w:line="360" w:lineRule="auto"/>
        <w:jc w:val="both"/>
        <w:rPr>
          <w:sz w:val="28"/>
          <w:szCs w:val="28"/>
        </w:rPr>
      </w:pPr>
      <w:r>
        <w:rPr>
          <w:sz w:val="28"/>
        </w:rPr>
        <w:t xml:space="preserve">Il più immediato corollario di tale ultima ipotesi ricostruttiva è quello della incompatibilità del tipo di atto in questione con il sistema delle fonti secondarie, per come definito dal combinato disposto degli artt. </w:t>
      </w:r>
      <w:r>
        <w:rPr>
          <w:sz w:val="28"/>
          <w:szCs w:val="28"/>
        </w:rPr>
        <w:t xml:space="preserve">117, </w:t>
      </w:r>
      <w:r w:rsidR="00C76877">
        <w:rPr>
          <w:sz w:val="28"/>
          <w:szCs w:val="28"/>
        </w:rPr>
        <w:t xml:space="preserve">sesto </w:t>
      </w:r>
      <w:r>
        <w:rPr>
          <w:sz w:val="28"/>
          <w:szCs w:val="28"/>
        </w:rPr>
        <w:t>comma, Cost.</w:t>
      </w:r>
      <w:r w:rsidR="00C76877">
        <w:rPr>
          <w:sz w:val="28"/>
          <w:szCs w:val="28"/>
        </w:rPr>
        <w:t>,</w:t>
      </w:r>
      <w:r>
        <w:rPr>
          <w:sz w:val="28"/>
          <w:szCs w:val="28"/>
        </w:rPr>
        <w:t xml:space="preserve"> e 17</w:t>
      </w:r>
      <w:r w:rsidR="00C76877">
        <w:rPr>
          <w:sz w:val="28"/>
          <w:szCs w:val="28"/>
        </w:rPr>
        <w:t>,</w:t>
      </w:r>
      <w:r>
        <w:rPr>
          <w:sz w:val="28"/>
          <w:szCs w:val="28"/>
        </w:rPr>
        <w:t xml:space="preserve"> legge n. 400 del 1988, con l’ulteriore conseguenza che una siffatta tipologia di provvedimento non dovrebbe trovare valido ingresso nell’ordinamento.</w:t>
      </w:r>
    </w:p>
    <w:p w:rsidR="00C967AF" w:rsidRDefault="00F42AAB" w:rsidP="00C967AF">
      <w:pPr>
        <w:spacing w:line="360" w:lineRule="auto"/>
        <w:jc w:val="both"/>
        <w:rPr>
          <w:sz w:val="28"/>
          <w:szCs w:val="28"/>
        </w:rPr>
      </w:pPr>
      <w:r>
        <w:rPr>
          <w:sz w:val="28"/>
          <w:szCs w:val="28"/>
        </w:rPr>
        <w:t xml:space="preserve">Ovviamente, una volta autorizzata da una fonte di rango primario </w:t>
      </w:r>
      <w:r w:rsidR="00ED4427">
        <w:rPr>
          <w:sz w:val="28"/>
          <w:szCs w:val="28"/>
        </w:rPr>
        <w:t>l’adozione di un atto avente le predette caratteristiche, occorre scrutinare la compatibilità costituzionale della disposizione legislativa che l’ha prevista e consentita (e rispetto alla quale le linee guida restano del tutto coerenti, con formale ossequio al principio di legalità).</w:t>
      </w:r>
    </w:p>
    <w:p w:rsidR="00B82787" w:rsidRDefault="00B82787" w:rsidP="00C967AF">
      <w:pPr>
        <w:spacing w:line="360" w:lineRule="auto"/>
        <w:jc w:val="both"/>
        <w:rPr>
          <w:sz w:val="28"/>
          <w:szCs w:val="28"/>
        </w:rPr>
      </w:pPr>
      <w:r>
        <w:rPr>
          <w:sz w:val="28"/>
          <w:szCs w:val="28"/>
        </w:rPr>
        <w:t xml:space="preserve">Ora, accedendo alla tesi, sopra illustrata, della tipicità e della tassatività anche delle fonti secondarie, le disposizioni che autorizzano l’emanazione di atti di normazione sub-legislativa al di fuori dello schema del regolamento, oltretutto affidandone la responsabilità ad autorità diverse dal Governo, potrebbero giudicarsi incostituzionali, per violazione dell’art.117, </w:t>
      </w:r>
      <w:r w:rsidR="00E941FA">
        <w:rPr>
          <w:sz w:val="28"/>
          <w:szCs w:val="28"/>
        </w:rPr>
        <w:t xml:space="preserve">sesto </w:t>
      </w:r>
      <w:r>
        <w:rPr>
          <w:sz w:val="28"/>
          <w:szCs w:val="28"/>
        </w:rPr>
        <w:t>comma, della Costituzione, sia perché violative del precetto che configura l’attività di normazione sub-primaria come consentita nella sola forma tipica del regolamento sia perché, in ipotesi, violative del riparto d</w:t>
      </w:r>
      <w:r w:rsidR="00D86907">
        <w:rPr>
          <w:sz w:val="28"/>
          <w:szCs w:val="28"/>
        </w:rPr>
        <w:t>i competenze tra Stato e Regioni</w:t>
      </w:r>
      <w:r>
        <w:rPr>
          <w:sz w:val="28"/>
          <w:szCs w:val="28"/>
        </w:rPr>
        <w:t xml:space="preserve">, se si dovesse riscontrare in esse un </w:t>
      </w:r>
      <w:r w:rsidRPr="005719DA">
        <w:rPr>
          <w:i/>
          <w:sz w:val="28"/>
          <w:szCs w:val="28"/>
        </w:rPr>
        <w:t>vulnus</w:t>
      </w:r>
      <w:r>
        <w:rPr>
          <w:sz w:val="28"/>
          <w:szCs w:val="28"/>
        </w:rPr>
        <w:t xml:space="preserve"> alle compet</w:t>
      </w:r>
      <w:r w:rsidR="00D86907">
        <w:rPr>
          <w:sz w:val="28"/>
          <w:szCs w:val="28"/>
        </w:rPr>
        <w:t>enze regolamentari di queste ultime</w:t>
      </w:r>
      <w:r>
        <w:rPr>
          <w:sz w:val="28"/>
          <w:szCs w:val="28"/>
        </w:rPr>
        <w:t xml:space="preserve"> (e, quindi, se l’atto di normazione secondaria afferisce a una materia estranea a quelle di competenza esclusiva dello Stato).</w:t>
      </w:r>
    </w:p>
    <w:p w:rsidR="00B82787" w:rsidRDefault="00B82787" w:rsidP="00C967AF">
      <w:pPr>
        <w:spacing w:line="360" w:lineRule="auto"/>
        <w:jc w:val="both"/>
        <w:rPr>
          <w:sz w:val="28"/>
        </w:rPr>
      </w:pPr>
      <w:r>
        <w:rPr>
          <w:sz w:val="28"/>
          <w:szCs w:val="28"/>
        </w:rPr>
        <w:t>Così come le medesime disposizioni legislative potrebbero</w:t>
      </w:r>
      <w:r w:rsidR="005719DA">
        <w:rPr>
          <w:sz w:val="28"/>
          <w:szCs w:val="28"/>
        </w:rPr>
        <w:t>, in ipotesi,</w:t>
      </w:r>
      <w:r>
        <w:rPr>
          <w:sz w:val="28"/>
          <w:szCs w:val="28"/>
        </w:rPr>
        <w:t xml:space="preserve"> ritenersi incostituz</w:t>
      </w:r>
      <w:r w:rsidR="00FA20BA">
        <w:rPr>
          <w:sz w:val="28"/>
          <w:szCs w:val="28"/>
        </w:rPr>
        <w:t xml:space="preserve">ionali per violazione dell’art. </w:t>
      </w:r>
      <w:r>
        <w:rPr>
          <w:sz w:val="28"/>
          <w:szCs w:val="28"/>
        </w:rPr>
        <w:t xml:space="preserve">76 Cost., se contenute in un decreto </w:t>
      </w:r>
      <w:r>
        <w:rPr>
          <w:sz w:val="28"/>
          <w:szCs w:val="28"/>
        </w:rPr>
        <w:lastRenderedPageBreak/>
        <w:t>legislativo, ma senza che la legge delega avesse autorizzato il Governo ad affidare la normazione secondaria a un atto atipico, o dell’art.100 Cost., per la lesione delle</w:t>
      </w:r>
      <w:r>
        <w:rPr>
          <w:sz w:val="28"/>
        </w:rPr>
        <w:t xml:space="preserve"> prerogative consultive del Consiglio di Stato, per come declinate dall’art.17 l.cit.</w:t>
      </w:r>
    </w:p>
    <w:p w:rsidR="00AB09FE" w:rsidRDefault="00AB09FE" w:rsidP="00C967AF">
      <w:pPr>
        <w:spacing w:line="360" w:lineRule="auto"/>
        <w:jc w:val="both"/>
        <w:rPr>
          <w:sz w:val="28"/>
        </w:rPr>
      </w:pPr>
      <w:r>
        <w:rPr>
          <w:sz w:val="28"/>
        </w:rPr>
        <w:t>Secondo un’altra suggestiva tesi, le predette disposizioni incorrerebbero</w:t>
      </w:r>
      <w:r w:rsidR="00D86907">
        <w:rPr>
          <w:sz w:val="28"/>
        </w:rPr>
        <w:t>, inoltre,</w:t>
      </w:r>
      <w:r>
        <w:rPr>
          <w:sz w:val="28"/>
        </w:rPr>
        <w:t xml:space="preserve"> nel vizio di eccesso di potere legislativo, nella misura in cui autorizzano, irragionevolmente o, addirittura, fraudolentemente, una deviazione macroscopica dagli schemi normativi tipici</w:t>
      </w:r>
      <w:r>
        <w:rPr>
          <w:rStyle w:val="FootnoteReference"/>
          <w:sz w:val="28"/>
        </w:rPr>
        <w:footnoteReference w:id="26"/>
      </w:r>
      <w:r>
        <w:rPr>
          <w:sz w:val="28"/>
        </w:rPr>
        <w:t xml:space="preserve">. </w:t>
      </w:r>
    </w:p>
    <w:p w:rsidR="004360F5" w:rsidRDefault="00DC5F82" w:rsidP="00C967AF">
      <w:pPr>
        <w:spacing w:line="360" w:lineRule="auto"/>
        <w:jc w:val="both"/>
        <w:rPr>
          <w:sz w:val="28"/>
          <w:szCs w:val="28"/>
        </w:rPr>
      </w:pPr>
      <w:r>
        <w:rPr>
          <w:sz w:val="28"/>
          <w:szCs w:val="28"/>
        </w:rPr>
        <w:t>Come si vede, la forzatura di affidare a un atto atipico, adottato da un’autorità diversa dal Governo, l’introduzione nell’ordinamento di norme sub-legislative difficilmente catalogabili come atti di regolazione equiparabili a</w:t>
      </w:r>
      <w:r w:rsidR="004360F5">
        <w:rPr>
          <w:sz w:val="28"/>
          <w:szCs w:val="28"/>
        </w:rPr>
        <w:t>lle deliberazioni tecniche delle</w:t>
      </w:r>
      <w:r>
        <w:rPr>
          <w:sz w:val="28"/>
          <w:szCs w:val="28"/>
        </w:rPr>
        <w:t xml:space="preserve"> autorità amministrative indipendenti comporta </w:t>
      </w:r>
      <w:r w:rsidR="004360F5">
        <w:rPr>
          <w:sz w:val="28"/>
          <w:szCs w:val="28"/>
        </w:rPr>
        <w:t xml:space="preserve">uno sconvolgimento dell’assetto costituzionale e ordinamentale delle fonti di produzione del diritto e impedisce, di fatto, un coerente e razionale inquadramento di esse nel sistema conosciuto (se non a costo di ricostruzioni scarsamente attendibili).  </w:t>
      </w:r>
    </w:p>
    <w:p w:rsidR="00981FAB" w:rsidRPr="00FB1969" w:rsidRDefault="004360F5" w:rsidP="00E50609">
      <w:pPr>
        <w:spacing w:line="360" w:lineRule="auto"/>
        <w:jc w:val="both"/>
        <w:rPr>
          <w:sz w:val="28"/>
          <w:szCs w:val="28"/>
        </w:rPr>
      </w:pPr>
      <w:r>
        <w:rPr>
          <w:sz w:val="28"/>
          <w:szCs w:val="28"/>
        </w:rPr>
        <w:t>Ma, al di là delle difficoltà sistematiche appena segnalate, l’appalto (si perdoni il gioco linguistico) dell’attività normativa spettante al Governo a un’autorità diversa da esso e priva di responsabilità politica implica le non trascurabili criticità di seguito segnalate.</w:t>
      </w:r>
      <w:r w:rsidR="00B82787">
        <w:rPr>
          <w:sz w:val="28"/>
          <w:szCs w:val="28"/>
        </w:rPr>
        <w:t xml:space="preserve">    </w:t>
      </w:r>
    </w:p>
    <w:p w:rsidR="00B676D8" w:rsidRDefault="00C967AF" w:rsidP="00E50609">
      <w:pPr>
        <w:spacing w:line="360" w:lineRule="auto"/>
        <w:jc w:val="both"/>
        <w:rPr>
          <w:sz w:val="28"/>
        </w:rPr>
      </w:pPr>
      <w:r>
        <w:rPr>
          <w:sz w:val="28"/>
        </w:rPr>
        <w:t xml:space="preserve"> </w:t>
      </w:r>
    </w:p>
    <w:p w:rsidR="00E50609" w:rsidRDefault="004360F5" w:rsidP="00E50609">
      <w:pPr>
        <w:spacing w:line="360" w:lineRule="auto"/>
        <w:jc w:val="both"/>
        <w:rPr>
          <w:sz w:val="28"/>
        </w:rPr>
      </w:pPr>
      <w:r>
        <w:rPr>
          <w:sz w:val="28"/>
        </w:rPr>
        <w:t xml:space="preserve"> </w:t>
      </w:r>
    </w:p>
    <w:p w:rsidR="009D5EEE" w:rsidRDefault="009D5EEE" w:rsidP="00E50609">
      <w:pPr>
        <w:spacing w:line="360" w:lineRule="auto"/>
        <w:jc w:val="both"/>
        <w:rPr>
          <w:sz w:val="28"/>
        </w:rPr>
      </w:pPr>
      <w:r>
        <w:rPr>
          <w:b/>
          <w:sz w:val="28"/>
        </w:rPr>
        <w:t xml:space="preserve">7.- La legittimazione </w:t>
      </w:r>
      <w:r w:rsidR="00D807D4">
        <w:rPr>
          <w:b/>
          <w:sz w:val="28"/>
        </w:rPr>
        <w:t>democratica nella produzione del</w:t>
      </w:r>
      <w:r>
        <w:rPr>
          <w:b/>
          <w:sz w:val="28"/>
        </w:rPr>
        <w:t xml:space="preserve"> diritto.</w:t>
      </w:r>
    </w:p>
    <w:p w:rsidR="004360F5" w:rsidRDefault="004360F5" w:rsidP="00E50609">
      <w:pPr>
        <w:spacing w:line="360" w:lineRule="auto"/>
        <w:jc w:val="both"/>
        <w:rPr>
          <w:sz w:val="28"/>
        </w:rPr>
      </w:pPr>
    </w:p>
    <w:p w:rsidR="00F702D2" w:rsidRDefault="00910504" w:rsidP="00E50609">
      <w:pPr>
        <w:spacing w:line="360" w:lineRule="auto"/>
        <w:jc w:val="both"/>
        <w:rPr>
          <w:sz w:val="28"/>
        </w:rPr>
      </w:pPr>
      <w:r>
        <w:rPr>
          <w:sz w:val="28"/>
        </w:rPr>
        <w:t xml:space="preserve">In </w:t>
      </w:r>
      <w:r w:rsidR="004360F5">
        <w:rPr>
          <w:sz w:val="28"/>
        </w:rPr>
        <w:t>un</w:t>
      </w:r>
      <w:r w:rsidR="00F012D1">
        <w:rPr>
          <w:sz w:val="28"/>
        </w:rPr>
        <w:t>o scritto</w:t>
      </w:r>
      <w:r w:rsidR="004360F5">
        <w:rPr>
          <w:sz w:val="28"/>
        </w:rPr>
        <w:t xml:space="preserve"> risalente </w:t>
      </w:r>
      <w:r w:rsidR="00F012D1">
        <w:rPr>
          <w:sz w:val="28"/>
        </w:rPr>
        <w:t>al 1967 (quando, cioè, mancava una disciplina normativa, di qualsiasi rango, dei regolamenti governativi) Enzo</w:t>
      </w:r>
      <w:r w:rsidR="004360F5">
        <w:rPr>
          <w:sz w:val="28"/>
        </w:rPr>
        <w:t xml:space="preserve"> Cheli</w:t>
      </w:r>
      <w:r w:rsidR="00F012D1">
        <w:rPr>
          <w:rStyle w:val="FootnoteReference"/>
          <w:sz w:val="28"/>
        </w:rPr>
        <w:footnoteReference w:id="27"/>
      </w:r>
      <w:r w:rsidR="004360F5">
        <w:rPr>
          <w:sz w:val="28"/>
        </w:rPr>
        <w:t xml:space="preserve"> </w:t>
      </w:r>
      <w:r w:rsidR="00F012D1">
        <w:rPr>
          <w:sz w:val="28"/>
        </w:rPr>
        <w:t>identificava la legittimazione del potere regolamentare del Governo nella natura costituzion</w:t>
      </w:r>
      <w:r w:rsidR="00D86907">
        <w:rPr>
          <w:sz w:val="28"/>
        </w:rPr>
        <w:t>ale di quest’ultimo (oltre che ne</w:t>
      </w:r>
      <w:r w:rsidR="00F012D1">
        <w:rPr>
          <w:sz w:val="28"/>
        </w:rPr>
        <w:t>l vincolo che lo lega alla maggioranza parlamentare) e, in particolare, nella funzione di indirizzo politico assegnata dall’art.95</w:t>
      </w:r>
      <w:r w:rsidR="00E941FA">
        <w:rPr>
          <w:sz w:val="28"/>
        </w:rPr>
        <w:t xml:space="preserve"> Cost. </w:t>
      </w:r>
      <w:r w:rsidR="00F012D1">
        <w:rPr>
          <w:sz w:val="28"/>
        </w:rPr>
        <w:t xml:space="preserve"> al </w:t>
      </w:r>
      <w:r w:rsidR="00F012D1">
        <w:rPr>
          <w:sz w:val="28"/>
        </w:rPr>
        <w:lastRenderedPageBreak/>
        <w:t>Presidente del Consiglio dei Ministri</w:t>
      </w:r>
      <w:r w:rsidR="00E941FA">
        <w:rPr>
          <w:sz w:val="28"/>
        </w:rPr>
        <w:t>,</w:t>
      </w:r>
      <w:r w:rsidR="00F012D1">
        <w:rPr>
          <w:sz w:val="28"/>
        </w:rPr>
        <w:t xml:space="preserve"> e, allo stesso tempo, individuava nella tipicità del regime giuridico degli atti normativi secondari la garanzia delle libertà dei cittadini.</w:t>
      </w:r>
    </w:p>
    <w:p w:rsidR="00F702D2" w:rsidRDefault="00F702D2" w:rsidP="00E50609">
      <w:pPr>
        <w:spacing w:line="360" w:lineRule="auto"/>
        <w:jc w:val="both"/>
        <w:rPr>
          <w:sz w:val="28"/>
        </w:rPr>
      </w:pPr>
      <w:r>
        <w:rPr>
          <w:sz w:val="28"/>
        </w:rPr>
        <w:t>Tale inseg</w:t>
      </w:r>
      <w:r w:rsidR="00F012D1">
        <w:rPr>
          <w:sz w:val="28"/>
        </w:rPr>
        <w:t xml:space="preserve">namento, ancorchè fondato sulla diversa esigenza di discernere i confini della funzione normativa da quella amministrativa (nelle responsabilità affidate all’Esecutivo), si </w:t>
      </w:r>
      <w:r>
        <w:rPr>
          <w:sz w:val="28"/>
        </w:rPr>
        <w:t>rivela quan</w:t>
      </w:r>
      <w:r w:rsidR="00F012D1">
        <w:rPr>
          <w:sz w:val="28"/>
        </w:rPr>
        <w:t>t</w:t>
      </w:r>
      <w:r>
        <w:rPr>
          <w:sz w:val="28"/>
        </w:rPr>
        <w:t>omai attuale e, forse, risolutivo de</w:t>
      </w:r>
      <w:r w:rsidR="00F012D1">
        <w:rPr>
          <w:sz w:val="28"/>
        </w:rPr>
        <w:t>l</w:t>
      </w:r>
      <w:r>
        <w:rPr>
          <w:sz w:val="28"/>
        </w:rPr>
        <w:t>l’</w:t>
      </w:r>
      <w:r w:rsidR="00F012D1">
        <w:rPr>
          <w:sz w:val="28"/>
        </w:rPr>
        <w:t>aporia appena segnalata.</w:t>
      </w:r>
    </w:p>
    <w:p w:rsidR="0005521B" w:rsidRDefault="0005521B" w:rsidP="00E50609">
      <w:pPr>
        <w:spacing w:line="360" w:lineRule="auto"/>
        <w:jc w:val="both"/>
        <w:rPr>
          <w:sz w:val="28"/>
        </w:rPr>
      </w:pPr>
      <w:r>
        <w:rPr>
          <w:sz w:val="28"/>
        </w:rPr>
        <w:t>L’introduzione nell’ordinamento di norme giuridiche, destinate, come tali, a regolare i rapporti tra i cittadini e tra essi e le pubbliche amministrazioni, non può, infatti, che restare riservata ad autorità democraticamente legittimate a limitare le posizioni soggettive dei consociati.</w:t>
      </w:r>
    </w:p>
    <w:p w:rsidR="0005521B" w:rsidRDefault="0005521B" w:rsidP="00E50609">
      <w:pPr>
        <w:spacing w:line="360" w:lineRule="auto"/>
        <w:jc w:val="both"/>
        <w:rPr>
          <w:sz w:val="28"/>
        </w:rPr>
      </w:pPr>
      <w:r>
        <w:rPr>
          <w:sz w:val="28"/>
        </w:rPr>
        <w:t>La conformazione precettiva di diritti e libertà o l’introduzione di obblighi o doveri, ne chè si risolve l’attività normativa (di qualsivoglia rango), può infatti, essere prodotta solo da decisioni politiche e, cioè, da autorità alle quali la Costituzione riconosce la rappresentatività della collettività (per mezzo della delega di sovranità tramite i meccanismi elettorali), e, quindi, solo al Parlamento o al Governo (che ritrae la sua legittimazione democratica dalla fiducia accordata dal Parlamento).</w:t>
      </w:r>
    </w:p>
    <w:p w:rsidR="0005521B" w:rsidRDefault="0005521B" w:rsidP="00E50609">
      <w:pPr>
        <w:spacing w:line="360" w:lineRule="auto"/>
        <w:jc w:val="both"/>
        <w:rPr>
          <w:sz w:val="28"/>
        </w:rPr>
      </w:pPr>
      <w:r>
        <w:rPr>
          <w:sz w:val="28"/>
        </w:rPr>
        <w:t xml:space="preserve">Ragionando </w:t>
      </w:r>
      <w:r>
        <w:rPr>
          <w:i/>
          <w:sz w:val="28"/>
        </w:rPr>
        <w:t xml:space="preserve">a contrario, </w:t>
      </w:r>
      <w:r>
        <w:rPr>
          <w:sz w:val="28"/>
        </w:rPr>
        <w:t xml:space="preserve">poi, dev’essere esclusa la titolarità della legittimazione a produrre norme di diritto </w:t>
      </w:r>
      <w:r w:rsidR="005719DA">
        <w:rPr>
          <w:sz w:val="28"/>
        </w:rPr>
        <w:t xml:space="preserve">in capo </w:t>
      </w:r>
      <w:r>
        <w:rPr>
          <w:sz w:val="28"/>
        </w:rPr>
        <w:t>ad autorità del tutto sprovviste</w:t>
      </w:r>
      <w:r w:rsidR="00AA3389">
        <w:rPr>
          <w:sz w:val="28"/>
        </w:rPr>
        <w:t xml:space="preserve"> di quel</w:t>
      </w:r>
      <w:r>
        <w:rPr>
          <w:sz w:val="28"/>
        </w:rPr>
        <w:t xml:space="preserve">la legittimazione democratica che (sola) fonda il potere di limitare la sfera giuridica dei cittadini (con la singolare eccezione delle autorità amministrative indipendenti, nella misura in cui sono istituzionalmente incaricate di dettare regole </w:t>
      </w:r>
      <w:r w:rsidR="00605B79">
        <w:rPr>
          <w:sz w:val="28"/>
        </w:rPr>
        <w:t xml:space="preserve">solo </w:t>
      </w:r>
      <w:r>
        <w:rPr>
          <w:sz w:val="28"/>
        </w:rPr>
        <w:t>tecniche e settoriali).</w:t>
      </w:r>
    </w:p>
    <w:p w:rsidR="00F012D1" w:rsidRDefault="0005521B" w:rsidP="00E50609">
      <w:pPr>
        <w:spacing w:line="360" w:lineRule="auto"/>
        <w:jc w:val="both"/>
        <w:rPr>
          <w:sz w:val="28"/>
        </w:rPr>
      </w:pPr>
      <w:r>
        <w:rPr>
          <w:sz w:val="28"/>
        </w:rPr>
        <w:t xml:space="preserve">Occorre, allora, verificare, alla stregua del paradigma valutativo appena indicato, se le linee guida affidate all’ANAC (da valersi, ai fini che qui rilevano, come autorità priva di legittimazione democratica) </w:t>
      </w:r>
      <w:r w:rsidR="0057486F">
        <w:rPr>
          <w:sz w:val="28"/>
        </w:rPr>
        <w:t>obbediscono o meno alla regola della necessaria responsabilità politica nell’adozione di decisioni normative.</w:t>
      </w:r>
      <w:r>
        <w:rPr>
          <w:sz w:val="28"/>
        </w:rPr>
        <w:t xml:space="preserve">        </w:t>
      </w:r>
    </w:p>
    <w:p w:rsidR="004C27E9" w:rsidRDefault="00AA3389" w:rsidP="00E50609">
      <w:pPr>
        <w:spacing w:line="360" w:lineRule="auto"/>
        <w:jc w:val="both"/>
        <w:rPr>
          <w:sz w:val="28"/>
        </w:rPr>
      </w:pPr>
      <w:r>
        <w:rPr>
          <w:sz w:val="28"/>
        </w:rPr>
        <w:t xml:space="preserve">E’ sufficiente, al riguardo, rammentare che gli artt.83 e 84 del Codice affidano alle linee guida dell’ANAC il sistema di qualificazione delle imprese, i requisiti di </w:t>
      </w:r>
      <w:r>
        <w:rPr>
          <w:sz w:val="28"/>
        </w:rPr>
        <w:lastRenderedPageBreak/>
        <w:t>partecipazione alle procedure e i</w:t>
      </w:r>
      <w:r w:rsidR="004C27E9">
        <w:rPr>
          <w:sz w:val="28"/>
        </w:rPr>
        <w:t>l</w:t>
      </w:r>
      <w:r w:rsidR="00B85942">
        <w:rPr>
          <w:sz w:val="28"/>
        </w:rPr>
        <w:t xml:space="preserve"> regime delle SOA, per dimostrare</w:t>
      </w:r>
      <w:r>
        <w:rPr>
          <w:sz w:val="28"/>
        </w:rPr>
        <w:t xml:space="preserve"> che il predetto atto (nonostante lo stravagante </w:t>
      </w:r>
      <w:r>
        <w:rPr>
          <w:i/>
          <w:sz w:val="28"/>
        </w:rPr>
        <w:t>nomen</w:t>
      </w:r>
      <w:r>
        <w:rPr>
          <w:sz w:val="28"/>
        </w:rPr>
        <w:t>, che, a riflettere bene, rivela anche stranezze e disarmonie lessicali) riveste una portata normativa particolarmente pregnante, nella misura in cui finisce per limitare o, comunque, condizionare l’accesso al mercato degli appalti pubblici e, in ultima analisi, lo stesso esercizio della libertà d’impresa.</w:t>
      </w:r>
    </w:p>
    <w:p w:rsidR="004C27E9" w:rsidRDefault="004C27E9" w:rsidP="00E50609">
      <w:pPr>
        <w:spacing w:line="360" w:lineRule="auto"/>
        <w:jc w:val="both"/>
        <w:rPr>
          <w:sz w:val="28"/>
        </w:rPr>
      </w:pPr>
      <w:r>
        <w:rPr>
          <w:sz w:val="28"/>
        </w:rPr>
        <w:t>Orbene, un atto preordinato a produrre effetti di conformazione dell’attività economica dei soggetti privati non può che restare affidato alla responsabilità politica di un’autorità legittimata democraticamente a intervenire sul contenuto dei diritti e degli obblighi dei cittadini (come il Parlamento o, al massimo, il Governo).</w:t>
      </w:r>
    </w:p>
    <w:p w:rsidR="004C27E9" w:rsidRDefault="004C27E9" w:rsidP="00E50609">
      <w:pPr>
        <w:spacing w:line="360" w:lineRule="auto"/>
        <w:jc w:val="both"/>
        <w:rPr>
          <w:sz w:val="28"/>
        </w:rPr>
      </w:pPr>
      <w:r>
        <w:rPr>
          <w:sz w:val="28"/>
        </w:rPr>
        <w:t>Coerentemente deve ritenersi quantomeno problematica la compatibilità con il sistema costituzionale delle fonti e della rappresentatività istituzionale l’affidamento (</w:t>
      </w:r>
      <w:r w:rsidR="00E941FA">
        <w:rPr>
          <w:sz w:val="28"/>
        </w:rPr>
        <w:t xml:space="preserve">ancorché </w:t>
      </w:r>
      <w:r>
        <w:rPr>
          <w:sz w:val="28"/>
        </w:rPr>
        <w:t xml:space="preserve">per legge) a un’autorità priva di legittimazione democratica del compito di limitare la sfera di libertà </w:t>
      </w:r>
      <w:r w:rsidR="00861395">
        <w:rPr>
          <w:sz w:val="28"/>
        </w:rPr>
        <w:t xml:space="preserve">dei consociati </w:t>
      </w:r>
      <w:r>
        <w:rPr>
          <w:sz w:val="28"/>
        </w:rPr>
        <w:t>per mezzo dell’adozione di un atto atipico e asistematico.</w:t>
      </w:r>
    </w:p>
    <w:p w:rsidR="004C27E9" w:rsidRDefault="00B85942" w:rsidP="00E50609">
      <w:pPr>
        <w:spacing w:line="360" w:lineRule="auto"/>
        <w:jc w:val="both"/>
        <w:rPr>
          <w:sz w:val="28"/>
        </w:rPr>
      </w:pPr>
      <w:r>
        <w:rPr>
          <w:sz w:val="28"/>
        </w:rPr>
        <w:t>E no</w:t>
      </w:r>
      <w:r w:rsidR="004C27E9">
        <w:rPr>
          <w:sz w:val="28"/>
        </w:rPr>
        <w:t>n vale a risolvere il problema la previsione del parere delle commissioni parlamentari (introdotto con l’approvazione definitiva del decreto legislativo), sia perché tale adempimento istruttorio aggrava i profili di incoerenza con il sistema (le commissioni parlamentari</w:t>
      </w:r>
      <w:r w:rsidR="00602373">
        <w:rPr>
          <w:sz w:val="28"/>
        </w:rPr>
        <w:t>, infatti,</w:t>
      </w:r>
      <w:r w:rsidR="004C27E9">
        <w:rPr>
          <w:sz w:val="28"/>
        </w:rPr>
        <w:t xml:space="preserve"> concorrono alla produzione normativa del Governo</w:t>
      </w:r>
      <w:r w:rsidR="00602373">
        <w:rPr>
          <w:sz w:val="28"/>
        </w:rPr>
        <w:t>,</w:t>
      </w:r>
      <w:r w:rsidR="004C27E9">
        <w:rPr>
          <w:sz w:val="28"/>
        </w:rPr>
        <w:t xml:space="preserve"> rend</w:t>
      </w:r>
      <w:r>
        <w:rPr>
          <w:sz w:val="28"/>
        </w:rPr>
        <w:t>end</w:t>
      </w:r>
      <w:r w:rsidR="004C27E9">
        <w:rPr>
          <w:sz w:val="28"/>
        </w:rPr>
        <w:t>o i loro pareri a esso e non ad autorità diverse</w:t>
      </w:r>
      <w:r w:rsidR="00861395">
        <w:rPr>
          <w:sz w:val="28"/>
        </w:rPr>
        <w:t>, prive di qualsiasi rilievo costituzionale</w:t>
      </w:r>
      <w:r w:rsidR="004C27E9">
        <w:rPr>
          <w:sz w:val="28"/>
        </w:rPr>
        <w:t>) sia perché, in ogni caso, la competenza all’adozione dell’atto resta attribuita ad un’autorità priva di qualsivoglia responsabilità politica.</w:t>
      </w:r>
    </w:p>
    <w:p w:rsidR="00910504" w:rsidRPr="002442D1" w:rsidRDefault="004C27E9" w:rsidP="00E50609">
      <w:pPr>
        <w:spacing w:line="360" w:lineRule="auto"/>
        <w:jc w:val="both"/>
        <w:rPr>
          <w:sz w:val="28"/>
        </w:rPr>
      </w:pPr>
      <w:r>
        <w:rPr>
          <w:sz w:val="28"/>
        </w:rPr>
        <w:t xml:space="preserve"> </w:t>
      </w:r>
      <w:r w:rsidR="00AA3389">
        <w:rPr>
          <w:sz w:val="28"/>
        </w:rPr>
        <w:t xml:space="preserve">  </w:t>
      </w:r>
    </w:p>
    <w:p w:rsidR="00E50609" w:rsidRDefault="009D5EEE" w:rsidP="00E50609">
      <w:pPr>
        <w:spacing w:line="360" w:lineRule="auto"/>
        <w:jc w:val="both"/>
        <w:rPr>
          <w:b/>
          <w:sz w:val="28"/>
        </w:rPr>
      </w:pPr>
      <w:r>
        <w:rPr>
          <w:b/>
          <w:sz w:val="28"/>
        </w:rPr>
        <w:t>8</w:t>
      </w:r>
      <w:r w:rsidR="00E50609">
        <w:rPr>
          <w:b/>
          <w:sz w:val="28"/>
        </w:rPr>
        <w:t>.- Considerazioni finali</w:t>
      </w:r>
      <w:r w:rsidR="00FF2387">
        <w:rPr>
          <w:b/>
          <w:sz w:val="28"/>
        </w:rPr>
        <w:t>: un nuovo equilibrio tra politica e mercato</w:t>
      </w:r>
      <w:r w:rsidR="00E50609">
        <w:rPr>
          <w:b/>
          <w:sz w:val="28"/>
        </w:rPr>
        <w:t>.</w:t>
      </w:r>
    </w:p>
    <w:p w:rsidR="00EA4702" w:rsidRDefault="00EA4702" w:rsidP="00C9570C">
      <w:pPr>
        <w:spacing w:line="360" w:lineRule="auto"/>
        <w:jc w:val="both"/>
        <w:rPr>
          <w:sz w:val="28"/>
          <w:szCs w:val="28"/>
        </w:rPr>
      </w:pPr>
    </w:p>
    <w:p w:rsidR="006C39C0" w:rsidRDefault="00D744DE" w:rsidP="00C9570C">
      <w:pPr>
        <w:spacing w:line="360" w:lineRule="auto"/>
        <w:jc w:val="both"/>
        <w:rPr>
          <w:sz w:val="28"/>
          <w:szCs w:val="28"/>
        </w:rPr>
      </w:pPr>
      <w:r>
        <w:rPr>
          <w:sz w:val="28"/>
          <w:szCs w:val="28"/>
        </w:rPr>
        <w:t xml:space="preserve">Le esigenze (del mercato e della finanza) </w:t>
      </w:r>
      <w:r w:rsidR="00E941FA">
        <w:rPr>
          <w:sz w:val="28"/>
          <w:szCs w:val="28"/>
        </w:rPr>
        <w:t xml:space="preserve">di </w:t>
      </w:r>
      <w:r>
        <w:rPr>
          <w:sz w:val="28"/>
          <w:szCs w:val="28"/>
        </w:rPr>
        <w:t xml:space="preserve">una regolazione più libera, informale e mobile non possono, per quanto pregnanti e urgenti, frustrare </w:t>
      </w:r>
      <w:r w:rsidR="006C39C0">
        <w:rPr>
          <w:sz w:val="28"/>
          <w:szCs w:val="28"/>
        </w:rPr>
        <w:t>i valori costituzionali a una normazione politicamente responsabile e organizzata secondo modelli tipici e tassativi.</w:t>
      </w:r>
    </w:p>
    <w:p w:rsidR="006C39C0" w:rsidRDefault="006C39C0" w:rsidP="00C9570C">
      <w:pPr>
        <w:spacing w:line="360" w:lineRule="auto"/>
        <w:jc w:val="both"/>
        <w:rPr>
          <w:sz w:val="28"/>
          <w:szCs w:val="28"/>
        </w:rPr>
      </w:pPr>
      <w:r>
        <w:rPr>
          <w:sz w:val="28"/>
          <w:szCs w:val="28"/>
        </w:rPr>
        <w:lastRenderedPageBreak/>
        <w:t>Se, infatti, gli interessi privati degli operatori, così come quelli genera</w:t>
      </w:r>
      <w:r w:rsidR="00602373">
        <w:rPr>
          <w:sz w:val="28"/>
          <w:szCs w:val="28"/>
        </w:rPr>
        <w:t>li alla crescita economica del P</w:t>
      </w:r>
      <w:r>
        <w:rPr>
          <w:sz w:val="28"/>
          <w:szCs w:val="28"/>
        </w:rPr>
        <w:t>aese, appaiono più efficacemente realizzabili con strumenti di regolazione flessibile e dinamica, è anche vero che i diritti di libertà dei cittadini esigono una normazione responsabile, controllata e garantita da controlli di legittimità.</w:t>
      </w:r>
    </w:p>
    <w:p w:rsidR="006C39C0" w:rsidRDefault="006C39C0" w:rsidP="00C9570C">
      <w:pPr>
        <w:spacing w:line="360" w:lineRule="auto"/>
        <w:jc w:val="both"/>
        <w:rPr>
          <w:sz w:val="28"/>
          <w:szCs w:val="28"/>
        </w:rPr>
      </w:pPr>
      <w:r>
        <w:rPr>
          <w:sz w:val="28"/>
          <w:szCs w:val="28"/>
        </w:rPr>
        <w:t>Come opportunamente (ma inutilmente) raccomandato dal Consiglio di Stato</w:t>
      </w:r>
      <w:r w:rsidR="00E941FA">
        <w:rPr>
          <w:sz w:val="28"/>
          <w:szCs w:val="28"/>
        </w:rPr>
        <w:t>,</w:t>
      </w:r>
      <w:r>
        <w:rPr>
          <w:sz w:val="28"/>
          <w:szCs w:val="28"/>
        </w:rPr>
        <w:t xml:space="preserve"> andrebbe, allora, ripensato lo strumento (di per sé molto efficace e utile) delle linee guida, circoscrivendone l’operatività ai soli ambiti che esulano dal precetto normativo.</w:t>
      </w:r>
    </w:p>
    <w:p w:rsidR="006C39C0" w:rsidRDefault="006C39C0" w:rsidP="006C39C0">
      <w:pPr>
        <w:spacing w:line="360" w:lineRule="auto"/>
        <w:jc w:val="both"/>
        <w:rPr>
          <w:sz w:val="28"/>
          <w:szCs w:val="28"/>
        </w:rPr>
      </w:pPr>
      <w:r>
        <w:rPr>
          <w:sz w:val="28"/>
          <w:szCs w:val="28"/>
        </w:rPr>
        <w:t xml:space="preserve">Si dovrebbe, perciò, </w:t>
      </w:r>
      <w:r w:rsidRPr="006C39C0">
        <w:rPr>
          <w:i/>
          <w:sz w:val="28"/>
          <w:szCs w:val="28"/>
        </w:rPr>
        <w:t>de iure condendo</w:t>
      </w:r>
      <w:r>
        <w:rPr>
          <w:sz w:val="28"/>
          <w:szCs w:val="28"/>
        </w:rPr>
        <w:t>, utilizzare gli strumenti di regolazione flessibile solo per istruzioni e raccomandazioni che non incidono direttamente sui diritti e sugli obblighi dei consociati e che attengono, invece, alle migliori pratiche di attuazione della normativa di riferimento e alla più efficace realizzazione dei suoi obiettivi.</w:t>
      </w:r>
    </w:p>
    <w:p w:rsidR="006C39C0" w:rsidRDefault="006C39C0" w:rsidP="006C39C0">
      <w:pPr>
        <w:spacing w:line="360" w:lineRule="auto"/>
        <w:jc w:val="both"/>
        <w:rPr>
          <w:sz w:val="28"/>
          <w:szCs w:val="28"/>
        </w:rPr>
      </w:pPr>
      <w:r>
        <w:rPr>
          <w:sz w:val="28"/>
          <w:szCs w:val="28"/>
        </w:rPr>
        <w:t xml:space="preserve">Le linee guida, in altri termini, dovrebbero fungere da accompagnamento </w:t>
      </w:r>
      <w:r w:rsidR="00FB1969">
        <w:rPr>
          <w:sz w:val="28"/>
          <w:szCs w:val="28"/>
        </w:rPr>
        <w:t>e da</w:t>
      </w:r>
      <w:r w:rsidR="00D16CA8">
        <w:rPr>
          <w:sz w:val="28"/>
          <w:szCs w:val="28"/>
        </w:rPr>
        <w:t xml:space="preserve"> supporto (alle pubbliche amministrazioni) ai fini della</w:t>
      </w:r>
      <w:r>
        <w:rPr>
          <w:sz w:val="28"/>
          <w:szCs w:val="28"/>
        </w:rPr>
        <w:t xml:space="preserve"> più utile attuazione della normativa (primaria e secondaria di riferimento) e, in definitiva, a ottenere</w:t>
      </w:r>
      <w:r w:rsidR="00E61B38">
        <w:rPr>
          <w:sz w:val="28"/>
          <w:szCs w:val="28"/>
        </w:rPr>
        <w:t xml:space="preserve"> l’</w:t>
      </w:r>
      <w:r>
        <w:rPr>
          <w:sz w:val="28"/>
          <w:szCs w:val="28"/>
        </w:rPr>
        <w:t>impatto</w:t>
      </w:r>
      <w:r w:rsidR="00E61B38">
        <w:rPr>
          <w:sz w:val="28"/>
          <w:szCs w:val="28"/>
        </w:rPr>
        <w:t xml:space="preserve"> più coerente con le ragioni e con gli scopi che hanno giustificato l’intervento regolativo.</w:t>
      </w:r>
      <w:r>
        <w:rPr>
          <w:sz w:val="28"/>
          <w:szCs w:val="28"/>
        </w:rPr>
        <w:t xml:space="preserve">     </w:t>
      </w:r>
    </w:p>
    <w:p w:rsidR="00E61B38" w:rsidRDefault="00E61B38" w:rsidP="006C39C0">
      <w:pPr>
        <w:spacing w:line="360" w:lineRule="auto"/>
        <w:jc w:val="both"/>
        <w:rPr>
          <w:sz w:val="28"/>
          <w:szCs w:val="28"/>
        </w:rPr>
      </w:pPr>
      <w:r>
        <w:rPr>
          <w:sz w:val="28"/>
          <w:szCs w:val="28"/>
        </w:rPr>
        <w:t>Se ricondotte entro questi limiti, le linee guida, per un verso, risulteranno uno strumento di estrema efficacia (in ragione del loro carattere informale e duttile) e, per un altro, eviteranno di complicare (anziché semplificare) l’attuazione delle leggi, nella misura in cui possono generare un contenzioso dagli esiti incerti (sulla loro stessa compatibilità costituzionale)</w:t>
      </w:r>
      <w:r w:rsidR="00FB1969">
        <w:rPr>
          <w:sz w:val="28"/>
          <w:szCs w:val="28"/>
        </w:rPr>
        <w:t>, introdurre fattori di incertezza in ordine alla loro effettiva cogenza</w:t>
      </w:r>
      <w:r>
        <w:rPr>
          <w:sz w:val="28"/>
          <w:szCs w:val="28"/>
        </w:rPr>
        <w:t xml:space="preserve"> </w:t>
      </w:r>
      <w:r w:rsidR="00602373">
        <w:rPr>
          <w:sz w:val="28"/>
          <w:szCs w:val="28"/>
        </w:rPr>
        <w:t xml:space="preserve">(restando, comunque, ambiguo il loro carattere prescrittivo) </w:t>
      </w:r>
      <w:r>
        <w:rPr>
          <w:sz w:val="28"/>
          <w:szCs w:val="28"/>
        </w:rPr>
        <w:t xml:space="preserve">e complicare la </w:t>
      </w:r>
      <w:r w:rsidR="00605B79">
        <w:rPr>
          <w:sz w:val="28"/>
          <w:szCs w:val="28"/>
        </w:rPr>
        <w:t xml:space="preserve">stessa </w:t>
      </w:r>
      <w:r>
        <w:rPr>
          <w:sz w:val="28"/>
          <w:szCs w:val="28"/>
        </w:rPr>
        <w:t>conoscibilità delle regole</w:t>
      </w:r>
      <w:r w:rsidR="00F31E7A">
        <w:rPr>
          <w:rStyle w:val="FootnoteReference"/>
          <w:sz w:val="28"/>
          <w:szCs w:val="28"/>
        </w:rPr>
        <w:footnoteReference w:id="28"/>
      </w:r>
      <w:r>
        <w:rPr>
          <w:sz w:val="28"/>
          <w:szCs w:val="28"/>
        </w:rPr>
        <w:t>.</w:t>
      </w:r>
    </w:p>
    <w:p w:rsidR="00BC4C03" w:rsidRDefault="00E61B38" w:rsidP="00C9570C">
      <w:pPr>
        <w:spacing w:line="360" w:lineRule="auto"/>
        <w:jc w:val="both"/>
        <w:rPr>
          <w:sz w:val="28"/>
          <w:szCs w:val="28"/>
        </w:rPr>
      </w:pPr>
      <w:r>
        <w:rPr>
          <w:sz w:val="28"/>
          <w:szCs w:val="28"/>
        </w:rPr>
        <w:lastRenderedPageBreak/>
        <w:t>Coerentemente,</w:t>
      </w:r>
      <w:r w:rsidR="002442D1" w:rsidRPr="002442D1">
        <w:rPr>
          <w:sz w:val="28"/>
          <w:szCs w:val="28"/>
        </w:rPr>
        <w:t xml:space="preserve"> </w:t>
      </w:r>
      <w:r>
        <w:rPr>
          <w:sz w:val="28"/>
          <w:szCs w:val="28"/>
        </w:rPr>
        <w:t>dev’essere arginato il fenomeno della atipicità delle fonti secondarie, con conseguente riconduzione del</w:t>
      </w:r>
      <w:r w:rsidR="002442D1" w:rsidRPr="002442D1">
        <w:rPr>
          <w:sz w:val="28"/>
          <w:szCs w:val="28"/>
        </w:rPr>
        <w:t>l’atti</w:t>
      </w:r>
      <w:r w:rsidR="00861395">
        <w:rPr>
          <w:sz w:val="28"/>
          <w:szCs w:val="28"/>
        </w:rPr>
        <w:t>vità di normazione sub-legislativa</w:t>
      </w:r>
      <w:r w:rsidR="002442D1">
        <w:rPr>
          <w:sz w:val="28"/>
          <w:szCs w:val="28"/>
        </w:rPr>
        <w:t xml:space="preserve"> en</w:t>
      </w:r>
      <w:r>
        <w:rPr>
          <w:sz w:val="28"/>
          <w:szCs w:val="28"/>
        </w:rPr>
        <w:t>tro gli schemi regolamentari tipici.</w:t>
      </w:r>
    </w:p>
    <w:p w:rsidR="00F22DF6" w:rsidRDefault="00F22DF6" w:rsidP="00C9570C">
      <w:pPr>
        <w:spacing w:line="360" w:lineRule="auto"/>
        <w:jc w:val="both"/>
        <w:rPr>
          <w:sz w:val="28"/>
          <w:szCs w:val="28"/>
        </w:rPr>
      </w:pPr>
      <w:r>
        <w:rPr>
          <w:sz w:val="28"/>
          <w:szCs w:val="28"/>
        </w:rPr>
        <w:t xml:space="preserve">Diversamente, si corre il rischio di affidare ad autorità prive di qualsivoglia responsabilità politica </w:t>
      </w:r>
      <w:r w:rsidR="00E61B38">
        <w:rPr>
          <w:sz w:val="28"/>
          <w:szCs w:val="28"/>
        </w:rPr>
        <w:t xml:space="preserve">la determinazione </w:t>
      </w:r>
      <w:r w:rsidR="004851BB">
        <w:rPr>
          <w:i/>
          <w:sz w:val="28"/>
          <w:szCs w:val="28"/>
        </w:rPr>
        <w:t xml:space="preserve">erga omnes </w:t>
      </w:r>
      <w:r w:rsidR="00E61B38">
        <w:rPr>
          <w:sz w:val="28"/>
          <w:szCs w:val="28"/>
        </w:rPr>
        <w:t>del</w:t>
      </w:r>
      <w:r>
        <w:rPr>
          <w:sz w:val="28"/>
          <w:szCs w:val="28"/>
        </w:rPr>
        <w:t xml:space="preserve"> contenuto dei diritti</w:t>
      </w:r>
      <w:r w:rsidR="000842DC">
        <w:rPr>
          <w:sz w:val="28"/>
          <w:szCs w:val="28"/>
        </w:rPr>
        <w:t xml:space="preserve"> e </w:t>
      </w:r>
      <w:r w:rsidR="00E61B38">
        <w:rPr>
          <w:sz w:val="28"/>
          <w:szCs w:val="28"/>
        </w:rPr>
        <w:t>degli obblighi dei</w:t>
      </w:r>
      <w:r w:rsidR="000842DC">
        <w:rPr>
          <w:sz w:val="28"/>
          <w:szCs w:val="28"/>
        </w:rPr>
        <w:t xml:space="preserve"> consociati, con irrimed</w:t>
      </w:r>
      <w:r w:rsidR="006C39C0">
        <w:rPr>
          <w:sz w:val="28"/>
          <w:szCs w:val="28"/>
        </w:rPr>
        <w:t>i</w:t>
      </w:r>
      <w:r w:rsidR="000842DC">
        <w:rPr>
          <w:sz w:val="28"/>
          <w:szCs w:val="28"/>
        </w:rPr>
        <w:t xml:space="preserve">abile </w:t>
      </w:r>
      <w:r w:rsidR="000842DC" w:rsidRPr="006C39C0">
        <w:rPr>
          <w:i/>
          <w:sz w:val="28"/>
          <w:szCs w:val="28"/>
        </w:rPr>
        <w:t>vulnus</w:t>
      </w:r>
      <w:r w:rsidR="000842DC">
        <w:rPr>
          <w:sz w:val="28"/>
          <w:szCs w:val="28"/>
        </w:rPr>
        <w:t xml:space="preserve"> dei principi di rappresentanza democratica che fondano la cessione di sovranità dal popolo alle assemblee legislative e, per esse, all’Esecutivo.</w:t>
      </w:r>
    </w:p>
    <w:p w:rsidR="00A176E7" w:rsidRDefault="00A176E7" w:rsidP="00C9570C">
      <w:pPr>
        <w:spacing w:line="360" w:lineRule="auto"/>
        <w:jc w:val="both"/>
        <w:rPr>
          <w:sz w:val="28"/>
          <w:szCs w:val="28"/>
        </w:rPr>
      </w:pPr>
      <w:r>
        <w:rPr>
          <w:sz w:val="28"/>
          <w:szCs w:val="28"/>
        </w:rPr>
        <w:t>Non solo, ma si rischia un pericolo più grave.</w:t>
      </w:r>
    </w:p>
    <w:p w:rsidR="00A176E7" w:rsidRDefault="00A176E7" w:rsidP="00C9570C">
      <w:pPr>
        <w:spacing w:line="360" w:lineRule="auto"/>
        <w:jc w:val="both"/>
        <w:rPr>
          <w:sz w:val="28"/>
          <w:szCs w:val="28"/>
        </w:rPr>
      </w:pPr>
      <w:r>
        <w:rPr>
          <w:sz w:val="28"/>
          <w:szCs w:val="28"/>
        </w:rPr>
        <w:t>Si è detto che il mercato globalizzato spinge per una regolazione negoziata e concordata delle regole di funzionamento dei contratti, degli scambi e, in generale, delle operazioni economiche, sul presupposto che una decisione tecnica, e non politica, condivisa tra gli operatori e autorità separate dal Governo sia più utile, efficiente e funzionale agli interessi economici che muovono il settore di riferimento.</w:t>
      </w:r>
    </w:p>
    <w:p w:rsidR="00A176E7" w:rsidRDefault="00A176E7" w:rsidP="00C9570C">
      <w:pPr>
        <w:spacing w:line="360" w:lineRule="auto"/>
        <w:jc w:val="both"/>
        <w:rPr>
          <w:sz w:val="28"/>
          <w:szCs w:val="28"/>
        </w:rPr>
      </w:pPr>
      <w:r>
        <w:rPr>
          <w:sz w:val="28"/>
          <w:szCs w:val="28"/>
        </w:rPr>
        <w:t xml:space="preserve">Sennonchè, un tale modello di </w:t>
      </w:r>
      <w:r>
        <w:rPr>
          <w:i/>
          <w:sz w:val="28"/>
          <w:szCs w:val="28"/>
        </w:rPr>
        <w:t>governance</w:t>
      </w:r>
      <w:r>
        <w:rPr>
          <w:sz w:val="28"/>
          <w:szCs w:val="28"/>
        </w:rPr>
        <w:t xml:space="preserve"> rischia di far prevalere gli interessi economici più forti e meglio organizzati, in danno di quelli più deboli e meno influenti, che, al contrario</w:t>
      </w:r>
      <w:r w:rsidR="00602373">
        <w:rPr>
          <w:sz w:val="28"/>
          <w:szCs w:val="28"/>
        </w:rPr>
        <w:t>,</w:t>
      </w:r>
      <w:r>
        <w:rPr>
          <w:sz w:val="28"/>
          <w:szCs w:val="28"/>
        </w:rPr>
        <w:t xml:space="preserve"> resterebbero più garantiti, secondo la logica dello Stato liberale di diritto, da una regolazione politicamente e costituzionalmente responsabile.  </w:t>
      </w:r>
    </w:p>
    <w:p w:rsidR="00CF3914" w:rsidRDefault="00CF3914" w:rsidP="00C9570C">
      <w:pPr>
        <w:spacing w:line="360" w:lineRule="auto"/>
        <w:jc w:val="both"/>
        <w:rPr>
          <w:sz w:val="28"/>
          <w:szCs w:val="28"/>
        </w:rPr>
      </w:pPr>
      <w:r>
        <w:rPr>
          <w:sz w:val="28"/>
          <w:szCs w:val="28"/>
        </w:rPr>
        <w:t xml:space="preserve">Nella deregolazione globalizzata, in definitiva, finiscono per prevalere le posizioni più strutturate e per soccombere quelle più fragili, nell’assenza di quella mediazione di interessi che è propria della politica e che la tecnica (per definizione) ignora (e deve </w:t>
      </w:r>
      <w:r w:rsidR="00605B79">
        <w:rPr>
          <w:sz w:val="28"/>
          <w:szCs w:val="28"/>
        </w:rPr>
        <w:t xml:space="preserve">continuare a </w:t>
      </w:r>
      <w:r>
        <w:rPr>
          <w:sz w:val="28"/>
          <w:szCs w:val="28"/>
        </w:rPr>
        <w:t>ignorare).</w:t>
      </w:r>
    </w:p>
    <w:p w:rsidR="00CF3914" w:rsidRDefault="007C4C4B" w:rsidP="00C9570C">
      <w:pPr>
        <w:spacing w:line="360" w:lineRule="auto"/>
        <w:jc w:val="both"/>
        <w:rPr>
          <w:sz w:val="28"/>
          <w:szCs w:val="28"/>
        </w:rPr>
      </w:pPr>
      <w:r>
        <w:rPr>
          <w:sz w:val="28"/>
          <w:szCs w:val="28"/>
        </w:rPr>
        <w:t>In una sciagu</w:t>
      </w:r>
      <w:r w:rsidR="00CF3914">
        <w:rPr>
          <w:sz w:val="28"/>
          <w:szCs w:val="28"/>
        </w:rPr>
        <w:t xml:space="preserve">rata eterogenesi dei fini, le strutture tecnocratiche, più che accrescere le opportunità </w:t>
      </w:r>
      <w:r w:rsidR="00C80FE3">
        <w:rPr>
          <w:sz w:val="28"/>
          <w:szCs w:val="28"/>
        </w:rPr>
        <w:t xml:space="preserve">di sviluppo e di concorrenza </w:t>
      </w:r>
      <w:r w:rsidR="00CF3914">
        <w:rPr>
          <w:sz w:val="28"/>
          <w:szCs w:val="28"/>
        </w:rPr>
        <w:t>per tutti gli operatori, rischiano proprio di ridurre gli spazi di competitività per quel</w:t>
      </w:r>
      <w:r w:rsidR="00605B79">
        <w:rPr>
          <w:sz w:val="28"/>
          <w:szCs w:val="28"/>
        </w:rPr>
        <w:t>li meno capaci di influire su una</w:t>
      </w:r>
      <w:r w:rsidR="00CF3914">
        <w:rPr>
          <w:sz w:val="28"/>
          <w:szCs w:val="28"/>
        </w:rPr>
        <w:t xml:space="preserve"> regolazione sottratta alla politica.     </w:t>
      </w:r>
    </w:p>
    <w:p w:rsidR="004851BB" w:rsidRDefault="00C80FE3" w:rsidP="00C9570C">
      <w:pPr>
        <w:spacing w:line="360" w:lineRule="auto"/>
        <w:jc w:val="both"/>
        <w:rPr>
          <w:sz w:val="28"/>
          <w:szCs w:val="28"/>
        </w:rPr>
      </w:pPr>
      <w:r>
        <w:rPr>
          <w:sz w:val="28"/>
          <w:szCs w:val="28"/>
        </w:rPr>
        <w:lastRenderedPageBreak/>
        <w:t>Occorre, in altri termini</w:t>
      </w:r>
      <w:r w:rsidR="004851BB">
        <w:rPr>
          <w:sz w:val="28"/>
          <w:szCs w:val="28"/>
        </w:rPr>
        <w:t xml:space="preserve">, scongiurare il pericolo che la tecnocrazia si sostituisca alla democrazia </w:t>
      </w:r>
      <w:r w:rsidR="00A67249">
        <w:rPr>
          <w:sz w:val="28"/>
          <w:szCs w:val="28"/>
        </w:rPr>
        <w:t xml:space="preserve">e la competenza alla politica </w:t>
      </w:r>
      <w:r w:rsidR="004851BB">
        <w:rPr>
          <w:sz w:val="28"/>
          <w:szCs w:val="28"/>
        </w:rPr>
        <w:t>nella regolazione generale e astratta dei r</w:t>
      </w:r>
      <w:r w:rsidR="00602373">
        <w:rPr>
          <w:sz w:val="28"/>
          <w:szCs w:val="28"/>
        </w:rPr>
        <w:t>apporti giuridici</w:t>
      </w:r>
      <w:r w:rsidR="004851BB">
        <w:rPr>
          <w:sz w:val="28"/>
          <w:szCs w:val="28"/>
        </w:rPr>
        <w:t>.</w:t>
      </w:r>
    </w:p>
    <w:p w:rsidR="00D876CD" w:rsidRPr="00D876CD" w:rsidRDefault="00D876CD" w:rsidP="00C9570C">
      <w:pPr>
        <w:spacing w:line="360" w:lineRule="auto"/>
        <w:jc w:val="both"/>
        <w:rPr>
          <w:i/>
          <w:sz w:val="28"/>
          <w:szCs w:val="28"/>
        </w:rPr>
      </w:pPr>
      <w:r>
        <w:rPr>
          <w:sz w:val="28"/>
          <w:szCs w:val="28"/>
        </w:rPr>
        <w:t>Bisogna</w:t>
      </w:r>
      <w:r w:rsidR="00C80FE3">
        <w:rPr>
          <w:sz w:val="28"/>
          <w:szCs w:val="28"/>
        </w:rPr>
        <w:t>, in definitiva,</w:t>
      </w:r>
      <w:r>
        <w:rPr>
          <w:sz w:val="28"/>
          <w:szCs w:val="28"/>
        </w:rPr>
        <w:t xml:space="preserve"> evitare, come avverte efficacemente Roberto Bin</w:t>
      </w:r>
      <w:r>
        <w:rPr>
          <w:rStyle w:val="FootnoteReference"/>
          <w:sz w:val="28"/>
          <w:szCs w:val="28"/>
        </w:rPr>
        <w:footnoteReference w:id="29"/>
      </w:r>
      <w:r>
        <w:rPr>
          <w:sz w:val="28"/>
          <w:szCs w:val="28"/>
        </w:rPr>
        <w:t>, di trasformare i cittadini da “</w:t>
      </w:r>
      <w:r>
        <w:rPr>
          <w:i/>
          <w:sz w:val="28"/>
          <w:szCs w:val="28"/>
        </w:rPr>
        <w:t xml:space="preserve">we, the people” </w:t>
      </w:r>
      <w:r>
        <w:rPr>
          <w:sz w:val="28"/>
          <w:szCs w:val="28"/>
        </w:rPr>
        <w:t xml:space="preserve">in </w:t>
      </w:r>
      <w:r>
        <w:rPr>
          <w:i/>
          <w:sz w:val="28"/>
          <w:szCs w:val="28"/>
        </w:rPr>
        <w:t>“we, the consumers”.</w:t>
      </w:r>
    </w:p>
    <w:p w:rsidR="00CF3914" w:rsidRDefault="00CF3914" w:rsidP="00C9570C">
      <w:pPr>
        <w:spacing w:line="360" w:lineRule="auto"/>
        <w:jc w:val="both"/>
        <w:rPr>
          <w:sz w:val="28"/>
          <w:szCs w:val="28"/>
        </w:rPr>
      </w:pPr>
      <w:r>
        <w:rPr>
          <w:sz w:val="28"/>
          <w:szCs w:val="28"/>
        </w:rPr>
        <w:t xml:space="preserve">Non ci resta, </w:t>
      </w:r>
      <w:r w:rsidR="00451528">
        <w:rPr>
          <w:sz w:val="28"/>
          <w:szCs w:val="28"/>
        </w:rPr>
        <w:t>da ultimo, che auspicare che trasformazioni così radicali</w:t>
      </w:r>
      <w:r>
        <w:rPr>
          <w:sz w:val="28"/>
          <w:szCs w:val="28"/>
        </w:rPr>
        <w:t xml:space="preserve"> dell’a</w:t>
      </w:r>
      <w:r w:rsidR="00451528">
        <w:rPr>
          <w:sz w:val="28"/>
          <w:szCs w:val="28"/>
        </w:rPr>
        <w:t>ssetto delle fonti</w:t>
      </w:r>
      <w:r>
        <w:rPr>
          <w:sz w:val="28"/>
          <w:szCs w:val="28"/>
        </w:rPr>
        <w:t xml:space="preserve"> del diritto </w:t>
      </w:r>
      <w:r w:rsidR="00451528">
        <w:rPr>
          <w:sz w:val="28"/>
          <w:szCs w:val="28"/>
        </w:rPr>
        <w:t xml:space="preserve">(peraltro </w:t>
      </w:r>
      <w:r>
        <w:rPr>
          <w:sz w:val="28"/>
          <w:szCs w:val="28"/>
        </w:rPr>
        <w:t>in un settore così vitale come quello degli appalti pubblici</w:t>
      </w:r>
      <w:r w:rsidR="00451528">
        <w:rPr>
          <w:sz w:val="28"/>
          <w:szCs w:val="28"/>
        </w:rPr>
        <w:t>)</w:t>
      </w:r>
      <w:r>
        <w:rPr>
          <w:sz w:val="28"/>
          <w:szCs w:val="28"/>
        </w:rPr>
        <w:t xml:space="preserve"> venga</w:t>
      </w:r>
      <w:r w:rsidR="00451528">
        <w:rPr>
          <w:sz w:val="28"/>
          <w:szCs w:val="28"/>
        </w:rPr>
        <w:t>no giudicate</w:t>
      </w:r>
      <w:r>
        <w:rPr>
          <w:sz w:val="28"/>
          <w:szCs w:val="28"/>
        </w:rPr>
        <w:t xml:space="preserve"> dalla Corte Costituzionale, che ne potrà (dovrà) scrutinare i profili di compatibili</w:t>
      </w:r>
      <w:r w:rsidR="00451528">
        <w:rPr>
          <w:sz w:val="28"/>
          <w:szCs w:val="28"/>
        </w:rPr>
        <w:t>tà e di contrasto con l’equilibrio</w:t>
      </w:r>
      <w:r>
        <w:rPr>
          <w:sz w:val="28"/>
          <w:szCs w:val="28"/>
        </w:rPr>
        <w:t xml:space="preserve"> dei poteri cristalli</w:t>
      </w:r>
      <w:r w:rsidR="00451528">
        <w:rPr>
          <w:sz w:val="28"/>
          <w:szCs w:val="28"/>
        </w:rPr>
        <w:t>zzato nella Carta fondamentale, impedendo, come profetizzato da Livio Paladin</w:t>
      </w:r>
      <w:r w:rsidR="00451528">
        <w:rPr>
          <w:rStyle w:val="FootnoteReference"/>
          <w:sz w:val="28"/>
          <w:szCs w:val="28"/>
        </w:rPr>
        <w:footnoteReference w:id="30"/>
      </w:r>
      <w:r w:rsidR="00451528">
        <w:rPr>
          <w:sz w:val="28"/>
          <w:szCs w:val="28"/>
        </w:rPr>
        <w:t>, “che esse sconvolgano il sistema della produzione normativa, costituzionalmente previsto o imposto”.</w:t>
      </w:r>
    </w:p>
    <w:p w:rsidR="00A176E7" w:rsidRDefault="00A176E7" w:rsidP="00C9570C">
      <w:pPr>
        <w:spacing w:line="360" w:lineRule="auto"/>
        <w:jc w:val="both"/>
        <w:rPr>
          <w:sz w:val="28"/>
          <w:szCs w:val="28"/>
        </w:rPr>
      </w:pPr>
    </w:p>
    <w:p w:rsidR="00A67249" w:rsidRDefault="00A67249" w:rsidP="00C9570C">
      <w:pPr>
        <w:spacing w:line="360" w:lineRule="auto"/>
        <w:jc w:val="both"/>
        <w:rPr>
          <w:sz w:val="28"/>
          <w:szCs w:val="28"/>
        </w:rPr>
      </w:pPr>
    </w:p>
    <w:p w:rsidR="000842DC" w:rsidRDefault="000842DC" w:rsidP="00C9570C">
      <w:pPr>
        <w:spacing w:line="360" w:lineRule="auto"/>
        <w:jc w:val="both"/>
        <w:rPr>
          <w:sz w:val="28"/>
          <w:szCs w:val="28"/>
        </w:rPr>
      </w:pPr>
    </w:p>
    <w:p w:rsidR="00553A85" w:rsidRPr="002442D1" w:rsidRDefault="00553A85" w:rsidP="00C9570C">
      <w:pPr>
        <w:spacing w:line="360" w:lineRule="auto"/>
        <w:jc w:val="both"/>
        <w:rPr>
          <w:sz w:val="28"/>
          <w:szCs w:val="28"/>
        </w:rPr>
      </w:pPr>
    </w:p>
    <w:p w:rsidR="006350D6" w:rsidRPr="006350D6" w:rsidRDefault="00E50609" w:rsidP="006350D6">
      <w:pPr>
        <w:spacing w:line="360" w:lineRule="auto"/>
        <w:jc w:val="both"/>
        <w:rPr>
          <w:b/>
          <w:i/>
          <w:sz w:val="28"/>
          <w:szCs w:val="28"/>
        </w:rPr>
      </w:pPr>
      <w:r>
        <w:rPr>
          <w:b/>
          <w:sz w:val="28"/>
          <w:szCs w:val="28"/>
        </w:rPr>
        <w:t xml:space="preserve"> </w:t>
      </w:r>
      <w:r w:rsidR="00BC4C03" w:rsidRPr="00C9570C">
        <w:rPr>
          <w:b/>
          <w:sz w:val="28"/>
          <w:szCs w:val="28"/>
        </w:rPr>
        <w:t xml:space="preserve"> </w:t>
      </w:r>
      <w:r w:rsidR="0018523B" w:rsidRPr="00C9570C">
        <w:rPr>
          <w:sz w:val="28"/>
          <w:szCs w:val="28"/>
        </w:rPr>
        <w:t xml:space="preserve">   </w:t>
      </w:r>
    </w:p>
    <w:p w:rsidR="006350D6" w:rsidRPr="006350D6" w:rsidRDefault="006350D6" w:rsidP="006350D6">
      <w:pPr>
        <w:spacing w:line="360" w:lineRule="auto"/>
        <w:jc w:val="right"/>
        <w:rPr>
          <w:sz w:val="28"/>
          <w:szCs w:val="28"/>
        </w:rPr>
      </w:pPr>
      <w:r w:rsidRPr="006350D6">
        <w:rPr>
          <w:sz w:val="28"/>
          <w:szCs w:val="28"/>
        </w:rPr>
        <w:t>Carlo Deodato</w:t>
      </w:r>
    </w:p>
    <w:p w:rsidR="006350D6" w:rsidRDefault="006350D6" w:rsidP="006350D6">
      <w:pPr>
        <w:spacing w:line="360" w:lineRule="auto"/>
        <w:jc w:val="right"/>
        <w:rPr>
          <w:sz w:val="28"/>
          <w:szCs w:val="28"/>
        </w:rPr>
      </w:pPr>
      <w:r w:rsidRPr="006350D6">
        <w:rPr>
          <w:sz w:val="28"/>
          <w:szCs w:val="28"/>
        </w:rPr>
        <w:t>Consigliere di Stato</w:t>
      </w:r>
    </w:p>
    <w:p w:rsidR="006350D6" w:rsidRDefault="006350D6" w:rsidP="006350D6">
      <w:pPr>
        <w:spacing w:line="360" w:lineRule="auto"/>
        <w:jc w:val="right"/>
        <w:rPr>
          <w:sz w:val="28"/>
          <w:szCs w:val="28"/>
        </w:rPr>
      </w:pPr>
    </w:p>
    <w:p w:rsidR="006350D6" w:rsidRPr="006350D6" w:rsidRDefault="006350D6" w:rsidP="006350D6">
      <w:pPr>
        <w:spacing w:line="360" w:lineRule="auto"/>
        <w:jc w:val="right"/>
        <w:rPr>
          <w:sz w:val="28"/>
          <w:szCs w:val="28"/>
        </w:rPr>
      </w:pPr>
      <w:r>
        <w:rPr>
          <w:sz w:val="28"/>
          <w:szCs w:val="28"/>
        </w:rPr>
        <w:t>p</w:t>
      </w:r>
      <w:bookmarkStart w:id="0" w:name="_GoBack"/>
      <w:bookmarkEnd w:id="0"/>
      <w:r>
        <w:rPr>
          <w:sz w:val="28"/>
          <w:szCs w:val="28"/>
        </w:rPr>
        <w:t>ubblicato il 28 aprile 2016</w:t>
      </w:r>
    </w:p>
    <w:p w:rsidR="0018523B" w:rsidRDefault="0018523B" w:rsidP="00C9570C">
      <w:pPr>
        <w:spacing w:line="360" w:lineRule="auto"/>
        <w:jc w:val="both"/>
        <w:rPr>
          <w:sz w:val="28"/>
          <w:szCs w:val="28"/>
        </w:rPr>
      </w:pPr>
    </w:p>
    <w:p w:rsidR="007115DF" w:rsidRDefault="007115DF" w:rsidP="00C9570C">
      <w:pPr>
        <w:spacing w:line="360" w:lineRule="auto"/>
        <w:jc w:val="both"/>
        <w:rPr>
          <w:sz w:val="28"/>
          <w:szCs w:val="28"/>
        </w:rPr>
      </w:pPr>
    </w:p>
    <w:p w:rsidR="007115DF" w:rsidRDefault="007115DF" w:rsidP="00C9570C">
      <w:pPr>
        <w:spacing w:line="360" w:lineRule="auto"/>
        <w:jc w:val="both"/>
        <w:rPr>
          <w:sz w:val="28"/>
          <w:szCs w:val="28"/>
        </w:rPr>
      </w:pPr>
    </w:p>
    <w:p w:rsidR="007115DF" w:rsidRDefault="007115DF" w:rsidP="00C9570C">
      <w:pPr>
        <w:spacing w:line="360" w:lineRule="auto"/>
        <w:jc w:val="both"/>
        <w:rPr>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E61B38" w:rsidRDefault="00E61B38" w:rsidP="007115DF">
      <w:pPr>
        <w:spacing w:line="360" w:lineRule="auto"/>
        <w:jc w:val="center"/>
        <w:rPr>
          <w:b/>
          <w:sz w:val="28"/>
          <w:szCs w:val="28"/>
        </w:rPr>
      </w:pPr>
    </w:p>
    <w:p w:rsidR="007115DF" w:rsidRPr="00C9570C" w:rsidRDefault="007115DF" w:rsidP="00C9570C">
      <w:pPr>
        <w:spacing w:line="360" w:lineRule="auto"/>
        <w:jc w:val="both"/>
        <w:rPr>
          <w:sz w:val="28"/>
          <w:szCs w:val="28"/>
        </w:rPr>
      </w:pPr>
    </w:p>
    <w:sectPr w:rsidR="007115DF" w:rsidRPr="00C9570C" w:rsidSect="0048550C">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363" w:rsidRDefault="00A95363">
      <w:r>
        <w:separator/>
      </w:r>
    </w:p>
  </w:endnote>
  <w:endnote w:type="continuationSeparator" w:id="0">
    <w:p w:rsidR="00A95363" w:rsidRDefault="00A95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82" w:rsidRDefault="0048550C" w:rsidP="00965A2C">
    <w:pPr>
      <w:pStyle w:val="Footer"/>
      <w:framePr w:wrap="around" w:vAnchor="text" w:hAnchor="margin" w:xAlign="center" w:y="1"/>
      <w:rPr>
        <w:rStyle w:val="PageNumber"/>
      </w:rPr>
    </w:pPr>
    <w:r>
      <w:rPr>
        <w:rStyle w:val="PageNumber"/>
      </w:rPr>
      <w:fldChar w:fldCharType="begin"/>
    </w:r>
    <w:r w:rsidR="00DC5F82">
      <w:rPr>
        <w:rStyle w:val="PageNumber"/>
      </w:rPr>
      <w:instrText xml:space="preserve">PAGE  </w:instrText>
    </w:r>
    <w:r>
      <w:rPr>
        <w:rStyle w:val="PageNumber"/>
      </w:rPr>
      <w:fldChar w:fldCharType="end"/>
    </w:r>
  </w:p>
  <w:p w:rsidR="00DC5F82" w:rsidRDefault="00DC5F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82" w:rsidRDefault="0048550C" w:rsidP="00965A2C">
    <w:pPr>
      <w:pStyle w:val="Footer"/>
      <w:framePr w:wrap="around" w:vAnchor="text" w:hAnchor="margin" w:xAlign="center" w:y="1"/>
      <w:rPr>
        <w:rStyle w:val="PageNumber"/>
      </w:rPr>
    </w:pPr>
    <w:r>
      <w:rPr>
        <w:rStyle w:val="PageNumber"/>
      </w:rPr>
      <w:fldChar w:fldCharType="begin"/>
    </w:r>
    <w:r w:rsidR="00DC5F82">
      <w:rPr>
        <w:rStyle w:val="PageNumber"/>
      </w:rPr>
      <w:instrText xml:space="preserve">PAGE  </w:instrText>
    </w:r>
    <w:r>
      <w:rPr>
        <w:rStyle w:val="PageNumber"/>
      </w:rPr>
      <w:fldChar w:fldCharType="separate"/>
    </w:r>
    <w:r w:rsidR="00933EDF">
      <w:rPr>
        <w:rStyle w:val="PageNumber"/>
        <w:noProof/>
      </w:rPr>
      <w:t>21</w:t>
    </w:r>
    <w:r>
      <w:rPr>
        <w:rStyle w:val="PageNumber"/>
      </w:rPr>
      <w:fldChar w:fldCharType="end"/>
    </w:r>
  </w:p>
  <w:p w:rsidR="00DC5F82" w:rsidRDefault="00DC5F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363" w:rsidRDefault="00A95363">
      <w:r>
        <w:separator/>
      </w:r>
    </w:p>
  </w:footnote>
  <w:footnote w:type="continuationSeparator" w:id="0">
    <w:p w:rsidR="00A95363" w:rsidRDefault="00A95363">
      <w:r>
        <w:continuationSeparator/>
      </w:r>
    </w:p>
  </w:footnote>
  <w:footnote w:id="1">
    <w:p w:rsidR="00B62C58" w:rsidRPr="00A366D4" w:rsidRDefault="00B62C58" w:rsidP="00A42045">
      <w:pPr>
        <w:pStyle w:val="FootnoteText"/>
        <w:jc w:val="both"/>
        <w:rPr>
          <w:i/>
          <w:lang w:val="en-US"/>
        </w:rPr>
      </w:pPr>
      <w:r>
        <w:rPr>
          <w:rStyle w:val="FootnoteReference"/>
        </w:rPr>
        <w:footnoteRef/>
      </w:r>
      <w:r w:rsidR="0041584A" w:rsidRPr="0041584A">
        <w:rPr>
          <w:i/>
          <w:lang w:val="en-US"/>
        </w:rPr>
        <w:t xml:space="preserve"> </w:t>
      </w:r>
      <w:r w:rsidR="0041584A" w:rsidRPr="00B84C6A">
        <w:rPr>
          <w:lang w:val="en-US"/>
        </w:rPr>
        <w:t>R. BIN</w:t>
      </w:r>
      <w:r w:rsidR="0041584A" w:rsidRPr="0041584A">
        <w:rPr>
          <w:i/>
          <w:lang w:val="en-US"/>
        </w:rPr>
        <w:t>, Soft law, no law.</w:t>
      </w:r>
    </w:p>
  </w:footnote>
  <w:footnote w:id="2">
    <w:p w:rsidR="0006456E" w:rsidRDefault="0006456E" w:rsidP="00A42045">
      <w:pPr>
        <w:pStyle w:val="FootnoteText"/>
        <w:jc w:val="both"/>
      </w:pPr>
      <w:r>
        <w:rPr>
          <w:rStyle w:val="FootnoteReference"/>
        </w:rPr>
        <w:footnoteRef/>
      </w:r>
      <w:r>
        <w:t xml:space="preserve"> </w:t>
      </w:r>
      <w:r w:rsidR="0041584A">
        <w:t xml:space="preserve">G. TARLI BARBIERI, </w:t>
      </w:r>
      <w:r w:rsidR="0041584A">
        <w:rPr>
          <w:i/>
        </w:rPr>
        <w:t>Regolamenti governativi e ministeriali</w:t>
      </w:r>
      <w:r w:rsidR="0041584A">
        <w:t>.</w:t>
      </w:r>
    </w:p>
  </w:footnote>
  <w:footnote w:id="3">
    <w:p w:rsidR="00B718EC" w:rsidRPr="00B718EC" w:rsidRDefault="00B718EC" w:rsidP="00A42045">
      <w:pPr>
        <w:pStyle w:val="FootnoteText"/>
        <w:jc w:val="both"/>
      </w:pPr>
      <w:r>
        <w:rPr>
          <w:rStyle w:val="FootnoteReference"/>
        </w:rPr>
        <w:footnoteRef/>
      </w:r>
      <w:r>
        <w:t xml:space="preserve"> </w:t>
      </w:r>
      <w:r w:rsidR="0041584A">
        <w:t xml:space="preserve">E. CHELI, </w:t>
      </w:r>
      <w:r w:rsidR="0041584A">
        <w:rPr>
          <w:i/>
        </w:rPr>
        <w:t xml:space="preserve">La produzione normativa: sviluppo del modello costituzionale e linee guida di tendenza attuali; </w:t>
      </w:r>
      <w:r w:rsidR="0041584A">
        <w:t xml:space="preserve">F. SORRENTINO, </w:t>
      </w:r>
      <w:r w:rsidR="0041584A">
        <w:rPr>
          <w:i/>
        </w:rPr>
        <w:t xml:space="preserve">Le fonti del diritto italiano; </w:t>
      </w:r>
      <w:r w:rsidR="0041584A">
        <w:t xml:space="preserve">F. MODUGNO, voce </w:t>
      </w:r>
      <w:r w:rsidR="0041584A">
        <w:rPr>
          <w:i/>
        </w:rPr>
        <w:t>Validità(diritto costituzionale)</w:t>
      </w:r>
      <w:r w:rsidR="00A42045">
        <w:rPr>
          <w:i/>
        </w:rPr>
        <w:t>,</w:t>
      </w:r>
      <w:r w:rsidR="0041584A">
        <w:rPr>
          <w:i/>
        </w:rPr>
        <w:t xml:space="preserve"> </w:t>
      </w:r>
      <w:r w:rsidR="0041584A" w:rsidRPr="00A42045">
        <w:t>in</w:t>
      </w:r>
      <w:r w:rsidR="0041584A">
        <w:rPr>
          <w:i/>
        </w:rPr>
        <w:t xml:space="preserve"> Enc. dir.; </w:t>
      </w:r>
      <w:r w:rsidR="0041584A">
        <w:t xml:space="preserve">U. DE SIERVO, </w:t>
      </w:r>
      <w:r w:rsidR="0041584A">
        <w:rPr>
          <w:i/>
        </w:rPr>
        <w:t>Lo sfuggente potere regolamentare</w:t>
      </w:r>
      <w:r w:rsidR="0041584A" w:rsidRPr="003D1CDF">
        <w:t xml:space="preserve">; </w:t>
      </w:r>
      <w:r w:rsidR="0041584A">
        <w:t xml:space="preserve">G.U. RESCIGNO, </w:t>
      </w:r>
      <w:r w:rsidR="0041584A" w:rsidRPr="003D1CDF">
        <w:rPr>
          <w:i/>
        </w:rPr>
        <w:t>Il nome proprio degli atti normativi e la legge n. 400 del 1988.</w:t>
      </w:r>
    </w:p>
  </w:footnote>
  <w:footnote w:id="4">
    <w:p w:rsidR="00DC5F82" w:rsidRDefault="00DC5F82" w:rsidP="00A42045">
      <w:pPr>
        <w:pStyle w:val="FootnoteText"/>
        <w:jc w:val="both"/>
      </w:pPr>
      <w:r>
        <w:rPr>
          <w:rStyle w:val="FootnoteReference"/>
        </w:rPr>
        <w:footnoteRef/>
      </w:r>
      <w:r>
        <w:t xml:space="preserve"> </w:t>
      </w:r>
      <w:r w:rsidR="00EE6715">
        <w:t xml:space="preserve">Si vedano i pareri del Comitato per la legislazione </w:t>
      </w:r>
      <w:r w:rsidR="004B448B">
        <w:t xml:space="preserve">e </w:t>
      </w:r>
      <w:r w:rsidR="00EE6715">
        <w:t>alcuni messaggi di rinvio del Capo dello St</w:t>
      </w:r>
      <w:r w:rsidR="001931AF">
        <w:t xml:space="preserve">ato ai sensi dell’art.74. Cost. </w:t>
      </w:r>
      <w:r w:rsidR="00EE6715">
        <w:t>nei quali la legge 400 viene definita come fonte di natura ordinamentale e, quindi, rafforzata.</w:t>
      </w:r>
    </w:p>
  </w:footnote>
  <w:footnote w:id="5">
    <w:p w:rsidR="00DC5F82" w:rsidRPr="00EE2F6C" w:rsidRDefault="00DC5F82" w:rsidP="00A42045">
      <w:pPr>
        <w:pStyle w:val="FootnoteText"/>
        <w:jc w:val="both"/>
        <w:rPr>
          <w:i/>
        </w:rPr>
      </w:pPr>
      <w:r>
        <w:rPr>
          <w:rStyle w:val="FootnoteReference"/>
        </w:rPr>
        <w:footnoteRef/>
      </w:r>
      <w:r>
        <w:t xml:space="preserve"> </w:t>
      </w:r>
      <w:r w:rsidR="0041584A">
        <w:t xml:space="preserve">R. BIN, </w:t>
      </w:r>
      <w:r w:rsidR="0041584A">
        <w:rPr>
          <w:i/>
        </w:rPr>
        <w:t xml:space="preserve">Problemi legislativi e interpretativi; </w:t>
      </w:r>
      <w:r w:rsidR="0041584A">
        <w:t>G.</w:t>
      </w:r>
      <w:r w:rsidR="00A42045">
        <w:t xml:space="preserve"> </w:t>
      </w:r>
      <w:r w:rsidR="0041584A">
        <w:t xml:space="preserve">DI COSIMO, </w:t>
      </w:r>
      <w:r w:rsidR="0041584A">
        <w:rPr>
          <w:i/>
        </w:rPr>
        <w:t xml:space="preserve">I regolamenti nel sistema delle fonti; </w:t>
      </w:r>
      <w:r w:rsidR="0041584A">
        <w:t xml:space="preserve">F. BATISTONI FERRARA, </w:t>
      </w:r>
      <w:r w:rsidR="0041584A">
        <w:rPr>
          <w:i/>
        </w:rPr>
        <w:t xml:space="preserve">Una nuova fonte di produzione. </w:t>
      </w:r>
    </w:p>
  </w:footnote>
  <w:footnote w:id="6">
    <w:p w:rsidR="00340E2F" w:rsidRPr="00340E2F" w:rsidRDefault="00340E2F" w:rsidP="00A42045">
      <w:pPr>
        <w:pStyle w:val="FootnoteText"/>
        <w:jc w:val="both"/>
      </w:pPr>
      <w:r>
        <w:rPr>
          <w:rStyle w:val="FootnoteReference"/>
        </w:rPr>
        <w:footnoteRef/>
      </w:r>
      <w:r>
        <w:t xml:space="preserve"> </w:t>
      </w:r>
      <w:r w:rsidR="0041584A">
        <w:t xml:space="preserve">G. GUZZETTA, </w:t>
      </w:r>
      <w:r w:rsidR="0041584A">
        <w:rPr>
          <w:i/>
        </w:rPr>
        <w:t>Problemi ricostruttivi e profili problematici della potestà regolamentare</w:t>
      </w:r>
      <w:r w:rsidR="00A42045">
        <w:rPr>
          <w:i/>
        </w:rPr>
        <w:t xml:space="preserve"> </w:t>
      </w:r>
      <w:r w:rsidR="0041584A">
        <w:rPr>
          <w:i/>
        </w:rPr>
        <w:t>dopo la riforma del Titolo V.</w:t>
      </w:r>
    </w:p>
  </w:footnote>
  <w:footnote w:id="7">
    <w:p w:rsidR="00C53B0D" w:rsidRPr="004B448B" w:rsidRDefault="00C53B0D" w:rsidP="00A42045">
      <w:pPr>
        <w:pStyle w:val="FootnoteText"/>
        <w:jc w:val="both"/>
        <w:rPr>
          <w:i/>
        </w:rPr>
      </w:pPr>
      <w:r>
        <w:rPr>
          <w:rStyle w:val="FootnoteReference"/>
        </w:rPr>
        <w:footnoteRef/>
      </w:r>
      <w:r>
        <w:t xml:space="preserve"> </w:t>
      </w:r>
      <w:r w:rsidR="0041584A">
        <w:t xml:space="preserve">A. MOSCARINI, </w:t>
      </w:r>
      <w:r w:rsidR="0041584A">
        <w:rPr>
          <w:i/>
        </w:rPr>
        <w:t>Sui decreti</w:t>
      </w:r>
      <w:r w:rsidR="00A42045">
        <w:rPr>
          <w:i/>
        </w:rPr>
        <w:t xml:space="preserve"> </w:t>
      </w:r>
      <w:r w:rsidR="0041584A">
        <w:rPr>
          <w:i/>
        </w:rPr>
        <w:t xml:space="preserve">del Governo di natura non regolamentare che producono effetti normativi; </w:t>
      </w:r>
      <w:r w:rsidR="0041584A">
        <w:t xml:space="preserve">C. PADULA, </w:t>
      </w:r>
      <w:r w:rsidR="0041584A">
        <w:rPr>
          <w:i/>
        </w:rPr>
        <w:t xml:space="preserve">Considerazioni in tema di fonti statali secondarie atipiche; </w:t>
      </w:r>
      <w:r w:rsidR="0041584A">
        <w:t xml:space="preserve">V. MARCENÒ, </w:t>
      </w:r>
      <w:r w:rsidR="0041584A">
        <w:rPr>
          <w:i/>
        </w:rPr>
        <w:t>Quando il formalismo</w:t>
      </w:r>
      <w:r w:rsidR="00A42045">
        <w:rPr>
          <w:i/>
        </w:rPr>
        <w:t xml:space="preserve"> </w:t>
      </w:r>
      <w:r w:rsidR="0041584A">
        <w:rPr>
          <w:i/>
        </w:rPr>
        <w:t>giuridico tradisce se stesso: i decreti di natura non regolamentare, un caso di scarto normativo tra fatto e modello normativo nel sistema delle fonti</w:t>
      </w:r>
      <w:r w:rsidR="0041584A">
        <w:t xml:space="preserve">; </w:t>
      </w:r>
      <w:r w:rsidR="00A42045">
        <w:t xml:space="preserve">G. </w:t>
      </w:r>
      <w:r w:rsidR="0041584A">
        <w:t>D</w:t>
      </w:r>
      <w:r w:rsidR="00A42045">
        <w:t>I</w:t>
      </w:r>
      <w:r w:rsidR="0041584A">
        <w:t xml:space="preserve"> COSIMO, </w:t>
      </w:r>
      <w:r w:rsidR="0041584A">
        <w:rPr>
          <w:i/>
        </w:rPr>
        <w:t xml:space="preserve">I regolamenti nel sistema delle fonti. Vecchi nodi teorici e nuovo assetto costituzionale; </w:t>
      </w:r>
      <w:r w:rsidR="0041584A" w:rsidRPr="00C56654">
        <w:t xml:space="preserve">G. </w:t>
      </w:r>
      <w:r w:rsidR="0041584A" w:rsidRPr="00B44970">
        <w:t>TARLI BARBIERI</w:t>
      </w:r>
      <w:r w:rsidR="0041584A">
        <w:t xml:space="preserve">, </w:t>
      </w:r>
      <w:r w:rsidR="0041584A" w:rsidRPr="00FD7BAF">
        <w:rPr>
          <w:i/>
        </w:rPr>
        <w:t>Atti regolamentari e</w:t>
      </w:r>
      <w:r w:rsidR="0041584A">
        <w:rPr>
          <w:i/>
        </w:rPr>
        <w:t xml:space="preserve"> atti pararegolamentari</w:t>
      </w:r>
      <w:r w:rsidR="0041584A">
        <w:t xml:space="preserve"> </w:t>
      </w:r>
      <w:r w:rsidR="0041584A" w:rsidRPr="00A42045">
        <w:rPr>
          <w:i/>
        </w:rPr>
        <w:t>nel più recente periodo</w:t>
      </w:r>
      <w:r w:rsidR="0041584A">
        <w:t xml:space="preserve">; V. DI PORTO, </w:t>
      </w:r>
      <w:r w:rsidR="0041584A">
        <w:rPr>
          <w:i/>
        </w:rPr>
        <w:t>Del ripristino</w:t>
      </w:r>
      <w:r w:rsidR="00A42045">
        <w:rPr>
          <w:i/>
        </w:rPr>
        <w:t xml:space="preserve"> e di altri atti del Governo, più o meno delegificati</w:t>
      </w:r>
      <w:r w:rsidR="0041584A">
        <w:rPr>
          <w:i/>
        </w:rPr>
        <w:t xml:space="preserve">; </w:t>
      </w:r>
      <w:r w:rsidR="0041584A">
        <w:t xml:space="preserve">E. ALBANESI, </w:t>
      </w:r>
      <w:r w:rsidR="0041584A">
        <w:rPr>
          <w:i/>
        </w:rPr>
        <w:t>I decreti del Governo “di natura non regolamentare”. Un percorso interpretativo.</w:t>
      </w:r>
    </w:p>
  </w:footnote>
  <w:footnote w:id="8">
    <w:p w:rsidR="00C53B0D" w:rsidRDefault="00C53B0D" w:rsidP="00A42045">
      <w:pPr>
        <w:pStyle w:val="FootnoteText"/>
        <w:jc w:val="both"/>
      </w:pPr>
      <w:r>
        <w:rPr>
          <w:rStyle w:val="FootnoteReference"/>
        </w:rPr>
        <w:footnoteRef/>
      </w:r>
      <w:r w:rsidR="00605DE2">
        <w:t xml:space="preserve"> E’ stata, al riguardo, segnalata </w:t>
      </w:r>
      <w:r w:rsidR="004B448B">
        <w:t xml:space="preserve">da Tarli Barbieri </w:t>
      </w:r>
      <w:r w:rsidR="00605DE2">
        <w:t>l’ambiguità di una formula l</w:t>
      </w:r>
      <w:r w:rsidR="00FD7BAF">
        <w:t>essicale che può significare</w:t>
      </w:r>
      <w:r w:rsidR="00605DE2">
        <w:t xml:space="preserve"> sia </w:t>
      </w:r>
      <w:r w:rsidR="006C11E5">
        <w:t>la mer</w:t>
      </w:r>
      <w:r w:rsidR="00C76877">
        <w:t>a</w:t>
      </w:r>
      <w:r w:rsidR="006C11E5">
        <w:t xml:space="preserve"> sottrazione al regime procedurale dei regolamenti, sia la negazione della sua natura normativa.</w:t>
      </w:r>
    </w:p>
  </w:footnote>
  <w:footnote w:id="9">
    <w:p w:rsidR="00DC5F82" w:rsidRDefault="00DC5F82" w:rsidP="00A42045">
      <w:pPr>
        <w:pStyle w:val="FootnoteText"/>
        <w:jc w:val="both"/>
      </w:pPr>
      <w:r>
        <w:rPr>
          <w:rStyle w:val="FootnoteReference"/>
        </w:rPr>
        <w:footnoteRef/>
      </w:r>
      <w:r>
        <w:t xml:space="preserve"> </w:t>
      </w:r>
      <w:r w:rsidR="00450FA5">
        <w:t xml:space="preserve">A. </w:t>
      </w:r>
      <w:r w:rsidR="0041584A">
        <w:t>MOSCARINI</w:t>
      </w:r>
      <w:r w:rsidR="004B448B">
        <w:t>, op.cit.</w:t>
      </w:r>
    </w:p>
  </w:footnote>
  <w:footnote w:id="10">
    <w:p w:rsidR="007629BA" w:rsidRDefault="007629BA" w:rsidP="00A42045">
      <w:pPr>
        <w:pStyle w:val="FootnoteText"/>
        <w:jc w:val="both"/>
      </w:pPr>
      <w:r>
        <w:rPr>
          <w:rStyle w:val="FootnoteReference"/>
        </w:rPr>
        <w:footnoteRef/>
      </w:r>
      <w:r>
        <w:t xml:space="preserve"> </w:t>
      </w:r>
      <w:r w:rsidR="0041584A" w:rsidRPr="0041584A">
        <w:t xml:space="preserve">L. PALADIN, </w:t>
      </w:r>
      <w:r w:rsidR="0041584A" w:rsidRPr="00B84C6A">
        <w:rPr>
          <w:i/>
        </w:rPr>
        <w:t>Saggio sulle fonti del diritto italiano. Le problematiche della definizione e della individuazione.</w:t>
      </w:r>
    </w:p>
  </w:footnote>
  <w:footnote w:id="11">
    <w:p w:rsidR="007629BA" w:rsidRPr="00EE2F6C" w:rsidRDefault="007629BA" w:rsidP="00A42045">
      <w:pPr>
        <w:pStyle w:val="FootnoteText"/>
        <w:jc w:val="both"/>
        <w:rPr>
          <w:i/>
        </w:rPr>
      </w:pPr>
      <w:r>
        <w:rPr>
          <w:rStyle w:val="FootnoteReference"/>
        </w:rPr>
        <w:footnoteRef/>
      </w:r>
      <w:r>
        <w:t xml:space="preserve"> </w:t>
      </w:r>
      <w:r w:rsidR="0041584A">
        <w:t xml:space="preserve">V. CRISAFULLI, </w:t>
      </w:r>
      <w:r w:rsidR="0041584A">
        <w:rPr>
          <w:i/>
        </w:rPr>
        <w:t xml:space="preserve">Fonti del diritto </w:t>
      </w:r>
      <w:r w:rsidR="0041584A" w:rsidRPr="00176EF9">
        <w:rPr>
          <w:i/>
        </w:rPr>
        <w:t xml:space="preserve">(dir. cost.), </w:t>
      </w:r>
      <w:r w:rsidR="0041584A" w:rsidRPr="00B44970">
        <w:t xml:space="preserve">in </w:t>
      </w:r>
      <w:r w:rsidR="0041584A" w:rsidRPr="00176EF9">
        <w:rPr>
          <w:i/>
        </w:rPr>
        <w:t>Enc. dir</w:t>
      </w:r>
      <w:r w:rsidR="0041584A">
        <w:rPr>
          <w:i/>
        </w:rPr>
        <w:t>.</w:t>
      </w:r>
      <w:r w:rsidR="0041584A">
        <w:t xml:space="preserve">; A.M. SANDULLI, </w:t>
      </w:r>
      <w:r w:rsidR="0041584A">
        <w:rPr>
          <w:i/>
        </w:rPr>
        <w:t>Sugli atti amministrativi generali a contenuto non normativo.</w:t>
      </w:r>
      <w:r w:rsidR="00EE2F6C">
        <w:rPr>
          <w:i/>
        </w:rPr>
        <w:t xml:space="preserve"> </w:t>
      </w:r>
    </w:p>
  </w:footnote>
  <w:footnote w:id="12">
    <w:p w:rsidR="00EE6715" w:rsidRDefault="00EE6715" w:rsidP="00A42045">
      <w:pPr>
        <w:pStyle w:val="FootnoteText"/>
        <w:jc w:val="both"/>
      </w:pPr>
      <w:r>
        <w:rPr>
          <w:rStyle w:val="FootnoteReference"/>
        </w:rPr>
        <w:footnoteRef/>
      </w:r>
      <w:r w:rsidR="0041584A">
        <w:t xml:space="preserve"> F. CINTIOLI, </w:t>
      </w:r>
      <w:r w:rsidR="0041584A">
        <w:rPr>
          <w:i/>
        </w:rPr>
        <w:t>Potere regolamentare e sindacato giurisdizionale;</w:t>
      </w:r>
      <w:r w:rsidR="0041584A">
        <w:t xml:space="preserve"> F. MODUGNO – A. CELOTTO, </w:t>
      </w:r>
      <w:r w:rsidR="0041584A">
        <w:rPr>
          <w:i/>
        </w:rPr>
        <w:t xml:space="preserve">Un non regolamento </w:t>
      </w:r>
      <w:r w:rsidR="0041584A" w:rsidRPr="00C570F2">
        <w:rPr>
          <w:i/>
        </w:rPr>
        <w:t>statale</w:t>
      </w:r>
      <w:r w:rsidR="0041584A" w:rsidRPr="00874233">
        <w:rPr>
          <w:i/>
        </w:rPr>
        <w:t xml:space="preserve"> nelle competenze concorrenti.</w:t>
      </w:r>
    </w:p>
  </w:footnote>
  <w:footnote w:id="13">
    <w:p w:rsidR="00DC5F82" w:rsidRPr="00450FA5" w:rsidRDefault="00DC5F82" w:rsidP="00A42045">
      <w:pPr>
        <w:pStyle w:val="FootnoteText"/>
        <w:jc w:val="both"/>
        <w:rPr>
          <w:i/>
        </w:rPr>
      </w:pPr>
      <w:r>
        <w:rPr>
          <w:rStyle w:val="FootnoteReference"/>
        </w:rPr>
        <w:footnoteRef/>
      </w:r>
      <w:r>
        <w:t xml:space="preserve"> </w:t>
      </w:r>
      <w:r w:rsidR="0041584A">
        <w:t xml:space="preserve">V. CRISAFULLI, </w:t>
      </w:r>
      <w:r w:rsidR="0041584A">
        <w:rPr>
          <w:i/>
        </w:rPr>
        <w:t xml:space="preserve">Atto normativo, </w:t>
      </w:r>
      <w:r w:rsidR="0041584A" w:rsidRPr="00792F8F">
        <w:t>in</w:t>
      </w:r>
      <w:r w:rsidR="0041584A">
        <w:rPr>
          <w:i/>
        </w:rPr>
        <w:t xml:space="preserve"> Enc. dir.</w:t>
      </w:r>
      <w:r w:rsidR="00450FA5">
        <w:rPr>
          <w:i/>
        </w:rPr>
        <w:t xml:space="preserve"> </w:t>
      </w:r>
    </w:p>
  </w:footnote>
  <w:footnote w:id="14">
    <w:p w:rsidR="00DC5F82" w:rsidRPr="00C75259" w:rsidRDefault="00DC5F82" w:rsidP="00A42045">
      <w:pPr>
        <w:pStyle w:val="FootnoteText"/>
        <w:jc w:val="both"/>
        <w:rPr>
          <w:i/>
        </w:rPr>
      </w:pPr>
      <w:r>
        <w:rPr>
          <w:rStyle w:val="FootnoteReference"/>
        </w:rPr>
        <w:footnoteRef/>
      </w:r>
      <w:r>
        <w:t xml:space="preserve"> </w:t>
      </w:r>
      <w:r w:rsidR="0041584A">
        <w:t xml:space="preserve">G. SANTANIELLO, </w:t>
      </w:r>
      <w:r w:rsidR="0041584A">
        <w:rPr>
          <w:i/>
        </w:rPr>
        <w:t xml:space="preserve">Gli atti amministrativi generali a contenuto non normativo; </w:t>
      </w:r>
      <w:r w:rsidR="0041584A">
        <w:t xml:space="preserve">G. DELLA CANANEA, </w:t>
      </w:r>
      <w:r w:rsidR="0041584A">
        <w:rPr>
          <w:i/>
        </w:rPr>
        <w:t>Gli atti amministrativi generali.</w:t>
      </w:r>
    </w:p>
  </w:footnote>
  <w:footnote w:id="15">
    <w:p w:rsidR="00DC5F82" w:rsidRDefault="00DC5F82" w:rsidP="00A42045">
      <w:pPr>
        <w:pStyle w:val="FootnoteText"/>
        <w:jc w:val="both"/>
      </w:pPr>
      <w:r>
        <w:rPr>
          <w:rStyle w:val="FootnoteReference"/>
        </w:rPr>
        <w:footnoteRef/>
      </w:r>
      <w:r>
        <w:t xml:space="preserve"> Corte Cost. </w:t>
      </w:r>
      <w:r w:rsidR="00B718EC">
        <w:t>sent</w:t>
      </w:r>
      <w:r w:rsidR="00EE2F6C">
        <w:t>enze</w:t>
      </w:r>
      <w:r w:rsidR="007629BA">
        <w:t xml:space="preserve"> nn. 274 e 278 del 2010 </w:t>
      </w:r>
      <w:r w:rsidR="00EE2F6C">
        <w:t xml:space="preserve">e 39 del 2014; </w:t>
      </w:r>
      <w:r>
        <w:t xml:space="preserve"> Cons. St</w:t>
      </w:r>
      <w:r w:rsidR="00B718EC">
        <w:t xml:space="preserve">., Sez. VI, n.6657 del 2007; Sez. IV, n.3256 del 2008; Sez. IV, n.2841 del 2010; Sez. </w:t>
      </w:r>
      <w:r w:rsidR="002777BE">
        <w:t>VI, n.996 del 2011.</w:t>
      </w:r>
      <w:r>
        <w:t xml:space="preserve"> </w:t>
      </w:r>
    </w:p>
  </w:footnote>
  <w:footnote w:id="16">
    <w:p w:rsidR="00D16CA8" w:rsidRDefault="00D16CA8" w:rsidP="00A42045">
      <w:pPr>
        <w:pStyle w:val="FootnoteText"/>
        <w:jc w:val="both"/>
      </w:pPr>
      <w:r>
        <w:rPr>
          <w:rStyle w:val="FootnoteReference"/>
        </w:rPr>
        <w:footnoteRef/>
      </w:r>
      <w:r>
        <w:t xml:space="preserve"> </w:t>
      </w:r>
      <w:r w:rsidR="004B448B">
        <w:t xml:space="preserve">A.M. </w:t>
      </w:r>
      <w:r>
        <w:t>S</w:t>
      </w:r>
      <w:r w:rsidR="0041584A">
        <w:t>ANDULLI</w:t>
      </w:r>
      <w:r>
        <w:t>,</w:t>
      </w:r>
      <w:r w:rsidR="004B448B">
        <w:t xml:space="preserve"> </w:t>
      </w:r>
      <w:r w:rsidR="004B448B">
        <w:rPr>
          <w:i/>
        </w:rPr>
        <w:t xml:space="preserve">Sugli atti amministrativi generali a contenuto non normativo.  </w:t>
      </w:r>
      <w:r>
        <w:t xml:space="preserve"> </w:t>
      </w:r>
    </w:p>
  </w:footnote>
  <w:footnote w:id="17">
    <w:p w:rsidR="00C76877" w:rsidRDefault="00C76877" w:rsidP="00A42045">
      <w:pPr>
        <w:pStyle w:val="FootnoteText"/>
        <w:jc w:val="both"/>
      </w:pPr>
      <w:r>
        <w:rPr>
          <w:rStyle w:val="FootnoteReference"/>
        </w:rPr>
        <w:footnoteRef/>
      </w:r>
      <w:r>
        <w:t xml:space="preserve"> Cons. St., Adunanza Plenaria</w:t>
      </w:r>
      <w:r w:rsidR="0041584A">
        <w:t>,</w:t>
      </w:r>
      <w:r>
        <w:t xml:space="preserve"> 4 maggio 2012, n. 9.</w:t>
      </w:r>
    </w:p>
  </w:footnote>
  <w:footnote w:id="18">
    <w:p w:rsidR="00C53B0D" w:rsidRDefault="00C53B0D" w:rsidP="00A42045">
      <w:pPr>
        <w:pStyle w:val="FootnoteText"/>
        <w:jc w:val="both"/>
      </w:pPr>
      <w:r>
        <w:rPr>
          <w:rStyle w:val="FootnoteReference"/>
        </w:rPr>
        <w:footnoteRef/>
      </w:r>
      <w:r>
        <w:t xml:space="preserve"> </w:t>
      </w:r>
      <w:r w:rsidR="0041584A">
        <w:t>DI COSIMO</w:t>
      </w:r>
      <w:r w:rsidR="004B448B">
        <w:t>, op. cit.</w:t>
      </w:r>
    </w:p>
  </w:footnote>
  <w:footnote w:id="19">
    <w:p w:rsidR="006D2819" w:rsidRPr="004A3812" w:rsidRDefault="006D2819" w:rsidP="00A42045">
      <w:pPr>
        <w:pStyle w:val="FootnoteText"/>
        <w:jc w:val="both"/>
        <w:rPr>
          <w:i/>
        </w:rPr>
      </w:pPr>
      <w:r>
        <w:rPr>
          <w:rStyle w:val="FootnoteReference"/>
        </w:rPr>
        <w:footnoteRef/>
      </w:r>
      <w:r>
        <w:t xml:space="preserve"> </w:t>
      </w:r>
      <w:r w:rsidR="004A3812">
        <w:t>S</w:t>
      </w:r>
      <w:r w:rsidR="0041584A">
        <w:t>.</w:t>
      </w:r>
      <w:r w:rsidR="00A42045">
        <w:t xml:space="preserve"> </w:t>
      </w:r>
      <w:r w:rsidR="0041584A">
        <w:t>MORETTINI</w:t>
      </w:r>
      <w:r w:rsidR="004A3812">
        <w:t xml:space="preserve">, </w:t>
      </w:r>
      <w:r w:rsidR="00B718EC">
        <w:rPr>
          <w:i/>
        </w:rPr>
        <w:t>Il soft law nelle autorità indipendenti: procedure oscure e assenza di garanzie?</w:t>
      </w:r>
      <w:r w:rsidR="0041584A">
        <w:rPr>
          <w:i/>
        </w:rPr>
        <w:t>,</w:t>
      </w:r>
      <w:r w:rsidR="00B718EC">
        <w:rPr>
          <w:i/>
        </w:rPr>
        <w:t xml:space="preserve"> </w:t>
      </w:r>
      <w:r w:rsidR="0041584A">
        <w:t xml:space="preserve">in </w:t>
      </w:r>
      <w:r w:rsidR="00B718EC">
        <w:t>Osservatorio sull’AIR.</w:t>
      </w:r>
      <w:r w:rsidR="00B718EC">
        <w:rPr>
          <w:i/>
        </w:rPr>
        <w:t xml:space="preserve"> </w:t>
      </w:r>
    </w:p>
  </w:footnote>
  <w:footnote w:id="20">
    <w:p w:rsidR="00DC5F82" w:rsidRDefault="00DC5F82" w:rsidP="00A42045">
      <w:pPr>
        <w:pStyle w:val="FootnoteText"/>
        <w:jc w:val="both"/>
      </w:pPr>
      <w:r>
        <w:rPr>
          <w:rStyle w:val="FootnoteReference"/>
        </w:rPr>
        <w:footnoteRef/>
      </w:r>
      <w:r>
        <w:t xml:space="preserve"> Parere </w:t>
      </w:r>
      <w:r w:rsidR="00927D78">
        <w:t xml:space="preserve">della Commissione </w:t>
      </w:r>
      <w:r w:rsidR="0041584A">
        <w:t xml:space="preserve">speciale </w:t>
      </w:r>
      <w:r w:rsidR="00927D78">
        <w:t xml:space="preserve">del Consiglio di Stato </w:t>
      </w:r>
      <w:r>
        <w:t>sul Codice degli appalti in data</w:t>
      </w:r>
      <w:r w:rsidR="00927D78">
        <w:t xml:space="preserve"> 1 aprile 2016, n.855.</w:t>
      </w:r>
      <w:r>
        <w:t xml:space="preserve">  </w:t>
      </w:r>
    </w:p>
  </w:footnote>
  <w:footnote w:id="21">
    <w:p w:rsidR="006D2819" w:rsidRDefault="006D2819" w:rsidP="00A42045">
      <w:pPr>
        <w:pStyle w:val="FootnoteText"/>
        <w:jc w:val="both"/>
      </w:pPr>
      <w:r>
        <w:rPr>
          <w:rStyle w:val="FootnoteReference"/>
        </w:rPr>
        <w:footnoteRef/>
      </w:r>
      <w:r>
        <w:t xml:space="preserve"> Cons. St., Sezione </w:t>
      </w:r>
      <w:r w:rsidR="0041584A">
        <w:t xml:space="preserve">consultiva </w:t>
      </w:r>
      <w:r>
        <w:t>per gli atti normativ</w:t>
      </w:r>
      <w:r w:rsidR="00DE609D">
        <w:t>i, parere in data 21 gennaio</w:t>
      </w:r>
      <w:r>
        <w:t xml:space="preserve"> 2008.</w:t>
      </w:r>
    </w:p>
  </w:footnote>
  <w:footnote w:id="22">
    <w:p w:rsidR="00DE609D" w:rsidRDefault="00DE609D" w:rsidP="00A42045">
      <w:pPr>
        <w:pStyle w:val="FootnoteText"/>
        <w:jc w:val="both"/>
      </w:pPr>
      <w:r>
        <w:rPr>
          <w:rStyle w:val="FootnoteReference"/>
        </w:rPr>
        <w:footnoteRef/>
      </w:r>
      <w:r>
        <w:t xml:space="preserve"> Cons. St., Sezione </w:t>
      </w:r>
      <w:r w:rsidR="0041584A">
        <w:t xml:space="preserve">consultiva </w:t>
      </w:r>
      <w:r>
        <w:t>per gli atti normativi</w:t>
      </w:r>
      <w:r w:rsidR="00D813B8">
        <w:t>, parere in data 14 febbraio 200</w:t>
      </w:r>
      <w:r>
        <w:t>5.</w:t>
      </w:r>
    </w:p>
  </w:footnote>
  <w:footnote w:id="23">
    <w:p w:rsidR="00D813B8" w:rsidRDefault="00D813B8" w:rsidP="00A42045">
      <w:pPr>
        <w:pStyle w:val="FootnoteText"/>
        <w:jc w:val="both"/>
      </w:pPr>
      <w:r>
        <w:rPr>
          <w:rStyle w:val="FootnoteReference"/>
        </w:rPr>
        <w:footnoteRef/>
      </w:r>
      <w:r>
        <w:t xml:space="preserve"> Cons. St., </w:t>
      </w:r>
      <w:r w:rsidR="0041584A">
        <w:t>Sez</w:t>
      </w:r>
      <w:r>
        <w:t>. VI, 2 maggio 2012, n.2521.</w:t>
      </w:r>
    </w:p>
  </w:footnote>
  <w:footnote w:id="24">
    <w:p w:rsidR="00D813B8" w:rsidRDefault="00D813B8" w:rsidP="00A42045">
      <w:pPr>
        <w:pStyle w:val="FootnoteText"/>
        <w:jc w:val="both"/>
      </w:pPr>
      <w:r>
        <w:rPr>
          <w:rStyle w:val="FootnoteReference"/>
        </w:rPr>
        <w:footnoteRef/>
      </w:r>
      <w:r>
        <w:t xml:space="preserve"> Cons. St., Sezione </w:t>
      </w:r>
      <w:r w:rsidR="0041584A">
        <w:t xml:space="preserve">consultiva </w:t>
      </w:r>
      <w:r>
        <w:t>per gli atti normativi, parere in data 14 febbraio 2005, 6.5.1</w:t>
      </w:r>
      <w:r w:rsidR="00A42045">
        <w:t>.</w:t>
      </w:r>
    </w:p>
  </w:footnote>
  <w:footnote w:id="25">
    <w:p w:rsidR="00760077" w:rsidRDefault="00760077" w:rsidP="00A42045">
      <w:pPr>
        <w:pStyle w:val="FootnoteText"/>
        <w:jc w:val="both"/>
      </w:pPr>
      <w:r>
        <w:rPr>
          <w:rStyle w:val="FootnoteReference"/>
        </w:rPr>
        <w:footnoteRef/>
      </w:r>
      <w:r>
        <w:t xml:space="preserve"> Per una compiuta disamina dei profili di criticità dei poterei regolatori delle autorità indipendenti, con riferimento al rispetto del principio di legalità, si veda G</w:t>
      </w:r>
      <w:r w:rsidR="002E0923">
        <w:t>.</w:t>
      </w:r>
      <w:r>
        <w:t xml:space="preserve"> M</w:t>
      </w:r>
      <w:r w:rsidR="002E0923">
        <w:t>ORBIDELLI</w:t>
      </w:r>
      <w:r>
        <w:t xml:space="preserve">, </w:t>
      </w:r>
      <w:r w:rsidRPr="00B718EC">
        <w:rPr>
          <w:i/>
        </w:rPr>
        <w:t xml:space="preserve">Poteri </w:t>
      </w:r>
      <w:r w:rsidR="00A42045">
        <w:rPr>
          <w:i/>
        </w:rPr>
        <w:t>i</w:t>
      </w:r>
      <w:r w:rsidR="00A42045" w:rsidRPr="00B718EC">
        <w:rPr>
          <w:i/>
        </w:rPr>
        <w:t>mpliciti</w:t>
      </w:r>
      <w:r>
        <w:t>.</w:t>
      </w:r>
    </w:p>
  </w:footnote>
  <w:footnote w:id="26">
    <w:p w:rsidR="00AB09FE" w:rsidRPr="00677124" w:rsidRDefault="00677124" w:rsidP="00A42045">
      <w:pPr>
        <w:pStyle w:val="FootnoteText"/>
        <w:jc w:val="both"/>
        <w:rPr>
          <w:i/>
        </w:rPr>
      </w:pPr>
      <w:r>
        <w:rPr>
          <w:rStyle w:val="FootnoteReference"/>
        </w:rPr>
        <w:footnoteRef/>
      </w:r>
      <w:r w:rsidR="00AB09FE">
        <w:t xml:space="preserve"> </w:t>
      </w:r>
      <w:r w:rsidR="002E0923">
        <w:t>F. MODUGNO – A. CELOTTO, op. cit.; G.</w:t>
      </w:r>
      <w:r w:rsidR="002E0923">
        <w:rPr>
          <w:i/>
        </w:rPr>
        <w:t xml:space="preserve"> </w:t>
      </w:r>
      <w:r w:rsidR="002E0923">
        <w:t xml:space="preserve">TARLI BARBIERI, op. cit.; A. MOSCARINI, op. cit., ove  parla di </w:t>
      </w:r>
      <w:r w:rsidR="002E0923">
        <w:rPr>
          <w:i/>
        </w:rPr>
        <w:t>fraus constitutioni.</w:t>
      </w:r>
    </w:p>
  </w:footnote>
  <w:footnote w:id="27">
    <w:p w:rsidR="00F012D1" w:rsidRDefault="00F012D1" w:rsidP="00A42045">
      <w:pPr>
        <w:pStyle w:val="FootnoteText"/>
        <w:jc w:val="both"/>
      </w:pPr>
      <w:r>
        <w:rPr>
          <w:rStyle w:val="FootnoteReference"/>
        </w:rPr>
        <w:footnoteRef/>
      </w:r>
      <w:r w:rsidR="00F31E7A">
        <w:t xml:space="preserve"> </w:t>
      </w:r>
      <w:r w:rsidR="002E0923">
        <w:t xml:space="preserve">E. CHELI, </w:t>
      </w:r>
      <w:r w:rsidR="002E0923">
        <w:rPr>
          <w:i/>
        </w:rPr>
        <w:t xml:space="preserve">Potere regolamentare </w:t>
      </w:r>
      <w:r w:rsidR="002E0923" w:rsidRPr="0068688F">
        <w:rPr>
          <w:i/>
        </w:rPr>
        <w:t>e struttura costituzionale</w:t>
      </w:r>
      <w:r w:rsidR="002E0923">
        <w:t>.</w:t>
      </w:r>
      <w:r>
        <w:t xml:space="preserve"> </w:t>
      </w:r>
    </w:p>
  </w:footnote>
  <w:footnote w:id="28">
    <w:p w:rsidR="00F31E7A" w:rsidRDefault="00F31E7A" w:rsidP="00A42045">
      <w:pPr>
        <w:pStyle w:val="FootnoteText"/>
        <w:jc w:val="both"/>
      </w:pPr>
      <w:r>
        <w:rPr>
          <w:rStyle w:val="FootnoteReference"/>
        </w:rPr>
        <w:footnoteRef/>
      </w:r>
      <w:r>
        <w:t xml:space="preserve"> </w:t>
      </w:r>
      <w:r w:rsidR="002E0923">
        <w:t xml:space="preserve">E. ALBANESI, </w:t>
      </w:r>
      <w:r w:rsidR="002E0923">
        <w:rPr>
          <w:i/>
        </w:rPr>
        <w:t>La banca dati normattiva e gli atti normativi non numerati.</w:t>
      </w:r>
    </w:p>
  </w:footnote>
  <w:footnote w:id="29">
    <w:p w:rsidR="00D876CD" w:rsidRPr="008419E3" w:rsidRDefault="00D876CD" w:rsidP="00A42045">
      <w:pPr>
        <w:pStyle w:val="FootnoteText"/>
        <w:jc w:val="both"/>
      </w:pPr>
      <w:r>
        <w:rPr>
          <w:rStyle w:val="FootnoteReference"/>
        </w:rPr>
        <w:footnoteRef/>
      </w:r>
      <w:r w:rsidR="0048550C" w:rsidRPr="0048550C">
        <w:t xml:space="preserve"> R. BIN, op.</w:t>
      </w:r>
      <w:r w:rsidR="0048550C" w:rsidRPr="0048550C">
        <w:rPr>
          <w:i/>
        </w:rPr>
        <w:t xml:space="preserve"> </w:t>
      </w:r>
      <w:r w:rsidR="0048550C" w:rsidRPr="0048550C">
        <w:t>cit.</w:t>
      </w:r>
    </w:p>
  </w:footnote>
  <w:footnote w:id="30">
    <w:p w:rsidR="00451528" w:rsidRDefault="00451528" w:rsidP="00A42045">
      <w:pPr>
        <w:pStyle w:val="FootnoteText"/>
        <w:jc w:val="both"/>
      </w:pPr>
      <w:r>
        <w:rPr>
          <w:rStyle w:val="FootnoteReference"/>
        </w:rPr>
        <w:footnoteRef/>
      </w:r>
      <w:r>
        <w:t xml:space="preserve"> </w:t>
      </w:r>
      <w:r w:rsidR="002E0923">
        <w:t xml:space="preserve">L. PALADIN, </w:t>
      </w:r>
      <w:r w:rsidR="002E0923">
        <w:rPr>
          <w:i/>
        </w:rPr>
        <w:t xml:space="preserve">Le fonti </w:t>
      </w:r>
      <w:r w:rsidR="002E0923" w:rsidRPr="00DF220C">
        <w:rPr>
          <w:i/>
        </w:rPr>
        <w:t>del diritto italiano</w:t>
      </w:r>
      <w:r w:rsidR="002E0923">
        <w:rPr>
          <w:i/>
        </w:rPr>
        <w:t>.</w:t>
      </w:r>
      <w:r w:rsidR="002E0923" w:rsidDel="002E0923">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17E"/>
    <w:multiLevelType w:val="hybridMultilevel"/>
    <w:tmpl w:val="F6CED2FA"/>
    <w:lvl w:ilvl="0" w:tplc="0410000F">
      <w:start w:val="1"/>
      <w:numFmt w:val="decimal"/>
      <w:lvlText w:val="%1."/>
      <w:lvlJc w:val="left"/>
      <w:pPr>
        <w:ind w:left="720" w:hanging="360"/>
      </w:pPr>
      <w:rPr>
        <w:rFonts w:cs="Times New Roman" w:hint="default"/>
      </w:rPr>
    </w:lvl>
    <w:lvl w:ilvl="1" w:tplc="E952A272">
      <w:start w:val="25"/>
      <w:numFmt w:val="bullet"/>
      <w:lvlText w:val="-"/>
      <w:lvlJc w:val="left"/>
      <w:pPr>
        <w:ind w:left="1440" w:hanging="360"/>
      </w:pPr>
      <w:rPr>
        <w:rFonts w:ascii="Times New Roman" w:hAnsi="Times New Roman" w:hint="default"/>
        <w:b w:val="0"/>
        <w:i w:val="0"/>
        <w:strike w:val="0"/>
        <w:sz w:val="24"/>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963518B"/>
    <w:multiLevelType w:val="hybridMultilevel"/>
    <w:tmpl w:val="1F9CF75C"/>
    <w:lvl w:ilvl="0" w:tplc="91BC6B3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2A1749"/>
    <w:multiLevelType w:val="hybridMultilevel"/>
    <w:tmpl w:val="C63A1DE2"/>
    <w:lvl w:ilvl="0" w:tplc="89F4F8A8">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
    <w:nsid w:val="179562DC"/>
    <w:multiLevelType w:val="hybridMultilevel"/>
    <w:tmpl w:val="8CEE0E8E"/>
    <w:lvl w:ilvl="0" w:tplc="F652465A">
      <w:start w:val="1"/>
      <w:numFmt w:val="decimal"/>
      <w:lvlText w:val="%1)"/>
      <w:lvlJc w:val="left"/>
      <w:pPr>
        <w:tabs>
          <w:tab w:val="num" w:pos="735"/>
        </w:tabs>
        <w:ind w:left="735" w:hanging="375"/>
      </w:pPr>
      <w:rPr>
        <w:rFonts w:hint="default"/>
      </w:rPr>
    </w:lvl>
    <w:lvl w:ilvl="1" w:tplc="6664A168" w:tentative="1">
      <w:start w:val="1"/>
      <w:numFmt w:val="lowerLetter"/>
      <w:lvlText w:val="%2."/>
      <w:lvlJc w:val="left"/>
      <w:pPr>
        <w:tabs>
          <w:tab w:val="num" w:pos="1440"/>
        </w:tabs>
        <w:ind w:left="1440" w:hanging="360"/>
      </w:pPr>
    </w:lvl>
    <w:lvl w:ilvl="2" w:tplc="A9EC5AA6" w:tentative="1">
      <w:start w:val="1"/>
      <w:numFmt w:val="lowerRoman"/>
      <w:lvlText w:val="%3."/>
      <w:lvlJc w:val="right"/>
      <w:pPr>
        <w:tabs>
          <w:tab w:val="num" w:pos="2160"/>
        </w:tabs>
        <w:ind w:left="2160" w:hanging="180"/>
      </w:pPr>
    </w:lvl>
    <w:lvl w:ilvl="3" w:tplc="F47CE4E4" w:tentative="1">
      <w:start w:val="1"/>
      <w:numFmt w:val="decimal"/>
      <w:lvlText w:val="%4."/>
      <w:lvlJc w:val="left"/>
      <w:pPr>
        <w:tabs>
          <w:tab w:val="num" w:pos="2880"/>
        </w:tabs>
        <w:ind w:left="2880" w:hanging="360"/>
      </w:pPr>
    </w:lvl>
    <w:lvl w:ilvl="4" w:tplc="A038FB9C" w:tentative="1">
      <w:start w:val="1"/>
      <w:numFmt w:val="lowerLetter"/>
      <w:lvlText w:val="%5."/>
      <w:lvlJc w:val="left"/>
      <w:pPr>
        <w:tabs>
          <w:tab w:val="num" w:pos="3600"/>
        </w:tabs>
        <w:ind w:left="3600" w:hanging="360"/>
      </w:pPr>
    </w:lvl>
    <w:lvl w:ilvl="5" w:tplc="16983638" w:tentative="1">
      <w:start w:val="1"/>
      <w:numFmt w:val="lowerRoman"/>
      <w:lvlText w:val="%6."/>
      <w:lvlJc w:val="right"/>
      <w:pPr>
        <w:tabs>
          <w:tab w:val="num" w:pos="4320"/>
        </w:tabs>
        <w:ind w:left="4320" w:hanging="180"/>
      </w:pPr>
    </w:lvl>
    <w:lvl w:ilvl="6" w:tplc="848A07FA" w:tentative="1">
      <w:start w:val="1"/>
      <w:numFmt w:val="decimal"/>
      <w:lvlText w:val="%7."/>
      <w:lvlJc w:val="left"/>
      <w:pPr>
        <w:tabs>
          <w:tab w:val="num" w:pos="5040"/>
        </w:tabs>
        <w:ind w:left="5040" w:hanging="360"/>
      </w:pPr>
    </w:lvl>
    <w:lvl w:ilvl="7" w:tplc="824ADDDC" w:tentative="1">
      <w:start w:val="1"/>
      <w:numFmt w:val="lowerLetter"/>
      <w:lvlText w:val="%8."/>
      <w:lvlJc w:val="left"/>
      <w:pPr>
        <w:tabs>
          <w:tab w:val="num" w:pos="5760"/>
        </w:tabs>
        <w:ind w:left="5760" w:hanging="360"/>
      </w:pPr>
    </w:lvl>
    <w:lvl w:ilvl="8" w:tplc="D986AC18" w:tentative="1">
      <w:start w:val="1"/>
      <w:numFmt w:val="lowerRoman"/>
      <w:lvlText w:val="%9."/>
      <w:lvlJc w:val="right"/>
      <w:pPr>
        <w:tabs>
          <w:tab w:val="num" w:pos="6480"/>
        </w:tabs>
        <w:ind w:left="6480" w:hanging="180"/>
      </w:pPr>
    </w:lvl>
  </w:abstractNum>
  <w:abstractNum w:abstractNumId="4">
    <w:nsid w:val="2A577531"/>
    <w:multiLevelType w:val="hybridMultilevel"/>
    <w:tmpl w:val="DDF249B0"/>
    <w:lvl w:ilvl="0" w:tplc="67849D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0E6A31"/>
    <w:multiLevelType w:val="hybridMultilevel"/>
    <w:tmpl w:val="5560A2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2C7E20E4"/>
    <w:multiLevelType w:val="hybridMultilevel"/>
    <w:tmpl w:val="EBBE9CC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E0248F2"/>
    <w:multiLevelType w:val="hybridMultilevel"/>
    <w:tmpl w:val="76D8AA92"/>
    <w:lvl w:ilvl="0" w:tplc="F10293D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2F2983"/>
    <w:multiLevelType w:val="hybridMultilevel"/>
    <w:tmpl w:val="D0561FB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31120D9"/>
    <w:multiLevelType w:val="hybridMultilevel"/>
    <w:tmpl w:val="E666861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50934C7F"/>
    <w:multiLevelType w:val="hybridMultilevel"/>
    <w:tmpl w:val="D946F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0952E3D"/>
    <w:multiLevelType w:val="hybridMultilevel"/>
    <w:tmpl w:val="8DAC8722"/>
    <w:lvl w:ilvl="0" w:tplc="40DA73B0">
      <w:start w:val="1"/>
      <w:numFmt w:val="decimal"/>
      <w:lvlText w:val="%1)"/>
      <w:lvlJc w:val="left"/>
      <w:pPr>
        <w:tabs>
          <w:tab w:val="num" w:pos="720"/>
        </w:tabs>
        <w:ind w:left="720" w:hanging="360"/>
      </w:pPr>
      <w:rPr>
        <w:rFonts w:hint="default"/>
      </w:rPr>
    </w:lvl>
    <w:lvl w:ilvl="1" w:tplc="9796D468" w:tentative="1">
      <w:start w:val="1"/>
      <w:numFmt w:val="lowerLetter"/>
      <w:lvlText w:val="%2."/>
      <w:lvlJc w:val="left"/>
      <w:pPr>
        <w:tabs>
          <w:tab w:val="num" w:pos="1440"/>
        </w:tabs>
        <w:ind w:left="1440" w:hanging="360"/>
      </w:pPr>
    </w:lvl>
    <w:lvl w:ilvl="2" w:tplc="1BE8E63E" w:tentative="1">
      <w:start w:val="1"/>
      <w:numFmt w:val="lowerRoman"/>
      <w:lvlText w:val="%3."/>
      <w:lvlJc w:val="right"/>
      <w:pPr>
        <w:tabs>
          <w:tab w:val="num" w:pos="2160"/>
        </w:tabs>
        <w:ind w:left="2160" w:hanging="180"/>
      </w:pPr>
    </w:lvl>
    <w:lvl w:ilvl="3" w:tplc="8F5C5D2C" w:tentative="1">
      <w:start w:val="1"/>
      <w:numFmt w:val="decimal"/>
      <w:lvlText w:val="%4."/>
      <w:lvlJc w:val="left"/>
      <w:pPr>
        <w:tabs>
          <w:tab w:val="num" w:pos="2880"/>
        </w:tabs>
        <w:ind w:left="2880" w:hanging="360"/>
      </w:pPr>
    </w:lvl>
    <w:lvl w:ilvl="4" w:tplc="B4E2E21A" w:tentative="1">
      <w:start w:val="1"/>
      <w:numFmt w:val="lowerLetter"/>
      <w:lvlText w:val="%5."/>
      <w:lvlJc w:val="left"/>
      <w:pPr>
        <w:tabs>
          <w:tab w:val="num" w:pos="3600"/>
        </w:tabs>
        <w:ind w:left="3600" w:hanging="360"/>
      </w:pPr>
    </w:lvl>
    <w:lvl w:ilvl="5" w:tplc="7B502946" w:tentative="1">
      <w:start w:val="1"/>
      <w:numFmt w:val="lowerRoman"/>
      <w:lvlText w:val="%6."/>
      <w:lvlJc w:val="right"/>
      <w:pPr>
        <w:tabs>
          <w:tab w:val="num" w:pos="4320"/>
        </w:tabs>
        <w:ind w:left="4320" w:hanging="180"/>
      </w:pPr>
    </w:lvl>
    <w:lvl w:ilvl="6" w:tplc="ABB6CEC4" w:tentative="1">
      <w:start w:val="1"/>
      <w:numFmt w:val="decimal"/>
      <w:lvlText w:val="%7."/>
      <w:lvlJc w:val="left"/>
      <w:pPr>
        <w:tabs>
          <w:tab w:val="num" w:pos="5040"/>
        </w:tabs>
        <w:ind w:left="5040" w:hanging="360"/>
      </w:pPr>
    </w:lvl>
    <w:lvl w:ilvl="7" w:tplc="CBF064E0" w:tentative="1">
      <w:start w:val="1"/>
      <w:numFmt w:val="lowerLetter"/>
      <w:lvlText w:val="%8."/>
      <w:lvlJc w:val="left"/>
      <w:pPr>
        <w:tabs>
          <w:tab w:val="num" w:pos="5760"/>
        </w:tabs>
        <w:ind w:left="5760" w:hanging="360"/>
      </w:pPr>
    </w:lvl>
    <w:lvl w:ilvl="8" w:tplc="6384554C" w:tentative="1">
      <w:start w:val="1"/>
      <w:numFmt w:val="lowerRoman"/>
      <w:lvlText w:val="%9."/>
      <w:lvlJc w:val="right"/>
      <w:pPr>
        <w:tabs>
          <w:tab w:val="num" w:pos="6480"/>
        </w:tabs>
        <w:ind w:left="6480" w:hanging="180"/>
      </w:pPr>
    </w:lvl>
  </w:abstractNum>
  <w:abstractNum w:abstractNumId="12">
    <w:nsid w:val="69216E98"/>
    <w:multiLevelType w:val="hybridMultilevel"/>
    <w:tmpl w:val="B82C261A"/>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69867D88"/>
    <w:multiLevelType w:val="hybridMultilevel"/>
    <w:tmpl w:val="23585E78"/>
    <w:lvl w:ilvl="0" w:tplc="C9F8C938">
      <w:start w:val="1"/>
      <w:numFmt w:val="lowerLetter"/>
      <w:lvlText w:val="%1)"/>
      <w:lvlJc w:val="left"/>
      <w:pPr>
        <w:ind w:left="720" w:hanging="360"/>
      </w:pPr>
      <w:rPr>
        <w:rFonts w:cs="Times New Roman" w:hint="default"/>
        <w:b w:val="0"/>
        <w:i w:val="0"/>
        <w:strike w:val="0"/>
        <w:sz w:val="24"/>
        <w:szCs w:val="24"/>
      </w:rPr>
    </w:lvl>
    <w:lvl w:ilvl="1" w:tplc="24E24E92">
      <w:start w:val="1"/>
      <w:numFmt w:val="lowerLetter"/>
      <w:lvlText w:val="%2)"/>
      <w:lvlJc w:val="left"/>
      <w:pPr>
        <w:ind w:left="1440" w:hanging="360"/>
      </w:pPr>
      <w:rPr>
        <w:rFonts w:cs="Times New Roman" w:hint="default"/>
        <w:b w:val="0"/>
        <w:i w:val="0"/>
        <w:strike w:val="0"/>
        <w:sz w:val="24"/>
        <w:szCs w:val="24"/>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6F207FF6"/>
    <w:multiLevelType w:val="hybridMultilevel"/>
    <w:tmpl w:val="A7CCE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D0B5D8C"/>
    <w:multiLevelType w:val="hybridMultilevel"/>
    <w:tmpl w:val="329021AC"/>
    <w:lvl w:ilvl="0" w:tplc="0410000F">
      <w:start w:val="1"/>
      <w:numFmt w:val="decimal"/>
      <w:lvlText w:val="%1."/>
      <w:lvlJc w:val="left"/>
      <w:pPr>
        <w:ind w:left="720" w:hanging="360"/>
      </w:pPr>
      <w:rPr>
        <w:rFonts w:cs="Times New Roman" w:hint="default"/>
      </w:rPr>
    </w:lvl>
    <w:lvl w:ilvl="1" w:tplc="91BC6B34">
      <w:numFmt w:val="bullet"/>
      <w:lvlText w:val="-"/>
      <w:lvlJc w:val="left"/>
      <w:pPr>
        <w:ind w:left="1440" w:hanging="360"/>
      </w:pPr>
      <w:rPr>
        <w:rFonts w:ascii="Calibri" w:eastAsia="Times New Roman" w:hAnsi="Calibri" w:hint="default"/>
        <w:b w:val="0"/>
        <w:i w:val="0"/>
        <w:strike w:val="0"/>
        <w:sz w:val="24"/>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1"/>
  </w:num>
  <w:num w:numId="2">
    <w:abstractNumId w:val="3"/>
  </w:num>
  <w:num w:numId="3">
    <w:abstractNumId w:val="9"/>
  </w:num>
  <w:num w:numId="4">
    <w:abstractNumId w:val="8"/>
  </w:num>
  <w:num w:numId="5">
    <w:abstractNumId w:val="14"/>
  </w:num>
  <w:num w:numId="6">
    <w:abstractNumId w:val="10"/>
  </w:num>
  <w:num w:numId="7">
    <w:abstractNumId w:val="12"/>
  </w:num>
  <w:num w:numId="8">
    <w:abstractNumId w:val="1"/>
  </w:num>
  <w:num w:numId="9">
    <w:abstractNumId w:val="5"/>
  </w:num>
  <w:num w:numId="10">
    <w:abstractNumId w:val="6"/>
  </w:num>
  <w:num w:numId="11">
    <w:abstractNumId w:val="13"/>
  </w:num>
  <w:num w:numId="12">
    <w:abstractNumId w:val="0"/>
  </w:num>
  <w:num w:numId="13">
    <w:abstractNumId w:val="15"/>
  </w:num>
  <w:num w:numId="14">
    <w:abstractNumId w:val="2"/>
  </w:num>
  <w:num w:numId="15">
    <w:abstractNumId w:val="7"/>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ODATO Carlo">
    <w15:presenceInfo w15:providerId="AD" w15:userId="S-1-5-21-1919353012-827150394-1539857752-96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8A0C05"/>
    <w:rsid w:val="00000354"/>
    <w:rsid w:val="00006E93"/>
    <w:rsid w:val="00007A95"/>
    <w:rsid w:val="00011F63"/>
    <w:rsid w:val="00017FC5"/>
    <w:rsid w:val="00021506"/>
    <w:rsid w:val="00021D61"/>
    <w:rsid w:val="00022BA6"/>
    <w:rsid w:val="0002600D"/>
    <w:rsid w:val="00033CF4"/>
    <w:rsid w:val="00033FE4"/>
    <w:rsid w:val="000456A4"/>
    <w:rsid w:val="000541D3"/>
    <w:rsid w:val="0005521B"/>
    <w:rsid w:val="00063326"/>
    <w:rsid w:val="000643EB"/>
    <w:rsid w:val="0006456E"/>
    <w:rsid w:val="000646E6"/>
    <w:rsid w:val="00071499"/>
    <w:rsid w:val="0007158E"/>
    <w:rsid w:val="00072023"/>
    <w:rsid w:val="00073CBA"/>
    <w:rsid w:val="00075E8D"/>
    <w:rsid w:val="000766C2"/>
    <w:rsid w:val="00081294"/>
    <w:rsid w:val="000816D2"/>
    <w:rsid w:val="000820C8"/>
    <w:rsid w:val="000842DC"/>
    <w:rsid w:val="0009292C"/>
    <w:rsid w:val="00097EC7"/>
    <w:rsid w:val="000A62F7"/>
    <w:rsid w:val="000A63A9"/>
    <w:rsid w:val="000B35F3"/>
    <w:rsid w:val="000B3D1D"/>
    <w:rsid w:val="000C3A2E"/>
    <w:rsid w:val="000C48F6"/>
    <w:rsid w:val="000C49AF"/>
    <w:rsid w:val="000D1066"/>
    <w:rsid w:val="000D5F34"/>
    <w:rsid w:val="000D66C5"/>
    <w:rsid w:val="000E1008"/>
    <w:rsid w:val="000E2042"/>
    <w:rsid w:val="000E2426"/>
    <w:rsid w:val="000E361C"/>
    <w:rsid w:val="000E6172"/>
    <w:rsid w:val="000F13F6"/>
    <w:rsid w:val="0010111F"/>
    <w:rsid w:val="0010349B"/>
    <w:rsid w:val="00104983"/>
    <w:rsid w:val="00106F85"/>
    <w:rsid w:val="00115579"/>
    <w:rsid w:val="00122D9F"/>
    <w:rsid w:val="00124AFC"/>
    <w:rsid w:val="00125169"/>
    <w:rsid w:val="00125B7C"/>
    <w:rsid w:val="0013108F"/>
    <w:rsid w:val="001313CE"/>
    <w:rsid w:val="00132EFC"/>
    <w:rsid w:val="00134829"/>
    <w:rsid w:val="0014045C"/>
    <w:rsid w:val="001472AE"/>
    <w:rsid w:val="0015143A"/>
    <w:rsid w:val="001531CC"/>
    <w:rsid w:val="001548E3"/>
    <w:rsid w:val="0015495B"/>
    <w:rsid w:val="00161D51"/>
    <w:rsid w:val="00161D52"/>
    <w:rsid w:val="001667C6"/>
    <w:rsid w:val="001677CF"/>
    <w:rsid w:val="00170C3C"/>
    <w:rsid w:val="00180C69"/>
    <w:rsid w:val="001844C9"/>
    <w:rsid w:val="0018523B"/>
    <w:rsid w:val="00191D66"/>
    <w:rsid w:val="001931AF"/>
    <w:rsid w:val="001954BF"/>
    <w:rsid w:val="001A028A"/>
    <w:rsid w:val="001A09CA"/>
    <w:rsid w:val="001A32A5"/>
    <w:rsid w:val="001A5296"/>
    <w:rsid w:val="001A6D19"/>
    <w:rsid w:val="001A7740"/>
    <w:rsid w:val="001B31E6"/>
    <w:rsid w:val="001B67E4"/>
    <w:rsid w:val="001B7A4F"/>
    <w:rsid w:val="001C1694"/>
    <w:rsid w:val="001C757A"/>
    <w:rsid w:val="001D0581"/>
    <w:rsid w:val="001D08FA"/>
    <w:rsid w:val="001D50EE"/>
    <w:rsid w:val="001D6BED"/>
    <w:rsid w:val="001E295B"/>
    <w:rsid w:val="001E5152"/>
    <w:rsid w:val="001E5B9E"/>
    <w:rsid w:val="001F0868"/>
    <w:rsid w:val="001F4B46"/>
    <w:rsid w:val="001F5306"/>
    <w:rsid w:val="001F6253"/>
    <w:rsid w:val="001F6DC8"/>
    <w:rsid w:val="00200946"/>
    <w:rsid w:val="00201DF9"/>
    <w:rsid w:val="00202AD4"/>
    <w:rsid w:val="0021439F"/>
    <w:rsid w:val="00214C5A"/>
    <w:rsid w:val="00215A61"/>
    <w:rsid w:val="00222A49"/>
    <w:rsid w:val="00225A33"/>
    <w:rsid w:val="0022602E"/>
    <w:rsid w:val="00227021"/>
    <w:rsid w:val="00232038"/>
    <w:rsid w:val="002325A2"/>
    <w:rsid w:val="0023354D"/>
    <w:rsid w:val="0023658C"/>
    <w:rsid w:val="00237E39"/>
    <w:rsid w:val="00242BBB"/>
    <w:rsid w:val="002439E5"/>
    <w:rsid w:val="00243F61"/>
    <w:rsid w:val="002442D1"/>
    <w:rsid w:val="0024594C"/>
    <w:rsid w:val="002558B0"/>
    <w:rsid w:val="00260EE6"/>
    <w:rsid w:val="002621B0"/>
    <w:rsid w:val="00266CB1"/>
    <w:rsid w:val="00270403"/>
    <w:rsid w:val="0027046A"/>
    <w:rsid w:val="0027177B"/>
    <w:rsid w:val="00271F84"/>
    <w:rsid w:val="00272740"/>
    <w:rsid w:val="002777BE"/>
    <w:rsid w:val="00280B31"/>
    <w:rsid w:val="00282753"/>
    <w:rsid w:val="002840E9"/>
    <w:rsid w:val="00286646"/>
    <w:rsid w:val="00286B60"/>
    <w:rsid w:val="00287B58"/>
    <w:rsid w:val="00290CB4"/>
    <w:rsid w:val="00290DBC"/>
    <w:rsid w:val="002919FB"/>
    <w:rsid w:val="00291F62"/>
    <w:rsid w:val="0029357B"/>
    <w:rsid w:val="00293E79"/>
    <w:rsid w:val="00294E5F"/>
    <w:rsid w:val="002972BD"/>
    <w:rsid w:val="00297C4E"/>
    <w:rsid w:val="002A2863"/>
    <w:rsid w:val="002A49D1"/>
    <w:rsid w:val="002B519D"/>
    <w:rsid w:val="002B5939"/>
    <w:rsid w:val="002B5D22"/>
    <w:rsid w:val="002B7569"/>
    <w:rsid w:val="002C5002"/>
    <w:rsid w:val="002D38CB"/>
    <w:rsid w:val="002E0923"/>
    <w:rsid w:val="002E0F93"/>
    <w:rsid w:val="002E1FA4"/>
    <w:rsid w:val="002E446A"/>
    <w:rsid w:val="002E5496"/>
    <w:rsid w:val="002F1240"/>
    <w:rsid w:val="002F1FFD"/>
    <w:rsid w:val="002F623C"/>
    <w:rsid w:val="002F79C2"/>
    <w:rsid w:val="00314A8E"/>
    <w:rsid w:val="003153A1"/>
    <w:rsid w:val="00315D75"/>
    <w:rsid w:val="0031696A"/>
    <w:rsid w:val="00320EBC"/>
    <w:rsid w:val="00321E45"/>
    <w:rsid w:val="00322264"/>
    <w:rsid w:val="00322E66"/>
    <w:rsid w:val="003324B5"/>
    <w:rsid w:val="00332BDB"/>
    <w:rsid w:val="003352D3"/>
    <w:rsid w:val="003353A9"/>
    <w:rsid w:val="00335739"/>
    <w:rsid w:val="00336788"/>
    <w:rsid w:val="00336CA2"/>
    <w:rsid w:val="003370D1"/>
    <w:rsid w:val="00337F60"/>
    <w:rsid w:val="00340E2F"/>
    <w:rsid w:val="00341F3C"/>
    <w:rsid w:val="00344AA3"/>
    <w:rsid w:val="00346246"/>
    <w:rsid w:val="00351F95"/>
    <w:rsid w:val="003551B8"/>
    <w:rsid w:val="00356E95"/>
    <w:rsid w:val="003601A2"/>
    <w:rsid w:val="003608D9"/>
    <w:rsid w:val="00362618"/>
    <w:rsid w:val="003632E4"/>
    <w:rsid w:val="00363C86"/>
    <w:rsid w:val="003707B0"/>
    <w:rsid w:val="00371765"/>
    <w:rsid w:val="003779D5"/>
    <w:rsid w:val="00377C75"/>
    <w:rsid w:val="003814B9"/>
    <w:rsid w:val="003844E4"/>
    <w:rsid w:val="00384AE6"/>
    <w:rsid w:val="00384B0B"/>
    <w:rsid w:val="00390808"/>
    <w:rsid w:val="003919E8"/>
    <w:rsid w:val="00394F2A"/>
    <w:rsid w:val="003975D2"/>
    <w:rsid w:val="003A0A50"/>
    <w:rsid w:val="003A5B7D"/>
    <w:rsid w:val="003A6669"/>
    <w:rsid w:val="003B2011"/>
    <w:rsid w:val="003B34F4"/>
    <w:rsid w:val="003C3DE3"/>
    <w:rsid w:val="003C4A9F"/>
    <w:rsid w:val="003C4E80"/>
    <w:rsid w:val="003D264D"/>
    <w:rsid w:val="003D43EF"/>
    <w:rsid w:val="003D5ACE"/>
    <w:rsid w:val="003D7144"/>
    <w:rsid w:val="003D7BCE"/>
    <w:rsid w:val="003E7EE4"/>
    <w:rsid w:val="003F2A97"/>
    <w:rsid w:val="003F37D5"/>
    <w:rsid w:val="003F412C"/>
    <w:rsid w:val="003F645B"/>
    <w:rsid w:val="0040510D"/>
    <w:rsid w:val="00406DE4"/>
    <w:rsid w:val="004101AD"/>
    <w:rsid w:val="00411368"/>
    <w:rsid w:val="0041584A"/>
    <w:rsid w:val="004162CA"/>
    <w:rsid w:val="00416D73"/>
    <w:rsid w:val="00422718"/>
    <w:rsid w:val="0042350A"/>
    <w:rsid w:val="0042628E"/>
    <w:rsid w:val="0043026B"/>
    <w:rsid w:val="00431DB4"/>
    <w:rsid w:val="004333A9"/>
    <w:rsid w:val="00434233"/>
    <w:rsid w:val="004360F5"/>
    <w:rsid w:val="00440F48"/>
    <w:rsid w:val="004464D6"/>
    <w:rsid w:val="00450B96"/>
    <w:rsid w:val="00450FA5"/>
    <w:rsid w:val="00451528"/>
    <w:rsid w:val="00454325"/>
    <w:rsid w:val="00467BA4"/>
    <w:rsid w:val="00472F6E"/>
    <w:rsid w:val="004745D2"/>
    <w:rsid w:val="00483499"/>
    <w:rsid w:val="00483576"/>
    <w:rsid w:val="004851BB"/>
    <w:rsid w:val="0048550C"/>
    <w:rsid w:val="00487DF9"/>
    <w:rsid w:val="004913CA"/>
    <w:rsid w:val="0049529B"/>
    <w:rsid w:val="004954A8"/>
    <w:rsid w:val="004978B3"/>
    <w:rsid w:val="004A08D0"/>
    <w:rsid w:val="004A2058"/>
    <w:rsid w:val="004A3423"/>
    <w:rsid w:val="004A35B9"/>
    <w:rsid w:val="004A3812"/>
    <w:rsid w:val="004A70EF"/>
    <w:rsid w:val="004B20E6"/>
    <w:rsid w:val="004B448B"/>
    <w:rsid w:val="004B5370"/>
    <w:rsid w:val="004C069C"/>
    <w:rsid w:val="004C0C7F"/>
    <w:rsid w:val="004C143A"/>
    <w:rsid w:val="004C27E9"/>
    <w:rsid w:val="004C2B31"/>
    <w:rsid w:val="004C2D8C"/>
    <w:rsid w:val="004C3486"/>
    <w:rsid w:val="004C399A"/>
    <w:rsid w:val="004D2B3E"/>
    <w:rsid w:val="004D3529"/>
    <w:rsid w:val="004D429F"/>
    <w:rsid w:val="004D74D3"/>
    <w:rsid w:val="004D79CB"/>
    <w:rsid w:val="004D7BFF"/>
    <w:rsid w:val="004E20D7"/>
    <w:rsid w:val="004E34E6"/>
    <w:rsid w:val="004E7D37"/>
    <w:rsid w:val="004F114F"/>
    <w:rsid w:val="004F1868"/>
    <w:rsid w:val="004F730F"/>
    <w:rsid w:val="00500C7E"/>
    <w:rsid w:val="00507730"/>
    <w:rsid w:val="005101FF"/>
    <w:rsid w:val="005106A3"/>
    <w:rsid w:val="00513FD3"/>
    <w:rsid w:val="00516DB0"/>
    <w:rsid w:val="00517330"/>
    <w:rsid w:val="0052028B"/>
    <w:rsid w:val="00524335"/>
    <w:rsid w:val="00525BC0"/>
    <w:rsid w:val="0052738F"/>
    <w:rsid w:val="00533675"/>
    <w:rsid w:val="00534610"/>
    <w:rsid w:val="00551CEE"/>
    <w:rsid w:val="005532C2"/>
    <w:rsid w:val="00553A48"/>
    <w:rsid w:val="00553A85"/>
    <w:rsid w:val="00560DAC"/>
    <w:rsid w:val="00563F70"/>
    <w:rsid w:val="005719DA"/>
    <w:rsid w:val="00574220"/>
    <w:rsid w:val="0057486F"/>
    <w:rsid w:val="0057579B"/>
    <w:rsid w:val="005762F6"/>
    <w:rsid w:val="00583F84"/>
    <w:rsid w:val="005849F1"/>
    <w:rsid w:val="00587C84"/>
    <w:rsid w:val="00590A4C"/>
    <w:rsid w:val="00591587"/>
    <w:rsid w:val="005951C5"/>
    <w:rsid w:val="00595277"/>
    <w:rsid w:val="00596656"/>
    <w:rsid w:val="005A40EF"/>
    <w:rsid w:val="005A5643"/>
    <w:rsid w:val="005A5E28"/>
    <w:rsid w:val="005A6339"/>
    <w:rsid w:val="005B4603"/>
    <w:rsid w:val="005B6C91"/>
    <w:rsid w:val="005B760A"/>
    <w:rsid w:val="005C248E"/>
    <w:rsid w:val="005C34F6"/>
    <w:rsid w:val="005D0012"/>
    <w:rsid w:val="005D0ABA"/>
    <w:rsid w:val="005D47C8"/>
    <w:rsid w:val="005D6F1A"/>
    <w:rsid w:val="005D75DC"/>
    <w:rsid w:val="005E36F2"/>
    <w:rsid w:val="005E3CAC"/>
    <w:rsid w:val="005E551C"/>
    <w:rsid w:val="005F26CA"/>
    <w:rsid w:val="005F3B06"/>
    <w:rsid w:val="005F71AD"/>
    <w:rsid w:val="005F7B56"/>
    <w:rsid w:val="006010ED"/>
    <w:rsid w:val="00602373"/>
    <w:rsid w:val="0060410A"/>
    <w:rsid w:val="006051BE"/>
    <w:rsid w:val="00605B79"/>
    <w:rsid w:val="00605DE2"/>
    <w:rsid w:val="006131FD"/>
    <w:rsid w:val="00613B52"/>
    <w:rsid w:val="00615E8A"/>
    <w:rsid w:val="00617CE2"/>
    <w:rsid w:val="0062681D"/>
    <w:rsid w:val="006272AC"/>
    <w:rsid w:val="0063060B"/>
    <w:rsid w:val="00633BD9"/>
    <w:rsid w:val="006350D6"/>
    <w:rsid w:val="00636EA5"/>
    <w:rsid w:val="00642B7A"/>
    <w:rsid w:val="0064485B"/>
    <w:rsid w:val="00651A1E"/>
    <w:rsid w:val="00655F6A"/>
    <w:rsid w:val="0065757E"/>
    <w:rsid w:val="00661209"/>
    <w:rsid w:val="00664D09"/>
    <w:rsid w:val="00671856"/>
    <w:rsid w:val="006719A2"/>
    <w:rsid w:val="00671DE1"/>
    <w:rsid w:val="00673E78"/>
    <w:rsid w:val="00677124"/>
    <w:rsid w:val="00677408"/>
    <w:rsid w:val="00681977"/>
    <w:rsid w:val="00682602"/>
    <w:rsid w:val="00685603"/>
    <w:rsid w:val="00685B85"/>
    <w:rsid w:val="00687A3F"/>
    <w:rsid w:val="00690B6F"/>
    <w:rsid w:val="00692A98"/>
    <w:rsid w:val="00694A49"/>
    <w:rsid w:val="00694AB0"/>
    <w:rsid w:val="006A55CD"/>
    <w:rsid w:val="006B59D7"/>
    <w:rsid w:val="006B602E"/>
    <w:rsid w:val="006B7145"/>
    <w:rsid w:val="006C11E5"/>
    <w:rsid w:val="006C39C0"/>
    <w:rsid w:val="006C7358"/>
    <w:rsid w:val="006D2819"/>
    <w:rsid w:val="006D3152"/>
    <w:rsid w:val="006E1B9A"/>
    <w:rsid w:val="006E37D6"/>
    <w:rsid w:val="006F0CE9"/>
    <w:rsid w:val="006F0FE4"/>
    <w:rsid w:val="006F6865"/>
    <w:rsid w:val="006F78D3"/>
    <w:rsid w:val="00700511"/>
    <w:rsid w:val="007012FF"/>
    <w:rsid w:val="00702B0D"/>
    <w:rsid w:val="00703515"/>
    <w:rsid w:val="00704C72"/>
    <w:rsid w:val="007063F3"/>
    <w:rsid w:val="00710137"/>
    <w:rsid w:val="0071055A"/>
    <w:rsid w:val="007115DF"/>
    <w:rsid w:val="0071646E"/>
    <w:rsid w:val="007226F8"/>
    <w:rsid w:val="00726769"/>
    <w:rsid w:val="00730F88"/>
    <w:rsid w:val="00732D52"/>
    <w:rsid w:val="00746599"/>
    <w:rsid w:val="00746FAA"/>
    <w:rsid w:val="00760077"/>
    <w:rsid w:val="00760084"/>
    <w:rsid w:val="00760BC0"/>
    <w:rsid w:val="007629BA"/>
    <w:rsid w:val="00765837"/>
    <w:rsid w:val="00770A4F"/>
    <w:rsid w:val="007777DA"/>
    <w:rsid w:val="00780B1E"/>
    <w:rsid w:val="00784321"/>
    <w:rsid w:val="007857BE"/>
    <w:rsid w:val="0078762C"/>
    <w:rsid w:val="007877FF"/>
    <w:rsid w:val="00790622"/>
    <w:rsid w:val="00790DD4"/>
    <w:rsid w:val="00792748"/>
    <w:rsid w:val="00795E62"/>
    <w:rsid w:val="00796E39"/>
    <w:rsid w:val="007970E4"/>
    <w:rsid w:val="007979C4"/>
    <w:rsid w:val="007A223E"/>
    <w:rsid w:val="007A50B7"/>
    <w:rsid w:val="007A7168"/>
    <w:rsid w:val="007C08BC"/>
    <w:rsid w:val="007C0FF0"/>
    <w:rsid w:val="007C2140"/>
    <w:rsid w:val="007C3286"/>
    <w:rsid w:val="007C4C4B"/>
    <w:rsid w:val="007C5985"/>
    <w:rsid w:val="007D3564"/>
    <w:rsid w:val="007D5730"/>
    <w:rsid w:val="007D643F"/>
    <w:rsid w:val="007D74DF"/>
    <w:rsid w:val="007E22FE"/>
    <w:rsid w:val="007E3487"/>
    <w:rsid w:val="007E3B58"/>
    <w:rsid w:val="007E4164"/>
    <w:rsid w:val="007E472F"/>
    <w:rsid w:val="007E4A95"/>
    <w:rsid w:val="007E6B30"/>
    <w:rsid w:val="007E74D8"/>
    <w:rsid w:val="0080243E"/>
    <w:rsid w:val="00812030"/>
    <w:rsid w:val="008122F1"/>
    <w:rsid w:val="00813252"/>
    <w:rsid w:val="0081509D"/>
    <w:rsid w:val="0081783B"/>
    <w:rsid w:val="0082051E"/>
    <w:rsid w:val="008238D7"/>
    <w:rsid w:val="00823A43"/>
    <w:rsid w:val="00826BAA"/>
    <w:rsid w:val="00827F57"/>
    <w:rsid w:val="008319AE"/>
    <w:rsid w:val="00834EB5"/>
    <w:rsid w:val="00837F08"/>
    <w:rsid w:val="00840618"/>
    <w:rsid w:val="008419E3"/>
    <w:rsid w:val="00842758"/>
    <w:rsid w:val="00842794"/>
    <w:rsid w:val="00843B57"/>
    <w:rsid w:val="00844E07"/>
    <w:rsid w:val="008479E2"/>
    <w:rsid w:val="00847F47"/>
    <w:rsid w:val="008504CD"/>
    <w:rsid w:val="0085600B"/>
    <w:rsid w:val="0086052B"/>
    <w:rsid w:val="00861395"/>
    <w:rsid w:val="00861450"/>
    <w:rsid w:val="00862ECD"/>
    <w:rsid w:val="00863C3D"/>
    <w:rsid w:val="00863DC4"/>
    <w:rsid w:val="00864178"/>
    <w:rsid w:val="00864E9C"/>
    <w:rsid w:val="00866F60"/>
    <w:rsid w:val="00871AA2"/>
    <w:rsid w:val="00874756"/>
    <w:rsid w:val="00875858"/>
    <w:rsid w:val="00880390"/>
    <w:rsid w:val="0088582C"/>
    <w:rsid w:val="0088704D"/>
    <w:rsid w:val="0088719A"/>
    <w:rsid w:val="0089096A"/>
    <w:rsid w:val="008A0C05"/>
    <w:rsid w:val="008A0D28"/>
    <w:rsid w:val="008A6D2E"/>
    <w:rsid w:val="008A78DF"/>
    <w:rsid w:val="008B0AC1"/>
    <w:rsid w:val="008B0B83"/>
    <w:rsid w:val="008B131E"/>
    <w:rsid w:val="008B1B99"/>
    <w:rsid w:val="008B464F"/>
    <w:rsid w:val="008B5796"/>
    <w:rsid w:val="008B7162"/>
    <w:rsid w:val="008C2F14"/>
    <w:rsid w:val="008C37AA"/>
    <w:rsid w:val="008C40A9"/>
    <w:rsid w:val="008C63C0"/>
    <w:rsid w:val="008D1271"/>
    <w:rsid w:val="008D60FB"/>
    <w:rsid w:val="008D692A"/>
    <w:rsid w:val="008D6FD5"/>
    <w:rsid w:val="008E0A79"/>
    <w:rsid w:val="008E2D45"/>
    <w:rsid w:val="008E2E0D"/>
    <w:rsid w:val="008F21D2"/>
    <w:rsid w:val="008F4CCF"/>
    <w:rsid w:val="008F4F0B"/>
    <w:rsid w:val="008F4F39"/>
    <w:rsid w:val="008F7364"/>
    <w:rsid w:val="00900B20"/>
    <w:rsid w:val="00902AF7"/>
    <w:rsid w:val="0090446E"/>
    <w:rsid w:val="00910504"/>
    <w:rsid w:val="00911CA9"/>
    <w:rsid w:val="009128C5"/>
    <w:rsid w:val="00914C11"/>
    <w:rsid w:val="00920EAF"/>
    <w:rsid w:val="009233BC"/>
    <w:rsid w:val="00925776"/>
    <w:rsid w:val="00925D02"/>
    <w:rsid w:val="00927D78"/>
    <w:rsid w:val="00930CCF"/>
    <w:rsid w:val="00933EDF"/>
    <w:rsid w:val="00935A46"/>
    <w:rsid w:val="009379F6"/>
    <w:rsid w:val="009430FB"/>
    <w:rsid w:val="0094350D"/>
    <w:rsid w:val="00943BBC"/>
    <w:rsid w:val="00943C1D"/>
    <w:rsid w:val="009504FE"/>
    <w:rsid w:val="00951F30"/>
    <w:rsid w:val="009526E2"/>
    <w:rsid w:val="00962311"/>
    <w:rsid w:val="00964669"/>
    <w:rsid w:val="00965A2C"/>
    <w:rsid w:val="00966C55"/>
    <w:rsid w:val="009731BA"/>
    <w:rsid w:val="00976A16"/>
    <w:rsid w:val="0097713D"/>
    <w:rsid w:val="00980759"/>
    <w:rsid w:val="009810DA"/>
    <w:rsid w:val="009817B8"/>
    <w:rsid w:val="00981FAB"/>
    <w:rsid w:val="00983F1F"/>
    <w:rsid w:val="00984379"/>
    <w:rsid w:val="00985194"/>
    <w:rsid w:val="00997551"/>
    <w:rsid w:val="0099787C"/>
    <w:rsid w:val="009A0A6A"/>
    <w:rsid w:val="009A28CE"/>
    <w:rsid w:val="009A7C51"/>
    <w:rsid w:val="009B327F"/>
    <w:rsid w:val="009B4291"/>
    <w:rsid w:val="009C124A"/>
    <w:rsid w:val="009C3C2F"/>
    <w:rsid w:val="009D29EC"/>
    <w:rsid w:val="009D5EEE"/>
    <w:rsid w:val="009D643F"/>
    <w:rsid w:val="009E6257"/>
    <w:rsid w:val="009E7508"/>
    <w:rsid w:val="009F0870"/>
    <w:rsid w:val="009F1C20"/>
    <w:rsid w:val="009F2572"/>
    <w:rsid w:val="009F3BD2"/>
    <w:rsid w:val="009F3D14"/>
    <w:rsid w:val="009F48E7"/>
    <w:rsid w:val="009F67D6"/>
    <w:rsid w:val="00A003E3"/>
    <w:rsid w:val="00A02DF2"/>
    <w:rsid w:val="00A05511"/>
    <w:rsid w:val="00A05D80"/>
    <w:rsid w:val="00A11860"/>
    <w:rsid w:val="00A132B1"/>
    <w:rsid w:val="00A176E7"/>
    <w:rsid w:val="00A24B29"/>
    <w:rsid w:val="00A27DE9"/>
    <w:rsid w:val="00A27E6E"/>
    <w:rsid w:val="00A31C68"/>
    <w:rsid w:val="00A328F0"/>
    <w:rsid w:val="00A3388C"/>
    <w:rsid w:val="00A366D4"/>
    <w:rsid w:val="00A36987"/>
    <w:rsid w:val="00A36D7D"/>
    <w:rsid w:val="00A42045"/>
    <w:rsid w:val="00A42657"/>
    <w:rsid w:val="00A508B6"/>
    <w:rsid w:val="00A53E15"/>
    <w:rsid w:val="00A55D46"/>
    <w:rsid w:val="00A57597"/>
    <w:rsid w:val="00A67249"/>
    <w:rsid w:val="00A7579F"/>
    <w:rsid w:val="00A805F7"/>
    <w:rsid w:val="00A84855"/>
    <w:rsid w:val="00A86943"/>
    <w:rsid w:val="00A92CBF"/>
    <w:rsid w:val="00A95363"/>
    <w:rsid w:val="00AA1CBD"/>
    <w:rsid w:val="00AA3389"/>
    <w:rsid w:val="00AA591D"/>
    <w:rsid w:val="00AA775D"/>
    <w:rsid w:val="00AB09FE"/>
    <w:rsid w:val="00AB2541"/>
    <w:rsid w:val="00AB2E97"/>
    <w:rsid w:val="00AC2E10"/>
    <w:rsid w:val="00AC3BA2"/>
    <w:rsid w:val="00AC3C60"/>
    <w:rsid w:val="00AD0800"/>
    <w:rsid w:val="00AD0ECC"/>
    <w:rsid w:val="00AD389F"/>
    <w:rsid w:val="00AD4B1C"/>
    <w:rsid w:val="00AD74F0"/>
    <w:rsid w:val="00AE0911"/>
    <w:rsid w:val="00AE1B67"/>
    <w:rsid w:val="00AE4C78"/>
    <w:rsid w:val="00AF0644"/>
    <w:rsid w:val="00AF09AF"/>
    <w:rsid w:val="00AF1CBE"/>
    <w:rsid w:val="00AF2EEA"/>
    <w:rsid w:val="00AF5668"/>
    <w:rsid w:val="00AF63C4"/>
    <w:rsid w:val="00AF72CC"/>
    <w:rsid w:val="00B00F0F"/>
    <w:rsid w:val="00B02434"/>
    <w:rsid w:val="00B10268"/>
    <w:rsid w:val="00B108DE"/>
    <w:rsid w:val="00B11F50"/>
    <w:rsid w:val="00B203B0"/>
    <w:rsid w:val="00B22A27"/>
    <w:rsid w:val="00B25C6C"/>
    <w:rsid w:val="00B34D55"/>
    <w:rsid w:val="00B43196"/>
    <w:rsid w:val="00B44219"/>
    <w:rsid w:val="00B45BDA"/>
    <w:rsid w:val="00B47231"/>
    <w:rsid w:val="00B52760"/>
    <w:rsid w:val="00B544E8"/>
    <w:rsid w:val="00B60011"/>
    <w:rsid w:val="00B619B6"/>
    <w:rsid w:val="00B62C58"/>
    <w:rsid w:val="00B676D8"/>
    <w:rsid w:val="00B718EC"/>
    <w:rsid w:val="00B733AA"/>
    <w:rsid w:val="00B74B9B"/>
    <w:rsid w:val="00B76767"/>
    <w:rsid w:val="00B80E67"/>
    <w:rsid w:val="00B81185"/>
    <w:rsid w:val="00B82787"/>
    <w:rsid w:val="00B84C6A"/>
    <w:rsid w:val="00B85942"/>
    <w:rsid w:val="00B90CE4"/>
    <w:rsid w:val="00B9415F"/>
    <w:rsid w:val="00B95A67"/>
    <w:rsid w:val="00B96FEF"/>
    <w:rsid w:val="00B97E9E"/>
    <w:rsid w:val="00BA153E"/>
    <w:rsid w:val="00BA26A8"/>
    <w:rsid w:val="00BA2AB7"/>
    <w:rsid w:val="00BA5F5A"/>
    <w:rsid w:val="00BB36B4"/>
    <w:rsid w:val="00BB5AB8"/>
    <w:rsid w:val="00BC2979"/>
    <w:rsid w:val="00BC302B"/>
    <w:rsid w:val="00BC4C03"/>
    <w:rsid w:val="00BD0DB2"/>
    <w:rsid w:val="00BD5CE5"/>
    <w:rsid w:val="00BD7571"/>
    <w:rsid w:val="00BE1984"/>
    <w:rsid w:val="00BE3DFE"/>
    <w:rsid w:val="00BE4437"/>
    <w:rsid w:val="00BE5180"/>
    <w:rsid w:val="00BF0300"/>
    <w:rsid w:val="00BF3F19"/>
    <w:rsid w:val="00BF55CB"/>
    <w:rsid w:val="00BF745E"/>
    <w:rsid w:val="00C023B5"/>
    <w:rsid w:val="00C0287C"/>
    <w:rsid w:val="00C05EE4"/>
    <w:rsid w:val="00C06A86"/>
    <w:rsid w:val="00C06BE3"/>
    <w:rsid w:val="00C1665F"/>
    <w:rsid w:val="00C21785"/>
    <w:rsid w:val="00C30E36"/>
    <w:rsid w:val="00C3297A"/>
    <w:rsid w:val="00C330AA"/>
    <w:rsid w:val="00C362B0"/>
    <w:rsid w:val="00C376F2"/>
    <w:rsid w:val="00C4082A"/>
    <w:rsid w:val="00C42924"/>
    <w:rsid w:val="00C53A77"/>
    <w:rsid w:val="00C53B0D"/>
    <w:rsid w:val="00C55BE4"/>
    <w:rsid w:val="00C5624C"/>
    <w:rsid w:val="00C657F3"/>
    <w:rsid w:val="00C706DB"/>
    <w:rsid w:val="00C71D81"/>
    <w:rsid w:val="00C75259"/>
    <w:rsid w:val="00C75A22"/>
    <w:rsid w:val="00C76877"/>
    <w:rsid w:val="00C80FE3"/>
    <w:rsid w:val="00C81FA9"/>
    <w:rsid w:val="00C9050F"/>
    <w:rsid w:val="00C90E19"/>
    <w:rsid w:val="00C9570C"/>
    <w:rsid w:val="00C967AF"/>
    <w:rsid w:val="00CA0BA7"/>
    <w:rsid w:val="00CA352C"/>
    <w:rsid w:val="00CA360E"/>
    <w:rsid w:val="00CA46B7"/>
    <w:rsid w:val="00CA7D67"/>
    <w:rsid w:val="00CB1D0A"/>
    <w:rsid w:val="00CB2191"/>
    <w:rsid w:val="00CB2C42"/>
    <w:rsid w:val="00CB2C43"/>
    <w:rsid w:val="00CC1E7C"/>
    <w:rsid w:val="00CC387A"/>
    <w:rsid w:val="00CC42E4"/>
    <w:rsid w:val="00CC478B"/>
    <w:rsid w:val="00CC5FFB"/>
    <w:rsid w:val="00CD0173"/>
    <w:rsid w:val="00CD2A92"/>
    <w:rsid w:val="00CD3E62"/>
    <w:rsid w:val="00CD43EE"/>
    <w:rsid w:val="00CD4DE3"/>
    <w:rsid w:val="00CD79A3"/>
    <w:rsid w:val="00CD7D3E"/>
    <w:rsid w:val="00CE2BD9"/>
    <w:rsid w:val="00CE2C7F"/>
    <w:rsid w:val="00CF1F79"/>
    <w:rsid w:val="00CF2012"/>
    <w:rsid w:val="00CF24E4"/>
    <w:rsid w:val="00CF3914"/>
    <w:rsid w:val="00CF5CC1"/>
    <w:rsid w:val="00CF700C"/>
    <w:rsid w:val="00D00319"/>
    <w:rsid w:val="00D01727"/>
    <w:rsid w:val="00D046B7"/>
    <w:rsid w:val="00D04B62"/>
    <w:rsid w:val="00D0790E"/>
    <w:rsid w:val="00D12EE0"/>
    <w:rsid w:val="00D13535"/>
    <w:rsid w:val="00D163A8"/>
    <w:rsid w:val="00D16CA8"/>
    <w:rsid w:val="00D21AD6"/>
    <w:rsid w:val="00D21B83"/>
    <w:rsid w:val="00D22B5E"/>
    <w:rsid w:val="00D261C4"/>
    <w:rsid w:val="00D269CA"/>
    <w:rsid w:val="00D27C74"/>
    <w:rsid w:val="00D307C9"/>
    <w:rsid w:val="00D307D8"/>
    <w:rsid w:val="00D332D4"/>
    <w:rsid w:val="00D3397B"/>
    <w:rsid w:val="00D3552A"/>
    <w:rsid w:val="00D3599A"/>
    <w:rsid w:val="00D436B6"/>
    <w:rsid w:val="00D46ACA"/>
    <w:rsid w:val="00D51465"/>
    <w:rsid w:val="00D56FB4"/>
    <w:rsid w:val="00D624A1"/>
    <w:rsid w:val="00D71735"/>
    <w:rsid w:val="00D71E31"/>
    <w:rsid w:val="00D71FE3"/>
    <w:rsid w:val="00D7417E"/>
    <w:rsid w:val="00D744DE"/>
    <w:rsid w:val="00D748AB"/>
    <w:rsid w:val="00D807D4"/>
    <w:rsid w:val="00D813B8"/>
    <w:rsid w:val="00D86907"/>
    <w:rsid w:val="00D876CD"/>
    <w:rsid w:val="00D92C0C"/>
    <w:rsid w:val="00DA32CC"/>
    <w:rsid w:val="00DA4941"/>
    <w:rsid w:val="00DA7235"/>
    <w:rsid w:val="00DB6DDD"/>
    <w:rsid w:val="00DB7B27"/>
    <w:rsid w:val="00DC1B79"/>
    <w:rsid w:val="00DC5F82"/>
    <w:rsid w:val="00DD60F9"/>
    <w:rsid w:val="00DD653F"/>
    <w:rsid w:val="00DD6A96"/>
    <w:rsid w:val="00DE2412"/>
    <w:rsid w:val="00DE2A75"/>
    <w:rsid w:val="00DE4A0A"/>
    <w:rsid w:val="00DE609D"/>
    <w:rsid w:val="00DE6287"/>
    <w:rsid w:val="00DF0B63"/>
    <w:rsid w:val="00DF0BA0"/>
    <w:rsid w:val="00DF219F"/>
    <w:rsid w:val="00DF77E5"/>
    <w:rsid w:val="00E00090"/>
    <w:rsid w:val="00E02211"/>
    <w:rsid w:val="00E05F25"/>
    <w:rsid w:val="00E10773"/>
    <w:rsid w:val="00E1247C"/>
    <w:rsid w:val="00E24B12"/>
    <w:rsid w:val="00E30C52"/>
    <w:rsid w:val="00E31FE9"/>
    <w:rsid w:val="00E338E2"/>
    <w:rsid w:val="00E41488"/>
    <w:rsid w:val="00E43044"/>
    <w:rsid w:val="00E43845"/>
    <w:rsid w:val="00E50609"/>
    <w:rsid w:val="00E5361C"/>
    <w:rsid w:val="00E545AE"/>
    <w:rsid w:val="00E54ADB"/>
    <w:rsid w:val="00E55DA6"/>
    <w:rsid w:val="00E61B38"/>
    <w:rsid w:val="00E66355"/>
    <w:rsid w:val="00E67EDF"/>
    <w:rsid w:val="00E728A3"/>
    <w:rsid w:val="00E74BAB"/>
    <w:rsid w:val="00E7765E"/>
    <w:rsid w:val="00E7779A"/>
    <w:rsid w:val="00E81603"/>
    <w:rsid w:val="00E81E5C"/>
    <w:rsid w:val="00E825FF"/>
    <w:rsid w:val="00E874DA"/>
    <w:rsid w:val="00E9065E"/>
    <w:rsid w:val="00E9072F"/>
    <w:rsid w:val="00E9105F"/>
    <w:rsid w:val="00E92F42"/>
    <w:rsid w:val="00E941FA"/>
    <w:rsid w:val="00E95B0D"/>
    <w:rsid w:val="00E95FFF"/>
    <w:rsid w:val="00E97C3D"/>
    <w:rsid w:val="00EA4702"/>
    <w:rsid w:val="00EB3AA3"/>
    <w:rsid w:val="00EB4D3B"/>
    <w:rsid w:val="00EB6E20"/>
    <w:rsid w:val="00EC1D4D"/>
    <w:rsid w:val="00EC4005"/>
    <w:rsid w:val="00ED0C7D"/>
    <w:rsid w:val="00ED14F4"/>
    <w:rsid w:val="00ED300C"/>
    <w:rsid w:val="00ED4427"/>
    <w:rsid w:val="00ED60B1"/>
    <w:rsid w:val="00ED61F7"/>
    <w:rsid w:val="00EE09E5"/>
    <w:rsid w:val="00EE2F6C"/>
    <w:rsid w:val="00EE3C56"/>
    <w:rsid w:val="00EE5613"/>
    <w:rsid w:val="00EE602B"/>
    <w:rsid w:val="00EE6715"/>
    <w:rsid w:val="00EF2CF6"/>
    <w:rsid w:val="00EF31AF"/>
    <w:rsid w:val="00EF56F7"/>
    <w:rsid w:val="00F0025C"/>
    <w:rsid w:val="00F012D1"/>
    <w:rsid w:val="00F02E33"/>
    <w:rsid w:val="00F03FB8"/>
    <w:rsid w:val="00F0744E"/>
    <w:rsid w:val="00F10DB4"/>
    <w:rsid w:val="00F15A12"/>
    <w:rsid w:val="00F2077B"/>
    <w:rsid w:val="00F222A4"/>
    <w:rsid w:val="00F229DE"/>
    <w:rsid w:val="00F22DF6"/>
    <w:rsid w:val="00F240CF"/>
    <w:rsid w:val="00F301D2"/>
    <w:rsid w:val="00F31E7A"/>
    <w:rsid w:val="00F322FE"/>
    <w:rsid w:val="00F33922"/>
    <w:rsid w:val="00F35121"/>
    <w:rsid w:val="00F3658F"/>
    <w:rsid w:val="00F42AAB"/>
    <w:rsid w:val="00F46AA4"/>
    <w:rsid w:val="00F4760F"/>
    <w:rsid w:val="00F50541"/>
    <w:rsid w:val="00F5093E"/>
    <w:rsid w:val="00F51F4C"/>
    <w:rsid w:val="00F60B6D"/>
    <w:rsid w:val="00F61BE1"/>
    <w:rsid w:val="00F64A5E"/>
    <w:rsid w:val="00F702D2"/>
    <w:rsid w:val="00F721D2"/>
    <w:rsid w:val="00F7333F"/>
    <w:rsid w:val="00F73C88"/>
    <w:rsid w:val="00F77EF9"/>
    <w:rsid w:val="00F91A19"/>
    <w:rsid w:val="00F92B44"/>
    <w:rsid w:val="00F94095"/>
    <w:rsid w:val="00F96D0C"/>
    <w:rsid w:val="00F97ED3"/>
    <w:rsid w:val="00FA060D"/>
    <w:rsid w:val="00FA20BA"/>
    <w:rsid w:val="00FA42C4"/>
    <w:rsid w:val="00FA6FD9"/>
    <w:rsid w:val="00FA74B2"/>
    <w:rsid w:val="00FA7F8F"/>
    <w:rsid w:val="00FB08F6"/>
    <w:rsid w:val="00FB116D"/>
    <w:rsid w:val="00FB1969"/>
    <w:rsid w:val="00FB44E3"/>
    <w:rsid w:val="00FB64E6"/>
    <w:rsid w:val="00FC1E3A"/>
    <w:rsid w:val="00FC3A2D"/>
    <w:rsid w:val="00FC6BC0"/>
    <w:rsid w:val="00FD100C"/>
    <w:rsid w:val="00FD2735"/>
    <w:rsid w:val="00FD3E44"/>
    <w:rsid w:val="00FD4A98"/>
    <w:rsid w:val="00FD7739"/>
    <w:rsid w:val="00FD7BAF"/>
    <w:rsid w:val="00FE14A8"/>
    <w:rsid w:val="00FE2E45"/>
    <w:rsid w:val="00FE5A48"/>
    <w:rsid w:val="00FF0A48"/>
    <w:rsid w:val="00FF0C22"/>
    <w:rsid w:val="00FF2387"/>
    <w:rsid w:val="00FF2F3C"/>
    <w:rsid w:val="00FF5C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0C"/>
    <w:rPr>
      <w:sz w:val="24"/>
      <w:szCs w:val="24"/>
    </w:rPr>
  </w:style>
  <w:style w:type="paragraph" w:styleId="Heading1">
    <w:name w:val="heading 1"/>
    <w:basedOn w:val="Normal"/>
    <w:next w:val="Normal"/>
    <w:link w:val="Heading1Char"/>
    <w:qFormat/>
    <w:rsid w:val="00C9570C"/>
    <w:pPr>
      <w:keepNext/>
      <w:keepLines/>
      <w:spacing w:before="480" w:line="276" w:lineRule="auto"/>
      <w:outlineLvl w:val="0"/>
    </w:pPr>
    <w:rPr>
      <w:rFonts w:ascii="Cambria" w:eastAsia="Calibri"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lo">
    <w:name w:val="bollo"/>
    <w:basedOn w:val="Normal"/>
    <w:rsid w:val="0048550C"/>
    <w:pPr>
      <w:spacing w:line="567" w:lineRule="atLeast"/>
      <w:jc w:val="both"/>
    </w:pPr>
    <w:rPr>
      <w:szCs w:val="20"/>
    </w:rPr>
  </w:style>
  <w:style w:type="paragraph" w:styleId="Footer">
    <w:name w:val="footer"/>
    <w:basedOn w:val="Normal"/>
    <w:rsid w:val="00965A2C"/>
    <w:pPr>
      <w:tabs>
        <w:tab w:val="center" w:pos="4819"/>
        <w:tab w:val="right" w:pos="9638"/>
      </w:tabs>
    </w:pPr>
  </w:style>
  <w:style w:type="character" w:styleId="PageNumber">
    <w:name w:val="page number"/>
    <w:basedOn w:val="DefaultParagraphFont"/>
    <w:rsid w:val="00965A2C"/>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Carattere"/>
    <w:basedOn w:val="Normal"/>
    <w:link w:val="FootnoteTextChar1"/>
    <w:semiHidden/>
    <w:rsid w:val="00CB2C42"/>
    <w:rPr>
      <w:sz w:val="20"/>
      <w:szCs w:val="20"/>
    </w:rPr>
  </w:style>
  <w:style w:type="character" w:styleId="FootnoteReference">
    <w:name w:val="footnote reference"/>
    <w:aliases w:val="ftref,Footnote symbol,Footnote reference number,note TESI"/>
    <w:semiHidden/>
    <w:rsid w:val="00CB2C42"/>
    <w:rPr>
      <w:vertAlign w:val="superscript"/>
    </w:rPr>
  </w:style>
  <w:style w:type="paragraph" w:styleId="BalloonText">
    <w:name w:val="Balloon Text"/>
    <w:basedOn w:val="Normal"/>
    <w:link w:val="BalloonTextChar"/>
    <w:rsid w:val="00FC1E3A"/>
    <w:rPr>
      <w:rFonts w:ascii="Tahoma" w:hAnsi="Tahoma" w:cs="Tahoma"/>
      <w:sz w:val="16"/>
      <w:szCs w:val="16"/>
    </w:rPr>
  </w:style>
  <w:style w:type="character" w:customStyle="1" w:styleId="BalloonTextChar">
    <w:name w:val="Balloon Text Char"/>
    <w:link w:val="BalloonText"/>
    <w:rsid w:val="00FC1E3A"/>
    <w:rPr>
      <w:rFonts w:ascii="Tahoma" w:hAnsi="Tahoma" w:cs="Tahoma"/>
      <w:sz w:val="16"/>
      <w:szCs w:val="16"/>
    </w:rPr>
  </w:style>
  <w:style w:type="character" w:styleId="Hyperlink">
    <w:name w:val="Hyperlink"/>
    <w:rsid w:val="00551CEE"/>
    <w:rPr>
      <w:color w:val="0000FF"/>
      <w:u w:val="single"/>
    </w:rPr>
  </w:style>
  <w:style w:type="character" w:customStyle="1" w:styleId="apple-style-span">
    <w:name w:val="apple-style-span"/>
    <w:basedOn w:val="DefaultParagraphFont"/>
    <w:rsid w:val="00FD100C"/>
  </w:style>
  <w:style w:type="paragraph" w:customStyle="1" w:styleId="Paragrafoelenco1">
    <w:name w:val="Paragrafo elenco1"/>
    <w:basedOn w:val="Normal"/>
    <w:rsid w:val="00161D51"/>
    <w:pPr>
      <w:ind w:left="720"/>
      <w:contextualSpacing/>
    </w:pPr>
    <w:rPr>
      <w:rFonts w:ascii="Cambria" w:eastAsia="MS Mincho" w:hAnsi="Cambria"/>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link w:val="FootnoteText"/>
    <w:semiHidden/>
    <w:locked/>
    <w:rsid w:val="00C9570C"/>
    <w:rPr>
      <w:lang w:val="it-IT" w:eastAsia="it-IT" w:bidi="ar-SA"/>
    </w:rPr>
  </w:style>
  <w:style w:type="paragraph" w:customStyle="1" w:styleId="Style2">
    <w:name w:val="Style 2"/>
    <w:rsid w:val="00C9570C"/>
    <w:pPr>
      <w:widowControl w:val="0"/>
      <w:autoSpaceDE w:val="0"/>
      <w:autoSpaceDN w:val="0"/>
      <w:adjustRightInd w:val="0"/>
    </w:pPr>
    <w:rPr>
      <w:rFonts w:ascii="Bookman Old Style" w:hAnsi="Bookman Old Style" w:cs="Bookman Old Style"/>
      <w:sz w:val="18"/>
      <w:szCs w:val="18"/>
    </w:rPr>
  </w:style>
  <w:style w:type="character" w:customStyle="1" w:styleId="CharacterStyle1">
    <w:name w:val="Character Style 1"/>
    <w:rsid w:val="00C9570C"/>
    <w:rPr>
      <w:rFonts w:ascii="Bookman Old Style" w:hAnsi="Bookman Old Style" w:hint="default"/>
      <w:sz w:val="18"/>
    </w:rPr>
  </w:style>
  <w:style w:type="character" w:customStyle="1" w:styleId="provvrubrica">
    <w:name w:val="provv_rubrica"/>
    <w:rsid w:val="00C9570C"/>
    <w:rPr>
      <w:i/>
      <w:iC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semiHidden/>
    <w:locked/>
    <w:rsid w:val="00C9570C"/>
    <w:rPr>
      <w:rFonts w:ascii="Calibri" w:hAnsi="Calibri" w:cs="Times New Roman"/>
      <w:sz w:val="20"/>
      <w:szCs w:val="20"/>
    </w:rPr>
  </w:style>
  <w:style w:type="character" w:customStyle="1" w:styleId="Heading1Char">
    <w:name w:val="Heading 1 Char"/>
    <w:link w:val="Heading1"/>
    <w:locked/>
    <w:rsid w:val="00C9570C"/>
    <w:rPr>
      <w:rFonts w:ascii="Cambria" w:eastAsia="Calibri" w:hAnsi="Cambria"/>
      <w:b/>
      <w:bCs/>
      <w:color w:val="365F91"/>
      <w:sz w:val="28"/>
      <w:szCs w:val="28"/>
      <w:lang w:val="it-IT" w:eastAsia="en-US" w:bidi="ar-SA"/>
    </w:rPr>
  </w:style>
  <w:style w:type="paragraph" w:customStyle="1" w:styleId="Paragrafoelenco10">
    <w:name w:val="Paragrafo elenco1"/>
    <w:basedOn w:val="Normal"/>
    <w:rsid w:val="00C9570C"/>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827F57"/>
    <w:rPr>
      <w:sz w:val="24"/>
      <w:szCs w:val="24"/>
    </w:rPr>
  </w:style>
</w:styles>
</file>

<file path=word/webSettings.xml><?xml version="1.0" encoding="utf-8"?>
<w:webSettings xmlns:r="http://schemas.openxmlformats.org/officeDocument/2006/relationships" xmlns:w="http://schemas.openxmlformats.org/wordprocessingml/2006/main">
  <w:divs>
    <w:div w:id="393161292">
      <w:bodyDiv w:val="1"/>
      <w:marLeft w:val="0"/>
      <w:marRight w:val="0"/>
      <w:marTop w:val="0"/>
      <w:marBottom w:val="0"/>
      <w:divBdr>
        <w:top w:val="none" w:sz="0" w:space="0" w:color="auto"/>
        <w:left w:val="none" w:sz="0" w:space="0" w:color="auto"/>
        <w:bottom w:val="none" w:sz="0" w:space="0" w:color="auto"/>
        <w:right w:val="none" w:sz="0" w:space="0" w:color="auto"/>
      </w:divBdr>
      <w:divsChild>
        <w:div w:id="248082027">
          <w:marLeft w:val="0"/>
          <w:marRight w:val="0"/>
          <w:marTop w:val="0"/>
          <w:marBottom w:val="0"/>
          <w:divBdr>
            <w:top w:val="none" w:sz="0" w:space="0" w:color="auto"/>
            <w:left w:val="none" w:sz="0" w:space="0" w:color="auto"/>
            <w:bottom w:val="none" w:sz="0" w:space="0" w:color="auto"/>
            <w:right w:val="none" w:sz="0" w:space="0" w:color="auto"/>
          </w:divBdr>
          <w:divsChild>
            <w:div w:id="434445041">
              <w:marLeft w:val="0"/>
              <w:marRight w:val="0"/>
              <w:marTop w:val="0"/>
              <w:marBottom w:val="14"/>
              <w:divBdr>
                <w:top w:val="none" w:sz="0" w:space="0" w:color="auto"/>
                <w:left w:val="none" w:sz="0" w:space="0" w:color="auto"/>
                <w:bottom w:val="none" w:sz="0" w:space="0" w:color="auto"/>
                <w:right w:val="none" w:sz="0" w:space="0" w:color="auto"/>
              </w:divBdr>
              <w:divsChild>
                <w:div w:id="896549393">
                  <w:marLeft w:val="0"/>
                  <w:marRight w:val="0"/>
                  <w:marTop w:val="0"/>
                  <w:marBottom w:val="0"/>
                  <w:divBdr>
                    <w:top w:val="none" w:sz="0" w:space="0" w:color="auto"/>
                    <w:left w:val="none" w:sz="0" w:space="0" w:color="auto"/>
                    <w:bottom w:val="none" w:sz="0" w:space="0" w:color="auto"/>
                    <w:right w:val="none" w:sz="0" w:space="0" w:color="auto"/>
                  </w:divBdr>
                  <w:divsChild>
                    <w:div w:id="881017398">
                      <w:marLeft w:val="0"/>
                      <w:marRight w:val="0"/>
                      <w:marTop w:val="0"/>
                      <w:marBottom w:val="0"/>
                      <w:divBdr>
                        <w:top w:val="none" w:sz="0" w:space="0" w:color="auto"/>
                        <w:left w:val="none" w:sz="0" w:space="0" w:color="auto"/>
                        <w:bottom w:val="none" w:sz="0" w:space="0" w:color="auto"/>
                        <w:right w:val="none" w:sz="0" w:space="0" w:color="auto"/>
                      </w:divBdr>
                      <w:divsChild>
                        <w:div w:id="1531995241">
                          <w:marLeft w:val="0"/>
                          <w:marRight w:val="0"/>
                          <w:marTop w:val="0"/>
                          <w:marBottom w:val="0"/>
                          <w:divBdr>
                            <w:top w:val="none" w:sz="0" w:space="0" w:color="auto"/>
                            <w:left w:val="none" w:sz="0" w:space="0" w:color="auto"/>
                            <w:bottom w:val="none" w:sz="0" w:space="0" w:color="auto"/>
                            <w:right w:val="none" w:sz="0" w:space="0" w:color="auto"/>
                          </w:divBdr>
                          <w:divsChild>
                            <w:div w:id="1262185392">
                              <w:marLeft w:val="0"/>
                              <w:marRight w:val="0"/>
                              <w:marTop w:val="0"/>
                              <w:marBottom w:val="0"/>
                              <w:divBdr>
                                <w:top w:val="none" w:sz="0" w:space="0" w:color="auto"/>
                                <w:left w:val="none" w:sz="0" w:space="0" w:color="auto"/>
                                <w:bottom w:val="none" w:sz="0" w:space="0" w:color="auto"/>
                                <w:right w:val="none" w:sz="0" w:space="0" w:color="auto"/>
                              </w:divBdr>
                              <w:divsChild>
                                <w:div w:id="394088899">
                                  <w:marLeft w:val="0"/>
                                  <w:marRight w:val="0"/>
                                  <w:marTop w:val="0"/>
                                  <w:marBottom w:val="0"/>
                                  <w:divBdr>
                                    <w:top w:val="single" w:sz="2" w:space="0" w:color="FAFAFA"/>
                                    <w:left w:val="none" w:sz="0" w:space="0" w:color="auto"/>
                                    <w:bottom w:val="none" w:sz="0" w:space="0" w:color="auto"/>
                                    <w:right w:val="none" w:sz="0" w:space="0" w:color="auto"/>
                                  </w:divBdr>
                                  <w:divsChild>
                                    <w:div w:id="713505460">
                                      <w:marLeft w:val="0"/>
                                      <w:marRight w:val="0"/>
                                      <w:marTop w:val="0"/>
                                      <w:marBottom w:val="0"/>
                                      <w:divBdr>
                                        <w:top w:val="none" w:sz="0" w:space="0" w:color="auto"/>
                                        <w:left w:val="none" w:sz="0" w:space="0" w:color="auto"/>
                                        <w:bottom w:val="none" w:sz="0" w:space="0" w:color="auto"/>
                                        <w:right w:val="none" w:sz="0" w:space="0" w:color="auto"/>
                                      </w:divBdr>
                                      <w:divsChild>
                                        <w:div w:id="258562752">
                                          <w:marLeft w:val="0"/>
                                          <w:marRight w:val="0"/>
                                          <w:marTop w:val="0"/>
                                          <w:marBottom w:val="0"/>
                                          <w:divBdr>
                                            <w:top w:val="none" w:sz="0" w:space="0" w:color="auto"/>
                                            <w:left w:val="none" w:sz="0" w:space="0" w:color="auto"/>
                                            <w:bottom w:val="none" w:sz="0" w:space="0" w:color="auto"/>
                                            <w:right w:val="none" w:sz="0" w:space="0" w:color="auto"/>
                                          </w:divBdr>
                                          <w:divsChild>
                                            <w:div w:id="2075934838">
                                              <w:marLeft w:val="0"/>
                                              <w:marRight w:val="0"/>
                                              <w:marTop w:val="0"/>
                                              <w:marBottom w:val="0"/>
                                              <w:divBdr>
                                                <w:top w:val="none" w:sz="0" w:space="0" w:color="auto"/>
                                                <w:left w:val="none" w:sz="0" w:space="0" w:color="auto"/>
                                                <w:bottom w:val="none" w:sz="0" w:space="0" w:color="auto"/>
                                                <w:right w:val="none" w:sz="0" w:space="0" w:color="auto"/>
                                              </w:divBdr>
                                              <w:divsChild>
                                                <w:div w:id="408311520">
                                                  <w:marLeft w:val="0"/>
                                                  <w:marRight w:val="0"/>
                                                  <w:marTop w:val="0"/>
                                                  <w:marBottom w:val="0"/>
                                                  <w:divBdr>
                                                    <w:top w:val="none" w:sz="0" w:space="0" w:color="auto"/>
                                                    <w:left w:val="none" w:sz="0" w:space="0" w:color="auto"/>
                                                    <w:bottom w:val="none" w:sz="0" w:space="0" w:color="auto"/>
                                                    <w:right w:val="none" w:sz="0" w:space="0" w:color="auto"/>
                                                  </w:divBdr>
                                                  <w:divsChild>
                                                    <w:div w:id="2087992094">
                                                      <w:marLeft w:val="0"/>
                                                      <w:marRight w:val="0"/>
                                                      <w:marTop w:val="0"/>
                                                      <w:marBottom w:val="0"/>
                                                      <w:divBdr>
                                                        <w:top w:val="none" w:sz="0" w:space="0" w:color="auto"/>
                                                        <w:left w:val="none" w:sz="0" w:space="0" w:color="auto"/>
                                                        <w:bottom w:val="none" w:sz="0" w:space="0" w:color="auto"/>
                                                        <w:right w:val="none" w:sz="0" w:space="0" w:color="auto"/>
                                                      </w:divBdr>
                                                      <w:divsChild>
                                                        <w:div w:id="366754837">
                                                          <w:marLeft w:val="0"/>
                                                          <w:marRight w:val="0"/>
                                                          <w:marTop w:val="0"/>
                                                          <w:marBottom w:val="0"/>
                                                          <w:divBdr>
                                                            <w:top w:val="none" w:sz="0" w:space="0" w:color="auto"/>
                                                            <w:left w:val="none" w:sz="0" w:space="0" w:color="auto"/>
                                                            <w:bottom w:val="none" w:sz="0" w:space="0" w:color="auto"/>
                                                            <w:right w:val="none" w:sz="0" w:space="0" w:color="auto"/>
                                                          </w:divBdr>
                                                          <w:divsChild>
                                                            <w:div w:id="545337331">
                                                              <w:marLeft w:val="0"/>
                                                              <w:marRight w:val="0"/>
                                                              <w:marTop w:val="0"/>
                                                              <w:marBottom w:val="0"/>
                                                              <w:divBdr>
                                                                <w:top w:val="none" w:sz="0" w:space="0" w:color="auto"/>
                                                                <w:left w:val="none" w:sz="0" w:space="0" w:color="auto"/>
                                                                <w:bottom w:val="none" w:sz="0" w:space="0" w:color="auto"/>
                                                                <w:right w:val="none" w:sz="0" w:space="0" w:color="auto"/>
                                                              </w:divBdr>
                                                              <w:divsChild>
                                                                <w:div w:id="641543048">
                                                                  <w:marLeft w:val="0"/>
                                                                  <w:marRight w:val="0"/>
                                                                  <w:marTop w:val="0"/>
                                                                  <w:marBottom w:val="0"/>
                                                                  <w:divBdr>
                                                                    <w:top w:val="none" w:sz="0" w:space="0" w:color="auto"/>
                                                                    <w:left w:val="none" w:sz="0" w:space="0" w:color="auto"/>
                                                                    <w:bottom w:val="none" w:sz="0" w:space="0" w:color="auto"/>
                                                                    <w:right w:val="none" w:sz="0" w:space="0" w:color="auto"/>
                                                                  </w:divBdr>
                                                                  <w:divsChild>
                                                                    <w:div w:id="1964657066">
                                                                      <w:marLeft w:val="0"/>
                                                                      <w:marRight w:val="0"/>
                                                                      <w:marTop w:val="0"/>
                                                                      <w:marBottom w:val="0"/>
                                                                      <w:divBdr>
                                                                        <w:top w:val="none" w:sz="0" w:space="0" w:color="auto"/>
                                                                        <w:left w:val="none" w:sz="0" w:space="0" w:color="auto"/>
                                                                        <w:bottom w:val="none" w:sz="0" w:space="0" w:color="auto"/>
                                                                        <w:right w:val="none" w:sz="0" w:space="0" w:color="auto"/>
                                                                      </w:divBdr>
                                                                      <w:divsChild>
                                                                        <w:div w:id="661810173">
                                                                          <w:marLeft w:val="0"/>
                                                                          <w:marRight w:val="0"/>
                                                                          <w:marTop w:val="0"/>
                                                                          <w:marBottom w:val="0"/>
                                                                          <w:divBdr>
                                                                            <w:top w:val="none" w:sz="0" w:space="0" w:color="auto"/>
                                                                            <w:left w:val="none" w:sz="0" w:space="0" w:color="auto"/>
                                                                            <w:bottom w:val="none" w:sz="0" w:space="0" w:color="auto"/>
                                                                            <w:right w:val="none" w:sz="0" w:space="0" w:color="auto"/>
                                                                          </w:divBdr>
                                                                          <w:divsChild>
                                                                            <w:div w:id="982153182">
                                                                              <w:marLeft w:val="0"/>
                                                                              <w:marRight w:val="0"/>
                                                                              <w:marTop w:val="0"/>
                                                                              <w:marBottom w:val="0"/>
                                                                              <w:divBdr>
                                                                                <w:top w:val="none" w:sz="0" w:space="0" w:color="auto"/>
                                                                                <w:left w:val="none" w:sz="0" w:space="0" w:color="auto"/>
                                                                                <w:bottom w:val="none" w:sz="0" w:space="0" w:color="auto"/>
                                                                                <w:right w:val="none" w:sz="0" w:space="0" w:color="auto"/>
                                                                              </w:divBdr>
                                                                              <w:divsChild>
                                                                                <w:div w:id="198326067">
                                                                                  <w:marLeft w:val="0"/>
                                                                                  <w:marRight w:val="0"/>
                                                                                  <w:marTop w:val="0"/>
                                                                                  <w:marBottom w:val="0"/>
                                                                                  <w:divBdr>
                                                                                    <w:top w:val="none" w:sz="0" w:space="0" w:color="auto"/>
                                                                                    <w:left w:val="none" w:sz="0" w:space="0" w:color="auto"/>
                                                                                    <w:bottom w:val="none" w:sz="0" w:space="0" w:color="auto"/>
                                                                                    <w:right w:val="none" w:sz="0" w:space="0" w:color="auto"/>
                                                                                  </w:divBdr>
                                                                                  <w:divsChild>
                                                                                    <w:div w:id="1893228144">
                                                                                      <w:marLeft w:val="0"/>
                                                                                      <w:marRight w:val="0"/>
                                                                                      <w:marTop w:val="0"/>
                                                                                      <w:marBottom w:val="0"/>
                                                                                      <w:divBdr>
                                                                                        <w:top w:val="none" w:sz="0" w:space="0" w:color="auto"/>
                                                                                        <w:left w:val="none" w:sz="0" w:space="0" w:color="auto"/>
                                                                                        <w:bottom w:val="none" w:sz="0" w:space="0" w:color="auto"/>
                                                                                        <w:right w:val="none" w:sz="0" w:space="0" w:color="auto"/>
                                                                                      </w:divBdr>
                                                                                      <w:divsChild>
                                                                                        <w:div w:id="222716818">
                                                                                          <w:marLeft w:val="0"/>
                                                                                          <w:marRight w:val="0"/>
                                                                                          <w:marTop w:val="0"/>
                                                                                          <w:marBottom w:val="0"/>
                                                                                          <w:divBdr>
                                                                                            <w:top w:val="none" w:sz="0" w:space="0" w:color="auto"/>
                                                                                            <w:left w:val="none" w:sz="0" w:space="0" w:color="auto"/>
                                                                                            <w:bottom w:val="none" w:sz="0" w:space="0" w:color="auto"/>
                                                                                            <w:right w:val="none" w:sz="0" w:space="0" w:color="auto"/>
                                                                                          </w:divBdr>
                                                                                          <w:divsChild>
                                                                                            <w:div w:id="503785977">
                                                                                              <w:marLeft w:val="360"/>
                                                                                              <w:marRight w:val="0"/>
                                                                                              <w:marTop w:val="0"/>
                                                                                              <w:marBottom w:val="0"/>
                                                                                              <w:divBdr>
                                                                                                <w:top w:val="none" w:sz="0" w:space="0" w:color="auto"/>
                                                                                                <w:left w:val="none" w:sz="0" w:space="0" w:color="auto"/>
                                                                                                <w:bottom w:val="none" w:sz="0" w:space="0" w:color="auto"/>
                                                                                                <w:right w:val="none" w:sz="0" w:space="0" w:color="auto"/>
                                                                                              </w:divBdr>
                                                                                            </w:div>
                                                                                            <w:div w:id="829178984">
                                                                                              <w:marLeft w:val="360"/>
                                                                                              <w:marRight w:val="0"/>
                                                                                              <w:marTop w:val="0"/>
                                                                                              <w:marBottom w:val="0"/>
                                                                                              <w:divBdr>
                                                                                                <w:top w:val="none" w:sz="0" w:space="0" w:color="auto"/>
                                                                                                <w:left w:val="none" w:sz="0" w:space="0" w:color="auto"/>
                                                                                                <w:bottom w:val="none" w:sz="0" w:space="0" w:color="auto"/>
                                                                                                <w:right w:val="none" w:sz="0" w:space="0" w:color="auto"/>
                                                                                              </w:divBdr>
                                                                                            </w:div>
                                                                                            <w:div w:id="901715538">
                                                                                              <w:marLeft w:val="360"/>
                                                                                              <w:marRight w:val="0"/>
                                                                                              <w:marTop w:val="0"/>
                                                                                              <w:marBottom w:val="0"/>
                                                                                              <w:divBdr>
                                                                                                <w:top w:val="none" w:sz="0" w:space="0" w:color="auto"/>
                                                                                                <w:left w:val="none" w:sz="0" w:space="0" w:color="auto"/>
                                                                                                <w:bottom w:val="none" w:sz="0" w:space="0" w:color="auto"/>
                                                                                                <w:right w:val="none" w:sz="0" w:space="0" w:color="auto"/>
                                                                                              </w:divBdr>
                                                                                            </w:div>
                                                                                            <w:div w:id="976565932">
                                                                                              <w:marLeft w:val="360"/>
                                                                                              <w:marRight w:val="0"/>
                                                                                              <w:marTop w:val="0"/>
                                                                                              <w:marBottom w:val="0"/>
                                                                                              <w:divBdr>
                                                                                                <w:top w:val="none" w:sz="0" w:space="0" w:color="auto"/>
                                                                                                <w:left w:val="none" w:sz="0" w:space="0" w:color="auto"/>
                                                                                                <w:bottom w:val="none" w:sz="0" w:space="0" w:color="auto"/>
                                                                                                <w:right w:val="none" w:sz="0" w:space="0" w:color="auto"/>
                                                                                              </w:divBdr>
                                                                                            </w:div>
                                                                                            <w:div w:id="1046297328">
                                                                                              <w:marLeft w:val="360"/>
                                                                                              <w:marRight w:val="0"/>
                                                                                              <w:marTop w:val="0"/>
                                                                                              <w:marBottom w:val="0"/>
                                                                                              <w:divBdr>
                                                                                                <w:top w:val="none" w:sz="0" w:space="0" w:color="auto"/>
                                                                                                <w:left w:val="none" w:sz="0" w:space="0" w:color="auto"/>
                                                                                                <w:bottom w:val="none" w:sz="0" w:space="0" w:color="auto"/>
                                                                                                <w:right w:val="none" w:sz="0" w:space="0" w:color="auto"/>
                                                                                              </w:divBdr>
                                                                                            </w:div>
                                                                                            <w:div w:id="1269896051">
                                                                                              <w:marLeft w:val="360"/>
                                                                                              <w:marRight w:val="0"/>
                                                                                              <w:marTop w:val="0"/>
                                                                                              <w:marBottom w:val="0"/>
                                                                                              <w:divBdr>
                                                                                                <w:top w:val="none" w:sz="0" w:space="0" w:color="auto"/>
                                                                                                <w:left w:val="none" w:sz="0" w:space="0" w:color="auto"/>
                                                                                                <w:bottom w:val="none" w:sz="0" w:space="0" w:color="auto"/>
                                                                                                <w:right w:val="none" w:sz="0" w:space="0" w:color="auto"/>
                                                                                              </w:divBdr>
                                                                                            </w:div>
                                                                                            <w:div w:id="1510758345">
                                                                                              <w:marLeft w:val="360"/>
                                                                                              <w:marRight w:val="0"/>
                                                                                              <w:marTop w:val="0"/>
                                                                                              <w:marBottom w:val="0"/>
                                                                                              <w:divBdr>
                                                                                                <w:top w:val="none" w:sz="0" w:space="0" w:color="auto"/>
                                                                                                <w:left w:val="none" w:sz="0" w:space="0" w:color="auto"/>
                                                                                                <w:bottom w:val="none" w:sz="0" w:space="0" w:color="auto"/>
                                                                                                <w:right w:val="none" w:sz="0" w:space="0" w:color="auto"/>
                                                                                              </w:divBdr>
                                                                                            </w:div>
                                                                                            <w:div w:id="1520973086">
                                                                                              <w:marLeft w:val="360"/>
                                                                                              <w:marRight w:val="0"/>
                                                                                              <w:marTop w:val="0"/>
                                                                                              <w:marBottom w:val="0"/>
                                                                                              <w:divBdr>
                                                                                                <w:top w:val="none" w:sz="0" w:space="0" w:color="auto"/>
                                                                                                <w:left w:val="none" w:sz="0" w:space="0" w:color="auto"/>
                                                                                                <w:bottom w:val="none" w:sz="0" w:space="0" w:color="auto"/>
                                                                                                <w:right w:val="none" w:sz="0" w:space="0" w:color="auto"/>
                                                                                              </w:divBdr>
                                                                                            </w:div>
                                                                                            <w:div w:id="1604530172">
                                                                                              <w:marLeft w:val="360"/>
                                                                                              <w:marRight w:val="0"/>
                                                                                              <w:marTop w:val="0"/>
                                                                                              <w:marBottom w:val="0"/>
                                                                                              <w:divBdr>
                                                                                                <w:top w:val="none" w:sz="0" w:space="0" w:color="auto"/>
                                                                                                <w:left w:val="none" w:sz="0" w:space="0" w:color="auto"/>
                                                                                                <w:bottom w:val="none" w:sz="0" w:space="0" w:color="auto"/>
                                                                                                <w:right w:val="none" w:sz="0" w:space="0" w:color="auto"/>
                                                                                              </w:divBdr>
                                                                                            </w:div>
                                                                                            <w:div w:id="1687560702">
                                                                                              <w:marLeft w:val="360"/>
                                                                                              <w:marRight w:val="0"/>
                                                                                              <w:marTop w:val="0"/>
                                                                                              <w:marBottom w:val="0"/>
                                                                                              <w:divBdr>
                                                                                                <w:top w:val="none" w:sz="0" w:space="0" w:color="auto"/>
                                                                                                <w:left w:val="none" w:sz="0" w:space="0" w:color="auto"/>
                                                                                                <w:bottom w:val="none" w:sz="0" w:space="0" w:color="auto"/>
                                                                                                <w:right w:val="none" w:sz="0" w:space="0" w:color="auto"/>
                                                                                              </w:divBdr>
                                                                                            </w:div>
                                                                                            <w:div w:id="19619138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4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DD07-FE37-4339-83AA-7AA37153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6125</Words>
  <Characters>34914</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Convegno di Napoli sui servizi pubblici locali</vt:lpstr>
    </vt:vector>
  </TitlesOfParts>
  <Company>Administrator</Company>
  <LinksUpToDate>false</LinksUpToDate>
  <CharactersWithSpaces>40958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Convegno di Napoli sui servizi pubblici locali</dc:title>
  <dc:creator>deodato</dc:creator>
  <cp:lastModifiedBy>Mauro</cp:lastModifiedBy>
  <cp:revision>5</cp:revision>
  <cp:lastPrinted>2016-04-28T09:57:00Z</cp:lastPrinted>
  <dcterms:created xsi:type="dcterms:W3CDTF">2016-04-28T14:34:00Z</dcterms:created>
  <dcterms:modified xsi:type="dcterms:W3CDTF">2016-04-29T06:52:00Z</dcterms:modified>
</cp:coreProperties>
</file>