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46D" w:rsidRDefault="0002246D" w:rsidP="00B57E3D">
      <w:pPr>
        <w:spacing w:line="360" w:lineRule="auto"/>
        <w:ind w:firstLine="709"/>
        <w:jc w:val="both"/>
        <w:rPr>
          <w:rFonts w:ascii="Times New Roman" w:hAnsi="Times New Roman" w:cs="Times New Roman"/>
          <w:b/>
          <w:sz w:val="32"/>
          <w:szCs w:val="32"/>
        </w:rPr>
      </w:pPr>
      <w:bookmarkStart w:id="0" w:name="_GoBack"/>
      <w:bookmarkEnd w:id="0"/>
      <w:r>
        <w:rPr>
          <w:rFonts w:ascii="Times New Roman" w:hAnsi="Times New Roman" w:cs="Times New Roman"/>
          <w:b/>
          <w:sz w:val="32"/>
          <w:szCs w:val="32"/>
        </w:rPr>
        <w:t>LA RESPONSABILITA’ CIVILE DEL MAGISTRATO AMMINISTRATIVO E IL RINVIO PREGIUDIZIALE</w:t>
      </w:r>
      <w:r w:rsidR="00404BCA">
        <w:rPr>
          <w:rStyle w:val="Rimandonotaapidipagina"/>
          <w:rFonts w:ascii="Times New Roman" w:hAnsi="Times New Roman" w:cs="Times New Roman"/>
          <w:b/>
          <w:sz w:val="32"/>
          <w:szCs w:val="32"/>
        </w:rPr>
        <w:footnoteReference w:id="1"/>
      </w:r>
    </w:p>
    <w:p w:rsidR="00404BCA" w:rsidRDefault="00404BCA" w:rsidP="00B57E3D">
      <w:pPr>
        <w:spacing w:line="360" w:lineRule="auto"/>
        <w:ind w:firstLine="709"/>
        <w:jc w:val="both"/>
        <w:rPr>
          <w:rFonts w:ascii="Times New Roman" w:hAnsi="Times New Roman" w:cs="Times New Roman"/>
          <w:sz w:val="28"/>
          <w:szCs w:val="28"/>
        </w:rPr>
      </w:pPr>
    </w:p>
    <w:p w:rsidR="00B629A1" w:rsidRPr="00404BCA" w:rsidRDefault="00404BCA" w:rsidP="00B57E3D">
      <w:pPr>
        <w:spacing w:line="360" w:lineRule="auto"/>
        <w:ind w:firstLine="709"/>
        <w:jc w:val="center"/>
        <w:rPr>
          <w:rFonts w:ascii="Times New Roman" w:hAnsi="Times New Roman" w:cs="Times New Roman"/>
          <w:i/>
          <w:sz w:val="28"/>
          <w:szCs w:val="28"/>
        </w:rPr>
      </w:pPr>
      <w:r w:rsidRPr="00404BCA">
        <w:rPr>
          <w:rFonts w:ascii="Times New Roman" w:hAnsi="Times New Roman" w:cs="Times New Roman"/>
          <w:i/>
          <w:sz w:val="28"/>
          <w:szCs w:val="28"/>
        </w:rPr>
        <w:t>Carmine Volpe - Presidente aggiunto del Consiglio di Stato</w:t>
      </w:r>
    </w:p>
    <w:p w:rsidR="00404BCA" w:rsidRDefault="00404BCA" w:rsidP="00B57E3D">
      <w:pPr>
        <w:spacing w:line="360" w:lineRule="auto"/>
        <w:ind w:firstLine="709"/>
        <w:jc w:val="both"/>
        <w:rPr>
          <w:rFonts w:ascii="Times New Roman" w:hAnsi="Times New Roman" w:cs="Times New Roman"/>
          <w:b/>
          <w:caps/>
          <w:sz w:val="28"/>
          <w:szCs w:val="28"/>
        </w:rPr>
      </w:pPr>
    </w:p>
    <w:p w:rsidR="00507049" w:rsidRDefault="00404BCA" w:rsidP="00B57E3D">
      <w:pPr>
        <w:spacing w:line="360" w:lineRule="auto"/>
        <w:ind w:firstLine="709"/>
        <w:jc w:val="both"/>
        <w:rPr>
          <w:rFonts w:ascii="Times New Roman" w:hAnsi="Times New Roman" w:cs="Times New Roman"/>
          <w:b/>
          <w:sz w:val="28"/>
          <w:szCs w:val="28"/>
        </w:rPr>
      </w:pPr>
      <w:r w:rsidRPr="004A0746">
        <w:rPr>
          <w:rFonts w:ascii="Times New Roman" w:hAnsi="Times New Roman" w:cs="Times New Roman"/>
          <w:b/>
          <w:sz w:val="28"/>
          <w:szCs w:val="28"/>
        </w:rPr>
        <w:t>SOMMARIO: 1.</w:t>
      </w:r>
      <w:r w:rsidRPr="004A0746">
        <w:t xml:space="preserve"> </w:t>
      </w:r>
      <w:r w:rsidRPr="004A0746">
        <w:rPr>
          <w:rFonts w:ascii="Times New Roman" w:hAnsi="Times New Roman" w:cs="Times New Roman"/>
          <w:b/>
          <w:sz w:val="28"/>
          <w:szCs w:val="28"/>
        </w:rPr>
        <w:t>La pluralità delle fonti.</w:t>
      </w:r>
      <w:r w:rsidR="00507049" w:rsidRPr="00507049">
        <w:rPr>
          <w:rFonts w:ascii="Times New Roman" w:hAnsi="Times New Roman" w:cs="Times New Roman"/>
          <w:b/>
          <w:sz w:val="28"/>
          <w:szCs w:val="28"/>
        </w:rPr>
        <w:t xml:space="preserve"> 2. L’art. 267 del </w:t>
      </w:r>
      <w:r w:rsidR="00F04511" w:rsidRPr="00F04511">
        <w:rPr>
          <w:rFonts w:ascii="Times New Roman" w:hAnsi="Times New Roman" w:cs="Times New Roman"/>
          <w:b/>
          <w:sz w:val="28"/>
          <w:szCs w:val="28"/>
        </w:rPr>
        <w:t xml:space="preserve">Trattato sul funzionamento dell’Unione europea </w:t>
      </w:r>
      <w:r w:rsidR="00F04511">
        <w:rPr>
          <w:rFonts w:ascii="Times New Roman" w:hAnsi="Times New Roman" w:cs="Times New Roman"/>
          <w:b/>
          <w:sz w:val="28"/>
          <w:szCs w:val="28"/>
        </w:rPr>
        <w:t>(</w:t>
      </w:r>
      <w:r w:rsidR="00507049" w:rsidRPr="00507049">
        <w:rPr>
          <w:rFonts w:ascii="Times New Roman" w:hAnsi="Times New Roman" w:cs="Times New Roman"/>
          <w:b/>
          <w:sz w:val="28"/>
          <w:szCs w:val="28"/>
        </w:rPr>
        <w:t>TFUE</w:t>
      </w:r>
      <w:r w:rsidR="00F04511">
        <w:rPr>
          <w:rFonts w:ascii="Times New Roman" w:hAnsi="Times New Roman" w:cs="Times New Roman"/>
          <w:b/>
          <w:sz w:val="28"/>
          <w:szCs w:val="28"/>
        </w:rPr>
        <w:t>)</w:t>
      </w:r>
      <w:r w:rsidR="00507049" w:rsidRPr="00507049">
        <w:rPr>
          <w:rFonts w:ascii="Times New Roman" w:hAnsi="Times New Roman" w:cs="Times New Roman"/>
          <w:b/>
          <w:sz w:val="28"/>
          <w:szCs w:val="28"/>
        </w:rPr>
        <w:t>.</w:t>
      </w:r>
      <w:r w:rsidR="00CA3FDB">
        <w:rPr>
          <w:rFonts w:ascii="Times New Roman" w:hAnsi="Times New Roman" w:cs="Times New Roman"/>
          <w:b/>
          <w:sz w:val="28"/>
          <w:szCs w:val="28"/>
        </w:rPr>
        <w:t xml:space="preserve"> 3. Funzione e natura del rinvio pregiudiziale.</w:t>
      </w:r>
      <w:r w:rsidR="00CD622F">
        <w:rPr>
          <w:rFonts w:ascii="Times New Roman" w:hAnsi="Times New Roman" w:cs="Times New Roman"/>
          <w:b/>
          <w:sz w:val="28"/>
          <w:szCs w:val="28"/>
        </w:rPr>
        <w:t xml:space="preserve"> 4. Il dialogo con la Corte di Giustizia.</w:t>
      </w:r>
      <w:r w:rsidR="008305F9">
        <w:rPr>
          <w:rFonts w:ascii="Times New Roman" w:hAnsi="Times New Roman" w:cs="Times New Roman"/>
          <w:b/>
          <w:sz w:val="28"/>
          <w:szCs w:val="28"/>
        </w:rPr>
        <w:t xml:space="preserve"> 5. La responsabilità del giudice.</w:t>
      </w:r>
      <w:r w:rsidR="00827D39">
        <w:rPr>
          <w:rFonts w:ascii="Times New Roman" w:hAnsi="Times New Roman" w:cs="Times New Roman"/>
          <w:b/>
          <w:sz w:val="28"/>
          <w:szCs w:val="28"/>
        </w:rPr>
        <w:t xml:space="preserve"> 6</w:t>
      </w:r>
      <w:r w:rsidR="002D720E">
        <w:rPr>
          <w:rFonts w:ascii="Times New Roman" w:hAnsi="Times New Roman" w:cs="Times New Roman"/>
          <w:b/>
          <w:sz w:val="28"/>
          <w:szCs w:val="28"/>
        </w:rPr>
        <w:t>. L’abuso del rimedio.</w:t>
      </w:r>
      <w:r w:rsidR="00827D39">
        <w:rPr>
          <w:rFonts w:ascii="Times New Roman" w:hAnsi="Times New Roman" w:cs="Times New Roman"/>
          <w:b/>
          <w:sz w:val="28"/>
          <w:szCs w:val="28"/>
        </w:rPr>
        <w:t xml:space="preserve"> 7</w:t>
      </w:r>
      <w:r w:rsidR="00177044">
        <w:rPr>
          <w:rFonts w:ascii="Times New Roman" w:hAnsi="Times New Roman" w:cs="Times New Roman"/>
          <w:b/>
          <w:sz w:val="28"/>
          <w:szCs w:val="28"/>
        </w:rPr>
        <w:t xml:space="preserve">. </w:t>
      </w:r>
      <w:r w:rsidR="00177044" w:rsidRPr="00177044">
        <w:rPr>
          <w:rFonts w:ascii="Times New Roman" w:hAnsi="Times New Roman" w:cs="Times New Roman"/>
          <w:b/>
          <w:sz w:val="28"/>
          <w:szCs w:val="28"/>
        </w:rPr>
        <w:t>L’ordinanza Cons. Stato, sez. IV, 21 marzo 2024, n. 2789</w:t>
      </w:r>
      <w:r w:rsidR="00177044">
        <w:rPr>
          <w:rFonts w:ascii="Times New Roman" w:hAnsi="Times New Roman" w:cs="Times New Roman"/>
          <w:b/>
          <w:sz w:val="28"/>
          <w:szCs w:val="28"/>
        </w:rPr>
        <w:t>.</w:t>
      </w:r>
      <w:r w:rsidR="00827D39">
        <w:rPr>
          <w:rFonts w:ascii="Times New Roman" w:hAnsi="Times New Roman" w:cs="Times New Roman"/>
          <w:b/>
          <w:sz w:val="28"/>
          <w:szCs w:val="28"/>
        </w:rPr>
        <w:t xml:space="preserve"> 8. </w:t>
      </w:r>
      <w:r w:rsidR="00507049">
        <w:rPr>
          <w:rFonts w:ascii="Times New Roman" w:hAnsi="Times New Roman" w:cs="Times New Roman"/>
          <w:b/>
          <w:sz w:val="28"/>
          <w:szCs w:val="28"/>
        </w:rPr>
        <w:t xml:space="preserve">Alcuni </w:t>
      </w:r>
      <w:r w:rsidR="00F04511">
        <w:rPr>
          <w:rFonts w:ascii="Times New Roman" w:hAnsi="Times New Roman" w:cs="Times New Roman"/>
          <w:b/>
          <w:sz w:val="28"/>
          <w:szCs w:val="28"/>
        </w:rPr>
        <w:t>problemi nel dialogo con la Corte di Giustizia</w:t>
      </w:r>
      <w:r w:rsidR="00507049">
        <w:rPr>
          <w:rFonts w:ascii="Times New Roman" w:hAnsi="Times New Roman" w:cs="Times New Roman"/>
          <w:b/>
          <w:sz w:val="28"/>
          <w:szCs w:val="28"/>
        </w:rPr>
        <w:t>.</w:t>
      </w:r>
    </w:p>
    <w:p w:rsidR="00404BCA" w:rsidRPr="004A0746" w:rsidRDefault="00404BCA" w:rsidP="00B57E3D">
      <w:pPr>
        <w:spacing w:line="360" w:lineRule="auto"/>
        <w:ind w:firstLine="709"/>
        <w:jc w:val="both"/>
        <w:rPr>
          <w:rFonts w:ascii="Times New Roman" w:hAnsi="Times New Roman" w:cs="Times New Roman"/>
          <w:b/>
          <w:sz w:val="28"/>
          <w:szCs w:val="28"/>
        </w:rPr>
      </w:pPr>
    </w:p>
    <w:p w:rsidR="000D7132" w:rsidRDefault="00404BCA" w:rsidP="00B57E3D">
      <w:pPr>
        <w:spacing w:line="360" w:lineRule="auto"/>
        <w:ind w:firstLine="709"/>
        <w:jc w:val="both"/>
        <w:rPr>
          <w:rFonts w:ascii="Times New Roman" w:hAnsi="Times New Roman" w:cs="Times New Roman"/>
          <w:b/>
          <w:sz w:val="28"/>
          <w:szCs w:val="28"/>
        </w:rPr>
      </w:pPr>
      <w:r w:rsidRPr="00404BCA">
        <w:rPr>
          <w:rFonts w:ascii="Times New Roman" w:hAnsi="Times New Roman" w:cs="Times New Roman"/>
          <w:b/>
          <w:sz w:val="28"/>
          <w:szCs w:val="28"/>
        </w:rPr>
        <w:t xml:space="preserve">1. </w:t>
      </w:r>
      <w:r>
        <w:rPr>
          <w:rFonts w:ascii="Times New Roman" w:hAnsi="Times New Roman" w:cs="Times New Roman"/>
          <w:b/>
          <w:sz w:val="28"/>
          <w:szCs w:val="28"/>
        </w:rPr>
        <w:t>La pluralità delle fonti.</w:t>
      </w:r>
    </w:p>
    <w:p w:rsidR="00F63120" w:rsidRDefault="00F63120"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punto di partenza in un discorso </w:t>
      </w:r>
      <w:r w:rsidR="00507049">
        <w:rPr>
          <w:rFonts w:ascii="Times New Roman" w:hAnsi="Times New Roman" w:cs="Times New Roman"/>
          <w:sz w:val="28"/>
          <w:szCs w:val="28"/>
        </w:rPr>
        <w:t xml:space="preserve">introduttivo </w:t>
      </w:r>
      <w:r>
        <w:rPr>
          <w:rFonts w:ascii="Times New Roman" w:hAnsi="Times New Roman" w:cs="Times New Roman"/>
          <w:sz w:val="28"/>
          <w:szCs w:val="28"/>
        </w:rPr>
        <w:t xml:space="preserve">sul rinvio pregiudiziale </w:t>
      </w:r>
      <w:r w:rsidR="00F2126B">
        <w:rPr>
          <w:rFonts w:ascii="Times New Roman" w:hAnsi="Times New Roman" w:cs="Times New Roman"/>
          <w:sz w:val="28"/>
          <w:szCs w:val="28"/>
        </w:rPr>
        <w:t xml:space="preserve">alla Corte di Giustizia dell’Unione europea (CGUE) </w:t>
      </w:r>
      <w:r>
        <w:rPr>
          <w:rFonts w:ascii="Times New Roman" w:hAnsi="Times New Roman" w:cs="Times New Roman"/>
          <w:sz w:val="28"/>
          <w:szCs w:val="28"/>
        </w:rPr>
        <w:t>e sulla responsabilità civile del magistrato amministrativo non può che essere quello inerente la pluralità delle fonti</w:t>
      </w:r>
      <w:r w:rsidR="00E13E71">
        <w:rPr>
          <w:rStyle w:val="Rimandonotaapidipagina"/>
          <w:rFonts w:ascii="Times New Roman" w:hAnsi="Times New Roman" w:cs="Times New Roman"/>
          <w:sz w:val="28"/>
          <w:szCs w:val="28"/>
        </w:rPr>
        <w:footnoteReference w:id="2"/>
      </w:r>
      <w:r>
        <w:rPr>
          <w:rFonts w:ascii="Times New Roman" w:hAnsi="Times New Roman" w:cs="Times New Roman"/>
          <w:sz w:val="28"/>
          <w:szCs w:val="28"/>
        </w:rPr>
        <w:t>.</w:t>
      </w:r>
    </w:p>
    <w:p w:rsidR="00F63120" w:rsidRDefault="00487EFB"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V</w:t>
      </w:r>
      <w:r w:rsidR="00F63120">
        <w:rPr>
          <w:rFonts w:ascii="Times New Roman" w:hAnsi="Times New Roman" w:cs="Times New Roman"/>
          <w:sz w:val="28"/>
          <w:szCs w:val="28"/>
        </w:rPr>
        <w:t xml:space="preserve">iviamo in un sistema dominato da una pluralità di ordinamenti giuridici, laddove le fonti del diritto sono plurime, </w:t>
      </w:r>
      <w:r w:rsidR="00507049">
        <w:rPr>
          <w:rFonts w:ascii="Times New Roman" w:hAnsi="Times New Roman" w:cs="Times New Roman"/>
          <w:sz w:val="28"/>
          <w:szCs w:val="28"/>
        </w:rPr>
        <w:t xml:space="preserve">variegate, </w:t>
      </w:r>
      <w:r w:rsidR="00F63120">
        <w:rPr>
          <w:rFonts w:ascii="Times New Roman" w:hAnsi="Times New Roman" w:cs="Times New Roman"/>
          <w:sz w:val="28"/>
          <w:szCs w:val="28"/>
        </w:rPr>
        <w:t>di provenienza nazionale e</w:t>
      </w:r>
      <w:r w:rsidR="00F2126B">
        <w:rPr>
          <w:rFonts w:ascii="Times New Roman" w:hAnsi="Times New Roman" w:cs="Times New Roman"/>
          <w:sz w:val="28"/>
          <w:szCs w:val="28"/>
        </w:rPr>
        <w:t>d</w:t>
      </w:r>
      <w:r w:rsidR="00F63120">
        <w:rPr>
          <w:rFonts w:ascii="Times New Roman" w:hAnsi="Times New Roman" w:cs="Times New Roman"/>
          <w:sz w:val="28"/>
          <w:szCs w:val="28"/>
        </w:rPr>
        <w:t xml:space="preserve"> europea, e di diversa forza gerarchica.</w:t>
      </w:r>
    </w:p>
    <w:p w:rsidR="00F63120" w:rsidRDefault="00487EFB"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L</w:t>
      </w:r>
      <w:r w:rsidR="00F63120">
        <w:rPr>
          <w:rFonts w:ascii="Times New Roman" w:hAnsi="Times New Roman" w:cs="Times New Roman"/>
          <w:sz w:val="28"/>
          <w:szCs w:val="28"/>
        </w:rPr>
        <w:t xml:space="preserve">’ordinamento giuridico non è più unico, ma </w:t>
      </w:r>
      <w:r w:rsidR="005C1098">
        <w:rPr>
          <w:rFonts w:ascii="Times New Roman" w:hAnsi="Times New Roman" w:cs="Times New Roman"/>
          <w:sz w:val="28"/>
          <w:szCs w:val="28"/>
        </w:rPr>
        <w:t xml:space="preserve">multilivello, </w:t>
      </w:r>
      <w:r w:rsidR="00F63120">
        <w:rPr>
          <w:rFonts w:ascii="Times New Roman" w:hAnsi="Times New Roman" w:cs="Times New Roman"/>
          <w:sz w:val="28"/>
          <w:szCs w:val="28"/>
        </w:rPr>
        <w:t>frastagliato e diversificato</w:t>
      </w:r>
      <w:r w:rsidR="005C1098">
        <w:rPr>
          <w:rFonts w:ascii="Times New Roman" w:hAnsi="Times New Roman" w:cs="Times New Roman"/>
          <w:sz w:val="28"/>
          <w:szCs w:val="28"/>
        </w:rPr>
        <w:t>,</w:t>
      </w:r>
      <w:r w:rsidR="00F63120">
        <w:rPr>
          <w:rFonts w:ascii="Times New Roman" w:hAnsi="Times New Roman" w:cs="Times New Roman"/>
          <w:sz w:val="28"/>
          <w:szCs w:val="28"/>
        </w:rPr>
        <w:t xml:space="preserve"> con conseguenti problemi in capo ai giudici</w:t>
      </w:r>
      <w:r w:rsidR="00F2126B">
        <w:rPr>
          <w:rFonts w:ascii="Times New Roman" w:hAnsi="Times New Roman" w:cs="Times New Roman"/>
          <w:sz w:val="28"/>
          <w:szCs w:val="28"/>
        </w:rPr>
        <w:t>,</w:t>
      </w:r>
      <w:r w:rsidR="00F63120">
        <w:rPr>
          <w:rFonts w:ascii="Times New Roman" w:hAnsi="Times New Roman" w:cs="Times New Roman"/>
          <w:sz w:val="28"/>
          <w:szCs w:val="28"/>
        </w:rPr>
        <w:t xml:space="preserve"> </w:t>
      </w:r>
      <w:r w:rsidR="00507049">
        <w:rPr>
          <w:rFonts w:ascii="Times New Roman" w:hAnsi="Times New Roman" w:cs="Times New Roman"/>
          <w:sz w:val="28"/>
          <w:szCs w:val="28"/>
        </w:rPr>
        <w:t xml:space="preserve">e non solo, </w:t>
      </w:r>
      <w:r w:rsidR="00F63120">
        <w:rPr>
          <w:rFonts w:ascii="Times New Roman" w:hAnsi="Times New Roman" w:cs="Times New Roman"/>
          <w:sz w:val="28"/>
          <w:szCs w:val="28"/>
        </w:rPr>
        <w:t>che sono tenuti in primis ad applicare la legge e poi anche ad interpretarla.</w:t>
      </w:r>
    </w:p>
    <w:p w:rsidR="00F63120" w:rsidRDefault="00F63120"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Ne consegue la possibilità</w:t>
      </w:r>
      <w:r w:rsidR="00F2126B">
        <w:rPr>
          <w:rFonts w:ascii="Times New Roman" w:hAnsi="Times New Roman" w:cs="Times New Roman"/>
          <w:sz w:val="28"/>
          <w:szCs w:val="28"/>
        </w:rPr>
        <w:t>,</w:t>
      </w:r>
      <w:r>
        <w:rPr>
          <w:rFonts w:ascii="Times New Roman" w:hAnsi="Times New Roman" w:cs="Times New Roman"/>
          <w:sz w:val="28"/>
          <w:szCs w:val="28"/>
        </w:rPr>
        <w:t xml:space="preserve"> </w:t>
      </w:r>
      <w:r w:rsidR="00507049">
        <w:rPr>
          <w:rFonts w:ascii="Times New Roman" w:hAnsi="Times New Roman" w:cs="Times New Roman"/>
          <w:sz w:val="28"/>
          <w:szCs w:val="28"/>
        </w:rPr>
        <w:t xml:space="preserve">ormai </w:t>
      </w:r>
      <w:r>
        <w:rPr>
          <w:rFonts w:ascii="Times New Roman" w:hAnsi="Times New Roman" w:cs="Times New Roman"/>
          <w:sz w:val="28"/>
          <w:szCs w:val="28"/>
        </w:rPr>
        <w:t>non rara</w:t>
      </w:r>
      <w:r w:rsidR="00F2126B">
        <w:rPr>
          <w:rFonts w:ascii="Times New Roman" w:hAnsi="Times New Roman" w:cs="Times New Roman"/>
          <w:sz w:val="28"/>
          <w:szCs w:val="28"/>
        </w:rPr>
        <w:t>,</w:t>
      </w:r>
      <w:r>
        <w:rPr>
          <w:rFonts w:ascii="Times New Roman" w:hAnsi="Times New Roman" w:cs="Times New Roman"/>
          <w:sz w:val="28"/>
          <w:szCs w:val="28"/>
        </w:rPr>
        <w:t xml:space="preserve"> di conflitti tra norme di rango diverso e di differente gerarchia</w:t>
      </w:r>
      <w:r w:rsidR="005C1098">
        <w:rPr>
          <w:rFonts w:ascii="Times New Roman" w:hAnsi="Times New Roman" w:cs="Times New Roman"/>
          <w:sz w:val="28"/>
          <w:szCs w:val="28"/>
        </w:rPr>
        <w:t>,</w:t>
      </w:r>
      <w:r>
        <w:rPr>
          <w:rFonts w:ascii="Times New Roman" w:hAnsi="Times New Roman" w:cs="Times New Roman"/>
          <w:sz w:val="28"/>
          <w:szCs w:val="28"/>
        </w:rPr>
        <w:t xml:space="preserve"> con la necessità di meccanismi che consentano la </w:t>
      </w:r>
      <w:r w:rsidR="005C1098">
        <w:rPr>
          <w:rFonts w:ascii="Times New Roman" w:hAnsi="Times New Roman" w:cs="Times New Roman"/>
          <w:sz w:val="28"/>
          <w:szCs w:val="28"/>
        </w:rPr>
        <w:t>ri</w:t>
      </w:r>
      <w:r>
        <w:rPr>
          <w:rFonts w:ascii="Times New Roman" w:hAnsi="Times New Roman" w:cs="Times New Roman"/>
          <w:sz w:val="28"/>
          <w:szCs w:val="28"/>
        </w:rPr>
        <w:t>soluzione delle antinomie.</w:t>
      </w:r>
    </w:p>
    <w:p w:rsidR="000D7132" w:rsidRDefault="00487EFB"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Tra i </w:t>
      </w:r>
      <w:r w:rsidR="000D7132" w:rsidRPr="000D7132">
        <w:rPr>
          <w:rFonts w:ascii="Times New Roman" w:hAnsi="Times New Roman" w:cs="Times New Roman"/>
          <w:sz w:val="28"/>
          <w:szCs w:val="28"/>
        </w:rPr>
        <w:t>divers</w:t>
      </w:r>
      <w:r w:rsidR="0002246D">
        <w:rPr>
          <w:rFonts w:ascii="Times New Roman" w:hAnsi="Times New Roman" w:cs="Times New Roman"/>
          <w:sz w:val="28"/>
          <w:szCs w:val="28"/>
        </w:rPr>
        <w:t xml:space="preserve">i sistemi di </w:t>
      </w:r>
      <w:r>
        <w:rPr>
          <w:rFonts w:ascii="Times New Roman" w:hAnsi="Times New Roman" w:cs="Times New Roman"/>
          <w:sz w:val="28"/>
          <w:szCs w:val="28"/>
        </w:rPr>
        <w:t>ri</w:t>
      </w:r>
      <w:r w:rsidR="0002246D">
        <w:rPr>
          <w:rFonts w:ascii="Times New Roman" w:hAnsi="Times New Roman" w:cs="Times New Roman"/>
          <w:sz w:val="28"/>
          <w:szCs w:val="28"/>
        </w:rPr>
        <w:t>soluzione delle anti</w:t>
      </w:r>
      <w:r>
        <w:rPr>
          <w:rFonts w:ascii="Times New Roman" w:hAnsi="Times New Roman" w:cs="Times New Roman"/>
          <w:sz w:val="28"/>
          <w:szCs w:val="28"/>
        </w:rPr>
        <w:t xml:space="preserve">nomie normative, assieme alla disapplicazione e alla rimessione alla Corte Costituzionale, assume rilievo il rinvio pregiudiziale </w:t>
      </w:r>
      <w:r w:rsidR="005C1098">
        <w:rPr>
          <w:rFonts w:ascii="Times New Roman" w:hAnsi="Times New Roman" w:cs="Times New Roman"/>
          <w:sz w:val="28"/>
          <w:szCs w:val="28"/>
        </w:rPr>
        <w:t>disciplinato da</w:t>
      </w:r>
      <w:r>
        <w:rPr>
          <w:rFonts w:ascii="Times New Roman" w:hAnsi="Times New Roman" w:cs="Times New Roman"/>
          <w:sz w:val="28"/>
          <w:szCs w:val="28"/>
        </w:rPr>
        <w:t>ll’art. 267 del Trattato sul funzionamento dell’Unione europea (TFUE)</w:t>
      </w:r>
      <w:r>
        <w:rPr>
          <w:rStyle w:val="Rimandonotaapidipagina"/>
          <w:rFonts w:ascii="Times New Roman" w:hAnsi="Times New Roman" w:cs="Times New Roman"/>
          <w:sz w:val="28"/>
          <w:szCs w:val="28"/>
        </w:rPr>
        <w:footnoteReference w:id="3"/>
      </w:r>
      <w:r>
        <w:rPr>
          <w:rFonts w:ascii="Times New Roman" w:hAnsi="Times New Roman" w:cs="Times New Roman"/>
          <w:sz w:val="28"/>
          <w:szCs w:val="28"/>
        </w:rPr>
        <w:t>.</w:t>
      </w:r>
    </w:p>
    <w:p w:rsidR="00487EFB" w:rsidRDefault="00487EFB" w:rsidP="00B57E3D">
      <w:pPr>
        <w:spacing w:line="360" w:lineRule="auto"/>
        <w:ind w:firstLine="709"/>
        <w:jc w:val="both"/>
        <w:rPr>
          <w:rFonts w:ascii="Times New Roman" w:hAnsi="Times New Roman" w:cs="Times New Roman"/>
          <w:sz w:val="28"/>
          <w:szCs w:val="28"/>
        </w:rPr>
      </w:pPr>
    </w:p>
    <w:p w:rsidR="000D7132" w:rsidRPr="00507049" w:rsidRDefault="00507049" w:rsidP="00B57E3D">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w:t>
      </w:r>
      <w:r w:rsidRPr="00507049">
        <w:rPr>
          <w:rFonts w:ascii="Times New Roman" w:hAnsi="Times New Roman" w:cs="Times New Roman"/>
          <w:b/>
          <w:sz w:val="28"/>
          <w:szCs w:val="28"/>
        </w:rPr>
        <w:t xml:space="preserve">L’art. 267 del </w:t>
      </w:r>
      <w:r w:rsidR="005C1098" w:rsidRPr="005C1098">
        <w:rPr>
          <w:rFonts w:ascii="Times New Roman" w:hAnsi="Times New Roman" w:cs="Times New Roman"/>
          <w:b/>
          <w:sz w:val="28"/>
          <w:szCs w:val="28"/>
        </w:rPr>
        <w:t xml:space="preserve">Trattato sul funzionamento dell’Unione europea </w:t>
      </w:r>
      <w:r w:rsidR="005C1098">
        <w:rPr>
          <w:rFonts w:ascii="Times New Roman" w:hAnsi="Times New Roman" w:cs="Times New Roman"/>
          <w:b/>
          <w:sz w:val="28"/>
          <w:szCs w:val="28"/>
        </w:rPr>
        <w:t>(</w:t>
      </w:r>
      <w:r w:rsidRPr="00507049">
        <w:rPr>
          <w:rFonts w:ascii="Times New Roman" w:hAnsi="Times New Roman" w:cs="Times New Roman"/>
          <w:b/>
          <w:sz w:val="28"/>
          <w:szCs w:val="28"/>
        </w:rPr>
        <w:t>TFUE</w:t>
      </w:r>
      <w:r w:rsidR="005C1098">
        <w:rPr>
          <w:rFonts w:ascii="Times New Roman" w:hAnsi="Times New Roman" w:cs="Times New Roman"/>
          <w:b/>
          <w:sz w:val="28"/>
          <w:szCs w:val="28"/>
        </w:rPr>
        <w:t>)</w:t>
      </w:r>
      <w:r>
        <w:rPr>
          <w:rFonts w:ascii="Times New Roman" w:hAnsi="Times New Roman" w:cs="Times New Roman"/>
          <w:b/>
          <w:sz w:val="28"/>
          <w:szCs w:val="28"/>
        </w:rPr>
        <w:t>.</w:t>
      </w:r>
    </w:p>
    <w:p w:rsidR="005E30C8" w:rsidRDefault="005E30C8"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Il contenuto dell’art. 267 del TFUE è noto.</w:t>
      </w:r>
    </w:p>
    <w:p w:rsidR="005E30C8" w:rsidRDefault="005E30C8"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La CGUE si pronuncia, in via pregiudiziale, </w:t>
      </w:r>
      <w:r w:rsidR="00525301" w:rsidRPr="005E30C8">
        <w:rPr>
          <w:rFonts w:ascii="Times New Roman" w:hAnsi="Times New Roman" w:cs="Times New Roman"/>
          <w:sz w:val="28"/>
          <w:szCs w:val="28"/>
        </w:rPr>
        <w:t>su</w:t>
      </w:r>
      <w:r>
        <w:rPr>
          <w:rFonts w:ascii="Times New Roman" w:hAnsi="Times New Roman" w:cs="Times New Roman"/>
          <w:sz w:val="28"/>
          <w:szCs w:val="28"/>
        </w:rPr>
        <w:t xml:space="preserve">ll'interpretazione dei trattati e </w:t>
      </w:r>
      <w:r w:rsidR="00525301" w:rsidRPr="005E30C8">
        <w:rPr>
          <w:rFonts w:ascii="Times New Roman" w:hAnsi="Times New Roman" w:cs="Times New Roman"/>
          <w:sz w:val="28"/>
          <w:szCs w:val="28"/>
        </w:rPr>
        <w:t>sulla validità e l'interpretazione degli atti compiuti dall</w:t>
      </w:r>
      <w:r>
        <w:rPr>
          <w:rFonts w:ascii="Times New Roman" w:hAnsi="Times New Roman" w:cs="Times New Roman"/>
          <w:sz w:val="28"/>
          <w:szCs w:val="28"/>
        </w:rPr>
        <w:t>’Unione.</w:t>
      </w:r>
    </w:p>
    <w:p w:rsidR="005E30C8" w:rsidRDefault="005E30C8"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Il rinvio pregiudiziale è riservato ai giudici degli Stati membri e presuppone che la pronuncia della Corte sia necessaria per decidere la controversia sottoposta all’esame del giudice.</w:t>
      </w:r>
    </w:p>
    <w:p w:rsidR="000A5BF4" w:rsidRDefault="005E30C8"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Costituisce una facoltà che però diviene un obbligo allorquando la questione di </w:t>
      </w:r>
      <w:r w:rsidR="000A5BF4">
        <w:rPr>
          <w:rFonts w:ascii="Times New Roman" w:hAnsi="Times New Roman" w:cs="Times New Roman"/>
          <w:sz w:val="28"/>
          <w:szCs w:val="28"/>
        </w:rPr>
        <w:t>interpretazione</w:t>
      </w:r>
      <w:r>
        <w:rPr>
          <w:rFonts w:ascii="Times New Roman" w:hAnsi="Times New Roman" w:cs="Times New Roman"/>
          <w:sz w:val="28"/>
          <w:szCs w:val="28"/>
        </w:rPr>
        <w:t xml:space="preserve"> dei trattati o di validità ed </w:t>
      </w:r>
      <w:r w:rsidR="000A5BF4">
        <w:rPr>
          <w:rFonts w:ascii="Times New Roman" w:hAnsi="Times New Roman" w:cs="Times New Roman"/>
          <w:sz w:val="28"/>
          <w:szCs w:val="28"/>
        </w:rPr>
        <w:t>interpretazione</w:t>
      </w:r>
      <w:r>
        <w:rPr>
          <w:rFonts w:ascii="Times New Roman" w:hAnsi="Times New Roman" w:cs="Times New Roman"/>
          <w:sz w:val="28"/>
          <w:szCs w:val="28"/>
        </w:rPr>
        <w:t xml:space="preserve"> degli atti dell’Unione </w:t>
      </w:r>
      <w:r w:rsidR="000A5BF4">
        <w:rPr>
          <w:rFonts w:ascii="Times New Roman" w:hAnsi="Times New Roman" w:cs="Times New Roman"/>
          <w:sz w:val="28"/>
          <w:szCs w:val="28"/>
        </w:rPr>
        <w:t>“</w:t>
      </w:r>
      <w:r w:rsidR="00525301" w:rsidRPr="000A5BF4">
        <w:rPr>
          <w:rFonts w:ascii="Times New Roman" w:hAnsi="Times New Roman" w:cs="Times New Roman"/>
          <w:i/>
          <w:sz w:val="28"/>
          <w:szCs w:val="28"/>
        </w:rPr>
        <w:t xml:space="preserve">è sollevata in un giudizio pendente davanti a un organo giurisdizionale nazionale, </w:t>
      </w:r>
      <w:r w:rsidR="00525301" w:rsidRPr="000A5BF4">
        <w:rPr>
          <w:rFonts w:ascii="Times New Roman" w:hAnsi="Times New Roman" w:cs="Times New Roman"/>
          <w:i/>
          <w:sz w:val="28"/>
          <w:szCs w:val="28"/>
        </w:rPr>
        <w:lastRenderedPageBreak/>
        <w:t>avverso le cui decisioni non possa proporsi un ricorso giurisdizionale di diritto interno</w:t>
      </w:r>
      <w:r w:rsidR="000A5BF4">
        <w:rPr>
          <w:rFonts w:ascii="Times New Roman" w:hAnsi="Times New Roman" w:cs="Times New Roman"/>
          <w:sz w:val="28"/>
          <w:szCs w:val="28"/>
        </w:rPr>
        <w:t>”.</w:t>
      </w:r>
    </w:p>
    <w:p w:rsidR="007421C1" w:rsidRDefault="007421C1" w:rsidP="00B57E3D">
      <w:pPr>
        <w:spacing w:line="360" w:lineRule="auto"/>
        <w:ind w:firstLine="709"/>
        <w:jc w:val="both"/>
        <w:rPr>
          <w:rFonts w:ascii="Times New Roman" w:hAnsi="Times New Roman" w:cs="Times New Roman"/>
          <w:sz w:val="28"/>
          <w:szCs w:val="28"/>
        </w:rPr>
      </w:pPr>
      <w:r w:rsidRPr="007421C1">
        <w:rPr>
          <w:rFonts w:ascii="Times New Roman" w:hAnsi="Times New Roman" w:cs="Times New Roman"/>
          <w:sz w:val="28"/>
          <w:szCs w:val="28"/>
        </w:rPr>
        <w:t xml:space="preserve">Quindi, </w:t>
      </w:r>
      <w:r w:rsidR="005C1098">
        <w:rPr>
          <w:rFonts w:ascii="Times New Roman" w:hAnsi="Times New Roman" w:cs="Times New Roman"/>
          <w:sz w:val="28"/>
          <w:szCs w:val="28"/>
        </w:rPr>
        <w:t>poiché</w:t>
      </w:r>
      <w:r>
        <w:rPr>
          <w:rFonts w:ascii="Times New Roman" w:hAnsi="Times New Roman" w:cs="Times New Roman"/>
          <w:sz w:val="28"/>
          <w:szCs w:val="28"/>
        </w:rPr>
        <w:t xml:space="preserve"> il Consiglio di Stato </w:t>
      </w:r>
      <w:r w:rsidR="005C1098">
        <w:rPr>
          <w:rFonts w:ascii="Times New Roman" w:hAnsi="Times New Roman" w:cs="Times New Roman"/>
          <w:sz w:val="28"/>
          <w:szCs w:val="28"/>
        </w:rPr>
        <w:t xml:space="preserve">è </w:t>
      </w:r>
      <w:r>
        <w:rPr>
          <w:rFonts w:ascii="Times New Roman" w:hAnsi="Times New Roman" w:cs="Times New Roman"/>
          <w:sz w:val="28"/>
          <w:szCs w:val="28"/>
        </w:rPr>
        <w:t xml:space="preserve">una giurisdizione superiore, </w:t>
      </w:r>
      <w:r w:rsidR="005C1098">
        <w:rPr>
          <w:rFonts w:ascii="Times New Roman" w:hAnsi="Times New Roman" w:cs="Times New Roman"/>
          <w:sz w:val="28"/>
          <w:szCs w:val="28"/>
        </w:rPr>
        <w:t xml:space="preserve">facendo parte </w:t>
      </w:r>
      <w:r>
        <w:rPr>
          <w:rFonts w:ascii="Times New Roman" w:hAnsi="Times New Roman" w:cs="Times New Roman"/>
          <w:sz w:val="28"/>
          <w:szCs w:val="28"/>
        </w:rPr>
        <w:t xml:space="preserve">insieme alla Corte di Cassazione </w:t>
      </w:r>
      <w:r w:rsidR="005C1098">
        <w:rPr>
          <w:rFonts w:ascii="Times New Roman" w:hAnsi="Times New Roman" w:cs="Times New Roman"/>
          <w:sz w:val="28"/>
          <w:szCs w:val="28"/>
        </w:rPr>
        <w:t xml:space="preserve">e </w:t>
      </w:r>
      <w:r>
        <w:rPr>
          <w:rFonts w:ascii="Times New Roman" w:hAnsi="Times New Roman" w:cs="Times New Roman"/>
          <w:sz w:val="28"/>
          <w:szCs w:val="28"/>
        </w:rPr>
        <w:t xml:space="preserve">alla Corte dei Conti </w:t>
      </w:r>
      <w:r w:rsidR="005C1098">
        <w:rPr>
          <w:rFonts w:ascii="Times New Roman" w:hAnsi="Times New Roman" w:cs="Times New Roman"/>
          <w:sz w:val="28"/>
          <w:szCs w:val="28"/>
        </w:rPr>
        <w:t>del</w:t>
      </w:r>
      <w:r>
        <w:rPr>
          <w:rFonts w:ascii="Times New Roman" w:hAnsi="Times New Roman" w:cs="Times New Roman"/>
          <w:sz w:val="28"/>
          <w:szCs w:val="28"/>
        </w:rPr>
        <w:t xml:space="preserve">le </w:t>
      </w:r>
      <w:r w:rsidRPr="007421C1">
        <w:rPr>
          <w:rFonts w:ascii="Times New Roman" w:hAnsi="Times New Roman" w:cs="Times New Roman"/>
          <w:sz w:val="28"/>
          <w:szCs w:val="28"/>
        </w:rPr>
        <w:t>supreme magistrature ordinaria ed amministrative</w:t>
      </w:r>
      <w:r>
        <w:rPr>
          <w:rFonts w:ascii="Times New Roman" w:hAnsi="Times New Roman" w:cs="Times New Roman"/>
          <w:sz w:val="28"/>
          <w:szCs w:val="28"/>
        </w:rPr>
        <w:t xml:space="preserve"> (art. 135 Cost.), lo stesso è tenuto</w:t>
      </w:r>
      <w:r w:rsidR="005C1098">
        <w:rPr>
          <w:rFonts w:ascii="Times New Roman" w:hAnsi="Times New Roman" w:cs="Times New Roman"/>
          <w:sz w:val="28"/>
          <w:szCs w:val="28"/>
        </w:rPr>
        <w:t>, in presenza delle condizioni previste, a rivolgersi alla CGUE.</w:t>
      </w:r>
    </w:p>
    <w:p w:rsidR="00525301" w:rsidRPr="007421C1" w:rsidRDefault="007421C1"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L’obbligo del rinvio pregiudiziale, tuttavia, non è esclusivo del giudice amministrativo di appello.</w:t>
      </w:r>
    </w:p>
    <w:p w:rsidR="007421C1" w:rsidRPr="007421C1" w:rsidRDefault="007421C1"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Esso</w:t>
      </w:r>
      <w:r w:rsidRPr="007421C1">
        <w:rPr>
          <w:rFonts w:ascii="Times New Roman" w:hAnsi="Times New Roman" w:cs="Times New Roman"/>
          <w:sz w:val="28"/>
          <w:szCs w:val="28"/>
        </w:rPr>
        <w:t xml:space="preserve"> talvolta ri</w:t>
      </w:r>
      <w:r>
        <w:rPr>
          <w:rFonts w:ascii="Times New Roman" w:hAnsi="Times New Roman" w:cs="Times New Roman"/>
          <w:sz w:val="28"/>
          <w:szCs w:val="28"/>
        </w:rPr>
        <w:t>guarda anche il giudice di primo grado</w:t>
      </w:r>
      <w:r w:rsidR="005C1098">
        <w:rPr>
          <w:rFonts w:ascii="Times New Roman" w:hAnsi="Times New Roman" w:cs="Times New Roman"/>
          <w:sz w:val="28"/>
          <w:szCs w:val="28"/>
        </w:rPr>
        <w:t xml:space="preserve">; il che accade </w:t>
      </w:r>
      <w:r w:rsidRPr="007421C1">
        <w:rPr>
          <w:rFonts w:ascii="Times New Roman" w:hAnsi="Times New Roman" w:cs="Times New Roman"/>
          <w:sz w:val="28"/>
          <w:szCs w:val="28"/>
        </w:rPr>
        <w:t>nelle c.d. pregiudiziali di validità, non essendo consentito al giudice nazionale di annullare atti amministrativi di organi unionali di cui si contesti la validità innan</w:t>
      </w:r>
      <w:r w:rsidR="00C82562">
        <w:rPr>
          <w:rFonts w:ascii="Times New Roman" w:hAnsi="Times New Roman" w:cs="Times New Roman"/>
          <w:sz w:val="28"/>
          <w:szCs w:val="28"/>
        </w:rPr>
        <w:t>zi alle giurisdizioni nazionali</w:t>
      </w:r>
      <w:r w:rsidR="00C82562">
        <w:rPr>
          <w:rStyle w:val="Rimandonotaapidipagina"/>
          <w:rFonts w:ascii="Times New Roman" w:hAnsi="Times New Roman" w:cs="Times New Roman"/>
          <w:sz w:val="28"/>
          <w:szCs w:val="28"/>
        </w:rPr>
        <w:footnoteReference w:id="4"/>
      </w:r>
      <w:r w:rsidR="00C82562">
        <w:rPr>
          <w:rFonts w:ascii="Times New Roman" w:hAnsi="Times New Roman" w:cs="Times New Roman"/>
          <w:sz w:val="28"/>
          <w:szCs w:val="28"/>
        </w:rPr>
        <w:t>.</w:t>
      </w:r>
    </w:p>
    <w:p w:rsidR="007421C1" w:rsidRPr="007421C1" w:rsidRDefault="007421C1" w:rsidP="00B57E3D">
      <w:pPr>
        <w:spacing w:line="360" w:lineRule="auto"/>
        <w:ind w:firstLine="709"/>
        <w:jc w:val="both"/>
        <w:rPr>
          <w:rFonts w:ascii="Times New Roman" w:hAnsi="Times New Roman" w:cs="Times New Roman"/>
          <w:sz w:val="28"/>
          <w:szCs w:val="28"/>
        </w:rPr>
      </w:pPr>
      <w:r w:rsidRPr="007421C1">
        <w:rPr>
          <w:rFonts w:ascii="Times New Roman" w:hAnsi="Times New Roman" w:cs="Times New Roman"/>
          <w:sz w:val="28"/>
          <w:szCs w:val="28"/>
        </w:rPr>
        <w:t xml:space="preserve">I giudici nazionali possono non rimettere una questione di validità se ritengono l’atto comunitario valido. Ciò alla luce del principio di conservazione degli atti che la </w:t>
      </w:r>
      <w:r>
        <w:rPr>
          <w:rFonts w:ascii="Times New Roman" w:hAnsi="Times New Roman" w:cs="Times New Roman"/>
          <w:sz w:val="28"/>
          <w:szCs w:val="28"/>
        </w:rPr>
        <w:t xml:space="preserve">CGUE </w:t>
      </w:r>
      <w:r w:rsidRPr="007421C1">
        <w:rPr>
          <w:rFonts w:ascii="Times New Roman" w:hAnsi="Times New Roman" w:cs="Times New Roman"/>
          <w:sz w:val="28"/>
          <w:szCs w:val="28"/>
        </w:rPr>
        <w:t xml:space="preserve">riconosce. </w:t>
      </w:r>
      <w:r w:rsidR="006724BD">
        <w:rPr>
          <w:rFonts w:ascii="Times New Roman" w:hAnsi="Times New Roman" w:cs="Times New Roman"/>
          <w:sz w:val="28"/>
          <w:szCs w:val="28"/>
        </w:rPr>
        <w:t>Ossia</w:t>
      </w:r>
      <w:r w:rsidRPr="007421C1">
        <w:rPr>
          <w:rFonts w:ascii="Times New Roman" w:hAnsi="Times New Roman" w:cs="Times New Roman"/>
          <w:sz w:val="28"/>
          <w:szCs w:val="28"/>
        </w:rPr>
        <w:t xml:space="preserve"> non devono rimettere se ritengono l’atto valido ma solo quando dubitano della sua invalidità.</w:t>
      </w:r>
    </w:p>
    <w:p w:rsidR="007421C1" w:rsidRDefault="007421C1" w:rsidP="00B57E3D">
      <w:pPr>
        <w:spacing w:line="360" w:lineRule="auto"/>
        <w:ind w:firstLine="709"/>
        <w:jc w:val="both"/>
        <w:rPr>
          <w:rFonts w:ascii="Times New Roman" w:hAnsi="Times New Roman" w:cs="Times New Roman"/>
          <w:sz w:val="28"/>
          <w:szCs w:val="28"/>
        </w:rPr>
      </w:pPr>
    </w:p>
    <w:p w:rsidR="00CA3FDB" w:rsidRPr="00507049" w:rsidRDefault="00CA3FDB" w:rsidP="00B57E3D">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 Funzione e natura del rinvio pregiudiziale.</w:t>
      </w:r>
    </w:p>
    <w:p w:rsidR="00CE6E98" w:rsidRDefault="00CA3FDB"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Il rinvio pregiudiziale alla CGUE rappresenta</w:t>
      </w:r>
      <w:r w:rsidR="00525301" w:rsidRPr="00CA3FDB">
        <w:rPr>
          <w:rFonts w:ascii="Times New Roman" w:hAnsi="Times New Roman" w:cs="Times New Roman"/>
          <w:sz w:val="28"/>
          <w:szCs w:val="28"/>
        </w:rPr>
        <w:t xml:space="preserve"> uno</w:t>
      </w:r>
      <w:r w:rsidR="003C33C5" w:rsidRPr="00CA3FDB">
        <w:rPr>
          <w:rFonts w:ascii="Times New Roman" w:hAnsi="Times New Roman" w:cs="Times New Roman"/>
          <w:sz w:val="28"/>
          <w:szCs w:val="28"/>
        </w:rPr>
        <w:t xml:space="preserve"> strumento di ordine e di sviluppo </w:t>
      </w:r>
      <w:r w:rsidR="00B87DB4" w:rsidRPr="00CA3FDB">
        <w:rPr>
          <w:rFonts w:ascii="Times New Roman" w:hAnsi="Times New Roman" w:cs="Times New Roman"/>
          <w:sz w:val="28"/>
          <w:szCs w:val="28"/>
        </w:rPr>
        <w:t>dei sistemi giuridici nazionali</w:t>
      </w:r>
      <w:r w:rsidR="00FF5C18" w:rsidRPr="00CA3FDB">
        <w:rPr>
          <w:rFonts w:ascii="Times New Roman" w:hAnsi="Times New Roman" w:cs="Times New Roman"/>
          <w:sz w:val="28"/>
          <w:szCs w:val="28"/>
        </w:rPr>
        <w:t>.</w:t>
      </w:r>
    </w:p>
    <w:p w:rsidR="00CA3FDB" w:rsidRPr="00CA3FDB" w:rsidRDefault="00CA3FDB"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Sottolineo strumento di ordine e di sviluppo: il primo nel senso di </w:t>
      </w:r>
      <w:r w:rsidR="005C1098">
        <w:rPr>
          <w:rFonts w:ascii="Times New Roman" w:hAnsi="Times New Roman" w:cs="Times New Roman"/>
          <w:sz w:val="28"/>
          <w:szCs w:val="28"/>
        </w:rPr>
        <w:t>regolare</w:t>
      </w:r>
      <w:r>
        <w:rPr>
          <w:rFonts w:ascii="Times New Roman" w:hAnsi="Times New Roman" w:cs="Times New Roman"/>
          <w:sz w:val="28"/>
          <w:szCs w:val="28"/>
        </w:rPr>
        <w:t xml:space="preserve"> le interrelazioni tra il diritto interno degli Stati membri e le norme europee; il secondo tendente alla crescita e al miglioramento delle diverse normative interne nella direttrice di una visione comunitaria.</w:t>
      </w:r>
    </w:p>
    <w:p w:rsidR="00921668" w:rsidRPr="00921668" w:rsidRDefault="00921668" w:rsidP="00B57E3D">
      <w:pPr>
        <w:spacing w:line="360" w:lineRule="auto"/>
        <w:ind w:firstLine="709"/>
        <w:jc w:val="both"/>
        <w:rPr>
          <w:rFonts w:ascii="Times New Roman" w:hAnsi="Times New Roman" w:cs="Times New Roman"/>
          <w:sz w:val="28"/>
          <w:szCs w:val="28"/>
        </w:rPr>
      </w:pPr>
      <w:r>
        <w:rPr>
          <w:rFonts w:ascii="Times New Roman" w:hAnsi="Times New Roman" w:cs="Times New Roman"/>
          <w:caps/>
          <w:sz w:val="28"/>
          <w:szCs w:val="28"/>
        </w:rPr>
        <w:lastRenderedPageBreak/>
        <w:t>L</w:t>
      </w:r>
      <w:r>
        <w:rPr>
          <w:rFonts w:ascii="Times New Roman" w:hAnsi="Times New Roman" w:cs="Times New Roman"/>
          <w:sz w:val="28"/>
          <w:szCs w:val="28"/>
        </w:rPr>
        <w:t xml:space="preserve">a funzione </w:t>
      </w:r>
      <w:r w:rsidR="00CA3FDB">
        <w:rPr>
          <w:rFonts w:ascii="Times New Roman" w:hAnsi="Times New Roman" w:cs="Times New Roman"/>
          <w:sz w:val="28"/>
          <w:szCs w:val="28"/>
        </w:rPr>
        <w:t>principale d</w:t>
      </w:r>
      <w:r w:rsidR="006724BD">
        <w:rPr>
          <w:rFonts w:ascii="Times New Roman" w:hAnsi="Times New Roman" w:cs="Times New Roman"/>
          <w:sz w:val="28"/>
          <w:szCs w:val="28"/>
        </w:rPr>
        <w:t>el rinvio pregiudiziale è quella</w:t>
      </w:r>
      <w:r>
        <w:rPr>
          <w:rFonts w:ascii="Times New Roman" w:hAnsi="Times New Roman" w:cs="Times New Roman"/>
          <w:sz w:val="28"/>
          <w:szCs w:val="28"/>
        </w:rPr>
        <w:t xml:space="preserve"> di assicurare in sede decentrata l’uniforme applicazione del diritto dell’</w:t>
      </w:r>
      <w:r w:rsidR="006724BD">
        <w:rPr>
          <w:rFonts w:ascii="Times New Roman" w:hAnsi="Times New Roman" w:cs="Times New Roman"/>
          <w:sz w:val="28"/>
          <w:szCs w:val="28"/>
        </w:rPr>
        <w:t>Unione europea (</w:t>
      </w:r>
      <w:r>
        <w:rPr>
          <w:rFonts w:ascii="Times New Roman" w:hAnsi="Times New Roman" w:cs="Times New Roman"/>
          <w:sz w:val="28"/>
          <w:szCs w:val="28"/>
        </w:rPr>
        <w:t>UE</w:t>
      </w:r>
      <w:r w:rsidR="006724BD">
        <w:rPr>
          <w:rFonts w:ascii="Times New Roman" w:hAnsi="Times New Roman" w:cs="Times New Roman"/>
          <w:sz w:val="28"/>
          <w:szCs w:val="28"/>
        </w:rPr>
        <w:t>)</w:t>
      </w:r>
      <w:r>
        <w:rPr>
          <w:rFonts w:ascii="Times New Roman" w:hAnsi="Times New Roman" w:cs="Times New Roman"/>
          <w:sz w:val="28"/>
          <w:szCs w:val="28"/>
        </w:rPr>
        <w:t xml:space="preserve"> e la sua efficacia.</w:t>
      </w:r>
    </w:p>
    <w:p w:rsidR="0011478D" w:rsidRPr="00CA3FDB" w:rsidRDefault="00FF5C18" w:rsidP="00B57E3D">
      <w:pPr>
        <w:spacing w:line="360" w:lineRule="auto"/>
        <w:ind w:firstLine="709"/>
        <w:jc w:val="both"/>
        <w:rPr>
          <w:rFonts w:ascii="Times New Roman" w:hAnsi="Times New Roman" w:cs="Times New Roman"/>
          <w:sz w:val="28"/>
          <w:szCs w:val="28"/>
        </w:rPr>
      </w:pPr>
      <w:r w:rsidRPr="00CA3FDB">
        <w:rPr>
          <w:rFonts w:ascii="Times New Roman" w:hAnsi="Times New Roman" w:cs="Times New Roman"/>
          <w:sz w:val="28"/>
          <w:szCs w:val="28"/>
        </w:rPr>
        <w:t>Ma non è l’unico</w:t>
      </w:r>
      <w:r w:rsidR="009474B2" w:rsidRPr="00CA3FDB">
        <w:rPr>
          <w:rFonts w:ascii="Times New Roman" w:hAnsi="Times New Roman" w:cs="Times New Roman"/>
          <w:sz w:val="28"/>
          <w:szCs w:val="28"/>
        </w:rPr>
        <w:t xml:space="preserve"> strumento</w:t>
      </w:r>
      <w:r w:rsidRPr="00CA3FDB">
        <w:rPr>
          <w:rFonts w:ascii="Times New Roman" w:hAnsi="Times New Roman" w:cs="Times New Roman"/>
          <w:sz w:val="28"/>
          <w:szCs w:val="28"/>
        </w:rPr>
        <w:t>.</w:t>
      </w:r>
    </w:p>
    <w:p w:rsidR="00CD622F" w:rsidRDefault="0011478D" w:rsidP="00B57E3D">
      <w:pPr>
        <w:spacing w:line="360" w:lineRule="auto"/>
        <w:ind w:firstLine="709"/>
        <w:jc w:val="both"/>
        <w:rPr>
          <w:rFonts w:ascii="Times New Roman" w:hAnsi="Times New Roman" w:cs="Times New Roman"/>
          <w:sz w:val="28"/>
          <w:szCs w:val="28"/>
        </w:rPr>
      </w:pPr>
      <w:r w:rsidRPr="0011478D">
        <w:rPr>
          <w:rFonts w:ascii="Times New Roman" w:hAnsi="Times New Roman" w:cs="Times New Roman"/>
          <w:sz w:val="28"/>
          <w:szCs w:val="28"/>
        </w:rPr>
        <w:t xml:space="preserve">Anche </w:t>
      </w:r>
      <w:r w:rsidR="00CA3FDB">
        <w:rPr>
          <w:rFonts w:ascii="Times New Roman" w:hAnsi="Times New Roman" w:cs="Times New Roman"/>
          <w:sz w:val="28"/>
          <w:szCs w:val="28"/>
        </w:rPr>
        <w:t xml:space="preserve">la disapplicazione </w:t>
      </w:r>
      <w:r w:rsidR="00CD622F">
        <w:rPr>
          <w:rFonts w:ascii="Times New Roman" w:hAnsi="Times New Roman" w:cs="Times New Roman"/>
          <w:sz w:val="28"/>
          <w:szCs w:val="28"/>
        </w:rPr>
        <w:t xml:space="preserve">del </w:t>
      </w:r>
      <w:r w:rsidR="00CA3FDB">
        <w:rPr>
          <w:rFonts w:ascii="Times New Roman" w:hAnsi="Times New Roman" w:cs="Times New Roman"/>
          <w:sz w:val="28"/>
          <w:szCs w:val="28"/>
        </w:rPr>
        <w:t xml:space="preserve">diritto interno contrastante con il diritto europeo immediatamente applicabile svolge la funzione di assicurare la </w:t>
      </w:r>
      <w:r w:rsidR="00CD622F">
        <w:rPr>
          <w:rFonts w:ascii="Times New Roman" w:hAnsi="Times New Roman" w:cs="Times New Roman"/>
          <w:sz w:val="28"/>
          <w:szCs w:val="28"/>
        </w:rPr>
        <w:t>primazia</w:t>
      </w:r>
      <w:r w:rsidR="00CA3FDB">
        <w:rPr>
          <w:rFonts w:ascii="Times New Roman" w:hAnsi="Times New Roman" w:cs="Times New Roman"/>
          <w:sz w:val="28"/>
          <w:szCs w:val="28"/>
        </w:rPr>
        <w:t xml:space="preserve"> del secondo sul primo.</w:t>
      </w:r>
      <w:r w:rsidR="00CD622F">
        <w:rPr>
          <w:rFonts w:ascii="Times New Roman" w:hAnsi="Times New Roman" w:cs="Times New Roman"/>
          <w:sz w:val="28"/>
          <w:szCs w:val="28"/>
        </w:rPr>
        <w:t xml:space="preserve"> Ma essa è demandata </w:t>
      </w:r>
      <w:r w:rsidR="00CA3FDB">
        <w:rPr>
          <w:rFonts w:ascii="Times New Roman" w:hAnsi="Times New Roman" w:cs="Times New Roman"/>
          <w:sz w:val="28"/>
          <w:szCs w:val="28"/>
        </w:rPr>
        <w:t xml:space="preserve">all’iniziativa del giudice </w:t>
      </w:r>
      <w:r w:rsidR="00CD622F">
        <w:rPr>
          <w:rFonts w:ascii="Times New Roman" w:hAnsi="Times New Roman" w:cs="Times New Roman"/>
          <w:sz w:val="28"/>
          <w:szCs w:val="28"/>
        </w:rPr>
        <w:t>della controversia e,</w:t>
      </w:r>
      <w:r w:rsidR="00CA3FDB">
        <w:rPr>
          <w:rFonts w:ascii="Times New Roman" w:hAnsi="Times New Roman" w:cs="Times New Roman"/>
          <w:sz w:val="28"/>
          <w:szCs w:val="28"/>
        </w:rPr>
        <w:t xml:space="preserve"> pur rappresentandone un obbligo</w:t>
      </w:r>
      <w:r w:rsidR="00CD622F">
        <w:rPr>
          <w:rFonts w:ascii="Times New Roman" w:hAnsi="Times New Roman" w:cs="Times New Roman"/>
          <w:sz w:val="28"/>
          <w:szCs w:val="28"/>
        </w:rPr>
        <w:t>,</w:t>
      </w:r>
      <w:r w:rsidR="00CA3FDB">
        <w:rPr>
          <w:rFonts w:ascii="Times New Roman" w:hAnsi="Times New Roman" w:cs="Times New Roman"/>
          <w:sz w:val="28"/>
          <w:szCs w:val="28"/>
        </w:rPr>
        <w:t xml:space="preserve"> non </w:t>
      </w:r>
      <w:r w:rsidR="00CD622F">
        <w:rPr>
          <w:rFonts w:ascii="Times New Roman" w:hAnsi="Times New Roman" w:cs="Times New Roman"/>
          <w:sz w:val="28"/>
          <w:szCs w:val="28"/>
        </w:rPr>
        <w:t>riveste</w:t>
      </w:r>
      <w:r w:rsidR="00CA3FDB">
        <w:rPr>
          <w:rFonts w:ascii="Times New Roman" w:hAnsi="Times New Roman" w:cs="Times New Roman"/>
          <w:sz w:val="28"/>
          <w:szCs w:val="28"/>
        </w:rPr>
        <w:t xml:space="preserve"> certo la stessa efficacia che consegue</w:t>
      </w:r>
      <w:r w:rsidR="00CD622F">
        <w:rPr>
          <w:rFonts w:ascii="Times New Roman" w:hAnsi="Times New Roman" w:cs="Times New Roman"/>
          <w:sz w:val="28"/>
          <w:szCs w:val="28"/>
        </w:rPr>
        <w:t xml:space="preserve"> all’applicazione e all’interpretazione della normativa europea da parte della Corte di Giustizia. Soprattutto nell’ambito della certezza del diritto - bene comunque da</w:t>
      </w:r>
      <w:r w:rsidR="005C1098">
        <w:rPr>
          <w:rFonts w:ascii="Times New Roman" w:hAnsi="Times New Roman" w:cs="Times New Roman"/>
          <w:sz w:val="28"/>
          <w:szCs w:val="28"/>
        </w:rPr>
        <w:t xml:space="preserve"> ricercare,</w:t>
      </w:r>
      <w:r w:rsidR="00CD622F">
        <w:rPr>
          <w:rFonts w:ascii="Times New Roman" w:hAnsi="Times New Roman" w:cs="Times New Roman"/>
          <w:sz w:val="28"/>
          <w:szCs w:val="28"/>
        </w:rPr>
        <w:t xml:space="preserve"> salvaguardare e garantire - che non </w:t>
      </w:r>
      <w:r w:rsidR="005358A8">
        <w:rPr>
          <w:rFonts w:ascii="Times New Roman" w:hAnsi="Times New Roman" w:cs="Times New Roman"/>
          <w:sz w:val="28"/>
          <w:szCs w:val="28"/>
        </w:rPr>
        <w:t>è propria</w:t>
      </w:r>
      <w:r w:rsidR="005C1098">
        <w:rPr>
          <w:rFonts w:ascii="Times New Roman" w:hAnsi="Times New Roman" w:cs="Times New Roman"/>
          <w:sz w:val="28"/>
          <w:szCs w:val="28"/>
        </w:rPr>
        <w:t xml:space="preserve"> de</w:t>
      </w:r>
      <w:r w:rsidR="00CD622F">
        <w:rPr>
          <w:rFonts w:ascii="Times New Roman" w:hAnsi="Times New Roman" w:cs="Times New Roman"/>
          <w:sz w:val="28"/>
          <w:szCs w:val="28"/>
        </w:rPr>
        <w:t>lla disapplicazione</w:t>
      </w:r>
      <w:r w:rsidR="005C1098">
        <w:rPr>
          <w:rFonts w:ascii="Times New Roman" w:hAnsi="Times New Roman" w:cs="Times New Roman"/>
          <w:sz w:val="28"/>
          <w:szCs w:val="28"/>
        </w:rPr>
        <w:t>,</w:t>
      </w:r>
      <w:r w:rsidR="00CD622F">
        <w:rPr>
          <w:rFonts w:ascii="Times New Roman" w:hAnsi="Times New Roman" w:cs="Times New Roman"/>
          <w:sz w:val="28"/>
          <w:szCs w:val="28"/>
        </w:rPr>
        <w:t xml:space="preserve"> dato il suo carattere inciden</w:t>
      </w:r>
      <w:r w:rsidR="005C1098">
        <w:rPr>
          <w:rFonts w:ascii="Times New Roman" w:hAnsi="Times New Roman" w:cs="Times New Roman"/>
          <w:sz w:val="28"/>
          <w:szCs w:val="28"/>
        </w:rPr>
        <w:t>tale e relativo essendo limitata</w:t>
      </w:r>
      <w:r w:rsidR="006724BD">
        <w:rPr>
          <w:rFonts w:ascii="Times New Roman" w:hAnsi="Times New Roman" w:cs="Times New Roman"/>
          <w:sz w:val="28"/>
          <w:szCs w:val="28"/>
        </w:rPr>
        <w:t xml:space="preserve"> all’ambito della</w:t>
      </w:r>
      <w:r w:rsidR="00CD622F">
        <w:rPr>
          <w:rFonts w:ascii="Times New Roman" w:hAnsi="Times New Roman" w:cs="Times New Roman"/>
          <w:sz w:val="28"/>
          <w:szCs w:val="28"/>
        </w:rPr>
        <w:t xml:space="preserve"> specifica controversia sottoposta all’esame del giudice.</w:t>
      </w:r>
    </w:p>
    <w:p w:rsidR="00CD622F" w:rsidRDefault="00CD622F" w:rsidP="00B57E3D">
      <w:pPr>
        <w:spacing w:line="360" w:lineRule="auto"/>
        <w:ind w:firstLine="709"/>
        <w:jc w:val="both"/>
        <w:rPr>
          <w:rFonts w:ascii="Times New Roman" w:hAnsi="Times New Roman" w:cs="Times New Roman"/>
          <w:b/>
          <w:sz w:val="28"/>
          <w:szCs w:val="28"/>
        </w:rPr>
      </w:pPr>
    </w:p>
    <w:p w:rsidR="0011478D" w:rsidRDefault="00CD622F" w:rsidP="00B57E3D">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4. Il dialogo con la Corte di Giustizia.</w:t>
      </w:r>
    </w:p>
    <w:p w:rsidR="002D24E3" w:rsidRDefault="002D24E3"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L’importanza del dialogo con la Corte di giustizia consegue anche al particolare valore che rivestono i principi affermati dalle sentenze della stessa.</w:t>
      </w:r>
    </w:p>
    <w:p w:rsidR="002D24E3" w:rsidRDefault="00D12331" w:rsidP="00B57E3D">
      <w:pPr>
        <w:spacing w:line="360" w:lineRule="auto"/>
        <w:ind w:firstLine="709"/>
        <w:jc w:val="both"/>
        <w:rPr>
          <w:rFonts w:ascii="Times New Roman" w:hAnsi="Times New Roman" w:cs="Times New Roman"/>
          <w:sz w:val="28"/>
          <w:szCs w:val="28"/>
        </w:rPr>
      </w:pPr>
      <w:r w:rsidRPr="002D24E3">
        <w:rPr>
          <w:rFonts w:ascii="Times New Roman" w:hAnsi="Times New Roman" w:cs="Times New Roman"/>
          <w:sz w:val="28"/>
          <w:szCs w:val="28"/>
        </w:rPr>
        <w:t>Si tratta di normativa e</w:t>
      </w:r>
      <w:r w:rsidR="002D24E3">
        <w:rPr>
          <w:rFonts w:ascii="Times New Roman" w:hAnsi="Times New Roman" w:cs="Times New Roman"/>
          <w:sz w:val="28"/>
          <w:szCs w:val="28"/>
        </w:rPr>
        <w:t>uropea direttamente applicabile negli ordinamenti giuridici degli Stati membri, alla stregua dei principi del Trattato, dei regolamenti e delle direttive incondizionate e dettagliate una volta scaduto il termine per il loro recepimento.</w:t>
      </w:r>
    </w:p>
    <w:p w:rsidR="002D24E3" w:rsidRDefault="002D24E3"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Con rilevanti conseguenze sulla patologia dei provvedimenti amministrativi. I quali, se contrastano con normativa europea direttamente applicabile, sono invalidi, ossia annullabili da parte del giudice amministrativo, anche se si conformano a normativa interna che però contrasta con normativa europea direttamente applicabile.</w:t>
      </w:r>
    </w:p>
    <w:p w:rsidR="00A87FD7" w:rsidRPr="002D24E3" w:rsidRDefault="00D12331" w:rsidP="00B57E3D">
      <w:pPr>
        <w:spacing w:line="360" w:lineRule="auto"/>
        <w:ind w:firstLine="709"/>
        <w:jc w:val="both"/>
        <w:rPr>
          <w:rFonts w:ascii="Times New Roman" w:hAnsi="Times New Roman" w:cs="Times New Roman"/>
          <w:sz w:val="28"/>
          <w:szCs w:val="28"/>
        </w:rPr>
      </w:pPr>
      <w:r w:rsidRPr="002D24E3">
        <w:rPr>
          <w:rFonts w:ascii="Times New Roman" w:hAnsi="Times New Roman" w:cs="Times New Roman"/>
          <w:sz w:val="28"/>
          <w:szCs w:val="28"/>
        </w:rPr>
        <w:t>Parliamo</w:t>
      </w:r>
      <w:r w:rsidR="00A87FD7" w:rsidRPr="002D24E3">
        <w:rPr>
          <w:rFonts w:ascii="Times New Roman" w:hAnsi="Times New Roman" w:cs="Times New Roman"/>
          <w:sz w:val="28"/>
          <w:szCs w:val="28"/>
        </w:rPr>
        <w:t xml:space="preserve"> di un sistema di cooperazione diretta tra la </w:t>
      </w:r>
      <w:r w:rsidR="00C6016E">
        <w:rPr>
          <w:rFonts w:ascii="Times New Roman" w:hAnsi="Times New Roman" w:cs="Times New Roman"/>
          <w:sz w:val="28"/>
          <w:szCs w:val="28"/>
        </w:rPr>
        <w:t>Corte di Giustizia</w:t>
      </w:r>
      <w:r w:rsidR="00A87FD7" w:rsidRPr="002D24E3">
        <w:rPr>
          <w:rFonts w:ascii="Times New Roman" w:hAnsi="Times New Roman" w:cs="Times New Roman"/>
          <w:sz w:val="28"/>
          <w:szCs w:val="28"/>
        </w:rPr>
        <w:t xml:space="preserve"> e i giudici nazionali</w:t>
      </w:r>
      <w:r w:rsidR="003D18C5" w:rsidRPr="002D24E3">
        <w:rPr>
          <w:rFonts w:ascii="Times New Roman" w:hAnsi="Times New Roman" w:cs="Times New Roman"/>
          <w:sz w:val="28"/>
          <w:szCs w:val="28"/>
        </w:rPr>
        <w:t>, estraneo ad ogni iniziativa delle parti</w:t>
      </w:r>
      <w:r w:rsidR="00A87FD7" w:rsidRPr="002D24E3">
        <w:rPr>
          <w:rFonts w:ascii="Times New Roman" w:hAnsi="Times New Roman" w:cs="Times New Roman"/>
          <w:sz w:val="28"/>
          <w:szCs w:val="28"/>
        </w:rPr>
        <w:t>.</w:t>
      </w:r>
      <w:r w:rsidR="002D24E3">
        <w:rPr>
          <w:rFonts w:ascii="Times New Roman" w:hAnsi="Times New Roman" w:cs="Times New Roman"/>
          <w:sz w:val="28"/>
          <w:szCs w:val="28"/>
        </w:rPr>
        <w:t xml:space="preserve"> </w:t>
      </w:r>
      <w:r w:rsidR="00986A51" w:rsidRPr="002D24E3">
        <w:rPr>
          <w:rFonts w:ascii="Times New Roman" w:hAnsi="Times New Roman" w:cs="Times New Roman"/>
          <w:sz w:val="28"/>
          <w:szCs w:val="28"/>
        </w:rPr>
        <w:t>Nell’ambito dell’interpretazione e della corretta applicazione del diritto dell’UE.</w:t>
      </w:r>
    </w:p>
    <w:p w:rsidR="00986A51" w:rsidRPr="002D24E3" w:rsidRDefault="000D7132" w:rsidP="00B57E3D">
      <w:pPr>
        <w:spacing w:line="360" w:lineRule="auto"/>
        <w:ind w:firstLine="709"/>
        <w:jc w:val="both"/>
        <w:rPr>
          <w:rFonts w:ascii="Times New Roman" w:hAnsi="Times New Roman" w:cs="Times New Roman"/>
          <w:sz w:val="28"/>
          <w:szCs w:val="28"/>
        </w:rPr>
      </w:pPr>
      <w:r w:rsidRPr="002D24E3">
        <w:rPr>
          <w:rFonts w:ascii="Times New Roman" w:hAnsi="Times New Roman" w:cs="Times New Roman"/>
          <w:sz w:val="28"/>
          <w:szCs w:val="28"/>
        </w:rPr>
        <w:t>Il</w:t>
      </w:r>
      <w:r w:rsidR="00986A51" w:rsidRPr="002D24E3">
        <w:rPr>
          <w:rFonts w:ascii="Times New Roman" w:hAnsi="Times New Roman" w:cs="Times New Roman"/>
          <w:sz w:val="28"/>
          <w:szCs w:val="28"/>
        </w:rPr>
        <w:t xml:space="preserve"> dialogo</w:t>
      </w:r>
      <w:r w:rsidRPr="002D24E3">
        <w:rPr>
          <w:rFonts w:ascii="Times New Roman" w:hAnsi="Times New Roman" w:cs="Times New Roman"/>
          <w:sz w:val="28"/>
          <w:szCs w:val="28"/>
        </w:rPr>
        <w:t xml:space="preserve"> è </w:t>
      </w:r>
      <w:r w:rsidR="00986A51" w:rsidRPr="002D24E3">
        <w:rPr>
          <w:rFonts w:ascii="Times New Roman" w:hAnsi="Times New Roman" w:cs="Times New Roman"/>
          <w:sz w:val="28"/>
          <w:szCs w:val="28"/>
        </w:rPr>
        <w:t xml:space="preserve">tra giudici nazionali e la </w:t>
      </w:r>
      <w:r w:rsidR="00C6016E">
        <w:rPr>
          <w:rFonts w:ascii="Times New Roman" w:hAnsi="Times New Roman" w:cs="Times New Roman"/>
          <w:sz w:val="28"/>
          <w:szCs w:val="28"/>
        </w:rPr>
        <w:t>Corte</w:t>
      </w:r>
      <w:r w:rsidR="00986A51" w:rsidRPr="002D24E3">
        <w:rPr>
          <w:rFonts w:ascii="Times New Roman" w:hAnsi="Times New Roman" w:cs="Times New Roman"/>
          <w:sz w:val="28"/>
          <w:szCs w:val="28"/>
        </w:rPr>
        <w:t xml:space="preserve"> e non tra giudici e le par</w:t>
      </w:r>
      <w:r w:rsidR="00C6016E">
        <w:rPr>
          <w:rFonts w:ascii="Times New Roman" w:hAnsi="Times New Roman" w:cs="Times New Roman"/>
          <w:sz w:val="28"/>
          <w:szCs w:val="28"/>
        </w:rPr>
        <w:t>ti oppure tra le parti e la Corte</w:t>
      </w:r>
      <w:r w:rsidR="00986A51" w:rsidRPr="002D24E3">
        <w:rPr>
          <w:rFonts w:ascii="Times New Roman" w:hAnsi="Times New Roman" w:cs="Times New Roman"/>
          <w:sz w:val="28"/>
          <w:szCs w:val="28"/>
        </w:rPr>
        <w:t>.</w:t>
      </w:r>
    </w:p>
    <w:p w:rsidR="0002246D" w:rsidRDefault="0002246D" w:rsidP="00B57E3D">
      <w:pPr>
        <w:spacing w:line="360" w:lineRule="auto"/>
        <w:ind w:firstLine="709"/>
        <w:jc w:val="both"/>
        <w:rPr>
          <w:rFonts w:ascii="Times New Roman" w:hAnsi="Times New Roman" w:cs="Times New Roman"/>
          <w:sz w:val="28"/>
          <w:szCs w:val="28"/>
        </w:rPr>
      </w:pPr>
      <w:r w:rsidRPr="002D24E3">
        <w:rPr>
          <w:rFonts w:ascii="Times New Roman" w:hAnsi="Times New Roman" w:cs="Times New Roman"/>
          <w:sz w:val="28"/>
          <w:szCs w:val="28"/>
        </w:rPr>
        <w:t>Ma le parti</w:t>
      </w:r>
      <w:r w:rsidR="006724BD">
        <w:rPr>
          <w:rFonts w:ascii="Times New Roman" w:hAnsi="Times New Roman" w:cs="Times New Roman"/>
          <w:sz w:val="28"/>
          <w:szCs w:val="28"/>
        </w:rPr>
        <w:t>, e le loro tesi,</w:t>
      </w:r>
      <w:r w:rsidRPr="002D24E3">
        <w:rPr>
          <w:rFonts w:ascii="Times New Roman" w:hAnsi="Times New Roman" w:cs="Times New Roman"/>
          <w:sz w:val="28"/>
          <w:szCs w:val="28"/>
        </w:rPr>
        <w:t xml:space="preserve"> </w:t>
      </w:r>
      <w:r w:rsidR="006724BD">
        <w:rPr>
          <w:rFonts w:ascii="Times New Roman" w:hAnsi="Times New Roman" w:cs="Times New Roman"/>
          <w:sz w:val="28"/>
          <w:szCs w:val="28"/>
        </w:rPr>
        <w:t>non sono senza</w:t>
      </w:r>
      <w:r w:rsidRPr="002D24E3">
        <w:rPr>
          <w:rFonts w:ascii="Times New Roman" w:hAnsi="Times New Roman" w:cs="Times New Roman"/>
          <w:sz w:val="28"/>
          <w:szCs w:val="28"/>
        </w:rPr>
        <w:t xml:space="preserve"> rilevanza.</w:t>
      </w:r>
    </w:p>
    <w:p w:rsidR="002D24E3" w:rsidRDefault="006724BD"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Le parti</w:t>
      </w:r>
      <w:r w:rsidR="002D24E3">
        <w:rPr>
          <w:rFonts w:ascii="Times New Roman" w:hAnsi="Times New Roman" w:cs="Times New Roman"/>
          <w:sz w:val="28"/>
          <w:szCs w:val="28"/>
        </w:rPr>
        <w:t xml:space="preserve"> sono</w:t>
      </w:r>
      <w:r>
        <w:rPr>
          <w:rFonts w:ascii="Times New Roman" w:hAnsi="Times New Roman" w:cs="Times New Roman"/>
          <w:sz w:val="28"/>
          <w:szCs w:val="28"/>
        </w:rPr>
        <w:t>, insieme ai giudici,</w:t>
      </w:r>
      <w:r w:rsidR="002D24E3">
        <w:rPr>
          <w:rFonts w:ascii="Times New Roman" w:hAnsi="Times New Roman" w:cs="Times New Roman"/>
          <w:sz w:val="28"/>
          <w:szCs w:val="28"/>
        </w:rPr>
        <w:t xml:space="preserve"> </w:t>
      </w:r>
      <w:r>
        <w:rPr>
          <w:rFonts w:ascii="Times New Roman" w:hAnsi="Times New Roman" w:cs="Times New Roman"/>
          <w:sz w:val="28"/>
          <w:szCs w:val="28"/>
        </w:rPr>
        <w:t>i protagonisti</w:t>
      </w:r>
      <w:r w:rsidR="002D24E3">
        <w:rPr>
          <w:rFonts w:ascii="Times New Roman" w:hAnsi="Times New Roman" w:cs="Times New Roman"/>
          <w:sz w:val="28"/>
          <w:szCs w:val="28"/>
        </w:rPr>
        <w:t xml:space="preserve"> del processo amministrativo. Tanto è vero che il </w:t>
      </w:r>
      <w:r w:rsidR="009D4073">
        <w:rPr>
          <w:rFonts w:ascii="Times New Roman" w:hAnsi="Times New Roman" w:cs="Times New Roman"/>
          <w:sz w:val="28"/>
          <w:szCs w:val="28"/>
        </w:rPr>
        <w:t>c.p.a.</w:t>
      </w:r>
      <w:r w:rsidR="005358A8">
        <w:rPr>
          <w:rFonts w:ascii="Times New Roman" w:hAnsi="Times New Roman" w:cs="Times New Roman"/>
          <w:sz w:val="28"/>
          <w:szCs w:val="28"/>
        </w:rPr>
        <w:t>,</w:t>
      </w:r>
      <w:r w:rsidR="002D24E3">
        <w:rPr>
          <w:rFonts w:ascii="Times New Roman" w:hAnsi="Times New Roman" w:cs="Times New Roman"/>
          <w:sz w:val="28"/>
          <w:szCs w:val="28"/>
        </w:rPr>
        <w:t xml:space="preserve"> allorquando enuncia i principi della giurisdizione amministrativa, e in particolare quello della ragionevole durata del processo </w:t>
      </w:r>
      <w:r w:rsidR="009D4073">
        <w:rPr>
          <w:rFonts w:ascii="Times New Roman" w:hAnsi="Times New Roman" w:cs="Times New Roman"/>
          <w:sz w:val="28"/>
          <w:szCs w:val="28"/>
        </w:rPr>
        <w:t>(art. 2, comma 2</w:t>
      </w:r>
      <w:r w:rsidR="009D4073">
        <w:rPr>
          <w:rStyle w:val="Rimandonotaapidipagina"/>
          <w:rFonts w:ascii="Times New Roman" w:hAnsi="Times New Roman" w:cs="Times New Roman"/>
          <w:sz w:val="28"/>
          <w:szCs w:val="28"/>
        </w:rPr>
        <w:footnoteReference w:id="5"/>
      </w:r>
      <w:r w:rsidR="009D4073">
        <w:rPr>
          <w:rFonts w:ascii="Times New Roman" w:hAnsi="Times New Roman" w:cs="Times New Roman"/>
          <w:sz w:val="28"/>
          <w:szCs w:val="28"/>
        </w:rPr>
        <w:t xml:space="preserve">) </w:t>
      </w:r>
      <w:r w:rsidR="002D24E3">
        <w:rPr>
          <w:rFonts w:ascii="Times New Roman" w:hAnsi="Times New Roman" w:cs="Times New Roman"/>
          <w:sz w:val="28"/>
          <w:szCs w:val="28"/>
        </w:rPr>
        <w:t xml:space="preserve">e della </w:t>
      </w:r>
      <w:r w:rsidR="00C6016E">
        <w:rPr>
          <w:rFonts w:ascii="Times New Roman" w:hAnsi="Times New Roman" w:cs="Times New Roman"/>
          <w:sz w:val="28"/>
          <w:szCs w:val="28"/>
        </w:rPr>
        <w:t>sinteticità</w:t>
      </w:r>
      <w:r w:rsidR="002D24E3">
        <w:rPr>
          <w:rFonts w:ascii="Times New Roman" w:hAnsi="Times New Roman" w:cs="Times New Roman"/>
          <w:sz w:val="28"/>
          <w:szCs w:val="28"/>
        </w:rPr>
        <w:t xml:space="preserve"> </w:t>
      </w:r>
      <w:r w:rsidR="009D4073">
        <w:rPr>
          <w:rFonts w:ascii="Times New Roman" w:hAnsi="Times New Roman" w:cs="Times New Roman"/>
          <w:sz w:val="28"/>
          <w:szCs w:val="28"/>
        </w:rPr>
        <w:t>degli atti (art. 3, comma 2</w:t>
      </w:r>
      <w:r w:rsidR="009D4073">
        <w:rPr>
          <w:rStyle w:val="Rimandonotaapidipagina"/>
          <w:rFonts w:ascii="Times New Roman" w:hAnsi="Times New Roman" w:cs="Times New Roman"/>
          <w:sz w:val="28"/>
          <w:szCs w:val="28"/>
        </w:rPr>
        <w:footnoteReference w:id="6"/>
      </w:r>
      <w:r w:rsidR="009D4073">
        <w:rPr>
          <w:rFonts w:ascii="Times New Roman" w:hAnsi="Times New Roman" w:cs="Times New Roman"/>
          <w:sz w:val="28"/>
          <w:szCs w:val="28"/>
        </w:rPr>
        <w:t>)</w:t>
      </w:r>
      <w:r w:rsidR="00C6016E">
        <w:rPr>
          <w:rFonts w:ascii="Times New Roman" w:hAnsi="Times New Roman" w:cs="Times New Roman"/>
          <w:sz w:val="28"/>
          <w:szCs w:val="28"/>
        </w:rPr>
        <w:t>,</w:t>
      </w:r>
      <w:r w:rsidR="009D4073">
        <w:rPr>
          <w:rFonts w:ascii="Times New Roman" w:hAnsi="Times New Roman" w:cs="Times New Roman"/>
          <w:sz w:val="28"/>
          <w:szCs w:val="28"/>
        </w:rPr>
        <w:t xml:space="preserve"> </w:t>
      </w:r>
      <w:r w:rsidR="00C6016E">
        <w:rPr>
          <w:rFonts w:ascii="Times New Roman" w:hAnsi="Times New Roman" w:cs="Times New Roman"/>
          <w:sz w:val="28"/>
          <w:szCs w:val="28"/>
        </w:rPr>
        <w:t>si riferisce</w:t>
      </w:r>
      <w:r w:rsidR="002D24E3">
        <w:rPr>
          <w:rFonts w:ascii="Times New Roman" w:hAnsi="Times New Roman" w:cs="Times New Roman"/>
          <w:sz w:val="28"/>
          <w:szCs w:val="28"/>
        </w:rPr>
        <w:t xml:space="preserve"> </w:t>
      </w:r>
      <w:r w:rsidR="009D4073">
        <w:rPr>
          <w:rFonts w:ascii="Times New Roman" w:hAnsi="Times New Roman" w:cs="Times New Roman"/>
          <w:sz w:val="28"/>
          <w:szCs w:val="28"/>
        </w:rPr>
        <w:t xml:space="preserve">non solo </w:t>
      </w:r>
      <w:r w:rsidR="002D24E3">
        <w:rPr>
          <w:rFonts w:ascii="Times New Roman" w:hAnsi="Times New Roman" w:cs="Times New Roman"/>
          <w:sz w:val="28"/>
          <w:szCs w:val="28"/>
        </w:rPr>
        <w:t xml:space="preserve">al giudice </w:t>
      </w:r>
      <w:r w:rsidR="009D4073">
        <w:rPr>
          <w:rFonts w:ascii="Times New Roman" w:hAnsi="Times New Roman" w:cs="Times New Roman"/>
          <w:sz w:val="28"/>
          <w:szCs w:val="28"/>
        </w:rPr>
        <w:t>ma anche</w:t>
      </w:r>
      <w:r w:rsidR="002D24E3">
        <w:rPr>
          <w:rFonts w:ascii="Times New Roman" w:hAnsi="Times New Roman" w:cs="Times New Roman"/>
          <w:sz w:val="28"/>
          <w:szCs w:val="28"/>
        </w:rPr>
        <w:t xml:space="preserve"> alle parti.</w:t>
      </w:r>
    </w:p>
    <w:p w:rsidR="00986A51" w:rsidRPr="009D4073" w:rsidRDefault="009D4073"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tutto, comunque, è </w:t>
      </w:r>
      <w:r w:rsidR="00F818EC" w:rsidRPr="009D4073">
        <w:rPr>
          <w:rFonts w:ascii="Times New Roman" w:hAnsi="Times New Roman" w:cs="Times New Roman"/>
          <w:sz w:val="28"/>
          <w:szCs w:val="28"/>
        </w:rPr>
        <w:t>sempre finalizzato alla risoluzione della controversia sottoposta all’esame del giudice.</w:t>
      </w:r>
      <w:r>
        <w:rPr>
          <w:rFonts w:ascii="Times New Roman" w:hAnsi="Times New Roman" w:cs="Times New Roman"/>
          <w:sz w:val="28"/>
          <w:szCs w:val="28"/>
        </w:rPr>
        <w:t xml:space="preserve"> Ossia il rinvio pregiudiziale deve essere rilevante, per cui l’interpretazione del </w:t>
      </w:r>
      <w:r w:rsidR="00C6016E">
        <w:rPr>
          <w:rFonts w:ascii="Times New Roman" w:hAnsi="Times New Roman" w:cs="Times New Roman"/>
          <w:sz w:val="28"/>
          <w:szCs w:val="28"/>
        </w:rPr>
        <w:t>diritto fornita dalla Corte di G</w:t>
      </w:r>
      <w:r>
        <w:rPr>
          <w:rFonts w:ascii="Times New Roman" w:hAnsi="Times New Roman" w:cs="Times New Roman"/>
          <w:sz w:val="28"/>
          <w:szCs w:val="28"/>
        </w:rPr>
        <w:t>iustizia deve servire a risolvere un caso pratico.</w:t>
      </w:r>
    </w:p>
    <w:p w:rsidR="000D7132" w:rsidRPr="009D4073" w:rsidRDefault="00117F53"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È</w:t>
      </w:r>
      <w:r w:rsidR="008305F9">
        <w:rPr>
          <w:rFonts w:ascii="Times New Roman" w:hAnsi="Times New Roman" w:cs="Times New Roman"/>
          <w:sz w:val="28"/>
          <w:szCs w:val="28"/>
        </w:rPr>
        <w:t xml:space="preserve"> i</w:t>
      </w:r>
      <w:r w:rsidR="009D4073">
        <w:rPr>
          <w:rFonts w:ascii="Times New Roman" w:hAnsi="Times New Roman" w:cs="Times New Roman"/>
          <w:sz w:val="28"/>
          <w:szCs w:val="28"/>
        </w:rPr>
        <w:t xml:space="preserve">noltre importante tenere presente, </w:t>
      </w:r>
      <w:r w:rsidR="009D4073" w:rsidRPr="009D4073">
        <w:rPr>
          <w:rFonts w:ascii="Times New Roman" w:hAnsi="Times New Roman" w:cs="Times New Roman"/>
          <w:sz w:val="28"/>
          <w:szCs w:val="28"/>
        </w:rPr>
        <w:t>oltre alla primazia del diritto europeo</w:t>
      </w:r>
      <w:r w:rsidR="009D4073">
        <w:rPr>
          <w:rFonts w:ascii="Times New Roman" w:hAnsi="Times New Roman" w:cs="Times New Roman"/>
          <w:sz w:val="28"/>
          <w:szCs w:val="28"/>
        </w:rPr>
        <w:t>, i</w:t>
      </w:r>
      <w:r w:rsidR="003D18C5" w:rsidRPr="009D4073">
        <w:rPr>
          <w:rFonts w:ascii="Times New Roman" w:hAnsi="Times New Roman" w:cs="Times New Roman"/>
          <w:sz w:val="28"/>
          <w:szCs w:val="28"/>
        </w:rPr>
        <w:t xml:space="preserve">l valore </w:t>
      </w:r>
      <w:r w:rsidR="009D4073">
        <w:rPr>
          <w:rFonts w:ascii="Times New Roman" w:hAnsi="Times New Roman" w:cs="Times New Roman"/>
          <w:sz w:val="28"/>
          <w:szCs w:val="28"/>
        </w:rPr>
        <w:t>di</w:t>
      </w:r>
      <w:r w:rsidR="003D18C5" w:rsidRPr="009D4073">
        <w:rPr>
          <w:rFonts w:ascii="Times New Roman" w:hAnsi="Times New Roman" w:cs="Times New Roman"/>
          <w:sz w:val="28"/>
          <w:szCs w:val="28"/>
        </w:rPr>
        <w:t xml:space="preserve"> altri principi</w:t>
      </w:r>
      <w:r w:rsidR="008305F9">
        <w:rPr>
          <w:rFonts w:ascii="Times New Roman" w:hAnsi="Times New Roman" w:cs="Times New Roman"/>
          <w:sz w:val="28"/>
          <w:szCs w:val="28"/>
        </w:rPr>
        <w:t>. Su di tutti:</w:t>
      </w:r>
    </w:p>
    <w:p w:rsidR="000D7132" w:rsidRPr="009D4073" w:rsidRDefault="000D7132" w:rsidP="00B57E3D">
      <w:pPr>
        <w:spacing w:line="360" w:lineRule="auto"/>
        <w:ind w:firstLine="709"/>
        <w:jc w:val="both"/>
        <w:rPr>
          <w:rFonts w:ascii="Times New Roman" w:hAnsi="Times New Roman" w:cs="Times New Roman"/>
          <w:sz w:val="28"/>
          <w:szCs w:val="28"/>
        </w:rPr>
      </w:pPr>
      <w:r w:rsidRPr="009D4073">
        <w:rPr>
          <w:rFonts w:ascii="Times New Roman" w:hAnsi="Times New Roman" w:cs="Times New Roman"/>
          <w:sz w:val="28"/>
          <w:szCs w:val="28"/>
        </w:rPr>
        <w:t xml:space="preserve">a) </w:t>
      </w:r>
      <w:r w:rsidR="008305F9">
        <w:rPr>
          <w:rFonts w:ascii="Times New Roman" w:hAnsi="Times New Roman" w:cs="Times New Roman"/>
          <w:sz w:val="28"/>
          <w:szCs w:val="28"/>
        </w:rPr>
        <w:t>l’</w:t>
      </w:r>
      <w:r w:rsidR="003D18C5" w:rsidRPr="009D4073">
        <w:rPr>
          <w:rFonts w:ascii="Times New Roman" w:hAnsi="Times New Roman" w:cs="Times New Roman"/>
          <w:sz w:val="28"/>
          <w:szCs w:val="28"/>
        </w:rPr>
        <w:t>indipendenza del giudice</w:t>
      </w:r>
      <w:r w:rsidRPr="009D4073">
        <w:rPr>
          <w:rFonts w:ascii="Times New Roman" w:hAnsi="Times New Roman" w:cs="Times New Roman"/>
          <w:sz w:val="28"/>
          <w:szCs w:val="28"/>
        </w:rPr>
        <w:t xml:space="preserve"> (elemento costitutivo dello Stato di diritto);</w:t>
      </w:r>
    </w:p>
    <w:p w:rsidR="003D18C5" w:rsidRDefault="000D7132" w:rsidP="00B57E3D">
      <w:pPr>
        <w:spacing w:line="360" w:lineRule="auto"/>
        <w:ind w:firstLine="709"/>
        <w:jc w:val="both"/>
        <w:rPr>
          <w:rFonts w:ascii="Times New Roman" w:hAnsi="Times New Roman" w:cs="Times New Roman"/>
          <w:sz w:val="28"/>
          <w:szCs w:val="28"/>
        </w:rPr>
      </w:pPr>
      <w:r w:rsidRPr="009D4073">
        <w:rPr>
          <w:rFonts w:ascii="Times New Roman" w:hAnsi="Times New Roman" w:cs="Times New Roman"/>
          <w:sz w:val="28"/>
          <w:szCs w:val="28"/>
        </w:rPr>
        <w:t xml:space="preserve">b) </w:t>
      </w:r>
      <w:r w:rsidR="008305F9">
        <w:rPr>
          <w:rFonts w:ascii="Times New Roman" w:hAnsi="Times New Roman" w:cs="Times New Roman"/>
          <w:sz w:val="28"/>
          <w:szCs w:val="28"/>
        </w:rPr>
        <w:t xml:space="preserve">la </w:t>
      </w:r>
      <w:r w:rsidR="003D18C5" w:rsidRPr="009D4073">
        <w:rPr>
          <w:rFonts w:ascii="Times New Roman" w:hAnsi="Times New Roman" w:cs="Times New Roman"/>
          <w:sz w:val="28"/>
          <w:szCs w:val="28"/>
        </w:rPr>
        <w:t>ragionevole durata del processo.</w:t>
      </w:r>
    </w:p>
    <w:p w:rsidR="008305F9" w:rsidRPr="009D4073" w:rsidRDefault="008305F9"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che vuol dire che il giudice non si deve considerare sempre e comunque obbligato a rimettere alla Corte di </w:t>
      </w:r>
      <w:r w:rsidR="00C6016E">
        <w:rPr>
          <w:rFonts w:ascii="Times New Roman" w:hAnsi="Times New Roman" w:cs="Times New Roman"/>
          <w:sz w:val="28"/>
          <w:szCs w:val="28"/>
        </w:rPr>
        <w:t>G</w:t>
      </w:r>
      <w:r>
        <w:rPr>
          <w:rFonts w:ascii="Times New Roman" w:hAnsi="Times New Roman" w:cs="Times New Roman"/>
          <w:sz w:val="28"/>
          <w:szCs w:val="28"/>
        </w:rPr>
        <w:t>iustizia, e inoltre deve tenere conto anche di quelli che sono i tempi del processo, i quali necessariamente si allungano nell’ipotesi di remissione alla Corte.</w:t>
      </w:r>
    </w:p>
    <w:p w:rsidR="008305F9" w:rsidRDefault="008305F9"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Alcune volte non è nemmeno semplice comprendere per il giudice la via immediata da seguire.</w:t>
      </w:r>
    </w:p>
    <w:p w:rsidR="008305F9" w:rsidRDefault="00AF104F"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È</w:t>
      </w:r>
      <w:r w:rsidR="008305F9">
        <w:rPr>
          <w:rFonts w:ascii="Times New Roman" w:hAnsi="Times New Roman" w:cs="Times New Roman"/>
          <w:sz w:val="28"/>
          <w:szCs w:val="28"/>
        </w:rPr>
        <w:t xml:space="preserve"> il cosiddetto problema della doppia pregiudizialità.</w:t>
      </w:r>
    </w:p>
    <w:p w:rsidR="00525301" w:rsidRDefault="00525301"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C</w:t>
      </w:r>
      <w:r w:rsidRPr="0011478D">
        <w:rPr>
          <w:rFonts w:ascii="Times New Roman" w:hAnsi="Times New Roman" w:cs="Times New Roman"/>
          <w:sz w:val="28"/>
          <w:szCs w:val="28"/>
        </w:rPr>
        <w:t xml:space="preserve">on riferimento alle situazioni in cui una fattispecie sia regolata da una norma nazionale nei confronti della quale si prospetti sia il contrasto con disposizioni della Costituzione, sia il contrasto con norme europee </w:t>
      </w:r>
      <w:r w:rsidRPr="008305F9">
        <w:rPr>
          <w:rFonts w:ascii="Times New Roman" w:hAnsi="Times New Roman" w:cs="Times New Roman"/>
          <w:sz w:val="28"/>
          <w:szCs w:val="28"/>
        </w:rPr>
        <w:t>aventi efficacia diretta</w:t>
      </w:r>
      <w:r w:rsidR="008305F9">
        <w:rPr>
          <w:rFonts w:ascii="Times New Roman" w:hAnsi="Times New Roman" w:cs="Times New Roman"/>
          <w:sz w:val="28"/>
          <w:szCs w:val="28"/>
        </w:rPr>
        <w:t>. I</w:t>
      </w:r>
      <w:r w:rsidRPr="0011478D">
        <w:rPr>
          <w:rFonts w:ascii="Times New Roman" w:hAnsi="Times New Roman" w:cs="Times New Roman"/>
          <w:sz w:val="28"/>
          <w:szCs w:val="28"/>
        </w:rPr>
        <w:t>l problema che si pone in tale situazione è quello di individuare quale delle due questioni pregiudiziali debba essere affrontata per prima.</w:t>
      </w:r>
    </w:p>
    <w:p w:rsidR="008305F9" w:rsidRDefault="008305F9"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Va comunque ricordato che già da tempo la Corte Costituzionale ha ritenuto che </w:t>
      </w:r>
      <w:r w:rsidR="00C6016E">
        <w:rPr>
          <w:rFonts w:ascii="Times New Roman" w:hAnsi="Times New Roman" w:cs="Times New Roman"/>
          <w:sz w:val="28"/>
          <w:szCs w:val="28"/>
        </w:rPr>
        <w:t>anch’</w:t>
      </w:r>
      <w:r>
        <w:rPr>
          <w:rFonts w:ascii="Times New Roman" w:hAnsi="Times New Roman" w:cs="Times New Roman"/>
          <w:sz w:val="28"/>
          <w:szCs w:val="28"/>
        </w:rPr>
        <w:t>essa p</w:t>
      </w:r>
      <w:r w:rsidR="00C6016E">
        <w:rPr>
          <w:rFonts w:ascii="Times New Roman" w:hAnsi="Times New Roman" w:cs="Times New Roman"/>
          <w:sz w:val="28"/>
          <w:szCs w:val="28"/>
        </w:rPr>
        <w:t>ossa dialogare con la Corte di G</w:t>
      </w:r>
      <w:r>
        <w:rPr>
          <w:rFonts w:ascii="Times New Roman" w:hAnsi="Times New Roman" w:cs="Times New Roman"/>
          <w:sz w:val="28"/>
          <w:szCs w:val="28"/>
        </w:rPr>
        <w:t>iustizia mediante lo strumento del rinvio pregiudiziale di cui all’art. 267 del TFUE.</w:t>
      </w:r>
    </w:p>
    <w:p w:rsidR="00910033" w:rsidRDefault="00910033" w:rsidP="00B57E3D">
      <w:pPr>
        <w:spacing w:line="360" w:lineRule="auto"/>
        <w:ind w:firstLine="709"/>
        <w:jc w:val="both"/>
        <w:rPr>
          <w:rFonts w:ascii="Times New Roman" w:hAnsi="Times New Roman" w:cs="Times New Roman"/>
          <w:sz w:val="28"/>
          <w:szCs w:val="28"/>
        </w:rPr>
      </w:pPr>
    </w:p>
    <w:p w:rsidR="008305F9" w:rsidRPr="00507049" w:rsidRDefault="008305F9" w:rsidP="00B57E3D">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5. La responsabilità del giudice.</w:t>
      </w:r>
    </w:p>
    <w:p w:rsidR="007D0215" w:rsidRDefault="00217F0A"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La responsabilità del giudice è definita dall’art. </w:t>
      </w:r>
      <w:r w:rsidR="009474B2">
        <w:rPr>
          <w:rFonts w:ascii="Times New Roman" w:hAnsi="Times New Roman" w:cs="Times New Roman"/>
          <w:sz w:val="28"/>
          <w:szCs w:val="28"/>
        </w:rPr>
        <w:t>2</w:t>
      </w:r>
      <w:r w:rsidR="00A3657B">
        <w:rPr>
          <w:rFonts w:ascii="Times New Roman" w:hAnsi="Times New Roman" w:cs="Times New Roman"/>
          <w:sz w:val="28"/>
          <w:szCs w:val="28"/>
        </w:rPr>
        <w:t xml:space="preserve"> </w:t>
      </w:r>
      <w:r>
        <w:rPr>
          <w:rFonts w:ascii="Times New Roman" w:hAnsi="Times New Roman" w:cs="Times New Roman"/>
          <w:sz w:val="28"/>
          <w:szCs w:val="28"/>
        </w:rPr>
        <w:t xml:space="preserve">della </w:t>
      </w:r>
      <w:r w:rsidR="00A3657B">
        <w:rPr>
          <w:rFonts w:ascii="Times New Roman" w:hAnsi="Times New Roman" w:cs="Times New Roman"/>
          <w:sz w:val="28"/>
          <w:szCs w:val="28"/>
        </w:rPr>
        <w:t xml:space="preserve">l. </w:t>
      </w:r>
      <w:r>
        <w:rPr>
          <w:rFonts w:ascii="Times New Roman" w:hAnsi="Times New Roman" w:cs="Times New Roman"/>
          <w:sz w:val="28"/>
          <w:szCs w:val="28"/>
        </w:rPr>
        <w:t>13 aprile 1988, n. 117</w:t>
      </w:r>
      <w:r w:rsidR="007D0215">
        <w:rPr>
          <w:rFonts w:ascii="Times New Roman" w:hAnsi="Times New Roman" w:cs="Times New Roman"/>
          <w:sz w:val="28"/>
          <w:szCs w:val="28"/>
        </w:rPr>
        <w:t xml:space="preserve">, inserito dalla l. </w:t>
      </w:r>
      <w:r>
        <w:rPr>
          <w:rFonts w:ascii="Times New Roman" w:hAnsi="Times New Roman" w:cs="Times New Roman"/>
          <w:sz w:val="28"/>
          <w:szCs w:val="28"/>
        </w:rPr>
        <w:t xml:space="preserve">27 febbraio 2015, </w:t>
      </w:r>
      <w:r w:rsidR="007D0215">
        <w:rPr>
          <w:rFonts w:ascii="Times New Roman" w:hAnsi="Times New Roman" w:cs="Times New Roman"/>
          <w:sz w:val="28"/>
          <w:szCs w:val="28"/>
        </w:rPr>
        <w:t>n. 18.</w:t>
      </w:r>
    </w:p>
    <w:p w:rsidR="00217F0A" w:rsidRDefault="00217F0A"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Il comma 1 prevede che “</w:t>
      </w:r>
      <w:r w:rsidRPr="00217F0A">
        <w:rPr>
          <w:rFonts w:ascii="Times New Roman" w:hAnsi="Times New Roman" w:cs="Times New Roman"/>
          <w:i/>
          <w:sz w:val="28"/>
          <w:szCs w:val="28"/>
        </w:rPr>
        <w:t>Chi ha subìto un danno ingiusto per effetto di un comportamento, di un atto o di un provvedimento giudiziario posto in essere dal magistrato con dolo o colpa grave nell'esercizio delle sue funzioni ovvero per diniego di giustizia può agire contro lo Stato per ottenere il risarcimento dei danni patrimoniali e anche di quelli non patrimoniali</w:t>
      </w:r>
      <w:r>
        <w:rPr>
          <w:rFonts w:ascii="Times New Roman" w:hAnsi="Times New Roman" w:cs="Times New Roman"/>
          <w:sz w:val="28"/>
          <w:szCs w:val="28"/>
        </w:rPr>
        <w:t>”.</w:t>
      </w:r>
    </w:p>
    <w:p w:rsidR="009474B2" w:rsidRDefault="00217F0A"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Il comma 3 dispone che</w:t>
      </w:r>
      <w:r w:rsidR="009474B2">
        <w:rPr>
          <w:rFonts w:ascii="Times New Roman" w:hAnsi="Times New Roman" w:cs="Times New Roman"/>
          <w:sz w:val="28"/>
          <w:szCs w:val="28"/>
        </w:rPr>
        <w:t xml:space="preserve"> “</w:t>
      </w:r>
      <w:r w:rsidR="009474B2" w:rsidRPr="009474B2">
        <w:rPr>
          <w:rFonts w:ascii="Times New Roman" w:hAnsi="Times New Roman" w:cs="Times New Roman"/>
          <w:i/>
          <w:sz w:val="28"/>
          <w:szCs w:val="28"/>
        </w:rPr>
        <w:t>Costituisce colpa grave la violazione manifesta della legge nonché del diritto dell’Unione europea</w:t>
      </w:r>
      <w:r>
        <w:rPr>
          <w:rFonts w:ascii="Times New Roman" w:hAnsi="Times New Roman" w:cs="Times New Roman"/>
          <w:i/>
          <w:sz w:val="28"/>
          <w:szCs w:val="28"/>
        </w:rPr>
        <w:t>…</w:t>
      </w:r>
      <w:r w:rsidR="009474B2">
        <w:rPr>
          <w:rFonts w:ascii="Times New Roman" w:hAnsi="Times New Roman" w:cs="Times New Roman"/>
          <w:sz w:val="28"/>
          <w:szCs w:val="28"/>
        </w:rPr>
        <w:t>”</w:t>
      </w:r>
      <w:r>
        <w:rPr>
          <w:rFonts w:ascii="Times New Roman" w:hAnsi="Times New Roman" w:cs="Times New Roman"/>
          <w:sz w:val="28"/>
          <w:szCs w:val="28"/>
        </w:rPr>
        <w:t>, oltre ad altro</w:t>
      </w:r>
      <w:r w:rsidR="009474B2">
        <w:rPr>
          <w:rFonts w:ascii="Times New Roman" w:hAnsi="Times New Roman" w:cs="Times New Roman"/>
          <w:sz w:val="28"/>
          <w:szCs w:val="28"/>
        </w:rPr>
        <w:t>.</w:t>
      </w:r>
    </w:p>
    <w:p w:rsidR="007D0215" w:rsidRDefault="007D0215"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Ai sensi del </w:t>
      </w:r>
      <w:r w:rsidR="00217F0A">
        <w:rPr>
          <w:rFonts w:ascii="Times New Roman" w:hAnsi="Times New Roman" w:cs="Times New Roman"/>
          <w:sz w:val="28"/>
          <w:szCs w:val="28"/>
        </w:rPr>
        <w:t>primo</w:t>
      </w:r>
      <w:r>
        <w:rPr>
          <w:rFonts w:ascii="Times New Roman" w:hAnsi="Times New Roman" w:cs="Times New Roman"/>
          <w:sz w:val="28"/>
          <w:szCs w:val="28"/>
        </w:rPr>
        <w:t xml:space="preserve"> periodo</w:t>
      </w:r>
      <w:r w:rsidR="009474B2">
        <w:rPr>
          <w:rFonts w:ascii="Times New Roman" w:hAnsi="Times New Roman" w:cs="Times New Roman"/>
          <w:sz w:val="28"/>
          <w:szCs w:val="28"/>
        </w:rPr>
        <w:t xml:space="preserve"> del comma 3-bis</w:t>
      </w:r>
      <w:r w:rsidR="00217F0A">
        <w:rPr>
          <w:rFonts w:ascii="Times New Roman" w:hAnsi="Times New Roman" w:cs="Times New Roman"/>
          <w:sz w:val="28"/>
          <w:szCs w:val="28"/>
        </w:rPr>
        <w:t xml:space="preserve">, </w:t>
      </w:r>
      <w:r w:rsidR="00217F0A" w:rsidRPr="00217F0A">
        <w:rPr>
          <w:rFonts w:ascii="Times New Roman" w:hAnsi="Times New Roman" w:cs="Times New Roman"/>
          <w:i/>
          <w:sz w:val="28"/>
          <w:szCs w:val="28"/>
        </w:rPr>
        <w:t>“…ai fini della determinazione dei casi in cui sussiste la violazione manifesta della legge nonché del diritto dell'Unione europea si tiene conto, in particolare, del grado di chiarezza e precisione delle norme violate nonché dell'inescusabilità e della gravità dell'inosservanza</w:t>
      </w:r>
      <w:r w:rsidR="00217F0A">
        <w:rPr>
          <w:rFonts w:ascii="Times New Roman" w:hAnsi="Times New Roman" w:cs="Times New Roman"/>
          <w:sz w:val="28"/>
          <w:szCs w:val="28"/>
        </w:rPr>
        <w:t>”</w:t>
      </w:r>
      <w:r w:rsidR="00C6200F">
        <w:rPr>
          <w:rFonts w:ascii="Times New Roman" w:hAnsi="Times New Roman" w:cs="Times New Roman"/>
          <w:sz w:val="28"/>
          <w:szCs w:val="28"/>
        </w:rPr>
        <w:t>.</w:t>
      </w:r>
    </w:p>
    <w:p w:rsidR="007D0215" w:rsidRDefault="00C6200F"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Poi il secondo periodo del comma 3-bis specifica che</w:t>
      </w:r>
      <w:r w:rsidR="00C6016E">
        <w:rPr>
          <w:rFonts w:ascii="Times New Roman" w:hAnsi="Times New Roman" w:cs="Times New Roman"/>
          <w:sz w:val="28"/>
          <w:szCs w:val="28"/>
        </w:rPr>
        <w:t>,</w:t>
      </w:r>
      <w:r>
        <w:rPr>
          <w:rFonts w:ascii="Times New Roman" w:hAnsi="Times New Roman" w:cs="Times New Roman"/>
          <w:sz w:val="28"/>
          <w:szCs w:val="28"/>
        </w:rPr>
        <w:t xml:space="preserve"> </w:t>
      </w:r>
      <w:r w:rsidR="007D0215">
        <w:rPr>
          <w:rFonts w:ascii="Times New Roman" w:hAnsi="Times New Roman" w:cs="Times New Roman"/>
          <w:sz w:val="28"/>
          <w:szCs w:val="28"/>
        </w:rPr>
        <w:t>“</w:t>
      </w:r>
      <w:r w:rsidR="007D0215" w:rsidRPr="00C6200F">
        <w:rPr>
          <w:rFonts w:ascii="Times New Roman" w:hAnsi="Times New Roman" w:cs="Times New Roman"/>
          <w:i/>
          <w:sz w:val="28"/>
          <w:szCs w:val="28"/>
        </w:rPr>
        <w:t>In caso di violazione manifesta del diritto dell'Unione europea si deve tener conto anche della mancata osservanza dell'obbligo di rinvio pregiudiziale ai sensi dell'articolo 267, terzo paragrafo, del Trattato sul funzionamento dell'Unione europea, nonché del contrasto dell'atto o del provvedimento con l'interpretazione espressa dalla Corte di giustizia dell'Unione europea</w:t>
      </w:r>
      <w:r w:rsidR="007D0215" w:rsidRPr="00C6200F">
        <w:rPr>
          <w:rFonts w:ascii="Times New Roman" w:hAnsi="Times New Roman" w:cs="Times New Roman"/>
          <w:sz w:val="28"/>
          <w:szCs w:val="28"/>
        </w:rPr>
        <w:t>”.</w:t>
      </w:r>
    </w:p>
    <w:p w:rsidR="00C6200F" w:rsidRDefault="00C6200F"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Per cui, escluso il dolo, l’ipotesi di responsabilità del giudice richiede la colpa grave, che sussiste nel caso di “violazione manifesta del diritto dell’Unione</w:t>
      </w:r>
      <w:r w:rsidR="00C6016E">
        <w:rPr>
          <w:rFonts w:ascii="Times New Roman" w:hAnsi="Times New Roman" w:cs="Times New Roman"/>
          <w:sz w:val="28"/>
          <w:szCs w:val="28"/>
        </w:rPr>
        <w:t xml:space="preserve"> europea” che può conseguire - ma</w:t>
      </w:r>
      <w:r>
        <w:rPr>
          <w:rFonts w:ascii="Times New Roman" w:hAnsi="Times New Roman" w:cs="Times New Roman"/>
          <w:sz w:val="28"/>
          <w:szCs w:val="28"/>
        </w:rPr>
        <w:t xml:space="preserve"> non consegue necessariamente - alla mancata osservanza dell’obbligo di rinvio pregiudiziale.</w:t>
      </w:r>
    </w:p>
    <w:p w:rsidR="007D0215" w:rsidRPr="00C6200F" w:rsidRDefault="00C6200F"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Le disposizioni citate vanno lette </w:t>
      </w:r>
      <w:r w:rsidR="007D0215">
        <w:rPr>
          <w:rFonts w:ascii="Times New Roman" w:hAnsi="Times New Roman" w:cs="Times New Roman"/>
          <w:sz w:val="28"/>
          <w:szCs w:val="28"/>
        </w:rPr>
        <w:t xml:space="preserve">assieme all’art. 7, comma 1, </w:t>
      </w:r>
      <w:r>
        <w:rPr>
          <w:rFonts w:ascii="Times New Roman" w:hAnsi="Times New Roman" w:cs="Times New Roman"/>
          <w:sz w:val="28"/>
          <w:szCs w:val="28"/>
        </w:rPr>
        <w:t xml:space="preserve">della </w:t>
      </w:r>
      <w:r w:rsidR="007D0215">
        <w:rPr>
          <w:rFonts w:ascii="Times New Roman" w:hAnsi="Times New Roman" w:cs="Times New Roman"/>
          <w:sz w:val="28"/>
          <w:szCs w:val="28"/>
        </w:rPr>
        <w:t>l. n. 117/1988, come</w:t>
      </w:r>
      <w:r>
        <w:rPr>
          <w:rFonts w:ascii="Times New Roman" w:hAnsi="Times New Roman" w:cs="Times New Roman"/>
          <w:sz w:val="28"/>
          <w:szCs w:val="28"/>
        </w:rPr>
        <w:t xml:space="preserve"> sostituito dalla l. n. 18/2015, secondo cui: </w:t>
      </w:r>
      <w:r w:rsidR="007D0215">
        <w:rPr>
          <w:rFonts w:ascii="Times New Roman" w:hAnsi="Times New Roman" w:cs="Times New Roman"/>
          <w:sz w:val="28"/>
          <w:szCs w:val="28"/>
        </w:rPr>
        <w:t>“</w:t>
      </w:r>
      <w:r w:rsidR="007D0215" w:rsidRPr="00C6200F">
        <w:rPr>
          <w:rFonts w:ascii="Times New Roman" w:hAnsi="Times New Roman" w:cs="Times New Roman"/>
          <w:i/>
          <w:sz w:val="28"/>
          <w:szCs w:val="28"/>
        </w:rPr>
        <w:t>1. Il Presidente del Consiglio dei ministri, entro due anni dal risarcimento avvenuto sulla base di titolo giudiziale o di titolo stragiudiziale, ha l'obbligo di esercitare l'azione di rivalsa nei confronti del magistrato nel caso di diniego di giustizia, ovvero nei casi in cui la violazione manifesta della legge nonché del diritto dell'Unione europea ovvero il travisamento del fatto o delle prove, di cui all'articolo 2, commi 2, 3 e 3-bis, sono stati determinati da dolo o negligenza inescusabile</w:t>
      </w:r>
      <w:r w:rsidR="007D0215" w:rsidRPr="00C6200F">
        <w:rPr>
          <w:rFonts w:ascii="Times New Roman" w:hAnsi="Times New Roman" w:cs="Times New Roman"/>
          <w:sz w:val="28"/>
          <w:szCs w:val="28"/>
        </w:rPr>
        <w:t>”.</w:t>
      </w:r>
    </w:p>
    <w:p w:rsidR="007D0215" w:rsidRDefault="00C6200F"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Quindi in primo luogo vi è la responsabilità dello Stato.</w:t>
      </w:r>
    </w:p>
    <w:p w:rsidR="00C6200F" w:rsidRDefault="00C6200F"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quale (in persona della Presidenza del Consiglio dei ministri), una volta condannato a risarcire i danni, deve </w:t>
      </w:r>
      <w:r w:rsidR="00C6016E">
        <w:rPr>
          <w:rFonts w:ascii="Times New Roman" w:hAnsi="Times New Roman" w:cs="Times New Roman"/>
          <w:sz w:val="28"/>
          <w:szCs w:val="28"/>
        </w:rPr>
        <w:t xml:space="preserve">(e non può) </w:t>
      </w:r>
      <w:r>
        <w:rPr>
          <w:rFonts w:ascii="Times New Roman" w:hAnsi="Times New Roman" w:cs="Times New Roman"/>
          <w:sz w:val="28"/>
          <w:szCs w:val="28"/>
        </w:rPr>
        <w:t xml:space="preserve">rivalersi nei confronti del magistrato </w:t>
      </w:r>
      <w:r w:rsidR="002E25F9">
        <w:rPr>
          <w:rFonts w:ascii="Times New Roman" w:hAnsi="Times New Roman" w:cs="Times New Roman"/>
          <w:sz w:val="28"/>
          <w:szCs w:val="28"/>
        </w:rPr>
        <w:t>nello specifico caso di violazione manifesta del diritto dell’Unione europea, di per sé ipotizzabile in caso di mancata osservanza dell’obbligo di rinvio pregiudiziale.</w:t>
      </w:r>
    </w:p>
    <w:p w:rsidR="002E25F9" w:rsidRDefault="002E25F9"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Ma sempreché il tutto sia stato determinato, oltre che da dolo, da “negligenza inescusabile”. Concetto che richiede una colpa qualificata, ossia non solo negligenza</w:t>
      </w:r>
      <w:r w:rsidR="006724BD">
        <w:rPr>
          <w:rFonts w:ascii="Times New Roman" w:hAnsi="Times New Roman" w:cs="Times New Roman"/>
          <w:sz w:val="28"/>
          <w:szCs w:val="28"/>
        </w:rPr>
        <w:t>,</w:t>
      </w:r>
      <w:r>
        <w:rPr>
          <w:rFonts w:ascii="Times New Roman" w:hAnsi="Times New Roman" w:cs="Times New Roman"/>
          <w:sz w:val="28"/>
          <w:szCs w:val="28"/>
        </w:rPr>
        <w:t xml:space="preserve"> che è una delle varie espressioni in cui si manifesta la colpevolezza, ma una situazione di negligenza rafforzata, ovvero inescusabile.</w:t>
      </w:r>
    </w:p>
    <w:p w:rsidR="002E25F9" w:rsidRDefault="006724BD"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Si tratta di un</w:t>
      </w:r>
      <w:r w:rsidR="002E25F9">
        <w:rPr>
          <w:rFonts w:ascii="Times New Roman" w:hAnsi="Times New Roman" w:cs="Times New Roman"/>
          <w:sz w:val="28"/>
          <w:szCs w:val="28"/>
        </w:rPr>
        <w:t xml:space="preserve"> particolare </w:t>
      </w:r>
      <w:r>
        <w:rPr>
          <w:rFonts w:ascii="Times New Roman" w:hAnsi="Times New Roman" w:cs="Times New Roman"/>
          <w:sz w:val="28"/>
          <w:szCs w:val="28"/>
        </w:rPr>
        <w:t>grado di gravità della</w:t>
      </w:r>
      <w:r w:rsidR="002E25F9">
        <w:rPr>
          <w:rFonts w:ascii="Times New Roman" w:hAnsi="Times New Roman" w:cs="Times New Roman"/>
          <w:sz w:val="28"/>
          <w:szCs w:val="28"/>
        </w:rPr>
        <w:t xml:space="preserve"> </w:t>
      </w:r>
      <w:r>
        <w:rPr>
          <w:rFonts w:ascii="Times New Roman" w:hAnsi="Times New Roman" w:cs="Times New Roman"/>
          <w:sz w:val="28"/>
          <w:szCs w:val="28"/>
        </w:rPr>
        <w:t xml:space="preserve">colpa, </w:t>
      </w:r>
      <w:r w:rsidR="002E25F9">
        <w:rPr>
          <w:rFonts w:ascii="Times New Roman" w:hAnsi="Times New Roman" w:cs="Times New Roman"/>
          <w:sz w:val="28"/>
          <w:szCs w:val="28"/>
        </w:rPr>
        <w:t>che deve pur sempre sussistere per individuare la responsabilità</w:t>
      </w:r>
      <w:r w:rsidR="00FB40F0">
        <w:rPr>
          <w:rFonts w:ascii="Times New Roman" w:hAnsi="Times New Roman" w:cs="Times New Roman"/>
          <w:sz w:val="28"/>
          <w:szCs w:val="28"/>
        </w:rPr>
        <w:t xml:space="preserve"> dello Stato ex art. 2 della l. n. 117/1988</w:t>
      </w:r>
      <w:r w:rsidR="005358A8">
        <w:rPr>
          <w:rFonts w:ascii="Times New Roman" w:hAnsi="Times New Roman" w:cs="Times New Roman"/>
          <w:sz w:val="28"/>
          <w:szCs w:val="28"/>
        </w:rPr>
        <w:t>,</w:t>
      </w:r>
      <w:r w:rsidR="00FB40F0">
        <w:rPr>
          <w:rFonts w:ascii="Times New Roman" w:hAnsi="Times New Roman" w:cs="Times New Roman"/>
          <w:sz w:val="28"/>
          <w:szCs w:val="28"/>
        </w:rPr>
        <w:t xml:space="preserve"> ma</w:t>
      </w:r>
      <w:r w:rsidR="005358A8">
        <w:rPr>
          <w:rFonts w:ascii="Times New Roman" w:hAnsi="Times New Roman" w:cs="Times New Roman"/>
          <w:sz w:val="28"/>
          <w:szCs w:val="28"/>
        </w:rPr>
        <w:t>,</w:t>
      </w:r>
      <w:r w:rsidR="00FB40F0">
        <w:rPr>
          <w:rFonts w:ascii="Times New Roman" w:hAnsi="Times New Roman" w:cs="Times New Roman"/>
          <w:sz w:val="28"/>
          <w:szCs w:val="28"/>
        </w:rPr>
        <w:t xml:space="preserve"> per arrivare alla responsabilità personale</w:t>
      </w:r>
      <w:r w:rsidR="005358A8">
        <w:rPr>
          <w:rFonts w:ascii="Times New Roman" w:hAnsi="Times New Roman" w:cs="Times New Roman"/>
          <w:sz w:val="28"/>
          <w:szCs w:val="28"/>
        </w:rPr>
        <w:t>,</w:t>
      </w:r>
      <w:r w:rsidR="00FB40F0">
        <w:rPr>
          <w:rFonts w:ascii="Times New Roman" w:hAnsi="Times New Roman" w:cs="Times New Roman"/>
          <w:sz w:val="28"/>
          <w:szCs w:val="28"/>
        </w:rPr>
        <w:t xml:space="preserve"> occorre qualcosa di più.</w:t>
      </w:r>
    </w:p>
    <w:p w:rsidR="00012F5C" w:rsidRPr="00012F5C" w:rsidRDefault="00FB40F0"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La relativa problematica si è fatta particolarmente sensibile a seguito della </w:t>
      </w:r>
      <w:r w:rsidR="003C33C5" w:rsidRPr="00FB40F0">
        <w:rPr>
          <w:rFonts w:ascii="Times New Roman" w:hAnsi="Times New Roman" w:cs="Times New Roman"/>
          <w:sz w:val="28"/>
          <w:szCs w:val="28"/>
        </w:rPr>
        <w:t>recente decisione della Corte di</w:t>
      </w:r>
      <w:r>
        <w:rPr>
          <w:rFonts w:ascii="Times New Roman" w:hAnsi="Times New Roman" w:cs="Times New Roman"/>
          <w:sz w:val="28"/>
          <w:szCs w:val="28"/>
        </w:rPr>
        <w:t xml:space="preserve"> Appello di Roma 3 aprile 2024, non ancora passata in giudicato considerato che pende ricorso in Cassazione, c</w:t>
      </w:r>
      <w:r w:rsidR="00012F5C" w:rsidRPr="00012F5C">
        <w:rPr>
          <w:rFonts w:ascii="Times New Roman" w:hAnsi="Times New Roman" w:cs="Times New Roman"/>
          <w:sz w:val="28"/>
          <w:szCs w:val="28"/>
        </w:rPr>
        <w:t>on la quale lo Stato italiano è stato condannato al risarcimento del danno per quasi un miliardo di euro a causa di una sentenza del Consiglio di Stato del 2009 in materia di telecomunicazioni</w:t>
      </w:r>
      <w:r>
        <w:rPr>
          <w:rFonts w:ascii="Times New Roman" w:hAnsi="Times New Roman" w:cs="Times New Roman"/>
          <w:sz w:val="28"/>
          <w:szCs w:val="28"/>
        </w:rPr>
        <w:t>. Ciò</w:t>
      </w:r>
      <w:r w:rsidR="00012F5C" w:rsidRPr="00012F5C">
        <w:rPr>
          <w:rFonts w:ascii="Times New Roman" w:hAnsi="Times New Roman" w:cs="Times New Roman"/>
          <w:sz w:val="28"/>
          <w:szCs w:val="28"/>
        </w:rPr>
        <w:t xml:space="preserve"> per manifest</w:t>
      </w:r>
      <w:r w:rsidR="006724BD">
        <w:rPr>
          <w:rFonts w:ascii="Times New Roman" w:hAnsi="Times New Roman" w:cs="Times New Roman"/>
          <w:sz w:val="28"/>
          <w:szCs w:val="28"/>
        </w:rPr>
        <w:t>a violazione del diritto dell’UE</w:t>
      </w:r>
      <w:r w:rsidR="00012F5C" w:rsidRPr="00012F5C">
        <w:rPr>
          <w:rFonts w:ascii="Times New Roman" w:hAnsi="Times New Roman" w:cs="Times New Roman"/>
          <w:sz w:val="28"/>
          <w:szCs w:val="28"/>
        </w:rPr>
        <w:t xml:space="preserve">, per non aver il Consiglio di Stato proceduto a un secondo rinvio pregiudiziale dopo quello </w:t>
      </w:r>
      <w:r w:rsidR="00FF5C18">
        <w:rPr>
          <w:rFonts w:ascii="Times New Roman" w:hAnsi="Times New Roman" w:cs="Times New Roman"/>
          <w:sz w:val="28"/>
          <w:szCs w:val="28"/>
        </w:rPr>
        <w:t>effettuato</w:t>
      </w:r>
      <w:r w:rsidR="00012F5C" w:rsidRPr="00012F5C">
        <w:rPr>
          <w:rFonts w:ascii="Times New Roman" w:hAnsi="Times New Roman" w:cs="Times New Roman"/>
          <w:sz w:val="28"/>
          <w:szCs w:val="28"/>
        </w:rPr>
        <w:t xml:space="preserve"> dal giudice di primo grado nell’ambito dello stesso giudizio.</w:t>
      </w:r>
    </w:p>
    <w:p w:rsidR="006B2092" w:rsidRDefault="006B2092" w:rsidP="00B57E3D">
      <w:pPr>
        <w:spacing w:line="360" w:lineRule="auto"/>
        <w:ind w:firstLine="709"/>
        <w:jc w:val="both"/>
        <w:rPr>
          <w:rFonts w:ascii="Times New Roman" w:hAnsi="Times New Roman" w:cs="Times New Roman"/>
          <w:sz w:val="28"/>
          <w:szCs w:val="28"/>
        </w:rPr>
      </w:pPr>
    </w:p>
    <w:p w:rsidR="002D720E" w:rsidRDefault="00827D39" w:rsidP="00B57E3D">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6</w:t>
      </w:r>
      <w:r w:rsidR="002D720E">
        <w:rPr>
          <w:rFonts w:ascii="Times New Roman" w:hAnsi="Times New Roman" w:cs="Times New Roman"/>
          <w:b/>
          <w:sz w:val="28"/>
          <w:szCs w:val="28"/>
        </w:rPr>
        <w:t>. L’abuso del rimedio.</w:t>
      </w:r>
    </w:p>
    <w:p w:rsidR="00465975" w:rsidRDefault="00465975"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L’ipotizzata responsabilità del giudice </w:t>
      </w:r>
      <w:r w:rsidR="005358A8">
        <w:rPr>
          <w:rFonts w:ascii="Times New Roman" w:hAnsi="Times New Roman" w:cs="Times New Roman"/>
          <w:sz w:val="28"/>
          <w:szCs w:val="28"/>
        </w:rPr>
        <w:t xml:space="preserve">italiano </w:t>
      </w:r>
      <w:r>
        <w:rPr>
          <w:rFonts w:ascii="Times New Roman" w:hAnsi="Times New Roman" w:cs="Times New Roman"/>
          <w:sz w:val="28"/>
          <w:szCs w:val="28"/>
        </w:rPr>
        <w:t>per mancato rinvio alla Corte di Giustizia è unica nell’ambito degli ordinamenti giuridici degli Stati membri dell’Unione.</w:t>
      </w:r>
    </w:p>
    <w:p w:rsidR="002E78A7" w:rsidRPr="00ED7680" w:rsidRDefault="002E78A7" w:rsidP="00B57E3D">
      <w:pPr>
        <w:spacing w:line="360" w:lineRule="auto"/>
        <w:ind w:firstLine="709"/>
        <w:jc w:val="both"/>
        <w:rPr>
          <w:rFonts w:ascii="Times New Roman" w:hAnsi="Times New Roman" w:cs="Times New Roman"/>
          <w:sz w:val="28"/>
          <w:szCs w:val="28"/>
        </w:rPr>
      </w:pPr>
      <w:r w:rsidRPr="00ED7680">
        <w:rPr>
          <w:rFonts w:ascii="Times New Roman" w:hAnsi="Times New Roman" w:cs="Times New Roman"/>
          <w:sz w:val="28"/>
          <w:szCs w:val="28"/>
        </w:rPr>
        <w:t xml:space="preserve">La CGUE ha dichiarato manifestamente irricevibile il quesito sulla compatibilità della l. </w:t>
      </w:r>
      <w:r w:rsidR="000D7132" w:rsidRPr="00ED7680">
        <w:rPr>
          <w:rFonts w:ascii="Times New Roman" w:hAnsi="Times New Roman" w:cs="Times New Roman"/>
          <w:sz w:val="28"/>
          <w:szCs w:val="28"/>
        </w:rPr>
        <w:t>n. 117/1988 con l</w:t>
      </w:r>
      <w:r w:rsidR="00B87DB4" w:rsidRPr="00ED7680">
        <w:rPr>
          <w:rFonts w:ascii="Times New Roman" w:hAnsi="Times New Roman" w:cs="Times New Roman"/>
          <w:sz w:val="28"/>
          <w:szCs w:val="28"/>
        </w:rPr>
        <w:t xml:space="preserve">’art. 267 </w:t>
      </w:r>
      <w:r w:rsidR="00ED7680">
        <w:rPr>
          <w:rFonts w:ascii="Times New Roman" w:hAnsi="Times New Roman" w:cs="Times New Roman"/>
          <w:sz w:val="28"/>
          <w:szCs w:val="28"/>
        </w:rPr>
        <w:t xml:space="preserve">del </w:t>
      </w:r>
      <w:r w:rsidR="00B87DB4" w:rsidRPr="00ED7680">
        <w:rPr>
          <w:rFonts w:ascii="Times New Roman" w:hAnsi="Times New Roman" w:cs="Times New Roman"/>
          <w:sz w:val="28"/>
          <w:szCs w:val="28"/>
        </w:rPr>
        <w:t>TFUE</w:t>
      </w:r>
      <w:r w:rsidR="00ED7680">
        <w:rPr>
          <w:rFonts w:ascii="Times New Roman" w:hAnsi="Times New Roman" w:cs="Times New Roman"/>
          <w:sz w:val="28"/>
          <w:szCs w:val="28"/>
        </w:rPr>
        <w:t>, ciò a seguito di v</w:t>
      </w:r>
      <w:r w:rsidR="00B87DB4" w:rsidRPr="00ED7680">
        <w:rPr>
          <w:rFonts w:ascii="Times New Roman" w:hAnsi="Times New Roman" w:cs="Times New Roman"/>
          <w:sz w:val="28"/>
          <w:szCs w:val="28"/>
        </w:rPr>
        <w:t>arie remissioni</w:t>
      </w:r>
      <w:r w:rsidR="000D7132" w:rsidRPr="00ED7680">
        <w:rPr>
          <w:rFonts w:ascii="Times New Roman" w:hAnsi="Times New Roman" w:cs="Times New Roman"/>
          <w:sz w:val="28"/>
          <w:szCs w:val="28"/>
        </w:rPr>
        <w:t xml:space="preserve"> </w:t>
      </w:r>
      <w:r w:rsidR="00ED7680">
        <w:rPr>
          <w:rFonts w:ascii="Times New Roman" w:hAnsi="Times New Roman" w:cs="Times New Roman"/>
          <w:sz w:val="28"/>
          <w:szCs w:val="28"/>
        </w:rPr>
        <w:t>da parte della Sez. IV del Consiglio di Stato</w:t>
      </w:r>
      <w:r w:rsidR="000D7132" w:rsidRPr="00ED7680">
        <w:rPr>
          <w:rFonts w:ascii="Times New Roman" w:hAnsi="Times New Roman" w:cs="Times New Roman"/>
          <w:sz w:val="28"/>
          <w:szCs w:val="28"/>
        </w:rPr>
        <w:t xml:space="preserve"> nel 2022 e nel 2023</w:t>
      </w:r>
      <w:r w:rsidR="00EE01DB">
        <w:rPr>
          <w:rStyle w:val="Rimandonotaapidipagina"/>
          <w:rFonts w:ascii="Times New Roman" w:hAnsi="Times New Roman" w:cs="Times New Roman"/>
          <w:sz w:val="28"/>
          <w:szCs w:val="28"/>
        </w:rPr>
        <w:footnoteReference w:id="7"/>
      </w:r>
      <w:r w:rsidR="00B87DB4" w:rsidRPr="00ED7680">
        <w:rPr>
          <w:rFonts w:ascii="Times New Roman" w:hAnsi="Times New Roman" w:cs="Times New Roman"/>
          <w:sz w:val="28"/>
          <w:szCs w:val="28"/>
        </w:rPr>
        <w:t>.</w:t>
      </w:r>
    </w:p>
    <w:p w:rsidR="00986A51" w:rsidRDefault="00ED7680"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E ciò per una ragione più che evidente.</w:t>
      </w:r>
    </w:p>
    <w:p w:rsidR="00467F82" w:rsidRDefault="00ED7680"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La questione della responsabilità del g</w:t>
      </w:r>
      <w:r w:rsidR="00467F82">
        <w:rPr>
          <w:rFonts w:ascii="Times New Roman" w:hAnsi="Times New Roman" w:cs="Times New Roman"/>
          <w:sz w:val="28"/>
          <w:szCs w:val="28"/>
        </w:rPr>
        <w:t>iudice per mancato rinvio alla C</w:t>
      </w:r>
      <w:r>
        <w:rPr>
          <w:rFonts w:ascii="Times New Roman" w:hAnsi="Times New Roman" w:cs="Times New Roman"/>
          <w:sz w:val="28"/>
          <w:szCs w:val="28"/>
        </w:rPr>
        <w:t>orte non aveva nulla a che fare con la questione sottoposta all’esame del giudice</w:t>
      </w:r>
      <w:r w:rsidR="00492715">
        <w:rPr>
          <w:rFonts w:ascii="Times New Roman" w:hAnsi="Times New Roman" w:cs="Times New Roman"/>
          <w:sz w:val="28"/>
          <w:szCs w:val="28"/>
        </w:rPr>
        <w:t xml:space="preserve"> stesso</w:t>
      </w:r>
      <w:r w:rsidR="00467F82">
        <w:rPr>
          <w:rFonts w:ascii="Times New Roman" w:hAnsi="Times New Roman" w:cs="Times New Roman"/>
          <w:sz w:val="28"/>
          <w:szCs w:val="28"/>
        </w:rPr>
        <w:t>. Cosicché mancava uno degli elementi fondamentali perché la Corte si possa pronunciare, dato dalla rilevanza; non in senso assoluto ma relativo</w:t>
      </w:r>
      <w:r w:rsidR="00492715">
        <w:rPr>
          <w:rFonts w:ascii="Times New Roman" w:hAnsi="Times New Roman" w:cs="Times New Roman"/>
          <w:sz w:val="28"/>
          <w:szCs w:val="28"/>
        </w:rPr>
        <w:t>,</w:t>
      </w:r>
      <w:r w:rsidR="00467F82">
        <w:rPr>
          <w:rFonts w:ascii="Times New Roman" w:hAnsi="Times New Roman" w:cs="Times New Roman"/>
          <w:sz w:val="28"/>
          <w:szCs w:val="28"/>
        </w:rPr>
        <w:t xml:space="preserve"> siccome riferita alla controversia sottoposta all’esame del giudice.</w:t>
      </w:r>
    </w:p>
    <w:p w:rsidR="00CD71D1" w:rsidRDefault="00CD71D1"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Oltre all’ulteriore ragione per cui si tratta di questioni meramente interne, rientranti nell’autonomia procedurale degli Stati membri</w:t>
      </w:r>
      <w:r>
        <w:rPr>
          <w:rStyle w:val="Rimandonotaapidipagina"/>
          <w:rFonts w:ascii="Times New Roman" w:hAnsi="Times New Roman" w:cs="Times New Roman"/>
          <w:sz w:val="28"/>
          <w:szCs w:val="28"/>
        </w:rPr>
        <w:footnoteReference w:id="8"/>
      </w:r>
      <w:r>
        <w:rPr>
          <w:rFonts w:ascii="Times New Roman" w:hAnsi="Times New Roman" w:cs="Times New Roman"/>
          <w:sz w:val="28"/>
          <w:szCs w:val="28"/>
        </w:rPr>
        <w:t>.</w:t>
      </w:r>
    </w:p>
    <w:p w:rsidR="00AE4BEF" w:rsidRDefault="00CD71D1"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Infatti</w:t>
      </w:r>
      <w:r w:rsidR="00A66090">
        <w:rPr>
          <w:rFonts w:ascii="Times New Roman" w:hAnsi="Times New Roman" w:cs="Times New Roman"/>
          <w:sz w:val="28"/>
          <w:szCs w:val="28"/>
        </w:rPr>
        <w:t xml:space="preserve"> </w:t>
      </w:r>
      <w:r w:rsidR="00063EF3">
        <w:rPr>
          <w:rFonts w:ascii="Times New Roman" w:hAnsi="Times New Roman" w:cs="Times New Roman"/>
          <w:sz w:val="28"/>
          <w:szCs w:val="28"/>
        </w:rPr>
        <w:t>la disciplina della rivalsa dello Stato nei confronti del giudice che ha violato il diritto europeo rientra nella competenza degli Stati membri, mancando una base giuridica per interventi dell’Unione a tal fine</w:t>
      </w:r>
      <w:r w:rsidR="00A04F9F">
        <w:rPr>
          <w:rFonts w:ascii="Times New Roman" w:hAnsi="Times New Roman" w:cs="Times New Roman"/>
          <w:sz w:val="28"/>
          <w:szCs w:val="28"/>
        </w:rPr>
        <w:t>. La</w:t>
      </w:r>
      <w:r w:rsidR="006724BD">
        <w:rPr>
          <w:rFonts w:ascii="Times New Roman" w:hAnsi="Times New Roman" w:cs="Times New Roman"/>
          <w:sz w:val="28"/>
          <w:szCs w:val="28"/>
        </w:rPr>
        <w:t xml:space="preserve"> Corte di G</w:t>
      </w:r>
      <w:r w:rsidR="00A66090">
        <w:rPr>
          <w:rFonts w:ascii="Times New Roman" w:hAnsi="Times New Roman" w:cs="Times New Roman"/>
          <w:sz w:val="28"/>
          <w:szCs w:val="28"/>
        </w:rPr>
        <w:t>iustizia</w:t>
      </w:r>
      <w:r w:rsidR="00A04F9F">
        <w:rPr>
          <w:rFonts w:ascii="Times New Roman" w:hAnsi="Times New Roman" w:cs="Times New Roman"/>
          <w:sz w:val="28"/>
          <w:szCs w:val="28"/>
        </w:rPr>
        <w:t>, inoltre, ha precisato</w:t>
      </w:r>
      <w:r w:rsidR="00F608E8">
        <w:rPr>
          <w:rFonts w:ascii="Times New Roman" w:hAnsi="Times New Roman" w:cs="Times New Roman"/>
          <w:sz w:val="28"/>
          <w:szCs w:val="28"/>
        </w:rPr>
        <w:t xml:space="preserve"> che</w:t>
      </w:r>
      <w:r w:rsidR="00A04F9F">
        <w:rPr>
          <w:rFonts w:ascii="Times New Roman" w:hAnsi="Times New Roman" w:cs="Times New Roman"/>
          <w:sz w:val="28"/>
          <w:szCs w:val="28"/>
        </w:rPr>
        <w:t xml:space="preserve"> le modalità di esercizio dell’azione risarcitoria,</w:t>
      </w:r>
      <w:r w:rsidR="00F608E8">
        <w:rPr>
          <w:rFonts w:ascii="Times New Roman" w:hAnsi="Times New Roman" w:cs="Times New Roman"/>
          <w:sz w:val="28"/>
          <w:szCs w:val="28"/>
        </w:rPr>
        <w:t xml:space="preserve"> così come la quantificazione del danno, devono essere disciplinate dal diritto nazionale in virtù del principio di autonomia procedurale degli Stati membri.</w:t>
      </w:r>
      <w:r w:rsidR="00AE4BEF">
        <w:rPr>
          <w:rFonts w:ascii="Times New Roman" w:hAnsi="Times New Roman" w:cs="Times New Roman"/>
          <w:sz w:val="28"/>
          <w:szCs w:val="28"/>
        </w:rPr>
        <w:t xml:space="preserve"> </w:t>
      </w:r>
      <w:r>
        <w:rPr>
          <w:rFonts w:ascii="Times New Roman" w:hAnsi="Times New Roman" w:cs="Times New Roman"/>
          <w:sz w:val="28"/>
          <w:szCs w:val="28"/>
        </w:rPr>
        <w:t>Anche se</w:t>
      </w:r>
      <w:r w:rsidR="00AE4BEF">
        <w:rPr>
          <w:rFonts w:ascii="Times New Roman" w:hAnsi="Times New Roman" w:cs="Times New Roman"/>
          <w:sz w:val="28"/>
          <w:szCs w:val="28"/>
        </w:rPr>
        <w:t xml:space="preserve"> il risarcimento, nei casi in cui vi sia una violazione manifesta del diritto vigente, non può essere nella pratica sostanzialmente impossibile o eccessivamente difficile.</w:t>
      </w:r>
    </w:p>
    <w:p w:rsidR="003C33C5" w:rsidRPr="00ED7680" w:rsidRDefault="005358A8"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w:t>
      </w:r>
      <w:r w:rsidR="00A87FD7" w:rsidRPr="00ED7680">
        <w:rPr>
          <w:rFonts w:ascii="Times New Roman" w:hAnsi="Times New Roman" w:cs="Times New Roman"/>
          <w:sz w:val="28"/>
          <w:szCs w:val="28"/>
        </w:rPr>
        <w:t xml:space="preserve">l Consiglio di Stato </w:t>
      </w:r>
      <w:r w:rsidR="00D12331" w:rsidRPr="00ED7680">
        <w:rPr>
          <w:rFonts w:ascii="Times New Roman" w:hAnsi="Times New Roman" w:cs="Times New Roman"/>
          <w:sz w:val="28"/>
          <w:szCs w:val="28"/>
        </w:rPr>
        <w:t>è</w:t>
      </w:r>
      <w:r w:rsidR="00A87FD7" w:rsidRPr="00ED7680">
        <w:rPr>
          <w:rFonts w:ascii="Times New Roman" w:hAnsi="Times New Roman" w:cs="Times New Roman"/>
          <w:sz w:val="28"/>
          <w:szCs w:val="28"/>
        </w:rPr>
        <w:t xml:space="preserve"> al primo pos</w:t>
      </w:r>
      <w:r w:rsidR="00D12331" w:rsidRPr="00ED7680">
        <w:rPr>
          <w:rFonts w:ascii="Times New Roman" w:hAnsi="Times New Roman" w:cs="Times New Roman"/>
          <w:sz w:val="28"/>
          <w:szCs w:val="28"/>
        </w:rPr>
        <w:t>t</w:t>
      </w:r>
      <w:r w:rsidR="00A87FD7" w:rsidRPr="00ED7680">
        <w:rPr>
          <w:rFonts w:ascii="Times New Roman" w:hAnsi="Times New Roman" w:cs="Times New Roman"/>
          <w:sz w:val="28"/>
          <w:szCs w:val="28"/>
        </w:rPr>
        <w:t>o tra le giurisdizioni superiori europee nel rimettere alla CGUE</w:t>
      </w:r>
      <w:r w:rsidR="003C33C5" w:rsidRPr="00ED7680">
        <w:rPr>
          <w:rFonts w:ascii="Times New Roman" w:hAnsi="Times New Roman" w:cs="Times New Roman"/>
          <w:sz w:val="28"/>
          <w:szCs w:val="28"/>
        </w:rPr>
        <w:t>.</w:t>
      </w:r>
    </w:p>
    <w:p w:rsidR="00616059" w:rsidRDefault="00384F11"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 dati ACA</w:t>
      </w:r>
      <w:r>
        <w:rPr>
          <w:rStyle w:val="Rimandonotaapidipagina"/>
          <w:rFonts w:ascii="Times New Roman" w:hAnsi="Times New Roman" w:cs="Times New Roman"/>
          <w:sz w:val="28"/>
          <w:szCs w:val="28"/>
        </w:rPr>
        <w:footnoteReference w:id="9"/>
      </w:r>
      <w:r w:rsidR="00616059">
        <w:rPr>
          <w:rFonts w:ascii="Times New Roman" w:hAnsi="Times New Roman" w:cs="Times New Roman"/>
          <w:sz w:val="28"/>
          <w:szCs w:val="28"/>
        </w:rPr>
        <w:t xml:space="preserve"> sui </w:t>
      </w:r>
      <w:r w:rsidR="00616059" w:rsidRPr="00616059">
        <w:rPr>
          <w:rFonts w:ascii="Times New Roman" w:hAnsi="Times New Roman" w:cs="Times New Roman"/>
          <w:i/>
          <w:iCs/>
          <w:sz w:val="28"/>
          <w:szCs w:val="28"/>
        </w:rPr>
        <w:t>preliminary ruling</w:t>
      </w:r>
      <w:r w:rsidR="00E04993">
        <w:rPr>
          <w:rFonts w:ascii="Times New Roman" w:hAnsi="Times New Roman" w:cs="Times New Roman"/>
          <w:sz w:val="28"/>
          <w:szCs w:val="28"/>
        </w:rPr>
        <w:t xml:space="preserve"> f</w:t>
      </w:r>
      <w:r w:rsidR="0002246D">
        <w:rPr>
          <w:rFonts w:ascii="Times New Roman" w:hAnsi="Times New Roman" w:cs="Times New Roman"/>
          <w:sz w:val="28"/>
          <w:szCs w:val="28"/>
        </w:rPr>
        <w:t>ormulati da</w:t>
      </w:r>
      <w:r w:rsidR="003F380F">
        <w:rPr>
          <w:rFonts w:ascii="Times New Roman" w:hAnsi="Times New Roman" w:cs="Times New Roman"/>
          <w:sz w:val="28"/>
          <w:szCs w:val="28"/>
        </w:rPr>
        <w:t>lle Corti s</w:t>
      </w:r>
      <w:r w:rsidR="00616059" w:rsidRPr="00616059">
        <w:rPr>
          <w:rFonts w:ascii="Times New Roman" w:hAnsi="Times New Roman" w:cs="Times New Roman"/>
          <w:sz w:val="28"/>
          <w:szCs w:val="28"/>
        </w:rPr>
        <w:t xml:space="preserve">upreme amministrative europee nel decennio 2012-2022 evidenziano che in Italia sono state </w:t>
      </w:r>
      <w:r w:rsidR="005358A8">
        <w:rPr>
          <w:rFonts w:ascii="Times New Roman" w:hAnsi="Times New Roman" w:cs="Times New Roman"/>
          <w:sz w:val="28"/>
          <w:szCs w:val="28"/>
        </w:rPr>
        <w:t>effettuate</w:t>
      </w:r>
      <w:r w:rsidR="00616059" w:rsidRPr="00616059">
        <w:rPr>
          <w:rFonts w:ascii="Times New Roman" w:hAnsi="Times New Roman" w:cs="Times New Roman"/>
          <w:sz w:val="28"/>
          <w:szCs w:val="28"/>
        </w:rPr>
        <w:t xml:space="preserve"> circa 300 rimessioni, in Germania circa 100, in Francia circa 90, in Spagna circa 70 e negli altri Stati membri molto meno.</w:t>
      </w:r>
    </w:p>
    <w:p w:rsidR="00616059" w:rsidRDefault="00384F11"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Quali le cause?</w:t>
      </w:r>
    </w:p>
    <w:p w:rsidR="0011478D" w:rsidRDefault="00384F11"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Vocazione europeista del </w:t>
      </w:r>
      <w:r w:rsidR="006724BD">
        <w:rPr>
          <w:rFonts w:ascii="Times New Roman" w:hAnsi="Times New Roman" w:cs="Times New Roman"/>
          <w:sz w:val="28"/>
          <w:szCs w:val="28"/>
        </w:rPr>
        <w:t>Consiglio di Stato</w:t>
      </w:r>
      <w:r>
        <w:rPr>
          <w:rFonts w:ascii="Times New Roman" w:hAnsi="Times New Roman" w:cs="Times New Roman"/>
          <w:sz w:val="28"/>
          <w:szCs w:val="28"/>
        </w:rPr>
        <w:t xml:space="preserve"> o</w:t>
      </w:r>
      <w:r w:rsidR="0011478D" w:rsidRPr="0011478D">
        <w:rPr>
          <w:rFonts w:ascii="Times New Roman" w:hAnsi="Times New Roman" w:cs="Times New Roman"/>
          <w:sz w:val="28"/>
          <w:szCs w:val="28"/>
        </w:rPr>
        <w:t xml:space="preserve"> paura della responsabilità del giudice</w:t>
      </w:r>
      <w:r w:rsidR="0011478D">
        <w:rPr>
          <w:rFonts w:ascii="Times New Roman" w:hAnsi="Times New Roman" w:cs="Times New Roman"/>
          <w:sz w:val="28"/>
          <w:szCs w:val="28"/>
        </w:rPr>
        <w:t xml:space="preserve">, in </w:t>
      </w:r>
      <w:r w:rsidR="0011478D" w:rsidRPr="0011478D">
        <w:rPr>
          <w:rFonts w:ascii="Times New Roman" w:hAnsi="Times New Roman" w:cs="Times New Roman"/>
          <w:sz w:val="28"/>
          <w:szCs w:val="28"/>
        </w:rPr>
        <w:t>funzione auto-difensiva?</w:t>
      </w:r>
    </w:p>
    <w:p w:rsidR="006724BD" w:rsidRDefault="006724BD"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Forse la risposta giusta è nel mezzo.</w:t>
      </w:r>
    </w:p>
    <w:p w:rsidR="00177044" w:rsidRDefault="00177044"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Si prospetta </w:t>
      </w:r>
      <w:r w:rsidR="006724BD">
        <w:rPr>
          <w:rFonts w:ascii="Times New Roman" w:hAnsi="Times New Roman" w:cs="Times New Roman"/>
          <w:sz w:val="28"/>
          <w:szCs w:val="28"/>
        </w:rPr>
        <w:t xml:space="preserve">intanto </w:t>
      </w:r>
      <w:r>
        <w:rPr>
          <w:rFonts w:ascii="Times New Roman" w:hAnsi="Times New Roman" w:cs="Times New Roman"/>
          <w:sz w:val="28"/>
          <w:szCs w:val="28"/>
        </w:rPr>
        <w:t>un’altra idea.</w:t>
      </w:r>
    </w:p>
    <w:p w:rsidR="00177044" w:rsidRDefault="00177044"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Allorquando le parti richiedo</w:t>
      </w:r>
      <w:r w:rsidR="003F380F">
        <w:rPr>
          <w:rFonts w:ascii="Times New Roman" w:hAnsi="Times New Roman" w:cs="Times New Roman"/>
          <w:sz w:val="28"/>
          <w:szCs w:val="28"/>
        </w:rPr>
        <w:t>no di sottoporre alla Corte di G</w:t>
      </w:r>
      <w:r>
        <w:rPr>
          <w:rFonts w:ascii="Times New Roman" w:hAnsi="Times New Roman" w:cs="Times New Roman"/>
          <w:sz w:val="28"/>
          <w:szCs w:val="28"/>
        </w:rPr>
        <w:t xml:space="preserve">iustizia una questione pregiudiziale, minacciando altrimenti la responsabilità del giudice, si rimette comunque alla Corte al fine di scaricarsi da </w:t>
      </w:r>
      <w:r w:rsidR="003F380F">
        <w:rPr>
          <w:rFonts w:ascii="Times New Roman" w:hAnsi="Times New Roman" w:cs="Times New Roman"/>
          <w:sz w:val="28"/>
          <w:szCs w:val="28"/>
        </w:rPr>
        <w:t>possibili profili</w:t>
      </w:r>
      <w:r>
        <w:rPr>
          <w:rFonts w:ascii="Times New Roman" w:hAnsi="Times New Roman" w:cs="Times New Roman"/>
          <w:sz w:val="28"/>
          <w:szCs w:val="28"/>
        </w:rPr>
        <w:t xml:space="preserve"> di responsabilità.</w:t>
      </w:r>
    </w:p>
    <w:p w:rsidR="00177044" w:rsidRDefault="00177044"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Ma anche una siffatta prospettazione non raggiunge alcun risultato</w:t>
      </w:r>
      <w:r w:rsidR="003F380F">
        <w:rPr>
          <w:rFonts w:ascii="Times New Roman" w:hAnsi="Times New Roman" w:cs="Times New Roman"/>
          <w:sz w:val="28"/>
          <w:szCs w:val="28"/>
        </w:rPr>
        <w:t xml:space="preserve"> utile</w:t>
      </w:r>
      <w:r>
        <w:rPr>
          <w:rFonts w:ascii="Times New Roman" w:hAnsi="Times New Roman" w:cs="Times New Roman"/>
          <w:sz w:val="28"/>
          <w:szCs w:val="28"/>
        </w:rPr>
        <w:t>.</w:t>
      </w:r>
    </w:p>
    <w:p w:rsidR="00177044" w:rsidRDefault="00177044"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La</w:t>
      </w:r>
      <w:r w:rsidRPr="00177044">
        <w:rPr>
          <w:rFonts w:ascii="Times New Roman" w:hAnsi="Times New Roman" w:cs="Times New Roman"/>
          <w:sz w:val="28"/>
          <w:szCs w:val="28"/>
        </w:rPr>
        <w:t xml:space="preserve"> CGUE, sez. VIII, </w:t>
      </w:r>
      <w:r>
        <w:rPr>
          <w:rFonts w:ascii="Times New Roman" w:hAnsi="Times New Roman" w:cs="Times New Roman"/>
          <w:sz w:val="28"/>
          <w:szCs w:val="28"/>
        </w:rPr>
        <w:t xml:space="preserve">con ordinanza </w:t>
      </w:r>
      <w:r w:rsidRPr="00177044">
        <w:rPr>
          <w:rFonts w:ascii="Times New Roman" w:hAnsi="Times New Roman" w:cs="Times New Roman"/>
          <w:sz w:val="28"/>
          <w:szCs w:val="28"/>
        </w:rPr>
        <w:t xml:space="preserve">12 dicembre 2023, n. 407, </w:t>
      </w:r>
      <w:r>
        <w:rPr>
          <w:rFonts w:ascii="Times New Roman" w:hAnsi="Times New Roman" w:cs="Times New Roman"/>
          <w:sz w:val="28"/>
          <w:szCs w:val="28"/>
        </w:rPr>
        <w:t>ha</w:t>
      </w:r>
      <w:r w:rsidRPr="00177044">
        <w:rPr>
          <w:rFonts w:ascii="Times New Roman" w:hAnsi="Times New Roman" w:cs="Times New Roman"/>
          <w:sz w:val="28"/>
          <w:szCs w:val="28"/>
        </w:rPr>
        <w:t xml:space="preserve"> dichiara</w:t>
      </w:r>
      <w:r>
        <w:rPr>
          <w:rFonts w:ascii="Times New Roman" w:hAnsi="Times New Roman" w:cs="Times New Roman"/>
          <w:sz w:val="28"/>
          <w:szCs w:val="28"/>
        </w:rPr>
        <w:t xml:space="preserve">to </w:t>
      </w:r>
      <w:r w:rsidRPr="00177044">
        <w:rPr>
          <w:rFonts w:ascii="Times New Roman" w:hAnsi="Times New Roman" w:cs="Times New Roman"/>
          <w:sz w:val="28"/>
          <w:szCs w:val="28"/>
        </w:rPr>
        <w:t>manifesta</w:t>
      </w:r>
      <w:r>
        <w:rPr>
          <w:rFonts w:ascii="Times New Roman" w:hAnsi="Times New Roman" w:cs="Times New Roman"/>
          <w:sz w:val="28"/>
          <w:szCs w:val="28"/>
        </w:rPr>
        <w:t>mente</w:t>
      </w:r>
      <w:r w:rsidRPr="00177044">
        <w:rPr>
          <w:rFonts w:ascii="Times New Roman" w:hAnsi="Times New Roman" w:cs="Times New Roman"/>
          <w:sz w:val="28"/>
          <w:szCs w:val="28"/>
        </w:rPr>
        <w:t xml:space="preserve"> irricevibil</w:t>
      </w:r>
      <w:r>
        <w:rPr>
          <w:rFonts w:ascii="Times New Roman" w:hAnsi="Times New Roman" w:cs="Times New Roman"/>
          <w:sz w:val="28"/>
          <w:szCs w:val="28"/>
        </w:rPr>
        <w:t>e</w:t>
      </w:r>
      <w:r w:rsidRPr="00177044">
        <w:rPr>
          <w:rFonts w:ascii="Times New Roman" w:hAnsi="Times New Roman" w:cs="Times New Roman"/>
          <w:sz w:val="28"/>
          <w:szCs w:val="28"/>
        </w:rPr>
        <w:t xml:space="preserve"> una domanda di pronuncia pregiudiziale proposta dal </w:t>
      </w:r>
      <w:r>
        <w:rPr>
          <w:rFonts w:ascii="Times New Roman" w:hAnsi="Times New Roman" w:cs="Times New Roman"/>
          <w:sz w:val="28"/>
          <w:szCs w:val="28"/>
        </w:rPr>
        <w:t>Consiglio di Stato</w:t>
      </w:r>
      <w:r w:rsidR="003F380F">
        <w:rPr>
          <w:rFonts w:ascii="Times New Roman" w:hAnsi="Times New Roman" w:cs="Times New Roman"/>
          <w:sz w:val="28"/>
          <w:szCs w:val="28"/>
        </w:rPr>
        <w:t>, sez. V,</w:t>
      </w:r>
      <w:r w:rsidRPr="00177044">
        <w:rPr>
          <w:rFonts w:ascii="Times New Roman" w:hAnsi="Times New Roman" w:cs="Times New Roman"/>
          <w:sz w:val="28"/>
          <w:szCs w:val="28"/>
        </w:rPr>
        <w:t xml:space="preserve"> </w:t>
      </w:r>
      <w:r>
        <w:rPr>
          <w:rFonts w:ascii="Times New Roman" w:hAnsi="Times New Roman" w:cs="Times New Roman"/>
          <w:sz w:val="28"/>
          <w:szCs w:val="28"/>
        </w:rPr>
        <w:t>con ordinanza del 7 giugno 2023</w:t>
      </w:r>
      <w:r w:rsidR="00465975">
        <w:rPr>
          <w:rFonts w:ascii="Times New Roman" w:hAnsi="Times New Roman" w:cs="Times New Roman"/>
          <w:sz w:val="28"/>
          <w:szCs w:val="28"/>
        </w:rPr>
        <w:t>, n. 5615</w:t>
      </w:r>
      <w:r>
        <w:rPr>
          <w:rFonts w:ascii="Times New Roman" w:hAnsi="Times New Roman" w:cs="Times New Roman"/>
          <w:sz w:val="28"/>
          <w:szCs w:val="28"/>
        </w:rPr>
        <w:t>.</w:t>
      </w:r>
    </w:p>
    <w:p w:rsidR="00177044" w:rsidRPr="00177044" w:rsidRDefault="00177044"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Emblematico il seguente passo della decisione della Corte, riferito all’ordinanza del Consiglio di Stato:</w:t>
      </w:r>
    </w:p>
    <w:p w:rsidR="00177044" w:rsidRDefault="00177044"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77044">
        <w:rPr>
          <w:rFonts w:ascii="Times New Roman" w:hAnsi="Times New Roman" w:cs="Times New Roman"/>
          <w:i/>
          <w:sz w:val="28"/>
          <w:szCs w:val="28"/>
        </w:rPr>
        <w:t>…si deve rilevare, in primo luogo, che tale ordinanza contiene solo una presentazione estremamente succinta del contesto di fatto della controversia oggetto del procedimento principale, nonché una descrizione assai lacunosa del quadro giuridico nazionale applicabile alla procedura di finanza di progetto</w:t>
      </w:r>
      <w:r>
        <w:rPr>
          <w:rFonts w:ascii="Times New Roman" w:hAnsi="Times New Roman" w:cs="Times New Roman"/>
          <w:sz w:val="28"/>
          <w:szCs w:val="28"/>
        </w:rPr>
        <w:t>”.</w:t>
      </w:r>
    </w:p>
    <w:p w:rsidR="00FF5C18" w:rsidRDefault="00FF5C18" w:rsidP="00B57E3D">
      <w:pPr>
        <w:spacing w:line="360" w:lineRule="auto"/>
        <w:ind w:firstLine="709"/>
        <w:jc w:val="both"/>
        <w:rPr>
          <w:rFonts w:ascii="Times New Roman" w:hAnsi="Times New Roman" w:cs="Times New Roman"/>
          <w:sz w:val="28"/>
          <w:szCs w:val="28"/>
        </w:rPr>
      </w:pPr>
      <w:r w:rsidRPr="00177044">
        <w:rPr>
          <w:rFonts w:ascii="Times New Roman" w:hAnsi="Times New Roman" w:cs="Times New Roman"/>
          <w:sz w:val="28"/>
          <w:szCs w:val="28"/>
        </w:rPr>
        <w:t>Ma il giudice può fare il passacarte?</w:t>
      </w:r>
    </w:p>
    <w:p w:rsidR="00177044" w:rsidRPr="00177044" w:rsidRDefault="00177044"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Certo che no.</w:t>
      </w:r>
    </w:p>
    <w:p w:rsidR="00FF5C18" w:rsidRPr="00177044" w:rsidRDefault="00FF5C18" w:rsidP="00B57E3D">
      <w:pPr>
        <w:spacing w:line="360" w:lineRule="auto"/>
        <w:ind w:firstLine="709"/>
        <w:jc w:val="both"/>
        <w:rPr>
          <w:rFonts w:ascii="Times New Roman" w:hAnsi="Times New Roman" w:cs="Times New Roman"/>
          <w:sz w:val="28"/>
          <w:szCs w:val="28"/>
        </w:rPr>
      </w:pPr>
      <w:r w:rsidRPr="00177044">
        <w:rPr>
          <w:rFonts w:ascii="Times New Roman" w:hAnsi="Times New Roman" w:cs="Times New Roman"/>
          <w:sz w:val="28"/>
          <w:szCs w:val="28"/>
        </w:rPr>
        <w:t xml:space="preserve">E comunque una dichiarazione da parte della </w:t>
      </w:r>
      <w:r w:rsidR="003F380F">
        <w:rPr>
          <w:rFonts w:ascii="Times New Roman" w:hAnsi="Times New Roman" w:cs="Times New Roman"/>
          <w:sz w:val="28"/>
          <w:szCs w:val="28"/>
        </w:rPr>
        <w:t>Corte di Giustizia</w:t>
      </w:r>
      <w:r w:rsidRPr="00177044">
        <w:rPr>
          <w:rFonts w:ascii="Times New Roman" w:hAnsi="Times New Roman" w:cs="Times New Roman"/>
          <w:sz w:val="28"/>
          <w:szCs w:val="28"/>
        </w:rPr>
        <w:t xml:space="preserve"> di manifesta irricevibilità </w:t>
      </w:r>
      <w:r w:rsidR="00177044">
        <w:rPr>
          <w:rFonts w:ascii="Times New Roman" w:hAnsi="Times New Roman" w:cs="Times New Roman"/>
          <w:sz w:val="28"/>
          <w:szCs w:val="28"/>
        </w:rPr>
        <w:t xml:space="preserve">del rinvio </w:t>
      </w:r>
      <w:r w:rsidRPr="00177044">
        <w:rPr>
          <w:rFonts w:ascii="Times New Roman" w:hAnsi="Times New Roman" w:cs="Times New Roman"/>
          <w:sz w:val="28"/>
          <w:szCs w:val="28"/>
        </w:rPr>
        <w:t xml:space="preserve">non esime </w:t>
      </w:r>
      <w:r w:rsidR="00177044">
        <w:rPr>
          <w:rFonts w:ascii="Times New Roman" w:hAnsi="Times New Roman" w:cs="Times New Roman"/>
          <w:sz w:val="28"/>
          <w:szCs w:val="28"/>
        </w:rPr>
        <w:t xml:space="preserve">il giudice </w:t>
      </w:r>
      <w:r w:rsidRPr="00177044">
        <w:rPr>
          <w:rFonts w:ascii="Times New Roman" w:hAnsi="Times New Roman" w:cs="Times New Roman"/>
          <w:sz w:val="28"/>
          <w:szCs w:val="28"/>
        </w:rPr>
        <w:t>da responsabilità.</w:t>
      </w:r>
      <w:r w:rsidR="00177044">
        <w:rPr>
          <w:rFonts w:ascii="Times New Roman" w:hAnsi="Times New Roman" w:cs="Times New Roman"/>
          <w:sz w:val="28"/>
          <w:szCs w:val="28"/>
        </w:rPr>
        <w:t xml:space="preserve"> Anzi potrebbe addirittura configurarla per non aver saputo dialogare adeguatamente con la Corte.</w:t>
      </w:r>
    </w:p>
    <w:p w:rsidR="0011478D" w:rsidRDefault="0011478D" w:rsidP="00B57E3D">
      <w:pPr>
        <w:spacing w:line="360" w:lineRule="auto"/>
        <w:ind w:firstLine="709"/>
        <w:jc w:val="both"/>
        <w:rPr>
          <w:rFonts w:ascii="Times New Roman" w:hAnsi="Times New Roman" w:cs="Times New Roman"/>
          <w:sz w:val="28"/>
          <w:szCs w:val="28"/>
        </w:rPr>
      </w:pPr>
    </w:p>
    <w:p w:rsidR="00177044" w:rsidRPr="00507049" w:rsidRDefault="00827D39" w:rsidP="00B57E3D">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7</w:t>
      </w:r>
      <w:r w:rsidR="00177044">
        <w:rPr>
          <w:rFonts w:ascii="Times New Roman" w:hAnsi="Times New Roman" w:cs="Times New Roman"/>
          <w:b/>
          <w:sz w:val="28"/>
          <w:szCs w:val="28"/>
        </w:rPr>
        <w:t xml:space="preserve">. </w:t>
      </w:r>
      <w:r w:rsidR="00177044" w:rsidRPr="00177044">
        <w:rPr>
          <w:rFonts w:ascii="Times New Roman" w:hAnsi="Times New Roman" w:cs="Times New Roman"/>
          <w:b/>
          <w:sz w:val="28"/>
          <w:szCs w:val="28"/>
        </w:rPr>
        <w:t>L’ordinanza Cons. Stato, sez. IV, 21 marzo 2024, n. 2789</w:t>
      </w:r>
      <w:r w:rsidR="00177044">
        <w:rPr>
          <w:rFonts w:ascii="Times New Roman" w:hAnsi="Times New Roman" w:cs="Times New Roman"/>
          <w:b/>
          <w:sz w:val="28"/>
          <w:szCs w:val="28"/>
        </w:rPr>
        <w:t>.</w:t>
      </w:r>
    </w:p>
    <w:p w:rsidR="00FF5C18" w:rsidRPr="00177044" w:rsidRDefault="00177044"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Consiglio di Stato, </w:t>
      </w:r>
      <w:r w:rsidR="00AB13BC">
        <w:rPr>
          <w:rFonts w:ascii="Times New Roman" w:hAnsi="Times New Roman" w:cs="Times New Roman"/>
          <w:sz w:val="28"/>
          <w:szCs w:val="28"/>
        </w:rPr>
        <w:t xml:space="preserve">sez. IV, </w:t>
      </w:r>
      <w:r>
        <w:rPr>
          <w:rFonts w:ascii="Times New Roman" w:hAnsi="Times New Roman" w:cs="Times New Roman"/>
          <w:sz w:val="28"/>
          <w:szCs w:val="28"/>
        </w:rPr>
        <w:t>con l</w:t>
      </w:r>
      <w:r w:rsidR="003C33C5" w:rsidRPr="00177044">
        <w:rPr>
          <w:rFonts w:ascii="Times New Roman" w:hAnsi="Times New Roman" w:cs="Times New Roman"/>
          <w:sz w:val="28"/>
          <w:szCs w:val="28"/>
        </w:rPr>
        <w:t xml:space="preserve">’ordinanza </w:t>
      </w:r>
      <w:r w:rsidR="006836EF" w:rsidRPr="00177044">
        <w:rPr>
          <w:rFonts w:ascii="Times New Roman" w:hAnsi="Times New Roman" w:cs="Times New Roman"/>
          <w:sz w:val="28"/>
          <w:szCs w:val="28"/>
        </w:rPr>
        <w:t>21 marzo 2024, n. 2789</w:t>
      </w:r>
      <w:r w:rsidR="00E604F9" w:rsidRPr="00177044">
        <w:rPr>
          <w:rFonts w:ascii="Times New Roman" w:hAnsi="Times New Roman" w:cs="Times New Roman"/>
          <w:sz w:val="28"/>
          <w:szCs w:val="28"/>
        </w:rPr>
        <w:t>, auspica un pronunciamento della CGUE</w:t>
      </w:r>
      <w:r w:rsidR="00AB13BC">
        <w:rPr>
          <w:rFonts w:ascii="Times New Roman" w:hAnsi="Times New Roman" w:cs="Times New Roman"/>
          <w:sz w:val="28"/>
          <w:szCs w:val="28"/>
        </w:rPr>
        <w:t xml:space="preserve">, </w:t>
      </w:r>
      <w:r w:rsidR="00AB13BC" w:rsidRPr="00AB13BC">
        <w:rPr>
          <w:rFonts w:ascii="Times New Roman" w:hAnsi="Times New Roman" w:cs="Times New Roman"/>
          <w:sz w:val="28"/>
          <w:szCs w:val="28"/>
        </w:rPr>
        <w:t>anche in via incidentale</w:t>
      </w:r>
      <w:r w:rsidR="00AB13BC">
        <w:rPr>
          <w:rFonts w:ascii="Times New Roman" w:hAnsi="Times New Roman" w:cs="Times New Roman"/>
          <w:sz w:val="28"/>
          <w:szCs w:val="28"/>
        </w:rPr>
        <w:t>,</w:t>
      </w:r>
      <w:r w:rsidR="00AB13BC" w:rsidRPr="00AB13BC">
        <w:rPr>
          <w:rFonts w:ascii="Times New Roman" w:hAnsi="Times New Roman" w:cs="Times New Roman"/>
          <w:sz w:val="28"/>
          <w:szCs w:val="28"/>
        </w:rPr>
        <w:t xml:space="preserve"> </w:t>
      </w:r>
      <w:r w:rsidR="00012F5C" w:rsidRPr="00177044">
        <w:rPr>
          <w:rFonts w:ascii="Times New Roman" w:hAnsi="Times New Roman" w:cs="Times New Roman"/>
          <w:sz w:val="28"/>
          <w:szCs w:val="28"/>
        </w:rPr>
        <w:t>sull’obbligo del rinvio pregiudiziale e sulla conseguen</w:t>
      </w:r>
      <w:r w:rsidR="00AB13BC">
        <w:rPr>
          <w:rFonts w:ascii="Times New Roman" w:hAnsi="Times New Roman" w:cs="Times New Roman"/>
          <w:sz w:val="28"/>
          <w:szCs w:val="28"/>
        </w:rPr>
        <w:t>te responsabilità del giudice</w:t>
      </w:r>
      <w:r w:rsidR="00FF5C18" w:rsidRPr="00177044">
        <w:rPr>
          <w:rFonts w:ascii="Times New Roman" w:hAnsi="Times New Roman" w:cs="Times New Roman"/>
          <w:sz w:val="28"/>
          <w:szCs w:val="28"/>
        </w:rPr>
        <w:t>.</w:t>
      </w:r>
    </w:p>
    <w:p w:rsidR="00FF5C18" w:rsidRPr="00177044" w:rsidRDefault="00FF5C18" w:rsidP="00B57E3D">
      <w:pPr>
        <w:spacing w:line="360" w:lineRule="auto"/>
        <w:ind w:firstLine="709"/>
        <w:jc w:val="both"/>
        <w:rPr>
          <w:rFonts w:ascii="Times New Roman" w:hAnsi="Times New Roman" w:cs="Times New Roman"/>
          <w:sz w:val="28"/>
          <w:szCs w:val="28"/>
        </w:rPr>
      </w:pPr>
      <w:r w:rsidRPr="00177044">
        <w:rPr>
          <w:rFonts w:ascii="Times New Roman" w:hAnsi="Times New Roman" w:cs="Times New Roman"/>
          <w:sz w:val="28"/>
          <w:szCs w:val="28"/>
        </w:rPr>
        <w:t xml:space="preserve">Il </w:t>
      </w:r>
      <w:r w:rsidR="00465975">
        <w:rPr>
          <w:rFonts w:ascii="Times New Roman" w:hAnsi="Times New Roman" w:cs="Times New Roman"/>
          <w:sz w:val="28"/>
          <w:szCs w:val="28"/>
        </w:rPr>
        <w:t>Consiglio di Stato</w:t>
      </w:r>
      <w:r w:rsidRPr="00177044">
        <w:rPr>
          <w:rFonts w:ascii="Times New Roman" w:hAnsi="Times New Roman" w:cs="Times New Roman"/>
          <w:sz w:val="28"/>
          <w:szCs w:val="28"/>
        </w:rPr>
        <w:t xml:space="preserve"> prende posizione, rifacendosi anche a giurisprudenza della CGUE (sentenze Cilfit 1 e 2</w:t>
      </w:r>
      <w:r w:rsidR="002C7FAA">
        <w:rPr>
          <w:rStyle w:val="Rimandonotaapidipagina"/>
          <w:rFonts w:ascii="Times New Roman" w:hAnsi="Times New Roman" w:cs="Times New Roman"/>
          <w:sz w:val="28"/>
          <w:szCs w:val="28"/>
        </w:rPr>
        <w:footnoteReference w:id="10"/>
      </w:r>
      <w:r w:rsidRPr="00177044">
        <w:rPr>
          <w:rFonts w:ascii="Times New Roman" w:hAnsi="Times New Roman" w:cs="Times New Roman"/>
          <w:sz w:val="28"/>
          <w:szCs w:val="28"/>
        </w:rPr>
        <w:t>).</w:t>
      </w:r>
      <w:r w:rsidR="00AB13BC">
        <w:rPr>
          <w:rFonts w:ascii="Times New Roman" w:hAnsi="Times New Roman" w:cs="Times New Roman"/>
          <w:sz w:val="28"/>
          <w:szCs w:val="28"/>
        </w:rPr>
        <w:t xml:space="preserve"> E così statuisce:</w:t>
      </w:r>
    </w:p>
    <w:p w:rsidR="006836EF" w:rsidRPr="00AB13BC" w:rsidRDefault="00AB13BC" w:rsidP="00B57E3D">
      <w:pPr>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t>“</w:t>
      </w:r>
      <w:r w:rsidR="006836EF" w:rsidRPr="00AB13BC">
        <w:rPr>
          <w:rFonts w:ascii="Times New Roman" w:hAnsi="Times New Roman" w:cs="Times New Roman"/>
          <w:i/>
          <w:sz w:val="28"/>
          <w:szCs w:val="28"/>
        </w:rPr>
        <w:t>In presenza di un'espressa motivazione sulle ragioni del mancato rinvio pregiudiziale non viene integrata la responsabilità civile dei magistrati di cui all'art. 2 della l. 13 aprile 1998, n. 117, non operando alcun automatismo in tal senso.</w:t>
      </w:r>
    </w:p>
    <w:p w:rsidR="006836EF" w:rsidRPr="00AB13BC" w:rsidRDefault="006836EF" w:rsidP="00B57E3D">
      <w:pPr>
        <w:spacing w:line="360" w:lineRule="auto"/>
        <w:ind w:firstLine="709"/>
        <w:jc w:val="both"/>
        <w:rPr>
          <w:rFonts w:ascii="Times New Roman" w:hAnsi="Times New Roman" w:cs="Times New Roman"/>
          <w:i/>
          <w:sz w:val="28"/>
          <w:szCs w:val="28"/>
        </w:rPr>
      </w:pPr>
      <w:r w:rsidRPr="00AB13BC">
        <w:rPr>
          <w:rFonts w:ascii="Times New Roman" w:hAnsi="Times New Roman" w:cs="Times New Roman"/>
          <w:i/>
          <w:sz w:val="28"/>
          <w:szCs w:val="28"/>
        </w:rPr>
        <w:t>Il giudice nazionale di ultima istanza non può essere obbligato dalle parti a presentare una domanda di rinvio pregiudiziale; è tuttavia obbligato a pronunciarsi sulla richiesta di rinvio e, nel caso in cui ritenga di non disporre il rinvio alla Corte di giustizia, è tenuto a motivare sul difetto di rilevanza o sulle altre ragioni di esonero dall'obbligo di rinvio.</w:t>
      </w:r>
    </w:p>
    <w:p w:rsidR="003E5ADC" w:rsidRPr="00AB13BC" w:rsidRDefault="00E604F9" w:rsidP="00B57E3D">
      <w:pPr>
        <w:spacing w:line="360" w:lineRule="auto"/>
        <w:ind w:firstLine="709"/>
        <w:jc w:val="both"/>
        <w:rPr>
          <w:rFonts w:ascii="Times New Roman" w:hAnsi="Times New Roman" w:cs="Times New Roman"/>
          <w:sz w:val="28"/>
          <w:szCs w:val="28"/>
        </w:rPr>
      </w:pPr>
      <w:r w:rsidRPr="00E604F9">
        <w:rPr>
          <w:rFonts w:ascii="Times New Roman" w:hAnsi="Times New Roman" w:cs="Times New Roman"/>
          <w:i/>
          <w:sz w:val="28"/>
          <w:szCs w:val="28"/>
        </w:rPr>
        <w:t>…solo la sussistenza o meno dell’assolvimento dell’obbligo di motivazione dovrà essere considerata, ad esempio, nella individuazione di eventuali responsabilità del giudice per (mancata motivazione della) mancata rimessione alla C.G.U.E., ovvero per revocazione per mancata (considerazione, o motivazione sulla istanza di) rimessione alla C.G.U.E.</w:t>
      </w:r>
      <w:r w:rsidR="00AB13BC">
        <w:rPr>
          <w:rFonts w:ascii="Times New Roman" w:hAnsi="Times New Roman" w:cs="Times New Roman"/>
          <w:sz w:val="28"/>
          <w:szCs w:val="28"/>
        </w:rPr>
        <w:t>”.</w:t>
      </w:r>
    </w:p>
    <w:p w:rsidR="00AB13BC" w:rsidRDefault="00AB13BC"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Dal che conseguono due dubbi.</w:t>
      </w:r>
    </w:p>
    <w:p w:rsidR="00AB13BC" w:rsidRDefault="00AB13BC"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primo è relativo alla possibilità per la Corte </w:t>
      </w:r>
      <w:r w:rsidR="00465975">
        <w:rPr>
          <w:rFonts w:ascii="Times New Roman" w:hAnsi="Times New Roman" w:cs="Times New Roman"/>
          <w:sz w:val="28"/>
          <w:szCs w:val="28"/>
        </w:rPr>
        <w:t xml:space="preserve">di Giustizia </w:t>
      </w:r>
      <w:r>
        <w:rPr>
          <w:rFonts w:ascii="Times New Roman" w:hAnsi="Times New Roman" w:cs="Times New Roman"/>
          <w:sz w:val="28"/>
          <w:szCs w:val="28"/>
        </w:rPr>
        <w:t xml:space="preserve">di pronunciare su una questione che le viene sottoposta in via incidentale e che quindi non è rilevante non servendo </w:t>
      </w:r>
      <w:r w:rsidR="006724BD">
        <w:rPr>
          <w:rFonts w:ascii="Times New Roman" w:hAnsi="Times New Roman" w:cs="Times New Roman"/>
          <w:sz w:val="28"/>
          <w:szCs w:val="28"/>
        </w:rPr>
        <w:t>a</w:t>
      </w:r>
      <w:r>
        <w:rPr>
          <w:rFonts w:ascii="Times New Roman" w:hAnsi="Times New Roman" w:cs="Times New Roman"/>
          <w:sz w:val="28"/>
          <w:szCs w:val="28"/>
        </w:rPr>
        <w:t xml:space="preserve">lla soluzione della controversia. Tanto è vero che la Sez. IV ha rimesso alla Corte specifici quesiti </w:t>
      </w:r>
      <w:r w:rsidR="005358A8">
        <w:rPr>
          <w:rFonts w:ascii="Times New Roman" w:hAnsi="Times New Roman" w:cs="Times New Roman"/>
          <w:sz w:val="28"/>
          <w:szCs w:val="28"/>
        </w:rPr>
        <w:t>strettamente attinenti all’oggetto della</w:t>
      </w:r>
      <w:r>
        <w:rPr>
          <w:rFonts w:ascii="Times New Roman" w:hAnsi="Times New Roman" w:cs="Times New Roman"/>
          <w:sz w:val="28"/>
          <w:szCs w:val="28"/>
        </w:rPr>
        <w:t xml:space="preserve"> controversia.</w:t>
      </w:r>
    </w:p>
    <w:p w:rsidR="00AB13BC" w:rsidRDefault="00AB13BC"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Il secondo dubbio consegue alla prospettazione della Sez. IV, la quale ipotizza un teorema di questo tipo: basta motivare sul mancato rinvio alla Corte perché non ci possa essere la responsabilità del giudice.</w:t>
      </w:r>
    </w:p>
    <w:p w:rsidR="00AB13BC" w:rsidRDefault="00AB13BC"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Ma prima abbiamo visto che per far scattare la responsabilità del giudice a seguito di azione di rivalsa da parte dello Stato nell’</w:t>
      </w:r>
      <w:r w:rsidR="00827D39">
        <w:rPr>
          <w:rFonts w:ascii="Times New Roman" w:hAnsi="Times New Roman" w:cs="Times New Roman"/>
          <w:sz w:val="28"/>
          <w:szCs w:val="28"/>
        </w:rPr>
        <w:t>ipotesi di mancato rinvio alla CGUE</w:t>
      </w:r>
      <w:r>
        <w:rPr>
          <w:rFonts w:ascii="Times New Roman" w:hAnsi="Times New Roman" w:cs="Times New Roman"/>
          <w:sz w:val="28"/>
          <w:szCs w:val="28"/>
        </w:rPr>
        <w:t xml:space="preserve"> occorre una negligenza inescusabile. Ed è evidente che la motivazione non è di per sé </w:t>
      </w:r>
      <w:r w:rsidR="00AF104F">
        <w:rPr>
          <w:rFonts w:ascii="Times New Roman" w:hAnsi="Times New Roman" w:cs="Times New Roman"/>
          <w:sz w:val="28"/>
          <w:szCs w:val="28"/>
        </w:rPr>
        <w:t xml:space="preserve">sola </w:t>
      </w:r>
      <w:r w:rsidR="006724BD">
        <w:rPr>
          <w:rFonts w:ascii="Times New Roman" w:hAnsi="Times New Roman" w:cs="Times New Roman"/>
          <w:sz w:val="28"/>
          <w:szCs w:val="28"/>
        </w:rPr>
        <w:t xml:space="preserve">capace di </w:t>
      </w:r>
      <w:r w:rsidR="00827D39">
        <w:rPr>
          <w:rFonts w:ascii="Times New Roman" w:hAnsi="Times New Roman" w:cs="Times New Roman"/>
          <w:sz w:val="28"/>
          <w:szCs w:val="28"/>
        </w:rPr>
        <w:t>esclude</w:t>
      </w:r>
      <w:r w:rsidR="006724BD">
        <w:rPr>
          <w:rFonts w:ascii="Times New Roman" w:hAnsi="Times New Roman" w:cs="Times New Roman"/>
          <w:sz w:val="28"/>
          <w:szCs w:val="28"/>
        </w:rPr>
        <w:t>re</w:t>
      </w:r>
      <w:r w:rsidR="00827D39">
        <w:rPr>
          <w:rFonts w:ascii="Times New Roman" w:hAnsi="Times New Roman" w:cs="Times New Roman"/>
          <w:sz w:val="28"/>
          <w:szCs w:val="28"/>
        </w:rPr>
        <w:t xml:space="preserve"> la </w:t>
      </w:r>
      <w:r>
        <w:rPr>
          <w:rFonts w:ascii="Times New Roman" w:hAnsi="Times New Roman" w:cs="Times New Roman"/>
          <w:sz w:val="28"/>
          <w:szCs w:val="28"/>
        </w:rPr>
        <w:t>responsabilità</w:t>
      </w:r>
      <w:r w:rsidR="00827D39">
        <w:rPr>
          <w:rFonts w:ascii="Times New Roman" w:hAnsi="Times New Roman" w:cs="Times New Roman"/>
          <w:sz w:val="28"/>
          <w:szCs w:val="28"/>
        </w:rPr>
        <w:t>,</w:t>
      </w:r>
      <w:r>
        <w:rPr>
          <w:rFonts w:ascii="Times New Roman" w:hAnsi="Times New Roman" w:cs="Times New Roman"/>
          <w:sz w:val="28"/>
          <w:szCs w:val="28"/>
        </w:rPr>
        <w:t xml:space="preserve"> anche perché </w:t>
      </w:r>
      <w:r w:rsidR="00827D39">
        <w:rPr>
          <w:rFonts w:ascii="Times New Roman" w:hAnsi="Times New Roman" w:cs="Times New Roman"/>
          <w:sz w:val="28"/>
          <w:szCs w:val="28"/>
        </w:rPr>
        <w:t>può essere</w:t>
      </w:r>
      <w:r>
        <w:rPr>
          <w:rFonts w:ascii="Times New Roman" w:hAnsi="Times New Roman" w:cs="Times New Roman"/>
          <w:sz w:val="28"/>
          <w:szCs w:val="28"/>
        </w:rPr>
        <w:t xml:space="preserve"> insufficiente</w:t>
      </w:r>
      <w:r w:rsidR="00827D39">
        <w:rPr>
          <w:rFonts w:ascii="Times New Roman" w:hAnsi="Times New Roman" w:cs="Times New Roman"/>
          <w:sz w:val="28"/>
          <w:szCs w:val="28"/>
        </w:rPr>
        <w:t>,</w:t>
      </w:r>
      <w:r>
        <w:rPr>
          <w:rFonts w:ascii="Times New Roman" w:hAnsi="Times New Roman" w:cs="Times New Roman"/>
          <w:sz w:val="28"/>
          <w:szCs w:val="28"/>
        </w:rPr>
        <w:t xml:space="preserve"> lacunosa</w:t>
      </w:r>
      <w:r w:rsidR="00827D39">
        <w:rPr>
          <w:rFonts w:ascii="Times New Roman" w:hAnsi="Times New Roman" w:cs="Times New Roman"/>
          <w:sz w:val="28"/>
          <w:szCs w:val="28"/>
        </w:rPr>
        <w:t>, inadeguata,</w:t>
      </w:r>
      <w:r>
        <w:rPr>
          <w:rFonts w:ascii="Times New Roman" w:hAnsi="Times New Roman" w:cs="Times New Roman"/>
          <w:sz w:val="28"/>
          <w:szCs w:val="28"/>
        </w:rPr>
        <w:t xml:space="preserve"> </w:t>
      </w:r>
      <w:r w:rsidR="005358A8">
        <w:rPr>
          <w:rFonts w:ascii="Times New Roman" w:hAnsi="Times New Roman" w:cs="Times New Roman"/>
          <w:sz w:val="28"/>
          <w:szCs w:val="28"/>
        </w:rPr>
        <w:t xml:space="preserve">apparente, </w:t>
      </w:r>
      <w:r>
        <w:rPr>
          <w:rFonts w:ascii="Times New Roman" w:hAnsi="Times New Roman" w:cs="Times New Roman"/>
          <w:sz w:val="28"/>
          <w:szCs w:val="28"/>
        </w:rPr>
        <w:t>contraddittoria</w:t>
      </w:r>
      <w:r w:rsidR="00827D39">
        <w:rPr>
          <w:rFonts w:ascii="Times New Roman" w:hAnsi="Times New Roman" w:cs="Times New Roman"/>
          <w:sz w:val="28"/>
          <w:szCs w:val="28"/>
        </w:rPr>
        <w:t xml:space="preserve">, </w:t>
      </w:r>
      <w:r w:rsidR="00AF104F">
        <w:rPr>
          <w:rFonts w:ascii="Times New Roman" w:hAnsi="Times New Roman" w:cs="Times New Roman"/>
          <w:sz w:val="28"/>
          <w:szCs w:val="28"/>
        </w:rPr>
        <w:t>inconsistente</w:t>
      </w:r>
      <w:r w:rsidR="00827D39">
        <w:rPr>
          <w:rFonts w:ascii="Times New Roman" w:hAnsi="Times New Roman" w:cs="Times New Roman"/>
          <w:sz w:val="28"/>
          <w:szCs w:val="28"/>
        </w:rPr>
        <w:t>, del tutto fuori centro, ecc., e in tal modo non esentare</w:t>
      </w:r>
      <w:r>
        <w:rPr>
          <w:rFonts w:ascii="Times New Roman" w:hAnsi="Times New Roman" w:cs="Times New Roman"/>
          <w:sz w:val="28"/>
          <w:szCs w:val="28"/>
        </w:rPr>
        <w:t xml:space="preserve"> da responsabilità</w:t>
      </w:r>
      <w:r w:rsidR="00827D39">
        <w:rPr>
          <w:rFonts w:ascii="Times New Roman" w:hAnsi="Times New Roman" w:cs="Times New Roman"/>
          <w:sz w:val="28"/>
          <w:szCs w:val="28"/>
        </w:rPr>
        <w:t>.</w:t>
      </w:r>
      <w:r w:rsidR="00C86018">
        <w:rPr>
          <w:rFonts w:ascii="Times New Roman" w:hAnsi="Times New Roman" w:cs="Times New Roman"/>
          <w:sz w:val="28"/>
          <w:szCs w:val="28"/>
        </w:rPr>
        <w:t xml:space="preserve"> Ed è evidente che </w:t>
      </w:r>
      <w:r w:rsidR="00AF104F">
        <w:rPr>
          <w:rFonts w:ascii="Times New Roman" w:hAnsi="Times New Roman" w:cs="Times New Roman"/>
          <w:sz w:val="28"/>
          <w:szCs w:val="28"/>
        </w:rPr>
        <w:t>l’avere motivato</w:t>
      </w:r>
      <w:r w:rsidR="00C86018">
        <w:rPr>
          <w:rFonts w:ascii="Times New Roman" w:hAnsi="Times New Roman" w:cs="Times New Roman"/>
          <w:sz w:val="28"/>
          <w:szCs w:val="28"/>
        </w:rPr>
        <w:t xml:space="preserve"> non salva </w:t>
      </w:r>
      <w:r w:rsidR="00AF104F">
        <w:rPr>
          <w:rFonts w:ascii="Times New Roman" w:hAnsi="Times New Roman" w:cs="Times New Roman"/>
          <w:sz w:val="28"/>
          <w:szCs w:val="28"/>
        </w:rPr>
        <w:t xml:space="preserve">da responsabilità </w:t>
      </w:r>
      <w:r w:rsidR="00C86018">
        <w:rPr>
          <w:rFonts w:ascii="Times New Roman" w:hAnsi="Times New Roman" w:cs="Times New Roman"/>
          <w:sz w:val="28"/>
          <w:szCs w:val="28"/>
        </w:rPr>
        <w:t xml:space="preserve">qualora </w:t>
      </w:r>
      <w:r w:rsidR="00AF104F">
        <w:rPr>
          <w:rFonts w:ascii="Times New Roman" w:hAnsi="Times New Roman" w:cs="Times New Roman"/>
          <w:sz w:val="28"/>
          <w:szCs w:val="28"/>
        </w:rPr>
        <w:t xml:space="preserve">il giudice </w:t>
      </w:r>
      <w:r w:rsidR="00C86018">
        <w:rPr>
          <w:rFonts w:ascii="Times New Roman" w:hAnsi="Times New Roman" w:cs="Times New Roman"/>
          <w:sz w:val="28"/>
          <w:szCs w:val="28"/>
        </w:rPr>
        <w:t xml:space="preserve">ignori manifestamente la giurisprudenza della Corte </w:t>
      </w:r>
      <w:r w:rsidR="00AF104F">
        <w:rPr>
          <w:rFonts w:ascii="Times New Roman" w:hAnsi="Times New Roman" w:cs="Times New Roman"/>
          <w:sz w:val="28"/>
          <w:szCs w:val="28"/>
        </w:rPr>
        <w:t>di G</w:t>
      </w:r>
      <w:r w:rsidR="00C86018">
        <w:rPr>
          <w:rFonts w:ascii="Times New Roman" w:hAnsi="Times New Roman" w:cs="Times New Roman"/>
          <w:sz w:val="28"/>
          <w:szCs w:val="28"/>
        </w:rPr>
        <w:t>iustizia in materia.</w:t>
      </w:r>
    </w:p>
    <w:p w:rsidR="00827D39" w:rsidRDefault="00827D39"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Per cui per ora la strada maestra è quella di seguire la giurisprudenza della Corte, secondo cui non sussiste l’obbligo di rinvio pregiudiziale:</w:t>
      </w:r>
    </w:p>
    <w:p w:rsidR="003E5ADC" w:rsidRDefault="00827D39"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in caso di irrilevanza della questione;</w:t>
      </w:r>
    </w:p>
    <w:p w:rsidR="003E5ADC" w:rsidRDefault="00827D39"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se la</w:t>
      </w:r>
      <w:r w:rsidR="003E5ADC">
        <w:rPr>
          <w:rFonts w:ascii="Times New Roman" w:hAnsi="Times New Roman" w:cs="Times New Roman"/>
          <w:sz w:val="28"/>
          <w:szCs w:val="28"/>
        </w:rPr>
        <w:t xml:space="preserve"> CGUE ha già deci</w:t>
      </w:r>
      <w:r w:rsidR="005358A8">
        <w:rPr>
          <w:rFonts w:ascii="Times New Roman" w:hAnsi="Times New Roman" w:cs="Times New Roman"/>
          <w:sz w:val="28"/>
          <w:szCs w:val="28"/>
        </w:rPr>
        <w:t>so questioni identiche o simili;</w:t>
      </w:r>
    </w:p>
    <w:p w:rsidR="00204CE1" w:rsidRDefault="00827D39"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c) in s</w:t>
      </w:r>
      <w:r w:rsidR="003E5ADC">
        <w:rPr>
          <w:rFonts w:ascii="Times New Roman" w:hAnsi="Times New Roman" w:cs="Times New Roman"/>
          <w:sz w:val="28"/>
          <w:szCs w:val="28"/>
        </w:rPr>
        <w:t>ituazione di evidenza che non lascia spazio ad alcun ragionevole dubbio</w:t>
      </w:r>
      <w:r w:rsidR="006F083C">
        <w:rPr>
          <w:rFonts w:ascii="Times New Roman" w:hAnsi="Times New Roman" w:cs="Times New Roman"/>
          <w:sz w:val="28"/>
          <w:szCs w:val="28"/>
        </w:rPr>
        <w:t xml:space="preserve"> sull’applicazione del diritto dell’UE (teoria dell’atto chiaro); ossia in caso di questione manifestamente infondata.</w:t>
      </w:r>
    </w:p>
    <w:p w:rsidR="00ED7680" w:rsidRDefault="00827D39"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Il che avvicina enormemente - per il giudice - la situazione alla base del rinv</w:t>
      </w:r>
      <w:r w:rsidR="00AF104F">
        <w:rPr>
          <w:rFonts w:ascii="Times New Roman" w:hAnsi="Times New Roman" w:cs="Times New Roman"/>
          <w:sz w:val="28"/>
          <w:szCs w:val="28"/>
        </w:rPr>
        <w:t>io pregiudiziale alla Corte di G</w:t>
      </w:r>
      <w:r>
        <w:rPr>
          <w:rFonts w:ascii="Times New Roman" w:hAnsi="Times New Roman" w:cs="Times New Roman"/>
          <w:sz w:val="28"/>
          <w:szCs w:val="28"/>
        </w:rPr>
        <w:t>iustizia a quella della remissione alla Corte Costituzionale per sospetta incostituzionalità di una legge.</w:t>
      </w:r>
    </w:p>
    <w:p w:rsidR="00827D39" w:rsidRDefault="00827D39" w:rsidP="00B57E3D">
      <w:pPr>
        <w:spacing w:line="360" w:lineRule="auto"/>
        <w:ind w:firstLine="709"/>
        <w:jc w:val="both"/>
        <w:rPr>
          <w:rFonts w:ascii="Times New Roman" w:hAnsi="Times New Roman" w:cs="Times New Roman"/>
          <w:sz w:val="28"/>
          <w:szCs w:val="28"/>
        </w:rPr>
      </w:pPr>
    </w:p>
    <w:p w:rsidR="00507049" w:rsidRPr="004A0746" w:rsidRDefault="00827D39" w:rsidP="00B57E3D">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8. A</w:t>
      </w:r>
      <w:r w:rsidR="00507049">
        <w:rPr>
          <w:rFonts w:ascii="Times New Roman" w:hAnsi="Times New Roman" w:cs="Times New Roman"/>
          <w:b/>
          <w:sz w:val="28"/>
          <w:szCs w:val="28"/>
        </w:rPr>
        <w:t xml:space="preserve">lcuni </w:t>
      </w:r>
      <w:r w:rsidR="00F04511">
        <w:rPr>
          <w:rFonts w:ascii="Times New Roman" w:hAnsi="Times New Roman" w:cs="Times New Roman"/>
          <w:b/>
          <w:sz w:val="28"/>
          <w:szCs w:val="28"/>
        </w:rPr>
        <w:t>problemi nel dialogo con la Corte di Giustizia</w:t>
      </w:r>
      <w:r w:rsidR="00507049">
        <w:rPr>
          <w:rFonts w:ascii="Times New Roman" w:hAnsi="Times New Roman" w:cs="Times New Roman"/>
          <w:b/>
          <w:sz w:val="28"/>
          <w:szCs w:val="28"/>
        </w:rPr>
        <w:t>.</w:t>
      </w:r>
    </w:p>
    <w:p w:rsidR="00AF104F" w:rsidRPr="00AF104F" w:rsidRDefault="00AF104F"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Non mancano i </w:t>
      </w:r>
      <w:r w:rsidRPr="00AF104F">
        <w:rPr>
          <w:rFonts w:ascii="Times New Roman" w:hAnsi="Times New Roman" w:cs="Times New Roman"/>
          <w:sz w:val="28"/>
          <w:szCs w:val="28"/>
        </w:rPr>
        <w:t>problemi nel dialogo con la Corte di Giustizia</w:t>
      </w:r>
      <w:r>
        <w:rPr>
          <w:rFonts w:ascii="Times New Roman" w:hAnsi="Times New Roman" w:cs="Times New Roman"/>
          <w:sz w:val="28"/>
          <w:szCs w:val="28"/>
        </w:rPr>
        <w:t>.</w:t>
      </w:r>
    </w:p>
    <w:p w:rsidR="00B87DB4" w:rsidRDefault="00B87DB4" w:rsidP="00B57E3D">
      <w:pPr>
        <w:spacing w:line="360" w:lineRule="auto"/>
        <w:ind w:firstLine="709"/>
        <w:jc w:val="both"/>
        <w:rPr>
          <w:rFonts w:ascii="Times New Roman" w:hAnsi="Times New Roman" w:cs="Times New Roman"/>
          <w:sz w:val="28"/>
          <w:szCs w:val="28"/>
        </w:rPr>
      </w:pPr>
      <w:r w:rsidRPr="00B87DB4">
        <w:rPr>
          <w:rFonts w:ascii="Times New Roman" w:hAnsi="Times New Roman" w:cs="Times New Roman"/>
          <w:sz w:val="28"/>
          <w:szCs w:val="28"/>
        </w:rPr>
        <w:t xml:space="preserve">Occorre </w:t>
      </w:r>
      <w:r w:rsidRPr="00A66090">
        <w:rPr>
          <w:rFonts w:ascii="Times New Roman" w:hAnsi="Times New Roman" w:cs="Times New Roman"/>
          <w:i/>
          <w:sz w:val="28"/>
          <w:szCs w:val="28"/>
        </w:rPr>
        <w:t>in</w:t>
      </w:r>
      <w:r w:rsidRPr="00B87DB4">
        <w:rPr>
          <w:rFonts w:ascii="Times New Roman" w:hAnsi="Times New Roman" w:cs="Times New Roman"/>
          <w:sz w:val="28"/>
          <w:szCs w:val="28"/>
        </w:rPr>
        <w:t xml:space="preserve"> </w:t>
      </w:r>
      <w:r w:rsidRPr="00A66090">
        <w:rPr>
          <w:rFonts w:ascii="Times New Roman" w:hAnsi="Times New Roman" w:cs="Times New Roman"/>
          <w:i/>
          <w:sz w:val="28"/>
          <w:szCs w:val="28"/>
        </w:rPr>
        <w:t>primis</w:t>
      </w:r>
      <w:r w:rsidRPr="00B87DB4">
        <w:rPr>
          <w:rFonts w:ascii="Times New Roman" w:hAnsi="Times New Roman" w:cs="Times New Roman"/>
          <w:sz w:val="28"/>
          <w:szCs w:val="28"/>
        </w:rPr>
        <w:t xml:space="preserve"> p</w:t>
      </w:r>
      <w:r w:rsidR="0002246D">
        <w:rPr>
          <w:rFonts w:ascii="Times New Roman" w:hAnsi="Times New Roman" w:cs="Times New Roman"/>
          <w:sz w:val="28"/>
          <w:szCs w:val="28"/>
        </w:rPr>
        <w:t>arlare un linguaggio comune e comprensibile</w:t>
      </w:r>
      <w:r w:rsidRPr="00B87DB4">
        <w:rPr>
          <w:rFonts w:ascii="Times New Roman" w:hAnsi="Times New Roman" w:cs="Times New Roman"/>
          <w:sz w:val="28"/>
          <w:szCs w:val="28"/>
        </w:rPr>
        <w:t xml:space="preserve">. Altrimenti, se si parla una lingua sconosciuta il dialogo diventa </w:t>
      </w:r>
      <w:r w:rsidR="00AF104F">
        <w:rPr>
          <w:rFonts w:ascii="Times New Roman" w:hAnsi="Times New Roman" w:cs="Times New Roman"/>
          <w:sz w:val="28"/>
          <w:szCs w:val="28"/>
        </w:rPr>
        <w:t>complicato</w:t>
      </w:r>
      <w:r w:rsidRPr="00B87DB4">
        <w:rPr>
          <w:rFonts w:ascii="Times New Roman" w:hAnsi="Times New Roman" w:cs="Times New Roman"/>
          <w:sz w:val="28"/>
          <w:szCs w:val="28"/>
        </w:rPr>
        <w:t>.</w:t>
      </w:r>
    </w:p>
    <w:p w:rsidR="00487D0D" w:rsidRDefault="00487D0D"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Frequentemente i fenomeni </w:t>
      </w:r>
      <w:r w:rsidR="00C923E6">
        <w:rPr>
          <w:rFonts w:ascii="Times New Roman" w:hAnsi="Times New Roman" w:cs="Times New Roman"/>
          <w:sz w:val="28"/>
          <w:szCs w:val="28"/>
        </w:rPr>
        <w:t xml:space="preserve">e gli istituti </w:t>
      </w:r>
      <w:r>
        <w:rPr>
          <w:rFonts w:ascii="Times New Roman" w:hAnsi="Times New Roman" w:cs="Times New Roman"/>
          <w:sz w:val="28"/>
          <w:szCs w:val="28"/>
        </w:rPr>
        <w:t>giuridici nell’ordinamento degli Stati membri dell’UE</w:t>
      </w:r>
      <w:r w:rsidR="00AF104F" w:rsidRPr="00AF104F">
        <w:t xml:space="preserve"> </w:t>
      </w:r>
      <w:r w:rsidR="00AF104F" w:rsidRPr="00AF104F">
        <w:rPr>
          <w:rFonts w:ascii="Times New Roman" w:hAnsi="Times New Roman" w:cs="Times New Roman"/>
          <w:sz w:val="28"/>
          <w:szCs w:val="28"/>
        </w:rPr>
        <w:t>non sono indicati con lo stesso nome</w:t>
      </w:r>
      <w:r>
        <w:rPr>
          <w:rFonts w:ascii="Times New Roman" w:hAnsi="Times New Roman" w:cs="Times New Roman"/>
          <w:sz w:val="28"/>
          <w:szCs w:val="28"/>
        </w:rPr>
        <w:t>.</w:t>
      </w:r>
    </w:p>
    <w:p w:rsidR="00806E59" w:rsidRDefault="00A66090"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Nell’ultimo convegno ACA, tenutosi a Napoli nel giugno 2023, in cui si è concluso il biennio di presidenza italiana, è stato approvato un glossario contenente una serie di definizioni di termini giuridici, </w:t>
      </w:r>
      <w:r w:rsidRPr="00A66090">
        <w:rPr>
          <w:rFonts w:ascii="Times New Roman" w:hAnsi="Times New Roman" w:cs="Times New Roman"/>
          <w:sz w:val="28"/>
          <w:szCs w:val="28"/>
        </w:rPr>
        <w:t>in inglese e in francese</w:t>
      </w:r>
      <w:r>
        <w:rPr>
          <w:rFonts w:ascii="Times New Roman" w:hAnsi="Times New Roman" w:cs="Times New Roman"/>
          <w:sz w:val="28"/>
          <w:szCs w:val="28"/>
        </w:rPr>
        <w:t xml:space="preserve">. </w:t>
      </w:r>
      <w:r w:rsidR="00117F53">
        <w:rPr>
          <w:rFonts w:ascii="Times New Roman" w:hAnsi="Times New Roman" w:cs="Times New Roman"/>
          <w:sz w:val="28"/>
          <w:szCs w:val="28"/>
        </w:rPr>
        <w:t>È</w:t>
      </w:r>
      <w:r w:rsidR="00AF104F">
        <w:rPr>
          <w:rFonts w:ascii="Times New Roman" w:hAnsi="Times New Roman" w:cs="Times New Roman"/>
          <w:sz w:val="28"/>
          <w:szCs w:val="28"/>
        </w:rPr>
        <w:t xml:space="preserve"> solo</w:t>
      </w:r>
      <w:r>
        <w:rPr>
          <w:rFonts w:ascii="Times New Roman" w:hAnsi="Times New Roman" w:cs="Times New Roman"/>
          <w:sz w:val="28"/>
          <w:szCs w:val="28"/>
        </w:rPr>
        <w:t xml:space="preserve"> l’inizio di un</w:t>
      </w:r>
      <w:r w:rsidR="00806E59">
        <w:rPr>
          <w:rFonts w:ascii="Times New Roman" w:hAnsi="Times New Roman" w:cs="Times New Roman"/>
          <w:sz w:val="28"/>
          <w:szCs w:val="28"/>
        </w:rPr>
        <w:t xml:space="preserve"> </w:t>
      </w:r>
      <w:r w:rsidR="00806E59" w:rsidRPr="00806E59">
        <w:rPr>
          <w:rFonts w:ascii="Times New Roman" w:hAnsi="Times New Roman" w:cs="Times New Roman"/>
          <w:i/>
          <w:sz w:val="28"/>
          <w:szCs w:val="28"/>
        </w:rPr>
        <w:t>trend</w:t>
      </w:r>
      <w:r>
        <w:rPr>
          <w:rFonts w:ascii="Times New Roman" w:hAnsi="Times New Roman" w:cs="Times New Roman"/>
          <w:sz w:val="28"/>
          <w:szCs w:val="28"/>
        </w:rPr>
        <w:t xml:space="preserve"> verso</w:t>
      </w:r>
      <w:r w:rsidR="00AF104F">
        <w:rPr>
          <w:rFonts w:ascii="Times New Roman" w:hAnsi="Times New Roman" w:cs="Times New Roman"/>
          <w:sz w:val="28"/>
          <w:szCs w:val="28"/>
        </w:rPr>
        <w:t xml:space="preserve"> l’uso di un linguaggio comune; </w:t>
      </w:r>
      <w:r w:rsidR="00806E59">
        <w:rPr>
          <w:rFonts w:ascii="Times New Roman" w:hAnsi="Times New Roman" w:cs="Times New Roman"/>
          <w:sz w:val="28"/>
          <w:szCs w:val="28"/>
        </w:rPr>
        <w:t xml:space="preserve">il </w:t>
      </w:r>
      <w:r>
        <w:rPr>
          <w:rFonts w:ascii="Times New Roman" w:hAnsi="Times New Roman" w:cs="Times New Roman"/>
          <w:sz w:val="28"/>
          <w:szCs w:val="28"/>
        </w:rPr>
        <w:t xml:space="preserve">che </w:t>
      </w:r>
      <w:r w:rsidR="00806E59">
        <w:rPr>
          <w:rFonts w:ascii="Times New Roman" w:hAnsi="Times New Roman" w:cs="Times New Roman"/>
          <w:sz w:val="28"/>
          <w:szCs w:val="28"/>
        </w:rPr>
        <w:t xml:space="preserve">risponde ad un’esigenza </w:t>
      </w:r>
      <w:r>
        <w:rPr>
          <w:rFonts w:ascii="Times New Roman" w:hAnsi="Times New Roman" w:cs="Times New Roman"/>
          <w:sz w:val="28"/>
          <w:szCs w:val="28"/>
        </w:rPr>
        <w:t>oltremodo rilevante</w:t>
      </w:r>
      <w:r w:rsidR="00806E59">
        <w:rPr>
          <w:rFonts w:ascii="Times New Roman" w:hAnsi="Times New Roman" w:cs="Times New Roman"/>
          <w:sz w:val="28"/>
          <w:szCs w:val="28"/>
        </w:rPr>
        <w:t xml:space="preserve"> proprio a fini</w:t>
      </w:r>
      <w:r>
        <w:rPr>
          <w:rFonts w:ascii="Times New Roman" w:hAnsi="Times New Roman" w:cs="Times New Roman"/>
          <w:sz w:val="28"/>
          <w:szCs w:val="28"/>
        </w:rPr>
        <w:t xml:space="preserve"> di ordin</w:t>
      </w:r>
      <w:r w:rsidR="00806E59">
        <w:rPr>
          <w:rFonts w:ascii="Times New Roman" w:hAnsi="Times New Roman" w:cs="Times New Roman"/>
          <w:sz w:val="28"/>
          <w:szCs w:val="28"/>
        </w:rPr>
        <w:t xml:space="preserve">e </w:t>
      </w:r>
      <w:r>
        <w:rPr>
          <w:rFonts w:ascii="Times New Roman" w:hAnsi="Times New Roman" w:cs="Times New Roman"/>
          <w:sz w:val="28"/>
          <w:szCs w:val="28"/>
        </w:rPr>
        <w:t>e svilupp</w:t>
      </w:r>
      <w:r w:rsidR="00806E59">
        <w:rPr>
          <w:rFonts w:ascii="Times New Roman" w:hAnsi="Times New Roman" w:cs="Times New Roman"/>
          <w:sz w:val="28"/>
          <w:szCs w:val="28"/>
        </w:rPr>
        <w:t>o</w:t>
      </w:r>
      <w:r>
        <w:rPr>
          <w:rFonts w:ascii="Times New Roman" w:hAnsi="Times New Roman" w:cs="Times New Roman"/>
          <w:sz w:val="28"/>
          <w:szCs w:val="28"/>
        </w:rPr>
        <w:t xml:space="preserve"> </w:t>
      </w:r>
      <w:r w:rsidR="00806E59">
        <w:rPr>
          <w:rFonts w:ascii="Times New Roman" w:hAnsi="Times New Roman" w:cs="Times New Roman"/>
          <w:sz w:val="28"/>
          <w:szCs w:val="28"/>
        </w:rPr>
        <w:t>de</w:t>
      </w:r>
      <w:r>
        <w:rPr>
          <w:rFonts w:ascii="Times New Roman" w:hAnsi="Times New Roman" w:cs="Times New Roman"/>
          <w:sz w:val="28"/>
          <w:szCs w:val="28"/>
        </w:rPr>
        <w:t>i sistemi giuridici nazionali degli Stati membri</w:t>
      </w:r>
      <w:r w:rsidR="00806E59">
        <w:rPr>
          <w:rFonts w:ascii="Times New Roman" w:hAnsi="Times New Roman" w:cs="Times New Roman"/>
          <w:sz w:val="28"/>
          <w:szCs w:val="28"/>
        </w:rPr>
        <w:t xml:space="preserve"> verso l’applicazione uniforme del diritto europeo.</w:t>
      </w:r>
    </w:p>
    <w:p w:rsidR="00F00BC0" w:rsidRDefault="00806E59"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Ne</w:t>
      </w:r>
      <w:r w:rsidR="00AF104F">
        <w:rPr>
          <w:rFonts w:ascii="Times New Roman" w:hAnsi="Times New Roman" w:cs="Times New Roman"/>
          <w:sz w:val="28"/>
          <w:szCs w:val="28"/>
        </w:rPr>
        <w:t>l 2012</w:t>
      </w:r>
      <w:r w:rsidR="00A66090">
        <w:rPr>
          <w:rFonts w:ascii="Times New Roman" w:hAnsi="Times New Roman" w:cs="Times New Roman"/>
          <w:sz w:val="28"/>
          <w:szCs w:val="28"/>
        </w:rPr>
        <w:t xml:space="preserve"> venne in Consiglio di Stato una delegazione di giudici del</w:t>
      </w:r>
      <w:r w:rsidR="00F00BC0">
        <w:rPr>
          <w:rFonts w:ascii="Times New Roman" w:hAnsi="Times New Roman" w:cs="Times New Roman"/>
          <w:sz w:val="28"/>
          <w:szCs w:val="28"/>
        </w:rPr>
        <w:t>la Corte Suprema del</w:t>
      </w:r>
      <w:r w:rsidR="00A66090">
        <w:rPr>
          <w:rFonts w:ascii="Times New Roman" w:hAnsi="Times New Roman" w:cs="Times New Roman"/>
          <w:sz w:val="28"/>
          <w:szCs w:val="28"/>
        </w:rPr>
        <w:t xml:space="preserve"> Regno Unito. </w:t>
      </w:r>
    </w:p>
    <w:p w:rsidR="00F00BC0" w:rsidRDefault="00F00BC0"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La Brexit era ancora di là da venire.</w:t>
      </w:r>
    </w:p>
    <w:p w:rsidR="00F00BC0" w:rsidRDefault="00A66090"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Uno di loro, in un momento di pausa</w:t>
      </w:r>
      <w:r w:rsidR="00F00BC0">
        <w:rPr>
          <w:rFonts w:ascii="Times New Roman" w:hAnsi="Times New Roman" w:cs="Times New Roman"/>
          <w:sz w:val="28"/>
          <w:szCs w:val="28"/>
        </w:rPr>
        <w:t xml:space="preserve"> da</w:t>
      </w:r>
      <w:r>
        <w:rPr>
          <w:rFonts w:ascii="Times New Roman" w:hAnsi="Times New Roman" w:cs="Times New Roman"/>
          <w:sz w:val="28"/>
          <w:szCs w:val="28"/>
        </w:rPr>
        <w:t xml:space="preserve">ll’estasi della visione della </w:t>
      </w:r>
      <w:r w:rsidR="00AF104F">
        <w:rPr>
          <w:rFonts w:ascii="Times New Roman" w:hAnsi="Times New Roman" w:cs="Times New Roman"/>
          <w:sz w:val="28"/>
          <w:szCs w:val="28"/>
        </w:rPr>
        <w:t xml:space="preserve">“grande </w:t>
      </w:r>
      <w:r w:rsidR="00806E59">
        <w:rPr>
          <w:rFonts w:ascii="Times New Roman" w:hAnsi="Times New Roman" w:cs="Times New Roman"/>
          <w:sz w:val="28"/>
          <w:szCs w:val="28"/>
        </w:rPr>
        <w:t>bellezza</w:t>
      </w:r>
      <w:r w:rsidR="00AF104F">
        <w:rPr>
          <w:rFonts w:ascii="Times New Roman" w:hAnsi="Times New Roman" w:cs="Times New Roman"/>
          <w:sz w:val="28"/>
          <w:szCs w:val="28"/>
        </w:rPr>
        <w:t>”</w:t>
      </w:r>
      <w:r w:rsidR="00806E59">
        <w:rPr>
          <w:rFonts w:ascii="Times New Roman" w:hAnsi="Times New Roman" w:cs="Times New Roman"/>
          <w:sz w:val="28"/>
          <w:szCs w:val="28"/>
        </w:rPr>
        <w:t xml:space="preserve"> della </w:t>
      </w:r>
      <w:r>
        <w:rPr>
          <w:rFonts w:ascii="Times New Roman" w:hAnsi="Times New Roman" w:cs="Times New Roman"/>
          <w:sz w:val="28"/>
          <w:szCs w:val="28"/>
        </w:rPr>
        <w:t>sala di Pompeo</w:t>
      </w:r>
      <w:r w:rsidR="00F00BC0">
        <w:rPr>
          <w:rFonts w:ascii="Times New Roman" w:hAnsi="Times New Roman" w:cs="Times New Roman"/>
          <w:sz w:val="28"/>
          <w:szCs w:val="28"/>
        </w:rPr>
        <w:t xml:space="preserve"> dove si tenne l’incontro, disse più o meno questo: noi giudici della Corte Suprema siamo molto sensibili al diritto europeo e s</w:t>
      </w:r>
      <w:r w:rsidR="00AF104F">
        <w:rPr>
          <w:rFonts w:ascii="Times New Roman" w:hAnsi="Times New Roman" w:cs="Times New Roman"/>
          <w:sz w:val="28"/>
          <w:szCs w:val="28"/>
        </w:rPr>
        <w:t>pesso rimettiamo alla Corte di G</w:t>
      </w:r>
      <w:r w:rsidR="00F00BC0">
        <w:rPr>
          <w:rFonts w:ascii="Times New Roman" w:hAnsi="Times New Roman" w:cs="Times New Roman"/>
          <w:sz w:val="28"/>
          <w:szCs w:val="28"/>
        </w:rPr>
        <w:t xml:space="preserve">iustizia. Ma accade sempre più frequentemente che non capiamo </w:t>
      </w:r>
      <w:r w:rsidR="00806E59">
        <w:rPr>
          <w:rFonts w:ascii="Times New Roman" w:hAnsi="Times New Roman" w:cs="Times New Roman"/>
          <w:sz w:val="28"/>
          <w:szCs w:val="28"/>
        </w:rPr>
        <w:t>del tutto</w:t>
      </w:r>
      <w:r w:rsidR="00F00BC0">
        <w:rPr>
          <w:rFonts w:ascii="Times New Roman" w:hAnsi="Times New Roman" w:cs="Times New Roman"/>
          <w:sz w:val="28"/>
          <w:szCs w:val="28"/>
        </w:rPr>
        <w:t xml:space="preserve"> quello che ci dice la Corte. Cosicché abbiamo deciso di rinviare con meno frequenza.</w:t>
      </w:r>
    </w:p>
    <w:p w:rsidR="00B87DB4" w:rsidRDefault="006724BD"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w:t>
      </w:r>
      <w:r w:rsidR="00806E59">
        <w:rPr>
          <w:rFonts w:ascii="Times New Roman" w:hAnsi="Times New Roman" w:cs="Times New Roman"/>
          <w:sz w:val="28"/>
          <w:szCs w:val="28"/>
        </w:rPr>
        <w:t>nvero a</w:t>
      </w:r>
      <w:r w:rsidR="00B87DB4" w:rsidRPr="00B87DB4">
        <w:rPr>
          <w:rFonts w:ascii="Times New Roman" w:hAnsi="Times New Roman" w:cs="Times New Roman"/>
          <w:sz w:val="28"/>
          <w:szCs w:val="28"/>
        </w:rPr>
        <w:t xml:space="preserve">ccade </w:t>
      </w:r>
      <w:r w:rsidR="00806E59">
        <w:rPr>
          <w:rFonts w:ascii="Times New Roman" w:hAnsi="Times New Roman" w:cs="Times New Roman"/>
          <w:sz w:val="28"/>
          <w:szCs w:val="28"/>
        </w:rPr>
        <w:t xml:space="preserve">alcune volte </w:t>
      </w:r>
      <w:r w:rsidR="00B87DB4" w:rsidRPr="00B87DB4">
        <w:rPr>
          <w:rFonts w:ascii="Times New Roman" w:hAnsi="Times New Roman" w:cs="Times New Roman"/>
          <w:sz w:val="28"/>
          <w:szCs w:val="28"/>
        </w:rPr>
        <w:t xml:space="preserve">che si rimette alla CGUE sperando in una chiave di soluzione della controversia e si rimane insoddisfatti: ossia, quanto detto dalla </w:t>
      </w:r>
      <w:r w:rsidR="00806E59">
        <w:rPr>
          <w:rFonts w:ascii="Times New Roman" w:hAnsi="Times New Roman" w:cs="Times New Roman"/>
          <w:sz w:val="28"/>
          <w:szCs w:val="28"/>
        </w:rPr>
        <w:t>Corte</w:t>
      </w:r>
      <w:r w:rsidR="00B87DB4" w:rsidRPr="00B87DB4">
        <w:rPr>
          <w:rFonts w:ascii="Times New Roman" w:hAnsi="Times New Roman" w:cs="Times New Roman"/>
          <w:sz w:val="28"/>
          <w:szCs w:val="28"/>
        </w:rPr>
        <w:t xml:space="preserve"> non serve alla soluzione della controversia.</w:t>
      </w:r>
    </w:p>
    <w:p w:rsidR="00D12331" w:rsidRDefault="006724BD"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Qualche volta</w:t>
      </w:r>
      <w:r w:rsidR="00D12331">
        <w:rPr>
          <w:rFonts w:ascii="Times New Roman" w:hAnsi="Times New Roman" w:cs="Times New Roman"/>
          <w:sz w:val="28"/>
          <w:szCs w:val="28"/>
        </w:rPr>
        <w:t xml:space="preserve"> la CGUE parla una lingua </w:t>
      </w:r>
      <w:r w:rsidR="0002246D">
        <w:rPr>
          <w:rFonts w:ascii="Times New Roman" w:hAnsi="Times New Roman" w:cs="Times New Roman"/>
          <w:sz w:val="28"/>
          <w:szCs w:val="28"/>
        </w:rPr>
        <w:t xml:space="preserve">di </w:t>
      </w:r>
      <w:r w:rsidR="00CE6D7C">
        <w:rPr>
          <w:rFonts w:ascii="Times New Roman" w:hAnsi="Times New Roman" w:cs="Times New Roman"/>
          <w:sz w:val="28"/>
          <w:szCs w:val="28"/>
        </w:rPr>
        <w:t xml:space="preserve">non </w:t>
      </w:r>
      <w:r w:rsidR="0002246D">
        <w:rPr>
          <w:rFonts w:ascii="Times New Roman" w:hAnsi="Times New Roman" w:cs="Times New Roman"/>
          <w:sz w:val="28"/>
          <w:szCs w:val="28"/>
        </w:rPr>
        <w:t>facile comprensione</w:t>
      </w:r>
      <w:r w:rsidR="00806E59">
        <w:rPr>
          <w:rFonts w:ascii="Times New Roman" w:hAnsi="Times New Roman" w:cs="Times New Roman"/>
          <w:sz w:val="28"/>
          <w:szCs w:val="28"/>
        </w:rPr>
        <w:t xml:space="preserve">, con </w:t>
      </w:r>
      <w:r w:rsidR="00D12331">
        <w:rPr>
          <w:rFonts w:ascii="Times New Roman" w:hAnsi="Times New Roman" w:cs="Times New Roman"/>
          <w:sz w:val="28"/>
          <w:szCs w:val="28"/>
        </w:rPr>
        <w:t>conseguenti difficoltà nell’applicare i principi affermati alla singola controversia</w:t>
      </w:r>
      <w:r w:rsidR="00C923E6">
        <w:rPr>
          <w:rFonts w:ascii="Times New Roman" w:hAnsi="Times New Roman" w:cs="Times New Roman"/>
          <w:sz w:val="28"/>
          <w:szCs w:val="28"/>
        </w:rPr>
        <w:t>, dato</w:t>
      </w:r>
      <w:r w:rsidR="00806E59">
        <w:rPr>
          <w:rFonts w:ascii="Times New Roman" w:hAnsi="Times New Roman" w:cs="Times New Roman"/>
          <w:sz w:val="28"/>
          <w:szCs w:val="28"/>
        </w:rPr>
        <w:t xml:space="preserve"> l’approccio astratto della Corte.</w:t>
      </w:r>
    </w:p>
    <w:p w:rsidR="00806E59" w:rsidRDefault="00806E59"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w:t>
      </w:r>
      <w:r w:rsidR="00D12331">
        <w:rPr>
          <w:rFonts w:ascii="Times New Roman" w:hAnsi="Times New Roman" w:cs="Times New Roman"/>
          <w:sz w:val="28"/>
          <w:szCs w:val="28"/>
        </w:rPr>
        <w:t>lcune volte</w:t>
      </w:r>
      <w:r w:rsidR="005358A8">
        <w:rPr>
          <w:rFonts w:ascii="Times New Roman" w:hAnsi="Times New Roman" w:cs="Times New Roman"/>
          <w:sz w:val="28"/>
          <w:szCs w:val="28"/>
        </w:rPr>
        <w:t xml:space="preserve">, invece, </w:t>
      </w:r>
      <w:r w:rsidR="00D12331">
        <w:rPr>
          <w:rFonts w:ascii="Times New Roman" w:hAnsi="Times New Roman" w:cs="Times New Roman"/>
          <w:sz w:val="28"/>
          <w:szCs w:val="28"/>
        </w:rPr>
        <w:t xml:space="preserve">la CGUE non si </w:t>
      </w:r>
      <w:r w:rsidR="00B87DB4">
        <w:rPr>
          <w:rFonts w:ascii="Times New Roman" w:hAnsi="Times New Roman" w:cs="Times New Roman"/>
          <w:sz w:val="28"/>
          <w:szCs w:val="28"/>
        </w:rPr>
        <w:t>astrae</w:t>
      </w:r>
      <w:r w:rsidR="00D12331">
        <w:rPr>
          <w:rFonts w:ascii="Times New Roman" w:hAnsi="Times New Roman" w:cs="Times New Roman"/>
          <w:sz w:val="28"/>
          <w:szCs w:val="28"/>
        </w:rPr>
        <w:t xml:space="preserve"> dalla </w:t>
      </w:r>
      <w:r>
        <w:rPr>
          <w:rFonts w:ascii="Times New Roman" w:hAnsi="Times New Roman" w:cs="Times New Roman"/>
          <w:sz w:val="28"/>
          <w:szCs w:val="28"/>
        </w:rPr>
        <w:t>controversia e</w:t>
      </w:r>
      <w:r w:rsidR="005358A8">
        <w:rPr>
          <w:rFonts w:ascii="Times New Roman" w:hAnsi="Times New Roman" w:cs="Times New Roman"/>
          <w:sz w:val="28"/>
          <w:szCs w:val="28"/>
        </w:rPr>
        <w:t>d entra n</w:t>
      </w:r>
      <w:r>
        <w:rPr>
          <w:rFonts w:ascii="Times New Roman" w:hAnsi="Times New Roman" w:cs="Times New Roman"/>
          <w:sz w:val="28"/>
          <w:szCs w:val="28"/>
        </w:rPr>
        <w:t>el dettaglio. Cosicché il giudice si trova che per alcune parti la controversia è stata già decisa dalla Corte.</w:t>
      </w:r>
    </w:p>
    <w:p w:rsidR="00117F53" w:rsidRDefault="00117F53"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Non mancano poi le discrasie </w:t>
      </w:r>
      <w:r w:rsidR="00D12331">
        <w:rPr>
          <w:rFonts w:ascii="Times New Roman" w:hAnsi="Times New Roman" w:cs="Times New Roman"/>
          <w:sz w:val="28"/>
          <w:szCs w:val="28"/>
        </w:rPr>
        <w:t>del giudice nel dare attu</w:t>
      </w:r>
      <w:r w:rsidR="00B87DB4">
        <w:rPr>
          <w:rFonts w:ascii="Times New Roman" w:hAnsi="Times New Roman" w:cs="Times New Roman"/>
          <w:sz w:val="28"/>
          <w:szCs w:val="28"/>
        </w:rPr>
        <w:t>a</w:t>
      </w:r>
      <w:r w:rsidR="00E75C02">
        <w:rPr>
          <w:rFonts w:ascii="Times New Roman" w:hAnsi="Times New Roman" w:cs="Times New Roman"/>
          <w:sz w:val="28"/>
          <w:szCs w:val="28"/>
        </w:rPr>
        <w:t xml:space="preserve">zione alle sentenze della </w:t>
      </w:r>
      <w:r w:rsidR="00AF104F">
        <w:rPr>
          <w:rFonts w:ascii="Times New Roman" w:hAnsi="Times New Roman" w:cs="Times New Roman"/>
          <w:sz w:val="28"/>
          <w:szCs w:val="28"/>
        </w:rPr>
        <w:t>Corte di Giustizia</w:t>
      </w:r>
      <w:r>
        <w:rPr>
          <w:rFonts w:ascii="Times New Roman" w:hAnsi="Times New Roman" w:cs="Times New Roman"/>
          <w:sz w:val="28"/>
          <w:szCs w:val="28"/>
        </w:rPr>
        <w:t>.</w:t>
      </w:r>
    </w:p>
    <w:p w:rsidR="00D12331" w:rsidRDefault="00117F53"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Come avvenuto recentemente nell’</w:t>
      </w:r>
      <w:r w:rsidR="00B87DB4">
        <w:rPr>
          <w:rFonts w:ascii="Times New Roman" w:hAnsi="Times New Roman" w:cs="Times New Roman"/>
          <w:sz w:val="28"/>
          <w:szCs w:val="28"/>
        </w:rPr>
        <w:t xml:space="preserve">applicazione da parte del </w:t>
      </w:r>
      <w:r>
        <w:rPr>
          <w:rFonts w:ascii="Times New Roman" w:hAnsi="Times New Roman" w:cs="Times New Roman"/>
          <w:sz w:val="28"/>
          <w:szCs w:val="28"/>
        </w:rPr>
        <w:t>Consiglio di Stato</w:t>
      </w:r>
      <w:r w:rsidR="00AF104F">
        <w:rPr>
          <w:rStyle w:val="Rimandonotaapidipagina"/>
          <w:rFonts w:ascii="Times New Roman" w:hAnsi="Times New Roman" w:cs="Times New Roman"/>
          <w:sz w:val="28"/>
          <w:szCs w:val="28"/>
        </w:rPr>
        <w:footnoteReference w:id="11"/>
      </w:r>
      <w:r w:rsidR="00AF104F">
        <w:rPr>
          <w:rFonts w:ascii="Times New Roman" w:hAnsi="Times New Roman" w:cs="Times New Roman"/>
          <w:sz w:val="28"/>
          <w:szCs w:val="28"/>
        </w:rPr>
        <w:t xml:space="preserve"> </w:t>
      </w:r>
      <w:r w:rsidR="00B87DB4">
        <w:rPr>
          <w:rFonts w:ascii="Times New Roman" w:hAnsi="Times New Roman" w:cs="Times New Roman"/>
          <w:sz w:val="28"/>
          <w:szCs w:val="28"/>
        </w:rPr>
        <w:t>della nozione di risorsa scarsa</w:t>
      </w:r>
      <w:r w:rsidR="00AF104F">
        <w:rPr>
          <w:rFonts w:ascii="Times New Roman" w:hAnsi="Times New Roman" w:cs="Times New Roman"/>
          <w:sz w:val="28"/>
          <w:szCs w:val="28"/>
        </w:rPr>
        <w:t>,</w:t>
      </w:r>
      <w:r w:rsidR="00B87DB4">
        <w:rPr>
          <w:rFonts w:ascii="Times New Roman" w:hAnsi="Times New Roman" w:cs="Times New Roman"/>
          <w:sz w:val="28"/>
          <w:szCs w:val="28"/>
        </w:rPr>
        <w:t xml:space="preserve"> di cui alla famosa decisione della </w:t>
      </w:r>
      <w:r w:rsidR="00AF104F">
        <w:rPr>
          <w:rFonts w:ascii="Times New Roman" w:hAnsi="Times New Roman" w:cs="Times New Roman"/>
          <w:sz w:val="28"/>
          <w:szCs w:val="28"/>
        </w:rPr>
        <w:t>Corte</w:t>
      </w:r>
      <w:r w:rsidR="00B87DB4">
        <w:rPr>
          <w:rFonts w:ascii="Times New Roman" w:hAnsi="Times New Roman" w:cs="Times New Roman"/>
          <w:sz w:val="28"/>
          <w:szCs w:val="28"/>
        </w:rPr>
        <w:t xml:space="preserve"> sulle concessioni demaniali marittime</w:t>
      </w:r>
      <w:r w:rsidR="00AF104F">
        <w:rPr>
          <w:rStyle w:val="Rimandonotaapidipagina"/>
          <w:rFonts w:ascii="Times New Roman" w:hAnsi="Times New Roman" w:cs="Times New Roman"/>
          <w:sz w:val="28"/>
          <w:szCs w:val="28"/>
        </w:rPr>
        <w:footnoteReference w:id="12"/>
      </w:r>
      <w:r w:rsidR="00B87DB4">
        <w:rPr>
          <w:rFonts w:ascii="Times New Roman" w:hAnsi="Times New Roman" w:cs="Times New Roman"/>
          <w:sz w:val="28"/>
          <w:szCs w:val="28"/>
        </w:rPr>
        <w:t>.</w:t>
      </w:r>
      <w:r>
        <w:rPr>
          <w:rFonts w:ascii="Times New Roman" w:hAnsi="Times New Roman" w:cs="Times New Roman"/>
          <w:sz w:val="28"/>
          <w:szCs w:val="28"/>
        </w:rPr>
        <w:t xml:space="preserve"> Si intravede un disallineamento nell’attuazione pratica del concetto di scarsità della risorsa rispetto al concetto astratto definito dalla Corte.</w:t>
      </w:r>
    </w:p>
    <w:p w:rsidR="00507049" w:rsidRDefault="00117F53" w:rsidP="00B57E3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Così che, in conclusione di questa breve introduzione alle tematiche </w:t>
      </w:r>
      <w:r w:rsidR="005358A8">
        <w:rPr>
          <w:rFonts w:ascii="Times New Roman" w:hAnsi="Times New Roman" w:cs="Times New Roman"/>
          <w:sz w:val="28"/>
          <w:szCs w:val="28"/>
        </w:rPr>
        <w:t>sulla</w:t>
      </w:r>
      <w:r>
        <w:rPr>
          <w:rFonts w:ascii="Times New Roman" w:hAnsi="Times New Roman" w:cs="Times New Roman"/>
          <w:sz w:val="28"/>
          <w:szCs w:val="28"/>
        </w:rPr>
        <w:t xml:space="preserve"> responsabilità civile del magistrato amministrativo e </w:t>
      </w:r>
      <w:r w:rsidR="005358A8">
        <w:rPr>
          <w:rFonts w:ascii="Times New Roman" w:hAnsi="Times New Roman" w:cs="Times New Roman"/>
          <w:sz w:val="28"/>
          <w:szCs w:val="28"/>
        </w:rPr>
        <w:t>sul</w:t>
      </w:r>
      <w:r>
        <w:rPr>
          <w:rFonts w:ascii="Times New Roman" w:hAnsi="Times New Roman" w:cs="Times New Roman"/>
          <w:sz w:val="28"/>
          <w:szCs w:val="28"/>
        </w:rPr>
        <w:t xml:space="preserve"> rinvio pregiudiziale, </w:t>
      </w:r>
      <w:r w:rsidR="00507049">
        <w:rPr>
          <w:rFonts w:ascii="Times New Roman" w:hAnsi="Times New Roman" w:cs="Times New Roman"/>
          <w:sz w:val="28"/>
          <w:szCs w:val="28"/>
        </w:rPr>
        <w:t>non posso che invitare i giudici amministrativi</w:t>
      </w:r>
      <w:r w:rsidR="005E30C8">
        <w:rPr>
          <w:rFonts w:ascii="Times New Roman" w:hAnsi="Times New Roman" w:cs="Times New Roman"/>
          <w:sz w:val="28"/>
          <w:szCs w:val="28"/>
        </w:rPr>
        <w:t xml:space="preserve"> ad essere più parch</w:t>
      </w:r>
      <w:r w:rsidR="00507049">
        <w:rPr>
          <w:rFonts w:ascii="Times New Roman" w:hAnsi="Times New Roman" w:cs="Times New Roman"/>
          <w:sz w:val="28"/>
          <w:szCs w:val="28"/>
        </w:rPr>
        <w:t xml:space="preserve">i nel rinvio alla </w:t>
      </w:r>
      <w:r w:rsidRPr="00117F53">
        <w:rPr>
          <w:rFonts w:ascii="Times New Roman" w:hAnsi="Times New Roman" w:cs="Times New Roman"/>
          <w:sz w:val="28"/>
          <w:szCs w:val="28"/>
        </w:rPr>
        <w:t xml:space="preserve">Corte di Giustizia </w:t>
      </w:r>
      <w:r w:rsidR="00507049">
        <w:rPr>
          <w:rFonts w:ascii="Times New Roman" w:hAnsi="Times New Roman" w:cs="Times New Roman"/>
          <w:sz w:val="28"/>
          <w:szCs w:val="28"/>
        </w:rPr>
        <w:t>e a non aver paura della responsabilità</w:t>
      </w:r>
      <w:r>
        <w:rPr>
          <w:rFonts w:ascii="Times New Roman" w:hAnsi="Times New Roman" w:cs="Times New Roman"/>
          <w:sz w:val="28"/>
          <w:szCs w:val="28"/>
        </w:rPr>
        <w:t xml:space="preserve"> se non si rinvia</w:t>
      </w:r>
      <w:r w:rsidR="005E30C8">
        <w:rPr>
          <w:rFonts w:ascii="Times New Roman" w:hAnsi="Times New Roman" w:cs="Times New Roman"/>
          <w:sz w:val="28"/>
          <w:szCs w:val="28"/>
        </w:rPr>
        <w:t>.</w:t>
      </w:r>
    </w:p>
    <w:p w:rsidR="00507049" w:rsidRDefault="00507049" w:rsidP="00B57E3D">
      <w:pPr>
        <w:spacing w:line="360" w:lineRule="auto"/>
        <w:ind w:firstLine="709"/>
        <w:jc w:val="both"/>
        <w:rPr>
          <w:rFonts w:ascii="Times New Roman" w:hAnsi="Times New Roman" w:cs="Times New Roman"/>
          <w:sz w:val="28"/>
          <w:szCs w:val="28"/>
        </w:rPr>
      </w:pPr>
    </w:p>
    <w:sectPr w:rsidR="00507049">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065" w:rsidRDefault="00BA2065" w:rsidP="0021783E">
      <w:pPr>
        <w:spacing w:after="0" w:line="240" w:lineRule="auto"/>
      </w:pPr>
      <w:r>
        <w:separator/>
      </w:r>
    </w:p>
  </w:endnote>
  <w:endnote w:type="continuationSeparator" w:id="0">
    <w:p w:rsidR="00BA2065" w:rsidRDefault="00BA2065" w:rsidP="0021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96276"/>
      <w:docPartObj>
        <w:docPartGallery w:val="Page Numbers (Bottom of Page)"/>
        <w:docPartUnique/>
      </w:docPartObj>
    </w:sdtPr>
    <w:sdtEndPr/>
    <w:sdtContent>
      <w:p w:rsidR="00AB13BC" w:rsidRDefault="00AB13BC">
        <w:pPr>
          <w:pStyle w:val="Pidipagina"/>
          <w:jc w:val="right"/>
        </w:pPr>
        <w:r>
          <w:fldChar w:fldCharType="begin"/>
        </w:r>
        <w:r>
          <w:instrText>PAGE   \* MERGEFORMAT</w:instrText>
        </w:r>
        <w:r>
          <w:fldChar w:fldCharType="separate"/>
        </w:r>
        <w:r w:rsidR="00276D8A">
          <w:rPr>
            <w:noProof/>
          </w:rPr>
          <w:t>1</w:t>
        </w:r>
        <w:r>
          <w:fldChar w:fldCharType="end"/>
        </w:r>
      </w:p>
    </w:sdtContent>
  </w:sdt>
  <w:p w:rsidR="00AB13BC" w:rsidRDefault="00AB13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065" w:rsidRDefault="00BA2065" w:rsidP="0021783E">
      <w:pPr>
        <w:spacing w:after="0" w:line="240" w:lineRule="auto"/>
      </w:pPr>
      <w:r>
        <w:separator/>
      </w:r>
    </w:p>
  </w:footnote>
  <w:footnote w:type="continuationSeparator" w:id="0">
    <w:p w:rsidR="00BA2065" w:rsidRDefault="00BA2065" w:rsidP="0021783E">
      <w:pPr>
        <w:spacing w:after="0" w:line="240" w:lineRule="auto"/>
      </w:pPr>
      <w:r>
        <w:continuationSeparator/>
      </w:r>
    </w:p>
  </w:footnote>
  <w:footnote w:id="1">
    <w:p w:rsidR="00AB13BC" w:rsidRPr="00404BCA" w:rsidRDefault="00AB13BC" w:rsidP="00404BCA">
      <w:pPr>
        <w:pStyle w:val="Testonotaapidipagina"/>
        <w:jc w:val="both"/>
        <w:rPr>
          <w:rFonts w:ascii="Times New Roman" w:hAnsi="Times New Roman"/>
        </w:rPr>
      </w:pPr>
      <w:r w:rsidRPr="00404BCA">
        <w:rPr>
          <w:rStyle w:val="Rimandonotaapidipagina"/>
          <w:rFonts w:ascii="Times New Roman" w:hAnsi="Times New Roman"/>
        </w:rPr>
        <w:footnoteRef/>
      </w:r>
      <w:r w:rsidRPr="00404BCA">
        <w:rPr>
          <w:rFonts w:ascii="Times New Roman" w:hAnsi="Times New Roman"/>
        </w:rPr>
        <w:t xml:space="preserve"> Lo scritto rappresenta lo svolgimento dell’</w:t>
      </w:r>
      <w:r>
        <w:rPr>
          <w:rFonts w:ascii="Times New Roman" w:hAnsi="Times New Roman"/>
        </w:rPr>
        <w:t>intervento al “S</w:t>
      </w:r>
      <w:r w:rsidRPr="00404BCA">
        <w:rPr>
          <w:rFonts w:ascii="Times New Roman" w:hAnsi="Times New Roman"/>
        </w:rPr>
        <w:t>econdo congresso nazionale dei giudici amministrativi italiani</w:t>
      </w:r>
      <w:r>
        <w:rPr>
          <w:rFonts w:ascii="Times New Roman" w:hAnsi="Times New Roman"/>
        </w:rPr>
        <w:t>. I 50 anni di funzionamento dei Tribunali amministrativi regionali”</w:t>
      </w:r>
      <w:r w:rsidRPr="00404BCA">
        <w:rPr>
          <w:rFonts w:ascii="Times New Roman" w:hAnsi="Times New Roman"/>
        </w:rPr>
        <w:t xml:space="preserve">, tenutosi </w:t>
      </w:r>
      <w:r>
        <w:rPr>
          <w:rFonts w:ascii="Times New Roman" w:hAnsi="Times New Roman"/>
        </w:rPr>
        <w:t xml:space="preserve">a Roma, palazzo Spada, </w:t>
      </w:r>
      <w:r w:rsidRPr="00404BCA">
        <w:rPr>
          <w:rFonts w:ascii="Times New Roman" w:hAnsi="Times New Roman"/>
        </w:rPr>
        <w:t xml:space="preserve">il 18 </w:t>
      </w:r>
      <w:r>
        <w:rPr>
          <w:rFonts w:ascii="Times New Roman" w:hAnsi="Times New Roman"/>
        </w:rPr>
        <w:t xml:space="preserve">e 19 </w:t>
      </w:r>
      <w:r w:rsidRPr="00404BCA">
        <w:rPr>
          <w:rFonts w:ascii="Times New Roman" w:hAnsi="Times New Roman"/>
        </w:rPr>
        <w:t>ottobre 2024. L’autore ha presieduto e concluso la sessione II</w:t>
      </w:r>
      <w:r>
        <w:rPr>
          <w:rFonts w:ascii="Times New Roman" w:hAnsi="Times New Roman"/>
        </w:rPr>
        <w:t xml:space="preserve"> della prima giornata</w:t>
      </w:r>
      <w:r w:rsidRPr="00404BCA">
        <w:rPr>
          <w:rFonts w:ascii="Times New Roman" w:hAnsi="Times New Roman"/>
        </w:rPr>
        <w:t>, dal titolo “La responsabilità del magistrato amministrativo e il rinvio pregiudiziale”.</w:t>
      </w:r>
    </w:p>
  </w:footnote>
  <w:footnote w:id="2">
    <w:p w:rsidR="00AB13BC" w:rsidRPr="00E13E71" w:rsidRDefault="00AB13BC" w:rsidP="00E13E71">
      <w:pPr>
        <w:pStyle w:val="Testonotaapidipagina"/>
        <w:jc w:val="both"/>
        <w:rPr>
          <w:rFonts w:ascii="Times New Roman" w:hAnsi="Times New Roman" w:cs="Times New Roman"/>
        </w:rPr>
      </w:pPr>
      <w:r w:rsidRPr="00E13E71">
        <w:rPr>
          <w:rStyle w:val="Rimandonotaapidipagina"/>
          <w:rFonts w:ascii="Times New Roman" w:hAnsi="Times New Roman" w:cs="Times New Roman"/>
        </w:rPr>
        <w:footnoteRef/>
      </w:r>
      <w:r w:rsidRPr="00E13E71">
        <w:rPr>
          <w:rFonts w:ascii="Times New Roman" w:hAnsi="Times New Roman" w:cs="Times New Roman"/>
        </w:rPr>
        <w:t xml:space="preserve"> Sul rinvio pregiudiziale alla CGUE, da ultimo e</w:t>
      </w:r>
      <w:r w:rsidR="005C1098">
        <w:rPr>
          <w:rFonts w:ascii="Times New Roman" w:hAnsi="Times New Roman" w:cs="Times New Roman"/>
        </w:rPr>
        <w:t xml:space="preserve"> senza pretesa di esaustività, s</w:t>
      </w:r>
      <w:r w:rsidRPr="00E13E71">
        <w:rPr>
          <w:rFonts w:ascii="Times New Roman" w:hAnsi="Times New Roman" w:cs="Times New Roman"/>
        </w:rPr>
        <w:t>i veda:</w:t>
      </w:r>
      <w:r>
        <w:rPr>
          <w:rFonts w:ascii="Times New Roman" w:hAnsi="Times New Roman" w:cs="Times New Roman"/>
        </w:rPr>
        <w:t xml:space="preserve"> </w:t>
      </w:r>
      <w:r w:rsidRPr="00E13E71">
        <w:rPr>
          <w:rFonts w:ascii="Times New Roman" w:hAnsi="Times New Roman" w:cs="Times New Roman"/>
          <w:b/>
        </w:rPr>
        <w:t>G. MONTEDORO</w:t>
      </w:r>
      <w:r>
        <w:rPr>
          <w:rFonts w:ascii="Times New Roman" w:hAnsi="Times New Roman" w:cs="Times New Roman"/>
        </w:rPr>
        <w:t xml:space="preserve">, </w:t>
      </w:r>
      <w:r w:rsidRPr="00E13E71">
        <w:rPr>
          <w:rFonts w:ascii="Times New Roman" w:hAnsi="Times New Roman" w:cs="Times New Roman"/>
          <w:i/>
        </w:rPr>
        <w:t>Il rinvio pregiudiziale nel dialogo fra le Corti</w:t>
      </w:r>
      <w:r>
        <w:rPr>
          <w:rFonts w:ascii="Times New Roman" w:hAnsi="Times New Roman" w:cs="Times New Roman"/>
        </w:rPr>
        <w:t xml:space="preserve">; </w:t>
      </w:r>
      <w:r w:rsidRPr="00E13E71">
        <w:rPr>
          <w:rFonts w:ascii="Times New Roman" w:hAnsi="Times New Roman" w:cs="Times New Roman"/>
          <w:b/>
        </w:rPr>
        <w:t>D. SATULLO</w:t>
      </w:r>
      <w:r w:rsidRPr="00E13E71">
        <w:rPr>
          <w:rFonts w:ascii="Times New Roman" w:hAnsi="Times New Roman" w:cs="Times New Roman"/>
        </w:rPr>
        <w:t xml:space="preserve">, </w:t>
      </w:r>
      <w:r w:rsidRPr="00E13E71">
        <w:rPr>
          <w:rFonts w:ascii="Times New Roman" w:hAnsi="Times New Roman" w:cs="Times New Roman"/>
          <w:i/>
        </w:rPr>
        <w:t>Condizioni di ammissibilità e rilevanza della questione pregiudiziale davanti alla Corte di Giustizia dell’Unione europea</w:t>
      </w:r>
      <w:r>
        <w:rPr>
          <w:rFonts w:ascii="Times New Roman" w:hAnsi="Times New Roman" w:cs="Times New Roman"/>
        </w:rPr>
        <w:t xml:space="preserve">; </w:t>
      </w:r>
      <w:r w:rsidRPr="00E13E71">
        <w:rPr>
          <w:rFonts w:ascii="Times New Roman" w:hAnsi="Times New Roman" w:cs="Times New Roman"/>
          <w:b/>
        </w:rPr>
        <w:t>H</w:t>
      </w:r>
      <w:r w:rsidR="006724BD">
        <w:rPr>
          <w:rFonts w:ascii="Times New Roman" w:hAnsi="Times New Roman" w:cs="Times New Roman"/>
          <w:b/>
        </w:rPr>
        <w:t>.</w:t>
      </w:r>
      <w:r w:rsidRPr="00E13E71">
        <w:rPr>
          <w:rFonts w:ascii="Times New Roman" w:hAnsi="Times New Roman" w:cs="Times New Roman"/>
          <w:b/>
        </w:rPr>
        <w:t xml:space="preserve"> SIMONETTI</w:t>
      </w:r>
      <w:r>
        <w:rPr>
          <w:rFonts w:ascii="Times New Roman" w:hAnsi="Times New Roman" w:cs="Times New Roman"/>
        </w:rPr>
        <w:t xml:space="preserve">, </w:t>
      </w:r>
      <w:r w:rsidRPr="00E13E71">
        <w:rPr>
          <w:rFonts w:ascii="Times New Roman" w:hAnsi="Times New Roman" w:cs="Times New Roman"/>
          <w:i/>
        </w:rPr>
        <w:t>Questioni di giurisdizione e diritto dell’Unione Europea</w:t>
      </w:r>
      <w:r w:rsidRPr="00E13E71">
        <w:rPr>
          <w:rFonts w:ascii="Times New Roman" w:hAnsi="Times New Roman" w:cs="Times New Roman"/>
        </w:rPr>
        <w:t xml:space="preserve">, </w:t>
      </w:r>
      <w:r w:rsidR="005C1098">
        <w:rPr>
          <w:rFonts w:ascii="Times New Roman" w:hAnsi="Times New Roman" w:cs="Times New Roman"/>
        </w:rPr>
        <w:t>tutti</w:t>
      </w:r>
      <w:r>
        <w:rPr>
          <w:rFonts w:ascii="Times New Roman" w:hAnsi="Times New Roman" w:cs="Times New Roman"/>
        </w:rPr>
        <w:t xml:space="preserve"> in </w:t>
      </w:r>
      <w:r w:rsidRPr="00147F9E">
        <w:rPr>
          <w:rFonts w:ascii="Times New Roman" w:hAnsi="Times New Roman" w:cs="Times New Roman"/>
          <w:i/>
        </w:rPr>
        <w:t>www.giustizia-amministrativa.it</w:t>
      </w:r>
      <w:r>
        <w:rPr>
          <w:rFonts w:ascii="Times New Roman" w:hAnsi="Times New Roman" w:cs="Times New Roman"/>
        </w:rPr>
        <w:t>.</w:t>
      </w:r>
    </w:p>
  </w:footnote>
  <w:footnote w:id="3">
    <w:p w:rsidR="00AB13BC" w:rsidRPr="00E13E71" w:rsidRDefault="00AB13BC" w:rsidP="00E13E71">
      <w:pPr>
        <w:pStyle w:val="Testonotaapidipagina"/>
        <w:jc w:val="both"/>
        <w:rPr>
          <w:rFonts w:ascii="Times New Roman" w:hAnsi="Times New Roman" w:cs="Times New Roman"/>
        </w:rPr>
      </w:pPr>
      <w:r w:rsidRPr="00E13E71">
        <w:rPr>
          <w:rStyle w:val="Rimandonotaapidipagina"/>
          <w:rFonts w:ascii="Times New Roman" w:hAnsi="Times New Roman" w:cs="Times New Roman"/>
        </w:rPr>
        <w:footnoteRef/>
      </w:r>
      <w:r w:rsidRPr="00E13E71">
        <w:rPr>
          <w:rFonts w:ascii="Times New Roman" w:hAnsi="Times New Roman" w:cs="Times New Roman"/>
        </w:rPr>
        <w:t xml:space="preserve"> Ai sensi dell’art. 267 del TFUE:</w:t>
      </w:r>
    </w:p>
    <w:p w:rsidR="00AB13BC" w:rsidRPr="00E13E71" w:rsidRDefault="00AB13BC" w:rsidP="00E13E71">
      <w:pPr>
        <w:pStyle w:val="Testonotaapidipagina"/>
        <w:jc w:val="both"/>
        <w:rPr>
          <w:rFonts w:ascii="Times New Roman" w:hAnsi="Times New Roman" w:cs="Times New Roman"/>
          <w:i/>
        </w:rPr>
      </w:pPr>
      <w:r>
        <w:rPr>
          <w:rFonts w:ascii="Times New Roman" w:hAnsi="Times New Roman" w:cs="Times New Roman"/>
        </w:rPr>
        <w:t>“</w:t>
      </w:r>
      <w:r w:rsidRPr="00E13E71">
        <w:rPr>
          <w:rFonts w:ascii="Times New Roman" w:hAnsi="Times New Roman" w:cs="Times New Roman"/>
          <w:i/>
        </w:rPr>
        <w:t>La Corte di giustizia dell'Unione europea è competente a pronunciarsi, in via pregiudiziale:</w:t>
      </w:r>
    </w:p>
    <w:p w:rsidR="00AB13BC" w:rsidRPr="00E13E71" w:rsidRDefault="00AB13BC" w:rsidP="00E13E71">
      <w:pPr>
        <w:pStyle w:val="Testonotaapidipagina"/>
        <w:jc w:val="both"/>
        <w:rPr>
          <w:rFonts w:ascii="Times New Roman" w:hAnsi="Times New Roman" w:cs="Times New Roman"/>
          <w:i/>
        </w:rPr>
      </w:pPr>
      <w:r>
        <w:rPr>
          <w:rFonts w:ascii="Times New Roman" w:hAnsi="Times New Roman" w:cs="Times New Roman"/>
          <w:i/>
        </w:rPr>
        <w:t xml:space="preserve">a) </w:t>
      </w:r>
      <w:r w:rsidRPr="00E13E71">
        <w:rPr>
          <w:rFonts w:ascii="Times New Roman" w:hAnsi="Times New Roman" w:cs="Times New Roman"/>
          <w:i/>
        </w:rPr>
        <w:t>sull'interpretazione dei trattati;</w:t>
      </w:r>
    </w:p>
    <w:p w:rsidR="00AB13BC" w:rsidRPr="00E13E71" w:rsidRDefault="00AB13BC" w:rsidP="00E13E71">
      <w:pPr>
        <w:pStyle w:val="Testonotaapidipagina"/>
        <w:jc w:val="both"/>
        <w:rPr>
          <w:rFonts w:ascii="Times New Roman" w:hAnsi="Times New Roman" w:cs="Times New Roman"/>
          <w:i/>
        </w:rPr>
      </w:pPr>
      <w:r>
        <w:rPr>
          <w:rFonts w:ascii="Times New Roman" w:hAnsi="Times New Roman" w:cs="Times New Roman"/>
          <w:i/>
        </w:rPr>
        <w:t xml:space="preserve">b) </w:t>
      </w:r>
      <w:r w:rsidRPr="00E13E71">
        <w:rPr>
          <w:rFonts w:ascii="Times New Roman" w:hAnsi="Times New Roman" w:cs="Times New Roman"/>
          <w:i/>
        </w:rPr>
        <w:t>sulla validità e l'interpretazione degli atti compiuti dalle istituzioni, dagli organi o dagli organismi dell'Unione.</w:t>
      </w:r>
    </w:p>
    <w:p w:rsidR="00AB13BC" w:rsidRPr="00E13E71" w:rsidRDefault="00AB13BC" w:rsidP="00E13E71">
      <w:pPr>
        <w:pStyle w:val="Testonotaapidipagina"/>
        <w:jc w:val="both"/>
        <w:rPr>
          <w:rFonts w:ascii="Times New Roman" w:hAnsi="Times New Roman" w:cs="Times New Roman"/>
          <w:i/>
        </w:rPr>
      </w:pPr>
      <w:r w:rsidRPr="00E13E71">
        <w:rPr>
          <w:rFonts w:ascii="Times New Roman" w:hAnsi="Times New Roman" w:cs="Times New Roman"/>
          <w:i/>
        </w:rPr>
        <w:t>Quando una questione del genere è sollevata dinanzi ad un organo giurisdizionale di uno degli Stati membri, tale organo giurisdizionale può, qualora reputi necessaria per emanare la sua sentenza una decisione su questo punto, domandare alla Corte di pronunciarsi sulla questione.</w:t>
      </w:r>
    </w:p>
    <w:p w:rsidR="00AB13BC" w:rsidRPr="00E13E71" w:rsidRDefault="00AB13BC" w:rsidP="00E13E71">
      <w:pPr>
        <w:pStyle w:val="Testonotaapidipagina"/>
        <w:jc w:val="both"/>
        <w:rPr>
          <w:rFonts w:ascii="Times New Roman" w:hAnsi="Times New Roman" w:cs="Times New Roman"/>
          <w:i/>
        </w:rPr>
      </w:pPr>
      <w:r w:rsidRPr="00E13E71">
        <w:rPr>
          <w:rFonts w:ascii="Times New Roman" w:hAnsi="Times New Roman" w:cs="Times New Roman"/>
          <w:i/>
        </w:rPr>
        <w:t>Quando una questione del genere è sollevata in un giudizio pendente davanti a un organo giurisdizionale nazionale, avverso le cui decisioni non possa proporsi un ricorso giurisdizionale di diritto interno, tale organo giurisdizionale è tenuto a rivolgersi alla Corte.</w:t>
      </w:r>
    </w:p>
    <w:p w:rsidR="00AB13BC" w:rsidRPr="00E13E71" w:rsidRDefault="00AB13BC" w:rsidP="00E13E71">
      <w:pPr>
        <w:pStyle w:val="Testonotaapidipagina"/>
        <w:jc w:val="both"/>
        <w:rPr>
          <w:rFonts w:ascii="Times New Roman" w:hAnsi="Times New Roman" w:cs="Times New Roman"/>
        </w:rPr>
      </w:pPr>
      <w:r w:rsidRPr="00E13E71">
        <w:rPr>
          <w:rFonts w:ascii="Times New Roman" w:hAnsi="Times New Roman" w:cs="Times New Roman"/>
          <w:i/>
        </w:rPr>
        <w:t>Quando una questione del genere è sollevata in un giudizio pendente davanti a un organo giurisdizionale nazionale e riguardante una persona in stato di detenzione, la Corte statuisce il più rapidamente possibile</w:t>
      </w:r>
      <w:r>
        <w:rPr>
          <w:rFonts w:ascii="Times New Roman" w:hAnsi="Times New Roman" w:cs="Times New Roman"/>
        </w:rPr>
        <w:t>”.</w:t>
      </w:r>
    </w:p>
    <w:p w:rsidR="00AB13BC" w:rsidRDefault="00AB13BC">
      <w:pPr>
        <w:pStyle w:val="Testonotaapidipagina"/>
      </w:pPr>
    </w:p>
  </w:footnote>
  <w:footnote w:id="4">
    <w:p w:rsidR="00C82562" w:rsidRPr="00C82562" w:rsidRDefault="00C82562" w:rsidP="00C82562">
      <w:pPr>
        <w:pStyle w:val="Testonotaapidipagina"/>
        <w:jc w:val="both"/>
        <w:rPr>
          <w:rFonts w:ascii="Times New Roman" w:hAnsi="Times New Roman" w:cs="Times New Roman"/>
        </w:rPr>
      </w:pPr>
      <w:r w:rsidRPr="00C82562">
        <w:rPr>
          <w:rStyle w:val="Rimandonotaapidipagina"/>
          <w:rFonts w:ascii="Times New Roman" w:hAnsi="Times New Roman" w:cs="Times New Roman"/>
        </w:rPr>
        <w:footnoteRef/>
      </w:r>
      <w:r w:rsidR="0021443D">
        <w:rPr>
          <w:rFonts w:ascii="Times New Roman" w:hAnsi="Times New Roman" w:cs="Times New Roman"/>
        </w:rPr>
        <w:t xml:space="preserve"> Sentenza CGUE 22 ottobre </w:t>
      </w:r>
      <w:r w:rsidRPr="00C82562">
        <w:rPr>
          <w:rFonts w:ascii="Times New Roman" w:hAnsi="Times New Roman" w:cs="Times New Roman"/>
        </w:rPr>
        <w:t>1987 causa C314/85 Foto Frost c</w:t>
      </w:r>
      <w:r>
        <w:rPr>
          <w:rFonts w:ascii="Times New Roman" w:hAnsi="Times New Roman" w:cs="Times New Roman"/>
        </w:rPr>
        <w:t>ontro Hauptzollamt Lübeck –Ost.</w:t>
      </w:r>
    </w:p>
  </w:footnote>
  <w:footnote w:id="5">
    <w:p w:rsidR="00AB13BC" w:rsidRPr="009D4073" w:rsidRDefault="00AB13BC" w:rsidP="009D4073">
      <w:pPr>
        <w:pStyle w:val="Testonotaapidipagina"/>
        <w:jc w:val="both"/>
        <w:rPr>
          <w:rFonts w:ascii="Times New Roman" w:hAnsi="Times New Roman"/>
        </w:rPr>
      </w:pPr>
      <w:r w:rsidRPr="009D4073">
        <w:rPr>
          <w:rStyle w:val="Rimandonotaapidipagina"/>
          <w:rFonts w:ascii="Times New Roman" w:hAnsi="Times New Roman"/>
        </w:rPr>
        <w:footnoteRef/>
      </w:r>
      <w:r w:rsidRPr="009D4073">
        <w:rPr>
          <w:rFonts w:ascii="Times New Roman" w:hAnsi="Times New Roman"/>
        </w:rPr>
        <w:t xml:space="preserve"> Art. 2, comma 2, c.p.a.:</w:t>
      </w:r>
      <w:r w:rsidR="00117F53">
        <w:rPr>
          <w:rFonts w:ascii="Times New Roman" w:hAnsi="Times New Roman"/>
        </w:rPr>
        <w:t xml:space="preserve"> “</w:t>
      </w:r>
      <w:r w:rsidRPr="009D4073">
        <w:rPr>
          <w:rFonts w:ascii="Times New Roman" w:hAnsi="Times New Roman"/>
          <w:i/>
        </w:rPr>
        <w:t>Il giudice amministrativo e le parti cooperano per la realizzazione della ragionevole durata del processo</w:t>
      </w:r>
      <w:r w:rsidRPr="009D4073">
        <w:rPr>
          <w:rFonts w:ascii="Times New Roman" w:hAnsi="Times New Roman"/>
        </w:rPr>
        <w:t>”.</w:t>
      </w:r>
    </w:p>
    <w:p w:rsidR="00AB13BC" w:rsidRDefault="00AB13BC">
      <w:pPr>
        <w:pStyle w:val="Testonotaapidipagina"/>
      </w:pPr>
    </w:p>
  </w:footnote>
  <w:footnote w:id="6">
    <w:p w:rsidR="00AB13BC" w:rsidRPr="009D4073" w:rsidRDefault="00AB13BC" w:rsidP="009D4073">
      <w:pPr>
        <w:pStyle w:val="Testonotaapidipagina"/>
        <w:jc w:val="both"/>
        <w:rPr>
          <w:rFonts w:ascii="Times New Roman" w:hAnsi="Times New Roman" w:cs="Times New Roman"/>
        </w:rPr>
      </w:pPr>
      <w:r w:rsidRPr="009D4073">
        <w:rPr>
          <w:rStyle w:val="Rimandonotaapidipagina"/>
          <w:rFonts w:ascii="Times New Roman" w:hAnsi="Times New Roman" w:cs="Times New Roman"/>
        </w:rPr>
        <w:footnoteRef/>
      </w:r>
      <w:r w:rsidRPr="009D4073">
        <w:rPr>
          <w:rFonts w:ascii="Times New Roman" w:hAnsi="Times New Roman" w:cs="Times New Roman"/>
        </w:rPr>
        <w:t xml:space="preserve"> Art. 3, comma 2, c.p.a.: “</w:t>
      </w:r>
      <w:r w:rsidRPr="009D4073">
        <w:rPr>
          <w:rFonts w:ascii="Times New Roman" w:hAnsi="Times New Roman" w:cs="Times New Roman"/>
          <w:i/>
        </w:rPr>
        <w:t>Il giudice e le parti redigono gli atti in maniera chiara e sintetica, secondo quanto disposto dalle norme di attuazione</w:t>
      </w:r>
      <w:r w:rsidRPr="009D4073">
        <w:rPr>
          <w:rFonts w:ascii="Times New Roman" w:hAnsi="Times New Roman" w:cs="Times New Roman"/>
        </w:rPr>
        <w:t>".</w:t>
      </w:r>
    </w:p>
  </w:footnote>
  <w:footnote w:id="7">
    <w:p w:rsidR="00EE01DB" w:rsidRPr="00EE01DB" w:rsidRDefault="00EE01DB" w:rsidP="00EE01DB">
      <w:pPr>
        <w:pStyle w:val="Testonotaapidipagina"/>
        <w:jc w:val="both"/>
        <w:rPr>
          <w:rFonts w:ascii="Times New Roman" w:hAnsi="Times New Roman" w:cs="Times New Roman"/>
        </w:rPr>
      </w:pPr>
      <w:r w:rsidRPr="00EE01DB">
        <w:rPr>
          <w:rStyle w:val="Rimandonotaapidipagina"/>
          <w:rFonts w:ascii="Times New Roman" w:hAnsi="Times New Roman" w:cs="Times New Roman"/>
        </w:rPr>
        <w:footnoteRef/>
      </w:r>
      <w:r w:rsidRPr="00EE01DB">
        <w:rPr>
          <w:rFonts w:ascii="Times New Roman" w:hAnsi="Times New Roman" w:cs="Times New Roman"/>
        </w:rPr>
        <w:t xml:space="preserve"> </w:t>
      </w:r>
      <w:r>
        <w:rPr>
          <w:rFonts w:ascii="Times New Roman" w:hAnsi="Times New Roman" w:cs="Times New Roman"/>
        </w:rPr>
        <w:t>C</w:t>
      </w:r>
      <w:r w:rsidRPr="00EE01DB">
        <w:rPr>
          <w:rFonts w:ascii="Times New Roman" w:hAnsi="Times New Roman" w:cs="Times New Roman"/>
        </w:rPr>
        <w:t xml:space="preserve">fr. </w:t>
      </w:r>
      <w:r w:rsidR="006724BD">
        <w:rPr>
          <w:rFonts w:ascii="Times New Roman" w:hAnsi="Times New Roman" w:cs="Times New Roman"/>
        </w:rPr>
        <w:t>Cons. Stato, s</w:t>
      </w:r>
      <w:r w:rsidRPr="00EE01DB">
        <w:rPr>
          <w:rFonts w:ascii="Times New Roman" w:hAnsi="Times New Roman" w:cs="Times New Roman"/>
        </w:rPr>
        <w:t>ez. IV, ord., 6 aprile 2022</w:t>
      </w:r>
      <w:r>
        <w:rPr>
          <w:rFonts w:ascii="Times New Roman" w:hAnsi="Times New Roman" w:cs="Times New Roman"/>
        </w:rPr>
        <w:t>,</w:t>
      </w:r>
      <w:r w:rsidR="006724BD">
        <w:rPr>
          <w:rFonts w:ascii="Times New Roman" w:hAnsi="Times New Roman" w:cs="Times New Roman"/>
        </w:rPr>
        <w:t xml:space="preserve"> n. 2545; s</w:t>
      </w:r>
      <w:r w:rsidRPr="00EE01DB">
        <w:rPr>
          <w:rFonts w:ascii="Times New Roman" w:hAnsi="Times New Roman" w:cs="Times New Roman"/>
        </w:rPr>
        <w:t>ez. IV, sent. non definitiva, 14 luglio 2022</w:t>
      </w:r>
      <w:r>
        <w:rPr>
          <w:rFonts w:ascii="Times New Roman" w:hAnsi="Times New Roman" w:cs="Times New Roman"/>
        </w:rPr>
        <w:t>,</w:t>
      </w:r>
      <w:r w:rsidR="006724BD">
        <w:rPr>
          <w:rFonts w:ascii="Times New Roman" w:hAnsi="Times New Roman" w:cs="Times New Roman"/>
        </w:rPr>
        <w:t xml:space="preserve"> n. 6013; s</w:t>
      </w:r>
      <w:r w:rsidRPr="00EE01DB">
        <w:rPr>
          <w:rFonts w:ascii="Times New Roman" w:hAnsi="Times New Roman" w:cs="Times New Roman"/>
        </w:rPr>
        <w:t>ez. IV, sent. non definitiva, 21 luglio 2022</w:t>
      </w:r>
      <w:r>
        <w:rPr>
          <w:rFonts w:ascii="Times New Roman" w:hAnsi="Times New Roman" w:cs="Times New Roman"/>
        </w:rPr>
        <w:t>, n. 6410</w:t>
      </w:r>
      <w:r w:rsidRPr="00EE01DB">
        <w:rPr>
          <w:rFonts w:ascii="Times New Roman" w:hAnsi="Times New Roman" w:cs="Times New Roman"/>
        </w:rPr>
        <w:t>.</w:t>
      </w:r>
    </w:p>
  </w:footnote>
  <w:footnote w:id="8">
    <w:p w:rsidR="00CD71D1" w:rsidRPr="00CD71D1" w:rsidRDefault="00CD71D1" w:rsidP="00CD71D1">
      <w:pPr>
        <w:pStyle w:val="Testonotaapidipagina"/>
        <w:jc w:val="both"/>
        <w:rPr>
          <w:rFonts w:ascii="Times New Roman" w:hAnsi="Times New Roman" w:cs="Times New Roman"/>
        </w:rPr>
      </w:pPr>
      <w:r w:rsidRPr="00CD71D1">
        <w:rPr>
          <w:rStyle w:val="Rimandonotaapidipagina"/>
          <w:rFonts w:ascii="Times New Roman" w:hAnsi="Times New Roman" w:cs="Times New Roman"/>
        </w:rPr>
        <w:footnoteRef/>
      </w:r>
      <w:r w:rsidRPr="00CD71D1">
        <w:rPr>
          <w:rFonts w:ascii="Times New Roman" w:hAnsi="Times New Roman" w:cs="Times New Roman"/>
        </w:rPr>
        <w:t xml:space="preserve"> Cfr. le ordinanze</w:t>
      </w:r>
      <w:r w:rsidR="006724BD">
        <w:rPr>
          <w:rFonts w:ascii="Times New Roman" w:hAnsi="Times New Roman" w:cs="Times New Roman"/>
        </w:rPr>
        <w:t xml:space="preserve"> della CGUE</w:t>
      </w:r>
      <w:r w:rsidRPr="00CD71D1">
        <w:rPr>
          <w:rFonts w:ascii="Times New Roman" w:hAnsi="Times New Roman" w:cs="Times New Roman"/>
        </w:rPr>
        <w:t xml:space="preserve"> C-597/21 del 15 dicembre 2022, C-144/22 del 15 dicembre 2022, C-83/21 del 22 dicembre 2022, C-482/22 del 27 aprile 2023, C-495/22 del 27 aprile 2023.</w:t>
      </w:r>
    </w:p>
    <w:p w:rsidR="00CD71D1" w:rsidRDefault="00CD71D1">
      <w:pPr>
        <w:pStyle w:val="Testonotaapidipagina"/>
      </w:pPr>
    </w:p>
  </w:footnote>
  <w:footnote w:id="9">
    <w:p w:rsidR="00AB13BC" w:rsidRPr="00384F11" w:rsidRDefault="00AB13BC" w:rsidP="00384F11">
      <w:pPr>
        <w:pStyle w:val="Testonotaapidipagina"/>
        <w:jc w:val="both"/>
        <w:rPr>
          <w:rFonts w:ascii="Times New Roman" w:hAnsi="Times New Roman" w:cs="Times New Roman"/>
        </w:rPr>
      </w:pPr>
      <w:r w:rsidRPr="00384F11">
        <w:rPr>
          <w:rStyle w:val="Rimandonotaapidipagina"/>
          <w:rFonts w:ascii="Times New Roman" w:hAnsi="Times New Roman" w:cs="Times New Roman"/>
        </w:rPr>
        <w:footnoteRef/>
      </w:r>
      <w:r w:rsidRPr="00384F11">
        <w:rPr>
          <w:rFonts w:ascii="Times New Roman" w:hAnsi="Times New Roman" w:cs="Times New Roman"/>
        </w:rPr>
        <w:t xml:space="preserve"> L’ACA-Europe (associazione delle Corti supreme amministrative europee) è un'associazione europea composta dalla </w:t>
      </w:r>
      <w:r w:rsidR="006724BD">
        <w:rPr>
          <w:rFonts w:ascii="Times New Roman" w:hAnsi="Times New Roman" w:cs="Times New Roman"/>
          <w:bCs/>
        </w:rPr>
        <w:t>Corte di G</w:t>
      </w:r>
      <w:r w:rsidRPr="00384F11">
        <w:rPr>
          <w:rFonts w:ascii="Times New Roman" w:hAnsi="Times New Roman" w:cs="Times New Roman"/>
          <w:bCs/>
        </w:rPr>
        <w:t>iustizi</w:t>
      </w:r>
      <w:r w:rsidR="005358A8">
        <w:rPr>
          <w:rFonts w:ascii="Times New Roman" w:hAnsi="Times New Roman" w:cs="Times New Roman"/>
          <w:bCs/>
        </w:rPr>
        <w:t>a dell'Unione Europea nonché da</w:t>
      </w:r>
      <w:r w:rsidRPr="00384F11">
        <w:rPr>
          <w:rFonts w:ascii="Times New Roman" w:hAnsi="Times New Roman" w:cs="Times New Roman"/>
          <w:bCs/>
        </w:rPr>
        <w:t>i Consigli di Stato</w:t>
      </w:r>
      <w:r w:rsidRPr="00384F11">
        <w:rPr>
          <w:rFonts w:ascii="Times New Roman" w:hAnsi="Times New Roman" w:cs="Times New Roman"/>
        </w:rPr>
        <w:t xml:space="preserve"> e/o le Supreme giurisdizioni amministrative di ciascuno dei </w:t>
      </w:r>
      <w:r w:rsidR="007F5517">
        <w:rPr>
          <w:rFonts w:ascii="Times New Roman" w:hAnsi="Times New Roman" w:cs="Times New Roman"/>
        </w:rPr>
        <w:t>27</w:t>
      </w:r>
      <w:r w:rsidRPr="00384F11">
        <w:rPr>
          <w:rFonts w:ascii="Times New Roman" w:hAnsi="Times New Roman" w:cs="Times New Roman"/>
        </w:rPr>
        <w:t xml:space="preserve"> </w:t>
      </w:r>
      <w:r w:rsidR="006724BD">
        <w:rPr>
          <w:rFonts w:ascii="Times New Roman" w:hAnsi="Times New Roman" w:cs="Times New Roman"/>
        </w:rPr>
        <w:t>Stati membri dell'UE</w:t>
      </w:r>
      <w:r w:rsidR="007F5517">
        <w:rPr>
          <w:rFonts w:ascii="Times New Roman" w:hAnsi="Times New Roman" w:cs="Times New Roman"/>
        </w:rPr>
        <w:t>, oltre ad altri 7 Stati europei</w:t>
      </w:r>
      <w:r w:rsidRPr="00384F11">
        <w:rPr>
          <w:rFonts w:ascii="Times New Roman" w:hAnsi="Times New Roman" w:cs="Times New Roman"/>
        </w:rPr>
        <w:t>.</w:t>
      </w:r>
    </w:p>
    <w:p w:rsidR="00AB13BC" w:rsidRPr="00384F11" w:rsidRDefault="00AB13BC" w:rsidP="00384F11">
      <w:pPr>
        <w:pStyle w:val="Testonotaapidipagina"/>
        <w:jc w:val="both"/>
        <w:rPr>
          <w:rFonts w:ascii="Times New Roman" w:hAnsi="Times New Roman" w:cs="Times New Roman"/>
        </w:rPr>
      </w:pPr>
      <w:r w:rsidRPr="00384F11">
        <w:rPr>
          <w:rFonts w:ascii="Times New Roman" w:hAnsi="Times New Roman" w:cs="Times New Roman"/>
        </w:rPr>
        <w:t>L’Associazione mira a favorire un migliore funzionamento della giustizia amministrativa</w:t>
      </w:r>
      <w:r w:rsidR="006724BD">
        <w:rPr>
          <w:rFonts w:ascii="Times New Roman" w:hAnsi="Times New Roman" w:cs="Times New Roman"/>
        </w:rPr>
        <w:t xml:space="preserve"> all’interno dell’UE</w:t>
      </w:r>
      <w:r w:rsidRPr="00384F11">
        <w:rPr>
          <w:rFonts w:ascii="Times New Roman" w:hAnsi="Times New Roman" w:cs="Times New Roman"/>
        </w:rPr>
        <w:t>, ad approfondire le principali tematiche giuridiche dibattute a livello europeo, a promuovere e a rendere disponibili i canali di comunicazione tra le giurisdizioni amministrative degli Stati, nonché ad accrescere la cooperazione con altre reti e organizzazioni giudiziarie e con le Istituzioni europee.</w:t>
      </w:r>
    </w:p>
    <w:p w:rsidR="00AB13BC" w:rsidRPr="00384F11" w:rsidRDefault="00AB13BC" w:rsidP="00384F11">
      <w:pPr>
        <w:pStyle w:val="Testonotaapidipagina"/>
        <w:jc w:val="both"/>
        <w:rPr>
          <w:rFonts w:ascii="Times New Roman" w:hAnsi="Times New Roman" w:cs="Times New Roman"/>
        </w:rPr>
      </w:pPr>
    </w:p>
  </w:footnote>
  <w:footnote w:id="10">
    <w:p w:rsidR="002C7FAA" w:rsidRPr="002C7FAA" w:rsidRDefault="002C7FAA" w:rsidP="002C7FAA">
      <w:pPr>
        <w:pStyle w:val="Testonotaapidipagina"/>
        <w:jc w:val="both"/>
        <w:rPr>
          <w:rFonts w:ascii="Times New Roman" w:hAnsi="Times New Roman" w:cs="Times New Roman"/>
        </w:rPr>
      </w:pPr>
      <w:r w:rsidRPr="002C7FAA">
        <w:rPr>
          <w:rStyle w:val="Rimandonotaapidipagina"/>
          <w:rFonts w:ascii="Times New Roman" w:hAnsi="Times New Roman" w:cs="Times New Roman"/>
        </w:rPr>
        <w:footnoteRef/>
      </w:r>
      <w:r w:rsidRPr="002C7FAA">
        <w:rPr>
          <w:rFonts w:ascii="Times New Roman" w:hAnsi="Times New Roman" w:cs="Times New Roman"/>
        </w:rPr>
        <w:t xml:space="preserve"> Si tratta, rispettivamente, delle sentenze della CGUE </w:t>
      </w:r>
      <w:r>
        <w:rPr>
          <w:rFonts w:ascii="Times New Roman" w:hAnsi="Times New Roman" w:cs="Times New Roman"/>
          <w:iCs/>
        </w:rPr>
        <w:t>Cilfit</w:t>
      </w:r>
      <w:r w:rsidR="00465975">
        <w:rPr>
          <w:rFonts w:ascii="Times New Roman" w:hAnsi="Times New Roman" w:cs="Times New Roman"/>
          <w:iCs/>
        </w:rPr>
        <w:t xml:space="preserve"> c</w:t>
      </w:r>
      <w:r w:rsidRPr="002C7FAA">
        <w:rPr>
          <w:rFonts w:ascii="Times New Roman" w:hAnsi="Times New Roman" w:cs="Times New Roman"/>
          <w:iCs/>
        </w:rPr>
        <w:t>. Ministero della Sanità</w:t>
      </w:r>
      <w:r w:rsidRPr="002C7FAA">
        <w:rPr>
          <w:rFonts w:ascii="Times New Roman" w:hAnsi="Times New Roman" w:cs="Times New Roman"/>
        </w:rPr>
        <w:t>, 6 ottobre 1982, 283/81</w:t>
      </w:r>
      <w:r>
        <w:rPr>
          <w:rFonts w:ascii="Times New Roman" w:hAnsi="Times New Roman" w:cs="Times New Roman"/>
        </w:rPr>
        <w:t xml:space="preserve"> e </w:t>
      </w:r>
      <w:r w:rsidRPr="002C7FAA">
        <w:rPr>
          <w:rFonts w:ascii="Times New Roman" w:hAnsi="Times New Roman" w:cs="Times New Roman"/>
        </w:rPr>
        <w:t>“Consorzio Italian Management”</w:t>
      </w:r>
      <w:r>
        <w:rPr>
          <w:rFonts w:ascii="Times New Roman" w:hAnsi="Times New Roman" w:cs="Times New Roman"/>
        </w:rPr>
        <w:t xml:space="preserve"> 6 ottobre 2021, </w:t>
      </w:r>
      <w:r w:rsidRPr="002C7FAA">
        <w:rPr>
          <w:rFonts w:ascii="Times New Roman" w:hAnsi="Times New Roman" w:cs="Times New Roman"/>
        </w:rPr>
        <w:t>C-561/19</w:t>
      </w:r>
      <w:r>
        <w:rPr>
          <w:rFonts w:ascii="Times New Roman" w:hAnsi="Times New Roman" w:cs="Times New Roman"/>
        </w:rPr>
        <w:t>.</w:t>
      </w:r>
    </w:p>
  </w:footnote>
  <w:footnote w:id="11">
    <w:p w:rsidR="00AF104F" w:rsidRPr="00AF104F" w:rsidRDefault="00AF104F" w:rsidP="00AF104F">
      <w:pPr>
        <w:pStyle w:val="Testonotaapidipagina"/>
        <w:jc w:val="both"/>
        <w:rPr>
          <w:rFonts w:ascii="Times New Roman" w:hAnsi="Times New Roman" w:cs="Times New Roman"/>
        </w:rPr>
      </w:pPr>
      <w:r w:rsidRPr="00AF104F">
        <w:rPr>
          <w:rStyle w:val="Rimandonotaapidipagina"/>
          <w:rFonts w:ascii="Times New Roman" w:hAnsi="Times New Roman" w:cs="Times New Roman"/>
        </w:rPr>
        <w:footnoteRef/>
      </w:r>
      <w:r w:rsidRPr="00AF104F">
        <w:rPr>
          <w:rFonts w:ascii="Times New Roman" w:hAnsi="Times New Roman" w:cs="Times New Roman"/>
        </w:rPr>
        <w:t xml:space="preserve"> Sez. VII, sentenza 20 maggio 2024, n. 4479.</w:t>
      </w:r>
    </w:p>
  </w:footnote>
  <w:footnote w:id="12">
    <w:p w:rsidR="00AF104F" w:rsidRPr="00AF104F" w:rsidRDefault="00AF104F" w:rsidP="00AF104F">
      <w:pPr>
        <w:pStyle w:val="Testonotaapidipagina"/>
        <w:jc w:val="both"/>
        <w:rPr>
          <w:rFonts w:ascii="Times New Roman" w:hAnsi="Times New Roman" w:cs="Times New Roman"/>
        </w:rPr>
      </w:pPr>
      <w:r w:rsidRPr="00AF104F">
        <w:rPr>
          <w:rStyle w:val="Rimandonotaapidipagina"/>
          <w:rFonts w:ascii="Times New Roman" w:hAnsi="Times New Roman" w:cs="Times New Roman"/>
        </w:rPr>
        <w:footnoteRef/>
      </w:r>
      <w:r w:rsidRPr="00AF104F">
        <w:rPr>
          <w:rFonts w:ascii="Times New Roman" w:hAnsi="Times New Roman" w:cs="Times New Roman"/>
        </w:rPr>
        <w:t xml:space="preserve"> CGUE 20 aprile 2023, n. C-348/22.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D9559A1-4C31-494E-B577-B27C3B7F522E}"/>
    <w:docVar w:name="dgnword-eventsink" w:val="475559544"/>
  </w:docVars>
  <w:rsids>
    <w:rsidRoot w:val="00B629A1"/>
    <w:rsid w:val="00010A36"/>
    <w:rsid w:val="00012F5C"/>
    <w:rsid w:val="0001592F"/>
    <w:rsid w:val="0002246D"/>
    <w:rsid w:val="00041489"/>
    <w:rsid w:val="000446E4"/>
    <w:rsid w:val="000610CF"/>
    <w:rsid w:val="00063EF3"/>
    <w:rsid w:val="000A43EC"/>
    <w:rsid w:val="000A5BF4"/>
    <w:rsid w:val="000B2E79"/>
    <w:rsid w:val="000D7132"/>
    <w:rsid w:val="0011478D"/>
    <w:rsid w:val="00117F53"/>
    <w:rsid w:val="001430D6"/>
    <w:rsid w:val="00147F9E"/>
    <w:rsid w:val="00177044"/>
    <w:rsid w:val="00184278"/>
    <w:rsid w:val="00190A15"/>
    <w:rsid w:val="0019496F"/>
    <w:rsid w:val="00197EF9"/>
    <w:rsid w:val="001B6E60"/>
    <w:rsid w:val="001C207D"/>
    <w:rsid w:val="001F489E"/>
    <w:rsid w:val="00204CE1"/>
    <w:rsid w:val="0021443D"/>
    <w:rsid w:val="0021783E"/>
    <w:rsid w:val="00217F0A"/>
    <w:rsid w:val="00221D8C"/>
    <w:rsid w:val="00236392"/>
    <w:rsid w:val="0025737C"/>
    <w:rsid w:val="002657C5"/>
    <w:rsid w:val="00267457"/>
    <w:rsid w:val="00276D8A"/>
    <w:rsid w:val="002A6710"/>
    <w:rsid w:val="002C7FAA"/>
    <w:rsid w:val="002D24E3"/>
    <w:rsid w:val="002D720E"/>
    <w:rsid w:val="002E086E"/>
    <w:rsid w:val="002E25F9"/>
    <w:rsid w:val="002E44A2"/>
    <w:rsid w:val="002E78A7"/>
    <w:rsid w:val="0030662A"/>
    <w:rsid w:val="0032402A"/>
    <w:rsid w:val="003334C8"/>
    <w:rsid w:val="00361B53"/>
    <w:rsid w:val="00384381"/>
    <w:rsid w:val="00384F11"/>
    <w:rsid w:val="003C33C5"/>
    <w:rsid w:val="003D18C5"/>
    <w:rsid w:val="003E5ADC"/>
    <w:rsid w:val="003F1DB2"/>
    <w:rsid w:val="003F380F"/>
    <w:rsid w:val="00404BCA"/>
    <w:rsid w:val="0045273D"/>
    <w:rsid w:val="00462A53"/>
    <w:rsid w:val="00465975"/>
    <w:rsid w:val="00467F82"/>
    <w:rsid w:val="00481DAA"/>
    <w:rsid w:val="00487D0D"/>
    <w:rsid w:val="00487EFB"/>
    <w:rsid w:val="00492715"/>
    <w:rsid w:val="004950E9"/>
    <w:rsid w:val="00495225"/>
    <w:rsid w:val="004A0746"/>
    <w:rsid w:val="004A07CC"/>
    <w:rsid w:val="004C3A86"/>
    <w:rsid w:val="004D6B78"/>
    <w:rsid w:val="00507049"/>
    <w:rsid w:val="00525301"/>
    <w:rsid w:val="005358A8"/>
    <w:rsid w:val="005639CA"/>
    <w:rsid w:val="0058657A"/>
    <w:rsid w:val="005B5AA0"/>
    <w:rsid w:val="005C1098"/>
    <w:rsid w:val="005C603A"/>
    <w:rsid w:val="005C6A04"/>
    <w:rsid w:val="005D7C28"/>
    <w:rsid w:val="005E30C8"/>
    <w:rsid w:val="00616059"/>
    <w:rsid w:val="00617388"/>
    <w:rsid w:val="0065156C"/>
    <w:rsid w:val="00667E0B"/>
    <w:rsid w:val="006724BD"/>
    <w:rsid w:val="00673466"/>
    <w:rsid w:val="006836EF"/>
    <w:rsid w:val="006A039C"/>
    <w:rsid w:val="006B2092"/>
    <w:rsid w:val="006B414C"/>
    <w:rsid w:val="006B58D6"/>
    <w:rsid w:val="006C2F06"/>
    <w:rsid w:val="006D26E7"/>
    <w:rsid w:val="006F068C"/>
    <w:rsid w:val="006F083C"/>
    <w:rsid w:val="006F4266"/>
    <w:rsid w:val="00720AF6"/>
    <w:rsid w:val="007352EE"/>
    <w:rsid w:val="007421C1"/>
    <w:rsid w:val="00755E28"/>
    <w:rsid w:val="007706DB"/>
    <w:rsid w:val="007B1896"/>
    <w:rsid w:val="007B68D5"/>
    <w:rsid w:val="007D0215"/>
    <w:rsid w:val="007D1B92"/>
    <w:rsid w:val="007E7C82"/>
    <w:rsid w:val="007F5517"/>
    <w:rsid w:val="00806E59"/>
    <w:rsid w:val="00820A38"/>
    <w:rsid w:val="0082323C"/>
    <w:rsid w:val="00827D39"/>
    <w:rsid w:val="008305F9"/>
    <w:rsid w:val="00866B4D"/>
    <w:rsid w:val="00874D91"/>
    <w:rsid w:val="00876034"/>
    <w:rsid w:val="00897581"/>
    <w:rsid w:val="008D311A"/>
    <w:rsid w:val="008D5E38"/>
    <w:rsid w:val="008E37E5"/>
    <w:rsid w:val="00910033"/>
    <w:rsid w:val="00921668"/>
    <w:rsid w:val="0092240F"/>
    <w:rsid w:val="00931F50"/>
    <w:rsid w:val="00942728"/>
    <w:rsid w:val="009474B2"/>
    <w:rsid w:val="00950C52"/>
    <w:rsid w:val="00972271"/>
    <w:rsid w:val="009779AD"/>
    <w:rsid w:val="00984839"/>
    <w:rsid w:val="00986A51"/>
    <w:rsid w:val="009A7EF8"/>
    <w:rsid w:val="009B18FC"/>
    <w:rsid w:val="009D1427"/>
    <w:rsid w:val="009D4073"/>
    <w:rsid w:val="009D50F2"/>
    <w:rsid w:val="009E3EDF"/>
    <w:rsid w:val="009E5EAC"/>
    <w:rsid w:val="009F0B92"/>
    <w:rsid w:val="00A04F9F"/>
    <w:rsid w:val="00A11404"/>
    <w:rsid w:val="00A116C4"/>
    <w:rsid w:val="00A3657B"/>
    <w:rsid w:val="00A52618"/>
    <w:rsid w:val="00A56C7D"/>
    <w:rsid w:val="00A572EB"/>
    <w:rsid w:val="00A66090"/>
    <w:rsid w:val="00A87FD7"/>
    <w:rsid w:val="00AA5159"/>
    <w:rsid w:val="00AB13BC"/>
    <w:rsid w:val="00AB2316"/>
    <w:rsid w:val="00AE4BEF"/>
    <w:rsid w:val="00AF104F"/>
    <w:rsid w:val="00B32733"/>
    <w:rsid w:val="00B57E3D"/>
    <w:rsid w:val="00B629A1"/>
    <w:rsid w:val="00B63DED"/>
    <w:rsid w:val="00B87DB4"/>
    <w:rsid w:val="00B9649E"/>
    <w:rsid w:val="00BA2065"/>
    <w:rsid w:val="00BB241A"/>
    <w:rsid w:val="00BB2624"/>
    <w:rsid w:val="00BC58B1"/>
    <w:rsid w:val="00C12335"/>
    <w:rsid w:val="00C1698F"/>
    <w:rsid w:val="00C6016E"/>
    <w:rsid w:val="00C6200F"/>
    <w:rsid w:val="00C70B3E"/>
    <w:rsid w:val="00C82562"/>
    <w:rsid w:val="00C86018"/>
    <w:rsid w:val="00C923E6"/>
    <w:rsid w:val="00C94CCA"/>
    <w:rsid w:val="00CA3FDB"/>
    <w:rsid w:val="00CD03E0"/>
    <w:rsid w:val="00CD622F"/>
    <w:rsid w:val="00CD71D1"/>
    <w:rsid w:val="00CE6D7C"/>
    <w:rsid w:val="00CE6E98"/>
    <w:rsid w:val="00CF663C"/>
    <w:rsid w:val="00D12331"/>
    <w:rsid w:val="00D2168A"/>
    <w:rsid w:val="00D25663"/>
    <w:rsid w:val="00D42237"/>
    <w:rsid w:val="00D514B7"/>
    <w:rsid w:val="00D56D06"/>
    <w:rsid w:val="00D56DE8"/>
    <w:rsid w:val="00D618F0"/>
    <w:rsid w:val="00DD431E"/>
    <w:rsid w:val="00DD5722"/>
    <w:rsid w:val="00DF3C92"/>
    <w:rsid w:val="00E04993"/>
    <w:rsid w:val="00E13E71"/>
    <w:rsid w:val="00E24E56"/>
    <w:rsid w:val="00E417F3"/>
    <w:rsid w:val="00E4184A"/>
    <w:rsid w:val="00E604F9"/>
    <w:rsid w:val="00E75C02"/>
    <w:rsid w:val="00E827B6"/>
    <w:rsid w:val="00E87458"/>
    <w:rsid w:val="00E93F7C"/>
    <w:rsid w:val="00EB033F"/>
    <w:rsid w:val="00EC217F"/>
    <w:rsid w:val="00ED5E50"/>
    <w:rsid w:val="00ED7680"/>
    <w:rsid w:val="00EE01DB"/>
    <w:rsid w:val="00EE745E"/>
    <w:rsid w:val="00EF41ED"/>
    <w:rsid w:val="00F00BC0"/>
    <w:rsid w:val="00F04511"/>
    <w:rsid w:val="00F13780"/>
    <w:rsid w:val="00F1539B"/>
    <w:rsid w:val="00F2126B"/>
    <w:rsid w:val="00F4486F"/>
    <w:rsid w:val="00F54E1A"/>
    <w:rsid w:val="00F608E8"/>
    <w:rsid w:val="00F63120"/>
    <w:rsid w:val="00F80A13"/>
    <w:rsid w:val="00F818EC"/>
    <w:rsid w:val="00F93AE9"/>
    <w:rsid w:val="00FA008F"/>
    <w:rsid w:val="00FB40F0"/>
    <w:rsid w:val="00FD227C"/>
    <w:rsid w:val="00FD74D7"/>
    <w:rsid w:val="00FF4035"/>
    <w:rsid w:val="00FF5C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B1247-358F-4980-AB09-4993E9A3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70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178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783E"/>
  </w:style>
  <w:style w:type="paragraph" w:styleId="Pidipagina">
    <w:name w:val="footer"/>
    <w:basedOn w:val="Normale"/>
    <w:link w:val="PidipaginaCarattere"/>
    <w:uiPriority w:val="99"/>
    <w:unhideWhenUsed/>
    <w:rsid w:val="002178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783E"/>
  </w:style>
  <w:style w:type="character" w:styleId="Collegamentoipertestuale">
    <w:name w:val="Hyperlink"/>
    <w:basedOn w:val="Carpredefinitoparagrafo"/>
    <w:uiPriority w:val="99"/>
    <w:unhideWhenUsed/>
    <w:rsid w:val="00C1698F"/>
    <w:rPr>
      <w:color w:val="0563C1" w:themeColor="hyperlink"/>
      <w:u w:val="single"/>
    </w:rPr>
  </w:style>
  <w:style w:type="paragraph" w:styleId="Testofumetto">
    <w:name w:val="Balloon Text"/>
    <w:basedOn w:val="Normale"/>
    <w:link w:val="TestofumettoCarattere"/>
    <w:uiPriority w:val="99"/>
    <w:semiHidden/>
    <w:unhideWhenUsed/>
    <w:rsid w:val="009722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2271"/>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404BC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04BCA"/>
    <w:rPr>
      <w:sz w:val="20"/>
      <w:szCs w:val="20"/>
    </w:rPr>
  </w:style>
  <w:style w:type="character" w:styleId="Rimandonotaapidipagina">
    <w:name w:val="footnote reference"/>
    <w:basedOn w:val="Carpredefinitoparagrafo"/>
    <w:uiPriority w:val="99"/>
    <w:semiHidden/>
    <w:unhideWhenUsed/>
    <w:rsid w:val="00404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336560">
      <w:bodyDiv w:val="1"/>
      <w:marLeft w:val="0"/>
      <w:marRight w:val="0"/>
      <w:marTop w:val="0"/>
      <w:marBottom w:val="0"/>
      <w:divBdr>
        <w:top w:val="none" w:sz="0" w:space="0" w:color="auto"/>
        <w:left w:val="none" w:sz="0" w:space="0" w:color="auto"/>
        <w:bottom w:val="none" w:sz="0" w:space="0" w:color="auto"/>
        <w:right w:val="none" w:sz="0" w:space="0" w:color="auto"/>
      </w:divBdr>
    </w:div>
    <w:div w:id="1805149287">
      <w:bodyDiv w:val="1"/>
      <w:marLeft w:val="0"/>
      <w:marRight w:val="0"/>
      <w:marTop w:val="0"/>
      <w:marBottom w:val="0"/>
      <w:divBdr>
        <w:top w:val="none" w:sz="0" w:space="0" w:color="auto"/>
        <w:left w:val="none" w:sz="0" w:space="0" w:color="auto"/>
        <w:bottom w:val="none" w:sz="0" w:space="0" w:color="auto"/>
        <w:right w:val="none" w:sz="0" w:space="0" w:color="auto"/>
      </w:divBdr>
      <w:divsChild>
        <w:div w:id="1428847430">
          <w:marLeft w:val="0"/>
          <w:marRight w:val="0"/>
          <w:marTop w:val="0"/>
          <w:marBottom w:val="120"/>
          <w:divBdr>
            <w:top w:val="none" w:sz="0" w:space="0" w:color="auto"/>
            <w:left w:val="none" w:sz="0" w:space="0" w:color="auto"/>
            <w:bottom w:val="none" w:sz="0" w:space="0" w:color="auto"/>
            <w:right w:val="none" w:sz="0" w:space="0" w:color="auto"/>
          </w:divBdr>
          <w:divsChild>
            <w:div w:id="1043209646">
              <w:marLeft w:val="0"/>
              <w:marRight w:val="0"/>
              <w:marTop w:val="0"/>
              <w:marBottom w:val="120"/>
              <w:divBdr>
                <w:top w:val="none" w:sz="0" w:space="0" w:color="auto"/>
                <w:left w:val="none" w:sz="0" w:space="0" w:color="auto"/>
                <w:bottom w:val="none" w:sz="0" w:space="0" w:color="auto"/>
                <w:right w:val="none" w:sz="0" w:space="0" w:color="auto"/>
              </w:divBdr>
            </w:div>
            <w:div w:id="1072851791">
              <w:marLeft w:val="0"/>
              <w:marRight w:val="0"/>
              <w:marTop w:val="0"/>
              <w:marBottom w:val="120"/>
              <w:divBdr>
                <w:top w:val="none" w:sz="0" w:space="0" w:color="auto"/>
                <w:left w:val="none" w:sz="0" w:space="0" w:color="auto"/>
                <w:bottom w:val="none" w:sz="0" w:space="0" w:color="auto"/>
                <w:right w:val="none" w:sz="0" w:space="0" w:color="auto"/>
              </w:divBdr>
            </w:div>
          </w:divsChild>
        </w:div>
        <w:div w:id="1778677130">
          <w:marLeft w:val="0"/>
          <w:marRight w:val="0"/>
          <w:marTop w:val="0"/>
          <w:marBottom w:val="120"/>
          <w:divBdr>
            <w:top w:val="none" w:sz="0" w:space="0" w:color="auto"/>
            <w:left w:val="none" w:sz="0" w:space="0" w:color="auto"/>
            <w:bottom w:val="none" w:sz="0" w:space="0" w:color="auto"/>
            <w:right w:val="none" w:sz="0" w:space="0" w:color="auto"/>
          </w:divBdr>
        </w:div>
        <w:div w:id="1487672815">
          <w:marLeft w:val="0"/>
          <w:marRight w:val="0"/>
          <w:marTop w:val="0"/>
          <w:marBottom w:val="120"/>
          <w:divBdr>
            <w:top w:val="none" w:sz="0" w:space="0" w:color="auto"/>
            <w:left w:val="none" w:sz="0" w:space="0" w:color="auto"/>
            <w:bottom w:val="none" w:sz="0" w:space="0" w:color="auto"/>
            <w:right w:val="none" w:sz="0" w:space="0" w:color="auto"/>
          </w:divBdr>
        </w:div>
        <w:div w:id="90198828">
          <w:marLeft w:val="0"/>
          <w:marRight w:val="0"/>
          <w:marTop w:val="0"/>
          <w:marBottom w:val="120"/>
          <w:divBdr>
            <w:top w:val="none" w:sz="0" w:space="0" w:color="auto"/>
            <w:left w:val="none" w:sz="0" w:space="0" w:color="auto"/>
            <w:bottom w:val="none" w:sz="0" w:space="0" w:color="auto"/>
            <w:right w:val="none" w:sz="0" w:space="0" w:color="auto"/>
          </w:divBdr>
        </w:div>
      </w:divsChild>
    </w:div>
    <w:div w:id="1892617983">
      <w:bodyDiv w:val="1"/>
      <w:marLeft w:val="0"/>
      <w:marRight w:val="0"/>
      <w:marTop w:val="0"/>
      <w:marBottom w:val="0"/>
      <w:divBdr>
        <w:top w:val="none" w:sz="0" w:space="0" w:color="auto"/>
        <w:left w:val="none" w:sz="0" w:space="0" w:color="auto"/>
        <w:bottom w:val="none" w:sz="0" w:space="0" w:color="auto"/>
        <w:right w:val="none" w:sz="0" w:space="0" w:color="auto"/>
      </w:divBdr>
      <w:divsChild>
        <w:div w:id="345905461">
          <w:marLeft w:val="0"/>
          <w:marRight w:val="0"/>
          <w:marTop w:val="0"/>
          <w:marBottom w:val="120"/>
          <w:divBdr>
            <w:top w:val="none" w:sz="0" w:space="0" w:color="auto"/>
            <w:left w:val="none" w:sz="0" w:space="0" w:color="auto"/>
            <w:bottom w:val="none" w:sz="0" w:space="0" w:color="auto"/>
            <w:right w:val="none" w:sz="0" w:space="0" w:color="auto"/>
          </w:divBdr>
          <w:divsChild>
            <w:div w:id="1581596336">
              <w:marLeft w:val="0"/>
              <w:marRight w:val="0"/>
              <w:marTop w:val="0"/>
              <w:marBottom w:val="120"/>
              <w:divBdr>
                <w:top w:val="none" w:sz="0" w:space="0" w:color="auto"/>
                <w:left w:val="none" w:sz="0" w:space="0" w:color="auto"/>
                <w:bottom w:val="none" w:sz="0" w:space="0" w:color="auto"/>
                <w:right w:val="none" w:sz="0" w:space="0" w:color="auto"/>
              </w:divBdr>
            </w:div>
            <w:div w:id="206256423">
              <w:marLeft w:val="0"/>
              <w:marRight w:val="0"/>
              <w:marTop w:val="0"/>
              <w:marBottom w:val="120"/>
              <w:divBdr>
                <w:top w:val="none" w:sz="0" w:space="0" w:color="auto"/>
                <w:left w:val="none" w:sz="0" w:space="0" w:color="auto"/>
                <w:bottom w:val="none" w:sz="0" w:space="0" w:color="auto"/>
                <w:right w:val="none" w:sz="0" w:space="0" w:color="auto"/>
              </w:divBdr>
            </w:div>
          </w:divsChild>
        </w:div>
        <w:div w:id="531960886">
          <w:marLeft w:val="0"/>
          <w:marRight w:val="0"/>
          <w:marTop w:val="0"/>
          <w:marBottom w:val="120"/>
          <w:divBdr>
            <w:top w:val="none" w:sz="0" w:space="0" w:color="auto"/>
            <w:left w:val="none" w:sz="0" w:space="0" w:color="auto"/>
            <w:bottom w:val="none" w:sz="0" w:space="0" w:color="auto"/>
            <w:right w:val="none" w:sz="0" w:space="0" w:color="auto"/>
          </w:divBdr>
        </w:div>
        <w:div w:id="145151450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846F0-A402-4978-9E95-A81EFD22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3176</Words>
  <Characters>18104</Characters>
  <Application>Microsoft Office Word</Application>
  <DocSecurity>4</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MADDALENA Maria Laura</cp:lastModifiedBy>
  <cp:revision>2</cp:revision>
  <cp:lastPrinted>2024-10-28T19:31:00Z</cp:lastPrinted>
  <dcterms:created xsi:type="dcterms:W3CDTF">2024-11-14T10:42:00Z</dcterms:created>
  <dcterms:modified xsi:type="dcterms:W3CDTF">2024-11-14T10:42:00Z</dcterms:modified>
</cp:coreProperties>
</file>