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8C5" w:rsidRPr="00CD159D" w:rsidRDefault="002B0FB6" w:rsidP="00804185">
      <w:pPr>
        <w:spacing w:line="276" w:lineRule="auto"/>
        <w:ind w:firstLine="284"/>
        <w:jc w:val="both"/>
        <w:rPr>
          <w:rFonts w:ascii="Times New Roman" w:hAnsi="Times New Roman" w:cs="Times New Roman"/>
          <w:b/>
          <w:i/>
          <w:sz w:val="26"/>
          <w:szCs w:val="26"/>
        </w:rPr>
      </w:pPr>
      <w:r w:rsidRPr="00CD159D">
        <w:rPr>
          <w:rFonts w:ascii="Times New Roman" w:hAnsi="Times New Roman" w:cs="Times New Roman"/>
          <w:b/>
          <w:i/>
          <w:sz w:val="26"/>
          <w:szCs w:val="26"/>
        </w:rPr>
        <w:t xml:space="preserve">Condizioni </w:t>
      </w:r>
      <w:r w:rsidR="00904D8B" w:rsidRPr="00CD159D">
        <w:rPr>
          <w:rFonts w:ascii="Times New Roman" w:hAnsi="Times New Roman" w:cs="Times New Roman"/>
          <w:b/>
          <w:i/>
          <w:sz w:val="26"/>
          <w:szCs w:val="26"/>
        </w:rPr>
        <w:t xml:space="preserve">di </w:t>
      </w:r>
      <w:r w:rsidRPr="00CD159D">
        <w:rPr>
          <w:rFonts w:ascii="Times New Roman" w:hAnsi="Times New Roman" w:cs="Times New Roman"/>
          <w:b/>
          <w:i/>
          <w:sz w:val="26"/>
          <w:szCs w:val="26"/>
        </w:rPr>
        <w:t>ammissibilità e rilevanza della questione pregiudiziale</w:t>
      </w:r>
      <w:r w:rsidR="00904D8B" w:rsidRPr="00CD159D">
        <w:rPr>
          <w:rFonts w:ascii="Times New Roman" w:hAnsi="Times New Roman" w:cs="Times New Roman"/>
          <w:b/>
          <w:i/>
          <w:sz w:val="26"/>
          <w:szCs w:val="26"/>
        </w:rPr>
        <w:t xml:space="preserve"> davanti alla Corte di Giustizia dell’Unione europea</w:t>
      </w:r>
      <w:r w:rsidR="00B94EED" w:rsidRPr="00CD159D">
        <w:rPr>
          <w:rStyle w:val="Rimandonotaapidipagina"/>
          <w:rFonts w:ascii="Times New Roman" w:hAnsi="Times New Roman" w:cs="Times New Roman"/>
          <w:b/>
          <w:i/>
          <w:sz w:val="26"/>
          <w:szCs w:val="26"/>
        </w:rPr>
        <w:footnoteReference w:id="1"/>
      </w:r>
      <w:r w:rsidR="00904D8B" w:rsidRPr="00CD159D">
        <w:rPr>
          <w:rFonts w:ascii="Times New Roman" w:hAnsi="Times New Roman" w:cs="Times New Roman"/>
          <w:b/>
          <w:i/>
          <w:sz w:val="26"/>
          <w:szCs w:val="26"/>
        </w:rPr>
        <w:t>.</w:t>
      </w:r>
    </w:p>
    <w:p w:rsidR="00060EBB" w:rsidRPr="00CD159D" w:rsidRDefault="00060EBB" w:rsidP="00804185">
      <w:pPr>
        <w:spacing w:after="0" w:line="276" w:lineRule="auto"/>
        <w:jc w:val="both"/>
        <w:rPr>
          <w:rFonts w:ascii="Times New Roman" w:hAnsi="Times New Roman" w:cs="Times New Roman"/>
          <w:sz w:val="26"/>
          <w:szCs w:val="26"/>
        </w:rPr>
      </w:pPr>
    </w:p>
    <w:p w:rsidR="00694C49" w:rsidRPr="00CD159D" w:rsidRDefault="00865F81" w:rsidP="00804185">
      <w:pPr>
        <w:spacing w:after="0" w:line="276" w:lineRule="auto"/>
        <w:ind w:firstLine="284"/>
        <w:jc w:val="both"/>
        <w:rPr>
          <w:rFonts w:ascii="Times New Roman" w:hAnsi="Times New Roman" w:cs="Times New Roman"/>
          <w:b/>
          <w:i/>
          <w:sz w:val="26"/>
          <w:szCs w:val="26"/>
        </w:rPr>
      </w:pPr>
      <w:r w:rsidRPr="00CD159D">
        <w:rPr>
          <w:rFonts w:ascii="Times New Roman" w:hAnsi="Times New Roman" w:cs="Times New Roman"/>
          <w:b/>
          <w:i/>
          <w:sz w:val="26"/>
          <w:szCs w:val="26"/>
        </w:rPr>
        <w:t>1.</w:t>
      </w:r>
      <w:r w:rsidR="00694C49" w:rsidRPr="00CD159D">
        <w:rPr>
          <w:rFonts w:ascii="Times New Roman" w:hAnsi="Times New Roman" w:cs="Times New Roman"/>
          <w:b/>
          <w:i/>
          <w:sz w:val="26"/>
          <w:szCs w:val="26"/>
        </w:rPr>
        <w:t xml:space="preserve"> Cenni introduttivi.</w:t>
      </w:r>
      <w:r w:rsidRPr="00CD159D">
        <w:rPr>
          <w:rFonts w:ascii="Times New Roman" w:hAnsi="Times New Roman" w:cs="Times New Roman"/>
          <w:b/>
          <w:i/>
          <w:sz w:val="26"/>
          <w:szCs w:val="26"/>
        </w:rPr>
        <w:t xml:space="preserve"> </w:t>
      </w:r>
    </w:p>
    <w:p w:rsidR="00694C49" w:rsidRPr="00CD159D" w:rsidRDefault="00694C49" w:rsidP="00804185">
      <w:pPr>
        <w:spacing w:after="0" w:line="276" w:lineRule="auto"/>
        <w:ind w:firstLine="284"/>
        <w:jc w:val="both"/>
        <w:rPr>
          <w:rFonts w:ascii="Times New Roman" w:hAnsi="Times New Roman" w:cs="Times New Roman"/>
          <w:sz w:val="26"/>
          <w:szCs w:val="26"/>
        </w:rPr>
      </w:pPr>
    </w:p>
    <w:p w:rsidR="00975476" w:rsidRPr="00CD159D" w:rsidRDefault="00584CB7"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Il tema delle condizioni di ammissibilità e rilevanza della questione pregiudiziale è importante sotto il profilo pratico in quanto</w:t>
      </w:r>
      <w:r w:rsidR="00B94EED" w:rsidRPr="00CD159D">
        <w:rPr>
          <w:rFonts w:ascii="Times New Roman" w:hAnsi="Times New Roman" w:cs="Times New Roman"/>
          <w:sz w:val="26"/>
          <w:szCs w:val="26"/>
        </w:rPr>
        <w:t xml:space="preserve"> </w:t>
      </w:r>
      <w:r w:rsidR="00FF3A3B" w:rsidRPr="00CD159D">
        <w:rPr>
          <w:rFonts w:ascii="Times New Roman" w:hAnsi="Times New Roman" w:cs="Times New Roman"/>
          <w:sz w:val="26"/>
          <w:szCs w:val="26"/>
        </w:rPr>
        <w:t>molt</w:t>
      </w:r>
      <w:r w:rsidRPr="00CD159D">
        <w:rPr>
          <w:rFonts w:ascii="Times New Roman" w:hAnsi="Times New Roman" w:cs="Times New Roman"/>
          <w:sz w:val="26"/>
          <w:szCs w:val="26"/>
        </w:rPr>
        <w:t>e questioni pregiudiziali sollevate dai giudici nazionali</w:t>
      </w:r>
      <w:r w:rsidR="00AB13FA" w:rsidRPr="00CD159D">
        <w:rPr>
          <w:rFonts w:ascii="Times New Roman" w:hAnsi="Times New Roman" w:cs="Times New Roman"/>
          <w:sz w:val="26"/>
          <w:szCs w:val="26"/>
        </w:rPr>
        <w:t xml:space="preserve"> vengono dichiarate </w:t>
      </w:r>
      <w:r w:rsidR="00263AD8" w:rsidRPr="00CD159D">
        <w:rPr>
          <w:rFonts w:ascii="Times New Roman" w:hAnsi="Times New Roman" w:cs="Times New Roman"/>
          <w:sz w:val="26"/>
          <w:szCs w:val="26"/>
        </w:rPr>
        <w:t>irricevibili</w:t>
      </w:r>
      <w:r w:rsidRPr="00CD159D">
        <w:rPr>
          <w:rFonts w:ascii="Times New Roman" w:hAnsi="Times New Roman" w:cs="Times New Roman"/>
          <w:sz w:val="26"/>
          <w:szCs w:val="26"/>
        </w:rPr>
        <w:t xml:space="preserve"> dalla Corte di Giustizia</w:t>
      </w:r>
      <w:r w:rsidR="00975476" w:rsidRPr="00CD159D">
        <w:rPr>
          <w:rFonts w:ascii="Times New Roman" w:hAnsi="Times New Roman" w:cs="Times New Roman"/>
          <w:sz w:val="26"/>
          <w:szCs w:val="26"/>
        </w:rPr>
        <w:t xml:space="preserve"> per</w:t>
      </w:r>
      <w:r w:rsidR="001D3A9F" w:rsidRPr="00CD159D">
        <w:rPr>
          <w:rFonts w:ascii="Times New Roman" w:hAnsi="Times New Roman" w:cs="Times New Roman"/>
          <w:sz w:val="26"/>
          <w:szCs w:val="26"/>
        </w:rPr>
        <w:t xml:space="preserve"> irrilevanza o per carenze formali dei provvedimenti</w:t>
      </w:r>
      <w:r w:rsidRPr="00CD159D">
        <w:rPr>
          <w:rFonts w:ascii="Times New Roman" w:hAnsi="Times New Roman" w:cs="Times New Roman"/>
          <w:sz w:val="26"/>
          <w:szCs w:val="26"/>
        </w:rPr>
        <w:t xml:space="preserve"> di rimessione, ritenuti generici, imprecisi</w:t>
      </w:r>
      <w:r w:rsidR="00975476" w:rsidRPr="00CD159D">
        <w:rPr>
          <w:rFonts w:ascii="Times New Roman" w:hAnsi="Times New Roman" w:cs="Times New Roman"/>
          <w:sz w:val="26"/>
          <w:szCs w:val="26"/>
        </w:rPr>
        <w:t xml:space="preserve"> e</w:t>
      </w:r>
      <w:r w:rsidR="00AB13FA" w:rsidRPr="00CD159D">
        <w:rPr>
          <w:rFonts w:ascii="Times New Roman" w:hAnsi="Times New Roman" w:cs="Times New Roman"/>
          <w:sz w:val="26"/>
          <w:szCs w:val="26"/>
        </w:rPr>
        <w:t>d</w:t>
      </w:r>
      <w:r w:rsidR="00975476" w:rsidRPr="00CD159D">
        <w:rPr>
          <w:rFonts w:ascii="Times New Roman" w:hAnsi="Times New Roman" w:cs="Times New Roman"/>
          <w:sz w:val="26"/>
          <w:szCs w:val="26"/>
        </w:rPr>
        <w:t xml:space="preserve"> insufficienti a fornire alla Corte gli elementi </w:t>
      </w:r>
      <w:r w:rsidR="00804185" w:rsidRPr="00CD159D">
        <w:rPr>
          <w:rFonts w:ascii="Times New Roman" w:hAnsi="Times New Roman" w:cs="Times New Roman"/>
          <w:sz w:val="26"/>
          <w:szCs w:val="26"/>
        </w:rPr>
        <w:t xml:space="preserve">necessari </w:t>
      </w:r>
      <w:r w:rsidR="00975476" w:rsidRPr="00CD159D">
        <w:rPr>
          <w:rFonts w:ascii="Times New Roman" w:hAnsi="Times New Roman" w:cs="Times New Roman"/>
          <w:sz w:val="26"/>
          <w:szCs w:val="26"/>
        </w:rPr>
        <w:t xml:space="preserve">per la sua decisione. E, purtroppo, </w:t>
      </w:r>
      <w:r w:rsidR="00104813" w:rsidRPr="00CD159D">
        <w:rPr>
          <w:rFonts w:ascii="Times New Roman" w:hAnsi="Times New Roman" w:cs="Times New Roman"/>
          <w:sz w:val="26"/>
          <w:szCs w:val="26"/>
        </w:rPr>
        <w:t xml:space="preserve">ciò </w:t>
      </w:r>
      <w:r w:rsidR="00B94EED" w:rsidRPr="00CD159D">
        <w:rPr>
          <w:rFonts w:ascii="Times New Roman" w:hAnsi="Times New Roman" w:cs="Times New Roman"/>
          <w:sz w:val="26"/>
          <w:szCs w:val="26"/>
        </w:rPr>
        <w:t>avviene</w:t>
      </w:r>
      <w:r w:rsidR="00104813" w:rsidRPr="00CD159D">
        <w:rPr>
          <w:rFonts w:ascii="Times New Roman" w:hAnsi="Times New Roman" w:cs="Times New Roman"/>
          <w:sz w:val="26"/>
          <w:szCs w:val="26"/>
        </w:rPr>
        <w:t xml:space="preserve"> frequentemente </w:t>
      </w:r>
      <w:r w:rsidR="00975476" w:rsidRPr="00CD159D">
        <w:rPr>
          <w:rFonts w:ascii="Times New Roman" w:hAnsi="Times New Roman" w:cs="Times New Roman"/>
          <w:sz w:val="26"/>
          <w:szCs w:val="26"/>
        </w:rPr>
        <w:t xml:space="preserve">con riferimento alle ordinanze di </w:t>
      </w:r>
      <w:r w:rsidR="00DF43B8">
        <w:rPr>
          <w:rFonts w:ascii="Times New Roman" w:hAnsi="Times New Roman" w:cs="Times New Roman"/>
          <w:sz w:val="26"/>
          <w:szCs w:val="26"/>
        </w:rPr>
        <w:t>rinvio</w:t>
      </w:r>
      <w:r w:rsidR="00263AD8" w:rsidRPr="00CD159D">
        <w:rPr>
          <w:rFonts w:ascii="Times New Roman" w:hAnsi="Times New Roman" w:cs="Times New Roman"/>
          <w:sz w:val="26"/>
          <w:szCs w:val="26"/>
        </w:rPr>
        <w:t xml:space="preserve"> dei giudici italiani</w:t>
      </w:r>
      <w:r w:rsidR="004A5B69" w:rsidRPr="00CD159D">
        <w:rPr>
          <w:rStyle w:val="Rimandonotaapidipagina"/>
          <w:rFonts w:ascii="Times New Roman" w:hAnsi="Times New Roman" w:cs="Times New Roman"/>
          <w:sz w:val="26"/>
          <w:szCs w:val="26"/>
        </w:rPr>
        <w:footnoteReference w:id="2"/>
      </w:r>
      <w:r w:rsidR="00975476" w:rsidRPr="00CD159D">
        <w:rPr>
          <w:rFonts w:ascii="Times New Roman" w:hAnsi="Times New Roman" w:cs="Times New Roman"/>
          <w:sz w:val="26"/>
          <w:szCs w:val="26"/>
        </w:rPr>
        <w:t>.</w:t>
      </w:r>
    </w:p>
    <w:p w:rsidR="00060EBB" w:rsidRPr="00CD159D" w:rsidRDefault="00975476"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Il tema </w:t>
      </w:r>
      <w:r w:rsidR="0025047C" w:rsidRPr="00CD159D">
        <w:rPr>
          <w:rFonts w:ascii="Times New Roman" w:hAnsi="Times New Roman" w:cs="Times New Roman"/>
          <w:sz w:val="26"/>
          <w:szCs w:val="26"/>
        </w:rPr>
        <w:t>ha tuttavia un rilievo</w:t>
      </w:r>
      <w:r w:rsidRPr="00CD159D">
        <w:rPr>
          <w:rFonts w:ascii="Times New Roman" w:hAnsi="Times New Roman" w:cs="Times New Roman"/>
          <w:sz w:val="26"/>
          <w:szCs w:val="26"/>
        </w:rPr>
        <w:t xml:space="preserve"> </w:t>
      </w:r>
      <w:r w:rsidR="00865F81" w:rsidRPr="00CD159D">
        <w:rPr>
          <w:rFonts w:ascii="Times New Roman" w:hAnsi="Times New Roman" w:cs="Times New Roman"/>
          <w:sz w:val="26"/>
          <w:szCs w:val="26"/>
        </w:rPr>
        <w:t xml:space="preserve">più </w:t>
      </w:r>
      <w:r w:rsidRPr="00CD159D">
        <w:rPr>
          <w:rFonts w:ascii="Times New Roman" w:hAnsi="Times New Roman" w:cs="Times New Roman"/>
          <w:sz w:val="26"/>
          <w:szCs w:val="26"/>
        </w:rPr>
        <w:t xml:space="preserve">generale: le condizioni di ammissibilità e </w:t>
      </w:r>
      <w:r w:rsidR="00263AD8" w:rsidRPr="00CD159D">
        <w:rPr>
          <w:rFonts w:ascii="Times New Roman" w:hAnsi="Times New Roman" w:cs="Times New Roman"/>
          <w:sz w:val="26"/>
          <w:szCs w:val="26"/>
        </w:rPr>
        <w:t xml:space="preserve">di </w:t>
      </w:r>
      <w:r w:rsidRPr="00CD159D">
        <w:rPr>
          <w:rFonts w:ascii="Times New Roman" w:hAnsi="Times New Roman" w:cs="Times New Roman"/>
          <w:sz w:val="26"/>
          <w:szCs w:val="26"/>
        </w:rPr>
        <w:t>rilevanza delle questioni pregiudiziali</w:t>
      </w:r>
      <w:r w:rsidR="001D3A9F" w:rsidRPr="00CD159D">
        <w:rPr>
          <w:rFonts w:ascii="Times New Roman" w:hAnsi="Times New Roman" w:cs="Times New Roman"/>
          <w:sz w:val="26"/>
          <w:szCs w:val="26"/>
        </w:rPr>
        <w:t xml:space="preserve"> </w:t>
      </w:r>
      <w:r w:rsidR="00584CB7" w:rsidRPr="00CD159D">
        <w:rPr>
          <w:rFonts w:ascii="Times New Roman" w:hAnsi="Times New Roman" w:cs="Times New Roman"/>
          <w:sz w:val="26"/>
          <w:szCs w:val="26"/>
        </w:rPr>
        <w:t>e la</w:t>
      </w:r>
      <w:r w:rsidR="00865F81" w:rsidRPr="00CD159D">
        <w:rPr>
          <w:rFonts w:ascii="Times New Roman" w:hAnsi="Times New Roman" w:cs="Times New Roman"/>
          <w:sz w:val="26"/>
          <w:szCs w:val="26"/>
        </w:rPr>
        <w:t xml:space="preserve"> capacità dei giudici nazionali di soddisfar</w:t>
      </w:r>
      <w:r w:rsidR="00584CB7" w:rsidRPr="00CD159D">
        <w:rPr>
          <w:rFonts w:ascii="Times New Roman" w:hAnsi="Times New Roman" w:cs="Times New Roman"/>
          <w:sz w:val="26"/>
          <w:szCs w:val="26"/>
        </w:rPr>
        <w:t>le</w:t>
      </w:r>
      <w:r w:rsidR="00104813" w:rsidRPr="00CD159D">
        <w:rPr>
          <w:rFonts w:ascii="Times New Roman" w:hAnsi="Times New Roman" w:cs="Times New Roman"/>
          <w:sz w:val="26"/>
          <w:szCs w:val="26"/>
        </w:rPr>
        <w:t xml:space="preserve"> incidono </w:t>
      </w:r>
      <w:r w:rsidR="001D3A9F" w:rsidRPr="00CD159D">
        <w:rPr>
          <w:rFonts w:ascii="Times New Roman" w:hAnsi="Times New Roman" w:cs="Times New Roman"/>
          <w:sz w:val="26"/>
          <w:szCs w:val="26"/>
        </w:rPr>
        <w:t xml:space="preserve">sulla </w:t>
      </w:r>
      <w:r w:rsidR="00C9176A">
        <w:rPr>
          <w:rFonts w:ascii="Times New Roman" w:hAnsi="Times New Roman" w:cs="Times New Roman"/>
          <w:sz w:val="26"/>
          <w:szCs w:val="26"/>
        </w:rPr>
        <w:t xml:space="preserve">concreta </w:t>
      </w:r>
      <w:r w:rsidR="001D3A9F" w:rsidRPr="00CD159D">
        <w:rPr>
          <w:rFonts w:ascii="Times New Roman" w:hAnsi="Times New Roman" w:cs="Times New Roman"/>
          <w:sz w:val="26"/>
          <w:szCs w:val="26"/>
        </w:rPr>
        <w:t xml:space="preserve">possibilità </w:t>
      </w:r>
      <w:r w:rsidR="00C9176A">
        <w:rPr>
          <w:rFonts w:ascii="Times New Roman" w:hAnsi="Times New Roman" w:cs="Times New Roman"/>
          <w:sz w:val="26"/>
          <w:szCs w:val="26"/>
        </w:rPr>
        <w:t xml:space="preserve">per </w:t>
      </w:r>
      <w:r w:rsidR="00584CB7" w:rsidRPr="00CD159D">
        <w:rPr>
          <w:rFonts w:ascii="Times New Roman" w:hAnsi="Times New Roman" w:cs="Times New Roman"/>
          <w:sz w:val="26"/>
          <w:szCs w:val="26"/>
        </w:rPr>
        <w:t>la</w:t>
      </w:r>
      <w:r w:rsidR="001D3A9F" w:rsidRPr="00CD159D">
        <w:rPr>
          <w:rFonts w:ascii="Times New Roman" w:hAnsi="Times New Roman" w:cs="Times New Roman"/>
          <w:sz w:val="26"/>
          <w:szCs w:val="26"/>
        </w:rPr>
        <w:t xml:space="preserve"> Corte</w:t>
      </w:r>
      <w:r w:rsidR="00584CB7" w:rsidRPr="00CD159D">
        <w:rPr>
          <w:rFonts w:ascii="Times New Roman" w:hAnsi="Times New Roman" w:cs="Times New Roman"/>
          <w:sz w:val="26"/>
          <w:szCs w:val="26"/>
        </w:rPr>
        <w:t xml:space="preserve"> di Giustizia</w:t>
      </w:r>
      <w:r w:rsidR="001D3A9F" w:rsidRPr="00CD159D">
        <w:rPr>
          <w:rFonts w:ascii="Times New Roman" w:hAnsi="Times New Roman" w:cs="Times New Roman"/>
          <w:sz w:val="26"/>
          <w:szCs w:val="26"/>
        </w:rPr>
        <w:t xml:space="preserve"> di </w:t>
      </w:r>
      <w:r w:rsidR="00104813" w:rsidRPr="00CD159D">
        <w:rPr>
          <w:rFonts w:ascii="Times New Roman" w:hAnsi="Times New Roman" w:cs="Times New Roman"/>
          <w:sz w:val="26"/>
          <w:szCs w:val="26"/>
        </w:rPr>
        <w:t>assicurare</w:t>
      </w:r>
      <w:r w:rsidR="00865F81" w:rsidRPr="00CD159D">
        <w:rPr>
          <w:rFonts w:ascii="Times New Roman" w:hAnsi="Times New Roman" w:cs="Times New Roman"/>
          <w:sz w:val="26"/>
          <w:szCs w:val="26"/>
        </w:rPr>
        <w:t xml:space="preserve"> la corret</w:t>
      </w:r>
      <w:r w:rsidR="00263AD8" w:rsidRPr="00CD159D">
        <w:rPr>
          <w:rFonts w:ascii="Times New Roman" w:hAnsi="Times New Roman" w:cs="Times New Roman"/>
          <w:sz w:val="26"/>
          <w:szCs w:val="26"/>
        </w:rPr>
        <w:t xml:space="preserve">ta ed uniforme applicazione del </w:t>
      </w:r>
      <w:r w:rsidR="00865F81" w:rsidRPr="00CD159D">
        <w:rPr>
          <w:rFonts w:ascii="Times New Roman" w:hAnsi="Times New Roman" w:cs="Times New Roman"/>
          <w:sz w:val="26"/>
          <w:szCs w:val="26"/>
        </w:rPr>
        <w:t>diritto europeo</w:t>
      </w:r>
      <w:r w:rsidR="00C9176A">
        <w:rPr>
          <w:rFonts w:ascii="Times New Roman" w:hAnsi="Times New Roman" w:cs="Times New Roman"/>
          <w:sz w:val="26"/>
          <w:szCs w:val="26"/>
        </w:rPr>
        <w:t xml:space="preserve"> e</w:t>
      </w:r>
      <w:r w:rsidR="00306A9E" w:rsidRPr="00CD159D">
        <w:rPr>
          <w:rFonts w:ascii="Times New Roman" w:hAnsi="Times New Roman" w:cs="Times New Roman"/>
          <w:sz w:val="26"/>
          <w:szCs w:val="26"/>
        </w:rPr>
        <w:t xml:space="preserve"> sull’effettività della collaborazione tra la giurisdizione europea e le giurisdizioni nazionali</w:t>
      </w:r>
      <w:r w:rsidR="004A5B69" w:rsidRPr="00CD159D">
        <w:rPr>
          <w:rStyle w:val="Rimandonotaapidipagina"/>
          <w:rFonts w:ascii="Times New Roman" w:hAnsi="Times New Roman" w:cs="Times New Roman"/>
          <w:sz w:val="26"/>
          <w:szCs w:val="26"/>
        </w:rPr>
        <w:footnoteReference w:id="3"/>
      </w:r>
      <w:r w:rsidR="00865F81" w:rsidRPr="00CD159D">
        <w:rPr>
          <w:rFonts w:ascii="Times New Roman" w:hAnsi="Times New Roman" w:cs="Times New Roman"/>
          <w:sz w:val="26"/>
          <w:szCs w:val="26"/>
        </w:rPr>
        <w:t xml:space="preserve">. </w:t>
      </w:r>
    </w:p>
    <w:p w:rsidR="00060EBB" w:rsidRPr="00CD159D" w:rsidRDefault="00DE562B"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P</w:t>
      </w:r>
      <w:r w:rsidR="00865F81" w:rsidRPr="00CD159D">
        <w:rPr>
          <w:rFonts w:ascii="Times New Roman" w:hAnsi="Times New Roman" w:cs="Times New Roman"/>
          <w:sz w:val="26"/>
          <w:szCs w:val="26"/>
        </w:rPr>
        <w:t xml:space="preserve">reliminarmente </w:t>
      </w:r>
      <w:r w:rsidRPr="00CD159D">
        <w:rPr>
          <w:rFonts w:ascii="Times New Roman" w:hAnsi="Times New Roman" w:cs="Times New Roman"/>
          <w:sz w:val="26"/>
          <w:szCs w:val="26"/>
        </w:rPr>
        <w:t xml:space="preserve">è </w:t>
      </w:r>
      <w:r w:rsidR="00865F81" w:rsidRPr="00CD159D">
        <w:rPr>
          <w:rFonts w:ascii="Times New Roman" w:hAnsi="Times New Roman" w:cs="Times New Roman"/>
          <w:sz w:val="26"/>
          <w:szCs w:val="26"/>
        </w:rPr>
        <w:t xml:space="preserve">necessario </w:t>
      </w:r>
      <w:r w:rsidR="00975476" w:rsidRPr="00CD159D">
        <w:rPr>
          <w:rFonts w:ascii="Times New Roman" w:hAnsi="Times New Roman" w:cs="Times New Roman"/>
          <w:sz w:val="26"/>
          <w:szCs w:val="26"/>
        </w:rPr>
        <w:t>evidenziare</w:t>
      </w:r>
      <w:r w:rsidR="00865F81" w:rsidRPr="00CD159D">
        <w:rPr>
          <w:rFonts w:ascii="Times New Roman" w:hAnsi="Times New Roman" w:cs="Times New Roman"/>
          <w:sz w:val="26"/>
          <w:szCs w:val="26"/>
        </w:rPr>
        <w:t xml:space="preserve"> </w:t>
      </w:r>
      <w:r w:rsidR="00975476" w:rsidRPr="00CD159D">
        <w:rPr>
          <w:rFonts w:ascii="Times New Roman" w:hAnsi="Times New Roman" w:cs="Times New Roman"/>
          <w:sz w:val="26"/>
          <w:szCs w:val="26"/>
        </w:rPr>
        <w:t xml:space="preserve">che </w:t>
      </w:r>
      <w:r w:rsidR="00EE447A" w:rsidRPr="00CD159D">
        <w:rPr>
          <w:rFonts w:ascii="Times New Roman" w:hAnsi="Times New Roman" w:cs="Times New Roman"/>
          <w:sz w:val="26"/>
          <w:szCs w:val="26"/>
        </w:rPr>
        <w:t xml:space="preserve">i testi normativi e </w:t>
      </w:r>
      <w:r w:rsidR="007E6B1B" w:rsidRPr="00CD159D">
        <w:rPr>
          <w:rFonts w:ascii="Times New Roman" w:hAnsi="Times New Roman" w:cs="Times New Roman"/>
          <w:sz w:val="26"/>
          <w:szCs w:val="26"/>
        </w:rPr>
        <w:t>la giurisprudenza europei</w:t>
      </w:r>
      <w:r w:rsidR="00B84EBF" w:rsidRPr="00CD159D">
        <w:rPr>
          <w:rFonts w:ascii="Times New Roman" w:hAnsi="Times New Roman" w:cs="Times New Roman"/>
          <w:sz w:val="26"/>
          <w:szCs w:val="26"/>
        </w:rPr>
        <w:t xml:space="preserve"> </w:t>
      </w:r>
      <w:r w:rsidR="00A73ED6" w:rsidRPr="00CD159D">
        <w:rPr>
          <w:rFonts w:ascii="Times New Roman" w:hAnsi="Times New Roman" w:cs="Times New Roman"/>
          <w:sz w:val="26"/>
          <w:szCs w:val="26"/>
        </w:rPr>
        <w:t xml:space="preserve">non </w:t>
      </w:r>
      <w:r w:rsidR="005C1600" w:rsidRPr="00CD159D">
        <w:rPr>
          <w:rFonts w:ascii="Times New Roman" w:hAnsi="Times New Roman" w:cs="Times New Roman"/>
          <w:sz w:val="26"/>
          <w:szCs w:val="26"/>
        </w:rPr>
        <w:t xml:space="preserve">impiegano le nozioni </w:t>
      </w:r>
      <w:r w:rsidR="00FF3A3B" w:rsidRPr="00CD159D">
        <w:rPr>
          <w:rFonts w:ascii="Times New Roman" w:hAnsi="Times New Roman" w:cs="Times New Roman"/>
          <w:sz w:val="26"/>
          <w:szCs w:val="26"/>
        </w:rPr>
        <w:t>di inammissibilità</w:t>
      </w:r>
      <w:r w:rsidR="00865F81" w:rsidRPr="00CD159D">
        <w:rPr>
          <w:rFonts w:ascii="Times New Roman" w:hAnsi="Times New Roman" w:cs="Times New Roman"/>
          <w:sz w:val="26"/>
          <w:szCs w:val="26"/>
        </w:rPr>
        <w:t xml:space="preserve"> e</w:t>
      </w:r>
      <w:r w:rsidR="005C1600" w:rsidRPr="00CD159D">
        <w:rPr>
          <w:rFonts w:ascii="Times New Roman" w:hAnsi="Times New Roman" w:cs="Times New Roman"/>
          <w:sz w:val="26"/>
          <w:szCs w:val="26"/>
        </w:rPr>
        <w:t xml:space="preserve"> di</w:t>
      </w:r>
      <w:r w:rsidR="00EE447A" w:rsidRPr="00CD159D">
        <w:rPr>
          <w:rFonts w:ascii="Times New Roman" w:hAnsi="Times New Roman" w:cs="Times New Roman"/>
          <w:sz w:val="26"/>
          <w:szCs w:val="26"/>
        </w:rPr>
        <w:t xml:space="preserve"> </w:t>
      </w:r>
      <w:r w:rsidR="004409FB">
        <w:rPr>
          <w:rFonts w:ascii="Times New Roman" w:hAnsi="Times New Roman" w:cs="Times New Roman"/>
          <w:sz w:val="26"/>
          <w:szCs w:val="26"/>
        </w:rPr>
        <w:t>ir</w:t>
      </w:r>
      <w:r w:rsidR="00EE447A" w:rsidRPr="00CD159D">
        <w:rPr>
          <w:rFonts w:ascii="Times New Roman" w:hAnsi="Times New Roman" w:cs="Times New Roman"/>
          <w:sz w:val="26"/>
          <w:szCs w:val="26"/>
        </w:rPr>
        <w:t>rilevan</w:t>
      </w:r>
      <w:r w:rsidR="00865F81" w:rsidRPr="00CD159D">
        <w:rPr>
          <w:rFonts w:ascii="Times New Roman" w:hAnsi="Times New Roman" w:cs="Times New Roman"/>
          <w:sz w:val="26"/>
          <w:szCs w:val="26"/>
        </w:rPr>
        <w:t>za</w:t>
      </w:r>
      <w:r w:rsidRPr="00CD159D">
        <w:rPr>
          <w:rFonts w:ascii="Times New Roman" w:hAnsi="Times New Roman" w:cs="Times New Roman"/>
          <w:sz w:val="26"/>
          <w:szCs w:val="26"/>
        </w:rPr>
        <w:t xml:space="preserve"> del rinvio pregiudiziale</w:t>
      </w:r>
      <w:r w:rsidR="00DC2F4C" w:rsidRPr="00CD159D">
        <w:rPr>
          <w:rFonts w:ascii="Times New Roman" w:hAnsi="Times New Roman" w:cs="Times New Roman"/>
          <w:sz w:val="26"/>
          <w:szCs w:val="26"/>
        </w:rPr>
        <w:t>, bensì</w:t>
      </w:r>
      <w:r w:rsidR="005C1600" w:rsidRPr="00CD159D">
        <w:rPr>
          <w:rFonts w:ascii="Times New Roman" w:hAnsi="Times New Roman" w:cs="Times New Roman"/>
          <w:sz w:val="26"/>
          <w:szCs w:val="26"/>
        </w:rPr>
        <w:t xml:space="preserve"> </w:t>
      </w:r>
      <w:r w:rsidR="00FF3A3B" w:rsidRPr="00CD159D">
        <w:rPr>
          <w:rFonts w:ascii="Times New Roman" w:hAnsi="Times New Roman" w:cs="Times New Roman"/>
          <w:sz w:val="26"/>
          <w:szCs w:val="26"/>
        </w:rPr>
        <w:t>le nozioni</w:t>
      </w:r>
      <w:r w:rsidR="002B0FB6" w:rsidRPr="00CD159D">
        <w:rPr>
          <w:rFonts w:ascii="Times New Roman" w:hAnsi="Times New Roman" w:cs="Times New Roman"/>
          <w:sz w:val="26"/>
          <w:szCs w:val="26"/>
        </w:rPr>
        <w:t xml:space="preserve"> di </w:t>
      </w:r>
      <w:r w:rsidR="00DD6C18" w:rsidRPr="00CD159D">
        <w:rPr>
          <w:rFonts w:ascii="Times New Roman" w:hAnsi="Times New Roman" w:cs="Times New Roman"/>
          <w:sz w:val="26"/>
          <w:szCs w:val="26"/>
        </w:rPr>
        <w:t>irricevibilità</w:t>
      </w:r>
      <w:r w:rsidR="00FF3A3B" w:rsidRPr="00CD159D">
        <w:rPr>
          <w:rFonts w:ascii="Times New Roman" w:hAnsi="Times New Roman" w:cs="Times New Roman"/>
          <w:sz w:val="26"/>
          <w:szCs w:val="26"/>
        </w:rPr>
        <w:t xml:space="preserve"> ed incompetenza</w:t>
      </w:r>
      <w:r w:rsidR="00104813" w:rsidRPr="00CD159D">
        <w:rPr>
          <w:rFonts w:ascii="Times New Roman" w:hAnsi="Times New Roman" w:cs="Times New Roman"/>
          <w:sz w:val="26"/>
          <w:szCs w:val="26"/>
        </w:rPr>
        <w:t xml:space="preserve"> (v. in particolare art. 53 del regolamento di procedura della Corte di Giustizia)</w:t>
      </w:r>
      <w:r w:rsidR="00FF3A3B" w:rsidRPr="00CD159D">
        <w:rPr>
          <w:rFonts w:ascii="Times New Roman" w:hAnsi="Times New Roman" w:cs="Times New Roman"/>
          <w:sz w:val="26"/>
          <w:szCs w:val="26"/>
        </w:rPr>
        <w:t>.</w:t>
      </w:r>
      <w:r w:rsidR="00AB271E" w:rsidRPr="00CD159D">
        <w:rPr>
          <w:rFonts w:ascii="Times New Roman" w:hAnsi="Times New Roman" w:cs="Times New Roman"/>
          <w:sz w:val="26"/>
          <w:szCs w:val="26"/>
        </w:rPr>
        <w:t xml:space="preserve"> Peraltro, la distinzione tra </w:t>
      </w:r>
      <w:r w:rsidR="00584CB7" w:rsidRPr="00CD159D">
        <w:rPr>
          <w:rFonts w:ascii="Times New Roman" w:hAnsi="Times New Roman" w:cs="Times New Roman"/>
          <w:sz w:val="26"/>
          <w:szCs w:val="26"/>
        </w:rPr>
        <w:t>irricevibilità ed</w:t>
      </w:r>
      <w:r w:rsidR="00AB271E" w:rsidRPr="00CD159D">
        <w:rPr>
          <w:rFonts w:ascii="Times New Roman" w:hAnsi="Times New Roman" w:cs="Times New Roman"/>
          <w:sz w:val="26"/>
          <w:szCs w:val="26"/>
        </w:rPr>
        <w:t xml:space="preserve"> incompetenza </w:t>
      </w:r>
      <w:r w:rsidR="00263AD8" w:rsidRPr="00CD159D">
        <w:rPr>
          <w:rFonts w:ascii="Times New Roman" w:hAnsi="Times New Roman" w:cs="Times New Roman"/>
          <w:sz w:val="26"/>
          <w:szCs w:val="26"/>
        </w:rPr>
        <w:t>non è rigida</w:t>
      </w:r>
      <w:r w:rsidR="00C51685" w:rsidRPr="00CD159D">
        <w:rPr>
          <w:rFonts w:ascii="Times New Roman" w:hAnsi="Times New Roman" w:cs="Times New Roman"/>
          <w:sz w:val="26"/>
          <w:szCs w:val="26"/>
        </w:rPr>
        <w:t xml:space="preserve"> </w:t>
      </w:r>
      <w:r w:rsidR="00584CB7" w:rsidRPr="00CD159D">
        <w:rPr>
          <w:rFonts w:ascii="Times New Roman" w:hAnsi="Times New Roman" w:cs="Times New Roman"/>
          <w:sz w:val="26"/>
          <w:szCs w:val="26"/>
        </w:rPr>
        <w:t xml:space="preserve">nella prassi </w:t>
      </w:r>
      <w:r w:rsidR="00C51685" w:rsidRPr="00CD159D">
        <w:rPr>
          <w:rFonts w:ascii="Times New Roman" w:hAnsi="Times New Roman" w:cs="Times New Roman"/>
          <w:sz w:val="26"/>
          <w:szCs w:val="26"/>
        </w:rPr>
        <w:t>né teoricamente</w:t>
      </w:r>
      <w:r w:rsidR="00263AD8" w:rsidRPr="00CD159D">
        <w:rPr>
          <w:rFonts w:ascii="Times New Roman" w:hAnsi="Times New Roman" w:cs="Times New Roman"/>
          <w:sz w:val="26"/>
          <w:szCs w:val="26"/>
        </w:rPr>
        <w:t xml:space="preserve"> chiara</w:t>
      </w:r>
      <w:r w:rsidR="005C1600" w:rsidRPr="00CD159D">
        <w:rPr>
          <w:rFonts w:ascii="Times New Roman" w:hAnsi="Times New Roman" w:cs="Times New Roman"/>
          <w:sz w:val="26"/>
          <w:szCs w:val="26"/>
        </w:rPr>
        <w:t xml:space="preserve"> e i termini</w:t>
      </w:r>
      <w:r w:rsidR="00AB271E" w:rsidRPr="00CD159D">
        <w:rPr>
          <w:rFonts w:ascii="Times New Roman" w:hAnsi="Times New Roman" w:cs="Times New Roman"/>
          <w:sz w:val="26"/>
          <w:szCs w:val="26"/>
        </w:rPr>
        <w:t xml:space="preserve"> </w:t>
      </w:r>
      <w:r w:rsidR="00584CB7" w:rsidRPr="00CD159D">
        <w:rPr>
          <w:rFonts w:ascii="Times New Roman" w:hAnsi="Times New Roman" w:cs="Times New Roman"/>
          <w:sz w:val="26"/>
          <w:szCs w:val="26"/>
        </w:rPr>
        <w:t>stessi</w:t>
      </w:r>
      <w:r w:rsidR="005C1600" w:rsidRPr="00CD159D">
        <w:rPr>
          <w:rFonts w:ascii="Times New Roman" w:hAnsi="Times New Roman" w:cs="Times New Roman"/>
          <w:sz w:val="26"/>
          <w:szCs w:val="26"/>
        </w:rPr>
        <w:t xml:space="preserve"> sono</w:t>
      </w:r>
      <w:r w:rsidR="00904D8B" w:rsidRPr="00CD159D">
        <w:rPr>
          <w:rFonts w:ascii="Times New Roman" w:hAnsi="Times New Roman" w:cs="Times New Roman"/>
          <w:sz w:val="26"/>
          <w:szCs w:val="26"/>
        </w:rPr>
        <w:t xml:space="preserve"> talvolta</w:t>
      </w:r>
      <w:r w:rsidR="00584CB7" w:rsidRPr="00CD159D">
        <w:rPr>
          <w:rFonts w:ascii="Times New Roman" w:hAnsi="Times New Roman" w:cs="Times New Roman"/>
          <w:sz w:val="26"/>
          <w:szCs w:val="26"/>
        </w:rPr>
        <w:t xml:space="preserve"> utilizzati in modo promiscuo</w:t>
      </w:r>
      <w:r w:rsidR="00E53558" w:rsidRPr="00CD159D">
        <w:rPr>
          <w:rStyle w:val="Rimandonotaapidipagina"/>
          <w:rFonts w:ascii="Times New Roman" w:hAnsi="Times New Roman" w:cs="Times New Roman"/>
          <w:sz w:val="26"/>
          <w:szCs w:val="26"/>
        </w:rPr>
        <w:footnoteReference w:id="4"/>
      </w:r>
      <w:r w:rsidR="005C1600" w:rsidRPr="00CD159D">
        <w:rPr>
          <w:rFonts w:ascii="Times New Roman" w:hAnsi="Times New Roman" w:cs="Times New Roman"/>
          <w:sz w:val="26"/>
          <w:szCs w:val="26"/>
        </w:rPr>
        <w:t>.</w:t>
      </w:r>
    </w:p>
    <w:p w:rsidR="00060EBB" w:rsidRPr="00CD159D" w:rsidRDefault="00584CB7"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È</w:t>
      </w:r>
      <w:r w:rsidR="001D3A9F" w:rsidRPr="00CD159D">
        <w:rPr>
          <w:rFonts w:ascii="Times New Roman" w:hAnsi="Times New Roman" w:cs="Times New Roman"/>
          <w:sz w:val="26"/>
          <w:szCs w:val="26"/>
        </w:rPr>
        <w:t xml:space="preserve"> sufficiente evidenziare che</w:t>
      </w:r>
      <w:r w:rsidR="00DE562B" w:rsidRPr="00CD159D">
        <w:rPr>
          <w:rFonts w:ascii="Times New Roman" w:hAnsi="Times New Roman" w:cs="Times New Roman"/>
          <w:sz w:val="26"/>
          <w:szCs w:val="26"/>
        </w:rPr>
        <w:t xml:space="preserve"> la Corte dichiara i</w:t>
      </w:r>
      <w:r w:rsidRPr="00CD159D">
        <w:rPr>
          <w:rFonts w:ascii="Times New Roman" w:hAnsi="Times New Roman" w:cs="Times New Roman"/>
          <w:sz w:val="26"/>
          <w:szCs w:val="26"/>
        </w:rPr>
        <w:t>l rinvio irricevibile</w:t>
      </w:r>
      <w:r w:rsidR="00DE562B" w:rsidRPr="00CD159D">
        <w:rPr>
          <w:rFonts w:ascii="Times New Roman" w:hAnsi="Times New Roman" w:cs="Times New Roman"/>
          <w:sz w:val="26"/>
          <w:szCs w:val="26"/>
        </w:rPr>
        <w:t xml:space="preserve"> o dichiara la propria incompetenza</w:t>
      </w:r>
      <w:r w:rsidR="001D3A9F" w:rsidRPr="00CD159D">
        <w:rPr>
          <w:rFonts w:ascii="Times New Roman" w:hAnsi="Times New Roman" w:cs="Times New Roman"/>
          <w:sz w:val="26"/>
          <w:szCs w:val="26"/>
        </w:rPr>
        <w:t xml:space="preserve"> a conoscere della questione</w:t>
      </w:r>
      <w:r w:rsidR="0079146E" w:rsidRPr="00CD159D">
        <w:rPr>
          <w:rFonts w:ascii="Times New Roman" w:hAnsi="Times New Roman" w:cs="Times New Roman"/>
          <w:sz w:val="26"/>
          <w:szCs w:val="26"/>
        </w:rPr>
        <w:t xml:space="preserve"> sollevata</w:t>
      </w:r>
      <w:r w:rsidR="0095050B">
        <w:rPr>
          <w:rFonts w:ascii="Times New Roman" w:hAnsi="Times New Roman" w:cs="Times New Roman"/>
          <w:sz w:val="26"/>
          <w:szCs w:val="26"/>
        </w:rPr>
        <w:t xml:space="preserve">, </w:t>
      </w:r>
      <w:r w:rsidR="001D3A9F" w:rsidRPr="00CD159D">
        <w:rPr>
          <w:rFonts w:ascii="Times New Roman" w:hAnsi="Times New Roman" w:cs="Times New Roman"/>
          <w:sz w:val="26"/>
          <w:szCs w:val="26"/>
        </w:rPr>
        <w:t>quando</w:t>
      </w:r>
      <w:r w:rsidR="00DE562B" w:rsidRPr="00CD159D">
        <w:rPr>
          <w:rFonts w:ascii="Times New Roman" w:hAnsi="Times New Roman" w:cs="Times New Roman"/>
          <w:sz w:val="26"/>
          <w:szCs w:val="26"/>
        </w:rPr>
        <w:t xml:space="preserve"> </w:t>
      </w:r>
      <w:r w:rsidR="004409FB">
        <w:rPr>
          <w:rFonts w:ascii="Times New Roman" w:hAnsi="Times New Roman" w:cs="Times New Roman"/>
          <w:sz w:val="26"/>
          <w:szCs w:val="26"/>
        </w:rPr>
        <w:t>il rinvio</w:t>
      </w:r>
      <w:r w:rsidR="00904D8B" w:rsidRPr="00CD159D">
        <w:rPr>
          <w:rFonts w:ascii="Times New Roman" w:hAnsi="Times New Roman" w:cs="Times New Roman"/>
          <w:sz w:val="26"/>
          <w:szCs w:val="26"/>
        </w:rPr>
        <w:t xml:space="preserve"> </w:t>
      </w:r>
      <w:r w:rsidR="00DE562B" w:rsidRPr="00CD159D">
        <w:rPr>
          <w:rFonts w:ascii="Times New Roman" w:hAnsi="Times New Roman" w:cs="Times New Roman"/>
          <w:sz w:val="26"/>
          <w:szCs w:val="26"/>
        </w:rPr>
        <w:t>non può essere ammesso per ragioni formali o sostanziali</w:t>
      </w:r>
      <w:r w:rsidR="007E6B1B" w:rsidRPr="00CD159D">
        <w:rPr>
          <w:rFonts w:ascii="Times New Roman" w:hAnsi="Times New Roman" w:cs="Times New Roman"/>
          <w:sz w:val="26"/>
          <w:szCs w:val="26"/>
        </w:rPr>
        <w:t>,</w:t>
      </w:r>
      <w:r w:rsidR="00104813" w:rsidRPr="00CD159D">
        <w:rPr>
          <w:rFonts w:ascii="Times New Roman" w:hAnsi="Times New Roman" w:cs="Times New Roman"/>
          <w:sz w:val="26"/>
          <w:szCs w:val="26"/>
        </w:rPr>
        <w:t xml:space="preserve"> impedendo una decisione nel merito</w:t>
      </w:r>
      <w:r w:rsidR="00A63017" w:rsidRPr="00CD159D">
        <w:rPr>
          <w:rStyle w:val="Rimandonotaapidipagina"/>
          <w:rFonts w:ascii="Times New Roman" w:hAnsi="Times New Roman" w:cs="Times New Roman"/>
          <w:sz w:val="26"/>
          <w:szCs w:val="26"/>
        </w:rPr>
        <w:footnoteReference w:id="5"/>
      </w:r>
      <w:r w:rsidR="00DE562B" w:rsidRPr="00CD159D">
        <w:rPr>
          <w:rFonts w:ascii="Times New Roman" w:hAnsi="Times New Roman" w:cs="Times New Roman"/>
          <w:sz w:val="26"/>
          <w:szCs w:val="26"/>
        </w:rPr>
        <w:t>.</w:t>
      </w:r>
      <w:r w:rsidR="001D3A9F" w:rsidRPr="00CD159D">
        <w:rPr>
          <w:rFonts w:ascii="Times New Roman" w:hAnsi="Times New Roman" w:cs="Times New Roman"/>
          <w:sz w:val="26"/>
          <w:szCs w:val="26"/>
        </w:rPr>
        <w:t xml:space="preserve"> In altri termini,</w:t>
      </w:r>
      <w:r w:rsidRPr="00CD159D">
        <w:rPr>
          <w:rFonts w:ascii="Times New Roman" w:hAnsi="Times New Roman" w:cs="Times New Roman"/>
          <w:sz w:val="26"/>
          <w:szCs w:val="26"/>
        </w:rPr>
        <w:t xml:space="preserve"> irricevibilità ed incompetenza sono riconducibili all’inammissib</w:t>
      </w:r>
      <w:r w:rsidR="00904D8B" w:rsidRPr="00CD159D">
        <w:rPr>
          <w:rFonts w:ascii="Times New Roman" w:hAnsi="Times New Roman" w:cs="Times New Roman"/>
          <w:sz w:val="26"/>
          <w:szCs w:val="26"/>
        </w:rPr>
        <w:t>ilità in senso lato, che può di</w:t>
      </w:r>
      <w:r w:rsidRPr="00CD159D">
        <w:rPr>
          <w:rFonts w:ascii="Times New Roman" w:hAnsi="Times New Roman" w:cs="Times New Roman"/>
          <w:sz w:val="26"/>
          <w:szCs w:val="26"/>
        </w:rPr>
        <w:t>pendere anche dalla irrilevanza</w:t>
      </w:r>
      <w:r w:rsidR="0079146E" w:rsidRPr="00CD159D">
        <w:rPr>
          <w:rFonts w:ascii="Times New Roman" w:hAnsi="Times New Roman" w:cs="Times New Roman"/>
          <w:sz w:val="26"/>
          <w:szCs w:val="26"/>
        </w:rPr>
        <w:t>.</w:t>
      </w:r>
    </w:p>
    <w:p w:rsidR="00694C49" w:rsidRPr="00CD159D" w:rsidRDefault="00694C49" w:rsidP="00804185">
      <w:pPr>
        <w:spacing w:after="0" w:line="276" w:lineRule="auto"/>
        <w:ind w:firstLine="284"/>
        <w:jc w:val="both"/>
        <w:rPr>
          <w:rFonts w:ascii="Times New Roman" w:hAnsi="Times New Roman" w:cs="Times New Roman"/>
          <w:sz w:val="26"/>
          <w:szCs w:val="26"/>
        </w:rPr>
      </w:pPr>
    </w:p>
    <w:p w:rsidR="00CD159D" w:rsidRDefault="00CD159D" w:rsidP="00804185">
      <w:pPr>
        <w:spacing w:after="0" w:line="276" w:lineRule="auto"/>
        <w:ind w:firstLine="284"/>
        <w:jc w:val="both"/>
        <w:rPr>
          <w:rFonts w:ascii="Times New Roman" w:hAnsi="Times New Roman" w:cs="Times New Roman"/>
          <w:b/>
          <w:i/>
          <w:sz w:val="26"/>
          <w:szCs w:val="26"/>
        </w:rPr>
      </w:pPr>
    </w:p>
    <w:p w:rsidR="00694C49" w:rsidRPr="00CD159D" w:rsidRDefault="00694C49" w:rsidP="00804185">
      <w:pPr>
        <w:spacing w:after="0" w:line="276" w:lineRule="auto"/>
        <w:ind w:firstLine="284"/>
        <w:jc w:val="both"/>
        <w:rPr>
          <w:rFonts w:ascii="Times New Roman" w:hAnsi="Times New Roman" w:cs="Times New Roman"/>
          <w:b/>
          <w:i/>
          <w:sz w:val="26"/>
          <w:szCs w:val="26"/>
        </w:rPr>
      </w:pPr>
      <w:r w:rsidRPr="00CD159D">
        <w:rPr>
          <w:rFonts w:ascii="Times New Roman" w:hAnsi="Times New Roman" w:cs="Times New Roman"/>
          <w:b/>
          <w:i/>
          <w:sz w:val="26"/>
          <w:szCs w:val="26"/>
        </w:rPr>
        <w:lastRenderedPageBreak/>
        <w:t>2. L’evoluzione della giurisprudenza della Corte di Giustizia.</w:t>
      </w:r>
    </w:p>
    <w:p w:rsidR="00694C49" w:rsidRPr="00CD159D" w:rsidRDefault="00694C49" w:rsidP="00804185">
      <w:pPr>
        <w:spacing w:after="0" w:line="276" w:lineRule="auto"/>
        <w:ind w:firstLine="284"/>
        <w:jc w:val="both"/>
        <w:rPr>
          <w:rFonts w:ascii="Times New Roman" w:hAnsi="Times New Roman" w:cs="Times New Roman"/>
          <w:sz w:val="26"/>
          <w:szCs w:val="26"/>
        </w:rPr>
      </w:pPr>
    </w:p>
    <w:p w:rsidR="00B37117" w:rsidRPr="00CD159D" w:rsidRDefault="00B94EED" w:rsidP="001173DF">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P</w:t>
      </w:r>
      <w:r w:rsidR="00DD6C18" w:rsidRPr="00CD159D">
        <w:rPr>
          <w:rFonts w:ascii="Times New Roman" w:hAnsi="Times New Roman" w:cs="Times New Roman"/>
          <w:sz w:val="26"/>
          <w:szCs w:val="26"/>
        </w:rPr>
        <w:t>er lungo tempo</w:t>
      </w:r>
      <w:r w:rsidR="00952C3E" w:rsidRPr="00CD159D">
        <w:rPr>
          <w:rFonts w:ascii="Times New Roman" w:hAnsi="Times New Roman" w:cs="Times New Roman"/>
          <w:sz w:val="26"/>
          <w:szCs w:val="26"/>
        </w:rPr>
        <w:t xml:space="preserve"> </w:t>
      </w:r>
      <w:r w:rsidR="00584CB7" w:rsidRPr="00CD159D">
        <w:rPr>
          <w:rFonts w:ascii="Times New Roman" w:hAnsi="Times New Roman" w:cs="Times New Roman"/>
          <w:sz w:val="26"/>
          <w:szCs w:val="26"/>
        </w:rPr>
        <w:t>il</w:t>
      </w:r>
      <w:r w:rsidR="00112CF9" w:rsidRPr="00CD159D">
        <w:rPr>
          <w:rFonts w:ascii="Times New Roman" w:hAnsi="Times New Roman" w:cs="Times New Roman"/>
          <w:sz w:val="26"/>
          <w:szCs w:val="26"/>
        </w:rPr>
        <w:t xml:space="preserve"> fondamento</w:t>
      </w:r>
      <w:r w:rsidR="00DD6C18" w:rsidRPr="00CD159D">
        <w:rPr>
          <w:rFonts w:ascii="Times New Roman" w:hAnsi="Times New Roman" w:cs="Times New Roman"/>
          <w:sz w:val="26"/>
          <w:szCs w:val="26"/>
        </w:rPr>
        <w:t xml:space="preserve"> normativo delle condizioni di </w:t>
      </w:r>
      <w:r w:rsidR="00C310D5" w:rsidRPr="00CD159D">
        <w:rPr>
          <w:rFonts w:ascii="Times New Roman" w:hAnsi="Times New Roman" w:cs="Times New Roman"/>
          <w:sz w:val="26"/>
          <w:szCs w:val="26"/>
        </w:rPr>
        <w:t>ammissibilità</w:t>
      </w:r>
      <w:r w:rsidR="00794E6A" w:rsidRPr="00CD159D">
        <w:rPr>
          <w:rFonts w:ascii="Times New Roman" w:hAnsi="Times New Roman" w:cs="Times New Roman"/>
          <w:sz w:val="26"/>
          <w:szCs w:val="26"/>
        </w:rPr>
        <w:t xml:space="preserve"> del rinvio pregiudiziale</w:t>
      </w:r>
      <w:r w:rsidR="00DD6C18" w:rsidRPr="00CD159D">
        <w:rPr>
          <w:rFonts w:ascii="Times New Roman" w:hAnsi="Times New Roman" w:cs="Times New Roman"/>
          <w:sz w:val="26"/>
          <w:szCs w:val="26"/>
        </w:rPr>
        <w:t xml:space="preserve"> </w:t>
      </w:r>
      <w:r w:rsidR="008C5F52" w:rsidRPr="00CD159D">
        <w:rPr>
          <w:rFonts w:ascii="Times New Roman" w:hAnsi="Times New Roman" w:cs="Times New Roman"/>
          <w:sz w:val="26"/>
          <w:szCs w:val="26"/>
        </w:rPr>
        <w:t xml:space="preserve">è stato </w:t>
      </w:r>
      <w:r w:rsidR="00584CB7" w:rsidRPr="00CD159D">
        <w:rPr>
          <w:rFonts w:ascii="Times New Roman" w:hAnsi="Times New Roman" w:cs="Times New Roman"/>
          <w:sz w:val="26"/>
          <w:szCs w:val="26"/>
        </w:rPr>
        <w:t xml:space="preserve">costituito </w:t>
      </w:r>
      <w:r w:rsidR="00EE447A" w:rsidRPr="00CD159D">
        <w:rPr>
          <w:rFonts w:ascii="Times New Roman" w:hAnsi="Times New Roman" w:cs="Times New Roman"/>
          <w:sz w:val="26"/>
          <w:szCs w:val="26"/>
        </w:rPr>
        <w:t xml:space="preserve">dalle norme </w:t>
      </w:r>
      <w:r w:rsidR="00584CB7" w:rsidRPr="00CD159D">
        <w:rPr>
          <w:rFonts w:ascii="Times New Roman" w:hAnsi="Times New Roman" w:cs="Times New Roman"/>
          <w:sz w:val="26"/>
          <w:szCs w:val="26"/>
        </w:rPr>
        <w:t>sulla</w:t>
      </w:r>
      <w:r w:rsidR="00EE447A" w:rsidRPr="00CD159D">
        <w:rPr>
          <w:rFonts w:ascii="Times New Roman" w:hAnsi="Times New Roman" w:cs="Times New Roman"/>
          <w:sz w:val="26"/>
          <w:szCs w:val="26"/>
        </w:rPr>
        <w:t xml:space="preserve"> competenza della Corte (</w:t>
      </w:r>
      <w:r w:rsidR="001173DF" w:rsidRPr="00CD159D">
        <w:rPr>
          <w:rFonts w:ascii="Times New Roman" w:hAnsi="Times New Roman" w:cs="Times New Roman"/>
          <w:sz w:val="26"/>
          <w:szCs w:val="26"/>
        </w:rPr>
        <w:t>si pensi</w:t>
      </w:r>
      <w:r w:rsidR="00B37117" w:rsidRPr="00CD159D">
        <w:rPr>
          <w:rFonts w:ascii="Times New Roman" w:hAnsi="Times New Roman" w:cs="Times New Roman"/>
          <w:sz w:val="26"/>
          <w:szCs w:val="26"/>
        </w:rPr>
        <w:t xml:space="preserve"> all’</w:t>
      </w:r>
      <w:r w:rsidR="00EE447A" w:rsidRPr="00CD159D">
        <w:rPr>
          <w:rFonts w:ascii="Times New Roman" w:hAnsi="Times New Roman" w:cs="Times New Roman"/>
          <w:sz w:val="26"/>
          <w:szCs w:val="26"/>
        </w:rPr>
        <w:t>esclusione della competenza in materia di PESC</w:t>
      </w:r>
      <w:r w:rsidRPr="00CD159D">
        <w:rPr>
          <w:rFonts w:ascii="Times New Roman" w:hAnsi="Times New Roman" w:cs="Times New Roman"/>
          <w:sz w:val="26"/>
          <w:szCs w:val="26"/>
        </w:rPr>
        <w:t xml:space="preserve"> prevista dall’art. 24 TUE</w:t>
      </w:r>
      <w:r w:rsidR="00EE447A" w:rsidRPr="00CD159D">
        <w:rPr>
          <w:rFonts w:ascii="Times New Roman" w:hAnsi="Times New Roman" w:cs="Times New Roman"/>
          <w:sz w:val="26"/>
          <w:szCs w:val="26"/>
        </w:rPr>
        <w:t xml:space="preserve">), nonché </w:t>
      </w:r>
      <w:r w:rsidR="008C5F52" w:rsidRPr="00CD159D">
        <w:rPr>
          <w:rFonts w:ascii="Times New Roman" w:hAnsi="Times New Roman" w:cs="Times New Roman"/>
          <w:sz w:val="26"/>
          <w:szCs w:val="26"/>
        </w:rPr>
        <w:t>dall’art. 17</w:t>
      </w:r>
      <w:r w:rsidR="00EE447A" w:rsidRPr="00CD159D">
        <w:rPr>
          <w:rFonts w:ascii="Times New Roman" w:hAnsi="Times New Roman" w:cs="Times New Roman"/>
          <w:sz w:val="26"/>
          <w:szCs w:val="26"/>
        </w:rPr>
        <w:t>7 TCE ora art. 267</w:t>
      </w:r>
      <w:r w:rsidR="00FD51C7" w:rsidRPr="00CD159D">
        <w:rPr>
          <w:rFonts w:ascii="Times New Roman" w:hAnsi="Times New Roman" w:cs="Times New Roman"/>
          <w:sz w:val="26"/>
          <w:szCs w:val="26"/>
        </w:rPr>
        <w:t xml:space="preserve">, c. </w:t>
      </w:r>
      <w:r w:rsidR="00EE447A" w:rsidRPr="00CD159D">
        <w:rPr>
          <w:rFonts w:ascii="Times New Roman" w:hAnsi="Times New Roman" w:cs="Times New Roman"/>
          <w:sz w:val="26"/>
          <w:szCs w:val="26"/>
        </w:rPr>
        <w:t>2</w:t>
      </w:r>
      <w:r w:rsidR="00FD51C7" w:rsidRPr="00CD159D">
        <w:rPr>
          <w:rFonts w:ascii="Times New Roman" w:hAnsi="Times New Roman" w:cs="Times New Roman"/>
          <w:sz w:val="26"/>
          <w:szCs w:val="26"/>
        </w:rPr>
        <w:t>,</w:t>
      </w:r>
      <w:r w:rsidR="00EE447A" w:rsidRPr="00CD159D">
        <w:rPr>
          <w:rFonts w:ascii="Times New Roman" w:hAnsi="Times New Roman" w:cs="Times New Roman"/>
          <w:sz w:val="26"/>
          <w:szCs w:val="26"/>
        </w:rPr>
        <w:t xml:space="preserve"> TFUE.</w:t>
      </w:r>
    </w:p>
    <w:p w:rsidR="008C5F52" w:rsidRPr="00CD159D" w:rsidRDefault="00B94EED"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Q</w:t>
      </w:r>
      <w:r w:rsidR="00EE447A" w:rsidRPr="00CD159D">
        <w:rPr>
          <w:rFonts w:ascii="Times New Roman" w:hAnsi="Times New Roman" w:cs="Times New Roman"/>
          <w:sz w:val="26"/>
          <w:szCs w:val="26"/>
        </w:rPr>
        <w:t xml:space="preserve">uest’ultima disposizione </w:t>
      </w:r>
      <w:r w:rsidR="00584CB7" w:rsidRPr="00CD159D">
        <w:rPr>
          <w:rFonts w:ascii="Times New Roman" w:hAnsi="Times New Roman" w:cs="Times New Roman"/>
          <w:sz w:val="26"/>
          <w:szCs w:val="26"/>
        </w:rPr>
        <w:t>individua</w:t>
      </w:r>
      <w:r w:rsidR="008C5F52" w:rsidRPr="00CD159D">
        <w:rPr>
          <w:rFonts w:ascii="Times New Roman" w:hAnsi="Times New Roman" w:cs="Times New Roman"/>
          <w:sz w:val="26"/>
          <w:szCs w:val="26"/>
        </w:rPr>
        <w:t xml:space="preserve"> tre condizioni</w:t>
      </w:r>
      <w:r w:rsidR="00B37117" w:rsidRPr="00CD159D">
        <w:rPr>
          <w:rFonts w:ascii="Times New Roman" w:hAnsi="Times New Roman" w:cs="Times New Roman"/>
          <w:sz w:val="26"/>
          <w:szCs w:val="26"/>
        </w:rPr>
        <w:t xml:space="preserve"> </w:t>
      </w:r>
      <w:r w:rsidR="007019A6" w:rsidRPr="00CD159D">
        <w:rPr>
          <w:rFonts w:ascii="Times New Roman" w:hAnsi="Times New Roman" w:cs="Times New Roman"/>
          <w:sz w:val="26"/>
          <w:szCs w:val="26"/>
        </w:rPr>
        <w:t xml:space="preserve">del </w:t>
      </w:r>
      <w:r w:rsidR="00EE447A" w:rsidRPr="00CD159D">
        <w:rPr>
          <w:rFonts w:ascii="Times New Roman" w:hAnsi="Times New Roman" w:cs="Times New Roman"/>
          <w:sz w:val="26"/>
          <w:szCs w:val="26"/>
        </w:rPr>
        <w:t>rinvio</w:t>
      </w:r>
      <w:r w:rsidR="00BD12DF">
        <w:rPr>
          <w:rFonts w:ascii="Times New Roman" w:hAnsi="Times New Roman" w:cs="Times New Roman"/>
          <w:sz w:val="26"/>
          <w:szCs w:val="26"/>
        </w:rPr>
        <w:t>.</w:t>
      </w:r>
    </w:p>
    <w:p w:rsidR="008C5F52" w:rsidRPr="00CD159D" w:rsidRDefault="00B94EED" w:rsidP="00B94EED">
      <w:pPr>
        <w:spacing w:after="0" w:line="276" w:lineRule="auto"/>
        <w:jc w:val="both"/>
        <w:rPr>
          <w:rFonts w:ascii="Times New Roman" w:hAnsi="Times New Roman" w:cs="Times New Roman"/>
          <w:sz w:val="26"/>
          <w:szCs w:val="26"/>
        </w:rPr>
      </w:pPr>
      <w:r w:rsidRPr="00CD159D">
        <w:rPr>
          <w:rFonts w:ascii="Times New Roman" w:hAnsi="Times New Roman" w:cs="Times New Roman"/>
          <w:sz w:val="26"/>
          <w:szCs w:val="26"/>
        </w:rPr>
        <w:t xml:space="preserve">a) </w:t>
      </w:r>
      <w:r w:rsidR="00BD12DF">
        <w:rPr>
          <w:rFonts w:ascii="Times New Roman" w:hAnsi="Times New Roman" w:cs="Times New Roman"/>
          <w:sz w:val="26"/>
          <w:szCs w:val="26"/>
        </w:rPr>
        <w:t>I</w:t>
      </w:r>
      <w:r w:rsidR="00263AD8" w:rsidRPr="00CD159D">
        <w:rPr>
          <w:rFonts w:ascii="Times New Roman" w:hAnsi="Times New Roman" w:cs="Times New Roman"/>
          <w:sz w:val="26"/>
          <w:szCs w:val="26"/>
        </w:rPr>
        <w:t>l rinvio pregiudiziale deve avere ad oggetto l’interpretazione o la validità</w:t>
      </w:r>
      <w:r w:rsidR="00DC2F4C" w:rsidRPr="00CD159D">
        <w:rPr>
          <w:rFonts w:ascii="Times New Roman" w:hAnsi="Times New Roman" w:cs="Times New Roman"/>
          <w:sz w:val="26"/>
          <w:szCs w:val="26"/>
        </w:rPr>
        <w:t xml:space="preserve"> del</w:t>
      </w:r>
      <w:r w:rsidR="00C310D5" w:rsidRPr="00CD159D">
        <w:rPr>
          <w:rFonts w:ascii="Times New Roman" w:hAnsi="Times New Roman" w:cs="Times New Roman"/>
          <w:sz w:val="26"/>
          <w:szCs w:val="26"/>
        </w:rPr>
        <w:t xml:space="preserve"> diritto europeo</w:t>
      </w:r>
      <w:r w:rsidRPr="00CD159D">
        <w:rPr>
          <w:rFonts w:ascii="Times New Roman" w:hAnsi="Times New Roman" w:cs="Times New Roman"/>
          <w:sz w:val="26"/>
          <w:szCs w:val="26"/>
        </w:rPr>
        <w:t>.</w:t>
      </w:r>
    </w:p>
    <w:p w:rsidR="00B94EED" w:rsidRPr="00CD159D" w:rsidRDefault="004409FB" w:rsidP="00B94EED">
      <w:pPr>
        <w:spacing w:after="0" w:line="276" w:lineRule="auto"/>
        <w:jc w:val="both"/>
        <w:rPr>
          <w:rFonts w:ascii="Times New Roman" w:hAnsi="Times New Roman" w:cs="Times New Roman"/>
          <w:sz w:val="26"/>
          <w:szCs w:val="26"/>
        </w:rPr>
      </w:pPr>
      <w:r>
        <w:rPr>
          <w:rFonts w:ascii="Times New Roman" w:hAnsi="Times New Roman" w:cs="Times New Roman"/>
          <w:sz w:val="26"/>
          <w:szCs w:val="26"/>
        </w:rPr>
        <w:t>I</w:t>
      </w:r>
      <w:r w:rsidR="00B94EED" w:rsidRPr="00CD159D">
        <w:rPr>
          <w:rFonts w:ascii="Times New Roman" w:hAnsi="Times New Roman" w:cs="Times New Roman"/>
          <w:sz w:val="26"/>
          <w:szCs w:val="26"/>
        </w:rPr>
        <w:t>l rinvio pregiudiziale di interpretazione può avere ad oggetto sia il diritto primario sia il diritto derivato</w:t>
      </w:r>
      <w:r w:rsidR="00B94EED" w:rsidRPr="00CD159D">
        <w:rPr>
          <w:rFonts w:ascii="Times New Roman" w:hAnsi="Times New Roman" w:cs="Times New Roman"/>
          <w:sz w:val="26"/>
          <w:szCs w:val="26"/>
          <w:vertAlign w:val="superscript"/>
        </w:rPr>
        <w:footnoteReference w:id="6"/>
      </w:r>
      <w:r w:rsidR="00B94EED" w:rsidRPr="00CD159D">
        <w:rPr>
          <w:rFonts w:ascii="Times New Roman" w:hAnsi="Times New Roman" w:cs="Times New Roman"/>
          <w:sz w:val="26"/>
          <w:szCs w:val="26"/>
        </w:rPr>
        <w:t xml:space="preserve">, mentre il rinvio pregiudiziale di validità può avere ad oggetto solo il diritto derivato, del quale il diritto primario costituisce il parametro di validità. </w:t>
      </w:r>
    </w:p>
    <w:p w:rsidR="00B94EED" w:rsidRPr="00CD159D" w:rsidRDefault="00DF43B8" w:rsidP="00B94EED">
      <w:pPr>
        <w:spacing w:after="0" w:line="276" w:lineRule="auto"/>
        <w:jc w:val="both"/>
        <w:rPr>
          <w:rFonts w:ascii="Times New Roman" w:hAnsi="Times New Roman" w:cs="Times New Roman"/>
          <w:sz w:val="26"/>
          <w:szCs w:val="26"/>
        </w:rPr>
      </w:pPr>
      <w:r>
        <w:rPr>
          <w:rFonts w:ascii="Times New Roman" w:hAnsi="Times New Roman" w:cs="Times New Roman"/>
          <w:sz w:val="26"/>
          <w:szCs w:val="26"/>
        </w:rPr>
        <w:t>Inoltre, a</w:t>
      </w:r>
      <w:r w:rsidR="009F4B9A" w:rsidRPr="00CD159D">
        <w:rPr>
          <w:rFonts w:ascii="Times New Roman" w:hAnsi="Times New Roman" w:cs="Times New Roman"/>
          <w:sz w:val="26"/>
          <w:szCs w:val="26"/>
        </w:rPr>
        <w:t>i fini della ricevibilità della questione pregiudiziale di validità,</w:t>
      </w:r>
      <w:r w:rsidR="009F4B9A">
        <w:rPr>
          <w:rFonts w:ascii="Times New Roman" w:hAnsi="Times New Roman" w:cs="Times New Roman"/>
          <w:sz w:val="26"/>
          <w:szCs w:val="26"/>
        </w:rPr>
        <w:t xml:space="preserve"> la Corte di Giustizia è soli</w:t>
      </w:r>
      <w:r>
        <w:rPr>
          <w:rFonts w:ascii="Times New Roman" w:hAnsi="Times New Roman" w:cs="Times New Roman"/>
          <w:sz w:val="26"/>
          <w:szCs w:val="26"/>
        </w:rPr>
        <w:t>ta verificare</w:t>
      </w:r>
      <w:r w:rsidR="009F4B9A" w:rsidRPr="00CD159D">
        <w:rPr>
          <w:rFonts w:ascii="Times New Roman" w:hAnsi="Times New Roman" w:cs="Times New Roman"/>
          <w:sz w:val="26"/>
          <w:szCs w:val="26"/>
        </w:rPr>
        <w:t xml:space="preserve"> se la parte del giudizio principale fosse legittimata, senza alcun dubbio, ad impugnare direttamente l’atto dell’Unione</w:t>
      </w:r>
      <w:r w:rsidR="009F4B9A">
        <w:rPr>
          <w:rFonts w:ascii="Times New Roman" w:hAnsi="Times New Roman" w:cs="Times New Roman"/>
          <w:sz w:val="26"/>
          <w:szCs w:val="26"/>
        </w:rPr>
        <w:t xml:space="preserve"> ai sensi dell’art. 263, c. 4, TFUE. Ciò </w:t>
      </w:r>
      <w:r w:rsidR="00B94EED" w:rsidRPr="00CD159D">
        <w:rPr>
          <w:rFonts w:ascii="Times New Roman" w:hAnsi="Times New Roman" w:cs="Times New Roman"/>
          <w:sz w:val="26"/>
          <w:szCs w:val="26"/>
        </w:rPr>
        <w:t>al fine di evitare l’elusione del breve termine perentorio per l’esercizio dell’azione di</w:t>
      </w:r>
      <w:r w:rsidR="009F4B9A">
        <w:rPr>
          <w:rFonts w:ascii="Times New Roman" w:hAnsi="Times New Roman" w:cs="Times New Roman"/>
          <w:sz w:val="26"/>
          <w:szCs w:val="26"/>
        </w:rPr>
        <w:t xml:space="preserve"> annullamento</w:t>
      </w:r>
      <w:r w:rsidR="00B94EED" w:rsidRPr="00CD159D">
        <w:rPr>
          <w:rStyle w:val="Rimandonotaapidipagina"/>
          <w:rFonts w:ascii="Times New Roman" w:hAnsi="Times New Roman" w:cs="Times New Roman"/>
          <w:sz w:val="26"/>
          <w:szCs w:val="26"/>
        </w:rPr>
        <w:footnoteReference w:id="7"/>
      </w:r>
      <w:r w:rsidR="00B94EED" w:rsidRPr="00CD159D">
        <w:rPr>
          <w:rFonts w:ascii="Times New Roman" w:hAnsi="Times New Roman" w:cs="Times New Roman"/>
          <w:sz w:val="26"/>
          <w:szCs w:val="26"/>
        </w:rPr>
        <w:t>.</w:t>
      </w:r>
    </w:p>
    <w:p w:rsidR="00B94EED" w:rsidRPr="00CD159D" w:rsidRDefault="00B94EED" w:rsidP="00B94EED">
      <w:pPr>
        <w:spacing w:after="0" w:line="276" w:lineRule="auto"/>
        <w:jc w:val="both"/>
        <w:rPr>
          <w:rFonts w:ascii="Times New Roman" w:hAnsi="Times New Roman" w:cs="Times New Roman"/>
          <w:sz w:val="26"/>
          <w:szCs w:val="26"/>
        </w:rPr>
      </w:pPr>
      <w:r w:rsidRPr="00CD159D">
        <w:rPr>
          <w:rFonts w:ascii="Times New Roman" w:hAnsi="Times New Roman" w:cs="Times New Roman"/>
          <w:sz w:val="26"/>
          <w:szCs w:val="26"/>
        </w:rPr>
        <w:t xml:space="preserve">Il rinvio pregiudiziale non può invece avere ad oggetto l’interpretazione e la validità di disposizioni e prassi nazionali o la loro compatibilità con il diritto europeo, operazioni riservate al giudice nazionale. </w:t>
      </w:r>
      <w:r w:rsidR="009F4B9A">
        <w:rPr>
          <w:rFonts w:ascii="Times New Roman" w:hAnsi="Times New Roman" w:cs="Times New Roman"/>
          <w:sz w:val="26"/>
          <w:szCs w:val="26"/>
        </w:rPr>
        <w:t>Tuttavia, con una prassi avallata dal</w:t>
      </w:r>
      <w:r w:rsidR="00181C1B">
        <w:rPr>
          <w:rFonts w:ascii="Times New Roman" w:hAnsi="Times New Roman" w:cs="Times New Roman"/>
          <w:sz w:val="26"/>
          <w:szCs w:val="26"/>
        </w:rPr>
        <w:t>la Corte di Giustizia, i giudici nazionali</w:t>
      </w:r>
      <w:r w:rsidR="009F4B9A">
        <w:rPr>
          <w:rFonts w:ascii="Times New Roman" w:hAnsi="Times New Roman" w:cs="Times New Roman"/>
          <w:sz w:val="26"/>
          <w:szCs w:val="26"/>
        </w:rPr>
        <w:t xml:space="preserve"> sono soliti</w:t>
      </w:r>
      <w:r w:rsidRPr="00CD159D">
        <w:rPr>
          <w:rFonts w:ascii="Times New Roman" w:hAnsi="Times New Roman" w:cs="Times New Roman"/>
          <w:sz w:val="26"/>
          <w:szCs w:val="26"/>
        </w:rPr>
        <w:t xml:space="preserve"> chiedere alla Corte di interpretare determinate disposizione del diritto europeo al fine di accertare se, alla luce </w:t>
      </w:r>
      <w:r w:rsidR="008A6544">
        <w:rPr>
          <w:rFonts w:ascii="Times New Roman" w:hAnsi="Times New Roman" w:cs="Times New Roman"/>
          <w:sz w:val="26"/>
          <w:szCs w:val="26"/>
        </w:rPr>
        <w:t>della interpretazione fornita</w:t>
      </w:r>
      <w:r w:rsidRPr="00CD159D">
        <w:rPr>
          <w:rFonts w:ascii="Times New Roman" w:hAnsi="Times New Roman" w:cs="Times New Roman"/>
          <w:sz w:val="26"/>
          <w:szCs w:val="26"/>
        </w:rPr>
        <w:t>, la misura nazionale sia o meno legittimata</w:t>
      </w:r>
      <w:r w:rsidR="009F4B9A">
        <w:rPr>
          <w:rFonts w:ascii="Times New Roman" w:hAnsi="Times New Roman" w:cs="Times New Roman"/>
          <w:sz w:val="26"/>
          <w:szCs w:val="26"/>
        </w:rPr>
        <w:t>; così inducendo sostanzialmente la Corte a pronunciarsi sulla compatibilità tra diritto nazionale e diritto europeo</w:t>
      </w:r>
      <w:r w:rsidRPr="00CD159D">
        <w:rPr>
          <w:rFonts w:ascii="Times New Roman" w:hAnsi="Times New Roman" w:cs="Times New Roman"/>
          <w:sz w:val="26"/>
          <w:szCs w:val="26"/>
          <w:vertAlign w:val="superscript"/>
        </w:rPr>
        <w:footnoteReference w:id="8"/>
      </w:r>
      <w:r w:rsidRPr="00CD159D">
        <w:rPr>
          <w:rFonts w:ascii="Times New Roman" w:hAnsi="Times New Roman" w:cs="Times New Roman"/>
          <w:sz w:val="26"/>
          <w:szCs w:val="26"/>
        </w:rPr>
        <w:t>.</w:t>
      </w:r>
    </w:p>
    <w:p w:rsidR="008C5F52" w:rsidRPr="00CD159D" w:rsidRDefault="00B94EED" w:rsidP="00B94EED">
      <w:pPr>
        <w:spacing w:after="0" w:line="276" w:lineRule="auto"/>
        <w:jc w:val="both"/>
        <w:rPr>
          <w:rFonts w:ascii="Times New Roman" w:hAnsi="Times New Roman" w:cs="Times New Roman"/>
          <w:sz w:val="26"/>
          <w:szCs w:val="26"/>
        </w:rPr>
      </w:pPr>
      <w:r w:rsidRPr="00CD159D">
        <w:rPr>
          <w:rFonts w:ascii="Times New Roman" w:hAnsi="Times New Roman" w:cs="Times New Roman"/>
          <w:sz w:val="26"/>
          <w:szCs w:val="26"/>
        </w:rPr>
        <w:t xml:space="preserve">b) </w:t>
      </w:r>
      <w:r w:rsidR="00BD12DF">
        <w:rPr>
          <w:rFonts w:ascii="Times New Roman" w:hAnsi="Times New Roman" w:cs="Times New Roman"/>
          <w:sz w:val="26"/>
          <w:szCs w:val="26"/>
        </w:rPr>
        <w:t>I</w:t>
      </w:r>
      <w:r w:rsidR="00263AD8" w:rsidRPr="00CD159D">
        <w:rPr>
          <w:rFonts w:ascii="Times New Roman" w:hAnsi="Times New Roman" w:cs="Times New Roman"/>
          <w:sz w:val="26"/>
          <w:szCs w:val="26"/>
        </w:rPr>
        <w:t xml:space="preserve">l rinvio deve essere effettuato da un organo </w:t>
      </w:r>
      <w:r w:rsidRPr="00CD159D">
        <w:rPr>
          <w:rFonts w:ascii="Times New Roman" w:hAnsi="Times New Roman" w:cs="Times New Roman"/>
          <w:sz w:val="26"/>
          <w:szCs w:val="26"/>
        </w:rPr>
        <w:t>giurisdizionale.</w:t>
      </w:r>
    </w:p>
    <w:p w:rsidR="00B94EED" w:rsidRPr="00CD159D" w:rsidRDefault="00B94EED" w:rsidP="00B94EED">
      <w:pPr>
        <w:spacing w:after="0" w:line="276" w:lineRule="auto"/>
        <w:jc w:val="both"/>
        <w:rPr>
          <w:rFonts w:ascii="Times New Roman" w:hAnsi="Times New Roman" w:cs="Times New Roman"/>
          <w:sz w:val="26"/>
          <w:szCs w:val="26"/>
        </w:rPr>
      </w:pPr>
      <w:r w:rsidRPr="00CD159D">
        <w:rPr>
          <w:rFonts w:ascii="Times New Roman" w:hAnsi="Times New Roman" w:cs="Times New Roman"/>
          <w:sz w:val="26"/>
          <w:szCs w:val="26"/>
        </w:rPr>
        <w:t>La giurisprudenza europea ha fornito una nozione</w:t>
      </w:r>
      <w:r w:rsidR="004409FB">
        <w:rPr>
          <w:rFonts w:ascii="Times New Roman" w:hAnsi="Times New Roman" w:cs="Times New Roman"/>
          <w:sz w:val="26"/>
          <w:szCs w:val="26"/>
        </w:rPr>
        <w:t xml:space="preserve"> di organo giurisdizionale</w:t>
      </w:r>
      <w:r w:rsidRPr="00CD159D">
        <w:rPr>
          <w:rFonts w:ascii="Times New Roman" w:hAnsi="Times New Roman" w:cs="Times New Roman"/>
          <w:sz w:val="26"/>
          <w:szCs w:val="26"/>
        </w:rPr>
        <w:t xml:space="preserve"> autonoma rispetto a quella dei singoli Stati membri, individuandone alcuni elementi caratterizzanti (istituzione per legge, stabilità, applicazione del diritto, terzietà, esistenza del contraddittorio, etc.)</w:t>
      </w:r>
      <w:r w:rsidRPr="00CD159D">
        <w:rPr>
          <w:rFonts w:ascii="Times New Roman" w:hAnsi="Times New Roman" w:cs="Times New Roman"/>
          <w:sz w:val="26"/>
          <w:szCs w:val="26"/>
          <w:vertAlign w:val="superscript"/>
        </w:rPr>
        <w:footnoteReference w:id="9"/>
      </w:r>
      <w:r w:rsidRPr="00CD159D">
        <w:rPr>
          <w:rFonts w:ascii="Times New Roman" w:hAnsi="Times New Roman" w:cs="Times New Roman"/>
          <w:sz w:val="26"/>
          <w:szCs w:val="26"/>
        </w:rPr>
        <w:t>. Si tratta di un profilo attualmente meno problematico, so</w:t>
      </w:r>
      <w:r w:rsidR="002F5772">
        <w:rPr>
          <w:rFonts w:ascii="Times New Roman" w:hAnsi="Times New Roman" w:cs="Times New Roman"/>
          <w:sz w:val="26"/>
          <w:szCs w:val="26"/>
        </w:rPr>
        <w:t xml:space="preserve">prattutto nella prospettiva dei </w:t>
      </w:r>
      <w:r w:rsidRPr="00CD159D">
        <w:rPr>
          <w:rFonts w:ascii="Times New Roman" w:hAnsi="Times New Roman" w:cs="Times New Roman"/>
          <w:sz w:val="26"/>
          <w:szCs w:val="26"/>
        </w:rPr>
        <w:t>giudici amministrativi, i quali sono sicuramente legittimati a sollevare il rinvio, anche in sede di parere sul ricorso straordinario al Presidente della Repubblica</w:t>
      </w:r>
      <w:r w:rsidRPr="00CD159D">
        <w:rPr>
          <w:rFonts w:ascii="Times New Roman" w:hAnsi="Times New Roman" w:cs="Times New Roman"/>
          <w:sz w:val="26"/>
          <w:szCs w:val="26"/>
          <w:vertAlign w:val="superscript"/>
        </w:rPr>
        <w:footnoteReference w:id="10"/>
      </w:r>
      <w:r w:rsidRPr="00CD159D">
        <w:rPr>
          <w:rFonts w:ascii="Times New Roman" w:hAnsi="Times New Roman" w:cs="Times New Roman"/>
          <w:sz w:val="26"/>
          <w:szCs w:val="26"/>
        </w:rPr>
        <w:t xml:space="preserve">. Un profilo di interesse attuale </w:t>
      </w:r>
      <w:r w:rsidRPr="00CD159D">
        <w:rPr>
          <w:rFonts w:ascii="Times New Roman" w:hAnsi="Times New Roman" w:cs="Times New Roman"/>
          <w:sz w:val="26"/>
          <w:szCs w:val="26"/>
        </w:rPr>
        <w:lastRenderedPageBreak/>
        <w:t>potrebbe essere quello relativo all’eventuale legittimazione al rinvio da parte dei collegi consultivi tecnici in materia di appalti, ma la soluzione preferibile, alla luce dell’ampia giurisprudenza europea in materia arbitrale, è probabilmente negativa.</w:t>
      </w:r>
    </w:p>
    <w:p w:rsidR="008C5F52" w:rsidRPr="00CD159D" w:rsidRDefault="00B94EED" w:rsidP="00B94EED">
      <w:pPr>
        <w:spacing w:after="0" w:line="276" w:lineRule="auto"/>
        <w:jc w:val="both"/>
        <w:rPr>
          <w:rFonts w:ascii="Times New Roman" w:hAnsi="Times New Roman" w:cs="Times New Roman"/>
          <w:sz w:val="26"/>
          <w:szCs w:val="26"/>
        </w:rPr>
      </w:pPr>
      <w:r w:rsidRPr="00CD159D">
        <w:rPr>
          <w:rFonts w:ascii="Times New Roman" w:hAnsi="Times New Roman" w:cs="Times New Roman"/>
          <w:sz w:val="26"/>
          <w:szCs w:val="26"/>
        </w:rPr>
        <w:t xml:space="preserve">c) </w:t>
      </w:r>
      <w:r w:rsidR="00BD12DF">
        <w:rPr>
          <w:rFonts w:ascii="Times New Roman" w:hAnsi="Times New Roman" w:cs="Times New Roman"/>
          <w:sz w:val="26"/>
          <w:szCs w:val="26"/>
        </w:rPr>
        <w:t>La</w:t>
      </w:r>
      <w:r w:rsidR="00DC2F4C" w:rsidRPr="00CD159D">
        <w:rPr>
          <w:rFonts w:ascii="Times New Roman" w:hAnsi="Times New Roman" w:cs="Times New Roman"/>
          <w:sz w:val="26"/>
          <w:szCs w:val="26"/>
        </w:rPr>
        <w:t xml:space="preserve"> risoluzione della questione di interpretazione o validità deve essere necessaria</w:t>
      </w:r>
      <w:r w:rsidR="008C5F52" w:rsidRPr="00CD159D">
        <w:rPr>
          <w:rFonts w:ascii="Times New Roman" w:hAnsi="Times New Roman" w:cs="Times New Roman"/>
          <w:sz w:val="26"/>
          <w:szCs w:val="26"/>
        </w:rPr>
        <w:t xml:space="preserve"> al fine di adottare la decisione nel giudizio </w:t>
      </w:r>
      <w:r w:rsidR="008C5F52" w:rsidRPr="00CD159D">
        <w:rPr>
          <w:rFonts w:ascii="Times New Roman" w:hAnsi="Times New Roman" w:cs="Times New Roman"/>
          <w:i/>
          <w:sz w:val="26"/>
          <w:szCs w:val="26"/>
        </w:rPr>
        <w:t>a quo</w:t>
      </w:r>
      <w:r w:rsidR="00BC0A3D" w:rsidRPr="00CD159D">
        <w:rPr>
          <w:rFonts w:ascii="Times New Roman" w:hAnsi="Times New Roman" w:cs="Times New Roman"/>
          <w:sz w:val="26"/>
          <w:szCs w:val="26"/>
        </w:rPr>
        <w:t>: deve trattarsi, in altri termini, di una questione rilevante ai fini della definizione della controversia pendente davanti al giudice nazionale</w:t>
      </w:r>
      <w:r w:rsidR="008C5F52" w:rsidRPr="00CD159D">
        <w:rPr>
          <w:rFonts w:ascii="Times New Roman" w:hAnsi="Times New Roman" w:cs="Times New Roman"/>
          <w:sz w:val="26"/>
          <w:szCs w:val="26"/>
        </w:rPr>
        <w:t>.</w:t>
      </w:r>
    </w:p>
    <w:p w:rsidR="00066E9F" w:rsidRPr="00CD159D" w:rsidRDefault="00BC0A3D" w:rsidP="00A05FE1">
      <w:pPr>
        <w:spacing w:after="0" w:line="276" w:lineRule="auto"/>
        <w:jc w:val="both"/>
        <w:rPr>
          <w:rFonts w:ascii="Times New Roman" w:hAnsi="Times New Roman" w:cs="Times New Roman"/>
          <w:sz w:val="26"/>
          <w:szCs w:val="26"/>
        </w:rPr>
      </w:pPr>
      <w:r w:rsidRPr="00CD159D">
        <w:rPr>
          <w:rFonts w:ascii="Times New Roman" w:hAnsi="Times New Roman" w:cs="Times New Roman"/>
          <w:sz w:val="26"/>
          <w:szCs w:val="26"/>
        </w:rPr>
        <w:t>L</w:t>
      </w:r>
      <w:r w:rsidR="007E6B1B" w:rsidRPr="00CD159D">
        <w:rPr>
          <w:rFonts w:ascii="Times New Roman" w:hAnsi="Times New Roman" w:cs="Times New Roman"/>
          <w:sz w:val="26"/>
          <w:szCs w:val="26"/>
        </w:rPr>
        <w:t>a più rilevante evoluzione giurisprudenziale</w:t>
      </w:r>
      <w:r w:rsidR="005E6475" w:rsidRPr="00CD159D">
        <w:rPr>
          <w:rFonts w:ascii="Times New Roman" w:hAnsi="Times New Roman" w:cs="Times New Roman"/>
          <w:sz w:val="26"/>
          <w:szCs w:val="26"/>
        </w:rPr>
        <w:t xml:space="preserve"> si è avuta</w:t>
      </w:r>
      <w:r w:rsidR="00A05FE1" w:rsidRPr="00CD159D">
        <w:rPr>
          <w:rFonts w:ascii="Times New Roman" w:hAnsi="Times New Roman" w:cs="Times New Roman"/>
          <w:sz w:val="26"/>
          <w:szCs w:val="26"/>
        </w:rPr>
        <w:t xml:space="preserve"> </w:t>
      </w:r>
      <w:r w:rsidR="00181C1B">
        <w:rPr>
          <w:rFonts w:ascii="Times New Roman" w:hAnsi="Times New Roman" w:cs="Times New Roman"/>
          <w:sz w:val="26"/>
          <w:szCs w:val="26"/>
        </w:rPr>
        <w:t xml:space="preserve">in relazione alla </w:t>
      </w:r>
      <w:r w:rsidR="00A05FE1" w:rsidRPr="00CD159D">
        <w:rPr>
          <w:rFonts w:ascii="Times New Roman" w:hAnsi="Times New Roman" w:cs="Times New Roman"/>
          <w:sz w:val="26"/>
          <w:szCs w:val="26"/>
        </w:rPr>
        <w:t xml:space="preserve">perimetrazione di questa </w:t>
      </w:r>
      <w:r w:rsidR="005E6475" w:rsidRPr="00CD159D">
        <w:rPr>
          <w:rFonts w:ascii="Times New Roman" w:hAnsi="Times New Roman" w:cs="Times New Roman"/>
          <w:sz w:val="26"/>
          <w:szCs w:val="26"/>
        </w:rPr>
        <w:t>condizione di</w:t>
      </w:r>
      <w:r w:rsidR="00112CF9" w:rsidRPr="00CD159D">
        <w:rPr>
          <w:rFonts w:ascii="Times New Roman" w:hAnsi="Times New Roman" w:cs="Times New Roman"/>
          <w:sz w:val="26"/>
          <w:szCs w:val="26"/>
        </w:rPr>
        <w:t xml:space="preserve"> ammissibilità</w:t>
      </w:r>
      <w:r w:rsidR="00A05FE1" w:rsidRPr="00CD159D">
        <w:rPr>
          <w:rFonts w:ascii="Times New Roman" w:hAnsi="Times New Roman" w:cs="Times New Roman"/>
          <w:sz w:val="26"/>
          <w:szCs w:val="26"/>
        </w:rPr>
        <w:t xml:space="preserve">, sulla quale </w:t>
      </w:r>
      <w:r w:rsidR="00EE447A" w:rsidRPr="00CD159D">
        <w:rPr>
          <w:rFonts w:ascii="Times New Roman" w:hAnsi="Times New Roman" w:cs="Times New Roman"/>
          <w:sz w:val="26"/>
          <w:szCs w:val="26"/>
        </w:rPr>
        <w:t>è</w:t>
      </w:r>
      <w:r w:rsidR="00181C1B">
        <w:rPr>
          <w:rFonts w:ascii="Times New Roman" w:hAnsi="Times New Roman" w:cs="Times New Roman"/>
          <w:sz w:val="26"/>
          <w:szCs w:val="26"/>
        </w:rPr>
        <w:t xml:space="preserve"> </w:t>
      </w:r>
      <w:r w:rsidR="00F263BE" w:rsidRPr="00CD159D">
        <w:rPr>
          <w:rFonts w:ascii="Times New Roman" w:hAnsi="Times New Roman" w:cs="Times New Roman"/>
          <w:sz w:val="26"/>
          <w:szCs w:val="26"/>
        </w:rPr>
        <w:t>opportuno soffermarsi</w:t>
      </w:r>
      <w:r w:rsidR="00EE447A" w:rsidRPr="00CD159D">
        <w:rPr>
          <w:rFonts w:ascii="Times New Roman" w:hAnsi="Times New Roman" w:cs="Times New Roman"/>
          <w:sz w:val="26"/>
          <w:szCs w:val="26"/>
        </w:rPr>
        <w:t xml:space="preserve"> </w:t>
      </w:r>
      <w:r w:rsidR="007019A6" w:rsidRPr="00CD159D">
        <w:rPr>
          <w:rFonts w:ascii="Times New Roman" w:hAnsi="Times New Roman" w:cs="Times New Roman"/>
          <w:sz w:val="26"/>
          <w:szCs w:val="26"/>
        </w:rPr>
        <w:t xml:space="preserve">più </w:t>
      </w:r>
      <w:r w:rsidR="00EE447A" w:rsidRPr="00CD159D">
        <w:rPr>
          <w:rFonts w:ascii="Times New Roman" w:hAnsi="Times New Roman" w:cs="Times New Roman"/>
          <w:sz w:val="26"/>
          <w:szCs w:val="26"/>
        </w:rPr>
        <w:t>diffusamente</w:t>
      </w:r>
      <w:r w:rsidR="001574A3" w:rsidRPr="00CD159D">
        <w:rPr>
          <w:rFonts w:ascii="Times New Roman" w:hAnsi="Times New Roman" w:cs="Times New Roman"/>
          <w:sz w:val="26"/>
          <w:szCs w:val="26"/>
        </w:rPr>
        <w:t xml:space="preserve">, anche in ragione della maggiore frequenza </w:t>
      </w:r>
      <w:r w:rsidR="00112CF9" w:rsidRPr="00CD159D">
        <w:rPr>
          <w:rFonts w:ascii="Times New Roman" w:hAnsi="Times New Roman" w:cs="Times New Roman"/>
          <w:sz w:val="26"/>
          <w:szCs w:val="26"/>
        </w:rPr>
        <w:t>con cui la stessa è stata esaminata dalla giurisprudenza europea</w:t>
      </w:r>
      <w:r w:rsidR="00A41F6E" w:rsidRPr="00CD159D">
        <w:rPr>
          <w:rStyle w:val="Rimandonotaapidipagina"/>
          <w:rFonts w:ascii="Times New Roman" w:hAnsi="Times New Roman" w:cs="Times New Roman"/>
          <w:sz w:val="26"/>
          <w:szCs w:val="26"/>
        </w:rPr>
        <w:footnoteReference w:id="11"/>
      </w:r>
      <w:r w:rsidR="00F263BE" w:rsidRPr="00CD159D">
        <w:rPr>
          <w:rFonts w:ascii="Times New Roman" w:hAnsi="Times New Roman" w:cs="Times New Roman"/>
          <w:sz w:val="26"/>
          <w:szCs w:val="26"/>
        </w:rPr>
        <w:t>.</w:t>
      </w:r>
    </w:p>
    <w:p w:rsidR="00066E9F" w:rsidRPr="00CD159D" w:rsidRDefault="00066E9F" w:rsidP="00804185">
      <w:pPr>
        <w:spacing w:after="0" w:line="276" w:lineRule="auto"/>
        <w:ind w:firstLine="284"/>
        <w:jc w:val="both"/>
        <w:rPr>
          <w:rFonts w:ascii="Times New Roman" w:hAnsi="Times New Roman" w:cs="Times New Roman"/>
          <w:sz w:val="26"/>
          <w:szCs w:val="26"/>
        </w:rPr>
      </w:pPr>
    </w:p>
    <w:p w:rsidR="00066E9F" w:rsidRPr="00CD159D" w:rsidRDefault="001003B8" w:rsidP="00804185">
      <w:pPr>
        <w:spacing w:after="0" w:line="276" w:lineRule="auto"/>
        <w:ind w:firstLine="284"/>
        <w:jc w:val="both"/>
        <w:rPr>
          <w:rFonts w:ascii="Times New Roman" w:hAnsi="Times New Roman" w:cs="Times New Roman"/>
          <w:b/>
          <w:i/>
          <w:sz w:val="26"/>
          <w:szCs w:val="26"/>
        </w:rPr>
      </w:pPr>
      <w:r w:rsidRPr="00CD159D">
        <w:rPr>
          <w:rFonts w:ascii="Times New Roman" w:hAnsi="Times New Roman" w:cs="Times New Roman"/>
          <w:b/>
          <w:i/>
          <w:sz w:val="26"/>
          <w:szCs w:val="26"/>
        </w:rPr>
        <w:t>3. L</w:t>
      </w:r>
      <w:r w:rsidR="00066E9F" w:rsidRPr="00CD159D">
        <w:rPr>
          <w:rFonts w:ascii="Times New Roman" w:hAnsi="Times New Roman" w:cs="Times New Roman"/>
          <w:b/>
          <w:i/>
          <w:sz w:val="26"/>
          <w:szCs w:val="26"/>
        </w:rPr>
        <w:t>e condizioni oggettive di ammissibilità del rinvio pregiudiziale</w:t>
      </w:r>
      <w:r w:rsidRPr="00CD159D">
        <w:rPr>
          <w:rFonts w:ascii="Times New Roman" w:hAnsi="Times New Roman" w:cs="Times New Roman"/>
          <w:b/>
          <w:i/>
          <w:sz w:val="26"/>
          <w:szCs w:val="26"/>
        </w:rPr>
        <w:t xml:space="preserve"> elaborate dalla giurisprudenza europea</w:t>
      </w:r>
      <w:r w:rsidR="00066E9F" w:rsidRPr="00CD159D">
        <w:rPr>
          <w:rFonts w:ascii="Times New Roman" w:hAnsi="Times New Roman" w:cs="Times New Roman"/>
          <w:b/>
          <w:i/>
          <w:sz w:val="26"/>
          <w:szCs w:val="26"/>
        </w:rPr>
        <w:t>.</w:t>
      </w:r>
    </w:p>
    <w:p w:rsidR="007E6B1B" w:rsidRPr="00CD159D" w:rsidRDefault="00607D42"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 </w:t>
      </w:r>
    </w:p>
    <w:p w:rsidR="00C310D5" w:rsidRPr="00CD159D" w:rsidRDefault="007E6B1B" w:rsidP="00804185">
      <w:pPr>
        <w:spacing w:after="0" w:line="276" w:lineRule="auto"/>
        <w:ind w:firstLine="284"/>
        <w:jc w:val="both"/>
        <w:rPr>
          <w:rFonts w:ascii="Times New Roman" w:hAnsi="Times New Roman" w:cs="Times New Roman"/>
          <w:i/>
          <w:sz w:val="26"/>
          <w:szCs w:val="26"/>
        </w:rPr>
      </w:pPr>
      <w:r w:rsidRPr="00CD159D">
        <w:rPr>
          <w:rFonts w:ascii="Times New Roman" w:hAnsi="Times New Roman" w:cs="Times New Roman"/>
          <w:sz w:val="26"/>
          <w:szCs w:val="26"/>
        </w:rPr>
        <w:t xml:space="preserve">In un primo momento, al fine di promuovere l’impiego </w:t>
      </w:r>
      <w:r w:rsidR="00E53558" w:rsidRPr="00CD159D">
        <w:rPr>
          <w:rFonts w:ascii="Times New Roman" w:hAnsi="Times New Roman" w:cs="Times New Roman"/>
          <w:sz w:val="26"/>
          <w:szCs w:val="26"/>
        </w:rPr>
        <w:t xml:space="preserve">dello strumento </w:t>
      </w:r>
      <w:r w:rsidRPr="00CD159D">
        <w:rPr>
          <w:rFonts w:ascii="Times New Roman" w:hAnsi="Times New Roman" w:cs="Times New Roman"/>
          <w:sz w:val="26"/>
          <w:szCs w:val="26"/>
        </w:rPr>
        <w:t>del rinvio pregiudiziale</w:t>
      </w:r>
      <w:r w:rsidR="00BC0A3D" w:rsidRPr="00CD159D">
        <w:rPr>
          <w:rFonts w:ascii="Times New Roman" w:hAnsi="Times New Roman" w:cs="Times New Roman"/>
          <w:sz w:val="26"/>
          <w:szCs w:val="26"/>
        </w:rPr>
        <w:t>, l</w:t>
      </w:r>
      <w:r w:rsidR="005E6475" w:rsidRPr="00CD159D">
        <w:rPr>
          <w:rFonts w:ascii="Times New Roman" w:hAnsi="Times New Roman" w:cs="Times New Roman"/>
          <w:sz w:val="26"/>
          <w:szCs w:val="26"/>
        </w:rPr>
        <w:t>a Corte di Giustizia</w:t>
      </w:r>
      <w:r w:rsidRPr="00CD159D">
        <w:rPr>
          <w:rFonts w:ascii="Times New Roman" w:hAnsi="Times New Roman" w:cs="Times New Roman"/>
          <w:sz w:val="26"/>
          <w:szCs w:val="26"/>
        </w:rPr>
        <w:t xml:space="preserve"> ha affermato che il giudice nazionale, </w:t>
      </w:r>
      <w:r w:rsidR="00466443" w:rsidRPr="00CD159D">
        <w:rPr>
          <w:rFonts w:ascii="Times New Roman" w:hAnsi="Times New Roman" w:cs="Times New Roman"/>
          <w:sz w:val="26"/>
          <w:szCs w:val="26"/>
        </w:rPr>
        <w:t>l’</w:t>
      </w:r>
      <w:r w:rsidRPr="00CD159D">
        <w:rPr>
          <w:rFonts w:ascii="Times New Roman" w:hAnsi="Times New Roman" w:cs="Times New Roman"/>
          <w:sz w:val="26"/>
          <w:szCs w:val="26"/>
        </w:rPr>
        <w:t>unico ad avere conoscenza piena dei fatti di causa, fosse il soggetto</w:t>
      </w:r>
      <w:r w:rsidR="005E6475" w:rsidRPr="00CD159D">
        <w:rPr>
          <w:rFonts w:ascii="Times New Roman" w:hAnsi="Times New Roman" w:cs="Times New Roman"/>
          <w:sz w:val="26"/>
          <w:szCs w:val="26"/>
        </w:rPr>
        <w:t xml:space="preserve"> più idoneo a </w:t>
      </w:r>
      <w:r w:rsidR="00BC0A3D" w:rsidRPr="00CD159D">
        <w:rPr>
          <w:rFonts w:ascii="Times New Roman" w:hAnsi="Times New Roman" w:cs="Times New Roman"/>
          <w:sz w:val="26"/>
          <w:szCs w:val="26"/>
        </w:rPr>
        <w:t>valutare la pertinenza delle questioni di diritto sollevate e la necessità di una pronuncia pregiudiziale per potere emettere la sen</w:t>
      </w:r>
      <w:r w:rsidR="00AA7804" w:rsidRPr="00CD159D">
        <w:rPr>
          <w:rFonts w:ascii="Times New Roman" w:hAnsi="Times New Roman" w:cs="Times New Roman"/>
          <w:sz w:val="26"/>
          <w:szCs w:val="26"/>
        </w:rPr>
        <w:t>tenz</w:t>
      </w:r>
      <w:r w:rsidR="00575F69" w:rsidRPr="00CD159D">
        <w:rPr>
          <w:rFonts w:ascii="Times New Roman" w:hAnsi="Times New Roman" w:cs="Times New Roman"/>
          <w:sz w:val="26"/>
          <w:szCs w:val="26"/>
        </w:rPr>
        <w:t>a (cd. presunzione di rilevanza)</w:t>
      </w:r>
      <w:r w:rsidR="00AA7804" w:rsidRPr="00CD159D">
        <w:rPr>
          <w:rFonts w:ascii="Times New Roman" w:hAnsi="Times New Roman" w:cs="Times New Roman"/>
          <w:sz w:val="26"/>
          <w:szCs w:val="26"/>
        </w:rPr>
        <w:t xml:space="preserve">. Inoltre la Corte, </w:t>
      </w:r>
      <w:r w:rsidR="00575F69" w:rsidRPr="00CD159D">
        <w:rPr>
          <w:rFonts w:ascii="Times New Roman" w:hAnsi="Times New Roman" w:cs="Times New Roman"/>
          <w:sz w:val="26"/>
          <w:szCs w:val="26"/>
        </w:rPr>
        <w:t xml:space="preserve">in uno spirito di stretta collaborazione con i giudici nazionali ed </w:t>
      </w:r>
      <w:r w:rsidR="00AA7804" w:rsidRPr="00CD159D">
        <w:rPr>
          <w:rFonts w:ascii="Times New Roman" w:hAnsi="Times New Roman" w:cs="Times New Roman"/>
          <w:sz w:val="26"/>
          <w:szCs w:val="26"/>
        </w:rPr>
        <w:t>al fine di fornire</w:t>
      </w:r>
      <w:r w:rsidR="00575F69" w:rsidRPr="00CD159D">
        <w:rPr>
          <w:rFonts w:ascii="Times New Roman" w:hAnsi="Times New Roman" w:cs="Times New Roman"/>
          <w:sz w:val="26"/>
          <w:szCs w:val="26"/>
        </w:rPr>
        <w:t xml:space="preserve"> una</w:t>
      </w:r>
      <w:r w:rsidR="00AA7804" w:rsidRPr="00CD159D">
        <w:rPr>
          <w:rFonts w:ascii="Times New Roman" w:hAnsi="Times New Roman" w:cs="Times New Roman"/>
          <w:sz w:val="26"/>
          <w:szCs w:val="26"/>
        </w:rPr>
        <w:t xml:space="preserve"> rispost</w:t>
      </w:r>
      <w:r w:rsidR="00575F69" w:rsidRPr="00CD159D">
        <w:rPr>
          <w:rFonts w:ascii="Times New Roman" w:hAnsi="Times New Roman" w:cs="Times New Roman"/>
          <w:sz w:val="26"/>
          <w:szCs w:val="26"/>
        </w:rPr>
        <w:t>a utile</w:t>
      </w:r>
      <w:r w:rsidR="00AA7804" w:rsidRPr="00CD159D">
        <w:rPr>
          <w:rFonts w:ascii="Times New Roman" w:hAnsi="Times New Roman" w:cs="Times New Roman"/>
          <w:sz w:val="26"/>
          <w:szCs w:val="26"/>
        </w:rPr>
        <w:t xml:space="preserve">, </w:t>
      </w:r>
      <w:r w:rsidR="00F263BE" w:rsidRPr="00CD159D">
        <w:rPr>
          <w:rFonts w:ascii="Times New Roman" w:hAnsi="Times New Roman" w:cs="Times New Roman"/>
          <w:sz w:val="26"/>
          <w:szCs w:val="26"/>
        </w:rPr>
        <w:t xml:space="preserve">è intervenuta nel merito, </w:t>
      </w:r>
      <w:r w:rsidR="00AA7804" w:rsidRPr="00CD159D">
        <w:rPr>
          <w:rFonts w:ascii="Times New Roman" w:hAnsi="Times New Roman" w:cs="Times New Roman"/>
          <w:sz w:val="26"/>
          <w:szCs w:val="26"/>
        </w:rPr>
        <w:t xml:space="preserve">riformulando rinvii proposti in modo oscuro o improprio, ordinando o accorpando questioni confuse e ripetitive. </w:t>
      </w:r>
    </w:p>
    <w:p w:rsidR="00816B79" w:rsidRPr="00CD159D" w:rsidRDefault="007E6B1B"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A partire dagli anni ’80 </w:t>
      </w:r>
      <w:r w:rsidR="00AA7804" w:rsidRPr="00CD159D">
        <w:rPr>
          <w:rFonts w:ascii="Times New Roman" w:hAnsi="Times New Roman" w:cs="Times New Roman"/>
          <w:sz w:val="26"/>
          <w:szCs w:val="26"/>
        </w:rPr>
        <w:t xml:space="preserve">e </w:t>
      </w:r>
      <w:r w:rsidR="00EE447A" w:rsidRPr="00CD159D">
        <w:rPr>
          <w:rFonts w:ascii="Times New Roman" w:hAnsi="Times New Roman" w:cs="Times New Roman"/>
          <w:sz w:val="26"/>
          <w:szCs w:val="26"/>
        </w:rPr>
        <w:t xml:space="preserve">soprattutto dagli anni </w:t>
      </w:r>
      <w:r w:rsidRPr="00CD159D">
        <w:rPr>
          <w:rFonts w:ascii="Times New Roman" w:hAnsi="Times New Roman" w:cs="Times New Roman"/>
          <w:sz w:val="26"/>
          <w:szCs w:val="26"/>
        </w:rPr>
        <w:t>’90, in coincidenza con l’aumento del numero dei rinvii pregiudiziali,</w:t>
      </w:r>
      <w:r w:rsidR="00BC0A3D" w:rsidRPr="00CD159D">
        <w:rPr>
          <w:rFonts w:ascii="Times New Roman" w:hAnsi="Times New Roman" w:cs="Times New Roman"/>
          <w:sz w:val="26"/>
          <w:szCs w:val="26"/>
        </w:rPr>
        <w:t xml:space="preserve"> la Corte di Giustizia ha </w:t>
      </w:r>
      <w:r w:rsidR="00F263BE" w:rsidRPr="00CD159D">
        <w:rPr>
          <w:rFonts w:ascii="Times New Roman" w:hAnsi="Times New Roman" w:cs="Times New Roman"/>
          <w:sz w:val="26"/>
          <w:szCs w:val="26"/>
        </w:rPr>
        <w:t>m</w:t>
      </w:r>
      <w:r w:rsidR="00EE447A" w:rsidRPr="00CD159D">
        <w:rPr>
          <w:rFonts w:ascii="Times New Roman" w:hAnsi="Times New Roman" w:cs="Times New Roman"/>
          <w:sz w:val="26"/>
          <w:szCs w:val="26"/>
        </w:rPr>
        <w:t>odificato tale orientamento, iniziando</w:t>
      </w:r>
      <w:r w:rsidR="00BC0A3D" w:rsidRPr="00CD159D">
        <w:rPr>
          <w:rFonts w:ascii="Times New Roman" w:hAnsi="Times New Roman" w:cs="Times New Roman"/>
          <w:sz w:val="26"/>
          <w:szCs w:val="26"/>
        </w:rPr>
        <w:t xml:space="preserve"> ad esercitare un controllo più penetrante sulle condizioni oggettive di ammissibilità del rinvio</w:t>
      </w:r>
      <w:r w:rsidRPr="00CD159D">
        <w:rPr>
          <w:rFonts w:ascii="Times New Roman" w:hAnsi="Times New Roman" w:cs="Times New Roman"/>
          <w:sz w:val="26"/>
          <w:szCs w:val="26"/>
        </w:rPr>
        <w:t>.</w:t>
      </w:r>
      <w:r w:rsidR="00BC0A3D" w:rsidRPr="00CD159D">
        <w:rPr>
          <w:rFonts w:ascii="Times New Roman" w:hAnsi="Times New Roman" w:cs="Times New Roman"/>
          <w:sz w:val="26"/>
          <w:szCs w:val="26"/>
        </w:rPr>
        <w:t xml:space="preserve"> Ciò è avvenuto </w:t>
      </w:r>
      <w:r w:rsidR="00AA7804" w:rsidRPr="00CD159D">
        <w:rPr>
          <w:rFonts w:ascii="Times New Roman" w:hAnsi="Times New Roman" w:cs="Times New Roman"/>
          <w:sz w:val="26"/>
          <w:szCs w:val="26"/>
        </w:rPr>
        <w:t xml:space="preserve">valorizzando la competenza </w:t>
      </w:r>
      <w:r w:rsidR="00575F69" w:rsidRPr="00CD159D">
        <w:rPr>
          <w:rFonts w:ascii="Times New Roman" w:hAnsi="Times New Roman" w:cs="Times New Roman"/>
          <w:sz w:val="26"/>
          <w:szCs w:val="26"/>
        </w:rPr>
        <w:t>di ogni organo giurisdizionale a</w:t>
      </w:r>
      <w:r w:rsidR="00AA7804" w:rsidRPr="00CD159D">
        <w:rPr>
          <w:rFonts w:ascii="Times New Roman" w:hAnsi="Times New Roman" w:cs="Times New Roman"/>
          <w:sz w:val="26"/>
          <w:szCs w:val="26"/>
        </w:rPr>
        <w:t xml:space="preserve"> verificare le </w:t>
      </w:r>
      <w:r w:rsidR="00575F69" w:rsidRPr="00CD159D">
        <w:rPr>
          <w:rFonts w:ascii="Times New Roman" w:hAnsi="Times New Roman" w:cs="Times New Roman"/>
          <w:sz w:val="26"/>
          <w:szCs w:val="26"/>
        </w:rPr>
        <w:t>condizioni per il proprio</w:t>
      </w:r>
      <w:r w:rsidR="00AA7804" w:rsidRPr="00CD159D">
        <w:rPr>
          <w:rFonts w:ascii="Times New Roman" w:hAnsi="Times New Roman" w:cs="Times New Roman"/>
          <w:sz w:val="26"/>
          <w:szCs w:val="26"/>
        </w:rPr>
        <w:t xml:space="preserve"> intervento nonché, </w:t>
      </w:r>
      <w:r w:rsidR="00647341" w:rsidRPr="00CD159D">
        <w:rPr>
          <w:rFonts w:ascii="Times New Roman" w:hAnsi="Times New Roman" w:cs="Times New Roman"/>
          <w:sz w:val="26"/>
          <w:szCs w:val="26"/>
        </w:rPr>
        <w:t xml:space="preserve">più </w:t>
      </w:r>
      <w:r w:rsidR="00AA7804" w:rsidRPr="00CD159D">
        <w:rPr>
          <w:rFonts w:ascii="Times New Roman" w:hAnsi="Times New Roman" w:cs="Times New Roman"/>
          <w:sz w:val="26"/>
          <w:szCs w:val="26"/>
        </w:rPr>
        <w:t>in generale, l</w:t>
      </w:r>
      <w:r w:rsidR="00647341" w:rsidRPr="00CD159D">
        <w:rPr>
          <w:rFonts w:ascii="Times New Roman" w:hAnsi="Times New Roman" w:cs="Times New Roman"/>
          <w:sz w:val="26"/>
          <w:szCs w:val="26"/>
        </w:rPr>
        <w:t>a sua funzione di contribuire all’amministrazione della giustizia e non di esprimere pareri consultivi</w:t>
      </w:r>
      <w:r w:rsidR="00AA7804" w:rsidRPr="00CD159D">
        <w:rPr>
          <w:rFonts w:ascii="Times New Roman" w:hAnsi="Times New Roman" w:cs="Times New Roman"/>
          <w:sz w:val="26"/>
          <w:szCs w:val="26"/>
        </w:rPr>
        <w:t xml:space="preserve">.  </w:t>
      </w:r>
    </w:p>
    <w:p w:rsidR="00BC0A3D" w:rsidRPr="00CD159D" w:rsidRDefault="00BC0A3D"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In primo luogo</w:t>
      </w:r>
      <w:r w:rsidR="007019A6" w:rsidRPr="00CD159D">
        <w:rPr>
          <w:rFonts w:ascii="Times New Roman" w:hAnsi="Times New Roman" w:cs="Times New Roman"/>
          <w:sz w:val="26"/>
          <w:szCs w:val="26"/>
        </w:rPr>
        <w:t>,</w:t>
      </w:r>
      <w:r w:rsidRPr="00CD159D">
        <w:rPr>
          <w:rFonts w:ascii="Times New Roman" w:hAnsi="Times New Roman" w:cs="Times New Roman"/>
          <w:sz w:val="26"/>
          <w:szCs w:val="26"/>
        </w:rPr>
        <w:t xml:space="preserve"> la </w:t>
      </w:r>
      <w:r w:rsidR="007E6B1B" w:rsidRPr="00CD159D">
        <w:rPr>
          <w:rFonts w:ascii="Times New Roman" w:hAnsi="Times New Roman" w:cs="Times New Roman"/>
          <w:sz w:val="26"/>
          <w:szCs w:val="26"/>
        </w:rPr>
        <w:t xml:space="preserve">Corte </w:t>
      </w:r>
      <w:r w:rsidR="0063452F" w:rsidRPr="00CD159D">
        <w:rPr>
          <w:rFonts w:ascii="Times New Roman" w:hAnsi="Times New Roman" w:cs="Times New Roman"/>
          <w:sz w:val="26"/>
          <w:szCs w:val="26"/>
        </w:rPr>
        <w:t xml:space="preserve">di Giustizia </w:t>
      </w:r>
      <w:r w:rsidR="007E6B1B" w:rsidRPr="00CD159D">
        <w:rPr>
          <w:rFonts w:ascii="Times New Roman" w:hAnsi="Times New Roman" w:cs="Times New Roman"/>
          <w:sz w:val="26"/>
          <w:szCs w:val="26"/>
        </w:rPr>
        <w:t xml:space="preserve">si è spinta </w:t>
      </w:r>
      <w:r w:rsidR="00575F69" w:rsidRPr="00CD159D">
        <w:rPr>
          <w:rFonts w:ascii="Times New Roman" w:hAnsi="Times New Roman" w:cs="Times New Roman"/>
          <w:sz w:val="26"/>
          <w:szCs w:val="26"/>
        </w:rPr>
        <w:t>ad accertare</w:t>
      </w:r>
      <w:r w:rsidR="007E6B1B" w:rsidRPr="00CD159D">
        <w:rPr>
          <w:rFonts w:ascii="Times New Roman" w:hAnsi="Times New Roman" w:cs="Times New Roman"/>
          <w:sz w:val="26"/>
          <w:szCs w:val="26"/>
        </w:rPr>
        <w:t xml:space="preserve"> </w:t>
      </w:r>
      <w:r w:rsidR="00575F69" w:rsidRPr="00CD159D">
        <w:rPr>
          <w:rFonts w:ascii="Times New Roman" w:hAnsi="Times New Roman" w:cs="Times New Roman"/>
          <w:sz w:val="26"/>
          <w:szCs w:val="26"/>
        </w:rPr>
        <w:t xml:space="preserve">la natura </w:t>
      </w:r>
      <w:r w:rsidR="00647341" w:rsidRPr="00CD159D">
        <w:rPr>
          <w:rFonts w:ascii="Times New Roman" w:hAnsi="Times New Roman" w:cs="Times New Roman"/>
          <w:sz w:val="26"/>
          <w:szCs w:val="26"/>
        </w:rPr>
        <w:t>fittizia della controversia pendente davanti al giudice nazionale</w:t>
      </w:r>
      <w:r w:rsidRPr="00CD159D">
        <w:rPr>
          <w:rFonts w:ascii="Times New Roman" w:hAnsi="Times New Roman" w:cs="Times New Roman"/>
          <w:sz w:val="26"/>
          <w:szCs w:val="26"/>
        </w:rPr>
        <w:t>.</w:t>
      </w:r>
      <w:r w:rsidR="00F263BE" w:rsidRPr="00CD159D">
        <w:rPr>
          <w:rFonts w:ascii="Times New Roman" w:hAnsi="Times New Roman" w:cs="Times New Roman"/>
          <w:sz w:val="26"/>
          <w:szCs w:val="26"/>
        </w:rPr>
        <w:t xml:space="preserve"> Ciò è av</w:t>
      </w:r>
      <w:r w:rsidR="00876DC7" w:rsidRPr="00CD159D">
        <w:rPr>
          <w:rFonts w:ascii="Times New Roman" w:hAnsi="Times New Roman" w:cs="Times New Roman"/>
          <w:sz w:val="26"/>
          <w:szCs w:val="26"/>
        </w:rPr>
        <w:t xml:space="preserve">venuto, in particolare, </w:t>
      </w:r>
      <w:r w:rsidR="00CC0CDC" w:rsidRPr="00CD159D">
        <w:rPr>
          <w:rFonts w:ascii="Times New Roman" w:hAnsi="Times New Roman" w:cs="Times New Roman"/>
          <w:sz w:val="26"/>
          <w:szCs w:val="26"/>
        </w:rPr>
        <w:t xml:space="preserve">nella </w:t>
      </w:r>
      <w:r w:rsidR="00B109A9" w:rsidRPr="00CD159D">
        <w:rPr>
          <w:rFonts w:ascii="Times New Roman" w:hAnsi="Times New Roman" w:cs="Times New Roman"/>
          <w:sz w:val="26"/>
          <w:szCs w:val="26"/>
        </w:rPr>
        <w:t xml:space="preserve">causa </w:t>
      </w:r>
      <w:r w:rsidR="00876DC7" w:rsidRPr="00CD159D">
        <w:rPr>
          <w:rFonts w:ascii="Times New Roman" w:hAnsi="Times New Roman" w:cs="Times New Roman"/>
          <w:sz w:val="26"/>
          <w:szCs w:val="26"/>
        </w:rPr>
        <w:t>C-104/79</w:t>
      </w:r>
      <w:r w:rsidR="00CC0CDC" w:rsidRPr="00CD159D">
        <w:rPr>
          <w:rFonts w:ascii="Times New Roman" w:hAnsi="Times New Roman" w:cs="Times New Roman"/>
          <w:sz w:val="26"/>
          <w:szCs w:val="26"/>
        </w:rPr>
        <w:t>,</w:t>
      </w:r>
      <w:r w:rsidR="00F263BE" w:rsidRPr="00CD159D">
        <w:rPr>
          <w:rFonts w:ascii="Times New Roman" w:hAnsi="Times New Roman" w:cs="Times New Roman"/>
          <w:sz w:val="26"/>
          <w:szCs w:val="26"/>
        </w:rPr>
        <w:t xml:space="preserve"> </w:t>
      </w:r>
      <w:r w:rsidR="00F263BE" w:rsidRPr="00CD159D">
        <w:rPr>
          <w:rFonts w:ascii="Times New Roman" w:hAnsi="Times New Roman" w:cs="Times New Roman"/>
          <w:i/>
          <w:sz w:val="26"/>
          <w:szCs w:val="26"/>
        </w:rPr>
        <w:t>Foglia/Novello</w:t>
      </w:r>
      <w:r w:rsidR="00647341" w:rsidRPr="00CD159D">
        <w:rPr>
          <w:rFonts w:ascii="Times New Roman" w:hAnsi="Times New Roman" w:cs="Times New Roman"/>
          <w:sz w:val="26"/>
          <w:szCs w:val="26"/>
        </w:rPr>
        <w:t xml:space="preserve">, in cui la Corte ha ritenuto </w:t>
      </w:r>
      <w:r w:rsidR="00A63017" w:rsidRPr="00CD159D">
        <w:rPr>
          <w:rFonts w:ascii="Times New Roman" w:hAnsi="Times New Roman" w:cs="Times New Roman"/>
          <w:sz w:val="26"/>
          <w:szCs w:val="26"/>
        </w:rPr>
        <w:t>irricevibile</w:t>
      </w:r>
      <w:r w:rsidR="00647341" w:rsidRPr="00CD159D">
        <w:rPr>
          <w:rFonts w:ascii="Times New Roman" w:hAnsi="Times New Roman" w:cs="Times New Roman"/>
          <w:sz w:val="26"/>
          <w:szCs w:val="26"/>
        </w:rPr>
        <w:t xml:space="preserve"> la</w:t>
      </w:r>
      <w:r w:rsidR="0063452F" w:rsidRPr="00CD159D">
        <w:rPr>
          <w:rFonts w:ascii="Times New Roman" w:hAnsi="Times New Roman" w:cs="Times New Roman"/>
          <w:sz w:val="26"/>
          <w:szCs w:val="26"/>
        </w:rPr>
        <w:t xml:space="preserve"> questione sollevata nell’ambito di una</w:t>
      </w:r>
      <w:r w:rsidR="00647341" w:rsidRPr="00CD159D">
        <w:rPr>
          <w:rFonts w:ascii="Times New Roman" w:hAnsi="Times New Roman" w:cs="Times New Roman"/>
          <w:sz w:val="26"/>
          <w:szCs w:val="26"/>
        </w:rPr>
        <w:t xml:space="preserve"> controversia pendente davanti al giudice italiano</w:t>
      </w:r>
      <w:r w:rsidR="001003B8" w:rsidRPr="00CD159D">
        <w:rPr>
          <w:rFonts w:ascii="Times New Roman" w:hAnsi="Times New Roman" w:cs="Times New Roman"/>
          <w:sz w:val="26"/>
          <w:szCs w:val="26"/>
        </w:rPr>
        <w:t xml:space="preserve"> </w:t>
      </w:r>
      <w:r w:rsidR="00A63017" w:rsidRPr="00CD159D">
        <w:rPr>
          <w:rFonts w:ascii="Times New Roman" w:hAnsi="Times New Roman" w:cs="Times New Roman"/>
          <w:sz w:val="26"/>
          <w:szCs w:val="26"/>
        </w:rPr>
        <w:t xml:space="preserve">in cui le parti </w:t>
      </w:r>
      <w:r w:rsidR="0063452F" w:rsidRPr="00CD159D">
        <w:rPr>
          <w:rFonts w:ascii="Times New Roman" w:hAnsi="Times New Roman" w:cs="Times New Roman"/>
          <w:sz w:val="26"/>
          <w:szCs w:val="26"/>
        </w:rPr>
        <w:t>erano</w:t>
      </w:r>
      <w:r w:rsidR="00A63017" w:rsidRPr="00CD159D">
        <w:rPr>
          <w:rFonts w:ascii="Times New Roman" w:hAnsi="Times New Roman" w:cs="Times New Roman"/>
          <w:sz w:val="26"/>
          <w:szCs w:val="26"/>
        </w:rPr>
        <w:t xml:space="preserve"> d’accordo </w:t>
      </w:r>
      <w:r w:rsidR="0063452F" w:rsidRPr="00CD159D">
        <w:rPr>
          <w:rFonts w:ascii="Times New Roman" w:hAnsi="Times New Roman" w:cs="Times New Roman"/>
          <w:sz w:val="26"/>
          <w:szCs w:val="26"/>
        </w:rPr>
        <w:t>sull’esito</w:t>
      </w:r>
      <w:r w:rsidR="00A63017" w:rsidRPr="00CD159D">
        <w:rPr>
          <w:rFonts w:ascii="Times New Roman" w:hAnsi="Times New Roman" w:cs="Times New Roman"/>
          <w:sz w:val="26"/>
          <w:szCs w:val="26"/>
        </w:rPr>
        <w:t xml:space="preserve"> del giudizio, </w:t>
      </w:r>
      <w:r w:rsidR="0063452F" w:rsidRPr="00CD159D">
        <w:rPr>
          <w:rFonts w:ascii="Times New Roman" w:hAnsi="Times New Roman" w:cs="Times New Roman"/>
          <w:sz w:val="26"/>
          <w:szCs w:val="26"/>
        </w:rPr>
        <w:t>instaurato al solo fine di</w:t>
      </w:r>
      <w:r w:rsidR="00A63017" w:rsidRPr="00CD159D">
        <w:rPr>
          <w:rFonts w:ascii="Times New Roman" w:hAnsi="Times New Roman" w:cs="Times New Roman"/>
          <w:sz w:val="26"/>
          <w:szCs w:val="26"/>
        </w:rPr>
        <w:t xml:space="preserve"> fare accertare</w:t>
      </w:r>
      <w:r w:rsidR="00647341" w:rsidRPr="00CD159D">
        <w:rPr>
          <w:rFonts w:ascii="Times New Roman" w:hAnsi="Times New Roman" w:cs="Times New Roman"/>
          <w:sz w:val="26"/>
          <w:szCs w:val="26"/>
        </w:rPr>
        <w:t xml:space="preserve"> il contrasto di una norma fiscale francese</w:t>
      </w:r>
      <w:r w:rsidR="00EE1919" w:rsidRPr="00CD159D">
        <w:rPr>
          <w:rFonts w:ascii="Times New Roman" w:hAnsi="Times New Roman" w:cs="Times New Roman"/>
          <w:sz w:val="26"/>
          <w:szCs w:val="26"/>
        </w:rPr>
        <w:t xml:space="preserve"> con il diritto europeo</w:t>
      </w:r>
      <w:r w:rsidR="00F263BE" w:rsidRPr="00CD159D">
        <w:rPr>
          <w:rFonts w:ascii="Times New Roman" w:hAnsi="Times New Roman" w:cs="Times New Roman"/>
          <w:sz w:val="26"/>
          <w:szCs w:val="26"/>
        </w:rPr>
        <w:t xml:space="preserve">. </w:t>
      </w:r>
      <w:r w:rsidR="004A5B69" w:rsidRPr="00CD159D">
        <w:rPr>
          <w:rFonts w:ascii="Times New Roman" w:hAnsi="Times New Roman" w:cs="Times New Roman"/>
          <w:sz w:val="26"/>
          <w:szCs w:val="26"/>
        </w:rPr>
        <w:t>Tale precedente</w:t>
      </w:r>
      <w:r w:rsidR="00647341" w:rsidRPr="00CD159D">
        <w:rPr>
          <w:rFonts w:ascii="Times New Roman" w:hAnsi="Times New Roman" w:cs="Times New Roman"/>
          <w:sz w:val="26"/>
          <w:szCs w:val="26"/>
        </w:rPr>
        <w:t xml:space="preserve"> è stato invero oggetto di un successivo ridimensionamento, come evincibile dalla sua rar</w:t>
      </w:r>
      <w:r w:rsidR="00904D8B" w:rsidRPr="00CD159D">
        <w:rPr>
          <w:rFonts w:ascii="Times New Roman" w:hAnsi="Times New Roman" w:cs="Times New Roman"/>
          <w:sz w:val="26"/>
          <w:szCs w:val="26"/>
        </w:rPr>
        <w:t>a successiva applicazione e</w:t>
      </w:r>
      <w:r w:rsidR="00647341" w:rsidRPr="00CD159D">
        <w:rPr>
          <w:rFonts w:ascii="Times New Roman" w:hAnsi="Times New Roman" w:cs="Times New Roman"/>
          <w:sz w:val="26"/>
          <w:szCs w:val="26"/>
        </w:rPr>
        <w:t xml:space="preserve"> dalle conclusion</w:t>
      </w:r>
      <w:r w:rsidR="00904D8B" w:rsidRPr="00CD159D">
        <w:rPr>
          <w:rFonts w:ascii="Times New Roman" w:hAnsi="Times New Roman" w:cs="Times New Roman"/>
          <w:sz w:val="26"/>
          <w:szCs w:val="26"/>
        </w:rPr>
        <w:t>i dell’A.G. Tiziano nella</w:t>
      </w:r>
      <w:r w:rsidR="00B109A9" w:rsidRPr="00CD159D">
        <w:rPr>
          <w:rFonts w:ascii="Times New Roman" w:hAnsi="Times New Roman" w:cs="Times New Roman"/>
          <w:sz w:val="26"/>
          <w:szCs w:val="26"/>
        </w:rPr>
        <w:t xml:space="preserve"> causa C-144/04, </w:t>
      </w:r>
      <w:r w:rsidR="00647341" w:rsidRPr="00CD159D">
        <w:rPr>
          <w:rFonts w:ascii="Times New Roman" w:hAnsi="Times New Roman" w:cs="Times New Roman"/>
          <w:i/>
          <w:sz w:val="26"/>
          <w:szCs w:val="26"/>
        </w:rPr>
        <w:t>Mangold</w:t>
      </w:r>
      <w:r w:rsidR="004A5B69" w:rsidRPr="00CD159D">
        <w:rPr>
          <w:rFonts w:ascii="Times New Roman" w:hAnsi="Times New Roman" w:cs="Times New Roman"/>
          <w:sz w:val="26"/>
          <w:szCs w:val="26"/>
        </w:rPr>
        <w:t xml:space="preserve">. </w:t>
      </w:r>
      <w:r w:rsidR="00647341" w:rsidRPr="00CD159D">
        <w:rPr>
          <w:rFonts w:ascii="Times New Roman" w:hAnsi="Times New Roman" w:cs="Times New Roman"/>
          <w:sz w:val="26"/>
          <w:szCs w:val="26"/>
        </w:rPr>
        <w:t>In particolare, l’</w:t>
      </w:r>
      <w:r w:rsidR="00A63017" w:rsidRPr="00CD159D">
        <w:rPr>
          <w:rFonts w:ascii="Times New Roman" w:hAnsi="Times New Roman" w:cs="Times New Roman"/>
          <w:sz w:val="26"/>
          <w:szCs w:val="26"/>
        </w:rPr>
        <w:t xml:space="preserve">A.G. ha </w:t>
      </w:r>
      <w:r w:rsidR="00A63017" w:rsidRPr="00CD159D">
        <w:rPr>
          <w:rFonts w:ascii="Times New Roman" w:hAnsi="Times New Roman" w:cs="Times New Roman"/>
          <w:sz w:val="26"/>
          <w:szCs w:val="26"/>
        </w:rPr>
        <w:lastRenderedPageBreak/>
        <w:t xml:space="preserve">rilevato che sarebbe più opportuno ancorare l’irricevibilità delle questioni poste in controversie palesemente fittizie non tanto all’esistenza di un accordo tra le parti del giudizio principale, quanto </w:t>
      </w:r>
      <w:r w:rsidR="00181C1B">
        <w:rPr>
          <w:rFonts w:ascii="Times New Roman" w:hAnsi="Times New Roman" w:cs="Times New Roman"/>
          <w:sz w:val="26"/>
          <w:szCs w:val="26"/>
        </w:rPr>
        <w:t>all’</w:t>
      </w:r>
      <w:r w:rsidR="006C70A9" w:rsidRPr="00CD159D">
        <w:rPr>
          <w:rFonts w:ascii="Times New Roman" w:hAnsi="Times New Roman" w:cs="Times New Roman"/>
          <w:sz w:val="26"/>
          <w:szCs w:val="26"/>
        </w:rPr>
        <w:t xml:space="preserve">effettiva </w:t>
      </w:r>
      <w:r w:rsidR="005C5DA4">
        <w:rPr>
          <w:rFonts w:ascii="Times New Roman" w:hAnsi="Times New Roman" w:cs="Times New Roman"/>
          <w:sz w:val="26"/>
          <w:szCs w:val="26"/>
        </w:rPr>
        <w:t>ir</w:t>
      </w:r>
      <w:r w:rsidR="006C70A9" w:rsidRPr="00CD159D">
        <w:rPr>
          <w:rFonts w:ascii="Times New Roman" w:hAnsi="Times New Roman" w:cs="Times New Roman"/>
          <w:sz w:val="26"/>
          <w:szCs w:val="26"/>
        </w:rPr>
        <w:t xml:space="preserve">rilevanza della questione pregiudiziale </w:t>
      </w:r>
      <w:r w:rsidR="0063452F" w:rsidRPr="00CD159D">
        <w:rPr>
          <w:rFonts w:ascii="Times New Roman" w:hAnsi="Times New Roman" w:cs="Times New Roman"/>
          <w:sz w:val="26"/>
          <w:szCs w:val="26"/>
        </w:rPr>
        <w:t>per la definizione della controversia</w:t>
      </w:r>
      <w:r w:rsidR="005C5DA4">
        <w:rPr>
          <w:rFonts w:ascii="Times New Roman" w:hAnsi="Times New Roman" w:cs="Times New Roman"/>
          <w:sz w:val="26"/>
          <w:szCs w:val="26"/>
        </w:rPr>
        <w:t>; tale</w:t>
      </w:r>
      <w:r w:rsidR="00466443" w:rsidRPr="00CD159D">
        <w:rPr>
          <w:rFonts w:ascii="Times New Roman" w:hAnsi="Times New Roman" w:cs="Times New Roman"/>
          <w:sz w:val="26"/>
          <w:szCs w:val="26"/>
        </w:rPr>
        <w:t xml:space="preserve"> soluzione </w:t>
      </w:r>
      <w:r w:rsidR="005C5DA4">
        <w:rPr>
          <w:rFonts w:ascii="Times New Roman" w:hAnsi="Times New Roman" w:cs="Times New Roman"/>
          <w:sz w:val="26"/>
          <w:szCs w:val="26"/>
        </w:rPr>
        <w:t xml:space="preserve">è infatti </w:t>
      </w:r>
      <w:r w:rsidR="00466443" w:rsidRPr="00CD159D">
        <w:rPr>
          <w:rFonts w:ascii="Times New Roman" w:hAnsi="Times New Roman" w:cs="Times New Roman"/>
          <w:sz w:val="26"/>
          <w:szCs w:val="26"/>
        </w:rPr>
        <w:t>più coerente con lo spirito di collaborazione tra giudice nazionale e giudice europeo</w:t>
      </w:r>
      <w:r w:rsidR="0063452F" w:rsidRPr="00CD159D">
        <w:rPr>
          <w:rFonts w:ascii="Times New Roman" w:hAnsi="Times New Roman" w:cs="Times New Roman"/>
          <w:sz w:val="26"/>
          <w:szCs w:val="26"/>
        </w:rPr>
        <w:t>,</w:t>
      </w:r>
      <w:r w:rsidR="00466443" w:rsidRPr="00CD159D">
        <w:rPr>
          <w:rFonts w:ascii="Times New Roman" w:hAnsi="Times New Roman" w:cs="Times New Roman"/>
          <w:sz w:val="26"/>
          <w:szCs w:val="26"/>
        </w:rPr>
        <w:t xml:space="preserve"> da cui deve discendere la fiducia sulle valutazioni del giudice nazionale e la presunzione che lo stesso non sia un mero strumento nelle mani delle parti.</w:t>
      </w:r>
      <w:r w:rsidR="006C70A9" w:rsidRPr="00CD159D">
        <w:rPr>
          <w:rFonts w:ascii="Times New Roman" w:hAnsi="Times New Roman" w:cs="Times New Roman"/>
          <w:sz w:val="26"/>
          <w:szCs w:val="26"/>
        </w:rPr>
        <w:t xml:space="preserve"> </w:t>
      </w:r>
    </w:p>
    <w:p w:rsidR="00734FBE" w:rsidRPr="00CD159D" w:rsidRDefault="00EE447A"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Inoltre</w:t>
      </w:r>
      <w:r w:rsidR="00BC0A3D" w:rsidRPr="00CD159D">
        <w:rPr>
          <w:rFonts w:ascii="Times New Roman" w:hAnsi="Times New Roman" w:cs="Times New Roman"/>
          <w:sz w:val="26"/>
          <w:szCs w:val="26"/>
        </w:rPr>
        <w:t>,</w:t>
      </w:r>
      <w:r w:rsidR="004A5B69" w:rsidRPr="00CD159D">
        <w:rPr>
          <w:rFonts w:ascii="Times New Roman" w:hAnsi="Times New Roman" w:cs="Times New Roman"/>
          <w:sz w:val="26"/>
          <w:szCs w:val="26"/>
        </w:rPr>
        <w:t xml:space="preserve"> la Corte di Giustizia</w:t>
      </w:r>
      <w:r w:rsidR="00BC0A3D" w:rsidRPr="00CD159D">
        <w:rPr>
          <w:rFonts w:ascii="Times New Roman" w:hAnsi="Times New Roman" w:cs="Times New Roman"/>
          <w:sz w:val="26"/>
          <w:szCs w:val="26"/>
        </w:rPr>
        <w:t xml:space="preserve"> ha iniziato </w:t>
      </w:r>
      <w:r w:rsidR="00A05FE1" w:rsidRPr="00CD159D">
        <w:rPr>
          <w:rFonts w:ascii="Times New Roman" w:hAnsi="Times New Roman" w:cs="Times New Roman"/>
          <w:sz w:val="26"/>
          <w:szCs w:val="26"/>
        </w:rPr>
        <w:t>a verificare direttamente la</w:t>
      </w:r>
      <w:r w:rsidR="00AA7804" w:rsidRPr="00CD159D">
        <w:rPr>
          <w:rFonts w:ascii="Times New Roman" w:hAnsi="Times New Roman" w:cs="Times New Roman"/>
          <w:sz w:val="26"/>
          <w:szCs w:val="26"/>
        </w:rPr>
        <w:t xml:space="preserve"> rilevanza della questione</w:t>
      </w:r>
      <w:r w:rsidR="00575F69" w:rsidRPr="00CD159D">
        <w:rPr>
          <w:rFonts w:ascii="Times New Roman" w:hAnsi="Times New Roman" w:cs="Times New Roman"/>
          <w:sz w:val="26"/>
          <w:szCs w:val="26"/>
        </w:rPr>
        <w:t xml:space="preserve"> sollevata</w:t>
      </w:r>
      <w:r w:rsidR="00AA7804" w:rsidRPr="00CD159D">
        <w:rPr>
          <w:rFonts w:ascii="Times New Roman" w:hAnsi="Times New Roman" w:cs="Times New Roman"/>
          <w:sz w:val="26"/>
          <w:szCs w:val="26"/>
        </w:rPr>
        <w:t xml:space="preserve"> ai fini della decisione della controversia</w:t>
      </w:r>
      <w:r w:rsidR="00C4189E" w:rsidRPr="00CD159D">
        <w:rPr>
          <w:rFonts w:ascii="Times New Roman" w:hAnsi="Times New Roman" w:cs="Times New Roman"/>
          <w:sz w:val="26"/>
          <w:szCs w:val="26"/>
        </w:rPr>
        <w:t xml:space="preserve"> e ad onerare </w:t>
      </w:r>
      <w:r w:rsidR="00AA7804" w:rsidRPr="00CD159D">
        <w:rPr>
          <w:rFonts w:ascii="Times New Roman" w:hAnsi="Times New Roman" w:cs="Times New Roman"/>
          <w:sz w:val="26"/>
          <w:szCs w:val="26"/>
        </w:rPr>
        <w:t>il giudice del rinvio di un corrispondente onere motivazionale sul punto</w:t>
      </w:r>
      <w:r w:rsidR="00C4189E" w:rsidRPr="00CD159D">
        <w:rPr>
          <w:rFonts w:ascii="Times New Roman" w:hAnsi="Times New Roman" w:cs="Times New Roman"/>
          <w:sz w:val="26"/>
          <w:szCs w:val="26"/>
        </w:rPr>
        <w:t xml:space="preserve"> (il giudice deve indicare </w:t>
      </w:r>
      <w:r w:rsidR="001003B8" w:rsidRPr="00CD159D">
        <w:rPr>
          <w:rFonts w:ascii="Times New Roman" w:hAnsi="Times New Roman" w:cs="Times New Roman"/>
          <w:sz w:val="26"/>
          <w:szCs w:val="26"/>
        </w:rPr>
        <w:t xml:space="preserve">le </w:t>
      </w:r>
      <w:r w:rsidR="00C4189E" w:rsidRPr="00CD159D">
        <w:rPr>
          <w:rFonts w:ascii="Times New Roman" w:hAnsi="Times New Roman" w:cs="Times New Roman"/>
          <w:sz w:val="26"/>
          <w:szCs w:val="26"/>
        </w:rPr>
        <w:t>ragioni che l’hanno indotto a interrogarsi sull’interpretazione di determinate disposizioni del diritto dell’Unione e a reputare necessario sottoporre talune questioni pregiudiziali alla Corte)</w:t>
      </w:r>
      <w:r w:rsidR="00AA7804" w:rsidRPr="00CD159D">
        <w:rPr>
          <w:rFonts w:ascii="Times New Roman" w:hAnsi="Times New Roman" w:cs="Times New Roman"/>
          <w:sz w:val="26"/>
          <w:szCs w:val="26"/>
        </w:rPr>
        <w:t>. Così</w:t>
      </w:r>
      <w:r w:rsidR="00F263BE" w:rsidRPr="00CD159D">
        <w:rPr>
          <w:rFonts w:ascii="Times New Roman" w:hAnsi="Times New Roman" w:cs="Times New Roman"/>
          <w:sz w:val="26"/>
          <w:szCs w:val="26"/>
        </w:rPr>
        <w:t xml:space="preserve"> sono state </w:t>
      </w:r>
      <w:r w:rsidRPr="00CD159D">
        <w:rPr>
          <w:rFonts w:ascii="Times New Roman" w:hAnsi="Times New Roman" w:cs="Times New Roman"/>
          <w:sz w:val="26"/>
          <w:szCs w:val="26"/>
        </w:rPr>
        <w:t xml:space="preserve">ritenute irricevibili questioni pregiudiziali non aventi alcuna relazione con le concrete circostanze o l’oggetto della causa principale, poste in un giudizio già concluso, aventi carattere generale o meramente ipotetico, aventi ad oggetto </w:t>
      </w:r>
      <w:r w:rsidR="0063452F" w:rsidRPr="00CD159D">
        <w:rPr>
          <w:rFonts w:ascii="Times New Roman" w:hAnsi="Times New Roman" w:cs="Times New Roman"/>
          <w:sz w:val="26"/>
          <w:szCs w:val="26"/>
        </w:rPr>
        <w:t>questioni interpretative la cui soluzione non era necessaria ai fini della decisione della causa principale o, ancora, sollevate in cause in cui non era applicabile il diritto europeo</w:t>
      </w:r>
      <w:r w:rsidR="002510D9" w:rsidRPr="00CD159D">
        <w:rPr>
          <w:rFonts w:ascii="Times New Roman" w:hAnsi="Times New Roman" w:cs="Times New Roman"/>
          <w:sz w:val="26"/>
          <w:szCs w:val="26"/>
          <w:vertAlign w:val="superscript"/>
        </w:rPr>
        <w:footnoteReference w:id="12"/>
      </w:r>
      <w:r w:rsidR="0063452F" w:rsidRPr="00CD159D">
        <w:rPr>
          <w:rFonts w:ascii="Times New Roman" w:hAnsi="Times New Roman" w:cs="Times New Roman"/>
          <w:sz w:val="26"/>
          <w:szCs w:val="26"/>
        </w:rPr>
        <w:t>.</w:t>
      </w:r>
    </w:p>
    <w:p w:rsidR="008F4A63" w:rsidRPr="00CD159D" w:rsidRDefault="00A63017"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La</w:t>
      </w:r>
      <w:r w:rsidR="00816B79" w:rsidRPr="00CD159D">
        <w:rPr>
          <w:rFonts w:ascii="Times New Roman" w:hAnsi="Times New Roman" w:cs="Times New Roman"/>
          <w:sz w:val="26"/>
          <w:szCs w:val="26"/>
        </w:rPr>
        <w:t xml:space="preserve"> </w:t>
      </w:r>
      <w:r w:rsidR="0063452F" w:rsidRPr="00CD159D">
        <w:rPr>
          <w:rFonts w:ascii="Times New Roman" w:hAnsi="Times New Roman" w:cs="Times New Roman"/>
          <w:sz w:val="26"/>
          <w:szCs w:val="26"/>
        </w:rPr>
        <w:t xml:space="preserve">posizione più restrittiva della Corte di Giustizia in ordine alla ricevibilità dei rinvii pregiudiziali è stata </w:t>
      </w:r>
      <w:r w:rsidR="002138A8" w:rsidRPr="00CD159D">
        <w:rPr>
          <w:rFonts w:ascii="Times New Roman" w:hAnsi="Times New Roman" w:cs="Times New Roman"/>
          <w:sz w:val="26"/>
          <w:szCs w:val="26"/>
        </w:rPr>
        <w:t xml:space="preserve">tuttavia </w:t>
      </w:r>
      <w:r w:rsidR="0063452F" w:rsidRPr="00CD159D">
        <w:rPr>
          <w:rFonts w:ascii="Times New Roman" w:hAnsi="Times New Roman" w:cs="Times New Roman"/>
          <w:sz w:val="26"/>
          <w:szCs w:val="26"/>
        </w:rPr>
        <w:t xml:space="preserve">inaugurata con la sentenza </w:t>
      </w:r>
      <w:r w:rsidR="0073279C" w:rsidRPr="00CD159D">
        <w:rPr>
          <w:rFonts w:ascii="Times New Roman" w:hAnsi="Times New Roman" w:cs="Times New Roman"/>
          <w:sz w:val="26"/>
          <w:szCs w:val="26"/>
        </w:rPr>
        <w:t>del 6 ottobre 1992</w:t>
      </w:r>
      <w:r w:rsidR="00B109A9" w:rsidRPr="00CD159D">
        <w:rPr>
          <w:rFonts w:ascii="Times New Roman" w:hAnsi="Times New Roman" w:cs="Times New Roman"/>
          <w:sz w:val="26"/>
          <w:szCs w:val="26"/>
        </w:rPr>
        <w:t>,</w:t>
      </w:r>
      <w:r w:rsidR="0073279C" w:rsidRPr="00CD159D">
        <w:rPr>
          <w:rFonts w:ascii="Times New Roman" w:hAnsi="Times New Roman" w:cs="Times New Roman"/>
          <w:sz w:val="26"/>
          <w:szCs w:val="26"/>
        </w:rPr>
        <w:t xml:space="preserve"> </w:t>
      </w:r>
      <w:r w:rsidR="00B109A9" w:rsidRPr="00CD159D">
        <w:rPr>
          <w:rFonts w:ascii="Times New Roman" w:hAnsi="Times New Roman" w:cs="Times New Roman"/>
          <w:sz w:val="26"/>
          <w:szCs w:val="26"/>
        </w:rPr>
        <w:t>cause riunite</w:t>
      </w:r>
      <w:r w:rsidR="00466443" w:rsidRPr="00CD159D">
        <w:rPr>
          <w:rFonts w:ascii="Times New Roman" w:hAnsi="Times New Roman" w:cs="Times New Roman"/>
          <w:sz w:val="26"/>
          <w:szCs w:val="26"/>
        </w:rPr>
        <w:t xml:space="preserve"> C-</w:t>
      </w:r>
      <w:r w:rsidR="0063452F" w:rsidRPr="00CD159D">
        <w:rPr>
          <w:rFonts w:ascii="Times New Roman" w:hAnsi="Times New Roman" w:cs="Times New Roman"/>
          <w:sz w:val="26"/>
          <w:szCs w:val="26"/>
        </w:rPr>
        <w:t>320/90, C-321/90 e C-322/90</w:t>
      </w:r>
      <w:r w:rsidR="004A5B69" w:rsidRPr="00CD159D">
        <w:rPr>
          <w:rFonts w:ascii="Times New Roman" w:hAnsi="Times New Roman" w:cs="Times New Roman"/>
          <w:sz w:val="26"/>
          <w:szCs w:val="26"/>
        </w:rPr>
        <w:t>,</w:t>
      </w:r>
      <w:r w:rsidR="00AA7804" w:rsidRPr="00CD159D">
        <w:rPr>
          <w:rFonts w:ascii="Times New Roman" w:hAnsi="Times New Roman" w:cs="Times New Roman"/>
          <w:sz w:val="26"/>
          <w:szCs w:val="26"/>
        </w:rPr>
        <w:t xml:space="preserve"> </w:t>
      </w:r>
      <w:proofErr w:type="spellStart"/>
      <w:r w:rsidR="004A5B69" w:rsidRPr="00CD159D">
        <w:rPr>
          <w:rFonts w:ascii="Times New Roman" w:hAnsi="Times New Roman" w:cs="Times New Roman"/>
          <w:i/>
          <w:sz w:val="26"/>
          <w:szCs w:val="26"/>
        </w:rPr>
        <w:t>Telemarsicabruzzo</w:t>
      </w:r>
      <w:proofErr w:type="spellEnd"/>
      <w:r w:rsidR="0063452F" w:rsidRPr="00CD159D">
        <w:rPr>
          <w:rFonts w:ascii="Times New Roman" w:hAnsi="Times New Roman" w:cs="Times New Roman"/>
          <w:i/>
          <w:sz w:val="26"/>
          <w:szCs w:val="26"/>
        </w:rPr>
        <w:t xml:space="preserve"> e A</w:t>
      </w:r>
      <w:r w:rsidR="0063452F" w:rsidRPr="00CD159D">
        <w:rPr>
          <w:rFonts w:ascii="Times New Roman" w:hAnsi="Times New Roman" w:cs="Times New Roman"/>
          <w:sz w:val="26"/>
          <w:szCs w:val="26"/>
        </w:rPr>
        <w:t>.</w:t>
      </w:r>
      <w:r w:rsidR="00EE1919" w:rsidRPr="00CD159D">
        <w:rPr>
          <w:rFonts w:ascii="Times New Roman" w:hAnsi="Times New Roman" w:cs="Times New Roman"/>
          <w:sz w:val="26"/>
          <w:szCs w:val="26"/>
        </w:rPr>
        <w:t xml:space="preserve"> </w:t>
      </w:r>
      <w:r w:rsidR="00004C9D" w:rsidRPr="00CD159D">
        <w:rPr>
          <w:rFonts w:ascii="Times New Roman" w:hAnsi="Times New Roman" w:cs="Times New Roman"/>
          <w:sz w:val="26"/>
          <w:szCs w:val="26"/>
        </w:rPr>
        <w:t>Le ragioni di tale giurisprudenza si rinvengono nelle conclusioni dell’A.G.</w:t>
      </w:r>
      <w:r w:rsidR="008F2CD9" w:rsidRPr="00CD159D">
        <w:rPr>
          <w:rFonts w:ascii="Times New Roman" w:hAnsi="Times New Roman" w:cs="Times New Roman"/>
          <w:sz w:val="26"/>
          <w:szCs w:val="26"/>
        </w:rPr>
        <w:t>, ancor</w:t>
      </w:r>
      <w:r w:rsidR="00004C9D" w:rsidRPr="00CD159D">
        <w:rPr>
          <w:rFonts w:ascii="Times New Roman" w:hAnsi="Times New Roman" w:cs="Times New Roman"/>
          <w:sz w:val="26"/>
          <w:szCs w:val="26"/>
        </w:rPr>
        <w:t xml:space="preserve"> più che nella </w:t>
      </w:r>
      <w:r w:rsidR="008F2CD9" w:rsidRPr="00CD159D">
        <w:rPr>
          <w:rFonts w:ascii="Times New Roman" w:hAnsi="Times New Roman" w:cs="Times New Roman"/>
          <w:sz w:val="26"/>
          <w:szCs w:val="26"/>
        </w:rPr>
        <w:t xml:space="preserve">succinta </w:t>
      </w:r>
      <w:r w:rsidR="00004C9D" w:rsidRPr="00CD159D">
        <w:rPr>
          <w:rFonts w:ascii="Times New Roman" w:hAnsi="Times New Roman" w:cs="Times New Roman"/>
          <w:sz w:val="26"/>
          <w:szCs w:val="26"/>
        </w:rPr>
        <w:t>motivazione della sentenza</w:t>
      </w:r>
      <w:r w:rsidR="008F4A63" w:rsidRPr="00CD159D">
        <w:rPr>
          <w:rFonts w:ascii="Times New Roman" w:hAnsi="Times New Roman" w:cs="Times New Roman"/>
          <w:sz w:val="26"/>
          <w:szCs w:val="26"/>
        </w:rPr>
        <w:t>, che ha sostanzialmente recepito le predette conclusioni</w:t>
      </w:r>
      <w:r w:rsidR="00004C9D" w:rsidRPr="00CD159D">
        <w:rPr>
          <w:rFonts w:ascii="Times New Roman" w:hAnsi="Times New Roman" w:cs="Times New Roman"/>
          <w:sz w:val="26"/>
          <w:szCs w:val="26"/>
        </w:rPr>
        <w:t xml:space="preserve">. </w:t>
      </w:r>
    </w:p>
    <w:p w:rsidR="008F2CD9" w:rsidRPr="00CD159D" w:rsidRDefault="00EE1919"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L’A.G</w:t>
      </w:r>
      <w:r w:rsidR="00402EF7" w:rsidRPr="00CD159D">
        <w:rPr>
          <w:rFonts w:ascii="Times New Roman" w:hAnsi="Times New Roman" w:cs="Times New Roman"/>
          <w:sz w:val="26"/>
          <w:szCs w:val="26"/>
        </w:rPr>
        <w:t xml:space="preserve">. </w:t>
      </w:r>
      <w:proofErr w:type="spellStart"/>
      <w:r w:rsidR="00402EF7" w:rsidRPr="00CD159D">
        <w:rPr>
          <w:rFonts w:ascii="Times New Roman" w:hAnsi="Times New Roman" w:cs="Times New Roman"/>
          <w:sz w:val="26"/>
          <w:szCs w:val="26"/>
        </w:rPr>
        <w:t>Gulman</w:t>
      </w:r>
      <w:proofErr w:type="spellEnd"/>
      <w:r w:rsidR="009E0368" w:rsidRPr="00CD159D">
        <w:rPr>
          <w:rFonts w:ascii="Times New Roman" w:hAnsi="Times New Roman" w:cs="Times New Roman"/>
          <w:sz w:val="26"/>
          <w:szCs w:val="26"/>
        </w:rPr>
        <w:t xml:space="preserve"> ha evidenziato</w:t>
      </w:r>
      <w:r w:rsidR="002510D9" w:rsidRPr="00CD159D">
        <w:rPr>
          <w:rFonts w:ascii="Times New Roman" w:hAnsi="Times New Roman" w:cs="Times New Roman"/>
          <w:sz w:val="26"/>
          <w:szCs w:val="26"/>
        </w:rPr>
        <w:t xml:space="preserve"> che</w:t>
      </w:r>
      <w:r w:rsidR="009E0368" w:rsidRPr="00CD159D">
        <w:rPr>
          <w:rFonts w:ascii="Times New Roman" w:hAnsi="Times New Roman" w:cs="Times New Roman"/>
          <w:sz w:val="26"/>
          <w:szCs w:val="26"/>
        </w:rPr>
        <w:t xml:space="preserve"> </w:t>
      </w:r>
      <w:r w:rsidR="00060EBB" w:rsidRPr="00CD159D">
        <w:rPr>
          <w:rFonts w:ascii="Times New Roman" w:hAnsi="Times New Roman" w:cs="Times New Roman"/>
          <w:sz w:val="26"/>
          <w:szCs w:val="26"/>
        </w:rPr>
        <w:t xml:space="preserve">proprio </w:t>
      </w:r>
      <w:r w:rsidR="009E0368" w:rsidRPr="00CD159D">
        <w:rPr>
          <w:rFonts w:ascii="Times New Roman" w:hAnsi="Times New Roman" w:cs="Times New Roman"/>
          <w:sz w:val="26"/>
          <w:szCs w:val="26"/>
        </w:rPr>
        <w:t xml:space="preserve">in applicazione </w:t>
      </w:r>
      <w:r w:rsidR="00060EBB" w:rsidRPr="00CD159D">
        <w:rPr>
          <w:rFonts w:ascii="Times New Roman" w:hAnsi="Times New Roman" w:cs="Times New Roman"/>
          <w:sz w:val="26"/>
          <w:szCs w:val="26"/>
        </w:rPr>
        <w:t xml:space="preserve">di quel </w:t>
      </w:r>
      <w:r w:rsidR="002510D9" w:rsidRPr="00CD159D">
        <w:rPr>
          <w:rFonts w:ascii="Times New Roman" w:hAnsi="Times New Roman" w:cs="Times New Roman"/>
          <w:sz w:val="26"/>
          <w:szCs w:val="26"/>
        </w:rPr>
        <w:t>principio di collabora</w:t>
      </w:r>
      <w:r w:rsidR="00884B66" w:rsidRPr="00CD159D">
        <w:rPr>
          <w:rFonts w:ascii="Times New Roman" w:hAnsi="Times New Roman" w:cs="Times New Roman"/>
          <w:sz w:val="26"/>
          <w:szCs w:val="26"/>
        </w:rPr>
        <w:t>zione</w:t>
      </w:r>
      <w:r w:rsidR="009E0368" w:rsidRPr="00CD159D">
        <w:rPr>
          <w:rFonts w:ascii="Times New Roman" w:hAnsi="Times New Roman" w:cs="Times New Roman"/>
          <w:sz w:val="26"/>
          <w:szCs w:val="26"/>
        </w:rPr>
        <w:t xml:space="preserve"> che per lungo tempo</w:t>
      </w:r>
      <w:r w:rsidR="002E3C0D" w:rsidRPr="00CD159D">
        <w:rPr>
          <w:rFonts w:ascii="Times New Roman" w:hAnsi="Times New Roman" w:cs="Times New Roman"/>
          <w:sz w:val="26"/>
          <w:szCs w:val="26"/>
        </w:rPr>
        <w:t xml:space="preserve"> ha giustificato l’</w:t>
      </w:r>
      <w:r w:rsidR="009E0368" w:rsidRPr="00CD159D">
        <w:rPr>
          <w:rFonts w:ascii="Times New Roman" w:hAnsi="Times New Roman" w:cs="Times New Roman"/>
          <w:sz w:val="26"/>
          <w:szCs w:val="26"/>
        </w:rPr>
        <w:t>indulgenza della Corte a fronte di provvedimenti di rinvio scarni e lacunosi, i</w:t>
      </w:r>
      <w:r w:rsidR="00884B66" w:rsidRPr="00CD159D">
        <w:rPr>
          <w:rFonts w:ascii="Times New Roman" w:hAnsi="Times New Roman" w:cs="Times New Roman"/>
          <w:sz w:val="26"/>
          <w:szCs w:val="26"/>
        </w:rPr>
        <w:t xml:space="preserve"> giudici nazionali devono rendersi conto dell’importanza decisiva che la Corte conosca a sufficienza il contesto di fatto e di diritto della questione sottopostale.</w:t>
      </w:r>
    </w:p>
    <w:p w:rsidR="008F2CD9" w:rsidRPr="00CD159D" w:rsidRDefault="00884B66"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E ciò </w:t>
      </w:r>
      <w:r w:rsidR="002E3C0D" w:rsidRPr="00CD159D">
        <w:rPr>
          <w:rFonts w:ascii="Times New Roman" w:hAnsi="Times New Roman" w:cs="Times New Roman"/>
          <w:sz w:val="26"/>
          <w:szCs w:val="26"/>
        </w:rPr>
        <w:t xml:space="preserve">per due ragioni. In primo luogo, </w:t>
      </w:r>
      <w:r w:rsidRPr="00CD159D">
        <w:rPr>
          <w:rFonts w:ascii="Times New Roman" w:hAnsi="Times New Roman" w:cs="Times New Roman"/>
          <w:sz w:val="26"/>
          <w:szCs w:val="26"/>
        </w:rPr>
        <w:t>la Corte</w:t>
      </w:r>
      <w:r w:rsidR="00060EBB" w:rsidRPr="00CD159D">
        <w:rPr>
          <w:rFonts w:ascii="Times New Roman" w:hAnsi="Times New Roman" w:cs="Times New Roman"/>
          <w:sz w:val="26"/>
          <w:szCs w:val="26"/>
        </w:rPr>
        <w:t xml:space="preserve"> di Giustizia </w:t>
      </w:r>
      <w:r w:rsidRPr="00CD159D">
        <w:rPr>
          <w:rFonts w:ascii="Times New Roman" w:hAnsi="Times New Roman" w:cs="Times New Roman"/>
          <w:sz w:val="26"/>
          <w:szCs w:val="26"/>
        </w:rPr>
        <w:t xml:space="preserve">non prende posizioni su questioni giuridiche astratte, ma le sue pronunce hanno lo scopo di garantire un’applicazione corretta ed uniforme del diritto comunitario quando i giudici nazionali risolvono controversie giuridiche concrete; </w:t>
      </w:r>
      <w:r w:rsidR="002412F0" w:rsidRPr="00CD159D">
        <w:rPr>
          <w:rFonts w:ascii="Times New Roman" w:hAnsi="Times New Roman" w:cs="Times New Roman"/>
          <w:sz w:val="26"/>
          <w:szCs w:val="26"/>
        </w:rPr>
        <w:t xml:space="preserve">da ciò </w:t>
      </w:r>
      <w:r w:rsidRPr="00CD159D">
        <w:rPr>
          <w:rFonts w:ascii="Times New Roman" w:hAnsi="Times New Roman" w:cs="Times New Roman"/>
          <w:sz w:val="26"/>
          <w:szCs w:val="26"/>
        </w:rPr>
        <w:t>consegue che</w:t>
      </w:r>
      <w:r w:rsidR="00060EBB" w:rsidRPr="00CD159D">
        <w:rPr>
          <w:rFonts w:ascii="Times New Roman" w:hAnsi="Times New Roman" w:cs="Times New Roman"/>
          <w:sz w:val="26"/>
          <w:szCs w:val="26"/>
        </w:rPr>
        <w:t xml:space="preserve">, </w:t>
      </w:r>
      <w:r w:rsidR="008F2CD9" w:rsidRPr="00CD159D">
        <w:rPr>
          <w:rFonts w:ascii="Times New Roman" w:hAnsi="Times New Roman" w:cs="Times New Roman"/>
          <w:sz w:val="26"/>
          <w:szCs w:val="26"/>
        </w:rPr>
        <w:t>senza una sufficiente conoscenza degli elementi di fatto e di di</w:t>
      </w:r>
      <w:r w:rsidR="00060EBB" w:rsidRPr="00CD159D">
        <w:rPr>
          <w:rFonts w:ascii="Times New Roman" w:hAnsi="Times New Roman" w:cs="Times New Roman"/>
          <w:sz w:val="26"/>
          <w:szCs w:val="26"/>
        </w:rPr>
        <w:t xml:space="preserve">ritto delle questioni sollevate, </w:t>
      </w:r>
      <w:r w:rsidR="008F2CD9" w:rsidRPr="00CD159D">
        <w:rPr>
          <w:rFonts w:ascii="Times New Roman" w:hAnsi="Times New Roman" w:cs="Times New Roman"/>
          <w:sz w:val="26"/>
          <w:szCs w:val="26"/>
        </w:rPr>
        <w:t xml:space="preserve">sussiste il serio rischio che le soluzioni fornite dalla Corte siano inadeguate e che possano condurre ad un’applicazione scorretta del diritto </w:t>
      </w:r>
      <w:r w:rsidR="008F2CD9" w:rsidRPr="00CD159D">
        <w:rPr>
          <w:rFonts w:ascii="Times New Roman" w:hAnsi="Times New Roman" w:cs="Times New Roman"/>
          <w:sz w:val="26"/>
          <w:szCs w:val="26"/>
        </w:rPr>
        <w:lastRenderedPageBreak/>
        <w:t xml:space="preserve">europeo negli Stati membri. In secondo luogo, la motivazione del provvedimento di rinvio è strumentale </w:t>
      </w:r>
      <w:r w:rsidR="00F9265D" w:rsidRPr="00CD159D">
        <w:rPr>
          <w:rFonts w:ascii="Times New Roman" w:hAnsi="Times New Roman" w:cs="Times New Roman"/>
          <w:sz w:val="26"/>
          <w:szCs w:val="26"/>
        </w:rPr>
        <w:t>all’esercizio</w:t>
      </w:r>
      <w:r w:rsidR="008F2CD9" w:rsidRPr="00CD159D">
        <w:rPr>
          <w:rFonts w:ascii="Times New Roman" w:hAnsi="Times New Roman" w:cs="Times New Roman"/>
          <w:sz w:val="26"/>
          <w:szCs w:val="26"/>
        </w:rPr>
        <w:t xml:space="preserve"> </w:t>
      </w:r>
      <w:r w:rsidR="002E3C0D" w:rsidRPr="00CD159D">
        <w:rPr>
          <w:rFonts w:ascii="Times New Roman" w:hAnsi="Times New Roman" w:cs="Times New Roman"/>
          <w:sz w:val="26"/>
          <w:szCs w:val="26"/>
        </w:rPr>
        <w:t xml:space="preserve">del </w:t>
      </w:r>
      <w:r w:rsidR="008F2CD9" w:rsidRPr="00CD159D">
        <w:rPr>
          <w:rFonts w:ascii="Times New Roman" w:hAnsi="Times New Roman" w:cs="Times New Roman"/>
          <w:sz w:val="26"/>
          <w:szCs w:val="26"/>
        </w:rPr>
        <w:t xml:space="preserve">diritto degli altri Stati membri di </w:t>
      </w:r>
      <w:r w:rsidR="00F9265D" w:rsidRPr="00CD159D">
        <w:rPr>
          <w:rFonts w:ascii="Times New Roman" w:hAnsi="Times New Roman" w:cs="Times New Roman"/>
          <w:sz w:val="26"/>
          <w:szCs w:val="26"/>
        </w:rPr>
        <w:t xml:space="preserve">presentare osservazioni ai sensi dell’art. 20 dello Statuto della Corte, diritto che può dirsi effettivo solo </w:t>
      </w:r>
      <w:r w:rsidR="002E3C0D" w:rsidRPr="00CD159D">
        <w:rPr>
          <w:rFonts w:ascii="Times New Roman" w:hAnsi="Times New Roman" w:cs="Times New Roman"/>
          <w:sz w:val="26"/>
          <w:szCs w:val="26"/>
        </w:rPr>
        <w:t xml:space="preserve">se </w:t>
      </w:r>
      <w:r w:rsidR="00865472">
        <w:rPr>
          <w:rFonts w:ascii="Times New Roman" w:hAnsi="Times New Roman" w:cs="Times New Roman"/>
          <w:sz w:val="26"/>
          <w:szCs w:val="26"/>
        </w:rPr>
        <w:t>i predetti Stati</w:t>
      </w:r>
      <w:r w:rsidR="002E3C0D" w:rsidRPr="00CD159D">
        <w:rPr>
          <w:rFonts w:ascii="Times New Roman" w:hAnsi="Times New Roman" w:cs="Times New Roman"/>
          <w:sz w:val="26"/>
          <w:szCs w:val="26"/>
        </w:rPr>
        <w:t xml:space="preserve"> posso</w:t>
      </w:r>
      <w:r w:rsidR="00F9265D" w:rsidRPr="00CD159D">
        <w:rPr>
          <w:rFonts w:ascii="Times New Roman" w:hAnsi="Times New Roman" w:cs="Times New Roman"/>
          <w:sz w:val="26"/>
          <w:szCs w:val="26"/>
        </w:rPr>
        <w:t>no conoscere la motivazione del rinvio e gli elementi di fatto e di diritto posti a suo fondamento.</w:t>
      </w:r>
    </w:p>
    <w:p w:rsidR="00EE1919" w:rsidRPr="00CD159D" w:rsidRDefault="007019A6"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Ma l’A.G., e</w:t>
      </w:r>
      <w:r w:rsidR="00F9265D" w:rsidRPr="00CD159D">
        <w:rPr>
          <w:rFonts w:ascii="Times New Roman" w:hAnsi="Times New Roman" w:cs="Times New Roman"/>
          <w:sz w:val="26"/>
          <w:szCs w:val="26"/>
        </w:rPr>
        <w:t xml:space="preserve"> la Corte nella sentenza, non si fermano qua. Si afferma, </w:t>
      </w:r>
      <w:r w:rsidR="002138A8" w:rsidRPr="00CD159D">
        <w:rPr>
          <w:rFonts w:ascii="Times New Roman" w:hAnsi="Times New Roman" w:cs="Times New Roman"/>
          <w:sz w:val="26"/>
          <w:szCs w:val="26"/>
        </w:rPr>
        <w:t>infatti</w:t>
      </w:r>
      <w:r w:rsidR="00F9265D" w:rsidRPr="00CD159D">
        <w:rPr>
          <w:rFonts w:ascii="Times New Roman" w:hAnsi="Times New Roman" w:cs="Times New Roman"/>
          <w:sz w:val="26"/>
          <w:szCs w:val="26"/>
        </w:rPr>
        <w:t xml:space="preserve">, che </w:t>
      </w:r>
      <w:r w:rsidR="002138A8" w:rsidRPr="00CD159D">
        <w:rPr>
          <w:rFonts w:ascii="Times New Roman" w:hAnsi="Times New Roman" w:cs="Times New Roman"/>
          <w:sz w:val="26"/>
          <w:szCs w:val="26"/>
        </w:rPr>
        <w:t>gli</w:t>
      </w:r>
      <w:r w:rsidR="00F9265D" w:rsidRPr="00CD159D">
        <w:rPr>
          <w:rFonts w:ascii="Times New Roman" w:hAnsi="Times New Roman" w:cs="Times New Roman"/>
          <w:sz w:val="26"/>
          <w:szCs w:val="26"/>
        </w:rPr>
        <w:t xml:space="preserve"> elementi necessari </w:t>
      </w:r>
      <w:r w:rsidR="002138A8" w:rsidRPr="00CD159D">
        <w:rPr>
          <w:rFonts w:ascii="Times New Roman" w:hAnsi="Times New Roman" w:cs="Times New Roman"/>
          <w:sz w:val="26"/>
          <w:szCs w:val="26"/>
        </w:rPr>
        <w:t>alla Corte per decidere</w:t>
      </w:r>
      <w:r w:rsidR="003A56E9">
        <w:rPr>
          <w:rFonts w:ascii="Times New Roman" w:hAnsi="Times New Roman" w:cs="Times New Roman"/>
          <w:sz w:val="26"/>
          <w:szCs w:val="26"/>
        </w:rPr>
        <w:t xml:space="preserve"> devono essere contenuti, a pena di irricevibilità, </w:t>
      </w:r>
      <w:r w:rsidR="00F9265D" w:rsidRPr="00CD159D">
        <w:rPr>
          <w:rFonts w:ascii="Times New Roman" w:hAnsi="Times New Roman" w:cs="Times New Roman"/>
          <w:sz w:val="26"/>
          <w:szCs w:val="26"/>
        </w:rPr>
        <w:t>nell’ordinanza di rinvio e non possono desumersi da</w:t>
      </w:r>
      <w:r w:rsidR="008F4A63" w:rsidRPr="00CD159D">
        <w:rPr>
          <w:rFonts w:ascii="Times New Roman" w:hAnsi="Times New Roman" w:cs="Times New Roman"/>
          <w:sz w:val="26"/>
          <w:szCs w:val="26"/>
        </w:rPr>
        <w:t>gli atti di pa</w:t>
      </w:r>
      <w:r w:rsidR="002138A8" w:rsidRPr="00CD159D">
        <w:rPr>
          <w:rFonts w:ascii="Times New Roman" w:hAnsi="Times New Roman" w:cs="Times New Roman"/>
          <w:sz w:val="26"/>
          <w:szCs w:val="26"/>
        </w:rPr>
        <w:t>rte o</w:t>
      </w:r>
      <w:r w:rsidR="008F4A63" w:rsidRPr="00CD159D">
        <w:rPr>
          <w:rFonts w:ascii="Times New Roman" w:hAnsi="Times New Roman" w:cs="Times New Roman"/>
          <w:sz w:val="26"/>
          <w:szCs w:val="26"/>
        </w:rPr>
        <w:t>,</w:t>
      </w:r>
      <w:r w:rsidR="002138A8" w:rsidRPr="00CD159D">
        <w:rPr>
          <w:rFonts w:ascii="Times New Roman" w:hAnsi="Times New Roman" w:cs="Times New Roman"/>
          <w:sz w:val="26"/>
          <w:szCs w:val="26"/>
        </w:rPr>
        <w:t xml:space="preserve"> più</w:t>
      </w:r>
      <w:r w:rsidR="008F4A63" w:rsidRPr="00CD159D">
        <w:rPr>
          <w:rFonts w:ascii="Times New Roman" w:hAnsi="Times New Roman" w:cs="Times New Roman"/>
          <w:sz w:val="26"/>
          <w:szCs w:val="26"/>
        </w:rPr>
        <w:t xml:space="preserve"> in generale, dall’</w:t>
      </w:r>
      <w:r w:rsidR="002138A8" w:rsidRPr="00CD159D">
        <w:rPr>
          <w:rFonts w:ascii="Times New Roman" w:hAnsi="Times New Roman" w:cs="Times New Roman"/>
          <w:sz w:val="26"/>
          <w:szCs w:val="26"/>
        </w:rPr>
        <w:t>esame dei fascicoli della causa principale</w:t>
      </w:r>
      <w:r w:rsidR="008F4A63" w:rsidRPr="00CD159D">
        <w:rPr>
          <w:rFonts w:ascii="Times New Roman" w:hAnsi="Times New Roman" w:cs="Times New Roman"/>
          <w:sz w:val="26"/>
          <w:szCs w:val="26"/>
        </w:rPr>
        <w:t xml:space="preserve">. Ed infatti, per un verso, il riferimento </w:t>
      </w:r>
      <w:r w:rsidR="00AA0A82" w:rsidRPr="00CD159D">
        <w:rPr>
          <w:rFonts w:ascii="Times New Roman" w:hAnsi="Times New Roman" w:cs="Times New Roman"/>
          <w:sz w:val="26"/>
          <w:szCs w:val="26"/>
        </w:rPr>
        <w:t xml:space="preserve">agli atti di parte, oltre a richiedere un grande dispendio di risorse, comporta il rischio di equivoci; per altro verso, agli altri Stati membri vengono comunicati </w:t>
      </w:r>
      <w:r w:rsidR="00181C1B">
        <w:rPr>
          <w:rFonts w:ascii="Times New Roman" w:hAnsi="Times New Roman" w:cs="Times New Roman"/>
          <w:sz w:val="26"/>
          <w:szCs w:val="26"/>
        </w:rPr>
        <w:t xml:space="preserve">solo i provvedimenti di rinvio e, </w:t>
      </w:r>
      <w:r w:rsidR="00AA0A82" w:rsidRPr="00CD159D">
        <w:rPr>
          <w:rFonts w:ascii="Times New Roman" w:hAnsi="Times New Roman" w:cs="Times New Roman"/>
          <w:sz w:val="26"/>
          <w:szCs w:val="26"/>
        </w:rPr>
        <w:t>pertanto</w:t>
      </w:r>
      <w:r w:rsidR="00181C1B">
        <w:rPr>
          <w:rFonts w:ascii="Times New Roman" w:hAnsi="Times New Roman" w:cs="Times New Roman"/>
          <w:sz w:val="26"/>
          <w:szCs w:val="26"/>
        </w:rPr>
        <w:t>,</w:t>
      </w:r>
      <w:r w:rsidR="00AA0A82" w:rsidRPr="00CD159D">
        <w:rPr>
          <w:rFonts w:ascii="Times New Roman" w:hAnsi="Times New Roman" w:cs="Times New Roman"/>
          <w:sz w:val="26"/>
          <w:szCs w:val="26"/>
        </w:rPr>
        <w:t xml:space="preserve"> è solo da essi, e non da altri atti di causa, che devono evincersi i predetti elementi.</w:t>
      </w:r>
    </w:p>
    <w:p w:rsidR="007019A6" w:rsidRPr="00CD159D" w:rsidRDefault="007019A6" w:rsidP="00804185">
      <w:pPr>
        <w:spacing w:after="0" w:line="276" w:lineRule="auto"/>
        <w:ind w:firstLine="284"/>
        <w:jc w:val="both"/>
        <w:rPr>
          <w:rFonts w:ascii="Times New Roman" w:hAnsi="Times New Roman" w:cs="Times New Roman"/>
          <w:color w:val="000000" w:themeColor="text1"/>
          <w:sz w:val="26"/>
          <w:szCs w:val="26"/>
        </w:rPr>
      </w:pPr>
      <w:r w:rsidRPr="00CD159D">
        <w:rPr>
          <w:rFonts w:ascii="Times New Roman" w:hAnsi="Times New Roman" w:cs="Times New Roman"/>
          <w:color w:val="000000" w:themeColor="text1"/>
          <w:sz w:val="26"/>
          <w:szCs w:val="26"/>
        </w:rPr>
        <w:t xml:space="preserve">In conclusione quindi, alla luce </w:t>
      </w:r>
      <w:r w:rsidR="004346D9" w:rsidRPr="00CD159D">
        <w:rPr>
          <w:rFonts w:ascii="Times New Roman" w:hAnsi="Times New Roman" w:cs="Times New Roman"/>
          <w:color w:val="000000" w:themeColor="text1"/>
          <w:sz w:val="26"/>
          <w:szCs w:val="26"/>
        </w:rPr>
        <w:t>dell’evoluzione giurisprudenzial</w:t>
      </w:r>
      <w:r w:rsidR="00A05FE1" w:rsidRPr="00CD159D">
        <w:rPr>
          <w:rFonts w:ascii="Times New Roman" w:hAnsi="Times New Roman" w:cs="Times New Roman"/>
          <w:color w:val="000000" w:themeColor="text1"/>
          <w:sz w:val="26"/>
          <w:szCs w:val="26"/>
        </w:rPr>
        <w:t xml:space="preserve">e, il rinvio </w:t>
      </w:r>
      <w:r w:rsidR="00281B5D" w:rsidRPr="00CD159D">
        <w:rPr>
          <w:rFonts w:ascii="Times New Roman" w:hAnsi="Times New Roman" w:cs="Times New Roman"/>
          <w:color w:val="000000" w:themeColor="text1"/>
          <w:sz w:val="26"/>
          <w:szCs w:val="26"/>
        </w:rPr>
        <w:t>è irricevibile non solo</w:t>
      </w:r>
      <w:r w:rsidR="004346D9" w:rsidRPr="00CD159D">
        <w:rPr>
          <w:rFonts w:ascii="Times New Roman" w:hAnsi="Times New Roman" w:cs="Times New Roman"/>
          <w:color w:val="000000" w:themeColor="text1"/>
          <w:sz w:val="26"/>
          <w:szCs w:val="26"/>
        </w:rPr>
        <w:t xml:space="preserve"> quando la Corte verifica</w:t>
      </w:r>
      <w:r w:rsidR="00814A43" w:rsidRPr="00CD159D">
        <w:rPr>
          <w:rFonts w:ascii="Times New Roman" w:hAnsi="Times New Roman" w:cs="Times New Roman"/>
          <w:color w:val="000000" w:themeColor="text1"/>
          <w:sz w:val="26"/>
          <w:szCs w:val="26"/>
        </w:rPr>
        <w:t xml:space="preserve"> </w:t>
      </w:r>
      <w:r w:rsidR="004346D9" w:rsidRPr="00CD159D">
        <w:rPr>
          <w:rFonts w:ascii="Times New Roman" w:hAnsi="Times New Roman" w:cs="Times New Roman"/>
          <w:color w:val="000000" w:themeColor="text1"/>
          <w:sz w:val="26"/>
          <w:szCs w:val="26"/>
        </w:rPr>
        <w:t>l’</w:t>
      </w:r>
      <w:r w:rsidR="00865472">
        <w:rPr>
          <w:rFonts w:ascii="Times New Roman" w:hAnsi="Times New Roman" w:cs="Times New Roman"/>
          <w:color w:val="000000" w:themeColor="text1"/>
          <w:sz w:val="26"/>
          <w:szCs w:val="26"/>
        </w:rPr>
        <w:t xml:space="preserve">effettiva </w:t>
      </w:r>
      <w:r w:rsidR="004346D9" w:rsidRPr="00CD159D">
        <w:rPr>
          <w:rFonts w:ascii="Times New Roman" w:hAnsi="Times New Roman" w:cs="Times New Roman"/>
          <w:color w:val="000000" w:themeColor="text1"/>
          <w:sz w:val="26"/>
          <w:szCs w:val="26"/>
        </w:rPr>
        <w:t>irrilevanza della questione</w:t>
      </w:r>
      <w:r w:rsidR="00281B5D" w:rsidRPr="00CD159D">
        <w:rPr>
          <w:rFonts w:ascii="Times New Roman" w:hAnsi="Times New Roman" w:cs="Times New Roman"/>
          <w:color w:val="000000" w:themeColor="text1"/>
          <w:sz w:val="26"/>
          <w:szCs w:val="26"/>
        </w:rPr>
        <w:t xml:space="preserve"> sottoposta al suo esame ai fini della decisione della causa principale ma, più in generale,</w:t>
      </w:r>
      <w:r w:rsidR="004346D9" w:rsidRPr="00CD159D">
        <w:rPr>
          <w:rFonts w:ascii="Times New Roman" w:hAnsi="Times New Roman" w:cs="Times New Roman"/>
          <w:color w:val="000000" w:themeColor="text1"/>
          <w:sz w:val="26"/>
          <w:szCs w:val="26"/>
        </w:rPr>
        <w:t xml:space="preserve"> quando il giudice nazionale non fornisce gli elementi di fatto e di diritto </w:t>
      </w:r>
      <w:r w:rsidR="00814A43" w:rsidRPr="00CD159D">
        <w:rPr>
          <w:rFonts w:ascii="Times New Roman" w:hAnsi="Times New Roman" w:cs="Times New Roman"/>
          <w:color w:val="000000" w:themeColor="text1"/>
          <w:sz w:val="26"/>
          <w:szCs w:val="26"/>
        </w:rPr>
        <w:t xml:space="preserve">necessari alla Corte per pronunciarsi. </w:t>
      </w:r>
    </w:p>
    <w:p w:rsidR="00123721" w:rsidRPr="00CD159D" w:rsidRDefault="00A05FE1"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N</w:t>
      </w:r>
      <w:r w:rsidR="00303164" w:rsidRPr="00CD159D">
        <w:rPr>
          <w:rFonts w:ascii="Times New Roman" w:hAnsi="Times New Roman" w:cs="Times New Roman"/>
          <w:sz w:val="26"/>
          <w:szCs w:val="26"/>
        </w:rPr>
        <w:t xml:space="preserve">egli anni </w:t>
      </w:r>
      <w:r w:rsidR="007019A6" w:rsidRPr="00CD159D">
        <w:rPr>
          <w:rFonts w:ascii="Times New Roman" w:hAnsi="Times New Roman" w:cs="Times New Roman"/>
          <w:sz w:val="26"/>
          <w:szCs w:val="26"/>
        </w:rPr>
        <w:t xml:space="preserve">immediatamente </w:t>
      </w:r>
      <w:r w:rsidR="00303164" w:rsidRPr="00CD159D">
        <w:rPr>
          <w:rFonts w:ascii="Times New Roman" w:hAnsi="Times New Roman" w:cs="Times New Roman"/>
          <w:sz w:val="26"/>
          <w:szCs w:val="26"/>
        </w:rPr>
        <w:t>successivi</w:t>
      </w:r>
      <w:r w:rsidRPr="00CD159D">
        <w:rPr>
          <w:rFonts w:ascii="Times New Roman" w:hAnsi="Times New Roman" w:cs="Times New Roman"/>
          <w:sz w:val="26"/>
          <w:szCs w:val="26"/>
        </w:rPr>
        <w:t xml:space="preserve"> alla sentenza </w:t>
      </w:r>
      <w:proofErr w:type="spellStart"/>
      <w:r w:rsidRPr="00133308">
        <w:rPr>
          <w:rFonts w:ascii="Times New Roman" w:hAnsi="Times New Roman" w:cs="Times New Roman"/>
          <w:i/>
          <w:sz w:val="26"/>
          <w:szCs w:val="26"/>
        </w:rPr>
        <w:t>Telemarsicab</w:t>
      </w:r>
      <w:r w:rsidR="007019A6" w:rsidRPr="00133308">
        <w:rPr>
          <w:rFonts w:ascii="Times New Roman" w:hAnsi="Times New Roman" w:cs="Times New Roman"/>
          <w:i/>
          <w:sz w:val="26"/>
          <w:szCs w:val="26"/>
        </w:rPr>
        <w:t>ruzzo</w:t>
      </w:r>
      <w:proofErr w:type="spellEnd"/>
      <w:r w:rsidR="007019A6" w:rsidRPr="00CD159D">
        <w:rPr>
          <w:rFonts w:ascii="Times New Roman" w:hAnsi="Times New Roman" w:cs="Times New Roman"/>
          <w:sz w:val="26"/>
          <w:szCs w:val="26"/>
        </w:rPr>
        <w:t xml:space="preserve">, la Corte ha mantenuto </w:t>
      </w:r>
      <w:r w:rsidRPr="00CD159D">
        <w:rPr>
          <w:rFonts w:ascii="Times New Roman" w:hAnsi="Times New Roman" w:cs="Times New Roman"/>
          <w:sz w:val="26"/>
          <w:szCs w:val="26"/>
        </w:rPr>
        <w:t xml:space="preserve">tuttavia </w:t>
      </w:r>
      <w:r w:rsidR="007019A6" w:rsidRPr="00CD159D">
        <w:rPr>
          <w:rFonts w:ascii="Times New Roman" w:hAnsi="Times New Roman" w:cs="Times New Roman"/>
          <w:sz w:val="26"/>
          <w:szCs w:val="26"/>
        </w:rPr>
        <w:t xml:space="preserve">una posizione incerta, </w:t>
      </w:r>
      <w:r w:rsidR="00A628C0" w:rsidRPr="00CD159D">
        <w:rPr>
          <w:rFonts w:ascii="Times New Roman" w:hAnsi="Times New Roman" w:cs="Times New Roman"/>
          <w:sz w:val="26"/>
          <w:szCs w:val="26"/>
        </w:rPr>
        <w:t>ritornand</w:t>
      </w:r>
      <w:r w:rsidR="007019A6" w:rsidRPr="00CD159D">
        <w:rPr>
          <w:rFonts w:ascii="Times New Roman" w:hAnsi="Times New Roman" w:cs="Times New Roman"/>
          <w:sz w:val="26"/>
          <w:szCs w:val="26"/>
        </w:rPr>
        <w:t>o</w:t>
      </w:r>
      <w:r w:rsidR="00303164" w:rsidRPr="00CD159D">
        <w:rPr>
          <w:rFonts w:ascii="Times New Roman" w:hAnsi="Times New Roman" w:cs="Times New Roman"/>
          <w:sz w:val="26"/>
          <w:szCs w:val="26"/>
        </w:rPr>
        <w:t xml:space="preserve"> talvolta </w:t>
      </w:r>
      <w:r w:rsidR="00123721" w:rsidRPr="00CD159D">
        <w:rPr>
          <w:rFonts w:ascii="Times New Roman" w:hAnsi="Times New Roman" w:cs="Times New Roman"/>
          <w:sz w:val="26"/>
          <w:szCs w:val="26"/>
        </w:rPr>
        <w:t>al precedente orientamento più permissivo</w:t>
      </w:r>
      <w:r w:rsidR="00303164" w:rsidRPr="00CD159D">
        <w:rPr>
          <w:rFonts w:ascii="Times New Roman" w:hAnsi="Times New Roman" w:cs="Times New Roman"/>
          <w:sz w:val="26"/>
          <w:szCs w:val="26"/>
        </w:rPr>
        <w:t xml:space="preserve">, </w:t>
      </w:r>
      <w:r w:rsidR="00466443" w:rsidRPr="00CD159D">
        <w:rPr>
          <w:rFonts w:ascii="Times New Roman" w:hAnsi="Times New Roman" w:cs="Times New Roman"/>
          <w:sz w:val="26"/>
          <w:szCs w:val="26"/>
        </w:rPr>
        <w:t xml:space="preserve">circostanza che </w:t>
      </w:r>
      <w:r w:rsidR="00E63CC1" w:rsidRPr="00CD159D">
        <w:rPr>
          <w:rFonts w:ascii="Times New Roman" w:hAnsi="Times New Roman" w:cs="Times New Roman"/>
          <w:sz w:val="26"/>
          <w:szCs w:val="26"/>
        </w:rPr>
        <w:t xml:space="preserve">ha acuito il </w:t>
      </w:r>
      <w:r w:rsidR="00466443" w:rsidRPr="00CD159D">
        <w:rPr>
          <w:rFonts w:ascii="Times New Roman" w:hAnsi="Times New Roman" w:cs="Times New Roman"/>
          <w:sz w:val="26"/>
          <w:szCs w:val="26"/>
        </w:rPr>
        <w:t>disorientamento e le incertezze dei giudici nazionali</w:t>
      </w:r>
      <w:r w:rsidRPr="00CD159D">
        <w:rPr>
          <w:rFonts w:ascii="Times New Roman" w:hAnsi="Times New Roman" w:cs="Times New Roman"/>
          <w:sz w:val="26"/>
          <w:szCs w:val="26"/>
          <w:vertAlign w:val="superscript"/>
        </w:rPr>
        <w:footnoteReference w:id="13"/>
      </w:r>
      <w:r w:rsidR="00466443" w:rsidRPr="00CD159D">
        <w:rPr>
          <w:rFonts w:ascii="Times New Roman" w:hAnsi="Times New Roman" w:cs="Times New Roman"/>
          <w:sz w:val="26"/>
          <w:szCs w:val="26"/>
        </w:rPr>
        <w:t>.</w:t>
      </w:r>
      <w:r w:rsidR="00657570" w:rsidRPr="00CD159D">
        <w:rPr>
          <w:rFonts w:ascii="Times New Roman" w:hAnsi="Times New Roman" w:cs="Times New Roman"/>
          <w:sz w:val="26"/>
          <w:szCs w:val="26"/>
        </w:rPr>
        <w:t xml:space="preserve"> </w:t>
      </w:r>
    </w:p>
    <w:p w:rsidR="00884B66" w:rsidRPr="00CD159D" w:rsidRDefault="00657570"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In ogni caso, sin dal principio</w:t>
      </w:r>
      <w:r w:rsidR="00123721" w:rsidRPr="00CD159D">
        <w:rPr>
          <w:rFonts w:ascii="Times New Roman" w:hAnsi="Times New Roman" w:cs="Times New Roman"/>
          <w:sz w:val="26"/>
          <w:szCs w:val="26"/>
        </w:rPr>
        <w:t xml:space="preserve"> è stato precisato</w:t>
      </w:r>
      <w:r w:rsidRPr="00CD159D">
        <w:rPr>
          <w:rFonts w:ascii="Times New Roman" w:hAnsi="Times New Roman" w:cs="Times New Roman"/>
          <w:sz w:val="26"/>
          <w:szCs w:val="26"/>
        </w:rPr>
        <w:t xml:space="preserve"> che,</w:t>
      </w:r>
      <w:r w:rsidR="002412F0" w:rsidRPr="00CD159D">
        <w:rPr>
          <w:rFonts w:ascii="Times New Roman" w:hAnsi="Times New Roman" w:cs="Times New Roman"/>
          <w:sz w:val="26"/>
          <w:szCs w:val="26"/>
        </w:rPr>
        <w:t xml:space="preserve"> quando </w:t>
      </w:r>
      <w:r w:rsidR="00F05C35" w:rsidRPr="00CD159D">
        <w:rPr>
          <w:rFonts w:ascii="Times New Roman" w:hAnsi="Times New Roman" w:cs="Times New Roman"/>
          <w:sz w:val="26"/>
          <w:szCs w:val="26"/>
        </w:rPr>
        <w:t>la domanda pregiudiziale viene dichiarata</w:t>
      </w:r>
      <w:r w:rsidR="002412F0" w:rsidRPr="00CD159D">
        <w:rPr>
          <w:rFonts w:ascii="Times New Roman" w:hAnsi="Times New Roman" w:cs="Times New Roman"/>
          <w:sz w:val="26"/>
          <w:szCs w:val="26"/>
        </w:rPr>
        <w:t xml:space="preserve"> irricevibile a causa della lacunosità del provvedimento di rinvio, il giudice nazionale conserva il diritto di presentare una nuova domanda di pronuncia pregiudiziale</w:t>
      </w:r>
      <w:r w:rsidR="00133308">
        <w:rPr>
          <w:rFonts w:ascii="Times New Roman" w:hAnsi="Times New Roman" w:cs="Times New Roman"/>
          <w:sz w:val="26"/>
          <w:szCs w:val="26"/>
        </w:rPr>
        <w:t>,</w:t>
      </w:r>
      <w:r w:rsidR="002412F0" w:rsidRPr="00CD159D">
        <w:rPr>
          <w:rFonts w:ascii="Times New Roman" w:hAnsi="Times New Roman" w:cs="Times New Roman"/>
          <w:sz w:val="26"/>
          <w:szCs w:val="26"/>
        </w:rPr>
        <w:t xml:space="preserve"> fornendo alla Corte tutti gli elementi che le consentono di pronunciarsi. </w:t>
      </w:r>
    </w:p>
    <w:p w:rsidR="00694C49" w:rsidRPr="00CD159D" w:rsidRDefault="00694C49" w:rsidP="00804185">
      <w:pPr>
        <w:spacing w:after="0" w:line="276" w:lineRule="auto"/>
        <w:ind w:firstLine="284"/>
        <w:jc w:val="both"/>
        <w:rPr>
          <w:rFonts w:ascii="Times New Roman" w:hAnsi="Times New Roman" w:cs="Times New Roman"/>
          <w:sz w:val="26"/>
          <w:szCs w:val="26"/>
        </w:rPr>
      </w:pPr>
    </w:p>
    <w:p w:rsidR="00694C49" w:rsidRPr="00CD159D" w:rsidRDefault="00A83D69" w:rsidP="00804185">
      <w:pPr>
        <w:spacing w:after="0" w:line="276" w:lineRule="auto"/>
        <w:ind w:firstLine="284"/>
        <w:jc w:val="both"/>
        <w:rPr>
          <w:rFonts w:ascii="Times New Roman" w:hAnsi="Times New Roman" w:cs="Times New Roman"/>
          <w:b/>
          <w:i/>
          <w:sz w:val="26"/>
          <w:szCs w:val="26"/>
        </w:rPr>
      </w:pPr>
      <w:r w:rsidRPr="00CD159D">
        <w:rPr>
          <w:rFonts w:ascii="Times New Roman" w:hAnsi="Times New Roman" w:cs="Times New Roman"/>
          <w:b/>
          <w:i/>
          <w:sz w:val="26"/>
          <w:szCs w:val="26"/>
        </w:rPr>
        <w:t>4</w:t>
      </w:r>
      <w:r w:rsidR="00A628C0" w:rsidRPr="00CD159D">
        <w:rPr>
          <w:rFonts w:ascii="Times New Roman" w:hAnsi="Times New Roman" w:cs="Times New Roman"/>
          <w:b/>
          <w:i/>
          <w:sz w:val="26"/>
          <w:szCs w:val="26"/>
        </w:rPr>
        <w:t xml:space="preserve">. La </w:t>
      </w:r>
      <w:proofErr w:type="spellStart"/>
      <w:r w:rsidR="00A628C0" w:rsidRPr="00CD159D">
        <w:rPr>
          <w:rFonts w:ascii="Times New Roman" w:hAnsi="Times New Roman" w:cs="Times New Roman"/>
          <w:b/>
          <w:i/>
          <w:sz w:val="26"/>
          <w:szCs w:val="26"/>
        </w:rPr>
        <w:t>p</w:t>
      </w:r>
      <w:r w:rsidR="00066E9F" w:rsidRPr="00CD159D">
        <w:rPr>
          <w:rFonts w:ascii="Times New Roman" w:hAnsi="Times New Roman" w:cs="Times New Roman"/>
          <w:b/>
          <w:i/>
          <w:sz w:val="26"/>
          <w:szCs w:val="26"/>
        </w:rPr>
        <w:t>ositivizzazione</w:t>
      </w:r>
      <w:proofErr w:type="spellEnd"/>
      <w:r w:rsidR="00066E9F" w:rsidRPr="00CD159D">
        <w:rPr>
          <w:rFonts w:ascii="Times New Roman" w:hAnsi="Times New Roman" w:cs="Times New Roman"/>
          <w:b/>
          <w:i/>
          <w:sz w:val="26"/>
          <w:szCs w:val="26"/>
        </w:rPr>
        <w:t xml:space="preserve"> delle condizioni di ammissibilità del rinvio pregiudiziale elaborate dalla giurisprudenza europea.</w:t>
      </w:r>
    </w:p>
    <w:p w:rsidR="00694C49" w:rsidRPr="00CD159D" w:rsidRDefault="00466443"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 </w:t>
      </w:r>
    </w:p>
    <w:p w:rsidR="004551B6" w:rsidRPr="00CD159D" w:rsidRDefault="00AB13FA"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Una guida più sicura</w:t>
      </w:r>
      <w:r w:rsidR="00123721" w:rsidRPr="00CD159D">
        <w:rPr>
          <w:rFonts w:ascii="Times New Roman" w:hAnsi="Times New Roman" w:cs="Times New Roman"/>
          <w:sz w:val="26"/>
          <w:szCs w:val="26"/>
        </w:rPr>
        <w:t xml:space="preserve"> per i giudici nazionali</w:t>
      </w:r>
      <w:r w:rsidR="00B077F1">
        <w:rPr>
          <w:rFonts w:ascii="Times New Roman" w:hAnsi="Times New Roman" w:cs="Times New Roman"/>
          <w:sz w:val="26"/>
          <w:szCs w:val="26"/>
        </w:rPr>
        <w:t xml:space="preserve"> è stata rappresentata dalla</w:t>
      </w:r>
      <w:r w:rsidR="00EE447A" w:rsidRPr="00CD159D">
        <w:rPr>
          <w:rFonts w:ascii="Times New Roman" w:hAnsi="Times New Roman" w:cs="Times New Roman"/>
          <w:sz w:val="26"/>
          <w:szCs w:val="26"/>
        </w:rPr>
        <w:t xml:space="preserve"> </w:t>
      </w:r>
      <w:r w:rsidR="00FA0D0C" w:rsidRPr="00CD159D">
        <w:rPr>
          <w:rFonts w:ascii="Times New Roman" w:hAnsi="Times New Roman" w:cs="Times New Roman"/>
          <w:sz w:val="26"/>
          <w:szCs w:val="26"/>
        </w:rPr>
        <w:t>“N</w:t>
      </w:r>
      <w:r w:rsidR="00EE447A" w:rsidRPr="00CD159D">
        <w:rPr>
          <w:rFonts w:ascii="Times New Roman" w:hAnsi="Times New Roman" w:cs="Times New Roman"/>
          <w:sz w:val="26"/>
          <w:szCs w:val="26"/>
        </w:rPr>
        <w:t>ota informativa</w:t>
      </w:r>
      <w:r w:rsidR="00FA0D0C" w:rsidRPr="00CD159D">
        <w:rPr>
          <w:rFonts w:ascii="Times New Roman" w:hAnsi="Times New Roman" w:cs="Times New Roman"/>
          <w:sz w:val="26"/>
          <w:szCs w:val="26"/>
        </w:rPr>
        <w:t xml:space="preserve"> riguardante le domande di pronuncia pregiudiziale da parte dei giudici nazionali”</w:t>
      </w:r>
      <w:r w:rsidR="00B37117" w:rsidRPr="00CD159D">
        <w:rPr>
          <w:rFonts w:ascii="Times New Roman" w:hAnsi="Times New Roman" w:cs="Times New Roman"/>
          <w:sz w:val="26"/>
          <w:szCs w:val="26"/>
        </w:rPr>
        <w:t>, adottata nel 1996 ma pubblicata in GUUE solo a partire dal 2005, e sostituita,</w:t>
      </w:r>
      <w:r w:rsidR="00FA0D0C" w:rsidRPr="00CD159D">
        <w:rPr>
          <w:rFonts w:ascii="Times New Roman" w:hAnsi="Times New Roman" w:cs="Times New Roman"/>
          <w:sz w:val="26"/>
          <w:szCs w:val="26"/>
        </w:rPr>
        <w:t xml:space="preserve"> </w:t>
      </w:r>
      <w:r w:rsidR="00B37117" w:rsidRPr="00CD159D">
        <w:rPr>
          <w:rFonts w:ascii="Times New Roman" w:hAnsi="Times New Roman" w:cs="Times New Roman"/>
          <w:sz w:val="26"/>
          <w:szCs w:val="26"/>
        </w:rPr>
        <w:t xml:space="preserve">a decorrere </w:t>
      </w:r>
      <w:r w:rsidR="00FA0D0C" w:rsidRPr="00CD159D">
        <w:rPr>
          <w:rFonts w:ascii="Times New Roman" w:hAnsi="Times New Roman" w:cs="Times New Roman"/>
          <w:sz w:val="26"/>
          <w:szCs w:val="26"/>
        </w:rPr>
        <w:t xml:space="preserve">dal 2016, dalle “Raccomandazioni all’attenzione dei giudici nazionali, relative alla presentazione di domande di pronuncia pregiudiziale”. </w:t>
      </w:r>
      <w:r w:rsidR="00EE1919" w:rsidRPr="00CD159D">
        <w:rPr>
          <w:rFonts w:ascii="Times New Roman" w:hAnsi="Times New Roman" w:cs="Times New Roman"/>
          <w:sz w:val="26"/>
          <w:szCs w:val="26"/>
        </w:rPr>
        <w:t>T</w:t>
      </w:r>
      <w:r w:rsidR="00C46A7A" w:rsidRPr="00CD159D">
        <w:rPr>
          <w:rFonts w:ascii="Times New Roman" w:hAnsi="Times New Roman" w:cs="Times New Roman"/>
          <w:sz w:val="26"/>
          <w:szCs w:val="26"/>
        </w:rPr>
        <w:t xml:space="preserve">ali raccomandazioni, da ultimo aggiornate nel 2019, </w:t>
      </w:r>
      <w:r w:rsidR="00A05FE1" w:rsidRPr="00CD159D">
        <w:rPr>
          <w:rFonts w:ascii="Times New Roman" w:hAnsi="Times New Roman" w:cs="Times New Roman"/>
          <w:sz w:val="26"/>
          <w:szCs w:val="26"/>
        </w:rPr>
        <w:t xml:space="preserve">indicano le </w:t>
      </w:r>
      <w:r w:rsidR="00123721" w:rsidRPr="00CD159D">
        <w:rPr>
          <w:rFonts w:ascii="Times New Roman" w:hAnsi="Times New Roman" w:cs="Times New Roman"/>
          <w:sz w:val="26"/>
          <w:szCs w:val="26"/>
        </w:rPr>
        <w:t>informazioni</w:t>
      </w:r>
      <w:r w:rsidR="00E54F93" w:rsidRPr="00CD159D">
        <w:rPr>
          <w:rFonts w:ascii="Times New Roman" w:hAnsi="Times New Roman" w:cs="Times New Roman"/>
          <w:sz w:val="26"/>
          <w:szCs w:val="26"/>
        </w:rPr>
        <w:t xml:space="preserve"> necessari</w:t>
      </w:r>
      <w:r w:rsidR="00123721" w:rsidRPr="00CD159D">
        <w:rPr>
          <w:rFonts w:ascii="Times New Roman" w:hAnsi="Times New Roman" w:cs="Times New Roman"/>
          <w:sz w:val="26"/>
          <w:szCs w:val="26"/>
        </w:rPr>
        <w:t>e</w:t>
      </w:r>
      <w:r w:rsidR="00E54F93" w:rsidRPr="00CD159D">
        <w:rPr>
          <w:rFonts w:ascii="Times New Roman" w:hAnsi="Times New Roman" w:cs="Times New Roman"/>
          <w:sz w:val="26"/>
          <w:szCs w:val="26"/>
        </w:rPr>
        <w:t xml:space="preserve"> </w:t>
      </w:r>
      <w:r w:rsidR="00123721" w:rsidRPr="00CD159D">
        <w:rPr>
          <w:rFonts w:ascii="Times New Roman" w:hAnsi="Times New Roman" w:cs="Times New Roman"/>
          <w:sz w:val="26"/>
          <w:szCs w:val="26"/>
        </w:rPr>
        <w:t>per</w:t>
      </w:r>
      <w:r w:rsidR="00E54F93" w:rsidRPr="00CD159D">
        <w:rPr>
          <w:rFonts w:ascii="Times New Roman" w:hAnsi="Times New Roman" w:cs="Times New Roman"/>
          <w:sz w:val="26"/>
          <w:szCs w:val="26"/>
        </w:rPr>
        <w:t xml:space="preserve"> consentire alla Corte di verificare </w:t>
      </w:r>
      <w:r w:rsidR="00A73ED6" w:rsidRPr="00CD159D">
        <w:rPr>
          <w:rFonts w:ascii="Times New Roman" w:hAnsi="Times New Roman" w:cs="Times New Roman"/>
          <w:sz w:val="26"/>
          <w:szCs w:val="26"/>
        </w:rPr>
        <w:t>la rilevanza della questione ai fini della decisione della controversia principale</w:t>
      </w:r>
      <w:r w:rsidR="00E54F93" w:rsidRPr="00CD159D">
        <w:rPr>
          <w:rFonts w:ascii="Times New Roman" w:hAnsi="Times New Roman" w:cs="Times New Roman"/>
          <w:sz w:val="26"/>
          <w:szCs w:val="26"/>
        </w:rPr>
        <w:t xml:space="preserve"> </w:t>
      </w:r>
      <w:r w:rsidR="00123721" w:rsidRPr="00CD159D">
        <w:rPr>
          <w:rFonts w:ascii="Times New Roman" w:hAnsi="Times New Roman" w:cs="Times New Roman"/>
          <w:sz w:val="26"/>
          <w:szCs w:val="26"/>
        </w:rPr>
        <w:t>e</w:t>
      </w:r>
      <w:r w:rsidR="00E54F93" w:rsidRPr="00CD159D">
        <w:rPr>
          <w:rFonts w:ascii="Times New Roman" w:hAnsi="Times New Roman" w:cs="Times New Roman"/>
          <w:sz w:val="26"/>
          <w:szCs w:val="26"/>
        </w:rPr>
        <w:t xml:space="preserve"> di fornire una soluzione corretta ed utile.</w:t>
      </w:r>
      <w:r w:rsidR="00EE1919" w:rsidRPr="00CD159D">
        <w:rPr>
          <w:rFonts w:ascii="Times New Roman" w:hAnsi="Times New Roman" w:cs="Times New Roman"/>
          <w:sz w:val="26"/>
          <w:szCs w:val="26"/>
        </w:rPr>
        <w:t xml:space="preserve"> </w:t>
      </w:r>
      <w:r w:rsidR="00A05FE1" w:rsidRPr="00CD159D">
        <w:rPr>
          <w:rFonts w:ascii="Times New Roman" w:hAnsi="Times New Roman" w:cs="Times New Roman"/>
          <w:sz w:val="26"/>
          <w:szCs w:val="26"/>
        </w:rPr>
        <w:t xml:space="preserve">In particolare, il punto 15 prevede che: “Oltre al testo delle questioni sottoposte alla Corte in via pregiudiziale, la domanda di pronuncia pregiudiziale contiene: - un’illustrazione sommaria dell’oggetto della controversia nonché dei fatti rilevanti, quali accertati dal giudice del rinvio o, quanto meno, un’illustrazione delle circostanze di fatto sulle </w:t>
      </w:r>
      <w:r w:rsidR="007F634D" w:rsidRPr="00CD159D">
        <w:rPr>
          <w:rFonts w:ascii="Times New Roman" w:hAnsi="Times New Roman" w:cs="Times New Roman"/>
          <w:sz w:val="26"/>
          <w:szCs w:val="26"/>
        </w:rPr>
        <w:t>quali si basano le questioni; -</w:t>
      </w:r>
      <w:r w:rsidR="00A05FE1" w:rsidRPr="00CD159D">
        <w:rPr>
          <w:rFonts w:ascii="Times New Roman" w:hAnsi="Times New Roman" w:cs="Times New Roman"/>
          <w:sz w:val="26"/>
          <w:szCs w:val="26"/>
        </w:rPr>
        <w:t xml:space="preserve"> il contenuto delle norme nazionali applicabili alla fattispecie e, </w:t>
      </w:r>
      <w:r w:rsidR="00A05FE1" w:rsidRPr="00CD159D">
        <w:rPr>
          <w:rFonts w:ascii="Times New Roman" w:hAnsi="Times New Roman" w:cs="Times New Roman"/>
          <w:sz w:val="26"/>
          <w:szCs w:val="26"/>
        </w:rPr>
        <w:lastRenderedPageBreak/>
        <w:t>se del caso, la giurisp</w:t>
      </w:r>
      <w:r w:rsidR="007F634D" w:rsidRPr="00CD159D">
        <w:rPr>
          <w:rFonts w:ascii="Times New Roman" w:hAnsi="Times New Roman" w:cs="Times New Roman"/>
          <w:sz w:val="26"/>
          <w:szCs w:val="26"/>
        </w:rPr>
        <w:t>rudenza nazionale in materia; -</w:t>
      </w:r>
      <w:r w:rsidR="00A05FE1" w:rsidRPr="00CD159D">
        <w:rPr>
          <w:rFonts w:ascii="Times New Roman" w:hAnsi="Times New Roman" w:cs="Times New Roman"/>
          <w:sz w:val="26"/>
          <w:szCs w:val="26"/>
        </w:rPr>
        <w:t xml:space="preserve"> l’illustrazione dei motivi che hanno indotto il giudice del rinvio a interrogarsi sull’interpretazione o sulla validità di determinate disposizioni del diritto dell’Unione, nonché il collegamento che esso stabilisce tra dette disposizioni e la normativa nazionale applicabile alla causa principale”</w:t>
      </w:r>
      <w:r w:rsidR="007F634D" w:rsidRPr="00CD159D">
        <w:rPr>
          <w:rFonts w:ascii="Times New Roman" w:hAnsi="Times New Roman" w:cs="Times New Roman"/>
          <w:sz w:val="26"/>
          <w:szCs w:val="26"/>
        </w:rPr>
        <w:t>.</w:t>
      </w:r>
    </w:p>
    <w:p w:rsidR="00E63CC1" w:rsidRPr="00CD159D" w:rsidRDefault="00884B66" w:rsidP="00804185">
      <w:pPr>
        <w:spacing w:after="0" w:line="276" w:lineRule="auto"/>
        <w:ind w:firstLine="284"/>
        <w:jc w:val="both"/>
        <w:rPr>
          <w:rFonts w:ascii="Times New Roman" w:hAnsi="Times New Roman" w:cs="Times New Roman"/>
          <w:color w:val="FF0000"/>
          <w:sz w:val="26"/>
          <w:szCs w:val="26"/>
        </w:rPr>
      </w:pPr>
      <w:r w:rsidRPr="00CD159D">
        <w:rPr>
          <w:rFonts w:ascii="Times New Roman" w:hAnsi="Times New Roman" w:cs="Times New Roman"/>
          <w:sz w:val="26"/>
          <w:szCs w:val="26"/>
        </w:rPr>
        <w:t>Le</w:t>
      </w:r>
      <w:r w:rsidR="00004C9D" w:rsidRPr="00CD159D">
        <w:rPr>
          <w:rFonts w:ascii="Times New Roman" w:hAnsi="Times New Roman" w:cs="Times New Roman"/>
          <w:sz w:val="26"/>
          <w:szCs w:val="26"/>
        </w:rPr>
        <w:t xml:space="preserve"> raccomandazioni</w:t>
      </w:r>
      <w:r w:rsidR="007F634D" w:rsidRPr="00CD159D">
        <w:rPr>
          <w:rFonts w:ascii="Times New Roman" w:hAnsi="Times New Roman" w:cs="Times New Roman"/>
          <w:sz w:val="26"/>
          <w:szCs w:val="26"/>
        </w:rPr>
        <w:t>, sempre</w:t>
      </w:r>
      <w:r w:rsidR="00123721" w:rsidRPr="00CD159D">
        <w:rPr>
          <w:rFonts w:ascii="Times New Roman" w:hAnsi="Times New Roman" w:cs="Times New Roman"/>
          <w:sz w:val="26"/>
          <w:szCs w:val="26"/>
        </w:rPr>
        <w:t xml:space="preserve"> </w:t>
      </w:r>
      <w:r w:rsidR="00F05C35" w:rsidRPr="00CD159D">
        <w:rPr>
          <w:rFonts w:ascii="Times New Roman" w:hAnsi="Times New Roman" w:cs="Times New Roman"/>
          <w:sz w:val="26"/>
          <w:szCs w:val="26"/>
        </w:rPr>
        <w:t>al punto 15</w:t>
      </w:r>
      <w:r w:rsidR="007F634D" w:rsidRPr="00CD159D">
        <w:rPr>
          <w:rFonts w:ascii="Times New Roman" w:hAnsi="Times New Roman" w:cs="Times New Roman"/>
          <w:sz w:val="26"/>
          <w:szCs w:val="26"/>
        </w:rPr>
        <w:t>,</w:t>
      </w:r>
      <w:r w:rsidR="00F05C35" w:rsidRPr="00CD159D">
        <w:rPr>
          <w:rFonts w:ascii="Times New Roman" w:hAnsi="Times New Roman" w:cs="Times New Roman"/>
          <w:sz w:val="26"/>
          <w:szCs w:val="26"/>
        </w:rPr>
        <w:t xml:space="preserve"> </w:t>
      </w:r>
      <w:r w:rsidR="007F634D" w:rsidRPr="00CD159D">
        <w:rPr>
          <w:rFonts w:ascii="Times New Roman" w:hAnsi="Times New Roman" w:cs="Times New Roman"/>
          <w:sz w:val="26"/>
          <w:szCs w:val="26"/>
        </w:rPr>
        <w:t xml:space="preserve">prevedono </w:t>
      </w:r>
      <w:r w:rsidR="00123721" w:rsidRPr="00CD159D">
        <w:rPr>
          <w:rFonts w:ascii="Times New Roman" w:hAnsi="Times New Roman" w:cs="Times New Roman"/>
          <w:sz w:val="26"/>
          <w:szCs w:val="26"/>
        </w:rPr>
        <w:t xml:space="preserve">che “In assenza di uno o più degli elementi che precedono, la Corte può essere indotta, in particolare sulla base dell’articolo 53, paragrafo 2, del regolamento di procedura, a dichiararsi incompetente a statuire sulle questioni sollevate in via pregiudiziale o a respingere la domanda di pronuncia pregiudiziale in quanto irricevibile”. </w:t>
      </w:r>
      <w:r w:rsidR="00B077F1">
        <w:rPr>
          <w:rFonts w:ascii="Times New Roman" w:hAnsi="Times New Roman" w:cs="Times New Roman"/>
          <w:sz w:val="26"/>
          <w:szCs w:val="26"/>
        </w:rPr>
        <w:t>Le</w:t>
      </w:r>
      <w:r w:rsidR="00123721" w:rsidRPr="00CD159D">
        <w:rPr>
          <w:rFonts w:ascii="Times New Roman" w:hAnsi="Times New Roman" w:cs="Times New Roman"/>
          <w:sz w:val="26"/>
          <w:szCs w:val="26"/>
        </w:rPr>
        <w:t xml:space="preserve"> raccomandazioni</w:t>
      </w:r>
      <w:r w:rsidR="00B077F1">
        <w:rPr>
          <w:rFonts w:ascii="Times New Roman" w:hAnsi="Times New Roman" w:cs="Times New Roman"/>
          <w:sz w:val="26"/>
          <w:szCs w:val="26"/>
        </w:rPr>
        <w:t>, ancorché prive di carattere vincolante,</w:t>
      </w:r>
      <w:r w:rsidR="00123721" w:rsidRPr="00CD159D">
        <w:rPr>
          <w:rFonts w:ascii="Times New Roman" w:hAnsi="Times New Roman" w:cs="Times New Roman"/>
          <w:sz w:val="26"/>
          <w:szCs w:val="26"/>
        </w:rPr>
        <w:t xml:space="preserve"> s</w:t>
      </w:r>
      <w:r w:rsidR="00A628C0" w:rsidRPr="00CD159D">
        <w:rPr>
          <w:rFonts w:ascii="Times New Roman" w:hAnsi="Times New Roman" w:cs="Times New Roman"/>
          <w:sz w:val="26"/>
          <w:szCs w:val="26"/>
        </w:rPr>
        <w:t>ono state</w:t>
      </w:r>
      <w:r w:rsidRPr="00CD159D">
        <w:rPr>
          <w:rFonts w:ascii="Times New Roman" w:hAnsi="Times New Roman" w:cs="Times New Roman"/>
          <w:sz w:val="26"/>
          <w:szCs w:val="26"/>
        </w:rPr>
        <w:t xml:space="preserve"> </w:t>
      </w:r>
      <w:r w:rsidR="00B077F1">
        <w:rPr>
          <w:rFonts w:ascii="Times New Roman" w:hAnsi="Times New Roman" w:cs="Times New Roman"/>
          <w:sz w:val="26"/>
          <w:szCs w:val="26"/>
        </w:rPr>
        <w:t xml:space="preserve">pertanto </w:t>
      </w:r>
      <w:r w:rsidR="00004C9D" w:rsidRPr="00CD159D">
        <w:rPr>
          <w:rFonts w:ascii="Times New Roman" w:hAnsi="Times New Roman" w:cs="Times New Roman"/>
          <w:sz w:val="26"/>
          <w:szCs w:val="26"/>
        </w:rPr>
        <w:t xml:space="preserve">richiamate dalla Corte </w:t>
      </w:r>
      <w:r w:rsidR="00101194" w:rsidRPr="00CD159D">
        <w:rPr>
          <w:rFonts w:ascii="Times New Roman" w:hAnsi="Times New Roman" w:cs="Times New Roman"/>
          <w:sz w:val="26"/>
          <w:szCs w:val="26"/>
        </w:rPr>
        <w:t>di Giustizia a fondamento delle decisioni di irricevibilità</w:t>
      </w:r>
      <w:r w:rsidR="004551B6" w:rsidRPr="00CD159D">
        <w:rPr>
          <w:rFonts w:ascii="Times New Roman" w:hAnsi="Times New Roman" w:cs="Times New Roman"/>
          <w:sz w:val="26"/>
          <w:szCs w:val="26"/>
        </w:rPr>
        <w:t xml:space="preserve"> o incompetenza</w:t>
      </w:r>
      <w:r w:rsidR="00B077F1">
        <w:rPr>
          <w:rFonts w:ascii="Times New Roman" w:hAnsi="Times New Roman" w:cs="Times New Roman"/>
          <w:sz w:val="26"/>
          <w:szCs w:val="26"/>
        </w:rPr>
        <w:t xml:space="preserve">, </w:t>
      </w:r>
      <w:r w:rsidR="006B0CB0">
        <w:rPr>
          <w:rFonts w:ascii="Times New Roman" w:hAnsi="Times New Roman" w:cs="Times New Roman"/>
          <w:sz w:val="26"/>
          <w:szCs w:val="26"/>
        </w:rPr>
        <w:t>in quanto sostanzialmente</w:t>
      </w:r>
      <w:r w:rsidR="00B077F1">
        <w:rPr>
          <w:rFonts w:ascii="Times New Roman" w:hAnsi="Times New Roman" w:cs="Times New Roman"/>
          <w:sz w:val="26"/>
          <w:szCs w:val="26"/>
        </w:rPr>
        <w:t xml:space="preserve"> riproduttive</w:t>
      </w:r>
      <w:r w:rsidR="006B0CB0">
        <w:rPr>
          <w:rFonts w:ascii="Times New Roman" w:hAnsi="Times New Roman" w:cs="Times New Roman"/>
          <w:sz w:val="26"/>
          <w:szCs w:val="26"/>
        </w:rPr>
        <w:t xml:space="preserve"> della</w:t>
      </w:r>
      <w:r w:rsidR="00A628C0" w:rsidRPr="00CD159D">
        <w:rPr>
          <w:rFonts w:ascii="Times New Roman" w:hAnsi="Times New Roman" w:cs="Times New Roman"/>
          <w:sz w:val="26"/>
          <w:szCs w:val="26"/>
        </w:rPr>
        <w:t xml:space="preserve"> </w:t>
      </w:r>
      <w:r w:rsidR="00B077F1">
        <w:rPr>
          <w:rFonts w:ascii="Times New Roman" w:hAnsi="Times New Roman" w:cs="Times New Roman"/>
          <w:sz w:val="26"/>
          <w:szCs w:val="26"/>
        </w:rPr>
        <w:t xml:space="preserve">precedente </w:t>
      </w:r>
      <w:r w:rsidR="00101194" w:rsidRPr="00CD159D">
        <w:rPr>
          <w:rFonts w:ascii="Times New Roman" w:hAnsi="Times New Roman" w:cs="Times New Roman"/>
          <w:sz w:val="26"/>
          <w:szCs w:val="26"/>
        </w:rPr>
        <w:t>giurisprudenza.</w:t>
      </w:r>
      <w:r w:rsidR="00123721" w:rsidRPr="00CD159D">
        <w:rPr>
          <w:rFonts w:ascii="Times New Roman" w:hAnsi="Times New Roman" w:cs="Times New Roman"/>
          <w:sz w:val="26"/>
          <w:szCs w:val="26"/>
        </w:rPr>
        <w:t xml:space="preserve"> </w:t>
      </w:r>
    </w:p>
    <w:p w:rsidR="00066E9F" w:rsidRPr="00CD159D" w:rsidRDefault="00E63CC1"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Inoltre</w:t>
      </w:r>
      <w:r w:rsidR="00EF2620" w:rsidRPr="00CD159D">
        <w:rPr>
          <w:rFonts w:ascii="Times New Roman" w:hAnsi="Times New Roman" w:cs="Times New Roman"/>
          <w:sz w:val="26"/>
          <w:szCs w:val="26"/>
        </w:rPr>
        <w:t>,</w:t>
      </w:r>
      <w:r w:rsidRPr="00CD159D">
        <w:rPr>
          <w:rFonts w:ascii="Times New Roman" w:hAnsi="Times New Roman" w:cs="Times New Roman"/>
          <w:sz w:val="26"/>
          <w:szCs w:val="26"/>
        </w:rPr>
        <w:t xml:space="preserve"> nel 2012 il regolamento di procedura della Corte di Giustizia è stato modificato e l’art. 94 attualmente vigente </w:t>
      </w:r>
      <w:r w:rsidR="007F634D" w:rsidRPr="00CD159D">
        <w:rPr>
          <w:rFonts w:ascii="Times New Roman" w:hAnsi="Times New Roman" w:cs="Times New Roman"/>
          <w:sz w:val="26"/>
          <w:szCs w:val="26"/>
        </w:rPr>
        <w:t>riproduce il punto 15 delle raccomandazioni, sopra riportato</w:t>
      </w:r>
      <w:r w:rsidR="00804185" w:rsidRPr="00CD159D">
        <w:rPr>
          <w:rStyle w:val="Rimandonotaapidipagina"/>
          <w:rFonts w:ascii="Times New Roman" w:hAnsi="Times New Roman" w:cs="Times New Roman"/>
          <w:sz w:val="26"/>
          <w:szCs w:val="26"/>
        </w:rPr>
        <w:footnoteReference w:id="14"/>
      </w:r>
      <w:r w:rsidRPr="00CD159D">
        <w:rPr>
          <w:rFonts w:ascii="Times New Roman" w:hAnsi="Times New Roman" w:cs="Times New Roman"/>
          <w:sz w:val="26"/>
          <w:szCs w:val="26"/>
        </w:rPr>
        <w:t>.</w:t>
      </w:r>
      <w:r w:rsidR="00EE1919" w:rsidRPr="00CD159D">
        <w:rPr>
          <w:rFonts w:ascii="Times New Roman" w:hAnsi="Times New Roman" w:cs="Times New Roman"/>
          <w:sz w:val="26"/>
          <w:szCs w:val="26"/>
        </w:rPr>
        <w:t xml:space="preserve"> </w:t>
      </w:r>
      <w:r w:rsidRPr="00CD159D">
        <w:rPr>
          <w:rFonts w:ascii="Times New Roman" w:hAnsi="Times New Roman" w:cs="Times New Roman"/>
          <w:sz w:val="26"/>
          <w:szCs w:val="26"/>
        </w:rPr>
        <w:t xml:space="preserve">Ancorché tale disposizione non preveda una sanzione per la sua inosservanza, la </w:t>
      </w:r>
      <w:r w:rsidR="0073279C" w:rsidRPr="00CD159D">
        <w:rPr>
          <w:rFonts w:ascii="Times New Roman" w:hAnsi="Times New Roman" w:cs="Times New Roman"/>
          <w:sz w:val="26"/>
          <w:szCs w:val="26"/>
        </w:rPr>
        <w:t>Corte di Giustizia la richiama costantemente a fondamento delle pronunce di irricevibilità</w:t>
      </w:r>
      <w:r w:rsidR="00C46A7A" w:rsidRPr="00CD159D">
        <w:rPr>
          <w:rFonts w:ascii="Times New Roman" w:hAnsi="Times New Roman" w:cs="Times New Roman"/>
          <w:sz w:val="26"/>
          <w:szCs w:val="26"/>
        </w:rPr>
        <w:t xml:space="preserve"> per carenze formali dei provvedimenti di rinvio</w:t>
      </w:r>
      <w:r w:rsidR="0073279C" w:rsidRPr="00CD159D">
        <w:rPr>
          <w:rFonts w:ascii="Times New Roman" w:hAnsi="Times New Roman" w:cs="Times New Roman"/>
          <w:sz w:val="26"/>
          <w:szCs w:val="26"/>
        </w:rPr>
        <w:t>, riconoscend</w:t>
      </w:r>
      <w:r w:rsidR="00B077F1">
        <w:rPr>
          <w:rFonts w:ascii="Times New Roman" w:hAnsi="Times New Roman" w:cs="Times New Roman"/>
          <w:sz w:val="26"/>
          <w:szCs w:val="26"/>
        </w:rPr>
        <w:t>ole quindi carattere vincolante</w:t>
      </w:r>
      <w:r w:rsidR="00B33C06" w:rsidRPr="00CD159D">
        <w:rPr>
          <w:rStyle w:val="Rimandonotaapidipagina"/>
          <w:rFonts w:ascii="Times New Roman" w:hAnsi="Times New Roman" w:cs="Times New Roman"/>
          <w:sz w:val="26"/>
          <w:szCs w:val="26"/>
        </w:rPr>
        <w:footnoteReference w:id="15"/>
      </w:r>
      <w:r w:rsidR="00E74623" w:rsidRPr="00CD159D">
        <w:rPr>
          <w:rFonts w:ascii="Times New Roman" w:hAnsi="Times New Roman" w:cs="Times New Roman"/>
          <w:sz w:val="26"/>
          <w:szCs w:val="26"/>
        </w:rPr>
        <w:t>.</w:t>
      </w:r>
    </w:p>
    <w:p w:rsidR="00E74623" w:rsidRPr="00495936" w:rsidRDefault="00E74623" w:rsidP="00804185">
      <w:pPr>
        <w:spacing w:after="0" w:line="276" w:lineRule="auto"/>
        <w:ind w:firstLine="284"/>
        <w:jc w:val="both"/>
        <w:rPr>
          <w:rFonts w:ascii="Times New Roman" w:hAnsi="Times New Roman" w:cs="Times New Roman"/>
          <w:sz w:val="26"/>
          <w:szCs w:val="26"/>
        </w:rPr>
      </w:pPr>
    </w:p>
    <w:p w:rsidR="00066E9F" w:rsidRPr="00CD159D" w:rsidRDefault="00A83D69" w:rsidP="00804185">
      <w:pPr>
        <w:spacing w:after="0" w:line="276" w:lineRule="auto"/>
        <w:ind w:firstLine="284"/>
        <w:jc w:val="both"/>
        <w:rPr>
          <w:rFonts w:ascii="Times New Roman" w:hAnsi="Times New Roman" w:cs="Times New Roman"/>
          <w:b/>
          <w:i/>
          <w:sz w:val="26"/>
          <w:szCs w:val="26"/>
        </w:rPr>
      </w:pPr>
      <w:r w:rsidRPr="00CD159D">
        <w:rPr>
          <w:rFonts w:ascii="Times New Roman" w:hAnsi="Times New Roman" w:cs="Times New Roman"/>
          <w:b/>
          <w:i/>
          <w:sz w:val="26"/>
          <w:szCs w:val="26"/>
        </w:rPr>
        <w:t>5</w:t>
      </w:r>
      <w:r w:rsidR="00E74623" w:rsidRPr="00CD159D">
        <w:rPr>
          <w:rFonts w:ascii="Times New Roman" w:hAnsi="Times New Roman" w:cs="Times New Roman"/>
          <w:b/>
          <w:i/>
          <w:sz w:val="26"/>
          <w:szCs w:val="26"/>
        </w:rPr>
        <w:t xml:space="preserve">. </w:t>
      </w:r>
      <w:r w:rsidR="00A628C0" w:rsidRPr="00CD159D">
        <w:rPr>
          <w:rFonts w:ascii="Times New Roman" w:hAnsi="Times New Roman" w:cs="Times New Roman"/>
          <w:b/>
          <w:i/>
          <w:sz w:val="26"/>
          <w:szCs w:val="26"/>
        </w:rPr>
        <w:t>Casi problematici di ammissibilità del rinvio pregiudiziale</w:t>
      </w:r>
      <w:r w:rsidR="00066E9F" w:rsidRPr="00CD159D">
        <w:rPr>
          <w:rFonts w:ascii="Times New Roman" w:hAnsi="Times New Roman" w:cs="Times New Roman"/>
          <w:b/>
          <w:i/>
          <w:sz w:val="26"/>
          <w:szCs w:val="26"/>
        </w:rPr>
        <w:t>.</w:t>
      </w:r>
    </w:p>
    <w:p w:rsidR="00066E9F" w:rsidRPr="00CD159D" w:rsidRDefault="00066E9F" w:rsidP="00804185">
      <w:pPr>
        <w:spacing w:after="0" w:line="276" w:lineRule="auto"/>
        <w:ind w:firstLine="284"/>
        <w:jc w:val="both"/>
        <w:rPr>
          <w:rFonts w:ascii="Times New Roman" w:hAnsi="Times New Roman" w:cs="Times New Roman"/>
          <w:sz w:val="26"/>
          <w:szCs w:val="26"/>
        </w:rPr>
      </w:pPr>
    </w:p>
    <w:p w:rsidR="00FA0D0C" w:rsidRPr="00CD159D" w:rsidRDefault="00FA0D0C"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lastRenderedPageBreak/>
        <w:t xml:space="preserve"> </w:t>
      </w:r>
      <w:r w:rsidR="00A628C0" w:rsidRPr="00CD159D">
        <w:rPr>
          <w:rFonts w:ascii="Times New Roman" w:hAnsi="Times New Roman" w:cs="Times New Roman"/>
          <w:sz w:val="26"/>
          <w:szCs w:val="26"/>
        </w:rPr>
        <w:t>Ricostruita</w:t>
      </w:r>
      <w:r w:rsidR="00B37117" w:rsidRPr="00CD159D">
        <w:rPr>
          <w:rFonts w:ascii="Times New Roman" w:hAnsi="Times New Roman" w:cs="Times New Roman"/>
          <w:sz w:val="26"/>
          <w:szCs w:val="26"/>
        </w:rPr>
        <w:t xml:space="preserve"> l’evoluzione giurisprudenziale</w:t>
      </w:r>
      <w:r w:rsidR="00133308">
        <w:rPr>
          <w:rFonts w:ascii="Times New Roman" w:hAnsi="Times New Roman" w:cs="Times New Roman"/>
          <w:sz w:val="26"/>
          <w:szCs w:val="26"/>
        </w:rPr>
        <w:t xml:space="preserve"> e normativa</w:t>
      </w:r>
      <w:r w:rsidR="00B37117" w:rsidRPr="00CD159D">
        <w:rPr>
          <w:rFonts w:ascii="Times New Roman" w:hAnsi="Times New Roman" w:cs="Times New Roman"/>
          <w:sz w:val="26"/>
          <w:szCs w:val="26"/>
        </w:rPr>
        <w:t xml:space="preserve">, appare utile soffermarsi su </w:t>
      </w:r>
      <w:r w:rsidR="00884B66" w:rsidRPr="00CD159D">
        <w:rPr>
          <w:rFonts w:ascii="Times New Roman" w:hAnsi="Times New Roman" w:cs="Times New Roman"/>
          <w:sz w:val="26"/>
          <w:szCs w:val="26"/>
        </w:rPr>
        <w:t>alcuni</w:t>
      </w:r>
      <w:r w:rsidR="00B37117" w:rsidRPr="00CD159D">
        <w:rPr>
          <w:rFonts w:ascii="Times New Roman" w:hAnsi="Times New Roman" w:cs="Times New Roman"/>
          <w:sz w:val="26"/>
          <w:szCs w:val="26"/>
        </w:rPr>
        <w:t xml:space="preserve"> cas</w:t>
      </w:r>
      <w:r w:rsidR="00E74623" w:rsidRPr="00CD159D">
        <w:rPr>
          <w:rFonts w:ascii="Times New Roman" w:hAnsi="Times New Roman" w:cs="Times New Roman"/>
          <w:sz w:val="26"/>
          <w:szCs w:val="26"/>
        </w:rPr>
        <w:t>i particolarm</w:t>
      </w:r>
      <w:r w:rsidR="00A628C0" w:rsidRPr="00CD159D">
        <w:rPr>
          <w:rFonts w:ascii="Times New Roman" w:hAnsi="Times New Roman" w:cs="Times New Roman"/>
          <w:sz w:val="26"/>
          <w:szCs w:val="26"/>
        </w:rPr>
        <w:t xml:space="preserve">ente significativi, che pongono delicati </w:t>
      </w:r>
      <w:r w:rsidR="00B37117" w:rsidRPr="00CD159D">
        <w:rPr>
          <w:rFonts w:ascii="Times New Roman" w:hAnsi="Times New Roman" w:cs="Times New Roman"/>
          <w:sz w:val="26"/>
          <w:szCs w:val="26"/>
        </w:rPr>
        <w:t>problemi di onere motivazionale da parte del giudice nazionale</w:t>
      </w:r>
      <w:r w:rsidR="00181C1B">
        <w:rPr>
          <w:rFonts w:ascii="Times New Roman" w:hAnsi="Times New Roman" w:cs="Times New Roman"/>
          <w:sz w:val="26"/>
          <w:szCs w:val="26"/>
        </w:rPr>
        <w:t xml:space="preserve"> in relazione alla rilevanza della questione pregiudiziale</w:t>
      </w:r>
      <w:r w:rsidR="00B37117" w:rsidRPr="00CD159D">
        <w:rPr>
          <w:rFonts w:ascii="Times New Roman" w:hAnsi="Times New Roman" w:cs="Times New Roman"/>
          <w:sz w:val="26"/>
          <w:szCs w:val="26"/>
        </w:rPr>
        <w:t xml:space="preserve">. </w:t>
      </w:r>
    </w:p>
    <w:p w:rsidR="00694C49" w:rsidRPr="00CD159D" w:rsidRDefault="00694C49" w:rsidP="00804185">
      <w:pPr>
        <w:spacing w:after="0" w:line="276" w:lineRule="auto"/>
        <w:ind w:firstLine="284"/>
        <w:jc w:val="both"/>
        <w:rPr>
          <w:rFonts w:ascii="Times New Roman" w:hAnsi="Times New Roman" w:cs="Times New Roman"/>
          <w:sz w:val="26"/>
          <w:szCs w:val="26"/>
        </w:rPr>
      </w:pPr>
    </w:p>
    <w:p w:rsidR="00694C49" w:rsidRPr="00CD159D" w:rsidRDefault="00A83D69" w:rsidP="00804185">
      <w:pPr>
        <w:spacing w:after="0" w:line="276" w:lineRule="auto"/>
        <w:ind w:firstLine="284"/>
        <w:jc w:val="both"/>
        <w:rPr>
          <w:rFonts w:ascii="Times New Roman" w:hAnsi="Times New Roman" w:cs="Times New Roman"/>
          <w:b/>
          <w:i/>
          <w:sz w:val="26"/>
          <w:szCs w:val="26"/>
        </w:rPr>
      </w:pPr>
      <w:r w:rsidRPr="00CD159D">
        <w:rPr>
          <w:rFonts w:ascii="Times New Roman" w:hAnsi="Times New Roman" w:cs="Times New Roman"/>
          <w:b/>
          <w:i/>
          <w:sz w:val="26"/>
          <w:szCs w:val="26"/>
        </w:rPr>
        <w:t>5</w:t>
      </w:r>
      <w:r w:rsidR="00281B5D" w:rsidRPr="00CD159D">
        <w:rPr>
          <w:rFonts w:ascii="Times New Roman" w:hAnsi="Times New Roman" w:cs="Times New Roman"/>
          <w:b/>
          <w:i/>
          <w:sz w:val="26"/>
          <w:szCs w:val="26"/>
        </w:rPr>
        <w:t xml:space="preserve">.1. </w:t>
      </w:r>
      <w:r w:rsidR="00694C49" w:rsidRPr="00CD159D">
        <w:rPr>
          <w:rFonts w:ascii="Times New Roman" w:hAnsi="Times New Roman" w:cs="Times New Roman"/>
          <w:b/>
          <w:i/>
          <w:sz w:val="26"/>
          <w:szCs w:val="26"/>
        </w:rPr>
        <w:t>Rinvio pregiudiziale e situazioni puramente interne.</w:t>
      </w:r>
    </w:p>
    <w:p w:rsidR="00694C49" w:rsidRPr="00CD159D" w:rsidRDefault="00694C49" w:rsidP="00804185">
      <w:pPr>
        <w:spacing w:after="0" w:line="276" w:lineRule="auto"/>
        <w:ind w:firstLine="284"/>
        <w:jc w:val="both"/>
        <w:rPr>
          <w:rFonts w:ascii="Times New Roman" w:hAnsi="Times New Roman" w:cs="Times New Roman"/>
          <w:sz w:val="26"/>
          <w:szCs w:val="26"/>
        </w:rPr>
      </w:pPr>
    </w:p>
    <w:p w:rsidR="002138A8" w:rsidRPr="00CD159D" w:rsidRDefault="00281B5D"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Un’</w:t>
      </w:r>
      <w:r w:rsidR="00AD3BAD" w:rsidRPr="00CD159D">
        <w:rPr>
          <w:rFonts w:ascii="Times New Roman" w:hAnsi="Times New Roman" w:cs="Times New Roman"/>
          <w:sz w:val="26"/>
          <w:szCs w:val="26"/>
        </w:rPr>
        <w:t>ipotesi</w:t>
      </w:r>
      <w:r w:rsidR="007F634D" w:rsidRPr="00CD159D">
        <w:rPr>
          <w:rFonts w:ascii="Times New Roman" w:hAnsi="Times New Roman" w:cs="Times New Roman"/>
          <w:sz w:val="26"/>
          <w:szCs w:val="26"/>
        </w:rPr>
        <w:t xml:space="preserve"> diffusa</w:t>
      </w:r>
      <w:r w:rsidR="00F05C35" w:rsidRPr="00CD159D">
        <w:rPr>
          <w:rFonts w:ascii="Times New Roman" w:hAnsi="Times New Roman" w:cs="Times New Roman"/>
          <w:sz w:val="26"/>
          <w:szCs w:val="26"/>
        </w:rPr>
        <w:t xml:space="preserve"> di irricevibilità </w:t>
      </w:r>
      <w:r w:rsidR="002138A8" w:rsidRPr="00CD159D">
        <w:rPr>
          <w:rFonts w:ascii="Times New Roman" w:hAnsi="Times New Roman" w:cs="Times New Roman"/>
          <w:sz w:val="26"/>
          <w:szCs w:val="26"/>
        </w:rPr>
        <w:t xml:space="preserve">è quella </w:t>
      </w:r>
      <w:r w:rsidR="000849DE" w:rsidRPr="00CD159D">
        <w:rPr>
          <w:rFonts w:ascii="Times New Roman" w:hAnsi="Times New Roman" w:cs="Times New Roman"/>
          <w:sz w:val="26"/>
          <w:szCs w:val="26"/>
        </w:rPr>
        <w:t xml:space="preserve">concernente </w:t>
      </w:r>
      <w:r w:rsidR="00B0368F" w:rsidRPr="00CD159D">
        <w:rPr>
          <w:rFonts w:ascii="Times New Roman" w:hAnsi="Times New Roman" w:cs="Times New Roman"/>
          <w:sz w:val="26"/>
          <w:szCs w:val="26"/>
        </w:rPr>
        <w:t xml:space="preserve">le questioni di interpretazione </w:t>
      </w:r>
      <w:r w:rsidR="000D26CF" w:rsidRPr="00CD159D">
        <w:rPr>
          <w:rFonts w:ascii="Times New Roman" w:hAnsi="Times New Roman" w:cs="Times New Roman"/>
          <w:sz w:val="26"/>
          <w:szCs w:val="26"/>
        </w:rPr>
        <w:t>proposte in relazione a</w:t>
      </w:r>
      <w:r w:rsidR="00F972B9" w:rsidRPr="00CD159D">
        <w:rPr>
          <w:rFonts w:ascii="Times New Roman" w:hAnsi="Times New Roman" w:cs="Times New Roman"/>
          <w:sz w:val="26"/>
          <w:szCs w:val="26"/>
        </w:rPr>
        <w:t>lle</w:t>
      </w:r>
      <w:r w:rsidR="00B0368F" w:rsidRPr="00CD159D">
        <w:rPr>
          <w:rFonts w:ascii="Times New Roman" w:hAnsi="Times New Roman" w:cs="Times New Roman"/>
          <w:sz w:val="26"/>
          <w:szCs w:val="26"/>
        </w:rPr>
        <w:t xml:space="preserve"> </w:t>
      </w:r>
      <w:r w:rsidR="000D26CF" w:rsidRPr="00CD159D">
        <w:rPr>
          <w:rFonts w:ascii="Times New Roman" w:hAnsi="Times New Roman" w:cs="Times New Roman"/>
          <w:sz w:val="26"/>
          <w:szCs w:val="26"/>
        </w:rPr>
        <w:t>“</w:t>
      </w:r>
      <w:r w:rsidR="002138A8" w:rsidRPr="00CD159D">
        <w:rPr>
          <w:rFonts w:ascii="Times New Roman" w:hAnsi="Times New Roman" w:cs="Times New Roman"/>
          <w:sz w:val="26"/>
          <w:szCs w:val="26"/>
        </w:rPr>
        <w:t>situazioni puramente interne</w:t>
      </w:r>
      <w:r w:rsidR="000D26CF" w:rsidRPr="00CD159D">
        <w:rPr>
          <w:rFonts w:ascii="Times New Roman" w:hAnsi="Times New Roman" w:cs="Times New Roman"/>
          <w:sz w:val="26"/>
          <w:szCs w:val="26"/>
        </w:rPr>
        <w:t>”</w:t>
      </w:r>
      <w:r w:rsidR="006739C3" w:rsidRPr="00CD159D">
        <w:rPr>
          <w:rStyle w:val="Rimandonotaapidipagina"/>
          <w:rFonts w:ascii="Times New Roman" w:hAnsi="Times New Roman" w:cs="Times New Roman"/>
          <w:sz w:val="26"/>
          <w:szCs w:val="26"/>
        </w:rPr>
        <w:footnoteReference w:id="16"/>
      </w:r>
      <w:r w:rsidR="002138A8" w:rsidRPr="00CD159D">
        <w:rPr>
          <w:rFonts w:ascii="Times New Roman" w:hAnsi="Times New Roman" w:cs="Times New Roman"/>
          <w:sz w:val="26"/>
          <w:szCs w:val="26"/>
        </w:rPr>
        <w:t>.</w:t>
      </w:r>
    </w:p>
    <w:p w:rsidR="00F124DC" w:rsidRPr="00CD159D" w:rsidRDefault="001813C8" w:rsidP="00FA0182">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Con tale nozione vengono </w:t>
      </w:r>
      <w:r w:rsidR="00904D8B" w:rsidRPr="00CD159D">
        <w:rPr>
          <w:rFonts w:ascii="Times New Roman" w:hAnsi="Times New Roman" w:cs="Times New Roman"/>
          <w:sz w:val="26"/>
          <w:szCs w:val="26"/>
        </w:rPr>
        <w:t xml:space="preserve">definite </w:t>
      </w:r>
      <w:r w:rsidR="00F972B9" w:rsidRPr="00CD159D">
        <w:rPr>
          <w:rFonts w:ascii="Times New Roman" w:hAnsi="Times New Roman" w:cs="Times New Roman"/>
          <w:sz w:val="26"/>
          <w:szCs w:val="26"/>
        </w:rPr>
        <w:t xml:space="preserve">le fattispecie </w:t>
      </w:r>
      <w:r w:rsidR="00FA0182" w:rsidRPr="00CD159D">
        <w:rPr>
          <w:rFonts w:ascii="Times New Roman" w:hAnsi="Times New Roman" w:cs="Times New Roman"/>
          <w:sz w:val="26"/>
          <w:szCs w:val="26"/>
        </w:rPr>
        <w:t>i cui elementi si collocano tutti all’interno di un solo Stato membro</w:t>
      </w:r>
      <w:r w:rsidRPr="00CD159D">
        <w:rPr>
          <w:rFonts w:ascii="Times New Roman" w:hAnsi="Times New Roman" w:cs="Times New Roman"/>
          <w:sz w:val="26"/>
          <w:szCs w:val="26"/>
        </w:rPr>
        <w:t xml:space="preserve"> e che non presentano qualsivoglia fattore di collegamento con una situazione giuridica contemplata dal diritto dell’Unione</w:t>
      </w:r>
      <w:r w:rsidR="005D1B25" w:rsidRPr="00CD159D">
        <w:rPr>
          <w:rFonts w:ascii="Times New Roman" w:hAnsi="Times New Roman" w:cs="Times New Roman"/>
          <w:sz w:val="26"/>
          <w:szCs w:val="26"/>
        </w:rPr>
        <w:t xml:space="preserve">. </w:t>
      </w:r>
      <w:r w:rsidR="00FD6882" w:rsidRPr="00CD159D">
        <w:rPr>
          <w:rFonts w:ascii="Times New Roman" w:hAnsi="Times New Roman" w:cs="Times New Roman"/>
          <w:sz w:val="26"/>
          <w:szCs w:val="26"/>
        </w:rPr>
        <w:t xml:space="preserve">Si pensi esemplificativamente </w:t>
      </w:r>
      <w:r w:rsidR="00133308">
        <w:rPr>
          <w:rFonts w:ascii="Times New Roman" w:hAnsi="Times New Roman" w:cs="Times New Roman"/>
          <w:color w:val="000000" w:themeColor="text1"/>
          <w:sz w:val="26"/>
          <w:szCs w:val="26"/>
        </w:rPr>
        <w:t>alle procedure</w:t>
      </w:r>
      <w:r w:rsidR="00FD6882" w:rsidRPr="00CD159D">
        <w:rPr>
          <w:rFonts w:ascii="Times New Roman" w:hAnsi="Times New Roman" w:cs="Times New Roman"/>
          <w:color w:val="000000" w:themeColor="text1"/>
          <w:sz w:val="26"/>
          <w:szCs w:val="26"/>
        </w:rPr>
        <w:t xml:space="preserve"> di aggiudicazione di contratti pubblici non disciplinate da specifiche direttive (quali le concessioni o gli appalti sotto – soglia o le concessioni di beni finalizzate all’esercizio di attività economiche</w:t>
      </w:r>
      <w:r w:rsidR="00216C02" w:rsidRPr="00CD159D">
        <w:rPr>
          <w:rFonts w:ascii="Times New Roman" w:hAnsi="Times New Roman" w:cs="Times New Roman"/>
          <w:color w:val="000000" w:themeColor="text1"/>
          <w:sz w:val="26"/>
          <w:szCs w:val="26"/>
        </w:rPr>
        <w:t xml:space="preserve"> in assenza del requisito della scarsità della risorsa</w:t>
      </w:r>
      <w:r w:rsidR="00FD6882" w:rsidRPr="00CD159D">
        <w:rPr>
          <w:rFonts w:ascii="Times New Roman" w:hAnsi="Times New Roman" w:cs="Times New Roman"/>
          <w:color w:val="000000" w:themeColor="text1"/>
          <w:sz w:val="26"/>
          <w:szCs w:val="26"/>
        </w:rPr>
        <w:t>), quando la contestazione è sollevata davanti al giudice nazionale da soggetti aventi la sede nello stesso Stato membro dell’amministrazione aggiudicatrice</w:t>
      </w:r>
      <w:r w:rsidR="00216C02" w:rsidRPr="00CD159D">
        <w:rPr>
          <w:rFonts w:ascii="Times New Roman" w:hAnsi="Times New Roman" w:cs="Times New Roman"/>
          <w:color w:val="000000" w:themeColor="text1"/>
          <w:sz w:val="26"/>
          <w:szCs w:val="26"/>
        </w:rPr>
        <w:t>.</w:t>
      </w:r>
    </w:p>
    <w:p w:rsidR="00F972B9" w:rsidRPr="00CD159D" w:rsidRDefault="00081D61" w:rsidP="00FA0182">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L’inapplicabilità a tali fattispecie del diritto europeo rende le</w:t>
      </w:r>
      <w:r w:rsidR="001813C8" w:rsidRPr="00CD159D">
        <w:rPr>
          <w:rFonts w:ascii="Times New Roman" w:hAnsi="Times New Roman" w:cs="Times New Roman"/>
          <w:sz w:val="26"/>
          <w:szCs w:val="26"/>
        </w:rPr>
        <w:t xml:space="preserve"> questioni pregiudiziali </w:t>
      </w:r>
      <w:r w:rsidRPr="00CD159D">
        <w:rPr>
          <w:rFonts w:ascii="Times New Roman" w:hAnsi="Times New Roman" w:cs="Times New Roman"/>
          <w:sz w:val="26"/>
          <w:szCs w:val="26"/>
        </w:rPr>
        <w:t>che le concernono generalmente inammissibili</w:t>
      </w:r>
      <w:r w:rsidR="00227A3F" w:rsidRPr="00CD159D">
        <w:rPr>
          <w:rFonts w:ascii="Times New Roman" w:hAnsi="Times New Roman" w:cs="Times New Roman"/>
          <w:sz w:val="26"/>
          <w:szCs w:val="26"/>
        </w:rPr>
        <w:t xml:space="preserve">. </w:t>
      </w:r>
    </w:p>
    <w:p w:rsidR="00F972B9" w:rsidRPr="00CD159D" w:rsidRDefault="00904D8B" w:rsidP="00F972B9">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Tuttavia, </w:t>
      </w:r>
      <w:r w:rsidR="00133308">
        <w:rPr>
          <w:rFonts w:ascii="Times New Roman" w:hAnsi="Times New Roman" w:cs="Times New Roman"/>
          <w:sz w:val="26"/>
          <w:szCs w:val="26"/>
        </w:rPr>
        <w:t>la Corte di Giustizia, al fine di</w:t>
      </w:r>
      <w:r w:rsidR="00657FC4" w:rsidRPr="00CD159D">
        <w:rPr>
          <w:rFonts w:ascii="Times New Roman" w:hAnsi="Times New Roman" w:cs="Times New Roman"/>
          <w:sz w:val="26"/>
          <w:szCs w:val="26"/>
        </w:rPr>
        <w:t xml:space="preserve"> evitare il rischio di u</w:t>
      </w:r>
      <w:r w:rsidR="00381367" w:rsidRPr="00CD159D">
        <w:rPr>
          <w:rFonts w:ascii="Times New Roman" w:hAnsi="Times New Roman" w:cs="Times New Roman"/>
          <w:sz w:val="26"/>
          <w:szCs w:val="26"/>
        </w:rPr>
        <w:t>n’applicazione scorretta</w:t>
      </w:r>
      <w:r w:rsidR="003A56E9">
        <w:rPr>
          <w:rFonts w:ascii="Times New Roman" w:hAnsi="Times New Roman" w:cs="Times New Roman"/>
          <w:sz w:val="26"/>
          <w:szCs w:val="26"/>
        </w:rPr>
        <w:t>, contraddittoria</w:t>
      </w:r>
      <w:r w:rsidR="00381367" w:rsidRPr="00CD159D">
        <w:rPr>
          <w:rFonts w:ascii="Times New Roman" w:hAnsi="Times New Roman" w:cs="Times New Roman"/>
          <w:sz w:val="26"/>
          <w:szCs w:val="26"/>
        </w:rPr>
        <w:t xml:space="preserve"> o discriminatoria </w:t>
      </w:r>
      <w:r w:rsidR="00657FC4" w:rsidRPr="00CD159D">
        <w:rPr>
          <w:rFonts w:ascii="Times New Roman" w:hAnsi="Times New Roman" w:cs="Times New Roman"/>
          <w:sz w:val="26"/>
          <w:szCs w:val="26"/>
        </w:rPr>
        <w:t xml:space="preserve">del diritto </w:t>
      </w:r>
      <w:r w:rsidR="006739C3" w:rsidRPr="00CD159D">
        <w:rPr>
          <w:rFonts w:ascii="Times New Roman" w:hAnsi="Times New Roman" w:cs="Times New Roman"/>
          <w:sz w:val="26"/>
          <w:szCs w:val="26"/>
        </w:rPr>
        <w:t>dell’Unione</w:t>
      </w:r>
      <w:r w:rsidR="008A3232" w:rsidRPr="00CD159D">
        <w:rPr>
          <w:rFonts w:ascii="Times New Roman" w:hAnsi="Times New Roman" w:cs="Times New Roman"/>
          <w:sz w:val="26"/>
          <w:szCs w:val="26"/>
        </w:rPr>
        <w:t xml:space="preserve">, </w:t>
      </w:r>
      <w:r w:rsidR="00133308">
        <w:rPr>
          <w:rFonts w:ascii="Times New Roman" w:hAnsi="Times New Roman" w:cs="Times New Roman"/>
          <w:sz w:val="26"/>
          <w:szCs w:val="26"/>
        </w:rPr>
        <w:t xml:space="preserve">ha elaborato nel tempo alcune eccezioni, </w:t>
      </w:r>
      <w:r w:rsidR="008A3232" w:rsidRPr="00CD159D">
        <w:rPr>
          <w:rFonts w:ascii="Times New Roman" w:hAnsi="Times New Roman" w:cs="Times New Roman"/>
          <w:sz w:val="26"/>
          <w:szCs w:val="26"/>
        </w:rPr>
        <w:t>la cui sussistenza deve essere specificamente motivata dal giudice nazionale nell’ordinanza di rinvio</w:t>
      </w:r>
      <w:r w:rsidR="007F634D" w:rsidRPr="00CD159D">
        <w:rPr>
          <w:rFonts w:ascii="Times New Roman" w:hAnsi="Times New Roman" w:cs="Times New Roman"/>
          <w:sz w:val="26"/>
          <w:szCs w:val="26"/>
        </w:rPr>
        <w:t>, a pena di irricevibilità</w:t>
      </w:r>
      <w:r w:rsidR="006B0890" w:rsidRPr="00CD159D">
        <w:rPr>
          <w:rStyle w:val="Rimandonotaapidipagina"/>
          <w:rFonts w:ascii="Times New Roman" w:hAnsi="Times New Roman" w:cs="Times New Roman"/>
          <w:sz w:val="26"/>
          <w:szCs w:val="26"/>
        </w:rPr>
        <w:footnoteReference w:id="17"/>
      </w:r>
      <w:r w:rsidR="004F2B6C" w:rsidRPr="00CD159D">
        <w:rPr>
          <w:rFonts w:ascii="Times New Roman" w:hAnsi="Times New Roman" w:cs="Times New Roman"/>
          <w:sz w:val="26"/>
          <w:szCs w:val="26"/>
        </w:rPr>
        <w:t>.</w:t>
      </w:r>
      <w:r w:rsidR="00FA0182" w:rsidRPr="00CD159D">
        <w:rPr>
          <w:rFonts w:ascii="Times New Roman" w:hAnsi="Times New Roman" w:cs="Times New Roman"/>
          <w:sz w:val="26"/>
          <w:szCs w:val="26"/>
        </w:rPr>
        <w:t xml:space="preserve"> </w:t>
      </w:r>
    </w:p>
    <w:p w:rsidR="005D1B25" w:rsidRPr="00CD159D" w:rsidRDefault="007F634D" w:rsidP="00F124DC">
      <w:pPr>
        <w:spacing w:after="0" w:line="276" w:lineRule="auto"/>
        <w:ind w:firstLine="284"/>
        <w:jc w:val="both"/>
        <w:rPr>
          <w:rFonts w:ascii="Times New Roman" w:hAnsi="Times New Roman" w:cs="Times New Roman"/>
          <w:color w:val="000000" w:themeColor="text1"/>
          <w:sz w:val="26"/>
          <w:szCs w:val="26"/>
        </w:rPr>
      </w:pPr>
      <w:r w:rsidRPr="00CD159D">
        <w:rPr>
          <w:rFonts w:ascii="Times New Roman" w:hAnsi="Times New Roman" w:cs="Times New Roman"/>
          <w:color w:val="000000" w:themeColor="text1"/>
          <w:sz w:val="26"/>
          <w:szCs w:val="26"/>
        </w:rPr>
        <w:t xml:space="preserve">A) </w:t>
      </w:r>
      <w:r w:rsidR="006739C3" w:rsidRPr="00CD159D">
        <w:rPr>
          <w:rFonts w:ascii="Times New Roman" w:hAnsi="Times New Roman" w:cs="Times New Roman"/>
          <w:color w:val="000000" w:themeColor="text1"/>
          <w:sz w:val="26"/>
          <w:szCs w:val="26"/>
        </w:rPr>
        <w:t xml:space="preserve">Una prima </w:t>
      </w:r>
      <w:r w:rsidR="007E6DBA" w:rsidRPr="00CD159D">
        <w:rPr>
          <w:rFonts w:ascii="Times New Roman" w:hAnsi="Times New Roman" w:cs="Times New Roman"/>
          <w:color w:val="000000" w:themeColor="text1"/>
          <w:sz w:val="26"/>
          <w:szCs w:val="26"/>
        </w:rPr>
        <w:t>eccezio</w:t>
      </w:r>
      <w:r w:rsidR="005D1B25" w:rsidRPr="00CD159D">
        <w:rPr>
          <w:rFonts w:ascii="Times New Roman" w:hAnsi="Times New Roman" w:cs="Times New Roman"/>
          <w:color w:val="000000" w:themeColor="text1"/>
          <w:sz w:val="26"/>
          <w:szCs w:val="26"/>
        </w:rPr>
        <w:t xml:space="preserve">ne </w:t>
      </w:r>
      <w:r w:rsidR="007E6DBA" w:rsidRPr="00CD159D">
        <w:rPr>
          <w:rFonts w:ascii="Times New Roman" w:hAnsi="Times New Roman" w:cs="Times New Roman"/>
          <w:color w:val="000000" w:themeColor="text1"/>
          <w:sz w:val="26"/>
          <w:szCs w:val="26"/>
        </w:rPr>
        <w:t xml:space="preserve">è quella del </w:t>
      </w:r>
      <w:r w:rsidR="0073778E" w:rsidRPr="00CD159D">
        <w:rPr>
          <w:rFonts w:ascii="Times New Roman" w:hAnsi="Times New Roman" w:cs="Times New Roman"/>
          <w:color w:val="000000" w:themeColor="text1"/>
          <w:sz w:val="26"/>
          <w:szCs w:val="26"/>
        </w:rPr>
        <w:t>cd. interesse transfrontaliero certo</w:t>
      </w:r>
      <w:r w:rsidR="00FD6882" w:rsidRPr="00CD159D">
        <w:rPr>
          <w:rFonts w:ascii="Times New Roman" w:hAnsi="Times New Roman" w:cs="Times New Roman"/>
          <w:color w:val="000000" w:themeColor="text1"/>
          <w:sz w:val="26"/>
          <w:szCs w:val="26"/>
        </w:rPr>
        <w:t>, concernente principalmente le questioni pregiudiziali di interpretazione delle disposizioni che contemplano libertà fondamentali. Secondo la Corte di Giustizia,</w:t>
      </w:r>
      <w:r w:rsidR="00F124DC" w:rsidRPr="00CD159D">
        <w:rPr>
          <w:rFonts w:ascii="Times New Roman" w:hAnsi="Times New Roman" w:cs="Times New Roman"/>
          <w:color w:val="000000" w:themeColor="text1"/>
          <w:sz w:val="26"/>
          <w:szCs w:val="26"/>
        </w:rPr>
        <w:t xml:space="preserve"> una domanda di pronuncia pregiudiziale vertente sull’interpretazione delle disposizioni del Trattato relative alle libertà fondamentali può essere dichiarata ricevibile </w:t>
      </w:r>
      <w:r w:rsidR="00133308">
        <w:rPr>
          <w:rFonts w:ascii="Times New Roman" w:hAnsi="Times New Roman" w:cs="Times New Roman"/>
          <w:color w:val="000000" w:themeColor="text1"/>
          <w:sz w:val="26"/>
          <w:szCs w:val="26"/>
        </w:rPr>
        <w:t xml:space="preserve">quando i </w:t>
      </w:r>
      <w:r w:rsidR="00F124DC" w:rsidRPr="00CD159D">
        <w:rPr>
          <w:rFonts w:ascii="Times New Roman" w:hAnsi="Times New Roman" w:cs="Times New Roman"/>
          <w:color w:val="000000" w:themeColor="text1"/>
          <w:sz w:val="26"/>
          <w:szCs w:val="26"/>
        </w:rPr>
        <w:t xml:space="preserve">cittadini di altri </w:t>
      </w:r>
      <w:r w:rsidR="009F4B9A">
        <w:rPr>
          <w:rFonts w:ascii="Times New Roman" w:hAnsi="Times New Roman" w:cs="Times New Roman"/>
          <w:color w:val="000000" w:themeColor="text1"/>
          <w:sz w:val="26"/>
          <w:szCs w:val="26"/>
        </w:rPr>
        <w:t>Stati membri siano</w:t>
      </w:r>
      <w:r w:rsidR="00F124DC" w:rsidRPr="00CD159D">
        <w:rPr>
          <w:rFonts w:ascii="Times New Roman" w:hAnsi="Times New Roman" w:cs="Times New Roman"/>
          <w:color w:val="000000" w:themeColor="text1"/>
          <w:sz w:val="26"/>
          <w:szCs w:val="26"/>
        </w:rPr>
        <w:t xml:space="preserve"> interessati ad avvalersi di tali libertà nel territorio dello Stato membro che ha emanato la normativa </w:t>
      </w:r>
      <w:r w:rsidR="008A6544">
        <w:rPr>
          <w:rFonts w:ascii="Times New Roman" w:hAnsi="Times New Roman" w:cs="Times New Roman"/>
          <w:color w:val="000000" w:themeColor="text1"/>
          <w:sz w:val="26"/>
          <w:szCs w:val="26"/>
        </w:rPr>
        <w:t>contestata</w:t>
      </w:r>
      <w:r w:rsidR="00F124DC" w:rsidRPr="00CD159D">
        <w:rPr>
          <w:rFonts w:ascii="Times New Roman" w:hAnsi="Times New Roman" w:cs="Times New Roman"/>
          <w:color w:val="000000" w:themeColor="text1"/>
          <w:sz w:val="26"/>
          <w:szCs w:val="26"/>
        </w:rPr>
        <w:t xml:space="preserve"> e</w:t>
      </w:r>
      <w:r w:rsidR="008A6544">
        <w:rPr>
          <w:rFonts w:ascii="Times New Roman" w:hAnsi="Times New Roman" w:cs="Times New Roman"/>
          <w:color w:val="000000" w:themeColor="text1"/>
          <w:sz w:val="26"/>
          <w:szCs w:val="26"/>
        </w:rPr>
        <w:t xml:space="preserve"> </w:t>
      </w:r>
      <w:r w:rsidR="00F124DC" w:rsidRPr="00CD159D">
        <w:rPr>
          <w:rFonts w:ascii="Times New Roman" w:hAnsi="Times New Roman" w:cs="Times New Roman"/>
          <w:color w:val="000000" w:themeColor="text1"/>
          <w:sz w:val="26"/>
          <w:szCs w:val="26"/>
        </w:rPr>
        <w:t xml:space="preserve">che tale normativa, applicabile indistintamente ai cittadini nazionali come a quelli di altri Stati membri, possa produrre effetti </w:t>
      </w:r>
      <w:r w:rsidR="008A6544">
        <w:rPr>
          <w:rFonts w:ascii="Times New Roman" w:hAnsi="Times New Roman" w:cs="Times New Roman"/>
          <w:color w:val="000000" w:themeColor="text1"/>
          <w:sz w:val="26"/>
          <w:szCs w:val="26"/>
        </w:rPr>
        <w:t>non</w:t>
      </w:r>
      <w:r w:rsidR="00F124DC" w:rsidRPr="00CD159D">
        <w:rPr>
          <w:rFonts w:ascii="Times New Roman" w:hAnsi="Times New Roman" w:cs="Times New Roman"/>
          <w:color w:val="000000" w:themeColor="text1"/>
          <w:sz w:val="26"/>
          <w:szCs w:val="26"/>
        </w:rPr>
        <w:t xml:space="preserve"> limitati a detto Stato membro.</w:t>
      </w:r>
    </w:p>
    <w:p w:rsidR="002E2FA9" w:rsidRPr="00CD159D" w:rsidRDefault="007E6DBA"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P</w:t>
      </w:r>
      <w:r w:rsidR="00890DC2" w:rsidRPr="00CD159D">
        <w:rPr>
          <w:rFonts w:ascii="Times New Roman" w:hAnsi="Times New Roman" w:cs="Times New Roman"/>
          <w:sz w:val="26"/>
          <w:szCs w:val="26"/>
        </w:rPr>
        <w:t>er far valere tale eccez</w:t>
      </w:r>
      <w:r w:rsidR="002023A3" w:rsidRPr="00CD159D">
        <w:rPr>
          <w:rFonts w:ascii="Times New Roman" w:hAnsi="Times New Roman" w:cs="Times New Roman"/>
          <w:sz w:val="26"/>
          <w:szCs w:val="26"/>
        </w:rPr>
        <w:t>ione, il giudice nazionale deve</w:t>
      </w:r>
      <w:r w:rsidR="002E2FA9" w:rsidRPr="00CD159D">
        <w:rPr>
          <w:rFonts w:ascii="Times New Roman" w:hAnsi="Times New Roman" w:cs="Times New Roman"/>
          <w:sz w:val="26"/>
          <w:szCs w:val="26"/>
        </w:rPr>
        <w:t xml:space="preserve"> </w:t>
      </w:r>
      <w:r w:rsidR="002023A3" w:rsidRPr="00CD159D">
        <w:rPr>
          <w:rFonts w:ascii="Times New Roman" w:hAnsi="Times New Roman" w:cs="Times New Roman"/>
          <w:sz w:val="26"/>
          <w:szCs w:val="26"/>
        </w:rPr>
        <w:t>accertare e</w:t>
      </w:r>
      <w:r w:rsidR="00133308">
        <w:rPr>
          <w:rFonts w:ascii="Times New Roman" w:hAnsi="Times New Roman" w:cs="Times New Roman"/>
          <w:sz w:val="26"/>
          <w:szCs w:val="26"/>
        </w:rPr>
        <w:t xml:space="preserve">d </w:t>
      </w:r>
      <w:r w:rsidR="00686979" w:rsidRPr="00CD159D">
        <w:rPr>
          <w:rFonts w:ascii="Times New Roman" w:hAnsi="Times New Roman" w:cs="Times New Roman"/>
          <w:sz w:val="26"/>
          <w:szCs w:val="26"/>
        </w:rPr>
        <w:t xml:space="preserve">indicare </w:t>
      </w:r>
      <w:r w:rsidR="00890DC2" w:rsidRPr="00CD159D">
        <w:rPr>
          <w:rFonts w:ascii="Times New Roman" w:hAnsi="Times New Roman" w:cs="Times New Roman"/>
          <w:sz w:val="26"/>
          <w:szCs w:val="26"/>
        </w:rPr>
        <w:t>gli elementi da cui desumere l’interesse transfrontaliero</w:t>
      </w:r>
      <w:r w:rsidR="00686979" w:rsidRPr="00CD159D">
        <w:rPr>
          <w:rFonts w:ascii="Times New Roman" w:hAnsi="Times New Roman" w:cs="Times New Roman"/>
          <w:sz w:val="26"/>
          <w:szCs w:val="26"/>
        </w:rPr>
        <w:t xml:space="preserve"> certo, </w:t>
      </w:r>
      <w:r w:rsidR="002E2FA9" w:rsidRPr="00CD159D">
        <w:rPr>
          <w:rFonts w:ascii="Times New Roman" w:hAnsi="Times New Roman" w:cs="Times New Roman"/>
          <w:sz w:val="26"/>
          <w:szCs w:val="26"/>
        </w:rPr>
        <w:t xml:space="preserve">elementi </w:t>
      </w:r>
      <w:r w:rsidR="00686979" w:rsidRPr="00CD159D">
        <w:rPr>
          <w:rFonts w:ascii="Times New Roman" w:hAnsi="Times New Roman" w:cs="Times New Roman"/>
          <w:sz w:val="26"/>
          <w:szCs w:val="26"/>
        </w:rPr>
        <w:t xml:space="preserve">che sono stati nel tempo elaborati </w:t>
      </w:r>
      <w:r w:rsidR="000156A9" w:rsidRPr="00CD159D">
        <w:rPr>
          <w:rFonts w:ascii="Times New Roman" w:hAnsi="Times New Roman" w:cs="Times New Roman"/>
          <w:sz w:val="26"/>
          <w:szCs w:val="26"/>
        </w:rPr>
        <w:t xml:space="preserve">e specificati </w:t>
      </w:r>
      <w:r w:rsidR="00686979" w:rsidRPr="00CD159D">
        <w:rPr>
          <w:rFonts w:ascii="Times New Roman" w:hAnsi="Times New Roman" w:cs="Times New Roman"/>
          <w:sz w:val="26"/>
          <w:szCs w:val="26"/>
        </w:rPr>
        <w:t xml:space="preserve">dalla stessa </w:t>
      </w:r>
      <w:r w:rsidR="000156A9" w:rsidRPr="00CD159D">
        <w:rPr>
          <w:rFonts w:ascii="Times New Roman" w:hAnsi="Times New Roman" w:cs="Times New Roman"/>
          <w:sz w:val="26"/>
          <w:szCs w:val="26"/>
        </w:rPr>
        <w:t>giurisprudenza europea</w:t>
      </w:r>
      <w:r w:rsidR="002E2FA9" w:rsidRPr="00CD159D">
        <w:rPr>
          <w:rFonts w:ascii="Times New Roman" w:hAnsi="Times New Roman" w:cs="Times New Roman"/>
          <w:sz w:val="26"/>
          <w:szCs w:val="26"/>
        </w:rPr>
        <w:t xml:space="preserve"> (</w:t>
      </w:r>
      <w:r w:rsidR="00686979" w:rsidRPr="00CD159D">
        <w:rPr>
          <w:rFonts w:ascii="Times New Roman" w:hAnsi="Times New Roman" w:cs="Times New Roman"/>
          <w:sz w:val="26"/>
          <w:szCs w:val="26"/>
        </w:rPr>
        <w:t>ad esempio</w:t>
      </w:r>
      <w:r w:rsidR="002E2FA9" w:rsidRPr="00CD159D">
        <w:rPr>
          <w:rFonts w:ascii="Times New Roman" w:hAnsi="Times New Roman" w:cs="Times New Roman"/>
          <w:sz w:val="26"/>
          <w:szCs w:val="26"/>
        </w:rPr>
        <w:t>,</w:t>
      </w:r>
      <w:r w:rsidR="00686979" w:rsidRPr="00CD159D">
        <w:rPr>
          <w:rFonts w:ascii="Times New Roman" w:hAnsi="Times New Roman" w:cs="Times New Roman"/>
          <w:sz w:val="26"/>
          <w:szCs w:val="26"/>
        </w:rPr>
        <w:t xml:space="preserve"> con riferimento alla materia degli appal</w:t>
      </w:r>
      <w:r w:rsidR="00904D8B" w:rsidRPr="00CD159D">
        <w:rPr>
          <w:rFonts w:ascii="Times New Roman" w:hAnsi="Times New Roman" w:cs="Times New Roman"/>
          <w:sz w:val="26"/>
          <w:szCs w:val="26"/>
        </w:rPr>
        <w:t>ti tali elementi sono costituiti</w:t>
      </w:r>
      <w:r w:rsidR="002E2FA9" w:rsidRPr="00CD159D">
        <w:rPr>
          <w:rFonts w:ascii="Times New Roman" w:hAnsi="Times New Roman" w:cs="Times New Roman"/>
          <w:sz w:val="26"/>
          <w:szCs w:val="26"/>
        </w:rPr>
        <w:t xml:space="preserve"> dal valore dell’appalto, in combinazione con il luogo di esecuzione delle prestazioni, o dalle caratteristiche tecniche o dalla circostanza che sia stata data ampia pubblicità su scala europea al bando, etc</w:t>
      </w:r>
      <w:r w:rsidR="00F124DC" w:rsidRPr="00CD159D">
        <w:rPr>
          <w:rFonts w:ascii="Times New Roman" w:hAnsi="Times New Roman" w:cs="Times New Roman"/>
          <w:sz w:val="26"/>
          <w:szCs w:val="26"/>
        </w:rPr>
        <w:t>.)</w:t>
      </w:r>
      <w:r w:rsidR="00631260" w:rsidRPr="00CD159D">
        <w:rPr>
          <w:rFonts w:ascii="Times New Roman" w:hAnsi="Times New Roman" w:cs="Times New Roman"/>
          <w:sz w:val="26"/>
          <w:szCs w:val="26"/>
        </w:rPr>
        <w:t>.</w:t>
      </w:r>
    </w:p>
    <w:p w:rsidR="00890DC2" w:rsidRPr="00CD159D" w:rsidRDefault="00686979"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lastRenderedPageBreak/>
        <w:t xml:space="preserve">La </w:t>
      </w:r>
      <w:r w:rsidR="000156A9" w:rsidRPr="00CD159D">
        <w:rPr>
          <w:rFonts w:ascii="Times New Roman" w:hAnsi="Times New Roman" w:cs="Times New Roman"/>
          <w:sz w:val="26"/>
          <w:szCs w:val="26"/>
        </w:rPr>
        <w:t>Corte di Giustizia, p</w:t>
      </w:r>
      <w:r w:rsidR="002E2FA9" w:rsidRPr="00CD159D">
        <w:rPr>
          <w:rFonts w:ascii="Times New Roman" w:hAnsi="Times New Roman" w:cs="Times New Roman"/>
          <w:sz w:val="26"/>
          <w:szCs w:val="26"/>
        </w:rPr>
        <w:t>eraltro</w:t>
      </w:r>
      <w:r w:rsidR="000156A9" w:rsidRPr="00CD159D">
        <w:rPr>
          <w:rFonts w:ascii="Times New Roman" w:hAnsi="Times New Roman" w:cs="Times New Roman"/>
          <w:sz w:val="26"/>
          <w:szCs w:val="26"/>
        </w:rPr>
        <w:t xml:space="preserve">, ha </w:t>
      </w:r>
      <w:r w:rsidR="002E2FA9" w:rsidRPr="00CD159D">
        <w:rPr>
          <w:rFonts w:ascii="Times New Roman" w:hAnsi="Times New Roman" w:cs="Times New Roman"/>
          <w:sz w:val="26"/>
          <w:szCs w:val="26"/>
        </w:rPr>
        <w:t>assunto una posizione progressivamente più rigida in ordine alla prova dell’interesse transfrontaliero certo: mentre in passato era suffici</w:t>
      </w:r>
      <w:r w:rsidR="002023A3" w:rsidRPr="00CD159D">
        <w:rPr>
          <w:rFonts w:ascii="Times New Roman" w:hAnsi="Times New Roman" w:cs="Times New Roman"/>
          <w:sz w:val="26"/>
          <w:szCs w:val="26"/>
        </w:rPr>
        <w:t>ente che gli elementi raccolti consentissero</w:t>
      </w:r>
      <w:r w:rsidR="002E2FA9" w:rsidRPr="00CD159D">
        <w:rPr>
          <w:rFonts w:ascii="Times New Roman" w:hAnsi="Times New Roman" w:cs="Times New Roman"/>
          <w:sz w:val="26"/>
          <w:szCs w:val="26"/>
        </w:rPr>
        <w:t xml:space="preserve"> di non escludere l’esistenza di un interesse transfrontaliero certo, successivamente </w:t>
      </w:r>
      <w:r w:rsidR="004643FC" w:rsidRPr="00CD159D">
        <w:rPr>
          <w:rFonts w:ascii="Times New Roman" w:hAnsi="Times New Roman" w:cs="Times New Roman"/>
          <w:sz w:val="26"/>
          <w:szCs w:val="26"/>
        </w:rPr>
        <w:t>si è richiesto</w:t>
      </w:r>
      <w:r w:rsidR="002E2FA9" w:rsidRPr="00CD159D">
        <w:rPr>
          <w:rFonts w:ascii="Times New Roman" w:hAnsi="Times New Roman" w:cs="Times New Roman"/>
          <w:sz w:val="26"/>
          <w:szCs w:val="26"/>
        </w:rPr>
        <w:t xml:space="preserve"> al giudice nazionale di fornire elementi che dimostrino in positivo l’es</w:t>
      </w:r>
      <w:r w:rsidR="00631260" w:rsidRPr="00CD159D">
        <w:rPr>
          <w:rFonts w:ascii="Times New Roman" w:hAnsi="Times New Roman" w:cs="Times New Roman"/>
          <w:sz w:val="26"/>
          <w:szCs w:val="26"/>
        </w:rPr>
        <w:t>istenza del suddetto interesse.</w:t>
      </w:r>
    </w:p>
    <w:p w:rsidR="0073778E" w:rsidRPr="00CD159D" w:rsidRDefault="009F467D" w:rsidP="00E83070">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A</w:t>
      </w:r>
      <w:r w:rsidR="00686979" w:rsidRPr="00CD159D">
        <w:rPr>
          <w:rFonts w:ascii="Times New Roman" w:hAnsi="Times New Roman" w:cs="Times New Roman"/>
          <w:sz w:val="26"/>
          <w:szCs w:val="26"/>
        </w:rPr>
        <w:t xml:space="preserve"> tal proposito può </w:t>
      </w:r>
      <w:r w:rsidR="001F5F1B" w:rsidRPr="00CD159D">
        <w:rPr>
          <w:rFonts w:ascii="Times New Roman" w:hAnsi="Times New Roman" w:cs="Times New Roman"/>
          <w:sz w:val="26"/>
          <w:szCs w:val="26"/>
        </w:rPr>
        <w:t xml:space="preserve">esemplificativamente </w:t>
      </w:r>
      <w:r w:rsidR="00686979" w:rsidRPr="00CD159D">
        <w:rPr>
          <w:rFonts w:ascii="Times New Roman" w:hAnsi="Times New Roman" w:cs="Times New Roman"/>
          <w:sz w:val="26"/>
          <w:szCs w:val="26"/>
        </w:rPr>
        <w:t>richiamarsi</w:t>
      </w:r>
      <w:r w:rsidR="00890DC2" w:rsidRPr="00CD159D">
        <w:rPr>
          <w:rFonts w:ascii="Times New Roman" w:hAnsi="Times New Roman" w:cs="Times New Roman"/>
          <w:sz w:val="26"/>
          <w:szCs w:val="26"/>
        </w:rPr>
        <w:t xml:space="preserve"> </w:t>
      </w:r>
      <w:r w:rsidR="0073778E" w:rsidRPr="00CD159D">
        <w:rPr>
          <w:rFonts w:ascii="Times New Roman" w:hAnsi="Times New Roman" w:cs="Times New Roman"/>
          <w:sz w:val="26"/>
          <w:szCs w:val="26"/>
        </w:rPr>
        <w:t xml:space="preserve">la </w:t>
      </w:r>
      <w:r w:rsidR="003D56B5" w:rsidRPr="00CD159D">
        <w:rPr>
          <w:rFonts w:ascii="Times New Roman" w:hAnsi="Times New Roman" w:cs="Times New Roman"/>
          <w:sz w:val="26"/>
          <w:szCs w:val="26"/>
        </w:rPr>
        <w:t>sentenza</w:t>
      </w:r>
      <w:r w:rsidR="00631260" w:rsidRPr="00CD159D">
        <w:rPr>
          <w:rFonts w:ascii="Times New Roman" w:hAnsi="Times New Roman" w:cs="Times New Roman"/>
          <w:sz w:val="26"/>
          <w:szCs w:val="26"/>
        </w:rPr>
        <w:t xml:space="preserve"> del </w:t>
      </w:r>
      <w:r w:rsidR="003D56B5" w:rsidRPr="00CD159D">
        <w:rPr>
          <w:rFonts w:ascii="Times New Roman" w:hAnsi="Times New Roman" w:cs="Times New Roman"/>
          <w:sz w:val="26"/>
          <w:szCs w:val="26"/>
        </w:rPr>
        <w:t>6 ottobre 2016, causa C-318/15,</w:t>
      </w:r>
      <w:r w:rsidR="00E83070" w:rsidRPr="00CD159D">
        <w:rPr>
          <w:rFonts w:ascii="Times New Roman" w:hAnsi="Times New Roman" w:cs="Times New Roman"/>
          <w:sz w:val="26"/>
          <w:szCs w:val="26"/>
        </w:rPr>
        <w:t xml:space="preserve"> relativa ad un appalto sotto soglia. La Corte di Giustizia ha rilevato che “non sarebbe giustificato ritenere che un appalto di lavori come quello in causa nel procedimento principale, avente un importo che non raggiunge nemmeno il quarto della soglia prevista dalle norme del diritto dell’Unione ed il cui luogo di esecuzione è situato a 200 chilometri dal confine con un altro Stato membro, possa presentare un interesse transfrontaliero certo per il solo motivo che un de</w:t>
      </w:r>
      <w:r w:rsidR="00904D8B" w:rsidRPr="00CD159D">
        <w:rPr>
          <w:rFonts w:ascii="Times New Roman" w:hAnsi="Times New Roman" w:cs="Times New Roman"/>
          <w:sz w:val="26"/>
          <w:szCs w:val="26"/>
        </w:rPr>
        <w:t>terminato numero di offerte sia</w:t>
      </w:r>
      <w:r w:rsidR="00E83070" w:rsidRPr="00CD159D">
        <w:rPr>
          <w:rFonts w:ascii="Times New Roman" w:hAnsi="Times New Roman" w:cs="Times New Roman"/>
          <w:sz w:val="26"/>
          <w:szCs w:val="26"/>
        </w:rPr>
        <w:t xml:space="preserve"> stat</w:t>
      </w:r>
      <w:r w:rsidR="00904D8B" w:rsidRPr="00CD159D">
        <w:rPr>
          <w:rFonts w:ascii="Times New Roman" w:hAnsi="Times New Roman" w:cs="Times New Roman"/>
          <w:sz w:val="26"/>
          <w:szCs w:val="26"/>
        </w:rPr>
        <w:t>o presentato</w:t>
      </w:r>
      <w:r w:rsidR="00E83070" w:rsidRPr="00CD159D">
        <w:rPr>
          <w:rFonts w:ascii="Times New Roman" w:hAnsi="Times New Roman" w:cs="Times New Roman"/>
          <w:sz w:val="26"/>
          <w:szCs w:val="26"/>
        </w:rPr>
        <w:t xml:space="preserve"> da imprese aventi sede nello Stato membro considerato ed ubicate a una distanza notevole dal luogo di esecuzione dei lavori di cui trattasi. Infatti, tale elemento è del tutto insufficiente alla luce delle circostanze proprie della fattispecie oggetto del procedimento principale e, in ogni caso, non può essere il solo di cui si debba tener conto, dato che i potenziali offerenti provenienti da altri Stati membri sono soggetti a vincoli ed oneri supplementari connessi, in particolare, all’obbligo di adeguarsi al quadro giuridico ed amministrativo dello Stato membro di esecuzione nonché ad esigenze linguistiche”</w:t>
      </w:r>
      <w:r w:rsidR="001F5F1B" w:rsidRPr="00CD159D">
        <w:rPr>
          <w:rStyle w:val="Rimandonotaapidipagina"/>
          <w:rFonts w:ascii="Times New Roman" w:hAnsi="Times New Roman" w:cs="Times New Roman"/>
          <w:sz w:val="26"/>
          <w:szCs w:val="26"/>
        </w:rPr>
        <w:footnoteReference w:id="18"/>
      </w:r>
      <w:r w:rsidR="00E83070" w:rsidRPr="00CD159D">
        <w:rPr>
          <w:rFonts w:ascii="Times New Roman" w:hAnsi="Times New Roman" w:cs="Times New Roman"/>
          <w:sz w:val="26"/>
          <w:szCs w:val="26"/>
        </w:rPr>
        <w:t>.</w:t>
      </w:r>
      <w:r w:rsidR="001F5F1B" w:rsidRPr="00CD159D">
        <w:rPr>
          <w:rFonts w:ascii="Times New Roman" w:hAnsi="Times New Roman" w:cs="Times New Roman"/>
          <w:sz w:val="26"/>
          <w:szCs w:val="26"/>
        </w:rPr>
        <w:t xml:space="preserve"> </w:t>
      </w:r>
    </w:p>
    <w:p w:rsidR="00022E98" w:rsidRPr="00CD159D" w:rsidRDefault="00022E98" w:rsidP="00804185">
      <w:pPr>
        <w:spacing w:after="0" w:line="276" w:lineRule="auto"/>
        <w:ind w:firstLine="284"/>
        <w:jc w:val="both"/>
        <w:rPr>
          <w:rFonts w:ascii="Times New Roman" w:hAnsi="Times New Roman" w:cs="Times New Roman"/>
          <w:color w:val="000000" w:themeColor="text1"/>
          <w:sz w:val="26"/>
          <w:szCs w:val="26"/>
        </w:rPr>
      </w:pPr>
      <w:r w:rsidRPr="00CD159D">
        <w:rPr>
          <w:rFonts w:ascii="Times New Roman" w:hAnsi="Times New Roman" w:cs="Times New Roman"/>
          <w:color w:val="000000" w:themeColor="text1"/>
          <w:sz w:val="26"/>
          <w:szCs w:val="26"/>
        </w:rPr>
        <w:t>Per un caso in cui è stata ritenuta sufficiente la motivazione</w:t>
      </w:r>
      <w:r w:rsidR="00081D61" w:rsidRPr="00CD159D">
        <w:rPr>
          <w:rFonts w:ascii="Times New Roman" w:hAnsi="Times New Roman" w:cs="Times New Roman"/>
          <w:color w:val="000000" w:themeColor="text1"/>
          <w:sz w:val="26"/>
          <w:szCs w:val="26"/>
        </w:rPr>
        <w:t xml:space="preserve"> del giudice nazionale in ordine alla sussistenza dell’interesse transfrontaliero certo,</w:t>
      </w:r>
      <w:r w:rsidR="00631260" w:rsidRPr="00CD159D">
        <w:rPr>
          <w:rFonts w:ascii="Times New Roman" w:hAnsi="Times New Roman" w:cs="Times New Roman"/>
          <w:color w:val="000000" w:themeColor="text1"/>
          <w:sz w:val="26"/>
          <w:szCs w:val="26"/>
        </w:rPr>
        <w:t xml:space="preserve"> si può invece richiamate la</w:t>
      </w:r>
      <w:r w:rsidR="00081D61" w:rsidRPr="00CD159D">
        <w:rPr>
          <w:rFonts w:ascii="Times New Roman" w:hAnsi="Times New Roman" w:cs="Times New Roman"/>
          <w:color w:val="000000" w:themeColor="text1"/>
          <w:sz w:val="26"/>
          <w:szCs w:val="26"/>
        </w:rPr>
        <w:t xml:space="preserve"> sentenza del 19 dicembre 2019,</w:t>
      </w:r>
      <w:r w:rsidRPr="00CD159D">
        <w:rPr>
          <w:rFonts w:ascii="Times New Roman" w:hAnsi="Times New Roman" w:cs="Times New Roman"/>
          <w:color w:val="000000" w:themeColor="text1"/>
          <w:sz w:val="26"/>
          <w:szCs w:val="26"/>
        </w:rPr>
        <w:t xml:space="preserve"> </w:t>
      </w:r>
      <w:r w:rsidR="00081D61" w:rsidRPr="00CD159D">
        <w:rPr>
          <w:rFonts w:ascii="Times New Roman" w:hAnsi="Times New Roman" w:cs="Times New Roman"/>
          <w:color w:val="000000" w:themeColor="text1"/>
          <w:sz w:val="26"/>
          <w:szCs w:val="26"/>
        </w:rPr>
        <w:t xml:space="preserve">causa </w:t>
      </w:r>
      <w:r w:rsidRPr="00CD159D">
        <w:rPr>
          <w:rFonts w:ascii="Times New Roman" w:hAnsi="Times New Roman" w:cs="Times New Roman"/>
          <w:color w:val="000000" w:themeColor="text1"/>
          <w:sz w:val="26"/>
          <w:szCs w:val="26"/>
        </w:rPr>
        <w:t>C-465/18</w:t>
      </w:r>
      <w:r w:rsidR="00216C02" w:rsidRPr="00CD159D">
        <w:rPr>
          <w:rFonts w:ascii="Times New Roman" w:hAnsi="Times New Roman" w:cs="Times New Roman"/>
          <w:color w:val="000000" w:themeColor="text1"/>
          <w:sz w:val="26"/>
          <w:szCs w:val="26"/>
        </w:rPr>
        <w:t>, avente ad oggetto una questione pregiudiziale di interpretazione dell’art. 49 TFUE in relazione ad una normativa nazionale che, in caso di trasferimento della titolarità della farmacia comunale, assegna il diritto di prelazione ai dipendenti. In tal caso il giudice del rinvio aveva infatti indicato “che il valore della farmacia comunale oggetto di aggiudicazione ammonta a EUR 580 000. Esso rileva altresì che la controversia presenta un carattere transfrontaliero in quanto, ai sensi dell’articolo 4, comma 2, della legge n. 362/1991, l’acquisto di una farmacia è aperto a tutti i cittadini dell’Unione muniti dei necessari titoli professionali. Esso aggiunge, ancora, che la direttiva 2005/36, come modificata dalla direttiva 2013/53, prevede il reciproco riconoscimento delle qualifiche professionali dei farmacisti”.</w:t>
      </w:r>
    </w:p>
    <w:p w:rsidR="00216C02" w:rsidRPr="00CD159D" w:rsidRDefault="00216C02" w:rsidP="00804185">
      <w:pPr>
        <w:spacing w:after="0" w:line="276" w:lineRule="auto"/>
        <w:ind w:firstLine="284"/>
        <w:jc w:val="both"/>
        <w:rPr>
          <w:rFonts w:ascii="Times New Roman" w:hAnsi="Times New Roman" w:cs="Times New Roman"/>
          <w:color w:val="000000" w:themeColor="text1"/>
          <w:sz w:val="26"/>
          <w:szCs w:val="26"/>
        </w:rPr>
      </w:pPr>
      <w:r w:rsidRPr="00CD159D">
        <w:rPr>
          <w:rFonts w:ascii="Times New Roman" w:hAnsi="Times New Roman" w:cs="Times New Roman"/>
          <w:color w:val="000000" w:themeColor="text1"/>
          <w:sz w:val="26"/>
          <w:szCs w:val="26"/>
        </w:rPr>
        <w:t>Interessante è anche la sentenza del</w:t>
      </w:r>
      <w:r w:rsidR="009F467D" w:rsidRPr="00CD159D">
        <w:rPr>
          <w:rFonts w:ascii="Times New Roman" w:hAnsi="Times New Roman" w:cs="Times New Roman"/>
          <w:color w:val="000000" w:themeColor="text1"/>
          <w:sz w:val="26"/>
          <w:szCs w:val="26"/>
        </w:rPr>
        <w:t xml:space="preserve"> 14 luglio 2016</w:t>
      </w:r>
      <w:r w:rsidRPr="00CD159D">
        <w:rPr>
          <w:rFonts w:ascii="Times New Roman" w:hAnsi="Times New Roman" w:cs="Times New Roman"/>
          <w:color w:val="000000" w:themeColor="text1"/>
          <w:sz w:val="26"/>
          <w:szCs w:val="26"/>
        </w:rPr>
        <w:t>,</w:t>
      </w:r>
      <w:r w:rsidR="009F467D" w:rsidRPr="00CD159D">
        <w:rPr>
          <w:rFonts w:ascii="Times New Roman" w:hAnsi="Times New Roman" w:cs="Times New Roman"/>
          <w:color w:val="000000" w:themeColor="text1"/>
          <w:sz w:val="26"/>
          <w:szCs w:val="26"/>
        </w:rPr>
        <w:t xml:space="preserve"> cause riunte</w:t>
      </w:r>
      <w:r w:rsidRPr="00CD159D">
        <w:rPr>
          <w:rFonts w:ascii="Times New Roman" w:hAnsi="Times New Roman" w:cs="Times New Roman"/>
          <w:color w:val="000000" w:themeColor="text1"/>
          <w:sz w:val="26"/>
          <w:szCs w:val="26"/>
        </w:rPr>
        <w:t xml:space="preserve"> C-</w:t>
      </w:r>
      <w:r w:rsidR="009F467D" w:rsidRPr="00CD159D">
        <w:rPr>
          <w:rFonts w:ascii="Times New Roman" w:hAnsi="Times New Roman" w:cs="Times New Roman"/>
          <w:color w:val="000000" w:themeColor="text1"/>
          <w:sz w:val="26"/>
          <w:szCs w:val="26"/>
        </w:rPr>
        <w:t>458/14 e C-67/15</w:t>
      </w:r>
      <w:r w:rsidRPr="00CD159D">
        <w:rPr>
          <w:rFonts w:ascii="Times New Roman" w:hAnsi="Times New Roman" w:cs="Times New Roman"/>
          <w:color w:val="000000" w:themeColor="text1"/>
          <w:sz w:val="26"/>
          <w:szCs w:val="26"/>
        </w:rPr>
        <w:t>, sul noto caso delle concessioni demaniali marittime a finalità turistico ricreativa, che ha ritenuto ricevibile la questione pregiudiziale relativa all’interpretazione dell’</w:t>
      </w:r>
      <w:r w:rsidR="004551B6" w:rsidRPr="00CD159D">
        <w:rPr>
          <w:rFonts w:ascii="Times New Roman" w:hAnsi="Times New Roman" w:cs="Times New Roman"/>
          <w:color w:val="000000" w:themeColor="text1"/>
          <w:sz w:val="26"/>
          <w:szCs w:val="26"/>
        </w:rPr>
        <w:t>art. 49 TFUE</w:t>
      </w:r>
      <w:r w:rsidR="009F467D" w:rsidRPr="00CD159D">
        <w:rPr>
          <w:rFonts w:ascii="Times New Roman" w:hAnsi="Times New Roman" w:cs="Times New Roman"/>
          <w:color w:val="000000" w:themeColor="text1"/>
          <w:sz w:val="26"/>
          <w:szCs w:val="26"/>
        </w:rPr>
        <w:t xml:space="preserve"> solo con riguardo ad una delle due cause riunite, nella quale il giudice del rinvio aveva fornito indicazioni </w:t>
      </w:r>
      <w:r w:rsidR="004551B6" w:rsidRPr="00CD159D">
        <w:rPr>
          <w:rFonts w:ascii="Times New Roman" w:hAnsi="Times New Roman" w:cs="Times New Roman"/>
          <w:color w:val="000000" w:themeColor="text1"/>
          <w:sz w:val="26"/>
          <w:szCs w:val="26"/>
        </w:rPr>
        <w:t>sufficienti a</w:t>
      </w:r>
      <w:r w:rsidR="009F467D" w:rsidRPr="00CD159D">
        <w:rPr>
          <w:rFonts w:ascii="Times New Roman" w:hAnsi="Times New Roman" w:cs="Times New Roman"/>
          <w:color w:val="000000" w:themeColor="text1"/>
          <w:sz w:val="26"/>
          <w:szCs w:val="26"/>
        </w:rPr>
        <w:t xml:space="preserve"> consentire alla Corte di constatare che la concessione </w:t>
      </w:r>
      <w:r w:rsidR="004551B6" w:rsidRPr="00CD159D">
        <w:rPr>
          <w:rFonts w:ascii="Times New Roman" w:hAnsi="Times New Roman" w:cs="Times New Roman"/>
          <w:color w:val="000000" w:themeColor="text1"/>
          <w:sz w:val="26"/>
          <w:szCs w:val="26"/>
        </w:rPr>
        <w:t>di cui era causa</w:t>
      </w:r>
      <w:r w:rsidR="009F467D" w:rsidRPr="00CD159D">
        <w:rPr>
          <w:rFonts w:ascii="Times New Roman" w:hAnsi="Times New Roman" w:cs="Times New Roman"/>
          <w:color w:val="000000" w:themeColor="text1"/>
          <w:sz w:val="26"/>
          <w:szCs w:val="26"/>
        </w:rPr>
        <w:t xml:space="preserve"> presentasse un </w:t>
      </w:r>
      <w:bookmarkStart w:id="0" w:name="ctx76"/>
      <w:r w:rsidR="009F467D" w:rsidRPr="00CD159D">
        <w:rPr>
          <w:rFonts w:ascii="Times New Roman" w:hAnsi="Times New Roman" w:cs="Times New Roman"/>
          <w:bCs/>
          <w:color w:val="000000" w:themeColor="text1"/>
          <w:sz w:val="26"/>
          <w:szCs w:val="26"/>
        </w:rPr>
        <w:t>interesse</w:t>
      </w:r>
      <w:bookmarkEnd w:id="0"/>
      <w:r w:rsidR="009F467D" w:rsidRPr="00CD159D">
        <w:rPr>
          <w:rFonts w:ascii="Times New Roman" w:hAnsi="Times New Roman" w:cs="Times New Roman"/>
          <w:color w:val="000000" w:themeColor="text1"/>
          <w:sz w:val="26"/>
          <w:szCs w:val="26"/>
        </w:rPr>
        <w:t> </w:t>
      </w:r>
      <w:bookmarkStart w:id="1" w:name="ctx77"/>
      <w:r w:rsidR="009F467D" w:rsidRPr="00CD159D">
        <w:rPr>
          <w:rFonts w:ascii="Times New Roman" w:hAnsi="Times New Roman" w:cs="Times New Roman"/>
          <w:bCs/>
          <w:color w:val="000000" w:themeColor="text1"/>
          <w:sz w:val="26"/>
          <w:szCs w:val="26"/>
        </w:rPr>
        <w:t>transfrontaliero</w:t>
      </w:r>
      <w:bookmarkEnd w:id="1"/>
      <w:r w:rsidR="009F467D" w:rsidRPr="00CD159D">
        <w:rPr>
          <w:rFonts w:ascii="Times New Roman" w:hAnsi="Times New Roman" w:cs="Times New Roman"/>
          <w:color w:val="000000" w:themeColor="text1"/>
          <w:sz w:val="26"/>
          <w:szCs w:val="26"/>
        </w:rPr>
        <w:t> </w:t>
      </w:r>
      <w:bookmarkStart w:id="2" w:name="ctx78"/>
      <w:r w:rsidR="009F467D" w:rsidRPr="00CD159D">
        <w:rPr>
          <w:rFonts w:ascii="Times New Roman" w:hAnsi="Times New Roman" w:cs="Times New Roman"/>
          <w:bCs/>
          <w:color w:val="000000" w:themeColor="text1"/>
          <w:sz w:val="26"/>
          <w:szCs w:val="26"/>
        </w:rPr>
        <w:t>certo</w:t>
      </w:r>
      <w:bookmarkEnd w:id="2"/>
      <w:r w:rsidR="009F467D" w:rsidRPr="00CD159D">
        <w:rPr>
          <w:rFonts w:ascii="Times New Roman" w:hAnsi="Times New Roman" w:cs="Times New Roman"/>
          <w:color w:val="000000" w:themeColor="text1"/>
          <w:sz w:val="26"/>
          <w:szCs w:val="26"/>
        </w:rPr>
        <w:t>, tenuto conto della situazione geografica del bene e del valore economico di tale concessione.</w:t>
      </w:r>
    </w:p>
    <w:p w:rsidR="006739C3" w:rsidRPr="00CD159D" w:rsidRDefault="007F634D" w:rsidP="00804185">
      <w:pPr>
        <w:spacing w:after="0" w:line="276" w:lineRule="auto"/>
        <w:ind w:firstLine="284"/>
        <w:jc w:val="both"/>
        <w:rPr>
          <w:rFonts w:ascii="Times New Roman" w:hAnsi="Times New Roman" w:cs="Times New Roman"/>
          <w:color w:val="FF0000"/>
          <w:sz w:val="26"/>
          <w:szCs w:val="26"/>
        </w:rPr>
      </w:pPr>
      <w:r w:rsidRPr="00CD159D">
        <w:rPr>
          <w:rFonts w:ascii="Times New Roman" w:hAnsi="Times New Roman" w:cs="Times New Roman"/>
          <w:sz w:val="26"/>
          <w:szCs w:val="26"/>
        </w:rPr>
        <w:lastRenderedPageBreak/>
        <w:t xml:space="preserve">B) </w:t>
      </w:r>
      <w:r w:rsidR="006739C3" w:rsidRPr="00CD159D">
        <w:rPr>
          <w:rFonts w:ascii="Times New Roman" w:hAnsi="Times New Roman" w:cs="Times New Roman"/>
          <w:sz w:val="26"/>
          <w:szCs w:val="26"/>
        </w:rPr>
        <w:t>Una seconda eccezione, frequentemente rilevante nel settore del diritto amministrativo, è rappresentata dall’ipotesi in cui la domanda d</w:t>
      </w:r>
      <w:r w:rsidR="00B7049D" w:rsidRPr="00CD159D">
        <w:rPr>
          <w:rFonts w:ascii="Times New Roman" w:hAnsi="Times New Roman" w:cs="Times New Roman"/>
          <w:sz w:val="26"/>
          <w:szCs w:val="26"/>
        </w:rPr>
        <w:t xml:space="preserve">i pronuncia pregiudiziale verta </w:t>
      </w:r>
      <w:r w:rsidR="006739C3" w:rsidRPr="00CD159D">
        <w:rPr>
          <w:rFonts w:ascii="Times New Roman" w:hAnsi="Times New Roman" w:cs="Times New Roman"/>
          <w:sz w:val="26"/>
          <w:szCs w:val="26"/>
        </w:rPr>
        <w:t>su disposizioni del diritto dell’Unione alle quali il diritto naz</w:t>
      </w:r>
      <w:r w:rsidR="000E11CF">
        <w:rPr>
          <w:rFonts w:ascii="Times New Roman" w:hAnsi="Times New Roman" w:cs="Times New Roman"/>
          <w:sz w:val="26"/>
          <w:szCs w:val="26"/>
        </w:rPr>
        <w:t>ionale di uno Stato membro fa</w:t>
      </w:r>
      <w:r w:rsidR="006739C3" w:rsidRPr="00CD159D">
        <w:rPr>
          <w:rFonts w:ascii="Times New Roman" w:hAnsi="Times New Roman" w:cs="Times New Roman"/>
          <w:sz w:val="26"/>
          <w:szCs w:val="26"/>
        </w:rPr>
        <w:t xml:space="preserve"> rinvio per </w:t>
      </w:r>
      <w:r w:rsidR="00484B64">
        <w:rPr>
          <w:rFonts w:ascii="Times New Roman" w:hAnsi="Times New Roman" w:cs="Times New Roman"/>
          <w:sz w:val="26"/>
          <w:szCs w:val="26"/>
        </w:rPr>
        <w:t>disciplinare</w:t>
      </w:r>
      <w:r w:rsidR="006739C3" w:rsidRPr="00CD159D">
        <w:rPr>
          <w:rFonts w:ascii="Times New Roman" w:hAnsi="Times New Roman" w:cs="Times New Roman"/>
          <w:sz w:val="26"/>
          <w:szCs w:val="26"/>
        </w:rPr>
        <w:t xml:space="preserve"> una situazione </w:t>
      </w:r>
      <w:r w:rsidR="00F2381C" w:rsidRPr="00CD159D">
        <w:rPr>
          <w:rFonts w:ascii="Times New Roman" w:hAnsi="Times New Roman" w:cs="Times New Roman"/>
          <w:sz w:val="26"/>
          <w:szCs w:val="26"/>
        </w:rPr>
        <w:t xml:space="preserve">puramente interna </w:t>
      </w:r>
      <w:r w:rsidR="00216C02" w:rsidRPr="00CD159D">
        <w:rPr>
          <w:rFonts w:ascii="Times New Roman" w:hAnsi="Times New Roman" w:cs="Times New Roman"/>
          <w:sz w:val="26"/>
          <w:szCs w:val="26"/>
        </w:rPr>
        <w:t>e che non rientra altrimenti nell’ambito di applicazione del diritto dell’Unione</w:t>
      </w:r>
      <w:r w:rsidR="00F2381C" w:rsidRPr="00CD159D">
        <w:rPr>
          <w:rFonts w:ascii="Times New Roman" w:hAnsi="Times New Roman" w:cs="Times New Roman"/>
          <w:sz w:val="26"/>
          <w:szCs w:val="26"/>
        </w:rPr>
        <w:t xml:space="preserve">. </w:t>
      </w:r>
    </w:p>
    <w:p w:rsidR="00B7049D" w:rsidRPr="00CD159D" w:rsidRDefault="00B7049D" w:rsidP="00B7049D">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Secondo la costante giurisprudenza europea, il rinvio operato dalla disciplina nazionale al diritto dell’Unione europea deve essere diretto ed incondizionato e</w:t>
      </w:r>
      <w:r w:rsidR="00D413B8" w:rsidRPr="00CD159D">
        <w:rPr>
          <w:rFonts w:ascii="Times New Roman" w:hAnsi="Times New Roman" w:cs="Times New Roman"/>
          <w:sz w:val="26"/>
          <w:szCs w:val="26"/>
        </w:rPr>
        <w:t>,</w:t>
      </w:r>
      <w:r w:rsidRPr="00CD159D">
        <w:rPr>
          <w:rFonts w:ascii="Times New Roman" w:hAnsi="Times New Roman" w:cs="Times New Roman"/>
          <w:sz w:val="26"/>
          <w:szCs w:val="26"/>
        </w:rPr>
        <w:t xml:space="preserve"> quindi</w:t>
      </w:r>
      <w:r w:rsidR="00D413B8" w:rsidRPr="00CD159D">
        <w:rPr>
          <w:rFonts w:ascii="Times New Roman" w:hAnsi="Times New Roman" w:cs="Times New Roman"/>
          <w:sz w:val="26"/>
          <w:szCs w:val="26"/>
        </w:rPr>
        <w:t>,</w:t>
      </w:r>
      <w:r w:rsidRPr="00CD159D">
        <w:rPr>
          <w:rFonts w:ascii="Times New Roman" w:hAnsi="Times New Roman" w:cs="Times New Roman"/>
          <w:sz w:val="26"/>
          <w:szCs w:val="26"/>
        </w:rPr>
        <w:t xml:space="preserve"> il giudice nazionale deve specificamente ricostruire la normativa nazionale in forza della quale il diritto europeo è reso applicabile, direttamente ed incondizionatamente, a fattispecie </w:t>
      </w:r>
      <w:r w:rsidR="009F467D" w:rsidRPr="00CD159D">
        <w:rPr>
          <w:rFonts w:ascii="Times New Roman" w:hAnsi="Times New Roman" w:cs="Times New Roman"/>
          <w:sz w:val="26"/>
          <w:szCs w:val="26"/>
        </w:rPr>
        <w:t>estranee al suo</w:t>
      </w:r>
      <w:r w:rsidRPr="00CD159D">
        <w:rPr>
          <w:rFonts w:ascii="Times New Roman" w:hAnsi="Times New Roman" w:cs="Times New Roman"/>
          <w:sz w:val="26"/>
          <w:szCs w:val="26"/>
        </w:rPr>
        <w:t xml:space="preserve"> ambito </w:t>
      </w:r>
      <w:r w:rsidR="009F467D" w:rsidRPr="00CD159D">
        <w:rPr>
          <w:rFonts w:ascii="Times New Roman" w:hAnsi="Times New Roman" w:cs="Times New Roman"/>
          <w:sz w:val="26"/>
          <w:szCs w:val="26"/>
        </w:rPr>
        <w:t>applicativo</w:t>
      </w:r>
      <w:r w:rsidRPr="00CD159D">
        <w:rPr>
          <w:rFonts w:ascii="Times New Roman" w:hAnsi="Times New Roman" w:cs="Times New Roman"/>
          <w:sz w:val="26"/>
          <w:szCs w:val="26"/>
        </w:rPr>
        <w:t>.</w:t>
      </w:r>
    </w:p>
    <w:p w:rsidR="00B7049D" w:rsidRPr="00CD159D" w:rsidRDefault="00B7049D" w:rsidP="00B7049D">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La Corte di Giustizia ha quindi ritenuto, ad esempio, che l’art. 1 l. n. 241/1990, atteso il suo generico </w:t>
      </w:r>
      <w:r w:rsidR="00123BC9">
        <w:rPr>
          <w:rFonts w:ascii="Times New Roman" w:hAnsi="Times New Roman" w:cs="Times New Roman"/>
          <w:sz w:val="26"/>
          <w:szCs w:val="26"/>
        </w:rPr>
        <w:t>riferimento</w:t>
      </w:r>
      <w:r w:rsidRPr="00CD159D">
        <w:rPr>
          <w:rFonts w:ascii="Times New Roman" w:hAnsi="Times New Roman" w:cs="Times New Roman"/>
          <w:sz w:val="26"/>
          <w:szCs w:val="26"/>
        </w:rPr>
        <w:t xml:space="preserve"> ai principi del diritto dell’Unione, non rinviasse direttamente ed incondizionatamente agli artt. 296, </w:t>
      </w:r>
      <w:r w:rsidR="002F5772">
        <w:rPr>
          <w:rFonts w:ascii="Times New Roman" w:hAnsi="Times New Roman" w:cs="Times New Roman"/>
          <w:sz w:val="26"/>
          <w:szCs w:val="26"/>
        </w:rPr>
        <w:t>c. 2</w:t>
      </w:r>
      <w:r w:rsidRPr="00CD159D">
        <w:rPr>
          <w:rFonts w:ascii="Times New Roman" w:hAnsi="Times New Roman" w:cs="Times New Roman"/>
          <w:sz w:val="26"/>
          <w:szCs w:val="26"/>
        </w:rPr>
        <w:t xml:space="preserve">, TFUE e 41, n. 2, </w:t>
      </w:r>
      <w:proofErr w:type="spellStart"/>
      <w:r w:rsidRPr="00CD159D">
        <w:rPr>
          <w:rFonts w:ascii="Times New Roman" w:hAnsi="Times New Roman" w:cs="Times New Roman"/>
          <w:sz w:val="26"/>
          <w:szCs w:val="26"/>
        </w:rPr>
        <w:t>lett</w:t>
      </w:r>
      <w:proofErr w:type="spellEnd"/>
      <w:r w:rsidRPr="00CD159D">
        <w:rPr>
          <w:rFonts w:ascii="Times New Roman" w:hAnsi="Times New Roman" w:cs="Times New Roman"/>
          <w:sz w:val="26"/>
          <w:szCs w:val="26"/>
        </w:rPr>
        <w:t>. c), della Carta (sentenza del 21 dicembre 2011, causa C-482/10)</w:t>
      </w:r>
      <w:r w:rsidR="00227A3F" w:rsidRPr="00CD159D">
        <w:rPr>
          <w:rFonts w:ascii="Times New Roman" w:hAnsi="Times New Roman" w:cs="Times New Roman"/>
          <w:sz w:val="26"/>
          <w:szCs w:val="26"/>
        </w:rPr>
        <w:t>.</w:t>
      </w:r>
    </w:p>
    <w:p w:rsidR="00B7049D" w:rsidRPr="00CD159D" w:rsidRDefault="00757198" w:rsidP="00B7049D">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Di contro, </w:t>
      </w:r>
      <w:r w:rsidR="00B7049D" w:rsidRPr="00CD159D">
        <w:rPr>
          <w:rFonts w:ascii="Times New Roman" w:hAnsi="Times New Roman" w:cs="Times New Roman"/>
          <w:sz w:val="26"/>
          <w:szCs w:val="26"/>
        </w:rPr>
        <w:t>è stato ritenuto sussistente un rinvio diretto ed incondizionato da parte dell’art. 2506 c.c. agli artt. 12 e 19 della direttiva UE 2017/1132, attuata in Italia dagli articoli 2503, 2504-quater, 2506-ter e 2506-quater, ultimo comma, c.c. (sentenza 30 gennaio 2020, causa C-394/18).</w:t>
      </w:r>
    </w:p>
    <w:p w:rsidR="00B7049D" w:rsidRPr="00CD159D" w:rsidRDefault="00B7049D" w:rsidP="00B7049D">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La questione si è posta poi con riferimento all’interpretazione delle direttive europee in materia di appalti e concessioni </w:t>
      </w:r>
      <w:r w:rsidR="002F5772">
        <w:rPr>
          <w:rFonts w:ascii="Times New Roman" w:hAnsi="Times New Roman" w:cs="Times New Roman"/>
          <w:sz w:val="26"/>
          <w:szCs w:val="26"/>
        </w:rPr>
        <w:t xml:space="preserve">nelle controversie relative </w:t>
      </w:r>
      <w:r w:rsidRPr="00CD159D">
        <w:rPr>
          <w:rFonts w:ascii="Times New Roman" w:hAnsi="Times New Roman" w:cs="Times New Roman"/>
          <w:sz w:val="26"/>
          <w:szCs w:val="26"/>
        </w:rPr>
        <w:t>alle procedure di affidamento dei contratti sotto soglia, atteso che alcuni ordinamenti nazionali hanno reso la disciplina europea incondizionatamente</w:t>
      </w:r>
      <w:r w:rsidR="00904D8B" w:rsidRPr="00CD159D">
        <w:rPr>
          <w:rFonts w:ascii="Times New Roman" w:hAnsi="Times New Roman" w:cs="Times New Roman"/>
          <w:sz w:val="26"/>
          <w:szCs w:val="26"/>
        </w:rPr>
        <w:t xml:space="preserve"> applicabile</w:t>
      </w:r>
      <w:r w:rsidRPr="00CD159D">
        <w:rPr>
          <w:rFonts w:ascii="Times New Roman" w:hAnsi="Times New Roman" w:cs="Times New Roman"/>
          <w:sz w:val="26"/>
          <w:szCs w:val="26"/>
        </w:rPr>
        <w:t xml:space="preserve"> anche a tali ultimi contratti (con riferimento all’ordinamento bulgaro v. sentenza del 7 dicembre 2023, cause riunite C-441/22 e C-443/22, che ha ritenuto che il rinvio effettuato fosse diretto ed incondizionato, con conseguente ricevibilità della questione). Il problema può porsi oggi in relazione alla disciplina prevista dall’art. 48 D.lgs. n. 36/2023, che estende la normativa del codice, in larga parte attuativa delle direttive europee, anche ai contratti inferiori alla soglia europea che abbiano un interesse transfrontaliero certo. Ove si ritenga che tale rinvio sia diretto ed incondizionato, il giudice nazionale, nelle controversie relative a contratti sotto soglia con interesse transfrontaliero certo, potrebbe sottoporre alla Corte non solo questioni pregiudiziali di interpretazione delle disposizioni concernenti le libertà fondamentali, ma anche questioni pregiudiziali di interpretazione e di validità delle singole disposizioni delle direttive in materia di appalti e concessioni.</w:t>
      </w:r>
    </w:p>
    <w:p w:rsidR="00B7049D" w:rsidRPr="00CD159D" w:rsidRDefault="007F634D" w:rsidP="00F90D47">
      <w:pPr>
        <w:spacing w:after="0" w:line="276" w:lineRule="auto"/>
        <w:ind w:firstLine="284"/>
        <w:jc w:val="both"/>
        <w:rPr>
          <w:rFonts w:ascii="Times New Roman" w:hAnsi="Times New Roman" w:cs="Times New Roman"/>
          <w:color w:val="000000" w:themeColor="text1"/>
          <w:sz w:val="26"/>
          <w:szCs w:val="26"/>
        </w:rPr>
      </w:pPr>
      <w:r w:rsidRPr="00CD159D">
        <w:rPr>
          <w:rFonts w:ascii="Times New Roman" w:hAnsi="Times New Roman" w:cs="Times New Roman"/>
          <w:sz w:val="26"/>
          <w:szCs w:val="26"/>
        </w:rPr>
        <w:t xml:space="preserve">C) </w:t>
      </w:r>
      <w:r w:rsidR="00B7049D" w:rsidRPr="00CD159D">
        <w:rPr>
          <w:rFonts w:ascii="Times New Roman" w:hAnsi="Times New Roman" w:cs="Times New Roman"/>
          <w:sz w:val="26"/>
          <w:szCs w:val="26"/>
        </w:rPr>
        <w:t xml:space="preserve">Una terza eccezione è rappresentata dall’ipotesi in cui il diritto nazionale imponga al giudice del rinvio di far godere un cittadino dello Stato membro, al quale appartiene detto organo giurisdizionale, degli stessi diritti che un cittadino di un altro Stato membro ricaverebbe dal diritto dell’Unione nella medesima situazione. I </w:t>
      </w:r>
      <w:r w:rsidR="00B7049D" w:rsidRPr="00CD159D">
        <w:rPr>
          <w:rFonts w:ascii="Times New Roman" w:hAnsi="Times New Roman" w:cs="Times New Roman"/>
          <w:color w:val="000000" w:themeColor="text1"/>
          <w:sz w:val="26"/>
          <w:szCs w:val="26"/>
        </w:rPr>
        <w:t xml:space="preserve">presupposti </w:t>
      </w:r>
      <w:r w:rsidR="00757198" w:rsidRPr="00CD159D">
        <w:rPr>
          <w:rFonts w:ascii="Times New Roman" w:hAnsi="Times New Roman" w:cs="Times New Roman"/>
          <w:color w:val="000000" w:themeColor="text1"/>
          <w:sz w:val="26"/>
          <w:szCs w:val="26"/>
        </w:rPr>
        <w:t>per l</w:t>
      </w:r>
      <w:r w:rsidR="00F90D47" w:rsidRPr="00CD159D">
        <w:rPr>
          <w:rFonts w:ascii="Times New Roman" w:hAnsi="Times New Roman" w:cs="Times New Roman"/>
          <w:color w:val="000000" w:themeColor="text1"/>
          <w:sz w:val="26"/>
          <w:szCs w:val="26"/>
        </w:rPr>
        <w:t xml:space="preserve">’operatività di tale eccezione possono essere dimostrati dal giudice italiano anche </w:t>
      </w:r>
      <w:r w:rsidR="00757198" w:rsidRPr="00CD159D">
        <w:rPr>
          <w:rFonts w:ascii="Times New Roman" w:hAnsi="Times New Roman" w:cs="Times New Roman"/>
          <w:color w:val="000000" w:themeColor="text1"/>
          <w:sz w:val="26"/>
          <w:szCs w:val="26"/>
        </w:rPr>
        <w:t xml:space="preserve">mediante il richiamo </w:t>
      </w:r>
      <w:r w:rsidR="009F467D" w:rsidRPr="00CD159D">
        <w:rPr>
          <w:rFonts w:ascii="Times New Roman" w:hAnsi="Times New Roman" w:cs="Times New Roman"/>
          <w:color w:val="000000" w:themeColor="text1"/>
          <w:sz w:val="26"/>
          <w:szCs w:val="26"/>
        </w:rPr>
        <w:t xml:space="preserve">all’art. </w:t>
      </w:r>
      <w:r w:rsidR="00F90D47" w:rsidRPr="00CD159D">
        <w:rPr>
          <w:rFonts w:ascii="Times New Roman" w:hAnsi="Times New Roman" w:cs="Times New Roman"/>
          <w:color w:val="000000" w:themeColor="text1"/>
          <w:sz w:val="26"/>
          <w:szCs w:val="26"/>
        </w:rPr>
        <w:t>53 l. n. 234/2012, secondo cui “Nei confronti dei cittadini italiani non trovano applicazione norme dell'ordinamento giuridico italiano o prassi interne che producano effetti discriminatori rispetto alla condizione e al trattamento garantiti nell'ordinamento italiano ai cittadini dell'Unione europea.”.</w:t>
      </w:r>
      <w:r w:rsidR="002023A3" w:rsidRPr="00CD159D">
        <w:rPr>
          <w:rFonts w:ascii="Times New Roman" w:hAnsi="Times New Roman" w:cs="Times New Roman"/>
          <w:color w:val="000000" w:themeColor="text1"/>
          <w:sz w:val="26"/>
          <w:szCs w:val="26"/>
        </w:rPr>
        <w:t xml:space="preserve"> Infatti, la Corte di Giustizia, con sentenza </w:t>
      </w:r>
      <w:r w:rsidR="00F90D47" w:rsidRPr="00CD159D">
        <w:rPr>
          <w:rFonts w:ascii="Times New Roman" w:hAnsi="Times New Roman" w:cs="Times New Roman"/>
          <w:color w:val="000000" w:themeColor="text1"/>
          <w:sz w:val="26"/>
          <w:szCs w:val="26"/>
        </w:rPr>
        <w:t xml:space="preserve">del 14 novembre </w:t>
      </w:r>
      <w:r w:rsidR="00F90D47" w:rsidRPr="00CD159D">
        <w:rPr>
          <w:rFonts w:ascii="Times New Roman" w:hAnsi="Times New Roman" w:cs="Times New Roman"/>
          <w:color w:val="000000" w:themeColor="text1"/>
          <w:sz w:val="26"/>
          <w:szCs w:val="26"/>
        </w:rPr>
        <w:lastRenderedPageBreak/>
        <w:t>2018, causa C-342/17</w:t>
      </w:r>
      <w:r w:rsidR="002023A3" w:rsidRPr="00CD159D">
        <w:rPr>
          <w:rFonts w:ascii="Times New Roman" w:hAnsi="Times New Roman" w:cs="Times New Roman"/>
          <w:color w:val="000000" w:themeColor="text1"/>
          <w:sz w:val="26"/>
          <w:szCs w:val="26"/>
        </w:rPr>
        <w:t>, ha ritenuto tale motivazione sufficiente a sostenere la ricevibilità della questione pregiudiziale in una situazione puramente interna</w:t>
      </w:r>
      <w:r w:rsidR="00F90D47" w:rsidRPr="00CD159D">
        <w:rPr>
          <w:rStyle w:val="Rimandonotaapidipagina"/>
          <w:rFonts w:ascii="Times New Roman" w:hAnsi="Times New Roman" w:cs="Times New Roman"/>
          <w:color w:val="000000" w:themeColor="text1"/>
          <w:sz w:val="26"/>
          <w:szCs w:val="26"/>
        </w:rPr>
        <w:footnoteReference w:id="19"/>
      </w:r>
      <w:r w:rsidR="00F90D47" w:rsidRPr="00CD159D">
        <w:rPr>
          <w:rFonts w:ascii="Times New Roman" w:hAnsi="Times New Roman" w:cs="Times New Roman"/>
          <w:color w:val="000000" w:themeColor="text1"/>
          <w:sz w:val="26"/>
          <w:szCs w:val="26"/>
        </w:rPr>
        <w:t>.</w:t>
      </w:r>
    </w:p>
    <w:p w:rsidR="006739C3" w:rsidRPr="00CD159D" w:rsidRDefault="007F634D" w:rsidP="00757198">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D) </w:t>
      </w:r>
      <w:r w:rsidR="00757198" w:rsidRPr="00CD159D">
        <w:rPr>
          <w:rFonts w:ascii="Times New Roman" w:hAnsi="Times New Roman" w:cs="Times New Roman"/>
          <w:sz w:val="26"/>
          <w:szCs w:val="26"/>
        </w:rPr>
        <w:t xml:space="preserve">Infine, viene in rilievo l’eccezione consistente </w:t>
      </w:r>
      <w:r w:rsidR="00F90D47" w:rsidRPr="00CD159D">
        <w:rPr>
          <w:rFonts w:ascii="Times New Roman" w:hAnsi="Times New Roman" w:cs="Times New Roman"/>
          <w:sz w:val="26"/>
          <w:szCs w:val="26"/>
        </w:rPr>
        <w:t>nel</w:t>
      </w:r>
      <w:r w:rsidR="00CA2BDC" w:rsidRPr="00CD159D">
        <w:rPr>
          <w:rFonts w:ascii="Times New Roman" w:hAnsi="Times New Roman" w:cs="Times New Roman"/>
          <w:sz w:val="26"/>
          <w:szCs w:val="26"/>
        </w:rPr>
        <w:t>l’ipotesi in cui da</w:t>
      </w:r>
      <w:r w:rsidR="00F90D47" w:rsidRPr="00CD159D">
        <w:rPr>
          <w:rFonts w:ascii="Times New Roman" w:hAnsi="Times New Roman" w:cs="Times New Roman"/>
          <w:sz w:val="26"/>
          <w:szCs w:val="26"/>
        </w:rPr>
        <w:t>vanti al giudice del rinvio penda</w:t>
      </w:r>
      <w:r w:rsidR="00CA2BDC" w:rsidRPr="00CD159D">
        <w:rPr>
          <w:rFonts w:ascii="Times New Roman" w:hAnsi="Times New Roman" w:cs="Times New Roman"/>
          <w:sz w:val="26"/>
          <w:szCs w:val="26"/>
        </w:rPr>
        <w:t xml:space="preserve"> un giudizio di annullamento di disposizioni indistintamente applicabili nei confronti tanto dei cittadini nazionali che di quelli degli Stati membri, e in cui la decisione</w:t>
      </w:r>
      <w:r w:rsidR="00757198" w:rsidRPr="00CD159D">
        <w:rPr>
          <w:rFonts w:ascii="Times New Roman" w:hAnsi="Times New Roman" w:cs="Times New Roman"/>
          <w:sz w:val="26"/>
          <w:szCs w:val="26"/>
        </w:rPr>
        <w:t xml:space="preserve"> che sarà chiamato ad adottare </w:t>
      </w:r>
      <w:r w:rsidR="00CA2BDC" w:rsidRPr="00CD159D">
        <w:rPr>
          <w:rFonts w:ascii="Times New Roman" w:hAnsi="Times New Roman" w:cs="Times New Roman"/>
          <w:sz w:val="26"/>
          <w:szCs w:val="26"/>
        </w:rPr>
        <w:t>produrrà effetti anche nei confron</w:t>
      </w:r>
      <w:r w:rsidR="000156A9" w:rsidRPr="00CD159D">
        <w:rPr>
          <w:rFonts w:ascii="Times New Roman" w:hAnsi="Times New Roman" w:cs="Times New Roman"/>
          <w:sz w:val="26"/>
          <w:szCs w:val="26"/>
        </w:rPr>
        <w:t>ti di questi ultimi cittadini</w:t>
      </w:r>
      <w:r w:rsidR="00757198" w:rsidRPr="00CD159D">
        <w:rPr>
          <w:rFonts w:ascii="Times New Roman" w:hAnsi="Times New Roman" w:cs="Times New Roman"/>
          <w:sz w:val="26"/>
          <w:szCs w:val="26"/>
        </w:rPr>
        <w:t>.</w:t>
      </w:r>
      <w:r w:rsidR="00CA2BDC" w:rsidRPr="00CD159D">
        <w:rPr>
          <w:rFonts w:ascii="Times New Roman" w:hAnsi="Times New Roman" w:cs="Times New Roman"/>
          <w:sz w:val="26"/>
          <w:szCs w:val="26"/>
        </w:rPr>
        <w:t xml:space="preserve"> </w:t>
      </w:r>
      <w:r w:rsidR="009F467D" w:rsidRPr="00CD159D">
        <w:rPr>
          <w:rFonts w:ascii="Times New Roman" w:hAnsi="Times New Roman" w:cs="Times New Roman"/>
          <w:sz w:val="26"/>
          <w:szCs w:val="26"/>
        </w:rPr>
        <w:t>Si tratta di una fattispecie non frequentemente sottoposta all’esame della giurisprudenza europea, ma che potrebbe certamente venire in rilievo davanti al giudice amministrativo, che giudica anche della legittimità di atti generali, potenzialmente applicabili anche a cittadini di altri Stati dell’Unione europea.</w:t>
      </w:r>
    </w:p>
    <w:p w:rsidR="00ED6604" w:rsidRPr="00CD159D" w:rsidRDefault="00ED6604" w:rsidP="00804185">
      <w:pPr>
        <w:spacing w:after="0" w:line="276" w:lineRule="auto"/>
        <w:ind w:firstLine="284"/>
        <w:jc w:val="both"/>
        <w:rPr>
          <w:rFonts w:ascii="Times New Roman" w:hAnsi="Times New Roman" w:cs="Times New Roman"/>
          <w:color w:val="FF0000"/>
          <w:sz w:val="26"/>
          <w:szCs w:val="26"/>
        </w:rPr>
      </w:pPr>
    </w:p>
    <w:p w:rsidR="00694C49" w:rsidRPr="00CD159D" w:rsidRDefault="00A83D69" w:rsidP="00804185">
      <w:pPr>
        <w:spacing w:after="0" w:line="276" w:lineRule="auto"/>
        <w:ind w:firstLine="284"/>
        <w:jc w:val="both"/>
        <w:rPr>
          <w:rFonts w:ascii="Times New Roman" w:hAnsi="Times New Roman" w:cs="Times New Roman"/>
          <w:b/>
          <w:i/>
          <w:sz w:val="26"/>
          <w:szCs w:val="26"/>
        </w:rPr>
      </w:pPr>
      <w:r w:rsidRPr="00CD159D">
        <w:rPr>
          <w:rFonts w:ascii="Times New Roman" w:hAnsi="Times New Roman" w:cs="Times New Roman"/>
          <w:b/>
          <w:i/>
          <w:sz w:val="26"/>
          <w:szCs w:val="26"/>
        </w:rPr>
        <w:t>5</w:t>
      </w:r>
      <w:r w:rsidR="00196C4A" w:rsidRPr="00CD159D">
        <w:rPr>
          <w:rFonts w:ascii="Times New Roman" w:hAnsi="Times New Roman" w:cs="Times New Roman"/>
          <w:b/>
          <w:i/>
          <w:sz w:val="26"/>
          <w:szCs w:val="26"/>
        </w:rPr>
        <w:t>.2</w:t>
      </w:r>
      <w:r w:rsidR="00D3727D" w:rsidRPr="00CD159D">
        <w:rPr>
          <w:rFonts w:ascii="Times New Roman" w:hAnsi="Times New Roman" w:cs="Times New Roman"/>
          <w:b/>
          <w:i/>
          <w:sz w:val="26"/>
          <w:szCs w:val="26"/>
        </w:rPr>
        <w:t xml:space="preserve">. </w:t>
      </w:r>
      <w:r w:rsidR="00A628C0" w:rsidRPr="00CD159D">
        <w:rPr>
          <w:rFonts w:ascii="Times New Roman" w:hAnsi="Times New Roman" w:cs="Times New Roman"/>
          <w:b/>
          <w:i/>
          <w:sz w:val="26"/>
          <w:szCs w:val="26"/>
        </w:rPr>
        <w:t>Le</w:t>
      </w:r>
      <w:r w:rsidR="00694C49" w:rsidRPr="00CD159D">
        <w:rPr>
          <w:rFonts w:ascii="Times New Roman" w:hAnsi="Times New Roman" w:cs="Times New Roman"/>
          <w:b/>
          <w:i/>
          <w:sz w:val="26"/>
          <w:szCs w:val="26"/>
        </w:rPr>
        <w:t xml:space="preserve"> disposizioni della Carta dei diritti fondamentali dell’Unione europea.</w:t>
      </w:r>
    </w:p>
    <w:p w:rsidR="00694C49" w:rsidRPr="00CD159D" w:rsidRDefault="00694C49" w:rsidP="00804185">
      <w:pPr>
        <w:spacing w:after="0" w:line="276" w:lineRule="auto"/>
        <w:ind w:firstLine="284"/>
        <w:jc w:val="both"/>
        <w:rPr>
          <w:rFonts w:ascii="Times New Roman" w:hAnsi="Times New Roman" w:cs="Times New Roman"/>
          <w:sz w:val="26"/>
          <w:szCs w:val="26"/>
        </w:rPr>
      </w:pPr>
    </w:p>
    <w:p w:rsidR="00060EBB" w:rsidRPr="00CD159D" w:rsidRDefault="004346D9"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Una giurisprudenza </w:t>
      </w:r>
      <w:r w:rsidR="007B24DF" w:rsidRPr="00CD159D">
        <w:rPr>
          <w:rFonts w:ascii="Times New Roman" w:hAnsi="Times New Roman" w:cs="Times New Roman"/>
          <w:sz w:val="26"/>
          <w:szCs w:val="26"/>
        </w:rPr>
        <w:t xml:space="preserve">particolarmente </w:t>
      </w:r>
      <w:r w:rsidRPr="00CD159D">
        <w:rPr>
          <w:rFonts w:ascii="Times New Roman" w:hAnsi="Times New Roman" w:cs="Times New Roman"/>
          <w:sz w:val="26"/>
          <w:szCs w:val="26"/>
        </w:rPr>
        <w:t xml:space="preserve">interessante è anche quella </w:t>
      </w:r>
      <w:r w:rsidR="007B24DF" w:rsidRPr="00CD159D">
        <w:rPr>
          <w:rFonts w:ascii="Times New Roman" w:hAnsi="Times New Roman" w:cs="Times New Roman"/>
          <w:sz w:val="26"/>
          <w:szCs w:val="26"/>
        </w:rPr>
        <w:t>relativa alle</w:t>
      </w:r>
      <w:r w:rsidRPr="00CD159D">
        <w:rPr>
          <w:rFonts w:ascii="Times New Roman" w:hAnsi="Times New Roman" w:cs="Times New Roman"/>
          <w:sz w:val="26"/>
          <w:szCs w:val="26"/>
        </w:rPr>
        <w:t xml:space="preserve"> questioni pregiudiziali aventi</w:t>
      </w:r>
      <w:r w:rsidR="00D3727D" w:rsidRPr="00CD159D">
        <w:rPr>
          <w:rFonts w:ascii="Times New Roman" w:hAnsi="Times New Roman" w:cs="Times New Roman"/>
          <w:sz w:val="26"/>
          <w:szCs w:val="26"/>
        </w:rPr>
        <w:t xml:space="preserve"> ad oggetto l’interpretazione</w:t>
      </w:r>
      <w:r w:rsidR="00060EBB" w:rsidRPr="00CD159D">
        <w:rPr>
          <w:rFonts w:ascii="Times New Roman" w:hAnsi="Times New Roman" w:cs="Times New Roman"/>
          <w:sz w:val="26"/>
          <w:szCs w:val="26"/>
        </w:rPr>
        <w:t xml:space="preserve"> delle norme della Carta dei diritti fondamentali</w:t>
      </w:r>
      <w:r w:rsidR="0056784E" w:rsidRPr="00CD159D">
        <w:rPr>
          <w:rStyle w:val="Rimandonotaapidipagina"/>
          <w:rFonts w:ascii="Times New Roman" w:hAnsi="Times New Roman" w:cs="Times New Roman"/>
          <w:sz w:val="26"/>
          <w:szCs w:val="26"/>
        </w:rPr>
        <w:footnoteReference w:id="20"/>
      </w:r>
      <w:r w:rsidR="0056784E" w:rsidRPr="00CD159D">
        <w:rPr>
          <w:rFonts w:ascii="Times New Roman" w:hAnsi="Times New Roman" w:cs="Times New Roman"/>
          <w:sz w:val="26"/>
          <w:szCs w:val="26"/>
        </w:rPr>
        <w:t>.</w:t>
      </w:r>
    </w:p>
    <w:p w:rsidR="00060EBB" w:rsidRDefault="00123BC9" w:rsidP="00804185">
      <w:pPr>
        <w:spacing w:after="0" w:line="276" w:lineRule="auto"/>
        <w:ind w:firstLine="284"/>
        <w:jc w:val="both"/>
        <w:rPr>
          <w:rFonts w:ascii="Times New Roman" w:hAnsi="Times New Roman" w:cs="Times New Roman"/>
          <w:sz w:val="26"/>
          <w:szCs w:val="26"/>
        </w:rPr>
      </w:pPr>
      <w:r>
        <w:rPr>
          <w:rFonts w:ascii="Times New Roman" w:hAnsi="Times New Roman" w:cs="Times New Roman"/>
          <w:sz w:val="26"/>
          <w:szCs w:val="26"/>
        </w:rPr>
        <w:t>L</w:t>
      </w:r>
      <w:r w:rsidR="00A714F0" w:rsidRPr="00CD159D">
        <w:rPr>
          <w:rFonts w:ascii="Times New Roman" w:hAnsi="Times New Roman" w:cs="Times New Roman"/>
          <w:sz w:val="26"/>
          <w:szCs w:val="26"/>
        </w:rPr>
        <w:t>’art. 51 par. 1</w:t>
      </w:r>
      <w:r w:rsidR="000849DE" w:rsidRPr="00CD159D">
        <w:rPr>
          <w:rFonts w:ascii="Times New Roman" w:hAnsi="Times New Roman" w:cs="Times New Roman"/>
          <w:sz w:val="26"/>
          <w:szCs w:val="26"/>
        </w:rPr>
        <w:t xml:space="preserve"> della Carta prevede che</w:t>
      </w:r>
      <w:r w:rsidR="00A714F0" w:rsidRPr="00CD159D">
        <w:rPr>
          <w:rFonts w:ascii="Times New Roman" w:hAnsi="Times New Roman" w:cs="Times New Roman"/>
          <w:sz w:val="26"/>
          <w:szCs w:val="26"/>
        </w:rPr>
        <w:t xml:space="preserve"> “Le disposizioni della presente Carta si applicano alle istituzioni e agli organi dell'Unione nel rispetto del principio di sussidiarietà come pure agli Stati membri esclusivamente n</w:t>
      </w:r>
      <w:r w:rsidR="00070B85" w:rsidRPr="00CD159D">
        <w:rPr>
          <w:rFonts w:ascii="Times New Roman" w:hAnsi="Times New Roman" w:cs="Times New Roman"/>
          <w:sz w:val="26"/>
          <w:szCs w:val="26"/>
        </w:rPr>
        <w:t>ell’attuazione del diritto dell’</w:t>
      </w:r>
      <w:r w:rsidR="00A714F0" w:rsidRPr="00CD159D">
        <w:rPr>
          <w:rFonts w:ascii="Times New Roman" w:hAnsi="Times New Roman" w:cs="Times New Roman"/>
          <w:sz w:val="26"/>
          <w:szCs w:val="26"/>
        </w:rPr>
        <w:t>Unione”.</w:t>
      </w:r>
      <w:r w:rsidR="000849DE" w:rsidRPr="00CD159D">
        <w:rPr>
          <w:rFonts w:ascii="Times New Roman" w:hAnsi="Times New Roman" w:cs="Times New Roman"/>
          <w:sz w:val="26"/>
          <w:szCs w:val="26"/>
        </w:rPr>
        <w:t xml:space="preserve"> </w:t>
      </w:r>
      <w:r w:rsidR="00A714F0" w:rsidRPr="00CD159D">
        <w:rPr>
          <w:rFonts w:ascii="Times New Roman" w:hAnsi="Times New Roman" w:cs="Times New Roman"/>
          <w:sz w:val="26"/>
          <w:szCs w:val="26"/>
        </w:rPr>
        <w:t>Inoltre l’art. 51, par. 2, della Carta e l’art. 6, par. 2, TUE, prevedono che le</w:t>
      </w:r>
      <w:r w:rsidR="00240DA9" w:rsidRPr="00CD159D">
        <w:rPr>
          <w:rFonts w:ascii="Times New Roman" w:hAnsi="Times New Roman" w:cs="Times New Roman"/>
          <w:sz w:val="26"/>
          <w:szCs w:val="26"/>
        </w:rPr>
        <w:t xml:space="preserve"> disposizioni della Carta non estendono </w:t>
      </w:r>
      <w:r w:rsidR="00A714F0" w:rsidRPr="00CD159D">
        <w:rPr>
          <w:rFonts w:ascii="Times New Roman" w:hAnsi="Times New Roman" w:cs="Times New Roman"/>
          <w:sz w:val="26"/>
          <w:szCs w:val="26"/>
        </w:rPr>
        <w:t xml:space="preserve">né modificano </w:t>
      </w:r>
      <w:r w:rsidR="00240DA9" w:rsidRPr="00CD159D">
        <w:rPr>
          <w:rFonts w:ascii="Times New Roman" w:hAnsi="Times New Roman" w:cs="Times New Roman"/>
          <w:sz w:val="26"/>
          <w:szCs w:val="26"/>
        </w:rPr>
        <w:t>in alcun modo le competenze dell’Unione definite dai trattati.</w:t>
      </w:r>
    </w:p>
    <w:p w:rsidR="008A6544" w:rsidRPr="00CD159D" w:rsidRDefault="008A6544" w:rsidP="00804185">
      <w:pPr>
        <w:spacing w:after="0" w:line="276" w:lineRule="auto"/>
        <w:ind w:firstLine="284"/>
        <w:jc w:val="both"/>
        <w:rPr>
          <w:rFonts w:ascii="Times New Roman" w:hAnsi="Times New Roman" w:cs="Times New Roman"/>
          <w:sz w:val="26"/>
          <w:szCs w:val="26"/>
        </w:rPr>
      </w:pPr>
      <w:r>
        <w:rPr>
          <w:rFonts w:ascii="Times New Roman" w:hAnsi="Times New Roman" w:cs="Times New Roman"/>
          <w:sz w:val="26"/>
          <w:szCs w:val="26"/>
        </w:rPr>
        <w:t>Pertanto il giudice nazionale, quando sottopone alla Corte una questione di interpretazione avente ad oggetto la Carta, deve dimostrare preliminarmente che la controversia rientra altrimenti nella sfera di applicazione dell’Unione.</w:t>
      </w:r>
    </w:p>
    <w:p w:rsidR="00166CA3" w:rsidRPr="00CD159D" w:rsidRDefault="003E3996"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La giurisprudenza europea ha</w:t>
      </w:r>
      <w:r w:rsidR="008B7D59">
        <w:rPr>
          <w:rFonts w:ascii="Times New Roman" w:hAnsi="Times New Roman" w:cs="Times New Roman"/>
          <w:sz w:val="26"/>
          <w:szCs w:val="26"/>
        </w:rPr>
        <w:t xml:space="preserve"> peraltro</w:t>
      </w:r>
      <w:r w:rsidRPr="00CD159D">
        <w:rPr>
          <w:rFonts w:ascii="Times New Roman" w:hAnsi="Times New Roman" w:cs="Times New Roman"/>
          <w:sz w:val="26"/>
          <w:szCs w:val="26"/>
        </w:rPr>
        <w:t xml:space="preserve"> precisato che</w:t>
      </w:r>
      <w:r w:rsidR="00EC5FA6" w:rsidRPr="00CD159D">
        <w:rPr>
          <w:rFonts w:ascii="Arial" w:hAnsi="Arial" w:cs="Arial"/>
          <w:color w:val="000000"/>
          <w:sz w:val="26"/>
          <w:szCs w:val="26"/>
        </w:rPr>
        <w:t xml:space="preserve"> “</w:t>
      </w:r>
      <w:r w:rsidR="00EC5FA6" w:rsidRPr="00CD159D">
        <w:rPr>
          <w:rFonts w:ascii="Times New Roman" w:hAnsi="Times New Roman" w:cs="Times New Roman"/>
          <w:sz w:val="26"/>
          <w:szCs w:val="26"/>
        </w:rPr>
        <w:t>la nozione di «attuazione del diritto dell’Unione», di cui all’articolo 51 della Carta, richiede l’esistenza di un collegamento di una certa consistenza, che vada al di là dell’affinità tra le materie prese in considerazione o dell’influenza indirettamente esercitata da una materia sull’altra”; in particolare,</w:t>
      </w:r>
      <w:r w:rsidRPr="00CD159D">
        <w:rPr>
          <w:rFonts w:ascii="Times New Roman" w:hAnsi="Times New Roman" w:cs="Times New Roman"/>
          <w:sz w:val="26"/>
          <w:szCs w:val="26"/>
        </w:rPr>
        <w:t xml:space="preserve"> </w:t>
      </w:r>
      <w:r w:rsidR="001F4874" w:rsidRPr="00CD159D">
        <w:rPr>
          <w:rFonts w:ascii="Times New Roman" w:hAnsi="Times New Roman" w:cs="Times New Roman"/>
          <w:sz w:val="26"/>
          <w:szCs w:val="26"/>
        </w:rPr>
        <w:t>“per stabilire se una normativa nazionale rientri nell’attuazione del diritto dell’Unione ai sensi dell’articolo 51 della Carta occorre verificare, tra</w:t>
      </w:r>
      <w:r w:rsidR="00904D8B" w:rsidRPr="00CD159D">
        <w:rPr>
          <w:rFonts w:ascii="Times New Roman" w:hAnsi="Times New Roman" w:cs="Times New Roman"/>
          <w:sz w:val="26"/>
          <w:szCs w:val="26"/>
        </w:rPr>
        <w:t xml:space="preserve"> l’altro</w:t>
      </w:r>
      <w:r w:rsidR="001F4874" w:rsidRPr="00CD159D">
        <w:rPr>
          <w:rFonts w:ascii="Times New Roman" w:hAnsi="Times New Roman" w:cs="Times New Roman"/>
          <w:sz w:val="26"/>
          <w:szCs w:val="26"/>
        </w:rPr>
        <w:t xml:space="preserve">, se essa abbia lo scopo di attuare una disposizione del diritto dell’Unione, quale sia il suo carattere e se essa persegua obiettivi diversi da quelli contemplati dal diritto dell’Unione, anche se è in grado di incidere indirettamente su </w:t>
      </w:r>
      <w:r w:rsidR="001F4874" w:rsidRPr="00CD159D">
        <w:rPr>
          <w:rFonts w:ascii="Times New Roman" w:hAnsi="Times New Roman" w:cs="Times New Roman"/>
          <w:sz w:val="26"/>
          <w:szCs w:val="26"/>
        </w:rPr>
        <w:lastRenderedPageBreak/>
        <w:t>quest’ultimo, nonché se esista una normativa di diritto dell’Unione che disciplini specificamente la materia o che possa incidere sulla stessa” (sentenza del 6 marzo 2014, causa C-206/13).</w:t>
      </w:r>
    </w:p>
    <w:p w:rsidR="00EC5FA6" w:rsidRPr="00CD159D" w:rsidRDefault="00070B85"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Tale </w:t>
      </w:r>
      <w:r w:rsidR="001F5F1B" w:rsidRPr="00CD159D">
        <w:rPr>
          <w:rFonts w:ascii="Times New Roman" w:hAnsi="Times New Roman" w:cs="Times New Roman"/>
          <w:sz w:val="26"/>
          <w:szCs w:val="26"/>
        </w:rPr>
        <w:t>collegamento manca</w:t>
      </w:r>
      <w:r w:rsidRPr="00CD159D">
        <w:rPr>
          <w:rFonts w:ascii="Times New Roman" w:hAnsi="Times New Roman" w:cs="Times New Roman"/>
          <w:sz w:val="26"/>
          <w:szCs w:val="26"/>
        </w:rPr>
        <w:t xml:space="preserve"> </w:t>
      </w:r>
      <w:r w:rsidR="001F4874" w:rsidRPr="00CD159D">
        <w:rPr>
          <w:rFonts w:ascii="Times New Roman" w:hAnsi="Times New Roman" w:cs="Times New Roman"/>
          <w:sz w:val="26"/>
          <w:szCs w:val="26"/>
        </w:rPr>
        <w:t>quando la</w:t>
      </w:r>
      <w:r w:rsidR="00D413B8" w:rsidRPr="00CD159D">
        <w:rPr>
          <w:rFonts w:ascii="Times New Roman" w:hAnsi="Times New Roman" w:cs="Times New Roman"/>
          <w:sz w:val="26"/>
          <w:szCs w:val="26"/>
        </w:rPr>
        <w:t xml:space="preserve"> disposizione nazionale non è </w:t>
      </w:r>
      <w:r w:rsidR="00EC5FA6" w:rsidRPr="00CD159D">
        <w:rPr>
          <w:rFonts w:ascii="Times New Roman" w:hAnsi="Times New Roman" w:cs="Times New Roman"/>
          <w:sz w:val="26"/>
          <w:szCs w:val="26"/>
        </w:rPr>
        <w:t xml:space="preserve">specificamente </w:t>
      </w:r>
      <w:r w:rsidR="001F4874" w:rsidRPr="00CD159D">
        <w:rPr>
          <w:rFonts w:ascii="Times New Roman" w:hAnsi="Times New Roman" w:cs="Times New Roman"/>
          <w:sz w:val="26"/>
          <w:szCs w:val="26"/>
        </w:rPr>
        <w:t>attuativa di una direttiva</w:t>
      </w:r>
      <w:r w:rsidR="00894491" w:rsidRPr="00CD159D">
        <w:rPr>
          <w:rFonts w:ascii="Times New Roman" w:hAnsi="Times New Roman" w:cs="Times New Roman"/>
          <w:sz w:val="26"/>
          <w:szCs w:val="26"/>
        </w:rPr>
        <w:t>,</w:t>
      </w:r>
      <w:r w:rsidR="00D413B8" w:rsidRPr="00CD159D">
        <w:rPr>
          <w:rFonts w:ascii="Times New Roman" w:hAnsi="Times New Roman" w:cs="Times New Roman"/>
          <w:sz w:val="26"/>
          <w:szCs w:val="26"/>
        </w:rPr>
        <w:t xml:space="preserve"> ma si limita</w:t>
      </w:r>
      <w:r w:rsidR="001F4874" w:rsidRPr="00CD159D">
        <w:rPr>
          <w:rFonts w:ascii="Times New Roman" w:hAnsi="Times New Roman" w:cs="Times New Roman"/>
          <w:sz w:val="26"/>
          <w:szCs w:val="26"/>
        </w:rPr>
        <w:t xml:space="preserve"> a far parte </w:t>
      </w:r>
      <w:r w:rsidR="00894491" w:rsidRPr="00CD159D">
        <w:rPr>
          <w:rFonts w:ascii="Times New Roman" w:hAnsi="Times New Roman" w:cs="Times New Roman"/>
          <w:sz w:val="26"/>
          <w:szCs w:val="26"/>
        </w:rPr>
        <w:t>di una normativa più ampia</w:t>
      </w:r>
      <w:r w:rsidR="001F4874" w:rsidRPr="00CD159D">
        <w:rPr>
          <w:rFonts w:ascii="Times New Roman" w:hAnsi="Times New Roman" w:cs="Times New Roman"/>
          <w:sz w:val="26"/>
          <w:szCs w:val="26"/>
        </w:rPr>
        <w:t xml:space="preserve"> nell’ambito della quale talune altre disposizioni sono state adottate per trasporre detta direttiva (così,</w:t>
      </w:r>
      <w:r w:rsidR="003E3996" w:rsidRPr="00CD159D">
        <w:rPr>
          <w:rFonts w:ascii="Times New Roman" w:hAnsi="Times New Roman" w:cs="Times New Roman"/>
          <w:sz w:val="26"/>
          <w:szCs w:val="26"/>
        </w:rPr>
        <w:t xml:space="preserve"> ordinanz</w:t>
      </w:r>
      <w:r w:rsidR="00583B07" w:rsidRPr="00CD159D">
        <w:rPr>
          <w:rFonts w:ascii="Times New Roman" w:hAnsi="Times New Roman" w:cs="Times New Roman"/>
          <w:sz w:val="26"/>
          <w:szCs w:val="26"/>
        </w:rPr>
        <w:t xml:space="preserve">a del 20 giugno 2020, causa </w:t>
      </w:r>
      <w:r w:rsidR="003E3996" w:rsidRPr="00CD159D">
        <w:rPr>
          <w:rFonts w:ascii="Times New Roman" w:hAnsi="Times New Roman" w:cs="Times New Roman"/>
          <w:sz w:val="26"/>
          <w:szCs w:val="26"/>
        </w:rPr>
        <w:t>C-32/20</w:t>
      </w:r>
      <w:r w:rsidR="001F4874" w:rsidRPr="00CD159D">
        <w:rPr>
          <w:rFonts w:ascii="Times New Roman" w:hAnsi="Times New Roman" w:cs="Times New Roman"/>
          <w:sz w:val="26"/>
          <w:szCs w:val="26"/>
        </w:rPr>
        <w:t>);</w:t>
      </w:r>
      <w:r w:rsidR="00EC5FA6" w:rsidRPr="00CD159D">
        <w:rPr>
          <w:rFonts w:ascii="Times New Roman" w:hAnsi="Times New Roman" w:cs="Times New Roman"/>
          <w:sz w:val="26"/>
          <w:szCs w:val="26"/>
        </w:rPr>
        <w:t xml:space="preserve"> parimenti</w:t>
      </w:r>
      <w:r w:rsidR="00904D8B" w:rsidRPr="00CD159D">
        <w:rPr>
          <w:rFonts w:ascii="Times New Roman" w:hAnsi="Times New Roman" w:cs="Times New Roman"/>
          <w:sz w:val="26"/>
          <w:szCs w:val="26"/>
        </w:rPr>
        <w:t>, esso</w:t>
      </w:r>
      <w:r w:rsidR="00EC5FA6" w:rsidRPr="00CD159D">
        <w:rPr>
          <w:rFonts w:ascii="Times New Roman" w:hAnsi="Times New Roman" w:cs="Times New Roman"/>
          <w:sz w:val="26"/>
          <w:szCs w:val="26"/>
        </w:rPr>
        <w:t xml:space="preserve"> </w:t>
      </w:r>
      <w:r w:rsidR="00E83070" w:rsidRPr="00CD159D">
        <w:rPr>
          <w:rFonts w:ascii="Times New Roman" w:hAnsi="Times New Roman" w:cs="Times New Roman"/>
          <w:sz w:val="26"/>
          <w:szCs w:val="26"/>
        </w:rPr>
        <w:t xml:space="preserve">non ricorre </w:t>
      </w:r>
      <w:r w:rsidR="00894491" w:rsidRPr="00CD159D">
        <w:rPr>
          <w:rFonts w:ascii="Times New Roman" w:hAnsi="Times New Roman" w:cs="Times New Roman"/>
          <w:sz w:val="26"/>
          <w:szCs w:val="26"/>
        </w:rPr>
        <w:t>in presenza di una</w:t>
      </w:r>
      <w:r w:rsidR="00166CA3" w:rsidRPr="00CD159D">
        <w:rPr>
          <w:rFonts w:ascii="Times New Roman" w:hAnsi="Times New Roman" w:cs="Times New Roman"/>
          <w:sz w:val="26"/>
          <w:szCs w:val="26"/>
        </w:rPr>
        <w:t xml:space="preserve"> disposizione nazionale </w:t>
      </w:r>
      <w:r w:rsidR="00894491" w:rsidRPr="00CD159D">
        <w:rPr>
          <w:rFonts w:ascii="Times New Roman" w:hAnsi="Times New Roman" w:cs="Times New Roman"/>
          <w:sz w:val="26"/>
          <w:szCs w:val="26"/>
        </w:rPr>
        <w:t xml:space="preserve">che </w:t>
      </w:r>
      <w:r w:rsidR="00166CA3" w:rsidRPr="00CD159D">
        <w:rPr>
          <w:rFonts w:ascii="Times New Roman" w:hAnsi="Times New Roman" w:cs="Times New Roman"/>
          <w:sz w:val="26"/>
          <w:szCs w:val="26"/>
        </w:rPr>
        <w:t xml:space="preserve">non contempla la revisione periodica dei prezzi degli appalti rientranti nei settori considerati dalla direttiva </w:t>
      </w:r>
      <w:r w:rsidR="001F5F1B" w:rsidRPr="00CD159D">
        <w:rPr>
          <w:rFonts w:ascii="Times New Roman" w:hAnsi="Times New Roman" w:cs="Times New Roman"/>
          <w:sz w:val="26"/>
          <w:szCs w:val="26"/>
        </w:rPr>
        <w:t xml:space="preserve">2004/17, atteso che </w:t>
      </w:r>
      <w:r w:rsidR="00894491" w:rsidRPr="00CD159D">
        <w:rPr>
          <w:rFonts w:ascii="Times New Roman" w:hAnsi="Times New Roman" w:cs="Times New Roman"/>
          <w:sz w:val="26"/>
          <w:szCs w:val="26"/>
        </w:rPr>
        <w:t>né tale direttiva né i principi dell’Unione</w:t>
      </w:r>
      <w:r w:rsidR="00166CA3" w:rsidRPr="00CD159D">
        <w:rPr>
          <w:rFonts w:ascii="Times New Roman" w:hAnsi="Times New Roman" w:cs="Times New Roman"/>
          <w:sz w:val="26"/>
          <w:szCs w:val="26"/>
        </w:rPr>
        <w:t xml:space="preserve"> </w:t>
      </w:r>
      <w:r w:rsidR="00894491" w:rsidRPr="00CD159D">
        <w:rPr>
          <w:rFonts w:ascii="Times New Roman" w:hAnsi="Times New Roman" w:cs="Times New Roman"/>
          <w:sz w:val="26"/>
          <w:szCs w:val="26"/>
        </w:rPr>
        <w:t xml:space="preserve">ad essa sottesi impongono agli Stati membri un obbligo specifico di prevedere disposizioni che esigano dall’ente aggiudicatore che esso riconosca alla propria controparte contrattuale una revisione al rialzo del prezzo dopo l’aggiudicazione di un appalto </w:t>
      </w:r>
      <w:r w:rsidR="00EC5FA6" w:rsidRPr="00CD159D">
        <w:rPr>
          <w:rFonts w:ascii="Times New Roman" w:hAnsi="Times New Roman" w:cs="Times New Roman"/>
          <w:sz w:val="26"/>
          <w:szCs w:val="26"/>
        </w:rPr>
        <w:t>(</w:t>
      </w:r>
      <w:r w:rsidR="005F4AA8" w:rsidRPr="00CD159D">
        <w:rPr>
          <w:rFonts w:ascii="Times New Roman" w:hAnsi="Times New Roman" w:cs="Times New Roman"/>
          <w:sz w:val="26"/>
          <w:szCs w:val="26"/>
        </w:rPr>
        <w:t xml:space="preserve">sentenza del 19 aprile 2018, </w:t>
      </w:r>
      <w:r w:rsidR="00583B07" w:rsidRPr="00CD159D">
        <w:rPr>
          <w:rFonts w:ascii="Times New Roman" w:hAnsi="Times New Roman" w:cs="Times New Roman"/>
          <w:sz w:val="26"/>
          <w:szCs w:val="26"/>
        </w:rPr>
        <w:t>causa</w:t>
      </w:r>
      <w:r w:rsidR="00894491" w:rsidRPr="00CD159D">
        <w:rPr>
          <w:rFonts w:ascii="Times New Roman" w:hAnsi="Times New Roman" w:cs="Times New Roman"/>
          <w:sz w:val="26"/>
          <w:szCs w:val="26"/>
        </w:rPr>
        <w:t xml:space="preserve"> C-151/17).</w:t>
      </w:r>
    </w:p>
    <w:p w:rsidR="00066E9F" w:rsidRPr="00CD159D" w:rsidRDefault="00066E9F" w:rsidP="00804185">
      <w:pPr>
        <w:spacing w:after="0" w:line="276" w:lineRule="auto"/>
        <w:ind w:firstLine="284"/>
        <w:jc w:val="both"/>
        <w:rPr>
          <w:rFonts w:ascii="Times New Roman" w:hAnsi="Times New Roman" w:cs="Times New Roman"/>
          <w:sz w:val="26"/>
          <w:szCs w:val="26"/>
        </w:rPr>
      </w:pPr>
    </w:p>
    <w:p w:rsidR="00066E9F" w:rsidRPr="00CD159D" w:rsidRDefault="00A83D69" w:rsidP="00804185">
      <w:pPr>
        <w:spacing w:after="0" w:line="276" w:lineRule="auto"/>
        <w:ind w:firstLine="284"/>
        <w:jc w:val="both"/>
        <w:rPr>
          <w:rFonts w:ascii="Times New Roman" w:hAnsi="Times New Roman" w:cs="Times New Roman"/>
          <w:b/>
          <w:i/>
          <w:sz w:val="26"/>
          <w:szCs w:val="26"/>
        </w:rPr>
      </w:pPr>
      <w:r w:rsidRPr="00CD159D">
        <w:rPr>
          <w:rFonts w:ascii="Times New Roman" w:hAnsi="Times New Roman" w:cs="Times New Roman"/>
          <w:b/>
          <w:i/>
          <w:sz w:val="26"/>
          <w:szCs w:val="26"/>
        </w:rPr>
        <w:t>5</w:t>
      </w:r>
      <w:r w:rsidR="00196C4A" w:rsidRPr="00CD159D">
        <w:rPr>
          <w:rFonts w:ascii="Times New Roman" w:hAnsi="Times New Roman" w:cs="Times New Roman"/>
          <w:b/>
          <w:i/>
          <w:sz w:val="26"/>
          <w:szCs w:val="26"/>
        </w:rPr>
        <w:t>.3</w:t>
      </w:r>
      <w:r w:rsidR="00A628C0" w:rsidRPr="00CD159D">
        <w:rPr>
          <w:rFonts w:ascii="Times New Roman" w:hAnsi="Times New Roman" w:cs="Times New Roman"/>
          <w:b/>
          <w:i/>
          <w:sz w:val="26"/>
          <w:szCs w:val="26"/>
        </w:rPr>
        <w:t>. C</w:t>
      </w:r>
      <w:r w:rsidR="00066E9F" w:rsidRPr="00CD159D">
        <w:rPr>
          <w:rFonts w:ascii="Times New Roman" w:hAnsi="Times New Roman" w:cs="Times New Roman"/>
          <w:b/>
          <w:i/>
          <w:sz w:val="26"/>
          <w:szCs w:val="26"/>
        </w:rPr>
        <w:t>oncorrenza e aiuti di Stato. Cenni.</w:t>
      </w:r>
    </w:p>
    <w:p w:rsidR="00066E9F" w:rsidRPr="00CD159D" w:rsidRDefault="00066E9F" w:rsidP="00804185">
      <w:pPr>
        <w:spacing w:after="0" w:line="276" w:lineRule="auto"/>
        <w:ind w:firstLine="284"/>
        <w:jc w:val="both"/>
        <w:rPr>
          <w:rFonts w:ascii="Times New Roman" w:hAnsi="Times New Roman" w:cs="Times New Roman"/>
          <w:sz w:val="26"/>
          <w:szCs w:val="26"/>
        </w:rPr>
      </w:pPr>
    </w:p>
    <w:p w:rsidR="00BA2439" w:rsidRPr="00CD159D" w:rsidRDefault="00AD3BAD"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Infine, </w:t>
      </w:r>
      <w:r w:rsidR="001D3A9F" w:rsidRPr="00CD159D">
        <w:rPr>
          <w:rFonts w:ascii="Times New Roman" w:hAnsi="Times New Roman" w:cs="Times New Roman"/>
          <w:sz w:val="26"/>
          <w:szCs w:val="26"/>
        </w:rPr>
        <w:t xml:space="preserve">un particolare onere motivazionale è posto a carico del giudice </w:t>
      </w:r>
      <w:r w:rsidR="00BA2439" w:rsidRPr="00CD159D">
        <w:rPr>
          <w:rFonts w:ascii="Times New Roman" w:hAnsi="Times New Roman" w:cs="Times New Roman"/>
          <w:sz w:val="26"/>
          <w:szCs w:val="26"/>
        </w:rPr>
        <w:t>del</w:t>
      </w:r>
      <w:r w:rsidR="00424134" w:rsidRPr="00CD159D">
        <w:rPr>
          <w:rFonts w:ascii="Times New Roman" w:hAnsi="Times New Roman" w:cs="Times New Roman"/>
          <w:sz w:val="26"/>
          <w:szCs w:val="26"/>
        </w:rPr>
        <w:t xml:space="preserve"> rinvio nelle controversie nella materia</w:t>
      </w:r>
      <w:r w:rsidR="00BA2439" w:rsidRPr="00CD159D">
        <w:rPr>
          <w:rFonts w:ascii="Times New Roman" w:hAnsi="Times New Roman" w:cs="Times New Roman"/>
          <w:sz w:val="26"/>
          <w:szCs w:val="26"/>
        </w:rPr>
        <w:t xml:space="preserve"> della</w:t>
      </w:r>
      <w:r w:rsidR="001D3A9F" w:rsidRPr="00CD159D">
        <w:rPr>
          <w:rFonts w:ascii="Times New Roman" w:hAnsi="Times New Roman" w:cs="Times New Roman"/>
          <w:sz w:val="26"/>
          <w:szCs w:val="26"/>
        </w:rPr>
        <w:t xml:space="preserve"> concorrenza</w:t>
      </w:r>
      <w:r w:rsidR="00BA2439" w:rsidRPr="00CD159D">
        <w:rPr>
          <w:rFonts w:ascii="Times New Roman" w:hAnsi="Times New Roman" w:cs="Times New Roman"/>
          <w:sz w:val="26"/>
          <w:szCs w:val="26"/>
        </w:rPr>
        <w:t>, caratterizzata da questioni di fatto e di diritto particolarmente complesse</w:t>
      </w:r>
      <w:r w:rsidR="001D3A9F" w:rsidRPr="00CD159D">
        <w:rPr>
          <w:rFonts w:ascii="Times New Roman" w:hAnsi="Times New Roman" w:cs="Times New Roman"/>
          <w:sz w:val="26"/>
          <w:szCs w:val="26"/>
        </w:rPr>
        <w:t xml:space="preserve">. </w:t>
      </w:r>
    </w:p>
    <w:p w:rsidR="00734FBE" w:rsidRPr="00CD159D" w:rsidRDefault="00BA2439"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Ad esempio, i</w:t>
      </w:r>
      <w:r w:rsidR="00430488" w:rsidRPr="00CD159D">
        <w:rPr>
          <w:rFonts w:ascii="Times New Roman" w:hAnsi="Times New Roman" w:cs="Times New Roman"/>
          <w:sz w:val="26"/>
          <w:szCs w:val="26"/>
        </w:rPr>
        <w:t xml:space="preserve">l giudice nazionale, quando pone una questione di interpretazione dell’art. 102 TFUE, </w:t>
      </w:r>
      <w:r w:rsidR="00814A43" w:rsidRPr="00CD159D">
        <w:rPr>
          <w:rFonts w:ascii="Times New Roman" w:hAnsi="Times New Roman" w:cs="Times New Roman"/>
          <w:sz w:val="26"/>
          <w:szCs w:val="26"/>
        </w:rPr>
        <w:t>deve</w:t>
      </w:r>
      <w:r w:rsidR="00066E9F" w:rsidRPr="00CD159D">
        <w:rPr>
          <w:rFonts w:ascii="Times New Roman" w:hAnsi="Times New Roman" w:cs="Times New Roman"/>
          <w:sz w:val="26"/>
          <w:szCs w:val="26"/>
        </w:rPr>
        <w:t xml:space="preserve"> preliminarmente accertare e quindi</w:t>
      </w:r>
      <w:r w:rsidR="00814A43" w:rsidRPr="00CD159D">
        <w:rPr>
          <w:rFonts w:ascii="Times New Roman" w:hAnsi="Times New Roman" w:cs="Times New Roman"/>
          <w:sz w:val="26"/>
          <w:szCs w:val="26"/>
        </w:rPr>
        <w:t xml:space="preserve"> </w:t>
      </w:r>
      <w:r w:rsidR="000505CB" w:rsidRPr="00CD159D">
        <w:rPr>
          <w:rFonts w:ascii="Times New Roman" w:hAnsi="Times New Roman" w:cs="Times New Roman"/>
          <w:sz w:val="26"/>
          <w:szCs w:val="26"/>
        </w:rPr>
        <w:t>indicare</w:t>
      </w:r>
      <w:r w:rsidR="00430488" w:rsidRPr="00CD159D">
        <w:rPr>
          <w:rFonts w:ascii="Times New Roman" w:hAnsi="Times New Roman" w:cs="Times New Roman"/>
          <w:sz w:val="26"/>
          <w:szCs w:val="26"/>
        </w:rPr>
        <w:t xml:space="preserve"> </w:t>
      </w:r>
      <w:r w:rsidR="00066E9F" w:rsidRPr="00CD159D">
        <w:rPr>
          <w:rFonts w:ascii="Times New Roman" w:hAnsi="Times New Roman" w:cs="Times New Roman"/>
          <w:sz w:val="26"/>
          <w:szCs w:val="26"/>
        </w:rPr>
        <w:t xml:space="preserve">nell’ordinanza di rinvio </w:t>
      </w:r>
      <w:r w:rsidR="00430488" w:rsidRPr="00CD159D">
        <w:rPr>
          <w:rFonts w:ascii="Times New Roman" w:hAnsi="Times New Roman" w:cs="Times New Roman"/>
          <w:sz w:val="26"/>
          <w:szCs w:val="26"/>
        </w:rPr>
        <w:t>gli elementi costitutivi dell’abuso di posizione dominante (le caratteristi</w:t>
      </w:r>
      <w:r w:rsidRPr="00CD159D">
        <w:rPr>
          <w:rFonts w:ascii="Times New Roman" w:hAnsi="Times New Roman" w:cs="Times New Roman"/>
          <w:sz w:val="26"/>
          <w:szCs w:val="26"/>
        </w:rPr>
        <w:t xml:space="preserve">che del mercato rilevante, la sua estensione geografica o </w:t>
      </w:r>
      <w:r w:rsidR="00430488" w:rsidRPr="00CD159D">
        <w:rPr>
          <w:rFonts w:ascii="Times New Roman" w:hAnsi="Times New Roman" w:cs="Times New Roman"/>
          <w:sz w:val="26"/>
          <w:szCs w:val="26"/>
        </w:rPr>
        <w:t>l’eventuale esistenza </w:t>
      </w:r>
      <w:bookmarkStart w:id="3" w:name="ctx698"/>
      <w:r w:rsidR="00430488" w:rsidRPr="00CD159D">
        <w:rPr>
          <w:rFonts w:ascii="Times New Roman" w:hAnsi="Times New Roman" w:cs="Times New Roman"/>
          <w:bCs/>
          <w:sz w:val="26"/>
          <w:szCs w:val="26"/>
        </w:rPr>
        <w:t>di</w:t>
      </w:r>
      <w:bookmarkEnd w:id="3"/>
      <w:r w:rsidR="00430488" w:rsidRPr="00CD159D">
        <w:rPr>
          <w:rFonts w:ascii="Times New Roman" w:hAnsi="Times New Roman" w:cs="Times New Roman"/>
          <w:sz w:val="26"/>
          <w:szCs w:val="26"/>
        </w:rPr>
        <w:t> servizi equivalenti)</w:t>
      </w:r>
      <w:r w:rsidR="00430488" w:rsidRPr="00CD159D">
        <w:rPr>
          <w:rStyle w:val="Rimandonotaapidipagina"/>
          <w:rFonts w:ascii="Times New Roman" w:hAnsi="Times New Roman" w:cs="Times New Roman"/>
          <w:sz w:val="26"/>
          <w:szCs w:val="26"/>
        </w:rPr>
        <w:footnoteReference w:id="21"/>
      </w:r>
      <w:r w:rsidRPr="00CD159D">
        <w:rPr>
          <w:rFonts w:ascii="Times New Roman" w:hAnsi="Times New Roman" w:cs="Times New Roman"/>
          <w:sz w:val="26"/>
          <w:szCs w:val="26"/>
        </w:rPr>
        <w:t>.</w:t>
      </w:r>
    </w:p>
    <w:p w:rsidR="00962348" w:rsidRPr="00CD159D" w:rsidRDefault="00424134"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Parimenti, quando il rinvio ha ad oggetto </w:t>
      </w:r>
      <w:r w:rsidR="002D4409" w:rsidRPr="00CD159D">
        <w:rPr>
          <w:rFonts w:ascii="Times New Roman" w:hAnsi="Times New Roman" w:cs="Times New Roman"/>
          <w:sz w:val="26"/>
          <w:szCs w:val="26"/>
        </w:rPr>
        <w:t>le disposizioni europee in materia di aiuti di Stato, il giudice del rinvio deve fornire gli elementi previsti dall’art. 107 TFUE che consentano di ritenere sussistente nel caso concreto il suddetto aiuto</w:t>
      </w:r>
      <w:r w:rsidR="002D4409" w:rsidRPr="00CD159D">
        <w:rPr>
          <w:rStyle w:val="Rimandonotaapidipagina"/>
          <w:rFonts w:ascii="Times New Roman" w:hAnsi="Times New Roman" w:cs="Times New Roman"/>
          <w:sz w:val="26"/>
          <w:szCs w:val="26"/>
        </w:rPr>
        <w:footnoteReference w:id="22"/>
      </w:r>
      <w:r w:rsidR="002D4409" w:rsidRPr="00CD159D">
        <w:rPr>
          <w:rFonts w:ascii="Times New Roman" w:hAnsi="Times New Roman" w:cs="Times New Roman"/>
          <w:sz w:val="26"/>
          <w:szCs w:val="26"/>
        </w:rPr>
        <w:t>.</w:t>
      </w:r>
    </w:p>
    <w:p w:rsidR="00962348" w:rsidRPr="00CD159D" w:rsidRDefault="00962348" w:rsidP="00804185">
      <w:pPr>
        <w:spacing w:after="0" w:line="276" w:lineRule="auto"/>
        <w:ind w:firstLine="284"/>
        <w:jc w:val="both"/>
        <w:rPr>
          <w:rFonts w:ascii="Times New Roman" w:hAnsi="Times New Roman" w:cs="Times New Roman"/>
          <w:sz w:val="26"/>
          <w:szCs w:val="26"/>
        </w:rPr>
      </w:pPr>
    </w:p>
    <w:p w:rsidR="00962348" w:rsidRPr="00CD159D" w:rsidRDefault="00A83D69" w:rsidP="00804185">
      <w:pPr>
        <w:spacing w:after="0" w:line="276" w:lineRule="auto"/>
        <w:ind w:firstLine="284"/>
        <w:jc w:val="both"/>
        <w:rPr>
          <w:rFonts w:ascii="Times New Roman" w:hAnsi="Times New Roman" w:cs="Times New Roman"/>
          <w:b/>
          <w:i/>
          <w:sz w:val="26"/>
          <w:szCs w:val="26"/>
        </w:rPr>
      </w:pPr>
      <w:r w:rsidRPr="00CD159D">
        <w:rPr>
          <w:rFonts w:ascii="Times New Roman" w:hAnsi="Times New Roman" w:cs="Times New Roman"/>
          <w:b/>
          <w:i/>
          <w:sz w:val="26"/>
          <w:szCs w:val="26"/>
        </w:rPr>
        <w:t>6</w:t>
      </w:r>
      <w:r w:rsidR="00F72B23" w:rsidRPr="00CD159D">
        <w:rPr>
          <w:rFonts w:ascii="Times New Roman" w:hAnsi="Times New Roman" w:cs="Times New Roman"/>
          <w:b/>
          <w:i/>
          <w:sz w:val="26"/>
          <w:szCs w:val="26"/>
        </w:rPr>
        <w:t>. Conclusioni.</w:t>
      </w:r>
    </w:p>
    <w:p w:rsidR="00AA42CD" w:rsidRPr="00CD159D" w:rsidRDefault="00AA42CD" w:rsidP="00804185">
      <w:pPr>
        <w:spacing w:after="0" w:line="276" w:lineRule="auto"/>
        <w:ind w:firstLine="284"/>
        <w:jc w:val="both"/>
        <w:rPr>
          <w:rFonts w:ascii="Times New Roman" w:hAnsi="Times New Roman" w:cs="Times New Roman"/>
          <w:sz w:val="26"/>
          <w:szCs w:val="26"/>
        </w:rPr>
      </w:pPr>
    </w:p>
    <w:p w:rsidR="00962348" w:rsidRPr="00CD159D" w:rsidRDefault="00962348"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Alla luce dell’esame svolto può osservarsi che la normativa e la giu</w:t>
      </w:r>
      <w:r w:rsidR="00CC23FC">
        <w:rPr>
          <w:rFonts w:ascii="Times New Roman" w:hAnsi="Times New Roman" w:cs="Times New Roman"/>
          <w:sz w:val="26"/>
          <w:szCs w:val="26"/>
        </w:rPr>
        <w:t>risprudenza europee</w:t>
      </w:r>
      <w:r w:rsidR="00904D8B" w:rsidRPr="00CD159D">
        <w:rPr>
          <w:rFonts w:ascii="Times New Roman" w:hAnsi="Times New Roman" w:cs="Times New Roman"/>
          <w:sz w:val="26"/>
          <w:szCs w:val="26"/>
        </w:rPr>
        <w:t xml:space="preserve"> hanno</w:t>
      </w:r>
      <w:r w:rsidRPr="00CD159D">
        <w:rPr>
          <w:rFonts w:ascii="Times New Roman" w:hAnsi="Times New Roman" w:cs="Times New Roman"/>
          <w:sz w:val="26"/>
          <w:szCs w:val="26"/>
        </w:rPr>
        <w:t xml:space="preserve"> definito con sufficiente specificità le condizioni di ammissibilità dei rinvii pregiudiziali e la Corte di Giustizia ha oramai abbandonato gli orientamenti più permissivi, che aveva assunto all’inizio </w:t>
      </w:r>
      <w:r w:rsidR="009577AD" w:rsidRPr="00CD159D">
        <w:rPr>
          <w:rFonts w:ascii="Times New Roman" w:hAnsi="Times New Roman" w:cs="Times New Roman"/>
          <w:sz w:val="26"/>
          <w:szCs w:val="26"/>
        </w:rPr>
        <w:t>per promuovere il dialogo</w:t>
      </w:r>
      <w:r w:rsidRPr="00CD159D">
        <w:rPr>
          <w:rFonts w:ascii="Times New Roman" w:hAnsi="Times New Roman" w:cs="Times New Roman"/>
          <w:sz w:val="26"/>
          <w:szCs w:val="26"/>
        </w:rPr>
        <w:t xml:space="preserve"> con i giudici nazionali.</w:t>
      </w:r>
    </w:p>
    <w:p w:rsidR="00A628C0" w:rsidRPr="00CD159D" w:rsidRDefault="00962348" w:rsidP="00A628C0">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lastRenderedPageBreak/>
        <w:t>Pertanto, il rinvio pregiudiziale alla Corte di Giustizia deve essere oramai affrontato dal giudice nazionale come un impegno serio</w:t>
      </w:r>
      <w:r w:rsidR="009577AD" w:rsidRPr="00CD159D">
        <w:rPr>
          <w:rFonts w:ascii="Times New Roman" w:hAnsi="Times New Roman" w:cs="Times New Roman"/>
          <w:sz w:val="26"/>
          <w:szCs w:val="26"/>
        </w:rPr>
        <w:t>, atteso che solo egli è responsabile della decisione in ordine al rinvio e del contenuto del relativo provvedimento</w:t>
      </w:r>
      <w:r w:rsidR="00A628C0" w:rsidRPr="00CD159D">
        <w:rPr>
          <w:rStyle w:val="Rimandonotaapidipagina"/>
          <w:rFonts w:ascii="Times New Roman" w:hAnsi="Times New Roman" w:cs="Times New Roman"/>
          <w:sz w:val="26"/>
          <w:szCs w:val="26"/>
        </w:rPr>
        <w:footnoteReference w:id="23"/>
      </w:r>
      <w:r w:rsidRPr="00CD159D">
        <w:rPr>
          <w:rFonts w:ascii="Times New Roman" w:hAnsi="Times New Roman" w:cs="Times New Roman"/>
          <w:sz w:val="26"/>
          <w:szCs w:val="26"/>
        </w:rPr>
        <w:t>.</w:t>
      </w:r>
      <w:r w:rsidR="00A628C0" w:rsidRPr="00CD159D">
        <w:rPr>
          <w:rFonts w:ascii="Times New Roman" w:hAnsi="Times New Roman" w:cs="Times New Roman"/>
          <w:sz w:val="26"/>
          <w:szCs w:val="26"/>
        </w:rPr>
        <w:t xml:space="preserve">  </w:t>
      </w:r>
    </w:p>
    <w:p w:rsidR="009577AD" w:rsidRPr="00CD159D" w:rsidRDefault="00A628C0" w:rsidP="00A628C0">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Non può pertanto essere avallata la prassi dei giudici nazionali che si limitano a formulare i rinvii pregiudiziali sulla scorta delle richieste delle parti, senza effettuare un accertamento autonomo, serio e completo in ordine all’ammissibilità ed alla rilevanza della questione, carenza che si ripercuote inevitabilmente sulla lacunosità del provvedimento di rinvio.</w:t>
      </w:r>
    </w:p>
    <w:p w:rsidR="00962348" w:rsidRPr="00CD159D" w:rsidRDefault="007F634D"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Inoltre, tale compito del giudice nazionale interferisce sensibilmente anche </w:t>
      </w:r>
      <w:r w:rsidR="003A56E9">
        <w:rPr>
          <w:rFonts w:ascii="Times New Roman" w:hAnsi="Times New Roman" w:cs="Times New Roman"/>
          <w:sz w:val="26"/>
          <w:szCs w:val="26"/>
        </w:rPr>
        <w:t xml:space="preserve">con </w:t>
      </w:r>
      <w:r w:rsidR="00BD12DF">
        <w:rPr>
          <w:rFonts w:ascii="Times New Roman" w:hAnsi="Times New Roman" w:cs="Times New Roman"/>
          <w:sz w:val="26"/>
          <w:szCs w:val="26"/>
        </w:rPr>
        <w:t>i temi</w:t>
      </w:r>
      <w:r w:rsidRPr="00CD159D">
        <w:rPr>
          <w:rFonts w:ascii="Times New Roman" w:hAnsi="Times New Roman" w:cs="Times New Roman"/>
          <w:sz w:val="26"/>
          <w:szCs w:val="26"/>
        </w:rPr>
        <w:t>, che desta</w:t>
      </w:r>
      <w:r w:rsidR="00BD12DF">
        <w:rPr>
          <w:rFonts w:ascii="Times New Roman" w:hAnsi="Times New Roman" w:cs="Times New Roman"/>
          <w:sz w:val="26"/>
          <w:szCs w:val="26"/>
        </w:rPr>
        <w:t>no</w:t>
      </w:r>
      <w:r w:rsidRPr="00CD159D">
        <w:rPr>
          <w:rFonts w:ascii="Times New Roman" w:hAnsi="Times New Roman" w:cs="Times New Roman"/>
          <w:sz w:val="26"/>
          <w:szCs w:val="26"/>
        </w:rPr>
        <w:t xml:space="preserve"> attualmente maggiore interesse,</w:t>
      </w:r>
      <w:r w:rsidR="00962348" w:rsidRPr="00CD159D">
        <w:rPr>
          <w:rFonts w:ascii="Times New Roman" w:hAnsi="Times New Roman" w:cs="Times New Roman"/>
          <w:sz w:val="26"/>
          <w:szCs w:val="26"/>
        </w:rPr>
        <w:t xml:space="preserve"> dell’adempimento dell’obbli</w:t>
      </w:r>
      <w:r w:rsidR="009577AD" w:rsidRPr="00CD159D">
        <w:rPr>
          <w:rFonts w:ascii="Times New Roman" w:hAnsi="Times New Roman" w:cs="Times New Roman"/>
          <w:sz w:val="26"/>
          <w:szCs w:val="26"/>
        </w:rPr>
        <w:t>go di rinvio pregiudiziale da parte del giudice di ultima istanza</w:t>
      </w:r>
      <w:r w:rsidR="00490BDF">
        <w:rPr>
          <w:rFonts w:ascii="Times New Roman" w:hAnsi="Times New Roman" w:cs="Times New Roman"/>
          <w:sz w:val="26"/>
          <w:szCs w:val="26"/>
        </w:rPr>
        <w:t xml:space="preserve"> e del rapporto tra rinvio pregiudiziale e ragionevole durata del processo</w:t>
      </w:r>
      <w:r w:rsidR="009577AD" w:rsidRPr="00CD159D">
        <w:rPr>
          <w:rFonts w:ascii="Times New Roman" w:hAnsi="Times New Roman" w:cs="Times New Roman"/>
          <w:sz w:val="26"/>
          <w:szCs w:val="26"/>
        </w:rPr>
        <w:t>.</w:t>
      </w:r>
    </w:p>
    <w:p w:rsidR="007F634D" w:rsidRPr="00CD159D" w:rsidRDefault="009577AD"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 xml:space="preserve">Ed </w:t>
      </w:r>
      <w:r w:rsidR="00AA42CD" w:rsidRPr="00CD159D">
        <w:rPr>
          <w:rFonts w:ascii="Times New Roman" w:hAnsi="Times New Roman" w:cs="Times New Roman"/>
          <w:sz w:val="26"/>
          <w:szCs w:val="26"/>
        </w:rPr>
        <w:t xml:space="preserve">infatti, </w:t>
      </w:r>
      <w:r w:rsidR="007F634D" w:rsidRPr="00CD159D">
        <w:rPr>
          <w:rFonts w:ascii="Times New Roman" w:hAnsi="Times New Roman" w:cs="Times New Roman"/>
          <w:sz w:val="26"/>
          <w:szCs w:val="26"/>
        </w:rPr>
        <w:t xml:space="preserve">per un verso, come evidenziato già nella risalente sentenza del 6 ottobre 1983, causa C-283/81, </w:t>
      </w:r>
      <w:proofErr w:type="spellStart"/>
      <w:r w:rsidR="007F634D" w:rsidRPr="00CD159D">
        <w:rPr>
          <w:rFonts w:ascii="Times New Roman" w:hAnsi="Times New Roman" w:cs="Times New Roman"/>
          <w:i/>
          <w:sz w:val="26"/>
          <w:szCs w:val="26"/>
        </w:rPr>
        <w:t>Cilfit</w:t>
      </w:r>
      <w:proofErr w:type="spellEnd"/>
      <w:r w:rsidR="007F634D" w:rsidRPr="00CD159D">
        <w:rPr>
          <w:rFonts w:ascii="Times New Roman" w:hAnsi="Times New Roman" w:cs="Times New Roman"/>
          <w:sz w:val="26"/>
          <w:szCs w:val="26"/>
        </w:rPr>
        <w:t xml:space="preserve">, i giudici di ultima istanza “dispongono dello stesso potere di valutazione di tutti gli altri giudici nello stabilire </w:t>
      </w:r>
      <w:r w:rsidR="000A4394" w:rsidRPr="00CD159D">
        <w:rPr>
          <w:rFonts w:ascii="Times New Roman" w:hAnsi="Times New Roman" w:cs="Times New Roman"/>
          <w:sz w:val="26"/>
          <w:szCs w:val="26"/>
        </w:rPr>
        <w:t>se sia n</w:t>
      </w:r>
      <w:bookmarkStart w:id="4" w:name="_GoBack"/>
      <w:bookmarkEnd w:id="4"/>
      <w:r w:rsidR="000A4394" w:rsidRPr="00CD159D">
        <w:rPr>
          <w:rFonts w:ascii="Times New Roman" w:hAnsi="Times New Roman" w:cs="Times New Roman"/>
          <w:sz w:val="26"/>
          <w:szCs w:val="26"/>
        </w:rPr>
        <w:t>ecessaria una pronuncia su un punto di diritto comunitario onde consentire loro di decidere. Tali giudici non sono</w:t>
      </w:r>
      <w:r w:rsidR="003A56E9">
        <w:rPr>
          <w:rFonts w:ascii="Times New Roman" w:hAnsi="Times New Roman" w:cs="Times New Roman"/>
          <w:sz w:val="26"/>
          <w:szCs w:val="26"/>
        </w:rPr>
        <w:t xml:space="preserve"> pertanto</w:t>
      </w:r>
      <w:r w:rsidR="000A4394" w:rsidRPr="00CD159D">
        <w:rPr>
          <w:rFonts w:ascii="Times New Roman" w:hAnsi="Times New Roman" w:cs="Times New Roman"/>
          <w:sz w:val="26"/>
          <w:szCs w:val="26"/>
        </w:rPr>
        <w:t xml:space="preserve"> tenuti a sottoporre alla Corte una questione di interpretazione di norme comunitarie sollevata dinanzi ad essi se questa non è pertinente, vale a dire nel caso in cui la sua soluzione, qualunque essa sia, non possa in alcun modo influire sull’esito della lite</w:t>
      </w:r>
      <w:r w:rsidR="007F634D" w:rsidRPr="00CD159D">
        <w:rPr>
          <w:rFonts w:ascii="Times New Roman" w:hAnsi="Times New Roman" w:cs="Times New Roman"/>
          <w:sz w:val="26"/>
          <w:szCs w:val="26"/>
        </w:rPr>
        <w:t>”</w:t>
      </w:r>
      <w:r w:rsidR="003A56E9">
        <w:rPr>
          <w:rFonts w:ascii="Times New Roman" w:hAnsi="Times New Roman" w:cs="Times New Roman"/>
          <w:sz w:val="26"/>
          <w:szCs w:val="26"/>
        </w:rPr>
        <w:t>.</w:t>
      </w:r>
      <w:r w:rsidR="00BD12DF">
        <w:rPr>
          <w:rFonts w:ascii="Times New Roman" w:hAnsi="Times New Roman" w:cs="Times New Roman"/>
          <w:sz w:val="26"/>
          <w:szCs w:val="26"/>
        </w:rPr>
        <w:t xml:space="preserve"> Il rinvio pregiudiziale sarebbe anzi </w:t>
      </w:r>
      <w:r w:rsidR="000A4394" w:rsidRPr="00CD159D">
        <w:rPr>
          <w:rFonts w:ascii="Times New Roman" w:hAnsi="Times New Roman" w:cs="Times New Roman"/>
          <w:sz w:val="26"/>
          <w:szCs w:val="26"/>
        </w:rPr>
        <w:t>irricevibile</w:t>
      </w:r>
      <w:r w:rsidR="00BD12DF">
        <w:rPr>
          <w:rFonts w:ascii="Times New Roman" w:hAnsi="Times New Roman" w:cs="Times New Roman"/>
          <w:sz w:val="26"/>
          <w:szCs w:val="26"/>
        </w:rPr>
        <w:t xml:space="preserve"> per irrilevanza e causerebbe quindi un</w:t>
      </w:r>
      <w:r w:rsidR="00490BDF">
        <w:rPr>
          <w:rFonts w:ascii="Times New Roman" w:hAnsi="Times New Roman" w:cs="Times New Roman"/>
          <w:sz w:val="26"/>
          <w:szCs w:val="26"/>
        </w:rPr>
        <w:t xml:space="preserve"> ingiustificato allungamento dei tempi processuali</w:t>
      </w:r>
      <w:r w:rsidR="000A4394" w:rsidRPr="00CD159D">
        <w:rPr>
          <w:rFonts w:ascii="Times New Roman" w:hAnsi="Times New Roman" w:cs="Times New Roman"/>
          <w:sz w:val="26"/>
          <w:szCs w:val="26"/>
        </w:rPr>
        <w:t>.</w:t>
      </w:r>
    </w:p>
    <w:p w:rsidR="0079146E" w:rsidRPr="00CD159D" w:rsidRDefault="000A4394" w:rsidP="00804185">
      <w:pPr>
        <w:spacing w:after="0" w:line="276" w:lineRule="auto"/>
        <w:ind w:firstLine="284"/>
        <w:jc w:val="both"/>
        <w:rPr>
          <w:rFonts w:ascii="Times New Roman" w:hAnsi="Times New Roman" w:cs="Times New Roman"/>
          <w:sz w:val="26"/>
          <w:szCs w:val="26"/>
        </w:rPr>
      </w:pPr>
      <w:r w:rsidRPr="00CD159D">
        <w:rPr>
          <w:rFonts w:ascii="Times New Roman" w:hAnsi="Times New Roman" w:cs="Times New Roman"/>
          <w:sz w:val="26"/>
          <w:szCs w:val="26"/>
        </w:rPr>
        <w:t>Per altro verso,</w:t>
      </w:r>
      <w:r w:rsidR="007F634D" w:rsidRPr="00CD159D">
        <w:rPr>
          <w:rFonts w:ascii="Times New Roman" w:hAnsi="Times New Roman" w:cs="Times New Roman"/>
          <w:i/>
          <w:sz w:val="26"/>
          <w:szCs w:val="26"/>
        </w:rPr>
        <w:t xml:space="preserve"> </w:t>
      </w:r>
      <w:r w:rsidR="00AA42CD" w:rsidRPr="00CD159D">
        <w:rPr>
          <w:rFonts w:ascii="Times New Roman" w:hAnsi="Times New Roman" w:cs="Times New Roman"/>
          <w:sz w:val="26"/>
          <w:szCs w:val="26"/>
        </w:rPr>
        <w:t>se</w:t>
      </w:r>
      <w:r w:rsidRPr="00CD159D">
        <w:rPr>
          <w:rFonts w:ascii="Times New Roman" w:hAnsi="Times New Roman" w:cs="Times New Roman"/>
          <w:sz w:val="26"/>
          <w:szCs w:val="26"/>
        </w:rPr>
        <w:t xml:space="preserve"> la soluzione della questione è effettivamente necessaria per decidere la controversia principale ma</w:t>
      </w:r>
      <w:r w:rsidR="00AA42CD" w:rsidRPr="00CD159D">
        <w:rPr>
          <w:rFonts w:ascii="Times New Roman" w:hAnsi="Times New Roman" w:cs="Times New Roman"/>
          <w:sz w:val="26"/>
          <w:szCs w:val="26"/>
        </w:rPr>
        <w:t xml:space="preserve"> il giudice </w:t>
      </w:r>
      <w:r w:rsidR="00803AC9" w:rsidRPr="00CD159D">
        <w:rPr>
          <w:rFonts w:ascii="Times New Roman" w:hAnsi="Times New Roman" w:cs="Times New Roman"/>
          <w:sz w:val="26"/>
          <w:szCs w:val="26"/>
        </w:rPr>
        <w:t xml:space="preserve">di </w:t>
      </w:r>
      <w:r w:rsidR="00AA42CD" w:rsidRPr="00CD159D">
        <w:rPr>
          <w:rFonts w:ascii="Times New Roman" w:hAnsi="Times New Roman" w:cs="Times New Roman"/>
          <w:sz w:val="26"/>
          <w:szCs w:val="26"/>
        </w:rPr>
        <w:t xml:space="preserve">ultima istanza </w:t>
      </w:r>
      <w:r w:rsidRPr="00CD159D">
        <w:rPr>
          <w:rFonts w:ascii="Times New Roman" w:hAnsi="Times New Roman" w:cs="Times New Roman"/>
          <w:sz w:val="26"/>
          <w:szCs w:val="26"/>
        </w:rPr>
        <w:t>non rispetta</w:t>
      </w:r>
      <w:r w:rsidR="00AA42CD" w:rsidRPr="00CD159D">
        <w:rPr>
          <w:rFonts w:ascii="Times New Roman" w:hAnsi="Times New Roman" w:cs="Times New Roman"/>
          <w:sz w:val="26"/>
          <w:szCs w:val="26"/>
        </w:rPr>
        <w:t xml:space="preserve"> le condizioni formali di ammissibilità, </w:t>
      </w:r>
      <w:r w:rsidR="00196C4A" w:rsidRPr="00CD159D">
        <w:rPr>
          <w:rFonts w:ascii="Times New Roman" w:hAnsi="Times New Roman" w:cs="Times New Roman"/>
          <w:sz w:val="26"/>
          <w:szCs w:val="26"/>
        </w:rPr>
        <w:t>non può ritenersi</w:t>
      </w:r>
      <w:r w:rsidR="00C70008">
        <w:rPr>
          <w:rFonts w:ascii="Times New Roman" w:hAnsi="Times New Roman" w:cs="Times New Roman"/>
          <w:sz w:val="26"/>
          <w:szCs w:val="26"/>
        </w:rPr>
        <w:t xml:space="preserve"> che</w:t>
      </w:r>
      <w:r w:rsidR="00AA42CD" w:rsidRPr="00CD159D">
        <w:rPr>
          <w:rFonts w:ascii="Times New Roman" w:hAnsi="Times New Roman" w:cs="Times New Roman"/>
          <w:sz w:val="26"/>
          <w:szCs w:val="26"/>
        </w:rPr>
        <w:t xml:space="preserve"> il predetto obbligo sia stato effettivamente adempiuto. Così il giudice, a seguito della dichiarazione di irricevibilità della Corte e</w:t>
      </w:r>
      <w:r w:rsidR="00C70008">
        <w:rPr>
          <w:rFonts w:ascii="Times New Roman" w:hAnsi="Times New Roman" w:cs="Times New Roman"/>
          <w:sz w:val="26"/>
          <w:szCs w:val="26"/>
        </w:rPr>
        <w:t xml:space="preserve"> ove continui a rit</w:t>
      </w:r>
      <w:r w:rsidR="0079146E" w:rsidRPr="00CD159D">
        <w:rPr>
          <w:rFonts w:ascii="Times New Roman" w:hAnsi="Times New Roman" w:cs="Times New Roman"/>
          <w:sz w:val="26"/>
          <w:szCs w:val="26"/>
        </w:rPr>
        <w:t>ene</w:t>
      </w:r>
      <w:r w:rsidR="00C70008">
        <w:rPr>
          <w:rFonts w:ascii="Times New Roman" w:hAnsi="Times New Roman" w:cs="Times New Roman"/>
          <w:sz w:val="26"/>
          <w:szCs w:val="26"/>
        </w:rPr>
        <w:t>re</w:t>
      </w:r>
      <w:r w:rsidR="0079146E" w:rsidRPr="00CD159D">
        <w:rPr>
          <w:rFonts w:ascii="Times New Roman" w:hAnsi="Times New Roman" w:cs="Times New Roman"/>
          <w:sz w:val="26"/>
          <w:szCs w:val="26"/>
        </w:rPr>
        <w:t xml:space="preserve"> </w:t>
      </w:r>
      <w:r w:rsidR="00AA42CD" w:rsidRPr="00CD159D">
        <w:rPr>
          <w:rFonts w:ascii="Times New Roman" w:hAnsi="Times New Roman" w:cs="Times New Roman"/>
          <w:sz w:val="26"/>
          <w:szCs w:val="26"/>
        </w:rPr>
        <w:t>sussistenti i presupposti per l’obbligo del rin</w:t>
      </w:r>
      <w:r w:rsidR="00196C4A" w:rsidRPr="00CD159D">
        <w:rPr>
          <w:rFonts w:ascii="Times New Roman" w:hAnsi="Times New Roman" w:cs="Times New Roman"/>
          <w:sz w:val="26"/>
          <w:szCs w:val="26"/>
        </w:rPr>
        <w:t xml:space="preserve">vio, sarà tenuto a </w:t>
      </w:r>
      <w:r w:rsidR="00AA42CD" w:rsidRPr="00CD159D">
        <w:rPr>
          <w:rFonts w:ascii="Times New Roman" w:hAnsi="Times New Roman" w:cs="Times New Roman"/>
          <w:sz w:val="26"/>
          <w:szCs w:val="26"/>
        </w:rPr>
        <w:t xml:space="preserve">sollevare </w:t>
      </w:r>
      <w:r w:rsidR="00196C4A" w:rsidRPr="00CD159D">
        <w:rPr>
          <w:rFonts w:ascii="Times New Roman" w:hAnsi="Times New Roman" w:cs="Times New Roman"/>
          <w:sz w:val="26"/>
          <w:szCs w:val="26"/>
        </w:rPr>
        <w:t xml:space="preserve">nuovamente </w:t>
      </w:r>
      <w:r w:rsidR="00AA42CD" w:rsidRPr="00CD159D">
        <w:rPr>
          <w:rFonts w:ascii="Times New Roman" w:hAnsi="Times New Roman" w:cs="Times New Roman"/>
          <w:sz w:val="26"/>
          <w:szCs w:val="26"/>
        </w:rPr>
        <w:t xml:space="preserve">la </w:t>
      </w:r>
      <w:r w:rsidR="0079146E" w:rsidRPr="00CD159D">
        <w:rPr>
          <w:rFonts w:ascii="Times New Roman" w:hAnsi="Times New Roman" w:cs="Times New Roman"/>
          <w:sz w:val="26"/>
          <w:szCs w:val="26"/>
        </w:rPr>
        <w:t xml:space="preserve">questione, fornendo alla Corte di Giustizia i necessari elementi richiesti, con </w:t>
      </w:r>
      <w:r w:rsidR="00490BDF">
        <w:rPr>
          <w:rFonts w:ascii="Times New Roman" w:hAnsi="Times New Roman" w:cs="Times New Roman"/>
          <w:sz w:val="26"/>
          <w:szCs w:val="26"/>
        </w:rPr>
        <w:t>la conseguenza, anche in tal caso, di un ingiustificato allungamento dei tempi processuali</w:t>
      </w:r>
      <w:r w:rsidR="00F82EB3" w:rsidRPr="00CD159D">
        <w:rPr>
          <w:rFonts w:ascii="Times New Roman" w:hAnsi="Times New Roman" w:cs="Times New Roman"/>
          <w:sz w:val="26"/>
          <w:szCs w:val="26"/>
        </w:rPr>
        <w:t>.</w:t>
      </w:r>
    </w:p>
    <w:p w:rsidR="00962348" w:rsidRPr="00E561D2" w:rsidRDefault="00962348" w:rsidP="00804185">
      <w:pPr>
        <w:spacing w:after="0" w:line="276" w:lineRule="auto"/>
        <w:contextualSpacing/>
        <w:jc w:val="both"/>
        <w:rPr>
          <w:rFonts w:ascii="Times New Roman" w:hAnsi="Times New Roman" w:cs="Times New Roman"/>
          <w:sz w:val="25"/>
          <w:szCs w:val="25"/>
        </w:rPr>
      </w:pPr>
    </w:p>
    <w:sectPr w:rsidR="00962348" w:rsidRPr="00E561D2">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EF4" w:rsidRDefault="00657EF4" w:rsidP="004A5B69">
      <w:pPr>
        <w:spacing w:after="0" w:line="240" w:lineRule="auto"/>
      </w:pPr>
      <w:r>
        <w:separator/>
      </w:r>
    </w:p>
  </w:endnote>
  <w:endnote w:type="continuationSeparator" w:id="0">
    <w:p w:rsidR="00657EF4" w:rsidRDefault="00657EF4" w:rsidP="004A5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398332"/>
      <w:docPartObj>
        <w:docPartGallery w:val="Page Numbers (Bottom of Page)"/>
        <w:docPartUnique/>
      </w:docPartObj>
    </w:sdtPr>
    <w:sdtEndPr/>
    <w:sdtContent>
      <w:p w:rsidR="001003B8" w:rsidRDefault="001003B8">
        <w:pPr>
          <w:pStyle w:val="Pidipagina"/>
          <w:jc w:val="center"/>
        </w:pPr>
        <w:r>
          <w:fldChar w:fldCharType="begin"/>
        </w:r>
        <w:r>
          <w:instrText>PAGE   \* MERGEFORMAT</w:instrText>
        </w:r>
        <w:r>
          <w:fldChar w:fldCharType="separate"/>
        </w:r>
        <w:r w:rsidR="008330D4">
          <w:rPr>
            <w:noProof/>
          </w:rPr>
          <w:t>12</w:t>
        </w:r>
        <w:r>
          <w:fldChar w:fldCharType="end"/>
        </w:r>
      </w:p>
    </w:sdtContent>
  </w:sdt>
  <w:p w:rsidR="001003B8" w:rsidRDefault="001003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EF4" w:rsidRDefault="00657EF4" w:rsidP="004A5B69">
      <w:pPr>
        <w:spacing w:after="0" w:line="240" w:lineRule="auto"/>
      </w:pPr>
      <w:r>
        <w:separator/>
      </w:r>
    </w:p>
  </w:footnote>
  <w:footnote w:type="continuationSeparator" w:id="0">
    <w:p w:rsidR="00657EF4" w:rsidRDefault="00657EF4" w:rsidP="004A5B69">
      <w:pPr>
        <w:spacing w:after="0" w:line="240" w:lineRule="auto"/>
      </w:pPr>
      <w:r>
        <w:continuationSeparator/>
      </w:r>
    </w:p>
  </w:footnote>
  <w:footnote w:id="1">
    <w:p w:rsidR="00B94EED" w:rsidRDefault="00B94EED" w:rsidP="00B94EED">
      <w:pPr>
        <w:pStyle w:val="Testonotaapidipagina"/>
        <w:jc w:val="both"/>
      </w:pPr>
      <w:r>
        <w:rPr>
          <w:rStyle w:val="Rimandonotaapidipagina"/>
        </w:rPr>
        <w:footnoteRef/>
      </w:r>
      <w:r>
        <w:t xml:space="preserve"> </w:t>
      </w:r>
      <w:r w:rsidRPr="00B94EED">
        <w:rPr>
          <w:rFonts w:ascii="Times New Roman" w:hAnsi="Times New Roman" w:cs="Times New Roman"/>
        </w:rPr>
        <w:t>Testo della relazione “</w:t>
      </w:r>
      <w:r w:rsidRPr="00B94EED">
        <w:rPr>
          <w:rFonts w:ascii="Times New Roman" w:hAnsi="Times New Roman" w:cs="Times New Roman"/>
          <w:bCs/>
          <w:i/>
          <w:iCs/>
        </w:rPr>
        <w:t>Ammissibilità e rilevanza della questione pregiudiziale</w:t>
      </w:r>
      <w:r w:rsidRPr="00B94EED">
        <w:rPr>
          <w:rFonts w:ascii="Times New Roman" w:hAnsi="Times New Roman" w:cs="Times New Roman"/>
        </w:rPr>
        <w:t xml:space="preserve">” tenuta al corso di formazione </w:t>
      </w:r>
      <w:r w:rsidRPr="00B94EED">
        <w:rPr>
          <w:rFonts w:ascii="Times New Roman" w:hAnsi="Times New Roman" w:cs="Times New Roman"/>
          <w:bCs/>
        </w:rPr>
        <w:t>“</w:t>
      </w:r>
      <w:r w:rsidRPr="00B94EED">
        <w:rPr>
          <w:rFonts w:ascii="Times New Roman" w:hAnsi="Times New Roman" w:cs="Times New Roman"/>
          <w:bCs/>
          <w:i/>
        </w:rPr>
        <w:t>Il rinvio pregiudiziale alla Corte di Giustizia dell’U.E. come strumento di ordine e di sviluppo dei sistemi giuridici nazionali</w:t>
      </w:r>
      <w:r w:rsidRPr="00B94EED">
        <w:rPr>
          <w:rFonts w:ascii="Times New Roman" w:hAnsi="Times New Roman" w:cs="Times New Roman"/>
          <w:bCs/>
        </w:rPr>
        <w:t>” - Roma, 21 maggio 2024, organizzato dall’Ufficio studi e formazione della Giustizia amministrativa.</w:t>
      </w:r>
    </w:p>
  </w:footnote>
  <w:footnote w:id="2">
    <w:p w:rsidR="004A5B69" w:rsidRPr="00F73038" w:rsidRDefault="004A5B69" w:rsidP="00982CE0">
      <w:pPr>
        <w:pStyle w:val="Testonotaapidipagina"/>
        <w:jc w:val="both"/>
        <w:rPr>
          <w:rFonts w:ascii="Times New Roman" w:hAnsi="Times New Roman" w:cs="Times New Roman"/>
        </w:rPr>
      </w:pPr>
      <w:r w:rsidRPr="004A5B69">
        <w:rPr>
          <w:rStyle w:val="Rimandonotaapidipagina"/>
          <w:rFonts w:ascii="Times New Roman" w:hAnsi="Times New Roman" w:cs="Times New Roman"/>
        </w:rPr>
        <w:footnoteRef/>
      </w:r>
      <w:r w:rsidRPr="004A5B69">
        <w:rPr>
          <w:rFonts w:ascii="Times New Roman" w:hAnsi="Times New Roman" w:cs="Times New Roman"/>
        </w:rPr>
        <w:t xml:space="preserve"> </w:t>
      </w:r>
      <w:r w:rsidR="00982CE0">
        <w:rPr>
          <w:rFonts w:ascii="Times New Roman" w:hAnsi="Times New Roman" w:cs="Times New Roman"/>
        </w:rPr>
        <w:t xml:space="preserve">V. al riguardo </w:t>
      </w:r>
      <w:r w:rsidR="00982CE0" w:rsidRPr="00982CE0">
        <w:rPr>
          <w:rFonts w:ascii="Times New Roman" w:hAnsi="Times New Roman" w:cs="Times New Roman"/>
          <w:smallCaps/>
        </w:rPr>
        <w:t>D. Domenicucci</w:t>
      </w:r>
      <w:r w:rsidR="00982CE0">
        <w:rPr>
          <w:rFonts w:ascii="Times New Roman" w:hAnsi="Times New Roman" w:cs="Times New Roman"/>
        </w:rPr>
        <w:t xml:space="preserve">, </w:t>
      </w:r>
      <w:r w:rsidR="00982CE0">
        <w:rPr>
          <w:rFonts w:ascii="Times New Roman" w:hAnsi="Times New Roman" w:cs="Times New Roman"/>
          <w:i/>
        </w:rPr>
        <w:t>Il meccanismo del rinvio pregiudiziale: istruzioni per l’uso</w:t>
      </w:r>
      <w:r w:rsidR="00982CE0">
        <w:rPr>
          <w:rFonts w:ascii="Times New Roman" w:hAnsi="Times New Roman" w:cs="Times New Roman"/>
        </w:rPr>
        <w:t xml:space="preserve">, in </w:t>
      </w:r>
      <w:r w:rsidR="00982CE0">
        <w:rPr>
          <w:rFonts w:ascii="Times New Roman" w:hAnsi="Times New Roman" w:cs="Times New Roman"/>
          <w:i/>
        </w:rPr>
        <w:t>Contratto e impresa/Europa</w:t>
      </w:r>
      <w:r w:rsidR="00F73038">
        <w:rPr>
          <w:rFonts w:ascii="Times New Roman" w:hAnsi="Times New Roman" w:cs="Times New Roman"/>
          <w:i/>
        </w:rPr>
        <w:t>, 1/2014, 53</w:t>
      </w:r>
      <w:r w:rsidR="00F73038">
        <w:rPr>
          <w:rFonts w:ascii="Times New Roman" w:hAnsi="Times New Roman" w:cs="Times New Roman"/>
        </w:rPr>
        <w:t xml:space="preserve"> e</w:t>
      </w:r>
      <w:r w:rsidR="00982CE0">
        <w:rPr>
          <w:rFonts w:ascii="Times New Roman" w:hAnsi="Times New Roman" w:cs="Times New Roman"/>
          <w:i/>
        </w:rPr>
        <w:t xml:space="preserve"> </w:t>
      </w:r>
      <w:r w:rsidR="00982CE0">
        <w:rPr>
          <w:rFonts w:ascii="Times New Roman" w:hAnsi="Times New Roman" w:cs="Times New Roman"/>
          <w:smallCaps/>
        </w:rPr>
        <w:t xml:space="preserve">C. </w:t>
      </w:r>
      <w:proofErr w:type="spellStart"/>
      <w:r w:rsidR="00982CE0">
        <w:rPr>
          <w:rFonts w:ascii="Times New Roman" w:hAnsi="Times New Roman" w:cs="Times New Roman"/>
          <w:smallCaps/>
        </w:rPr>
        <w:t>Iannone</w:t>
      </w:r>
      <w:proofErr w:type="spellEnd"/>
      <w:r w:rsidR="00982CE0">
        <w:rPr>
          <w:rFonts w:ascii="Times New Roman" w:hAnsi="Times New Roman" w:cs="Times New Roman"/>
          <w:smallCaps/>
        </w:rPr>
        <w:t>,</w:t>
      </w:r>
      <w:r w:rsidR="00982CE0">
        <w:rPr>
          <w:rFonts w:ascii="Times New Roman" w:hAnsi="Times New Roman" w:cs="Times New Roman"/>
        </w:rPr>
        <w:t xml:space="preserve"> </w:t>
      </w:r>
      <w:r w:rsidR="00982CE0">
        <w:rPr>
          <w:rFonts w:ascii="Times New Roman" w:hAnsi="Times New Roman" w:cs="Times New Roman"/>
          <w:i/>
        </w:rPr>
        <w:t>Le ordinanze di irricevibilità dei rinvii pregiudiziali dei giudici italiani</w:t>
      </w:r>
      <w:r w:rsidR="00982CE0">
        <w:rPr>
          <w:rFonts w:ascii="Times New Roman" w:hAnsi="Times New Roman" w:cs="Times New Roman"/>
        </w:rPr>
        <w:t>, in</w:t>
      </w:r>
      <w:r w:rsidR="00F73038">
        <w:rPr>
          <w:rFonts w:ascii="Times New Roman" w:hAnsi="Times New Roman" w:cs="Times New Roman"/>
        </w:rPr>
        <w:t xml:space="preserve"> </w:t>
      </w:r>
      <w:r w:rsidR="00F73038">
        <w:rPr>
          <w:rFonts w:ascii="Times New Roman" w:hAnsi="Times New Roman" w:cs="Times New Roman"/>
          <w:i/>
        </w:rPr>
        <w:t xml:space="preserve">Dir. Un. </w:t>
      </w:r>
      <w:proofErr w:type="spellStart"/>
      <w:r w:rsidR="00F73038">
        <w:rPr>
          <w:rFonts w:ascii="Times New Roman" w:hAnsi="Times New Roman" w:cs="Times New Roman"/>
          <w:i/>
        </w:rPr>
        <w:t>Eur</w:t>
      </w:r>
      <w:proofErr w:type="spellEnd"/>
      <w:r w:rsidR="00F73038" w:rsidRPr="00F73038">
        <w:rPr>
          <w:rFonts w:ascii="Times New Roman" w:hAnsi="Times New Roman" w:cs="Times New Roman"/>
        </w:rPr>
        <w:t>., 2/2018, 249.</w:t>
      </w:r>
      <w:r w:rsidR="00982CE0" w:rsidRPr="00F73038">
        <w:rPr>
          <w:rFonts w:ascii="Times New Roman" w:hAnsi="Times New Roman" w:cs="Times New Roman"/>
        </w:rPr>
        <w:t xml:space="preserve"> </w:t>
      </w:r>
    </w:p>
  </w:footnote>
  <w:footnote w:id="3">
    <w:p w:rsidR="004A5B69" w:rsidRPr="001003B8" w:rsidRDefault="004A5B69" w:rsidP="00982CE0">
      <w:pPr>
        <w:pStyle w:val="Testonotaapidipagina"/>
        <w:jc w:val="both"/>
        <w:rPr>
          <w:rFonts w:ascii="Times New Roman" w:hAnsi="Times New Roman" w:cs="Times New Roman"/>
        </w:rPr>
      </w:pPr>
      <w:r w:rsidRPr="004A5B69">
        <w:rPr>
          <w:rStyle w:val="Rimandonotaapidipagina"/>
          <w:rFonts w:ascii="Times New Roman" w:hAnsi="Times New Roman" w:cs="Times New Roman"/>
        </w:rPr>
        <w:footnoteRef/>
      </w:r>
      <w:r w:rsidRPr="004A5B69">
        <w:rPr>
          <w:rFonts w:ascii="Times New Roman" w:hAnsi="Times New Roman" w:cs="Times New Roman"/>
        </w:rPr>
        <w:t xml:space="preserve"> </w:t>
      </w:r>
      <w:r w:rsidR="00303164">
        <w:rPr>
          <w:rFonts w:ascii="Times New Roman" w:hAnsi="Times New Roman" w:cs="Times New Roman"/>
        </w:rPr>
        <w:t xml:space="preserve">Sono esemplificative, al riguardo, le conclusioni dell’A.G. </w:t>
      </w:r>
      <w:proofErr w:type="spellStart"/>
      <w:r w:rsidR="009459E6">
        <w:rPr>
          <w:rFonts w:ascii="Times New Roman" w:hAnsi="Times New Roman" w:cs="Times New Roman"/>
        </w:rPr>
        <w:t>J</w:t>
      </w:r>
      <w:r w:rsidR="009459E6" w:rsidRPr="009459E6">
        <w:rPr>
          <w:rFonts w:ascii="Times New Roman" w:hAnsi="Times New Roman" w:cs="Times New Roman"/>
        </w:rPr>
        <w:t>ääskinen</w:t>
      </w:r>
      <w:proofErr w:type="spellEnd"/>
      <w:r w:rsidR="009459E6">
        <w:rPr>
          <w:rFonts w:ascii="Times New Roman" w:hAnsi="Times New Roman" w:cs="Times New Roman"/>
        </w:rPr>
        <w:t xml:space="preserve"> in C-393/08, il quale evidenzia che “il</w:t>
      </w:r>
      <w:r w:rsidR="00181C1B">
        <w:rPr>
          <w:rFonts w:ascii="Times New Roman" w:hAnsi="Times New Roman" w:cs="Times New Roman"/>
        </w:rPr>
        <w:t xml:space="preserve"> fatto che la Corte si limiti </w:t>
      </w:r>
      <w:r w:rsidR="009459E6">
        <w:rPr>
          <w:rFonts w:ascii="Times New Roman" w:hAnsi="Times New Roman" w:cs="Times New Roman"/>
        </w:rPr>
        <w:t>ad indicare che la questione è irricevibile potrebbe essere percepito dai giudici nazionali come una violazione del principio di cooperazione con questi ultimi, principio fondamentale che presiede la relazione in questione”.</w:t>
      </w:r>
      <w:r w:rsidR="00AD3BAD">
        <w:rPr>
          <w:rFonts w:ascii="Times New Roman" w:hAnsi="Times New Roman" w:cs="Times New Roman"/>
        </w:rPr>
        <w:t xml:space="preserve"> In dottrina, in termini critici, v.</w:t>
      </w:r>
      <w:r w:rsidR="00804185">
        <w:rPr>
          <w:rFonts w:ascii="Times New Roman" w:hAnsi="Times New Roman" w:cs="Times New Roman"/>
        </w:rPr>
        <w:t xml:space="preserve"> ampiamente</w:t>
      </w:r>
      <w:r w:rsidR="009B12FC">
        <w:rPr>
          <w:rFonts w:ascii="Times New Roman" w:hAnsi="Times New Roman" w:cs="Times New Roman"/>
        </w:rPr>
        <w:t xml:space="preserve"> D. </w:t>
      </w:r>
      <w:proofErr w:type="spellStart"/>
      <w:r w:rsidR="009B12FC" w:rsidRPr="009B12FC">
        <w:rPr>
          <w:rFonts w:ascii="Times New Roman" w:hAnsi="Times New Roman" w:cs="Times New Roman"/>
          <w:smallCaps/>
        </w:rPr>
        <w:t>O’Keeffe</w:t>
      </w:r>
      <w:proofErr w:type="spellEnd"/>
      <w:r w:rsidR="009B12FC" w:rsidRPr="009B12FC">
        <w:rPr>
          <w:rFonts w:ascii="Times New Roman" w:hAnsi="Times New Roman" w:cs="Times New Roman"/>
        </w:rPr>
        <w:t xml:space="preserve">, </w:t>
      </w:r>
      <w:proofErr w:type="spellStart"/>
      <w:r w:rsidR="009B12FC" w:rsidRPr="009B12FC">
        <w:rPr>
          <w:rFonts w:ascii="Times New Roman" w:hAnsi="Times New Roman" w:cs="Times New Roman"/>
          <w:i/>
        </w:rPr>
        <w:t>Is</w:t>
      </w:r>
      <w:proofErr w:type="spellEnd"/>
      <w:r w:rsidR="009B12FC" w:rsidRPr="009B12FC">
        <w:rPr>
          <w:rFonts w:ascii="Times New Roman" w:hAnsi="Times New Roman" w:cs="Times New Roman"/>
          <w:i/>
        </w:rPr>
        <w:t xml:space="preserve"> the </w:t>
      </w:r>
      <w:proofErr w:type="spellStart"/>
      <w:r w:rsidR="009B12FC" w:rsidRPr="009B12FC">
        <w:rPr>
          <w:rFonts w:ascii="Times New Roman" w:hAnsi="Times New Roman" w:cs="Times New Roman"/>
          <w:i/>
        </w:rPr>
        <w:t>spirit</w:t>
      </w:r>
      <w:proofErr w:type="spellEnd"/>
      <w:r w:rsidR="009B12FC">
        <w:rPr>
          <w:rFonts w:ascii="Times New Roman" w:hAnsi="Times New Roman" w:cs="Times New Roman"/>
          <w:i/>
        </w:rPr>
        <w:t xml:space="preserve"> of </w:t>
      </w:r>
      <w:proofErr w:type="spellStart"/>
      <w:r w:rsidR="009B12FC">
        <w:rPr>
          <w:rFonts w:ascii="Times New Roman" w:hAnsi="Times New Roman" w:cs="Times New Roman"/>
          <w:i/>
        </w:rPr>
        <w:t>article</w:t>
      </w:r>
      <w:proofErr w:type="spellEnd"/>
      <w:r w:rsidR="009B12FC">
        <w:rPr>
          <w:rFonts w:ascii="Times New Roman" w:hAnsi="Times New Roman" w:cs="Times New Roman"/>
          <w:i/>
        </w:rPr>
        <w:t xml:space="preserve"> 177</w:t>
      </w:r>
      <w:r w:rsidR="00AD3BAD">
        <w:rPr>
          <w:rFonts w:ascii="Times New Roman" w:hAnsi="Times New Roman" w:cs="Times New Roman"/>
        </w:rPr>
        <w:t xml:space="preserve"> </w:t>
      </w:r>
      <w:r w:rsidR="009B12FC">
        <w:rPr>
          <w:rFonts w:ascii="Times New Roman" w:hAnsi="Times New Roman" w:cs="Times New Roman"/>
          <w:i/>
        </w:rPr>
        <w:t xml:space="preserve">under </w:t>
      </w:r>
      <w:proofErr w:type="spellStart"/>
      <w:r w:rsidR="009B12FC">
        <w:rPr>
          <w:rFonts w:ascii="Times New Roman" w:hAnsi="Times New Roman" w:cs="Times New Roman"/>
          <w:i/>
        </w:rPr>
        <w:t>attack</w:t>
      </w:r>
      <w:proofErr w:type="spellEnd"/>
      <w:r w:rsidR="009B12FC">
        <w:rPr>
          <w:rFonts w:ascii="Times New Roman" w:hAnsi="Times New Roman" w:cs="Times New Roman"/>
          <w:i/>
        </w:rPr>
        <w:t xml:space="preserve">? Preliminary </w:t>
      </w:r>
      <w:proofErr w:type="spellStart"/>
      <w:r w:rsidR="009B12FC">
        <w:rPr>
          <w:rFonts w:ascii="Times New Roman" w:hAnsi="Times New Roman" w:cs="Times New Roman"/>
          <w:i/>
        </w:rPr>
        <w:t>recferences</w:t>
      </w:r>
      <w:proofErr w:type="spellEnd"/>
      <w:r w:rsidR="009B12FC">
        <w:rPr>
          <w:rFonts w:ascii="Times New Roman" w:hAnsi="Times New Roman" w:cs="Times New Roman"/>
          <w:i/>
        </w:rPr>
        <w:t xml:space="preserve"> and </w:t>
      </w:r>
      <w:proofErr w:type="spellStart"/>
      <w:r w:rsidR="009B12FC" w:rsidRPr="009B12FC">
        <w:rPr>
          <w:rFonts w:ascii="Times New Roman" w:hAnsi="Times New Roman" w:cs="Times New Roman"/>
          <w:i/>
        </w:rPr>
        <w:t>admissibility</w:t>
      </w:r>
      <w:proofErr w:type="spellEnd"/>
      <w:r w:rsidR="009B12FC">
        <w:rPr>
          <w:rFonts w:ascii="Times New Roman" w:hAnsi="Times New Roman" w:cs="Times New Roman"/>
          <w:i/>
        </w:rPr>
        <w:t xml:space="preserve"> </w:t>
      </w:r>
      <w:r w:rsidR="009B12FC">
        <w:rPr>
          <w:rFonts w:ascii="Times New Roman" w:hAnsi="Times New Roman" w:cs="Times New Roman"/>
        </w:rPr>
        <w:t xml:space="preserve">in </w:t>
      </w:r>
      <w:r w:rsidR="009B12FC">
        <w:rPr>
          <w:rFonts w:ascii="Times New Roman" w:hAnsi="Times New Roman" w:cs="Times New Roman"/>
          <w:i/>
        </w:rPr>
        <w:t>Scritti in onore di Giuseppe Federico Mancini</w:t>
      </w:r>
      <w:r w:rsidR="009B12FC">
        <w:rPr>
          <w:rFonts w:ascii="Times New Roman" w:hAnsi="Times New Roman" w:cs="Times New Roman"/>
        </w:rPr>
        <w:t>, Milano 1998, 695 ss.;</w:t>
      </w:r>
      <w:r w:rsidR="009B12FC">
        <w:rPr>
          <w:rFonts w:ascii="Times New Roman" w:hAnsi="Times New Roman" w:cs="Times New Roman"/>
          <w:i/>
        </w:rPr>
        <w:t xml:space="preserve"> </w:t>
      </w:r>
      <w:r w:rsidR="009B12FC">
        <w:rPr>
          <w:rFonts w:ascii="Times New Roman" w:hAnsi="Times New Roman" w:cs="Times New Roman"/>
        </w:rPr>
        <w:t xml:space="preserve">v. anche </w:t>
      </w:r>
      <w:r w:rsidR="00EE458F" w:rsidRPr="009B12FC">
        <w:rPr>
          <w:rFonts w:ascii="Times New Roman" w:hAnsi="Times New Roman" w:cs="Times New Roman"/>
          <w:smallCaps/>
        </w:rPr>
        <w:t>A.</w:t>
      </w:r>
      <w:r w:rsidR="00EE458F">
        <w:rPr>
          <w:rFonts w:ascii="Times New Roman" w:hAnsi="Times New Roman" w:cs="Times New Roman"/>
          <w:smallCaps/>
        </w:rPr>
        <w:t xml:space="preserve"> </w:t>
      </w:r>
      <w:proofErr w:type="spellStart"/>
      <w:r w:rsidR="00EE458F" w:rsidRPr="00EE458F">
        <w:rPr>
          <w:rFonts w:ascii="Times New Roman" w:hAnsi="Times New Roman" w:cs="Times New Roman"/>
          <w:smallCaps/>
        </w:rPr>
        <w:t>Barav</w:t>
      </w:r>
      <w:proofErr w:type="spellEnd"/>
      <w:r w:rsidR="00EE458F" w:rsidRPr="00EE458F">
        <w:rPr>
          <w:rFonts w:ascii="Times New Roman" w:hAnsi="Times New Roman" w:cs="Times New Roman"/>
        </w:rPr>
        <w:t xml:space="preserve">, </w:t>
      </w:r>
      <w:proofErr w:type="spellStart"/>
      <w:r w:rsidR="00EE458F" w:rsidRPr="00982CE0">
        <w:rPr>
          <w:rFonts w:ascii="Times New Roman" w:hAnsi="Times New Roman" w:cs="Times New Roman"/>
          <w:bCs/>
          <w:i/>
        </w:rPr>
        <w:t>Études</w:t>
      </w:r>
      <w:proofErr w:type="spellEnd"/>
      <w:r w:rsidR="00EE458F" w:rsidRPr="00982CE0">
        <w:rPr>
          <w:rFonts w:ascii="Times New Roman" w:hAnsi="Times New Roman" w:cs="Times New Roman"/>
          <w:bCs/>
          <w:i/>
        </w:rPr>
        <w:t xml:space="preserve"> </w:t>
      </w:r>
      <w:proofErr w:type="spellStart"/>
      <w:r w:rsidR="00EE458F" w:rsidRPr="00982CE0">
        <w:rPr>
          <w:rFonts w:ascii="Times New Roman" w:hAnsi="Times New Roman" w:cs="Times New Roman"/>
          <w:bCs/>
          <w:i/>
        </w:rPr>
        <w:t>sur</w:t>
      </w:r>
      <w:proofErr w:type="spellEnd"/>
      <w:r w:rsidR="00EE458F" w:rsidRPr="00982CE0">
        <w:rPr>
          <w:rFonts w:ascii="Times New Roman" w:hAnsi="Times New Roman" w:cs="Times New Roman"/>
          <w:bCs/>
          <w:i/>
        </w:rPr>
        <w:t xml:space="preserve"> </w:t>
      </w:r>
      <w:proofErr w:type="spellStart"/>
      <w:r w:rsidR="00EE458F" w:rsidRPr="00982CE0">
        <w:rPr>
          <w:rFonts w:ascii="Times New Roman" w:hAnsi="Times New Roman" w:cs="Times New Roman"/>
          <w:bCs/>
          <w:i/>
        </w:rPr>
        <w:t>renvoi</w:t>
      </w:r>
      <w:proofErr w:type="spellEnd"/>
      <w:r w:rsidR="00EE458F" w:rsidRPr="00982CE0">
        <w:rPr>
          <w:rFonts w:ascii="Times New Roman" w:hAnsi="Times New Roman" w:cs="Times New Roman"/>
          <w:bCs/>
          <w:i/>
        </w:rPr>
        <w:t xml:space="preserve"> </w:t>
      </w:r>
      <w:proofErr w:type="spellStart"/>
      <w:r w:rsidR="00EE458F" w:rsidRPr="00982CE0">
        <w:rPr>
          <w:rFonts w:ascii="Times New Roman" w:hAnsi="Times New Roman" w:cs="Times New Roman"/>
          <w:bCs/>
          <w:i/>
        </w:rPr>
        <w:t>préjudiciel</w:t>
      </w:r>
      <w:proofErr w:type="spellEnd"/>
      <w:r w:rsidR="00EE458F" w:rsidRPr="00982CE0">
        <w:rPr>
          <w:rFonts w:ascii="Times New Roman" w:hAnsi="Times New Roman" w:cs="Times New Roman"/>
          <w:bCs/>
          <w:i/>
        </w:rPr>
        <w:t xml:space="preserve"> </w:t>
      </w:r>
      <w:proofErr w:type="spellStart"/>
      <w:r w:rsidR="00EE458F" w:rsidRPr="00982CE0">
        <w:rPr>
          <w:rFonts w:ascii="Times New Roman" w:hAnsi="Times New Roman" w:cs="Times New Roman"/>
          <w:bCs/>
          <w:i/>
        </w:rPr>
        <w:t>dans</w:t>
      </w:r>
      <w:proofErr w:type="spellEnd"/>
      <w:r w:rsidR="00EE458F" w:rsidRPr="00982CE0">
        <w:rPr>
          <w:rFonts w:ascii="Times New Roman" w:hAnsi="Times New Roman" w:cs="Times New Roman"/>
          <w:bCs/>
          <w:i/>
        </w:rPr>
        <w:t xml:space="preserve"> le </w:t>
      </w:r>
      <w:proofErr w:type="spellStart"/>
      <w:r w:rsidR="00EE458F" w:rsidRPr="00982CE0">
        <w:rPr>
          <w:rFonts w:ascii="Times New Roman" w:hAnsi="Times New Roman" w:cs="Times New Roman"/>
          <w:bCs/>
          <w:i/>
        </w:rPr>
        <w:t>droit</w:t>
      </w:r>
      <w:proofErr w:type="spellEnd"/>
      <w:r w:rsidR="00EE458F" w:rsidRPr="00982CE0">
        <w:rPr>
          <w:rFonts w:ascii="Times New Roman" w:hAnsi="Times New Roman" w:cs="Times New Roman"/>
          <w:bCs/>
          <w:i/>
        </w:rPr>
        <w:t xml:space="preserve"> de l’Union </w:t>
      </w:r>
      <w:proofErr w:type="spellStart"/>
      <w:r w:rsidR="00EE458F" w:rsidRPr="00982CE0">
        <w:rPr>
          <w:rFonts w:ascii="Times New Roman" w:hAnsi="Times New Roman" w:cs="Times New Roman"/>
          <w:bCs/>
          <w:i/>
        </w:rPr>
        <w:t>européenne</w:t>
      </w:r>
      <w:proofErr w:type="spellEnd"/>
      <w:r w:rsidR="00EE458F">
        <w:rPr>
          <w:rFonts w:ascii="Times New Roman" w:hAnsi="Times New Roman" w:cs="Times New Roman"/>
          <w:bCs/>
        </w:rPr>
        <w:t xml:space="preserve">, </w:t>
      </w:r>
      <w:r w:rsidR="005F5001">
        <w:rPr>
          <w:rFonts w:ascii="Times New Roman" w:hAnsi="Times New Roman" w:cs="Times New Roman"/>
          <w:bCs/>
        </w:rPr>
        <w:t>Bruxelles</w:t>
      </w:r>
      <w:r w:rsidR="00982CE0">
        <w:rPr>
          <w:rFonts w:ascii="Times New Roman" w:hAnsi="Times New Roman" w:cs="Times New Roman"/>
          <w:bCs/>
        </w:rPr>
        <w:t xml:space="preserve">, </w:t>
      </w:r>
      <w:r w:rsidR="00EE458F">
        <w:rPr>
          <w:rFonts w:ascii="Times New Roman" w:hAnsi="Times New Roman" w:cs="Times New Roman"/>
          <w:bCs/>
        </w:rPr>
        <w:t>2011,</w:t>
      </w:r>
      <w:r w:rsidR="00804185">
        <w:rPr>
          <w:rFonts w:ascii="Times New Roman" w:hAnsi="Times New Roman" w:cs="Times New Roman"/>
          <w:bCs/>
        </w:rPr>
        <w:t xml:space="preserve"> 34.</w:t>
      </w:r>
      <w:r w:rsidR="00EE458F">
        <w:rPr>
          <w:rFonts w:ascii="Times New Roman" w:hAnsi="Times New Roman" w:cs="Times New Roman"/>
          <w:bCs/>
        </w:rPr>
        <w:t xml:space="preserve"> </w:t>
      </w:r>
    </w:p>
  </w:footnote>
  <w:footnote w:id="4">
    <w:p w:rsidR="00E53558" w:rsidRPr="00E53558" w:rsidRDefault="00E53558" w:rsidP="00B046D3">
      <w:pPr>
        <w:pStyle w:val="Testonotaapidipagina"/>
        <w:jc w:val="both"/>
        <w:rPr>
          <w:rFonts w:ascii="Times New Roman" w:hAnsi="Times New Roman" w:cs="Times New Roman"/>
        </w:rPr>
      </w:pPr>
      <w:r w:rsidRPr="00E53558">
        <w:rPr>
          <w:rStyle w:val="Rimandonotaapidipagina"/>
          <w:rFonts w:ascii="Times New Roman" w:hAnsi="Times New Roman" w:cs="Times New Roman"/>
        </w:rPr>
        <w:footnoteRef/>
      </w:r>
      <w:r w:rsidRPr="00E53558">
        <w:rPr>
          <w:rFonts w:ascii="Times New Roman" w:hAnsi="Times New Roman" w:cs="Times New Roman"/>
        </w:rPr>
        <w:t xml:space="preserve"> </w:t>
      </w:r>
      <w:r w:rsidR="00A41F6E">
        <w:rPr>
          <w:rFonts w:ascii="Times New Roman" w:hAnsi="Times New Roman" w:cs="Times New Roman"/>
        </w:rPr>
        <w:t>V., tra gli altri,</w:t>
      </w:r>
      <w:r w:rsidR="005F5001">
        <w:rPr>
          <w:rFonts w:ascii="Times New Roman" w:hAnsi="Times New Roman" w:cs="Times New Roman"/>
        </w:rPr>
        <w:t xml:space="preserve"> </w:t>
      </w:r>
      <w:r w:rsidR="005F5001" w:rsidRPr="005F5001">
        <w:rPr>
          <w:rFonts w:ascii="Times New Roman" w:hAnsi="Times New Roman" w:cs="Times New Roman"/>
          <w:smallCaps/>
        </w:rPr>
        <w:t>R. Adam – A.</w:t>
      </w:r>
      <w:r w:rsidR="001A0D3B">
        <w:rPr>
          <w:rFonts w:ascii="Times New Roman" w:hAnsi="Times New Roman" w:cs="Times New Roman"/>
          <w:smallCaps/>
        </w:rPr>
        <w:t xml:space="preserve"> </w:t>
      </w:r>
      <w:r w:rsidR="005F5001" w:rsidRPr="005F5001">
        <w:rPr>
          <w:rFonts w:ascii="Times New Roman" w:hAnsi="Times New Roman" w:cs="Times New Roman"/>
          <w:smallCaps/>
        </w:rPr>
        <w:t>Tizzano</w:t>
      </w:r>
      <w:r w:rsidR="005F5001" w:rsidRPr="005F5001">
        <w:rPr>
          <w:rFonts w:ascii="Times New Roman" w:hAnsi="Times New Roman" w:cs="Times New Roman"/>
        </w:rPr>
        <w:t xml:space="preserve">, </w:t>
      </w:r>
      <w:r w:rsidR="005F5001" w:rsidRPr="005F5001">
        <w:rPr>
          <w:rFonts w:ascii="Times New Roman" w:hAnsi="Times New Roman" w:cs="Times New Roman"/>
          <w:i/>
        </w:rPr>
        <w:t>Manuale di diritto dell’Unione Europea</w:t>
      </w:r>
      <w:r w:rsidR="005F5001" w:rsidRPr="005F5001">
        <w:rPr>
          <w:rFonts w:ascii="Times New Roman" w:hAnsi="Times New Roman" w:cs="Times New Roman"/>
        </w:rPr>
        <w:t>, Torino</w:t>
      </w:r>
      <w:r w:rsidR="005F5001">
        <w:rPr>
          <w:rFonts w:ascii="Times New Roman" w:hAnsi="Times New Roman" w:cs="Times New Roman"/>
        </w:rPr>
        <w:t>, 2020</w:t>
      </w:r>
      <w:r w:rsidR="00A41F6E">
        <w:rPr>
          <w:rFonts w:ascii="Times New Roman" w:hAnsi="Times New Roman" w:cs="Times New Roman"/>
        </w:rPr>
        <w:t xml:space="preserve">, 393; </w:t>
      </w:r>
      <w:r w:rsidR="00A41F6E" w:rsidRPr="001D7F91">
        <w:rPr>
          <w:rFonts w:ascii="Times New Roman" w:hAnsi="Times New Roman" w:cs="Times New Roman"/>
          <w:smallCaps/>
        </w:rPr>
        <w:t xml:space="preserve">C. </w:t>
      </w:r>
      <w:proofErr w:type="spellStart"/>
      <w:r w:rsidR="00A41F6E" w:rsidRPr="001D7F91">
        <w:rPr>
          <w:rFonts w:ascii="Times New Roman" w:hAnsi="Times New Roman" w:cs="Times New Roman"/>
          <w:smallCaps/>
        </w:rPr>
        <w:t>Iannone</w:t>
      </w:r>
      <w:proofErr w:type="spellEnd"/>
      <w:r w:rsidR="00A41F6E" w:rsidRPr="00A41F6E">
        <w:rPr>
          <w:rFonts w:ascii="Times New Roman" w:hAnsi="Times New Roman" w:cs="Times New Roman"/>
        </w:rPr>
        <w:t xml:space="preserve">, </w:t>
      </w:r>
      <w:r w:rsidR="00A41F6E" w:rsidRPr="00A41F6E">
        <w:rPr>
          <w:rFonts w:ascii="Times New Roman" w:hAnsi="Times New Roman" w:cs="Times New Roman"/>
          <w:i/>
        </w:rPr>
        <w:t>op. cit.</w:t>
      </w:r>
      <w:r w:rsidR="00A41F6E">
        <w:rPr>
          <w:rFonts w:ascii="Times New Roman" w:hAnsi="Times New Roman" w:cs="Times New Roman"/>
        </w:rPr>
        <w:t xml:space="preserve">, 255; </w:t>
      </w:r>
    </w:p>
  </w:footnote>
  <w:footnote w:id="5">
    <w:p w:rsidR="00A63017" w:rsidRPr="00A63017" w:rsidRDefault="00A63017" w:rsidP="00F73038">
      <w:pPr>
        <w:pStyle w:val="Testonotaapidipagina"/>
        <w:jc w:val="both"/>
        <w:rPr>
          <w:rFonts w:ascii="Times New Roman" w:hAnsi="Times New Roman" w:cs="Times New Roman"/>
        </w:rPr>
      </w:pPr>
      <w:r w:rsidRPr="00A63017">
        <w:rPr>
          <w:rStyle w:val="Rimandonotaapidipagina"/>
          <w:rFonts w:ascii="Times New Roman" w:hAnsi="Times New Roman" w:cs="Times New Roman"/>
        </w:rPr>
        <w:footnoteRef/>
      </w:r>
      <w:r w:rsidRPr="00A63017">
        <w:rPr>
          <w:rFonts w:ascii="Times New Roman" w:hAnsi="Times New Roman" w:cs="Times New Roman"/>
        </w:rPr>
        <w:t xml:space="preserve"> </w:t>
      </w:r>
      <w:r w:rsidR="00F73038" w:rsidRPr="00F73038">
        <w:rPr>
          <w:rFonts w:ascii="Times New Roman" w:hAnsi="Times New Roman" w:cs="Times New Roman"/>
          <w:smallCaps/>
        </w:rPr>
        <w:t>D. Domenicucci</w:t>
      </w:r>
      <w:r w:rsidR="00F73038">
        <w:rPr>
          <w:rFonts w:ascii="Times New Roman" w:hAnsi="Times New Roman" w:cs="Times New Roman"/>
        </w:rPr>
        <w:t>,</w:t>
      </w:r>
      <w:r w:rsidR="00F73038" w:rsidRPr="00F73038">
        <w:rPr>
          <w:rFonts w:ascii="Times New Roman" w:hAnsi="Times New Roman" w:cs="Times New Roman"/>
          <w:i/>
          <w:sz w:val="22"/>
          <w:szCs w:val="22"/>
        </w:rPr>
        <w:t xml:space="preserve"> </w:t>
      </w:r>
      <w:r w:rsidR="00F73038">
        <w:rPr>
          <w:rFonts w:ascii="Times New Roman" w:hAnsi="Times New Roman" w:cs="Times New Roman"/>
        </w:rPr>
        <w:t xml:space="preserve">op. cit., 52, ha infatti </w:t>
      </w:r>
      <w:r>
        <w:rPr>
          <w:rFonts w:ascii="Times New Roman" w:hAnsi="Times New Roman" w:cs="Times New Roman"/>
        </w:rPr>
        <w:t xml:space="preserve">evidenziato che sarebbe più opportuno </w:t>
      </w:r>
      <w:r w:rsidR="00F73038">
        <w:rPr>
          <w:rFonts w:ascii="Times New Roman" w:hAnsi="Times New Roman" w:cs="Times New Roman"/>
        </w:rPr>
        <w:t>parlare di inammissibilità piuttosto che di irricevibilità.</w:t>
      </w:r>
    </w:p>
  </w:footnote>
  <w:footnote w:id="6">
    <w:p w:rsidR="00B94EED" w:rsidRPr="001A0D3B" w:rsidRDefault="00B94EED" w:rsidP="00B94EED">
      <w:pPr>
        <w:pStyle w:val="Testonotaapidipagina"/>
        <w:jc w:val="both"/>
        <w:rPr>
          <w:rFonts w:ascii="Times New Roman" w:hAnsi="Times New Roman" w:cs="Times New Roman"/>
        </w:rPr>
      </w:pPr>
      <w:r w:rsidRPr="001A0D3B">
        <w:rPr>
          <w:rStyle w:val="Rimandonotaapidipagina"/>
          <w:rFonts w:ascii="Times New Roman" w:hAnsi="Times New Roman" w:cs="Times New Roman"/>
        </w:rPr>
        <w:footnoteRef/>
      </w:r>
      <w:r w:rsidRPr="001A0D3B">
        <w:rPr>
          <w:rFonts w:ascii="Times New Roman" w:hAnsi="Times New Roman" w:cs="Times New Roman"/>
        </w:rPr>
        <w:t xml:space="preserve"> Per un esame degli atti che possono essere oggetto di rinvio</w:t>
      </w:r>
      <w:r>
        <w:rPr>
          <w:rFonts w:ascii="Times New Roman" w:hAnsi="Times New Roman" w:cs="Times New Roman"/>
        </w:rPr>
        <w:t xml:space="preserve"> pregiudiziale di interpretazione</w:t>
      </w:r>
      <w:r w:rsidRPr="001A0D3B">
        <w:rPr>
          <w:rFonts w:ascii="Times New Roman" w:hAnsi="Times New Roman" w:cs="Times New Roman"/>
        </w:rPr>
        <w:t xml:space="preserve"> v. </w:t>
      </w:r>
      <w:r w:rsidRPr="001A0D3B">
        <w:rPr>
          <w:rFonts w:ascii="Times New Roman" w:hAnsi="Times New Roman" w:cs="Times New Roman"/>
          <w:smallCaps/>
        </w:rPr>
        <w:t>G. Strozzi – R. Mastroianni</w:t>
      </w:r>
      <w:r w:rsidRPr="001A0D3B">
        <w:rPr>
          <w:rFonts w:ascii="Times New Roman" w:hAnsi="Times New Roman" w:cs="Times New Roman"/>
        </w:rPr>
        <w:t xml:space="preserve">, </w:t>
      </w:r>
      <w:r w:rsidRPr="001A0D3B">
        <w:rPr>
          <w:rFonts w:ascii="Times New Roman" w:hAnsi="Times New Roman" w:cs="Times New Roman"/>
          <w:i/>
        </w:rPr>
        <w:t>Diritto dell’Unione Europea. Parte istituzionale</w:t>
      </w:r>
      <w:r w:rsidR="00CA1851">
        <w:rPr>
          <w:rFonts w:ascii="Times New Roman" w:hAnsi="Times New Roman" w:cs="Times New Roman"/>
        </w:rPr>
        <w:t xml:space="preserve">, Torino, 2023, 421 ss., </w:t>
      </w:r>
      <w:r w:rsidRPr="001A0D3B">
        <w:rPr>
          <w:rFonts w:ascii="Times New Roman" w:hAnsi="Times New Roman" w:cs="Times New Roman"/>
        </w:rPr>
        <w:t xml:space="preserve">e la giurisprudenza europea ivi ampiamente citata. In particolare, il rinvio di interpretazione può avere ad oggetto; atti adottati dalle istituzioni, organi e organismi dell’Unione, a prescindere dalla loro denominazione, dal loro carattere vincolante o dalla loro efficacia diretta; principi dell’Unione, le sentenze della Corte, gli accordi internazionali stipulati dall’Unione o per essa comunque vincolanti. </w:t>
      </w:r>
    </w:p>
  </w:footnote>
  <w:footnote w:id="7">
    <w:p w:rsidR="00B94EED" w:rsidRPr="00FD1181" w:rsidRDefault="00B94EED" w:rsidP="00B94EED">
      <w:pPr>
        <w:pStyle w:val="Testonotaapidipagina"/>
        <w:jc w:val="both"/>
        <w:rPr>
          <w:rFonts w:ascii="Times New Roman" w:hAnsi="Times New Roman" w:cs="Times New Roman"/>
          <w:color w:val="FF0000"/>
        </w:rPr>
      </w:pPr>
      <w:r w:rsidRPr="009674D3">
        <w:rPr>
          <w:rStyle w:val="Rimandonotaapidipagina"/>
          <w:rFonts w:ascii="Times New Roman" w:hAnsi="Times New Roman" w:cs="Times New Roman"/>
        </w:rPr>
        <w:footnoteRef/>
      </w:r>
      <w:r w:rsidRPr="009674D3">
        <w:rPr>
          <w:rFonts w:ascii="Times New Roman" w:hAnsi="Times New Roman" w:cs="Times New Roman"/>
        </w:rPr>
        <w:t xml:space="preserve"> </w:t>
      </w:r>
      <w:r>
        <w:rPr>
          <w:rFonts w:ascii="Times New Roman" w:hAnsi="Times New Roman" w:cs="Times New Roman"/>
        </w:rPr>
        <w:t>v., tra le altre, sentenza del 27 novembre 2012, causa C-370/12; sentenza del 29 giugno 201</w:t>
      </w:r>
      <w:r w:rsidR="00CA1851">
        <w:rPr>
          <w:rFonts w:ascii="Times New Roman" w:hAnsi="Times New Roman" w:cs="Times New Roman"/>
        </w:rPr>
        <w:t>0, causa C-550/09, punti 45 ss</w:t>
      </w:r>
      <w:r>
        <w:rPr>
          <w:rFonts w:ascii="Times New Roman" w:hAnsi="Times New Roman" w:cs="Times New Roman"/>
        </w:rPr>
        <w:t>.</w:t>
      </w:r>
    </w:p>
  </w:footnote>
  <w:footnote w:id="8">
    <w:p w:rsidR="00B94EED" w:rsidRDefault="00B94EED" w:rsidP="00B94EED">
      <w:pPr>
        <w:pStyle w:val="Testonotaapidipagina"/>
      </w:pPr>
      <w:r>
        <w:rPr>
          <w:rStyle w:val="Rimandonotaapidipagina"/>
        </w:rPr>
        <w:footnoteRef/>
      </w:r>
      <w:r>
        <w:t xml:space="preserve"> </w:t>
      </w:r>
      <w:r w:rsidRPr="00D10592">
        <w:rPr>
          <w:rFonts w:ascii="Times New Roman" w:hAnsi="Times New Roman" w:cs="Times New Roman"/>
        </w:rPr>
        <w:t xml:space="preserve">V. </w:t>
      </w:r>
      <w:r w:rsidRPr="00D10592">
        <w:rPr>
          <w:rFonts w:ascii="Times New Roman" w:hAnsi="Times New Roman" w:cs="Times New Roman"/>
          <w:smallCaps/>
        </w:rPr>
        <w:t>R. Adam – A.</w:t>
      </w:r>
      <w:r>
        <w:rPr>
          <w:rFonts w:ascii="Times New Roman" w:hAnsi="Times New Roman" w:cs="Times New Roman"/>
          <w:smallCaps/>
        </w:rPr>
        <w:t xml:space="preserve"> </w:t>
      </w:r>
      <w:r w:rsidRPr="00D10592">
        <w:rPr>
          <w:rFonts w:ascii="Times New Roman" w:hAnsi="Times New Roman" w:cs="Times New Roman"/>
          <w:smallCaps/>
        </w:rPr>
        <w:t>Tizzano</w:t>
      </w:r>
      <w:r w:rsidRPr="00D10592">
        <w:rPr>
          <w:rFonts w:ascii="Times New Roman" w:hAnsi="Times New Roman" w:cs="Times New Roman"/>
        </w:rPr>
        <w:t xml:space="preserve">, </w:t>
      </w:r>
      <w:r w:rsidRPr="00D10592">
        <w:rPr>
          <w:rFonts w:ascii="Times New Roman" w:hAnsi="Times New Roman" w:cs="Times New Roman"/>
          <w:i/>
        </w:rPr>
        <w:t>Manuale di diritto dell’Unione Europea</w:t>
      </w:r>
      <w:r w:rsidRPr="00D10592">
        <w:rPr>
          <w:rFonts w:ascii="Times New Roman" w:hAnsi="Times New Roman" w:cs="Times New Roman"/>
        </w:rPr>
        <w:t>, T</w:t>
      </w:r>
      <w:r>
        <w:rPr>
          <w:rFonts w:ascii="Times New Roman" w:hAnsi="Times New Roman" w:cs="Times New Roman"/>
        </w:rPr>
        <w:t>orino, 2024, 291.</w:t>
      </w:r>
    </w:p>
  </w:footnote>
  <w:footnote w:id="9">
    <w:p w:rsidR="00B94EED" w:rsidRPr="00DF3295" w:rsidRDefault="00B94EED" w:rsidP="00B94EED">
      <w:pPr>
        <w:pStyle w:val="Testonotaapidipagina"/>
        <w:jc w:val="both"/>
        <w:rPr>
          <w:rFonts w:ascii="Times New Roman" w:hAnsi="Times New Roman" w:cs="Times New Roman"/>
        </w:rPr>
      </w:pPr>
      <w:r w:rsidRPr="00F73038">
        <w:rPr>
          <w:rStyle w:val="Rimandonotaapidipagina"/>
          <w:rFonts w:ascii="Times New Roman" w:hAnsi="Times New Roman" w:cs="Times New Roman"/>
        </w:rPr>
        <w:footnoteRef/>
      </w:r>
      <w:r w:rsidRPr="00F73038">
        <w:rPr>
          <w:rFonts w:ascii="Times New Roman" w:hAnsi="Times New Roman" w:cs="Times New Roman"/>
        </w:rPr>
        <w:t xml:space="preserve"> V. ampiamente </w:t>
      </w:r>
      <w:r w:rsidRPr="00F73038">
        <w:rPr>
          <w:rFonts w:ascii="Times New Roman" w:hAnsi="Times New Roman" w:cs="Times New Roman"/>
          <w:smallCaps/>
        </w:rPr>
        <w:t>V. Capuano</w:t>
      </w:r>
      <w:r w:rsidRPr="00F73038">
        <w:rPr>
          <w:rFonts w:ascii="Times New Roman" w:hAnsi="Times New Roman" w:cs="Times New Roman"/>
        </w:rPr>
        <w:t xml:space="preserve">, </w:t>
      </w:r>
      <w:r>
        <w:rPr>
          <w:rFonts w:ascii="Times New Roman" w:hAnsi="Times New Roman" w:cs="Times New Roman"/>
          <w:i/>
        </w:rPr>
        <w:t>Le condizioni soggettive di ricevibilità del rinvio pregiudiziale</w:t>
      </w:r>
      <w:r>
        <w:rPr>
          <w:rFonts w:ascii="Times New Roman" w:hAnsi="Times New Roman" w:cs="Times New Roman"/>
        </w:rPr>
        <w:t xml:space="preserve">, in </w:t>
      </w:r>
      <w:r w:rsidRPr="00DF3295">
        <w:rPr>
          <w:rFonts w:ascii="Times New Roman" w:hAnsi="Times New Roman" w:cs="Times New Roman"/>
          <w:smallCaps/>
        </w:rPr>
        <w:t xml:space="preserve">F. Ferraro e C. </w:t>
      </w:r>
      <w:proofErr w:type="spellStart"/>
      <w:r w:rsidRPr="00DF3295">
        <w:rPr>
          <w:rFonts w:ascii="Times New Roman" w:hAnsi="Times New Roman" w:cs="Times New Roman"/>
          <w:smallCaps/>
        </w:rPr>
        <w:t>Iannone</w:t>
      </w:r>
      <w:proofErr w:type="spellEnd"/>
      <w:r>
        <w:rPr>
          <w:rFonts w:ascii="Times New Roman" w:hAnsi="Times New Roman" w:cs="Times New Roman"/>
        </w:rPr>
        <w:t xml:space="preserve"> (a cura di), </w:t>
      </w:r>
      <w:r w:rsidRPr="00DF3295">
        <w:rPr>
          <w:rFonts w:ascii="Times New Roman" w:hAnsi="Times New Roman" w:cs="Times New Roman"/>
          <w:i/>
        </w:rPr>
        <w:t>Il rinvio pregiudiziale</w:t>
      </w:r>
      <w:r>
        <w:rPr>
          <w:rFonts w:ascii="Times New Roman" w:hAnsi="Times New Roman" w:cs="Times New Roman"/>
        </w:rPr>
        <w:t>, Torino, 33 ss.</w:t>
      </w:r>
    </w:p>
  </w:footnote>
  <w:footnote w:id="10">
    <w:p w:rsidR="00B94EED" w:rsidRPr="009925DF" w:rsidRDefault="00B94EED" w:rsidP="00B94EED">
      <w:pPr>
        <w:pStyle w:val="Testonotaapidipagina"/>
        <w:jc w:val="both"/>
        <w:rPr>
          <w:rFonts w:ascii="Times New Roman" w:hAnsi="Times New Roman" w:cs="Times New Roman"/>
        </w:rPr>
      </w:pPr>
      <w:r w:rsidRPr="009925DF">
        <w:rPr>
          <w:rStyle w:val="Rimandonotaapidipagina"/>
          <w:rFonts w:ascii="Times New Roman" w:hAnsi="Times New Roman" w:cs="Times New Roman"/>
        </w:rPr>
        <w:footnoteRef/>
      </w:r>
      <w:r w:rsidRPr="009925DF">
        <w:rPr>
          <w:rFonts w:ascii="Times New Roman" w:hAnsi="Times New Roman" w:cs="Times New Roman"/>
        </w:rPr>
        <w:t xml:space="preserve"> Sulla legittimazione del Consiglio di Stato in sede consultiva nell’ambito del ricorso straordinario al Presidente della Repubblica v. già sentenza 16 ottobre 1997, in cause riunite da C-69 a 79/96.</w:t>
      </w:r>
      <w:r>
        <w:rPr>
          <w:rFonts w:ascii="Times New Roman" w:hAnsi="Times New Roman" w:cs="Times New Roman"/>
        </w:rPr>
        <w:t xml:space="preserve"> In particolare, la Corte ha valorizzato: l’alternatività tra ricorso straordinario al Presidente della Repubblica e ricorso giurisdizionale; la circostanza che “l</w:t>
      </w:r>
      <w:r w:rsidRPr="00607D42">
        <w:rPr>
          <w:rFonts w:ascii="Times New Roman" w:hAnsi="Times New Roman" w:cs="Times New Roman"/>
        </w:rPr>
        <w:t>a consultazione del Consiglio di Stato è obbligatoria e che il suo parere, esclusivamente basato s</w:t>
      </w:r>
      <w:r>
        <w:rPr>
          <w:rFonts w:ascii="Times New Roman" w:hAnsi="Times New Roman" w:cs="Times New Roman"/>
        </w:rPr>
        <w:t>ull’</w:t>
      </w:r>
      <w:r w:rsidRPr="00607D42">
        <w:rPr>
          <w:rFonts w:ascii="Times New Roman" w:hAnsi="Times New Roman" w:cs="Times New Roman"/>
        </w:rPr>
        <w:t>applicazione delle norme di legge, costituisce il progetto della decisione che verrà formalmente emanata dal Presidente della Repubblica italiana</w:t>
      </w:r>
      <w:r>
        <w:rPr>
          <w:rFonts w:ascii="Times New Roman" w:hAnsi="Times New Roman" w:cs="Times New Roman"/>
        </w:rPr>
        <w:t>”; la circostanza che “</w:t>
      </w:r>
      <w:r w:rsidRPr="00607D42">
        <w:rPr>
          <w:rFonts w:ascii="Times New Roman" w:hAnsi="Times New Roman" w:cs="Times New Roman"/>
        </w:rPr>
        <w:t>il Consiglio di Stato è un organo permanente, imparziale e indipendente poiché i suoi membri, tanto nelle sezioni consultive quanto in quelle giurisdizio</w:t>
      </w:r>
      <w:r>
        <w:rPr>
          <w:rFonts w:ascii="Times New Roman" w:hAnsi="Times New Roman" w:cs="Times New Roman"/>
        </w:rPr>
        <w:t>nali, offrono garanzie legali d’indipendenza e d’</w:t>
      </w:r>
      <w:r w:rsidRPr="00607D42">
        <w:rPr>
          <w:rFonts w:ascii="Times New Roman" w:hAnsi="Times New Roman" w:cs="Times New Roman"/>
        </w:rPr>
        <w:t>imparzialità</w:t>
      </w:r>
      <w:r>
        <w:rPr>
          <w:rFonts w:ascii="Times New Roman" w:hAnsi="Times New Roman" w:cs="Times New Roman"/>
        </w:rPr>
        <w:t>”.</w:t>
      </w:r>
    </w:p>
  </w:footnote>
  <w:footnote w:id="11">
    <w:p w:rsidR="00A41F6E" w:rsidRPr="00A41F6E" w:rsidRDefault="00A41F6E" w:rsidP="004F2B6C">
      <w:pPr>
        <w:pStyle w:val="Testonotaapidipagina"/>
        <w:jc w:val="both"/>
        <w:rPr>
          <w:rFonts w:ascii="Times New Roman" w:hAnsi="Times New Roman" w:cs="Times New Roman"/>
        </w:rPr>
      </w:pPr>
      <w:r w:rsidRPr="00A41F6E">
        <w:rPr>
          <w:rStyle w:val="Rimandonotaapidipagina"/>
          <w:rFonts w:ascii="Times New Roman" w:hAnsi="Times New Roman" w:cs="Times New Roman"/>
        </w:rPr>
        <w:footnoteRef/>
      </w:r>
      <w:r w:rsidRPr="00A41F6E">
        <w:rPr>
          <w:rFonts w:ascii="Times New Roman" w:hAnsi="Times New Roman" w:cs="Times New Roman"/>
        </w:rPr>
        <w:t xml:space="preserve"> </w:t>
      </w:r>
      <w:r w:rsidR="007F634D">
        <w:rPr>
          <w:rFonts w:ascii="Times New Roman" w:hAnsi="Times New Roman" w:cs="Times New Roman"/>
        </w:rPr>
        <w:t>Sul tema</w:t>
      </w:r>
      <w:r>
        <w:rPr>
          <w:rFonts w:ascii="Times New Roman" w:hAnsi="Times New Roman" w:cs="Times New Roman"/>
        </w:rPr>
        <w:t xml:space="preserve">, oltre alla dottrina già citata, v. </w:t>
      </w:r>
      <w:r w:rsidR="004F2B6C" w:rsidRPr="004F2B6C">
        <w:rPr>
          <w:rFonts w:ascii="Times New Roman" w:hAnsi="Times New Roman" w:cs="Times New Roman"/>
          <w:smallCaps/>
        </w:rPr>
        <w:t xml:space="preserve">L. </w:t>
      </w:r>
      <w:proofErr w:type="spellStart"/>
      <w:r w:rsidR="004F2B6C" w:rsidRPr="004F2B6C">
        <w:rPr>
          <w:rFonts w:ascii="Times New Roman" w:hAnsi="Times New Roman" w:cs="Times New Roman"/>
          <w:smallCaps/>
        </w:rPr>
        <w:t>Terminiello</w:t>
      </w:r>
      <w:proofErr w:type="spellEnd"/>
      <w:r w:rsidR="004F2B6C">
        <w:rPr>
          <w:rFonts w:ascii="Times New Roman" w:hAnsi="Times New Roman" w:cs="Times New Roman"/>
        </w:rPr>
        <w:t>,</w:t>
      </w:r>
      <w:r w:rsidR="004F2B6C" w:rsidRPr="004F2B6C">
        <w:rPr>
          <w:rFonts w:ascii="Times New Roman" w:hAnsi="Times New Roman" w:cs="Times New Roman"/>
          <w:sz w:val="22"/>
          <w:szCs w:val="22"/>
        </w:rPr>
        <w:t xml:space="preserve"> </w:t>
      </w:r>
      <w:r w:rsidR="004F2B6C" w:rsidRPr="00A05FE1">
        <w:rPr>
          <w:rFonts w:ascii="Times New Roman" w:hAnsi="Times New Roman" w:cs="Times New Roman"/>
          <w:i/>
        </w:rPr>
        <w:t>Le condizioni oggettive di ricevibilità del rinvio pregiudiziale</w:t>
      </w:r>
      <w:r w:rsidR="004F2B6C">
        <w:rPr>
          <w:rFonts w:ascii="Times New Roman" w:hAnsi="Times New Roman" w:cs="Times New Roman"/>
          <w:sz w:val="22"/>
          <w:szCs w:val="22"/>
        </w:rPr>
        <w:t>,</w:t>
      </w:r>
      <w:r w:rsidR="004F2B6C">
        <w:rPr>
          <w:rFonts w:ascii="Times New Roman" w:hAnsi="Times New Roman" w:cs="Times New Roman"/>
          <w:i/>
          <w:sz w:val="22"/>
          <w:szCs w:val="22"/>
        </w:rPr>
        <w:t xml:space="preserve"> </w:t>
      </w:r>
      <w:r w:rsidR="004F2B6C" w:rsidRPr="004F2B6C">
        <w:rPr>
          <w:rFonts w:ascii="Times New Roman" w:hAnsi="Times New Roman" w:cs="Times New Roman"/>
        </w:rPr>
        <w:t xml:space="preserve">in </w:t>
      </w:r>
      <w:r w:rsidR="004F2B6C" w:rsidRPr="004F2B6C">
        <w:rPr>
          <w:rFonts w:ascii="Times New Roman" w:hAnsi="Times New Roman" w:cs="Times New Roman"/>
          <w:smallCaps/>
        </w:rPr>
        <w:t xml:space="preserve">F. Ferraro e C. </w:t>
      </w:r>
      <w:proofErr w:type="spellStart"/>
      <w:r w:rsidR="004F2B6C" w:rsidRPr="004F2B6C">
        <w:rPr>
          <w:rFonts w:ascii="Times New Roman" w:hAnsi="Times New Roman" w:cs="Times New Roman"/>
          <w:smallCaps/>
        </w:rPr>
        <w:t>Iannone</w:t>
      </w:r>
      <w:proofErr w:type="spellEnd"/>
      <w:r w:rsidR="004F2B6C" w:rsidRPr="004F2B6C">
        <w:rPr>
          <w:rFonts w:ascii="Times New Roman" w:hAnsi="Times New Roman" w:cs="Times New Roman"/>
        </w:rPr>
        <w:t xml:space="preserve"> (a cura di), </w:t>
      </w:r>
      <w:r w:rsidR="004F2B6C" w:rsidRPr="004F2B6C">
        <w:rPr>
          <w:rFonts w:ascii="Times New Roman" w:hAnsi="Times New Roman" w:cs="Times New Roman"/>
          <w:i/>
        </w:rPr>
        <w:t>Il rinvio pregiudiziale</w:t>
      </w:r>
      <w:r w:rsidR="004F2B6C" w:rsidRPr="004F2B6C">
        <w:rPr>
          <w:rFonts w:ascii="Times New Roman" w:hAnsi="Times New Roman" w:cs="Times New Roman"/>
        </w:rPr>
        <w:t>, Torino</w:t>
      </w:r>
      <w:r w:rsidR="004F2B6C">
        <w:rPr>
          <w:rFonts w:ascii="Times New Roman" w:hAnsi="Times New Roman" w:cs="Times New Roman"/>
        </w:rPr>
        <w:t>, 59 ss.</w:t>
      </w:r>
    </w:p>
  </w:footnote>
  <w:footnote w:id="12">
    <w:p w:rsidR="002510D9" w:rsidRPr="00EE447A" w:rsidRDefault="002510D9" w:rsidP="006F2A84">
      <w:pPr>
        <w:pStyle w:val="Testonotaapidipagina"/>
        <w:jc w:val="both"/>
        <w:rPr>
          <w:rFonts w:ascii="Times New Roman" w:hAnsi="Times New Roman" w:cs="Times New Roman"/>
        </w:rPr>
      </w:pPr>
      <w:r w:rsidRPr="00EE447A">
        <w:rPr>
          <w:rStyle w:val="Rimandonotaapidipagina"/>
          <w:rFonts w:ascii="Times New Roman" w:hAnsi="Times New Roman" w:cs="Times New Roman"/>
        </w:rPr>
        <w:footnoteRef/>
      </w:r>
      <w:r w:rsidRPr="00EE447A">
        <w:rPr>
          <w:rFonts w:ascii="Times New Roman" w:hAnsi="Times New Roman" w:cs="Times New Roman"/>
        </w:rPr>
        <w:t xml:space="preserve"> </w:t>
      </w:r>
      <w:r w:rsidR="00890DC2">
        <w:rPr>
          <w:rFonts w:ascii="Times New Roman" w:hAnsi="Times New Roman" w:cs="Times New Roman"/>
        </w:rPr>
        <w:t xml:space="preserve">V. </w:t>
      </w:r>
      <w:r w:rsidR="004F2B6C" w:rsidRPr="004F2B6C">
        <w:rPr>
          <w:rFonts w:ascii="Times New Roman" w:hAnsi="Times New Roman" w:cs="Times New Roman"/>
          <w:smallCaps/>
        </w:rPr>
        <w:t>D. Domenicucci</w:t>
      </w:r>
      <w:r w:rsidR="004F2B6C" w:rsidRPr="004F2B6C">
        <w:rPr>
          <w:rFonts w:ascii="Times New Roman" w:hAnsi="Times New Roman" w:cs="Times New Roman"/>
          <w:i/>
        </w:rPr>
        <w:t>, op. cit.</w:t>
      </w:r>
      <w:r w:rsidR="004F2B6C">
        <w:rPr>
          <w:rFonts w:ascii="Times New Roman" w:hAnsi="Times New Roman" w:cs="Times New Roman"/>
        </w:rPr>
        <w:t>, 53</w:t>
      </w:r>
      <w:r w:rsidR="004F2B6C" w:rsidRPr="004F2B6C">
        <w:rPr>
          <w:rFonts w:ascii="Times New Roman" w:hAnsi="Times New Roman" w:cs="Times New Roman"/>
        </w:rPr>
        <w:t>.</w:t>
      </w:r>
      <w:r w:rsidR="00CA1851">
        <w:rPr>
          <w:rFonts w:ascii="Times New Roman" w:hAnsi="Times New Roman" w:cs="Times New Roman"/>
        </w:rPr>
        <w:t xml:space="preserve"> </w:t>
      </w:r>
      <w:r w:rsidR="00A261C7">
        <w:rPr>
          <w:rFonts w:ascii="Times New Roman" w:hAnsi="Times New Roman" w:cs="Times New Roman"/>
        </w:rPr>
        <w:t>Un esempio recente del controllo particolarme</w:t>
      </w:r>
      <w:r w:rsidR="00281B5D">
        <w:rPr>
          <w:rFonts w:ascii="Times New Roman" w:hAnsi="Times New Roman" w:cs="Times New Roman"/>
        </w:rPr>
        <w:t>nte pregnante della Corte sull’</w:t>
      </w:r>
      <w:r w:rsidR="00A261C7">
        <w:rPr>
          <w:rFonts w:ascii="Times New Roman" w:hAnsi="Times New Roman" w:cs="Times New Roman"/>
        </w:rPr>
        <w:t xml:space="preserve">ammissibilità della questione, </w:t>
      </w:r>
      <w:r w:rsidR="00281B5D">
        <w:rPr>
          <w:rFonts w:ascii="Times New Roman" w:hAnsi="Times New Roman" w:cs="Times New Roman"/>
        </w:rPr>
        <w:t>con particolare riferimento all’applicabilità</w:t>
      </w:r>
      <w:r w:rsidR="006F2A84">
        <w:rPr>
          <w:rFonts w:ascii="Times New Roman" w:hAnsi="Times New Roman" w:cs="Times New Roman"/>
        </w:rPr>
        <w:t xml:space="preserve"> della disciplina </w:t>
      </w:r>
      <w:r w:rsidR="00281B5D">
        <w:rPr>
          <w:rFonts w:ascii="Times New Roman" w:hAnsi="Times New Roman" w:cs="Times New Roman"/>
        </w:rPr>
        <w:t>europea al giudizio principale, è rappresentato dalla</w:t>
      </w:r>
      <w:r w:rsidR="006F2A84">
        <w:rPr>
          <w:rFonts w:ascii="Times New Roman" w:hAnsi="Times New Roman" w:cs="Times New Roman"/>
        </w:rPr>
        <w:t xml:space="preserve"> </w:t>
      </w:r>
      <w:r w:rsidR="006F2A84" w:rsidRPr="006F2A84">
        <w:rPr>
          <w:rFonts w:ascii="Times New Roman" w:hAnsi="Times New Roman" w:cs="Times New Roman"/>
        </w:rPr>
        <w:t>sentenza del 27 aprile 2023, emessa in C-70/20. In tal caso la Corte</w:t>
      </w:r>
      <w:r w:rsidR="00281B5D">
        <w:rPr>
          <w:rFonts w:ascii="Times New Roman" w:hAnsi="Times New Roman" w:cs="Times New Roman"/>
        </w:rPr>
        <w:t xml:space="preserve"> ha verificato che le disposizioni europee </w:t>
      </w:r>
      <w:r w:rsidR="006F2A84" w:rsidRPr="006F2A84">
        <w:rPr>
          <w:rFonts w:ascii="Times New Roman" w:hAnsi="Times New Roman" w:cs="Times New Roman"/>
        </w:rPr>
        <w:t>di cui era stata richiesta l’interpretazione non era</w:t>
      </w:r>
      <w:r w:rsidR="00281B5D">
        <w:rPr>
          <w:rFonts w:ascii="Times New Roman" w:hAnsi="Times New Roman" w:cs="Times New Roman"/>
        </w:rPr>
        <w:t>no applicabili</w:t>
      </w:r>
      <w:r w:rsidR="006F2A84" w:rsidRPr="006F2A84">
        <w:rPr>
          <w:rFonts w:ascii="Times New Roman" w:hAnsi="Times New Roman" w:cs="Times New Roman"/>
        </w:rPr>
        <w:t xml:space="preserve"> alla controversia principale. In particolare, non risultava applicabile la direttiva </w:t>
      </w:r>
      <w:r w:rsidR="00281B5D">
        <w:rPr>
          <w:rFonts w:ascii="Times New Roman" w:hAnsi="Times New Roman" w:cs="Times New Roman"/>
        </w:rPr>
        <w:t xml:space="preserve">CE </w:t>
      </w:r>
      <w:r w:rsidR="006F2A84" w:rsidRPr="006F2A84">
        <w:rPr>
          <w:rFonts w:ascii="Times New Roman" w:hAnsi="Times New Roman" w:cs="Times New Roman"/>
        </w:rPr>
        <w:t xml:space="preserve">2000/31 in quanto la società ricorrente aveva la propria sede ed era stabilita in un Paese terzo (Svizzera) ed in tale Paese svolgeva la propria attività economica. </w:t>
      </w:r>
      <w:r w:rsidR="002F5772">
        <w:rPr>
          <w:rFonts w:ascii="Times New Roman" w:hAnsi="Times New Roman" w:cs="Times New Roman"/>
        </w:rPr>
        <w:t>Inoltre, la Corte ha escluso</w:t>
      </w:r>
      <w:r w:rsidR="006F2A84" w:rsidRPr="006F2A84">
        <w:rPr>
          <w:rFonts w:ascii="Times New Roman" w:hAnsi="Times New Roman" w:cs="Times New Roman"/>
        </w:rPr>
        <w:t xml:space="preserve"> la possibilità per la ricorrente di avvalersi della libertà fondamentale sancita dall’art. 56 TFUE, sia perché quest’ultimo non è applicabile ad una società stabilità in uno Stato terzo, sia perché non risulta applicabile l’Accordo CE – Svizzera, che prevede l’equiparazione dei prestatori di servizi stabiliti in Svizzera ai prestatori stabiliti in uno Stato membro con il limite temporale di novanta giorni per anno civile, nel caso in esame certamente superato.</w:t>
      </w:r>
    </w:p>
  </w:footnote>
  <w:footnote w:id="13">
    <w:p w:rsidR="00A05FE1" w:rsidRPr="00A41F6E" w:rsidRDefault="00A05FE1" w:rsidP="00A05FE1">
      <w:pPr>
        <w:pStyle w:val="Testonotaapidipagina"/>
        <w:rPr>
          <w:rFonts w:ascii="Times New Roman" w:hAnsi="Times New Roman" w:cs="Times New Roman"/>
        </w:rPr>
      </w:pPr>
      <w:r w:rsidRPr="00846593">
        <w:rPr>
          <w:rStyle w:val="Rimandonotaapidipagina"/>
          <w:rFonts w:ascii="Times New Roman" w:hAnsi="Times New Roman" w:cs="Times New Roman"/>
        </w:rPr>
        <w:footnoteRef/>
      </w:r>
      <w:r>
        <w:rPr>
          <w:rFonts w:ascii="Times New Roman" w:hAnsi="Times New Roman" w:cs="Times New Roman"/>
        </w:rPr>
        <w:t xml:space="preserve"> Così tra gli altri</w:t>
      </w:r>
      <w:r>
        <w:rPr>
          <w:rFonts w:ascii="Times New Roman" w:hAnsi="Times New Roman" w:cs="Times New Roman"/>
          <w:smallCaps/>
        </w:rPr>
        <w:t xml:space="preserve">, </w:t>
      </w:r>
      <w:r w:rsidRPr="00F73038">
        <w:rPr>
          <w:rFonts w:ascii="Times New Roman" w:hAnsi="Times New Roman" w:cs="Times New Roman"/>
          <w:smallCaps/>
        </w:rPr>
        <w:t>D. Domenicucci</w:t>
      </w:r>
      <w:r w:rsidRPr="001D7F91">
        <w:rPr>
          <w:rFonts w:ascii="Times New Roman" w:hAnsi="Times New Roman" w:cs="Times New Roman"/>
          <w:i/>
        </w:rPr>
        <w:t>,</w:t>
      </w:r>
      <w:r w:rsidRPr="001D7F91">
        <w:rPr>
          <w:rFonts w:ascii="Times New Roman" w:hAnsi="Times New Roman" w:cs="Times New Roman"/>
          <w:i/>
          <w:sz w:val="22"/>
          <w:szCs w:val="22"/>
        </w:rPr>
        <w:t xml:space="preserve"> </w:t>
      </w:r>
      <w:r w:rsidRPr="001D7F91">
        <w:rPr>
          <w:rFonts w:ascii="Times New Roman" w:hAnsi="Times New Roman" w:cs="Times New Roman"/>
          <w:i/>
        </w:rPr>
        <w:t>op. cit.</w:t>
      </w:r>
      <w:r>
        <w:rPr>
          <w:rFonts w:ascii="Times New Roman" w:hAnsi="Times New Roman" w:cs="Times New Roman"/>
        </w:rPr>
        <w:t>, 52 s.</w:t>
      </w:r>
    </w:p>
  </w:footnote>
  <w:footnote w:id="14">
    <w:p w:rsidR="00804185" w:rsidRPr="00804185" w:rsidRDefault="00804185">
      <w:pPr>
        <w:pStyle w:val="Testonotaapidipagina"/>
        <w:rPr>
          <w:rFonts w:ascii="Times New Roman" w:hAnsi="Times New Roman" w:cs="Times New Roman"/>
          <w:i/>
        </w:rPr>
      </w:pPr>
      <w:r w:rsidRPr="00804185">
        <w:rPr>
          <w:rStyle w:val="Rimandonotaapidipagina"/>
          <w:rFonts w:ascii="Times New Roman" w:hAnsi="Times New Roman" w:cs="Times New Roman"/>
        </w:rPr>
        <w:footnoteRef/>
      </w:r>
      <w:r w:rsidRPr="00804185">
        <w:rPr>
          <w:rFonts w:ascii="Times New Roman" w:hAnsi="Times New Roman" w:cs="Times New Roman"/>
        </w:rPr>
        <w:t xml:space="preserve"> </w:t>
      </w:r>
      <w:r>
        <w:rPr>
          <w:rFonts w:ascii="Times New Roman" w:hAnsi="Times New Roman" w:cs="Times New Roman"/>
        </w:rPr>
        <w:t xml:space="preserve">Per un commento a tale disposizione v. </w:t>
      </w:r>
      <w:r w:rsidRPr="00804185">
        <w:rPr>
          <w:rFonts w:ascii="Times New Roman" w:hAnsi="Times New Roman" w:cs="Times New Roman"/>
          <w:smallCaps/>
        </w:rPr>
        <w:t>G. Grasso</w:t>
      </w:r>
      <w:r>
        <w:rPr>
          <w:rFonts w:ascii="Times New Roman" w:hAnsi="Times New Roman" w:cs="Times New Roman"/>
        </w:rPr>
        <w:t xml:space="preserve">, </w:t>
      </w:r>
      <w:r>
        <w:rPr>
          <w:rFonts w:ascii="Times New Roman" w:hAnsi="Times New Roman" w:cs="Times New Roman"/>
          <w:i/>
        </w:rPr>
        <w:t>Articolo 94 Contenuto della domanda di pronuncia pregiudiziale</w:t>
      </w:r>
      <w:r>
        <w:rPr>
          <w:rFonts w:ascii="Times New Roman" w:hAnsi="Times New Roman" w:cs="Times New Roman"/>
        </w:rPr>
        <w:t xml:space="preserve">, in </w:t>
      </w:r>
      <w:r w:rsidRPr="00804185">
        <w:rPr>
          <w:rFonts w:ascii="Times New Roman" w:hAnsi="Times New Roman" w:cs="Times New Roman"/>
          <w:smallCaps/>
        </w:rPr>
        <w:t xml:space="preserve">C. Amalfitano, M. </w:t>
      </w:r>
      <w:proofErr w:type="spellStart"/>
      <w:r w:rsidRPr="00804185">
        <w:rPr>
          <w:rFonts w:ascii="Times New Roman" w:hAnsi="Times New Roman" w:cs="Times New Roman"/>
          <w:smallCaps/>
        </w:rPr>
        <w:t>Condinanzi</w:t>
      </w:r>
      <w:proofErr w:type="spellEnd"/>
      <w:r w:rsidRPr="00804185">
        <w:rPr>
          <w:rFonts w:ascii="Times New Roman" w:hAnsi="Times New Roman" w:cs="Times New Roman"/>
          <w:smallCaps/>
        </w:rPr>
        <w:t xml:space="preserve">, P. </w:t>
      </w:r>
      <w:proofErr w:type="spellStart"/>
      <w:r w:rsidRPr="00804185">
        <w:rPr>
          <w:rFonts w:ascii="Times New Roman" w:hAnsi="Times New Roman" w:cs="Times New Roman"/>
          <w:smallCaps/>
        </w:rPr>
        <w:t>Iannuccelli</w:t>
      </w:r>
      <w:proofErr w:type="spellEnd"/>
      <w:r>
        <w:rPr>
          <w:rFonts w:ascii="Times New Roman" w:hAnsi="Times New Roman" w:cs="Times New Roman"/>
        </w:rPr>
        <w:t xml:space="preserve"> (a cura di), </w:t>
      </w:r>
      <w:r>
        <w:rPr>
          <w:rFonts w:ascii="Times New Roman" w:hAnsi="Times New Roman" w:cs="Times New Roman"/>
          <w:i/>
        </w:rPr>
        <w:t>Le regole del processo dinanzi al giudice dell’Unione europea</w:t>
      </w:r>
      <w:r>
        <w:rPr>
          <w:rFonts w:ascii="Times New Roman" w:hAnsi="Times New Roman" w:cs="Times New Roman"/>
        </w:rPr>
        <w:t>, Napoli 2017, 586 ss.</w:t>
      </w:r>
      <w:r>
        <w:rPr>
          <w:rFonts w:ascii="Times New Roman" w:hAnsi="Times New Roman" w:cs="Times New Roman"/>
          <w:i/>
        </w:rPr>
        <w:t xml:space="preserve"> </w:t>
      </w:r>
    </w:p>
  </w:footnote>
  <w:footnote w:id="15">
    <w:p w:rsidR="00B33C06" w:rsidRPr="00B33C06" w:rsidRDefault="00B33C06" w:rsidP="00B33C06">
      <w:pPr>
        <w:pStyle w:val="Testonotaapidipagina"/>
        <w:jc w:val="both"/>
        <w:rPr>
          <w:rFonts w:ascii="Times New Roman" w:hAnsi="Times New Roman" w:cs="Times New Roman"/>
        </w:rPr>
      </w:pPr>
      <w:r w:rsidRPr="00B33C06">
        <w:rPr>
          <w:rStyle w:val="Rimandonotaapidipagina"/>
          <w:rFonts w:ascii="Times New Roman" w:hAnsi="Times New Roman" w:cs="Times New Roman"/>
        </w:rPr>
        <w:footnoteRef/>
      </w:r>
      <w:r w:rsidRPr="00B33C06">
        <w:rPr>
          <w:rFonts w:ascii="Times New Roman" w:hAnsi="Times New Roman" w:cs="Times New Roman"/>
        </w:rPr>
        <w:t xml:space="preserve"> Una recente applicazione dell’art. 94 ai fini della dichiarazione di irricevibilità di un rinvio pregiudiziale sollevato da un giudice ammini</w:t>
      </w:r>
      <w:r w:rsidR="007F634D">
        <w:rPr>
          <w:rFonts w:ascii="Times New Roman" w:hAnsi="Times New Roman" w:cs="Times New Roman"/>
        </w:rPr>
        <w:t>strativo, è rappresentata dall’</w:t>
      </w:r>
      <w:r w:rsidRPr="00B33C06">
        <w:rPr>
          <w:rFonts w:ascii="Times New Roman" w:hAnsi="Times New Roman" w:cs="Times New Roman"/>
        </w:rPr>
        <w:t>ordinanza del 12 dicembre, causa C-407/23. La controversia principale riguardava una procedura di finanza a progetto, nella quale si era posto un dubbio di compatibilità con i principi di pubblicità</w:t>
      </w:r>
      <w:r w:rsidR="002F5772">
        <w:rPr>
          <w:rFonts w:ascii="Times New Roman" w:hAnsi="Times New Roman" w:cs="Times New Roman"/>
        </w:rPr>
        <w:t>,</w:t>
      </w:r>
      <w:r w:rsidRPr="00B33C06">
        <w:rPr>
          <w:rFonts w:ascii="Times New Roman" w:hAnsi="Times New Roman" w:cs="Times New Roman"/>
        </w:rPr>
        <w:t xml:space="preserve"> imparzialità e trasparenza contenuti nei trattati, dell’art. 183, c. 15, D.lgs. n. 50/2016, nella parte in cui consente “trattamenti discriminatori in una procedura di attribuzione del diritto di prelazione, senza </w:t>
      </w:r>
      <w:proofErr w:type="spellStart"/>
      <w:r w:rsidRPr="00B33C06">
        <w:rPr>
          <w:rFonts w:ascii="Times New Roman" w:hAnsi="Times New Roman" w:cs="Times New Roman"/>
        </w:rPr>
        <w:t>predefinizione</w:t>
      </w:r>
      <w:proofErr w:type="spellEnd"/>
      <w:r w:rsidRPr="00B33C06">
        <w:rPr>
          <w:rFonts w:ascii="Times New Roman" w:hAnsi="Times New Roman" w:cs="Times New Roman"/>
        </w:rPr>
        <w:t xml:space="preserve"> dei criteri e senza comunicazione dei medesimi a tutti i concorrenti ma solo ad alcuni di essi, quanto meno al decorso dei tre mesi di urgenza previsti da tale articolo. In questo caso la Corte di Giustizia ha ritenuto che il giudice nazionale non avesse soddisfatto alcuno dei presupposti previsti dall’art. 94 in quanto: 1) “l’ordinanza di rimessione contiene solo una presentazione estremamente succinta del contesto di fatto della controversia oggetto del procedimento principale, nonché una descrizione assai lacunosa del quadro giuridico nazionale applicabile alla procedura di finanza a progetto” (il testo dell’articolo 183, comma 15, del decreto legislativo n. 50/2016 non è </w:t>
      </w:r>
      <w:r>
        <w:rPr>
          <w:rFonts w:ascii="Times New Roman" w:hAnsi="Times New Roman" w:cs="Times New Roman"/>
        </w:rPr>
        <w:t xml:space="preserve">stato </w:t>
      </w:r>
      <w:r w:rsidRPr="00B33C06">
        <w:rPr>
          <w:rFonts w:ascii="Times New Roman" w:hAnsi="Times New Roman" w:cs="Times New Roman"/>
        </w:rPr>
        <w:t>riprodotto nell’ordinanza di rinvio</w:t>
      </w:r>
      <w:r>
        <w:rPr>
          <w:rFonts w:ascii="Times New Roman" w:hAnsi="Times New Roman" w:cs="Times New Roman"/>
        </w:rPr>
        <w:t xml:space="preserve"> e la descrizione contenuta nell’ordinanza </w:t>
      </w:r>
      <w:r w:rsidRPr="00B33C06">
        <w:rPr>
          <w:rFonts w:ascii="Times New Roman" w:hAnsi="Times New Roman" w:cs="Times New Roman"/>
        </w:rPr>
        <w:t xml:space="preserve">non consente alla Corte di comprendere l’affermazione </w:t>
      </w:r>
      <w:r>
        <w:rPr>
          <w:rFonts w:ascii="Times New Roman" w:hAnsi="Times New Roman" w:cs="Times New Roman"/>
        </w:rPr>
        <w:t>della ricorrente</w:t>
      </w:r>
      <w:r w:rsidRPr="00B33C06">
        <w:rPr>
          <w:rFonts w:ascii="Times New Roman" w:hAnsi="Times New Roman" w:cs="Times New Roman"/>
        </w:rPr>
        <w:t xml:space="preserve"> secondo la quale l’inosservanza di detta disposizione comporterebbe la fuoriuscita dallo schema procedimentale semplificato, previsto da tale decreto legislativo, imponendo l’indizione di una gara d’appalto.); 2) l’ordinanza non indica in che modo i principi del diritto dell’Unione di cui si chiede l’interpretazione sarebbero rilevanti nella causa principale, avendo peraltro il  giudice nazionale affermato che la procedura di finanza a progetto non è un modulo di confronto concorrenziale sottoposto al principio delle procedure ad evidenza pubblica, ma uno strumento con cui l’amministrazione definisce con il privato un obiettivo di pubblico interesse da realizzare; 3) il giudice nazionale non ha stabilito alcun collegamento tra i principi del diritto dell’Unione di cui chiede l’interpretazione e la normativa nazionale applicabile alla controversia, in quanto non ha spiegato in che modo la finalità perseguita dal termine perentorio di tre mesi di cui dispone l’amministrazione per valutare le proposte ai sensi dell’articolo 183, comma 15, del decreto legislativo n. 50/2016, possa incidere sulla valutazione di tale disposizione alla luce di detto diritto; 4) il giudice nazionale non ha fornito elementi sufficienti né per valutare se l’eventuale aggiudicazione rientri nell’ambito della direttiva (nell’ordinanza di rinvio non era indicato il valore stimato della concessione) né per ritenere sussistente un interesse transfrontaliero certo ai fini dell’applicazione degli artt. 49 e 56 TFUE (sul punto v. più ampiamente par. 4.1.).</w:t>
      </w:r>
    </w:p>
  </w:footnote>
  <w:footnote w:id="16">
    <w:p w:rsidR="006739C3" w:rsidRPr="006739C3" w:rsidRDefault="006739C3" w:rsidP="006739C3">
      <w:pPr>
        <w:pStyle w:val="Testonotaapidipagina"/>
        <w:jc w:val="both"/>
        <w:rPr>
          <w:rFonts w:ascii="Times New Roman" w:hAnsi="Times New Roman" w:cs="Times New Roman"/>
        </w:rPr>
      </w:pPr>
      <w:r w:rsidRPr="006739C3">
        <w:rPr>
          <w:rStyle w:val="Rimandonotaapidipagina"/>
          <w:rFonts w:ascii="Times New Roman" w:hAnsi="Times New Roman" w:cs="Times New Roman"/>
        </w:rPr>
        <w:footnoteRef/>
      </w:r>
      <w:r w:rsidRPr="006739C3">
        <w:rPr>
          <w:rFonts w:ascii="Times New Roman" w:hAnsi="Times New Roman" w:cs="Times New Roman"/>
        </w:rPr>
        <w:t xml:space="preserve"> Sul tema v. ampiamente </w:t>
      </w:r>
      <w:r w:rsidR="002F5772">
        <w:rPr>
          <w:rFonts w:ascii="Times New Roman" w:hAnsi="Times New Roman" w:cs="Times New Roman"/>
        </w:rPr>
        <w:t>A</w:t>
      </w:r>
      <w:r w:rsidR="002F5772">
        <w:rPr>
          <w:rFonts w:ascii="Times New Roman" w:hAnsi="Times New Roman" w:cs="Times New Roman"/>
          <w:smallCaps/>
        </w:rPr>
        <w:t>. A</w:t>
      </w:r>
      <w:r w:rsidR="002F5772" w:rsidRPr="002F5772">
        <w:rPr>
          <w:rFonts w:ascii="Times New Roman" w:hAnsi="Times New Roman" w:cs="Times New Roman"/>
          <w:smallCaps/>
        </w:rPr>
        <w:t>rena</w:t>
      </w:r>
      <w:r w:rsidRPr="006739C3">
        <w:rPr>
          <w:rFonts w:ascii="Times New Roman" w:hAnsi="Times New Roman" w:cs="Times New Roman"/>
        </w:rPr>
        <w:t xml:space="preserve">, </w:t>
      </w:r>
      <w:r w:rsidRPr="006739C3">
        <w:rPr>
          <w:rFonts w:ascii="Times New Roman" w:hAnsi="Times New Roman" w:cs="Times New Roman"/>
          <w:i/>
        </w:rPr>
        <w:t>Le “situazioni puramente interne” nel diritto dell’Unione europea</w:t>
      </w:r>
      <w:r w:rsidRPr="006739C3">
        <w:rPr>
          <w:rFonts w:ascii="Times New Roman" w:hAnsi="Times New Roman" w:cs="Times New Roman"/>
        </w:rPr>
        <w:t xml:space="preserve">, Napoli, 2019; </w:t>
      </w:r>
      <w:r w:rsidRPr="006739C3">
        <w:rPr>
          <w:rFonts w:ascii="Times New Roman" w:hAnsi="Times New Roman" w:cs="Times New Roman"/>
          <w:smallCaps/>
        </w:rPr>
        <w:t>D. Domenicucci</w:t>
      </w:r>
      <w:r w:rsidRPr="006739C3">
        <w:rPr>
          <w:rFonts w:ascii="Times New Roman" w:hAnsi="Times New Roman" w:cs="Times New Roman"/>
        </w:rPr>
        <w:t xml:space="preserve">, </w:t>
      </w:r>
      <w:r w:rsidRPr="006739C3">
        <w:rPr>
          <w:rFonts w:ascii="Times New Roman" w:hAnsi="Times New Roman" w:cs="Times New Roman"/>
          <w:i/>
        </w:rPr>
        <w:t>Il rinvio pregiudiziale e i confini mobili delle “situazioni puramente interne”</w:t>
      </w:r>
      <w:r w:rsidRPr="006739C3">
        <w:rPr>
          <w:rFonts w:ascii="Times New Roman" w:hAnsi="Times New Roman" w:cs="Times New Roman"/>
        </w:rPr>
        <w:t xml:space="preserve">, in </w:t>
      </w:r>
      <w:r w:rsidRPr="006739C3">
        <w:rPr>
          <w:rFonts w:ascii="Times New Roman" w:hAnsi="Times New Roman" w:cs="Times New Roman"/>
          <w:smallCaps/>
        </w:rPr>
        <w:t xml:space="preserve">F. Ferraro e C. </w:t>
      </w:r>
      <w:proofErr w:type="spellStart"/>
      <w:r w:rsidRPr="006739C3">
        <w:rPr>
          <w:rFonts w:ascii="Times New Roman" w:hAnsi="Times New Roman" w:cs="Times New Roman"/>
          <w:smallCaps/>
        </w:rPr>
        <w:t>Iannone</w:t>
      </w:r>
      <w:proofErr w:type="spellEnd"/>
      <w:r w:rsidRPr="006739C3">
        <w:rPr>
          <w:rFonts w:ascii="Times New Roman" w:hAnsi="Times New Roman" w:cs="Times New Roman"/>
        </w:rPr>
        <w:t xml:space="preserve"> (a cura di), </w:t>
      </w:r>
      <w:r w:rsidRPr="006739C3">
        <w:rPr>
          <w:rFonts w:ascii="Times New Roman" w:hAnsi="Times New Roman" w:cs="Times New Roman"/>
          <w:i/>
        </w:rPr>
        <w:t>Il rinvio pregiudiziale</w:t>
      </w:r>
      <w:r w:rsidRPr="006739C3">
        <w:rPr>
          <w:rFonts w:ascii="Times New Roman" w:hAnsi="Times New Roman" w:cs="Times New Roman"/>
        </w:rPr>
        <w:t>, Torino, 78 ss.</w:t>
      </w:r>
    </w:p>
  </w:footnote>
  <w:footnote w:id="17">
    <w:p w:rsidR="006B0890" w:rsidRPr="006B0890" w:rsidRDefault="006B0890" w:rsidP="006B0890">
      <w:pPr>
        <w:pStyle w:val="Testonotaapidipagina"/>
        <w:jc w:val="both"/>
        <w:rPr>
          <w:rFonts w:ascii="Times New Roman" w:hAnsi="Times New Roman" w:cs="Times New Roman"/>
        </w:rPr>
      </w:pPr>
      <w:r w:rsidRPr="006B0890">
        <w:rPr>
          <w:rStyle w:val="Rimandonotaapidipagina"/>
          <w:rFonts w:ascii="Times New Roman" w:hAnsi="Times New Roman" w:cs="Times New Roman"/>
        </w:rPr>
        <w:footnoteRef/>
      </w:r>
      <w:r w:rsidRPr="006B0890">
        <w:rPr>
          <w:rFonts w:ascii="Times New Roman" w:hAnsi="Times New Roman" w:cs="Times New Roman"/>
        </w:rPr>
        <w:t xml:space="preserve"> </w:t>
      </w:r>
      <w:r>
        <w:rPr>
          <w:rFonts w:ascii="Times New Roman" w:hAnsi="Times New Roman" w:cs="Times New Roman"/>
        </w:rPr>
        <w:t>Per un tentativo di sistematizzazione delle eccezioni v. sentenza del 1</w:t>
      </w:r>
      <w:r w:rsidR="00A76BA7">
        <w:rPr>
          <w:rFonts w:ascii="Times New Roman" w:hAnsi="Times New Roman" w:cs="Times New Roman"/>
        </w:rPr>
        <w:t xml:space="preserve">5 novembre 2016, causa C-268/15, </w:t>
      </w:r>
      <w:proofErr w:type="spellStart"/>
      <w:r w:rsidR="00A76BA7" w:rsidRPr="00A76BA7">
        <w:rPr>
          <w:rFonts w:ascii="Times New Roman" w:hAnsi="Times New Roman" w:cs="Times New Roman"/>
          <w:i/>
        </w:rPr>
        <w:t>Ullens</w:t>
      </w:r>
      <w:proofErr w:type="spellEnd"/>
      <w:r w:rsidR="00A76BA7" w:rsidRPr="00A76BA7">
        <w:rPr>
          <w:rFonts w:ascii="Times New Roman" w:hAnsi="Times New Roman" w:cs="Times New Roman"/>
          <w:i/>
        </w:rPr>
        <w:t xml:space="preserve"> de </w:t>
      </w:r>
      <w:proofErr w:type="spellStart"/>
      <w:r w:rsidR="00A76BA7" w:rsidRPr="00A76BA7">
        <w:rPr>
          <w:rFonts w:ascii="Times New Roman" w:hAnsi="Times New Roman" w:cs="Times New Roman"/>
          <w:i/>
        </w:rPr>
        <w:t>Schooten</w:t>
      </w:r>
      <w:proofErr w:type="spellEnd"/>
      <w:r w:rsidRPr="006B0890">
        <w:rPr>
          <w:rFonts w:ascii="Times New Roman" w:hAnsi="Times New Roman" w:cs="Times New Roman"/>
        </w:rPr>
        <w:t>.</w:t>
      </w:r>
    </w:p>
  </w:footnote>
  <w:footnote w:id="18">
    <w:p w:rsidR="001F5F1B" w:rsidRPr="001F5F1B" w:rsidRDefault="001F5F1B" w:rsidP="001F5F1B">
      <w:pPr>
        <w:pStyle w:val="Testonotaapidipagina"/>
        <w:tabs>
          <w:tab w:val="left" w:pos="780"/>
        </w:tabs>
        <w:rPr>
          <w:rFonts w:ascii="Times New Roman" w:hAnsi="Times New Roman" w:cs="Times New Roman"/>
        </w:rPr>
      </w:pPr>
    </w:p>
  </w:footnote>
  <w:footnote w:id="19">
    <w:p w:rsidR="00F90D47" w:rsidRDefault="00F90D47" w:rsidP="00F90D47">
      <w:pPr>
        <w:pStyle w:val="Testonotaapidipagina"/>
        <w:jc w:val="both"/>
      </w:pPr>
      <w:r w:rsidRPr="00F90D47">
        <w:rPr>
          <w:rStyle w:val="Rimandonotaapidipagina"/>
          <w:rFonts w:ascii="Times New Roman" w:hAnsi="Times New Roman" w:cs="Times New Roman"/>
        </w:rPr>
        <w:footnoteRef/>
      </w:r>
      <w:r w:rsidRPr="00F90D47">
        <w:rPr>
          <w:rFonts w:ascii="Times New Roman" w:hAnsi="Times New Roman" w:cs="Times New Roman"/>
        </w:rPr>
        <w:t xml:space="preserve"> In particolare</w:t>
      </w:r>
      <w:r w:rsidR="006B0CB0">
        <w:rPr>
          <w:rFonts w:ascii="Times New Roman" w:hAnsi="Times New Roman" w:cs="Times New Roman"/>
        </w:rPr>
        <w:t xml:space="preserve"> ai punti 24 e 25 si legge: “</w:t>
      </w:r>
      <w:r w:rsidRPr="00F90D47">
        <w:rPr>
          <w:rFonts w:ascii="Times New Roman" w:hAnsi="Times New Roman" w:cs="Times New Roman"/>
        </w:rPr>
        <w:t>Nel caso di specie, sebbene nel procedimento principale le controparti siano, da un lato, una società di diritto italiano e una cittadina italiana, e, dall’altro, un comune situato nel territorio italiano, il giudice remittente spiega che, in forza dell’articolo 53 della legge del 24 dicembre 2012, n. 234, esso è tenuto a far beneficiare tale società e tale cittadina degli articoli 49 e 56 TFUE. In questo contesto, occorre constatare che il giudice del rinvio ha dimostrato sotto quale profilo la controversia dinanzi ad esso pendente presenti, nonostante il suo carattere puramente interno, un elemento di collegamento con gli articoli 49 e 56 TFUE, che rende la richiesta interpretazione del diritto dell’Unione necessaria per dirimere tale controversia e, di conseguenza, che la domanda di pronuncia pregiudiziale risul</w:t>
      </w:r>
      <w:r>
        <w:rPr>
          <w:rFonts w:ascii="Times New Roman" w:hAnsi="Times New Roman" w:cs="Times New Roman"/>
        </w:rPr>
        <w:t>ta, a tale riguardo, ricevibile”.</w:t>
      </w:r>
    </w:p>
  </w:footnote>
  <w:footnote w:id="20">
    <w:p w:rsidR="0056784E" w:rsidRPr="0056784E" w:rsidRDefault="0056784E" w:rsidP="0056784E">
      <w:pPr>
        <w:pStyle w:val="Testonotaapidipagina"/>
        <w:jc w:val="both"/>
        <w:rPr>
          <w:rFonts w:ascii="Times New Roman" w:hAnsi="Times New Roman" w:cs="Times New Roman"/>
        </w:rPr>
      </w:pPr>
      <w:r w:rsidRPr="0056784E">
        <w:rPr>
          <w:rStyle w:val="Rimandonotaapidipagina"/>
          <w:rFonts w:ascii="Times New Roman" w:hAnsi="Times New Roman" w:cs="Times New Roman"/>
        </w:rPr>
        <w:footnoteRef/>
      </w:r>
      <w:r w:rsidRPr="0056784E">
        <w:rPr>
          <w:rFonts w:ascii="Times New Roman" w:hAnsi="Times New Roman" w:cs="Times New Roman"/>
        </w:rPr>
        <w:t xml:space="preserve"> </w:t>
      </w:r>
      <w:r w:rsidR="001F4874">
        <w:rPr>
          <w:rFonts w:ascii="Times New Roman" w:hAnsi="Times New Roman" w:cs="Times New Roman"/>
        </w:rPr>
        <w:t>Sono</w:t>
      </w:r>
      <w:r>
        <w:rPr>
          <w:rFonts w:ascii="Times New Roman" w:hAnsi="Times New Roman" w:cs="Times New Roman"/>
        </w:rPr>
        <w:t xml:space="preserve"> questi i casi </w:t>
      </w:r>
      <w:r w:rsidR="001F4874">
        <w:rPr>
          <w:rFonts w:ascii="Times New Roman" w:hAnsi="Times New Roman" w:cs="Times New Roman"/>
        </w:rPr>
        <w:t xml:space="preserve">più frequenti </w:t>
      </w:r>
      <w:r>
        <w:rPr>
          <w:rFonts w:ascii="Times New Roman" w:hAnsi="Times New Roman" w:cs="Times New Roman"/>
        </w:rPr>
        <w:t>in cui la Corte dichiara la propria incompetenza e non la irricevibilità della questione. A ben vedere, tuttavia, anche in tal caso si è di fronte ad un problema di rilevanza della questione</w:t>
      </w:r>
      <w:r w:rsidR="001F4874">
        <w:rPr>
          <w:rFonts w:ascii="Times New Roman" w:hAnsi="Times New Roman" w:cs="Times New Roman"/>
        </w:rPr>
        <w:t xml:space="preserve"> pregiudiziale</w:t>
      </w:r>
      <w:r>
        <w:rPr>
          <w:rFonts w:ascii="Times New Roman" w:hAnsi="Times New Roman" w:cs="Times New Roman"/>
        </w:rPr>
        <w:t>, atteso che si verte in ipotesi in cui il diritto dell’Unione di cui si chiede l’interpretazione non è applicabile alla controversia principale.</w:t>
      </w:r>
    </w:p>
  </w:footnote>
  <w:footnote w:id="21">
    <w:p w:rsidR="00430488" w:rsidRPr="00430488" w:rsidRDefault="00430488" w:rsidP="008A3232">
      <w:pPr>
        <w:pStyle w:val="Testonotaapidipagina"/>
        <w:jc w:val="both"/>
        <w:rPr>
          <w:rFonts w:ascii="Times New Roman" w:hAnsi="Times New Roman" w:cs="Times New Roman"/>
        </w:rPr>
      </w:pPr>
      <w:r w:rsidRPr="00430488">
        <w:rPr>
          <w:rStyle w:val="Rimandonotaapidipagina"/>
          <w:rFonts w:ascii="Times New Roman" w:hAnsi="Times New Roman" w:cs="Times New Roman"/>
        </w:rPr>
        <w:footnoteRef/>
      </w:r>
      <w:r w:rsidRPr="00430488">
        <w:rPr>
          <w:rFonts w:ascii="Times New Roman" w:hAnsi="Times New Roman" w:cs="Times New Roman"/>
        </w:rPr>
        <w:t xml:space="preserve"> V. sentenza del 27 april</w:t>
      </w:r>
      <w:r w:rsidR="008A3232">
        <w:rPr>
          <w:rFonts w:ascii="Times New Roman" w:hAnsi="Times New Roman" w:cs="Times New Roman"/>
        </w:rPr>
        <w:t>e 2023, causa C-</w:t>
      </w:r>
      <w:r w:rsidR="00BA2439">
        <w:rPr>
          <w:rFonts w:ascii="Times New Roman" w:hAnsi="Times New Roman" w:cs="Times New Roman"/>
        </w:rPr>
        <w:t xml:space="preserve">70/22, punti 43 </w:t>
      </w:r>
      <w:r w:rsidRPr="00430488">
        <w:rPr>
          <w:rFonts w:ascii="Times New Roman" w:hAnsi="Times New Roman" w:cs="Times New Roman"/>
        </w:rPr>
        <w:t>s</w:t>
      </w:r>
      <w:r w:rsidR="00CA1851">
        <w:rPr>
          <w:rFonts w:ascii="Times New Roman" w:hAnsi="Times New Roman" w:cs="Times New Roman"/>
        </w:rPr>
        <w:t>s</w:t>
      </w:r>
      <w:r w:rsidRPr="00430488">
        <w:rPr>
          <w:rFonts w:ascii="Times New Roman" w:hAnsi="Times New Roman" w:cs="Times New Roman"/>
        </w:rPr>
        <w:t>.</w:t>
      </w:r>
      <w:r w:rsidR="008A3232">
        <w:rPr>
          <w:rFonts w:ascii="Times New Roman" w:hAnsi="Times New Roman" w:cs="Times New Roman"/>
        </w:rPr>
        <w:t xml:space="preserve">; sentenza del 3 marzo 2021, </w:t>
      </w:r>
      <w:r w:rsidR="00BA2439">
        <w:rPr>
          <w:rFonts w:ascii="Times New Roman" w:hAnsi="Times New Roman" w:cs="Times New Roman"/>
        </w:rPr>
        <w:t>cause riunite C-434/19 e C-435/19, punti 75 ss.</w:t>
      </w:r>
    </w:p>
  </w:footnote>
  <w:footnote w:id="22">
    <w:p w:rsidR="002D4409" w:rsidRPr="00E83070" w:rsidRDefault="002D4409" w:rsidP="008A3232">
      <w:pPr>
        <w:pStyle w:val="Testonotaapidipagina"/>
        <w:jc w:val="both"/>
        <w:rPr>
          <w:rFonts w:ascii="Times New Roman" w:hAnsi="Times New Roman" w:cs="Times New Roman"/>
        </w:rPr>
      </w:pPr>
      <w:r w:rsidRPr="00E83070">
        <w:rPr>
          <w:rStyle w:val="Rimandonotaapidipagina"/>
          <w:rFonts w:ascii="Times New Roman" w:hAnsi="Times New Roman" w:cs="Times New Roman"/>
        </w:rPr>
        <w:footnoteRef/>
      </w:r>
      <w:r w:rsidRPr="00E83070">
        <w:rPr>
          <w:rFonts w:ascii="Times New Roman" w:hAnsi="Times New Roman" w:cs="Times New Roman"/>
        </w:rPr>
        <w:t xml:space="preserve"> </w:t>
      </w:r>
      <w:r w:rsidR="008A3232">
        <w:rPr>
          <w:rFonts w:ascii="Times New Roman" w:hAnsi="Times New Roman" w:cs="Times New Roman"/>
        </w:rPr>
        <w:t>V., esemplificativamente, ordinanza del 27 febbraio 2014, causa C-181/13, nella quale la Corte di Giustizia ha rilevato che il giudice nazionale non aveva fornito alcun elemento utile per valutare le circostanze che potessero fondare il dubbio circa l’esistenza di un aiuto di Stato.</w:t>
      </w:r>
    </w:p>
  </w:footnote>
  <w:footnote w:id="23">
    <w:p w:rsidR="00A628C0" w:rsidRPr="00A628C0" w:rsidRDefault="00A628C0" w:rsidP="00A628C0">
      <w:pPr>
        <w:pStyle w:val="Testonotaapidipagina"/>
        <w:jc w:val="both"/>
        <w:rPr>
          <w:rFonts w:ascii="Times New Roman" w:hAnsi="Times New Roman" w:cs="Times New Roman"/>
        </w:rPr>
      </w:pPr>
      <w:r w:rsidRPr="00A628C0">
        <w:rPr>
          <w:rStyle w:val="Rimandonotaapidipagina"/>
          <w:rFonts w:ascii="Times New Roman" w:hAnsi="Times New Roman" w:cs="Times New Roman"/>
        </w:rPr>
        <w:footnoteRef/>
      </w:r>
      <w:r>
        <w:rPr>
          <w:rFonts w:ascii="Times New Roman" w:hAnsi="Times New Roman" w:cs="Times New Roman"/>
        </w:rPr>
        <w:t xml:space="preserve"> Anche il punto 3 delle raccomandazioni a</w:t>
      </w:r>
      <w:r w:rsidRPr="00A628C0">
        <w:rPr>
          <w:rFonts w:ascii="Times New Roman" w:hAnsi="Times New Roman" w:cs="Times New Roman"/>
        </w:rPr>
        <w:t>ll’attenzione dei giudici nazionali, relative alla presentazione di domande di pronuncia pregiudiziale</w:t>
      </w:r>
      <w:r>
        <w:rPr>
          <w:rFonts w:ascii="Times New Roman" w:hAnsi="Times New Roman" w:cs="Times New Roman"/>
        </w:rPr>
        <w:t>, prevede che: “</w:t>
      </w:r>
      <w:r w:rsidRPr="00A628C0">
        <w:rPr>
          <w:rFonts w:ascii="Times New Roman" w:hAnsi="Times New Roman" w:cs="Times New Roman"/>
        </w:rPr>
        <w:t>La competenza della Corte a statuire in via pregiudiziale sull’interpretazione o sulla validità del diritto dell’Unione è esercitata su iniziativa esclusiva dei giudici nazionali, a prescindere dal fatto che le parti del procedimento principale abbiano chiesto o meno di adire la Corte. Poiché il giudice nazionale investito di una controversia è chiamato ad assumersi la responsabilità dell’</w:t>
      </w:r>
      <w:proofErr w:type="spellStart"/>
      <w:r w:rsidRPr="00A628C0">
        <w:rPr>
          <w:rFonts w:ascii="Times New Roman" w:hAnsi="Times New Roman" w:cs="Times New Roman"/>
        </w:rPr>
        <w:t>emananda</w:t>
      </w:r>
      <w:proofErr w:type="spellEnd"/>
      <w:r w:rsidRPr="00A628C0">
        <w:rPr>
          <w:rFonts w:ascii="Times New Roman" w:hAnsi="Times New Roman" w:cs="Times New Roman"/>
        </w:rPr>
        <w:t xml:space="preserve"> deci</w:t>
      </w:r>
      <w:r w:rsidRPr="00A628C0">
        <w:rPr>
          <w:rFonts w:ascii="Times New Roman" w:hAnsi="Times New Roman" w:cs="Times New Roman"/>
        </w:rPr>
        <w:softHyphen/>
        <w:t>sione giurisdizionale, spetta a tale giudice</w:t>
      </w:r>
      <w:r w:rsidRPr="00A628C0">
        <w:rPr>
          <w:rFonts w:ascii="Times New Roman" w:hAnsi="Times New Roman" w:cs="Times New Roman"/>
        </w:rPr>
        <w:softHyphen/>
        <w:t xml:space="preserve"> - e a lui solo</w:t>
      </w:r>
      <w:r w:rsidRPr="00A628C0">
        <w:rPr>
          <w:rFonts w:ascii="Times New Roman" w:hAnsi="Times New Roman" w:cs="Times New Roman"/>
        </w:rPr>
        <w:softHyphen/>
        <w:t xml:space="preserve"> - valutare, alla luce delle particolari circostanze di ciascuna causa, sia la necessità di proporre una domanda di pronuncia pregiudiziale per essere in grado di emanare la propria decisione sia la rilevanza delle questioni che sottopone alla Corte”</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C29D1"/>
    <w:multiLevelType w:val="hybridMultilevel"/>
    <w:tmpl w:val="211225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206ECE"/>
    <w:multiLevelType w:val="hybridMultilevel"/>
    <w:tmpl w:val="CC461A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37861CE"/>
    <w:multiLevelType w:val="hybridMultilevel"/>
    <w:tmpl w:val="D0F83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B6"/>
    <w:rsid w:val="00004C9D"/>
    <w:rsid w:val="0000736B"/>
    <w:rsid w:val="000156A9"/>
    <w:rsid w:val="00022E98"/>
    <w:rsid w:val="000505CB"/>
    <w:rsid w:val="00060EBB"/>
    <w:rsid w:val="00066E9F"/>
    <w:rsid w:val="00070B85"/>
    <w:rsid w:val="00081D61"/>
    <w:rsid w:val="000849DE"/>
    <w:rsid w:val="00087DE9"/>
    <w:rsid w:val="000A4394"/>
    <w:rsid w:val="000C0B74"/>
    <w:rsid w:val="000C1DE4"/>
    <w:rsid w:val="000C6011"/>
    <w:rsid w:val="000D26CF"/>
    <w:rsid w:val="000E11CF"/>
    <w:rsid w:val="001003B8"/>
    <w:rsid w:val="00101194"/>
    <w:rsid w:val="00104813"/>
    <w:rsid w:val="00112CF9"/>
    <w:rsid w:val="001173DF"/>
    <w:rsid w:val="00123721"/>
    <w:rsid w:val="00123BC9"/>
    <w:rsid w:val="00133308"/>
    <w:rsid w:val="001521F9"/>
    <w:rsid w:val="001574A3"/>
    <w:rsid w:val="00166CA3"/>
    <w:rsid w:val="001813C8"/>
    <w:rsid w:val="00181C1B"/>
    <w:rsid w:val="00196C4A"/>
    <w:rsid w:val="001A0D3B"/>
    <w:rsid w:val="001B160E"/>
    <w:rsid w:val="001D11F7"/>
    <w:rsid w:val="001D3A9F"/>
    <w:rsid w:val="001D7F91"/>
    <w:rsid w:val="001E36A2"/>
    <w:rsid w:val="001F4874"/>
    <w:rsid w:val="001F5F1B"/>
    <w:rsid w:val="0020162B"/>
    <w:rsid w:val="002023A3"/>
    <w:rsid w:val="00212ED5"/>
    <w:rsid w:val="0021348D"/>
    <w:rsid w:val="002138A8"/>
    <w:rsid w:val="00216C02"/>
    <w:rsid w:val="00227A3F"/>
    <w:rsid w:val="00230E69"/>
    <w:rsid w:val="00240DA9"/>
    <w:rsid w:val="002412F0"/>
    <w:rsid w:val="0025047C"/>
    <w:rsid w:val="002510D9"/>
    <w:rsid w:val="00263AD8"/>
    <w:rsid w:val="00273EEE"/>
    <w:rsid w:val="00280A1D"/>
    <w:rsid w:val="00281B5D"/>
    <w:rsid w:val="002B0FB6"/>
    <w:rsid w:val="002B7135"/>
    <w:rsid w:val="002D4409"/>
    <w:rsid w:val="002E2FA9"/>
    <w:rsid w:val="002E3C0D"/>
    <w:rsid w:val="002F5772"/>
    <w:rsid w:val="002F61D9"/>
    <w:rsid w:val="00303164"/>
    <w:rsid w:val="00306A9E"/>
    <w:rsid w:val="00372BDA"/>
    <w:rsid w:val="003768C1"/>
    <w:rsid w:val="00381367"/>
    <w:rsid w:val="003A0D0F"/>
    <w:rsid w:val="003A56E9"/>
    <w:rsid w:val="003D56B5"/>
    <w:rsid w:val="003E3996"/>
    <w:rsid w:val="003F0BD6"/>
    <w:rsid w:val="00402EF7"/>
    <w:rsid w:val="00424134"/>
    <w:rsid w:val="00424D8A"/>
    <w:rsid w:val="00430488"/>
    <w:rsid w:val="004346D9"/>
    <w:rsid w:val="00434C58"/>
    <w:rsid w:val="004409FB"/>
    <w:rsid w:val="004551B6"/>
    <w:rsid w:val="004643FC"/>
    <w:rsid w:val="00466443"/>
    <w:rsid w:val="00481F86"/>
    <w:rsid w:val="00484B64"/>
    <w:rsid w:val="00490BDF"/>
    <w:rsid w:val="00495936"/>
    <w:rsid w:val="004A5B69"/>
    <w:rsid w:val="004E0C9E"/>
    <w:rsid w:val="004F2B6C"/>
    <w:rsid w:val="005015C5"/>
    <w:rsid w:val="0051114C"/>
    <w:rsid w:val="00532F03"/>
    <w:rsid w:val="00537FF0"/>
    <w:rsid w:val="0056784E"/>
    <w:rsid w:val="00575F69"/>
    <w:rsid w:val="00583B07"/>
    <w:rsid w:val="00584CB7"/>
    <w:rsid w:val="00587C07"/>
    <w:rsid w:val="005C1600"/>
    <w:rsid w:val="005C5DA4"/>
    <w:rsid w:val="005D1B25"/>
    <w:rsid w:val="005E6475"/>
    <w:rsid w:val="005F03E4"/>
    <w:rsid w:val="005F4AA8"/>
    <w:rsid w:val="005F5001"/>
    <w:rsid w:val="00607D42"/>
    <w:rsid w:val="00615234"/>
    <w:rsid w:val="00631260"/>
    <w:rsid w:val="0063452F"/>
    <w:rsid w:val="00635083"/>
    <w:rsid w:val="006372D0"/>
    <w:rsid w:val="00647341"/>
    <w:rsid w:val="00657570"/>
    <w:rsid w:val="00657EF4"/>
    <w:rsid w:val="00657FC4"/>
    <w:rsid w:val="006739C3"/>
    <w:rsid w:val="00686979"/>
    <w:rsid w:val="00693A54"/>
    <w:rsid w:val="00694C49"/>
    <w:rsid w:val="006B0890"/>
    <w:rsid w:val="006B0CB0"/>
    <w:rsid w:val="006C460B"/>
    <w:rsid w:val="006C70A9"/>
    <w:rsid w:val="006E78DC"/>
    <w:rsid w:val="006F2A84"/>
    <w:rsid w:val="007019A6"/>
    <w:rsid w:val="007110E7"/>
    <w:rsid w:val="0073279C"/>
    <w:rsid w:val="00734FBE"/>
    <w:rsid w:val="0073778E"/>
    <w:rsid w:val="00757198"/>
    <w:rsid w:val="00766582"/>
    <w:rsid w:val="00775E3A"/>
    <w:rsid w:val="0079146E"/>
    <w:rsid w:val="00794E6A"/>
    <w:rsid w:val="007B24DF"/>
    <w:rsid w:val="007E6B1B"/>
    <w:rsid w:val="007E6DBA"/>
    <w:rsid w:val="007E6F0A"/>
    <w:rsid w:val="007F634D"/>
    <w:rsid w:val="00803AC9"/>
    <w:rsid w:val="00804185"/>
    <w:rsid w:val="00814A43"/>
    <w:rsid w:val="00815AF0"/>
    <w:rsid w:val="00816B79"/>
    <w:rsid w:val="008330D4"/>
    <w:rsid w:val="00846593"/>
    <w:rsid w:val="00865472"/>
    <w:rsid w:val="00865F81"/>
    <w:rsid w:val="00876DC7"/>
    <w:rsid w:val="00884B66"/>
    <w:rsid w:val="00890DC2"/>
    <w:rsid w:val="00894491"/>
    <w:rsid w:val="008A3232"/>
    <w:rsid w:val="008A6544"/>
    <w:rsid w:val="008B2EFD"/>
    <w:rsid w:val="008B7D59"/>
    <w:rsid w:val="008C09BC"/>
    <w:rsid w:val="008C491D"/>
    <w:rsid w:val="008C5F52"/>
    <w:rsid w:val="008F2CD9"/>
    <w:rsid w:val="008F4A63"/>
    <w:rsid w:val="00904D8B"/>
    <w:rsid w:val="0093690C"/>
    <w:rsid w:val="009459E6"/>
    <w:rsid w:val="0095050B"/>
    <w:rsid w:val="00952C3E"/>
    <w:rsid w:val="009577AD"/>
    <w:rsid w:val="00961178"/>
    <w:rsid w:val="00962348"/>
    <w:rsid w:val="009674D3"/>
    <w:rsid w:val="00971355"/>
    <w:rsid w:val="00975476"/>
    <w:rsid w:val="00982CE0"/>
    <w:rsid w:val="009869C3"/>
    <w:rsid w:val="009925DF"/>
    <w:rsid w:val="009A0104"/>
    <w:rsid w:val="009A60FA"/>
    <w:rsid w:val="009B12FC"/>
    <w:rsid w:val="009E0368"/>
    <w:rsid w:val="009E2AE8"/>
    <w:rsid w:val="009F3584"/>
    <w:rsid w:val="009F467D"/>
    <w:rsid w:val="009F4B9A"/>
    <w:rsid w:val="00A05FE1"/>
    <w:rsid w:val="00A261C7"/>
    <w:rsid w:val="00A41F6E"/>
    <w:rsid w:val="00A57DCB"/>
    <w:rsid w:val="00A628C0"/>
    <w:rsid w:val="00A63017"/>
    <w:rsid w:val="00A714F0"/>
    <w:rsid w:val="00A73ED6"/>
    <w:rsid w:val="00A76BA7"/>
    <w:rsid w:val="00A83D69"/>
    <w:rsid w:val="00AA0A82"/>
    <w:rsid w:val="00AA42CD"/>
    <w:rsid w:val="00AA7804"/>
    <w:rsid w:val="00AB13FA"/>
    <w:rsid w:val="00AB271E"/>
    <w:rsid w:val="00AC1F8D"/>
    <w:rsid w:val="00AD16F2"/>
    <w:rsid w:val="00AD3BAD"/>
    <w:rsid w:val="00AD48E8"/>
    <w:rsid w:val="00AF22C1"/>
    <w:rsid w:val="00B0368F"/>
    <w:rsid w:val="00B046D3"/>
    <w:rsid w:val="00B07426"/>
    <w:rsid w:val="00B077F1"/>
    <w:rsid w:val="00B109A9"/>
    <w:rsid w:val="00B122D0"/>
    <w:rsid w:val="00B304F7"/>
    <w:rsid w:val="00B33C06"/>
    <w:rsid w:val="00B37117"/>
    <w:rsid w:val="00B7049D"/>
    <w:rsid w:val="00B84EBF"/>
    <w:rsid w:val="00B94EED"/>
    <w:rsid w:val="00BA2439"/>
    <w:rsid w:val="00BB5F1D"/>
    <w:rsid w:val="00BC00D2"/>
    <w:rsid w:val="00BC0A3D"/>
    <w:rsid w:val="00BD12DF"/>
    <w:rsid w:val="00C17FDA"/>
    <w:rsid w:val="00C20B79"/>
    <w:rsid w:val="00C310D5"/>
    <w:rsid w:val="00C4189E"/>
    <w:rsid w:val="00C46A7A"/>
    <w:rsid w:val="00C51685"/>
    <w:rsid w:val="00C70008"/>
    <w:rsid w:val="00C87DA1"/>
    <w:rsid w:val="00C9176A"/>
    <w:rsid w:val="00CA1851"/>
    <w:rsid w:val="00CA2BDC"/>
    <w:rsid w:val="00CC0CDC"/>
    <w:rsid w:val="00CC23FC"/>
    <w:rsid w:val="00CD159D"/>
    <w:rsid w:val="00D10592"/>
    <w:rsid w:val="00D16A9E"/>
    <w:rsid w:val="00D3727D"/>
    <w:rsid w:val="00D413B8"/>
    <w:rsid w:val="00D47870"/>
    <w:rsid w:val="00D637A9"/>
    <w:rsid w:val="00DC2F4C"/>
    <w:rsid w:val="00DD6C18"/>
    <w:rsid w:val="00DD7BE1"/>
    <w:rsid w:val="00DE562B"/>
    <w:rsid w:val="00DF1AB2"/>
    <w:rsid w:val="00DF3295"/>
    <w:rsid w:val="00DF43B8"/>
    <w:rsid w:val="00E03E22"/>
    <w:rsid w:val="00E17703"/>
    <w:rsid w:val="00E26EFD"/>
    <w:rsid w:val="00E3233D"/>
    <w:rsid w:val="00E53558"/>
    <w:rsid w:val="00E54F93"/>
    <w:rsid w:val="00E561D2"/>
    <w:rsid w:val="00E63CC1"/>
    <w:rsid w:val="00E71227"/>
    <w:rsid w:val="00E74623"/>
    <w:rsid w:val="00E83070"/>
    <w:rsid w:val="00E84F08"/>
    <w:rsid w:val="00E908C5"/>
    <w:rsid w:val="00EC5FA6"/>
    <w:rsid w:val="00ED6604"/>
    <w:rsid w:val="00EE1919"/>
    <w:rsid w:val="00EE447A"/>
    <w:rsid w:val="00EE458F"/>
    <w:rsid w:val="00EF2620"/>
    <w:rsid w:val="00F05C35"/>
    <w:rsid w:val="00F124DC"/>
    <w:rsid w:val="00F2381C"/>
    <w:rsid w:val="00F263BE"/>
    <w:rsid w:val="00F4468B"/>
    <w:rsid w:val="00F72B23"/>
    <w:rsid w:val="00F73038"/>
    <w:rsid w:val="00F74995"/>
    <w:rsid w:val="00F82EB3"/>
    <w:rsid w:val="00F90D47"/>
    <w:rsid w:val="00F9265D"/>
    <w:rsid w:val="00F972B9"/>
    <w:rsid w:val="00FA0182"/>
    <w:rsid w:val="00FA0D0C"/>
    <w:rsid w:val="00FA2726"/>
    <w:rsid w:val="00FA570D"/>
    <w:rsid w:val="00FB20FC"/>
    <w:rsid w:val="00FD1181"/>
    <w:rsid w:val="00FD51C7"/>
    <w:rsid w:val="00FD6882"/>
    <w:rsid w:val="00FF3A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B3D5"/>
  <w15:chartTrackingRefBased/>
  <w15:docId w15:val="{AF77ACEB-5AB0-45DB-B160-9FE35B58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D6C18"/>
    <w:pPr>
      <w:ind w:left="720"/>
      <w:contextualSpacing/>
    </w:pPr>
  </w:style>
  <w:style w:type="paragraph" w:styleId="Testonotaapidipagina">
    <w:name w:val="footnote text"/>
    <w:basedOn w:val="Normale"/>
    <w:link w:val="TestonotaapidipaginaCarattere"/>
    <w:uiPriority w:val="99"/>
    <w:semiHidden/>
    <w:unhideWhenUsed/>
    <w:rsid w:val="004A5B6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A5B69"/>
    <w:rPr>
      <w:sz w:val="20"/>
      <w:szCs w:val="20"/>
    </w:rPr>
  </w:style>
  <w:style w:type="character" w:styleId="Rimandonotaapidipagina">
    <w:name w:val="footnote reference"/>
    <w:basedOn w:val="Carpredefinitoparagrafo"/>
    <w:uiPriority w:val="99"/>
    <w:semiHidden/>
    <w:unhideWhenUsed/>
    <w:rsid w:val="004A5B69"/>
    <w:rPr>
      <w:vertAlign w:val="superscript"/>
    </w:rPr>
  </w:style>
  <w:style w:type="paragraph" w:styleId="Intestazione">
    <w:name w:val="header"/>
    <w:basedOn w:val="Normale"/>
    <w:link w:val="IntestazioneCarattere"/>
    <w:uiPriority w:val="99"/>
    <w:unhideWhenUsed/>
    <w:rsid w:val="001003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003B8"/>
  </w:style>
  <w:style w:type="paragraph" w:styleId="Pidipagina">
    <w:name w:val="footer"/>
    <w:basedOn w:val="Normale"/>
    <w:link w:val="PidipaginaCarattere"/>
    <w:uiPriority w:val="99"/>
    <w:unhideWhenUsed/>
    <w:rsid w:val="001003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257">
      <w:bodyDiv w:val="1"/>
      <w:marLeft w:val="0"/>
      <w:marRight w:val="0"/>
      <w:marTop w:val="0"/>
      <w:marBottom w:val="0"/>
      <w:divBdr>
        <w:top w:val="none" w:sz="0" w:space="0" w:color="auto"/>
        <w:left w:val="none" w:sz="0" w:space="0" w:color="auto"/>
        <w:bottom w:val="none" w:sz="0" w:space="0" w:color="auto"/>
        <w:right w:val="none" w:sz="0" w:space="0" w:color="auto"/>
      </w:divBdr>
    </w:div>
    <w:div w:id="411124272">
      <w:bodyDiv w:val="1"/>
      <w:marLeft w:val="0"/>
      <w:marRight w:val="0"/>
      <w:marTop w:val="0"/>
      <w:marBottom w:val="0"/>
      <w:divBdr>
        <w:top w:val="none" w:sz="0" w:space="0" w:color="auto"/>
        <w:left w:val="none" w:sz="0" w:space="0" w:color="auto"/>
        <w:bottom w:val="none" w:sz="0" w:space="0" w:color="auto"/>
        <w:right w:val="none" w:sz="0" w:space="0" w:color="auto"/>
      </w:divBdr>
    </w:div>
    <w:div w:id="790782744">
      <w:bodyDiv w:val="1"/>
      <w:marLeft w:val="0"/>
      <w:marRight w:val="0"/>
      <w:marTop w:val="0"/>
      <w:marBottom w:val="0"/>
      <w:divBdr>
        <w:top w:val="none" w:sz="0" w:space="0" w:color="auto"/>
        <w:left w:val="none" w:sz="0" w:space="0" w:color="auto"/>
        <w:bottom w:val="none" w:sz="0" w:space="0" w:color="auto"/>
        <w:right w:val="none" w:sz="0" w:space="0" w:color="auto"/>
      </w:divBdr>
    </w:div>
    <w:div w:id="11638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D9716-DB59-42E6-A5D9-C50AA74C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2497</TotalTime>
  <Pages>12</Pages>
  <Words>4766</Words>
  <Characters>27167</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SATULLO Dalila</dc:creator>
  <cp:keywords/>
  <dc:description/>
  <cp:lastModifiedBy>SATULLO Dalila</cp:lastModifiedBy>
  <cp:revision>11</cp:revision>
  <dcterms:created xsi:type="dcterms:W3CDTF">2024-05-20T07:55:00Z</dcterms:created>
  <dcterms:modified xsi:type="dcterms:W3CDTF">2024-05-22T10:40:00Z</dcterms:modified>
</cp:coreProperties>
</file>