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2D490" w14:textId="1535E573" w:rsidR="00AE5BAA" w:rsidRPr="00071803" w:rsidRDefault="0091195F" w:rsidP="000B7866">
      <w:pPr>
        <w:spacing w:line="480" w:lineRule="auto"/>
        <w:jc w:val="both"/>
        <w:rPr>
          <w:rFonts w:ascii="Times New Roman" w:hAnsi="Times New Roman" w:cs="Times New Roman"/>
          <w:b/>
          <w:bCs/>
          <w:sz w:val="24"/>
          <w:szCs w:val="24"/>
        </w:rPr>
      </w:pPr>
      <w:r w:rsidRPr="00071803">
        <w:rPr>
          <w:rFonts w:ascii="Times New Roman" w:hAnsi="Times New Roman" w:cs="Times New Roman"/>
          <w:b/>
          <w:bCs/>
          <w:sz w:val="24"/>
          <w:szCs w:val="24"/>
        </w:rPr>
        <w:t>DIRITTO E FORZA</w:t>
      </w:r>
      <w:r w:rsidR="00885FE1" w:rsidRPr="00071803">
        <w:rPr>
          <w:rFonts w:ascii="Times New Roman" w:hAnsi="Times New Roman" w:cs="Times New Roman"/>
          <w:b/>
          <w:bCs/>
          <w:sz w:val="24"/>
          <w:szCs w:val="24"/>
        </w:rPr>
        <w:t xml:space="preserve"> (BREVI NOTE A MARGINE DI UNA </w:t>
      </w:r>
      <w:r w:rsidR="00FC3404" w:rsidRPr="00071803">
        <w:rPr>
          <w:rFonts w:ascii="Times New Roman" w:hAnsi="Times New Roman" w:cs="Times New Roman"/>
          <w:b/>
          <w:bCs/>
          <w:sz w:val="24"/>
          <w:szCs w:val="24"/>
        </w:rPr>
        <w:t>LEZIONE</w:t>
      </w:r>
      <w:r w:rsidR="00885FE1" w:rsidRPr="00071803">
        <w:rPr>
          <w:rFonts w:ascii="Times New Roman" w:hAnsi="Times New Roman" w:cs="Times New Roman"/>
          <w:b/>
          <w:bCs/>
          <w:sz w:val="24"/>
          <w:szCs w:val="24"/>
        </w:rPr>
        <w:t xml:space="preserve"> AI LINCEI)</w:t>
      </w:r>
    </w:p>
    <w:p w14:paraId="337BC7A8" w14:textId="5CB266EE" w:rsidR="00AE5BAA" w:rsidRPr="003D3F71" w:rsidRDefault="00AE5BAA" w:rsidP="000B7866">
      <w:pPr>
        <w:spacing w:line="480" w:lineRule="auto"/>
        <w:jc w:val="both"/>
        <w:rPr>
          <w:rFonts w:ascii="Times New Roman" w:hAnsi="Times New Roman" w:cs="Times New Roman"/>
          <w:sz w:val="24"/>
          <w:szCs w:val="24"/>
        </w:rPr>
      </w:pPr>
      <w:r>
        <w:rPr>
          <w:rFonts w:ascii="Times New Roman" w:hAnsi="Times New Roman" w:cs="Times New Roman"/>
          <w:sz w:val="24"/>
          <w:szCs w:val="24"/>
        </w:rPr>
        <w:t>di Francesco Arzillo – Presidente di Sezione presso il TAR del Lazio</w:t>
      </w:r>
    </w:p>
    <w:p w14:paraId="73B564CF" w14:textId="77777777" w:rsidR="00885FE1" w:rsidRPr="003D3F71" w:rsidRDefault="00885FE1" w:rsidP="000B7866">
      <w:pPr>
        <w:spacing w:line="480" w:lineRule="auto"/>
        <w:jc w:val="both"/>
        <w:rPr>
          <w:rFonts w:ascii="Times New Roman" w:hAnsi="Times New Roman" w:cs="Times New Roman"/>
          <w:sz w:val="24"/>
          <w:szCs w:val="24"/>
        </w:rPr>
      </w:pPr>
    </w:p>
    <w:p w14:paraId="515A4E54" w14:textId="6EEE82F3" w:rsidR="00433C14" w:rsidRPr="000B7866" w:rsidRDefault="000B7866" w:rsidP="000B7866">
      <w:pPr>
        <w:spacing w:line="480" w:lineRule="auto"/>
        <w:jc w:val="both"/>
        <w:rPr>
          <w:rFonts w:ascii="Times New Roman" w:hAnsi="Times New Roman" w:cs="Times New Roman"/>
          <w:sz w:val="24"/>
          <w:szCs w:val="24"/>
        </w:rPr>
      </w:pPr>
      <w:r>
        <w:rPr>
          <w:rFonts w:ascii="Times New Roman" w:hAnsi="Times New Roman" w:cs="Times New Roman"/>
          <w:sz w:val="24"/>
          <w:szCs w:val="24"/>
        </w:rPr>
        <w:t>1.</w:t>
      </w:r>
      <w:r w:rsidR="00885FE1" w:rsidRPr="000B7866">
        <w:rPr>
          <w:rFonts w:ascii="Times New Roman" w:hAnsi="Times New Roman" w:cs="Times New Roman"/>
          <w:sz w:val="24"/>
          <w:szCs w:val="24"/>
        </w:rPr>
        <w:t xml:space="preserve">Il presente scritto prende le mosse dalla “lectio brevis” </w:t>
      </w:r>
      <w:r w:rsidR="008276E0" w:rsidRPr="000B7866">
        <w:rPr>
          <w:rFonts w:ascii="Times New Roman" w:hAnsi="Times New Roman" w:cs="Times New Roman"/>
          <w:sz w:val="24"/>
          <w:szCs w:val="24"/>
        </w:rPr>
        <w:t xml:space="preserve">recentemente </w:t>
      </w:r>
      <w:r w:rsidR="00885FE1" w:rsidRPr="000B7866">
        <w:rPr>
          <w:rFonts w:ascii="Times New Roman" w:hAnsi="Times New Roman" w:cs="Times New Roman"/>
          <w:sz w:val="24"/>
          <w:szCs w:val="24"/>
        </w:rPr>
        <w:t>tenuta da</w:t>
      </w:r>
      <w:r w:rsidR="001061F8" w:rsidRPr="000B7866">
        <w:rPr>
          <w:rFonts w:ascii="Times New Roman" w:hAnsi="Times New Roman" w:cs="Times New Roman"/>
          <w:sz w:val="24"/>
          <w:szCs w:val="24"/>
        </w:rPr>
        <w:t xml:space="preserve"> </w:t>
      </w:r>
      <w:r w:rsidR="00885FE1" w:rsidRPr="000B7866">
        <w:rPr>
          <w:rFonts w:ascii="Times New Roman" w:hAnsi="Times New Roman" w:cs="Times New Roman"/>
          <w:sz w:val="24"/>
          <w:szCs w:val="24"/>
        </w:rPr>
        <w:t>Massimo Luciani, costituzionalista e accademico dei</w:t>
      </w:r>
      <w:r w:rsidR="001345C4" w:rsidRPr="000B7866">
        <w:rPr>
          <w:rFonts w:ascii="Times New Roman" w:hAnsi="Times New Roman" w:cs="Times New Roman"/>
          <w:sz w:val="24"/>
          <w:szCs w:val="24"/>
        </w:rPr>
        <w:t xml:space="preserve"> L</w:t>
      </w:r>
      <w:r w:rsidR="00885FE1" w:rsidRPr="000B7866">
        <w:rPr>
          <w:rFonts w:ascii="Times New Roman" w:hAnsi="Times New Roman" w:cs="Times New Roman"/>
          <w:sz w:val="24"/>
          <w:szCs w:val="24"/>
        </w:rPr>
        <w:t>incei, sul tema “</w:t>
      </w:r>
      <w:r w:rsidR="000E6D3C">
        <w:rPr>
          <w:rFonts w:ascii="Times New Roman" w:hAnsi="Times New Roman" w:cs="Times New Roman"/>
          <w:sz w:val="24"/>
          <w:szCs w:val="24"/>
        </w:rPr>
        <w:t>Il d</w:t>
      </w:r>
      <w:r w:rsidR="0003255A">
        <w:rPr>
          <w:rFonts w:ascii="Times New Roman" w:hAnsi="Times New Roman" w:cs="Times New Roman"/>
          <w:sz w:val="24"/>
          <w:szCs w:val="24"/>
        </w:rPr>
        <w:t xml:space="preserve">iritto </w:t>
      </w:r>
      <w:r w:rsidR="000E6D3C">
        <w:rPr>
          <w:rFonts w:ascii="Times New Roman" w:hAnsi="Times New Roman" w:cs="Times New Roman"/>
          <w:sz w:val="24"/>
          <w:szCs w:val="24"/>
        </w:rPr>
        <w:t>della</w:t>
      </w:r>
      <w:r w:rsidR="0003255A">
        <w:rPr>
          <w:rFonts w:ascii="Times New Roman" w:hAnsi="Times New Roman" w:cs="Times New Roman"/>
          <w:sz w:val="24"/>
          <w:szCs w:val="24"/>
        </w:rPr>
        <w:t xml:space="preserve"> forza</w:t>
      </w:r>
      <w:r w:rsidR="00885FE1" w:rsidRPr="000B7866">
        <w:rPr>
          <w:rFonts w:ascii="Times New Roman" w:hAnsi="Times New Roman" w:cs="Times New Roman"/>
          <w:sz w:val="24"/>
          <w:szCs w:val="24"/>
        </w:rPr>
        <w:t>”.</w:t>
      </w:r>
      <w:r w:rsidR="00433C14" w:rsidRPr="000B7866">
        <w:rPr>
          <w:rFonts w:ascii="Times New Roman" w:hAnsi="Times New Roman" w:cs="Times New Roman"/>
          <w:sz w:val="24"/>
          <w:szCs w:val="24"/>
        </w:rPr>
        <w:t xml:space="preserve"> </w:t>
      </w:r>
    </w:p>
    <w:p w14:paraId="0983B2EE" w14:textId="06CEB211" w:rsidR="00433C14" w:rsidRPr="003D3F71" w:rsidRDefault="00433C14" w:rsidP="000B7866">
      <w:pPr>
        <w:spacing w:line="480" w:lineRule="auto"/>
        <w:jc w:val="both"/>
        <w:rPr>
          <w:rFonts w:ascii="Times New Roman" w:hAnsi="Times New Roman" w:cs="Times New Roman"/>
          <w:sz w:val="24"/>
          <w:szCs w:val="24"/>
        </w:rPr>
      </w:pPr>
      <w:r w:rsidRPr="003D3F71">
        <w:rPr>
          <w:rFonts w:ascii="Times New Roman" w:hAnsi="Times New Roman" w:cs="Times New Roman"/>
          <w:sz w:val="24"/>
          <w:szCs w:val="24"/>
        </w:rPr>
        <w:t>La densa lezione, finemente intessuta di molteplici rimandi storici, filologici e dottrinal</w:t>
      </w:r>
      <w:r w:rsidR="001345C4" w:rsidRPr="003D3F71">
        <w:rPr>
          <w:rFonts w:ascii="Times New Roman" w:hAnsi="Times New Roman" w:cs="Times New Roman"/>
          <w:sz w:val="24"/>
          <w:szCs w:val="24"/>
        </w:rPr>
        <w:t>i</w:t>
      </w:r>
      <w:r w:rsidRPr="003D3F71">
        <w:rPr>
          <w:rFonts w:ascii="Times New Roman" w:hAnsi="Times New Roman" w:cs="Times New Roman"/>
          <w:sz w:val="24"/>
          <w:szCs w:val="24"/>
        </w:rPr>
        <w:t>, stimola ulteriori riflessioni su un tema mai esaurito, che da sempre rappresenta una sfida altissima per chi voglia “pensare” il diritto e non solo limitarsi a descriverlo</w:t>
      </w:r>
      <w:r w:rsidR="001345C4" w:rsidRPr="003D3F71">
        <w:rPr>
          <w:rFonts w:ascii="Times New Roman" w:hAnsi="Times New Roman" w:cs="Times New Roman"/>
          <w:sz w:val="24"/>
          <w:szCs w:val="24"/>
        </w:rPr>
        <w:t xml:space="preserve"> (secondo un uso diffuso soprattutto  nella didattica).</w:t>
      </w:r>
    </w:p>
    <w:p w14:paraId="0A4D69B4" w14:textId="16B79604" w:rsidR="001345C4" w:rsidRPr="003D3F71" w:rsidRDefault="001345C4" w:rsidP="000B7866">
      <w:pPr>
        <w:spacing w:line="480" w:lineRule="auto"/>
        <w:jc w:val="both"/>
        <w:rPr>
          <w:rFonts w:ascii="Times New Roman" w:hAnsi="Times New Roman" w:cs="Times New Roman"/>
          <w:sz w:val="24"/>
          <w:szCs w:val="24"/>
        </w:rPr>
      </w:pPr>
      <w:r w:rsidRPr="003D3F71">
        <w:rPr>
          <w:rFonts w:ascii="Times New Roman" w:hAnsi="Times New Roman" w:cs="Times New Roman"/>
          <w:sz w:val="24"/>
          <w:szCs w:val="24"/>
        </w:rPr>
        <w:t>Gli spunti che seguono sono ripartiti in brevi paragrafi senza alcuna pretesa di sistematicità</w:t>
      </w:r>
      <w:r w:rsidR="00FC3404" w:rsidRPr="003D3F71">
        <w:rPr>
          <w:rFonts w:ascii="Times New Roman" w:hAnsi="Times New Roman" w:cs="Times New Roman"/>
          <w:sz w:val="24"/>
          <w:szCs w:val="24"/>
        </w:rPr>
        <w:t xml:space="preserve">; </w:t>
      </w:r>
      <w:r w:rsidR="006F073C" w:rsidRPr="003D3F71">
        <w:rPr>
          <w:rFonts w:ascii="Times New Roman" w:hAnsi="Times New Roman" w:cs="Times New Roman"/>
          <w:sz w:val="24"/>
          <w:szCs w:val="24"/>
        </w:rPr>
        <w:t>la relativa comprensione</w:t>
      </w:r>
      <w:r w:rsidRPr="003D3F71">
        <w:rPr>
          <w:rFonts w:ascii="Times New Roman" w:hAnsi="Times New Roman" w:cs="Times New Roman"/>
          <w:sz w:val="24"/>
          <w:szCs w:val="24"/>
        </w:rPr>
        <w:t xml:space="preserve"> presuppon</w:t>
      </w:r>
      <w:r w:rsidR="006F073C" w:rsidRPr="003D3F71">
        <w:rPr>
          <w:rFonts w:ascii="Times New Roman" w:hAnsi="Times New Roman" w:cs="Times New Roman"/>
          <w:sz w:val="24"/>
          <w:szCs w:val="24"/>
        </w:rPr>
        <w:t>e</w:t>
      </w:r>
      <w:r w:rsidRPr="003D3F71">
        <w:rPr>
          <w:rFonts w:ascii="Times New Roman" w:hAnsi="Times New Roman" w:cs="Times New Roman"/>
          <w:sz w:val="24"/>
          <w:szCs w:val="24"/>
        </w:rPr>
        <w:t xml:space="preserve"> ovviamente</w:t>
      </w:r>
      <w:r w:rsidR="006A7984">
        <w:rPr>
          <w:rFonts w:ascii="Times New Roman" w:hAnsi="Times New Roman" w:cs="Times New Roman"/>
          <w:sz w:val="24"/>
          <w:szCs w:val="24"/>
        </w:rPr>
        <w:t xml:space="preserve"> </w:t>
      </w:r>
      <w:r w:rsidR="00450A2D">
        <w:rPr>
          <w:rFonts w:ascii="Times New Roman" w:hAnsi="Times New Roman" w:cs="Times New Roman"/>
          <w:sz w:val="24"/>
          <w:szCs w:val="24"/>
        </w:rPr>
        <w:t>-</w:t>
      </w:r>
      <w:r w:rsidR="006A7984">
        <w:rPr>
          <w:rFonts w:ascii="Times New Roman" w:hAnsi="Times New Roman" w:cs="Times New Roman"/>
          <w:sz w:val="24"/>
          <w:szCs w:val="24"/>
        </w:rPr>
        <w:t xml:space="preserve"> per le parti non citate </w:t>
      </w:r>
      <w:r w:rsidR="006A7984" w:rsidRPr="006A7984">
        <w:rPr>
          <w:rFonts w:ascii="Times New Roman" w:hAnsi="Times New Roman" w:cs="Times New Roman"/>
          <w:i/>
          <w:iCs/>
          <w:sz w:val="24"/>
          <w:szCs w:val="24"/>
        </w:rPr>
        <w:t>in extenso</w:t>
      </w:r>
      <w:r w:rsidR="006A7984">
        <w:rPr>
          <w:rFonts w:ascii="Times New Roman" w:hAnsi="Times New Roman" w:cs="Times New Roman"/>
          <w:sz w:val="24"/>
          <w:szCs w:val="24"/>
        </w:rPr>
        <w:t xml:space="preserve"> - </w:t>
      </w:r>
      <w:r w:rsidRPr="003D3F71">
        <w:rPr>
          <w:rFonts w:ascii="Times New Roman" w:hAnsi="Times New Roman" w:cs="Times New Roman"/>
          <w:sz w:val="24"/>
          <w:szCs w:val="24"/>
        </w:rPr>
        <w:t xml:space="preserve"> la lettura del testo che ne costituisce il termine di confronto dialettico</w:t>
      </w:r>
      <w:r w:rsidRPr="003D3F71">
        <w:rPr>
          <w:rStyle w:val="Rimandonotaapidipagina"/>
          <w:rFonts w:ascii="Times New Roman" w:hAnsi="Times New Roman" w:cs="Times New Roman"/>
          <w:sz w:val="24"/>
          <w:szCs w:val="24"/>
        </w:rPr>
        <w:footnoteReference w:id="1"/>
      </w:r>
      <w:r w:rsidRPr="003D3F71">
        <w:rPr>
          <w:rFonts w:ascii="Times New Roman" w:hAnsi="Times New Roman" w:cs="Times New Roman"/>
          <w:sz w:val="24"/>
          <w:szCs w:val="24"/>
        </w:rPr>
        <w:t>.</w:t>
      </w:r>
      <w:r w:rsidRPr="003D3F71">
        <w:rPr>
          <w:rFonts w:ascii="Times New Roman" w:hAnsi="Times New Roman" w:cs="Times New Roman"/>
          <w:sz w:val="24"/>
          <w:szCs w:val="24"/>
        </w:rPr>
        <w:br/>
      </w:r>
    </w:p>
    <w:p w14:paraId="06E94E4A" w14:textId="1727C660" w:rsidR="006704B3" w:rsidRPr="002D1D1A" w:rsidRDefault="000B7866" w:rsidP="000B7866">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sidR="002D1D1A">
        <w:rPr>
          <w:rFonts w:ascii="Times New Roman" w:hAnsi="Times New Roman" w:cs="Times New Roman"/>
          <w:sz w:val="24"/>
          <w:szCs w:val="24"/>
        </w:rPr>
        <w:t>.</w:t>
      </w:r>
      <w:r w:rsidR="006704B3" w:rsidRPr="002D1D1A">
        <w:rPr>
          <w:rFonts w:ascii="Times New Roman" w:hAnsi="Times New Roman" w:cs="Times New Roman"/>
          <w:sz w:val="24"/>
          <w:szCs w:val="24"/>
        </w:rPr>
        <w:t xml:space="preserve">L’A. con questa lectio </w:t>
      </w:r>
      <w:r w:rsidR="00067F71" w:rsidRPr="002D1D1A">
        <w:rPr>
          <w:rFonts w:ascii="Times New Roman" w:hAnsi="Times New Roman" w:cs="Times New Roman"/>
          <w:sz w:val="24"/>
          <w:szCs w:val="24"/>
        </w:rPr>
        <w:t>prosegue nello</w:t>
      </w:r>
      <w:r w:rsidR="006704B3" w:rsidRPr="002D1D1A">
        <w:rPr>
          <w:rFonts w:ascii="Times New Roman" w:hAnsi="Times New Roman" w:cs="Times New Roman"/>
          <w:sz w:val="24"/>
          <w:szCs w:val="24"/>
        </w:rPr>
        <w:t xml:space="preserve"> sforzo</w:t>
      </w:r>
      <w:r w:rsidR="006704B3" w:rsidRPr="003D3F71">
        <w:rPr>
          <w:rStyle w:val="Rimandonotaapidipagina"/>
          <w:rFonts w:ascii="Times New Roman" w:hAnsi="Times New Roman" w:cs="Times New Roman"/>
          <w:sz w:val="24"/>
          <w:szCs w:val="24"/>
        </w:rPr>
        <w:footnoteReference w:id="2"/>
      </w:r>
      <w:r w:rsidR="006704B3" w:rsidRPr="002D1D1A">
        <w:rPr>
          <w:rFonts w:ascii="Times New Roman" w:hAnsi="Times New Roman" w:cs="Times New Roman"/>
          <w:sz w:val="24"/>
          <w:szCs w:val="24"/>
        </w:rPr>
        <w:t xml:space="preserve"> di fornire una versione sintetica degli esiti delle proprie ricerche volte a una esauriente fondazione positivistica del diritto.</w:t>
      </w:r>
      <w:r w:rsidR="00067F71" w:rsidRPr="002D1D1A">
        <w:rPr>
          <w:rFonts w:ascii="Times New Roman" w:hAnsi="Times New Roman" w:cs="Times New Roman"/>
          <w:sz w:val="24"/>
          <w:szCs w:val="24"/>
        </w:rPr>
        <w:t xml:space="preserve"> Il tentativo è interessante perché – è bene notarlo – l’A. rifugge tanto dal giusnaturalismo nelle sue varie versioni antiche</w:t>
      </w:r>
      <w:r w:rsidR="00B874E4" w:rsidRPr="002D1D1A">
        <w:rPr>
          <w:rFonts w:ascii="Times New Roman" w:hAnsi="Times New Roman" w:cs="Times New Roman"/>
          <w:sz w:val="24"/>
          <w:szCs w:val="24"/>
        </w:rPr>
        <w:t xml:space="preserve"> e</w:t>
      </w:r>
      <w:r w:rsidR="00067F71" w:rsidRPr="002D1D1A">
        <w:rPr>
          <w:rFonts w:ascii="Times New Roman" w:hAnsi="Times New Roman" w:cs="Times New Roman"/>
          <w:sz w:val="24"/>
          <w:szCs w:val="24"/>
        </w:rPr>
        <w:t xml:space="preserve"> moderne (fino ad alcune </w:t>
      </w:r>
      <w:r w:rsidR="008276E0" w:rsidRPr="002D1D1A">
        <w:rPr>
          <w:rFonts w:ascii="Times New Roman" w:hAnsi="Times New Roman" w:cs="Times New Roman"/>
          <w:sz w:val="24"/>
          <w:szCs w:val="24"/>
        </w:rPr>
        <w:t xml:space="preserve">figure </w:t>
      </w:r>
      <w:r w:rsidR="00067F71" w:rsidRPr="002D1D1A">
        <w:rPr>
          <w:rFonts w:ascii="Times New Roman" w:hAnsi="Times New Roman" w:cs="Times New Roman"/>
          <w:sz w:val="24"/>
          <w:szCs w:val="24"/>
        </w:rPr>
        <w:t xml:space="preserve"> del cd. </w:t>
      </w:r>
      <w:r w:rsidR="00B874E4" w:rsidRPr="002D1D1A">
        <w:rPr>
          <w:rFonts w:ascii="Times New Roman" w:hAnsi="Times New Roman" w:cs="Times New Roman"/>
          <w:sz w:val="24"/>
          <w:szCs w:val="24"/>
        </w:rPr>
        <w:t>n</w:t>
      </w:r>
      <w:r w:rsidR="00067F71" w:rsidRPr="002D1D1A">
        <w:rPr>
          <w:rFonts w:ascii="Times New Roman" w:hAnsi="Times New Roman" w:cs="Times New Roman"/>
          <w:sz w:val="24"/>
          <w:szCs w:val="24"/>
        </w:rPr>
        <w:t>eocostituzionalismo), quanto dal normativismo puro</w:t>
      </w:r>
      <w:r w:rsidR="00FC3404" w:rsidRPr="002D1D1A">
        <w:rPr>
          <w:rFonts w:ascii="Times New Roman" w:hAnsi="Times New Roman" w:cs="Times New Roman"/>
          <w:sz w:val="24"/>
          <w:szCs w:val="24"/>
        </w:rPr>
        <w:t>, il quale</w:t>
      </w:r>
      <w:r w:rsidR="00067F71" w:rsidRPr="002D1D1A">
        <w:rPr>
          <w:rFonts w:ascii="Times New Roman" w:hAnsi="Times New Roman" w:cs="Times New Roman"/>
          <w:sz w:val="24"/>
          <w:szCs w:val="24"/>
        </w:rPr>
        <w:t xml:space="preserve"> </w:t>
      </w:r>
      <w:r w:rsidR="00067F71" w:rsidRPr="002D1D1A">
        <w:rPr>
          <w:rFonts w:ascii="Times New Roman" w:hAnsi="Times New Roman" w:cs="Times New Roman"/>
          <w:sz w:val="24"/>
          <w:szCs w:val="24"/>
        </w:rPr>
        <w:lastRenderedPageBreak/>
        <w:t>non riesce ad andare oltre l’autoreferenzi</w:t>
      </w:r>
      <w:r w:rsidR="00576247" w:rsidRPr="002D1D1A">
        <w:rPr>
          <w:rFonts w:ascii="Times New Roman" w:hAnsi="Times New Roman" w:cs="Times New Roman"/>
          <w:sz w:val="24"/>
          <w:szCs w:val="24"/>
        </w:rPr>
        <w:t>a</w:t>
      </w:r>
      <w:r w:rsidR="00067F71" w:rsidRPr="002D1D1A">
        <w:rPr>
          <w:rFonts w:ascii="Times New Roman" w:hAnsi="Times New Roman" w:cs="Times New Roman"/>
          <w:sz w:val="24"/>
          <w:szCs w:val="24"/>
        </w:rPr>
        <w:t>lità di un fondamento che tale non è perché è puramente formale</w:t>
      </w:r>
      <w:r w:rsidR="00CE12C1" w:rsidRPr="002D1D1A">
        <w:rPr>
          <w:rFonts w:ascii="Times New Roman" w:hAnsi="Times New Roman" w:cs="Times New Roman"/>
          <w:sz w:val="24"/>
          <w:szCs w:val="24"/>
        </w:rPr>
        <w:t xml:space="preserve"> (se non contaminandosi con la effettività, con i connessi problemi)</w:t>
      </w:r>
      <w:r w:rsidR="00CE12C1" w:rsidRPr="002D1D1A">
        <w:rPr>
          <w:rStyle w:val="Rimandonotaapidipagina"/>
          <w:rFonts w:ascii="Times New Roman" w:hAnsi="Times New Roman" w:cs="Times New Roman"/>
          <w:sz w:val="24"/>
          <w:szCs w:val="24"/>
        </w:rPr>
        <w:t xml:space="preserve"> </w:t>
      </w:r>
      <w:r w:rsidR="00CE12C1" w:rsidRPr="003D3F71">
        <w:rPr>
          <w:rStyle w:val="Rimandonotaapidipagina"/>
          <w:rFonts w:ascii="Times New Roman" w:hAnsi="Times New Roman" w:cs="Times New Roman"/>
          <w:sz w:val="24"/>
          <w:szCs w:val="24"/>
        </w:rPr>
        <w:footnoteReference w:id="3"/>
      </w:r>
      <w:r w:rsidR="00CE12C1" w:rsidRPr="002D1D1A">
        <w:rPr>
          <w:rFonts w:ascii="Times New Roman" w:hAnsi="Times New Roman" w:cs="Times New Roman"/>
          <w:sz w:val="24"/>
          <w:szCs w:val="24"/>
        </w:rPr>
        <w:t>.</w:t>
      </w:r>
      <w:r w:rsidR="00CE12C1" w:rsidRPr="002D1D1A">
        <w:rPr>
          <w:rStyle w:val="Rimandonotaapidipagina"/>
          <w:rFonts w:ascii="Times New Roman" w:hAnsi="Times New Roman" w:cs="Times New Roman"/>
          <w:sz w:val="24"/>
          <w:szCs w:val="24"/>
        </w:rPr>
        <w:t xml:space="preserve"> </w:t>
      </w:r>
    </w:p>
    <w:p w14:paraId="19562B9E" w14:textId="08781B24" w:rsidR="00067F71" w:rsidRPr="003D3F71" w:rsidRDefault="00067F71" w:rsidP="000B7866">
      <w:pPr>
        <w:spacing w:line="480" w:lineRule="auto"/>
        <w:jc w:val="both"/>
        <w:rPr>
          <w:rFonts w:ascii="Times New Roman" w:hAnsi="Times New Roman" w:cs="Times New Roman"/>
          <w:sz w:val="24"/>
          <w:szCs w:val="24"/>
        </w:rPr>
      </w:pPr>
      <w:r w:rsidRPr="003D3F71">
        <w:rPr>
          <w:rFonts w:ascii="Times New Roman" w:hAnsi="Times New Roman" w:cs="Times New Roman"/>
          <w:sz w:val="24"/>
          <w:szCs w:val="24"/>
        </w:rPr>
        <w:t>In dichiarato contrasto con la nota tesi di</w:t>
      </w:r>
      <w:r w:rsidR="000B7866" w:rsidRPr="000B7866">
        <w:t xml:space="preserve"> </w:t>
      </w:r>
      <w:r w:rsidR="000B7866" w:rsidRPr="000B7866">
        <w:rPr>
          <w:rFonts w:ascii="Times New Roman" w:hAnsi="Times New Roman" w:cs="Times New Roman"/>
          <w:sz w:val="24"/>
          <w:szCs w:val="24"/>
        </w:rPr>
        <w:t>Böckenförde</w:t>
      </w:r>
      <w:r w:rsidRPr="003D3F71">
        <w:rPr>
          <w:rFonts w:ascii="Times New Roman" w:hAnsi="Times New Roman" w:cs="Times New Roman"/>
          <w:sz w:val="24"/>
          <w:szCs w:val="24"/>
        </w:rPr>
        <w:t>, l’A. non solo si pone il problema della fondazione (diremmo giustificazione) de</w:t>
      </w:r>
      <w:r w:rsidR="00B874E4" w:rsidRPr="003D3F71">
        <w:rPr>
          <w:rFonts w:ascii="Times New Roman" w:hAnsi="Times New Roman" w:cs="Times New Roman"/>
          <w:sz w:val="24"/>
          <w:szCs w:val="24"/>
        </w:rPr>
        <w:t>l</w:t>
      </w:r>
      <w:r w:rsidRPr="003D3F71">
        <w:rPr>
          <w:rFonts w:ascii="Times New Roman" w:hAnsi="Times New Roman" w:cs="Times New Roman"/>
          <w:sz w:val="24"/>
          <w:szCs w:val="24"/>
        </w:rPr>
        <w:t>l’ordinamento</w:t>
      </w:r>
      <w:r w:rsidR="00B874E4" w:rsidRPr="003D3F71">
        <w:rPr>
          <w:rFonts w:ascii="Times New Roman" w:hAnsi="Times New Roman" w:cs="Times New Roman"/>
          <w:sz w:val="24"/>
          <w:szCs w:val="24"/>
        </w:rPr>
        <w:t xml:space="preserve">, ma ritiene che lo stesso sia </w:t>
      </w:r>
      <w:r w:rsidR="002D1D1A">
        <w:rPr>
          <w:rFonts w:ascii="Times New Roman" w:hAnsi="Times New Roman" w:cs="Times New Roman"/>
          <w:sz w:val="24"/>
          <w:szCs w:val="24"/>
        </w:rPr>
        <w:t xml:space="preserve">stato risolto </w:t>
      </w:r>
      <w:r w:rsidR="00B874E4" w:rsidRPr="003D3F71">
        <w:rPr>
          <w:rFonts w:ascii="Times New Roman" w:hAnsi="Times New Roman" w:cs="Times New Roman"/>
          <w:sz w:val="24"/>
          <w:szCs w:val="24"/>
        </w:rPr>
        <w:t xml:space="preserve"> proprio </w:t>
      </w:r>
      <w:r w:rsidR="002D1D1A">
        <w:rPr>
          <w:rFonts w:ascii="Times New Roman" w:hAnsi="Times New Roman" w:cs="Times New Roman"/>
          <w:sz w:val="24"/>
          <w:szCs w:val="24"/>
        </w:rPr>
        <w:t>dallo</w:t>
      </w:r>
      <w:r w:rsidR="00B874E4" w:rsidRPr="003D3F71">
        <w:rPr>
          <w:rFonts w:ascii="Times New Roman" w:hAnsi="Times New Roman" w:cs="Times New Roman"/>
          <w:sz w:val="24"/>
          <w:szCs w:val="24"/>
        </w:rPr>
        <w:t xml:space="preserve"> Stato costituzionale moderno e contemporaneo </w:t>
      </w:r>
      <w:r w:rsidR="002D1D1A">
        <w:rPr>
          <w:rFonts w:ascii="Times New Roman" w:hAnsi="Times New Roman" w:cs="Times New Roman"/>
          <w:sz w:val="24"/>
          <w:szCs w:val="24"/>
        </w:rPr>
        <w:t>, il quale avrebbe</w:t>
      </w:r>
      <w:r w:rsidR="00B874E4" w:rsidRPr="003D3F71">
        <w:rPr>
          <w:rFonts w:ascii="Times New Roman" w:hAnsi="Times New Roman" w:cs="Times New Roman"/>
          <w:sz w:val="24"/>
          <w:szCs w:val="24"/>
        </w:rPr>
        <w:t xml:space="preserve"> quantomeno accostato all’originario (storicamente ma anche concettualmente)  “cuore di tenebra del diritto”  un “cuore di luce”</w:t>
      </w:r>
      <w:r w:rsidR="006C2A47">
        <w:rPr>
          <w:rStyle w:val="Rimandonotaapidipagina"/>
          <w:rFonts w:ascii="Times New Roman" w:hAnsi="Times New Roman" w:cs="Times New Roman"/>
          <w:sz w:val="24"/>
          <w:szCs w:val="24"/>
        </w:rPr>
        <w:footnoteReference w:id="4"/>
      </w:r>
      <w:r w:rsidR="00E93C2D" w:rsidRPr="003D3F71">
        <w:rPr>
          <w:rFonts w:ascii="Times New Roman" w:hAnsi="Times New Roman" w:cs="Times New Roman"/>
          <w:sz w:val="24"/>
          <w:szCs w:val="24"/>
        </w:rPr>
        <w:t xml:space="preserve">: </w:t>
      </w:r>
      <w:r w:rsidR="00FC3404" w:rsidRPr="003D3F71">
        <w:rPr>
          <w:rFonts w:ascii="Times New Roman" w:hAnsi="Times New Roman" w:cs="Times New Roman"/>
          <w:sz w:val="24"/>
          <w:szCs w:val="24"/>
        </w:rPr>
        <w:t xml:space="preserve">si tratterebbe </w:t>
      </w:r>
      <w:r w:rsidR="00E93C2D" w:rsidRPr="003D3F71">
        <w:rPr>
          <w:rFonts w:ascii="Times New Roman" w:hAnsi="Times New Roman" w:cs="Times New Roman"/>
          <w:sz w:val="24"/>
          <w:szCs w:val="24"/>
        </w:rPr>
        <w:t xml:space="preserve">non tanto </w:t>
      </w:r>
      <w:r w:rsidR="00FC3404" w:rsidRPr="003D3F71">
        <w:rPr>
          <w:rFonts w:ascii="Times New Roman" w:hAnsi="Times New Roman" w:cs="Times New Roman"/>
          <w:sz w:val="24"/>
          <w:szCs w:val="24"/>
        </w:rPr>
        <w:t xml:space="preserve">di una metamorfosi e neppure di </w:t>
      </w:r>
      <w:r w:rsidR="00E93C2D" w:rsidRPr="003D3F71">
        <w:rPr>
          <w:rFonts w:ascii="Times New Roman" w:hAnsi="Times New Roman" w:cs="Times New Roman"/>
          <w:sz w:val="24"/>
          <w:szCs w:val="24"/>
        </w:rPr>
        <w:t>un trapianto o</w:t>
      </w:r>
      <w:r w:rsidR="00FC3404" w:rsidRPr="003D3F71">
        <w:rPr>
          <w:rFonts w:ascii="Times New Roman" w:hAnsi="Times New Roman" w:cs="Times New Roman"/>
          <w:sz w:val="24"/>
          <w:szCs w:val="24"/>
        </w:rPr>
        <w:t xml:space="preserve"> di</w:t>
      </w:r>
      <w:r w:rsidR="00E93C2D" w:rsidRPr="003D3F71">
        <w:rPr>
          <w:rFonts w:ascii="Times New Roman" w:hAnsi="Times New Roman" w:cs="Times New Roman"/>
          <w:sz w:val="24"/>
          <w:szCs w:val="24"/>
        </w:rPr>
        <w:t xml:space="preserve"> una sostituzione, quanto </w:t>
      </w:r>
      <w:r w:rsidR="00FC3404" w:rsidRPr="003D3F71">
        <w:rPr>
          <w:rFonts w:ascii="Times New Roman" w:hAnsi="Times New Roman" w:cs="Times New Roman"/>
          <w:sz w:val="24"/>
          <w:szCs w:val="24"/>
        </w:rPr>
        <w:t xml:space="preserve">di </w:t>
      </w:r>
      <w:r w:rsidR="00E93C2D" w:rsidRPr="003D3F71">
        <w:rPr>
          <w:rFonts w:ascii="Times New Roman" w:hAnsi="Times New Roman" w:cs="Times New Roman"/>
          <w:sz w:val="24"/>
          <w:szCs w:val="24"/>
        </w:rPr>
        <w:t>una sorta di intervento cardiochirurgico</w:t>
      </w:r>
      <w:r w:rsidR="00FC3404" w:rsidRPr="003D3F71">
        <w:rPr>
          <w:rFonts w:ascii="Times New Roman" w:hAnsi="Times New Roman" w:cs="Times New Roman"/>
          <w:sz w:val="24"/>
          <w:szCs w:val="24"/>
        </w:rPr>
        <w:t xml:space="preserve"> conservativo</w:t>
      </w:r>
      <w:r w:rsidR="00E93C2D" w:rsidRPr="003D3F71">
        <w:rPr>
          <w:rFonts w:ascii="Times New Roman" w:hAnsi="Times New Roman" w:cs="Times New Roman"/>
          <w:sz w:val="24"/>
          <w:szCs w:val="24"/>
        </w:rPr>
        <w:t xml:space="preserve"> </w:t>
      </w:r>
      <w:r w:rsidR="00576247" w:rsidRPr="003D3F71">
        <w:rPr>
          <w:rFonts w:ascii="Times New Roman" w:hAnsi="Times New Roman" w:cs="Times New Roman"/>
          <w:sz w:val="24"/>
          <w:szCs w:val="24"/>
        </w:rPr>
        <w:t>(</w:t>
      </w:r>
      <w:r w:rsidR="006F073C" w:rsidRPr="003D3F71">
        <w:rPr>
          <w:rFonts w:ascii="Times New Roman" w:hAnsi="Times New Roman" w:cs="Times New Roman"/>
          <w:sz w:val="24"/>
          <w:szCs w:val="24"/>
        </w:rPr>
        <w:t>ma</w:t>
      </w:r>
      <w:r w:rsidR="00576247" w:rsidRPr="003D3F71">
        <w:rPr>
          <w:rFonts w:ascii="Times New Roman" w:hAnsi="Times New Roman" w:cs="Times New Roman"/>
          <w:sz w:val="24"/>
          <w:szCs w:val="24"/>
        </w:rPr>
        <w:t xml:space="preserve"> basato su tecniche a loro modo rivoluzionarie)</w:t>
      </w:r>
      <w:r w:rsidR="006F073C" w:rsidRPr="003D3F71">
        <w:rPr>
          <w:rFonts w:ascii="Times New Roman" w:hAnsi="Times New Roman" w:cs="Times New Roman"/>
          <w:sz w:val="24"/>
          <w:szCs w:val="24"/>
        </w:rPr>
        <w:t xml:space="preserve">, che  consentirebbe di </w:t>
      </w:r>
      <w:r w:rsidR="00E93C2D" w:rsidRPr="003D3F71">
        <w:rPr>
          <w:rFonts w:ascii="Times New Roman" w:hAnsi="Times New Roman" w:cs="Times New Roman"/>
          <w:sz w:val="24"/>
          <w:szCs w:val="24"/>
        </w:rPr>
        <w:t xml:space="preserve"> cura</w:t>
      </w:r>
      <w:r w:rsidR="006F073C" w:rsidRPr="003D3F71">
        <w:rPr>
          <w:rFonts w:ascii="Times New Roman" w:hAnsi="Times New Roman" w:cs="Times New Roman"/>
          <w:sz w:val="24"/>
          <w:szCs w:val="24"/>
        </w:rPr>
        <w:t>re</w:t>
      </w:r>
      <w:r w:rsidR="00E93C2D" w:rsidRPr="003D3F71">
        <w:rPr>
          <w:rFonts w:ascii="Times New Roman" w:hAnsi="Times New Roman" w:cs="Times New Roman"/>
          <w:sz w:val="24"/>
          <w:szCs w:val="24"/>
        </w:rPr>
        <w:t xml:space="preserve">  - come oggi accade </w:t>
      </w:r>
      <w:r w:rsidR="009E5AD3" w:rsidRPr="003D3F71">
        <w:rPr>
          <w:rFonts w:ascii="Times New Roman" w:hAnsi="Times New Roman" w:cs="Times New Roman"/>
          <w:sz w:val="24"/>
          <w:szCs w:val="24"/>
        </w:rPr>
        <w:t xml:space="preserve">in medicina </w:t>
      </w:r>
      <w:r w:rsidR="006F073C" w:rsidRPr="003D3F71">
        <w:rPr>
          <w:rFonts w:ascii="Times New Roman" w:hAnsi="Times New Roman" w:cs="Times New Roman"/>
          <w:sz w:val="24"/>
          <w:szCs w:val="24"/>
        </w:rPr>
        <w:t>-</w:t>
      </w:r>
      <w:r w:rsidR="00E93C2D" w:rsidRPr="003D3F71">
        <w:rPr>
          <w:rFonts w:ascii="Times New Roman" w:hAnsi="Times New Roman" w:cs="Times New Roman"/>
          <w:sz w:val="24"/>
          <w:szCs w:val="24"/>
        </w:rPr>
        <w:t xml:space="preserve"> patologie un tempo mortali</w:t>
      </w:r>
      <w:r w:rsidR="00FC3404" w:rsidRPr="003D3F71">
        <w:rPr>
          <w:rFonts w:ascii="Times New Roman" w:hAnsi="Times New Roman" w:cs="Times New Roman"/>
          <w:sz w:val="24"/>
          <w:szCs w:val="24"/>
        </w:rPr>
        <w:t xml:space="preserve">. </w:t>
      </w:r>
    </w:p>
    <w:p w14:paraId="6BA1B20B" w14:textId="6C7194A0" w:rsidR="00B874E4" w:rsidRPr="003D3F71" w:rsidRDefault="00B874E4" w:rsidP="000B7866">
      <w:pPr>
        <w:spacing w:line="480" w:lineRule="auto"/>
        <w:jc w:val="both"/>
        <w:rPr>
          <w:rFonts w:ascii="Times New Roman" w:hAnsi="Times New Roman" w:cs="Times New Roman"/>
          <w:sz w:val="24"/>
          <w:szCs w:val="24"/>
        </w:rPr>
      </w:pPr>
      <w:r w:rsidRPr="003D3F71">
        <w:rPr>
          <w:rFonts w:ascii="Times New Roman" w:hAnsi="Times New Roman" w:cs="Times New Roman"/>
          <w:sz w:val="24"/>
          <w:szCs w:val="24"/>
        </w:rPr>
        <w:t>Quale che sia questo nesso tra tenebra e luce nella evoluzione storica degli ordinamenti positivi, r</w:t>
      </w:r>
      <w:r w:rsidR="00E93C2D" w:rsidRPr="003D3F71">
        <w:rPr>
          <w:rFonts w:ascii="Times New Roman" w:hAnsi="Times New Roman" w:cs="Times New Roman"/>
          <w:sz w:val="24"/>
          <w:szCs w:val="24"/>
        </w:rPr>
        <w:t xml:space="preserve">esta tuttavia il fatto </w:t>
      </w:r>
      <w:r w:rsidRPr="003D3F71">
        <w:rPr>
          <w:rFonts w:ascii="Times New Roman" w:hAnsi="Times New Roman" w:cs="Times New Roman"/>
          <w:sz w:val="24"/>
          <w:szCs w:val="24"/>
        </w:rPr>
        <w:t>che l’opzione originaria per la tenebra, intesa quale opzione ermeneutica nella lettura del fenomeno giuridico, ha un peso decisivo.</w:t>
      </w:r>
      <w:r w:rsidR="000468E4" w:rsidRPr="003D3F71">
        <w:rPr>
          <w:rFonts w:ascii="Times New Roman" w:hAnsi="Times New Roman" w:cs="Times New Roman"/>
          <w:sz w:val="24"/>
          <w:szCs w:val="24"/>
        </w:rPr>
        <w:t xml:space="preserve"> I</w:t>
      </w:r>
      <w:r w:rsidR="00E93C2D" w:rsidRPr="003D3F71">
        <w:rPr>
          <w:rFonts w:ascii="Times New Roman" w:hAnsi="Times New Roman" w:cs="Times New Roman"/>
          <w:sz w:val="24"/>
          <w:szCs w:val="24"/>
        </w:rPr>
        <w:t>l</w:t>
      </w:r>
      <w:r w:rsidR="000468E4" w:rsidRPr="003D3F71">
        <w:rPr>
          <w:rFonts w:ascii="Times New Roman" w:hAnsi="Times New Roman" w:cs="Times New Roman"/>
          <w:sz w:val="24"/>
          <w:szCs w:val="24"/>
        </w:rPr>
        <w:t xml:space="preserve"> rischio </w:t>
      </w:r>
      <w:r w:rsidR="00E93C2D" w:rsidRPr="003D3F71">
        <w:rPr>
          <w:rFonts w:ascii="Times New Roman" w:hAnsi="Times New Roman" w:cs="Times New Roman"/>
          <w:sz w:val="24"/>
          <w:szCs w:val="24"/>
        </w:rPr>
        <w:t>consiste nel</w:t>
      </w:r>
      <w:r w:rsidR="000468E4" w:rsidRPr="003D3F71">
        <w:rPr>
          <w:rFonts w:ascii="Times New Roman" w:hAnsi="Times New Roman" w:cs="Times New Roman"/>
          <w:sz w:val="24"/>
          <w:szCs w:val="24"/>
        </w:rPr>
        <w:t xml:space="preserve"> porre la forza come </w:t>
      </w:r>
      <w:r w:rsidR="00E93C2D" w:rsidRPr="003D3F71">
        <w:rPr>
          <w:rFonts w:ascii="Times New Roman" w:hAnsi="Times New Roman" w:cs="Times New Roman"/>
          <w:sz w:val="24"/>
          <w:szCs w:val="24"/>
        </w:rPr>
        <w:t xml:space="preserve">una </w:t>
      </w:r>
      <w:r w:rsidR="000468E4" w:rsidRPr="003D3F71">
        <w:rPr>
          <w:rFonts w:ascii="Times New Roman" w:hAnsi="Times New Roman" w:cs="Times New Roman"/>
          <w:sz w:val="24"/>
          <w:szCs w:val="24"/>
        </w:rPr>
        <w:t>sorta di “a</w:t>
      </w:r>
      <w:r w:rsidR="00AE5BAA">
        <w:rPr>
          <w:rFonts w:ascii="Times New Roman" w:hAnsi="Times New Roman" w:cs="Times New Roman"/>
          <w:sz w:val="24"/>
          <w:szCs w:val="24"/>
        </w:rPr>
        <w:t xml:space="preserve">  </w:t>
      </w:r>
      <w:r w:rsidR="000468E4" w:rsidRPr="003D3F71">
        <w:rPr>
          <w:rFonts w:ascii="Times New Roman" w:hAnsi="Times New Roman" w:cs="Times New Roman"/>
          <w:sz w:val="24"/>
          <w:szCs w:val="24"/>
        </w:rPr>
        <w:t>priori” (magari surrettiziamente presentato come “a</w:t>
      </w:r>
      <w:r w:rsidR="00AE5BAA">
        <w:rPr>
          <w:rFonts w:ascii="Times New Roman" w:hAnsi="Times New Roman" w:cs="Times New Roman"/>
          <w:sz w:val="24"/>
          <w:szCs w:val="24"/>
        </w:rPr>
        <w:t xml:space="preserve"> </w:t>
      </w:r>
      <w:r w:rsidR="000468E4" w:rsidRPr="003D3F71">
        <w:rPr>
          <w:rFonts w:ascii="Times New Roman" w:hAnsi="Times New Roman" w:cs="Times New Roman"/>
          <w:sz w:val="24"/>
          <w:szCs w:val="24"/>
        </w:rPr>
        <w:t>posteriori”</w:t>
      </w:r>
      <w:r w:rsidR="00E93C2D" w:rsidRPr="003D3F71">
        <w:rPr>
          <w:rFonts w:ascii="Times New Roman" w:hAnsi="Times New Roman" w:cs="Times New Roman"/>
          <w:sz w:val="24"/>
          <w:szCs w:val="24"/>
        </w:rPr>
        <w:t xml:space="preserve"> sulla scorta di un preteso “realismo</w:t>
      </w:r>
      <w:r w:rsidR="00576247" w:rsidRPr="003D3F71">
        <w:rPr>
          <w:rFonts w:ascii="Times New Roman" w:hAnsi="Times New Roman" w:cs="Times New Roman"/>
          <w:sz w:val="24"/>
          <w:szCs w:val="24"/>
        </w:rPr>
        <w:t xml:space="preserve"> politico</w:t>
      </w:r>
      <w:r w:rsidR="00E93C2D" w:rsidRPr="003D3F71">
        <w:rPr>
          <w:rFonts w:ascii="Times New Roman" w:hAnsi="Times New Roman" w:cs="Times New Roman"/>
          <w:sz w:val="24"/>
          <w:szCs w:val="24"/>
        </w:rPr>
        <w:t>”)</w:t>
      </w:r>
      <w:r w:rsidR="000468E4" w:rsidRPr="003D3F71">
        <w:rPr>
          <w:rFonts w:ascii="Times New Roman" w:hAnsi="Times New Roman" w:cs="Times New Roman"/>
          <w:sz w:val="24"/>
          <w:szCs w:val="24"/>
        </w:rPr>
        <w:t xml:space="preserve"> di tutto il discorso storico e teoretico</w:t>
      </w:r>
      <w:r w:rsidR="00E93C2D" w:rsidRPr="003D3F71">
        <w:rPr>
          <w:rFonts w:ascii="Times New Roman" w:hAnsi="Times New Roman" w:cs="Times New Roman"/>
          <w:sz w:val="24"/>
          <w:szCs w:val="24"/>
        </w:rPr>
        <w:t>.</w:t>
      </w:r>
    </w:p>
    <w:p w14:paraId="7697CC0C" w14:textId="4A3B5EBB" w:rsidR="00B874E4" w:rsidRPr="003D3F71" w:rsidRDefault="00B874E4" w:rsidP="000B7866">
      <w:pPr>
        <w:spacing w:line="480" w:lineRule="auto"/>
        <w:jc w:val="both"/>
        <w:rPr>
          <w:rFonts w:ascii="Times New Roman" w:hAnsi="Times New Roman" w:cs="Times New Roman"/>
          <w:sz w:val="24"/>
          <w:szCs w:val="24"/>
        </w:rPr>
      </w:pPr>
      <w:r w:rsidRPr="003D3F71">
        <w:rPr>
          <w:rFonts w:ascii="Times New Roman" w:hAnsi="Times New Roman" w:cs="Times New Roman"/>
          <w:sz w:val="24"/>
          <w:szCs w:val="24"/>
        </w:rPr>
        <w:t>E’ possibile semplificare</w:t>
      </w:r>
      <w:r w:rsidR="00576247" w:rsidRPr="003D3F71">
        <w:rPr>
          <w:rFonts w:ascii="Times New Roman" w:hAnsi="Times New Roman" w:cs="Times New Roman"/>
          <w:sz w:val="24"/>
          <w:szCs w:val="24"/>
        </w:rPr>
        <w:t xml:space="preserve"> </w:t>
      </w:r>
      <w:r w:rsidRPr="003D3F71">
        <w:rPr>
          <w:rFonts w:ascii="Times New Roman" w:hAnsi="Times New Roman" w:cs="Times New Roman"/>
          <w:sz w:val="24"/>
          <w:szCs w:val="24"/>
        </w:rPr>
        <w:t>dicendo che questa scelta costituisce il frutto di un pessimismo di marca hobbesiana</w:t>
      </w:r>
      <w:r w:rsidRPr="003D3F71">
        <w:rPr>
          <w:rStyle w:val="Rimandonotaapidipagina"/>
          <w:rFonts w:ascii="Times New Roman" w:hAnsi="Times New Roman" w:cs="Times New Roman"/>
          <w:sz w:val="24"/>
          <w:szCs w:val="24"/>
        </w:rPr>
        <w:footnoteReference w:id="5"/>
      </w:r>
      <w:r w:rsidRPr="003D3F71">
        <w:rPr>
          <w:rFonts w:ascii="Times New Roman" w:hAnsi="Times New Roman" w:cs="Times New Roman"/>
          <w:sz w:val="24"/>
          <w:szCs w:val="24"/>
        </w:rPr>
        <w:t xml:space="preserve"> che a sua volta riflette l’eco di una linea teoretica  filosofico – politica (secondo la </w:t>
      </w:r>
      <w:r w:rsidRPr="003D3F71">
        <w:rPr>
          <w:rFonts w:ascii="Times New Roman" w:hAnsi="Times New Roman" w:cs="Times New Roman"/>
          <w:sz w:val="24"/>
          <w:szCs w:val="24"/>
        </w:rPr>
        <w:lastRenderedPageBreak/>
        <w:t>direttrice Platone – Agostino) contrapposta a quella aristotelica, con la quale l’A. polemizza neppure troppo velatamente.</w:t>
      </w:r>
    </w:p>
    <w:p w14:paraId="32209932" w14:textId="1FDF4A29" w:rsidR="000468E4" w:rsidRDefault="000468E4" w:rsidP="000B7866">
      <w:pPr>
        <w:spacing w:line="480" w:lineRule="auto"/>
        <w:jc w:val="both"/>
        <w:rPr>
          <w:rFonts w:ascii="Times New Roman" w:hAnsi="Times New Roman" w:cs="Times New Roman"/>
          <w:sz w:val="24"/>
          <w:szCs w:val="24"/>
        </w:rPr>
      </w:pPr>
      <w:r w:rsidRPr="003D3F71">
        <w:rPr>
          <w:rFonts w:ascii="Times New Roman" w:hAnsi="Times New Roman" w:cs="Times New Roman"/>
          <w:sz w:val="24"/>
          <w:szCs w:val="24"/>
        </w:rPr>
        <w:t xml:space="preserve">Ma come nella grande tradizione filosofica (a partire dal neoplatonismo, passando per i medievali) Platone convive sovente con Aristotele, così </w:t>
      </w:r>
      <w:r w:rsidR="00D8129D">
        <w:rPr>
          <w:rFonts w:ascii="Times New Roman" w:hAnsi="Times New Roman" w:cs="Times New Roman"/>
          <w:sz w:val="24"/>
          <w:szCs w:val="24"/>
        </w:rPr>
        <w:t>ben  potrebbe</w:t>
      </w:r>
      <w:r w:rsidRPr="003D3F71">
        <w:rPr>
          <w:rFonts w:ascii="Times New Roman" w:hAnsi="Times New Roman" w:cs="Times New Roman"/>
          <w:sz w:val="24"/>
          <w:szCs w:val="24"/>
        </w:rPr>
        <w:t xml:space="preserve"> essere anche nel nostro ambito di indagine</w:t>
      </w:r>
      <w:r w:rsidR="006F073C" w:rsidRPr="003D3F71">
        <w:rPr>
          <w:rFonts w:ascii="Times New Roman" w:hAnsi="Times New Roman" w:cs="Times New Roman"/>
          <w:sz w:val="24"/>
          <w:szCs w:val="24"/>
        </w:rPr>
        <w:t xml:space="preserve"> r</w:t>
      </w:r>
      <w:r w:rsidR="00E93C2D" w:rsidRPr="003D3F71">
        <w:rPr>
          <w:rFonts w:ascii="Times New Roman" w:hAnsi="Times New Roman" w:cs="Times New Roman"/>
          <w:sz w:val="24"/>
          <w:szCs w:val="24"/>
        </w:rPr>
        <w:t>iguardo a questa classica antitesi antropologica e filosofico-politica</w:t>
      </w:r>
      <w:r w:rsidR="00D8129D" w:rsidRPr="003D3F71">
        <w:rPr>
          <w:rStyle w:val="Rimandonotaapidipagina"/>
          <w:rFonts w:ascii="Times New Roman" w:hAnsi="Times New Roman" w:cs="Times New Roman"/>
          <w:sz w:val="24"/>
          <w:szCs w:val="24"/>
        </w:rPr>
        <w:footnoteReference w:id="6"/>
      </w:r>
      <w:r w:rsidR="00E93C2D" w:rsidRPr="003D3F71">
        <w:rPr>
          <w:rFonts w:ascii="Times New Roman" w:hAnsi="Times New Roman" w:cs="Times New Roman"/>
          <w:sz w:val="24"/>
          <w:szCs w:val="24"/>
        </w:rPr>
        <w:t>.</w:t>
      </w:r>
    </w:p>
    <w:p w14:paraId="68351777" w14:textId="7E42B032" w:rsidR="006704B3" w:rsidRPr="003D3F71" w:rsidRDefault="00D8129D" w:rsidP="000B78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Senza dimenticare, in termini generali, i fraintendimenti </w:t>
      </w:r>
      <w:r w:rsidR="001708A0">
        <w:rPr>
          <w:rFonts w:ascii="Times New Roman" w:hAnsi="Times New Roman" w:cs="Times New Roman"/>
          <w:sz w:val="24"/>
          <w:szCs w:val="24"/>
        </w:rPr>
        <w:t xml:space="preserve">(non rari) </w:t>
      </w:r>
      <w:r>
        <w:rPr>
          <w:rFonts w:ascii="Times New Roman" w:hAnsi="Times New Roman" w:cs="Times New Roman"/>
          <w:sz w:val="24"/>
          <w:szCs w:val="24"/>
        </w:rPr>
        <w:t>provocati dalla lettura dei pensatori dell’antichità (ma diremmo anche del medioevo) alla luce della razionalità cartesiana della modernità</w:t>
      </w:r>
      <w:r w:rsidR="001708A0">
        <w:rPr>
          <w:rStyle w:val="Rimandonotaapidipagina"/>
          <w:rFonts w:ascii="Times New Roman" w:hAnsi="Times New Roman" w:cs="Times New Roman"/>
          <w:sz w:val="24"/>
          <w:szCs w:val="24"/>
        </w:rPr>
        <w:footnoteReference w:id="7"/>
      </w:r>
      <w:r w:rsidR="001708A0">
        <w:rPr>
          <w:rFonts w:ascii="Times New Roman" w:hAnsi="Times New Roman" w:cs="Times New Roman"/>
          <w:sz w:val="24"/>
          <w:szCs w:val="24"/>
        </w:rPr>
        <w:t>.</w:t>
      </w:r>
    </w:p>
    <w:p w14:paraId="63185E1D" w14:textId="348D55BD" w:rsidR="006704B3" w:rsidRPr="003D3F71" w:rsidRDefault="000B7866" w:rsidP="000B7866">
      <w:pPr>
        <w:spacing w:line="480" w:lineRule="auto"/>
        <w:jc w:val="both"/>
        <w:rPr>
          <w:rFonts w:ascii="Times New Roman" w:hAnsi="Times New Roman" w:cs="Times New Roman"/>
          <w:sz w:val="24"/>
          <w:szCs w:val="24"/>
        </w:rPr>
      </w:pPr>
      <w:r>
        <w:rPr>
          <w:rFonts w:ascii="Times New Roman" w:hAnsi="Times New Roman" w:cs="Times New Roman"/>
          <w:sz w:val="24"/>
          <w:szCs w:val="24"/>
        </w:rPr>
        <w:t>3</w:t>
      </w:r>
      <w:r w:rsidR="000055A9" w:rsidRPr="003D3F71">
        <w:rPr>
          <w:rFonts w:ascii="Times New Roman" w:hAnsi="Times New Roman" w:cs="Times New Roman"/>
          <w:sz w:val="24"/>
          <w:szCs w:val="24"/>
        </w:rPr>
        <w:t>.</w:t>
      </w:r>
      <w:r w:rsidR="002D1D1A">
        <w:rPr>
          <w:rFonts w:ascii="Times New Roman" w:hAnsi="Times New Roman" w:cs="Times New Roman"/>
          <w:sz w:val="24"/>
          <w:szCs w:val="24"/>
        </w:rPr>
        <w:t xml:space="preserve"> </w:t>
      </w:r>
      <w:r w:rsidR="001345C4" w:rsidRPr="003D3F71">
        <w:rPr>
          <w:rFonts w:ascii="Times New Roman" w:hAnsi="Times New Roman" w:cs="Times New Roman"/>
          <w:sz w:val="24"/>
          <w:szCs w:val="24"/>
        </w:rPr>
        <w:t xml:space="preserve">L’A.  muove da un approccio  </w:t>
      </w:r>
      <w:r w:rsidR="006704B3" w:rsidRPr="003D3F71">
        <w:rPr>
          <w:rFonts w:ascii="Times New Roman" w:hAnsi="Times New Roman" w:cs="Times New Roman"/>
          <w:sz w:val="24"/>
          <w:szCs w:val="24"/>
        </w:rPr>
        <w:t>“archeo-</w:t>
      </w:r>
      <w:r w:rsidR="001345C4" w:rsidRPr="003D3F71">
        <w:rPr>
          <w:rFonts w:ascii="Times New Roman" w:hAnsi="Times New Roman" w:cs="Times New Roman"/>
          <w:sz w:val="24"/>
          <w:szCs w:val="24"/>
        </w:rPr>
        <w:t>genealogico</w:t>
      </w:r>
      <w:r w:rsidR="00067F71" w:rsidRPr="003D3F71">
        <w:rPr>
          <w:rFonts w:ascii="Times New Roman" w:hAnsi="Times New Roman" w:cs="Times New Roman"/>
          <w:sz w:val="24"/>
          <w:szCs w:val="24"/>
        </w:rPr>
        <w:t>”</w:t>
      </w:r>
      <w:r w:rsidR="00D8129D">
        <w:rPr>
          <w:rFonts w:ascii="Times New Roman" w:hAnsi="Times New Roman" w:cs="Times New Roman"/>
          <w:sz w:val="24"/>
          <w:szCs w:val="24"/>
        </w:rPr>
        <w:t xml:space="preserve">, </w:t>
      </w:r>
      <w:r w:rsidR="001345C4" w:rsidRPr="003D3F71">
        <w:rPr>
          <w:rFonts w:ascii="Times New Roman" w:hAnsi="Times New Roman" w:cs="Times New Roman"/>
          <w:sz w:val="24"/>
          <w:szCs w:val="24"/>
        </w:rPr>
        <w:t>tra storia e filologia, risalendo sino a</w:t>
      </w:r>
      <w:r w:rsidR="006704B3" w:rsidRPr="003D3F71">
        <w:rPr>
          <w:rFonts w:ascii="Times New Roman" w:hAnsi="Times New Roman" w:cs="Times New Roman"/>
          <w:sz w:val="24"/>
          <w:szCs w:val="24"/>
        </w:rPr>
        <w:t xml:space="preserve">lla teogonia esiodea e ai miti di fondazione delle città, nonché ai lemmi classici della storia della filosofia politica e giuridica. Si tratta di temi </w:t>
      </w:r>
      <w:r w:rsidR="00067F71" w:rsidRPr="003D3F71">
        <w:rPr>
          <w:rFonts w:ascii="Times New Roman" w:hAnsi="Times New Roman" w:cs="Times New Roman"/>
          <w:sz w:val="24"/>
          <w:szCs w:val="24"/>
        </w:rPr>
        <w:t>che sono stati</w:t>
      </w:r>
      <w:r w:rsidR="009E5AD3" w:rsidRPr="003D3F71">
        <w:rPr>
          <w:rFonts w:ascii="Times New Roman" w:hAnsi="Times New Roman" w:cs="Times New Roman"/>
          <w:sz w:val="24"/>
          <w:szCs w:val="24"/>
        </w:rPr>
        <w:t xml:space="preserve"> notoriamente</w:t>
      </w:r>
      <w:r w:rsidR="00067F71" w:rsidRPr="003D3F71">
        <w:rPr>
          <w:rFonts w:ascii="Times New Roman" w:hAnsi="Times New Roman" w:cs="Times New Roman"/>
          <w:sz w:val="24"/>
          <w:szCs w:val="24"/>
        </w:rPr>
        <w:t xml:space="preserve"> oggetto</w:t>
      </w:r>
      <w:r w:rsidR="006704B3" w:rsidRPr="003D3F71">
        <w:rPr>
          <w:rFonts w:ascii="Times New Roman" w:hAnsi="Times New Roman" w:cs="Times New Roman"/>
          <w:sz w:val="24"/>
          <w:szCs w:val="24"/>
        </w:rPr>
        <w:t xml:space="preserve"> di una  pressoché infinita serie di variazioni</w:t>
      </w:r>
      <w:r w:rsidR="00576247" w:rsidRPr="003D3F71">
        <w:rPr>
          <w:rFonts w:ascii="Times New Roman" w:hAnsi="Times New Roman" w:cs="Times New Roman"/>
          <w:sz w:val="24"/>
          <w:szCs w:val="24"/>
        </w:rPr>
        <w:t>.</w:t>
      </w:r>
    </w:p>
    <w:p w14:paraId="45187B9F" w14:textId="0522BEE6" w:rsidR="006704B3" w:rsidRPr="003D3F71" w:rsidRDefault="006704B3" w:rsidP="000B7866">
      <w:pPr>
        <w:spacing w:line="480" w:lineRule="auto"/>
        <w:jc w:val="both"/>
        <w:rPr>
          <w:rFonts w:ascii="Times New Roman" w:hAnsi="Times New Roman" w:cs="Times New Roman"/>
          <w:sz w:val="24"/>
          <w:szCs w:val="24"/>
        </w:rPr>
      </w:pPr>
      <w:r w:rsidRPr="003D3F71">
        <w:rPr>
          <w:rFonts w:ascii="Times New Roman" w:hAnsi="Times New Roman" w:cs="Times New Roman"/>
          <w:sz w:val="24"/>
          <w:szCs w:val="24"/>
        </w:rPr>
        <w:t>Un primo rilievo si impone.</w:t>
      </w:r>
    </w:p>
    <w:p w14:paraId="5B8D60E6" w14:textId="05D72431" w:rsidR="00CE12C1" w:rsidRPr="003D3F71" w:rsidRDefault="00E93C2D" w:rsidP="000B7866">
      <w:pPr>
        <w:spacing w:line="480" w:lineRule="auto"/>
        <w:jc w:val="both"/>
        <w:rPr>
          <w:rFonts w:ascii="Times New Roman" w:hAnsi="Times New Roman" w:cs="Times New Roman"/>
          <w:sz w:val="24"/>
          <w:szCs w:val="24"/>
        </w:rPr>
      </w:pPr>
      <w:r w:rsidRPr="003D3F71">
        <w:rPr>
          <w:rFonts w:ascii="Times New Roman" w:hAnsi="Times New Roman" w:cs="Times New Roman"/>
          <w:sz w:val="24"/>
          <w:szCs w:val="24"/>
        </w:rPr>
        <w:t>La dichiarata opzione metodologica</w:t>
      </w:r>
      <w:r w:rsidR="00FC3404" w:rsidRPr="003D3F71">
        <w:rPr>
          <w:rFonts w:ascii="Times New Roman" w:hAnsi="Times New Roman" w:cs="Times New Roman"/>
          <w:sz w:val="24"/>
          <w:szCs w:val="24"/>
        </w:rPr>
        <w:t>,</w:t>
      </w:r>
      <w:r w:rsidRPr="003D3F71">
        <w:rPr>
          <w:rFonts w:ascii="Times New Roman" w:hAnsi="Times New Roman" w:cs="Times New Roman"/>
          <w:sz w:val="24"/>
          <w:szCs w:val="24"/>
        </w:rPr>
        <w:t xml:space="preserve"> di cui abbiamo detto al punto precedente</w:t>
      </w:r>
      <w:r w:rsidR="00FC3404" w:rsidRPr="003D3F71">
        <w:rPr>
          <w:rFonts w:ascii="Times New Roman" w:hAnsi="Times New Roman" w:cs="Times New Roman"/>
          <w:sz w:val="24"/>
          <w:szCs w:val="24"/>
        </w:rPr>
        <w:t>,</w:t>
      </w:r>
      <w:r w:rsidRPr="003D3F71">
        <w:rPr>
          <w:rFonts w:ascii="Times New Roman" w:hAnsi="Times New Roman" w:cs="Times New Roman"/>
          <w:sz w:val="24"/>
          <w:szCs w:val="24"/>
        </w:rPr>
        <w:t xml:space="preserve"> conduce </w:t>
      </w:r>
      <w:r w:rsidR="009E5AD3" w:rsidRPr="003D3F71">
        <w:rPr>
          <w:rFonts w:ascii="Times New Roman" w:hAnsi="Times New Roman" w:cs="Times New Roman"/>
          <w:sz w:val="24"/>
          <w:szCs w:val="24"/>
        </w:rPr>
        <w:t xml:space="preserve">l’A. </w:t>
      </w:r>
      <w:r w:rsidRPr="003D3F71">
        <w:rPr>
          <w:rFonts w:ascii="Times New Roman" w:hAnsi="Times New Roman" w:cs="Times New Roman"/>
          <w:sz w:val="24"/>
          <w:szCs w:val="24"/>
        </w:rPr>
        <w:t>a un serrato confronto</w:t>
      </w:r>
      <w:r w:rsidR="00576247" w:rsidRPr="003D3F71">
        <w:rPr>
          <w:rFonts w:ascii="Times New Roman" w:hAnsi="Times New Roman" w:cs="Times New Roman"/>
          <w:sz w:val="24"/>
          <w:szCs w:val="24"/>
        </w:rPr>
        <w:t xml:space="preserve"> con la tradizione lessicale</w:t>
      </w:r>
      <w:r w:rsidR="00FC3404" w:rsidRPr="003D3F71">
        <w:rPr>
          <w:rFonts w:ascii="Times New Roman" w:hAnsi="Times New Roman" w:cs="Times New Roman"/>
          <w:sz w:val="24"/>
          <w:szCs w:val="24"/>
        </w:rPr>
        <w:t xml:space="preserve">, </w:t>
      </w:r>
      <w:r w:rsidRPr="003D3F71">
        <w:rPr>
          <w:rFonts w:ascii="Times New Roman" w:hAnsi="Times New Roman" w:cs="Times New Roman"/>
          <w:sz w:val="24"/>
          <w:szCs w:val="24"/>
        </w:rPr>
        <w:t xml:space="preserve"> che </w:t>
      </w:r>
      <w:r w:rsidR="00FC3404" w:rsidRPr="003D3F71">
        <w:rPr>
          <w:rFonts w:ascii="Times New Roman" w:hAnsi="Times New Roman" w:cs="Times New Roman"/>
          <w:sz w:val="24"/>
          <w:szCs w:val="24"/>
        </w:rPr>
        <w:t xml:space="preserve">tuttavia risulta </w:t>
      </w:r>
      <w:r w:rsidR="00CE12C1" w:rsidRPr="003D3F71">
        <w:rPr>
          <w:rFonts w:ascii="Times New Roman" w:hAnsi="Times New Roman" w:cs="Times New Roman"/>
          <w:sz w:val="24"/>
          <w:szCs w:val="24"/>
        </w:rPr>
        <w:t xml:space="preserve">abbastanza </w:t>
      </w:r>
      <w:r w:rsidRPr="003D3F71">
        <w:rPr>
          <w:rFonts w:ascii="Times New Roman" w:hAnsi="Times New Roman" w:cs="Times New Roman"/>
          <w:sz w:val="24"/>
          <w:szCs w:val="24"/>
        </w:rPr>
        <w:t>selettiv</w:t>
      </w:r>
      <w:r w:rsidR="00FC3404" w:rsidRPr="003D3F71">
        <w:rPr>
          <w:rFonts w:ascii="Times New Roman" w:hAnsi="Times New Roman" w:cs="Times New Roman"/>
          <w:sz w:val="24"/>
          <w:szCs w:val="24"/>
        </w:rPr>
        <w:t>o</w:t>
      </w:r>
      <w:r w:rsidR="00693C71" w:rsidRPr="003D3F71">
        <w:rPr>
          <w:rFonts w:ascii="Times New Roman" w:hAnsi="Times New Roman" w:cs="Times New Roman"/>
          <w:sz w:val="24"/>
          <w:szCs w:val="24"/>
        </w:rPr>
        <w:t>:</w:t>
      </w:r>
    </w:p>
    <w:p w14:paraId="60A17457" w14:textId="67D1752A" w:rsidR="00CE12C1" w:rsidRPr="003D3F71" w:rsidRDefault="00CE12C1" w:rsidP="000B7866">
      <w:pPr>
        <w:spacing w:line="480" w:lineRule="auto"/>
        <w:jc w:val="both"/>
        <w:rPr>
          <w:rFonts w:ascii="Times New Roman" w:hAnsi="Times New Roman" w:cs="Times New Roman"/>
          <w:sz w:val="24"/>
          <w:szCs w:val="24"/>
        </w:rPr>
      </w:pPr>
      <w:r w:rsidRPr="003D3F71">
        <w:rPr>
          <w:rFonts w:ascii="Times New Roman" w:hAnsi="Times New Roman" w:cs="Times New Roman"/>
          <w:sz w:val="24"/>
          <w:szCs w:val="24"/>
        </w:rPr>
        <w:t>“Il passaggio dal disordine all’ordine è consentito dalla violenza (estrema, poiché violenza del figlio contro il padre: di Crono contro Urano; di Zeus contro Crono), ma l’ordine così raggiunto la trascende e se ne allontana grazie al diritto: è il diritto a segnare e consentire il passaggio dal mondo della violenza (βία) a quello del potere (κράτος) e – anzi – possiamo parlare di potere proprio perché il κράτος è violenza imbrigliata, violenza qualificata, violenza legittimata dal diritto che si fa istituzione e in quanto tale cessa di essere violenza”</w:t>
      </w:r>
      <w:r w:rsidR="00693C71" w:rsidRPr="003D3F71">
        <w:rPr>
          <w:rStyle w:val="Rimandonotaapidipagina"/>
          <w:rFonts w:ascii="Times New Roman" w:hAnsi="Times New Roman" w:cs="Times New Roman"/>
          <w:sz w:val="24"/>
          <w:szCs w:val="24"/>
        </w:rPr>
        <w:footnoteReference w:id="8"/>
      </w:r>
      <w:r w:rsidRPr="003D3F71">
        <w:rPr>
          <w:rFonts w:ascii="Times New Roman" w:hAnsi="Times New Roman" w:cs="Times New Roman"/>
          <w:sz w:val="24"/>
          <w:szCs w:val="24"/>
        </w:rPr>
        <w:t>.</w:t>
      </w:r>
    </w:p>
    <w:p w14:paraId="6F2A3432" w14:textId="397BBD36" w:rsidR="00D06863" w:rsidRDefault="004622B9" w:rsidP="000B7866">
      <w:pPr>
        <w:spacing w:line="480" w:lineRule="auto"/>
        <w:jc w:val="both"/>
        <w:rPr>
          <w:rFonts w:ascii="Times New Roman" w:hAnsi="Times New Roman" w:cs="Times New Roman"/>
          <w:sz w:val="24"/>
          <w:szCs w:val="24"/>
        </w:rPr>
      </w:pPr>
      <w:r w:rsidRPr="003D3F71">
        <w:rPr>
          <w:rFonts w:ascii="Times New Roman" w:hAnsi="Times New Roman" w:cs="Times New Roman"/>
          <w:sz w:val="24"/>
          <w:szCs w:val="24"/>
        </w:rPr>
        <w:lastRenderedPageBreak/>
        <w:t>I</w:t>
      </w:r>
      <w:r w:rsidR="003B3C15">
        <w:rPr>
          <w:rFonts w:ascii="Times New Roman" w:hAnsi="Times New Roman" w:cs="Times New Roman"/>
          <w:sz w:val="24"/>
          <w:szCs w:val="24"/>
        </w:rPr>
        <w:t>l</w:t>
      </w:r>
      <w:r w:rsidRPr="003B3C15">
        <w:rPr>
          <w:rFonts w:ascii="Times New Roman" w:hAnsi="Times New Roman" w:cs="Times New Roman"/>
          <w:i/>
          <w:iCs/>
          <w:sz w:val="24"/>
          <w:szCs w:val="24"/>
        </w:rPr>
        <w:t xml:space="preserve"> kratos </w:t>
      </w:r>
      <w:r w:rsidRPr="003D3F71">
        <w:rPr>
          <w:rFonts w:ascii="Times New Roman" w:hAnsi="Times New Roman" w:cs="Times New Roman"/>
          <w:sz w:val="24"/>
          <w:szCs w:val="24"/>
        </w:rPr>
        <w:t>come fondamento d</w:t>
      </w:r>
      <w:r w:rsidR="003D3F71">
        <w:rPr>
          <w:rFonts w:ascii="Times New Roman" w:hAnsi="Times New Roman" w:cs="Times New Roman"/>
          <w:sz w:val="24"/>
          <w:szCs w:val="24"/>
        </w:rPr>
        <w:t>e</w:t>
      </w:r>
      <w:r w:rsidRPr="003D3F71">
        <w:rPr>
          <w:rFonts w:ascii="Times New Roman" w:hAnsi="Times New Roman" w:cs="Times New Roman"/>
          <w:sz w:val="24"/>
          <w:szCs w:val="24"/>
        </w:rPr>
        <w:t>l potere</w:t>
      </w:r>
      <w:r w:rsidR="003D3F71">
        <w:rPr>
          <w:rFonts w:ascii="Times New Roman" w:hAnsi="Times New Roman" w:cs="Times New Roman"/>
          <w:sz w:val="24"/>
          <w:szCs w:val="24"/>
        </w:rPr>
        <w:t xml:space="preserve"> e quindi (</w:t>
      </w:r>
      <w:r w:rsidR="009B7499">
        <w:rPr>
          <w:rFonts w:ascii="Times New Roman" w:hAnsi="Times New Roman" w:cs="Times New Roman"/>
          <w:sz w:val="24"/>
          <w:szCs w:val="24"/>
        </w:rPr>
        <w:t xml:space="preserve">più o meno </w:t>
      </w:r>
      <w:r w:rsidR="003D3F71">
        <w:rPr>
          <w:rFonts w:ascii="Times New Roman" w:hAnsi="Times New Roman" w:cs="Times New Roman"/>
          <w:sz w:val="24"/>
          <w:szCs w:val="24"/>
        </w:rPr>
        <w:t>mediatamente) del diritto</w:t>
      </w:r>
      <w:r w:rsidR="009B7499">
        <w:rPr>
          <w:rFonts w:ascii="Times New Roman" w:hAnsi="Times New Roman" w:cs="Times New Roman"/>
          <w:sz w:val="24"/>
          <w:szCs w:val="24"/>
        </w:rPr>
        <w:t xml:space="preserve">, </w:t>
      </w:r>
      <w:r w:rsidR="003D3F71">
        <w:rPr>
          <w:rFonts w:ascii="Times New Roman" w:hAnsi="Times New Roman" w:cs="Times New Roman"/>
          <w:sz w:val="24"/>
          <w:szCs w:val="24"/>
        </w:rPr>
        <w:t>da Trasimaco a Hobbes</w:t>
      </w:r>
      <w:r w:rsidR="009B7499">
        <w:rPr>
          <w:rFonts w:ascii="Times New Roman" w:hAnsi="Times New Roman" w:cs="Times New Roman"/>
          <w:sz w:val="24"/>
          <w:szCs w:val="24"/>
        </w:rPr>
        <w:t>,</w:t>
      </w:r>
      <w:r w:rsidR="003D3F71">
        <w:rPr>
          <w:rFonts w:ascii="Times New Roman" w:hAnsi="Times New Roman" w:cs="Times New Roman"/>
          <w:sz w:val="24"/>
          <w:szCs w:val="24"/>
        </w:rPr>
        <w:t xml:space="preserve"> </w:t>
      </w:r>
      <w:r w:rsidR="005C0FAB">
        <w:rPr>
          <w:rFonts w:ascii="Times New Roman" w:hAnsi="Times New Roman" w:cs="Times New Roman"/>
          <w:sz w:val="24"/>
          <w:szCs w:val="24"/>
        </w:rPr>
        <w:t>sfocia</w:t>
      </w:r>
      <w:r w:rsidR="003D3F71">
        <w:rPr>
          <w:rFonts w:ascii="Times New Roman" w:hAnsi="Times New Roman" w:cs="Times New Roman"/>
          <w:sz w:val="24"/>
          <w:szCs w:val="24"/>
        </w:rPr>
        <w:t xml:space="preserve"> p</w:t>
      </w:r>
      <w:r w:rsidR="003B3C15">
        <w:rPr>
          <w:rFonts w:ascii="Times New Roman" w:hAnsi="Times New Roman" w:cs="Times New Roman"/>
          <w:sz w:val="24"/>
          <w:szCs w:val="24"/>
        </w:rPr>
        <w:t>ur</w:t>
      </w:r>
      <w:r w:rsidR="003D3F71">
        <w:rPr>
          <w:rFonts w:ascii="Times New Roman" w:hAnsi="Times New Roman" w:cs="Times New Roman"/>
          <w:sz w:val="24"/>
          <w:szCs w:val="24"/>
        </w:rPr>
        <w:t>amente e semplicemente nel</w:t>
      </w:r>
      <w:r w:rsidR="003B3C15">
        <w:rPr>
          <w:rFonts w:ascii="Times New Roman" w:hAnsi="Times New Roman" w:cs="Times New Roman"/>
          <w:sz w:val="24"/>
          <w:szCs w:val="24"/>
        </w:rPr>
        <w:t xml:space="preserve">la sterile dialettica </w:t>
      </w:r>
      <w:r w:rsidR="003D3F71">
        <w:rPr>
          <w:rFonts w:ascii="Times New Roman" w:hAnsi="Times New Roman" w:cs="Times New Roman"/>
          <w:sz w:val="24"/>
          <w:szCs w:val="24"/>
        </w:rPr>
        <w:t xml:space="preserve"> tra l’autofondazione della sovranità popolare</w:t>
      </w:r>
      <w:r w:rsidR="003B3C15">
        <w:rPr>
          <w:rFonts w:ascii="Times New Roman" w:hAnsi="Times New Roman" w:cs="Times New Roman"/>
          <w:sz w:val="24"/>
          <w:szCs w:val="24"/>
        </w:rPr>
        <w:t xml:space="preserve"> (nella linea rousseauiana radicalizzata da Laclau, Mouffe, Balibar)</w:t>
      </w:r>
      <w:r w:rsidR="003D3F71">
        <w:rPr>
          <w:rFonts w:ascii="Times New Roman" w:hAnsi="Times New Roman" w:cs="Times New Roman"/>
          <w:sz w:val="24"/>
          <w:szCs w:val="24"/>
        </w:rPr>
        <w:t xml:space="preserve"> e il postfondazionalismo critico che intende destituire il potere</w:t>
      </w:r>
      <w:r w:rsidR="003B3C15">
        <w:rPr>
          <w:rFonts w:ascii="Times New Roman" w:hAnsi="Times New Roman" w:cs="Times New Roman"/>
          <w:sz w:val="24"/>
          <w:szCs w:val="24"/>
        </w:rPr>
        <w:t xml:space="preserve"> (</w:t>
      </w:r>
      <w:r w:rsidR="00E0757A">
        <w:rPr>
          <w:rFonts w:ascii="Times New Roman" w:hAnsi="Times New Roman" w:cs="Times New Roman"/>
          <w:sz w:val="24"/>
          <w:szCs w:val="24"/>
        </w:rPr>
        <w:t xml:space="preserve">così </w:t>
      </w:r>
      <w:r w:rsidR="003B3C15">
        <w:rPr>
          <w:rFonts w:ascii="Times New Roman" w:hAnsi="Times New Roman" w:cs="Times New Roman"/>
          <w:sz w:val="24"/>
          <w:szCs w:val="24"/>
        </w:rPr>
        <w:t>Agamben sulla scia di Benjamin)</w:t>
      </w:r>
      <w:r w:rsidR="003B3C15">
        <w:rPr>
          <w:rStyle w:val="Rimandonotaapidipagina"/>
          <w:rFonts w:ascii="Times New Roman" w:hAnsi="Times New Roman" w:cs="Times New Roman"/>
          <w:sz w:val="24"/>
          <w:szCs w:val="24"/>
        </w:rPr>
        <w:footnoteReference w:id="9"/>
      </w:r>
      <w:r w:rsidR="003B3C15">
        <w:rPr>
          <w:rFonts w:ascii="Times New Roman" w:hAnsi="Times New Roman" w:cs="Times New Roman"/>
          <w:sz w:val="24"/>
          <w:szCs w:val="24"/>
        </w:rPr>
        <w:t xml:space="preserve"> smascherando la  </w:t>
      </w:r>
      <w:r w:rsidR="009B7499">
        <w:rPr>
          <w:rFonts w:ascii="Times New Roman" w:hAnsi="Times New Roman" w:cs="Times New Roman"/>
          <w:sz w:val="24"/>
          <w:szCs w:val="24"/>
        </w:rPr>
        <w:t xml:space="preserve"> (pretesa) </w:t>
      </w:r>
      <w:r w:rsidR="003B3C15">
        <w:rPr>
          <w:rFonts w:ascii="Times New Roman" w:hAnsi="Times New Roman" w:cs="Times New Roman"/>
          <w:sz w:val="24"/>
          <w:szCs w:val="24"/>
        </w:rPr>
        <w:t>violenza dell’atto fondativo</w:t>
      </w:r>
      <w:r w:rsidR="00D06863">
        <w:rPr>
          <w:rFonts w:ascii="Times New Roman" w:hAnsi="Times New Roman" w:cs="Times New Roman"/>
          <w:sz w:val="24"/>
          <w:szCs w:val="24"/>
        </w:rPr>
        <w:t>.</w:t>
      </w:r>
    </w:p>
    <w:p w14:paraId="4756E7AD" w14:textId="3F7C48DC" w:rsidR="000D6EB9" w:rsidRDefault="00D06863" w:rsidP="000B7866">
      <w:pPr>
        <w:spacing w:line="480" w:lineRule="auto"/>
        <w:jc w:val="both"/>
        <w:rPr>
          <w:rFonts w:ascii="Times New Roman" w:hAnsi="Times New Roman" w:cs="Times New Roman"/>
          <w:sz w:val="24"/>
          <w:szCs w:val="24"/>
        </w:rPr>
      </w:pPr>
      <w:r>
        <w:rPr>
          <w:rFonts w:ascii="Times New Roman" w:hAnsi="Times New Roman" w:cs="Times New Roman"/>
          <w:sz w:val="24"/>
          <w:szCs w:val="24"/>
        </w:rPr>
        <w:t>Benveniste nella sua nota analisi del lemma</w:t>
      </w:r>
      <w:r w:rsidR="009B7499">
        <w:rPr>
          <w:rFonts w:ascii="Times New Roman" w:hAnsi="Times New Roman" w:cs="Times New Roman"/>
          <w:sz w:val="24"/>
          <w:szCs w:val="24"/>
        </w:rPr>
        <w:t xml:space="preserve"> </w:t>
      </w:r>
      <w:r w:rsidR="009B7499">
        <w:rPr>
          <w:rFonts w:ascii="Times New Roman" w:hAnsi="Times New Roman" w:cs="Times New Roman"/>
          <w:i/>
          <w:iCs/>
          <w:sz w:val="24"/>
          <w:szCs w:val="24"/>
        </w:rPr>
        <w:t>kratos</w:t>
      </w:r>
      <w:r>
        <w:rPr>
          <w:rStyle w:val="Rimandonotaapidipagina"/>
          <w:rFonts w:ascii="Times New Roman" w:hAnsi="Times New Roman" w:cs="Times New Roman"/>
          <w:sz w:val="24"/>
          <w:szCs w:val="24"/>
        </w:rPr>
        <w:footnoteReference w:id="10"/>
      </w:r>
      <w:r>
        <w:rPr>
          <w:rFonts w:ascii="Times New Roman" w:hAnsi="Times New Roman" w:cs="Times New Roman"/>
          <w:sz w:val="24"/>
          <w:szCs w:val="24"/>
        </w:rPr>
        <w:t xml:space="preserve"> lo associa alla regalità</w:t>
      </w:r>
      <w:r w:rsidR="009B7499">
        <w:rPr>
          <w:rFonts w:ascii="Times New Roman" w:hAnsi="Times New Roman" w:cs="Times New Roman"/>
          <w:sz w:val="24"/>
          <w:szCs w:val="24"/>
        </w:rPr>
        <w:t>,</w:t>
      </w:r>
      <w:r>
        <w:rPr>
          <w:rFonts w:ascii="Times New Roman" w:hAnsi="Times New Roman" w:cs="Times New Roman"/>
          <w:sz w:val="24"/>
          <w:szCs w:val="24"/>
        </w:rPr>
        <w:t xml:space="preserve"> avvertendo che esso non va inteso semplicemente quale “forza” o “potenza”</w:t>
      </w:r>
      <w:r w:rsidR="00B35090">
        <w:rPr>
          <w:rFonts w:ascii="Times New Roman" w:hAnsi="Times New Roman" w:cs="Times New Roman"/>
          <w:sz w:val="24"/>
          <w:szCs w:val="24"/>
        </w:rPr>
        <w:t xml:space="preserve"> e individua</w:t>
      </w:r>
      <w:r w:rsidR="009B7499">
        <w:rPr>
          <w:rFonts w:ascii="Times New Roman" w:hAnsi="Times New Roman" w:cs="Times New Roman"/>
          <w:sz w:val="24"/>
          <w:szCs w:val="24"/>
        </w:rPr>
        <w:t xml:space="preserve">ndo </w:t>
      </w:r>
      <w:r w:rsidR="00B35090">
        <w:rPr>
          <w:rFonts w:ascii="Times New Roman" w:hAnsi="Times New Roman" w:cs="Times New Roman"/>
          <w:sz w:val="24"/>
          <w:szCs w:val="24"/>
        </w:rPr>
        <w:t>due insiemi lessicali, il primo dei quali “si articola intorno alla nozione fisica o morale di ‘preminenza’, di ‘vantaggio’ in battaglia o nell’assemblea” ossia “la nozione astratta di  ‘preminenza’, ‘dominio’</w:t>
      </w:r>
      <w:r w:rsidR="000D6EB9">
        <w:rPr>
          <w:rFonts w:ascii="Times New Roman" w:hAnsi="Times New Roman" w:cs="Times New Roman"/>
          <w:sz w:val="24"/>
          <w:szCs w:val="24"/>
        </w:rPr>
        <w:t xml:space="preserve">, mentre il secondo indica la qualità fisica di ‘duro’ </w:t>
      </w:r>
      <w:r w:rsidR="00E551B9">
        <w:rPr>
          <w:rStyle w:val="Rimandonotaapidipagina"/>
          <w:rFonts w:ascii="Times New Roman" w:hAnsi="Times New Roman" w:cs="Times New Roman"/>
          <w:sz w:val="24"/>
          <w:szCs w:val="24"/>
        </w:rPr>
        <w:footnoteReference w:id="11"/>
      </w:r>
      <w:r w:rsidR="000D6EB9">
        <w:rPr>
          <w:rFonts w:ascii="Times New Roman" w:hAnsi="Times New Roman" w:cs="Times New Roman"/>
          <w:sz w:val="24"/>
          <w:szCs w:val="24"/>
        </w:rPr>
        <w:t>. Il primo significato include, già</w:t>
      </w:r>
      <w:r w:rsidR="00E551B9">
        <w:rPr>
          <w:rFonts w:ascii="Times New Roman" w:hAnsi="Times New Roman" w:cs="Times New Roman"/>
          <w:sz w:val="24"/>
          <w:szCs w:val="24"/>
        </w:rPr>
        <w:t xml:space="preserve"> a partire </w:t>
      </w:r>
      <w:r w:rsidR="000D6EB9">
        <w:rPr>
          <w:rFonts w:ascii="Times New Roman" w:hAnsi="Times New Roman" w:cs="Times New Roman"/>
          <w:sz w:val="24"/>
          <w:szCs w:val="24"/>
        </w:rPr>
        <w:t xml:space="preserve"> da Omero, il significato dell’esercizio di un potere </w:t>
      </w:r>
      <w:r w:rsidR="00E551B9">
        <w:rPr>
          <w:rStyle w:val="Rimandonotaapidipagina"/>
          <w:rFonts w:ascii="Times New Roman" w:hAnsi="Times New Roman" w:cs="Times New Roman"/>
          <w:sz w:val="24"/>
          <w:szCs w:val="24"/>
        </w:rPr>
        <w:footnoteReference w:id="12"/>
      </w:r>
      <w:r w:rsidR="000D6EB9">
        <w:rPr>
          <w:rFonts w:ascii="Times New Roman" w:hAnsi="Times New Roman" w:cs="Times New Roman"/>
          <w:sz w:val="24"/>
          <w:szCs w:val="24"/>
        </w:rPr>
        <w:t>.</w:t>
      </w:r>
    </w:p>
    <w:p w14:paraId="5589A1EC" w14:textId="4AE09143" w:rsidR="00D06863" w:rsidRDefault="000D6EB9" w:rsidP="000B78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 si è </w:t>
      </w:r>
      <w:r w:rsidR="00021760">
        <w:rPr>
          <w:rFonts w:ascii="Times New Roman" w:hAnsi="Times New Roman" w:cs="Times New Roman"/>
          <w:sz w:val="24"/>
          <w:szCs w:val="24"/>
        </w:rPr>
        <w:t xml:space="preserve">esattamente </w:t>
      </w:r>
      <w:r>
        <w:rPr>
          <w:rFonts w:ascii="Times New Roman" w:hAnsi="Times New Roman" w:cs="Times New Roman"/>
          <w:sz w:val="24"/>
          <w:szCs w:val="24"/>
        </w:rPr>
        <w:t xml:space="preserve">rilevato che in Benveniste manca un confronto </w:t>
      </w:r>
      <w:r w:rsidR="005E2825">
        <w:rPr>
          <w:rFonts w:ascii="Times New Roman" w:hAnsi="Times New Roman" w:cs="Times New Roman"/>
          <w:sz w:val="24"/>
          <w:szCs w:val="24"/>
        </w:rPr>
        <w:t xml:space="preserve"> di </w:t>
      </w:r>
      <w:r w:rsidR="005E2825" w:rsidRPr="00C82151">
        <w:rPr>
          <w:rFonts w:ascii="Times New Roman" w:hAnsi="Times New Roman" w:cs="Times New Roman"/>
          <w:i/>
          <w:iCs/>
          <w:sz w:val="24"/>
          <w:szCs w:val="24"/>
        </w:rPr>
        <w:t>kratos/kratein</w:t>
      </w:r>
      <w:r w:rsidR="005E2825">
        <w:rPr>
          <w:rFonts w:ascii="Times New Roman" w:hAnsi="Times New Roman" w:cs="Times New Roman"/>
          <w:sz w:val="24"/>
          <w:szCs w:val="24"/>
        </w:rPr>
        <w:t xml:space="preserve">  con </w:t>
      </w:r>
      <w:r w:rsidRPr="00C82151">
        <w:rPr>
          <w:rFonts w:ascii="Times New Roman" w:hAnsi="Times New Roman" w:cs="Times New Roman"/>
          <w:i/>
          <w:iCs/>
          <w:sz w:val="24"/>
          <w:szCs w:val="24"/>
        </w:rPr>
        <w:t>arché</w:t>
      </w:r>
      <w:r w:rsidR="005E2825" w:rsidRPr="00C82151">
        <w:rPr>
          <w:rFonts w:ascii="Times New Roman" w:hAnsi="Times New Roman" w:cs="Times New Roman"/>
          <w:i/>
          <w:iCs/>
          <w:sz w:val="24"/>
          <w:szCs w:val="24"/>
        </w:rPr>
        <w:t>/archein</w:t>
      </w:r>
      <w:r>
        <w:rPr>
          <w:rFonts w:ascii="Times New Roman" w:hAnsi="Times New Roman" w:cs="Times New Roman"/>
          <w:sz w:val="24"/>
          <w:szCs w:val="24"/>
        </w:rPr>
        <w:t>. In realtà si tratta di termini che, “pur rinviando entrambi all’esercizio del potere… sono ben distint</w:t>
      </w:r>
      <w:r w:rsidR="005E2825">
        <w:rPr>
          <w:rFonts w:ascii="Times New Roman" w:hAnsi="Times New Roman" w:cs="Times New Roman"/>
          <w:sz w:val="24"/>
          <w:szCs w:val="24"/>
        </w:rPr>
        <w:t>i”.</w:t>
      </w:r>
      <w:r w:rsidR="009B093C">
        <w:rPr>
          <w:rFonts w:ascii="Times New Roman" w:hAnsi="Times New Roman" w:cs="Times New Roman"/>
          <w:i/>
          <w:iCs/>
          <w:sz w:val="24"/>
          <w:szCs w:val="24"/>
        </w:rPr>
        <w:t xml:space="preserve"> Archein </w:t>
      </w:r>
      <w:r w:rsidR="009B093C">
        <w:rPr>
          <w:rFonts w:ascii="Times New Roman" w:hAnsi="Times New Roman" w:cs="Times New Roman"/>
          <w:sz w:val="24"/>
          <w:szCs w:val="24"/>
        </w:rPr>
        <w:t>s</w:t>
      </w:r>
      <w:r w:rsidR="005E2825">
        <w:rPr>
          <w:rFonts w:ascii="Times New Roman" w:hAnsi="Times New Roman" w:cs="Times New Roman"/>
          <w:sz w:val="24"/>
          <w:szCs w:val="24"/>
        </w:rPr>
        <w:t>i riferisce “a chi comanda dall’inizio”</w:t>
      </w:r>
      <w:r w:rsidR="009B093C">
        <w:rPr>
          <w:rFonts w:ascii="Times New Roman" w:hAnsi="Times New Roman" w:cs="Times New Roman"/>
          <w:sz w:val="24"/>
          <w:szCs w:val="24"/>
        </w:rPr>
        <w:t xml:space="preserve">; </w:t>
      </w:r>
      <w:r w:rsidR="009B093C" w:rsidRPr="009B093C">
        <w:rPr>
          <w:rFonts w:ascii="Times New Roman" w:hAnsi="Times New Roman" w:cs="Times New Roman"/>
          <w:i/>
          <w:iCs/>
          <w:sz w:val="24"/>
          <w:szCs w:val="24"/>
        </w:rPr>
        <w:t>kratein</w:t>
      </w:r>
      <w:r w:rsidR="005E2825">
        <w:rPr>
          <w:rFonts w:ascii="Times New Roman" w:hAnsi="Times New Roman" w:cs="Times New Roman"/>
          <w:sz w:val="24"/>
          <w:szCs w:val="24"/>
        </w:rPr>
        <w:t xml:space="preserve"> “al dominare, vincere, impossessarsi, e sottintende chi ha avuto la meglio, ha prevalso”. Si tratterebbe </w:t>
      </w:r>
      <w:r w:rsidR="009B093C">
        <w:rPr>
          <w:rFonts w:ascii="Times New Roman" w:hAnsi="Times New Roman" w:cs="Times New Roman"/>
          <w:sz w:val="24"/>
          <w:szCs w:val="24"/>
        </w:rPr>
        <w:t>in quest’ultimo</w:t>
      </w:r>
      <w:r w:rsidR="005E2825">
        <w:rPr>
          <w:rFonts w:ascii="Times New Roman" w:hAnsi="Times New Roman" w:cs="Times New Roman"/>
          <w:sz w:val="24"/>
          <w:szCs w:val="24"/>
        </w:rPr>
        <w:t xml:space="preserve"> caso “di un potere che non è fondato, stabilito, che non ha ratifica ufficiale, un potere a cui si perviene non senza una forza dirompente. Scaturendo da una contesa, resta un potere conteso… temporale e temporaneo, precario, revocabile”; mentre </w:t>
      </w:r>
      <w:r w:rsidR="009B093C">
        <w:rPr>
          <w:rFonts w:ascii="Times New Roman" w:hAnsi="Times New Roman" w:cs="Times New Roman"/>
          <w:sz w:val="24"/>
          <w:szCs w:val="24"/>
        </w:rPr>
        <w:t xml:space="preserve">il primo termine </w:t>
      </w:r>
      <w:r w:rsidR="005E2825">
        <w:rPr>
          <w:rFonts w:ascii="Times New Roman" w:hAnsi="Times New Roman" w:cs="Times New Roman"/>
          <w:sz w:val="24"/>
          <w:szCs w:val="24"/>
        </w:rPr>
        <w:t>si riferisce a chi occupa “già sempre una posizione di potere, che perciò gode di autorità e ha il crisma della sovranità”</w:t>
      </w:r>
      <w:r>
        <w:rPr>
          <w:rStyle w:val="Rimandonotaapidipagina"/>
          <w:rFonts w:ascii="Times New Roman" w:hAnsi="Times New Roman" w:cs="Times New Roman"/>
          <w:sz w:val="24"/>
          <w:szCs w:val="24"/>
        </w:rPr>
        <w:footnoteReference w:id="13"/>
      </w:r>
      <w:r>
        <w:rPr>
          <w:rFonts w:ascii="Times New Roman" w:hAnsi="Times New Roman" w:cs="Times New Roman"/>
          <w:sz w:val="24"/>
          <w:szCs w:val="24"/>
        </w:rPr>
        <w:t>.</w:t>
      </w:r>
    </w:p>
    <w:p w14:paraId="654AE86C" w14:textId="7D0DC98C" w:rsidR="009070E2" w:rsidRDefault="009070E2" w:rsidP="000B786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effetti, già da questi  sommari cenni emerge tutta la verosimile precarietà di una fondazione dell’ordine sulla concettualità del </w:t>
      </w:r>
      <w:r w:rsidRPr="000C01D1">
        <w:rPr>
          <w:rFonts w:ascii="Times New Roman" w:hAnsi="Times New Roman" w:cs="Times New Roman"/>
          <w:i/>
          <w:iCs/>
          <w:sz w:val="24"/>
          <w:szCs w:val="24"/>
        </w:rPr>
        <w:t>kratos</w:t>
      </w:r>
      <w:r>
        <w:rPr>
          <w:rFonts w:ascii="Times New Roman" w:hAnsi="Times New Roman" w:cs="Times New Roman"/>
          <w:sz w:val="24"/>
          <w:szCs w:val="24"/>
        </w:rPr>
        <w:t>.</w:t>
      </w:r>
    </w:p>
    <w:p w14:paraId="3BD1EE4F" w14:textId="3CF7FBDC" w:rsidR="009070E2" w:rsidRPr="003D3F71" w:rsidRDefault="009070E2" w:rsidP="000B7866">
      <w:pPr>
        <w:spacing w:line="480" w:lineRule="auto"/>
        <w:jc w:val="both"/>
        <w:rPr>
          <w:rFonts w:ascii="Times New Roman" w:hAnsi="Times New Roman" w:cs="Times New Roman"/>
          <w:sz w:val="24"/>
          <w:szCs w:val="24"/>
        </w:rPr>
      </w:pPr>
      <w:r>
        <w:rPr>
          <w:rFonts w:ascii="Times New Roman" w:hAnsi="Times New Roman" w:cs="Times New Roman"/>
          <w:sz w:val="24"/>
          <w:szCs w:val="24"/>
        </w:rPr>
        <w:t>In realtà nell’analisi di Luciani s</w:t>
      </w:r>
      <w:r w:rsidRPr="003D3F71">
        <w:rPr>
          <w:rFonts w:ascii="Times New Roman" w:hAnsi="Times New Roman" w:cs="Times New Roman"/>
          <w:sz w:val="24"/>
          <w:szCs w:val="24"/>
        </w:rPr>
        <w:t xml:space="preserve">picca, tra </w:t>
      </w:r>
      <w:r w:rsidRPr="003D3F71">
        <w:rPr>
          <w:rFonts w:ascii="Times New Roman" w:hAnsi="Times New Roman" w:cs="Times New Roman"/>
          <w:i/>
          <w:iCs/>
          <w:sz w:val="24"/>
          <w:szCs w:val="24"/>
        </w:rPr>
        <w:t>kratos</w:t>
      </w:r>
      <w:r w:rsidRPr="003D3F71">
        <w:rPr>
          <w:rFonts w:ascii="Times New Roman" w:hAnsi="Times New Roman" w:cs="Times New Roman"/>
          <w:sz w:val="24"/>
          <w:szCs w:val="24"/>
        </w:rPr>
        <w:t xml:space="preserve"> e </w:t>
      </w:r>
      <w:r w:rsidRPr="003D3F71">
        <w:rPr>
          <w:rFonts w:ascii="Times New Roman" w:hAnsi="Times New Roman" w:cs="Times New Roman"/>
          <w:i/>
          <w:iCs/>
          <w:sz w:val="24"/>
          <w:szCs w:val="24"/>
        </w:rPr>
        <w:t>bia</w:t>
      </w:r>
      <w:r w:rsidRPr="003D3F71">
        <w:rPr>
          <w:rFonts w:ascii="Times New Roman" w:hAnsi="Times New Roman" w:cs="Times New Roman"/>
          <w:sz w:val="24"/>
          <w:szCs w:val="24"/>
        </w:rPr>
        <w:t xml:space="preserve">, l’assenza di un lemma fondamentale per ogni discorso sul potere (anche, volendo, sotto il profilo teologico-politico): il lemma </w:t>
      </w:r>
      <w:r w:rsidRPr="003D3F71">
        <w:rPr>
          <w:rFonts w:ascii="Times New Roman" w:hAnsi="Times New Roman" w:cs="Times New Roman"/>
          <w:i/>
          <w:iCs/>
          <w:sz w:val="24"/>
          <w:szCs w:val="24"/>
        </w:rPr>
        <w:t>exousia</w:t>
      </w:r>
      <w:r w:rsidRPr="003D3F71">
        <w:rPr>
          <w:rFonts w:ascii="Times New Roman" w:hAnsi="Times New Roman" w:cs="Times New Roman"/>
          <w:sz w:val="24"/>
          <w:szCs w:val="24"/>
        </w:rPr>
        <w:t>, che è a sua volta inserito in un plesso di corrispondenze lessicali e semantiche di grande importanza storica</w:t>
      </w:r>
      <w:r w:rsidRPr="003D3F71">
        <w:rPr>
          <w:rStyle w:val="Rimandonotaapidipagina"/>
          <w:rFonts w:ascii="Times New Roman" w:hAnsi="Times New Roman" w:cs="Times New Roman"/>
          <w:sz w:val="24"/>
          <w:szCs w:val="24"/>
        </w:rPr>
        <w:footnoteReference w:id="14"/>
      </w:r>
      <w:r w:rsidRPr="003D3F71">
        <w:rPr>
          <w:rFonts w:ascii="Times New Roman" w:hAnsi="Times New Roman" w:cs="Times New Roman"/>
          <w:sz w:val="24"/>
          <w:szCs w:val="24"/>
        </w:rPr>
        <w:t xml:space="preserve">. Al riguardo va richiamata la centralità, anche per la teologia politica, di Romani 13, 1: il celebre “non est enim potestas nisi a Deo”, dove </w:t>
      </w:r>
      <w:r w:rsidRPr="003D3F71">
        <w:rPr>
          <w:rFonts w:ascii="Times New Roman" w:hAnsi="Times New Roman" w:cs="Times New Roman"/>
          <w:i/>
          <w:iCs/>
          <w:sz w:val="24"/>
          <w:szCs w:val="24"/>
        </w:rPr>
        <w:t xml:space="preserve">potestas </w:t>
      </w:r>
      <w:r w:rsidRPr="003D3F71">
        <w:rPr>
          <w:rFonts w:ascii="Times New Roman" w:hAnsi="Times New Roman" w:cs="Times New Roman"/>
          <w:sz w:val="24"/>
          <w:szCs w:val="24"/>
        </w:rPr>
        <w:t xml:space="preserve">(che compare nella Vulgata) traduce il greco </w:t>
      </w:r>
      <w:r w:rsidRPr="003D3F71">
        <w:rPr>
          <w:rFonts w:ascii="Times New Roman" w:hAnsi="Times New Roman" w:cs="Times New Roman"/>
          <w:i/>
          <w:iCs/>
          <w:sz w:val="24"/>
          <w:szCs w:val="24"/>
        </w:rPr>
        <w:t>exousia</w:t>
      </w:r>
      <w:r w:rsidRPr="003D3F71">
        <w:rPr>
          <w:rFonts w:ascii="Times New Roman" w:hAnsi="Times New Roman" w:cs="Times New Roman"/>
          <w:sz w:val="24"/>
          <w:szCs w:val="24"/>
        </w:rPr>
        <w:t xml:space="preserve"> ed è tradotto con </w:t>
      </w:r>
      <w:r w:rsidRPr="003D3F71">
        <w:rPr>
          <w:rFonts w:ascii="Times New Roman" w:hAnsi="Times New Roman" w:cs="Times New Roman"/>
          <w:i/>
          <w:iCs/>
          <w:sz w:val="24"/>
          <w:szCs w:val="24"/>
        </w:rPr>
        <w:t xml:space="preserve">autorità </w:t>
      </w:r>
      <w:r w:rsidRPr="003D3F71">
        <w:rPr>
          <w:rFonts w:ascii="Times New Roman" w:hAnsi="Times New Roman" w:cs="Times New Roman"/>
          <w:sz w:val="24"/>
          <w:szCs w:val="24"/>
        </w:rPr>
        <w:t xml:space="preserve">nelle </w:t>
      </w:r>
      <w:r>
        <w:rPr>
          <w:rFonts w:ascii="Times New Roman" w:hAnsi="Times New Roman" w:cs="Times New Roman"/>
          <w:sz w:val="24"/>
          <w:szCs w:val="24"/>
        </w:rPr>
        <w:t>versioni</w:t>
      </w:r>
      <w:r w:rsidRPr="003D3F71">
        <w:rPr>
          <w:rFonts w:ascii="Times New Roman" w:hAnsi="Times New Roman" w:cs="Times New Roman"/>
          <w:sz w:val="24"/>
          <w:szCs w:val="24"/>
        </w:rPr>
        <w:t xml:space="preserve"> correnti in italiano (un interessante precedente </w:t>
      </w:r>
      <w:r>
        <w:rPr>
          <w:rFonts w:ascii="Times New Roman" w:hAnsi="Times New Roman" w:cs="Times New Roman"/>
          <w:sz w:val="24"/>
          <w:szCs w:val="24"/>
        </w:rPr>
        <w:t>di questo sviluppo</w:t>
      </w:r>
      <w:r w:rsidRPr="003D3F71">
        <w:rPr>
          <w:rFonts w:ascii="Times New Roman" w:hAnsi="Times New Roman" w:cs="Times New Roman"/>
          <w:sz w:val="24"/>
          <w:szCs w:val="24"/>
        </w:rPr>
        <w:t xml:space="preserve"> si rinviene nel passaggio da </w:t>
      </w:r>
      <w:r w:rsidRPr="003D3F71">
        <w:rPr>
          <w:rFonts w:ascii="Times New Roman" w:hAnsi="Times New Roman" w:cs="Times New Roman"/>
          <w:i/>
          <w:iCs/>
          <w:sz w:val="24"/>
          <w:szCs w:val="24"/>
        </w:rPr>
        <w:t>power</w:t>
      </w:r>
      <w:r w:rsidRPr="003D3F71">
        <w:rPr>
          <w:rFonts w:ascii="Times New Roman" w:hAnsi="Times New Roman" w:cs="Times New Roman"/>
          <w:sz w:val="24"/>
          <w:szCs w:val="24"/>
        </w:rPr>
        <w:t xml:space="preserve"> ad </w:t>
      </w:r>
      <w:r w:rsidRPr="003D3F71">
        <w:rPr>
          <w:rFonts w:ascii="Times New Roman" w:hAnsi="Times New Roman" w:cs="Times New Roman"/>
          <w:i/>
          <w:iCs/>
          <w:sz w:val="24"/>
          <w:szCs w:val="24"/>
        </w:rPr>
        <w:t xml:space="preserve">authority </w:t>
      </w:r>
      <w:r w:rsidRPr="003D3F71">
        <w:rPr>
          <w:rFonts w:ascii="Times New Roman" w:hAnsi="Times New Roman" w:cs="Times New Roman"/>
          <w:sz w:val="24"/>
          <w:szCs w:val="24"/>
        </w:rPr>
        <w:t>nella storia delle revisioni della King James Version)</w:t>
      </w:r>
      <w:r w:rsidRPr="003D3F71">
        <w:rPr>
          <w:rStyle w:val="Rimandonotaapidipagina"/>
          <w:rFonts w:ascii="Times New Roman" w:hAnsi="Times New Roman" w:cs="Times New Roman"/>
          <w:sz w:val="24"/>
          <w:szCs w:val="24"/>
        </w:rPr>
        <w:footnoteReference w:id="15"/>
      </w:r>
      <w:r w:rsidRPr="003D3F71">
        <w:rPr>
          <w:rFonts w:ascii="Times New Roman" w:hAnsi="Times New Roman" w:cs="Times New Roman"/>
          <w:sz w:val="24"/>
          <w:szCs w:val="24"/>
        </w:rPr>
        <w:t xml:space="preserve">. </w:t>
      </w:r>
    </w:p>
    <w:p w14:paraId="7FB02928" w14:textId="3E08F647" w:rsidR="009070E2" w:rsidRDefault="009070E2" w:rsidP="000B7866">
      <w:pPr>
        <w:spacing w:line="480" w:lineRule="auto"/>
        <w:jc w:val="both"/>
        <w:rPr>
          <w:rFonts w:ascii="Times New Roman" w:hAnsi="Times New Roman" w:cs="Times New Roman"/>
          <w:sz w:val="24"/>
          <w:szCs w:val="24"/>
        </w:rPr>
      </w:pPr>
      <w:r w:rsidRPr="003D3F71">
        <w:rPr>
          <w:rFonts w:ascii="Times New Roman" w:hAnsi="Times New Roman" w:cs="Times New Roman"/>
          <w:sz w:val="24"/>
          <w:szCs w:val="24"/>
        </w:rPr>
        <w:t xml:space="preserve">La rilevanza “positiva” </w:t>
      </w:r>
      <w:r w:rsidR="000C1E98" w:rsidRPr="003D3F71">
        <w:rPr>
          <w:rFonts w:ascii="Times New Roman" w:hAnsi="Times New Roman" w:cs="Times New Roman"/>
          <w:sz w:val="24"/>
          <w:szCs w:val="24"/>
        </w:rPr>
        <w:t xml:space="preserve">in questo ambito </w:t>
      </w:r>
      <w:r w:rsidRPr="003D3F71">
        <w:rPr>
          <w:rFonts w:ascii="Times New Roman" w:hAnsi="Times New Roman" w:cs="Times New Roman"/>
          <w:sz w:val="24"/>
          <w:szCs w:val="24"/>
        </w:rPr>
        <w:t xml:space="preserve">del plesso </w:t>
      </w:r>
      <w:r w:rsidRPr="003D3F71">
        <w:rPr>
          <w:rFonts w:ascii="Times New Roman" w:hAnsi="Times New Roman" w:cs="Times New Roman"/>
          <w:i/>
          <w:iCs/>
          <w:sz w:val="24"/>
          <w:szCs w:val="24"/>
        </w:rPr>
        <w:t>exousia - auctoritas  - potestas</w:t>
      </w:r>
      <w:r w:rsidRPr="003D3F71">
        <w:rPr>
          <w:rFonts w:ascii="Times New Roman" w:hAnsi="Times New Roman" w:cs="Times New Roman"/>
          <w:sz w:val="24"/>
          <w:szCs w:val="24"/>
        </w:rPr>
        <w:t xml:space="preserve"> </w:t>
      </w:r>
      <w:r w:rsidR="00361BD7">
        <w:rPr>
          <w:rFonts w:ascii="Times New Roman" w:hAnsi="Times New Roman" w:cs="Times New Roman"/>
          <w:sz w:val="24"/>
          <w:szCs w:val="24"/>
        </w:rPr>
        <w:t xml:space="preserve">  </w:t>
      </w:r>
      <w:r w:rsidR="002810E9">
        <w:rPr>
          <w:rStyle w:val="Rimandonotaapidipagina"/>
          <w:rFonts w:ascii="Times New Roman" w:hAnsi="Times New Roman" w:cs="Times New Roman"/>
          <w:sz w:val="24"/>
          <w:szCs w:val="24"/>
        </w:rPr>
        <w:footnoteReference w:id="16"/>
      </w:r>
      <w:r w:rsidRPr="003D3F71">
        <w:rPr>
          <w:rFonts w:ascii="Times New Roman" w:hAnsi="Times New Roman" w:cs="Times New Roman"/>
          <w:sz w:val="24"/>
          <w:szCs w:val="24"/>
        </w:rPr>
        <w:t xml:space="preserve">toglie spazio a una pretesa centralità della diade </w:t>
      </w:r>
      <w:r w:rsidRPr="003D3F71">
        <w:rPr>
          <w:rFonts w:ascii="Times New Roman" w:hAnsi="Times New Roman" w:cs="Times New Roman"/>
          <w:i/>
          <w:iCs/>
          <w:sz w:val="24"/>
          <w:szCs w:val="24"/>
        </w:rPr>
        <w:t>kratos – bia</w:t>
      </w:r>
      <w:r w:rsidRPr="003D3F71">
        <w:rPr>
          <w:rFonts w:ascii="Times New Roman" w:hAnsi="Times New Roman" w:cs="Times New Roman"/>
          <w:sz w:val="24"/>
          <w:szCs w:val="24"/>
        </w:rPr>
        <w:t>.</w:t>
      </w:r>
    </w:p>
    <w:p w14:paraId="5D8F8E98" w14:textId="3D46C44D" w:rsidR="009070E2" w:rsidRDefault="00F95B63" w:rsidP="000B78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Non basta affermare, come fa l’Autore della </w:t>
      </w:r>
      <w:r w:rsidRPr="006C2A47">
        <w:rPr>
          <w:rFonts w:ascii="Times New Roman" w:hAnsi="Times New Roman" w:cs="Times New Roman"/>
          <w:i/>
          <w:iCs/>
          <w:sz w:val="24"/>
          <w:szCs w:val="24"/>
        </w:rPr>
        <w:t>lectio</w:t>
      </w:r>
      <w:r>
        <w:rPr>
          <w:rFonts w:ascii="Times New Roman" w:hAnsi="Times New Roman" w:cs="Times New Roman"/>
          <w:sz w:val="24"/>
          <w:szCs w:val="24"/>
        </w:rPr>
        <w:t>, che “p</w:t>
      </w:r>
      <w:r w:rsidRPr="00F95B63">
        <w:rPr>
          <w:rFonts w:ascii="Times New Roman" w:hAnsi="Times New Roman" w:cs="Times New Roman"/>
          <w:sz w:val="24"/>
          <w:szCs w:val="24"/>
        </w:rPr>
        <w:t>ossiamo parlare di potere proprio perché il κράτος è violenza imbrigliata, violenza qualificata, violenza legittimata dal diritto che si fa istituzione e in quanto tale cessa di essere violenza</w:t>
      </w:r>
      <w:r>
        <w:rPr>
          <w:rFonts w:ascii="Times New Roman" w:hAnsi="Times New Roman" w:cs="Times New Roman"/>
          <w:sz w:val="24"/>
          <w:szCs w:val="24"/>
        </w:rPr>
        <w:t>”. Il problema è indagare questo processo del “</w:t>
      </w:r>
      <w:r w:rsidRPr="00F95B63">
        <w:rPr>
          <w:rFonts w:ascii="Times New Roman" w:hAnsi="Times New Roman" w:cs="Times New Roman"/>
          <w:sz w:val="24"/>
          <w:szCs w:val="24"/>
        </w:rPr>
        <w:t xml:space="preserve">sopravvenire </w:t>
      </w:r>
      <w:r w:rsidRPr="00F95B63">
        <w:rPr>
          <w:rFonts w:ascii="Times New Roman" w:hAnsi="Times New Roman" w:cs="Times New Roman"/>
          <w:sz w:val="24"/>
          <w:szCs w:val="24"/>
        </w:rPr>
        <w:lastRenderedPageBreak/>
        <w:t xml:space="preserve">di un atto che si fa giuridico nel medesimo momento del suo compiersi: la società è infatti istituita (e ottiene il proprio legittimo </w:t>
      </w:r>
      <w:r w:rsidRPr="00285D70">
        <w:rPr>
          <w:rFonts w:ascii="Times New Roman" w:hAnsi="Times New Roman" w:cs="Times New Roman"/>
          <w:i/>
          <w:iCs/>
          <w:sz w:val="24"/>
          <w:szCs w:val="24"/>
        </w:rPr>
        <w:t>imperium</w:t>
      </w:r>
      <w:r w:rsidRPr="00F95B63">
        <w:rPr>
          <w:rFonts w:ascii="Times New Roman" w:hAnsi="Times New Roman" w:cs="Times New Roman"/>
          <w:sz w:val="24"/>
          <w:szCs w:val="24"/>
        </w:rPr>
        <w:t xml:space="preserve">) solo grazie al trasferimento della forza (di </w:t>
      </w:r>
      <w:r w:rsidRPr="00285D70">
        <w:rPr>
          <w:rFonts w:ascii="Times New Roman" w:hAnsi="Times New Roman" w:cs="Times New Roman"/>
          <w:i/>
          <w:iCs/>
          <w:sz w:val="24"/>
          <w:szCs w:val="24"/>
        </w:rPr>
        <w:t>tutta</w:t>
      </w:r>
      <w:r w:rsidRPr="00F95B63">
        <w:rPr>
          <w:rFonts w:ascii="Times New Roman" w:hAnsi="Times New Roman" w:cs="Times New Roman"/>
          <w:sz w:val="24"/>
          <w:szCs w:val="24"/>
        </w:rPr>
        <w:t xml:space="preserve"> la forza) dagli individui alla società, ma quel </w:t>
      </w:r>
      <w:r w:rsidRPr="00285D70">
        <w:rPr>
          <w:rFonts w:ascii="Times New Roman" w:hAnsi="Times New Roman" w:cs="Times New Roman"/>
          <w:i/>
          <w:iCs/>
          <w:sz w:val="24"/>
          <w:szCs w:val="24"/>
        </w:rPr>
        <w:t xml:space="preserve">trasferimento </w:t>
      </w:r>
      <w:r w:rsidRPr="00F95B63">
        <w:rPr>
          <w:rFonts w:ascii="Times New Roman" w:hAnsi="Times New Roman" w:cs="Times New Roman"/>
          <w:sz w:val="24"/>
          <w:szCs w:val="24"/>
        </w:rPr>
        <w:t xml:space="preserve">è appunto un negozio giuridico </w:t>
      </w:r>
      <w:r>
        <w:rPr>
          <w:rFonts w:ascii="Times New Roman" w:hAnsi="Times New Roman" w:cs="Times New Roman"/>
          <w:sz w:val="24"/>
          <w:szCs w:val="24"/>
        </w:rPr>
        <w:t>…</w:t>
      </w:r>
      <w:r w:rsidRPr="00F95B63">
        <w:rPr>
          <w:rFonts w:ascii="Times New Roman" w:hAnsi="Times New Roman" w:cs="Times New Roman"/>
          <w:sz w:val="24"/>
          <w:szCs w:val="24"/>
        </w:rPr>
        <w:t>La forza costitutiva della società politica è pertanto forza, violenza, trasfigurata dal diritto</w:t>
      </w:r>
      <w:r>
        <w:rPr>
          <w:rFonts w:ascii="Times New Roman" w:hAnsi="Times New Roman" w:cs="Times New Roman"/>
          <w:sz w:val="24"/>
          <w:szCs w:val="24"/>
        </w:rPr>
        <w:t>”</w:t>
      </w:r>
      <w:r w:rsidR="008F16E0">
        <w:rPr>
          <w:rStyle w:val="Rimandonotaapidipagina"/>
          <w:rFonts w:ascii="Times New Roman" w:hAnsi="Times New Roman" w:cs="Times New Roman"/>
          <w:sz w:val="24"/>
          <w:szCs w:val="24"/>
        </w:rPr>
        <w:footnoteReference w:id="17"/>
      </w:r>
      <w:r>
        <w:rPr>
          <w:rFonts w:ascii="Times New Roman" w:hAnsi="Times New Roman" w:cs="Times New Roman"/>
          <w:sz w:val="24"/>
          <w:szCs w:val="24"/>
        </w:rPr>
        <w:t>.</w:t>
      </w:r>
    </w:p>
    <w:p w14:paraId="5396A580" w14:textId="70AD7FCA" w:rsidR="00F95B63" w:rsidRDefault="00F95B63" w:rsidP="000B7866">
      <w:pPr>
        <w:spacing w:line="480" w:lineRule="auto"/>
        <w:jc w:val="both"/>
        <w:rPr>
          <w:rFonts w:ascii="Times New Roman" w:hAnsi="Times New Roman" w:cs="Times New Roman"/>
          <w:sz w:val="24"/>
          <w:szCs w:val="24"/>
        </w:rPr>
      </w:pPr>
      <w:r>
        <w:rPr>
          <w:rFonts w:ascii="Times New Roman" w:hAnsi="Times New Roman" w:cs="Times New Roman"/>
          <w:sz w:val="24"/>
          <w:szCs w:val="24"/>
        </w:rPr>
        <w:t>In realtà delle due l’una: o il potere presuppone il diritto o il potere fonda il diritto (che lo presuppone).  Ma la seconda linea  di pensiero è problematica: anche la fondazione contrattualistica</w:t>
      </w:r>
      <w:r w:rsidR="002D1D1A">
        <w:rPr>
          <w:rFonts w:ascii="Times New Roman" w:hAnsi="Times New Roman" w:cs="Times New Roman"/>
          <w:sz w:val="24"/>
          <w:szCs w:val="24"/>
        </w:rPr>
        <w:t xml:space="preserve"> del diritto</w:t>
      </w:r>
      <w:r>
        <w:rPr>
          <w:rFonts w:ascii="Times New Roman" w:hAnsi="Times New Roman" w:cs="Times New Roman"/>
          <w:sz w:val="24"/>
          <w:szCs w:val="24"/>
        </w:rPr>
        <w:t xml:space="preserve"> </w:t>
      </w:r>
      <w:r w:rsidR="008F16E0">
        <w:rPr>
          <w:rFonts w:ascii="Times New Roman" w:hAnsi="Times New Roman" w:cs="Times New Roman"/>
          <w:sz w:val="24"/>
          <w:szCs w:val="24"/>
        </w:rPr>
        <w:t xml:space="preserve">sarebbe </w:t>
      </w:r>
      <w:r>
        <w:rPr>
          <w:rFonts w:ascii="Times New Roman" w:hAnsi="Times New Roman" w:cs="Times New Roman"/>
          <w:sz w:val="24"/>
          <w:szCs w:val="24"/>
        </w:rPr>
        <w:t xml:space="preserve">incomprensibile e </w:t>
      </w:r>
      <w:r w:rsidR="002D1D1A">
        <w:rPr>
          <w:rFonts w:ascii="Times New Roman" w:hAnsi="Times New Roman" w:cs="Times New Roman"/>
          <w:sz w:val="24"/>
          <w:szCs w:val="24"/>
        </w:rPr>
        <w:t>auto</w:t>
      </w:r>
      <w:r>
        <w:rPr>
          <w:rFonts w:ascii="Times New Roman" w:hAnsi="Times New Roman" w:cs="Times New Roman"/>
          <w:sz w:val="24"/>
          <w:szCs w:val="24"/>
        </w:rPr>
        <w:t>contraddittoria se non presupponesse la giuridicità</w:t>
      </w:r>
      <w:r w:rsidR="00E93B7A">
        <w:rPr>
          <w:rFonts w:ascii="Times New Roman" w:hAnsi="Times New Roman" w:cs="Times New Roman"/>
          <w:sz w:val="24"/>
          <w:szCs w:val="24"/>
        </w:rPr>
        <w:t xml:space="preserve"> che sola consente di qualificare come giuridico il negozio originario</w:t>
      </w:r>
      <w:r w:rsidR="003C4AD1">
        <w:rPr>
          <w:rStyle w:val="Rimandonotaapidipagina"/>
          <w:rFonts w:ascii="Times New Roman" w:hAnsi="Times New Roman" w:cs="Times New Roman"/>
          <w:sz w:val="24"/>
          <w:szCs w:val="24"/>
        </w:rPr>
        <w:footnoteReference w:id="18"/>
      </w:r>
      <w:r>
        <w:rPr>
          <w:rFonts w:ascii="Times New Roman" w:hAnsi="Times New Roman" w:cs="Times New Roman"/>
          <w:sz w:val="24"/>
          <w:szCs w:val="24"/>
        </w:rPr>
        <w:t xml:space="preserve">. L’opposta tesi rimane circoscritta nel circolo di </w:t>
      </w:r>
      <w:r w:rsidRPr="008F16E0">
        <w:rPr>
          <w:rFonts w:ascii="Times New Roman" w:hAnsi="Times New Roman" w:cs="Times New Roman"/>
          <w:i/>
          <w:iCs/>
          <w:sz w:val="24"/>
          <w:szCs w:val="24"/>
        </w:rPr>
        <w:t xml:space="preserve">kratos </w:t>
      </w:r>
      <w:r>
        <w:rPr>
          <w:rFonts w:ascii="Times New Roman" w:hAnsi="Times New Roman" w:cs="Times New Roman"/>
          <w:sz w:val="24"/>
          <w:szCs w:val="24"/>
        </w:rPr>
        <w:t xml:space="preserve">e </w:t>
      </w:r>
      <w:r w:rsidRPr="008F16E0">
        <w:rPr>
          <w:rFonts w:ascii="Times New Roman" w:hAnsi="Times New Roman" w:cs="Times New Roman"/>
          <w:i/>
          <w:iCs/>
          <w:sz w:val="24"/>
          <w:szCs w:val="24"/>
        </w:rPr>
        <w:t>bia</w:t>
      </w:r>
      <w:r>
        <w:rPr>
          <w:rFonts w:ascii="Times New Roman" w:hAnsi="Times New Roman" w:cs="Times New Roman"/>
          <w:sz w:val="24"/>
          <w:szCs w:val="24"/>
        </w:rPr>
        <w:t xml:space="preserve"> ma non può dare conto di cosa sia il potere legittimo e soprattutto impedisce di distinguere </w:t>
      </w:r>
      <w:r>
        <w:rPr>
          <w:rFonts w:ascii="Times New Roman" w:hAnsi="Times New Roman" w:cs="Times New Roman"/>
          <w:sz w:val="24"/>
          <w:szCs w:val="24"/>
        </w:rPr>
        <w:lastRenderedPageBreak/>
        <w:t>tra potere legittimo e potere illegittimo (</w:t>
      </w:r>
      <w:r w:rsidR="00CB5850" w:rsidRPr="00CB5850">
        <w:rPr>
          <w:rFonts w:ascii="Times New Roman" w:hAnsi="Times New Roman" w:cs="Times New Roman"/>
          <w:i/>
          <w:iCs/>
          <w:sz w:val="24"/>
          <w:szCs w:val="24"/>
        </w:rPr>
        <w:t>ex defectu tituli</w:t>
      </w:r>
      <w:r w:rsidR="00CB5850">
        <w:rPr>
          <w:rFonts w:ascii="Times New Roman" w:hAnsi="Times New Roman" w:cs="Times New Roman"/>
          <w:sz w:val="24"/>
          <w:szCs w:val="24"/>
        </w:rPr>
        <w:t xml:space="preserve"> o </w:t>
      </w:r>
      <w:r w:rsidR="00CB5850" w:rsidRPr="00CB5850">
        <w:rPr>
          <w:rFonts w:ascii="Times New Roman" w:hAnsi="Times New Roman" w:cs="Times New Roman"/>
          <w:i/>
          <w:iCs/>
          <w:sz w:val="24"/>
          <w:szCs w:val="24"/>
        </w:rPr>
        <w:t>ex parte exercitii</w:t>
      </w:r>
      <w:r>
        <w:rPr>
          <w:rFonts w:ascii="Times New Roman" w:hAnsi="Times New Roman" w:cs="Times New Roman"/>
          <w:sz w:val="24"/>
          <w:szCs w:val="24"/>
        </w:rPr>
        <w:t>, secondo la nota terminologia di Bartolo).</w:t>
      </w:r>
    </w:p>
    <w:p w14:paraId="0931C256" w14:textId="1F2A5829" w:rsidR="002D1D1A" w:rsidRDefault="000B7866" w:rsidP="000B7866">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002D1D1A">
        <w:rPr>
          <w:rFonts w:ascii="Times New Roman" w:hAnsi="Times New Roman" w:cs="Times New Roman"/>
          <w:sz w:val="24"/>
          <w:szCs w:val="24"/>
        </w:rPr>
        <w:t>.</w:t>
      </w:r>
      <w:r w:rsidR="008C4BC0">
        <w:rPr>
          <w:rFonts w:ascii="Times New Roman" w:hAnsi="Times New Roman" w:cs="Times New Roman"/>
          <w:sz w:val="24"/>
          <w:szCs w:val="24"/>
        </w:rPr>
        <w:t xml:space="preserve"> </w:t>
      </w:r>
      <w:r w:rsidR="002D1D1A">
        <w:rPr>
          <w:rFonts w:ascii="Times New Roman" w:hAnsi="Times New Roman" w:cs="Times New Roman"/>
          <w:sz w:val="24"/>
          <w:szCs w:val="24"/>
        </w:rPr>
        <w:t>Qualche parola</w:t>
      </w:r>
      <w:r w:rsidR="00AD202C">
        <w:rPr>
          <w:rFonts w:ascii="Times New Roman" w:hAnsi="Times New Roman" w:cs="Times New Roman"/>
          <w:sz w:val="24"/>
          <w:szCs w:val="24"/>
        </w:rPr>
        <w:t xml:space="preserve">, infine, </w:t>
      </w:r>
      <w:r w:rsidR="002D1D1A">
        <w:rPr>
          <w:rFonts w:ascii="Times New Roman" w:hAnsi="Times New Roman" w:cs="Times New Roman"/>
          <w:sz w:val="24"/>
          <w:szCs w:val="24"/>
        </w:rPr>
        <w:t xml:space="preserve"> sull’interessante rovesciamento che l’Autore opera della tesi di </w:t>
      </w:r>
      <w:r w:rsidRPr="000B7866">
        <w:rPr>
          <w:rFonts w:ascii="Times New Roman" w:hAnsi="Times New Roman" w:cs="Times New Roman"/>
          <w:sz w:val="24"/>
          <w:szCs w:val="24"/>
        </w:rPr>
        <w:t>Böckenförde</w:t>
      </w:r>
      <w:r w:rsidR="00CB5850">
        <w:rPr>
          <w:rFonts w:ascii="Times New Roman" w:hAnsi="Times New Roman" w:cs="Times New Roman"/>
          <w:sz w:val="24"/>
          <w:szCs w:val="24"/>
        </w:rPr>
        <w:t xml:space="preserve"> secondo la quale</w:t>
      </w:r>
      <w:r w:rsidR="00347833">
        <w:rPr>
          <w:rFonts w:ascii="Times New Roman" w:hAnsi="Times New Roman" w:cs="Times New Roman"/>
          <w:sz w:val="24"/>
          <w:szCs w:val="24"/>
        </w:rPr>
        <w:t xml:space="preserve"> </w:t>
      </w:r>
      <w:r w:rsidR="00347833" w:rsidRPr="00347833">
        <w:rPr>
          <w:rFonts w:ascii="Times New Roman" w:hAnsi="Times New Roman" w:cs="Times New Roman"/>
          <w:sz w:val="24"/>
          <w:szCs w:val="24"/>
        </w:rPr>
        <w:t>“</w:t>
      </w:r>
      <w:r w:rsidR="00347833" w:rsidRPr="00347833">
        <w:rPr>
          <w:rFonts w:ascii="Times New Roman" w:hAnsi="Times New Roman" w:cs="Times New Roman"/>
          <w:i/>
          <w:sz w:val="24"/>
          <w:szCs w:val="24"/>
        </w:rPr>
        <w:t>Der freiheitliche, säkularisierte Staat lebt von Voraussetzungen, die er selbst nicht garantieren kann</w:t>
      </w:r>
      <w:r w:rsidR="00347833" w:rsidRPr="00347833">
        <w:rPr>
          <w:rFonts w:ascii="Times New Roman" w:hAnsi="Times New Roman" w:cs="Times New Roman"/>
          <w:sz w:val="24"/>
          <w:szCs w:val="24"/>
        </w:rPr>
        <w:t>” (“Lo Stato liberale secolarizzato vive di presupposti che non è in grado di garantire da sé”)</w:t>
      </w:r>
      <w:r w:rsidR="00CB5850">
        <w:rPr>
          <w:rStyle w:val="Rimandonotaapidipagina"/>
          <w:rFonts w:ascii="Times New Roman" w:hAnsi="Times New Roman" w:cs="Times New Roman"/>
          <w:sz w:val="24"/>
          <w:szCs w:val="24"/>
        </w:rPr>
        <w:footnoteReference w:id="19"/>
      </w:r>
      <w:r w:rsidR="00347833">
        <w:rPr>
          <w:rFonts w:ascii="Times New Roman" w:hAnsi="Times New Roman" w:cs="Times New Roman"/>
          <w:sz w:val="24"/>
          <w:szCs w:val="24"/>
        </w:rPr>
        <w:t>:</w:t>
      </w:r>
    </w:p>
    <w:p w14:paraId="18141E55" w14:textId="04A93288" w:rsidR="00AD202C" w:rsidRDefault="00AD202C" w:rsidP="000B7866">
      <w:pPr>
        <w:spacing w:after="0" w:line="480" w:lineRule="auto"/>
        <w:ind w:right="-550" w:firstLine="284"/>
        <w:jc w:val="both"/>
        <w:rPr>
          <w:rFonts w:ascii="Times New Roman" w:eastAsia="Times New Roman" w:hAnsi="Times New Roman" w:cs="Times New Roman"/>
          <w:iCs/>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w:t>
      </w:r>
      <w:r w:rsidRPr="00AD202C">
        <w:rPr>
          <w:rFonts w:ascii="Times New Roman" w:eastAsia="Times New Roman" w:hAnsi="Times New Roman" w:cs="Times New Roman"/>
          <w:kern w:val="0"/>
          <w:sz w:val="24"/>
          <w:szCs w:val="24"/>
          <w:lang w:eastAsia="it-IT"/>
          <w14:ligatures w14:val="none"/>
        </w:rPr>
        <w:t>La tesi di Böckenförde muove dall’assunto che il principio democratico – costitutivo assieme a quello di libertà delle esperienze liberal-democratiche – riposi su implicite</w:t>
      </w:r>
      <w:r w:rsidRPr="00AD202C">
        <w:rPr>
          <w:rFonts w:ascii="Times New Roman" w:eastAsia="Times New Roman" w:hAnsi="Times New Roman" w:cs="Times New Roman"/>
          <w:iCs/>
          <w:kern w:val="0"/>
          <w:sz w:val="24"/>
          <w:szCs w:val="24"/>
          <w:lang w:eastAsia="it-IT"/>
          <w14:ligatures w14:val="none"/>
        </w:rPr>
        <w:t xml:space="preserve"> e non confessate premesse </w:t>
      </w:r>
      <w:r w:rsidRPr="00AD202C">
        <w:rPr>
          <w:rFonts w:ascii="Times New Roman" w:eastAsia="Times New Roman" w:hAnsi="Times New Roman" w:cs="Times New Roman"/>
          <w:kern w:val="0"/>
          <w:sz w:val="24"/>
          <w:szCs w:val="24"/>
          <w:lang w:eastAsia="it-IT"/>
          <w14:ligatures w14:val="none"/>
        </w:rPr>
        <w:t>assiologiche</w:t>
      </w:r>
      <w:r w:rsidRPr="00AD202C">
        <w:rPr>
          <w:rFonts w:ascii="Times New Roman" w:eastAsia="Times New Roman" w:hAnsi="Times New Roman" w:cs="Times New Roman"/>
          <w:iCs/>
          <w:kern w:val="0"/>
          <w:sz w:val="24"/>
          <w:szCs w:val="24"/>
          <w:lang w:eastAsia="it-IT"/>
          <w14:ligatures w14:val="none"/>
        </w:rPr>
        <w:t xml:space="preserve">. Tali premesse, non essendo dimostrabili razionalmente, non sarebbero pertanto asseverabili da uno Stato che – appunto – si vuole razional-secolarizzato. Sennonché, il principio democratico appare intimamente connesso (se non al relativismo, come voleva Kelsen) al non cognitivismo etico e questo comporta la </w:t>
      </w:r>
      <w:r w:rsidRPr="00AD202C">
        <w:rPr>
          <w:rFonts w:ascii="Times New Roman" w:eastAsia="Times New Roman" w:hAnsi="Times New Roman" w:cs="Times New Roman"/>
          <w:i/>
          <w:kern w:val="0"/>
          <w:sz w:val="24"/>
          <w:szCs w:val="24"/>
          <w:lang w:eastAsia="it-IT"/>
          <w14:ligatures w14:val="none"/>
        </w:rPr>
        <w:t>logica</w:t>
      </w:r>
      <w:r w:rsidRPr="00AD202C">
        <w:rPr>
          <w:rFonts w:ascii="Times New Roman" w:eastAsia="Times New Roman" w:hAnsi="Times New Roman" w:cs="Times New Roman"/>
          <w:iCs/>
          <w:kern w:val="0"/>
          <w:sz w:val="24"/>
          <w:szCs w:val="24"/>
          <w:lang w:eastAsia="it-IT"/>
          <w14:ligatures w14:val="none"/>
        </w:rPr>
        <w:t xml:space="preserve"> (non </w:t>
      </w:r>
      <w:r w:rsidRPr="00AD202C">
        <w:rPr>
          <w:rFonts w:ascii="Times New Roman" w:eastAsia="Times New Roman" w:hAnsi="Times New Roman" w:cs="Times New Roman"/>
          <w:i/>
          <w:kern w:val="0"/>
          <w:sz w:val="24"/>
          <w:szCs w:val="24"/>
          <w:lang w:eastAsia="it-IT"/>
          <w14:ligatures w14:val="none"/>
        </w:rPr>
        <w:t>assiologica</w:t>
      </w:r>
      <w:r w:rsidRPr="00AD202C">
        <w:rPr>
          <w:rFonts w:ascii="Times New Roman" w:eastAsia="Times New Roman" w:hAnsi="Times New Roman" w:cs="Times New Roman"/>
          <w:iCs/>
          <w:kern w:val="0"/>
          <w:sz w:val="24"/>
          <w:szCs w:val="24"/>
          <w:lang w:eastAsia="it-IT"/>
          <w14:ligatures w14:val="none"/>
        </w:rPr>
        <w:t xml:space="preserve">) conseguenza che dalla prospettiva non cognitivista risulta impossibile postulare che alcuni uomini abbiano “valore” maggiore di altri, tale maggior valore non potendo essere, appunto, dimostrabile razionalmente. Nell’approccio non cognitivista, dunque, non potendo </w:t>
      </w:r>
      <w:r w:rsidRPr="00AD202C">
        <w:rPr>
          <w:rFonts w:ascii="Times New Roman" w:eastAsia="Times New Roman" w:hAnsi="Times New Roman" w:cs="Times New Roman"/>
          <w:i/>
          <w:kern w:val="0"/>
          <w:sz w:val="24"/>
          <w:szCs w:val="24"/>
          <w:lang w:eastAsia="it-IT"/>
          <w14:ligatures w14:val="none"/>
        </w:rPr>
        <w:t>dimostrarsi</w:t>
      </w:r>
      <w:r w:rsidRPr="00AD202C">
        <w:rPr>
          <w:rFonts w:ascii="Times New Roman" w:eastAsia="Times New Roman" w:hAnsi="Times New Roman" w:cs="Times New Roman"/>
          <w:iCs/>
          <w:kern w:val="0"/>
          <w:sz w:val="24"/>
          <w:szCs w:val="24"/>
          <w:lang w:eastAsia="it-IT"/>
          <w14:ligatures w14:val="none"/>
        </w:rPr>
        <w:t xml:space="preserve">, non possono </w:t>
      </w:r>
      <w:r w:rsidRPr="00AD202C">
        <w:rPr>
          <w:rFonts w:ascii="Times New Roman" w:eastAsia="Times New Roman" w:hAnsi="Times New Roman" w:cs="Times New Roman"/>
          <w:i/>
          <w:kern w:val="0"/>
          <w:sz w:val="24"/>
          <w:szCs w:val="24"/>
          <w:lang w:eastAsia="it-IT"/>
          <w14:ligatures w14:val="none"/>
        </w:rPr>
        <w:t>darsi</w:t>
      </w:r>
      <w:r w:rsidRPr="00AD202C">
        <w:rPr>
          <w:rFonts w:ascii="Times New Roman" w:eastAsia="Times New Roman" w:hAnsi="Times New Roman" w:cs="Times New Roman"/>
          <w:iCs/>
          <w:kern w:val="0"/>
          <w:sz w:val="24"/>
          <w:szCs w:val="24"/>
          <w:lang w:eastAsia="it-IT"/>
          <w14:ligatures w14:val="none"/>
        </w:rPr>
        <w:t xml:space="preserve"> differenziazioni </w:t>
      </w:r>
      <w:r w:rsidRPr="00AD202C">
        <w:rPr>
          <w:rFonts w:ascii="Times New Roman" w:eastAsia="Times New Roman" w:hAnsi="Times New Roman" w:cs="Times New Roman"/>
          <w:kern w:val="0"/>
          <w:sz w:val="24"/>
          <w:szCs w:val="24"/>
          <w:lang w:eastAsia="it-IT"/>
          <w14:ligatures w14:val="none"/>
        </w:rPr>
        <w:t>qualitative</w:t>
      </w:r>
      <w:r w:rsidRPr="00AD202C">
        <w:rPr>
          <w:rFonts w:ascii="Times New Roman" w:eastAsia="Times New Roman" w:hAnsi="Times New Roman" w:cs="Times New Roman"/>
          <w:iCs/>
          <w:kern w:val="0"/>
          <w:sz w:val="24"/>
          <w:szCs w:val="24"/>
          <w:lang w:eastAsia="it-IT"/>
          <w14:ligatures w14:val="none"/>
        </w:rPr>
        <w:t xml:space="preserve"> in termini di diversa dignità politica dei singoli esseri umani, sicché ciascuno di essi vale esattamente quanto gli altri. Ne viene che il non cognitivismo comporta quantomeno il principio di eguaglianza politica in ragione di una mera consequenzialità logica e senza che sia necessaria alcuna premessa assiologica. Sempre in via di logica consequenzialità, poi, il principio di eguaglianza politica implica il principio di maggioranza (teste proclamate eguali non possono pesarsi, ma devono contarsi) e comporta anche quello di libertà (esso pure, a questo punto, fondato più su ragioni logiche che sul periclitante assunto dell’ineffabile dignità dell’uomo), poiché gli </w:t>
      </w:r>
      <w:r w:rsidRPr="00AD202C">
        <w:rPr>
          <w:rFonts w:ascii="Times New Roman" w:eastAsia="Times New Roman" w:hAnsi="Times New Roman" w:cs="Times New Roman"/>
          <w:i/>
          <w:iCs/>
          <w:kern w:val="0"/>
          <w:sz w:val="24"/>
          <w:szCs w:val="24"/>
          <w:lang w:eastAsia="it-IT"/>
          <w14:ligatures w14:val="none"/>
        </w:rPr>
        <w:t>aequales</w:t>
      </w:r>
      <w:r w:rsidRPr="00AD202C">
        <w:rPr>
          <w:rFonts w:ascii="Times New Roman" w:eastAsia="Times New Roman" w:hAnsi="Times New Roman" w:cs="Times New Roman"/>
          <w:iCs/>
          <w:kern w:val="0"/>
          <w:sz w:val="24"/>
          <w:szCs w:val="24"/>
          <w:lang w:eastAsia="it-IT"/>
          <w14:ligatures w14:val="none"/>
        </w:rPr>
        <w:t xml:space="preserve"> in tanto sono tali in quanto nessuno di loro può vantare sugli altri delle ineguali pretese di dominio (negatorie, dunque, della </w:t>
      </w:r>
      <w:r w:rsidRPr="00AD202C">
        <w:rPr>
          <w:rFonts w:ascii="Times New Roman" w:eastAsia="Times New Roman" w:hAnsi="Times New Roman" w:cs="Times New Roman"/>
          <w:iCs/>
          <w:kern w:val="0"/>
          <w:sz w:val="24"/>
          <w:szCs w:val="24"/>
          <w:lang w:eastAsia="it-IT"/>
          <w14:ligatures w14:val="none"/>
        </w:rPr>
        <w:lastRenderedPageBreak/>
        <w:t xml:space="preserve">libertà altrui). Al contrario di quanto assume </w:t>
      </w:r>
      <w:bookmarkStart w:id="1" w:name="_Hlk166278759"/>
      <w:r w:rsidRPr="00AD202C">
        <w:rPr>
          <w:rFonts w:ascii="Times New Roman" w:eastAsia="Times New Roman" w:hAnsi="Times New Roman" w:cs="Times New Roman"/>
          <w:iCs/>
          <w:kern w:val="0"/>
          <w:sz w:val="24"/>
          <w:szCs w:val="24"/>
          <w:lang w:eastAsia="it-IT"/>
          <w14:ligatures w14:val="none"/>
        </w:rPr>
        <w:t>Böckenförde</w:t>
      </w:r>
      <w:bookmarkEnd w:id="1"/>
      <w:r w:rsidRPr="00AD202C">
        <w:rPr>
          <w:rFonts w:ascii="Times New Roman" w:eastAsia="Times New Roman" w:hAnsi="Times New Roman" w:cs="Times New Roman"/>
          <w:iCs/>
          <w:kern w:val="0"/>
          <w:sz w:val="24"/>
          <w:szCs w:val="24"/>
          <w:lang w:eastAsia="it-IT"/>
          <w14:ligatures w14:val="none"/>
        </w:rPr>
        <w:t>, pertanto, lo Stato liberal-democratico è davvero in grado di garantire da sé le premesse sulle quali si fonda</w:t>
      </w:r>
      <w:r w:rsidR="00D62D88">
        <w:rPr>
          <w:rFonts w:ascii="Times New Roman" w:eastAsia="Times New Roman" w:hAnsi="Times New Roman" w:cs="Times New Roman"/>
          <w:iCs/>
          <w:kern w:val="0"/>
          <w:sz w:val="24"/>
          <w:szCs w:val="24"/>
          <w:lang w:eastAsia="it-IT"/>
          <w14:ligatures w14:val="none"/>
        </w:rPr>
        <w:t>”</w:t>
      </w:r>
      <w:r w:rsidR="006A484E">
        <w:rPr>
          <w:rStyle w:val="Rimandonotaapidipagina"/>
          <w:rFonts w:ascii="Times New Roman" w:eastAsia="Times New Roman" w:hAnsi="Times New Roman" w:cs="Times New Roman"/>
          <w:iCs/>
          <w:kern w:val="0"/>
          <w:sz w:val="24"/>
          <w:szCs w:val="24"/>
          <w:lang w:eastAsia="it-IT"/>
          <w14:ligatures w14:val="none"/>
        </w:rPr>
        <w:footnoteReference w:id="20"/>
      </w:r>
      <w:r w:rsidRPr="00AD202C">
        <w:rPr>
          <w:rFonts w:ascii="Times New Roman" w:eastAsia="Times New Roman" w:hAnsi="Times New Roman" w:cs="Times New Roman"/>
          <w:iCs/>
          <w:kern w:val="0"/>
          <w:sz w:val="24"/>
          <w:szCs w:val="24"/>
          <w:lang w:eastAsia="it-IT"/>
          <w14:ligatures w14:val="none"/>
        </w:rPr>
        <w:t>.</w:t>
      </w:r>
    </w:p>
    <w:p w14:paraId="7EDC3A54" w14:textId="77777777" w:rsidR="00D62D88" w:rsidRDefault="00D62D88" w:rsidP="00D62D88">
      <w:pPr>
        <w:spacing w:after="0" w:line="480" w:lineRule="auto"/>
        <w:ind w:right="-550"/>
        <w:jc w:val="both"/>
      </w:pPr>
      <w:r>
        <w:rPr>
          <w:rFonts w:ascii="Times New Roman" w:eastAsia="Times New Roman" w:hAnsi="Times New Roman" w:cs="Times New Roman"/>
          <w:iCs/>
          <w:kern w:val="0"/>
          <w:sz w:val="24"/>
          <w:szCs w:val="24"/>
          <w:lang w:eastAsia="it-IT"/>
          <w14:ligatures w14:val="none"/>
        </w:rPr>
        <w:t>Ne discende la seguente conclusione dell’intero discorso:</w:t>
      </w:r>
    </w:p>
    <w:p w14:paraId="3E270A35" w14:textId="2D9EBCB3" w:rsidR="00D62D88" w:rsidRDefault="00D62D88" w:rsidP="0004051E">
      <w:pPr>
        <w:spacing w:after="0" w:line="480" w:lineRule="auto"/>
        <w:ind w:right="-550"/>
        <w:jc w:val="both"/>
        <w:rPr>
          <w:rFonts w:ascii="Times New Roman" w:eastAsia="Times New Roman" w:hAnsi="Times New Roman" w:cs="Times New Roman"/>
          <w:iCs/>
          <w:kern w:val="0"/>
          <w:sz w:val="24"/>
          <w:szCs w:val="24"/>
          <w:lang w:eastAsia="it-IT"/>
          <w14:ligatures w14:val="none"/>
        </w:rPr>
      </w:pPr>
      <w:r>
        <w:t>“</w:t>
      </w:r>
      <w:r w:rsidRPr="00D62D88">
        <w:rPr>
          <w:rFonts w:ascii="Times New Roman" w:eastAsia="Times New Roman" w:hAnsi="Times New Roman" w:cs="Times New Roman"/>
          <w:iCs/>
          <w:kern w:val="0"/>
          <w:sz w:val="24"/>
          <w:szCs w:val="24"/>
          <w:lang w:eastAsia="it-IT"/>
          <w14:ligatures w14:val="none"/>
        </w:rPr>
        <w:t>Si potrebbe obiettare che la stessa opzione del non cognitivismo etico non sarebbe altro che una scelta di valore, ma l’obiezione si risolverebbe in un paralogismo. Chi ne muove, infatti, non lo fa in quanto la considera “buona” o “giusta” (in quanto, cioè, per lui ha “valore”), ma in quanto ha constatato l’occlusione della via di una dimostrazione logica dei valori e del loro ordine, acquietandosi nel riconoscimento eguale dell’altro e nella necessità del diá-lógos, che è discussione razionale, fra eguali, democratica. Si compie pertanto qui, nell’esperienza della democrazia, la parabola del politico. Originato dalla capacità socialmente eguagliatrice di βία, solo dolorosamente – per la cruna di lotte e conflitti – esso viene finalmente anche organizzato secondo il modulo eguagliatore del κράτος dell’intero δῆμος, in paradossale coerenza proprio con le sue corrusche origini violente. Il cuore di tenebra della πόλις è anche il suo cuore di luce</w:t>
      </w:r>
      <w:r>
        <w:rPr>
          <w:rFonts w:ascii="Times New Roman" w:eastAsia="Times New Roman" w:hAnsi="Times New Roman" w:cs="Times New Roman"/>
          <w:iCs/>
          <w:kern w:val="0"/>
          <w:sz w:val="24"/>
          <w:szCs w:val="24"/>
          <w:lang w:eastAsia="it-IT"/>
          <w14:ligatures w14:val="none"/>
        </w:rPr>
        <w:t>”</w:t>
      </w:r>
      <w:r>
        <w:rPr>
          <w:rStyle w:val="Rimandonotaapidipagina"/>
          <w:rFonts w:ascii="Times New Roman" w:eastAsia="Times New Roman" w:hAnsi="Times New Roman" w:cs="Times New Roman"/>
          <w:iCs/>
          <w:kern w:val="0"/>
          <w:sz w:val="24"/>
          <w:szCs w:val="24"/>
          <w:lang w:eastAsia="it-IT"/>
          <w14:ligatures w14:val="none"/>
        </w:rPr>
        <w:footnoteReference w:id="21"/>
      </w:r>
      <w:r w:rsidRPr="00D62D88">
        <w:rPr>
          <w:rFonts w:ascii="Times New Roman" w:eastAsia="Times New Roman" w:hAnsi="Times New Roman" w:cs="Times New Roman"/>
          <w:iCs/>
          <w:kern w:val="0"/>
          <w:sz w:val="24"/>
          <w:szCs w:val="24"/>
          <w:lang w:eastAsia="it-IT"/>
          <w14:ligatures w14:val="none"/>
        </w:rPr>
        <w:t>.</w:t>
      </w:r>
    </w:p>
    <w:p w14:paraId="7EB3BB20" w14:textId="5AA34527" w:rsidR="00AD202C" w:rsidRDefault="00AD202C" w:rsidP="0004051E">
      <w:pPr>
        <w:spacing w:after="0" w:line="480" w:lineRule="auto"/>
        <w:ind w:right="-550"/>
        <w:jc w:val="both"/>
        <w:rPr>
          <w:rFonts w:ascii="Times New Roman" w:eastAsia="Times New Roman" w:hAnsi="Times New Roman" w:cs="Times New Roman"/>
          <w:iCs/>
          <w:kern w:val="0"/>
          <w:sz w:val="24"/>
          <w:szCs w:val="24"/>
          <w:lang w:eastAsia="it-IT"/>
          <w14:ligatures w14:val="none"/>
        </w:rPr>
      </w:pPr>
      <w:r>
        <w:rPr>
          <w:rFonts w:ascii="Times New Roman" w:eastAsia="Times New Roman" w:hAnsi="Times New Roman" w:cs="Times New Roman"/>
          <w:iCs/>
          <w:kern w:val="0"/>
          <w:sz w:val="24"/>
          <w:szCs w:val="24"/>
          <w:lang w:eastAsia="it-IT"/>
          <w14:ligatures w14:val="none"/>
        </w:rPr>
        <w:t>Ora, questo  pur suggestivo approccio</w:t>
      </w:r>
      <w:r w:rsidR="00BD07A1">
        <w:rPr>
          <w:rStyle w:val="Rimandonotaapidipagina"/>
          <w:rFonts w:ascii="Times New Roman" w:eastAsia="Times New Roman" w:hAnsi="Times New Roman" w:cs="Times New Roman"/>
          <w:iCs/>
          <w:kern w:val="0"/>
          <w:sz w:val="24"/>
          <w:szCs w:val="24"/>
          <w:lang w:eastAsia="it-IT"/>
          <w14:ligatures w14:val="none"/>
        </w:rPr>
        <w:footnoteReference w:id="22"/>
      </w:r>
      <w:r>
        <w:rPr>
          <w:rFonts w:ascii="Times New Roman" w:eastAsia="Times New Roman" w:hAnsi="Times New Roman" w:cs="Times New Roman"/>
          <w:iCs/>
          <w:kern w:val="0"/>
          <w:sz w:val="24"/>
          <w:szCs w:val="24"/>
          <w:lang w:eastAsia="it-IT"/>
          <w14:ligatures w14:val="none"/>
        </w:rPr>
        <w:t xml:space="preserve"> pare eludere una questione fondamentale.</w:t>
      </w:r>
    </w:p>
    <w:p w14:paraId="4A1443EA" w14:textId="7F7B79CE" w:rsidR="00BD07A1" w:rsidRDefault="00BD07A1" w:rsidP="0004051E">
      <w:pPr>
        <w:spacing w:after="0" w:line="480" w:lineRule="auto"/>
        <w:ind w:right="-550"/>
        <w:jc w:val="both"/>
        <w:rPr>
          <w:rFonts w:ascii="Times New Roman" w:eastAsia="Times New Roman" w:hAnsi="Times New Roman" w:cs="Times New Roman"/>
          <w:iCs/>
          <w:kern w:val="0"/>
          <w:sz w:val="24"/>
          <w:szCs w:val="24"/>
          <w:lang w:eastAsia="it-IT"/>
          <w14:ligatures w14:val="none"/>
        </w:rPr>
      </w:pPr>
      <w:r>
        <w:rPr>
          <w:rFonts w:ascii="Times New Roman" w:eastAsia="Times New Roman" w:hAnsi="Times New Roman" w:cs="Times New Roman"/>
          <w:iCs/>
          <w:kern w:val="0"/>
          <w:sz w:val="24"/>
          <w:szCs w:val="24"/>
          <w:lang w:eastAsia="it-IT"/>
          <w14:ligatures w14:val="none"/>
        </w:rPr>
        <w:t xml:space="preserve">Essa risiede </w:t>
      </w:r>
      <w:r w:rsidR="006A7984">
        <w:rPr>
          <w:rFonts w:ascii="Times New Roman" w:eastAsia="Times New Roman" w:hAnsi="Times New Roman" w:cs="Times New Roman"/>
          <w:iCs/>
          <w:kern w:val="0"/>
          <w:sz w:val="24"/>
          <w:szCs w:val="24"/>
          <w:lang w:eastAsia="it-IT"/>
          <w14:ligatures w14:val="none"/>
        </w:rPr>
        <w:t>nel problema  “della dignità di chi non avrebbe voce per entrare nel processo della “lotta per il riconoscimento”: e cioè della dignità dell’embrione, della persona in coma o del disabile grave”</w:t>
      </w:r>
      <w:r w:rsidR="006A7984">
        <w:rPr>
          <w:rStyle w:val="Rimandonotaapidipagina"/>
          <w:rFonts w:ascii="Times New Roman" w:eastAsia="Times New Roman" w:hAnsi="Times New Roman" w:cs="Times New Roman"/>
          <w:iCs/>
          <w:kern w:val="0"/>
          <w:sz w:val="24"/>
          <w:szCs w:val="24"/>
          <w:lang w:eastAsia="it-IT"/>
          <w14:ligatures w14:val="none"/>
        </w:rPr>
        <w:footnoteReference w:id="23"/>
      </w:r>
      <w:r w:rsidR="006A7984">
        <w:rPr>
          <w:rFonts w:ascii="Times New Roman" w:eastAsia="Times New Roman" w:hAnsi="Times New Roman" w:cs="Times New Roman"/>
          <w:iCs/>
          <w:kern w:val="0"/>
          <w:sz w:val="24"/>
          <w:szCs w:val="24"/>
          <w:lang w:eastAsia="it-IT"/>
          <w14:ligatures w14:val="none"/>
        </w:rPr>
        <w:t>.</w:t>
      </w:r>
    </w:p>
    <w:p w14:paraId="7EFB38D1" w14:textId="36E12478" w:rsidR="006A7984" w:rsidRDefault="00A07A0E" w:rsidP="0004051E">
      <w:pPr>
        <w:spacing w:after="0" w:line="480" w:lineRule="auto"/>
        <w:ind w:right="-550"/>
        <w:jc w:val="both"/>
        <w:rPr>
          <w:rFonts w:ascii="Times New Roman" w:eastAsia="Times New Roman" w:hAnsi="Times New Roman" w:cs="Times New Roman"/>
          <w:iCs/>
          <w:kern w:val="0"/>
          <w:sz w:val="24"/>
          <w:szCs w:val="24"/>
          <w:lang w:eastAsia="it-IT"/>
          <w14:ligatures w14:val="none"/>
        </w:rPr>
      </w:pPr>
      <w:r>
        <w:rPr>
          <w:rFonts w:ascii="Times New Roman" w:eastAsia="Times New Roman" w:hAnsi="Times New Roman" w:cs="Times New Roman"/>
          <w:iCs/>
          <w:kern w:val="0"/>
          <w:sz w:val="24"/>
          <w:szCs w:val="24"/>
          <w:lang w:eastAsia="it-IT"/>
          <w14:ligatures w14:val="none"/>
        </w:rPr>
        <w:t xml:space="preserve">In altri termini, </w:t>
      </w:r>
      <w:r w:rsidR="006A7984">
        <w:rPr>
          <w:rFonts w:ascii="Times New Roman" w:eastAsia="Times New Roman" w:hAnsi="Times New Roman" w:cs="Times New Roman"/>
          <w:iCs/>
          <w:kern w:val="0"/>
          <w:sz w:val="24"/>
          <w:szCs w:val="24"/>
          <w:lang w:eastAsia="it-IT"/>
          <w14:ligatures w14:val="none"/>
        </w:rPr>
        <w:t xml:space="preserve"> il problema non è tanto quello di garantire i diritti degli </w:t>
      </w:r>
      <w:r w:rsidR="006A7984" w:rsidRPr="00347833">
        <w:rPr>
          <w:rFonts w:ascii="Times New Roman" w:eastAsia="Times New Roman" w:hAnsi="Times New Roman" w:cs="Times New Roman"/>
          <w:i/>
          <w:kern w:val="0"/>
          <w:sz w:val="24"/>
          <w:szCs w:val="24"/>
          <w:lang w:eastAsia="it-IT"/>
          <w14:ligatures w14:val="none"/>
        </w:rPr>
        <w:t>aequales,</w:t>
      </w:r>
      <w:r w:rsidR="006A7984">
        <w:rPr>
          <w:rFonts w:ascii="Times New Roman" w:eastAsia="Times New Roman" w:hAnsi="Times New Roman" w:cs="Times New Roman"/>
          <w:iCs/>
          <w:kern w:val="0"/>
          <w:sz w:val="24"/>
          <w:szCs w:val="24"/>
          <w:lang w:eastAsia="it-IT"/>
          <w14:ligatures w14:val="none"/>
        </w:rPr>
        <w:t xml:space="preserve"> ma di prendere atto che gli </w:t>
      </w:r>
      <w:r w:rsidR="006A7984" w:rsidRPr="00347833">
        <w:rPr>
          <w:rFonts w:ascii="Times New Roman" w:eastAsia="Times New Roman" w:hAnsi="Times New Roman" w:cs="Times New Roman"/>
          <w:i/>
          <w:kern w:val="0"/>
          <w:sz w:val="24"/>
          <w:szCs w:val="24"/>
          <w:lang w:eastAsia="it-IT"/>
          <w14:ligatures w14:val="none"/>
        </w:rPr>
        <w:t>aequales</w:t>
      </w:r>
      <w:r w:rsidR="006A7984">
        <w:rPr>
          <w:rFonts w:ascii="Times New Roman" w:eastAsia="Times New Roman" w:hAnsi="Times New Roman" w:cs="Times New Roman"/>
          <w:iCs/>
          <w:kern w:val="0"/>
          <w:sz w:val="24"/>
          <w:szCs w:val="24"/>
          <w:lang w:eastAsia="it-IT"/>
          <w14:ligatures w14:val="none"/>
        </w:rPr>
        <w:t xml:space="preserve"> legiferano anche </w:t>
      </w:r>
      <w:r w:rsidR="006A7984" w:rsidRPr="006A7984">
        <w:rPr>
          <w:rFonts w:ascii="Times New Roman" w:eastAsia="Times New Roman" w:hAnsi="Times New Roman" w:cs="Times New Roman"/>
          <w:i/>
          <w:kern w:val="0"/>
          <w:sz w:val="24"/>
          <w:szCs w:val="24"/>
          <w:lang w:eastAsia="it-IT"/>
          <w14:ligatures w14:val="none"/>
        </w:rPr>
        <w:t>per</w:t>
      </w:r>
      <w:r w:rsidR="00AA6B66">
        <w:rPr>
          <w:rFonts w:ascii="Times New Roman" w:eastAsia="Times New Roman" w:hAnsi="Times New Roman" w:cs="Times New Roman"/>
          <w:iCs/>
          <w:kern w:val="0"/>
          <w:sz w:val="24"/>
          <w:szCs w:val="24"/>
          <w:lang w:eastAsia="it-IT"/>
          <w14:ligatures w14:val="none"/>
        </w:rPr>
        <w:t xml:space="preserve"> (</w:t>
      </w:r>
      <w:r w:rsidR="000E6AEF">
        <w:rPr>
          <w:rFonts w:ascii="Times New Roman" w:eastAsia="Times New Roman" w:hAnsi="Times New Roman" w:cs="Times New Roman"/>
          <w:iCs/>
          <w:kern w:val="0"/>
          <w:sz w:val="24"/>
          <w:szCs w:val="24"/>
          <w:lang w:eastAsia="it-IT"/>
          <w14:ligatures w14:val="none"/>
        </w:rPr>
        <w:t>inteso come</w:t>
      </w:r>
      <w:r w:rsidR="00AA6B66">
        <w:rPr>
          <w:rFonts w:ascii="Times New Roman" w:eastAsia="Times New Roman" w:hAnsi="Times New Roman" w:cs="Times New Roman"/>
          <w:iCs/>
          <w:kern w:val="0"/>
          <w:sz w:val="24"/>
          <w:szCs w:val="24"/>
          <w:lang w:eastAsia="it-IT"/>
          <w14:ligatures w14:val="none"/>
        </w:rPr>
        <w:t xml:space="preserve"> causa finale</w:t>
      </w:r>
      <w:r>
        <w:rPr>
          <w:rFonts w:ascii="Times New Roman" w:eastAsia="Times New Roman" w:hAnsi="Times New Roman" w:cs="Times New Roman"/>
          <w:iCs/>
          <w:kern w:val="0"/>
          <w:sz w:val="24"/>
          <w:szCs w:val="24"/>
          <w:lang w:eastAsia="it-IT"/>
          <w14:ligatures w14:val="none"/>
        </w:rPr>
        <w:t>,</w:t>
      </w:r>
      <w:r w:rsidR="00AA6B66">
        <w:rPr>
          <w:rFonts w:ascii="Times New Roman" w:eastAsia="Times New Roman" w:hAnsi="Times New Roman" w:cs="Times New Roman"/>
          <w:iCs/>
          <w:kern w:val="0"/>
          <w:sz w:val="24"/>
          <w:szCs w:val="24"/>
          <w:lang w:eastAsia="it-IT"/>
          <w14:ligatures w14:val="none"/>
        </w:rPr>
        <w:t xml:space="preserve"> ma anche</w:t>
      </w:r>
      <w:r w:rsidR="000E6AEF">
        <w:rPr>
          <w:rFonts w:ascii="Times New Roman" w:eastAsia="Times New Roman" w:hAnsi="Times New Roman" w:cs="Times New Roman"/>
          <w:iCs/>
          <w:kern w:val="0"/>
          <w:sz w:val="24"/>
          <w:szCs w:val="24"/>
          <w:lang w:eastAsia="it-IT"/>
          <w14:ligatures w14:val="none"/>
        </w:rPr>
        <w:t xml:space="preserve"> come </w:t>
      </w:r>
      <w:r w:rsidR="00AA6B66">
        <w:rPr>
          <w:rFonts w:ascii="Times New Roman" w:eastAsia="Times New Roman" w:hAnsi="Times New Roman" w:cs="Times New Roman"/>
          <w:iCs/>
          <w:kern w:val="0"/>
          <w:sz w:val="24"/>
          <w:szCs w:val="24"/>
          <w:lang w:eastAsia="it-IT"/>
          <w14:ligatures w14:val="none"/>
        </w:rPr>
        <w:t xml:space="preserve"> </w:t>
      </w:r>
      <w:r w:rsidR="00AA6B66" w:rsidRPr="00AA6B66">
        <w:rPr>
          <w:rFonts w:ascii="Times New Roman" w:eastAsia="Times New Roman" w:hAnsi="Times New Roman" w:cs="Times New Roman"/>
          <w:i/>
          <w:kern w:val="0"/>
          <w:sz w:val="24"/>
          <w:szCs w:val="24"/>
          <w:lang w:eastAsia="it-IT"/>
          <w14:ligatures w14:val="none"/>
        </w:rPr>
        <w:t>in vece di</w:t>
      </w:r>
      <w:r w:rsidR="00AA6B66">
        <w:rPr>
          <w:rFonts w:ascii="Times New Roman" w:eastAsia="Times New Roman" w:hAnsi="Times New Roman" w:cs="Times New Roman"/>
          <w:iCs/>
          <w:kern w:val="0"/>
          <w:sz w:val="24"/>
          <w:szCs w:val="24"/>
          <w:lang w:eastAsia="it-IT"/>
          <w14:ligatures w14:val="none"/>
        </w:rPr>
        <w:t>) coloro che non hanno voce e che sotto questo aspetto</w:t>
      </w:r>
      <w:r w:rsidR="00AA6B66" w:rsidRPr="00347833">
        <w:rPr>
          <w:rFonts w:ascii="Times New Roman" w:eastAsia="Times New Roman" w:hAnsi="Times New Roman" w:cs="Times New Roman"/>
          <w:i/>
          <w:kern w:val="0"/>
          <w:sz w:val="24"/>
          <w:szCs w:val="24"/>
          <w:lang w:eastAsia="it-IT"/>
          <w14:ligatures w14:val="none"/>
        </w:rPr>
        <w:t xml:space="preserve"> aequales </w:t>
      </w:r>
      <w:r w:rsidR="00AA6B66">
        <w:rPr>
          <w:rFonts w:ascii="Times New Roman" w:eastAsia="Times New Roman" w:hAnsi="Times New Roman" w:cs="Times New Roman"/>
          <w:iCs/>
          <w:kern w:val="0"/>
          <w:sz w:val="24"/>
          <w:szCs w:val="24"/>
          <w:lang w:eastAsia="it-IT"/>
          <w14:ligatures w14:val="none"/>
        </w:rPr>
        <w:t>non sono.</w:t>
      </w:r>
    </w:p>
    <w:p w14:paraId="0004B67F" w14:textId="3A919BD9" w:rsidR="00AA6B66" w:rsidRDefault="00AA6B66" w:rsidP="0004051E">
      <w:pPr>
        <w:spacing w:after="0" w:line="480" w:lineRule="auto"/>
        <w:ind w:right="-550"/>
        <w:jc w:val="both"/>
        <w:rPr>
          <w:rFonts w:ascii="Times New Roman" w:eastAsia="Times New Roman" w:hAnsi="Times New Roman" w:cs="Times New Roman"/>
          <w:iCs/>
          <w:kern w:val="0"/>
          <w:sz w:val="24"/>
          <w:szCs w:val="24"/>
          <w:lang w:eastAsia="it-IT"/>
          <w14:ligatures w14:val="none"/>
        </w:rPr>
      </w:pPr>
      <w:r>
        <w:rPr>
          <w:rFonts w:ascii="Times New Roman" w:eastAsia="Times New Roman" w:hAnsi="Times New Roman" w:cs="Times New Roman"/>
          <w:iCs/>
          <w:kern w:val="0"/>
          <w:sz w:val="24"/>
          <w:szCs w:val="24"/>
          <w:lang w:eastAsia="it-IT"/>
          <w14:ligatures w14:val="none"/>
        </w:rPr>
        <w:lastRenderedPageBreak/>
        <w:t>Il che riporta alla  incontestabile insufficienza della mera logica (formale) e alla necessità di una logica (materiale) che indaghi sulla ontologia del presupposto, quale necessario fondamento dell’assiologia. Problema ineludibile, dunque, con tutte le conseguenze relative al tema della dignità</w:t>
      </w:r>
      <w:r>
        <w:rPr>
          <w:rStyle w:val="Rimandonotaapidipagina"/>
          <w:rFonts w:ascii="Times New Roman" w:eastAsia="Times New Roman" w:hAnsi="Times New Roman" w:cs="Times New Roman"/>
          <w:iCs/>
          <w:kern w:val="0"/>
          <w:sz w:val="24"/>
          <w:szCs w:val="24"/>
          <w:lang w:eastAsia="it-IT"/>
          <w14:ligatures w14:val="none"/>
        </w:rPr>
        <w:footnoteReference w:id="24"/>
      </w:r>
      <w:r>
        <w:rPr>
          <w:rFonts w:ascii="Times New Roman" w:eastAsia="Times New Roman" w:hAnsi="Times New Roman" w:cs="Times New Roman"/>
          <w:iCs/>
          <w:kern w:val="0"/>
          <w:sz w:val="24"/>
          <w:szCs w:val="24"/>
          <w:lang w:eastAsia="it-IT"/>
          <w14:ligatures w14:val="none"/>
        </w:rPr>
        <w:t>.</w:t>
      </w:r>
    </w:p>
    <w:p w14:paraId="582C2796" w14:textId="4B44B265" w:rsidR="00AA6B66" w:rsidRDefault="00AA6B66" w:rsidP="0004051E">
      <w:pPr>
        <w:spacing w:after="0" w:line="480" w:lineRule="auto"/>
        <w:ind w:right="-550"/>
        <w:jc w:val="both"/>
        <w:rPr>
          <w:rFonts w:ascii="Times New Roman" w:eastAsia="Times New Roman" w:hAnsi="Times New Roman" w:cs="Times New Roman"/>
          <w:iCs/>
          <w:kern w:val="0"/>
          <w:sz w:val="24"/>
          <w:szCs w:val="24"/>
          <w:lang w:eastAsia="it-IT"/>
          <w14:ligatures w14:val="none"/>
        </w:rPr>
      </w:pPr>
      <w:r>
        <w:rPr>
          <w:rFonts w:ascii="Times New Roman" w:eastAsia="Times New Roman" w:hAnsi="Times New Roman" w:cs="Times New Roman"/>
          <w:iCs/>
          <w:kern w:val="0"/>
          <w:sz w:val="24"/>
          <w:szCs w:val="24"/>
          <w:lang w:eastAsia="it-IT"/>
          <w14:ligatures w14:val="none"/>
        </w:rPr>
        <w:t xml:space="preserve">Naturalmente questo non vuol dire svalutare la dialogicità democratica. E’ utile richiamare a questo proposito non tanto le teorie deliberative contemporanee, quanto un testo abbastanza dimenticato degli anni Cinquanta del Novecento: si tratta dell’opera di John H. Hallowell, </w:t>
      </w:r>
      <w:r w:rsidRPr="00A23ED5">
        <w:rPr>
          <w:rFonts w:ascii="Times New Roman" w:eastAsia="Times New Roman" w:hAnsi="Times New Roman" w:cs="Times New Roman"/>
          <w:i/>
          <w:kern w:val="0"/>
          <w:sz w:val="24"/>
          <w:szCs w:val="24"/>
          <w:lang w:eastAsia="it-IT"/>
          <w14:ligatures w14:val="none"/>
        </w:rPr>
        <w:t>The moral Foundation of democracy</w:t>
      </w:r>
      <w:r w:rsidR="00330545">
        <w:rPr>
          <w:rStyle w:val="Rimandonotaapidipagina"/>
          <w:rFonts w:ascii="Times New Roman" w:eastAsia="Times New Roman" w:hAnsi="Times New Roman" w:cs="Times New Roman"/>
          <w:iCs/>
          <w:kern w:val="0"/>
          <w:sz w:val="24"/>
          <w:szCs w:val="24"/>
          <w:lang w:eastAsia="it-IT"/>
          <w14:ligatures w14:val="none"/>
        </w:rPr>
        <w:footnoteReference w:id="25"/>
      </w:r>
      <w:r w:rsidR="00330545">
        <w:rPr>
          <w:rFonts w:ascii="Times New Roman" w:eastAsia="Times New Roman" w:hAnsi="Times New Roman" w:cs="Times New Roman"/>
          <w:iCs/>
          <w:kern w:val="0"/>
          <w:sz w:val="24"/>
          <w:szCs w:val="24"/>
          <w:lang w:eastAsia="it-IT"/>
          <w14:ligatures w14:val="none"/>
        </w:rPr>
        <w:t xml:space="preserve">, che è una critica radicale  alle visioni della democrazia come compromesso </w:t>
      </w:r>
      <w:r w:rsidR="003B652E">
        <w:rPr>
          <w:rFonts w:ascii="Times New Roman" w:eastAsia="Times New Roman" w:hAnsi="Times New Roman" w:cs="Times New Roman"/>
          <w:iCs/>
          <w:kern w:val="0"/>
          <w:sz w:val="24"/>
          <w:szCs w:val="24"/>
          <w:lang w:eastAsia="it-IT"/>
          <w14:ligatures w14:val="none"/>
        </w:rPr>
        <w:t xml:space="preserve">in vista di </w:t>
      </w:r>
      <w:r w:rsidR="00330545">
        <w:rPr>
          <w:rFonts w:ascii="Times New Roman" w:eastAsia="Times New Roman" w:hAnsi="Times New Roman" w:cs="Times New Roman"/>
          <w:iCs/>
          <w:kern w:val="0"/>
          <w:sz w:val="24"/>
          <w:szCs w:val="24"/>
          <w:lang w:eastAsia="it-IT"/>
          <w14:ligatures w14:val="none"/>
        </w:rPr>
        <w:t xml:space="preserve"> un recupero delle nozioni di verità, giustizia e bene comune.</w:t>
      </w:r>
    </w:p>
    <w:p w14:paraId="0CD07253" w14:textId="0E7913D3" w:rsidR="00330545" w:rsidRDefault="00330545" w:rsidP="0004051E">
      <w:pPr>
        <w:spacing w:after="0" w:line="480" w:lineRule="auto"/>
        <w:ind w:right="-550"/>
        <w:jc w:val="both"/>
        <w:rPr>
          <w:rFonts w:ascii="Times New Roman" w:eastAsia="Times New Roman" w:hAnsi="Times New Roman" w:cs="Times New Roman"/>
          <w:iCs/>
          <w:kern w:val="0"/>
          <w:sz w:val="24"/>
          <w:szCs w:val="24"/>
          <w:lang w:eastAsia="it-IT"/>
          <w14:ligatures w14:val="none"/>
        </w:rPr>
      </w:pPr>
      <w:r>
        <w:rPr>
          <w:rFonts w:ascii="Times New Roman" w:eastAsia="Times New Roman" w:hAnsi="Times New Roman" w:cs="Times New Roman"/>
          <w:iCs/>
          <w:kern w:val="0"/>
          <w:sz w:val="24"/>
          <w:szCs w:val="24"/>
          <w:lang w:eastAsia="it-IT"/>
          <w14:ligatures w14:val="none"/>
        </w:rPr>
        <w:t xml:space="preserve">In realtà, paradossalmente il problema non è la logica deliberativa: non </w:t>
      </w:r>
      <w:r w:rsidR="003B652E">
        <w:rPr>
          <w:rFonts w:ascii="Times New Roman" w:eastAsia="Times New Roman" w:hAnsi="Times New Roman" w:cs="Times New Roman"/>
          <w:iCs/>
          <w:kern w:val="0"/>
          <w:sz w:val="24"/>
          <w:szCs w:val="24"/>
          <w:lang w:eastAsia="it-IT"/>
          <w14:ligatures w14:val="none"/>
        </w:rPr>
        <w:t>si</w:t>
      </w:r>
      <w:r>
        <w:rPr>
          <w:rFonts w:ascii="Times New Roman" w:eastAsia="Times New Roman" w:hAnsi="Times New Roman" w:cs="Times New Roman"/>
          <w:iCs/>
          <w:kern w:val="0"/>
          <w:sz w:val="24"/>
          <w:szCs w:val="24"/>
          <w:lang w:eastAsia="it-IT"/>
          <w14:ligatures w14:val="none"/>
        </w:rPr>
        <w:t xml:space="preserve"> delibera troppo, si delibera male, in quanto “per avere autentico carattere di legge, il prodotto dell’assemblea non deve essere semplice espressione della volontà dei suoi componenti, bensì il risultato di una discussione razionale”</w:t>
      </w:r>
      <w:r w:rsidR="00B566D7">
        <w:rPr>
          <w:rFonts w:ascii="Times New Roman" w:eastAsia="Times New Roman" w:hAnsi="Times New Roman" w:cs="Times New Roman"/>
          <w:iCs/>
          <w:kern w:val="0"/>
          <w:sz w:val="24"/>
          <w:szCs w:val="24"/>
          <w:lang w:eastAsia="it-IT"/>
          <w14:ligatures w14:val="none"/>
        </w:rPr>
        <w:t xml:space="preserve"> </w:t>
      </w:r>
      <w:r w:rsidR="00347833">
        <w:rPr>
          <w:rStyle w:val="Rimandonotaapidipagina"/>
          <w:rFonts w:ascii="Times New Roman" w:eastAsia="Times New Roman" w:hAnsi="Times New Roman" w:cs="Times New Roman"/>
          <w:iCs/>
          <w:kern w:val="0"/>
          <w:sz w:val="24"/>
          <w:szCs w:val="24"/>
          <w:lang w:eastAsia="it-IT"/>
          <w14:ligatures w14:val="none"/>
        </w:rPr>
        <w:footnoteReference w:id="26"/>
      </w:r>
      <w:r w:rsidR="00B566D7">
        <w:rPr>
          <w:rFonts w:ascii="Times New Roman" w:eastAsia="Times New Roman" w:hAnsi="Times New Roman" w:cs="Times New Roman"/>
          <w:iCs/>
          <w:kern w:val="0"/>
          <w:sz w:val="24"/>
          <w:szCs w:val="24"/>
          <w:lang w:eastAsia="it-IT"/>
          <w14:ligatures w14:val="none"/>
        </w:rPr>
        <w:t>… ma “nella misura in cui la volontà prende il posto</w:t>
      </w:r>
      <w:r w:rsidR="003B652E">
        <w:rPr>
          <w:rFonts w:ascii="Times New Roman" w:eastAsia="Times New Roman" w:hAnsi="Times New Roman" w:cs="Times New Roman"/>
          <w:iCs/>
          <w:kern w:val="0"/>
          <w:sz w:val="24"/>
          <w:szCs w:val="24"/>
          <w:lang w:eastAsia="it-IT"/>
          <w14:ligatures w14:val="none"/>
        </w:rPr>
        <w:t xml:space="preserve"> </w:t>
      </w:r>
      <w:r w:rsidR="00B566D7">
        <w:rPr>
          <w:rFonts w:ascii="Times New Roman" w:eastAsia="Times New Roman" w:hAnsi="Times New Roman" w:cs="Times New Roman"/>
          <w:iCs/>
          <w:kern w:val="0"/>
          <w:sz w:val="24"/>
          <w:szCs w:val="24"/>
          <w:lang w:eastAsia="it-IT"/>
          <w14:ligatures w14:val="none"/>
        </w:rPr>
        <w:t>della riflessione e la</w:t>
      </w:r>
      <w:r w:rsidR="003B652E">
        <w:rPr>
          <w:rFonts w:ascii="Times New Roman" w:eastAsia="Times New Roman" w:hAnsi="Times New Roman" w:cs="Times New Roman"/>
          <w:iCs/>
          <w:kern w:val="0"/>
          <w:sz w:val="24"/>
          <w:szCs w:val="24"/>
          <w:lang w:eastAsia="it-IT"/>
          <w14:ligatures w14:val="none"/>
        </w:rPr>
        <w:t xml:space="preserve"> </w:t>
      </w:r>
      <w:r w:rsidR="00B566D7">
        <w:rPr>
          <w:rFonts w:ascii="Times New Roman" w:eastAsia="Times New Roman" w:hAnsi="Times New Roman" w:cs="Times New Roman"/>
          <w:iCs/>
          <w:kern w:val="0"/>
          <w:sz w:val="24"/>
          <w:szCs w:val="24"/>
          <w:lang w:eastAsia="it-IT"/>
          <w14:ligatures w14:val="none"/>
        </w:rPr>
        <w:t>ricerca dei mezzi più idonei a gratificare le aspettative sostituisce il perseguimento della giustizia, la legislazione degenera in comando arbitrario e il dovere cede il posto alla forza</w:t>
      </w:r>
      <w:r w:rsidR="003C7E3B">
        <w:rPr>
          <w:rFonts w:ascii="Times New Roman" w:eastAsia="Times New Roman" w:hAnsi="Times New Roman" w:cs="Times New Roman"/>
          <w:iCs/>
          <w:kern w:val="0"/>
          <w:sz w:val="24"/>
          <w:szCs w:val="24"/>
          <w:lang w:eastAsia="it-IT"/>
          <w14:ligatures w14:val="none"/>
        </w:rPr>
        <w:t xml:space="preserve">” </w:t>
      </w:r>
      <w:r w:rsidR="00347833">
        <w:rPr>
          <w:rStyle w:val="Rimandonotaapidipagina"/>
          <w:rFonts w:ascii="Times New Roman" w:eastAsia="Times New Roman" w:hAnsi="Times New Roman" w:cs="Times New Roman"/>
          <w:iCs/>
          <w:kern w:val="0"/>
          <w:sz w:val="24"/>
          <w:szCs w:val="24"/>
          <w:lang w:eastAsia="it-IT"/>
          <w14:ligatures w14:val="none"/>
        </w:rPr>
        <w:footnoteReference w:id="27"/>
      </w:r>
      <w:r w:rsidR="00B566D7">
        <w:rPr>
          <w:rFonts w:ascii="Times New Roman" w:eastAsia="Times New Roman" w:hAnsi="Times New Roman" w:cs="Times New Roman"/>
          <w:iCs/>
          <w:kern w:val="0"/>
          <w:sz w:val="24"/>
          <w:szCs w:val="24"/>
          <w:lang w:eastAsia="it-IT"/>
          <w14:ligatures w14:val="none"/>
        </w:rPr>
        <w:t>.</w:t>
      </w:r>
    </w:p>
    <w:p w14:paraId="5EDA4563" w14:textId="4588F69E" w:rsidR="00B566D7" w:rsidRDefault="00B566D7" w:rsidP="0004051E">
      <w:pPr>
        <w:spacing w:after="0" w:line="480" w:lineRule="auto"/>
        <w:ind w:right="-550"/>
        <w:jc w:val="both"/>
        <w:rPr>
          <w:rFonts w:ascii="Times New Roman" w:eastAsia="Times New Roman" w:hAnsi="Times New Roman" w:cs="Times New Roman"/>
          <w:iCs/>
          <w:kern w:val="0"/>
          <w:sz w:val="24"/>
          <w:szCs w:val="24"/>
          <w:lang w:eastAsia="it-IT"/>
          <w14:ligatures w14:val="none"/>
        </w:rPr>
      </w:pPr>
      <w:r>
        <w:rPr>
          <w:rFonts w:ascii="Times New Roman" w:eastAsia="Times New Roman" w:hAnsi="Times New Roman" w:cs="Times New Roman"/>
          <w:iCs/>
          <w:kern w:val="0"/>
          <w:sz w:val="24"/>
          <w:szCs w:val="24"/>
          <w:lang w:eastAsia="it-IT"/>
          <w14:ligatures w14:val="none"/>
        </w:rPr>
        <w:t>Con riferimento al nostro tema: “…il positivista [qui inteso nel senso delle scienze naturali e sociali] non può sanzionare in modo empirico il valore morale o l’eguaglianza spirituale degli individui, così che all’idea dell’eguaglianza sostanziale è costretto a sostituire un’eguaglianza puramente formale</w:t>
      </w:r>
      <w:r>
        <w:rPr>
          <w:rStyle w:val="Rimandonotaapidipagina"/>
          <w:rFonts w:ascii="Times New Roman" w:eastAsia="Times New Roman" w:hAnsi="Times New Roman" w:cs="Times New Roman"/>
          <w:iCs/>
          <w:kern w:val="0"/>
          <w:sz w:val="24"/>
          <w:szCs w:val="24"/>
          <w:lang w:eastAsia="it-IT"/>
          <w14:ligatures w14:val="none"/>
        </w:rPr>
        <w:footnoteReference w:id="28"/>
      </w:r>
      <w:r>
        <w:rPr>
          <w:rFonts w:ascii="Times New Roman" w:eastAsia="Times New Roman" w:hAnsi="Times New Roman" w:cs="Times New Roman"/>
          <w:iCs/>
          <w:kern w:val="0"/>
          <w:sz w:val="24"/>
          <w:szCs w:val="24"/>
          <w:lang w:eastAsia="it-IT"/>
          <w14:ligatures w14:val="none"/>
        </w:rPr>
        <w:t>, negando in tal modo quella premessa dell’assoluto valore morale individuale che costituisce il fondamento del liberalismo nella sua concezione originaria”</w:t>
      </w:r>
      <w:r w:rsidR="001907E9">
        <w:rPr>
          <w:rFonts w:ascii="Times New Roman" w:eastAsia="Times New Roman" w:hAnsi="Times New Roman" w:cs="Times New Roman"/>
          <w:iCs/>
          <w:kern w:val="0"/>
          <w:sz w:val="24"/>
          <w:szCs w:val="24"/>
          <w:lang w:eastAsia="it-IT"/>
          <w14:ligatures w14:val="none"/>
        </w:rPr>
        <w:t xml:space="preserve"> </w:t>
      </w:r>
      <w:r w:rsidR="00347833">
        <w:rPr>
          <w:rStyle w:val="Rimandonotaapidipagina"/>
          <w:rFonts w:ascii="Times New Roman" w:eastAsia="Times New Roman" w:hAnsi="Times New Roman" w:cs="Times New Roman"/>
          <w:iCs/>
          <w:kern w:val="0"/>
          <w:sz w:val="24"/>
          <w:szCs w:val="24"/>
          <w:lang w:eastAsia="it-IT"/>
          <w14:ligatures w14:val="none"/>
        </w:rPr>
        <w:footnoteReference w:id="29"/>
      </w:r>
      <w:r w:rsidR="001907E9">
        <w:rPr>
          <w:rFonts w:ascii="Times New Roman" w:eastAsia="Times New Roman" w:hAnsi="Times New Roman" w:cs="Times New Roman"/>
          <w:iCs/>
          <w:kern w:val="0"/>
          <w:sz w:val="24"/>
          <w:szCs w:val="24"/>
          <w:lang w:eastAsia="it-IT"/>
          <w14:ligatures w14:val="none"/>
        </w:rPr>
        <w:t>.</w:t>
      </w:r>
    </w:p>
    <w:p w14:paraId="2C849576" w14:textId="1C6BB348" w:rsidR="001907E9" w:rsidRDefault="001907E9" w:rsidP="0004051E">
      <w:pPr>
        <w:spacing w:after="0" w:line="480" w:lineRule="auto"/>
        <w:ind w:right="-550"/>
        <w:jc w:val="both"/>
        <w:rPr>
          <w:rFonts w:ascii="Times New Roman" w:eastAsia="Times New Roman" w:hAnsi="Times New Roman" w:cs="Times New Roman"/>
          <w:iCs/>
          <w:kern w:val="0"/>
          <w:sz w:val="24"/>
          <w:szCs w:val="24"/>
          <w:lang w:eastAsia="it-IT"/>
          <w14:ligatures w14:val="none"/>
        </w:rPr>
      </w:pPr>
      <w:r>
        <w:rPr>
          <w:rFonts w:ascii="Times New Roman" w:eastAsia="Times New Roman" w:hAnsi="Times New Roman" w:cs="Times New Roman"/>
          <w:iCs/>
          <w:kern w:val="0"/>
          <w:sz w:val="24"/>
          <w:szCs w:val="24"/>
          <w:lang w:eastAsia="it-IT"/>
          <w14:ligatures w14:val="none"/>
        </w:rPr>
        <w:t xml:space="preserve">E inoltre, con riferimento al principio maggioritario, una fondamentale lettura aristotelica (dove si richiama </w:t>
      </w:r>
      <w:r w:rsidRPr="002810E9">
        <w:rPr>
          <w:rFonts w:ascii="Times New Roman" w:eastAsia="Times New Roman" w:hAnsi="Times New Roman" w:cs="Times New Roman"/>
          <w:i/>
          <w:kern w:val="0"/>
          <w:sz w:val="24"/>
          <w:szCs w:val="24"/>
          <w:lang w:eastAsia="it-IT"/>
          <w14:ligatures w14:val="none"/>
        </w:rPr>
        <w:t xml:space="preserve">Politica </w:t>
      </w:r>
      <w:r>
        <w:rPr>
          <w:rFonts w:ascii="Times New Roman" w:eastAsia="Times New Roman" w:hAnsi="Times New Roman" w:cs="Times New Roman"/>
          <w:iCs/>
          <w:kern w:val="0"/>
          <w:sz w:val="24"/>
          <w:szCs w:val="24"/>
          <w:lang w:eastAsia="it-IT"/>
          <w14:ligatures w14:val="none"/>
        </w:rPr>
        <w:t>III, 11.2.3):</w:t>
      </w:r>
    </w:p>
    <w:p w14:paraId="7DE0903D" w14:textId="74D163FC" w:rsidR="001907E9" w:rsidRDefault="001907E9" w:rsidP="0004051E">
      <w:pPr>
        <w:spacing w:after="0" w:line="480" w:lineRule="auto"/>
        <w:ind w:right="-550"/>
        <w:jc w:val="both"/>
        <w:rPr>
          <w:rFonts w:ascii="Times New Roman" w:eastAsia="Times New Roman" w:hAnsi="Times New Roman" w:cs="Times New Roman"/>
          <w:iCs/>
          <w:kern w:val="0"/>
          <w:sz w:val="24"/>
          <w:szCs w:val="24"/>
          <w:lang w:eastAsia="it-IT"/>
          <w14:ligatures w14:val="none"/>
        </w:rPr>
      </w:pPr>
      <w:r>
        <w:rPr>
          <w:rFonts w:ascii="Times New Roman" w:eastAsia="Times New Roman" w:hAnsi="Times New Roman" w:cs="Times New Roman"/>
          <w:iCs/>
          <w:kern w:val="0"/>
          <w:sz w:val="24"/>
          <w:szCs w:val="24"/>
          <w:lang w:eastAsia="it-IT"/>
          <w14:ligatures w14:val="none"/>
        </w:rPr>
        <w:lastRenderedPageBreak/>
        <w:t xml:space="preserve">“Ciò che la forma democratica </w:t>
      </w:r>
      <w:r w:rsidR="000B7866">
        <w:rPr>
          <w:rFonts w:ascii="Times New Roman" w:eastAsia="Times New Roman" w:hAnsi="Times New Roman" w:cs="Times New Roman"/>
          <w:iCs/>
          <w:kern w:val="0"/>
          <w:sz w:val="24"/>
          <w:szCs w:val="24"/>
          <w:lang w:eastAsia="it-IT"/>
          <w14:ligatures w14:val="none"/>
        </w:rPr>
        <w:t>di</w:t>
      </w:r>
      <w:r>
        <w:rPr>
          <w:rFonts w:ascii="Times New Roman" w:eastAsia="Times New Roman" w:hAnsi="Times New Roman" w:cs="Times New Roman"/>
          <w:iCs/>
          <w:kern w:val="0"/>
          <w:sz w:val="24"/>
          <w:szCs w:val="24"/>
          <w:lang w:eastAsia="it-IT"/>
          <w14:ligatures w14:val="none"/>
        </w:rPr>
        <w:t xml:space="preserve"> governo richiede non è la sottomissione  alla volontà della parte più numerosa in ragione della sua superiorità quantitativa, bensì l’esecuzione del responso ragionato della maggioranza medesima… Il principio di maggioranza si fonda sulla convinzione per cui la più ampia possibile discussione e partecipazione popolare alla formulazione della politica dà verosimilmente origine a decisioni più sag</w:t>
      </w:r>
      <w:r w:rsidR="000B7866">
        <w:rPr>
          <w:rFonts w:ascii="Times New Roman" w:eastAsia="Times New Roman" w:hAnsi="Times New Roman" w:cs="Times New Roman"/>
          <w:iCs/>
          <w:kern w:val="0"/>
          <w:sz w:val="24"/>
          <w:szCs w:val="24"/>
          <w:lang w:eastAsia="it-IT"/>
          <w14:ligatures w14:val="none"/>
        </w:rPr>
        <w:t>g</w:t>
      </w:r>
      <w:r>
        <w:rPr>
          <w:rFonts w:ascii="Times New Roman" w:eastAsia="Times New Roman" w:hAnsi="Times New Roman" w:cs="Times New Roman"/>
          <w:iCs/>
          <w:kern w:val="0"/>
          <w:sz w:val="24"/>
          <w:szCs w:val="24"/>
          <w:lang w:eastAsia="it-IT"/>
          <w14:ligatures w14:val="none"/>
        </w:rPr>
        <w:t>e di quelle che produrrebbe una discussione limitat</w:t>
      </w:r>
      <w:r w:rsidR="003D0878">
        <w:rPr>
          <w:rFonts w:ascii="Times New Roman" w:eastAsia="Times New Roman" w:hAnsi="Times New Roman" w:cs="Times New Roman"/>
          <w:iCs/>
          <w:kern w:val="0"/>
          <w:sz w:val="24"/>
          <w:szCs w:val="24"/>
          <w:lang w:eastAsia="it-IT"/>
          <w14:ligatures w14:val="none"/>
        </w:rPr>
        <w:t>a</w:t>
      </w:r>
      <w:r>
        <w:rPr>
          <w:rFonts w:ascii="Times New Roman" w:eastAsia="Times New Roman" w:hAnsi="Times New Roman" w:cs="Times New Roman"/>
          <w:iCs/>
          <w:kern w:val="0"/>
          <w:sz w:val="24"/>
          <w:szCs w:val="24"/>
          <w:lang w:eastAsia="it-IT"/>
          <w14:ligatures w14:val="none"/>
        </w:rPr>
        <w:t xml:space="preserve"> a pochi partecipanti”</w:t>
      </w:r>
      <w:r w:rsidR="00347833">
        <w:rPr>
          <w:rStyle w:val="Rimandonotaapidipagina"/>
          <w:rFonts w:ascii="Times New Roman" w:eastAsia="Times New Roman" w:hAnsi="Times New Roman" w:cs="Times New Roman"/>
          <w:iCs/>
          <w:kern w:val="0"/>
          <w:sz w:val="24"/>
          <w:szCs w:val="24"/>
          <w:lang w:eastAsia="it-IT"/>
          <w14:ligatures w14:val="none"/>
        </w:rPr>
        <w:footnoteReference w:id="30"/>
      </w:r>
      <w:r>
        <w:rPr>
          <w:rFonts w:ascii="Times New Roman" w:eastAsia="Times New Roman" w:hAnsi="Times New Roman" w:cs="Times New Roman"/>
          <w:iCs/>
          <w:kern w:val="0"/>
          <w:sz w:val="24"/>
          <w:szCs w:val="24"/>
          <w:lang w:eastAsia="it-IT"/>
          <w14:ligatures w14:val="none"/>
        </w:rPr>
        <w:t>.</w:t>
      </w:r>
    </w:p>
    <w:p w14:paraId="0504144E" w14:textId="60FF643B" w:rsidR="001907E9" w:rsidRDefault="001907E9" w:rsidP="0004051E">
      <w:pPr>
        <w:spacing w:after="0" w:line="480" w:lineRule="auto"/>
        <w:ind w:right="-550"/>
        <w:jc w:val="both"/>
        <w:rPr>
          <w:rFonts w:ascii="Times New Roman" w:eastAsia="Times New Roman" w:hAnsi="Times New Roman" w:cs="Times New Roman"/>
          <w:iCs/>
          <w:kern w:val="0"/>
          <w:sz w:val="24"/>
          <w:szCs w:val="24"/>
          <w:lang w:eastAsia="it-IT"/>
          <w14:ligatures w14:val="none"/>
        </w:rPr>
      </w:pPr>
      <w:r>
        <w:rPr>
          <w:rFonts w:ascii="Times New Roman" w:eastAsia="Times New Roman" w:hAnsi="Times New Roman" w:cs="Times New Roman"/>
          <w:iCs/>
          <w:kern w:val="0"/>
          <w:sz w:val="24"/>
          <w:szCs w:val="24"/>
          <w:lang w:eastAsia="it-IT"/>
          <w14:ligatures w14:val="none"/>
        </w:rPr>
        <w:t>In un contesto democratico</w:t>
      </w:r>
      <w:r w:rsidR="008C4BC0">
        <w:rPr>
          <w:rFonts w:ascii="Times New Roman" w:eastAsia="Times New Roman" w:hAnsi="Times New Roman" w:cs="Times New Roman"/>
          <w:iCs/>
          <w:kern w:val="0"/>
          <w:sz w:val="24"/>
          <w:szCs w:val="24"/>
          <w:lang w:eastAsia="it-IT"/>
          <w14:ligatures w14:val="none"/>
        </w:rPr>
        <w:t>,</w:t>
      </w:r>
      <w:r>
        <w:rPr>
          <w:rFonts w:ascii="Times New Roman" w:eastAsia="Times New Roman" w:hAnsi="Times New Roman" w:cs="Times New Roman"/>
          <w:iCs/>
          <w:kern w:val="0"/>
          <w:sz w:val="24"/>
          <w:szCs w:val="24"/>
          <w:lang w:eastAsia="it-IT"/>
          <w14:ligatures w14:val="none"/>
        </w:rPr>
        <w:t xml:space="preserve"> quindi</w:t>
      </w:r>
      <w:r w:rsidR="008C4BC0">
        <w:rPr>
          <w:rFonts w:ascii="Times New Roman" w:eastAsia="Times New Roman" w:hAnsi="Times New Roman" w:cs="Times New Roman"/>
          <w:iCs/>
          <w:kern w:val="0"/>
          <w:sz w:val="24"/>
          <w:szCs w:val="24"/>
          <w:lang w:eastAsia="it-IT"/>
          <w14:ligatures w14:val="none"/>
        </w:rPr>
        <w:t>,</w:t>
      </w:r>
      <w:r>
        <w:rPr>
          <w:rFonts w:ascii="Times New Roman" w:eastAsia="Times New Roman" w:hAnsi="Times New Roman" w:cs="Times New Roman"/>
          <w:iCs/>
          <w:kern w:val="0"/>
          <w:sz w:val="24"/>
          <w:szCs w:val="24"/>
          <w:lang w:eastAsia="it-IT"/>
          <w14:ligatures w14:val="none"/>
        </w:rPr>
        <w:t xml:space="preserve"> il tema aletico e il tema della pari dignità dei soggetti che partecipano al gioco sono strettamente connessi. Entrambi rinviano</w:t>
      </w:r>
      <w:r w:rsidR="009C1B59">
        <w:rPr>
          <w:rFonts w:ascii="Times New Roman" w:eastAsia="Times New Roman" w:hAnsi="Times New Roman" w:cs="Times New Roman"/>
          <w:iCs/>
          <w:kern w:val="0"/>
          <w:sz w:val="24"/>
          <w:szCs w:val="24"/>
          <w:lang w:eastAsia="it-IT"/>
          <w14:ligatures w14:val="none"/>
        </w:rPr>
        <w:t>,</w:t>
      </w:r>
      <w:r>
        <w:rPr>
          <w:rFonts w:ascii="Times New Roman" w:eastAsia="Times New Roman" w:hAnsi="Times New Roman" w:cs="Times New Roman"/>
          <w:iCs/>
          <w:kern w:val="0"/>
          <w:sz w:val="24"/>
          <w:szCs w:val="24"/>
          <w:lang w:eastAsia="it-IT"/>
          <w14:ligatures w14:val="none"/>
        </w:rPr>
        <w:t xml:space="preserve"> in un certo senso</w:t>
      </w:r>
      <w:r w:rsidR="009C1B59">
        <w:rPr>
          <w:rFonts w:ascii="Times New Roman" w:eastAsia="Times New Roman" w:hAnsi="Times New Roman" w:cs="Times New Roman"/>
          <w:iCs/>
          <w:kern w:val="0"/>
          <w:sz w:val="24"/>
          <w:szCs w:val="24"/>
          <w:lang w:eastAsia="it-IT"/>
          <w14:ligatures w14:val="none"/>
        </w:rPr>
        <w:t>,</w:t>
      </w:r>
      <w:r>
        <w:rPr>
          <w:rFonts w:ascii="Times New Roman" w:eastAsia="Times New Roman" w:hAnsi="Times New Roman" w:cs="Times New Roman"/>
          <w:iCs/>
          <w:kern w:val="0"/>
          <w:sz w:val="24"/>
          <w:szCs w:val="24"/>
          <w:lang w:eastAsia="it-IT"/>
          <w14:ligatures w14:val="none"/>
        </w:rPr>
        <w:t xml:space="preserve"> a tutta una serie di presupposti anche impliciti che costituiscono il limite della deliberazione politica</w:t>
      </w:r>
      <w:r w:rsidR="003D0878">
        <w:rPr>
          <w:rFonts w:ascii="Times New Roman" w:eastAsia="Times New Roman" w:hAnsi="Times New Roman" w:cs="Times New Roman"/>
          <w:iCs/>
          <w:kern w:val="0"/>
          <w:sz w:val="24"/>
          <w:szCs w:val="24"/>
          <w:lang w:eastAsia="it-IT"/>
          <w14:ligatures w14:val="none"/>
        </w:rPr>
        <w:t xml:space="preserve"> e che danno s</w:t>
      </w:r>
      <w:r w:rsidR="009C1B59">
        <w:rPr>
          <w:rFonts w:ascii="Times New Roman" w:eastAsia="Times New Roman" w:hAnsi="Times New Roman" w:cs="Times New Roman"/>
          <w:iCs/>
          <w:kern w:val="0"/>
          <w:sz w:val="24"/>
          <w:szCs w:val="24"/>
          <w:lang w:eastAsia="it-IT"/>
          <w14:ligatures w14:val="none"/>
        </w:rPr>
        <w:t>ignificato</w:t>
      </w:r>
      <w:r w:rsidR="003D0878">
        <w:rPr>
          <w:rFonts w:ascii="Times New Roman" w:eastAsia="Times New Roman" w:hAnsi="Times New Roman" w:cs="Times New Roman"/>
          <w:iCs/>
          <w:kern w:val="0"/>
          <w:sz w:val="24"/>
          <w:szCs w:val="24"/>
          <w:lang w:eastAsia="it-IT"/>
          <w14:ligatures w14:val="none"/>
        </w:rPr>
        <w:t xml:space="preserve"> alla distinzione tra potere legittimo e  tirannide (</w:t>
      </w:r>
      <w:r w:rsidR="003D0878" w:rsidRPr="002810E9">
        <w:rPr>
          <w:rFonts w:ascii="Times New Roman" w:eastAsia="Times New Roman" w:hAnsi="Times New Roman" w:cs="Times New Roman"/>
          <w:i/>
          <w:kern w:val="0"/>
          <w:sz w:val="24"/>
          <w:szCs w:val="24"/>
          <w:lang w:eastAsia="it-IT"/>
          <w14:ligatures w14:val="none"/>
        </w:rPr>
        <w:t>hard</w:t>
      </w:r>
      <w:r w:rsidR="003D0878">
        <w:rPr>
          <w:rFonts w:ascii="Times New Roman" w:eastAsia="Times New Roman" w:hAnsi="Times New Roman" w:cs="Times New Roman"/>
          <w:iCs/>
          <w:kern w:val="0"/>
          <w:sz w:val="24"/>
          <w:szCs w:val="24"/>
          <w:lang w:eastAsia="it-IT"/>
          <w14:ligatures w14:val="none"/>
        </w:rPr>
        <w:t xml:space="preserve"> o </w:t>
      </w:r>
      <w:r w:rsidR="003D0878" w:rsidRPr="002810E9">
        <w:rPr>
          <w:rFonts w:ascii="Times New Roman" w:eastAsia="Times New Roman" w:hAnsi="Times New Roman" w:cs="Times New Roman"/>
          <w:i/>
          <w:kern w:val="0"/>
          <w:sz w:val="24"/>
          <w:szCs w:val="24"/>
          <w:lang w:eastAsia="it-IT"/>
          <w14:ligatures w14:val="none"/>
        </w:rPr>
        <w:t>soft</w:t>
      </w:r>
      <w:r w:rsidR="003D0878">
        <w:rPr>
          <w:rFonts w:ascii="Times New Roman" w:eastAsia="Times New Roman" w:hAnsi="Times New Roman" w:cs="Times New Roman"/>
          <w:iCs/>
          <w:kern w:val="0"/>
          <w:sz w:val="24"/>
          <w:szCs w:val="24"/>
          <w:lang w:eastAsia="it-IT"/>
          <w14:ligatures w14:val="none"/>
        </w:rPr>
        <w:t>; del singolo o della maggioranza).</w:t>
      </w:r>
    </w:p>
    <w:p w14:paraId="00EB7D49" w14:textId="1951809F" w:rsidR="003D0878" w:rsidRPr="00AA6B66" w:rsidRDefault="003D0878" w:rsidP="0004051E">
      <w:pPr>
        <w:spacing w:after="0" w:line="480" w:lineRule="auto"/>
        <w:ind w:right="-550"/>
        <w:jc w:val="both"/>
        <w:rPr>
          <w:rFonts w:ascii="Times New Roman" w:eastAsia="Times New Roman" w:hAnsi="Times New Roman" w:cs="Times New Roman"/>
          <w:i/>
          <w:kern w:val="0"/>
          <w:sz w:val="24"/>
          <w:szCs w:val="24"/>
          <w:lang w:eastAsia="it-IT"/>
          <w14:ligatures w14:val="none"/>
        </w:rPr>
      </w:pPr>
      <w:r>
        <w:rPr>
          <w:rFonts w:ascii="Times New Roman" w:eastAsia="Times New Roman" w:hAnsi="Times New Roman" w:cs="Times New Roman"/>
          <w:iCs/>
          <w:kern w:val="0"/>
          <w:sz w:val="24"/>
          <w:szCs w:val="24"/>
          <w:lang w:eastAsia="it-IT"/>
          <w14:ligatures w14:val="none"/>
        </w:rPr>
        <w:t>In questo senso la giustizia, anche</w:t>
      </w:r>
      <w:r w:rsidR="006A484E">
        <w:rPr>
          <w:rFonts w:ascii="Times New Roman" w:eastAsia="Times New Roman" w:hAnsi="Times New Roman" w:cs="Times New Roman"/>
          <w:iCs/>
          <w:kern w:val="0"/>
          <w:sz w:val="24"/>
          <w:szCs w:val="24"/>
          <w:lang w:eastAsia="it-IT"/>
          <w14:ligatures w14:val="none"/>
        </w:rPr>
        <w:t xml:space="preserve"> e proprio</w:t>
      </w:r>
      <w:r>
        <w:rPr>
          <w:rFonts w:ascii="Times New Roman" w:eastAsia="Times New Roman" w:hAnsi="Times New Roman" w:cs="Times New Roman"/>
          <w:iCs/>
          <w:kern w:val="0"/>
          <w:sz w:val="24"/>
          <w:szCs w:val="24"/>
          <w:lang w:eastAsia="it-IT"/>
          <w14:ligatures w14:val="none"/>
        </w:rPr>
        <w:t xml:space="preserve"> nelle sue articolazioni giuridiche fondamentali</w:t>
      </w:r>
      <w:r w:rsidR="00347833">
        <w:rPr>
          <w:rFonts w:ascii="Times New Roman" w:eastAsia="Times New Roman" w:hAnsi="Times New Roman" w:cs="Times New Roman"/>
          <w:iCs/>
          <w:kern w:val="0"/>
          <w:sz w:val="24"/>
          <w:szCs w:val="24"/>
          <w:lang w:eastAsia="it-IT"/>
          <w14:ligatures w14:val="none"/>
        </w:rPr>
        <w:t xml:space="preserve"> (nel senso del </w:t>
      </w:r>
      <w:r w:rsidR="00347833" w:rsidRPr="00347833">
        <w:rPr>
          <w:rFonts w:ascii="Times New Roman" w:eastAsia="Times New Roman" w:hAnsi="Times New Roman" w:cs="Times New Roman"/>
          <w:i/>
          <w:kern w:val="0"/>
          <w:sz w:val="24"/>
          <w:szCs w:val="24"/>
          <w:lang w:eastAsia="it-IT"/>
          <w14:ligatures w14:val="none"/>
        </w:rPr>
        <w:t>jus</w:t>
      </w:r>
      <w:r>
        <w:rPr>
          <w:rFonts w:ascii="Times New Roman" w:eastAsia="Times New Roman" w:hAnsi="Times New Roman" w:cs="Times New Roman"/>
          <w:iCs/>
          <w:kern w:val="0"/>
          <w:sz w:val="24"/>
          <w:szCs w:val="24"/>
          <w:lang w:eastAsia="it-IT"/>
          <w14:ligatures w14:val="none"/>
        </w:rPr>
        <w:t>,</w:t>
      </w:r>
      <w:r w:rsidR="00347833">
        <w:rPr>
          <w:rFonts w:ascii="Times New Roman" w:eastAsia="Times New Roman" w:hAnsi="Times New Roman" w:cs="Times New Roman"/>
          <w:iCs/>
          <w:kern w:val="0"/>
          <w:sz w:val="24"/>
          <w:szCs w:val="24"/>
          <w:lang w:eastAsia="it-IT"/>
          <w14:ligatures w14:val="none"/>
        </w:rPr>
        <w:t xml:space="preserve"> prima ancora che della </w:t>
      </w:r>
      <w:r w:rsidR="00347833" w:rsidRPr="00347833">
        <w:rPr>
          <w:rFonts w:ascii="Times New Roman" w:eastAsia="Times New Roman" w:hAnsi="Times New Roman" w:cs="Times New Roman"/>
          <w:i/>
          <w:kern w:val="0"/>
          <w:sz w:val="24"/>
          <w:szCs w:val="24"/>
          <w:lang w:eastAsia="it-IT"/>
          <w14:ligatures w14:val="none"/>
        </w:rPr>
        <w:t>lex</w:t>
      </w:r>
      <w:r w:rsidR="00347833">
        <w:rPr>
          <w:rFonts w:ascii="Times New Roman" w:eastAsia="Times New Roman" w:hAnsi="Times New Roman" w:cs="Times New Roman"/>
          <w:iCs/>
          <w:kern w:val="0"/>
          <w:sz w:val="24"/>
          <w:szCs w:val="24"/>
          <w:lang w:eastAsia="it-IT"/>
          <w14:ligatures w14:val="none"/>
        </w:rPr>
        <w:t>)</w:t>
      </w:r>
      <w:r>
        <w:rPr>
          <w:rFonts w:ascii="Times New Roman" w:eastAsia="Times New Roman" w:hAnsi="Times New Roman" w:cs="Times New Roman"/>
          <w:iCs/>
          <w:kern w:val="0"/>
          <w:sz w:val="24"/>
          <w:szCs w:val="24"/>
          <w:lang w:eastAsia="it-IT"/>
          <w14:ligatures w14:val="none"/>
        </w:rPr>
        <w:t xml:space="preserve"> costituisce un presupposto e un  parametro dell’esercizio del potere; non il contrario.</w:t>
      </w:r>
    </w:p>
    <w:sectPr w:rsidR="003D0878" w:rsidRPr="00AA6B6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785A5" w14:textId="77777777" w:rsidR="008413EC" w:rsidRDefault="008413EC" w:rsidP="001345C4">
      <w:pPr>
        <w:spacing w:after="0" w:line="240" w:lineRule="auto"/>
      </w:pPr>
      <w:r>
        <w:separator/>
      </w:r>
    </w:p>
  </w:endnote>
  <w:endnote w:type="continuationSeparator" w:id="0">
    <w:p w14:paraId="11133F09" w14:textId="77777777" w:rsidR="008413EC" w:rsidRDefault="008413EC" w:rsidP="00134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E5A89" w14:textId="77777777" w:rsidR="008413EC" w:rsidRDefault="008413EC" w:rsidP="001345C4">
      <w:pPr>
        <w:spacing w:after="0" w:line="240" w:lineRule="auto"/>
      </w:pPr>
      <w:r>
        <w:separator/>
      </w:r>
    </w:p>
  </w:footnote>
  <w:footnote w:type="continuationSeparator" w:id="0">
    <w:p w14:paraId="5B719178" w14:textId="77777777" w:rsidR="008413EC" w:rsidRDefault="008413EC" w:rsidP="001345C4">
      <w:pPr>
        <w:spacing w:after="0" w:line="240" w:lineRule="auto"/>
      </w:pPr>
      <w:r>
        <w:continuationSeparator/>
      </w:r>
    </w:p>
  </w:footnote>
  <w:footnote w:id="1">
    <w:p w14:paraId="59F22E8F" w14:textId="6B0BC3AD" w:rsidR="001345C4" w:rsidRDefault="001345C4">
      <w:pPr>
        <w:pStyle w:val="Testonotaapidipagina"/>
      </w:pPr>
      <w:r>
        <w:rPr>
          <w:rStyle w:val="Rimandonotaapidipagina"/>
        </w:rPr>
        <w:footnoteRef/>
      </w:r>
      <w:r>
        <w:t xml:space="preserve"> Il testo dell</w:t>
      </w:r>
      <w:r w:rsidR="00FC3404">
        <w:t>a</w:t>
      </w:r>
      <w:r>
        <w:t xml:space="preserve"> </w:t>
      </w:r>
      <w:r w:rsidRPr="00CB5850">
        <w:rPr>
          <w:i/>
          <w:iCs/>
        </w:rPr>
        <w:t xml:space="preserve">lectio </w:t>
      </w:r>
      <w:r>
        <w:t>di Massimo Luciani</w:t>
      </w:r>
      <w:r w:rsidRPr="001061F8">
        <w:rPr>
          <w:i/>
          <w:iCs/>
        </w:rPr>
        <w:t>,  Il diritto della forza</w:t>
      </w:r>
      <w:r w:rsidR="00366FEB">
        <w:t xml:space="preserve">  (tenuta il 19 aprile 2024) </w:t>
      </w:r>
      <w:r>
        <w:t>è reperibile sul sito dell’Accademia dei Lincei al seguente indirizzo:</w:t>
      </w:r>
      <w:r w:rsidR="00366FEB" w:rsidRPr="00366FEB">
        <w:t xml:space="preserve"> https://www.lincei.it/it/tipo-article/preprint</w:t>
      </w:r>
    </w:p>
    <w:p w14:paraId="648057ED" w14:textId="4BC3FE61" w:rsidR="001345C4" w:rsidRDefault="001345C4">
      <w:pPr>
        <w:pStyle w:val="Testonotaapidipagina"/>
      </w:pPr>
      <w:r>
        <w:t xml:space="preserve">Ci riferiremo nel prosieguo ad esso con l’abbreviazione </w:t>
      </w:r>
      <w:r w:rsidR="00CB5850">
        <w:t>DF</w:t>
      </w:r>
      <w:r w:rsidR="00940FA0">
        <w:t xml:space="preserve"> e al suo autore con l’abbreviazione A.</w:t>
      </w:r>
    </w:p>
    <w:p w14:paraId="09E8BB4B" w14:textId="69EC5702" w:rsidR="00361BD7" w:rsidRDefault="00361BD7">
      <w:pPr>
        <w:pStyle w:val="Testonotaapidipagina"/>
      </w:pPr>
      <w:r>
        <w:t>Ringrazio il dott. Massimiliano Viola per avermi aiutato con le sue osservazioni  a  migliorare alcuni punti del testo.</w:t>
      </w:r>
    </w:p>
    <w:p w14:paraId="79E622E8" w14:textId="22E0F5E7" w:rsidR="001345C4" w:rsidRDefault="001345C4">
      <w:pPr>
        <w:pStyle w:val="Testonotaapidipagina"/>
      </w:pPr>
    </w:p>
  </w:footnote>
  <w:footnote w:id="2">
    <w:p w14:paraId="3A5BEB32" w14:textId="58F7EBFF" w:rsidR="006704B3" w:rsidRDefault="006704B3">
      <w:pPr>
        <w:pStyle w:val="Testonotaapidipagina"/>
      </w:pPr>
      <w:r>
        <w:rPr>
          <w:rStyle w:val="Rimandonotaapidipagina"/>
        </w:rPr>
        <w:footnoteRef/>
      </w:r>
      <w:r>
        <w:t xml:space="preserve"> Che ha già trovato un primo ragguardevole esito </w:t>
      </w:r>
      <w:r w:rsidR="000468E4">
        <w:t xml:space="preserve">di sintesi </w:t>
      </w:r>
      <w:r>
        <w:t xml:space="preserve">nel volume </w:t>
      </w:r>
      <w:r w:rsidR="00366FEB">
        <w:t xml:space="preserve">ID., </w:t>
      </w:r>
      <w:r w:rsidRPr="008276E0">
        <w:rPr>
          <w:i/>
          <w:iCs/>
        </w:rPr>
        <w:t>Ogni cosa al suo posto</w:t>
      </w:r>
      <w:r>
        <w:t>, Milano, Giuffrè, 2023.</w:t>
      </w:r>
    </w:p>
  </w:footnote>
  <w:footnote w:id="3">
    <w:p w14:paraId="0ACAEE34" w14:textId="53EEC4F6" w:rsidR="00CE12C1" w:rsidRDefault="00CE12C1" w:rsidP="00CE12C1">
      <w:pPr>
        <w:pStyle w:val="Testonotaapidipagina"/>
      </w:pPr>
      <w:r>
        <w:rPr>
          <w:rStyle w:val="Rimandonotaapidipagina"/>
        </w:rPr>
        <w:footnoteRef/>
      </w:r>
      <w:r>
        <w:t xml:space="preserve"> Il riferimento principale è a ovviamente a Kelsen e alla su</w:t>
      </w:r>
      <w:r w:rsidRPr="008276E0">
        <w:rPr>
          <w:i/>
          <w:iCs/>
        </w:rPr>
        <w:t>a Grundnorm</w:t>
      </w:r>
      <w:r>
        <w:t xml:space="preserve">. Ma verosimilmente l’A. reputa parimenti insoddisfacente  un approccio meramente linguistico al fenomeno giuridico, che </w:t>
      </w:r>
      <w:r w:rsidR="00CB5850">
        <w:t>sfocia</w:t>
      </w:r>
      <w:r>
        <w:t xml:space="preserve"> non di rado in positivismi metodologici del tutto insoddisfacenti sotto il profilo fondazionale.</w:t>
      </w:r>
    </w:p>
  </w:footnote>
  <w:footnote w:id="4">
    <w:p w14:paraId="02B5DF9E" w14:textId="2101EDE4" w:rsidR="006C2A47" w:rsidRDefault="006C2A47">
      <w:pPr>
        <w:pStyle w:val="Testonotaapidipagina"/>
      </w:pPr>
      <w:r>
        <w:rPr>
          <w:rStyle w:val="Rimandonotaapidipagina"/>
        </w:rPr>
        <w:footnoteRef/>
      </w:r>
      <w:r>
        <w:t xml:space="preserve"> </w:t>
      </w:r>
      <w:r w:rsidR="00D62D88">
        <w:t xml:space="preserve"> Sul punto vedi la conclusione della presente nota. </w:t>
      </w:r>
    </w:p>
  </w:footnote>
  <w:footnote w:id="5">
    <w:p w14:paraId="33B8CD90" w14:textId="14A4E798" w:rsidR="00B874E4" w:rsidRDefault="00B874E4">
      <w:pPr>
        <w:pStyle w:val="Testonotaapidipagina"/>
      </w:pPr>
      <w:r>
        <w:rPr>
          <w:rStyle w:val="Rimandonotaapidipagina"/>
        </w:rPr>
        <w:footnoteRef/>
      </w:r>
      <w:r>
        <w:t xml:space="preserve"> Hobbes è del resto  per Massimo Luciani un filosofo </w:t>
      </w:r>
      <w:r w:rsidR="000468E4">
        <w:t>(</w:t>
      </w:r>
      <w:r w:rsidR="00FC3404">
        <w:t>per certi aspetti</w:t>
      </w:r>
      <w:r w:rsidR="000468E4">
        <w:t xml:space="preserve"> “il” filosofo) </w:t>
      </w:r>
      <w:r>
        <w:t>di riferimento</w:t>
      </w:r>
      <w:r w:rsidR="000055A9">
        <w:t xml:space="preserve">. </w:t>
      </w:r>
      <w:r w:rsidR="00366FEB">
        <w:t xml:space="preserve">Non è questa la sede per discutere gli aspetti problematici del suo pensiero, a partire dal </w:t>
      </w:r>
      <w:r w:rsidR="000468E4">
        <w:t>radicale (ma non criticamente fondato) pessimismo antropologico,</w:t>
      </w:r>
      <w:r w:rsidR="00E93C2D">
        <w:t xml:space="preserve"> quale</w:t>
      </w:r>
      <w:r w:rsidR="000468E4">
        <w:t xml:space="preserve"> emerge ad es. d</w:t>
      </w:r>
      <w:r w:rsidR="00366FEB">
        <w:t>ai</w:t>
      </w:r>
      <w:r w:rsidR="000468E4">
        <w:t xml:space="preserve"> primi capitoli del </w:t>
      </w:r>
      <w:r w:rsidR="000468E4" w:rsidRPr="00CB5850">
        <w:rPr>
          <w:i/>
          <w:iCs/>
        </w:rPr>
        <w:t>De Cive</w:t>
      </w:r>
      <w:r w:rsidR="00366FEB">
        <w:t xml:space="preserve">. Su tale atteggiamento dello spirito influì verosimilmente  la madre del filosofo; nella  sua autobiografia in versi  egli  ne ricorda </w:t>
      </w:r>
      <w:r w:rsidR="00730FBF">
        <w:t xml:space="preserve">lo spavento provato in occasione dell’avvicinarsi della flotta spagnola: “Atque metum tantum concepit tunc mea mater, ut pareret Geminos, Meque Metumque simul” (Thomas Hobbes, </w:t>
      </w:r>
      <w:r w:rsidR="00730FBF" w:rsidRPr="00730FBF">
        <w:rPr>
          <w:i/>
          <w:iCs/>
        </w:rPr>
        <w:t>Vita di Thomas Hobbes di Malmesbury. Le due autobiografie latine</w:t>
      </w:r>
      <w:r w:rsidR="00730FBF">
        <w:t>, trad. e cura di Luca Tenneriello, Milano – Udine, Mimesis, 2020, p. 104)</w:t>
      </w:r>
      <w:r w:rsidR="00D8129D">
        <w:t xml:space="preserve">. Il </w:t>
      </w:r>
      <w:r w:rsidR="00D8129D" w:rsidRPr="00D8129D">
        <w:rPr>
          <w:i/>
          <w:iCs/>
        </w:rPr>
        <w:t>metus</w:t>
      </w:r>
      <w:r w:rsidR="00D8129D">
        <w:t xml:space="preserve"> è </w:t>
      </w:r>
      <w:r w:rsidR="00CB5850">
        <w:t xml:space="preserve"> in fondo</w:t>
      </w:r>
      <w:r w:rsidR="00D8129D">
        <w:t xml:space="preserve"> il gemello</w:t>
      </w:r>
      <w:r w:rsidR="00CB5850">
        <w:t xml:space="preserve"> (più o meno </w:t>
      </w:r>
      <w:r w:rsidR="00D8129D">
        <w:t>conosciuto</w:t>
      </w:r>
      <w:r w:rsidR="00CB5850">
        <w:t>)</w:t>
      </w:r>
      <w:r w:rsidR="00D8129D">
        <w:t xml:space="preserve"> di non poche forme </w:t>
      </w:r>
      <w:r w:rsidR="000E6AEF">
        <w:t xml:space="preserve">contemporanee </w:t>
      </w:r>
      <w:r w:rsidR="00D8129D">
        <w:t>di pensiero filosofico-politico.</w:t>
      </w:r>
      <w:r w:rsidR="00361BD7">
        <w:t xml:space="preserve"> </w:t>
      </w:r>
    </w:p>
  </w:footnote>
  <w:footnote w:id="6">
    <w:p w14:paraId="46ADAACB" w14:textId="77AD4AEB" w:rsidR="00D8129D" w:rsidRDefault="00D8129D" w:rsidP="00D8129D">
      <w:pPr>
        <w:pStyle w:val="Testonotaapidipagina"/>
      </w:pPr>
      <w:r>
        <w:rPr>
          <w:rStyle w:val="Rimandonotaapidipagina"/>
        </w:rPr>
        <w:footnoteRef/>
      </w:r>
      <w:r>
        <w:t xml:space="preserve">  Per uno sguardo d’insieme sulla matrice di queste due linee  di pensiero cfr. Virginio Marzocchi</w:t>
      </w:r>
      <w:r w:rsidRPr="00CD7977">
        <w:rPr>
          <w:i/>
          <w:iCs/>
        </w:rPr>
        <w:t>,  Filosofia politica. Storia, concetti, contesti</w:t>
      </w:r>
      <w:r>
        <w:t>, Roma – Bari, Laterza, 2011 (in particolare il cap. I).</w:t>
      </w:r>
    </w:p>
  </w:footnote>
  <w:footnote w:id="7">
    <w:p w14:paraId="02575918" w14:textId="58D878AA" w:rsidR="001708A0" w:rsidRDefault="001708A0">
      <w:pPr>
        <w:pStyle w:val="Testonotaapidipagina"/>
      </w:pPr>
      <w:r>
        <w:rPr>
          <w:rStyle w:val="Rimandonotaapidipagina"/>
        </w:rPr>
        <w:footnoteRef/>
      </w:r>
      <w:r>
        <w:t xml:space="preserve"> Sul </w:t>
      </w:r>
      <w:r w:rsidR="006C2A47">
        <w:t xml:space="preserve">tema </w:t>
      </w:r>
      <w:r>
        <w:t xml:space="preserve"> è importante il lavoro </w:t>
      </w:r>
      <w:r w:rsidR="007F6E7E">
        <w:t>d</w:t>
      </w:r>
      <w:r>
        <w:t>ella scuola di Maurizio Migliori</w:t>
      </w:r>
      <w:r w:rsidR="00406879">
        <w:t>: c</w:t>
      </w:r>
      <w:r>
        <w:t xml:space="preserve">fr., per una visione di sintesi, Maurizio Migliori – Arianna Fermani (eds.), </w:t>
      </w:r>
      <w:r w:rsidRPr="001708A0">
        <w:rPr>
          <w:i/>
          <w:iCs/>
        </w:rPr>
        <w:t>Filosofia antica. Una prospettiva multifocale</w:t>
      </w:r>
      <w:r>
        <w:t>, Brescia, Morcelliana - Scholé, 2020.</w:t>
      </w:r>
    </w:p>
  </w:footnote>
  <w:footnote w:id="8">
    <w:p w14:paraId="6988BEF9" w14:textId="404DEC89" w:rsidR="00693C71" w:rsidRDefault="00693C71">
      <w:pPr>
        <w:pStyle w:val="Testonotaapidipagina"/>
      </w:pPr>
      <w:r>
        <w:rPr>
          <w:rStyle w:val="Rimandonotaapidipagina"/>
        </w:rPr>
        <w:footnoteRef/>
      </w:r>
      <w:r>
        <w:t xml:space="preserve"> </w:t>
      </w:r>
      <w:r w:rsidR="001708A0">
        <w:t>DF</w:t>
      </w:r>
      <w:r>
        <w:t>, p</w:t>
      </w:r>
      <w:r w:rsidR="006C2A47">
        <w:t>.13.</w:t>
      </w:r>
    </w:p>
  </w:footnote>
  <w:footnote w:id="9">
    <w:p w14:paraId="23F78BD9" w14:textId="7B340BFA" w:rsidR="0080632B" w:rsidRDefault="003B3C15" w:rsidP="00C55F3C">
      <w:pPr>
        <w:pStyle w:val="Testonotaapidipagina"/>
      </w:pPr>
      <w:r>
        <w:rPr>
          <w:rStyle w:val="Rimandonotaapidipagina"/>
        </w:rPr>
        <w:footnoteRef/>
      </w:r>
      <w:r>
        <w:t xml:space="preserve"> Su questa dialettica cfr.  Donatella Di Cesare, </w:t>
      </w:r>
      <w:r>
        <w:rPr>
          <w:i/>
          <w:iCs/>
        </w:rPr>
        <w:t>Democrazia e anarchia</w:t>
      </w:r>
      <w:r>
        <w:t xml:space="preserve">. </w:t>
      </w:r>
      <w:r>
        <w:rPr>
          <w:i/>
          <w:iCs/>
        </w:rPr>
        <w:t>Il potere nella polis</w:t>
      </w:r>
      <w:r>
        <w:t xml:space="preserve">, Torino, Einaudi, 2024 e </w:t>
      </w:r>
      <w:r w:rsidR="000A0405">
        <w:t xml:space="preserve"> segnatamente</w:t>
      </w:r>
      <w:r>
        <w:t xml:space="preserve"> il capitolo settimo, pp. 227 – 250</w:t>
      </w:r>
      <w:r w:rsidR="00C55F3C">
        <w:t xml:space="preserve"> (</w:t>
      </w:r>
      <w:r w:rsidR="00CB5850">
        <w:t xml:space="preserve">e in particolare </w:t>
      </w:r>
      <w:r w:rsidR="00C55F3C">
        <w:t>p. 23</w:t>
      </w:r>
      <w:r w:rsidR="0080632B">
        <w:t>4</w:t>
      </w:r>
      <w:r w:rsidR="00C55F3C">
        <w:t>)</w:t>
      </w:r>
      <w:r w:rsidR="00CB5850">
        <w:t xml:space="preserve"> ove</w:t>
      </w:r>
      <w:r w:rsidR="0080632B">
        <w:t xml:space="preserve"> parimenti si considera centrale il nesso tra </w:t>
      </w:r>
      <w:r w:rsidR="0080632B" w:rsidRPr="00C82151">
        <w:rPr>
          <w:i/>
          <w:iCs/>
        </w:rPr>
        <w:t>kratos</w:t>
      </w:r>
      <w:r w:rsidR="0080632B">
        <w:t xml:space="preserve"> e </w:t>
      </w:r>
      <w:r w:rsidR="0080632B" w:rsidRPr="00C82151">
        <w:rPr>
          <w:i/>
          <w:iCs/>
        </w:rPr>
        <w:t>bia</w:t>
      </w:r>
      <w:r w:rsidR="0080632B">
        <w:t xml:space="preserve"> (in Esiodo e in </w:t>
      </w:r>
      <w:r w:rsidR="00C82151">
        <w:t>E</w:t>
      </w:r>
      <w:r w:rsidR="0080632B">
        <w:t xml:space="preserve">schilo), ma nello stesso tempo si evidenzia “un contrasto di fondo, che risuona nel lessico politico” tra </w:t>
      </w:r>
      <w:r w:rsidR="0080632B" w:rsidRPr="0080632B">
        <w:rPr>
          <w:i/>
          <w:iCs/>
        </w:rPr>
        <w:t>arché</w:t>
      </w:r>
      <w:r w:rsidR="0080632B">
        <w:t xml:space="preserve"> e </w:t>
      </w:r>
      <w:r w:rsidR="0080632B" w:rsidRPr="0080632B">
        <w:rPr>
          <w:i/>
          <w:iCs/>
        </w:rPr>
        <w:t>kratos</w:t>
      </w:r>
      <w:r w:rsidR="0080632B">
        <w:t xml:space="preserve">; in questo contesto, </w:t>
      </w:r>
      <w:r w:rsidR="0080632B" w:rsidRPr="0080632B">
        <w:rPr>
          <w:i/>
          <w:iCs/>
        </w:rPr>
        <w:t xml:space="preserve">exousia </w:t>
      </w:r>
      <w:r w:rsidR="0080632B">
        <w:t xml:space="preserve"> </w:t>
      </w:r>
      <w:r w:rsidR="000E6AEF">
        <w:t xml:space="preserve"> viene </w:t>
      </w:r>
      <w:r w:rsidR="0080632B">
        <w:t>intesa come “la potestà, la licenza, la facoltà di fare qualcosa”</w:t>
      </w:r>
      <w:r w:rsidR="000E6AEF">
        <w:t xml:space="preserve"> e</w:t>
      </w:r>
      <w:r w:rsidR="0080632B">
        <w:t xml:space="preserve"> non  pare rivestire un ruolo centrale e fondativo.</w:t>
      </w:r>
    </w:p>
    <w:p w14:paraId="73C2F101" w14:textId="0AE60878" w:rsidR="003B3C15" w:rsidRPr="003B3C15" w:rsidRDefault="003B3C15">
      <w:pPr>
        <w:pStyle w:val="Testonotaapidipagina"/>
      </w:pPr>
    </w:p>
  </w:footnote>
  <w:footnote w:id="10">
    <w:p w14:paraId="589C8303" w14:textId="037E71B1" w:rsidR="00D06863" w:rsidRDefault="00D06863">
      <w:pPr>
        <w:pStyle w:val="Testonotaapidipagina"/>
      </w:pPr>
      <w:r>
        <w:rPr>
          <w:rStyle w:val="Rimandonotaapidipagina"/>
        </w:rPr>
        <w:footnoteRef/>
      </w:r>
      <w:r>
        <w:t xml:space="preserve"> Émile Benveniste,  </w:t>
      </w:r>
      <w:r w:rsidRPr="009070E2">
        <w:rPr>
          <w:i/>
          <w:iCs/>
        </w:rPr>
        <w:t>Vocabolario delle istituzioni indoeuropee, vol. secondo: Potere, diritto, religione</w:t>
      </w:r>
      <w:r>
        <w:t xml:space="preserve">, Torino, Einaudi, </w:t>
      </w:r>
      <w:r w:rsidR="001708A0">
        <w:t xml:space="preserve">1976 e 2001, </w:t>
      </w:r>
      <w:r>
        <w:t>pp. 337 – 346.</w:t>
      </w:r>
    </w:p>
  </w:footnote>
  <w:footnote w:id="11">
    <w:p w14:paraId="282D3EE2" w14:textId="074B312F" w:rsidR="00E551B9" w:rsidRDefault="00E551B9">
      <w:pPr>
        <w:pStyle w:val="Testonotaapidipagina"/>
      </w:pPr>
      <w:r>
        <w:rPr>
          <w:rStyle w:val="Rimandonotaapidipagina"/>
        </w:rPr>
        <w:footnoteRef/>
      </w:r>
      <w:r>
        <w:t xml:space="preserve"> Ivi, pp. 344-345.</w:t>
      </w:r>
    </w:p>
  </w:footnote>
  <w:footnote w:id="12">
    <w:p w14:paraId="02BD38C9" w14:textId="18242892" w:rsidR="00E551B9" w:rsidRDefault="00E551B9">
      <w:pPr>
        <w:pStyle w:val="Testonotaapidipagina"/>
      </w:pPr>
      <w:r>
        <w:rPr>
          <w:rStyle w:val="Rimandonotaapidipagina"/>
        </w:rPr>
        <w:footnoteRef/>
      </w:r>
      <w:r>
        <w:t xml:space="preserve"> Ivi, p. 342.</w:t>
      </w:r>
    </w:p>
  </w:footnote>
  <w:footnote w:id="13">
    <w:p w14:paraId="04E4B97E" w14:textId="0C61A7F6" w:rsidR="000D6EB9" w:rsidRDefault="000D6EB9">
      <w:pPr>
        <w:pStyle w:val="Testonotaapidipagina"/>
      </w:pPr>
      <w:r>
        <w:rPr>
          <w:rStyle w:val="Rimandonotaapidipagina"/>
        </w:rPr>
        <w:footnoteRef/>
      </w:r>
      <w:r>
        <w:t xml:space="preserve"> </w:t>
      </w:r>
      <w:r w:rsidR="005E2825">
        <w:t xml:space="preserve"> Così </w:t>
      </w:r>
      <w:r>
        <w:t xml:space="preserve">Donatella Di </w:t>
      </w:r>
      <w:r w:rsidR="005E2825">
        <w:t>C</w:t>
      </w:r>
      <w:r>
        <w:t>esare, cit.</w:t>
      </w:r>
      <w:r w:rsidR="00CB5850">
        <w:t>,</w:t>
      </w:r>
      <w:r>
        <w:t xml:space="preserve"> pp. 239-24</w:t>
      </w:r>
      <w:r w:rsidR="005E2825">
        <w:t>1. Interessante il richiamo al grecista tedesco Johann H.H. Schmidt</w:t>
      </w:r>
      <w:r w:rsidR="00CB5850">
        <w:t xml:space="preserve">, </w:t>
      </w:r>
      <w:r w:rsidR="00724D5C">
        <w:t xml:space="preserve">e in particolare all’opera </w:t>
      </w:r>
      <w:r w:rsidR="009070E2" w:rsidRPr="009070E2">
        <w:rPr>
          <w:i/>
          <w:iCs/>
        </w:rPr>
        <w:t>S</w:t>
      </w:r>
      <w:r w:rsidR="005E2825" w:rsidRPr="009070E2">
        <w:rPr>
          <w:i/>
          <w:iCs/>
        </w:rPr>
        <w:t>ynonymik der g</w:t>
      </w:r>
      <w:r w:rsidR="009070E2">
        <w:rPr>
          <w:i/>
          <w:iCs/>
        </w:rPr>
        <w:t>r</w:t>
      </w:r>
      <w:r w:rsidR="005E2825" w:rsidRPr="009070E2">
        <w:rPr>
          <w:i/>
          <w:iCs/>
        </w:rPr>
        <w:t>iechischen Sprache</w:t>
      </w:r>
      <w:r w:rsidR="005E2825">
        <w:t>, del 1879</w:t>
      </w:r>
      <w:r w:rsidR="00CB5850">
        <w:t>, la quale</w:t>
      </w:r>
      <w:r w:rsidR="005E2825">
        <w:t xml:space="preserve"> rende </w:t>
      </w:r>
      <w:r w:rsidR="005E2825" w:rsidRPr="009070E2">
        <w:rPr>
          <w:i/>
          <w:iCs/>
        </w:rPr>
        <w:t>arché</w:t>
      </w:r>
      <w:r w:rsidR="005E2825">
        <w:t xml:space="preserve"> con </w:t>
      </w:r>
      <w:r w:rsidR="009070E2" w:rsidRPr="009070E2">
        <w:rPr>
          <w:i/>
          <w:iCs/>
        </w:rPr>
        <w:t>H</w:t>
      </w:r>
      <w:r w:rsidR="005E2825" w:rsidRPr="009070E2">
        <w:rPr>
          <w:i/>
          <w:iCs/>
        </w:rPr>
        <w:t xml:space="preserve">errschaft </w:t>
      </w:r>
      <w:r w:rsidR="005E2825">
        <w:t xml:space="preserve">e </w:t>
      </w:r>
      <w:r w:rsidR="009070E2" w:rsidRPr="009070E2">
        <w:rPr>
          <w:i/>
          <w:iCs/>
        </w:rPr>
        <w:t>K</w:t>
      </w:r>
      <w:r w:rsidR="005E2825" w:rsidRPr="009070E2">
        <w:rPr>
          <w:i/>
          <w:iCs/>
        </w:rPr>
        <w:t xml:space="preserve">ratos </w:t>
      </w:r>
      <w:r w:rsidR="009070E2">
        <w:t>c</w:t>
      </w:r>
      <w:r w:rsidR="005E2825">
        <w:t xml:space="preserve">on </w:t>
      </w:r>
      <w:r w:rsidR="005E2825" w:rsidRPr="009070E2">
        <w:rPr>
          <w:i/>
          <w:iCs/>
        </w:rPr>
        <w:t>Obmacht</w:t>
      </w:r>
      <w:r w:rsidR="005E2825">
        <w:t>. Prescindiamo nel seguito del nostr</w:t>
      </w:r>
      <w:r w:rsidR="009070E2">
        <w:t>o</w:t>
      </w:r>
      <w:r w:rsidR="005E2825">
        <w:t xml:space="preserve"> discorso dai peculiari sviluppi teoretici di questa </w:t>
      </w:r>
      <w:r w:rsidR="009070E2">
        <w:t>Autrice, secondo la quale nella democrazia “il popolo è tenuto a distanza dalla logica archica della fondazione sovrana” (</w:t>
      </w:r>
      <w:r w:rsidR="00CB5850">
        <w:t xml:space="preserve">ivi, p. </w:t>
      </w:r>
      <w:r w:rsidR="009070E2">
        <w:t>242).</w:t>
      </w:r>
    </w:p>
  </w:footnote>
  <w:footnote w:id="14">
    <w:p w14:paraId="2A2D2B7A" w14:textId="09691CD5" w:rsidR="009070E2" w:rsidRPr="006D0159" w:rsidRDefault="009070E2" w:rsidP="00C82151">
      <w:pPr>
        <w:pStyle w:val="Testonotaapidipagina"/>
      </w:pPr>
      <w:r>
        <w:rPr>
          <w:rStyle w:val="Rimandonotaapidipagina"/>
        </w:rPr>
        <w:footnoteRef/>
      </w:r>
      <w:r>
        <w:t xml:space="preserve"> Assai interessante</w:t>
      </w:r>
      <w:r w:rsidR="00DF5FA5">
        <w:t>,</w:t>
      </w:r>
      <w:r>
        <w:t xml:space="preserve"> dal punto di vista lessicografico e di storia delle idee, il saggio di Pietro De Marco, </w:t>
      </w:r>
      <w:r w:rsidRPr="00456C27">
        <w:rPr>
          <w:i/>
          <w:iCs/>
        </w:rPr>
        <w:t>Autorità. Per una storia del legame auctoritas-exousía</w:t>
      </w:r>
      <w:r>
        <w:t>, in “</w:t>
      </w:r>
      <w:r w:rsidRPr="00456C27">
        <w:rPr>
          <w:i/>
          <w:iCs/>
        </w:rPr>
        <w:t>atque - materiali tra filosofia e psicoterapia</w:t>
      </w:r>
      <w:r>
        <w:t>”</w:t>
      </w:r>
      <w:r w:rsidRPr="00576247">
        <w:t xml:space="preserve">, </w:t>
      </w:r>
      <w:r w:rsidRPr="006D0159">
        <w:t>26-27 n.s., 2020, pp. 161-218, dal quale attingiamo i riferimenti del testo.</w:t>
      </w:r>
      <w:bookmarkStart w:id="0" w:name="_Hlk166272503"/>
    </w:p>
    <w:bookmarkEnd w:id="0"/>
  </w:footnote>
  <w:footnote w:id="15">
    <w:p w14:paraId="21E9A344" w14:textId="416F82BD" w:rsidR="009070E2" w:rsidRDefault="009070E2" w:rsidP="009070E2">
      <w:pPr>
        <w:rPr>
          <w:sz w:val="20"/>
          <w:szCs w:val="20"/>
        </w:rPr>
      </w:pPr>
      <w:r w:rsidRPr="006D0159">
        <w:rPr>
          <w:rStyle w:val="Rimandonotaapidipagina"/>
          <w:sz w:val="20"/>
          <w:szCs w:val="20"/>
        </w:rPr>
        <w:footnoteRef/>
      </w:r>
      <w:r w:rsidRPr="006D0159">
        <w:rPr>
          <w:sz w:val="20"/>
          <w:szCs w:val="20"/>
        </w:rPr>
        <w:t xml:space="preserve"> La traiettoria di </w:t>
      </w:r>
      <w:r w:rsidRPr="006D0159">
        <w:rPr>
          <w:i/>
          <w:iCs/>
          <w:sz w:val="20"/>
          <w:szCs w:val="20"/>
        </w:rPr>
        <w:t>exousia</w:t>
      </w:r>
      <w:r w:rsidRPr="006D0159">
        <w:rPr>
          <w:sz w:val="20"/>
          <w:szCs w:val="20"/>
        </w:rPr>
        <w:t xml:space="preserve"> nel Vangelo di Giovanni passa anche per la centralità del Figlio    quale è stata data la </w:t>
      </w:r>
      <w:r w:rsidRPr="006D0159">
        <w:rPr>
          <w:i/>
          <w:iCs/>
          <w:sz w:val="20"/>
          <w:szCs w:val="20"/>
        </w:rPr>
        <w:t>exousian… krisin poiein</w:t>
      </w:r>
      <w:r w:rsidRPr="006D0159">
        <w:rPr>
          <w:sz w:val="20"/>
          <w:szCs w:val="20"/>
        </w:rPr>
        <w:t xml:space="preserve"> (il potere di giudicare); e giunge –  deve osservarsi – in capo a coloro che lo hanno accolto, ai quali il Padre ha dato la </w:t>
      </w:r>
      <w:r w:rsidRPr="006D0159">
        <w:rPr>
          <w:i/>
          <w:iCs/>
          <w:sz w:val="20"/>
          <w:szCs w:val="20"/>
        </w:rPr>
        <w:t>exousian tekna  Theou genesthai</w:t>
      </w:r>
      <w:r w:rsidRPr="006D0159">
        <w:rPr>
          <w:sz w:val="20"/>
          <w:szCs w:val="20"/>
        </w:rPr>
        <w:t xml:space="preserve"> (</w:t>
      </w:r>
      <w:r w:rsidRPr="006D0159">
        <w:rPr>
          <w:i/>
          <w:iCs/>
          <w:sz w:val="20"/>
          <w:szCs w:val="20"/>
        </w:rPr>
        <w:t>potestatem filios Dei fieri</w:t>
      </w:r>
      <w:r w:rsidRPr="006D0159">
        <w:rPr>
          <w:sz w:val="20"/>
          <w:szCs w:val="20"/>
        </w:rPr>
        <w:t>).</w:t>
      </w:r>
    </w:p>
    <w:p w14:paraId="4818632E" w14:textId="5DCE000B" w:rsidR="00361BD7" w:rsidRDefault="00361BD7" w:rsidP="009070E2">
      <w:pPr>
        <w:rPr>
          <w:sz w:val="20"/>
          <w:szCs w:val="20"/>
        </w:rPr>
      </w:pPr>
      <w:r>
        <w:rPr>
          <w:sz w:val="20"/>
          <w:szCs w:val="20"/>
        </w:rPr>
        <w:t>Significativo anche il passo di Marco</w:t>
      </w:r>
      <w:r w:rsidR="00013099">
        <w:rPr>
          <w:sz w:val="20"/>
          <w:szCs w:val="20"/>
        </w:rPr>
        <w:t xml:space="preserve"> 1,22: Gesù si presenta immediatamente, nell’insegnamento a Cafarnao, </w:t>
      </w:r>
      <w:r w:rsidR="00013099" w:rsidRPr="00013099">
        <w:rPr>
          <w:i/>
          <w:iCs/>
          <w:sz w:val="20"/>
          <w:szCs w:val="20"/>
        </w:rPr>
        <w:t>hos exousian echon</w:t>
      </w:r>
      <w:r w:rsidR="00013099">
        <w:rPr>
          <w:sz w:val="20"/>
          <w:szCs w:val="20"/>
        </w:rPr>
        <w:t>, come uno che ha autorità.</w:t>
      </w:r>
    </w:p>
    <w:p w14:paraId="7858BD25" w14:textId="23798A3D" w:rsidR="00874995" w:rsidRPr="00013099" w:rsidRDefault="00874995" w:rsidP="009070E2">
      <w:pPr>
        <w:rPr>
          <w:sz w:val="20"/>
          <w:szCs w:val="20"/>
        </w:rPr>
      </w:pPr>
      <w:r>
        <w:rPr>
          <w:sz w:val="20"/>
          <w:szCs w:val="20"/>
        </w:rPr>
        <w:t>Non ci soffermiamo qui sulle altre ricorrenze scritturistiche del lemma.</w:t>
      </w:r>
    </w:p>
    <w:p w14:paraId="1B29272C" w14:textId="77777777" w:rsidR="009070E2" w:rsidRPr="006D0159" w:rsidRDefault="009070E2" w:rsidP="009070E2">
      <w:pPr>
        <w:pStyle w:val="Testonotaapidipagina"/>
      </w:pPr>
    </w:p>
  </w:footnote>
  <w:footnote w:id="16">
    <w:p w14:paraId="514CC0F8" w14:textId="6C3F7BEA" w:rsidR="002810E9" w:rsidRDefault="00537EE1">
      <w:pPr>
        <w:pStyle w:val="Testonotaapidipagina"/>
      </w:pPr>
      <w:r>
        <w:rPr>
          <w:rStyle w:val="Rimandonotaapidipagina"/>
        </w:rPr>
        <w:footnoteRef/>
      </w:r>
      <w:r w:rsidR="002810E9">
        <w:t xml:space="preserve"> Da intendersi come plesso triadico. Va tuttavia segnalata la trattazione</w:t>
      </w:r>
      <w:r>
        <w:t xml:space="preserve"> del tema  “</w:t>
      </w:r>
      <w:r w:rsidRPr="00537EE1">
        <w:rPr>
          <w:i/>
          <w:iCs/>
        </w:rPr>
        <w:t xml:space="preserve">Auctoritas </w:t>
      </w:r>
      <w:r>
        <w:t xml:space="preserve">e </w:t>
      </w:r>
      <w:r w:rsidRPr="00537EE1">
        <w:rPr>
          <w:i/>
          <w:iCs/>
        </w:rPr>
        <w:t>potestas</w:t>
      </w:r>
      <w:r>
        <w:t>”</w:t>
      </w:r>
      <w:r w:rsidRPr="00537EE1">
        <w:rPr>
          <w:i/>
          <w:iCs/>
        </w:rPr>
        <w:t xml:space="preserve"> </w:t>
      </w:r>
      <w:r>
        <w:t xml:space="preserve">che Giorgio Agamben espone nel sesto capitolo di </w:t>
      </w:r>
      <w:r w:rsidRPr="00537EE1">
        <w:rPr>
          <w:i/>
          <w:iCs/>
        </w:rPr>
        <w:t>Iustitium. Stato di eccezion</w:t>
      </w:r>
      <w:r>
        <w:t xml:space="preserve">e (ora in ID., </w:t>
      </w:r>
      <w:r w:rsidRPr="00537EE1">
        <w:rPr>
          <w:i/>
          <w:iCs/>
        </w:rPr>
        <w:t>Homo sacer. Edizione integrale 1995 – 2015</w:t>
      </w:r>
      <w:r>
        <w:t>, Macerata, Quodlibet, 2018, pp. 237-250),  che</w:t>
      </w:r>
      <w:r w:rsidR="00C479BA">
        <w:t xml:space="preserve"> sotto questo aspetto appare</w:t>
      </w:r>
      <w:r>
        <w:t xml:space="preserve"> diadica, in quanto in essa non compare il lemma</w:t>
      </w:r>
      <w:r w:rsidRPr="00537EE1">
        <w:rPr>
          <w:i/>
          <w:iCs/>
        </w:rPr>
        <w:t xml:space="preserve"> exousia</w:t>
      </w:r>
      <w:r>
        <w:t>.</w:t>
      </w:r>
      <w:r w:rsidR="00B62304">
        <w:t xml:space="preserve"> Fondamentale su questo tema, sotto il profilo filosofico,  è la voce </w:t>
      </w:r>
      <w:r w:rsidR="00B62304" w:rsidRPr="00B62304">
        <w:rPr>
          <w:i/>
          <w:iCs/>
        </w:rPr>
        <w:t xml:space="preserve">Autorità </w:t>
      </w:r>
      <w:r w:rsidR="00B62304">
        <w:t xml:space="preserve">che Augusto Del Noce ha scritto per l’Enciclopedia del Novecento Treccani (1979). </w:t>
      </w:r>
    </w:p>
  </w:footnote>
  <w:footnote w:id="17">
    <w:p w14:paraId="1C24A848" w14:textId="4DD405E9" w:rsidR="008F16E0" w:rsidRDefault="008F16E0" w:rsidP="008F16E0">
      <w:pPr>
        <w:pStyle w:val="Testonotaapidipagina"/>
      </w:pPr>
      <w:r w:rsidRPr="006D0159">
        <w:rPr>
          <w:rStyle w:val="Rimandonotaapidipagina"/>
        </w:rPr>
        <w:footnoteRef/>
      </w:r>
      <w:r w:rsidRPr="006D0159">
        <w:t xml:space="preserve"> </w:t>
      </w:r>
      <w:r w:rsidR="00347833" w:rsidRPr="006D0159">
        <w:t>DF</w:t>
      </w:r>
      <w:r w:rsidRPr="006D0159">
        <w:t>, p</w:t>
      </w:r>
      <w:r w:rsidR="00285D70" w:rsidRPr="006D0159">
        <w:t>.15.</w:t>
      </w:r>
      <w:r w:rsidRPr="006D0159">
        <w:t xml:space="preserve"> Si potrebbe al riguardo richiamare</w:t>
      </w:r>
      <w:r w:rsidR="001E1B86" w:rsidRPr="006D0159">
        <w:t>,</w:t>
      </w:r>
      <w:r w:rsidRPr="006D0159">
        <w:t xml:space="preserve"> come di consueto</w:t>
      </w:r>
      <w:r w:rsidR="001E1B86" w:rsidRPr="006D0159">
        <w:t xml:space="preserve">, il pensiero di </w:t>
      </w:r>
      <w:r w:rsidRPr="006D0159">
        <w:t xml:space="preserve"> Schmitt. Ma va segnalata  la </w:t>
      </w:r>
      <w:r w:rsidR="000C1E98" w:rsidRPr="006D0159">
        <w:t xml:space="preserve">fine esegesi </w:t>
      </w:r>
      <w:r w:rsidRPr="006D0159">
        <w:t>“antinichilistica” che De Marco (cit.,  p. 215)  offre del seguente passo schmittiano:  “Potere costituente [</w:t>
      </w:r>
      <w:r w:rsidRPr="006D0159">
        <w:rPr>
          <w:i/>
          <w:iCs/>
        </w:rPr>
        <w:t>Verfassunggebende Gewalt</w:t>
      </w:r>
      <w:r w:rsidRPr="006D0159">
        <w:t>] è una volontà politica il cui potere [</w:t>
      </w:r>
      <w:r w:rsidRPr="006D0159">
        <w:rPr>
          <w:i/>
          <w:iCs/>
        </w:rPr>
        <w:t>Macht</w:t>
      </w:r>
      <w:r w:rsidRPr="006D0159">
        <w:t>] o autorità [</w:t>
      </w:r>
      <w:r w:rsidRPr="006D0159">
        <w:rPr>
          <w:i/>
          <w:iCs/>
        </w:rPr>
        <w:t>Autorität</w:t>
      </w:r>
      <w:r w:rsidRPr="006D0159">
        <w:t>] è in grado di</w:t>
      </w:r>
      <w:r>
        <w:t xml:space="preserve"> pretendere la decisione concreta fondamentale [</w:t>
      </w:r>
      <w:r w:rsidRPr="006A484E">
        <w:rPr>
          <w:i/>
          <w:iCs/>
        </w:rPr>
        <w:t>konkrete Gesamtentscheidung</w:t>
      </w:r>
      <w:r>
        <w:t>] sulla specie e la forma della propria esistenza politica, ossia di stabilire complessivamente [</w:t>
      </w:r>
      <w:r w:rsidRPr="006A484E">
        <w:rPr>
          <w:i/>
          <w:iCs/>
        </w:rPr>
        <w:t>im ganzen zu bestimmen</w:t>
      </w:r>
      <w:r>
        <w:t xml:space="preserve">] l’esistenza dell’unità politica”  (C. Schmitt, </w:t>
      </w:r>
      <w:r w:rsidRPr="000C1E98">
        <w:rPr>
          <w:i/>
          <w:iCs/>
        </w:rPr>
        <w:t>Dottrina della costituzione</w:t>
      </w:r>
      <w:r>
        <w:t xml:space="preserve">, trad. it., </w:t>
      </w:r>
      <w:r w:rsidR="000C1E98">
        <w:t xml:space="preserve">Milano, </w:t>
      </w:r>
      <w:r>
        <w:t xml:space="preserve">Giuffrè, 1984, pp. 109-110. Scrive De Marco: “La </w:t>
      </w:r>
      <w:r w:rsidRPr="006A484E">
        <w:rPr>
          <w:i/>
          <w:iCs/>
        </w:rPr>
        <w:t>Macht</w:t>
      </w:r>
      <w:r>
        <w:t xml:space="preserve"> è una forza o potenza operante, l’</w:t>
      </w:r>
      <w:r w:rsidRPr="006A484E">
        <w:rPr>
          <w:i/>
          <w:iCs/>
        </w:rPr>
        <w:t xml:space="preserve">Autorität </w:t>
      </w:r>
      <w:r>
        <w:t xml:space="preserve">appare qualcosa di diverso dalla </w:t>
      </w:r>
      <w:r w:rsidRPr="006A484E">
        <w:rPr>
          <w:i/>
          <w:iCs/>
        </w:rPr>
        <w:t xml:space="preserve">Macht </w:t>
      </w:r>
      <w:r>
        <w:t xml:space="preserve">che tuttavia assegna alla volontà politica una forza analoga perché ‘si trasformi’ in </w:t>
      </w:r>
      <w:r w:rsidRPr="006A484E">
        <w:rPr>
          <w:i/>
          <w:iCs/>
        </w:rPr>
        <w:t xml:space="preserve">Gewalt </w:t>
      </w:r>
      <w:r>
        <w:t xml:space="preserve">costituente. Nel </w:t>
      </w:r>
      <w:r w:rsidRPr="006D0159">
        <w:rPr>
          <w:i/>
          <w:iCs/>
        </w:rPr>
        <w:t>Problema della sovranità</w:t>
      </w:r>
      <w:r>
        <w:t xml:space="preserve"> dal cui testo prendo la parola </w:t>
      </w:r>
      <w:r w:rsidRPr="006A484E">
        <w:rPr>
          <w:i/>
          <w:iCs/>
        </w:rPr>
        <w:t>Transformation</w:t>
      </w:r>
      <w:r>
        <w:t xml:space="preserve">, Schmitt osserva che il meccanismo di ‘prevedibilità’ del fenomeno normativo, per cui «un caso concreto dev’esser deciso in modo concreto», ha come criterio di misura solo «un principio giuridico nella sua generalità astratta. E non perciò ogni volta si verifica una trasformazione (…). In ogni [tale] trasformazione è presente una </w:t>
      </w:r>
      <w:r w:rsidRPr="006A484E">
        <w:rPr>
          <w:i/>
          <w:iCs/>
        </w:rPr>
        <w:t>auctoritatis interpositio</w:t>
      </w:r>
      <w:r>
        <w:t xml:space="preserve">». Direi: è essa che ‘autorizza’ (da </w:t>
      </w:r>
      <w:r w:rsidRPr="006A484E">
        <w:rPr>
          <w:i/>
          <w:iCs/>
        </w:rPr>
        <w:t>augere</w:t>
      </w:r>
      <w:r>
        <w:t>) la decisione giuridica quanto alla sua determinatezza e concretezza. Essa diviene “in quel momento” indipendente dal suo fondamento, ovvero dall’ordinamento giuridico ‘impersonale’, e “acquista valore indipendente”. Dietro al “decisionismo” – troppo tematizzato dagli studiosi di Schmitt – vi è l’</w:t>
      </w:r>
      <w:r w:rsidRPr="006A484E">
        <w:rPr>
          <w:i/>
          <w:iCs/>
        </w:rPr>
        <w:t xml:space="preserve">auctoritas </w:t>
      </w:r>
      <w:r>
        <w:t xml:space="preserve"> […] la direzione dello sguardo non è nihilistica, cerca l’</w:t>
      </w:r>
      <w:r w:rsidRPr="006A484E">
        <w:rPr>
          <w:i/>
          <w:iCs/>
        </w:rPr>
        <w:t>auctoritas</w:t>
      </w:r>
      <w:r>
        <w:t>”.</w:t>
      </w:r>
    </w:p>
    <w:p w14:paraId="4558943E" w14:textId="3429600E" w:rsidR="008F16E0" w:rsidRDefault="008F16E0" w:rsidP="008F16E0">
      <w:pPr>
        <w:pStyle w:val="Testonotaapidipagina"/>
      </w:pPr>
      <w:r>
        <w:t xml:space="preserve">In questa linea di esegesi sulla </w:t>
      </w:r>
      <w:r w:rsidRPr="006A484E">
        <w:rPr>
          <w:i/>
          <w:iCs/>
        </w:rPr>
        <w:t>Verfassunggebende Gewalt</w:t>
      </w:r>
      <w:r>
        <w:t xml:space="preserve"> vi è forse anche una traccia per venire a capo della questione di questo sostantivo, che pone  notoriamente dei problemi enormi, perché ha una semantica ampia, la quale parrebbe includere la violenza (illegale o pre-legale, se si vuole) e la </w:t>
      </w:r>
      <w:r w:rsidRPr="006A484E">
        <w:rPr>
          <w:i/>
          <w:iCs/>
        </w:rPr>
        <w:t xml:space="preserve">potestas </w:t>
      </w:r>
      <w:r>
        <w:t>legittima nello stesso tempo (cfr.</w:t>
      </w:r>
      <w:r w:rsidR="00361BD7">
        <w:t xml:space="preserve"> sul tema</w:t>
      </w:r>
      <w:r>
        <w:t xml:space="preserve">  Massimiliano Tomba, </w:t>
      </w:r>
      <w:r w:rsidRPr="002765FC">
        <w:rPr>
          <w:i/>
          <w:iCs/>
        </w:rPr>
        <w:t>La possibilità dell’impossibile. Un altro genere di Gewalt: rileggendo Walter Benjamin</w:t>
      </w:r>
      <w:r w:rsidR="000C1E98">
        <w:t>,</w:t>
      </w:r>
      <w:r>
        <w:t xml:space="preserve"> reperibile on line all’indirizzo </w:t>
      </w:r>
      <w:r w:rsidRPr="002765FC">
        <w:rPr>
          <w:i/>
          <w:iCs/>
        </w:rPr>
        <w:t>https://sifp.it/wp-content/uploads/2021/10/La-possibilita-dellimpossibile.pdf</w:t>
      </w:r>
      <w:r>
        <w:t>.).</w:t>
      </w:r>
    </w:p>
    <w:p w14:paraId="7CB025EB" w14:textId="723BF04D" w:rsidR="008F16E0" w:rsidRDefault="008F16E0">
      <w:pPr>
        <w:pStyle w:val="Testonotaapidipagina"/>
      </w:pPr>
    </w:p>
  </w:footnote>
  <w:footnote w:id="18">
    <w:p w14:paraId="4B0C56FA" w14:textId="7BCE4D02" w:rsidR="003C4AD1" w:rsidRDefault="003C4AD1">
      <w:pPr>
        <w:pStyle w:val="Testonotaapidipagina"/>
      </w:pPr>
      <w:r>
        <w:rPr>
          <w:rStyle w:val="Rimandonotaapidipagina"/>
        </w:rPr>
        <w:footnoteRef/>
      </w:r>
      <w:r>
        <w:t xml:space="preserve"> Si badi bene: deve trattarsi di una giuridicità piena e non di un simulacro quale quello che Hobbes individua nel quattordicesimo capitolo del Leviatano, nel quale si pone</w:t>
      </w:r>
      <w:r w:rsidR="00783FB0">
        <w:t xml:space="preserve"> artificiosamente - sulla base di un irrealistico individualismo integrale, assiologico  prima che metodologico  - </w:t>
      </w:r>
      <w:r>
        <w:t xml:space="preserve">  lo </w:t>
      </w:r>
      <w:r w:rsidRPr="002A738C">
        <w:rPr>
          <w:i/>
          <w:iCs/>
        </w:rPr>
        <w:t>Jus naturale</w:t>
      </w:r>
      <w:r>
        <w:t xml:space="preserve"> come espressione di libertà e la </w:t>
      </w:r>
      <w:r w:rsidRPr="002A738C">
        <w:rPr>
          <w:i/>
          <w:iCs/>
        </w:rPr>
        <w:t>Lex naturalis</w:t>
      </w:r>
      <w:r>
        <w:t xml:space="preserve"> come fonte di obbligazione</w:t>
      </w:r>
      <w:r w:rsidR="00783FB0">
        <w:t>. Siffatta</w:t>
      </w:r>
      <w:r>
        <w:t xml:space="preserve"> dialettica  dovrebbe condurre alla limitazione</w:t>
      </w:r>
      <w:r w:rsidR="002A738C">
        <w:t xml:space="preserve"> (pattizia) </w:t>
      </w:r>
      <w:r>
        <w:t xml:space="preserve"> del </w:t>
      </w:r>
      <w:r w:rsidR="00783FB0">
        <w:t>primigenio “diritto di ciascuno a tutto, anche al corpo di un altro” (Thomas Hobbes, Leviatano, Roma – Bari, Laterza, 2011, pp. 105 – 106). Hobbes è coerente nell’affermare che “</w:t>
      </w:r>
      <w:r w:rsidR="00361BD7">
        <w:t>s</w:t>
      </w:r>
      <w:r w:rsidR="00783FB0">
        <w:t>e si stabilisce un patto, in cui nessuna delle parti è attualmente adempiente e lo si fonda sulla fiducia reciproca, nella pura condizione naturale (che è una condizione di guerra di ciascuno contro ogni altro) esso è nullo sulla base di qualsiasi sospetto ragionevole</w:t>
      </w:r>
      <w:r w:rsidR="00C95336">
        <w:t>.</w:t>
      </w:r>
      <w:r w:rsidR="00783FB0">
        <w:t xml:space="preserve"> Non è invece nullo, se esiste un potere comune, posto al di sopra delle due parti, con un diritto e</w:t>
      </w:r>
      <w:r w:rsidR="00C95336">
        <w:t xml:space="preserve"> </w:t>
      </w:r>
      <w:r w:rsidR="00783FB0">
        <w:t>una forza sufficienti per imporre l’adempimento</w:t>
      </w:r>
      <w:r w:rsidR="00F43D98">
        <w:t>” (ivi, p.111). Ma è evidente l’aporia di una previa giuridicità che piena non è perché  si mostrerebbe come   tale solamente in esito al</w:t>
      </w:r>
      <w:r w:rsidR="00436BD6">
        <w:t>la stipulazione del</w:t>
      </w:r>
      <w:r w:rsidR="00F43D98">
        <w:t xml:space="preserve"> negozio originario.</w:t>
      </w:r>
    </w:p>
  </w:footnote>
  <w:footnote w:id="19">
    <w:p w14:paraId="516F6AEC" w14:textId="73597823" w:rsidR="00CB5850" w:rsidRDefault="00CB5850">
      <w:pPr>
        <w:pStyle w:val="Testonotaapidipagina"/>
      </w:pPr>
      <w:r>
        <w:rPr>
          <w:rStyle w:val="Rimandonotaapidipagina"/>
        </w:rPr>
        <w:footnoteRef/>
      </w:r>
      <w:r>
        <w:t xml:space="preserve"> </w:t>
      </w:r>
      <w:r w:rsidR="00347833">
        <w:t xml:space="preserve"> </w:t>
      </w:r>
      <w:r w:rsidR="00347833" w:rsidRPr="00347833">
        <w:t>E</w:t>
      </w:r>
      <w:r w:rsidR="00644354">
        <w:t>rnst - Wolfgang</w:t>
      </w:r>
      <w:r w:rsidR="00347833" w:rsidRPr="00347833">
        <w:t xml:space="preserve"> </w:t>
      </w:r>
      <w:r w:rsidR="00644354" w:rsidRPr="00347833">
        <w:t>Böckenförde</w:t>
      </w:r>
      <w:r w:rsidR="00347833" w:rsidRPr="00347833">
        <w:t xml:space="preserve">, </w:t>
      </w:r>
      <w:r w:rsidR="00347833" w:rsidRPr="00347833">
        <w:rPr>
          <w:i/>
          <w:iCs/>
        </w:rPr>
        <w:t>Die Entstehung des Staates als Vorgang der Säkularisation, ora in Recht, Staat, Freiheit, Frankfurt am Main, Suhrkamp</w:t>
      </w:r>
      <w:r w:rsidR="00347833" w:rsidRPr="00347833">
        <w:t>, nuova ed., 2006,</w:t>
      </w:r>
      <w:r w:rsidR="00347833">
        <w:t xml:space="preserve"> p.</w:t>
      </w:r>
      <w:r w:rsidR="00347833" w:rsidRPr="00347833">
        <w:t xml:space="preserve"> 112.</w:t>
      </w:r>
    </w:p>
  </w:footnote>
  <w:footnote w:id="20">
    <w:p w14:paraId="734699C6" w14:textId="10C50454" w:rsidR="006A484E" w:rsidRDefault="006A484E">
      <w:pPr>
        <w:pStyle w:val="Testonotaapidipagina"/>
      </w:pPr>
      <w:r>
        <w:rPr>
          <w:rStyle w:val="Rimandonotaapidipagina"/>
        </w:rPr>
        <w:footnoteRef/>
      </w:r>
      <w:r>
        <w:t xml:space="preserve"> DF, p</w:t>
      </w:r>
      <w:r w:rsidR="00D62D88">
        <w:t>p</w:t>
      </w:r>
      <w:r>
        <w:t>.</w:t>
      </w:r>
      <w:r w:rsidR="00D62D88">
        <w:t xml:space="preserve"> 22 – 23.</w:t>
      </w:r>
      <w:r>
        <w:t xml:space="preserve"> </w:t>
      </w:r>
    </w:p>
  </w:footnote>
  <w:footnote w:id="21">
    <w:p w14:paraId="7BD0A610" w14:textId="3D5796D7" w:rsidR="00D62D88" w:rsidRDefault="00D62D88">
      <w:pPr>
        <w:pStyle w:val="Testonotaapidipagina"/>
      </w:pPr>
      <w:r>
        <w:rPr>
          <w:rStyle w:val="Rimandonotaapidipagina"/>
        </w:rPr>
        <w:footnoteRef/>
      </w:r>
      <w:r>
        <w:t xml:space="preserve"> DF, pp. 23. </w:t>
      </w:r>
    </w:p>
  </w:footnote>
  <w:footnote w:id="22">
    <w:p w14:paraId="44A0C69B" w14:textId="70CD4459" w:rsidR="00BD07A1" w:rsidRDefault="00BD07A1">
      <w:pPr>
        <w:pStyle w:val="Testonotaapidipagina"/>
      </w:pPr>
      <w:r>
        <w:rPr>
          <w:rStyle w:val="Rimandonotaapidipagina"/>
        </w:rPr>
        <w:footnoteRef/>
      </w:r>
      <w:r>
        <w:t xml:space="preserve"> Che peraltro presenta qualche punto di contatto con altre teorie contemporanee di stampo deliberativo o proceduralistico</w:t>
      </w:r>
      <w:r w:rsidR="006A7984">
        <w:t>; ma anche con le teorie del riconoscimento di matrice hegeliana.</w:t>
      </w:r>
    </w:p>
  </w:footnote>
  <w:footnote w:id="23">
    <w:p w14:paraId="7A50C9B1" w14:textId="1889C4FE" w:rsidR="006A7984" w:rsidRDefault="006A7984">
      <w:pPr>
        <w:pStyle w:val="Testonotaapidipagina"/>
      </w:pPr>
      <w:r>
        <w:rPr>
          <w:rStyle w:val="Rimandonotaapidipagina"/>
        </w:rPr>
        <w:footnoteRef/>
      </w:r>
      <w:r>
        <w:t xml:space="preserve"> Sia consentito il rinvio a Francesco Arzillo, </w:t>
      </w:r>
      <w:r w:rsidRPr="00931C68">
        <w:rPr>
          <w:i/>
          <w:iCs/>
        </w:rPr>
        <w:t>Esperienza giuridica e senso comune. Sul fondamento ontologico del diritto</w:t>
      </w:r>
      <w:r>
        <w:t xml:space="preserve">, </w:t>
      </w:r>
      <w:r w:rsidR="00931C68">
        <w:t xml:space="preserve">Roma, </w:t>
      </w:r>
      <w:r>
        <w:t>Leonardo</w:t>
      </w:r>
      <w:r w:rsidR="00931C68">
        <w:t xml:space="preserve"> da Vinci editrice</w:t>
      </w:r>
      <w:r>
        <w:t xml:space="preserve">, </w:t>
      </w:r>
      <w:r w:rsidR="00A23ED5">
        <w:t xml:space="preserve">2013, </w:t>
      </w:r>
      <w:r>
        <w:t>II ed., p</w:t>
      </w:r>
      <w:r w:rsidR="00A23ED5">
        <w:t>.</w:t>
      </w:r>
      <w:r>
        <w:t xml:space="preserve"> 64 ss, ove si </w:t>
      </w:r>
      <w:r w:rsidR="000C1E98">
        <w:t>richiamano</w:t>
      </w:r>
      <w:r>
        <w:t xml:space="preserve"> Spaemann, Rosmini, Seelmann (che pone il tema del </w:t>
      </w:r>
      <w:r w:rsidR="00A23ED5">
        <w:t>“</w:t>
      </w:r>
      <w:r>
        <w:t>riconoscimento asimmetrico</w:t>
      </w:r>
      <w:r w:rsidR="00A23ED5">
        <w:t>”</w:t>
      </w:r>
      <w:r>
        <w:t>).</w:t>
      </w:r>
    </w:p>
  </w:footnote>
  <w:footnote w:id="24">
    <w:p w14:paraId="6B30EE3C" w14:textId="2F9491E1" w:rsidR="00AA6B66" w:rsidRDefault="00AA6B66">
      <w:pPr>
        <w:pStyle w:val="Testonotaapidipagina"/>
      </w:pPr>
      <w:r>
        <w:rPr>
          <w:rStyle w:val="Rimandonotaapidipagina"/>
        </w:rPr>
        <w:footnoteRef/>
      </w:r>
      <w:r>
        <w:t xml:space="preserve"> </w:t>
      </w:r>
      <w:r w:rsidR="00347833">
        <w:t xml:space="preserve"> Si tratta del</w:t>
      </w:r>
      <w:r>
        <w:t xml:space="preserve"> classico tema della Menschenwuerde, che è un tema di rilevanza non solo giuridica. Si veda da ultimo la dichiarazione </w:t>
      </w:r>
      <w:r w:rsidRPr="00931C68">
        <w:rPr>
          <w:i/>
          <w:iCs/>
        </w:rPr>
        <w:t>Dignitas infinita</w:t>
      </w:r>
      <w:r>
        <w:t xml:space="preserve"> del Dicastero </w:t>
      </w:r>
      <w:r w:rsidR="00347833">
        <w:t>per</w:t>
      </w:r>
      <w:r>
        <w:t xml:space="preserve"> Dottrina della Fede, dove i presupposti ontologici del discorso della dignità, rilevant</w:t>
      </w:r>
      <w:r w:rsidR="00347833">
        <w:t>i</w:t>
      </w:r>
      <w:r>
        <w:t xml:space="preserve"> anche</w:t>
      </w:r>
      <w:r w:rsidR="00347833">
        <w:t xml:space="preserve"> - per quanto qui interessa - </w:t>
      </w:r>
      <w:r>
        <w:t xml:space="preserve"> sotto il profilo filosofico</w:t>
      </w:r>
      <w:r w:rsidR="00347833">
        <w:t>,</w:t>
      </w:r>
      <w:r w:rsidR="00347833" w:rsidRPr="00347833">
        <w:t xml:space="preserve"> </w:t>
      </w:r>
      <w:r w:rsidR="00347833">
        <w:t>sono illuminati con chiarezza</w:t>
      </w:r>
      <w:r w:rsidR="005F5FB8">
        <w:t>.</w:t>
      </w:r>
    </w:p>
  </w:footnote>
  <w:footnote w:id="25">
    <w:p w14:paraId="21DCA41F" w14:textId="14EA9D55" w:rsidR="00330545" w:rsidRDefault="00330545">
      <w:pPr>
        <w:pStyle w:val="Testonotaapidipagina"/>
      </w:pPr>
      <w:r>
        <w:rPr>
          <w:rStyle w:val="Rimandonotaapidipagina"/>
        </w:rPr>
        <w:footnoteRef/>
      </w:r>
      <w:r>
        <w:t xml:space="preserve"> Il testo è stato edito dalla University of Chicago Press nel 1954. Citiamo dalla traduzione italiana dal titolo ID., </w:t>
      </w:r>
      <w:r w:rsidRPr="00931C68">
        <w:rPr>
          <w:i/>
          <w:iCs/>
        </w:rPr>
        <w:t>Il fondamento morale della democrazia</w:t>
      </w:r>
      <w:r>
        <w:t>, Milano, Giuffrè, 1995.</w:t>
      </w:r>
    </w:p>
  </w:footnote>
  <w:footnote w:id="26">
    <w:p w14:paraId="77197C2E" w14:textId="3C50D06A" w:rsidR="00347833" w:rsidRDefault="00347833">
      <w:pPr>
        <w:pStyle w:val="Testonotaapidipagina"/>
      </w:pPr>
      <w:r>
        <w:rPr>
          <w:rStyle w:val="Rimandonotaapidipagina"/>
        </w:rPr>
        <w:footnoteRef/>
      </w:r>
      <w:r>
        <w:t xml:space="preserve"> Ivi, p. 66.</w:t>
      </w:r>
    </w:p>
  </w:footnote>
  <w:footnote w:id="27">
    <w:p w14:paraId="55FA3ED2" w14:textId="3E5E0829" w:rsidR="00347833" w:rsidRDefault="00347833">
      <w:pPr>
        <w:pStyle w:val="Testonotaapidipagina"/>
      </w:pPr>
      <w:r>
        <w:rPr>
          <w:rStyle w:val="Rimandonotaapidipagina"/>
        </w:rPr>
        <w:footnoteRef/>
      </w:r>
      <w:r>
        <w:t xml:space="preserve"> Ivi, p. 68.</w:t>
      </w:r>
    </w:p>
  </w:footnote>
  <w:footnote w:id="28">
    <w:p w14:paraId="7D4BF7DD" w14:textId="7BA07B9C" w:rsidR="00B566D7" w:rsidRDefault="00B566D7">
      <w:pPr>
        <w:pStyle w:val="Testonotaapidipagina"/>
      </w:pPr>
      <w:r>
        <w:rPr>
          <w:rStyle w:val="Rimandonotaapidipagina"/>
        </w:rPr>
        <w:footnoteRef/>
      </w:r>
      <w:r>
        <w:t xml:space="preserve"> Che pare essere l</w:t>
      </w:r>
      <w:r w:rsidR="00347833">
        <w:t>’</w:t>
      </w:r>
      <w:r>
        <w:t>eguaglianza alla quale fa riferimento</w:t>
      </w:r>
      <w:r w:rsidR="00347833">
        <w:t xml:space="preserve"> -</w:t>
      </w:r>
      <w:r>
        <w:t xml:space="preserve"> su basi logiche </w:t>
      </w:r>
      <w:r w:rsidR="00347833">
        <w:t xml:space="preserve">- </w:t>
      </w:r>
      <w:r>
        <w:t>l’</w:t>
      </w:r>
      <w:r w:rsidR="00347833">
        <w:t>Au</w:t>
      </w:r>
      <w:r>
        <w:t xml:space="preserve">tore della </w:t>
      </w:r>
      <w:r w:rsidRPr="00347833">
        <w:rPr>
          <w:i/>
          <w:iCs/>
        </w:rPr>
        <w:t>lectio</w:t>
      </w:r>
      <w:r w:rsidR="00347833">
        <w:t>.</w:t>
      </w:r>
    </w:p>
  </w:footnote>
  <w:footnote w:id="29">
    <w:p w14:paraId="204E5726" w14:textId="7D6A5F27" w:rsidR="00347833" w:rsidRDefault="00347833">
      <w:pPr>
        <w:pStyle w:val="Testonotaapidipagina"/>
      </w:pPr>
      <w:r>
        <w:rPr>
          <w:rStyle w:val="Rimandonotaapidipagina"/>
        </w:rPr>
        <w:footnoteRef/>
      </w:r>
      <w:r>
        <w:t xml:space="preserve"> Ivi, p. 89.</w:t>
      </w:r>
    </w:p>
  </w:footnote>
  <w:footnote w:id="30">
    <w:p w14:paraId="1FF5AE77" w14:textId="07E27246" w:rsidR="00347833" w:rsidRDefault="00347833">
      <w:pPr>
        <w:pStyle w:val="Testonotaapidipagina"/>
      </w:pPr>
      <w:r>
        <w:rPr>
          <w:rStyle w:val="Rimandonotaapidipagina"/>
        </w:rPr>
        <w:footnoteRef/>
      </w:r>
      <w:r>
        <w:t xml:space="preserve"> Ivi, p</w:t>
      </w:r>
      <w:r w:rsidR="002810E9">
        <w:t>p140 - 141</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C7FD2"/>
    <w:multiLevelType w:val="hybridMultilevel"/>
    <w:tmpl w:val="8836F7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214DB9"/>
    <w:multiLevelType w:val="hybridMultilevel"/>
    <w:tmpl w:val="DF7ADC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72590F"/>
    <w:multiLevelType w:val="hybridMultilevel"/>
    <w:tmpl w:val="4F6E85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521537A"/>
    <w:multiLevelType w:val="hybridMultilevel"/>
    <w:tmpl w:val="E89E9E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DC20AD0"/>
    <w:multiLevelType w:val="hybridMultilevel"/>
    <w:tmpl w:val="A3B4D3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ED10D8C"/>
    <w:multiLevelType w:val="hybridMultilevel"/>
    <w:tmpl w:val="3A54FD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710716F"/>
    <w:multiLevelType w:val="hybridMultilevel"/>
    <w:tmpl w:val="095697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20B2B63"/>
    <w:multiLevelType w:val="hybridMultilevel"/>
    <w:tmpl w:val="7C7C24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3761721"/>
    <w:multiLevelType w:val="hybridMultilevel"/>
    <w:tmpl w:val="CA1892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A2F735F"/>
    <w:multiLevelType w:val="hybridMultilevel"/>
    <w:tmpl w:val="ACCE00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0F861B9"/>
    <w:multiLevelType w:val="hybridMultilevel"/>
    <w:tmpl w:val="53D44F28"/>
    <w:lvl w:ilvl="0" w:tplc="32AEC60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C5C1FC0"/>
    <w:multiLevelType w:val="hybridMultilevel"/>
    <w:tmpl w:val="FFA87748"/>
    <w:lvl w:ilvl="0" w:tplc="54E8BF5E">
      <w:start w:val="1"/>
      <w:numFmt w:val="decimal"/>
      <w:lvlText w:val="%1."/>
      <w:lvlJc w:val="left"/>
      <w:pPr>
        <w:ind w:left="1067" w:hanging="70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83331355">
    <w:abstractNumId w:val="9"/>
  </w:num>
  <w:num w:numId="2" w16cid:durableId="533546282">
    <w:abstractNumId w:val="5"/>
  </w:num>
  <w:num w:numId="3" w16cid:durableId="114106006">
    <w:abstractNumId w:val="11"/>
  </w:num>
  <w:num w:numId="4" w16cid:durableId="288246014">
    <w:abstractNumId w:val="1"/>
  </w:num>
  <w:num w:numId="5" w16cid:durableId="1183476216">
    <w:abstractNumId w:val="2"/>
  </w:num>
  <w:num w:numId="6" w16cid:durableId="776681038">
    <w:abstractNumId w:val="6"/>
  </w:num>
  <w:num w:numId="7" w16cid:durableId="645359696">
    <w:abstractNumId w:val="10"/>
  </w:num>
  <w:num w:numId="8" w16cid:durableId="599871528">
    <w:abstractNumId w:val="0"/>
  </w:num>
  <w:num w:numId="9" w16cid:durableId="539442569">
    <w:abstractNumId w:val="8"/>
  </w:num>
  <w:num w:numId="10" w16cid:durableId="1096171395">
    <w:abstractNumId w:val="4"/>
  </w:num>
  <w:num w:numId="11" w16cid:durableId="122964972">
    <w:abstractNumId w:val="3"/>
  </w:num>
  <w:num w:numId="12" w16cid:durableId="18864100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FE1"/>
    <w:rsid w:val="00000840"/>
    <w:rsid w:val="000055A9"/>
    <w:rsid w:val="00007BB8"/>
    <w:rsid w:val="00013099"/>
    <w:rsid w:val="00021760"/>
    <w:rsid w:val="0003255A"/>
    <w:rsid w:val="0004051E"/>
    <w:rsid w:val="000468E4"/>
    <w:rsid w:val="000558C9"/>
    <w:rsid w:val="00067F71"/>
    <w:rsid w:val="00071803"/>
    <w:rsid w:val="00097B38"/>
    <w:rsid w:val="000A0405"/>
    <w:rsid w:val="000B7866"/>
    <w:rsid w:val="000C01D1"/>
    <w:rsid w:val="000C1E98"/>
    <w:rsid w:val="000D6EB9"/>
    <w:rsid w:val="000E6AEF"/>
    <w:rsid w:val="000E6D3C"/>
    <w:rsid w:val="001061F8"/>
    <w:rsid w:val="001127D2"/>
    <w:rsid w:val="001345C4"/>
    <w:rsid w:val="001708A0"/>
    <w:rsid w:val="001907E9"/>
    <w:rsid w:val="00194AAE"/>
    <w:rsid w:val="001C258B"/>
    <w:rsid w:val="001D0657"/>
    <w:rsid w:val="001E1B86"/>
    <w:rsid w:val="00207D26"/>
    <w:rsid w:val="002765FC"/>
    <w:rsid w:val="002810E9"/>
    <w:rsid w:val="00285D70"/>
    <w:rsid w:val="002A738C"/>
    <w:rsid w:val="002C1ACE"/>
    <w:rsid w:val="002C4496"/>
    <w:rsid w:val="002D1D1A"/>
    <w:rsid w:val="00330545"/>
    <w:rsid w:val="00333C14"/>
    <w:rsid w:val="00347833"/>
    <w:rsid w:val="00361BD7"/>
    <w:rsid w:val="00366FEB"/>
    <w:rsid w:val="00371782"/>
    <w:rsid w:val="0039560F"/>
    <w:rsid w:val="003A3341"/>
    <w:rsid w:val="003B3C15"/>
    <w:rsid w:val="003B652E"/>
    <w:rsid w:val="003C4AD1"/>
    <w:rsid w:val="003C7E3B"/>
    <w:rsid w:val="003D0878"/>
    <w:rsid w:val="003D3F71"/>
    <w:rsid w:val="00406879"/>
    <w:rsid w:val="00433C14"/>
    <w:rsid w:val="00436BD6"/>
    <w:rsid w:val="00450A2D"/>
    <w:rsid w:val="00456C27"/>
    <w:rsid w:val="004622B9"/>
    <w:rsid w:val="004A6DB9"/>
    <w:rsid w:val="004B56A1"/>
    <w:rsid w:val="004D24C3"/>
    <w:rsid w:val="00524E22"/>
    <w:rsid w:val="00537EE1"/>
    <w:rsid w:val="00542C04"/>
    <w:rsid w:val="00550A2E"/>
    <w:rsid w:val="00566D4F"/>
    <w:rsid w:val="00576247"/>
    <w:rsid w:val="0058592F"/>
    <w:rsid w:val="005A4BD8"/>
    <w:rsid w:val="005C0FAB"/>
    <w:rsid w:val="005D7287"/>
    <w:rsid w:val="005E2825"/>
    <w:rsid w:val="005E79E6"/>
    <w:rsid w:val="005F43BF"/>
    <w:rsid w:val="005F5FB8"/>
    <w:rsid w:val="00627BA2"/>
    <w:rsid w:val="00630329"/>
    <w:rsid w:val="00630351"/>
    <w:rsid w:val="00644354"/>
    <w:rsid w:val="006704B3"/>
    <w:rsid w:val="00693C71"/>
    <w:rsid w:val="006A484E"/>
    <w:rsid w:val="006A7984"/>
    <w:rsid w:val="006C2A47"/>
    <w:rsid w:val="006D0159"/>
    <w:rsid w:val="006F073C"/>
    <w:rsid w:val="00724D5C"/>
    <w:rsid w:val="00730FBF"/>
    <w:rsid w:val="00734FB6"/>
    <w:rsid w:val="00783FB0"/>
    <w:rsid w:val="007C25F9"/>
    <w:rsid w:val="007E3EAB"/>
    <w:rsid w:val="007F6E7E"/>
    <w:rsid w:val="00802EB8"/>
    <w:rsid w:val="0080632B"/>
    <w:rsid w:val="00807D23"/>
    <w:rsid w:val="008276E0"/>
    <w:rsid w:val="008413EC"/>
    <w:rsid w:val="00843219"/>
    <w:rsid w:val="00874995"/>
    <w:rsid w:val="00875F6C"/>
    <w:rsid w:val="00885FE1"/>
    <w:rsid w:val="008B4F6D"/>
    <w:rsid w:val="008C4BC0"/>
    <w:rsid w:val="008C507C"/>
    <w:rsid w:val="008E4541"/>
    <w:rsid w:val="008F16E0"/>
    <w:rsid w:val="009070E2"/>
    <w:rsid w:val="0091195F"/>
    <w:rsid w:val="00931C68"/>
    <w:rsid w:val="00940FA0"/>
    <w:rsid w:val="009929F8"/>
    <w:rsid w:val="009B04CD"/>
    <w:rsid w:val="009B093C"/>
    <w:rsid w:val="009B7499"/>
    <w:rsid w:val="009C1B59"/>
    <w:rsid w:val="009E5AD3"/>
    <w:rsid w:val="00A07A0E"/>
    <w:rsid w:val="00A23ED5"/>
    <w:rsid w:val="00AA6B66"/>
    <w:rsid w:val="00AD202C"/>
    <w:rsid w:val="00AE5BAA"/>
    <w:rsid w:val="00B35090"/>
    <w:rsid w:val="00B566D7"/>
    <w:rsid w:val="00B62304"/>
    <w:rsid w:val="00B745E5"/>
    <w:rsid w:val="00B874E4"/>
    <w:rsid w:val="00BB0194"/>
    <w:rsid w:val="00BB5F61"/>
    <w:rsid w:val="00BB704A"/>
    <w:rsid w:val="00BD07A1"/>
    <w:rsid w:val="00BF4465"/>
    <w:rsid w:val="00C479BA"/>
    <w:rsid w:val="00C52473"/>
    <w:rsid w:val="00C55F3C"/>
    <w:rsid w:val="00C82151"/>
    <w:rsid w:val="00C95336"/>
    <w:rsid w:val="00CB5850"/>
    <w:rsid w:val="00CD7977"/>
    <w:rsid w:val="00CE12C1"/>
    <w:rsid w:val="00D05FF7"/>
    <w:rsid w:val="00D06863"/>
    <w:rsid w:val="00D62D88"/>
    <w:rsid w:val="00D8129D"/>
    <w:rsid w:val="00D90440"/>
    <w:rsid w:val="00DE320F"/>
    <w:rsid w:val="00DE3CE6"/>
    <w:rsid w:val="00DE62AA"/>
    <w:rsid w:val="00DF5FA5"/>
    <w:rsid w:val="00E0757A"/>
    <w:rsid w:val="00E141FF"/>
    <w:rsid w:val="00E551B9"/>
    <w:rsid w:val="00E556F5"/>
    <w:rsid w:val="00E93B7A"/>
    <w:rsid w:val="00E93C2D"/>
    <w:rsid w:val="00EA237F"/>
    <w:rsid w:val="00EA3503"/>
    <w:rsid w:val="00EF715C"/>
    <w:rsid w:val="00F0637B"/>
    <w:rsid w:val="00F43D98"/>
    <w:rsid w:val="00F559EA"/>
    <w:rsid w:val="00F702B4"/>
    <w:rsid w:val="00F7748B"/>
    <w:rsid w:val="00F87A72"/>
    <w:rsid w:val="00F935A8"/>
    <w:rsid w:val="00F95B63"/>
    <w:rsid w:val="00F97067"/>
    <w:rsid w:val="00FC3404"/>
    <w:rsid w:val="00FE0B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2D2C3"/>
  <w15:chartTrackingRefBased/>
  <w15:docId w15:val="{50464284-8D12-4742-BAA0-F595F9CC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1345C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345C4"/>
    <w:rPr>
      <w:sz w:val="20"/>
      <w:szCs w:val="20"/>
    </w:rPr>
  </w:style>
  <w:style w:type="character" w:styleId="Rimandonotaapidipagina">
    <w:name w:val="footnote reference"/>
    <w:basedOn w:val="Carpredefinitoparagrafo"/>
    <w:unhideWhenUsed/>
    <w:rsid w:val="001345C4"/>
    <w:rPr>
      <w:vertAlign w:val="superscript"/>
    </w:rPr>
  </w:style>
  <w:style w:type="paragraph" w:styleId="Paragrafoelenco">
    <w:name w:val="List Paragraph"/>
    <w:basedOn w:val="Normale"/>
    <w:uiPriority w:val="34"/>
    <w:qFormat/>
    <w:rsid w:val="001345C4"/>
    <w:pPr>
      <w:ind w:left="720"/>
      <w:contextualSpacing/>
    </w:pPr>
  </w:style>
  <w:style w:type="character" w:styleId="Collegamentoipertestuale">
    <w:name w:val="Hyperlink"/>
    <w:basedOn w:val="Carpredefinitoparagrafo"/>
    <w:uiPriority w:val="99"/>
    <w:unhideWhenUsed/>
    <w:rsid w:val="00630329"/>
    <w:rPr>
      <w:color w:val="0563C1" w:themeColor="hyperlink"/>
      <w:u w:val="single"/>
    </w:rPr>
  </w:style>
  <w:style w:type="character" w:styleId="Menzionenonrisolta">
    <w:name w:val="Unresolved Mention"/>
    <w:basedOn w:val="Carpredefinitoparagrafo"/>
    <w:uiPriority w:val="99"/>
    <w:semiHidden/>
    <w:unhideWhenUsed/>
    <w:rsid w:val="00630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D1522-1B7B-4711-B178-A92492C8F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Pages>
  <Words>2322</Words>
  <Characters>13238</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Arzillo</dc:creator>
  <cp:keywords/>
  <dc:description/>
  <cp:lastModifiedBy>Francesco Arzillo</cp:lastModifiedBy>
  <cp:revision>74</cp:revision>
  <dcterms:created xsi:type="dcterms:W3CDTF">2024-05-05T18:19:00Z</dcterms:created>
  <dcterms:modified xsi:type="dcterms:W3CDTF">2024-06-18T10:14:00Z</dcterms:modified>
</cp:coreProperties>
</file>