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B8D" w:rsidRPr="000F3F35" w:rsidRDefault="00777B8D" w:rsidP="000F3F35">
      <w:pPr>
        <w:spacing w:line="360" w:lineRule="auto"/>
        <w:jc w:val="right"/>
        <w:rPr>
          <w:rFonts w:ascii="Garamond" w:hAnsi="Garamond" w:cs="Calibri"/>
          <w:color w:val="000000"/>
          <w:sz w:val="28"/>
          <w:szCs w:val="28"/>
          <w:shd w:val="clear" w:color="auto" w:fill="FFFFFF"/>
        </w:rPr>
      </w:pPr>
    </w:p>
    <w:p w:rsidR="000834EA" w:rsidRPr="000F3F35" w:rsidRDefault="00E7100A" w:rsidP="000F3F35">
      <w:pPr>
        <w:spacing w:line="360" w:lineRule="auto"/>
        <w:jc w:val="both"/>
        <w:rPr>
          <w:rFonts w:ascii="Garamond" w:hAnsi="Garamond" w:cs="Calibri"/>
          <w:color w:val="000000"/>
          <w:sz w:val="28"/>
          <w:szCs w:val="28"/>
          <w:shd w:val="clear" w:color="auto" w:fill="FFFFFF"/>
        </w:rPr>
      </w:pPr>
      <w:r w:rsidRPr="008407C4">
        <w:rPr>
          <w:rFonts w:ascii="Garamond" w:hAnsi="Garamond" w:cs="Calibri"/>
          <w:b/>
          <w:color w:val="000000"/>
          <w:sz w:val="28"/>
          <w:szCs w:val="28"/>
          <w:shd w:val="clear" w:color="auto" w:fill="FFFFFF"/>
        </w:rPr>
        <w:t xml:space="preserve">Il potere </w:t>
      </w:r>
      <w:proofErr w:type="spellStart"/>
      <w:r w:rsidRPr="008407C4">
        <w:rPr>
          <w:rFonts w:ascii="Garamond" w:hAnsi="Garamond" w:cs="Calibri"/>
          <w:b/>
          <w:color w:val="000000"/>
          <w:sz w:val="28"/>
          <w:szCs w:val="28"/>
          <w:shd w:val="clear" w:color="auto" w:fill="FFFFFF"/>
        </w:rPr>
        <w:t>regolatorio</w:t>
      </w:r>
      <w:proofErr w:type="spellEnd"/>
      <w:r w:rsidRPr="008407C4">
        <w:rPr>
          <w:rFonts w:ascii="Garamond" w:hAnsi="Garamond" w:cs="Calibri"/>
          <w:b/>
          <w:color w:val="000000"/>
          <w:sz w:val="28"/>
          <w:szCs w:val="28"/>
          <w:shd w:val="clear" w:color="auto" w:fill="FFFFFF"/>
        </w:rPr>
        <w:t xml:space="preserve"> di ARERA e i confini del criterio dei poteri impliciti di fronte a discipline legislative multilivello</w:t>
      </w:r>
      <w:r w:rsidR="00777B8D" w:rsidRPr="000F3F35">
        <w:rPr>
          <w:rFonts w:ascii="Garamond" w:hAnsi="Garamond" w:cs="Calibri"/>
          <w:color w:val="000000"/>
          <w:sz w:val="28"/>
          <w:szCs w:val="28"/>
          <w:shd w:val="clear" w:color="auto" w:fill="FFFFFF"/>
        </w:rPr>
        <w:t xml:space="preserve"> *</w:t>
      </w:r>
    </w:p>
    <w:p w:rsidR="00777B8D" w:rsidRPr="000F3F35" w:rsidRDefault="000F3F35" w:rsidP="000F3F35">
      <w:pPr>
        <w:spacing w:line="360" w:lineRule="auto"/>
        <w:jc w:val="both"/>
        <w:rPr>
          <w:rFonts w:ascii="Garamond" w:hAnsi="Garamond" w:cs="Calibri"/>
          <w:color w:val="000000"/>
          <w:sz w:val="28"/>
          <w:szCs w:val="28"/>
          <w:shd w:val="clear" w:color="auto" w:fill="FFFFFF"/>
        </w:rPr>
      </w:pPr>
      <w:r w:rsidRPr="000F3F35">
        <w:rPr>
          <w:rFonts w:ascii="Garamond" w:hAnsi="Garamond" w:cs="Calibri"/>
          <w:color w:val="000000"/>
          <w:sz w:val="28"/>
          <w:szCs w:val="28"/>
          <w:shd w:val="clear" w:color="auto" w:fill="FFFFFF"/>
        </w:rPr>
        <w:t xml:space="preserve">1. </w:t>
      </w:r>
      <w:r w:rsidRPr="006C79D8">
        <w:rPr>
          <w:rFonts w:ascii="Garamond" w:hAnsi="Garamond" w:cs="Calibri"/>
          <w:i/>
          <w:color w:val="000000"/>
          <w:sz w:val="28"/>
          <w:szCs w:val="28"/>
          <w:shd w:val="clear" w:color="auto" w:fill="FFFFFF"/>
        </w:rPr>
        <w:t>Premessa</w:t>
      </w:r>
    </w:p>
    <w:p w:rsidR="000F6A52" w:rsidRDefault="000F3F35" w:rsidP="000F3F35">
      <w:pPr>
        <w:spacing w:line="360" w:lineRule="auto"/>
        <w:jc w:val="both"/>
        <w:rPr>
          <w:rFonts w:ascii="Garamond" w:hAnsi="Garamond" w:cs="Calibri"/>
          <w:color w:val="000000"/>
          <w:sz w:val="28"/>
          <w:szCs w:val="28"/>
          <w:shd w:val="clear" w:color="auto" w:fill="FFFFFF"/>
        </w:rPr>
      </w:pPr>
      <w:r w:rsidRPr="000F3F35">
        <w:rPr>
          <w:rFonts w:ascii="Garamond" w:hAnsi="Garamond" w:cs="Calibri"/>
          <w:color w:val="000000"/>
          <w:sz w:val="28"/>
          <w:szCs w:val="28"/>
          <w:shd w:val="clear" w:color="auto" w:fill="FFFFFF"/>
        </w:rPr>
        <w:t xml:space="preserve">L’occasione per affrontare il tema di cui all’oggetto viene offerta da alcune pronunce di primo e secondo grado che, a cavallo tra il 2023 e il 2024, hanno riguardato </w:t>
      </w:r>
      <w:r w:rsidR="00F6083A" w:rsidRPr="000F3F35">
        <w:rPr>
          <w:rFonts w:ascii="Garamond" w:hAnsi="Garamond" w:cs="Calibri"/>
          <w:color w:val="000000"/>
          <w:sz w:val="28"/>
          <w:szCs w:val="28"/>
          <w:shd w:val="clear" w:color="auto" w:fill="FFFFFF"/>
        </w:rPr>
        <w:t xml:space="preserve">il </w:t>
      </w:r>
      <w:r w:rsidR="000F6A52" w:rsidRPr="000F3F35">
        <w:rPr>
          <w:rFonts w:ascii="Garamond" w:hAnsi="Garamond" w:cs="Calibri"/>
          <w:color w:val="000000"/>
          <w:sz w:val="28"/>
          <w:szCs w:val="28"/>
          <w:shd w:val="clear" w:color="auto" w:fill="FFFFFF"/>
        </w:rPr>
        <w:t xml:space="preserve">Metodo Tariffario Rifiuti per il secondo periodo </w:t>
      </w:r>
      <w:proofErr w:type="spellStart"/>
      <w:r w:rsidR="000F6A52" w:rsidRPr="000F3F35">
        <w:rPr>
          <w:rFonts w:ascii="Garamond" w:hAnsi="Garamond" w:cs="Calibri"/>
          <w:color w:val="000000"/>
          <w:sz w:val="28"/>
          <w:szCs w:val="28"/>
          <w:shd w:val="clear" w:color="auto" w:fill="FFFFFF"/>
        </w:rPr>
        <w:t>regolatorio</w:t>
      </w:r>
      <w:proofErr w:type="spellEnd"/>
      <w:r w:rsidR="000F6A52" w:rsidRPr="000F3F35">
        <w:rPr>
          <w:rFonts w:ascii="Garamond" w:hAnsi="Garamond" w:cs="Calibri"/>
          <w:color w:val="000000"/>
          <w:sz w:val="28"/>
          <w:szCs w:val="28"/>
          <w:shd w:val="clear" w:color="auto" w:fill="FFFFFF"/>
        </w:rPr>
        <w:t xml:space="preserve"> 2022-2025 (MTR-2) di cui alla deliberazione di ARERA del 3 agosto 2021 n. 363</w:t>
      </w:r>
      <w:r>
        <w:rPr>
          <w:rStyle w:val="Rimandonotaapidipagina"/>
          <w:rFonts w:ascii="Garamond" w:hAnsi="Garamond" w:cs="Calibri"/>
          <w:color w:val="000000"/>
          <w:sz w:val="28"/>
          <w:szCs w:val="28"/>
          <w:shd w:val="clear" w:color="auto" w:fill="FFFFFF"/>
        </w:rPr>
        <w:footnoteReference w:id="1"/>
      </w:r>
      <w:r w:rsidR="000F6A52" w:rsidRPr="000F3F35">
        <w:rPr>
          <w:rFonts w:ascii="Garamond" w:hAnsi="Garamond" w:cs="Calibri"/>
          <w:color w:val="000000"/>
          <w:sz w:val="28"/>
          <w:szCs w:val="28"/>
          <w:shd w:val="clear" w:color="auto" w:fill="FFFFFF"/>
        </w:rPr>
        <w:t>.</w:t>
      </w:r>
      <w:r>
        <w:rPr>
          <w:rFonts w:ascii="Garamond" w:hAnsi="Garamond" w:cs="Calibri"/>
          <w:color w:val="000000"/>
          <w:sz w:val="28"/>
          <w:szCs w:val="28"/>
          <w:shd w:val="clear" w:color="auto" w:fill="FFFFFF"/>
        </w:rPr>
        <w:t xml:space="preserve"> Le decisioni </w:t>
      </w:r>
      <w:r w:rsidR="008407C4">
        <w:rPr>
          <w:rFonts w:ascii="Garamond" w:hAnsi="Garamond" w:cs="Calibri"/>
          <w:color w:val="000000"/>
          <w:sz w:val="28"/>
          <w:szCs w:val="28"/>
          <w:shd w:val="clear" w:color="auto" w:fill="FFFFFF"/>
        </w:rPr>
        <w:t>danno</w:t>
      </w:r>
      <w:r>
        <w:rPr>
          <w:rFonts w:ascii="Garamond" w:hAnsi="Garamond" w:cs="Calibri"/>
          <w:color w:val="000000"/>
          <w:sz w:val="28"/>
          <w:szCs w:val="28"/>
          <w:shd w:val="clear" w:color="auto" w:fill="FFFFFF"/>
        </w:rPr>
        <w:t xml:space="preserve"> lo spunto per alcune riflessioni </w:t>
      </w:r>
      <w:r w:rsidR="008407C4">
        <w:rPr>
          <w:rFonts w:ascii="Garamond" w:hAnsi="Garamond" w:cs="Calibri"/>
          <w:color w:val="000000"/>
          <w:sz w:val="28"/>
          <w:szCs w:val="28"/>
          <w:shd w:val="clear" w:color="auto" w:fill="FFFFFF"/>
        </w:rPr>
        <w:t xml:space="preserve">di carattere generale </w:t>
      </w:r>
      <w:r>
        <w:rPr>
          <w:rFonts w:ascii="Garamond" w:hAnsi="Garamond" w:cs="Calibri"/>
          <w:color w:val="000000"/>
          <w:sz w:val="28"/>
          <w:szCs w:val="28"/>
          <w:shd w:val="clear" w:color="auto" w:fill="FFFFFF"/>
        </w:rPr>
        <w:t xml:space="preserve">in ordine ai confini del potere </w:t>
      </w:r>
      <w:proofErr w:type="spellStart"/>
      <w:r>
        <w:rPr>
          <w:rFonts w:ascii="Garamond" w:hAnsi="Garamond" w:cs="Calibri"/>
          <w:color w:val="000000"/>
          <w:sz w:val="28"/>
          <w:szCs w:val="28"/>
          <w:shd w:val="clear" w:color="auto" w:fill="FFFFFF"/>
        </w:rPr>
        <w:t>regolatorio</w:t>
      </w:r>
      <w:proofErr w:type="spellEnd"/>
      <w:r>
        <w:rPr>
          <w:rFonts w:ascii="Garamond" w:hAnsi="Garamond" w:cs="Calibri"/>
          <w:color w:val="000000"/>
          <w:sz w:val="28"/>
          <w:szCs w:val="28"/>
          <w:shd w:val="clear" w:color="auto" w:fill="FFFFFF"/>
        </w:rPr>
        <w:t xml:space="preserve"> attribuito alle Autorità indipendenti, </w:t>
      </w:r>
      <w:r w:rsidRPr="000F3F35">
        <w:rPr>
          <w:rFonts w:ascii="Garamond" w:hAnsi="Garamond" w:cs="Calibri"/>
          <w:color w:val="000000"/>
          <w:sz w:val="28"/>
          <w:szCs w:val="28"/>
          <w:shd w:val="clear" w:color="auto" w:fill="FFFFFF"/>
        </w:rPr>
        <w:t>tenendo conto della teoria dei poteri impliciti alla luce d</w:t>
      </w:r>
      <w:r w:rsidR="000D2D54">
        <w:rPr>
          <w:rFonts w:ascii="Garamond" w:hAnsi="Garamond" w:cs="Calibri"/>
          <w:color w:val="000000"/>
          <w:sz w:val="28"/>
          <w:szCs w:val="28"/>
          <w:shd w:val="clear" w:color="auto" w:fill="FFFFFF"/>
        </w:rPr>
        <w:t>elle</w:t>
      </w:r>
      <w:r w:rsidRPr="000F3F35">
        <w:rPr>
          <w:rFonts w:ascii="Garamond" w:hAnsi="Garamond" w:cs="Calibri"/>
          <w:color w:val="000000"/>
          <w:sz w:val="28"/>
          <w:szCs w:val="28"/>
          <w:shd w:val="clear" w:color="auto" w:fill="FFFFFF"/>
        </w:rPr>
        <w:t xml:space="preserve"> nuove tendenze che si registrano nella giurisprudenza.  </w:t>
      </w:r>
    </w:p>
    <w:p w:rsidR="008407C4" w:rsidRPr="008407C4" w:rsidRDefault="008407C4" w:rsidP="008407C4">
      <w:pPr>
        <w:spacing w:after="0" w:line="360" w:lineRule="auto"/>
        <w:jc w:val="both"/>
        <w:rPr>
          <w:rFonts w:ascii="Garamond" w:hAnsi="Garamond" w:cs="Calibri"/>
          <w:color w:val="000000"/>
          <w:sz w:val="28"/>
          <w:szCs w:val="28"/>
          <w:shd w:val="clear" w:color="auto" w:fill="FFFFFF"/>
        </w:rPr>
      </w:pPr>
      <w:r>
        <w:rPr>
          <w:rFonts w:ascii="Garamond" w:hAnsi="Garamond" w:cstheme="minorHAnsi"/>
          <w:color w:val="212529"/>
          <w:sz w:val="28"/>
          <w:szCs w:val="28"/>
          <w:shd w:val="clear" w:color="auto" w:fill="FFFFFF"/>
        </w:rPr>
        <w:t>In particolare, o</w:t>
      </w:r>
      <w:r w:rsidRPr="008407C4">
        <w:rPr>
          <w:rFonts w:ascii="Garamond" w:hAnsi="Garamond" w:cstheme="minorHAnsi"/>
          <w:color w:val="212529"/>
          <w:sz w:val="28"/>
          <w:szCs w:val="28"/>
          <w:shd w:val="clear" w:color="auto" w:fill="FFFFFF"/>
        </w:rPr>
        <w:t xml:space="preserve">ggetto delle </w:t>
      </w:r>
      <w:r>
        <w:rPr>
          <w:rFonts w:ascii="Garamond" w:hAnsi="Garamond" w:cstheme="minorHAnsi"/>
          <w:color w:val="212529"/>
          <w:sz w:val="28"/>
          <w:szCs w:val="28"/>
          <w:shd w:val="clear" w:color="auto" w:fill="FFFFFF"/>
        </w:rPr>
        <w:t xml:space="preserve">pronunce </w:t>
      </w:r>
      <w:r w:rsidRPr="008407C4">
        <w:rPr>
          <w:rFonts w:ascii="Garamond" w:hAnsi="Garamond" w:cs="Calibri"/>
          <w:color w:val="000000"/>
          <w:sz w:val="28"/>
          <w:szCs w:val="28"/>
          <w:shd w:val="clear" w:color="auto" w:fill="FFFFFF"/>
        </w:rPr>
        <w:t xml:space="preserve">è la disciplina introdotta dalla delibera ARERA sugli impianti </w:t>
      </w:r>
      <w:r w:rsidR="00643649">
        <w:rPr>
          <w:rFonts w:ascii="Garamond" w:hAnsi="Garamond" w:cs="Calibri"/>
          <w:color w:val="000000"/>
          <w:sz w:val="28"/>
          <w:szCs w:val="28"/>
          <w:shd w:val="clear" w:color="auto" w:fill="FFFFFF"/>
        </w:rPr>
        <w:t xml:space="preserve">di trattamento dei rifiuti </w:t>
      </w:r>
      <w:r w:rsidRPr="008407C4">
        <w:rPr>
          <w:rFonts w:ascii="Garamond" w:hAnsi="Garamond" w:cs="Calibri"/>
          <w:color w:val="000000"/>
          <w:sz w:val="28"/>
          <w:szCs w:val="28"/>
          <w:shd w:val="clear" w:color="auto" w:fill="FFFFFF"/>
        </w:rPr>
        <w:t xml:space="preserve">di chiusura del ciclo “minimi”, con particolare riferimento alle modalità di individuazione o qualificazione di detti impianti “minimi” (e alla competenza a individuarli), e alle conseguenze giuridico-economiche che discendono da tale qualificazione, disciplina, come detto, introdotta nell’ambito del Metodo Tariffario Rifiuti. </w:t>
      </w:r>
    </w:p>
    <w:p w:rsidR="008407C4" w:rsidRPr="008407C4" w:rsidRDefault="008407C4" w:rsidP="008407C4">
      <w:pPr>
        <w:spacing w:after="0" w:line="360" w:lineRule="auto"/>
        <w:jc w:val="both"/>
        <w:rPr>
          <w:rFonts w:ascii="Garamond" w:hAnsi="Garamond" w:cs="Calibri"/>
          <w:color w:val="000000"/>
          <w:sz w:val="28"/>
          <w:szCs w:val="28"/>
          <w:shd w:val="clear" w:color="auto" w:fill="FFFFFF"/>
        </w:rPr>
      </w:pPr>
      <w:r w:rsidRPr="008407C4">
        <w:rPr>
          <w:rFonts w:ascii="Garamond" w:hAnsi="Garamond" w:cs="Calibri"/>
          <w:color w:val="000000"/>
          <w:sz w:val="28"/>
          <w:szCs w:val="28"/>
          <w:shd w:val="clear" w:color="auto" w:fill="FFFFFF"/>
        </w:rPr>
        <w:t xml:space="preserve">Il fine dell’istituto degli impianti “minimi” è quello di cercare di colmare una situazione di deficit impiantistico attraverso il temporaneo utilizzo di impianti </w:t>
      </w:r>
      <w:r w:rsidR="00643649">
        <w:rPr>
          <w:rFonts w:ascii="Garamond" w:hAnsi="Garamond" w:cs="Calibri"/>
          <w:color w:val="000000"/>
          <w:sz w:val="28"/>
          <w:szCs w:val="28"/>
          <w:shd w:val="clear" w:color="auto" w:fill="FFFFFF"/>
        </w:rPr>
        <w:t xml:space="preserve">- </w:t>
      </w:r>
      <w:r w:rsidR="00643649" w:rsidRPr="00643649">
        <w:rPr>
          <w:rFonts w:ascii="Garamond" w:hAnsi="Garamond" w:cs="Calibri"/>
          <w:color w:val="000000"/>
          <w:sz w:val="28"/>
          <w:szCs w:val="28"/>
          <w:shd w:val="clear" w:color="auto" w:fill="FFFFFF"/>
        </w:rPr>
        <w:t xml:space="preserve">sia privati </w:t>
      </w:r>
      <w:r w:rsidR="00643649">
        <w:rPr>
          <w:rFonts w:ascii="Garamond" w:hAnsi="Garamond" w:cs="Calibri"/>
          <w:color w:val="000000"/>
          <w:sz w:val="28"/>
          <w:szCs w:val="28"/>
          <w:shd w:val="clear" w:color="auto" w:fill="FFFFFF"/>
        </w:rPr>
        <w:t>sia</w:t>
      </w:r>
      <w:r w:rsidR="00643649" w:rsidRPr="00643649">
        <w:rPr>
          <w:rFonts w:ascii="Garamond" w:hAnsi="Garamond" w:cs="Calibri"/>
          <w:color w:val="000000"/>
          <w:sz w:val="28"/>
          <w:szCs w:val="28"/>
          <w:shd w:val="clear" w:color="auto" w:fill="FFFFFF"/>
        </w:rPr>
        <w:t xml:space="preserve"> pubblici </w:t>
      </w:r>
      <w:r w:rsidR="00643649">
        <w:rPr>
          <w:rFonts w:ascii="Garamond" w:hAnsi="Garamond" w:cs="Calibri"/>
          <w:color w:val="000000"/>
          <w:sz w:val="28"/>
          <w:szCs w:val="28"/>
          <w:shd w:val="clear" w:color="auto" w:fill="FFFFFF"/>
        </w:rPr>
        <w:t>-</w:t>
      </w:r>
      <w:r w:rsidRPr="008407C4">
        <w:rPr>
          <w:rFonts w:ascii="Garamond" w:hAnsi="Garamond" w:cs="Calibri"/>
          <w:color w:val="000000"/>
          <w:sz w:val="28"/>
          <w:szCs w:val="28"/>
          <w:shd w:val="clear" w:color="auto" w:fill="FFFFFF"/>
        </w:rPr>
        <w:t xml:space="preserve">già esistenti sul territorio, e la predeterminata regolazione dei flussi (e delle tariffe) per tentare di riequilibrare un contesto di mercato in cui a fronte di un eccesso di domanda è presente un limitato numero di operatori.  </w:t>
      </w:r>
    </w:p>
    <w:p w:rsidR="008407C4" w:rsidRPr="008407C4" w:rsidRDefault="008407C4" w:rsidP="008407C4">
      <w:pPr>
        <w:spacing w:after="0" w:line="360" w:lineRule="auto"/>
        <w:jc w:val="both"/>
        <w:rPr>
          <w:rFonts w:ascii="Garamond" w:hAnsi="Garamond" w:cs="Calibri"/>
          <w:color w:val="000000"/>
          <w:sz w:val="28"/>
          <w:szCs w:val="28"/>
          <w:shd w:val="clear" w:color="auto" w:fill="FFFFFF"/>
        </w:rPr>
      </w:pPr>
      <w:r w:rsidRPr="008407C4">
        <w:rPr>
          <w:rFonts w:ascii="Garamond" w:hAnsi="Garamond" w:cs="Calibri"/>
          <w:color w:val="000000"/>
          <w:sz w:val="28"/>
          <w:szCs w:val="28"/>
          <w:shd w:val="clear" w:color="auto" w:fill="FFFFFF"/>
        </w:rPr>
        <w:t xml:space="preserve">La disciplina contenuta nella delibera n. 363/2021 comportava che gli impianti individuati come “minimi” venissero sottratti all’ambito concorrenziale del mercato del trattamento </w:t>
      </w:r>
      <w:r w:rsidRPr="008407C4">
        <w:rPr>
          <w:rFonts w:ascii="Garamond" w:hAnsi="Garamond" w:cs="Calibri"/>
          <w:color w:val="000000"/>
          <w:sz w:val="28"/>
          <w:szCs w:val="28"/>
          <w:shd w:val="clear" w:color="auto" w:fill="FFFFFF"/>
        </w:rPr>
        <w:lastRenderedPageBreak/>
        <w:t>e smaltimento dei rifiuti, venendo assoggettati alla pianificazione regionale dei flussi di rifiuti conferiti e a una conseguente fissazione delle tariffe di accesso.</w:t>
      </w:r>
    </w:p>
    <w:p w:rsidR="008407C4" w:rsidRDefault="008407C4" w:rsidP="008407C4">
      <w:pPr>
        <w:spacing w:after="0" w:line="360" w:lineRule="auto"/>
        <w:jc w:val="both"/>
        <w:rPr>
          <w:rFonts w:ascii="Garamond" w:hAnsi="Garamond" w:cs="Calibri"/>
          <w:color w:val="000000"/>
          <w:sz w:val="28"/>
          <w:szCs w:val="28"/>
          <w:shd w:val="clear" w:color="auto" w:fill="FFFFFF"/>
        </w:rPr>
      </w:pPr>
      <w:r w:rsidRPr="008407C4">
        <w:rPr>
          <w:rFonts w:ascii="Garamond" w:hAnsi="Garamond" w:cs="Calibri"/>
          <w:color w:val="000000"/>
          <w:sz w:val="28"/>
          <w:szCs w:val="28"/>
          <w:shd w:val="clear" w:color="auto" w:fill="FFFFFF"/>
        </w:rPr>
        <w:t xml:space="preserve">Questa disciplina è stata impugnata da società titolari di </w:t>
      </w:r>
      <w:r w:rsidR="00643649">
        <w:rPr>
          <w:rFonts w:ascii="Garamond" w:hAnsi="Garamond" w:cs="Calibri"/>
          <w:color w:val="000000"/>
          <w:sz w:val="28"/>
          <w:szCs w:val="28"/>
          <w:shd w:val="clear" w:color="auto" w:fill="FFFFFF"/>
        </w:rPr>
        <w:t>impianti</w:t>
      </w:r>
      <w:r w:rsidRPr="008407C4">
        <w:rPr>
          <w:rFonts w:ascii="Garamond" w:hAnsi="Garamond" w:cs="Calibri"/>
          <w:color w:val="000000"/>
          <w:sz w:val="28"/>
          <w:szCs w:val="28"/>
          <w:shd w:val="clear" w:color="auto" w:fill="FFFFFF"/>
        </w:rPr>
        <w:t xml:space="preserve"> di discarica per rifiuti presenti, in particolare, sul territorio della Regione Puglia</w:t>
      </w:r>
      <w:r w:rsidR="00643649">
        <w:rPr>
          <w:rFonts w:ascii="Garamond" w:hAnsi="Garamond" w:cs="Calibri"/>
          <w:color w:val="000000"/>
          <w:sz w:val="28"/>
          <w:szCs w:val="28"/>
          <w:shd w:val="clear" w:color="auto" w:fill="FFFFFF"/>
        </w:rPr>
        <w:t>,</w:t>
      </w:r>
      <w:r w:rsidRPr="008407C4">
        <w:rPr>
          <w:rFonts w:ascii="Garamond" w:hAnsi="Garamond" w:cs="Calibri"/>
          <w:color w:val="000000"/>
          <w:sz w:val="28"/>
          <w:szCs w:val="28"/>
          <w:shd w:val="clear" w:color="auto" w:fill="FFFFFF"/>
        </w:rPr>
        <w:t xml:space="preserve"> che hanno contestato la carenza di potere di ARERA in base all’art. 1, comma 527, della l. n. 205 del 2017, che ne ha individuato le competenze in materia di rifiuti. </w:t>
      </w:r>
    </w:p>
    <w:p w:rsidR="008407C4" w:rsidRPr="008407C4" w:rsidRDefault="008407C4" w:rsidP="008407C4">
      <w:pPr>
        <w:spacing w:after="0" w:line="360" w:lineRule="auto"/>
        <w:jc w:val="both"/>
        <w:rPr>
          <w:rFonts w:ascii="Garamond" w:hAnsi="Garamond" w:cs="Calibri"/>
          <w:color w:val="000000"/>
          <w:sz w:val="28"/>
          <w:szCs w:val="28"/>
          <w:u w:val="single"/>
          <w:shd w:val="clear" w:color="auto" w:fill="FFFFFF"/>
        </w:rPr>
      </w:pPr>
    </w:p>
    <w:p w:rsidR="008658D3" w:rsidRPr="006C79D8" w:rsidRDefault="006C79D8" w:rsidP="006C79D8">
      <w:pPr>
        <w:spacing w:line="360" w:lineRule="auto"/>
        <w:jc w:val="both"/>
        <w:rPr>
          <w:rFonts w:ascii="Garamond" w:hAnsi="Garamond" w:cs="Calibri"/>
          <w:color w:val="000000"/>
          <w:sz w:val="28"/>
          <w:szCs w:val="28"/>
          <w:shd w:val="clear" w:color="auto" w:fill="FFFFFF"/>
        </w:rPr>
      </w:pPr>
      <w:r>
        <w:rPr>
          <w:rFonts w:ascii="Garamond" w:hAnsi="Garamond" w:cs="Calibri"/>
          <w:color w:val="000000"/>
          <w:sz w:val="28"/>
          <w:szCs w:val="28"/>
          <w:shd w:val="clear" w:color="auto" w:fill="FFFFFF"/>
        </w:rPr>
        <w:t xml:space="preserve">Sia il T.A.R. </w:t>
      </w:r>
      <w:r w:rsidR="00643649">
        <w:rPr>
          <w:rFonts w:ascii="Garamond" w:hAnsi="Garamond" w:cs="Calibri"/>
          <w:color w:val="000000"/>
          <w:sz w:val="28"/>
          <w:szCs w:val="28"/>
          <w:shd w:val="clear" w:color="auto" w:fill="FFFFFF"/>
        </w:rPr>
        <w:t xml:space="preserve">Milano </w:t>
      </w:r>
      <w:r>
        <w:rPr>
          <w:rFonts w:ascii="Garamond" w:hAnsi="Garamond" w:cs="Calibri"/>
          <w:color w:val="000000"/>
          <w:sz w:val="28"/>
          <w:szCs w:val="28"/>
          <w:shd w:val="clear" w:color="auto" w:fill="FFFFFF"/>
        </w:rPr>
        <w:t>prima sia il Consiglio di Stato dopo, in accoglimento dei ricorsi proposti, hanno annullato la deliberazione dell’Autorità per carenza di potere</w:t>
      </w:r>
      <w:r w:rsidR="008658D3" w:rsidRPr="000F3F35">
        <w:rPr>
          <w:rFonts w:ascii="Garamond" w:hAnsi="Garamond" w:cstheme="minorHAnsi"/>
          <w:color w:val="212529"/>
          <w:sz w:val="28"/>
          <w:szCs w:val="28"/>
        </w:rPr>
        <w:t>,</w:t>
      </w:r>
      <w:r>
        <w:rPr>
          <w:rFonts w:ascii="Garamond" w:hAnsi="Garamond" w:cstheme="minorHAnsi"/>
          <w:color w:val="212529"/>
          <w:sz w:val="28"/>
          <w:szCs w:val="28"/>
        </w:rPr>
        <w:t xml:space="preserve"> in quanto il</w:t>
      </w:r>
      <w:r w:rsidR="008658D3" w:rsidRPr="000F3F35">
        <w:rPr>
          <w:rFonts w:ascii="Garamond" w:hAnsi="Garamond" w:cstheme="minorHAnsi"/>
          <w:color w:val="212529"/>
          <w:sz w:val="28"/>
          <w:szCs w:val="28"/>
        </w:rPr>
        <w:t xml:space="preserve"> sistema</w:t>
      </w:r>
      <w:r>
        <w:rPr>
          <w:rFonts w:ascii="Garamond" w:hAnsi="Garamond" w:cstheme="minorHAnsi"/>
          <w:color w:val="212529"/>
          <w:sz w:val="28"/>
          <w:szCs w:val="28"/>
        </w:rPr>
        <w:t>, nella materia dei rifiuti,</w:t>
      </w:r>
      <w:r w:rsidR="008658D3" w:rsidRPr="000F3F35">
        <w:rPr>
          <w:rFonts w:ascii="Garamond" w:hAnsi="Garamond" w:cstheme="minorHAnsi"/>
          <w:color w:val="212529"/>
          <w:sz w:val="28"/>
          <w:szCs w:val="28"/>
        </w:rPr>
        <w:t xml:space="preserve"> prevede un coordinamento statale nella individuazione delle scelte necessarie a chiudere in maniera efficiente il ciclo dei rifiuti,</w:t>
      </w:r>
      <w:r>
        <w:rPr>
          <w:rFonts w:ascii="Garamond" w:hAnsi="Garamond" w:cstheme="minorHAnsi"/>
          <w:color w:val="212529"/>
          <w:sz w:val="28"/>
          <w:szCs w:val="28"/>
        </w:rPr>
        <w:t xml:space="preserve"> </w:t>
      </w:r>
      <w:proofErr w:type="spellStart"/>
      <w:r>
        <w:rPr>
          <w:rFonts w:ascii="Garamond" w:hAnsi="Garamond" w:cstheme="minorHAnsi"/>
          <w:color w:val="212529"/>
          <w:sz w:val="28"/>
          <w:szCs w:val="28"/>
        </w:rPr>
        <w:t>sicchè</w:t>
      </w:r>
      <w:proofErr w:type="spellEnd"/>
      <w:r w:rsidR="008658D3" w:rsidRPr="000F3F35">
        <w:rPr>
          <w:rFonts w:ascii="Garamond" w:hAnsi="Garamond" w:cstheme="minorHAnsi"/>
          <w:color w:val="212529"/>
          <w:sz w:val="28"/>
          <w:szCs w:val="28"/>
        </w:rPr>
        <w:t xml:space="preserve"> sotto il profilo della dotazione impiantistica, il bilanciamento tra tutela dell’ambiente, da un lato, e promozione della concorrenza, dall’altro lato, non potrebbe essere rimess</w:t>
      </w:r>
      <w:r w:rsidR="00643649">
        <w:rPr>
          <w:rFonts w:ascii="Garamond" w:hAnsi="Garamond" w:cstheme="minorHAnsi"/>
          <w:color w:val="212529"/>
          <w:sz w:val="28"/>
          <w:szCs w:val="28"/>
        </w:rPr>
        <w:t>o</w:t>
      </w:r>
      <w:r w:rsidR="008658D3" w:rsidRPr="000F3F35">
        <w:rPr>
          <w:rFonts w:ascii="Garamond" w:hAnsi="Garamond" w:cstheme="minorHAnsi"/>
          <w:color w:val="212529"/>
          <w:sz w:val="28"/>
          <w:szCs w:val="28"/>
        </w:rPr>
        <w:t xml:space="preserve"> </w:t>
      </w:r>
      <w:r>
        <w:rPr>
          <w:rFonts w:ascii="Garamond" w:hAnsi="Garamond" w:cstheme="minorHAnsi"/>
          <w:color w:val="212529"/>
          <w:sz w:val="28"/>
          <w:szCs w:val="28"/>
        </w:rPr>
        <w:t xml:space="preserve">ad Enti diversi </w:t>
      </w:r>
      <w:r w:rsidR="008658D3" w:rsidRPr="000F3F35">
        <w:rPr>
          <w:rFonts w:ascii="Garamond" w:hAnsi="Garamond" w:cstheme="minorHAnsi"/>
          <w:color w:val="212529"/>
          <w:sz w:val="28"/>
          <w:szCs w:val="28"/>
        </w:rPr>
        <w:t>in assenza di indicazioni da parte dello Stato.</w:t>
      </w:r>
    </w:p>
    <w:p w:rsidR="00F140A2" w:rsidRPr="000F3F35" w:rsidRDefault="00F140A2" w:rsidP="000F3F35">
      <w:pPr>
        <w:spacing w:line="360" w:lineRule="auto"/>
        <w:jc w:val="both"/>
        <w:rPr>
          <w:rFonts w:ascii="Garamond" w:hAnsi="Garamond" w:cs="Calibri"/>
          <w:color w:val="000000"/>
          <w:sz w:val="28"/>
          <w:szCs w:val="28"/>
          <w:shd w:val="clear" w:color="auto" w:fill="FFFFFF"/>
        </w:rPr>
      </w:pPr>
      <w:r w:rsidRPr="000F3F35">
        <w:rPr>
          <w:rFonts w:ascii="Garamond" w:hAnsi="Garamond" w:cs="Calibri"/>
          <w:color w:val="000000"/>
          <w:sz w:val="28"/>
          <w:szCs w:val="28"/>
          <w:shd w:val="clear" w:color="auto" w:fill="FFFFFF"/>
        </w:rPr>
        <w:t xml:space="preserve">Le pronunce hanno ritenuto che non fosse invocabile, nel caso di specie, la teoria dei poteri impliciti al fine di “giustificare” l’intervento di ARERA nella disciplina predetta, in quanto il legislatore stesso ha attestato il potere espressamente sullo Stato, individuando altrettanto espressamente </w:t>
      </w:r>
      <w:r w:rsidR="008407C4">
        <w:rPr>
          <w:rFonts w:ascii="Garamond" w:hAnsi="Garamond" w:cs="Calibri"/>
          <w:color w:val="000000"/>
          <w:sz w:val="28"/>
          <w:szCs w:val="28"/>
          <w:shd w:val="clear" w:color="auto" w:fill="FFFFFF"/>
        </w:rPr>
        <w:t>gli</w:t>
      </w:r>
      <w:r w:rsidRPr="000F3F35">
        <w:rPr>
          <w:rFonts w:ascii="Garamond" w:hAnsi="Garamond" w:cs="Calibri"/>
          <w:color w:val="000000"/>
          <w:sz w:val="28"/>
          <w:szCs w:val="28"/>
          <w:shd w:val="clear" w:color="auto" w:fill="FFFFFF"/>
        </w:rPr>
        <w:t xml:space="preserve"> strument</w:t>
      </w:r>
      <w:r w:rsidR="008407C4">
        <w:rPr>
          <w:rFonts w:ascii="Garamond" w:hAnsi="Garamond" w:cs="Calibri"/>
          <w:color w:val="000000"/>
          <w:sz w:val="28"/>
          <w:szCs w:val="28"/>
          <w:shd w:val="clear" w:color="auto" w:fill="FFFFFF"/>
        </w:rPr>
        <w:t>i normativi</w:t>
      </w:r>
      <w:r w:rsidRPr="000F3F35">
        <w:rPr>
          <w:rFonts w:ascii="Garamond" w:hAnsi="Garamond" w:cs="Calibri"/>
          <w:color w:val="000000"/>
          <w:sz w:val="28"/>
          <w:szCs w:val="28"/>
          <w:shd w:val="clear" w:color="auto" w:fill="FFFFFF"/>
        </w:rPr>
        <w:t xml:space="preserve"> (il</w:t>
      </w:r>
      <w:r w:rsidR="008407C4">
        <w:rPr>
          <w:rFonts w:ascii="Garamond" w:hAnsi="Garamond" w:cs="Calibri"/>
          <w:color w:val="000000"/>
          <w:sz w:val="28"/>
          <w:szCs w:val="28"/>
          <w:shd w:val="clear" w:color="auto" w:fill="FFFFFF"/>
        </w:rPr>
        <w:t xml:space="preserve"> Regolamento di cui all’art. 195 del D.lgs. n. 152/2006 e il Piano Nazionale di Gestione dei Rifiuti </w:t>
      </w:r>
      <w:r w:rsidR="005563EE">
        <w:rPr>
          <w:rFonts w:ascii="Garamond" w:hAnsi="Garamond" w:cs="Calibri"/>
          <w:color w:val="000000"/>
          <w:sz w:val="28"/>
          <w:szCs w:val="28"/>
          <w:shd w:val="clear" w:color="auto" w:fill="FFFFFF"/>
        </w:rPr>
        <w:t>–</w:t>
      </w:r>
      <w:r w:rsidRPr="000F3F35">
        <w:rPr>
          <w:rFonts w:ascii="Garamond" w:hAnsi="Garamond" w:cs="Calibri"/>
          <w:color w:val="000000"/>
          <w:sz w:val="28"/>
          <w:szCs w:val="28"/>
          <w:shd w:val="clear" w:color="auto" w:fill="FFFFFF"/>
        </w:rPr>
        <w:t xml:space="preserve"> PNGR</w:t>
      </w:r>
      <w:r w:rsidR="005563EE">
        <w:rPr>
          <w:rFonts w:ascii="Garamond" w:hAnsi="Garamond" w:cs="Calibri"/>
          <w:color w:val="000000"/>
          <w:sz w:val="28"/>
          <w:szCs w:val="28"/>
          <w:shd w:val="clear" w:color="auto" w:fill="FFFFFF"/>
        </w:rPr>
        <w:t>, e i Piani regionali di cui all’art. 196 del medesimo decreto legislativo</w:t>
      </w:r>
      <w:r w:rsidRPr="000F3F35">
        <w:rPr>
          <w:rFonts w:ascii="Garamond" w:hAnsi="Garamond" w:cs="Calibri"/>
          <w:color w:val="000000"/>
          <w:sz w:val="28"/>
          <w:szCs w:val="28"/>
          <w:shd w:val="clear" w:color="auto" w:fill="FFFFFF"/>
        </w:rPr>
        <w:t xml:space="preserve">), </w:t>
      </w:r>
      <w:r w:rsidR="00643649">
        <w:rPr>
          <w:rFonts w:ascii="Garamond" w:hAnsi="Garamond" w:cs="Calibri"/>
          <w:color w:val="000000"/>
          <w:sz w:val="28"/>
          <w:szCs w:val="28"/>
          <w:shd w:val="clear" w:color="auto" w:fill="FFFFFF"/>
        </w:rPr>
        <w:t>determinandosi così</w:t>
      </w:r>
      <w:r w:rsidRPr="000F3F35">
        <w:rPr>
          <w:rFonts w:ascii="Garamond" w:hAnsi="Garamond" w:cs="Calibri"/>
          <w:color w:val="000000"/>
          <w:sz w:val="28"/>
          <w:szCs w:val="28"/>
          <w:shd w:val="clear" w:color="auto" w:fill="FFFFFF"/>
        </w:rPr>
        <w:t xml:space="preserve"> </w:t>
      </w:r>
      <w:r w:rsidR="00643649">
        <w:rPr>
          <w:rFonts w:ascii="Garamond" w:hAnsi="Garamond" w:cs="Calibri"/>
          <w:color w:val="000000"/>
          <w:sz w:val="28"/>
          <w:szCs w:val="28"/>
          <w:shd w:val="clear" w:color="auto" w:fill="FFFFFF"/>
        </w:rPr>
        <w:t xml:space="preserve">l’impossibilità di </w:t>
      </w:r>
      <w:r w:rsidRPr="000F3F35">
        <w:rPr>
          <w:rFonts w:ascii="Garamond" w:hAnsi="Garamond" w:cs="Calibri"/>
          <w:color w:val="000000"/>
          <w:sz w:val="28"/>
          <w:szCs w:val="28"/>
          <w:shd w:val="clear" w:color="auto" w:fill="FFFFFF"/>
        </w:rPr>
        <w:t xml:space="preserve">far ricorso al </w:t>
      </w:r>
      <w:r w:rsidR="002240CB">
        <w:rPr>
          <w:rFonts w:ascii="Garamond" w:hAnsi="Garamond" w:cs="Calibri"/>
          <w:color w:val="000000"/>
          <w:sz w:val="28"/>
          <w:szCs w:val="28"/>
          <w:shd w:val="clear" w:color="auto" w:fill="FFFFFF"/>
        </w:rPr>
        <w:t>criterio interpretativo</w:t>
      </w:r>
      <w:r w:rsidRPr="000F3F35">
        <w:rPr>
          <w:rFonts w:ascii="Garamond" w:hAnsi="Garamond" w:cs="Calibri"/>
          <w:color w:val="000000"/>
          <w:sz w:val="28"/>
          <w:szCs w:val="28"/>
          <w:shd w:val="clear" w:color="auto" w:fill="FFFFFF"/>
        </w:rPr>
        <w:t xml:space="preserve"> dei poteri impliciti che, in quanto derogatorio del principio di legalità, va applicato in modo stringente per consentirne la compatibilità costituzionale.  </w:t>
      </w:r>
    </w:p>
    <w:p w:rsidR="001342DC" w:rsidRPr="000F3F35" w:rsidRDefault="00594E7B" w:rsidP="000F3F35">
      <w:pPr>
        <w:spacing w:line="360" w:lineRule="auto"/>
        <w:jc w:val="both"/>
        <w:rPr>
          <w:rFonts w:ascii="Garamond" w:hAnsi="Garamond" w:cs="Calibri"/>
          <w:color w:val="000000"/>
          <w:sz w:val="28"/>
          <w:szCs w:val="28"/>
          <w:shd w:val="clear" w:color="auto" w:fill="FFFFFF"/>
        </w:rPr>
      </w:pPr>
      <w:r w:rsidRPr="000F3F35">
        <w:rPr>
          <w:rFonts w:ascii="Garamond" w:hAnsi="Garamond" w:cs="Calibri"/>
          <w:color w:val="000000"/>
          <w:sz w:val="28"/>
          <w:szCs w:val="28"/>
          <w:shd w:val="clear" w:color="auto" w:fill="FFFFFF"/>
        </w:rPr>
        <w:t xml:space="preserve">Anticipando il tema più generale che si andrà ad affrontare, va evidenziata una precisazione ovvia. </w:t>
      </w:r>
    </w:p>
    <w:p w:rsidR="00594E7B" w:rsidRPr="000F3F35" w:rsidRDefault="00594E7B" w:rsidP="000F3F35">
      <w:pPr>
        <w:spacing w:line="360" w:lineRule="auto"/>
        <w:jc w:val="both"/>
        <w:rPr>
          <w:rFonts w:ascii="Garamond" w:hAnsi="Garamond" w:cs="Calibri"/>
          <w:color w:val="000000"/>
          <w:sz w:val="28"/>
          <w:szCs w:val="28"/>
          <w:shd w:val="clear" w:color="auto" w:fill="FFFFFF"/>
        </w:rPr>
      </w:pPr>
      <w:proofErr w:type="gramStart"/>
      <w:r w:rsidRPr="000F3F35">
        <w:rPr>
          <w:rFonts w:ascii="Garamond" w:hAnsi="Garamond" w:cs="Calibri"/>
          <w:color w:val="000000"/>
          <w:sz w:val="28"/>
          <w:szCs w:val="28"/>
          <w:shd w:val="clear" w:color="auto" w:fill="FFFFFF"/>
        </w:rPr>
        <w:t>E’</w:t>
      </w:r>
      <w:proofErr w:type="gramEnd"/>
      <w:r w:rsidRPr="000F3F35">
        <w:rPr>
          <w:rFonts w:ascii="Garamond" w:hAnsi="Garamond" w:cs="Calibri"/>
          <w:color w:val="000000"/>
          <w:sz w:val="28"/>
          <w:szCs w:val="28"/>
          <w:shd w:val="clear" w:color="auto" w:fill="FFFFFF"/>
        </w:rPr>
        <w:t xml:space="preserve"> chiaro che la teoria interpretat</w:t>
      </w:r>
      <w:r w:rsidR="002240CB">
        <w:rPr>
          <w:rFonts w:ascii="Garamond" w:hAnsi="Garamond" w:cs="Calibri"/>
          <w:color w:val="000000"/>
          <w:sz w:val="28"/>
          <w:szCs w:val="28"/>
          <w:shd w:val="clear" w:color="auto" w:fill="FFFFFF"/>
        </w:rPr>
        <w:t>iva dei poteri impliciti postula</w:t>
      </w:r>
      <w:r w:rsidRPr="000F3F35">
        <w:rPr>
          <w:rFonts w:ascii="Garamond" w:hAnsi="Garamond" w:cs="Calibri"/>
          <w:color w:val="000000"/>
          <w:sz w:val="28"/>
          <w:szCs w:val="28"/>
          <w:shd w:val="clear" w:color="auto" w:fill="FFFFFF"/>
        </w:rPr>
        <w:t xml:space="preserve"> necessariamente che vi sia una norma attributiva del potere e che quella norma, con i limiti e le criticità che vedremo, possa essere “estesa” per coprire l’esercizio di poteri che, seppure non espressamente </w:t>
      </w:r>
      <w:r w:rsidRPr="000F3F35">
        <w:rPr>
          <w:rFonts w:ascii="Garamond" w:hAnsi="Garamond" w:cs="Calibri"/>
          <w:color w:val="000000"/>
          <w:sz w:val="28"/>
          <w:szCs w:val="28"/>
          <w:shd w:val="clear" w:color="auto" w:fill="FFFFFF"/>
        </w:rPr>
        <w:lastRenderedPageBreak/>
        <w:t>previsti dalla norma, siano funzionali per il raggiungimento della scopo che il legislatore ha indicato.</w:t>
      </w:r>
    </w:p>
    <w:p w:rsidR="00594E7B" w:rsidRPr="000F3F35" w:rsidRDefault="00594E7B" w:rsidP="000F3F35">
      <w:pPr>
        <w:spacing w:line="360" w:lineRule="auto"/>
        <w:jc w:val="both"/>
        <w:rPr>
          <w:rFonts w:ascii="Garamond" w:hAnsi="Garamond" w:cs="Calibri"/>
          <w:color w:val="000000"/>
          <w:sz w:val="28"/>
          <w:szCs w:val="28"/>
          <w:shd w:val="clear" w:color="auto" w:fill="FFFFFF"/>
        </w:rPr>
      </w:pPr>
      <w:r w:rsidRPr="000F3F35">
        <w:rPr>
          <w:rFonts w:ascii="Garamond" w:hAnsi="Garamond" w:cs="Calibri"/>
          <w:color w:val="000000"/>
          <w:sz w:val="28"/>
          <w:szCs w:val="28"/>
          <w:shd w:val="clear" w:color="auto" w:fill="FFFFFF"/>
        </w:rPr>
        <w:t>Nessuna teoria dei poteri impliciti può surrogare l’assenza totale di una norma attributiva del potere.</w:t>
      </w:r>
    </w:p>
    <w:p w:rsidR="006C79D8" w:rsidRDefault="006C79D8" w:rsidP="000F3F35">
      <w:pPr>
        <w:spacing w:line="360" w:lineRule="auto"/>
        <w:jc w:val="both"/>
        <w:rPr>
          <w:rFonts w:ascii="Garamond" w:hAnsi="Garamond" w:cstheme="minorHAnsi"/>
          <w:color w:val="212529"/>
          <w:sz w:val="28"/>
          <w:szCs w:val="28"/>
          <w:shd w:val="clear" w:color="auto" w:fill="FFFFFF"/>
        </w:rPr>
      </w:pPr>
      <w:r>
        <w:rPr>
          <w:rFonts w:ascii="Garamond" w:hAnsi="Garamond" w:cstheme="minorHAnsi"/>
          <w:color w:val="212529"/>
          <w:sz w:val="28"/>
          <w:szCs w:val="28"/>
          <w:shd w:val="clear" w:color="auto" w:fill="FFFFFF"/>
        </w:rPr>
        <w:t xml:space="preserve">2. </w:t>
      </w:r>
      <w:r w:rsidRPr="006C79D8">
        <w:rPr>
          <w:rFonts w:ascii="Garamond" w:hAnsi="Garamond" w:cstheme="minorHAnsi"/>
          <w:i/>
          <w:color w:val="212529"/>
          <w:sz w:val="28"/>
          <w:szCs w:val="28"/>
          <w:shd w:val="clear" w:color="auto" w:fill="FFFFFF"/>
        </w:rPr>
        <w:t>L’attribuzione dei poteri alle Autorità indipendenti e il criterio dei poteri impliciti</w:t>
      </w:r>
    </w:p>
    <w:p w:rsidR="00B809CD" w:rsidRPr="000F3F35" w:rsidRDefault="00647873"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La disciplina legislativa attributiva dei poteri alle Autorità indipendenti si connota spesso per l’utilizzo di clausole di ampio respiro, più orientate verso una prospettiva finalistica piuttosto che determinate in maniera tassativa nel loro contenuto</w:t>
      </w:r>
      <w:r w:rsidR="00B809CD" w:rsidRPr="000F3F35">
        <w:rPr>
          <w:rFonts w:ascii="Garamond" w:hAnsi="Garamond" w:cstheme="minorHAnsi"/>
          <w:color w:val="212529"/>
          <w:sz w:val="28"/>
          <w:szCs w:val="28"/>
          <w:shd w:val="clear" w:color="auto" w:fill="FFFFFF"/>
        </w:rPr>
        <w:t>.</w:t>
      </w:r>
    </w:p>
    <w:p w:rsidR="00B809CD" w:rsidRPr="000F3F35" w:rsidRDefault="00D96D9C" w:rsidP="000F3F35">
      <w:pPr>
        <w:spacing w:line="360" w:lineRule="auto"/>
        <w:jc w:val="both"/>
        <w:rPr>
          <w:rFonts w:ascii="Garamond" w:hAnsi="Garamond" w:cstheme="minorHAnsi"/>
          <w:color w:val="212529"/>
          <w:sz w:val="28"/>
          <w:szCs w:val="28"/>
          <w:shd w:val="clear" w:color="auto" w:fill="FFFFFF"/>
        </w:rPr>
      </w:pPr>
      <w:r>
        <w:rPr>
          <w:rFonts w:ascii="Garamond" w:hAnsi="Garamond" w:cstheme="minorHAnsi"/>
          <w:color w:val="212529"/>
          <w:sz w:val="28"/>
          <w:szCs w:val="28"/>
          <w:shd w:val="clear" w:color="auto" w:fill="FFFFFF"/>
        </w:rPr>
        <w:t xml:space="preserve">La ragione di tale impostazione </w:t>
      </w:r>
      <w:r w:rsidR="003025F7">
        <w:rPr>
          <w:rFonts w:ascii="Garamond" w:hAnsi="Garamond" w:cstheme="minorHAnsi"/>
          <w:color w:val="212529"/>
          <w:sz w:val="28"/>
          <w:szCs w:val="28"/>
          <w:shd w:val="clear" w:color="auto" w:fill="FFFFFF"/>
        </w:rPr>
        <w:t>legislativa</w:t>
      </w:r>
      <w:r>
        <w:rPr>
          <w:rFonts w:ascii="Garamond" w:hAnsi="Garamond" w:cstheme="minorHAnsi"/>
          <w:color w:val="212529"/>
          <w:sz w:val="28"/>
          <w:szCs w:val="28"/>
          <w:shd w:val="clear" w:color="auto" w:fill="FFFFFF"/>
        </w:rPr>
        <w:t xml:space="preserve"> dipende</w:t>
      </w:r>
      <w:r w:rsidR="00B809CD" w:rsidRPr="000F3F35">
        <w:rPr>
          <w:rFonts w:ascii="Garamond" w:hAnsi="Garamond" w:cstheme="minorHAnsi"/>
          <w:color w:val="212529"/>
          <w:sz w:val="28"/>
          <w:szCs w:val="28"/>
          <w:shd w:val="clear" w:color="auto" w:fill="FFFFFF"/>
        </w:rPr>
        <w:t xml:space="preserve"> e</w:t>
      </w:r>
      <w:r>
        <w:rPr>
          <w:rFonts w:ascii="Garamond" w:hAnsi="Garamond" w:cstheme="minorHAnsi"/>
          <w:color w:val="212529"/>
          <w:sz w:val="28"/>
          <w:szCs w:val="28"/>
          <w:shd w:val="clear" w:color="auto" w:fill="FFFFFF"/>
        </w:rPr>
        <w:t>ssenzialmente dal fatto che le A</w:t>
      </w:r>
      <w:r w:rsidR="00B809CD" w:rsidRPr="000F3F35">
        <w:rPr>
          <w:rFonts w:ascii="Garamond" w:hAnsi="Garamond" w:cstheme="minorHAnsi"/>
          <w:color w:val="212529"/>
          <w:sz w:val="28"/>
          <w:szCs w:val="28"/>
          <w:shd w:val="clear" w:color="auto" w:fill="FFFFFF"/>
        </w:rPr>
        <w:t xml:space="preserve">utorità indipendenti operano per lo più in settori in rapida evoluzione, tecnica ed economica, che non consentono al Parlamento di </w:t>
      </w:r>
      <w:r w:rsidR="003025F7">
        <w:rPr>
          <w:rFonts w:ascii="Garamond" w:hAnsi="Garamond" w:cstheme="minorHAnsi"/>
          <w:color w:val="212529"/>
          <w:sz w:val="28"/>
          <w:szCs w:val="28"/>
          <w:shd w:val="clear" w:color="auto" w:fill="FFFFFF"/>
        </w:rPr>
        <w:t>“</w:t>
      </w:r>
      <w:r w:rsidR="00B809CD" w:rsidRPr="000F3F35">
        <w:rPr>
          <w:rFonts w:ascii="Garamond" w:hAnsi="Garamond" w:cstheme="minorHAnsi"/>
          <w:color w:val="212529"/>
          <w:sz w:val="28"/>
          <w:szCs w:val="28"/>
          <w:shd w:val="clear" w:color="auto" w:fill="FFFFFF"/>
        </w:rPr>
        <w:t>tenere il passo</w:t>
      </w:r>
      <w:r w:rsidR="003025F7">
        <w:rPr>
          <w:rFonts w:ascii="Garamond" w:hAnsi="Garamond" w:cstheme="minorHAnsi"/>
          <w:color w:val="212529"/>
          <w:sz w:val="28"/>
          <w:szCs w:val="28"/>
          <w:shd w:val="clear" w:color="auto" w:fill="FFFFFF"/>
        </w:rPr>
        <w:t>”</w:t>
      </w:r>
      <w:r w:rsidR="00B809CD" w:rsidRPr="000F3F35">
        <w:rPr>
          <w:rFonts w:ascii="Garamond" w:hAnsi="Garamond" w:cstheme="minorHAnsi"/>
          <w:color w:val="212529"/>
          <w:sz w:val="28"/>
          <w:szCs w:val="28"/>
          <w:shd w:val="clear" w:color="auto" w:fill="FFFFFF"/>
        </w:rPr>
        <w:t xml:space="preserve">. La legge, pertanto, attribuisce alle </w:t>
      </w:r>
      <w:r w:rsidR="003025F7">
        <w:rPr>
          <w:rFonts w:ascii="Garamond" w:hAnsi="Garamond" w:cstheme="minorHAnsi"/>
          <w:color w:val="212529"/>
          <w:sz w:val="28"/>
          <w:szCs w:val="28"/>
          <w:shd w:val="clear" w:color="auto" w:fill="FFFFFF"/>
        </w:rPr>
        <w:t>A</w:t>
      </w:r>
      <w:r w:rsidR="00B809CD" w:rsidRPr="000F3F35">
        <w:rPr>
          <w:rFonts w:ascii="Garamond" w:hAnsi="Garamond" w:cstheme="minorHAnsi"/>
          <w:color w:val="212529"/>
          <w:sz w:val="28"/>
          <w:szCs w:val="28"/>
          <w:shd w:val="clear" w:color="auto" w:fill="FFFFFF"/>
        </w:rPr>
        <w:t>utorità poteri di regolazione molto ampi, ricorrendo a clausole generali e spesso limitandosi a definire soltanto le finalità da perseguire, senza precisare presupposti e requisiti per l'esercizio del potere.</w:t>
      </w:r>
    </w:p>
    <w:p w:rsidR="00B809CD" w:rsidRPr="000F3F35" w:rsidRDefault="00520E1E"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Dunque</w:t>
      </w:r>
      <w:r w:rsidR="00B809CD" w:rsidRPr="000F3F35">
        <w:rPr>
          <w:rFonts w:ascii="Garamond" w:hAnsi="Garamond" w:cstheme="minorHAnsi"/>
          <w:color w:val="212529"/>
          <w:sz w:val="28"/>
          <w:szCs w:val="28"/>
          <w:shd w:val="clear" w:color="auto" w:fill="FFFFFF"/>
        </w:rPr>
        <w:t>, proprio nell'ambito della regolazione indipendente un</w:t>
      </w:r>
      <w:r w:rsidR="003025F7">
        <w:rPr>
          <w:rFonts w:ascii="Garamond" w:hAnsi="Garamond" w:cstheme="minorHAnsi"/>
          <w:color w:val="212529"/>
          <w:sz w:val="28"/>
          <w:szCs w:val="28"/>
          <w:shd w:val="clear" w:color="auto" w:fill="FFFFFF"/>
        </w:rPr>
        <w:t>’</w:t>
      </w:r>
      <w:r w:rsidR="00B809CD" w:rsidRPr="000F3F35">
        <w:rPr>
          <w:rFonts w:ascii="Garamond" w:hAnsi="Garamond" w:cstheme="minorHAnsi"/>
          <w:color w:val="212529"/>
          <w:sz w:val="28"/>
          <w:szCs w:val="28"/>
          <w:shd w:val="clear" w:color="auto" w:fill="FFFFFF"/>
        </w:rPr>
        <w:t>applicazione rigida del principio</w:t>
      </w:r>
      <w:r w:rsidR="00B809CD" w:rsidRPr="000F3F35">
        <w:rPr>
          <w:rFonts w:ascii="Garamond" w:hAnsi="Garamond"/>
          <w:sz w:val="28"/>
          <w:szCs w:val="28"/>
        </w:rPr>
        <w:t xml:space="preserve"> </w:t>
      </w:r>
      <w:r w:rsidR="00B809CD" w:rsidRPr="000F3F35">
        <w:rPr>
          <w:rFonts w:ascii="Garamond" w:hAnsi="Garamond" w:cstheme="minorHAnsi"/>
          <w:color w:val="212529"/>
          <w:sz w:val="28"/>
          <w:szCs w:val="28"/>
          <w:shd w:val="clear" w:color="auto" w:fill="FFFFFF"/>
        </w:rPr>
        <w:t xml:space="preserve">di legalità si porrebbe in contrasto con la stessa </w:t>
      </w:r>
      <w:r w:rsidR="00B809CD" w:rsidRPr="000F3F35">
        <w:rPr>
          <w:rFonts w:ascii="Garamond" w:hAnsi="Garamond" w:cstheme="minorHAnsi"/>
          <w:i/>
          <w:color w:val="212529"/>
          <w:sz w:val="28"/>
          <w:szCs w:val="28"/>
          <w:shd w:val="clear" w:color="auto" w:fill="FFFFFF"/>
        </w:rPr>
        <w:t xml:space="preserve">ratio </w:t>
      </w:r>
      <w:r w:rsidR="00B809CD" w:rsidRPr="000F3F35">
        <w:rPr>
          <w:rFonts w:ascii="Garamond" w:hAnsi="Garamond" w:cstheme="minorHAnsi"/>
          <w:color w:val="212529"/>
          <w:sz w:val="28"/>
          <w:szCs w:val="28"/>
          <w:shd w:val="clear" w:color="auto" w:fill="FFFFFF"/>
        </w:rPr>
        <w:t>ispiratrice dell'istituzione delle autorità indipendenti che è, come detto, quella di affidare a un soggetto altamente specializzato la regolazione di un settore economico in continuo divenire.</w:t>
      </w:r>
    </w:p>
    <w:p w:rsidR="00F140A2" w:rsidRDefault="00B809CD"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C</w:t>
      </w:r>
      <w:r w:rsidR="00647873" w:rsidRPr="000F3F35">
        <w:rPr>
          <w:rFonts w:ascii="Garamond" w:hAnsi="Garamond" w:cstheme="minorHAnsi"/>
          <w:color w:val="212529"/>
          <w:sz w:val="28"/>
          <w:szCs w:val="28"/>
          <w:shd w:val="clear" w:color="auto" w:fill="FFFFFF"/>
        </w:rPr>
        <w:t>iò ha portato la giurisprudenza all’elaborazione della teoria dei c.d. “poteri impliciti”, con riferimento a quei poteri che non sono espressamente contemplati dalla legge ma che si desumono, all’esito di una interpretazione sistematica, dal complesso della disciplina della materia, perché strumentali all’esercizio di altri poteri, posto che nei settori di competenza delle Autorità indipendenti è oggettivamente complesso per il legislatore predeterminare quale possa essere il contenuto del provvedimento amministrativo, in presenza di poteri di regolazione con una valenza tecnica e che si esplicano in ambiti in costante evoluzione per dinamiche di mercato differenti</w:t>
      </w:r>
      <w:r w:rsidR="00CC24EA" w:rsidRPr="000F3F35">
        <w:rPr>
          <w:rStyle w:val="Rimandonotaapidipagina"/>
          <w:rFonts w:ascii="Garamond" w:hAnsi="Garamond" w:cstheme="minorHAnsi"/>
          <w:color w:val="212529"/>
          <w:sz w:val="28"/>
          <w:szCs w:val="28"/>
          <w:shd w:val="clear" w:color="auto" w:fill="FFFFFF"/>
        </w:rPr>
        <w:footnoteReference w:id="2"/>
      </w:r>
      <w:r w:rsidR="00CC24EA" w:rsidRPr="000F3F35">
        <w:rPr>
          <w:rFonts w:ascii="Garamond" w:hAnsi="Garamond" w:cstheme="minorHAnsi"/>
          <w:color w:val="212529"/>
          <w:sz w:val="28"/>
          <w:szCs w:val="28"/>
          <w:shd w:val="clear" w:color="auto" w:fill="FFFFFF"/>
        </w:rPr>
        <w:t>.</w:t>
      </w:r>
    </w:p>
    <w:p w:rsidR="00F91EC4" w:rsidRPr="000F3F35" w:rsidRDefault="00520E1E"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lastRenderedPageBreak/>
        <w:t>Va precisato che l’attività di regolazione delle Autorità indipendenti costituisce il contesto in cui oggi la teoria dei poteri impliciti ha il suo palcoscenico privilegiato, ma va tenuto presente che tale teoria è un criterio interpr</w:t>
      </w:r>
      <w:r w:rsidR="0003555A" w:rsidRPr="000F3F35">
        <w:rPr>
          <w:rFonts w:ascii="Garamond" w:hAnsi="Garamond" w:cstheme="minorHAnsi"/>
          <w:color w:val="212529"/>
          <w:sz w:val="28"/>
          <w:szCs w:val="28"/>
          <w:shd w:val="clear" w:color="auto" w:fill="FFFFFF"/>
        </w:rPr>
        <w:t xml:space="preserve">etativo, è cioè il frutto di una operazione ermeneutica, </w:t>
      </w:r>
      <w:r w:rsidRPr="000F3F35">
        <w:rPr>
          <w:rFonts w:ascii="Garamond" w:hAnsi="Garamond" w:cstheme="minorHAnsi"/>
          <w:color w:val="212529"/>
          <w:sz w:val="28"/>
          <w:szCs w:val="28"/>
          <w:shd w:val="clear" w:color="auto" w:fill="FFFFFF"/>
        </w:rPr>
        <w:t xml:space="preserve">che </w:t>
      </w:r>
      <w:r w:rsidR="00F91EC4" w:rsidRPr="000F3F35">
        <w:rPr>
          <w:rFonts w:ascii="Garamond" w:hAnsi="Garamond" w:cstheme="minorHAnsi"/>
          <w:color w:val="212529"/>
          <w:sz w:val="28"/>
          <w:szCs w:val="28"/>
          <w:shd w:val="clear" w:color="auto" w:fill="FFFFFF"/>
        </w:rPr>
        <w:t>interessa diversi ambiti, sia dell’ordinamento interno sia di quello transnazionale con riferimento al sistema delle competenze.</w:t>
      </w:r>
    </w:p>
    <w:p w:rsidR="002D51C5" w:rsidRPr="000F3F35" w:rsidRDefault="00F91EC4"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 xml:space="preserve">Quanto a quest’ultimo profilo va ricordato che l’ordinamento europeo ha costituito terreno fertile per l’attuazione della teoria dei poteri impliciti, in ragione della concorrenza di competenze </w:t>
      </w:r>
      <w:proofErr w:type="spellStart"/>
      <w:r w:rsidRPr="000F3F35">
        <w:rPr>
          <w:rFonts w:ascii="Garamond" w:hAnsi="Garamond" w:cstheme="minorHAnsi"/>
          <w:color w:val="212529"/>
          <w:sz w:val="28"/>
          <w:szCs w:val="28"/>
          <w:shd w:val="clear" w:color="auto" w:fill="FFFFFF"/>
        </w:rPr>
        <w:t>unionali</w:t>
      </w:r>
      <w:proofErr w:type="spellEnd"/>
      <w:r w:rsidRPr="000F3F35">
        <w:rPr>
          <w:rFonts w:ascii="Garamond" w:hAnsi="Garamond" w:cstheme="minorHAnsi"/>
          <w:color w:val="212529"/>
          <w:sz w:val="28"/>
          <w:szCs w:val="28"/>
          <w:shd w:val="clear" w:color="auto" w:fill="FFFFFF"/>
        </w:rPr>
        <w:t xml:space="preserve"> e statali. </w:t>
      </w:r>
    </w:p>
    <w:p w:rsidR="002D51C5" w:rsidRPr="000F3F35" w:rsidRDefault="00F91EC4"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 xml:space="preserve">Nonostante la esplicita affermazione che la delimitazione delle competenze dell’Unione si fonda sul principio di attribuzione (art. 5 Trattato UE), anche dopo l’entrata in vigore (1° dicembre 2009) del Trattato di Lisbona del 2007 permane la complessità della esatta delimitazione di possibili competenze implicite. </w:t>
      </w:r>
    </w:p>
    <w:p w:rsidR="00F91EC4" w:rsidRPr="000F3F35" w:rsidRDefault="00F91EC4"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La giurisprudenza europea, in maniera più restrittiva da ultimo, usa la teoria dei poteri impliciti con riferimento alle competenze necessarie per garantire l’effetto utile delle disposizioni che conferiscono all’istituzione un compito specifico</w:t>
      </w:r>
      <w:r w:rsidRPr="000F3F35">
        <w:rPr>
          <w:rStyle w:val="Rimandonotaapidipagina"/>
          <w:rFonts w:ascii="Garamond" w:hAnsi="Garamond" w:cstheme="minorHAnsi"/>
          <w:color w:val="212529"/>
          <w:sz w:val="28"/>
          <w:szCs w:val="28"/>
          <w:shd w:val="clear" w:color="auto" w:fill="FFFFFF"/>
        </w:rPr>
        <w:footnoteReference w:id="3"/>
      </w:r>
      <w:r w:rsidR="00C361F7" w:rsidRPr="000F3F35">
        <w:rPr>
          <w:rFonts w:ascii="Garamond" w:hAnsi="Garamond" w:cstheme="minorHAnsi"/>
          <w:color w:val="212529"/>
          <w:sz w:val="28"/>
          <w:szCs w:val="28"/>
          <w:shd w:val="clear" w:color="auto" w:fill="FFFFFF"/>
        </w:rPr>
        <w:t>. L’Unione europea può essere considerata competente all’esercizio di determinati poteri, pur in mancanza di una espressa attribuzione di competenza, quando l’adozione di tale misur</w:t>
      </w:r>
      <w:r w:rsidR="00CC24EA" w:rsidRPr="000F3F35">
        <w:rPr>
          <w:rFonts w:ascii="Garamond" w:hAnsi="Garamond" w:cstheme="minorHAnsi"/>
          <w:color w:val="212529"/>
          <w:sz w:val="28"/>
          <w:szCs w:val="28"/>
          <w:shd w:val="clear" w:color="auto" w:fill="FFFFFF"/>
        </w:rPr>
        <w:t>a</w:t>
      </w:r>
      <w:r w:rsidR="00C361F7" w:rsidRPr="000F3F35">
        <w:rPr>
          <w:rFonts w:ascii="Garamond" w:hAnsi="Garamond" w:cstheme="minorHAnsi"/>
          <w:color w:val="212529"/>
          <w:sz w:val="28"/>
          <w:szCs w:val="28"/>
          <w:shd w:val="clear" w:color="auto" w:fill="FFFFFF"/>
        </w:rPr>
        <w:t xml:space="preserve"> risulti necessaria per l’esercizio di un potere espressamente attribuito. In questo caso, dunque, la competenza dell’Unione può desumersi anche in via implicita da altre disposizioni dei Trattati e dagli atti adottati dalle istituzioni.</w:t>
      </w:r>
    </w:p>
    <w:p w:rsidR="002D51C5" w:rsidRPr="000F3F35" w:rsidRDefault="00C361F7"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 xml:space="preserve">Sotto il profilo interno la teoria dei poteri impliciti </w:t>
      </w:r>
      <w:r w:rsidR="00520E1E" w:rsidRPr="000F3F35">
        <w:rPr>
          <w:rFonts w:ascii="Garamond" w:hAnsi="Garamond" w:cstheme="minorHAnsi"/>
          <w:color w:val="212529"/>
          <w:sz w:val="28"/>
          <w:szCs w:val="28"/>
          <w:shd w:val="clear" w:color="auto" w:fill="FFFFFF"/>
        </w:rPr>
        <w:t xml:space="preserve">vede nel diritto amministrativo il suo campo di elezione. </w:t>
      </w:r>
    </w:p>
    <w:p w:rsidR="009A67E6" w:rsidRPr="000F3F35" w:rsidRDefault="00520E1E"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 xml:space="preserve">In generale quindi possiamo dire che </w:t>
      </w:r>
      <w:r w:rsidR="009A67E6" w:rsidRPr="000F3F35">
        <w:rPr>
          <w:rFonts w:ascii="Garamond" w:hAnsi="Garamond" w:cstheme="minorHAnsi"/>
          <w:color w:val="212529"/>
          <w:sz w:val="28"/>
          <w:szCs w:val="28"/>
          <w:shd w:val="clear" w:color="auto" w:fill="FFFFFF"/>
        </w:rPr>
        <w:t xml:space="preserve">i poteri impliciti sono quei </w:t>
      </w:r>
      <w:r w:rsidR="003025F7">
        <w:rPr>
          <w:rFonts w:ascii="Garamond" w:hAnsi="Garamond" w:cstheme="minorHAnsi"/>
          <w:color w:val="212529"/>
          <w:sz w:val="28"/>
          <w:szCs w:val="28"/>
          <w:shd w:val="clear" w:color="auto" w:fill="FFFFFF"/>
        </w:rPr>
        <w:t>“</w:t>
      </w:r>
      <w:r w:rsidR="009A67E6" w:rsidRPr="000F3F35">
        <w:rPr>
          <w:rFonts w:ascii="Garamond" w:hAnsi="Garamond" w:cstheme="minorHAnsi"/>
          <w:color w:val="212529"/>
          <w:sz w:val="28"/>
          <w:szCs w:val="28"/>
          <w:shd w:val="clear" w:color="auto" w:fill="FFFFFF"/>
        </w:rPr>
        <w:t xml:space="preserve">poteri desumibili dal complesso della disciplina della materia e strumentali all'esercizio di poteri tipizzati, ossia </w:t>
      </w:r>
      <w:r w:rsidR="009A67E6" w:rsidRPr="000F3F35">
        <w:rPr>
          <w:rFonts w:ascii="Garamond" w:hAnsi="Garamond" w:cstheme="minorHAnsi"/>
          <w:color w:val="212529"/>
          <w:sz w:val="28"/>
          <w:szCs w:val="28"/>
          <w:shd w:val="clear" w:color="auto" w:fill="FFFFFF"/>
        </w:rPr>
        <w:lastRenderedPageBreak/>
        <w:t>espressamente previsti dalla legge, o, ancora più genericamente, strumentali al perseguimento dei fini istit</w:t>
      </w:r>
      <w:r w:rsidR="005B5460" w:rsidRPr="000F3F35">
        <w:rPr>
          <w:rFonts w:ascii="Garamond" w:hAnsi="Garamond" w:cstheme="minorHAnsi"/>
          <w:color w:val="212529"/>
          <w:sz w:val="28"/>
          <w:szCs w:val="28"/>
          <w:shd w:val="clear" w:color="auto" w:fill="FFFFFF"/>
        </w:rPr>
        <w:t>uzionali assegnati dalla legge ad un'</w:t>
      </w:r>
      <w:r w:rsidR="009A67E6" w:rsidRPr="000F3F35">
        <w:rPr>
          <w:rFonts w:ascii="Garamond" w:hAnsi="Garamond" w:cstheme="minorHAnsi"/>
          <w:color w:val="212529"/>
          <w:sz w:val="28"/>
          <w:szCs w:val="28"/>
          <w:shd w:val="clear" w:color="auto" w:fill="FFFFFF"/>
        </w:rPr>
        <w:t>Autorità”</w:t>
      </w:r>
      <w:r w:rsidR="003025F7">
        <w:rPr>
          <w:rFonts w:ascii="Garamond" w:hAnsi="Garamond" w:cstheme="minorHAnsi"/>
          <w:color w:val="212529"/>
          <w:sz w:val="28"/>
          <w:szCs w:val="28"/>
          <w:shd w:val="clear" w:color="auto" w:fill="FFFFFF"/>
        </w:rPr>
        <w:t xml:space="preserve"> </w:t>
      </w:r>
      <w:r w:rsidR="003025F7">
        <w:rPr>
          <w:rStyle w:val="Rimandonotaapidipagina"/>
          <w:rFonts w:ascii="Garamond" w:hAnsi="Garamond" w:cstheme="minorHAnsi"/>
          <w:color w:val="212529"/>
          <w:sz w:val="28"/>
          <w:szCs w:val="28"/>
          <w:shd w:val="clear" w:color="auto" w:fill="FFFFFF"/>
        </w:rPr>
        <w:footnoteReference w:id="4"/>
      </w:r>
      <w:r w:rsidR="009A67E6" w:rsidRPr="000F3F35">
        <w:rPr>
          <w:rFonts w:ascii="Garamond" w:hAnsi="Garamond" w:cstheme="minorHAnsi"/>
          <w:color w:val="212529"/>
          <w:sz w:val="28"/>
          <w:szCs w:val="28"/>
          <w:shd w:val="clear" w:color="auto" w:fill="FFFFFF"/>
        </w:rPr>
        <w:t xml:space="preserve">. </w:t>
      </w:r>
    </w:p>
    <w:p w:rsidR="007C24E0" w:rsidRPr="000F3F35" w:rsidRDefault="009A67E6"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Con una espressione molto efficace si è parlato di poteri impliciti come un fiume carsico</w:t>
      </w:r>
      <w:r w:rsidR="007C24E0" w:rsidRPr="000F3F35">
        <w:rPr>
          <w:rFonts w:ascii="Garamond" w:hAnsi="Garamond" w:cstheme="minorHAnsi"/>
          <w:color w:val="212529"/>
          <w:sz w:val="28"/>
          <w:szCs w:val="28"/>
          <w:shd w:val="clear" w:color="auto" w:fill="FFFFFF"/>
        </w:rPr>
        <w:t xml:space="preserve"> che pervade molti settori dell’ordinamento</w:t>
      </w:r>
      <w:r w:rsidR="002C1B5A" w:rsidRPr="000F3F35">
        <w:rPr>
          <w:rStyle w:val="Rimandonotaapidipagina"/>
          <w:rFonts w:ascii="Garamond" w:hAnsi="Garamond" w:cstheme="minorHAnsi"/>
          <w:color w:val="212529"/>
          <w:sz w:val="28"/>
          <w:szCs w:val="28"/>
          <w:shd w:val="clear" w:color="auto" w:fill="FFFFFF"/>
        </w:rPr>
        <w:footnoteReference w:id="5"/>
      </w:r>
      <w:r w:rsidR="007C24E0" w:rsidRPr="000F3F35">
        <w:rPr>
          <w:rFonts w:ascii="Garamond" w:hAnsi="Garamond" w:cstheme="minorHAnsi"/>
          <w:color w:val="212529"/>
          <w:sz w:val="28"/>
          <w:szCs w:val="28"/>
          <w:shd w:val="clear" w:color="auto" w:fill="FFFFFF"/>
        </w:rPr>
        <w:t>.</w:t>
      </w:r>
    </w:p>
    <w:p w:rsidR="007C24E0" w:rsidRPr="000F3F35" w:rsidRDefault="007C24E0"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Appare subito evidente come la teoria dei poteri impliciti ponga non pochi profili di criticità al cospetto del principio di legalità dell’azione amministrativa, che vincola ogni singolo esercizio di potere da parte della pubblica amministrazione e che trova riconoscimento nell’intero tessuto costituzionale. Principio di legalità che, come precisato dalla Corte costituzionale, richiede “</w:t>
      </w:r>
      <w:r w:rsidRPr="002240CB">
        <w:rPr>
          <w:rFonts w:ascii="Garamond" w:hAnsi="Garamond" w:cstheme="minorHAnsi"/>
          <w:i/>
          <w:color w:val="212529"/>
          <w:sz w:val="28"/>
          <w:szCs w:val="28"/>
          <w:shd w:val="clear" w:color="auto" w:fill="FFFFFF"/>
        </w:rPr>
        <w:t>non solo che il potere amministrazione sia finalizzato dalla legge alla tutela di un bene o di un valore</w:t>
      </w:r>
      <w:r w:rsidRPr="000F3F35">
        <w:rPr>
          <w:rFonts w:ascii="Garamond" w:hAnsi="Garamond" w:cstheme="minorHAnsi"/>
          <w:color w:val="212529"/>
          <w:sz w:val="28"/>
          <w:szCs w:val="28"/>
          <w:shd w:val="clear" w:color="auto" w:fill="FFFFFF"/>
        </w:rPr>
        <w:t>”, ma che il suo esercizio sia determinato nel contenuto e nelle modalità sempre dalla legge, unica fonte a diretta legittimazione democratica, e presidio di garanzia per i consociati</w:t>
      </w:r>
      <w:r w:rsidR="004D5C19">
        <w:rPr>
          <w:rStyle w:val="Rimandonotaapidipagina"/>
          <w:rFonts w:ascii="Garamond" w:hAnsi="Garamond" w:cstheme="minorHAnsi"/>
          <w:color w:val="212529"/>
          <w:sz w:val="28"/>
          <w:szCs w:val="28"/>
          <w:shd w:val="clear" w:color="auto" w:fill="FFFFFF"/>
        </w:rPr>
        <w:footnoteReference w:id="6"/>
      </w:r>
      <w:r w:rsidRPr="000F3F35">
        <w:rPr>
          <w:rFonts w:ascii="Garamond" w:hAnsi="Garamond" w:cstheme="minorHAnsi"/>
          <w:color w:val="212529"/>
          <w:sz w:val="28"/>
          <w:szCs w:val="28"/>
          <w:shd w:val="clear" w:color="auto" w:fill="FFFFFF"/>
        </w:rPr>
        <w:t>.</w:t>
      </w:r>
    </w:p>
    <w:p w:rsidR="002C1B5A" w:rsidRPr="000F3F35" w:rsidRDefault="007C24E0"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 xml:space="preserve">La semplice enunciazione del fine di interesse pubblico da parte della norma non può essere ritenuta sufficiente a fondare nuovi e innominati poteri. </w:t>
      </w:r>
    </w:p>
    <w:p w:rsidR="007C24E0" w:rsidRPr="000F3F35" w:rsidRDefault="007C24E0"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Un primo e fondamentale limite</w:t>
      </w:r>
      <w:r w:rsidR="00C05FDC">
        <w:rPr>
          <w:rFonts w:ascii="Garamond" w:hAnsi="Garamond" w:cstheme="minorHAnsi"/>
          <w:color w:val="212529"/>
          <w:sz w:val="28"/>
          <w:szCs w:val="28"/>
          <w:shd w:val="clear" w:color="auto" w:fill="FFFFFF"/>
        </w:rPr>
        <w:t xml:space="preserve"> all’applicazione del criterio dei poteri impliciti</w:t>
      </w:r>
      <w:r w:rsidRPr="000F3F35">
        <w:rPr>
          <w:rFonts w:ascii="Garamond" w:hAnsi="Garamond" w:cstheme="minorHAnsi"/>
          <w:color w:val="212529"/>
          <w:sz w:val="28"/>
          <w:szCs w:val="28"/>
          <w:shd w:val="clear" w:color="auto" w:fill="FFFFFF"/>
        </w:rPr>
        <w:t xml:space="preserve"> </w:t>
      </w:r>
      <w:r w:rsidR="00C05FDC">
        <w:rPr>
          <w:rFonts w:ascii="Garamond" w:hAnsi="Garamond" w:cstheme="minorHAnsi"/>
          <w:color w:val="212529"/>
          <w:sz w:val="28"/>
          <w:szCs w:val="28"/>
          <w:shd w:val="clear" w:color="auto" w:fill="FFFFFF"/>
        </w:rPr>
        <w:t>(</w:t>
      </w:r>
      <w:r w:rsidR="00572D58">
        <w:rPr>
          <w:rFonts w:ascii="Garamond" w:hAnsi="Garamond" w:cstheme="minorHAnsi"/>
          <w:color w:val="212529"/>
          <w:sz w:val="28"/>
          <w:szCs w:val="28"/>
          <w:shd w:val="clear" w:color="auto" w:fill="FFFFFF"/>
        </w:rPr>
        <w:t xml:space="preserve">o meglio, una soluzione per rendere compatibile la teoria dei poteri impliciti con il principio di legalità) </w:t>
      </w:r>
      <w:r w:rsidRPr="000F3F35">
        <w:rPr>
          <w:rFonts w:ascii="Garamond" w:hAnsi="Garamond" w:cstheme="minorHAnsi"/>
          <w:color w:val="212529"/>
          <w:sz w:val="28"/>
          <w:szCs w:val="28"/>
          <w:shd w:val="clear" w:color="auto" w:fill="FFFFFF"/>
        </w:rPr>
        <w:t>è costituito dal nesso di strumentalità del potere implicito ad altro potere espressamente previsto dalla norma attributiva, nel senso che non può ritenersi sufficiente un rapporto mezzo-fine, ma occorre che il potere implicito sia strumentale a un potere tipizzato.</w:t>
      </w:r>
    </w:p>
    <w:p w:rsidR="005B5460" w:rsidRPr="000F3F35" w:rsidRDefault="005B5460"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La strumentalità è volta ad evidenziare il collegamento che deve rinvenirsi tra potere implicito e potere esplicito, sia con riferimento all’oggetto materiale sia in relazione all’interesse pubblico cui si riferisce il potere esplicito.</w:t>
      </w:r>
    </w:p>
    <w:p w:rsidR="008D4BEA" w:rsidRPr="000F3F35" w:rsidRDefault="008D4BEA"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 xml:space="preserve">La strumentalità non assume valore ‘servente’ rispetto alle tesi che accentuano e valorizzano l’aspetto funzionale di efficienza dell’azione amministrativa (al fine declinare </w:t>
      </w:r>
      <w:r w:rsidRPr="000F3F35">
        <w:rPr>
          <w:rFonts w:ascii="Garamond" w:hAnsi="Garamond" w:cstheme="minorHAnsi"/>
          <w:color w:val="212529"/>
          <w:sz w:val="28"/>
          <w:szCs w:val="28"/>
          <w:shd w:val="clear" w:color="auto" w:fill="FFFFFF"/>
        </w:rPr>
        <w:lastRenderedPageBreak/>
        <w:t>in senso meno rigoroso, e dunque “elastico”, “aperto”, il principio di legalità); al contrario, la strumentalità, connessa al criterio della necessità (inteso come assenza di alternative) assurge ad elemento teso a conformare correttamente l’azione amministrativa entro gli ambiti suoi propri, strettamente correlati alla norma (espressa) attributiva del potere</w:t>
      </w:r>
      <w:r w:rsidRPr="000F3F35">
        <w:rPr>
          <w:rStyle w:val="Rimandonotaapidipagina"/>
          <w:rFonts w:ascii="Garamond" w:hAnsi="Garamond" w:cstheme="minorHAnsi"/>
          <w:color w:val="212529"/>
          <w:sz w:val="28"/>
          <w:szCs w:val="28"/>
          <w:shd w:val="clear" w:color="auto" w:fill="FFFFFF"/>
        </w:rPr>
        <w:footnoteReference w:id="7"/>
      </w:r>
      <w:r w:rsidRPr="000F3F35">
        <w:rPr>
          <w:rFonts w:ascii="Garamond" w:hAnsi="Garamond" w:cstheme="minorHAnsi"/>
          <w:color w:val="212529"/>
          <w:sz w:val="28"/>
          <w:szCs w:val="28"/>
          <w:shd w:val="clear" w:color="auto" w:fill="FFFFFF"/>
        </w:rPr>
        <w:t>.</w:t>
      </w:r>
    </w:p>
    <w:p w:rsidR="007C24E0" w:rsidRPr="000F3F35" w:rsidRDefault="00684D90"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Si è quindi cercato</w:t>
      </w:r>
      <w:r w:rsidR="00C760AC" w:rsidRPr="000F3F35">
        <w:rPr>
          <w:rFonts w:ascii="Garamond" w:hAnsi="Garamond" w:cstheme="minorHAnsi"/>
          <w:color w:val="212529"/>
          <w:sz w:val="28"/>
          <w:szCs w:val="28"/>
          <w:shd w:val="clear" w:color="auto" w:fill="FFFFFF"/>
        </w:rPr>
        <w:t xml:space="preserve"> di individuare criteri per definire il perimetro della norma dalla quale poter dedurre i poteri impliciti</w:t>
      </w:r>
      <w:r w:rsidR="00B225B2" w:rsidRPr="000F3F35">
        <w:rPr>
          <w:rFonts w:ascii="Garamond" w:hAnsi="Garamond" w:cstheme="minorHAnsi"/>
          <w:color w:val="212529"/>
          <w:sz w:val="28"/>
          <w:szCs w:val="28"/>
          <w:shd w:val="clear" w:color="auto" w:fill="FFFFFF"/>
        </w:rPr>
        <w:t xml:space="preserve"> sotto il profilo del nesso di strumentalità</w:t>
      </w:r>
      <w:r w:rsidR="00C760AC" w:rsidRPr="000F3F35">
        <w:rPr>
          <w:rFonts w:ascii="Garamond" w:hAnsi="Garamond" w:cstheme="minorHAnsi"/>
          <w:color w:val="212529"/>
          <w:sz w:val="28"/>
          <w:szCs w:val="28"/>
          <w:shd w:val="clear" w:color="auto" w:fill="FFFFFF"/>
        </w:rPr>
        <w:t xml:space="preserve">. </w:t>
      </w:r>
    </w:p>
    <w:p w:rsidR="002C1B5A" w:rsidRPr="000F3F35" w:rsidRDefault="002C1B5A" w:rsidP="004D5C19">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 xml:space="preserve">In particolare, tre sono gli elementi che sono stati enucleati: l'efficacia (normativa o </w:t>
      </w:r>
      <w:proofErr w:type="spellStart"/>
      <w:r w:rsidRPr="000F3F35">
        <w:rPr>
          <w:rFonts w:ascii="Garamond" w:hAnsi="Garamond" w:cstheme="minorHAnsi"/>
          <w:color w:val="212529"/>
          <w:sz w:val="28"/>
          <w:szCs w:val="28"/>
          <w:shd w:val="clear" w:color="auto" w:fill="FFFFFF"/>
        </w:rPr>
        <w:t>provvedimentale</w:t>
      </w:r>
      <w:proofErr w:type="spellEnd"/>
      <w:r w:rsidRPr="000F3F35">
        <w:rPr>
          <w:rFonts w:ascii="Garamond" w:hAnsi="Garamond" w:cstheme="minorHAnsi"/>
          <w:color w:val="212529"/>
          <w:sz w:val="28"/>
          <w:szCs w:val="28"/>
          <w:shd w:val="clear" w:color="auto" w:fill="FFFFFF"/>
        </w:rPr>
        <w:t xml:space="preserve">) dell'atto; </w:t>
      </w:r>
      <w:r w:rsidR="004D5C19">
        <w:rPr>
          <w:rFonts w:ascii="Garamond" w:hAnsi="Garamond" w:cstheme="minorHAnsi"/>
          <w:color w:val="212529"/>
          <w:sz w:val="28"/>
          <w:szCs w:val="28"/>
          <w:shd w:val="clear" w:color="auto" w:fill="FFFFFF"/>
        </w:rPr>
        <w:t>i</w:t>
      </w:r>
      <w:r w:rsidRPr="000F3F35">
        <w:rPr>
          <w:rFonts w:ascii="Garamond" w:hAnsi="Garamond" w:cstheme="minorHAnsi"/>
          <w:color w:val="212529"/>
          <w:sz w:val="28"/>
          <w:szCs w:val="28"/>
          <w:shd w:val="clear" w:color="auto" w:fill="FFFFFF"/>
        </w:rPr>
        <w:t xml:space="preserve">l grado di incisione del provvedimento sulla sfera giuridica del destinatario; l'interesse pubblico per il soddisfacimento del quale il potere è stato attribuito. </w:t>
      </w:r>
    </w:p>
    <w:p w:rsidR="00DC034E" w:rsidRPr="000F3F35" w:rsidRDefault="002C1B5A"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Di conseguenza, solo i poteri impliciti che rientrino all'interno dei confini così definiti (stessa efficacia, generale o puntuale; stessa posizione giuridica incisa dal potere; stesso interesse pubblico) possono ritenersi coperti dalla norma attributiva del potere</w:t>
      </w:r>
      <w:r w:rsidR="00C05FDC">
        <w:rPr>
          <w:rStyle w:val="Rimandonotaapidipagina"/>
          <w:rFonts w:ascii="Garamond" w:hAnsi="Garamond" w:cstheme="minorHAnsi"/>
          <w:color w:val="212529"/>
          <w:sz w:val="28"/>
          <w:szCs w:val="28"/>
          <w:shd w:val="clear" w:color="auto" w:fill="FFFFFF"/>
        </w:rPr>
        <w:footnoteReference w:id="8"/>
      </w:r>
      <w:r w:rsidRPr="000F3F35">
        <w:rPr>
          <w:rFonts w:ascii="Garamond" w:hAnsi="Garamond" w:cstheme="minorHAnsi"/>
          <w:color w:val="212529"/>
          <w:sz w:val="28"/>
          <w:szCs w:val="28"/>
          <w:shd w:val="clear" w:color="auto" w:fill="FFFFFF"/>
        </w:rPr>
        <w:t xml:space="preserve">. </w:t>
      </w:r>
    </w:p>
    <w:p w:rsidR="00572D58" w:rsidRDefault="002C1B5A"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Tale tesi ha trovato riscontro anche in giurisprudenza in particolare mediante il ricorso al principio di continenza, in forza del quale il potere più ampio comprende quello di</w:t>
      </w:r>
      <w:r w:rsidRPr="000F3F35">
        <w:rPr>
          <w:rFonts w:ascii="Garamond" w:hAnsi="Garamond"/>
          <w:sz w:val="28"/>
          <w:szCs w:val="28"/>
        </w:rPr>
        <w:t xml:space="preserve"> </w:t>
      </w:r>
      <w:r w:rsidRPr="000F3F35">
        <w:rPr>
          <w:rFonts w:ascii="Garamond" w:hAnsi="Garamond" w:cstheme="minorHAnsi"/>
          <w:color w:val="212529"/>
          <w:sz w:val="28"/>
          <w:szCs w:val="28"/>
          <w:shd w:val="clear" w:color="auto" w:fill="FFFFFF"/>
        </w:rPr>
        <w:t>minore entità</w:t>
      </w:r>
      <w:r w:rsidRPr="000F3F35">
        <w:rPr>
          <w:rStyle w:val="Rimandonotaapidipagina"/>
          <w:rFonts w:ascii="Garamond" w:hAnsi="Garamond" w:cstheme="minorHAnsi"/>
          <w:color w:val="212529"/>
          <w:sz w:val="28"/>
          <w:szCs w:val="28"/>
          <w:shd w:val="clear" w:color="auto" w:fill="FFFFFF"/>
        </w:rPr>
        <w:footnoteReference w:id="9"/>
      </w:r>
      <w:r w:rsidRPr="000F3F35">
        <w:rPr>
          <w:rFonts w:ascii="Garamond" w:hAnsi="Garamond" w:cstheme="minorHAnsi"/>
          <w:color w:val="212529"/>
          <w:sz w:val="28"/>
          <w:szCs w:val="28"/>
          <w:shd w:val="clear" w:color="auto" w:fill="FFFFFF"/>
        </w:rPr>
        <w:t xml:space="preserve">. </w:t>
      </w:r>
    </w:p>
    <w:p w:rsidR="002C1B5A" w:rsidRPr="000F3F35" w:rsidRDefault="002C1B5A"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Quindi, secondo questa prospettazione, dovrebbero considerarsi compatibili con il principio di legalità e con i suoi corollari solo quei poteri (definiti impliciti in senso improprio) che si collocano comunque all'interno del perimetro della norma attributiva del potere.</w:t>
      </w:r>
    </w:p>
    <w:p w:rsidR="002D51C5" w:rsidRPr="000F3F35" w:rsidRDefault="00A70343"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lastRenderedPageBreak/>
        <w:t xml:space="preserve">Con riferimento alle Autorità indipendenti l’estensione del potere </w:t>
      </w:r>
      <w:proofErr w:type="spellStart"/>
      <w:r w:rsidRPr="000F3F35">
        <w:rPr>
          <w:rFonts w:ascii="Garamond" w:hAnsi="Garamond" w:cstheme="minorHAnsi"/>
          <w:color w:val="212529"/>
          <w:sz w:val="28"/>
          <w:szCs w:val="28"/>
          <w:shd w:val="clear" w:color="auto" w:fill="FFFFFF"/>
        </w:rPr>
        <w:t>regolatorio</w:t>
      </w:r>
      <w:proofErr w:type="spellEnd"/>
      <w:r w:rsidRPr="000F3F35">
        <w:rPr>
          <w:rFonts w:ascii="Garamond" w:hAnsi="Garamond" w:cstheme="minorHAnsi"/>
          <w:color w:val="212529"/>
          <w:sz w:val="28"/>
          <w:szCs w:val="28"/>
          <w:shd w:val="clear" w:color="auto" w:fill="FFFFFF"/>
        </w:rPr>
        <w:t xml:space="preserve"> rispetto alla norma attributiva del potere è in qualche modo un tratto “genetico”. </w:t>
      </w:r>
    </w:p>
    <w:p w:rsidR="002D51C5" w:rsidRPr="000F3F35" w:rsidRDefault="00A70343" w:rsidP="000F3F35">
      <w:pPr>
        <w:spacing w:line="360" w:lineRule="auto"/>
        <w:jc w:val="both"/>
        <w:rPr>
          <w:rFonts w:ascii="Garamond" w:hAnsi="Garamond" w:cstheme="minorHAnsi"/>
          <w:color w:val="212529"/>
          <w:sz w:val="28"/>
          <w:szCs w:val="28"/>
          <w:shd w:val="clear" w:color="auto" w:fill="FFFFFF"/>
        </w:rPr>
      </w:pPr>
      <w:proofErr w:type="gramStart"/>
      <w:r w:rsidRPr="000F3F35">
        <w:rPr>
          <w:rFonts w:ascii="Garamond" w:hAnsi="Garamond" w:cstheme="minorHAnsi"/>
          <w:color w:val="212529"/>
          <w:sz w:val="28"/>
          <w:szCs w:val="28"/>
          <w:shd w:val="clear" w:color="auto" w:fill="FFFFFF"/>
        </w:rPr>
        <w:t>E’</w:t>
      </w:r>
      <w:proofErr w:type="gramEnd"/>
      <w:r w:rsidR="00F91EC4" w:rsidRPr="000F3F35">
        <w:rPr>
          <w:rFonts w:ascii="Garamond" w:hAnsi="Garamond" w:cstheme="minorHAnsi"/>
          <w:color w:val="212529"/>
          <w:sz w:val="28"/>
          <w:szCs w:val="28"/>
          <w:shd w:val="clear" w:color="auto" w:fill="FFFFFF"/>
        </w:rPr>
        <w:t xml:space="preserve"> proprio l’origine di tali Autorità a sovvertire il rapporto </w:t>
      </w:r>
      <w:r w:rsidR="002D51C5" w:rsidRPr="000F3F35">
        <w:rPr>
          <w:rFonts w:ascii="Garamond" w:hAnsi="Garamond" w:cstheme="minorHAnsi"/>
          <w:color w:val="212529"/>
          <w:sz w:val="28"/>
          <w:szCs w:val="28"/>
          <w:shd w:val="clear" w:color="auto" w:fill="FFFFFF"/>
        </w:rPr>
        <w:t>“</w:t>
      </w:r>
      <w:r w:rsidR="00F91EC4" w:rsidRPr="000F3F35">
        <w:rPr>
          <w:rFonts w:ascii="Garamond" w:hAnsi="Garamond" w:cstheme="minorHAnsi"/>
          <w:color w:val="212529"/>
          <w:sz w:val="28"/>
          <w:szCs w:val="28"/>
          <w:shd w:val="clear" w:color="auto" w:fill="FFFFFF"/>
        </w:rPr>
        <w:t>norma</w:t>
      </w:r>
      <w:r w:rsidR="002D51C5" w:rsidRPr="000F3F35">
        <w:rPr>
          <w:rFonts w:ascii="Garamond" w:hAnsi="Garamond" w:cstheme="minorHAnsi"/>
          <w:color w:val="212529"/>
          <w:sz w:val="28"/>
          <w:szCs w:val="28"/>
          <w:shd w:val="clear" w:color="auto" w:fill="FFFFFF"/>
        </w:rPr>
        <w:t xml:space="preserve"> </w:t>
      </w:r>
      <w:r w:rsidR="00F91EC4" w:rsidRPr="000F3F35">
        <w:rPr>
          <w:rFonts w:ascii="Garamond" w:hAnsi="Garamond" w:cstheme="minorHAnsi"/>
          <w:color w:val="212529"/>
          <w:sz w:val="28"/>
          <w:szCs w:val="28"/>
          <w:shd w:val="clear" w:color="auto" w:fill="FFFFFF"/>
        </w:rPr>
        <w:t>-</w:t>
      </w:r>
      <w:r w:rsidR="002D51C5" w:rsidRPr="000F3F35">
        <w:rPr>
          <w:rFonts w:ascii="Garamond" w:hAnsi="Garamond" w:cstheme="minorHAnsi"/>
          <w:color w:val="212529"/>
          <w:sz w:val="28"/>
          <w:szCs w:val="28"/>
          <w:shd w:val="clear" w:color="auto" w:fill="FFFFFF"/>
        </w:rPr>
        <w:t xml:space="preserve"> </w:t>
      </w:r>
      <w:r w:rsidR="00F91EC4" w:rsidRPr="000F3F35">
        <w:rPr>
          <w:rFonts w:ascii="Garamond" w:hAnsi="Garamond" w:cstheme="minorHAnsi"/>
          <w:color w:val="212529"/>
          <w:sz w:val="28"/>
          <w:szCs w:val="28"/>
          <w:shd w:val="clear" w:color="auto" w:fill="FFFFFF"/>
        </w:rPr>
        <w:t>attribuzione del potere</w:t>
      </w:r>
      <w:r w:rsidR="002D51C5" w:rsidRPr="000F3F35">
        <w:rPr>
          <w:rFonts w:ascii="Garamond" w:hAnsi="Garamond" w:cstheme="minorHAnsi"/>
          <w:color w:val="212529"/>
          <w:sz w:val="28"/>
          <w:szCs w:val="28"/>
          <w:shd w:val="clear" w:color="auto" w:fill="FFFFFF"/>
        </w:rPr>
        <w:t>”</w:t>
      </w:r>
      <w:r w:rsidR="00F91EC4" w:rsidRPr="000F3F35">
        <w:rPr>
          <w:rFonts w:ascii="Garamond" w:hAnsi="Garamond" w:cstheme="minorHAnsi"/>
          <w:color w:val="212529"/>
          <w:sz w:val="28"/>
          <w:szCs w:val="28"/>
          <w:shd w:val="clear" w:color="auto" w:fill="FFFFFF"/>
        </w:rPr>
        <w:t xml:space="preserve">. </w:t>
      </w:r>
    </w:p>
    <w:p w:rsidR="002C1B5A" w:rsidRPr="000F3F35" w:rsidRDefault="00F91EC4"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 xml:space="preserve">Se si postula che la legge non sia in grado di regolare un determinato settore, dovendosi delegare alle Autorità l’individuazione degli strumenti più appropriati per realizzare le finalità generali poste dalla norma, si </w:t>
      </w:r>
      <w:r w:rsidR="00C361F7" w:rsidRPr="000F3F35">
        <w:rPr>
          <w:rFonts w:ascii="Garamond" w:hAnsi="Garamond" w:cstheme="minorHAnsi"/>
          <w:color w:val="212529"/>
          <w:sz w:val="28"/>
          <w:szCs w:val="28"/>
          <w:shd w:val="clear" w:color="auto" w:fill="FFFFFF"/>
        </w:rPr>
        <w:t xml:space="preserve">è ritenuto che </w:t>
      </w:r>
      <w:r w:rsidR="006045C4">
        <w:rPr>
          <w:rFonts w:ascii="Garamond" w:hAnsi="Garamond" w:cstheme="minorHAnsi"/>
          <w:color w:val="212529"/>
          <w:sz w:val="28"/>
          <w:szCs w:val="28"/>
          <w:shd w:val="clear" w:color="auto" w:fill="FFFFFF"/>
        </w:rPr>
        <w:t>“</w:t>
      </w:r>
      <w:r w:rsidR="00C361F7" w:rsidRPr="002240CB">
        <w:rPr>
          <w:rFonts w:ascii="Garamond" w:hAnsi="Garamond" w:cstheme="minorHAnsi"/>
          <w:i/>
          <w:color w:val="212529"/>
          <w:sz w:val="28"/>
          <w:szCs w:val="28"/>
          <w:shd w:val="clear" w:color="auto" w:fill="FFFFFF"/>
        </w:rPr>
        <w:t>la parziale deroga al principio di legalità sostanziale si giustifica in ragione dell'esigenza di assicurare il perseguimento di fini che</w:t>
      </w:r>
      <w:r w:rsidR="004D5C19" w:rsidRPr="002240CB">
        <w:rPr>
          <w:rFonts w:ascii="Garamond" w:hAnsi="Garamond" w:cstheme="minorHAnsi"/>
          <w:i/>
          <w:color w:val="212529"/>
          <w:sz w:val="28"/>
          <w:szCs w:val="28"/>
          <w:shd w:val="clear" w:color="auto" w:fill="FFFFFF"/>
        </w:rPr>
        <w:t xml:space="preserve"> la stessa legge predetermina</w:t>
      </w:r>
      <w:r w:rsidR="006045C4">
        <w:rPr>
          <w:rFonts w:ascii="Garamond" w:hAnsi="Garamond" w:cstheme="minorHAnsi"/>
          <w:color w:val="212529"/>
          <w:sz w:val="28"/>
          <w:szCs w:val="28"/>
          <w:shd w:val="clear" w:color="auto" w:fill="FFFFFF"/>
        </w:rPr>
        <w:t>”</w:t>
      </w:r>
      <w:r w:rsidR="004D5C19">
        <w:rPr>
          <w:rFonts w:ascii="Garamond" w:hAnsi="Garamond" w:cstheme="minorHAnsi"/>
          <w:color w:val="212529"/>
          <w:sz w:val="28"/>
          <w:szCs w:val="28"/>
          <w:shd w:val="clear" w:color="auto" w:fill="FFFFFF"/>
        </w:rPr>
        <w:t xml:space="preserve">, </w:t>
      </w:r>
      <w:r w:rsidR="00C361F7" w:rsidRPr="000F3F35">
        <w:rPr>
          <w:rFonts w:ascii="Garamond" w:hAnsi="Garamond" w:cstheme="minorHAnsi"/>
          <w:color w:val="212529"/>
          <w:sz w:val="28"/>
          <w:szCs w:val="28"/>
          <w:shd w:val="clear" w:color="auto" w:fill="FFFFFF"/>
        </w:rPr>
        <w:t xml:space="preserve">ossia in funzione del rispetto della </w:t>
      </w:r>
      <w:r w:rsidR="004D5C19">
        <w:rPr>
          <w:rFonts w:ascii="Garamond" w:hAnsi="Garamond" w:cstheme="minorHAnsi"/>
          <w:color w:val="212529"/>
          <w:sz w:val="28"/>
          <w:szCs w:val="28"/>
          <w:shd w:val="clear" w:color="auto" w:fill="FFFFFF"/>
        </w:rPr>
        <w:t>“</w:t>
      </w:r>
      <w:r w:rsidR="00C361F7" w:rsidRPr="000F3F35">
        <w:rPr>
          <w:rFonts w:ascii="Garamond" w:hAnsi="Garamond" w:cstheme="minorHAnsi"/>
          <w:color w:val="212529"/>
          <w:sz w:val="28"/>
          <w:szCs w:val="28"/>
          <w:shd w:val="clear" w:color="auto" w:fill="FFFFFF"/>
        </w:rPr>
        <w:t>legalità-indirizzo</w:t>
      </w:r>
      <w:r w:rsidR="004D5C19">
        <w:rPr>
          <w:rFonts w:ascii="Garamond" w:hAnsi="Garamond" w:cstheme="minorHAnsi"/>
          <w:color w:val="212529"/>
          <w:sz w:val="28"/>
          <w:szCs w:val="28"/>
          <w:shd w:val="clear" w:color="auto" w:fill="FFFFFF"/>
        </w:rPr>
        <w:t>”</w:t>
      </w:r>
      <w:r w:rsidR="00C361F7" w:rsidRPr="000F3F35">
        <w:rPr>
          <w:rStyle w:val="Rimandonotaapidipagina"/>
          <w:rFonts w:ascii="Garamond" w:hAnsi="Garamond" w:cstheme="minorHAnsi"/>
          <w:color w:val="212529"/>
          <w:sz w:val="28"/>
          <w:szCs w:val="28"/>
          <w:shd w:val="clear" w:color="auto" w:fill="FFFFFF"/>
        </w:rPr>
        <w:footnoteReference w:id="10"/>
      </w:r>
      <w:r w:rsidR="00C361F7" w:rsidRPr="000F3F35">
        <w:rPr>
          <w:rFonts w:ascii="Garamond" w:hAnsi="Garamond" w:cstheme="minorHAnsi"/>
          <w:color w:val="212529"/>
          <w:sz w:val="28"/>
          <w:szCs w:val="28"/>
          <w:shd w:val="clear" w:color="auto" w:fill="FFFFFF"/>
        </w:rPr>
        <w:t xml:space="preserve">. </w:t>
      </w:r>
    </w:p>
    <w:p w:rsidR="002D51C5" w:rsidRPr="000F3F35" w:rsidRDefault="0003555A"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 xml:space="preserve">In ordine alla non necessaria tipicità delle prescrizioni che costituiscono espressione del potere </w:t>
      </w:r>
      <w:proofErr w:type="spellStart"/>
      <w:r w:rsidRPr="000F3F35">
        <w:rPr>
          <w:rFonts w:ascii="Garamond" w:hAnsi="Garamond" w:cstheme="minorHAnsi"/>
          <w:color w:val="212529"/>
          <w:sz w:val="28"/>
          <w:szCs w:val="28"/>
          <w:shd w:val="clear" w:color="auto" w:fill="FFFFFF"/>
        </w:rPr>
        <w:t>regolatorio</w:t>
      </w:r>
      <w:proofErr w:type="spellEnd"/>
      <w:r w:rsidRPr="000F3F35">
        <w:rPr>
          <w:rFonts w:ascii="Garamond" w:hAnsi="Garamond" w:cstheme="minorHAnsi"/>
          <w:color w:val="212529"/>
          <w:sz w:val="28"/>
          <w:szCs w:val="28"/>
          <w:shd w:val="clear" w:color="auto" w:fill="FFFFFF"/>
        </w:rPr>
        <w:t xml:space="preserve"> di cui l’autorità è titolare, il Consiglio di Stato ha </w:t>
      </w:r>
      <w:r w:rsidR="00BE162C" w:rsidRPr="000F3F35">
        <w:rPr>
          <w:rFonts w:ascii="Garamond" w:hAnsi="Garamond" w:cstheme="minorHAnsi"/>
          <w:color w:val="212529"/>
          <w:sz w:val="28"/>
          <w:szCs w:val="28"/>
          <w:shd w:val="clear" w:color="auto" w:fill="FFFFFF"/>
        </w:rPr>
        <w:t xml:space="preserve">però </w:t>
      </w:r>
      <w:r w:rsidRPr="000F3F35">
        <w:rPr>
          <w:rFonts w:ascii="Garamond" w:hAnsi="Garamond" w:cstheme="minorHAnsi"/>
          <w:color w:val="212529"/>
          <w:sz w:val="28"/>
          <w:szCs w:val="28"/>
          <w:shd w:val="clear" w:color="auto" w:fill="FFFFFF"/>
        </w:rPr>
        <w:t>precisato che, anche con riguardo ai poteri regolatori, il principio di certezza del diritto, operando come una bussola ermeneutica orientata al soddisfacimento di esigenze di chiarezza e stabilità dei rapporti giuridici, impone che i contenuti della funzione amministrativa assegn</w:t>
      </w:r>
      <w:r w:rsidR="004D5C19">
        <w:rPr>
          <w:rFonts w:ascii="Garamond" w:hAnsi="Garamond" w:cstheme="minorHAnsi"/>
          <w:color w:val="212529"/>
          <w:sz w:val="28"/>
          <w:szCs w:val="28"/>
          <w:shd w:val="clear" w:color="auto" w:fill="FFFFFF"/>
        </w:rPr>
        <w:t xml:space="preserve">ata all’autorità indipendente </w:t>
      </w:r>
      <w:r w:rsidR="006045C4">
        <w:rPr>
          <w:rFonts w:ascii="Garamond" w:hAnsi="Garamond" w:cstheme="minorHAnsi"/>
          <w:color w:val="212529"/>
          <w:sz w:val="28"/>
          <w:szCs w:val="28"/>
          <w:shd w:val="clear" w:color="auto" w:fill="FFFFFF"/>
        </w:rPr>
        <w:t>“</w:t>
      </w:r>
      <w:r w:rsidRPr="002240CB">
        <w:rPr>
          <w:rFonts w:ascii="Garamond" w:hAnsi="Garamond" w:cstheme="minorHAnsi"/>
          <w:i/>
          <w:color w:val="212529"/>
          <w:sz w:val="28"/>
          <w:szCs w:val="28"/>
          <w:shd w:val="clear" w:color="auto" w:fill="FFFFFF"/>
        </w:rPr>
        <w:t>per quanto non particolareggiati dalla fonte primaria</w:t>
      </w:r>
      <w:r w:rsidR="004D5C19" w:rsidRPr="002240CB">
        <w:rPr>
          <w:rFonts w:ascii="Garamond" w:hAnsi="Garamond" w:cstheme="minorHAnsi"/>
          <w:i/>
          <w:color w:val="212529"/>
          <w:sz w:val="28"/>
          <w:szCs w:val="28"/>
          <w:shd w:val="clear" w:color="auto" w:fill="FFFFFF"/>
        </w:rPr>
        <w:t>,</w:t>
      </w:r>
      <w:r w:rsidRPr="002240CB">
        <w:rPr>
          <w:rFonts w:ascii="Garamond" w:hAnsi="Garamond" w:cstheme="minorHAnsi"/>
          <w:i/>
          <w:color w:val="212529"/>
          <w:sz w:val="28"/>
          <w:szCs w:val="28"/>
          <w:shd w:val="clear" w:color="auto" w:fill="FFFFFF"/>
        </w:rPr>
        <w:t xml:space="preserve"> siano comunque ricavabili attraverso l’ausilio di indici normativi di sistema idonei a riempire di contenuto le manifestazioni di indirizzo legislativo non circostanziate</w:t>
      </w:r>
      <w:r w:rsidR="006045C4">
        <w:rPr>
          <w:rFonts w:ascii="Garamond" w:hAnsi="Garamond" w:cstheme="minorHAnsi"/>
          <w:color w:val="212529"/>
          <w:sz w:val="28"/>
          <w:szCs w:val="28"/>
          <w:shd w:val="clear" w:color="auto" w:fill="FFFFFF"/>
        </w:rPr>
        <w:t>”</w:t>
      </w:r>
      <w:r w:rsidRPr="000F3F35">
        <w:rPr>
          <w:rStyle w:val="Rimandonotaapidipagina"/>
          <w:rFonts w:ascii="Garamond" w:hAnsi="Garamond" w:cstheme="minorHAnsi"/>
          <w:color w:val="212529"/>
          <w:sz w:val="28"/>
          <w:szCs w:val="28"/>
          <w:shd w:val="clear" w:color="auto" w:fill="FFFFFF"/>
        </w:rPr>
        <w:footnoteReference w:id="11"/>
      </w:r>
      <w:r w:rsidRPr="000F3F35">
        <w:rPr>
          <w:rFonts w:ascii="Garamond" w:hAnsi="Garamond" w:cstheme="minorHAnsi"/>
          <w:color w:val="212529"/>
          <w:sz w:val="28"/>
          <w:szCs w:val="28"/>
          <w:shd w:val="clear" w:color="auto" w:fill="FFFFFF"/>
        </w:rPr>
        <w:t xml:space="preserve">. </w:t>
      </w:r>
    </w:p>
    <w:p w:rsidR="0003555A" w:rsidRPr="000F3F35" w:rsidRDefault="0003555A"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Questo argomento invoca il sistema ordinamentale come parametro in funzione “compensativa” della carenza di disciplina specifica puntuale in grado di costituire l’argine del potere implicito.</w:t>
      </w:r>
    </w:p>
    <w:p w:rsidR="0003555A" w:rsidRPr="000F3F35" w:rsidRDefault="00024B7B"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E’ stato criticamente osservato</w:t>
      </w:r>
      <w:r w:rsidRPr="000F3F35">
        <w:rPr>
          <w:rStyle w:val="Rimandonotaapidipagina"/>
          <w:rFonts w:ascii="Garamond" w:hAnsi="Garamond" w:cstheme="minorHAnsi"/>
          <w:color w:val="212529"/>
          <w:sz w:val="28"/>
          <w:szCs w:val="28"/>
          <w:shd w:val="clear" w:color="auto" w:fill="FFFFFF"/>
        </w:rPr>
        <w:footnoteReference w:id="12"/>
      </w:r>
      <w:r w:rsidRPr="000F3F35">
        <w:rPr>
          <w:rFonts w:ascii="Garamond" w:hAnsi="Garamond" w:cstheme="minorHAnsi"/>
          <w:color w:val="212529"/>
          <w:sz w:val="28"/>
          <w:szCs w:val="28"/>
          <w:shd w:val="clear" w:color="auto" w:fill="FFFFFF"/>
        </w:rPr>
        <w:t xml:space="preserve">, tuttavia, </w:t>
      </w:r>
      <w:r w:rsidR="006045C4">
        <w:rPr>
          <w:rFonts w:ascii="Garamond" w:hAnsi="Garamond" w:cstheme="minorHAnsi"/>
          <w:color w:val="212529"/>
          <w:sz w:val="28"/>
          <w:szCs w:val="28"/>
          <w:shd w:val="clear" w:color="auto" w:fill="FFFFFF"/>
        </w:rPr>
        <w:t xml:space="preserve">che </w:t>
      </w:r>
      <w:r w:rsidR="00C70A62" w:rsidRPr="000F3F35">
        <w:rPr>
          <w:rFonts w:ascii="Garamond" w:hAnsi="Garamond" w:cstheme="minorHAnsi"/>
          <w:color w:val="212529"/>
          <w:sz w:val="28"/>
          <w:szCs w:val="28"/>
          <w:shd w:val="clear" w:color="auto" w:fill="FFFFFF"/>
        </w:rPr>
        <w:t>pur riconoscendo</w:t>
      </w:r>
      <w:r w:rsidR="00BE162C" w:rsidRPr="000F3F35">
        <w:rPr>
          <w:rFonts w:ascii="Garamond" w:hAnsi="Garamond" w:cstheme="minorHAnsi"/>
          <w:color w:val="212529"/>
          <w:sz w:val="28"/>
          <w:szCs w:val="28"/>
          <w:shd w:val="clear" w:color="auto" w:fill="FFFFFF"/>
        </w:rPr>
        <w:t>si</w:t>
      </w:r>
      <w:r w:rsidR="00C70A62" w:rsidRPr="000F3F35">
        <w:rPr>
          <w:rFonts w:ascii="Garamond" w:hAnsi="Garamond" w:cstheme="minorHAnsi"/>
          <w:color w:val="212529"/>
          <w:sz w:val="28"/>
          <w:szCs w:val="28"/>
          <w:shd w:val="clear" w:color="auto" w:fill="FFFFFF"/>
        </w:rPr>
        <w:t xml:space="preserve"> l’esigenza che ha portato all’introduzione nel nostro ordinamento delle Autorità indipendenti, al legislatore non può essere demandato un compito quasi strumentale, secondario, eventuale, addirittura successivo dal punto di vista temporale rispetto a quello</w:t>
      </w:r>
      <w:r w:rsidR="002240CB">
        <w:rPr>
          <w:rFonts w:ascii="Garamond" w:hAnsi="Garamond" w:cstheme="minorHAnsi"/>
          <w:color w:val="212529"/>
          <w:sz w:val="28"/>
          <w:szCs w:val="28"/>
          <w:shd w:val="clear" w:color="auto" w:fill="FFFFFF"/>
        </w:rPr>
        <w:t xml:space="preserve"> esercitato</w:t>
      </w:r>
      <w:r w:rsidR="00C70A62" w:rsidRPr="000F3F35">
        <w:rPr>
          <w:rFonts w:ascii="Garamond" w:hAnsi="Garamond" w:cstheme="minorHAnsi"/>
          <w:color w:val="212529"/>
          <w:sz w:val="28"/>
          <w:szCs w:val="28"/>
          <w:shd w:val="clear" w:color="auto" w:fill="FFFFFF"/>
        </w:rPr>
        <w:t xml:space="preserve"> d</w:t>
      </w:r>
      <w:r w:rsidR="002240CB">
        <w:rPr>
          <w:rFonts w:ascii="Garamond" w:hAnsi="Garamond" w:cstheme="minorHAnsi"/>
          <w:color w:val="212529"/>
          <w:sz w:val="28"/>
          <w:szCs w:val="28"/>
          <w:shd w:val="clear" w:color="auto" w:fill="FFFFFF"/>
        </w:rPr>
        <w:t>a</w:t>
      </w:r>
      <w:r w:rsidR="00C70A62" w:rsidRPr="000F3F35">
        <w:rPr>
          <w:rFonts w:ascii="Garamond" w:hAnsi="Garamond" w:cstheme="minorHAnsi"/>
          <w:color w:val="212529"/>
          <w:sz w:val="28"/>
          <w:szCs w:val="28"/>
          <w:shd w:val="clear" w:color="auto" w:fill="FFFFFF"/>
        </w:rPr>
        <w:t xml:space="preserve">ll’Autorità di regolazione. </w:t>
      </w:r>
    </w:p>
    <w:p w:rsidR="00C70A62" w:rsidRDefault="00C70A62" w:rsidP="000F3F35">
      <w:pPr>
        <w:spacing w:line="360" w:lineRule="auto"/>
        <w:jc w:val="both"/>
        <w:rPr>
          <w:rFonts w:ascii="Garamond" w:hAnsi="Garamond" w:cstheme="minorHAnsi"/>
          <w:color w:val="212529"/>
          <w:sz w:val="28"/>
          <w:szCs w:val="28"/>
          <w:shd w:val="clear" w:color="auto" w:fill="FFFFFF"/>
        </w:rPr>
      </w:pPr>
      <w:proofErr w:type="gramStart"/>
      <w:r w:rsidRPr="00A94FE1">
        <w:rPr>
          <w:rFonts w:ascii="Garamond" w:hAnsi="Garamond" w:cstheme="minorHAnsi"/>
          <w:color w:val="212529"/>
          <w:sz w:val="28"/>
          <w:szCs w:val="28"/>
          <w:shd w:val="clear" w:color="auto" w:fill="FFFFFF"/>
        </w:rPr>
        <w:lastRenderedPageBreak/>
        <w:t>E’</w:t>
      </w:r>
      <w:proofErr w:type="gramEnd"/>
      <w:r w:rsidRPr="00A94FE1">
        <w:rPr>
          <w:rFonts w:ascii="Garamond" w:hAnsi="Garamond" w:cstheme="minorHAnsi"/>
          <w:color w:val="212529"/>
          <w:sz w:val="28"/>
          <w:szCs w:val="28"/>
          <w:shd w:val="clear" w:color="auto" w:fill="FFFFFF"/>
        </w:rPr>
        <w:t xml:space="preserve"> quanto accaduto nella vicenda che ha contrapposto l’Autorità</w:t>
      </w:r>
      <w:r w:rsidRPr="000F3F35">
        <w:rPr>
          <w:rFonts w:ascii="Garamond" w:hAnsi="Garamond" w:cstheme="minorHAnsi"/>
          <w:color w:val="212529"/>
          <w:sz w:val="28"/>
          <w:szCs w:val="28"/>
          <w:shd w:val="clear" w:color="auto" w:fill="FFFFFF"/>
        </w:rPr>
        <w:t xml:space="preserve"> per le garanzie nelle comunicazioni alle compagnie telefoniche. L’Agcom in origine aveva autonomamente introdotto l’obbligo della fatturazione a cadenza mensile e si era dotata del potere di ordinare il rimborso agli utenti delle somme indebitamente addebitate per violazione di siffatto obbligo. Solo qualche tempo dopo l’intervento dell’Autorità di regolazione è stato introdotto anche a livello legislativo l’obbligo in questione e il relativo potere dell’amministrazione in caso di trasgressione dello stesso</w:t>
      </w:r>
      <w:r w:rsidRPr="000F3F35">
        <w:rPr>
          <w:rStyle w:val="Rimandonotaapidipagina"/>
          <w:rFonts w:ascii="Garamond" w:hAnsi="Garamond" w:cstheme="minorHAnsi"/>
          <w:color w:val="212529"/>
          <w:sz w:val="28"/>
          <w:szCs w:val="28"/>
          <w:shd w:val="clear" w:color="auto" w:fill="FFFFFF"/>
        </w:rPr>
        <w:footnoteReference w:id="13"/>
      </w:r>
      <w:r w:rsidRPr="000F3F35">
        <w:rPr>
          <w:rFonts w:ascii="Garamond" w:hAnsi="Garamond" w:cstheme="minorHAnsi"/>
          <w:color w:val="212529"/>
          <w:sz w:val="28"/>
          <w:szCs w:val="28"/>
          <w:shd w:val="clear" w:color="auto" w:fill="FFFFFF"/>
        </w:rPr>
        <w:t xml:space="preserve">. In questa vicenda il Consiglio di Stato </w:t>
      </w:r>
      <w:r w:rsidR="002240CB">
        <w:rPr>
          <w:rFonts w:ascii="Garamond" w:hAnsi="Garamond" w:cstheme="minorHAnsi"/>
          <w:color w:val="212529"/>
          <w:sz w:val="28"/>
          <w:szCs w:val="28"/>
          <w:shd w:val="clear" w:color="auto" w:fill="FFFFFF"/>
        </w:rPr>
        <w:t>ha sottolineato</w:t>
      </w:r>
      <w:r w:rsidRPr="000F3F35">
        <w:rPr>
          <w:rFonts w:ascii="Garamond" w:hAnsi="Garamond" w:cstheme="minorHAnsi"/>
          <w:color w:val="212529"/>
          <w:sz w:val="28"/>
          <w:szCs w:val="28"/>
          <w:shd w:val="clear" w:color="auto" w:fill="FFFFFF"/>
        </w:rPr>
        <w:t xml:space="preserve"> </w:t>
      </w:r>
      <w:r w:rsidR="002240CB">
        <w:rPr>
          <w:rFonts w:ascii="Garamond" w:hAnsi="Garamond" w:cstheme="minorHAnsi"/>
          <w:color w:val="212529"/>
          <w:sz w:val="28"/>
          <w:szCs w:val="28"/>
          <w:shd w:val="clear" w:color="auto" w:fill="FFFFFF"/>
        </w:rPr>
        <w:t>il</w:t>
      </w:r>
      <w:r w:rsidRPr="000F3F35">
        <w:rPr>
          <w:rFonts w:ascii="Garamond" w:hAnsi="Garamond" w:cstheme="minorHAnsi"/>
          <w:color w:val="212529"/>
          <w:sz w:val="28"/>
          <w:szCs w:val="28"/>
          <w:shd w:val="clear" w:color="auto" w:fill="FFFFFF"/>
        </w:rPr>
        <w:t xml:space="preserve"> singolare </w:t>
      </w:r>
      <w:r w:rsidRPr="000F3F35">
        <w:rPr>
          <w:rFonts w:ascii="Garamond" w:hAnsi="Garamond" w:cstheme="minorHAnsi"/>
          <w:i/>
          <w:color w:val="212529"/>
          <w:sz w:val="28"/>
          <w:szCs w:val="28"/>
          <w:shd w:val="clear" w:color="auto" w:fill="FFFFFF"/>
        </w:rPr>
        <w:t>continuum</w:t>
      </w:r>
      <w:r w:rsidRPr="000F3F35">
        <w:rPr>
          <w:rFonts w:ascii="Garamond" w:hAnsi="Garamond" w:cstheme="minorHAnsi"/>
          <w:color w:val="212529"/>
          <w:sz w:val="28"/>
          <w:szCs w:val="28"/>
          <w:shd w:val="clear" w:color="auto" w:fill="FFFFFF"/>
        </w:rPr>
        <w:t xml:space="preserve"> tra attività amministrativa e legge sopravvenuta, che è fatto poggiare sulla “</w:t>
      </w:r>
      <w:proofErr w:type="spellStart"/>
      <w:r w:rsidRPr="000F3F35">
        <w:rPr>
          <w:rFonts w:ascii="Garamond" w:hAnsi="Garamond" w:cstheme="minorHAnsi"/>
          <w:i/>
          <w:color w:val="212529"/>
          <w:sz w:val="28"/>
          <w:szCs w:val="28"/>
          <w:shd w:val="clear" w:color="auto" w:fill="FFFFFF"/>
        </w:rPr>
        <w:t>eadem</w:t>
      </w:r>
      <w:proofErr w:type="spellEnd"/>
      <w:r w:rsidRPr="000F3F35">
        <w:rPr>
          <w:rFonts w:ascii="Garamond" w:hAnsi="Garamond" w:cstheme="minorHAnsi"/>
          <w:i/>
          <w:color w:val="212529"/>
          <w:sz w:val="28"/>
          <w:szCs w:val="28"/>
          <w:shd w:val="clear" w:color="auto" w:fill="FFFFFF"/>
        </w:rPr>
        <w:t xml:space="preserve"> ratio</w:t>
      </w:r>
      <w:r w:rsidRPr="000F3F35">
        <w:rPr>
          <w:rFonts w:ascii="Garamond" w:hAnsi="Garamond" w:cstheme="minorHAnsi"/>
          <w:color w:val="212529"/>
          <w:sz w:val="28"/>
          <w:szCs w:val="28"/>
          <w:shd w:val="clear" w:color="auto" w:fill="FFFFFF"/>
        </w:rPr>
        <w:t xml:space="preserve"> di provvedimenti e norma primaria”, con una “riaffermazione da parte del legislatore dei valori sottesi alla delibera” dell’Autorità per le garanzie nelle comunicazioni </w:t>
      </w:r>
      <w:r w:rsidRPr="000F3F35">
        <w:rPr>
          <w:rStyle w:val="Rimandonotaapidipagina"/>
          <w:rFonts w:ascii="Garamond" w:hAnsi="Garamond" w:cstheme="minorHAnsi"/>
          <w:color w:val="212529"/>
          <w:sz w:val="28"/>
          <w:szCs w:val="28"/>
          <w:shd w:val="clear" w:color="auto" w:fill="FFFFFF"/>
        </w:rPr>
        <w:footnoteReference w:id="14"/>
      </w:r>
      <w:r w:rsidR="004D5C19">
        <w:rPr>
          <w:rFonts w:ascii="Garamond" w:hAnsi="Garamond" w:cstheme="minorHAnsi"/>
          <w:color w:val="212529"/>
          <w:sz w:val="28"/>
          <w:szCs w:val="28"/>
          <w:shd w:val="clear" w:color="auto" w:fill="FFFFFF"/>
        </w:rPr>
        <w:t>.</w:t>
      </w:r>
    </w:p>
    <w:p w:rsidR="004D5C19" w:rsidRPr="000F3F35" w:rsidRDefault="004D5C19" w:rsidP="000F3F35">
      <w:pPr>
        <w:spacing w:line="360" w:lineRule="auto"/>
        <w:jc w:val="both"/>
        <w:rPr>
          <w:rFonts w:ascii="Garamond" w:hAnsi="Garamond" w:cstheme="minorHAnsi"/>
          <w:color w:val="212529"/>
          <w:sz w:val="28"/>
          <w:szCs w:val="28"/>
          <w:shd w:val="clear" w:color="auto" w:fill="FFFFFF"/>
        </w:rPr>
      </w:pPr>
      <w:r>
        <w:rPr>
          <w:rFonts w:ascii="Garamond" w:hAnsi="Garamond" w:cstheme="minorHAnsi"/>
          <w:color w:val="212529"/>
          <w:sz w:val="28"/>
          <w:szCs w:val="28"/>
          <w:shd w:val="clear" w:color="auto" w:fill="FFFFFF"/>
        </w:rPr>
        <w:t xml:space="preserve">Qualcosa di simile è accaduto anche nella vicenda che ha riguardato il Metodo Tariffario Rifiuti per il secondo periodo </w:t>
      </w:r>
      <w:proofErr w:type="spellStart"/>
      <w:r>
        <w:rPr>
          <w:rFonts w:ascii="Garamond" w:hAnsi="Garamond" w:cstheme="minorHAnsi"/>
          <w:color w:val="212529"/>
          <w:sz w:val="28"/>
          <w:szCs w:val="28"/>
          <w:shd w:val="clear" w:color="auto" w:fill="FFFFFF"/>
        </w:rPr>
        <w:t>regolatorio</w:t>
      </w:r>
      <w:proofErr w:type="spellEnd"/>
      <w:r w:rsidR="00A94FE1">
        <w:rPr>
          <w:rFonts w:ascii="Garamond" w:hAnsi="Garamond" w:cstheme="minorHAnsi"/>
          <w:color w:val="212529"/>
          <w:sz w:val="28"/>
          <w:szCs w:val="28"/>
          <w:shd w:val="clear" w:color="auto" w:fill="FFFFFF"/>
        </w:rPr>
        <w:t xml:space="preserve"> di cui alla deliberazione di ARERA n. </w:t>
      </w:r>
      <w:r w:rsidR="00AD1078">
        <w:rPr>
          <w:rFonts w:ascii="Garamond" w:hAnsi="Garamond" w:cstheme="minorHAnsi"/>
          <w:color w:val="212529"/>
          <w:sz w:val="28"/>
          <w:szCs w:val="28"/>
          <w:shd w:val="clear" w:color="auto" w:fill="FFFFFF"/>
        </w:rPr>
        <w:t>363/2021</w:t>
      </w:r>
      <w:r>
        <w:rPr>
          <w:rFonts w:ascii="Garamond" w:hAnsi="Garamond" w:cstheme="minorHAnsi"/>
          <w:color w:val="212529"/>
          <w:sz w:val="28"/>
          <w:szCs w:val="28"/>
          <w:shd w:val="clear" w:color="auto" w:fill="FFFFFF"/>
        </w:rPr>
        <w:t>, ove alla disciplina dettata dalla deliberazione di ARERA sugli impianti minimi ha fatto seguito il suo “recepimento” nel Piano Nazionale di Gestione dei Rifiuti</w:t>
      </w:r>
      <w:r w:rsidR="00A94FE1">
        <w:rPr>
          <w:rStyle w:val="Rimandonotaapidipagina"/>
          <w:rFonts w:ascii="Garamond" w:hAnsi="Garamond" w:cstheme="minorHAnsi"/>
          <w:color w:val="212529"/>
          <w:sz w:val="28"/>
          <w:szCs w:val="28"/>
          <w:shd w:val="clear" w:color="auto" w:fill="FFFFFF"/>
        </w:rPr>
        <w:footnoteReference w:id="15"/>
      </w:r>
      <w:r>
        <w:rPr>
          <w:rFonts w:ascii="Garamond" w:hAnsi="Garamond" w:cstheme="minorHAnsi"/>
          <w:color w:val="212529"/>
          <w:sz w:val="28"/>
          <w:szCs w:val="28"/>
          <w:shd w:val="clear" w:color="auto" w:fill="FFFFFF"/>
        </w:rPr>
        <w:t>.</w:t>
      </w:r>
    </w:p>
    <w:p w:rsidR="00E84E86" w:rsidRPr="000F3F35" w:rsidRDefault="00A432DB" w:rsidP="000F3F35">
      <w:pPr>
        <w:spacing w:line="360" w:lineRule="auto"/>
        <w:jc w:val="both"/>
        <w:rPr>
          <w:rFonts w:ascii="Garamond" w:hAnsi="Garamond" w:cstheme="minorHAnsi"/>
          <w:color w:val="212529"/>
          <w:sz w:val="28"/>
          <w:szCs w:val="28"/>
          <w:shd w:val="clear" w:color="auto" w:fill="FFFFFF"/>
        </w:rPr>
      </w:pPr>
      <w:r>
        <w:rPr>
          <w:rFonts w:ascii="Garamond" w:hAnsi="Garamond" w:cstheme="minorHAnsi"/>
          <w:color w:val="212529"/>
          <w:sz w:val="28"/>
          <w:szCs w:val="28"/>
          <w:shd w:val="clear" w:color="auto" w:fill="FFFFFF"/>
        </w:rPr>
        <w:t>P</w:t>
      </w:r>
      <w:r w:rsidR="00C361F7" w:rsidRPr="000F3F35">
        <w:rPr>
          <w:rFonts w:ascii="Garamond" w:hAnsi="Garamond" w:cstheme="minorHAnsi"/>
          <w:color w:val="212529"/>
          <w:sz w:val="28"/>
          <w:szCs w:val="28"/>
          <w:shd w:val="clear" w:color="auto" w:fill="FFFFFF"/>
        </w:rPr>
        <w:t>er le Autorità</w:t>
      </w:r>
      <w:r w:rsidR="00024B7B" w:rsidRPr="000F3F35">
        <w:rPr>
          <w:rFonts w:ascii="Garamond" w:hAnsi="Garamond" w:cstheme="minorHAnsi"/>
          <w:color w:val="212529"/>
          <w:sz w:val="28"/>
          <w:szCs w:val="28"/>
          <w:shd w:val="clear" w:color="auto" w:fill="FFFFFF"/>
        </w:rPr>
        <w:t xml:space="preserve"> indipendenti </w:t>
      </w:r>
      <w:r w:rsidR="00A70343" w:rsidRPr="000F3F35">
        <w:rPr>
          <w:rFonts w:ascii="Garamond" w:hAnsi="Garamond" w:cstheme="minorHAnsi"/>
          <w:color w:val="212529"/>
          <w:sz w:val="28"/>
          <w:szCs w:val="28"/>
          <w:shd w:val="clear" w:color="auto" w:fill="FFFFFF"/>
        </w:rPr>
        <w:t xml:space="preserve">il potere </w:t>
      </w:r>
      <w:proofErr w:type="spellStart"/>
      <w:r w:rsidR="00A70343" w:rsidRPr="000F3F35">
        <w:rPr>
          <w:rFonts w:ascii="Garamond" w:hAnsi="Garamond" w:cstheme="minorHAnsi"/>
          <w:color w:val="212529"/>
          <w:sz w:val="28"/>
          <w:szCs w:val="28"/>
          <w:shd w:val="clear" w:color="auto" w:fill="FFFFFF"/>
        </w:rPr>
        <w:t>regolatorio</w:t>
      </w:r>
      <w:proofErr w:type="spellEnd"/>
      <w:r w:rsidR="00A70343" w:rsidRPr="000F3F35">
        <w:rPr>
          <w:rFonts w:ascii="Garamond" w:hAnsi="Garamond" w:cstheme="minorHAnsi"/>
          <w:color w:val="212529"/>
          <w:sz w:val="28"/>
          <w:szCs w:val="28"/>
          <w:shd w:val="clear" w:color="auto" w:fill="FFFFFF"/>
        </w:rPr>
        <w:t xml:space="preserve"> </w:t>
      </w:r>
      <w:r w:rsidR="004D5C19">
        <w:rPr>
          <w:rFonts w:ascii="Garamond" w:hAnsi="Garamond" w:cstheme="minorHAnsi"/>
          <w:color w:val="212529"/>
          <w:sz w:val="28"/>
          <w:szCs w:val="28"/>
          <w:shd w:val="clear" w:color="auto" w:fill="FFFFFF"/>
        </w:rPr>
        <w:t xml:space="preserve">alle </w:t>
      </w:r>
      <w:r w:rsidR="00A70343" w:rsidRPr="000F3F35">
        <w:rPr>
          <w:rFonts w:ascii="Garamond" w:hAnsi="Garamond" w:cstheme="minorHAnsi"/>
          <w:color w:val="212529"/>
          <w:sz w:val="28"/>
          <w:szCs w:val="28"/>
          <w:shd w:val="clear" w:color="auto" w:fill="FFFFFF"/>
        </w:rPr>
        <w:t>stesse</w:t>
      </w:r>
      <w:r w:rsidR="004D5C19">
        <w:rPr>
          <w:rFonts w:ascii="Garamond" w:hAnsi="Garamond" w:cstheme="minorHAnsi"/>
          <w:color w:val="212529"/>
          <w:sz w:val="28"/>
          <w:szCs w:val="28"/>
          <w:shd w:val="clear" w:color="auto" w:fill="FFFFFF"/>
        </w:rPr>
        <w:t xml:space="preserve"> assegnato secon</w:t>
      </w:r>
      <w:r w:rsidR="008C3F7E">
        <w:rPr>
          <w:rFonts w:ascii="Garamond" w:hAnsi="Garamond" w:cstheme="minorHAnsi"/>
          <w:color w:val="212529"/>
          <w:sz w:val="28"/>
          <w:szCs w:val="28"/>
          <w:shd w:val="clear" w:color="auto" w:fill="FFFFFF"/>
        </w:rPr>
        <w:t>d</w:t>
      </w:r>
      <w:r w:rsidR="004D5C19">
        <w:rPr>
          <w:rFonts w:ascii="Garamond" w:hAnsi="Garamond" w:cstheme="minorHAnsi"/>
          <w:color w:val="212529"/>
          <w:sz w:val="28"/>
          <w:szCs w:val="28"/>
          <w:shd w:val="clear" w:color="auto" w:fill="FFFFFF"/>
        </w:rPr>
        <w:t>o la tecnica legislativa delle clausole generali indicanti i fini dell’attribuzione del potere</w:t>
      </w:r>
      <w:r w:rsidR="008C3F7E">
        <w:rPr>
          <w:rFonts w:ascii="Garamond" w:hAnsi="Garamond" w:cstheme="minorHAnsi"/>
          <w:color w:val="212529"/>
          <w:sz w:val="28"/>
          <w:szCs w:val="28"/>
          <w:shd w:val="clear" w:color="auto" w:fill="FFFFFF"/>
        </w:rPr>
        <w:t>,</w:t>
      </w:r>
      <w:r w:rsidR="00A70343" w:rsidRPr="000F3F35">
        <w:rPr>
          <w:rFonts w:ascii="Garamond" w:hAnsi="Garamond" w:cstheme="minorHAnsi"/>
          <w:color w:val="212529"/>
          <w:sz w:val="28"/>
          <w:szCs w:val="28"/>
          <w:shd w:val="clear" w:color="auto" w:fill="FFFFFF"/>
        </w:rPr>
        <w:t xml:space="preserve"> presenta diversi</w:t>
      </w:r>
      <w:r w:rsidR="002D51C5" w:rsidRPr="000F3F35">
        <w:rPr>
          <w:rFonts w:ascii="Garamond" w:hAnsi="Garamond" w:cstheme="minorHAnsi"/>
          <w:color w:val="212529"/>
          <w:sz w:val="28"/>
          <w:szCs w:val="28"/>
          <w:shd w:val="clear" w:color="auto" w:fill="FFFFFF"/>
        </w:rPr>
        <w:t xml:space="preserve"> ed ulteriori</w:t>
      </w:r>
      <w:r w:rsidR="00A70343" w:rsidRPr="000F3F35">
        <w:rPr>
          <w:rFonts w:ascii="Garamond" w:hAnsi="Garamond" w:cstheme="minorHAnsi"/>
          <w:color w:val="212529"/>
          <w:sz w:val="28"/>
          <w:szCs w:val="28"/>
          <w:shd w:val="clear" w:color="auto" w:fill="FFFFFF"/>
        </w:rPr>
        <w:t xml:space="preserve"> profili critici, </w:t>
      </w:r>
      <w:r w:rsidR="00024B7B" w:rsidRPr="000F3F35">
        <w:rPr>
          <w:rFonts w:ascii="Garamond" w:hAnsi="Garamond" w:cstheme="minorHAnsi"/>
          <w:color w:val="212529"/>
          <w:sz w:val="28"/>
          <w:szCs w:val="28"/>
          <w:shd w:val="clear" w:color="auto" w:fill="FFFFFF"/>
        </w:rPr>
        <w:t>oltre a</w:t>
      </w:r>
      <w:r w:rsidR="002D51C5" w:rsidRPr="000F3F35">
        <w:rPr>
          <w:rFonts w:ascii="Garamond" w:hAnsi="Garamond" w:cstheme="minorHAnsi"/>
          <w:color w:val="212529"/>
          <w:sz w:val="28"/>
          <w:szCs w:val="28"/>
          <w:shd w:val="clear" w:color="auto" w:fill="FFFFFF"/>
        </w:rPr>
        <w:t xml:space="preserve"> quello de</w:t>
      </w:r>
      <w:r w:rsidR="00024B7B" w:rsidRPr="000F3F35">
        <w:rPr>
          <w:rFonts w:ascii="Garamond" w:hAnsi="Garamond" w:cstheme="minorHAnsi"/>
          <w:color w:val="212529"/>
          <w:sz w:val="28"/>
          <w:szCs w:val="28"/>
          <w:shd w:val="clear" w:color="auto" w:fill="FFFFFF"/>
        </w:rPr>
        <w:t>l</w:t>
      </w:r>
      <w:r w:rsidR="00C361F7" w:rsidRPr="000F3F35">
        <w:rPr>
          <w:rFonts w:ascii="Garamond" w:hAnsi="Garamond" w:cstheme="minorHAnsi"/>
          <w:color w:val="212529"/>
          <w:sz w:val="28"/>
          <w:szCs w:val="28"/>
          <w:shd w:val="clear" w:color="auto" w:fill="FFFFFF"/>
        </w:rPr>
        <w:t>la deroga al principio di legalità</w:t>
      </w:r>
      <w:r w:rsidR="002D51C5" w:rsidRPr="000F3F35">
        <w:rPr>
          <w:rFonts w:ascii="Garamond" w:hAnsi="Garamond" w:cstheme="minorHAnsi"/>
          <w:color w:val="212529"/>
          <w:sz w:val="28"/>
          <w:szCs w:val="28"/>
          <w:shd w:val="clear" w:color="auto" w:fill="FFFFFF"/>
        </w:rPr>
        <w:t xml:space="preserve">. Ed in particolare </w:t>
      </w:r>
      <w:r w:rsidR="00F23EB8" w:rsidRPr="000F3F35">
        <w:rPr>
          <w:rFonts w:ascii="Garamond" w:hAnsi="Garamond" w:cstheme="minorHAnsi"/>
          <w:color w:val="212529"/>
          <w:sz w:val="28"/>
          <w:szCs w:val="28"/>
          <w:shd w:val="clear" w:color="auto" w:fill="FFFFFF"/>
        </w:rPr>
        <w:t>si dev</w:t>
      </w:r>
      <w:r w:rsidR="00BE162C" w:rsidRPr="000F3F35">
        <w:rPr>
          <w:rFonts w:ascii="Garamond" w:hAnsi="Garamond" w:cstheme="minorHAnsi"/>
          <w:color w:val="212529"/>
          <w:sz w:val="28"/>
          <w:szCs w:val="28"/>
          <w:shd w:val="clear" w:color="auto" w:fill="FFFFFF"/>
        </w:rPr>
        <w:t>e</w:t>
      </w:r>
      <w:r w:rsidR="00F23EB8" w:rsidRPr="000F3F35">
        <w:rPr>
          <w:rFonts w:ascii="Garamond" w:hAnsi="Garamond" w:cstheme="minorHAnsi"/>
          <w:color w:val="212529"/>
          <w:sz w:val="28"/>
          <w:szCs w:val="28"/>
          <w:shd w:val="clear" w:color="auto" w:fill="FFFFFF"/>
        </w:rPr>
        <w:t xml:space="preserve"> fare i conti con tre </w:t>
      </w:r>
      <w:r w:rsidR="00BE162C" w:rsidRPr="000F3F35">
        <w:rPr>
          <w:rFonts w:ascii="Garamond" w:hAnsi="Garamond" w:cstheme="minorHAnsi"/>
          <w:color w:val="212529"/>
          <w:sz w:val="28"/>
          <w:szCs w:val="28"/>
          <w:shd w:val="clear" w:color="auto" w:fill="FFFFFF"/>
        </w:rPr>
        <w:t xml:space="preserve">ulteriori </w:t>
      </w:r>
      <w:r w:rsidR="00F23EB8" w:rsidRPr="000F3F35">
        <w:rPr>
          <w:rFonts w:ascii="Garamond" w:hAnsi="Garamond" w:cstheme="minorHAnsi"/>
          <w:color w:val="212529"/>
          <w:sz w:val="28"/>
          <w:szCs w:val="28"/>
          <w:shd w:val="clear" w:color="auto" w:fill="FFFFFF"/>
        </w:rPr>
        <w:t>elementi:</w:t>
      </w:r>
    </w:p>
    <w:p w:rsidR="00E84E86" w:rsidRPr="000F3F35" w:rsidRDefault="008C3F7E" w:rsidP="000F3F35">
      <w:pPr>
        <w:spacing w:line="360" w:lineRule="auto"/>
        <w:jc w:val="both"/>
        <w:rPr>
          <w:rFonts w:ascii="Garamond" w:hAnsi="Garamond" w:cstheme="minorHAnsi"/>
          <w:color w:val="212529"/>
          <w:sz w:val="28"/>
          <w:szCs w:val="28"/>
          <w:shd w:val="clear" w:color="auto" w:fill="FFFFFF"/>
        </w:rPr>
      </w:pPr>
      <w:r>
        <w:rPr>
          <w:rFonts w:ascii="Garamond" w:hAnsi="Garamond" w:cstheme="minorHAnsi"/>
          <w:color w:val="212529"/>
          <w:sz w:val="28"/>
          <w:szCs w:val="28"/>
          <w:shd w:val="clear" w:color="auto" w:fill="FFFFFF"/>
        </w:rPr>
        <w:t>-</w:t>
      </w:r>
      <w:r w:rsidR="00E84E86" w:rsidRPr="000F3F35">
        <w:rPr>
          <w:rFonts w:ascii="Garamond" w:hAnsi="Garamond" w:cstheme="minorHAnsi"/>
          <w:color w:val="212529"/>
          <w:sz w:val="28"/>
          <w:szCs w:val="28"/>
          <w:shd w:val="clear" w:color="auto" w:fill="FFFFFF"/>
        </w:rPr>
        <w:t xml:space="preserve"> il rispetto del principio della separazione dei poteri dello Stato</w:t>
      </w:r>
      <w:r w:rsidR="00356809" w:rsidRPr="000F3F35">
        <w:rPr>
          <w:rFonts w:ascii="Garamond" w:hAnsi="Garamond" w:cstheme="minorHAnsi"/>
          <w:color w:val="212529"/>
          <w:sz w:val="28"/>
          <w:szCs w:val="28"/>
          <w:shd w:val="clear" w:color="auto" w:fill="FFFFFF"/>
        </w:rPr>
        <w:t xml:space="preserve">, considerato che le Autorità indipendenti svolgono sia un’attività propriamente di regolazione, sia un’attività </w:t>
      </w:r>
      <w:proofErr w:type="spellStart"/>
      <w:r w:rsidR="00356809" w:rsidRPr="000F3F35">
        <w:rPr>
          <w:rFonts w:ascii="Garamond" w:hAnsi="Garamond" w:cstheme="minorHAnsi"/>
          <w:color w:val="212529"/>
          <w:sz w:val="28"/>
          <w:szCs w:val="28"/>
          <w:shd w:val="clear" w:color="auto" w:fill="FFFFFF"/>
        </w:rPr>
        <w:t>provvedimentale</w:t>
      </w:r>
      <w:proofErr w:type="spellEnd"/>
      <w:r w:rsidR="00356809" w:rsidRPr="000F3F35">
        <w:rPr>
          <w:rFonts w:ascii="Garamond" w:hAnsi="Garamond" w:cstheme="minorHAnsi"/>
          <w:color w:val="212529"/>
          <w:sz w:val="28"/>
          <w:szCs w:val="28"/>
          <w:shd w:val="clear" w:color="auto" w:fill="FFFFFF"/>
        </w:rPr>
        <w:t>, sia compiono atti che risolvono controversie in via alternativa rispetto alle tradizionali vie giurisdizionali. L’assommarsi in capo a una sola autorità amministrativa di quest</w:t>
      </w:r>
      <w:r w:rsidR="002D51C5" w:rsidRPr="000F3F35">
        <w:rPr>
          <w:rFonts w:ascii="Garamond" w:hAnsi="Garamond" w:cstheme="minorHAnsi"/>
          <w:color w:val="212529"/>
          <w:sz w:val="28"/>
          <w:szCs w:val="28"/>
          <w:shd w:val="clear" w:color="auto" w:fill="FFFFFF"/>
        </w:rPr>
        <w:t>o insieme</w:t>
      </w:r>
      <w:r w:rsidR="00356809" w:rsidRPr="000F3F35">
        <w:rPr>
          <w:rFonts w:ascii="Garamond" w:hAnsi="Garamond" w:cstheme="minorHAnsi"/>
          <w:color w:val="212529"/>
          <w:sz w:val="28"/>
          <w:szCs w:val="28"/>
          <w:shd w:val="clear" w:color="auto" w:fill="FFFFFF"/>
        </w:rPr>
        <w:t xml:space="preserve"> di vari poteri determina un’attenuazione del tradizionale principio di separazione dei poteri dello Stato</w:t>
      </w:r>
      <w:r w:rsidR="00AD1078">
        <w:rPr>
          <w:rFonts w:ascii="Garamond" w:hAnsi="Garamond" w:cstheme="minorHAnsi"/>
          <w:color w:val="212529"/>
          <w:sz w:val="28"/>
          <w:szCs w:val="28"/>
          <w:shd w:val="clear" w:color="auto" w:fill="FFFFFF"/>
        </w:rPr>
        <w:t>;</w:t>
      </w:r>
    </w:p>
    <w:p w:rsidR="00356809" w:rsidRPr="000F3F35" w:rsidRDefault="008C3F7E" w:rsidP="000F3F35">
      <w:pPr>
        <w:spacing w:line="360" w:lineRule="auto"/>
        <w:jc w:val="both"/>
        <w:rPr>
          <w:rFonts w:ascii="Garamond" w:hAnsi="Garamond" w:cstheme="minorHAnsi"/>
          <w:color w:val="212529"/>
          <w:sz w:val="28"/>
          <w:szCs w:val="28"/>
          <w:shd w:val="clear" w:color="auto" w:fill="FFFFFF"/>
        </w:rPr>
      </w:pPr>
      <w:r>
        <w:rPr>
          <w:rFonts w:ascii="Garamond" w:hAnsi="Garamond" w:cstheme="minorHAnsi"/>
          <w:color w:val="212529"/>
          <w:sz w:val="28"/>
          <w:szCs w:val="28"/>
          <w:shd w:val="clear" w:color="auto" w:fill="FFFFFF"/>
        </w:rPr>
        <w:lastRenderedPageBreak/>
        <w:t>-</w:t>
      </w:r>
      <w:r w:rsidR="00356809" w:rsidRPr="000F3F35">
        <w:rPr>
          <w:rFonts w:ascii="Garamond" w:hAnsi="Garamond" w:cstheme="minorHAnsi"/>
          <w:color w:val="212529"/>
          <w:sz w:val="28"/>
          <w:szCs w:val="28"/>
          <w:shd w:val="clear" w:color="auto" w:fill="FFFFFF"/>
        </w:rPr>
        <w:t xml:space="preserve"> il modello costituzionale di pubblica amministrazione, di cui all’art. 95 </w:t>
      </w:r>
      <w:proofErr w:type="spellStart"/>
      <w:r w:rsidR="00356809" w:rsidRPr="000F3F35">
        <w:rPr>
          <w:rFonts w:ascii="Garamond" w:hAnsi="Garamond" w:cstheme="minorHAnsi"/>
          <w:color w:val="212529"/>
          <w:sz w:val="28"/>
          <w:szCs w:val="28"/>
          <w:shd w:val="clear" w:color="auto" w:fill="FFFFFF"/>
        </w:rPr>
        <w:t>Cost</w:t>
      </w:r>
      <w:proofErr w:type="spellEnd"/>
      <w:r w:rsidR="00356809" w:rsidRPr="000F3F35">
        <w:rPr>
          <w:rFonts w:ascii="Garamond" w:hAnsi="Garamond" w:cstheme="minorHAnsi"/>
          <w:color w:val="212529"/>
          <w:sz w:val="28"/>
          <w:szCs w:val="28"/>
          <w:shd w:val="clear" w:color="auto" w:fill="FFFFFF"/>
        </w:rPr>
        <w:t xml:space="preserve">., considerato che </w:t>
      </w:r>
      <w:r w:rsidR="00024B7B" w:rsidRPr="000F3F35">
        <w:rPr>
          <w:rFonts w:ascii="Garamond" w:hAnsi="Garamond" w:cstheme="minorHAnsi"/>
          <w:color w:val="212529"/>
          <w:sz w:val="28"/>
          <w:szCs w:val="28"/>
          <w:shd w:val="clear" w:color="auto" w:fill="FFFFFF"/>
        </w:rPr>
        <w:t>l</w:t>
      </w:r>
      <w:r w:rsidR="002D51C5" w:rsidRPr="000F3F35">
        <w:rPr>
          <w:rFonts w:ascii="Garamond" w:hAnsi="Garamond" w:cstheme="minorHAnsi"/>
          <w:color w:val="212529"/>
          <w:sz w:val="28"/>
          <w:szCs w:val="28"/>
          <w:shd w:val="clear" w:color="auto" w:fill="FFFFFF"/>
        </w:rPr>
        <w:t>’operato delle Au</w:t>
      </w:r>
      <w:r w:rsidR="00F23EB8" w:rsidRPr="000F3F35">
        <w:rPr>
          <w:rFonts w:ascii="Garamond" w:hAnsi="Garamond" w:cstheme="minorHAnsi"/>
          <w:color w:val="212529"/>
          <w:sz w:val="28"/>
          <w:szCs w:val="28"/>
          <w:shd w:val="clear" w:color="auto" w:fill="FFFFFF"/>
        </w:rPr>
        <w:t>t</w:t>
      </w:r>
      <w:r w:rsidR="002D51C5" w:rsidRPr="000F3F35">
        <w:rPr>
          <w:rFonts w:ascii="Garamond" w:hAnsi="Garamond" w:cstheme="minorHAnsi"/>
          <w:color w:val="212529"/>
          <w:sz w:val="28"/>
          <w:szCs w:val="28"/>
          <w:shd w:val="clear" w:color="auto" w:fill="FFFFFF"/>
        </w:rPr>
        <w:t>orità indipendenti</w:t>
      </w:r>
      <w:r w:rsidR="00024B7B" w:rsidRPr="000F3F35">
        <w:rPr>
          <w:rFonts w:ascii="Garamond" w:hAnsi="Garamond" w:cstheme="minorHAnsi"/>
          <w:color w:val="212529"/>
          <w:sz w:val="28"/>
          <w:szCs w:val="28"/>
          <w:shd w:val="clear" w:color="auto" w:fill="FFFFFF"/>
        </w:rPr>
        <w:t xml:space="preserve"> – per il loro stesso codice genetico – non è riconducibile all’indirizzo politico dell’esecutivo;</w:t>
      </w:r>
    </w:p>
    <w:p w:rsidR="00C361F7" w:rsidRPr="000F3F35" w:rsidRDefault="008C3F7E" w:rsidP="000F3F35">
      <w:pPr>
        <w:spacing w:line="360" w:lineRule="auto"/>
        <w:jc w:val="both"/>
        <w:rPr>
          <w:rFonts w:ascii="Garamond" w:hAnsi="Garamond" w:cstheme="minorHAnsi"/>
          <w:color w:val="212529"/>
          <w:sz w:val="28"/>
          <w:szCs w:val="28"/>
          <w:shd w:val="clear" w:color="auto" w:fill="FFFFFF"/>
        </w:rPr>
      </w:pPr>
      <w:r>
        <w:rPr>
          <w:rFonts w:ascii="Garamond" w:hAnsi="Garamond" w:cstheme="minorHAnsi"/>
          <w:color w:val="212529"/>
          <w:sz w:val="28"/>
          <w:szCs w:val="28"/>
          <w:shd w:val="clear" w:color="auto" w:fill="FFFFFF"/>
        </w:rPr>
        <w:t>-</w:t>
      </w:r>
      <w:r w:rsidR="00E84E86" w:rsidRPr="000F3F35">
        <w:rPr>
          <w:rFonts w:ascii="Garamond" w:hAnsi="Garamond" w:cstheme="minorHAnsi"/>
          <w:color w:val="212529"/>
          <w:sz w:val="28"/>
          <w:szCs w:val="28"/>
          <w:shd w:val="clear" w:color="auto" w:fill="FFFFFF"/>
        </w:rPr>
        <w:t xml:space="preserve"> </w:t>
      </w:r>
      <w:r w:rsidR="00C361F7" w:rsidRPr="000F3F35">
        <w:rPr>
          <w:rFonts w:ascii="Garamond" w:hAnsi="Garamond" w:cstheme="minorHAnsi"/>
          <w:color w:val="212529"/>
          <w:sz w:val="28"/>
          <w:szCs w:val="28"/>
          <w:shd w:val="clear" w:color="auto" w:fill="FFFFFF"/>
        </w:rPr>
        <w:t xml:space="preserve">il fatto che tali Autorità siano prive di una legittimazione democratica, con la conseguenza che proprio in un ambito in cui sono maggiori le esigenze di garanzia sottese al principio di legalità </w:t>
      </w:r>
      <w:r w:rsidR="00EB55EB" w:rsidRPr="000F3F35">
        <w:rPr>
          <w:rFonts w:ascii="Garamond" w:hAnsi="Garamond" w:cstheme="minorHAnsi"/>
          <w:color w:val="212529"/>
          <w:sz w:val="28"/>
          <w:szCs w:val="28"/>
          <w:shd w:val="clear" w:color="auto" w:fill="FFFFFF"/>
        </w:rPr>
        <w:t>queste stesse esigenze sono maggiormente sacrificate.</w:t>
      </w:r>
    </w:p>
    <w:p w:rsidR="004F0DA2" w:rsidRPr="000F3F35" w:rsidRDefault="00EB55EB"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A tale profilo critico si è cercato di porre rimedio rafforzando la legalità procedimentale, che si sostanzia nella previsione</w:t>
      </w:r>
      <w:r w:rsidR="00AD3E63" w:rsidRPr="000F3F35">
        <w:rPr>
          <w:rFonts w:ascii="Garamond" w:hAnsi="Garamond" w:cstheme="minorHAnsi"/>
          <w:color w:val="212529"/>
          <w:sz w:val="28"/>
          <w:szCs w:val="28"/>
          <w:shd w:val="clear" w:color="auto" w:fill="FFFFFF"/>
        </w:rPr>
        <w:t xml:space="preserve"> </w:t>
      </w:r>
      <w:r w:rsidRPr="000F3F35">
        <w:rPr>
          <w:rFonts w:ascii="Garamond" w:hAnsi="Garamond" w:cstheme="minorHAnsi"/>
          <w:color w:val="212529"/>
          <w:sz w:val="28"/>
          <w:szCs w:val="28"/>
          <w:shd w:val="clear" w:color="auto" w:fill="FFFFFF"/>
        </w:rPr>
        <w:t>di varie forme di coinvolgimento degli operatori del settore nell’ambito del procedimento</w:t>
      </w:r>
      <w:r w:rsidR="00AD3E63" w:rsidRPr="000F3F35">
        <w:rPr>
          <w:rFonts w:ascii="Garamond" w:hAnsi="Garamond" w:cstheme="minorHAnsi"/>
          <w:color w:val="212529"/>
          <w:sz w:val="28"/>
          <w:szCs w:val="28"/>
          <w:shd w:val="clear" w:color="auto" w:fill="FFFFFF"/>
        </w:rPr>
        <w:t xml:space="preserve"> </w:t>
      </w:r>
      <w:r w:rsidRPr="000F3F35">
        <w:rPr>
          <w:rFonts w:ascii="Garamond" w:hAnsi="Garamond" w:cstheme="minorHAnsi"/>
          <w:color w:val="212529"/>
          <w:sz w:val="28"/>
          <w:szCs w:val="28"/>
          <w:shd w:val="clear" w:color="auto" w:fill="FFFFFF"/>
        </w:rPr>
        <w:t>di formazione delle decisioni, sia generali, sia puntuali</w:t>
      </w:r>
      <w:r w:rsidR="004F0DA2" w:rsidRPr="000F3F35">
        <w:rPr>
          <w:rFonts w:ascii="Garamond" w:hAnsi="Garamond" w:cstheme="minorHAnsi"/>
          <w:color w:val="212529"/>
          <w:sz w:val="28"/>
          <w:szCs w:val="28"/>
          <w:shd w:val="clear" w:color="auto" w:fill="FFFFFF"/>
        </w:rPr>
        <w:t xml:space="preserve">, secondo il c.d. modello di </w:t>
      </w:r>
      <w:proofErr w:type="spellStart"/>
      <w:r w:rsidR="004F0DA2" w:rsidRPr="000F3F35">
        <w:rPr>
          <w:rFonts w:ascii="Garamond" w:hAnsi="Garamond" w:cstheme="minorHAnsi"/>
          <w:i/>
          <w:color w:val="212529"/>
          <w:sz w:val="28"/>
          <w:szCs w:val="28"/>
          <w:shd w:val="clear" w:color="auto" w:fill="FFFFFF"/>
        </w:rPr>
        <w:t>notice</w:t>
      </w:r>
      <w:proofErr w:type="spellEnd"/>
      <w:r w:rsidR="004F0DA2" w:rsidRPr="000F3F35">
        <w:rPr>
          <w:rFonts w:ascii="Garamond" w:hAnsi="Garamond" w:cstheme="minorHAnsi"/>
          <w:i/>
          <w:color w:val="212529"/>
          <w:sz w:val="28"/>
          <w:szCs w:val="28"/>
          <w:shd w:val="clear" w:color="auto" w:fill="FFFFFF"/>
        </w:rPr>
        <w:t xml:space="preserve"> and </w:t>
      </w:r>
      <w:proofErr w:type="spellStart"/>
      <w:r w:rsidR="004F0DA2" w:rsidRPr="000F3F35">
        <w:rPr>
          <w:rFonts w:ascii="Garamond" w:hAnsi="Garamond" w:cstheme="minorHAnsi"/>
          <w:i/>
          <w:color w:val="212529"/>
          <w:sz w:val="28"/>
          <w:szCs w:val="28"/>
          <w:shd w:val="clear" w:color="auto" w:fill="FFFFFF"/>
        </w:rPr>
        <w:t>comment</w:t>
      </w:r>
      <w:proofErr w:type="spellEnd"/>
      <w:r w:rsidR="00D85C3C">
        <w:rPr>
          <w:rStyle w:val="Rimandonotaapidipagina"/>
          <w:rFonts w:ascii="Garamond" w:hAnsi="Garamond" w:cstheme="minorHAnsi"/>
          <w:i/>
          <w:color w:val="212529"/>
          <w:sz w:val="28"/>
          <w:szCs w:val="28"/>
          <w:shd w:val="clear" w:color="auto" w:fill="FFFFFF"/>
        </w:rPr>
        <w:footnoteReference w:id="16"/>
      </w:r>
      <w:r w:rsidRPr="000F3F35">
        <w:rPr>
          <w:rFonts w:ascii="Garamond" w:hAnsi="Garamond" w:cstheme="minorHAnsi"/>
          <w:color w:val="212529"/>
          <w:sz w:val="28"/>
          <w:szCs w:val="28"/>
          <w:shd w:val="clear" w:color="auto" w:fill="FFFFFF"/>
        </w:rPr>
        <w:t xml:space="preserve">. </w:t>
      </w:r>
    </w:p>
    <w:p w:rsidR="00EB55EB" w:rsidRPr="000F3F35" w:rsidRDefault="00AD3E63"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Si afferma così che il rispetto delle regole di partecipazione serv</w:t>
      </w:r>
      <w:r w:rsidR="00A77D0A">
        <w:rPr>
          <w:rFonts w:ascii="Garamond" w:hAnsi="Garamond" w:cstheme="minorHAnsi"/>
          <w:color w:val="212529"/>
          <w:sz w:val="28"/>
          <w:szCs w:val="28"/>
          <w:shd w:val="clear" w:color="auto" w:fill="FFFFFF"/>
        </w:rPr>
        <w:t>irebb</w:t>
      </w:r>
      <w:r w:rsidRPr="000F3F35">
        <w:rPr>
          <w:rFonts w:ascii="Garamond" w:hAnsi="Garamond" w:cstheme="minorHAnsi"/>
          <w:color w:val="212529"/>
          <w:sz w:val="28"/>
          <w:szCs w:val="28"/>
          <w:shd w:val="clear" w:color="auto" w:fill="FFFFFF"/>
        </w:rPr>
        <w:t>e “</w:t>
      </w:r>
      <w:r w:rsidRPr="00A432DB">
        <w:rPr>
          <w:rFonts w:ascii="Garamond" w:hAnsi="Garamond" w:cstheme="minorHAnsi"/>
          <w:i/>
          <w:color w:val="212529"/>
          <w:sz w:val="28"/>
          <w:szCs w:val="28"/>
          <w:shd w:val="clear" w:color="auto" w:fill="FFFFFF"/>
        </w:rPr>
        <w:t>a restituire, almeno in parte, coerenza al sistema</w:t>
      </w:r>
      <w:r w:rsidRPr="000F3F35">
        <w:rPr>
          <w:rFonts w:ascii="Garamond" w:hAnsi="Garamond" w:cstheme="minorHAnsi"/>
          <w:color w:val="212529"/>
          <w:sz w:val="28"/>
          <w:szCs w:val="28"/>
          <w:shd w:val="clear" w:color="auto" w:fill="FFFFFF"/>
        </w:rPr>
        <w:t>”, “</w:t>
      </w:r>
      <w:r w:rsidRPr="00A432DB">
        <w:rPr>
          <w:rFonts w:ascii="Garamond" w:hAnsi="Garamond" w:cstheme="minorHAnsi"/>
          <w:i/>
          <w:color w:val="212529"/>
          <w:sz w:val="28"/>
          <w:szCs w:val="28"/>
          <w:shd w:val="clear" w:color="auto" w:fill="FFFFFF"/>
        </w:rPr>
        <w:t>assicu</w:t>
      </w:r>
      <w:r w:rsidR="008C3F7E" w:rsidRPr="00A432DB">
        <w:rPr>
          <w:rFonts w:ascii="Garamond" w:hAnsi="Garamond" w:cstheme="minorHAnsi"/>
          <w:i/>
          <w:color w:val="212529"/>
          <w:sz w:val="28"/>
          <w:szCs w:val="28"/>
          <w:shd w:val="clear" w:color="auto" w:fill="FFFFFF"/>
        </w:rPr>
        <w:t>rando il recupero delle garanzie</w:t>
      </w:r>
      <w:r w:rsidRPr="00A432DB">
        <w:rPr>
          <w:rFonts w:ascii="Garamond" w:hAnsi="Garamond" w:cstheme="minorHAnsi"/>
          <w:i/>
          <w:color w:val="212529"/>
          <w:sz w:val="28"/>
          <w:szCs w:val="28"/>
          <w:shd w:val="clear" w:color="auto" w:fill="FFFFFF"/>
        </w:rPr>
        <w:t xml:space="preserve"> e la prevedibilità oggettiva dei possibili sviluppi </w:t>
      </w:r>
      <w:proofErr w:type="spellStart"/>
      <w:r w:rsidRPr="00A432DB">
        <w:rPr>
          <w:rFonts w:ascii="Garamond" w:hAnsi="Garamond" w:cstheme="minorHAnsi"/>
          <w:i/>
          <w:color w:val="212529"/>
          <w:sz w:val="28"/>
          <w:szCs w:val="28"/>
          <w:shd w:val="clear" w:color="auto" w:fill="FFFFFF"/>
        </w:rPr>
        <w:t>provvedimentali</w:t>
      </w:r>
      <w:proofErr w:type="spellEnd"/>
      <w:r w:rsidRPr="000F3F35">
        <w:rPr>
          <w:rFonts w:ascii="Garamond" w:hAnsi="Garamond" w:cstheme="minorHAnsi"/>
          <w:color w:val="212529"/>
          <w:sz w:val="28"/>
          <w:szCs w:val="28"/>
          <w:shd w:val="clear" w:color="auto" w:fill="FFFFFF"/>
        </w:rPr>
        <w:t>”, nonostante “l’opacità” della legge sostanziale di disciplina dei poteri regolatori</w:t>
      </w:r>
      <w:r w:rsidR="00D85C3C">
        <w:rPr>
          <w:rStyle w:val="Rimandonotaapidipagina"/>
          <w:rFonts w:ascii="Garamond" w:hAnsi="Garamond" w:cstheme="minorHAnsi"/>
          <w:color w:val="212529"/>
          <w:sz w:val="28"/>
          <w:szCs w:val="28"/>
          <w:shd w:val="clear" w:color="auto" w:fill="FFFFFF"/>
        </w:rPr>
        <w:footnoteReference w:id="17"/>
      </w:r>
      <w:r w:rsidRPr="000F3F35">
        <w:rPr>
          <w:rFonts w:ascii="Garamond" w:hAnsi="Garamond" w:cstheme="minorHAnsi"/>
          <w:color w:val="212529"/>
          <w:sz w:val="28"/>
          <w:szCs w:val="28"/>
          <w:shd w:val="clear" w:color="auto" w:fill="FFFFFF"/>
        </w:rPr>
        <w:t>.</w:t>
      </w:r>
    </w:p>
    <w:p w:rsidR="00D34BFC" w:rsidRPr="000F3F35" w:rsidRDefault="00D34BFC"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La valorizzazione della legalità procedimentale come strumento di compensazione della legalità sostanziale ha ricevuto  conferma anche dalla Corte costituzionale</w:t>
      </w:r>
      <w:r w:rsidRPr="000F3F35">
        <w:rPr>
          <w:rStyle w:val="Rimandonotaapidipagina"/>
          <w:rFonts w:ascii="Garamond" w:hAnsi="Garamond" w:cstheme="minorHAnsi"/>
          <w:color w:val="212529"/>
          <w:sz w:val="28"/>
          <w:szCs w:val="28"/>
          <w:shd w:val="clear" w:color="auto" w:fill="FFFFFF"/>
        </w:rPr>
        <w:footnoteReference w:id="18"/>
      </w:r>
      <w:r w:rsidRPr="000F3F35">
        <w:rPr>
          <w:rFonts w:ascii="Garamond" w:hAnsi="Garamond" w:cstheme="minorHAnsi"/>
          <w:color w:val="212529"/>
          <w:sz w:val="28"/>
          <w:szCs w:val="28"/>
          <w:shd w:val="clear" w:color="auto" w:fill="FFFFFF"/>
        </w:rPr>
        <w:t xml:space="preserve">  in un caso relativo alla legittimità costituzionale di una norma che attribuiva all'Autorità di regolazione dei trasporti il potere di imporre ai gestori delle infrastrutture e dei servizi regolati un contributo per il funzionamento della stessa Autorità.</w:t>
      </w:r>
    </w:p>
    <w:p w:rsidR="00D34BFC" w:rsidRPr="000F3F35" w:rsidRDefault="00D34BFC" w:rsidP="000F3F35">
      <w:pPr>
        <w:spacing w:line="360" w:lineRule="auto"/>
        <w:jc w:val="both"/>
        <w:rPr>
          <w:rFonts w:ascii="Garamond" w:hAnsi="Garamond" w:cstheme="minorHAnsi"/>
          <w:color w:val="212529"/>
          <w:sz w:val="28"/>
          <w:szCs w:val="28"/>
          <w:shd w:val="clear" w:color="auto" w:fill="FFFFFF"/>
        </w:rPr>
      </w:pPr>
      <w:proofErr w:type="gramStart"/>
      <w:r w:rsidRPr="000F3F35">
        <w:rPr>
          <w:rFonts w:ascii="Garamond" w:hAnsi="Garamond" w:cstheme="minorHAnsi"/>
          <w:color w:val="212529"/>
          <w:sz w:val="28"/>
          <w:szCs w:val="28"/>
          <w:shd w:val="clear" w:color="auto" w:fill="FFFFFF"/>
        </w:rPr>
        <w:t>E’</w:t>
      </w:r>
      <w:proofErr w:type="gramEnd"/>
      <w:r w:rsidRPr="000F3F35">
        <w:rPr>
          <w:rFonts w:ascii="Garamond" w:hAnsi="Garamond" w:cstheme="minorHAnsi"/>
          <w:color w:val="212529"/>
          <w:sz w:val="28"/>
          <w:szCs w:val="28"/>
          <w:shd w:val="clear" w:color="auto" w:fill="FFFFFF"/>
        </w:rPr>
        <w:t xml:space="preserve"> stato tuttavia osservato che </w:t>
      </w:r>
      <w:r w:rsidR="00E84E86" w:rsidRPr="000F3F35">
        <w:rPr>
          <w:rFonts w:ascii="Garamond" w:hAnsi="Garamond" w:cstheme="minorHAnsi"/>
          <w:color w:val="212529"/>
          <w:sz w:val="28"/>
          <w:szCs w:val="28"/>
          <w:shd w:val="clear" w:color="auto" w:fill="FFFFFF"/>
        </w:rPr>
        <w:t xml:space="preserve">la partecipazione ai procedimenti delle amministrazioni indipendenti non ha un contenuto molto diverso da (e comunque non più garantistico di) quello che talune leggi di settore riconoscono alla partecipazione nei procedimenti volti all'emanazione di atti generali. Se così è, </w:t>
      </w:r>
      <w:r w:rsidR="00D85C3C">
        <w:rPr>
          <w:rFonts w:ascii="Garamond" w:hAnsi="Garamond" w:cstheme="minorHAnsi"/>
          <w:color w:val="212529"/>
          <w:sz w:val="28"/>
          <w:szCs w:val="28"/>
          <w:shd w:val="clear" w:color="auto" w:fill="FFFFFF"/>
        </w:rPr>
        <w:t>sarebbe</w:t>
      </w:r>
      <w:r w:rsidR="00E84E86" w:rsidRPr="000F3F35">
        <w:rPr>
          <w:rFonts w:ascii="Garamond" w:hAnsi="Garamond" w:cstheme="minorHAnsi"/>
          <w:color w:val="212529"/>
          <w:sz w:val="28"/>
          <w:szCs w:val="28"/>
          <w:shd w:val="clear" w:color="auto" w:fill="FFFFFF"/>
        </w:rPr>
        <w:t xml:space="preserve"> difficile sostenere che la legalità </w:t>
      </w:r>
      <w:r w:rsidR="00E84E86" w:rsidRPr="000F3F35">
        <w:rPr>
          <w:rFonts w:ascii="Garamond" w:hAnsi="Garamond" w:cstheme="minorHAnsi"/>
          <w:color w:val="212529"/>
          <w:sz w:val="28"/>
          <w:szCs w:val="28"/>
          <w:shd w:val="clear" w:color="auto" w:fill="FFFFFF"/>
        </w:rPr>
        <w:lastRenderedPageBreak/>
        <w:t>procedurale possa compensare la caduta della legalità sostanziale o addirittura essere un fattore di legittimazione dal basso delle Autorità indipendenti</w:t>
      </w:r>
      <w:r w:rsidR="00C43AC9" w:rsidRPr="000F3F35">
        <w:rPr>
          <w:rStyle w:val="Rimandonotaapidipagina"/>
          <w:rFonts w:ascii="Garamond" w:hAnsi="Garamond" w:cstheme="minorHAnsi"/>
          <w:color w:val="212529"/>
          <w:sz w:val="28"/>
          <w:szCs w:val="28"/>
          <w:shd w:val="clear" w:color="auto" w:fill="FFFFFF"/>
        </w:rPr>
        <w:footnoteReference w:id="19"/>
      </w:r>
      <w:r w:rsidR="00E84E86" w:rsidRPr="000F3F35">
        <w:rPr>
          <w:rFonts w:ascii="Garamond" w:hAnsi="Garamond" w:cstheme="minorHAnsi"/>
          <w:color w:val="212529"/>
          <w:sz w:val="28"/>
          <w:szCs w:val="28"/>
          <w:shd w:val="clear" w:color="auto" w:fill="FFFFFF"/>
        </w:rPr>
        <w:t>.</w:t>
      </w:r>
    </w:p>
    <w:p w:rsidR="00EB55EB" w:rsidRPr="000F3F35" w:rsidRDefault="00EB55EB"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Anche nello specifico settore delle Autorità indipendenti si è quindi cercato di porre dei confini all’ampio spazio di intervento riconosciuto</w:t>
      </w:r>
      <w:r w:rsidR="005B24DD" w:rsidRPr="000F3F35">
        <w:rPr>
          <w:rFonts w:ascii="Garamond" w:hAnsi="Garamond" w:cstheme="minorHAnsi"/>
          <w:color w:val="212529"/>
          <w:sz w:val="28"/>
          <w:szCs w:val="28"/>
          <w:shd w:val="clear" w:color="auto" w:fill="FFFFFF"/>
        </w:rPr>
        <w:t xml:space="preserve"> alle stesse</w:t>
      </w:r>
      <w:r w:rsidR="00E84E86" w:rsidRPr="000F3F35">
        <w:rPr>
          <w:rFonts w:ascii="Garamond" w:hAnsi="Garamond" w:cstheme="minorHAnsi"/>
          <w:color w:val="212529"/>
          <w:sz w:val="28"/>
          <w:szCs w:val="28"/>
          <w:shd w:val="clear" w:color="auto" w:fill="FFFFFF"/>
        </w:rPr>
        <w:t xml:space="preserve"> laddove si faccia una applicazione incondizionata della teoria dei poteri impliciti</w:t>
      </w:r>
      <w:r w:rsidRPr="000F3F35">
        <w:rPr>
          <w:rFonts w:ascii="Garamond" w:hAnsi="Garamond" w:cstheme="minorHAnsi"/>
          <w:color w:val="212529"/>
          <w:sz w:val="28"/>
          <w:szCs w:val="28"/>
          <w:shd w:val="clear" w:color="auto" w:fill="FFFFFF"/>
        </w:rPr>
        <w:t>.</w:t>
      </w:r>
      <w:r w:rsidR="00C70A62" w:rsidRPr="000F3F35">
        <w:rPr>
          <w:rFonts w:ascii="Garamond" w:hAnsi="Garamond" w:cstheme="minorHAnsi"/>
          <w:color w:val="212529"/>
          <w:sz w:val="28"/>
          <w:szCs w:val="28"/>
          <w:shd w:val="clear" w:color="auto" w:fill="FFFFFF"/>
        </w:rPr>
        <w:t xml:space="preserve"> Si è cercato cioè di arginare la possibile deriva di una visione pan-finalistica che, in nome dello scopo tutelato, sovverta il sistema di gerarchia delle fonti del diritto.</w:t>
      </w:r>
    </w:p>
    <w:p w:rsidR="00411865" w:rsidRPr="000F3F35" w:rsidRDefault="00411865" w:rsidP="000F3F35">
      <w:pPr>
        <w:spacing w:line="360" w:lineRule="auto"/>
        <w:jc w:val="both"/>
        <w:rPr>
          <w:rFonts w:ascii="Garamond" w:hAnsi="Garamond" w:cstheme="minorHAnsi"/>
          <w:color w:val="212529"/>
          <w:sz w:val="28"/>
          <w:szCs w:val="28"/>
          <w:shd w:val="clear" w:color="auto" w:fill="FFFFFF"/>
        </w:rPr>
      </w:pPr>
      <w:r w:rsidRPr="00A77D0A">
        <w:rPr>
          <w:rFonts w:ascii="Garamond" w:hAnsi="Garamond" w:cstheme="minorHAnsi"/>
          <w:color w:val="212529"/>
          <w:sz w:val="28"/>
          <w:szCs w:val="28"/>
          <w:shd w:val="clear" w:color="auto" w:fill="FFFFFF"/>
        </w:rPr>
        <w:t xml:space="preserve">In termini generali va osservato che la norma attributiva del potere </w:t>
      </w:r>
      <w:proofErr w:type="spellStart"/>
      <w:r w:rsidRPr="00A77D0A">
        <w:rPr>
          <w:rFonts w:ascii="Garamond" w:hAnsi="Garamond" w:cstheme="minorHAnsi"/>
          <w:color w:val="212529"/>
          <w:sz w:val="28"/>
          <w:szCs w:val="28"/>
          <w:shd w:val="clear" w:color="auto" w:fill="FFFFFF"/>
        </w:rPr>
        <w:t>regolatorio</w:t>
      </w:r>
      <w:proofErr w:type="spellEnd"/>
      <w:r w:rsidRPr="00A77D0A">
        <w:rPr>
          <w:rFonts w:ascii="Garamond" w:hAnsi="Garamond" w:cstheme="minorHAnsi"/>
          <w:color w:val="212529"/>
          <w:sz w:val="28"/>
          <w:szCs w:val="28"/>
          <w:shd w:val="clear" w:color="auto" w:fill="FFFFFF"/>
        </w:rPr>
        <w:t xml:space="preserve"> non può essere generica con riferimento a un settore o materia, ma deve essere relativa a un oggetto specifico di regolazione all’interno della materia</w:t>
      </w:r>
      <w:r w:rsidR="00BE162C" w:rsidRPr="00A77D0A">
        <w:rPr>
          <w:rFonts w:ascii="Garamond" w:hAnsi="Garamond" w:cstheme="minorHAnsi"/>
          <w:color w:val="212529"/>
          <w:sz w:val="28"/>
          <w:szCs w:val="28"/>
          <w:shd w:val="clear" w:color="auto" w:fill="FFFFFF"/>
        </w:rPr>
        <w:t xml:space="preserve"> attribuita</w:t>
      </w:r>
      <w:r w:rsidRPr="00A77D0A">
        <w:rPr>
          <w:rFonts w:ascii="Garamond" w:hAnsi="Garamond" w:cstheme="minorHAnsi"/>
          <w:color w:val="212529"/>
          <w:sz w:val="28"/>
          <w:szCs w:val="28"/>
          <w:shd w:val="clear" w:color="auto" w:fill="FFFFFF"/>
        </w:rPr>
        <w:t>.</w:t>
      </w:r>
    </w:p>
    <w:p w:rsidR="00101144" w:rsidRPr="000F3F35" w:rsidRDefault="00101144"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G</w:t>
      </w:r>
      <w:r w:rsidR="00EB55EB" w:rsidRPr="000F3F35">
        <w:rPr>
          <w:rFonts w:ascii="Garamond" w:hAnsi="Garamond" w:cstheme="minorHAnsi"/>
          <w:color w:val="212529"/>
          <w:sz w:val="28"/>
          <w:szCs w:val="28"/>
          <w:shd w:val="clear" w:color="auto" w:fill="FFFFFF"/>
        </w:rPr>
        <w:t xml:space="preserve">li atti normativi delle autorità indipendenti </w:t>
      </w:r>
      <w:r w:rsidRPr="000F3F35">
        <w:rPr>
          <w:rFonts w:ascii="Garamond" w:hAnsi="Garamond" w:cstheme="minorHAnsi"/>
          <w:color w:val="212529"/>
          <w:sz w:val="28"/>
          <w:szCs w:val="28"/>
          <w:shd w:val="clear" w:color="auto" w:fill="FFFFFF"/>
        </w:rPr>
        <w:t>costituiscono manifestazione per eccellenza dei poteri regolatori delle Autorità indipendenti.</w:t>
      </w:r>
    </w:p>
    <w:p w:rsidR="00F47F8D" w:rsidRPr="000F3F35" w:rsidRDefault="00D839D7"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S</w:t>
      </w:r>
      <w:r w:rsidR="00EB55EB" w:rsidRPr="000F3F35">
        <w:rPr>
          <w:rFonts w:ascii="Garamond" w:hAnsi="Garamond" w:cstheme="minorHAnsi"/>
          <w:color w:val="212529"/>
          <w:sz w:val="28"/>
          <w:szCs w:val="28"/>
          <w:shd w:val="clear" w:color="auto" w:fill="FFFFFF"/>
        </w:rPr>
        <w:t xml:space="preserve">i ritiene che, se la legge </w:t>
      </w:r>
      <w:r w:rsidR="00A77D0A">
        <w:rPr>
          <w:rFonts w:ascii="Garamond" w:hAnsi="Garamond" w:cstheme="minorHAnsi"/>
          <w:color w:val="212529"/>
          <w:sz w:val="28"/>
          <w:szCs w:val="28"/>
          <w:shd w:val="clear" w:color="auto" w:fill="FFFFFF"/>
        </w:rPr>
        <w:t>-</w:t>
      </w:r>
      <w:r w:rsidR="00EB55EB" w:rsidRPr="000F3F35">
        <w:rPr>
          <w:rFonts w:ascii="Garamond" w:hAnsi="Garamond" w:cstheme="minorHAnsi"/>
          <w:color w:val="212529"/>
          <w:sz w:val="28"/>
          <w:szCs w:val="28"/>
          <w:shd w:val="clear" w:color="auto" w:fill="FFFFFF"/>
        </w:rPr>
        <w:t xml:space="preserve"> in quanto si limita a definire degli obiettiv</w:t>
      </w:r>
      <w:r w:rsidR="00525E88" w:rsidRPr="000F3F35">
        <w:rPr>
          <w:rFonts w:ascii="Garamond" w:hAnsi="Garamond" w:cstheme="minorHAnsi"/>
          <w:color w:val="212529"/>
          <w:sz w:val="28"/>
          <w:szCs w:val="28"/>
          <w:shd w:val="clear" w:color="auto" w:fill="FFFFFF"/>
        </w:rPr>
        <w:t xml:space="preserve">i </w:t>
      </w:r>
      <w:r w:rsidR="00A77D0A">
        <w:rPr>
          <w:rFonts w:ascii="Garamond" w:hAnsi="Garamond" w:cstheme="minorHAnsi"/>
          <w:color w:val="212529"/>
          <w:sz w:val="28"/>
          <w:szCs w:val="28"/>
          <w:shd w:val="clear" w:color="auto" w:fill="FFFFFF"/>
        </w:rPr>
        <w:t>-</w:t>
      </w:r>
      <w:r w:rsidR="00525E88" w:rsidRPr="000F3F35">
        <w:rPr>
          <w:rFonts w:ascii="Garamond" w:hAnsi="Garamond" w:cstheme="minorHAnsi"/>
          <w:color w:val="212529"/>
          <w:sz w:val="28"/>
          <w:szCs w:val="28"/>
          <w:shd w:val="clear" w:color="auto" w:fill="FFFFFF"/>
        </w:rPr>
        <w:t xml:space="preserve"> non può costituire un sufficiente riferimento</w:t>
      </w:r>
      <w:r w:rsidR="00EB55EB" w:rsidRPr="000F3F35">
        <w:rPr>
          <w:rFonts w:ascii="Garamond" w:hAnsi="Garamond" w:cstheme="minorHAnsi"/>
          <w:color w:val="212529"/>
          <w:sz w:val="28"/>
          <w:szCs w:val="28"/>
          <w:shd w:val="clear" w:color="auto" w:fill="FFFFFF"/>
        </w:rPr>
        <w:t xml:space="preserve">, i parametri di confronto debbano essere ricercati altrove, innanzitutto in una serie di altre fonti ricavabili dal sistema normativo nel suo complesso e idonee a contenere il regolamento entro la cornice della legalità. </w:t>
      </w:r>
    </w:p>
    <w:p w:rsidR="00EB55EB" w:rsidRPr="000F3F35" w:rsidRDefault="00A432DB" w:rsidP="000F3F35">
      <w:pPr>
        <w:spacing w:line="360" w:lineRule="auto"/>
        <w:jc w:val="both"/>
        <w:rPr>
          <w:rFonts w:ascii="Garamond" w:hAnsi="Garamond" w:cstheme="minorHAnsi"/>
          <w:color w:val="212529"/>
          <w:sz w:val="28"/>
          <w:szCs w:val="28"/>
          <w:shd w:val="clear" w:color="auto" w:fill="FFFFFF"/>
        </w:rPr>
      </w:pPr>
      <w:r>
        <w:rPr>
          <w:rFonts w:ascii="Garamond" w:hAnsi="Garamond" w:cstheme="minorHAnsi"/>
          <w:color w:val="212529"/>
          <w:sz w:val="28"/>
          <w:szCs w:val="28"/>
          <w:shd w:val="clear" w:color="auto" w:fill="FFFFFF"/>
        </w:rPr>
        <w:t>Rientrano in queste fonti</w:t>
      </w:r>
      <w:r w:rsidR="00EB55EB" w:rsidRPr="000F3F35">
        <w:rPr>
          <w:rFonts w:ascii="Garamond" w:hAnsi="Garamond" w:cstheme="minorHAnsi"/>
          <w:color w:val="212529"/>
          <w:sz w:val="28"/>
          <w:szCs w:val="28"/>
          <w:shd w:val="clear" w:color="auto" w:fill="FFFFFF"/>
        </w:rPr>
        <w:t xml:space="preserve"> i principi generali</w:t>
      </w:r>
      <w:r w:rsidR="00EB55EB" w:rsidRPr="000F3F35">
        <w:rPr>
          <w:rFonts w:ascii="Garamond" w:hAnsi="Garamond"/>
          <w:sz w:val="28"/>
          <w:szCs w:val="28"/>
        </w:rPr>
        <w:t xml:space="preserve"> </w:t>
      </w:r>
      <w:r w:rsidR="00EB55EB" w:rsidRPr="000F3F35">
        <w:rPr>
          <w:rFonts w:ascii="Garamond" w:hAnsi="Garamond" w:cstheme="minorHAnsi"/>
          <w:color w:val="212529"/>
          <w:sz w:val="28"/>
          <w:szCs w:val="28"/>
          <w:shd w:val="clear" w:color="auto" w:fill="FFFFFF"/>
        </w:rPr>
        <w:t>del diritto e dell'azione amministrativa, il rispetto di poteri legislativamente assegnati ad altri soggetti</w:t>
      </w:r>
      <w:r w:rsidR="00A77D0A">
        <w:rPr>
          <w:rStyle w:val="Rimandonotaapidipagina"/>
          <w:rFonts w:ascii="Garamond" w:hAnsi="Garamond" w:cstheme="minorHAnsi"/>
          <w:color w:val="212529"/>
          <w:sz w:val="28"/>
          <w:szCs w:val="28"/>
          <w:shd w:val="clear" w:color="auto" w:fill="FFFFFF"/>
        </w:rPr>
        <w:footnoteReference w:id="20"/>
      </w:r>
      <w:r w:rsidR="00EB55EB" w:rsidRPr="000F3F35">
        <w:rPr>
          <w:rFonts w:ascii="Garamond" w:hAnsi="Garamond" w:cstheme="minorHAnsi"/>
          <w:color w:val="212529"/>
          <w:sz w:val="28"/>
          <w:szCs w:val="28"/>
          <w:shd w:val="clear" w:color="auto" w:fill="FFFFFF"/>
        </w:rPr>
        <w:t>, i principi e i criteri della materia desumibili anche dalla normativa europea, le regole della tecnica del settore in cui opera l'Autorità.</w:t>
      </w:r>
    </w:p>
    <w:p w:rsidR="00F23EB8" w:rsidRPr="000F3F35" w:rsidRDefault="007F3DED"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 xml:space="preserve">Perché il sistema complessivo sia rispettato in ambiti in cui il legislatore, e prima ancora la Costituzione, ha delineato un quadro di fonti multilivello è necessario che il canone interpretativo finalistico dei poteri assegnati alle Autorità indipendenti sia utilizzato con estrema cautela. </w:t>
      </w:r>
    </w:p>
    <w:p w:rsidR="007F3DED" w:rsidRPr="000F3F35" w:rsidRDefault="007F3DED"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lastRenderedPageBreak/>
        <w:t xml:space="preserve">Il rischio è quello che la </w:t>
      </w:r>
      <w:r w:rsidRPr="00A77D0A">
        <w:rPr>
          <w:rFonts w:ascii="Garamond" w:hAnsi="Garamond" w:cstheme="minorHAnsi"/>
          <w:i/>
          <w:color w:val="212529"/>
          <w:sz w:val="28"/>
          <w:szCs w:val="28"/>
          <w:shd w:val="clear" w:color="auto" w:fill="FFFFFF"/>
        </w:rPr>
        <w:t xml:space="preserve">vis </w:t>
      </w:r>
      <w:r w:rsidRPr="000F3F35">
        <w:rPr>
          <w:rFonts w:ascii="Garamond" w:hAnsi="Garamond" w:cstheme="minorHAnsi"/>
          <w:color w:val="212529"/>
          <w:sz w:val="28"/>
          <w:szCs w:val="28"/>
          <w:shd w:val="clear" w:color="auto" w:fill="FFFFFF"/>
        </w:rPr>
        <w:t xml:space="preserve">espansiva dei poteri regolatori assegnati alle Autorità sovverta il sistema delle fonti, concretando una violazione del principio di legalità che non trova giustificazione neppure nella </w:t>
      </w:r>
      <w:r w:rsidRPr="00A77D0A">
        <w:rPr>
          <w:rFonts w:ascii="Garamond" w:hAnsi="Garamond" w:cstheme="minorHAnsi"/>
          <w:i/>
          <w:color w:val="212529"/>
          <w:sz w:val="28"/>
          <w:szCs w:val="28"/>
          <w:shd w:val="clear" w:color="auto" w:fill="FFFFFF"/>
        </w:rPr>
        <w:t>ratio</w:t>
      </w:r>
      <w:r w:rsidRPr="000F3F35">
        <w:rPr>
          <w:rFonts w:ascii="Garamond" w:hAnsi="Garamond" w:cstheme="minorHAnsi"/>
          <w:color w:val="212529"/>
          <w:sz w:val="28"/>
          <w:szCs w:val="28"/>
          <w:shd w:val="clear" w:color="auto" w:fill="FFFFFF"/>
        </w:rPr>
        <w:t xml:space="preserve"> sottesa all’istituzione delle Autorità stesse.</w:t>
      </w:r>
    </w:p>
    <w:p w:rsidR="007F3DED" w:rsidRPr="000F3F35" w:rsidRDefault="007F3DED"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 xml:space="preserve">In altri termini laddove il legislatore abbia regolato il sistema di riparto di poteri </w:t>
      </w:r>
      <w:r w:rsidR="00083D08" w:rsidRPr="000F3F35">
        <w:rPr>
          <w:rFonts w:ascii="Garamond" w:hAnsi="Garamond" w:cstheme="minorHAnsi"/>
          <w:color w:val="212529"/>
          <w:sz w:val="28"/>
          <w:szCs w:val="28"/>
          <w:shd w:val="clear" w:color="auto" w:fill="FFFFFF"/>
        </w:rPr>
        <w:t xml:space="preserve">tra diversi soggetti pubblici (come nel caso della gestione dei rifiuti, in cui, in forza della competenza esclusiva prevista dall’art. 117 comma 2 </w:t>
      </w:r>
      <w:proofErr w:type="spellStart"/>
      <w:r w:rsidR="00083D08" w:rsidRPr="000F3F35">
        <w:rPr>
          <w:rFonts w:ascii="Garamond" w:hAnsi="Garamond" w:cstheme="minorHAnsi"/>
          <w:color w:val="212529"/>
          <w:sz w:val="28"/>
          <w:szCs w:val="28"/>
          <w:shd w:val="clear" w:color="auto" w:fill="FFFFFF"/>
        </w:rPr>
        <w:t>lett</w:t>
      </w:r>
      <w:proofErr w:type="spellEnd"/>
      <w:r w:rsidR="00083D08" w:rsidRPr="000F3F35">
        <w:rPr>
          <w:rFonts w:ascii="Garamond" w:hAnsi="Garamond" w:cstheme="minorHAnsi"/>
          <w:color w:val="212529"/>
          <w:sz w:val="28"/>
          <w:szCs w:val="28"/>
          <w:shd w:val="clear" w:color="auto" w:fill="FFFFFF"/>
        </w:rPr>
        <w:t xml:space="preserve">. s) </w:t>
      </w:r>
      <w:proofErr w:type="spellStart"/>
      <w:r w:rsidR="00083D08" w:rsidRPr="000F3F35">
        <w:rPr>
          <w:rFonts w:ascii="Garamond" w:hAnsi="Garamond" w:cstheme="minorHAnsi"/>
          <w:color w:val="212529"/>
          <w:sz w:val="28"/>
          <w:szCs w:val="28"/>
          <w:shd w:val="clear" w:color="auto" w:fill="FFFFFF"/>
        </w:rPr>
        <w:t>Cost</w:t>
      </w:r>
      <w:proofErr w:type="spellEnd"/>
      <w:r w:rsidR="00083D08" w:rsidRPr="000F3F35">
        <w:rPr>
          <w:rFonts w:ascii="Garamond" w:hAnsi="Garamond" w:cstheme="minorHAnsi"/>
          <w:color w:val="212529"/>
          <w:sz w:val="28"/>
          <w:szCs w:val="28"/>
          <w:shd w:val="clear" w:color="auto" w:fill="FFFFFF"/>
        </w:rPr>
        <w:t>., solo il legislatore nazionale è competente a definire l'organizzazione delle corrispondenti funzioni amministrative</w:t>
      </w:r>
      <w:r w:rsidR="00EC4B7C" w:rsidRPr="000F3F35">
        <w:rPr>
          <w:rFonts w:ascii="Garamond" w:hAnsi="Garamond" w:cstheme="minorHAnsi"/>
          <w:color w:val="212529"/>
          <w:sz w:val="28"/>
          <w:szCs w:val="28"/>
          <w:shd w:val="clear" w:color="auto" w:fill="FFFFFF"/>
        </w:rPr>
        <w:t xml:space="preserve">) il rispetto pieno del principio di legalità non può venir meno. </w:t>
      </w:r>
      <w:r w:rsidR="00083D08" w:rsidRPr="000F3F35">
        <w:rPr>
          <w:rFonts w:ascii="Garamond" w:hAnsi="Garamond" w:cstheme="minorHAnsi"/>
          <w:color w:val="212529"/>
          <w:sz w:val="28"/>
          <w:szCs w:val="28"/>
          <w:shd w:val="clear" w:color="auto" w:fill="FFFFFF"/>
        </w:rPr>
        <w:t xml:space="preserve"> </w:t>
      </w:r>
      <w:r w:rsidRPr="000F3F35">
        <w:rPr>
          <w:rFonts w:ascii="Garamond" w:hAnsi="Garamond" w:cstheme="minorHAnsi"/>
          <w:color w:val="212529"/>
          <w:sz w:val="28"/>
          <w:szCs w:val="28"/>
          <w:shd w:val="clear" w:color="auto" w:fill="FFFFFF"/>
        </w:rPr>
        <w:t xml:space="preserve"> </w:t>
      </w:r>
    </w:p>
    <w:p w:rsidR="00DF7DCB" w:rsidRPr="000F3F35" w:rsidRDefault="00D51222" w:rsidP="000F3F35">
      <w:pPr>
        <w:spacing w:line="360" w:lineRule="auto"/>
        <w:jc w:val="both"/>
        <w:rPr>
          <w:rFonts w:ascii="Garamond" w:hAnsi="Garamond" w:cstheme="minorHAnsi"/>
          <w:color w:val="212529"/>
          <w:sz w:val="28"/>
          <w:szCs w:val="28"/>
          <w:shd w:val="clear" w:color="auto" w:fill="FFFFFF"/>
        </w:rPr>
      </w:pPr>
      <w:r w:rsidRPr="005645C9">
        <w:rPr>
          <w:rFonts w:ascii="Garamond" w:hAnsi="Garamond" w:cstheme="minorHAnsi"/>
          <w:color w:val="212529"/>
          <w:sz w:val="28"/>
          <w:szCs w:val="28"/>
          <w:shd w:val="clear" w:color="auto" w:fill="FFFFFF"/>
        </w:rPr>
        <w:t xml:space="preserve">Deve darsi conto che di recente </w:t>
      </w:r>
      <w:r w:rsidR="00DF7DCB" w:rsidRPr="005645C9">
        <w:rPr>
          <w:rFonts w:ascii="Garamond" w:hAnsi="Garamond" w:cstheme="minorHAnsi"/>
          <w:color w:val="212529"/>
          <w:sz w:val="28"/>
          <w:szCs w:val="28"/>
          <w:shd w:val="clear" w:color="auto" w:fill="FFFFFF"/>
        </w:rPr>
        <w:t>la giurisprudenza</w:t>
      </w:r>
      <w:r w:rsidR="00DF7DCB" w:rsidRPr="000F3F35">
        <w:rPr>
          <w:rStyle w:val="Rimandonotaapidipagina"/>
          <w:rFonts w:ascii="Garamond" w:hAnsi="Garamond" w:cstheme="minorHAnsi"/>
          <w:color w:val="212529"/>
          <w:sz w:val="28"/>
          <w:szCs w:val="28"/>
          <w:shd w:val="clear" w:color="auto" w:fill="FFFFFF"/>
        </w:rPr>
        <w:footnoteReference w:id="21"/>
      </w:r>
      <w:r w:rsidR="00A77D0A">
        <w:rPr>
          <w:rFonts w:ascii="Garamond" w:hAnsi="Garamond" w:cstheme="minorHAnsi"/>
          <w:color w:val="212529"/>
          <w:sz w:val="28"/>
          <w:szCs w:val="28"/>
          <w:shd w:val="clear" w:color="auto" w:fill="FFFFFF"/>
        </w:rPr>
        <w:t xml:space="preserve"> -</w:t>
      </w:r>
      <w:r w:rsidRPr="000F3F35">
        <w:rPr>
          <w:rFonts w:ascii="Garamond" w:hAnsi="Garamond" w:cstheme="minorHAnsi"/>
          <w:color w:val="212529"/>
          <w:sz w:val="28"/>
          <w:szCs w:val="28"/>
          <w:shd w:val="clear" w:color="auto" w:fill="FFFFFF"/>
        </w:rPr>
        <w:t xml:space="preserve"> proprio in relazione alla delibera ARERA </w:t>
      </w:r>
      <w:r w:rsidR="00A77D0A">
        <w:rPr>
          <w:rFonts w:ascii="Garamond" w:hAnsi="Garamond" w:cstheme="minorHAnsi"/>
          <w:color w:val="212529"/>
          <w:sz w:val="28"/>
          <w:szCs w:val="28"/>
          <w:shd w:val="clear" w:color="auto" w:fill="FFFFFF"/>
        </w:rPr>
        <w:t xml:space="preserve">n. 363/2021 </w:t>
      </w:r>
      <w:r w:rsidRPr="000F3F35">
        <w:rPr>
          <w:rFonts w:ascii="Garamond" w:hAnsi="Garamond" w:cstheme="minorHAnsi"/>
          <w:color w:val="212529"/>
          <w:sz w:val="28"/>
          <w:szCs w:val="28"/>
          <w:shd w:val="clear" w:color="auto" w:fill="FFFFFF"/>
        </w:rPr>
        <w:t>su</w:t>
      </w:r>
      <w:r w:rsidR="00A77D0A">
        <w:rPr>
          <w:rFonts w:ascii="Garamond" w:hAnsi="Garamond" w:cstheme="minorHAnsi"/>
          <w:color w:val="212529"/>
          <w:sz w:val="28"/>
          <w:szCs w:val="28"/>
          <w:shd w:val="clear" w:color="auto" w:fill="FFFFFF"/>
        </w:rPr>
        <w:t>l</w:t>
      </w:r>
      <w:r w:rsidRPr="000F3F35">
        <w:rPr>
          <w:rFonts w:ascii="Garamond" w:hAnsi="Garamond" w:cstheme="minorHAnsi"/>
          <w:color w:val="212529"/>
          <w:sz w:val="28"/>
          <w:szCs w:val="28"/>
          <w:shd w:val="clear" w:color="auto" w:fill="FFFFFF"/>
        </w:rPr>
        <w:t xml:space="preserve"> Metodo tariffario Rifiuti per il secondo periodo </w:t>
      </w:r>
      <w:proofErr w:type="spellStart"/>
      <w:r w:rsidRPr="000F3F35">
        <w:rPr>
          <w:rFonts w:ascii="Garamond" w:hAnsi="Garamond" w:cstheme="minorHAnsi"/>
          <w:color w:val="212529"/>
          <w:sz w:val="28"/>
          <w:szCs w:val="28"/>
          <w:shd w:val="clear" w:color="auto" w:fill="FFFFFF"/>
        </w:rPr>
        <w:t>regolatorio</w:t>
      </w:r>
      <w:proofErr w:type="spellEnd"/>
      <w:r w:rsidRPr="000F3F35">
        <w:rPr>
          <w:rFonts w:ascii="Garamond" w:hAnsi="Garamond" w:cstheme="minorHAnsi"/>
          <w:color w:val="212529"/>
          <w:sz w:val="28"/>
          <w:szCs w:val="28"/>
          <w:shd w:val="clear" w:color="auto" w:fill="FFFFFF"/>
        </w:rPr>
        <w:t xml:space="preserve"> -  ha sottoposto a revisione critica l’orientamento secondo cui l’esercizio del potere di regolazione demandato alle</w:t>
      </w:r>
      <w:r w:rsidR="00DF7DCB" w:rsidRPr="000F3F35">
        <w:rPr>
          <w:rFonts w:ascii="Garamond" w:hAnsi="Garamond" w:cstheme="minorHAnsi"/>
          <w:color w:val="212529"/>
          <w:sz w:val="28"/>
          <w:szCs w:val="28"/>
          <w:shd w:val="clear" w:color="auto" w:fill="FFFFFF"/>
        </w:rPr>
        <w:t xml:space="preserve"> </w:t>
      </w:r>
      <w:r w:rsidRPr="000F3F35">
        <w:rPr>
          <w:rFonts w:ascii="Garamond" w:hAnsi="Garamond" w:cstheme="minorHAnsi"/>
          <w:color w:val="212529"/>
          <w:sz w:val="28"/>
          <w:szCs w:val="28"/>
          <w:shd w:val="clear" w:color="auto" w:fill="FFFFFF"/>
        </w:rPr>
        <w:t>Autorit</w:t>
      </w:r>
      <w:r w:rsidR="00DF7DCB" w:rsidRPr="000F3F35">
        <w:rPr>
          <w:rFonts w:ascii="Garamond" w:hAnsi="Garamond" w:cstheme="minorHAnsi"/>
          <w:color w:val="212529"/>
          <w:sz w:val="28"/>
          <w:szCs w:val="28"/>
          <w:shd w:val="clear" w:color="auto" w:fill="FFFFFF"/>
        </w:rPr>
        <w:t>à</w:t>
      </w:r>
      <w:r w:rsidRPr="000F3F35">
        <w:rPr>
          <w:rFonts w:ascii="Garamond" w:hAnsi="Garamond" w:cstheme="minorHAnsi"/>
          <w:color w:val="212529"/>
          <w:sz w:val="28"/>
          <w:szCs w:val="28"/>
          <w:shd w:val="clear" w:color="auto" w:fill="FFFFFF"/>
        </w:rPr>
        <w:t xml:space="preserve"> </w:t>
      </w:r>
      <w:r w:rsidR="005645C9">
        <w:rPr>
          <w:rFonts w:ascii="Garamond" w:hAnsi="Garamond" w:cstheme="minorHAnsi"/>
          <w:color w:val="212529"/>
          <w:sz w:val="28"/>
          <w:szCs w:val="28"/>
          <w:shd w:val="clear" w:color="auto" w:fill="FFFFFF"/>
        </w:rPr>
        <w:t>a</w:t>
      </w:r>
      <w:r w:rsidRPr="000F3F35">
        <w:rPr>
          <w:rFonts w:ascii="Garamond" w:hAnsi="Garamond" w:cstheme="minorHAnsi"/>
          <w:color w:val="212529"/>
          <w:sz w:val="28"/>
          <w:szCs w:val="28"/>
          <w:shd w:val="clear" w:color="auto" w:fill="FFFFFF"/>
        </w:rPr>
        <w:t xml:space="preserve">mministrative </w:t>
      </w:r>
      <w:r w:rsidR="005645C9">
        <w:rPr>
          <w:rFonts w:ascii="Garamond" w:hAnsi="Garamond" w:cstheme="minorHAnsi"/>
          <w:color w:val="212529"/>
          <w:sz w:val="28"/>
          <w:szCs w:val="28"/>
          <w:shd w:val="clear" w:color="auto" w:fill="FFFFFF"/>
        </w:rPr>
        <w:t>i</w:t>
      </w:r>
      <w:r w:rsidRPr="000F3F35">
        <w:rPr>
          <w:rFonts w:ascii="Garamond" w:hAnsi="Garamond" w:cstheme="minorHAnsi"/>
          <w:color w:val="212529"/>
          <w:sz w:val="28"/>
          <w:szCs w:val="28"/>
          <w:shd w:val="clear" w:color="auto" w:fill="FFFFFF"/>
        </w:rPr>
        <w:t>ndipendenti, laddove si traduca</w:t>
      </w:r>
      <w:r w:rsidR="00DF7DCB" w:rsidRPr="000F3F35">
        <w:rPr>
          <w:rFonts w:ascii="Garamond" w:hAnsi="Garamond" w:cstheme="minorHAnsi"/>
          <w:color w:val="212529"/>
          <w:sz w:val="28"/>
          <w:szCs w:val="28"/>
          <w:shd w:val="clear" w:color="auto" w:fill="FFFFFF"/>
        </w:rPr>
        <w:t xml:space="preserve"> </w:t>
      </w:r>
      <w:r w:rsidRPr="000F3F35">
        <w:rPr>
          <w:rFonts w:ascii="Garamond" w:hAnsi="Garamond" w:cstheme="minorHAnsi"/>
          <w:color w:val="212529"/>
          <w:sz w:val="28"/>
          <w:szCs w:val="28"/>
          <w:shd w:val="clear" w:color="auto" w:fill="FFFFFF"/>
        </w:rPr>
        <w:t>in un’attenuazione del principio di legalit</w:t>
      </w:r>
      <w:r w:rsidR="00DF7DCB" w:rsidRPr="000F3F35">
        <w:rPr>
          <w:rFonts w:ascii="Garamond" w:hAnsi="Garamond" w:cstheme="minorHAnsi"/>
          <w:color w:val="212529"/>
          <w:sz w:val="28"/>
          <w:szCs w:val="28"/>
          <w:shd w:val="clear" w:color="auto" w:fill="FFFFFF"/>
        </w:rPr>
        <w:t>à</w:t>
      </w:r>
      <w:r w:rsidR="007F3DED" w:rsidRPr="000F3F35">
        <w:rPr>
          <w:rFonts w:ascii="Garamond" w:hAnsi="Garamond" w:cstheme="minorHAnsi"/>
          <w:color w:val="212529"/>
          <w:sz w:val="28"/>
          <w:szCs w:val="28"/>
          <w:shd w:val="clear" w:color="auto" w:fill="FFFFFF"/>
        </w:rPr>
        <w:t xml:space="preserve"> in senso formal</w:t>
      </w:r>
      <w:r w:rsidRPr="000F3F35">
        <w:rPr>
          <w:rFonts w:ascii="Garamond" w:hAnsi="Garamond" w:cstheme="minorHAnsi"/>
          <w:color w:val="212529"/>
          <w:sz w:val="28"/>
          <w:szCs w:val="28"/>
          <w:shd w:val="clear" w:color="auto" w:fill="FFFFFF"/>
        </w:rPr>
        <w:t>e, potrebbe in qualche modo essere giustificato attraverso</w:t>
      </w:r>
      <w:r w:rsidR="00DF7DCB" w:rsidRPr="000F3F35">
        <w:rPr>
          <w:rFonts w:ascii="Garamond" w:hAnsi="Garamond" w:cstheme="minorHAnsi"/>
          <w:color w:val="212529"/>
          <w:sz w:val="28"/>
          <w:szCs w:val="28"/>
          <w:shd w:val="clear" w:color="auto" w:fill="FFFFFF"/>
        </w:rPr>
        <w:t xml:space="preserve"> </w:t>
      </w:r>
      <w:r w:rsidRPr="000F3F35">
        <w:rPr>
          <w:rFonts w:ascii="Garamond" w:hAnsi="Garamond" w:cstheme="minorHAnsi"/>
          <w:color w:val="212529"/>
          <w:sz w:val="28"/>
          <w:szCs w:val="28"/>
          <w:shd w:val="clear" w:color="auto" w:fill="FFFFFF"/>
        </w:rPr>
        <w:t>forme di rafforzamento del principio di legalit</w:t>
      </w:r>
      <w:r w:rsidR="00DF7DCB" w:rsidRPr="000F3F35">
        <w:rPr>
          <w:rFonts w:ascii="Garamond" w:hAnsi="Garamond" w:cstheme="minorHAnsi"/>
          <w:color w:val="212529"/>
          <w:sz w:val="28"/>
          <w:szCs w:val="28"/>
          <w:shd w:val="clear" w:color="auto" w:fill="FFFFFF"/>
        </w:rPr>
        <w:t>à</w:t>
      </w:r>
      <w:r w:rsidRPr="000F3F35">
        <w:rPr>
          <w:rFonts w:ascii="Garamond" w:hAnsi="Garamond" w:cstheme="minorHAnsi"/>
          <w:color w:val="212529"/>
          <w:sz w:val="28"/>
          <w:szCs w:val="28"/>
          <w:shd w:val="clear" w:color="auto" w:fill="FFFFFF"/>
        </w:rPr>
        <w:t xml:space="preserve"> in senso</w:t>
      </w:r>
      <w:r w:rsidR="00DF7DCB" w:rsidRPr="000F3F35">
        <w:rPr>
          <w:rFonts w:ascii="Garamond" w:hAnsi="Garamond" w:cstheme="minorHAnsi"/>
          <w:color w:val="212529"/>
          <w:sz w:val="28"/>
          <w:szCs w:val="28"/>
          <w:shd w:val="clear" w:color="auto" w:fill="FFFFFF"/>
        </w:rPr>
        <w:t xml:space="preserve"> </w:t>
      </w:r>
      <w:r w:rsidRPr="000F3F35">
        <w:rPr>
          <w:rFonts w:ascii="Garamond" w:hAnsi="Garamond" w:cstheme="minorHAnsi"/>
          <w:color w:val="212529"/>
          <w:sz w:val="28"/>
          <w:szCs w:val="28"/>
          <w:shd w:val="clear" w:color="auto" w:fill="FFFFFF"/>
        </w:rPr>
        <w:t>procedimentale (in particolare, attraverso forme di consultazione pubblica).</w:t>
      </w:r>
      <w:r w:rsidR="00DF7DCB" w:rsidRPr="000F3F35">
        <w:rPr>
          <w:rFonts w:ascii="Garamond" w:hAnsi="Garamond" w:cstheme="minorHAnsi"/>
          <w:color w:val="212529"/>
          <w:sz w:val="28"/>
          <w:szCs w:val="28"/>
          <w:shd w:val="clear" w:color="auto" w:fill="FFFFFF"/>
        </w:rPr>
        <w:t xml:space="preserve"> </w:t>
      </w:r>
    </w:p>
    <w:p w:rsidR="00DF7DCB" w:rsidRPr="000F3F35" w:rsidRDefault="00632D02"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L</w:t>
      </w:r>
      <w:r w:rsidR="00DF7DCB" w:rsidRPr="000F3F35">
        <w:rPr>
          <w:rFonts w:ascii="Garamond" w:hAnsi="Garamond" w:cstheme="minorHAnsi"/>
          <w:color w:val="212529"/>
          <w:sz w:val="28"/>
          <w:szCs w:val="28"/>
          <w:shd w:val="clear" w:color="auto" w:fill="FFFFFF"/>
        </w:rPr>
        <w:t>’attività di regolazione da parte delle A</w:t>
      </w:r>
      <w:r w:rsidRPr="000F3F35">
        <w:rPr>
          <w:rFonts w:ascii="Garamond" w:hAnsi="Garamond" w:cstheme="minorHAnsi"/>
          <w:color w:val="212529"/>
          <w:sz w:val="28"/>
          <w:szCs w:val="28"/>
          <w:shd w:val="clear" w:color="auto" w:fill="FFFFFF"/>
        </w:rPr>
        <w:t>utorità indipendenti</w:t>
      </w:r>
      <w:r w:rsidR="00DF7DCB" w:rsidRPr="000F3F35">
        <w:rPr>
          <w:rFonts w:ascii="Garamond" w:hAnsi="Garamond" w:cstheme="minorHAnsi"/>
          <w:color w:val="212529"/>
          <w:sz w:val="28"/>
          <w:szCs w:val="28"/>
          <w:shd w:val="clear" w:color="auto" w:fill="FFFFFF"/>
        </w:rPr>
        <w:t xml:space="preserve"> può, s</w:t>
      </w:r>
      <w:r w:rsidRPr="000F3F35">
        <w:rPr>
          <w:rFonts w:ascii="Garamond" w:hAnsi="Garamond" w:cstheme="minorHAnsi"/>
          <w:color w:val="212529"/>
          <w:sz w:val="28"/>
          <w:szCs w:val="28"/>
          <w:shd w:val="clear" w:color="auto" w:fill="FFFFFF"/>
        </w:rPr>
        <w:t>ì</w:t>
      </w:r>
      <w:r w:rsidR="00DF7DCB" w:rsidRPr="000F3F35">
        <w:rPr>
          <w:rFonts w:ascii="Garamond" w:hAnsi="Garamond" w:cstheme="minorHAnsi"/>
          <w:color w:val="212529"/>
          <w:sz w:val="28"/>
          <w:szCs w:val="28"/>
          <w:shd w:val="clear" w:color="auto" w:fill="FFFFFF"/>
        </w:rPr>
        <w:t>, comportare una qualche forma di modulazione del principio di legalità, ma non può invece determinare una sua integrale deroga.</w:t>
      </w:r>
    </w:p>
    <w:p w:rsidR="00DF7DCB" w:rsidRPr="000F3F35" w:rsidRDefault="00DF7DCB"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In particolare, al di fuori degli apprezzamenti di ordine tecnico-economico (tipicamente demandati alle A</w:t>
      </w:r>
      <w:r w:rsidR="005645C9">
        <w:rPr>
          <w:rFonts w:ascii="Garamond" w:hAnsi="Garamond" w:cstheme="minorHAnsi"/>
          <w:color w:val="212529"/>
          <w:sz w:val="28"/>
          <w:szCs w:val="28"/>
          <w:shd w:val="clear" w:color="auto" w:fill="FFFFFF"/>
        </w:rPr>
        <w:t>utorità</w:t>
      </w:r>
      <w:r w:rsidRPr="000F3F35">
        <w:rPr>
          <w:rFonts w:ascii="Garamond" w:hAnsi="Garamond" w:cstheme="minorHAnsi"/>
          <w:color w:val="212529"/>
          <w:sz w:val="28"/>
          <w:szCs w:val="28"/>
          <w:shd w:val="clear" w:color="auto" w:fill="FFFFFF"/>
        </w:rPr>
        <w:t>), le funzioni che comportino invece scelte distributive o siano volte alla realizzazione di ‘‘valori’’ extra-mercatali, richiedono un mandato espresso del legislatore.</w:t>
      </w:r>
    </w:p>
    <w:p w:rsidR="00DF7DCB" w:rsidRPr="000F3F35" w:rsidRDefault="00DF7DCB"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Del resto il deficit di legalità sostanziale che tipicamente caratterizza le A</w:t>
      </w:r>
      <w:r w:rsidR="005645C9">
        <w:rPr>
          <w:rFonts w:ascii="Garamond" w:hAnsi="Garamond" w:cstheme="minorHAnsi"/>
          <w:color w:val="212529"/>
          <w:sz w:val="28"/>
          <w:szCs w:val="28"/>
          <w:shd w:val="clear" w:color="auto" w:fill="FFFFFF"/>
        </w:rPr>
        <w:t xml:space="preserve">utorità </w:t>
      </w:r>
      <w:r w:rsidRPr="000F3F35">
        <w:rPr>
          <w:rFonts w:ascii="Garamond" w:hAnsi="Garamond" w:cstheme="minorHAnsi"/>
          <w:color w:val="212529"/>
          <w:sz w:val="28"/>
          <w:szCs w:val="28"/>
          <w:shd w:val="clear" w:color="auto" w:fill="FFFFFF"/>
        </w:rPr>
        <w:t>non può essere ‘‘compensato’’ da una declinazione ‘‘procedurale’’ del principio di legalità, e neppure può essere in qualche misura ‘‘aggirato’’ attraverso il ricorso alla teoria dei ‘poteri impliciti’.</w:t>
      </w:r>
    </w:p>
    <w:p w:rsidR="005645C9" w:rsidRDefault="005645C9" w:rsidP="000F3F35">
      <w:pPr>
        <w:spacing w:line="360" w:lineRule="auto"/>
        <w:jc w:val="both"/>
        <w:rPr>
          <w:rFonts w:ascii="Garamond" w:hAnsi="Garamond" w:cstheme="minorHAnsi"/>
          <w:color w:val="212529"/>
          <w:sz w:val="28"/>
          <w:szCs w:val="28"/>
          <w:shd w:val="clear" w:color="auto" w:fill="FFFFFF"/>
        </w:rPr>
      </w:pPr>
      <w:r>
        <w:rPr>
          <w:rFonts w:ascii="Garamond" w:hAnsi="Garamond" w:cstheme="minorHAnsi"/>
          <w:color w:val="212529"/>
          <w:sz w:val="28"/>
          <w:szCs w:val="28"/>
          <w:shd w:val="clear" w:color="auto" w:fill="FFFFFF"/>
        </w:rPr>
        <w:lastRenderedPageBreak/>
        <w:t>Questo quanto agli atti normativi o di natura generale adottati dalle Autorità.</w:t>
      </w:r>
    </w:p>
    <w:p w:rsidR="00EB55EB" w:rsidRPr="000F3F35" w:rsidRDefault="005B24DD"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 xml:space="preserve">Con riferimento, invece, all’esercizio di poteri </w:t>
      </w:r>
      <w:proofErr w:type="spellStart"/>
      <w:r w:rsidRPr="000F3F35">
        <w:rPr>
          <w:rFonts w:ascii="Garamond" w:hAnsi="Garamond" w:cstheme="minorHAnsi"/>
          <w:color w:val="212529"/>
          <w:sz w:val="28"/>
          <w:szCs w:val="28"/>
          <w:shd w:val="clear" w:color="auto" w:fill="FFFFFF"/>
        </w:rPr>
        <w:t>provvedimentali</w:t>
      </w:r>
      <w:proofErr w:type="spellEnd"/>
      <w:r w:rsidR="00EC2FA0" w:rsidRPr="000F3F35">
        <w:rPr>
          <w:rFonts w:ascii="Garamond" w:hAnsi="Garamond" w:cstheme="minorHAnsi"/>
          <w:color w:val="212529"/>
          <w:sz w:val="28"/>
          <w:szCs w:val="28"/>
          <w:shd w:val="clear" w:color="auto" w:fill="FFFFFF"/>
        </w:rPr>
        <w:t xml:space="preserve"> da parte delle Autorità indipendenti</w:t>
      </w:r>
      <w:r w:rsidRPr="000F3F35">
        <w:rPr>
          <w:rFonts w:ascii="Garamond" w:hAnsi="Garamond" w:cstheme="minorHAnsi"/>
          <w:color w:val="212529"/>
          <w:sz w:val="28"/>
          <w:szCs w:val="28"/>
          <w:shd w:val="clear" w:color="auto" w:fill="FFFFFF"/>
        </w:rPr>
        <w:t>, le esigenze di garanzia sottese al principio di legalità sostanziale sarebbero tali da non consentire l'ammissione di poteri impliciti. In particolare, non può essere demandato all'amministrazione di enucleare dalle finalità stabilite dalla legge obblighi puntuali e concreti in capo a un privato</w:t>
      </w:r>
      <w:r w:rsidR="005645C9">
        <w:rPr>
          <w:rStyle w:val="Rimandonotaapidipagina"/>
          <w:rFonts w:ascii="Garamond" w:hAnsi="Garamond" w:cstheme="minorHAnsi"/>
          <w:color w:val="212529"/>
          <w:sz w:val="28"/>
          <w:szCs w:val="28"/>
          <w:shd w:val="clear" w:color="auto" w:fill="FFFFFF"/>
        </w:rPr>
        <w:footnoteReference w:id="22"/>
      </w:r>
      <w:r w:rsidRPr="000F3F35">
        <w:rPr>
          <w:rFonts w:ascii="Garamond" w:hAnsi="Garamond" w:cstheme="minorHAnsi"/>
          <w:color w:val="212529"/>
          <w:sz w:val="28"/>
          <w:szCs w:val="28"/>
          <w:shd w:val="clear" w:color="auto" w:fill="FFFFFF"/>
        </w:rPr>
        <w:t>.</w:t>
      </w:r>
    </w:p>
    <w:p w:rsidR="00C52F7D" w:rsidRDefault="00EC2FA0"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 xml:space="preserve">In relazione </w:t>
      </w:r>
      <w:r w:rsidR="00C52F7D" w:rsidRPr="000F3F35">
        <w:rPr>
          <w:rFonts w:ascii="Garamond" w:hAnsi="Garamond" w:cstheme="minorHAnsi"/>
          <w:color w:val="212529"/>
          <w:sz w:val="28"/>
          <w:szCs w:val="28"/>
          <w:shd w:val="clear" w:color="auto" w:fill="FFFFFF"/>
        </w:rPr>
        <w:t>all’esercizio da parte delle autorità amministrative indipendenti di poteri puntuali a effetto ablatorio o sanzionatorio</w:t>
      </w:r>
      <w:r w:rsidRPr="000F3F35">
        <w:rPr>
          <w:rFonts w:ascii="Garamond" w:hAnsi="Garamond" w:cstheme="minorHAnsi"/>
          <w:color w:val="212529"/>
          <w:sz w:val="28"/>
          <w:szCs w:val="28"/>
          <w:shd w:val="clear" w:color="auto" w:fill="FFFFFF"/>
        </w:rPr>
        <w:t>, g</w:t>
      </w:r>
      <w:r w:rsidR="00C52F7D" w:rsidRPr="000F3F35">
        <w:rPr>
          <w:rFonts w:ascii="Garamond" w:hAnsi="Garamond" w:cstheme="minorHAnsi"/>
          <w:color w:val="212529"/>
          <w:sz w:val="28"/>
          <w:szCs w:val="28"/>
          <w:shd w:val="clear" w:color="auto" w:fill="FFFFFF"/>
        </w:rPr>
        <w:t>li atti espressione di tali poteri, anche qualora denominati formalmente come atti di regolazione, sono ritenuti illegittimi</w:t>
      </w:r>
      <w:r w:rsidRPr="000F3F35">
        <w:rPr>
          <w:rFonts w:ascii="Garamond" w:hAnsi="Garamond" w:cstheme="minorHAnsi"/>
          <w:color w:val="212529"/>
          <w:sz w:val="28"/>
          <w:szCs w:val="28"/>
          <w:shd w:val="clear" w:color="auto" w:fill="FFFFFF"/>
        </w:rPr>
        <w:t xml:space="preserve"> se non coperti dalla previsione legislativa</w:t>
      </w:r>
      <w:r w:rsidR="00C52F7D" w:rsidRPr="000F3F35">
        <w:rPr>
          <w:rFonts w:ascii="Garamond" w:hAnsi="Garamond" w:cstheme="minorHAnsi"/>
          <w:color w:val="212529"/>
          <w:sz w:val="28"/>
          <w:szCs w:val="28"/>
          <w:shd w:val="clear" w:color="auto" w:fill="FFFFFF"/>
        </w:rPr>
        <w:t>, sul presupposto che il principio di legalità e le garanzie ad esso sottese non possano subire compressioni quando le autorità amministrative indipendenti vadano ad incidere sfavorevolmente sulla sfera giuridica soggettiva dei cittadini</w:t>
      </w:r>
      <w:r w:rsidR="00D13B61">
        <w:rPr>
          <w:rStyle w:val="Rimandonotaapidipagina"/>
          <w:rFonts w:ascii="Garamond" w:hAnsi="Garamond" w:cstheme="minorHAnsi"/>
          <w:color w:val="212529"/>
          <w:sz w:val="28"/>
          <w:szCs w:val="28"/>
          <w:shd w:val="clear" w:color="auto" w:fill="FFFFFF"/>
        </w:rPr>
        <w:footnoteReference w:id="23"/>
      </w:r>
      <w:r w:rsidR="00C52F7D" w:rsidRPr="000F3F35">
        <w:rPr>
          <w:rFonts w:ascii="Garamond" w:hAnsi="Garamond" w:cstheme="minorHAnsi"/>
          <w:color w:val="212529"/>
          <w:sz w:val="28"/>
          <w:szCs w:val="28"/>
          <w:shd w:val="clear" w:color="auto" w:fill="FFFFFF"/>
        </w:rPr>
        <w:t>.</w:t>
      </w:r>
    </w:p>
    <w:p w:rsidR="002C108C" w:rsidRPr="000F3F35" w:rsidRDefault="002C108C" w:rsidP="002C108C">
      <w:pPr>
        <w:spacing w:line="360" w:lineRule="auto"/>
        <w:jc w:val="both"/>
        <w:rPr>
          <w:rFonts w:ascii="Garamond" w:hAnsi="Garamond" w:cstheme="minorHAnsi"/>
          <w:color w:val="212529"/>
          <w:sz w:val="28"/>
          <w:szCs w:val="28"/>
          <w:shd w:val="clear" w:color="auto" w:fill="FFFFFF"/>
        </w:rPr>
      </w:pPr>
      <w:r w:rsidRPr="002C108C">
        <w:rPr>
          <w:rFonts w:ascii="Garamond" w:hAnsi="Garamond" w:cstheme="minorHAnsi"/>
          <w:color w:val="212529"/>
          <w:sz w:val="28"/>
          <w:szCs w:val="28"/>
          <w:shd w:val="clear" w:color="auto" w:fill="FFFFFF"/>
        </w:rPr>
        <w:t xml:space="preserve">Con riguardo ai poteri </w:t>
      </w:r>
      <w:proofErr w:type="spellStart"/>
      <w:r w:rsidRPr="002C108C">
        <w:rPr>
          <w:rFonts w:ascii="Garamond" w:hAnsi="Garamond" w:cstheme="minorHAnsi"/>
          <w:color w:val="212529"/>
          <w:sz w:val="28"/>
          <w:szCs w:val="28"/>
          <w:shd w:val="clear" w:color="auto" w:fill="FFFFFF"/>
        </w:rPr>
        <w:t>provvedimentali</w:t>
      </w:r>
      <w:proofErr w:type="spellEnd"/>
      <w:r w:rsidRPr="002C108C">
        <w:rPr>
          <w:rFonts w:ascii="Garamond" w:hAnsi="Garamond" w:cstheme="minorHAnsi"/>
          <w:color w:val="212529"/>
          <w:sz w:val="28"/>
          <w:szCs w:val="28"/>
          <w:shd w:val="clear" w:color="auto" w:fill="FFFFFF"/>
        </w:rPr>
        <w:t xml:space="preserve"> si tratta non di esaminare i</w:t>
      </w:r>
      <w:r>
        <w:rPr>
          <w:rFonts w:ascii="Garamond" w:hAnsi="Garamond" w:cstheme="minorHAnsi"/>
          <w:color w:val="212529"/>
          <w:sz w:val="28"/>
          <w:szCs w:val="28"/>
          <w:shd w:val="clear" w:color="auto" w:fill="FFFFFF"/>
        </w:rPr>
        <w:t xml:space="preserve"> </w:t>
      </w:r>
      <w:r w:rsidRPr="002C108C">
        <w:rPr>
          <w:rFonts w:ascii="Garamond" w:hAnsi="Garamond" w:cstheme="minorHAnsi"/>
          <w:color w:val="212529"/>
          <w:sz w:val="28"/>
          <w:szCs w:val="28"/>
          <w:shd w:val="clear" w:color="auto" w:fill="FFFFFF"/>
        </w:rPr>
        <w:t>limiti esterni della competenza, ma la stessa esistenza della competenza ad</w:t>
      </w:r>
      <w:r>
        <w:rPr>
          <w:rFonts w:ascii="Garamond" w:hAnsi="Garamond" w:cstheme="minorHAnsi"/>
          <w:color w:val="212529"/>
          <w:sz w:val="28"/>
          <w:szCs w:val="28"/>
          <w:shd w:val="clear" w:color="auto" w:fill="FFFFFF"/>
        </w:rPr>
        <w:t xml:space="preserve"> </w:t>
      </w:r>
      <w:r w:rsidRPr="002C108C">
        <w:rPr>
          <w:rFonts w:ascii="Garamond" w:hAnsi="Garamond" w:cstheme="minorHAnsi"/>
          <w:color w:val="212529"/>
          <w:sz w:val="28"/>
          <w:szCs w:val="28"/>
          <w:shd w:val="clear" w:color="auto" w:fill="FFFFFF"/>
        </w:rPr>
        <w:t>esercitare quello specifico potere. Non si individua cioè lo spazio di azione</w:t>
      </w:r>
      <w:r>
        <w:rPr>
          <w:rFonts w:ascii="Garamond" w:hAnsi="Garamond" w:cstheme="minorHAnsi"/>
          <w:color w:val="212529"/>
          <w:sz w:val="28"/>
          <w:szCs w:val="28"/>
          <w:shd w:val="clear" w:color="auto" w:fill="FFFFFF"/>
        </w:rPr>
        <w:t xml:space="preserve"> </w:t>
      </w:r>
      <w:r w:rsidRPr="002C108C">
        <w:rPr>
          <w:rFonts w:ascii="Garamond" w:hAnsi="Garamond" w:cstheme="minorHAnsi"/>
          <w:color w:val="212529"/>
          <w:sz w:val="28"/>
          <w:szCs w:val="28"/>
          <w:shd w:val="clear" w:color="auto" w:fill="FFFFFF"/>
        </w:rPr>
        <w:t>del potere (di porre regole generali ed astratte) sicuramente attribuito,</w:t>
      </w:r>
      <w:r>
        <w:rPr>
          <w:rFonts w:ascii="Garamond" w:hAnsi="Garamond" w:cstheme="minorHAnsi"/>
          <w:color w:val="212529"/>
          <w:sz w:val="28"/>
          <w:szCs w:val="28"/>
          <w:shd w:val="clear" w:color="auto" w:fill="FFFFFF"/>
        </w:rPr>
        <w:t xml:space="preserve"> </w:t>
      </w:r>
      <w:r w:rsidRPr="002C108C">
        <w:rPr>
          <w:rFonts w:ascii="Garamond" w:hAnsi="Garamond" w:cstheme="minorHAnsi"/>
          <w:color w:val="212529"/>
          <w:sz w:val="28"/>
          <w:szCs w:val="28"/>
          <w:shd w:val="clear" w:color="auto" w:fill="FFFFFF"/>
        </w:rPr>
        <w:t>anche se ne sono incerti i confini, ma la stessa titolarità del potere</w:t>
      </w:r>
      <w:r>
        <w:rPr>
          <w:rFonts w:ascii="Garamond" w:hAnsi="Garamond" w:cstheme="minorHAnsi"/>
          <w:color w:val="212529"/>
          <w:sz w:val="28"/>
          <w:szCs w:val="28"/>
          <w:shd w:val="clear" w:color="auto" w:fill="FFFFFF"/>
        </w:rPr>
        <w:t xml:space="preserve"> </w:t>
      </w:r>
      <w:proofErr w:type="spellStart"/>
      <w:r w:rsidRPr="002C108C">
        <w:rPr>
          <w:rFonts w:ascii="Garamond" w:hAnsi="Garamond" w:cstheme="minorHAnsi"/>
          <w:color w:val="212529"/>
          <w:sz w:val="28"/>
          <w:szCs w:val="28"/>
          <w:shd w:val="clear" w:color="auto" w:fill="FFFFFF"/>
        </w:rPr>
        <w:t>provvedimentale</w:t>
      </w:r>
      <w:proofErr w:type="spellEnd"/>
      <w:r>
        <w:rPr>
          <w:rFonts w:ascii="Garamond" w:hAnsi="Garamond" w:cstheme="minorHAnsi"/>
          <w:color w:val="212529"/>
          <w:sz w:val="28"/>
          <w:szCs w:val="28"/>
          <w:shd w:val="clear" w:color="auto" w:fill="FFFFFF"/>
        </w:rPr>
        <w:t xml:space="preserve"> </w:t>
      </w:r>
      <w:r>
        <w:rPr>
          <w:rStyle w:val="Rimandonotaapidipagina"/>
          <w:rFonts w:ascii="Garamond" w:hAnsi="Garamond" w:cstheme="minorHAnsi"/>
          <w:color w:val="212529"/>
          <w:sz w:val="28"/>
          <w:szCs w:val="28"/>
          <w:shd w:val="clear" w:color="auto" w:fill="FFFFFF"/>
        </w:rPr>
        <w:footnoteReference w:id="24"/>
      </w:r>
      <w:r w:rsidRPr="002C108C">
        <w:rPr>
          <w:rFonts w:ascii="Garamond" w:hAnsi="Garamond" w:cstheme="minorHAnsi"/>
          <w:color w:val="212529"/>
          <w:sz w:val="28"/>
          <w:szCs w:val="28"/>
          <w:shd w:val="clear" w:color="auto" w:fill="FFFFFF"/>
        </w:rPr>
        <w:t>.</w:t>
      </w:r>
    </w:p>
    <w:p w:rsidR="00400399" w:rsidRPr="000F3F35" w:rsidRDefault="00C52F7D"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 xml:space="preserve">Una concezione rigorosa dei principi di legalità e tipicità ha portato, dunque, la giurisprudenza ad escludere la legittimità di poteri </w:t>
      </w:r>
      <w:proofErr w:type="spellStart"/>
      <w:r w:rsidRPr="000F3F35">
        <w:rPr>
          <w:rFonts w:ascii="Garamond" w:hAnsi="Garamond" w:cstheme="minorHAnsi"/>
          <w:color w:val="212529"/>
          <w:sz w:val="28"/>
          <w:szCs w:val="28"/>
          <w:shd w:val="clear" w:color="auto" w:fill="FFFFFF"/>
        </w:rPr>
        <w:t>provvedimentali</w:t>
      </w:r>
      <w:proofErr w:type="spellEnd"/>
      <w:r w:rsidRPr="000F3F35">
        <w:rPr>
          <w:rFonts w:ascii="Garamond" w:hAnsi="Garamond" w:cstheme="minorHAnsi"/>
          <w:color w:val="212529"/>
          <w:sz w:val="28"/>
          <w:szCs w:val="28"/>
          <w:shd w:val="clear" w:color="auto" w:fill="FFFFFF"/>
        </w:rPr>
        <w:t xml:space="preserve"> impliciti in ragione del prevalere delle esigenze di garanzia dei privati. In questo senso, il principio di legalità esclude deroghe in presenza di un’attività amministrativa di carattere autoritativo e ogni potere amministrativo che incida sulla libertà di iniziativa economica privata deve trovare il proprio fondamento in una previa espressa specifica norma legislativa</w:t>
      </w:r>
      <w:r w:rsidR="006D6003">
        <w:rPr>
          <w:rFonts w:ascii="Garamond" w:hAnsi="Garamond" w:cstheme="minorHAnsi"/>
          <w:color w:val="212529"/>
          <w:sz w:val="28"/>
          <w:szCs w:val="28"/>
          <w:shd w:val="clear" w:color="auto" w:fill="FFFFFF"/>
        </w:rPr>
        <w:t xml:space="preserve"> </w:t>
      </w:r>
      <w:r w:rsidR="006D6003">
        <w:rPr>
          <w:rStyle w:val="Rimandonotaapidipagina"/>
          <w:rFonts w:ascii="Garamond" w:hAnsi="Garamond" w:cstheme="minorHAnsi"/>
          <w:color w:val="212529"/>
          <w:sz w:val="28"/>
          <w:szCs w:val="28"/>
          <w:shd w:val="clear" w:color="auto" w:fill="FFFFFF"/>
        </w:rPr>
        <w:footnoteReference w:id="25"/>
      </w:r>
      <w:r w:rsidRPr="000F3F35">
        <w:rPr>
          <w:rFonts w:ascii="Garamond" w:hAnsi="Garamond" w:cstheme="minorHAnsi"/>
          <w:color w:val="212529"/>
          <w:sz w:val="28"/>
          <w:szCs w:val="28"/>
          <w:shd w:val="clear" w:color="auto" w:fill="FFFFFF"/>
        </w:rPr>
        <w:t>.</w:t>
      </w:r>
      <w:r w:rsidR="005B7023" w:rsidRPr="000F3F35">
        <w:rPr>
          <w:rFonts w:ascii="Garamond" w:hAnsi="Garamond" w:cstheme="minorHAnsi"/>
          <w:color w:val="212529"/>
          <w:sz w:val="28"/>
          <w:szCs w:val="28"/>
          <w:shd w:val="clear" w:color="auto" w:fill="FFFFFF"/>
        </w:rPr>
        <w:t xml:space="preserve"> </w:t>
      </w:r>
    </w:p>
    <w:p w:rsidR="005B7023" w:rsidRPr="000F3F35" w:rsidRDefault="005B7023" w:rsidP="000F3F35">
      <w:pPr>
        <w:spacing w:line="360" w:lineRule="auto"/>
        <w:jc w:val="both"/>
        <w:rPr>
          <w:rFonts w:ascii="Garamond" w:hAnsi="Garamond" w:cstheme="minorHAnsi"/>
          <w:color w:val="212529"/>
          <w:sz w:val="28"/>
          <w:szCs w:val="28"/>
          <w:shd w:val="clear" w:color="auto" w:fill="FFFFFF"/>
        </w:rPr>
      </w:pPr>
      <w:r w:rsidRPr="002C108C">
        <w:rPr>
          <w:rFonts w:ascii="Garamond" w:hAnsi="Garamond" w:cstheme="minorHAnsi"/>
          <w:color w:val="212529"/>
          <w:sz w:val="28"/>
          <w:szCs w:val="28"/>
          <w:shd w:val="clear" w:color="auto" w:fill="FFFFFF"/>
        </w:rPr>
        <w:lastRenderedPageBreak/>
        <w:t xml:space="preserve">La giurisprudenza ha </w:t>
      </w:r>
      <w:r w:rsidR="002C108C" w:rsidRPr="002C108C">
        <w:rPr>
          <w:rFonts w:ascii="Garamond" w:hAnsi="Garamond" w:cstheme="minorHAnsi"/>
          <w:color w:val="212529"/>
          <w:sz w:val="28"/>
          <w:szCs w:val="28"/>
          <w:shd w:val="clear" w:color="auto" w:fill="FFFFFF"/>
        </w:rPr>
        <w:t xml:space="preserve">quindi </w:t>
      </w:r>
      <w:r w:rsidRPr="002C108C">
        <w:rPr>
          <w:rFonts w:ascii="Garamond" w:hAnsi="Garamond" w:cstheme="minorHAnsi"/>
          <w:color w:val="212529"/>
          <w:sz w:val="28"/>
          <w:szCs w:val="28"/>
          <w:shd w:val="clear" w:color="auto" w:fill="FFFFFF"/>
        </w:rPr>
        <w:t xml:space="preserve">operato una distinzione tra poteri normativo-regolamentare e poteri </w:t>
      </w:r>
      <w:proofErr w:type="spellStart"/>
      <w:r w:rsidRPr="002C108C">
        <w:rPr>
          <w:rFonts w:ascii="Garamond" w:hAnsi="Garamond" w:cstheme="minorHAnsi"/>
          <w:color w:val="212529"/>
          <w:sz w:val="28"/>
          <w:szCs w:val="28"/>
          <w:shd w:val="clear" w:color="auto" w:fill="FFFFFF"/>
        </w:rPr>
        <w:t>provvedimentali</w:t>
      </w:r>
      <w:proofErr w:type="spellEnd"/>
      <w:r w:rsidRPr="002C108C">
        <w:rPr>
          <w:rFonts w:ascii="Garamond" w:hAnsi="Garamond" w:cstheme="minorHAnsi"/>
          <w:color w:val="212529"/>
          <w:sz w:val="28"/>
          <w:szCs w:val="28"/>
          <w:shd w:val="clear" w:color="auto" w:fill="FFFFFF"/>
        </w:rPr>
        <w:t xml:space="preserve">, ritenendo legittimo l’implicito normativo e illegittimo l’implicito </w:t>
      </w:r>
      <w:proofErr w:type="spellStart"/>
      <w:r w:rsidRPr="002C108C">
        <w:rPr>
          <w:rFonts w:ascii="Garamond" w:hAnsi="Garamond" w:cstheme="minorHAnsi"/>
          <w:color w:val="212529"/>
          <w:sz w:val="28"/>
          <w:szCs w:val="28"/>
          <w:shd w:val="clear" w:color="auto" w:fill="FFFFFF"/>
        </w:rPr>
        <w:t>provvedimentale</w:t>
      </w:r>
      <w:proofErr w:type="spellEnd"/>
      <w:r w:rsidRPr="000F3F35">
        <w:rPr>
          <w:rFonts w:ascii="Garamond" w:hAnsi="Garamond" w:cstheme="minorHAnsi"/>
          <w:color w:val="212529"/>
          <w:sz w:val="28"/>
          <w:szCs w:val="28"/>
          <w:shd w:val="clear" w:color="auto" w:fill="FFFFFF"/>
        </w:rPr>
        <w:t>.</w:t>
      </w:r>
    </w:p>
    <w:p w:rsidR="005B24DD" w:rsidRPr="000F3F35" w:rsidRDefault="005B24DD"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Va però evidenziato che la stessa distinzione tra poteri di regolazione</w:t>
      </w:r>
      <w:r w:rsidR="00977782">
        <w:rPr>
          <w:rFonts w:ascii="Garamond" w:hAnsi="Garamond" w:cstheme="minorHAnsi"/>
          <w:color w:val="212529"/>
          <w:sz w:val="28"/>
          <w:szCs w:val="28"/>
          <w:shd w:val="clear" w:color="auto" w:fill="FFFFFF"/>
        </w:rPr>
        <w:t>,</w:t>
      </w:r>
      <w:r w:rsidRPr="000F3F35">
        <w:rPr>
          <w:rFonts w:ascii="Garamond" w:hAnsi="Garamond" w:cstheme="minorHAnsi"/>
          <w:color w:val="212529"/>
          <w:sz w:val="28"/>
          <w:szCs w:val="28"/>
          <w:shd w:val="clear" w:color="auto" w:fill="FFFFFF"/>
        </w:rPr>
        <w:t xml:space="preserve"> che si esprimono mediante regolamenti o atti generali</w:t>
      </w:r>
      <w:r w:rsidR="00977782">
        <w:rPr>
          <w:rFonts w:ascii="Garamond" w:hAnsi="Garamond" w:cstheme="minorHAnsi"/>
          <w:color w:val="212529"/>
          <w:sz w:val="28"/>
          <w:szCs w:val="28"/>
          <w:shd w:val="clear" w:color="auto" w:fill="FFFFFF"/>
        </w:rPr>
        <w:t>,</w:t>
      </w:r>
      <w:r w:rsidRPr="000F3F35">
        <w:rPr>
          <w:rFonts w:ascii="Garamond" w:hAnsi="Garamond" w:cstheme="minorHAnsi"/>
          <w:color w:val="212529"/>
          <w:sz w:val="28"/>
          <w:szCs w:val="28"/>
          <w:shd w:val="clear" w:color="auto" w:fill="FFFFFF"/>
        </w:rPr>
        <w:t xml:space="preserve"> e poteri puntuali</w:t>
      </w:r>
      <w:r w:rsidR="00977782">
        <w:rPr>
          <w:rFonts w:ascii="Garamond" w:hAnsi="Garamond" w:cstheme="minorHAnsi"/>
          <w:color w:val="212529"/>
          <w:sz w:val="28"/>
          <w:szCs w:val="28"/>
          <w:shd w:val="clear" w:color="auto" w:fill="FFFFFF"/>
        </w:rPr>
        <w:t>,</w:t>
      </w:r>
      <w:r w:rsidRPr="000F3F35">
        <w:rPr>
          <w:rFonts w:ascii="Garamond" w:hAnsi="Garamond" w:cstheme="minorHAnsi"/>
          <w:color w:val="212529"/>
          <w:sz w:val="28"/>
          <w:szCs w:val="28"/>
          <w:shd w:val="clear" w:color="auto" w:fill="FFFFFF"/>
        </w:rPr>
        <w:t xml:space="preserve"> che si esprimono mediante provvedimenti rivolti a destinatari determinati</w:t>
      </w:r>
      <w:r w:rsidR="00977782">
        <w:rPr>
          <w:rFonts w:ascii="Garamond" w:hAnsi="Garamond" w:cstheme="minorHAnsi"/>
          <w:color w:val="212529"/>
          <w:sz w:val="28"/>
          <w:szCs w:val="28"/>
          <w:shd w:val="clear" w:color="auto" w:fill="FFFFFF"/>
        </w:rPr>
        <w:t>,</w:t>
      </w:r>
      <w:r w:rsidRPr="000F3F35">
        <w:rPr>
          <w:rFonts w:ascii="Garamond" w:hAnsi="Garamond" w:cstheme="minorHAnsi"/>
          <w:color w:val="212529"/>
          <w:sz w:val="28"/>
          <w:szCs w:val="28"/>
          <w:shd w:val="clear" w:color="auto" w:fill="FFFFFF"/>
        </w:rPr>
        <w:t xml:space="preserve"> non è sempre così netta</w:t>
      </w:r>
      <w:r w:rsidR="00D34BFC" w:rsidRPr="000F3F35">
        <w:rPr>
          <w:rFonts w:ascii="Garamond" w:hAnsi="Garamond" w:cstheme="minorHAnsi"/>
          <w:color w:val="212529"/>
          <w:sz w:val="28"/>
          <w:szCs w:val="28"/>
          <w:shd w:val="clear" w:color="auto" w:fill="FFFFFF"/>
        </w:rPr>
        <w:t>, con la conseguenza che anche il relativo regime giuridico può risultare incerto.</w:t>
      </w:r>
    </w:p>
    <w:p w:rsidR="005B24DD" w:rsidRPr="000F3F35" w:rsidRDefault="00D34BFC"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 xml:space="preserve">La distinzione tra atti generali e provvedimenti puntuali, </w:t>
      </w:r>
      <w:r w:rsidR="00EC2FA0" w:rsidRPr="000F3F35">
        <w:rPr>
          <w:rFonts w:ascii="Garamond" w:hAnsi="Garamond" w:cstheme="minorHAnsi"/>
          <w:color w:val="212529"/>
          <w:sz w:val="28"/>
          <w:szCs w:val="28"/>
          <w:shd w:val="clear" w:color="auto" w:fill="FFFFFF"/>
        </w:rPr>
        <w:t>in ogni caso</w:t>
      </w:r>
      <w:r w:rsidRPr="000F3F35">
        <w:rPr>
          <w:rFonts w:ascii="Garamond" w:hAnsi="Garamond" w:cstheme="minorHAnsi"/>
          <w:color w:val="212529"/>
          <w:sz w:val="28"/>
          <w:szCs w:val="28"/>
          <w:shd w:val="clear" w:color="auto" w:fill="FFFFFF"/>
        </w:rPr>
        <w:t>, non pare avere carattere dirimente allorquando si tratti di atti delle autorità che limitano l'autonomia contrattuale. In questi casi la giurisprudenza</w:t>
      </w:r>
      <w:r w:rsidRPr="000F3F35">
        <w:rPr>
          <w:rStyle w:val="Rimandonotaapidipagina"/>
          <w:rFonts w:ascii="Garamond" w:hAnsi="Garamond" w:cstheme="minorHAnsi"/>
          <w:color w:val="212529"/>
          <w:sz w:val="28"/>
          <w:szCs w:val="28"/>
          <w:shd w:val="clear" w:color="auto" w:fill="FFFFFF"/>
        </w:rPr>
        <w:footnoteReference w:id="26"/>
      </w:r>
      <w:r w:rsidRPr="000F3F35">
        <w:rPr>
          <w:rFonts w:ascii="Garamond" w:hAnsi="Garamond" w:cstheme="minorHAnsi"/>
          <w:color w:val="212529"/>
          <w:sz w:val="28"/>
          <w:szCs w:val="28"/>
          <w:shd w:val="clear" w:color="auto" w:fill="FFFFFF"/>
        </w:rPr>
        <w:t xml:space="preserve"> afferma sempre, ossia a prescindere dalla natura dell'atto, almeno in via di principio, una regola di severa legalità, sul presupposto che la regolazione economica non possa costituire una fonte eteronoma del contratto se non in presenza di una specifica autorizzazione legislativa. Così, non solo nel caso di provvedimenti puntuali, ma anche di atti generali si ritiene che il potere dell'Autorità debba avere un chiaro fondamento normativo.</w:t>
      </w:r>
    </w:p>
    <w:p w:rsidR="00DF7DCB" w:rsidRPr="000F3F35" w:rsidRDefault="00A77D0A" w:rsidP="000F3F35">
      <w:pPr>
        <w:spacing w:line="360" w:lineRule="auto"/>
        <w:jc w:val="both"/>
        <w:rPr>
          <w:rFonts w:ascii="Garamond" w:hAnsi="Garamond" w:cstheme="minorHAnsi"/>
          <w:color w:val="212529"/>
          <w:sz w:val="28"/>
          <w:szCs w:val="28"/>
          <w:shd w:val="clear" w:color="auto" w:fill="FFFFFF"/>
        </w:rPr>
      </w:pPr>
      <w:r>
        <w:rPr>
          <w:rFonts w:ascii="Garamond" w:hAnsi="Garamond" w:cstheme="minorHAnsi"/>
          <w:color w:val="212529"/>
          <w:sz w:val="28"/>
          <w:szCs w:val="28"/>
          <w:shd w:val="clear" w:color="auto" w:fill="FFFFFF"/>
        </w:rPr>
        <w:t xml:space="preserve">3. </w:t>
      </w:r>
      <w:r w:rsidRPr="00A77D0A">
        <w:rPr>
          <w:rFonts w:ascii="Garamond" w:hAnsi="Garamond" w:cstheme="minorHAnsi"/>
          <w:i/>
          <w:color w:val="212529"/>
          <w:sz w:val="28"/>
          <w:szCs w:val="28"/>
          <w:shd w:val="clear" w:color="auto" w:fill="FFFFFF"/>
        </w:rPr>
        <w:t xml:space="preserve">Conclusioni </w:t>
      </w:r>
    </w:p>
    <w:p w:rsidR="00B543F1" w:rsidRPr="000F3F35" w:rsidRDefault="002C108C" w:rsidP="000F3F35">
      <w:pPr>
        <w:spacing w:line="360" w:lineRule="auto"/>
        <w:jc w:val="both"/>
        <w:rPr>
          <w:rFonts w:ascii="Garamond" w:hAnsi="Garamond" w:cstheme="minorHAnsi"/>
          <w:color w:val="212529"/>
          <w:sz w:val="28"/>
          <w:szCs w:val="28"/>
          <w:shd w:val="clear" w:color="auto" w:fill="FFFFFF"/>
        </w:rPr>
      </w:pPr>
      <w:r>
        <w:rPr>
          <w:rFonts w:ascii="Garamond" w:hAnsi="Garamond" w:cstheme="minorHAnsi"/>
          <w:color w:val="212529"/>
          <w:sz w:val="28"/>
          <w:szCs w:val="28"/>
          <w:shd w:val="clear" w:color="auto" w:fill="FFFFFF"/>
        </w:rPr>
        <w:t xml:space="preserve">Tentando di concludere sul tema tanto complesso che si è cercato di affrontare, </w:t>
      </w:r>
      <w:r w:rsidR="00977782">
        <w:rPr>
          <w:rFonts w:ascii="Garamond" w:hAnsi="Garamond" w:cstheme="minorHAnsi"/>
          <w:color w:val="212529"/>
          <w:sz w:val="28"/>
          <w:szCs w:val="28"/>
          <w:shd w:val="clear" w:color="auto" w:fill="FFFFFF"/>
        </w:rPr>
        <w:t xml:space="preserve">e su cui molto altro ci sarebbe da dire, </w:t>
      </w:r>
      <w:r>
        <w:rPr>
          <w:rFonts w:ascii="Garamond" w:hAnsi="Garamond" w:cstheme="minorHAnsi"/>
          <w:color w:val="212529"/>
          <w:sz w:val="28"/>
          <w:szCs w:val="28"/>
          <w:shd w:val="clear" w:color="auto" w:fill="FFFFFF"/>
        </w:rPr>
        <w:t xml:space="preserve">penso si possa </w:t>
      </w:r>
      <w:r w:rsidR="008D4BEA" w:rsidRPr="000F3F35">
        <w:rPr>
          <w:rFonts w:ascii="Garamond" w:hAnsi="Garamond" w:cstheme="minorHAnsi"/>
          <w:color w:val="212529"/>
          <w:sz w:val="28"/>
          <w:szCs w:val="28"/>
          <w:shd w:val="clear" w:color="auto" w:fill="FFFFFF"/>
        </w:rPr>
        <w:t>affermare</w:t>
      </w:r>
      <w:r w:rsidR="00B543F1" w:rsidRPr="000F3F35">
        <w:rPr>
          <w:rFonts w:ascii="Garamond" w:hAnsi="Garamond" w:cstheme="minorHAnsi"/>
          <w:color w:val="212529"/>
          <w:sz w:val="28"/>
          <w:szCs w:val="28"/>
          <w:shd w:val="clear" w:color="auto" w:fill="FFFFFF"/>
        </w:rPr>
        <w:t xml:space="preserve"> che </w:t>
      </w:r>
      <w:r>
        <w:rPr>
          <w:rFonts w:ascii="Garamond" w:hAnsi="Garamond" w:cstheme="minorHAnsi"/>
          <w:color w:val="212529"/>
          <w:sz w:val="28"/>
          <w:szCs w:val="28"/>
          <w:shd w:val="clear" w:color="auto" w:fill="FFFFFF"/>
        </w:rPr>
        <w:t xml:space="preserve">seppure </w:t>
      </w:r>
      <w:r w:rsidR="00EC2FA0" w:rsidRPr="000F3F35">
        <w:rPr>
          <w:rFonts w:ascii="Garamond" w:hAnsi="Garamond" w:cstheme="minorHAnsi"/>
          <w:color w:val="212529"/>
          <w:sz w:val="28"/>
          <w:szCs w:val="28"/>
          <w:shd w:val="clear" w:color="auto" w:fill="FFFFFF"/>
        </w:rPr>
        <w:t xml:space="preserve">in determinati settori l’affidamento alla </w:t>
      </w:r>
      <w:r w:rsidR="00B543F1" w:rsidRPr="000F3F35">
        <w:rPr>
          <w:rFonts w:ascii="Garamond" w:hAnsi="Garamond" w:cstheme="minorHAnsi"/>
          <w:color w:val="212529"/>
          <w:sz w:val="28"/>
          <w:szCs w:val="28"/>
          <w:shd w:val="clear" w:color="auto" w:fill="FFFFFF"/>
        </w:rPr>
        <w:t>regolazione delle Autorità in</w:t>
      </w:r>
      <w:r w:rsidR="00EC2FA0" w:rsidRPr="000F3F35">
        <w:rPr>
          <w:rFonts w:ascii="Garamond" w:hAnsi="Garamond" w:cstheme="minorHAnsi"/>
          <w:color w:val="212529"/>
          <w:sz w:val="28"/>
          <w:szCs w:val="28"/>
          <w:shd w:val="clear" w:color="auto" w:fill="FFFFFF"/>
        </w:rPr>
        <w:t>dipendenti avvenga attraverso un’attribuzione ampia di poteri in sede legislativa</w:t>
      </w:r>
      <w:r w:rsidR="008D4BEA" w:rsidRPr="000F3F35">
        <w:rPr>
          <w:rFonts w:ascii="Garamond" w:hAnsi="Garamond" w:cstheme="minorHAnsi"/>
          <w:color w:val="212529"/>
          <w:sz w:val="28"/>
          <w:szCs w:val="28"/>
          <w:shd w:val="clear" w:color="auto" w:fill="FFFFFF"/>
        </w:rPr>
        <w:t>,</w:t>
      </w:r>
      <w:r w:rsidR="00B543F1" w:rsidRPr="000F3F35">
        <w:rPr>
          <w:rFonts w:ascii="Garamond" w:hAnsi="Garamond" w:cstheme="minorHAnsi"/>
          <w:color w:val="212529"/>
          <w:sz w:val="28"/>
          <w:szCs w:val="28"/>
          <w:shd w:val="clear" w:color="auto" w:fill="FFFFFF"/>
        </w:rPr>
        <w:t xml:space="preserve"> il rispetto del principio di legalità, di divisione dei poteri e, in ultima analisi, dell’assetto costituzionale non può essere </w:t>
      </w:r>
      <w:proofErr w:type="spellStart"/>
      <w:r w:rsidR="00B543F1" w:rsidRPr="000F3F35">
        <w:rPr>
          <w:rFonts w:ascii="Garamond" w:hAnsi="Garamond" w:cstheme="minorHAnsi"/>
          <w:color w:val="212529"/>
          <w:sz w:val="28"/>
          <w:szCs w:val="28"/>
          <w:shd w:val="clear" w:color="auto" w:fill="FFFFFF"/>
        </w:rPr>
        <w:t>dequotato</w:t>
      </w:r>
      <w:proofErr w:type="spellEnd"/>
      <w:r w:rsidR="00B543F1" w:rsidRPr="000F3F35">
        <w:rPr>
          <w:rFonts w:ascii="Garamond" w:hAnsi="Garamond" w:cstheme="minorHAnsi"/>
          <w:color w:val="212529"/>
          <w:sz w:val="28"/>
          <w:szCs w:val="28"/>
          <w:shd w:val="clear" w:color="auto" w:fill="FFFFFF"/>
        </w:rPr>
        <w:t xml:space="preserve"> in nome dell’efficientismo che </w:t>
      </w:r>
      <w:r w:rsidR="007A7A00" w:rsidRPr="000F3F35">
        <w:rPr>
          <w:rFonts w:ascii="Garamond" w:hAnsi="Garamond" w:cstheme="minorHAnsi"/>
          <w:color w:val="212529"/>
          <w:sz w:val="28"/>
          <w:szCs w:val="28"/>
          <w:shd w:val="clear" w:color="auto" w:fill="FFFFFF"/>
        </w:rPr>
        <w:t xml:space="preserve">quegli stessi </w:t>
      </w:r>
      <w:r w:rsidR="00B543F1" w:rsidRPr="000F3F35">
        <w:rPr>
          <w:rFonts w:ascii="Garamond" w:hAnsi="Garamond" w:cstheme="minorHAnsi"/>
          <w:color w:val="212529"/>
          <w:sz w:val="28"/>
          <w:szCs w:val="28"/>
          <w:shd w:val="clear" w:color="auto" w:fill="FFFFFF"/>
        </w:rPr>
        <w:t>settori richiedono.</w:t>
      </w:r>
    </w:p>
    <w:p w:rsidR="00EC4B7C" w:rsidRPr="000F3F35" w:rsidRDefault="00EC4B7C"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 xml:space="preserve">Si è parlato negli ultimi decenni di crisi della legge come strumento di coordinazione delle società complesse. Soprattutto negli ambiti maggiormente coinvolti dall'evoluzione </w:t>
      </w:r>
      <w:r w:rsidRPr="000F3F35">
        <w:rPr>
          <w:rFonts w:ascii="Garamond" w:hAnsi="Garamond" w:cstheme="minorHAnsi"/>
          <w:color w:val="212529"/>
          <w:sz w:val="28"/>
          <w:szCs w:val="28"/>
          <w:shd w:val="clear" w:color="auto" w:fill="FFFFFF"/>
        </w:rPr>
        <w:lastRenderedPageBreak/>
        <w:t>tecnologica, la legge appare un mezzo inadeguato di selezione e riduzione della complessità.</w:t>
      </w:r>
    </w:p>
    <w:p w:rsidR="00632D02" w:rsidRPr="000F3F35" w:rsidRDefault="00632D02"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Questo approdo è oggi oggetto di riflessioni che ne evidenziano gli aspetti problematici sotto un profilo di tenuta del sistema.</w:t>
      </w:r>
    </w:p>
    <w:p w:rsidR="00B543F1" w:rsidRPr="000F3F35" w:rsidRDefault="00B543F1"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Dopo le critiche della dottrina</w:t>
      </w:r>
      <w:r w:rsidR="00632D02" w:rsidRPr="000F3F35">
        <w:rPr>
          <w:rFonts w:ascii="Garamond" w:hAnsi="Garamond" w:cstheme="minorHAnsi"/>
          <w:color w:val="212529"/>
          <w:sz w:val="28"/>
          <w:szCs w:val="28"/>
          <w:shd w:val="clear" w:color="auto" w:fill="FFFFFF"/>
        </w:rPr>
        <w:t xml:space="preserve"> – di cui abbiamo sopra dato conto -</w:t>
      </w:r>
      <w:r w:rsidRPr="000F3F35">
        <w:rPr>
          <w:rFonts w:ascii="Garamond" w:hAnsi="Garamond" w:cstheme="minorHAnsi"/>
          <w:color w:val="212529"/>
          <w:sz w:val="28"/>
          <w:szCs w:val="28"/>
          <w:shd w:val="clear" w:color="auto" w:fill="FFFFFF"/>
        </w:rPr>
        <w:t xml:space="preserve"> mi sembra si stia registrando anche una rimeditazione della giurisprudenza </w:t>
      </w:r>
      <w:r w:rsidR="00632D02" w:rsidRPr="000F3F35">
        <w:rPr>
          <w:rFonts w:ascii="Garamond" w:hAnsi="Garamond" w:cstheme="minorHAnsi"/>
          <w:color w:val="212529"/>
          <w:sz w:val="28"/>
          <w:szCs w:val="28"/>
          <w:shd w:val="clear" w:color="auto" w:fill="FFFFFF"/>
        </w:rPr>
        <w:t xml:space="preserve">che è arrivata ad affermare </w:t>
      </w:r>
      <w:r w:rsidR="00632D02" w:rsidRPr="000F3F35">
        <w:rPr>
          <w:rStyle w:val="Rimandonotaapidipagina"/>
          <w:rFonts w:ascii="Garamond" w:hAnsi="Garamond" w:cstheme="minorHAnsi"/>
          <w:color w:val="212529"/>
          <w:sz w:val="28"/>
          <w:szCs w:val="28"/>
          <w:shd w:val="clear" w:color="auto" w:fill="FFFFFF"/>
        </w:rPr>
        <w:footnoteReference w:id="27"/>
      </w:r>
      <w:r w:rsidR="00632D02" w:rsidRPr="000F3F35">
        <w:rPr>
          <w:rFonts w:ascii="Garamond" w:hAnsi="Garamond" w:cstheme="minorHAnsi"/>
          <w:color w:val="212529"/>
          <w:sz w:val="28"/>
          <w:szCs w:val="28"/>
          <w:shd w:val="clear" w:color="auto" w:fill="FFFFFF"/>
        </w:rPr>
        <w:t xml:space="preserve"> che “</w:t>
      </w:r>
      <w:r w:rsidR="00632D02" w:rsidRPr="000F3F35">
        <w:rPr>
          <w:rFonts w:ascii="Garamond" w:hAnsi="Garamond" w:cstheme="minorHAnsi"/>
          <w:i/>
          <w:color w:val="212529"/>
          <w:sz w:val="28"/>
          <w:szCs w:val="28"/>
          <w:shd w:val="clear" w:color="auto" w:fill="FFFFFF"/>
        </w:rPr>
        <w:t xml:space="preserve">Il coinvolgimento dei regolatori indipendenti nella produzione di norme di diritto oggettivo deve necessariamente raccordarsi con i vincoli costituzionali in materia di fonti di produzione del diritto (preferenza della legge, riserva di legge, principio di legalità), aventi funzione liberale (di tutelare i diritti dei cittadini contro l'abuso del potere pubblico) e democratica (riconducendo la disciplina di determinate materie sotto il dominio degli organi rappresentativi espressione della sovranità popolare). Anche nel settore della regolazione economica, il principio di legalità deve svolgere lo "scopo di vincolare l'uso del potere amministrativo al diritto democraticamente statuito", secondo un continuum logico che va dalla sintesi politica alla ponderazione concreta degli interessi. Trattandosi di settori di attività che la costituzione riserva alla legge (artt. 41 e 42 </w:t>
      </w:r>
      <w:proofErr w:type="spellStart"/>
      <w:r w:rsidR="00632D02" w:rsidRPr="000F3F35">
        <w:rPr>
          <w:rFonts w:ascii="Garamond" w:hAnsi="Garamond" w:cstheme="minorHAnsi"/>
          <w:i/>
          <w:color w:val="212529"/>
          <w:sz w:val="28"/>
          <w:szCs w:val="28"/>
          <w:shd w:val="clear" w:color="auto" w:fill="FFFFFF"/>
        </w:rPr>
        <w:t>Cost</w:t>
      </w:r>
      <w:proofErr w:type="spellEnd"/>
      <w:r w:rsidR="00632D02" w:rsidRPr="000F3F35">
        <w:rPr>
          <w:rFonts w:ascii="Garamond" w:hAnsi="Garamond" w:cstheme="minorHAnsi"/>
          <w:i/>
          <w:color w:val="212529"/>
          <w:sz w:val="28"/>
          <w:szCs w:val="28"/>
          <w:shd w:val="clear" w:color="auto" w:fill="FFFFFF"/>
        </w:rPr>
        <w:t>.), il principio di legalità risulta rafforzato in senso "sostanziale", nel senso di postulare sia il fondamento legislativo dei poteri conferiti all'amministrazione, sia l'apposizione di limiti contenutistici alla sua azione (Consiglio di Stato, Sez. VI, sentenza n. 6330 del 2018)</w:t>
      </w:r>
      <w:r w:rsidR="00632D02" w:rsidRPr="000F3F35">
        <w:rPr>
          <w:rFonts w:ascii="Garamond" w:hAnsi="Garamond" w:cstheme="minorHAnsi"/>
          <w:color w:val="212529"/>
          <w:sz w:val="28"/>
          <w:szCs w:val="28"/>
          <w:shd w:val="clear" w:color="auto" w:fill="FFFFFF"/>
        </w:rPr>
        <w:t>”.</w:t>
      </w:r>
      <w:r w:rsidR="008D4BEA" w:rsidRPr="000F3F35">
        <w:rPr>
          <w:rFonts w:ascii="Garamond" w:hAnsi="Garamond" w:cstheme="minorHAnsi"/>
          <w:color w:val="212529"/>
          <w:sz w:val="28"/>
          <w:szCs w:val="28"/>
          <w:shd w:val="clear" w:color="auto" w:fill="FFFFFF"/>
        </w:rPr>
        <w:t xml:space="preserve"> </w:t>
      </w:r>
    </w:p>
    <w:p w:rsidR="008D4BEA" w:rsidRPr="000F3F35" w:rsidRDefault="009858FB"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Tale impostazione porta anche ad un ridimensionamento della categoria dei poteri impliciti.</w:t>
      </w:r>
    </w:p>
    <w:p w:rsidR="009858FB" w:rsidRPr="000F3F35" w:rsidRDefault="009858FB" w:rsidP="000F3F35">
      <w:pPr>
        <w:spacing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Con riguardo all'esercizio di poteri puntuali ad effetto conformativo, ablatorio e sanzionatorio, non è possibile superare la valenza costituzionale del principio di sottoposizione dell'azione amministrativa di tipo autoritativo a disposizioni legislative provviste di un livello sufficiente di tipizzazione.</w:t>
      </w:r>
    </w:p>
    <w:p w:rsidR="009858FB" w:rsidRPr="000F3F35" w:rsidRDefault="009858FB" w:rsidP="000F3F35">
      <w:pPr>
        <w:spacing w:after="0"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 xml:space="preserve">Di attribuzioni implicitamente conferite può parlarsi soltanto con riferimento ai poteri </w:t>
      </w:r>
      <w:r w:rsidR="00B37148">
        <w:rPr>
          <w:rFonts w:ascii="Garamond" w:hAnsi="Garamond" w:cstheme="minorHAnsi"/>
          <w:color w:val="212529"/>
          <w:sz w:val="28"/>
          <w:szCs w:val="28"/>
          <w:shd w:val="clear" w:color="auto" w:fill="FFFFFF"/>
        </w:rPr>
        <w:t>“</w:t>
      </w:r>
      <w:r w:rsidRPr="000F3F35">
        <w:rPr>
          <w:rFonts w:ascii="Garamond" w:hAnsi="Garamond" w:cstheme="minorHAnsi"/>
          <w:color w:val="212529"/>
          <w:sz w:val="28"/>
          <w:szCs w:val="28"/>
          <w:shd w:val="clear" w:color="auto" w:fill="FFFFFF"/>
        </w:rPr>
        <w:t>strumentali</w:t>
      </w:r>
      <w:r w:rsidR="00B37148">
        <w:rPr>
          <w:rFonts w:ascii="Garamond" w:hAnsi="Garamond" w:cstheme="minorHAnsi"/>
          <w:color w:val="212529"/>
          <w:sz w:val="28"/>
          <w:szCs w:val="28"/>
          <w:shd w:val="clear" w:color="auto" w:fill="FFFFFF"/>
        </w:rPr>
        <w:t>”</w:t>
      </w:r>
      <w:r w:rsidRPr="000F3F35">
        <w:rPr>
          <w:rFonts w:ascii="Garamond" w:hAnsi="Garamond" w:cstheme="minorHAnsi"/>
          <w:color w:val="212529"/>
          <w:sz w:val="28"/>
          <w:szCs w:val="28"/>
          <w:shd w:val="clear" w:color="auto" w:fill="FFFFFF"/>
        </w:rPr>
        <w:t xml:space="preserve"> sussumibili nello stesso </w:t>
      </w:r>
      <w:r w:rsidR="00B37148">
        <w:rPr>
          <w:rFonts w:ascii="Garamond" w:hAnsi="Garamond" w:cstheme="minorHAnsi"/>
          <w:color w:val="212529"/>
          <w:sz w:val="28"/>
          <w:szCs w:val="28"/>
          <w:shd w:val="clear" w:color="auto" w:fill="FFFFFF"/>
        </w:rPr>
        <w:t>“</w:t>
      </w:r>
      <w:r w:rsidRPr="000F3F35">
        <w:rPr>
          <w:rFonts w:ascii="Garamond" w:hAnsi="Garamond" w:cstheme="minorHAnsi"/>
          <w:color w:val="212529"/>
          <w:sz w:val="28"/>
          <w:szCs w:val="28"/>
          <w:shd w:val="clear" w:color="auto" w:fill="FFFFFF"/>
        </w:rPr>
        <w:t>spazio</w:t>
      </w:r>
      <w:r w:rsidR="00B37148">
        <w:rPr>
          <w:rFonts w:ascii="Garamond" w:hAnsi="Garamond" w:cstheme="minorHAnsi"/>
          <w:color w:val="212529"/>
          <w:sz w:val="28"/>
          <w:szCs w:val="28"/>
          <w:shd w:val="clear" w:color="auto" w:fill="FFFFFF"/>
        </w:rPr>
        <w:t>”</w:t>
      </w:r>
      <w:r w:rsidRPr="000F3F35">
        <w:rPr>
          <w:rFonts w:ascii="Garamond" w:hAnsi="Garamond" w:cstheme="minorHAnsi"/>
          <w:color w:val="212529"/>
          <w:sz w:val="28"/>
          <w:szCs w:val="28"/>
          <w:shd w:val="clear" w:color="auto" w:fill="FFFFFF"/>
        </w:rPr>
        <w:t xml:space="preserve"> giuridico del potere principale, situati cioè all'interno dei confini individuati dalla</w:t>
      </w:r>
      <w:r w:rsidR="00B37148">
        <w:rPr>
          <w:rFonts w:ascii="Garamond" w:hAnsi="Garamond" w:cstheme="minorHAnsi"/>
          <w:color w:val="212529"/>
          <w:sz w:val="28"/>
          <w:szCs w:val="28"/>
          <w:shd w:val="clear" w:color="auto" w:fill="FFFFFF"/>
        </w:rPr>
        <w:t xml:space="preserve"> norma attributiva, in ordine a</w:t>
      </w:r>
      <w:r w:rsidRPr="000F3F35">
        <w:rPr>
          <w:rFonts w:ascii="Garamond" w:hAnsi="Garamond" w:cstheme="minorHAnsi"/>
          <w:color w:val="212529"/>
          <w:sz w:val="28"/>
          <w:szCs w:val="28"/>
          <w:shd w:val="clear" w:color="auto" w:fill="FFFFFF"/>
        </w:rPr>
        <w:t xml:space="preserve"> interesse pubblico perseguito</w:t>
      </w:r>
      <w:r w:rsidR="00B37148">
        <w:rPr>
          <w:rFonts w:ascii="Garamond" w:hAnsi="Garamond" w:cstheme="minorHAnsi"/>
          <w:color w:val="212529"/>
          <w:sz w:val="28"/>
          <w:szCs w:val="28"/>
          <w:shd w:val="clear" w:color="auto" w:fill="FFFFFF"/>
        </w:rPr>
        <w:t>,</w:t>
      </w:r>
      <w:r w:rsidRPr="000F3F35">
        <w:rPr>
          <w:rFonts w:ascii="Garamond" w:hAnsi="Garamond" w:cstheme="minorHAnsi"/>
          <w:color w:val="212529"/>
          <w:sz w:val="28"/>
          <w:szCs w:val="28"/>
          <w:shd w:val="clear" w:color="auto" w:fill="FFFFFF"/>
        </w:rPr>
        <w:t xml:space="preserve"> punto di incidenza materiale</w:t>
      </w:r>
      <w:r w:rsidR="00B37148">
        <w:rPr>
          <w:rFonts w:ascii="Garamond" w:hAnsi="Garamond" w:cstheme="minorHAnsi"/>
          <w:color w:val="212529"/>
          <w:sz w:val="28"/>
          <w:szCs w:val="28"/>
          <w:shd w:val="clear" w:color="auto" w:fill="FFFFFF"/>
        </w:rPr>
        <w:t>,</w:t>
      </w:r>
      <w:r w:rsidRPr="000F3F35">
        <w:rPr>
          <w:rFonts w:ascii="Garamond" w:hAnsi="Garamond" w:cstheme="minorHAnsi"/>
          <w:color w:val="212529"/>
          <w:sz w:val="28"/>
          <w:szCs w:val="28"/>
          <w:shd w:val="clear" w:color="auto" w:fill="FFFFFF"/>
        </w:rPr>
        <w:t xml:space="preserve"> soggetti destinatari</w:t>
      </w:r>
      <w:r w:rsidR="00B37148">
        <w:rPr>
          <w:rFonts w:ascii="Garamond" w:hAnsi="Garamond" w:cstheme="minorHAnsi"/>
          <w:color w:val="212529"/>
          <w:sz w:val="28"/>
          <w:szCs w:val="28"/>
          <w:shd w:val="clear" w:color="auto" w:fill="FFFFFF"/>
        </w:rPr>
        <w:t>,</w:t>
      </w:r>
      <w:r w:rsidRPr="000F3F35">
        <w:rPr>
          <w:rFonts w:ascii="Garamond" w:hAnsi="Garamond" w:cstheme="minorHAnsi"/>
          <w:color w:val="212529"/>
          <w:sz w:val="28"/>
          <w:szCs w:val="28"/>
          <w:shd w:val="clear" w:color="auto" w:fill="FFFFFF"/>
        </w:rPr>
        <w:t xml:space="preserve"> tipo e grado di incisione delle </w:t>
      </w:r>
      <w:r w:rsidRPr="000F3F35">
        <w:rPr>
          <w:rFonts w:ascii="Garamond" w:hAnsi="Garamond" w:cstheme="minorHAnsi"/>
          <w:color w:val="212529"/>
          <w:sz w:val="28"/>
          <w:szCs w:val="28"/>
          <w:shd w:val="clear" w:color="auto" w:fill="FFFFFF"/>
        </w:rPr>
        <w:lastRenderedPageBreak/>
        <w:t>posizioni giuridiche soggettive.</w:t>
      </w:r>
      <w:r w:rsidRPr="000F3F35">
        <w:rPr>
          <w:rFonts w:ascii="Garamond" w:hAnsi="Garamond" w:cstheme="minorHAnsi"/>
          <w:color w:val="212529"/>
          <w:sz w:val="28"/>
          <w:szCs w:val="28"/>
          <w:shd w:val="clear" w:color="auto" w:fill="FFFFFF"/>
        </w:rPr>
        <w:cr/>
      </w:r>
    </w:p>
    <w:p w:rsidR="00782401" w:rsidRPr="000F3F35" w:rsidRDefault="00782401" w:rsidP="000F3F35">
      <w:pPr>
        <w:spacing w:after="0" w:line="360" w:lineRule="auto"/>
        <w:jc w:val="both"/>
        <w:rPr>
          <w:rFonts w:ascii="Garamond" w:hAnsi="Garamond" w:cstheme="minorHAnsi"/>
          <w:color w:val="212529"/>
          <w:sz w:val="28"/>
          <w:szCs w:val="28"/>
          <w:shd w:val="clear" w:color="auto" w:fill="FFFFFF"/>
        </w:rPr>
      </w:pPr>
      <w:r w:rsidRPr="000F3F35">
        <w:rPr>
          <w:rFonts w:ascii="Garamond" w:hAnsi="Garamond" w:cstheme="minorHAnsi"/>
          <w:color w:val="212529"/>
          <w:sz w:val="28"/>
          <w:szCs w:val="28"/>
          <w:shd w:val="clear" w:color="auto" w:fill="FFFFFF"/>
        </w:rPr>
        <w:t xml:space="preserve">Ci troviamo quindi in una fase storica che si caratterizza per un ripensamento dei confini dell’ambito di esercizio dei poteri regolatori. </w:t>
      </w:r>
      <w:proofErr w:type="gramStart"/>
      <w:r w:rsidRPr="000F3F35">
        <w:rPr>
          <w:rFonts w:ascii="Garamond" w:hAnsi="Garamond" w:cstheme="minorHAnsi"/>
          <w:color w:val="212529"/>
          <w:sz w:val="28"/>
          <w:szCs w:val="28"/>
          <w:shd w:val="clear" w:color="auto" w:fill="FFFFFF"/>
        </w:rPr>
        <w:t>E’</w:t>
      </w:r>
      <w:proofErr w:type="gramEnd"/>
      <w:r w:rsidRPr="000F3F35">
        <w:rPr>
          <w:rFonts w:ascii="Garamond" w:hAnsi="Garamond" w:cstheme="minorHAnsi"/>
          <w:color w:val="212529"/>
          <w:sz w:val="28"/>
          <w:szCs w:val="28"/>
          <w:shd w:val="clear" w:color="auto" w:fill="FFFFFF"/>
        </w:rPr>
        <w:t xml:space="preserve"> </w:t>
      </w:r>
      <w:r w:rsidR="00400399" w:rsidRPr="000F3F35">
        <w:rPr>
          <w:rFonts w:ascii="Garamond" w:hAnsi="Garamond" w:cstheme="minorHAnsi"/>
          <w:color w:val="212529"/>
          <w:sz w:val="28"/>
          <w:szCs w:val="28"/>
          <w:shd w:val="clear" w:color="auto" w:fill="FFFFFF"/>
        </w:rPr>
        <w:t xml:space="preserve">quindi </w:t>
      </w:r>
      <w:r w:rsidRPr="000F3F35">
        <w:rPr>
          <w:rFonts w:ascii="Garamond" w:hAnsi="Garamond" w:cstheme="minorHAnsi"/>
          <w:color w:val="212529"/>
          <w:sz w:val="28"/>
          <w:szCs w:val="28"/>
          <w:shd w:val="clear" w:color="auto" w:fill="FFFFFF"/>
        </w:rPr>
        <w:t>richiesta una particolare attenzione da parte di tutti gli attori istituzionali – legislatore, Autorità</w:t>
      </w:r>
      <w:r w:rsidR="00977782">
        <w:rPr>
          <w:rFonts w:ascii="Garamond" w:hAnsi="Garamond" w:cstheme="minorHAnsi"/>
          <w:color w:val="212529"/>
          <w:sz w:val="28"/>
          <w:szCs w:val="28"/>
          <w:shd w:val="clear" w:color="auto" w:fill="FFFFFF"/>
        </w:rPr>
        <w:t xml:space="preserve"> indipendenti</w:t>
      </w:r>
      <w:bookmarkStart w:id="0" w:name="_GoBack"/>
      <w:bookmarkEnd w:id="0"/>
      <w:r w:rsidRPr="000F3F35">
        <w:rPr>
          <w:rFonts w:ascii="Garamond" w:hAnsi="Garamond" w:cstheme="minorHAnsi"/>
          <w:color w:val="212529"/>
          <w:sz w:val="28"/>
          <w:szCs w:val="28"/>
          <w:shd w:val="clear" w:color="auto" w:fill="FFFFFF"/>
        </w:rPr>
        <w:t>, giudici – perché gli equilibri in gioco sono molteplici</w:t>
      </w:r>
      <w:r w:rsidR="00400399" w:rsidRPr="000F3F35">
        <w:rPr>
          <w:rFonts w:ascii="Garamond" w:hAnsi="Garamond" w:cstheme="minorHAnsi"/>
          <w:color w:val="212529"/>
          <w:sz w:val="28"/>
          <w:szCs w:val="28"/>
          <w:shd w:val="clear" w:color="auto" w:fill="FFFFFF"/>
        </w:rPr>
        <w:t xml:space="preserve"> </w:t>
      </w:r>
      <w:r w:rsidR="007630A0" w:rsidRPr="000F3F35">
        <w:rPr>
          <w:rFonts w:ascii="Garamond" w:hAnsi="Garamond" w:cstheme="minorHAnsi"/>
          <w:color w:val="212529"/>
          <w:sz w:val="28"/>
          <w:szCs w:val="28"/>
          <w:shd w:val="clear" w:color="auto" w:fill="FFFFFF"/>
        </w:rPr>
        <w:t>ed è compito di ciascuno di essi trovare una sintesi all’interno della ineludibile cornice dettata dal sistema delle fonti di diritto</w:t>
      </w:r>
      <w:r w:rsidRPr="000F3F35">
        <w:rPr>
          <w:rFonts w:ascii="Garamond" w:hAnsi="Garamond" w:cstheme="minorHAnsi"/>
          <w:color w:val="212529"/>
          <w:sz w:val="28"/>
          <w:szCs w:val="28"/>
          <w:shd w:val="clear" w:color="auto" w:fill="FFFFFF"/>
        </w:rPr>
        <w:t xml:space="preserve">. </w:t>
      </w:r>
    </w:p>
    <w:p w:rsidR="00782401" w:rsidRPr="000F3F35" w:rsidRDefault="00782401" w:rsidP="000F3F35">
      <w:pPr>
        <w:spacing w:after="0" w:line="360" w:lineRule="auto"/>
        <w:jc w:val="both"/>
        <w:rPr>
          <w:rFonts w:ascii="Garamond" w:hAnsi="Garamond" w:cstheme="minorHAnsi"/>
          <w:color w:val="212529"/>
          <w:sz w:val="28"/>
          <w:szCs w:val="28"/>
          <w:shd w:val="clear" w:color="auto" w:fill="FFFFFF"/>
        </w:rPr>
      </w:pPr>
    </w:p>
    <w:p w:rsidR="00777B8D" w:rsidRPr="000F3F35" w:rsidRDefault="00777B8D" w:rsidP="000F3F35">
      <w:pPr>
        <w:spacing w:line="360" w:lineRule="auto"/>
        <w:jc w:val="right"/>
        <w:rPr>
          <w:rFonts w:ascii="Garamond" w:hAnsi="Garamond" w:cs="Calibri"/>
          <w:color w:val="000000"/>
          <w:sz w:val="28"/>
          <w:szCs w:val="28"/>
          <w:shd w:val="clear" w:color="auto" w:fill="FFFFFF"/>
        </w:rPr>
      </w:pPr>
      <w:r w:rsidRPr="000F3F35">
        <w:rPr>
          <w:rFonts w:ascii="Garamond" w:hAnsi="Garamond" w:cs="Calibri"/>
          <w:color w:val="000000"/>
          <w:sz w:val="28"/>
          <w:szCs w:val="28"/>
          <w:shd w:val="clear" w:color="auto" w:fill="FFFFFF"/>
        </w:rPr>
        <w:t>Valentina Mameli, Consigliere T.A.R. Milano</w:t>
      </w:r>
    </w:p>
    <w:p w:rsidR="00777B8D" w:rsidRPr="000F3F35" w:rsidRDefault="00777B8D" w:rsidP="000F3F35">
      <w:pPr>
        <w:spacing w:line="360" w:lineRule="auto"/>
        <w:jc w:val="right"/>
        <w:rPr>
          <w:rFonts w:ascii="Garamond" w:hAnsi="Garamond" w:cs="Calibri"/>
          <w:color w:val="000000"/>
          <w:sz w:val="28"/>
          <w:szCs w:val="28"/>
          <w:shd w:val="clear" w:color="auto" w:fill="FFFFFF"/>
        </w:rPr>
      </w:pPr>
    </w:p>
    <w:p w:rsidR="00777B8D" w:rsidRPr="000F3F35" w:rsidRDefault="00777B8D" w:rsidP="000F3F35">
      <w:pPr>
        <w:spacing w:line="360" w:lineRule="auto"/>
        <w:jc w:val="both"/>
        <w:rPr>
          <w:rFonts w:ascii="Garamond" w:hAnsi="Garamond" w:cs="Calibri"/>
          <w:color w:val="000000"/>
          <w:sz w:val="28"/>
          <w:szCs w:val="28"/>
          <w:shd w:val="clear" w:color="auto" w:fill="FFFFFF"/>
        </w:rPr>
      </w:pPr>
      <w:r w:rsidRPr="000F3F35">
        <w:rPr>
          <w:rFonts w:ascii="Garamond" w:hAnsi="Garamond" w:cs="Calibri"/>
          <w:color w:val="000000"/>
          <w:sz w:val="28"/>
          <w:szCs w:val="28"/>
          <w:shd w:val="clear" w:color="auto" w:fill="FFFFFF"/>
        </w:rPr>
        <w:t>* Relazione tenuta al Convegno “Energia, reti e ambiente nella recente giurisprudenza del Giudice amministrativo”, organizzato dal T.A.R. Milano, ARERA, Università degli Studi di Milano, tenutosi presso il T.A.R. Milano il 3 ottobre 2024</w:t>
      </w:r>
    </w:p>
    <w:p w:rsidR="00782401" w:rsidRPr="000F3F35" w:rsidRDefault="00782401" w:rsidP="000F3F35">
      <w:pPr>
        <w:spacing w:line="360" w:lineRule="auto"/>
        <w:jc w:val="both"/>
        <w:rPr>
          <w:rFonts w:ascii="Garamond" w:hAnsi="Garamond" w:cstheme="minorHAnsi"/>
          <w:color w:val="212529"/>
          <w:sz w:val="28"/>
          <w:szCs w:val="28"/>
          <w:shd w:val="clear" w:color="auto" w:fill="FFFFFF"/>
        </w:rPr>
      </w:pPr>
    </w:p>
    <w:p w:rsidR="00782401" w:rsidRPr="000F3F35" w:rsidRDefault="00782401" w:rsidP="000F3F35">
      <w:pPr>
        <w:spacing w:line="360" w:lineRule="auto"/>
        <w:jc w:val="both"/>
        <w:rPr>
          <w:rFonts w:ascii="Garamond" w:hAnsi="Garamond" w:cstheme="minorHAnsi"/>
          <w:color w:val="212529"/>
          <w:sz w:val="28"/>
          <w:szCs w:val="28"/>
          <w:shd w:val="clear" w:color="auto" w:fill="FFFFFF"/>
        </w:rPr>
      </w:pPr>
    </w:p>
    <w:sectPr w:rsidR="00782401" w:rsidRPr="000F3F35">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6EB" w:rsidRDefault="00CC76EB" w:rsidP="002C1B5A">
      <w:pPr>
        <w:spacing w:after="0" w:line="240" w:lineRule="auto"/>
      </w:pPr>
      <w:r>
        <w:separator/>
      </w:r>
    </w:p>
  </w:endnote>
  <w:endnote w:type="continuationSeparator" w:id="0">
    <w:p w:rsidR="00CC76EB" w:rsidRDefault="00CC76EB" w:rsidP="002C1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174640"/>
      <w:docPartObj>
        <w:docPartGallery w:val="Page Numbers (Bottom of Page)"/>
        <w:docPartUnique/>
      </w:docPartObj>
    </w:sdtPr>
    <w:sdtEndPr/>
    <w:sdtContent>
      <w:p w:rsidR="003025F7" w:rsidRDefault="003025F7">
        <w:pPr>
          <w:pStyle w:val="Pidipagina"/>
          <w:jc w:val="right"/>
        </w:pPr>
        <w:r>
          <w:fldChar w:fldCharType="begin"/>
        </w:r>
        <w:r>
          <w:instrText>PAGE   \* MERGEFORMAT</w:instrText>
        </w:r>
        <w:r>
          <w:fldChar w:fldCharType="separate"/>
        </w:r>
        <w:r w:rsidR="00977782">
          <w:rPr>
            <w:noProof/>
          </w:rPr>
          <w:t>14</w:t>
        </w:r>
        <w:r>
          <w:fldChar w:fldCharType="end"/>
        </w:r>
      </w:p>
    </w:sdtContent>
  </w:sdt>
  <w:p w:rsidR="003025F7" w:rsidRDefault="003025F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6EB" w:rsidRDefault="00CC76EB" w:rsidP="002C1B5A">
      <w:pPr>
        <w:spacing w:after="0" w:line="240" w:lineRule="auto"/>
      </w:pPr>
      <w:r>
        <w:separator/>
      </w:r>
    </w:p>
  </w:footnote>
  <w:footnote w:type="continuationSeparator" w:id="0">
    <w:p w:rsidR="00CC76EB" w:rsidRDefault="00CC76EB" w:rsidP="002C1B5A">
      <w:pPr>
        <w:spacing w:after="0" w:line="240" w:lineRule="auto"/>
      </w:pPr>
      <w:r>
        <w:continuationSeparator/>
      </w:r>
    </w:p>
  </w:footnote>
  <w:footnote w:id="1">
    <w:p w:rsidR="006C79D8" w:rsidRPr="006C79D8" w:rsidRDefault="000F3F35" w:rsidP="008407C4">
      <w:pPr>
        <w:spacing w:after="0" w:line="360" w:lineRule="auto"/>
        <w:jc w:val="both"/>
        <w:rPr>
          <w:rFonts w:ascii="Garamond" w:hAnsi="Garamond" w:cs="Calibri"/>
          <w:color w:val="000000"/>
          <w:sz w:val="24"/>
          <w:szCs w:val="24"/>
          <w:u w:val="single"/>
          <w:shd w:val="clear" w:color="auto" w:fill="FFFFFF"/>
        </w:rPr>
      </w:pPr>
      <w:r>
        <w:rPr>
          <w:rStyle w:val="Rimandonotaapidipagina"/>
        </w:rPr>
        <w:footnoteRef/>
      </w:r>
      <w:r>
        <w:t xml:space="preserve"> </w:t>
      </w:r>
      <w:r w:rsidRPr="006C79D8">
        <w:rPr>
          <w:rFonts w:ascii="Garamond" w:hAnsi="Garamond" w:cs="Calibri"/>
          <w:color w:val="000000"/>
          <w:sz w:val="24"/>
          <w:szCs w:val="24"/>
          <w:shd w:val="clear" w:color="auto" w:fill="FFFFFF"/>
        </w:rPr>
        <w:t>T</w:t>
      </w:r>
      <w:r w:rsidR="006C79D8">
        <w:rPr>
          <w:rFonts w:ascii="Garamond" w:hAnsi="Garamond" w:cs="Calibri"/>
          <w:color w:val="000000"/>
          <w:sz w:val="24"/>
          <w:szCs w:val="24"/>
          <w:shd w:val="clear" w:color="auto" w:fill="FFFFFF"/>
        </w:rPr>
        <w:t>.A.R.</w:t>
      </w:r>
      <w:r w:rsidRPr="006C79D8">
        <w:rPr>
          <w:rFonts w:ascii="Garamond" w:hAnsi="Garamond" w:cs="Calibri"/>
          <w:color w:val="000000"/>
          <w:sz w:val="24"/>
          <w:szCs w:val="24"/>
          <w:shd w:val="clear" w:color="auto" w:fill="FFFFFF"/>
        </w:rPr>
        <w:t xml:space="preserve"> Milano sez. I 24 febbraio 2023, n. 486; </w:t>
      </w:r>
      <w:proofErr w:type="spellStart"/>
      <w:r w:rsidRPr="006C79D8">
        <w:rPr>
          <w:rFonts w:ascii="Garamond" w:hAnsi="Garamond" w:cs="Calibri"/>
          <w:color w:val="000000"/>
          <w:sz w:val="24"/>
          <w:szCs w:val="24"/>
          <w:shd w:val="clear" w:color="auto" w:fill="FFFFFF"/>
        </w:rPr>
        <w:t>Cons</w:t>
      </w:r>
      <w:proofErr w:type="spellEnd"/>
      <w:r w:rsidRPr="006C79D8">
        <w:rPr>
          <w:rFonts w:ascii="Garamond" w:hAnsi="Garamond" w:cs="Calibri"/>
          <w:color w:val="000000"/>
          <w:sz w:val="24"/>
          <w:szCs w:val="24"/>
          <w:shd w:val="clear" w:color="auto" w:fill="FFFFFF"/>
        </w:rPr>
        <w:t xml:space="preserve">. Stato sez. II 6 dicembre 2023 n. 10550; </w:t>
      </w:r>
      <w:proofErr w:type="spellStart"/>
      <w:r w:rsidRPr="006C79D8">
        <w:rPr>
          <w:rFonts w:ascii="Garamond" w:hAnsi="Garamond" w:cstheme="minorHAnsi"/>
          <w:color w:val="212529"/>
          <w:sz w:val="24"/>
          <w:szCs w:val="24"/>
          <w:shd w:val="clear" w:color="auto" w:fill="FFFFFF"/>
        </w:rPr>
        <w:t>Cons</w:t>
      </w:r>
      <w:proofErr w:type="spellEnd"/>
      <w:r w:rsidRPr="006C79D8">
        <w:rPr>
          <w:rFonts w:ascii="Garamond" w:hAnsi="Garamond" w:cstheme="minorHAnsi"/>
          <w:color w:val="212529"/>
          <w:sz w:val="24"/>
          <w:szCs w:val="24"/>
          <w:shd w:val="clear" w:color="auto" w:fill="FFFFFF"/>
        </w:rPr>
        <w:t xml:space="preserve">. Stato sez. II 7 marzo 2024 n. 2255. </w:t>
      </w:r>
    </w:p>
    <w:p w:rsidR="000F3F35" w:rsidRPr="006C79D8" w:rsidRDefault="000F3F35" w:rsidP="006C79D8">
      <w:pPr>
        <w:pStyle w:val="Testonotaapidipagina"/>
        <w:jc w:val="both"/>
        <w:rPr>
          <w:rFonts w:ascii="Garamond" w:hAnsi="Garamond"/>
          <w:sz w:val="24"/>
          <w:szCs w:val="24"/>
        </w:rPr>
      </w:pPr>
    </w:p>
  </w:footnote>
  <w:footnote w:id="2">
    <w:p w:rsidR="00CC24EA" w:rsidRPr="00CC24EA" w:rsidRDefault="00CC24EA">
      <w:pPr>
        <w:pStyle w:val="Testonotaapidipagina"/>
      </w:pPr>
      <w:r>
        <w:rPr>
          <w:rStyle w:val="Rimandonotaapidipagina"/>
        </w:rPr>
        <w:footnoteRef/>
      </w:r>
      <w:r>
        <w:t xml:space="preserve"> </w:t>
      </w:r>
      <w:proofErr w:type="spellStart"/>
      <w:r w:rsidRPr="007A46E1">
        <w:rPr>
          <w:rFonts w:ascii="Garamond" w:hAnsi="Garamond" w:cs="Calibri"/>
          <w:color w:val="000000"/>
          <w:sz w:val="24"/>
          <w:szCs w:val="24"/>
          <w:shd w:val="clear" w:color="auto" w:fill="FFFFFF"/>
        </w:rPr>
        <w:t>Cons</w:t>
      </w:r>
      <w:proofErr w:type="spellEnd"/>
      <w:r w:rsidRPr="007A46E1">
        <w:rPr>
          <w:rFonts w:ascii="Garamond" w:hAnsi="Garamond" w:cs="Calibri"/>
          <w:color w:val="000000"/>
          <w:sz w:val="24"/>
          <w:szCs w:val="24"/>
          <w:shd w:val="clear" w:color="auto" w:fill="FFFFFF"/>
        </w:rPr>
        <w:t>. Stato sez.VI 14 dicembre 2020 n. 7972</w:t>
      </w:r>
    </w:p>
  </w:footnote>
  <w:footnote w:id="3">
    <w:p w:rsidR="00F91EC4" w:rsidRPr="004D5C19" w:rsidRDefault="00F91EC4" w:rsidP="00C361F7">
      <w:pPr>
        <w:pStyle w:val="Testonotaapidipagina"/>
        <w:jc w:val="both"/>
        <w:rPr>
          <w:rFonts w:ascii="Garamond" w:hAnsi="Garamond"/>
          <w:sz w:val="24"/>
          <w:szCs w:val="24"/>
        </w:rPr>
      </w:pPr>
      <w:r w:rsidRPr="004D5C19">
        <w:rPr>
          <w:rStyle w:val="Rimandonotaapidipagina"/>
          <w:rFonts w:ascii="Garamond" w:hAnsi="Garamond"/>
          <w:sz w:val="24"/>
          <w:szCs w:val="24"/>
        </w:rPr>
        <w:footnoteRef/>
      </w:r>
      <w:r w:rsidRPr="004D5C19">
        <w:rPr>
          <w:rFonts w:ascii="Garamond" w:hAnsi="Garamond"/>
          <w:sz w:val="24"/>
          <w:szCs w:val="24"/>
        </w:rPr>
        <w:t xml:space="preserve"> </w:t>
      </w:r>
      <w:proofErr w:type="spellStart"/>
      <w:r w:rsidR="00C361F7" w:rsidRPr="004D5C19">
        <w:rPr>
          <w:rFonts w:ascii="Garamond" w:hAnsi="Garamond"/>
          <w:sz w:val="24"/>
          <w:szCs w:val="24"/>
        </w:rPr>
        <w:t>Trib</w:t>
      </w:r>
      <w:proofErr w:type="spellEnd"/>
      <w:r w:rsidR="00C361F7" w:rsidRPr="004D5C19">
        <w:rPr>
          <w:rFonts w:ascii="Garamond" w:hAnsi="Garamond"/>
          <w:sz w:val="24"/>
          <w:szCs w:val="24"/>
        </w:rPr>
        <w:t xml:space="preserve">. UE, sez. X, 10 marzo 2021, causa T-245/17, punto 203 </w:t>
      </w:r>
      <w:r w:rsidR="002240CB">
        <w:rPr>
          <w:rFonts w:ascii="Garamond" w:hAnsi="Garamond"/>
          <w:sz w:val="24"/>
          <w:szCs w:val="24"/>
        </w:rPr>
        <w:t>(“</w:t>
      </w:r>
      <w:r w:rsidR="00C361F7" w:rsidRPr="002240CB">
        <w:rPr>
          <w:rFonts w:ascii="Garamond" w:hAnsi="Garamond"/>
          <w:i/>
          <w:sz w:val="24"/>
          <w:szCs w:val="24"/>
        </w:rPr>
        <w:t>rileva la costante giurisprudenza dalla quale emerge che l’esistenza di un potere implicito, che costituisce una deroga al principio di attribuzione sancito dall’art. 5 § 1 Trattato UE, dev’essere valutata restrittivamente; pertanto, i poteri impliciti vengono riconosciuti dalla giurisprudenza solo eccezionalmente a condizione che siano necessari per garantire l’effetto utile delle disposizioni del Trattato o del</w:t>
      </w:r>
      <w:r w:rsidR="004D5C19" w:rsidRPr="002240CB">
        <w:rPr>
          <w:rFonts w:ascii="Garamond" w:hAnsi="Garamond"/>
          <w:i/>
          <w:sz w:val="24"/>
          <w:szCs w:val="24"/>
        </w:rPr>
        <w:t xml:space="preserve"> </w:t>
      </w:r>
      <w:r w:rsidR="00C361F7" w:rsidRPr="002240CB">
        <w:rPr>
          <w:rFonts w:ascii="Garamond" w:hAnsi="Garamond"/>
          <w:i/>
          <w:sz w:val="24"/>
          <w:szCs w:val="24"/>
        </w:rPr>
        <w:t>regolamento di base di cui si tratta</w:t>
      </w:r>
      <w:r w:rsidR="002240CB">
        <w:rPr>
          <w:rFonts w:ascii="Garamond" w:hAnsi="Garamond"/>
          <w:sz w:val="24"/>
          <w:szCs w:val="24"/>
        </w:rPr>
        <w:t>”);</w:t>
      </w:r>
      <w:r w:rsidR="00C361F7" w:rsidRPr="004D5C19">
        <w:rPr>
          <w:rFonts w:ascii="Garamond" w:hAnsi="Garamond"/>
          <w:sz w:val="24"/>
          <w:szCs w:val="24"/>
        </w:rPr>
        <w:t xml:space="preserve"> </w:t>
      </w:r>
      <w:proofErr w:type="spellStart"/>
      <w:r w:rsidR="00C361F7" w:rsidRPr="004D5C19">
        <w:rPr>
          <w:rFonts w:ascii="Garamond" w:hAnsi="Garamond"/>
          <w:sz w:val="24"/>
          <w:szCs w:val="24"/>
        </w:rPr>
        <w:t>Trib</w:t>
      </w:r>
      <w:proofErr w:type="spellEnd"/>
      <w:r w:rsidR="00C361F7" w:rsidRPr="004D5C19">
        <w:rPr>
          <w:rFonts w:ascii="Garamond" w:hAnsi="Garamond"/>
          <w:sz w:val="24"/>
          <w:szCs w:val="24"/>
        </w:rPr>
        <w:t>. UE, sez. VIII, 22 aprile 2015, causa T-320/09, Planet/Commissione, punto 60;</w:t>
      </w:r>
      <w:r w:rsidR="004D5C19">
        <w:rPr>
          <w:rFonts w:ascii="Garamond" w:hAnsi="Garamond"/>
          <w:sz w:val="24"/>
          <w:szCs w:val="24"/>
        </w:rPr>
        <w:t xml:space="preserve"> </w:t>
      </w:r>
      <w:proofErr w:type="spellStart"/>
      <w:r w:rsidR="00C361F7" w:rsidRPr="004D5C19">
        <w:rPr>
          <w:rFonts w:ascii="Garamond" w:hAnsi="Garamond"/>
          <w:sz w:val="24"/>
          <w:szCs w:val="24"/>
        </w:rPr>
        <w:t>Trib</w:t>
      </w:r>
      <w:proofErr w:type="spellEnd"/>
      <w:r w:rsidR="00C361F7" w:rsidRPr="004D5C19">
        <w:rPr>
          <w:rFonts w:ascii="Garamond" w:hAnsi="Garamond"/>
          <w:sz w:val="24"/>
          <w:szCs w:val="24"/>
        </w:rPr>
        <w:t xml:space="preserve">. UE, sez. III, 17 novembre 2009, causa T-143/06, MTZ </w:t>
      </w:r>
      <w:proofErr w:type="spellStart"/>
      <w:r w:rsidR="00C361F7" w:rsidRPr="004D5C19">
        <w:rPr>
          <w:rFonts w:ascii="Garamond" w:hAnsi="Garamond"/>
          <w:sz w:val="24"/>
          <w:szCs w:val="24"/>
        </w:rPr>
        <w:t>Polyfilms</w:t>
      </w:r>
      <w:proofErr w:type="spellEnd"/>
      <w:r w:rsidR="00C361F7" w:rsidRPr="004D5C19">
        <w:rPr>
          <w:rFonts w:ascii="Garamond" w:hAnsi="Garamond"/>
          <w:sz w:val="24"/>
          <w:szCs w:val="24"/>
        </w:rPr>
        <w:t>/Consiglio, punto 47.</w:t>
      </w:r>
    </w:p>
  </w:footnote>
  <w:footnote w:id="4">
    <w:p w:rsidR="003025F7" w:rsidRDefault="003025F7" w:rsidP="00572D58">
      <w:pPr>
        <w:pStyle w:val="Testonotaapidipagina"/>
        <w:jc w:val="both"/>
      </w:pPr>
      <w:r>
        <w:rPr>
          <w:rStyle w:val="Rimandonotaapidipagina"/>
        </w:rPr>
        <w:footnoteRef/>
      </w:r>
      <w:r>
        <w:t xml:space="preserve"> </w:t>
      </w:r>
      <w:r w:rsidRPr="004D5C19">
        <w:rPr>
          <w:rFonts w:ascii="Garamond" w:hAnsi="Garamond"/>
          <w:sz w:val="24"/>
          <w:szCs w:val="24"/>
        </w:rPr>
        <w:t xml:space="preserve">M. RAMAIOLI, Attività </w:t>
      </w:r>
      <w:proofErr w:type="spellStart"/>
      <w:r w:rsidRPr="004D5C19">
        <w:rPr>
          <w:rFonts w:ascii="Garamond" w:hAnsi="Garamond"/>
          <w:sz w:val="24"/>
          <w:szCs w:val="24"/>
        </w:rPr>
        <w:t>regolatoria</w:t>
      </w:r>
      <w:proofErr w:type="spellEnd"/>
      <w:r w:rsidRPr="004D5C19">
        <w:rPr>
          <w:rFonts w:ascii="Garamond" w:hAnsi="Garamond"/>
          <w:sz w:val="24"/>
          <w:szCs w:val="24"/>
        </w:rPr>
        <w:t xml:space="preserve"> e norme attributive dei poteri: alcune considerazioni, in </w:t>
      </w:r>
      <w:proofErr w:type="spellStart"/>
      <w:r w:rsidRPr="004D5C19">
        <w:rPr>
          <w:rFonts w:ascii="Garamond" w:hAnsi="Garamond"/>
          <w:sz w:val="24"/>
          <w:szCs w:val="24"/>
        </w:rPr>
        <w:t>Riv</w:t>
      </w:r>
      <w:proofErr w:type="spellEnd"/>
      <w:r w:rsidRPr="004D5C19">
        <w:rPr>
          <w:rFonts w:ascii="Garamond" w:hAnsi="Garamond"/>
          <w:sz w:val="24"/>
          <w:szCs w:val="24"/>
        </w:rPr>
        <w:t>. reg. merc., 2022, 25 ss.</w:t>
      </w:r>
      <w:r>
        <w:rPr>
          <w:rFonts w:ascii="Garamond" w:hAnsi="Garamond"/>
          <w:sz w:val="24"/>
          <w:szCs w:val="24"/>
        </w:rPr>
        <w:t>; N. B</w:t>
      </w:r>
      <w:r w:rsidR="00C05FDC">
        <w:rPr>
          <w:rFonts w:ascii="Garamond" w:hAnsi="Garamond"/>
          <w:sz w:val="24"/>
          <w:szCs w:val="24"/>
        </w:rPr>
        <w:t>ASSI</w:t>
      </w:r>
      <w:r>
        <w:rPr>
          <w:rFonts w:ascii="Garamond" w:hAnsi="Garamond"/>
          <w:sz w:val="24"/>
          <w:szCs w:val="24"/>
        </w:rPr>
        <w:t xml:space="preserve">, Principio </w:t>
      </w:r>
      <w:r w:rsidR="00C05FDC">
        <w:rPr>
          <w:rFonts w:ascii="Garamond" w:hAnsi="Garamond"/>
          <w:sz w:val="24"/>
          <w:szCs w:val="24"/>
        </w:rPr>
        <w:t xml:space="preserve">di legalità e poteri amministrativi impliciti, Milano, </w:t>
      </w:r>
      <w:proofErr w:type="spellStart"/>
      <w:r w:rsidR="00C05FDC">
        <w:rPr>
          <w:rFonts w:ascii="Garamond" w:hAnsi="Garamond"/>
          <w:sz w:val="24"/>
          <w:szCs w:val="24"/>
        </w:rPr>
        <w:t>Giuffrè</w:t>
      </w:r>
      <w:proofErr w:type="spellEnd"/>
      <w:r w:rsidR="00C05FDC">
        <w:rPr>
          <w:rFonts w:ascii="Garamond" w:hAnsi="Garamond"/>
          <w:sz w:val="24"/>
          <w:szCs w:val="24"/>
        </w:rPr>
        <w:t xml:space="preserve"> 2001.</w:t>
      </w:r>
    </w:p>
  </w:footnote>
  <w:footnote w:id="5">
    <w:p w:rsidR="002C1B5A" w:rsidRDefault="002C1B5A" w:rsidP="00F91EC4">
      <w:pPr>
        <w:pStyle w:val="Testonotaapidipagina"/>
        <w:jc w:val="both"/>
      </w:pPr>
      <w:r w:rsidRPr="004D5C19">
        <w:rPr>
          <w:rStyle w:val="Rimandonotaapidipagina"/>
          <w:rFonts w:ascii="Garamond" w:hAnsi="Garamond"/>
          <w:sz w:val="24"/>
          <w:szCs w:val="24"/>
        </w:rPr>
        <w:footnoteRef/>
      </w:r>
      <w:r w:rsidRPr="004D5C19">
        <w:rPr>
          <w:rFonts w:ascii="Garamond" w:hAnsi="Garamond"/>
          <w:sz w:val="24"/>
          <w:szCs w:val="24"/>
        </w:rPr>
        <w:t xml:space="preserve"> G. MORBIDELLI, Il principio di legalità e i c.d. poteri impliciti, in Dir. </w:t>
      </w:r>
      <w:proofErr w:type="spellStart"/>
      <w:r w:rsidRPr="004D5C19">
        <w:rPr>
          <w:rFonts w:ascii="Garamond" w:hAnsi="Garamond"/>
          <w:sz w:val="24"/>
          <w:szCs w:val="24"/>
        </w:rPr>
        <w:t>amm</w:t>
      </w:r>
      <w:proofErr w:type="spellEnd"/>
      <w:r w:rsidRPr="004D5C19">
        <w:rPr>
          <w:rFonts w:ascii="Garamond" w:hAnsi="Garamond"/>
          <w:sz w:val="24"/>
          <w:szCs w:val="24"/>
        </w:rPr>
        <w:t>., 2007, p. 703 ss</w:t>
      </w:r>
      <w:r>
        <w:t>.</w:t>
      </w:r>
    </w:p>
  </w:footnote>
  <w:footnote w:id="6">
    <w:p w:rsidR="004D5C19" w:rsidRDefault="004D5C19" w:rsidP="004D5C19">
      <w:pPr>
        <w:pStyle w:val="Testonotaapidipagina"/>
        <w:jc w:val="both"/>
      </w:pPr>
      <w:r>
        <w:rPr>
          <w:rStyle w:val="Rimandonotaapidipagina"/>
        </w:rPr>
        <w:footnoteRef/>
      </w:r>
      <w:r>
        <w:t xml:space="preserve"> </w:t>
      </w:r>
      <w:r w:rsidRPr="004D5C19">
        <w:rPr>
          <w:rFonts w:ascii="Garamond" w:hAnsi="Garamond" w:cstheme="minorHAnsi"/>
          <w:color w:val="212529"/>
          <w:sz w:val="24"/>
          <w:szCs w:val="24"/>
          <w:shd w:val="clear" w:color="auto" w:fill="FFFFFF"/>
        </w:rPr>
        <w:t xml:space="preserve">Corte </w:t>
      </w:r>
      <w:proofErr w:type="spellStart"/>
      <w:r w:rsidRPr="004D5C19">
        <w:rPr>
          <w:rFonts w:ascii="Garamond" w:hAnsi="Garamond" w:cstheme="minorHAnsi"/>
          <w:color w:val="212529"/>
          <w:sz w:val="24"/>
          <w:szCs w:val="24"/>
          <w:shd w:val="clear" w:color="auto" w:fill="FFFFFF"/>
        </w:rPr>
        <w:t>Cost</w:t>
      </w:r>
      <w:proofErr w:type="spellEnd"/>
      <w:r w:rsidRPr="004D5C19">
        <w:rPr>
          <w:rFonts w:ascii="Garamond" w:hAnsi="Garamond" w:cstheme="minorHAnsi"/>
          <w:color w:val="212529"/>
          <w:sz w:val="24"/>
          <w:szCs w:val="24"/>
          <w:shd w:val="clear" w:color="auto" w:fill="FFFFFF"/>
        </w:rPr>
        <w:t>. 7 aprile 2011 n. 115</w:t>
      </w:r>
    </w:p>
  </w:footnote>
  <w:footnote w:id="7">
    <w:p w:rsidR="008D4BEA" w:rsidRPr="004D5C19" w:rsidRDefault="008D4BEA" w:rsidP="004D5C19">
      <w:pPr>
        <w:pStyle w:val="Testonotaapidipagina"/>
        <w:jc w:val="both"/>
        <w:rPr>
          <w:rFonts w:ascii="Garamond" w:hAnsi="Garamond"/>
          <w:sz w:val="24"/>
          <w:szCs w:val="24"/>
        </w:rPr>
      </w:pPr>
      <w:r w:rsidRPr="004D5C19">
        <w:rPr>
          <w:rStyle w:val="Rimandonotaapidipagina"/>
          <w:rFonts w:ascii="Garamond" w:hAnsi="Garamond"/>
          <w:sz w:val="24"/>
          <w:szCs w:val="24"/>
        </w:rPr>
        <w:footnoteRef/>
      </w:r>
      <w:r w:rsidRPr="004D5C19">
        <w:rPr>
          <w:rFonts w:ascii="Garamond" w:hAnsi="Garamond"/>
          <w:sz w:val="24"/>
          <w:szCs w:val="24"/>
        </w:rPr>
        <w:t xml:space="preserve"> F.F. </w:t>
      </w:r>
      <w:proofErr w:type="spellStart"/>
      <w:r w:rsidRPr="004D5C19">
        <w:rPr>
          <w:rFonts w:ascii="Garamond" w:hAnsi="Garamond"/>
          <w:sz w:val="24"/>
          <w:szCs w:val="24"/>
        </w:rPr>
        <w:t>Guzzi</w:t>
      </w:r>
      <w:proofErr w:type="spellEnd"/>
      <w:r w:rsidRPr="004D5C19">
        <w:rPr>
          <w:rFonts w:ascii="Garamond" w:hAnsi="Garamond"/>
          <w:sz w:val="24"/>
          <w:szCs w:val="24"/>
        </w:rPr>
        <w:t>, I poteri amministrativi impliciti: un tema alla ricerca di soluzioni, in www.ambientediritto.it, 2023</w:t>
      </w:r>
    </w:p>
  </w:footnote>
  <w:footnote w:id="8">
    <w:p w:rsidR="00C05FDC" w:rsidRDefault="00C05FDC">
      <w:pPr>
        <w:pStyle w:val="Testonotaapidipagina"/>
      </w:pPr>
      <w:r>
        <w:rPr>
          <w:rStyle w:val="Rimandonotaapidipagina"/>
        </w:rPr>
        <w:footnoteRef/>
      </w:r>
      <w:r>
        <w:t xml:space="preserve"> </w:t>
      </w:r>
      <w:r>
        <w:rPr>
          <w:rFonts w:ascii="Garamond" w:hAnsi="Garamond"/>
          <w:sz w:val="24"/>
          <w:szCs w:val="24"/>
        </w:rPr>
        <w:t>N. BASSI, Principio di legalità e poteri amministrativi impliciti, cit.;</w:t>
      </w:r>
    </w:p>
  </w:footnote>
  <w:footnote w:id="9">
    <w:p w:rsidR="002C1B5A" w:rsidRPr="004D5C19" w:rsidRDefault="002C1B5A" w:rsidP="00F91EC4">
      <w:pPr>
        <w:pStyle w:val="Testonotaapidipagina"/>
        <w:jc w:val="both"/>
        <w:rPr>
          <w:rFonts w:ascii="Garamond" w:hAnsi="Garamond"/>
          <w:sz w:val="24"/>
          <w:szCs w:val="24"/>
        </w:rPr>
      </w:pPr>
      <w:r>
        <w:rPr>
          <w:rStyle w:val="Rimandonotaapidipagina"/>
        </w:rPr>
        <w:footnoteRef/>
      </w:r>
      <w:r>
        <w:t xml:space="preserve"> </w:t>
      </w:r>
      <w:r w:rsidRPr="004D5C19">
        <w:rPr>
          <w:rFonts w:ascii="Garamond" w:hAnsi="Garamond"/>
          <w:sz w:val="24"/>
          <w:szCs w:val="24"/>
        </w:rPr>
        <w:t xml:space="preserve">Ad esempio nell'ambito delle controversie relative alla legittimità dei provvedimenti di decadenza dalla tariffa incentivante adottati dal Gestore dei Servizi Energetici. Secondo il giudice amministrativo, infatti, tale provvedimento ha natura vincolata e accertativa dell'assodata mancanza dei requisiti condizionanti l'ammissione al finanziamento pubblico ed è strumentale al potere di ammissione al finanziamento, con la conseguenza che il riconoscimento del primo è inscindibilmente connesso all'attribuzione del secondo. Cfr. tra le più recenti: </w:t>
      </w:r>
      <w:proofErr w:type="spellStart"/>
      <w:r w:rsidRPr="004D5C19">
        <w:rPr>
          <w:rFonts w:ascii="Garamond" w:hAnsi="Garamond"/>
          <w:sz w:val="24"/>
          <w:szCs w:val="24"/>
        </w:rPr>
        <w:t>Cons</w:t>
      </w:r>
      <w:proofErr w:type="spellEnd"/>
      <w:r w:rsidRPr="004D5C19">
        <w:rPr>
          <w:rFonts w:ascii="Garamond" w:hAnsi="Garamond"/>
          <w:sz w:val="24"/>
          <w:szCs w:val="24"/>
        </w:rPr>
        <w:t xml:space="preserve">. Stato, sez. II, 29 dicembre 2022 n. 11545; </w:t>
      </w:r>
      <w:proofErr w:type="spellStart"/>
      <w:r w:rsidRPr="004D5C19">
        <w:rPr>
          <w:rFonts w:ascii="Garamond" w:hAnsi="Garamond"/>
          <w:sz w:val="24"/>
          <w:szCs w:val="24"/>
        </w:rPr>
        <w:t>Cons</w:t>
      </w:r>
      <w:proofErr w:type="spellEnd"/>
      <w:r w:rsidRPr="004D5C19">
        <w:rPr>
          <w:rFonts w:ascii="Garamond" w:hAnsi="Garamond"/>
          <w:sz w:val="24"/>
          <w:szCs w:val="24"/>
        </w:rPr>
        <w:t xml:space="preserve">. Stato, sez. VI, 12 ottobre 2022 n. 8719; </w:t>
      </w:r>
      <w:proofErr w:type="spellStart"/>
      <w:r w:rsidRPr="004D5C19">
        <w:rPr>
          <w:rFonts w:ascii="Garamond" w:hAnsi="Garamond"/>
          <w:sz w:val="24"/>
          <w:szCs w:val="24"/>
        </w:rPr>
        <w:t>Cons</w:t>
      </w:r>
      <w:proofErr w:type="spellEnd"/>
      <w:r w:rsidRPr="004D5C19">
        <w:rPr>
          <w:rFonts w:ascii="Garamond" w:hAnsi="Garamond"/>
          <w:sz w:val="24"/>
          <w:szCs w:val="24"/>
        </w:rPr>
        <w:t xml:space="preserve">. Stato, sez. II, 4 aprile 2022 n. 2486. Analogamente, la giurisprudenza ha ritenuto compresi nel potere di vigilanza attribuito all'allora AEEG sul divieto di traslazione sui prezzi al consumo della maggiorazione dell'IRES, i relativi poteri istruttori, ma ha escluso che l'Autorità fosse legittimata ad adottare misure sanzionatorie o conformative dirette a reprimere o a impedire la traslazione di imposta: TAR Lombardia, sez. III, 17 giugno 2009 </w:t>
      </w:r>
      <w:proofErr w:type="spellStart"/>
      <w:r w:rsidRPr="004D5C19">
        <w:rPr>
          <w:rFonts w:ascii="Garamond" w:hAnsi="Garamond"/>
          <w:sz w:val="24"/>
          <w:szCs w:val="24"/>
        </w:rPr>
        <w:t>nn</w:t>
      </w:r>
      <w:proofErr w:type="spellEnd"/>
      <w:r w:rsidRPr="004D5C19">
        <w:rPr>
          <w:rFonts w:ascii="Garamond" w:hAnsi="Garamond"/>
          <w:sz w:val="24"/>
          <w:szCs w:val="24"/>
        </w:rPr>
        <w:t>. da 4041 a 4053.</w:t>
      </w:r>
    </w:p>
  </w:footnote>
  <w:footnote w:id="10">
    <w:p w:rsidR="00C361F7" w:rsidRPr="004D5C19" w:rsidRDefault="00C361F7" w:rsidP="00C70A62">
      <w:pPr>
        <w:pStyle w:val="Testonotaapidipagina"/>
        <w:jc w:val="both"/>
        <w:rPr>
          <w:rFonts w:ascii="Garamond" w:hAnsi="Garamond"/>
          <w:sz w:val="24"/>
          <w:szCs w:val="24"/>
        </w:rPr>
      </w:pPr>
      <w:r w:rsidRPr="004D5C19">
        <w:rPr>
          <w:rStyle w:val="Rimandonotaapidipagina"/>
          <w:rFonts w:ascii="Garamond" w:hAnsi="Garamond"/>
          <w:sz w:val="24"/>
          <w:szCs w:val="24"/>
        </w:rPr>
        <w:footnoteRef/>
      </w:r>
      <w:r w:rsidRPr="004D5C19">
        <w:rPr>
          <w:rFonts w:ascii="Garamond" w:hAnsi="Garamond"/>
          <w:sz w:val="24"/>
          <w:szCs w:val="24"/>
        </w:rPr>
        <w:t xml:space="preserve"> </w:t>
      </w:r>
      <w:proofErr w:type="spellStart"/>
      <w:r w:rsidRPr="004D5C19">
        <w:rPr>
          <w:rFonts w:ascii="Garamond" w:hAnsi="Garamond"/>
          <w:sz w:val="24"/>
          <w:szCs w:val="24"/>
        </w:rPr>
        <w:t>Cons</w:t>
      </w:r>
      <w:proofErr w:type="spellEnd"/>
      <w:r w:rsidRPr="004D5C19">
        <w:rPr>
          <w:rFonts w:ascii="Garamond" w:hAnsi="Garamond"/>
          <w:sz w:val="24"/>
          <w:szCs w:val="24"/>
        </w:rPr>
        <w:t>. Stato, sez. VI, 2 maggio 2012 n. 2521; TAR Lombardia</w:t>
      </w:r>
      <w:r w:rsidR="006045C4">
        <w:rPr>
          <w:rFonts w:ascii="Garamond" w:hAnsi="Garamond"/>
          <w:sz w:val="24"/>
          <w:szCs w:val="24"/>
        </w:rPr>
        <w:t xml:space="preserve"> - Milano</w:t>
      </w:r>
      <w:r w:rsidRPr="004D5C19">
        <w:rPr>
          <w:rFonts w:ascii="Garamond" w:hAnsi="Garamond"/>
          <w:sz w:val="24"/>
          <w:szCs w:val="24"/>
        </w:rPr>
        <w:t>, sez. II, 5 gennaio 2021 n. 18.</w:t>
      </w:r>
    </w:p>
  </w:footnote>
  <w:footnote w:id="11">
    <w:p w:rsidR="0003555A" w:rsidRDefault="0003555A">
      <w:pPr>
        <w:pStyle w:val="Testonotaapidipagina"/>
      </w:pPr>
      <w:r>
        <w:rPr>
          <w:rStyle w:val="Rimandonotaapidipagina"/>
        </w:rPr>
        <w:footnoteRef/>
      </w:r>
      <w:r>
        <w:t xml:space="preserve"> </w:t>
      </w:r>
      <w:proofErr w:type="spellStart"/>
      <w:r w:rsidRPr="006045C4">
        <w:rPr>
          <w:rFonts w:ascii="Garamond" w:hAnsi="Garamond"/>
          <w:sz w:val="24"/>
          <w:szCs w:val="24"/>
        </w:rPr>
        <w:t>Cons</w:t>
      </w:r>
      <w:proofErr w:type="spellEnd"/>
      <w:r w:rsidRPr="006045C4">
        <w:rPr>
          <w:rFonts w:ascii="Garamond" w:hAnsi="Garamond"/>
          <w:sz w:val="24"/>
          <w:szCs w:val="24"/>
        </w:rPr>
        <w:t>. St., sez. VI, 9 novembre 2018, n. 6330.</w:t>
      </w:r>
    </w:p>
  </w:footnote>
  <w:footnote w:id="12">
    <w:p w:rsidR="00024B7B" w:rsidRPr="004D5C19" w:rsidRDefault="00024B7B" w:rsidP="00C70A62">
      <w:pPr>
        <w:pStyle w:val="Testonotaapidipagina"/>
        <w:jc w:val="both"/>
        <w:rPr>
          <w:rFonts w:ascii="Garamond" w:hAnsi="Garamond"/>
          <w:sz w:val="24"/>
          <w:szCs w:val="24"/>
        </w:rPr>
      </w:pPr>
      <w:r w:rsidRPr="004D5C19">
        <w:rPr>
          <w:rStyle w:val="Rimandonotaapidipagina"/>
          <w:rFonts w:ascii="Garamond" w:hAnsi="Garamond"/>
          <w:sz w:val="24"/>
          <w:szCs w:val="24"/>
        </w:rPr>
        <w:footnoteRef/>
      </w:r>
      <w:r w:rsidRPr="004D5C19">
        <w:rPr>
          <w:rFonts w:ascii="Garamond" w:hAnsi="Garamond"/>
          <w:sz w:val="24"/>
          <w:szCs w:val="24"/>
        </w:rPr>
        <w:t xml:space="preserve"> M. RAMAIOLI, Attività </w:t>
      </w:r>
      <w:proofErr w:type="spellStart"/>
      <w:r w:rsidRPr="004D5C19">
        <w:rPr>
          <w:rFonts w:ascii="Garamond" w:hAnsi="Garamond"/>
          <w:sz w:val="24"/>
          <w:szCs w:val="24"/>
        </w:rPr>
        <w:t>regolatoria</w:t>
      </w:r>
      <w:proofErr w:type="spellEnd"/>
      <w:r w:rsidRPr="004D5C19">
        <w:rPr>
          <w:rFonts w:ascii="Garamond" w:hAnsi="Garamond"/>
          <w:sz w:val="24"/>
          <w:szCs w:val="24"/>
        </w:rPr>
        <w:t xml:space="preserve"> e norme attributive dei poteri: alcune considerazioni, in </w:t>
      </w:r>
      <w:proofErr w:type="spellStart"/>
      <w:r w:rsidRPr="004D5C19">
        <w:rPr>
          <w:rFonts w:ascii="Garamond" w:hAnsi="Garamond"/>
          <w:sz w:val="24"/>
          <w:szCs w:val="24"/>
        </w:rPr>
        <w:t>Riv</w:t>
      </w:r>
      <w:proofErr w:type="spellEnd"/>
      <w:r w:rsidRPr="004D5C19">
        <w:rPr>
          <w:rFonts w:ascii="Garamond" w:hAnsi="Garamond"/>
          <w:sz w:val="24"/>
          <w:szCs w:val="24"/>
        </w:rPr>
        <w:t>. reg. merc</w:t>
      </w:r>
      <w:r w:rsidR="00C70A62" w:rsidRPr="004D5C19">
        <w:rPr>
          <w:rFonts w:ascii="Garamond" w:hAnsi="Garamond"/>
          <w:sz w:val="24"/>
          <w:szCs w:val="24"/>
        </w:rPr>
        <w:t>., 2022, 25 ss.</w:t>
      </w:r>
    </w:p>
  </w:footnote>
  <w:footnote w:id="13">
    <w:p w:rsidR="00C70A62" w:rsidRPr="004D5C19" w:rsidRDefault="00C70A62" w:rsidP="00C70A62">
      <w:pPr>
        <w:pStyle w:val="Testonotaapidipagina"/>
        <w:jc w:val="both"/>
        <w:rPr>
          <w:rFonts w:ascii="Garamond" w:hAnsi="Garamond"/>
          <w:sz w:val="24"/>
          <w:szCs w:val="24"/>
        </w:rPr>
      </w:pPr>
      <w:r w:rsidRPr="004D5C19">
        <w:rPr>
          <w:rStyle w:val="Rimandonotaapidipagina"/>
          <w:rFonts w:ascii="Garamond" w:hAnsi="Garamond"/>
          <w:sz w:val="24"/>
          <w:szCs w:val="24"/>
        </w:rPr>
        <w:footnoteRef/>
      </w:r>
      <w:r w:rsidRPr="004D5C19">
        <w:rPr>
          <w:rFonts w:ascii="Garamond" w:hAnsi="Garamond"/>
          <w:sz w:val="24"/>
          <w:szCs w:val="24"/>
        </w:rPr>
        <w:t xml:space="preserve"> Art. 1, comma 1, del </w:t>
      </w:r>
      <w:proofErr w:type="spellStart"/>
      <w:r w:rsidRPr="004D5C19">
        <w:rPr>
          <w:rFonts w:ascii="Garamond" w:hAnsi="Garamond"/>
          <w:sz w:val="24"/>
          <w:szCs w:val="24"/>
        </w:rPr>
        <w:t>d.l.</w:t>
      </w:r>
      <w:proofErr w:type="spellEnd"/>
      <w:r w:rsidRPr="004D5C19">
        <w:rPr>
          <w:rFonts w:ascii="Garamond" w:hAnsi="Garamond"/>
          <w:sz w:val="24"/>
          <w:szCs w:val="24"/>
        </w:rPr>
        <w:t xml:space="preserve"> n. 7/2007, introdotto dall’art. 19-quinquiesdecies del </w:t>
      </w:r>
      <w:proofErr w:type="spellStart"/>
      <w:r w:rsidRPr="004D5C19">
        <w:rPr>
          <w:rFonts w:ascii="Garamond" w:hAnsi="Garamond"/>
          <w:sz w:val="24"/>
          <w:szCs w:val="24"/>
        </w:rPr>
        <w:t>d.l.</w:t>
      </w:r>
      <w:proofErr w:type="spellEnd"/>
      <w:r w:rsidRPr="004D5C19">
        <w:rPr>
          <w:rFonts w:ascii="Garamond" w:hAnsi="Garamond"/>
          <w:sz w:val="24"/>
          <w:szCs w:val="24"/>
        </w:rPr>
        <w:t xml:space="preserve"> n. 148/2017.</w:t>
      </w:r>
    </w:p>
  </w:footnote>
  <w:footnote w:id="14">
    <w:p w:rsidR="00C70A62" w:rsidRPr="004D5C19" w:rsidRDefault="00C70A62">
      <w:pPr>
        <w:pStyle w:val="Testonotaapidipagina"/>
        <w:rPr>
          <w:rFonts w:ascii="Garamond" w:hAnsi="Garamond"/>
          <w:sz w:val="24"/>
          <w:szCs w:val="24"/>
        </w:rPr>
      </w:pPr>
      <w:r w:rsidRPr="004D5C19">
        <w:rPr>
          <w:rStyle w:val="Rimandonotaapidipagina"/>
          <w:rFonts w:ascii="Garamond" w:hAnsi="Garamond"/>
          <w:sz w:val="24"/>
          <w:szCs w:val="24"/>
        </w:rPr>
        <w:footnoteRef/>
      </w:r>
      <w:r w:rsidRPr="004D5C19">
        <w:rPr>
          <w:rFonts w:ascii="Garamond" w:hAnsi="Garamond"/>
          <w:sz w:val="24"/>
          <w:szCs w:val="24"/>
        </w:rPr>
        <w:t xml:space="preserve"> </w:t>
      </w:r>
      <w:proofErr w:type="spellStart"/>
      <w:r w:rsidRPr="004D5C19">
        <w:rPr>
          <w:rFonts w:ascii="Garamond" w:hAnsi="Garamond"/>
          <w:sz w:val="24"/>
          <w:szCs w:val="24"/>
        </w:rPr>
        <w:t>Cons</w:t>
      </w:r>
      <w:proofErr w:type="spellEnd"/>
      <w:r w:rsidRPr="004D5C19">
        <w:rPr>
          <w:rFonts w:ascii="Garamond" w:hAnsi="Garamond"/>
          <w:sz w:val="24"/>
          <w:szCs w:val="24"/>
        </w:rPr>
        <w:t>. Stato, sez. VI, n. 879/2020</w:t>
      </w:r>
    </w:p>
  </w:footnote>
  <w:footnote w:id="15">
    <w:p w:rsidR="00A94FE1" w:rsidRDefault="00A94FE1" w:rsidP="00A94FE1">
      <w:pPr>
        <w:pStyle w:val="Testonotaapidipagina"/>
        <w:jc w:val="both"/>
      </w:pPr>
      <w:r>
        <w:rPr>
          <w:rStyle w:val="Rimandonotaapidipagina"/>
        </w:rPr>
        <w:footnoteRef/>
      </w:r>
      <w:r>
        <w:t xml:space="preserve"> </w:t>
      </w:r>
      <w:r w:rsidRPr="00A94FE1">
        <w:rPr>
          <w:rFonts w:ascii="Garamond" w:hAnsi="Garamond"/>
          <w:sz w:val="24"/>
          <w:szCs w:val="24"/>
        </w:rPr>
        <w:t xml:space="preserve">Si fa riferimento, </w:t>
      </w:r>
      <w:proofErr w:type="spellStart"/>
      <w:r w:rsidRPr="00A94FE1">
        <w:rPr>
          <w:rFonts w:ascii="Garamond" w:hAnsi="Garamond"/>
          <w:i/>
          <w:sz w:val="24"/>
          <w:szCs w:val="24"/>
        </w:rPr>
        <w:t>ratione</w:t>
      </w:r>
      <w:proofErr w:type="spellEnd"/>
      <w:r w:rsidRPr="00A94FE1">
        <w:rPr>
          <w:rFonts w:ascii="Garamond" w:hAnsi="Garamond"/>
          <w:i/>
          <w:sz w:val="24"/>
          <w:szCs w:val="24"/>
        </w:rPr>
        <w:t xml:space="preserve"> </w:t>
      </w:r>
      <w:proofErr w:type="spellStart"/>
      <w:r w:rsidRPr="00A94FE1">
        <w:rPr>
          <w:rFonts w:ascii="Garamond" w:hAnsi="Garamond"/>
          <w:i/>
          <w:sz w:val="24"/>
          <w:szCs w:val="24"/>
        </w:rPr>
        <w:t>temporis</w:t>
      </w:r>
      <w:proofErr w:type="spellEnd"/>
      <w:r w:rsidRPr="00A94FE1">
        <w:rPr>
          <w:rFonts w:ascii="Garamond" w:hAnsi="Garamond"/>
          <w:sz w:val="24"/>
          <w:szCs w:val="24"/>
        </w:rPr>
        <w:t>, al Programma approvato con approvato con decreto del Ministero della Transizione ecologica del 24</w:t>
      </w:r>
      <w:r>
        <w:rPr>
          <w:rFonts w:ascii="Garamond" w:hAnsi="Garamond"/>
          <w:sz w:val="24"/>
          <w:szCs w:val="24"/>
        </w:rPr>
        <w:t xml:space="preserve"> giugno </w:t>
      </w:r>
      <w:r w:rsidRPr="00A94FE1">
        <w:rPr>
          <w:rFonts w:ascii="Garamond" w:hAnsi="Garamond"/>
          <w:sz w:val="24"/>
          <w:szCs w:val="24"/>
        </w:rPr>
        <w:t>2022 n.257</w:t>
      </w:r>
      <w:r>
        <w:rPr>
          <w:rFonts w:ascii="Garamond" w:hAnsi="Garamond"/>
          <w:sz w:val="24"/>
          <w:szCs w:val="24"/>
        </w:rPr>
        <w:t>.</w:t>
      </w:r>
    </w:p>
  </w:footnote>
  <w:footnote w:id="16">
    <w:p w:rsidR="00D85C3C" w:rsidRPr="00D85C3C" w:rsidRDefault="00D85C3C" w:rsidP="00D85C3C">
      <w:pPr>
        <w:pStyle w:val="Testonotaapidipagina"/>
        <w:jc w:val="both"/>
        <w:rPr>
          <w:rFonts w:ascii="Garamond" w:hAnsi="Garamond"/>
          <w:sz w:val="24"/>
          <w:szCs w:val="24"/>
        </w:rPr>
      </w:pPr>
      <w:r>
        <w:rPr>
          <w:rStyle w:val="Rimandonotaapidipagina"/>
        </w:rPr>
        <w:footnoteRef/>
      </w:r>
      <w:r>
        <w:t xml:space="preserve"> </w:t>
      </w:r>
      <w:proofErr w:type="spellStart"/>
      <w:r>
        <w:rPr>
          <w:rFonts w:ascii="Garamond" w:hAnsi="Garamond"/>
          <w:sz w:val="24"/>
          <w:szCs w:val="24"/>
        </w:rPr>
        <w:t>Cons</w:t>
      </w:r>
      <w:proofErr w:type="spellEnd"/>
      <w:r>
        <w:rPr>
          <w:rFonts w:ascii="Garamond" w:hAnsi="Garamond"/>
          <w:sz w:val="24"/>
          <w:szCs w:val="24"/>
        </w:rPr>
        <w:t>. Stato sez. VI</w:t>
      </w:r>
      <w:r w:rsidRPr="00D85C3C">
        <w:t xml:space="preserve"> </w:t>
      </w:r>
      <w:r w:rsidRPr="00D85C3C">
        <w:rPr>
          <w:rFonts w:ascii="Garamond" w:hAnsi="Garamond"/>
          <w:sz w:val="24"/>
          <w:szCs w:val="24"/>
        </w:rPr>
        <w:t>24 maggio 2016, n. 2182</w:t>
      </w:r>
      <w:r>
        <w:rPr>
          <w:rFonts w:ascii="Garamond" w:hAnsi="Garamond"/>
          <w:sz w:val="24"/>
          <w:szCs w:val="24"/>
        </w:rPr>
        <w:t>.</w:t>
      </w:r>
    </w:p>
  </w:footnote>
  <w:footnote w:id="17">
    <w:p w:rsidR="00D85C3C" w:rsidRDefault="00D85C3C">
      <w:pPr>
        <w:pStyle w:val="Testonotaapidipagina"/>
      </w:pPr>
      <w:r>
        <w:rPr>
          <w:rStyle w:val="Rimandonotaapidipagina"/>
        </w:rPr>
        <w:footnoteRef/>
      </w:r>
      <w:r>
        <w:t xml:space="preserve"> </w:t>
      </w:r>
      <w:proofErr w:type="spellStart"/>
      <w:r>
        <w:rPr>
          <w:rFonts w:ascii="Garamond" w:hAnsi="Garamond"/>
          <w:sz w:val="24"/>
          <w:szCs w:val="24"/>
        </w:rPr>
        <w:t>Cons</w:t>
      </w:r>
      <w:proofErr w:type="spellEnd"/>
      <w:r>
        <w:rPr>
          <w:rFonts w:ascii="Garamond" w:hAnsi="Garamond"/>
          <w:sz w:val="24"/>
          <w:szCs w:val="24"/>
        </w:rPr>
        <w:t>. Stato sez. VI 14 dicembre 2020, n. 7972.</w:t>
      </w:r>
    </w:p>
  </w:footnote>
  <w:footnote w:id="18">
    <w:p w:rsidR="00D34BFC" w:rsidRPr="00AA7F0F" w:rsidRDefault="00D34BFC" w:rsidP="00523BD0">
      <w:pPr>
        <w:pStyle w:val="Testonotaapidipagina"/>
        <w:jc w:val="both"/>
        <w:rPr>
          <w:rFonts w:ascii="Garamond" w:hAnsi="Garamond"/>
          <w:sz w:val="24"/>
          <w:szCs w:val="24"/>
        </w:rPr>
      </w:pPr>
      <w:r>
        <w:rPr>
          <w:rStyle w:val="Rimandonotaapidipagina"/>
        </w:rPr>
        <w:footnoteRef/>
      </w:r>
      <w:r>
        <w:t xml:space="preserve"> </w:t>
      </w:r>
      <w:r w:rsidRPr="00AA7F0F">
        <w:rPr>
          <w:rFonts w:ascii="Garamond" w:hAnsi="Garamond"/>
          <w:sz w:val="24"/>
          <w:szCs w:val="24"/>
        </w:rPr>
        <w:t xml:space="preserve">Corte </w:t>
      </w:r>
      <w:proofErr w:type="spellStart"/>
      <w:r w:rsidRPr="00AA7F0F">
        <w:rPr>
          <w:rFonts w:ascii="Garamond" w:hAnsi="Garamond"/>
          <w:sz w:val="24"/>
          <w:szCs w:val="24"/>
        </w:rPr>
        <w:t>Cost</w:t>
      </w:r>
      <w:proofErr w:type="spellEnd"/>
      <w:r w:rsidRPr="00AA7F0F">
        <w:rPr>
          <w:rFonts w:ascii="Garamond" w:hAnsi="Garamond"/>
          <w:sz w:val="24"/>
          <w:szCs w:val="24"/>
        </w:rPr>
        <w:t>., 22 febbraio 2017 n. 69</w:t>
      </w:r>
      <w:r w:rsidR="00523BD0" w:rsidRPr="00AA7F0F">
        <w:rPr>
          <w:rFonts w:ascii="Garamond" w:hAnsi="Garamond"/>
          <w:sz w:val="24"/>
          <w:szCs w:val="24"/>
        </w:rPr>
        <w:t>: “</w:t>
      </w:r>
      <w:r w:rsidR="00523BD0" w:rsidRPr="00AA7F0F">
        <w:rPr>
          <w:rFonts w:ascii="Garamond" w:hAnsi="Garamond"/>
          <w:i/>
          <w:sz w:val="24"/>
          <w:szCs w:val="24"/>
        </w:rPr>
        <w:t xml:space="preserve">La possibilità di valorizzare le forme di legalità procedurale previste dalla legge, ai fini della valutazione del rispetto dell’art. 23 </w:t>
      </w:r>
      <w:proofErr w:type="spellStart"/>
      <w:r w:rsidR="00523BD0" w:rsidRPr="00AA7F0F">
        <w:rPr>
          <w:rFonts w:ascii="Garamond" w:hAnsi="Garamond"/>
          <w:i/>
          <w:sz w:val="24"/>
          <w:szCs w:val="24"/>
        </w:rPr>
        <w:t>Cost</w:t>
      </w:r>
      <w:proofErr w:type="spellEnd"/>
      <w:r w:rsidR="00523BD0" w:rsidRPr="00AA7F0F">
        <w:rPr>
          <w:rFonts w:ascii="Garamond" w:hAnsi="Garamond"/>
          <w:i/>
          <w:sz w:val="24"/>
          <w:szCs w:val="24"/>
        </w:rPr>
        <w:t>., vale, in particolare, nei settori affidati ai poteri regolatori delle autorità amministrative indipendenti, quando vengano in rilievo profili caratterizzati da un elevato grado di complessità tecnica. In questi casi, la difficoltà di predeterminare con legge in modo rigoroso i presupposti delle funzioni amministrative attribuite alle autorità comporterebbe un inevitabile pregiudizio alle esigenze sottese alla riserva di legge, se non fossero quantomeno previste forme di partecipazione degli operatori di settore al procedimento di formazione degli atti</w:t>
      </w:r>
      <w:r w:rsidR="00523BD0" w:rsidRPr="00AA7F0F">
        <w:rPr>
          <w:rFonts w:ascii="Garamond" w:hAnsi="Garamond"/>
          <w:sz w:val="24"/>
          <w:szCs w:val="24"/>
        </w:rPr>
        <w:t>”.</w:t>
      </w:r>
    </w:p>
  </w:footnote>
  <w:footnote w:id="19">
    <w:p w:rsidR="00C43AC9" w:rsidRPr="00AA7F0F" w:rsidRDefault="00C43AC9">
      <w:pPr>
        <w:pStyle w:val="Testonotaapidipagina"/>
        <w:rPr>
          <w:rFonts w:ascii="Garamond" w:hAnsi="Garamond"/>
          <w:sz w:val="24"/>
          <w:szCs w:val="24"/>
        </w:rPr>
      </w:pPr>
      <w:r w:rsidRPr="00AA7F0F">
        <w:rPr>
          <w:rStyle w:val="Rimandonotaapidipagina"/>
          <w:rFonts w:ascii="Garamond" w:hAnsi="Garamond"/>
          <w:sz w:val="24"/>
          <w:szCs w:val="24"/>
        </w:rPr>
        <w:footnoteRef/>
      </w:r>
      <w:r w:rsidRPr="00AA7F0F">
        <w:rPr>
          <w:rFonts w:ascii="Garamond" w:hAnsi="Garamond"/>
          <w:sz w:val="24"/>
          <w:szCs w:val="24"/>
        </w:rPr>
        <w:t xml:space="preserve"> F.F. </w:t>
      </w:r>
      <w:proofErr w:type="spellStart"/>
      <w:r w:rsidRPr="00AA7F0F">
        <w:rPr>
          <w:rFonts w:ascii="Garamond" w:hAnsi="Garamond"/>
          <w:sz w:val="24"/>
          <w:szCs w:val="24"/>
        </w:rPr>
        <w:t>Guzzi</w:t>
      </w:r>
      <w:proofErr w:type="spellEnd"/>
      <w:r w:rsidRPr="00AA7F0F">
        <w:rPr>
          <w:rFonts w:ascii="Garamond" w:hAnsi="Garamond"/>
          <w:sz w:val="24"/>
          <w:szCs w:val="24"/>
        </w:rPr>
        <w:t xml:space="preserve">, I poteri amministrativi impliciti: un tema alla ricerca di soluzioni, in </w:t>
      </w:r>
      <w:proofErr w:type="gramStart"/>
      <w:r w:rsidRPr="00AA7F0F">
        <w:rPr>
          <w:rFonts w:ascii="Garamond" w:hAnsi="Garamond"/>
          <w:sz w:val="24"/>
          <w:szCs w:val="24"/>
        </w:rPr>
        <w:t>ww.ambientediritto.it</w:t>
      </w:r>
      <w:proofErr w:type="gramEnd"/>
      <w:r w:rsidRPr="00AA7F0F">
        <w:rPr>
          <w:rFonts w:ascii="Garamond" w:hAnsi="Garamond"/>
          <w:sz w:val="24"/>
          <w:szCs w:val="24"/>
        </w:rPr>
        <w:t>, 2023</w:t>
      </w:r>
    </w:p>
  </w:footnote>
  <w:footnote w:id="20">
    <w:p w:rsidR="00A77D0A" w:rsidRDefault="00A77D0A" w:rsidP="00A77D0A">
      <w:pPr>
        <w:pStyle w:val="Testonotaapidipagina"/>
        <w:jc w:val="both"/>
      </w:pPr>
      <w:r>
        <w:rPr>
          <w:rStyle w:val="Rimandonotaapidipagina"/>
        </w:rPr>
        <w:footnoteRef/>
      </w:r>
      <w:r>
        <w:t xml:space="preserve"> </w:t>
      </w:r>
      <w:r w:rsidRPr="00A77D0A">
        <w:rPr>
          <w:rFonts w:ascii="Garamond" w:hAnsi="Garamond"/>
          <w:sz w:val="24"/>
          <w:szCs w:val="24"/>
        </w:rPr>
        <w:t>Come si è ritenuto nelle sentenze</w:t>
      </w:r>
      <w:r>
        <w:t xml:space="preserve"> </w:t>
      </w:r>
      <w:r w:rsidRPr="006C79D8">
        <w:rPr>
          <w:rFonts w:ascii="Garamond" w:hAnsi="Garamond" w:cs="Calibri"/>
          <w:color w:val="000000"/>
          <w:sz w:val="24"/>
          <w:szCs w:val="24"/>
          <w:shd w:val="clear" w:color="auto" w:fill="FFFFFF"/>
        </w:rPr>
        <w:t>T</w:t>
      </w:r>
      <w:r>
        <w:rPr>
          <w:rFonts w:ascii="Garamond" w:hAnsi="Garamond" w:cs="Calibri"/>
          <w:color w:val="000000"/>
          <w:sz w:val="24"/>
          <w:szCs w:val="24"/>
          <w:shd w:val="clear" w:color="auto" w:fill="FFFFFF"/>
        </w:rPr>
        <w:t>.A.R.</w:t>
      </w:r>
      <w:r w:rsidRPr="006C79D8">
        <w:rPr>
          <w:rFonts w:ascii="Garamond" w:hAnsi="Garamond" w:cs="Calibri"/>
          <w:color w:val="000000"/>
          <w:sz w:val="24"/>
          <w:szCs w:val="24"/>
          <w:shd w:val="clear" w:color="auto" w:fill="FFFFFF"/>
        </w:rPr>
        <w:t xml:space="preserve"> Milano sez. I 24 febbraio 2023, n. 486</w:t>
      </w:r>
      <w:r w:rsidR="00A432DB">
        <w:rPr>
          <w:rFonts w:ascii="Garamond" w:hAnsi="Garamond" w:cs="Calibri"/>
          <w:color w:val="000000"/>
          <w:sz w:val="24"/>
          <w:szCs w:val="24"/>
          <w:shd w:val="clear" w:color="auto" w:fill="FFFFFF"/>
        </w:rPr>
        <w:t>,</w:t>
      </w:r>
      <w:r w:rsidRPr="006C79D8">
        <w:rPr>
          <w:rFonts w:ascii="Garamond" w:hAnsi="Garamond" w:cs="Calibri"/>
          <w:color w:val="000000"/>
          <w:sz w:val="24"/>
          <w:szCs w:val="24"/>
          <w:shd w:val="clear" w:color="auto" w:fill="FFFFFF"/>
        </w:rPr>
        <w:t xml:space="preserve"> </w:t>
      </w:r>
      <w:proofErr w:type="spellStart"/>
      <w:r w:rsidRPr="006C79D8">
        <w:rPr>
          <w:rFonts w:ascii="Garamond" w:hAnsi="Garamond" w:cs="Calibri"/>
          <w:color w:val="000000"/>
          <w:sz w:val="24"/>
          <w:szCs w:val="24"/>
          <w:shd w:val="clear" w:color="auto" w:fill="FFFFFF"/>
        </w:rPr>
        <w:t>Cons</w:t>
      </w:r>
      <w:proofErr w:type="spellEnd"/>
      <w:r w:rsidRPr="006C79D8">
        <w:rPr>
          <w:rFonts w:ascii="Garamond" w:hAnsi="Garamond" w:cs="Calibri"/>
          <w:color w:val="000000"/>
          <w:sz w:val="24"/>
          <w:szCs w:val="24"/>
          <w:shd w:val="clear" w:color="auto" w:fill="FFFFFF"/>
        </w:rPr>
        <w:t>. Stato sez. II 6 dicembre 2023 n. 10550</w:t>
      </w:r>
      <w:r w:rsidR="00A432DB">
        <w:rPr>
          <w:rFonts w:ascii="Garamond" w:hAnsi="Garamond" w:cs="Calibri"/>
          <w:color w:val="000000"/>
          <w:sz w:val="24"/>
          <w:szCs w:val="24"/>
          <w:shd w:val="clear" w:color="auto" w:fill="FFFFFF"/>
        </w:rPr>
        <w:t xml:space="preserve"> e</w:t>
      </w:r>
      <w:r w:rsidRPr="006C79D8">
        <w:rPr>
          <w:rFonts w:ascii="Garamond" w:hAnsi="Garamond" w:cs="Calibri"/>
          <w:color w:val="000000"/>
          <w:sz w:val="24"/>
          <w:szCs w:val="24"/>
          <w:shd w:val="clear" w:color="auto" w:fill="FFFFFF"/>
        </w:rPr>
        <w:t xml:space="preserve"> </w:t>
      </w:r>
      <w:proofErr w:type="spellStart"/>
      <w:r w:rsidRPr="006C79D8">
        <w:rPr>
          <w:rFonts w:ascii="Garamond" w:hAnsi="Garamond" w:cstheme="minorHAnsi"/>
          <w:color w:val="212529"/>
          <w:sz w:val="24"/>
          <w:szCs w:val="24"/>
          <w:shd w:val="clear" w:color="auto" w:fill="FFFFFF"/>
        </w:rPr>
        <w:t>Cons</w:t>
      </w:r>
      <w:proofErr w:type="spellEnd"/>
      <w:r w:rsidRPr="006C79D8">
        <w:rPr>
          <w:rFonts w:ascii="Garamond" w:hAnsi="Garamond" w:cstheme="minorHAnsi"/>
          <w:color w:val="212529"/>
          <w:sz w:val="24"/>
          <w:szCs w:val="24"/>
          <w:shd w:val="clear" w:color="auto" w:fill="FFFFFF"/>
        </w:rPr>
        <w:t>. Stato sez. II 7 marzo 2024 n. 2255</w:t>
      </w:r>
      <w:r>
        <w:rPr>
          <w:rFonts w:ascii="Garamond" w:hAnsi="Garamond" w:cstheme="minorHAnsi"/>
          <w:color w:val="212529"/>
          <w:sz w:val="24"/>
          <w:szCs w:val="24"/>
          <w:shd w:val="clear" w:color="auto" w:fill="FFFFFF"/>
        </w:rPr>
        <w:t>, da cui hanno tratto spunto le riflessioni che si stanno svolgendo.</w:t>
      </w:r>
    </w:p>
  </w:footnote>
  <w:footnote w:id="21">
    <w:p w:rsidR="00DF7DCB" w:rsidRPr="00DF7DCB" w:rsidRDefault="00DF7DCB" w:rsidP="00DF7DCB">
      <w:pPr>
        <w:jc w:val="both"/>
        <w:rPr>
          <w:rFonts w:cstheme="minorHAnsi"/>
          <w:color w:val="212529"/>
          <w:sz w:val="24"/>
          <w:szCs w:val="24"/>
          <w:shd w:val="clear" w:color="auto" w:fill="FFFFFF"/>
        </w:rPr>
      </w:pPr>
      <w:r>
        <w:rPr>
          <w:rStyle w:val="Rimandonotaapidipagina"/>
        </w:rPr>
        <w:footnoteRef/>
      </w:r>
      <w:r>
        <w:t xml:space="preserve"> </w:t>
      </w:r>
      <w:proofErr w:type="spellStart"/>
      <w:r w:rsidRPr="005645C9">
        <w:rPr>
          <w:rFonts w:ascii="Garamond" w:hAnsi="Garamond" w:cstheme="minorHAnsi"/>
          <w:color w:val="212529"/>
          <w:sz w:val="24"/>
          <w:szCs w:val="24"/>
          <w:shd w:val="clear" w:color="auto" w:fill="FFFFFF"/>
        </w:rPr>
        <w:t>Cons</w:t>
      </w:r>
      <w:proofErr w:type="spellEnd"/>
      <w:r w:rsidRPr="005645C9">
        <w:rPr>
          <w:rFonts w:ascii="Garamond" w:hAnsi="Garamond" w:cstheme="minorHAnsi"/>
          <w:color w:val="212529"/>
          <w:sz w:val="24"/>
          <w:szCs w:val="24"/>
          <w:shd w:val="clear" w:color="auto" w:fill="FFFFFF"/>
        </w:rPr>
        <w:t>. Stato sez. II 7 marzo 2024 n. 2255</w:t>
      </w:r>
    </w:p>
    <w:p w:rsidR="00DF7DCB" w:rsidRDefault="00DF7DCB">
      <w:pPr>
        <w:pStyle w:val="Testonotaapidipagina"/>
      </w:pPr>
    </w:p>
  </w:footnote>
  <w:footnote w:id="22">
    <w:p w:rsidR="005645C9" w:rsidRPr="005645C9" w:rsidRDefault="005645C9" w:rsidP="005645C9">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A.</w:t>
      </w:r>
      <w:r w:rsidR="00D13B61">
        <w:rPr>
          <w:rFonts w:ascii="Garamond" w:hAnsi="Garamond"/>
          <w:sz w:val="24"/>
          <w:szCs w:val="24"/>
        </w:rPr>
        <w:t xml:space="preserve"> </w:t>
      </w:r>
      <w:r>
        <w:rPr>
          <w:rFonts w:ascii="Garamond" w:hAnsi="Garamond"/>
          <w:sz w:val="24"/>
          <w:szCs w:val="24"/>
        </w:rPr>
        <w:t xml:space="preserve">MARRA, I poteri impliciti, in Dir. </w:t>
      </w:r>
      <w:proofErr w:type="spellStart"/>
      <w:r>
        <w:rPr>
          <w:rFonts w:ascii="Garamond" w:hAnsi="Garamond"/>
          <w:sz w:val="24"/>
          <w:szCs w:val="24"/>
        </w:rPr>
        <w:t>Amm</w:t>
      </w:r>
      <w:proofErr w:type="spellEnd"/>
      <w:r>
        <w:rPr>
          <w:rFonts w:ascii="Garamond" w:hAnsi="Garamond"/>
          <w:sz w:val="24"/>
          <w:szCs w:val="24"/>
        </w:rPr>
        <w:t>. 2023 n. 4</w:t>
      </w:r>
    </w:p>
  </w:footnote>
  <w:footnote w:id="23">
    <w:p w:rsidR="00D13B61" w:rsidRPr="00D13B61" w:rsidRDefault="00D13B61" w:rsidP="00D13B61">
      <w:pPr>
        <w:pStyle w:val="Testonotaapidipagina"/>
        <w:jc w:val="both"/>
        <w:rPr>
          <w:rFonts w:ascii="Garamond" w:hAnsi="Garamond"/>
          <w:sz w:val="24"/>
          <w:szCs w:val="24"/>
        </w:rPr>
      </w:pPr>
      <w:r>
        <w:rPr>
          <w:rStyle w:val="Rimandonotaapidipagina"/>
        </w:rPr>
        <w:footnoteRef/>
      </w:r>
      <w:r>
        <w:t xml:space="preserve"> </w:t>
      </w:r>
      <w:r w:rsidRPr="00D13B61">
        <w:rPr>
          <w:rFonts w:ascii="Garamond" w:hAnsi="Garamond"/>
          <w:sz w:val="24"/>
          <w:szCs w:val="24"/>
        </w:rPr>
        <w:t>S. SPUNTARELLI, Poteri impliciti, in Enciclopedia del Diritto, I Tematici V, 2023.</w:t>
      </w:r>
    </w:p>
  </w:footnote>
  <w:footnote w:id="24">
    <w:p w:rsidR="002C108C" w:rsidRPr="002C108C" w:rsidRDefault="002C108C" w:rsidP="002C108C">
      <w:pPr>
        <w:pStyle w:val="Testonotaapidipagina"/>
        <w:jc w:val="both"/>
        <w:rPr>
          <w:rFonts w:ascii="Garamond" w:hAnsi="Garamond"/>
          <w:sz w:val="24"/>
          <w:szCs w:val="24"/>
        </w:rPr>
      </w:pPr>
      <w:r w:rsidRPr="002C108C">
        <w:rPr>
          <w:rStyle w:val="Rimandonotaapidipagina"/>
          <w:rFonts w:ascii="Garamond" w:hAnsi="Garamond"/>
          <w:sz w:val="24"/>
          <w:szCs w:val="24"/>
        </w:rPr>
        <w:footnoteRef/>
      </w:r>
      <w:r w:rsidRPr="002C108C">
        <w:rPr>
          <w:rFonts w:ascii="Garamond" w:hAnsi="Garamond"/>
          <w:sz w:val="24"/>
          <w:szCs w:val="24"/>
        </w:rPr>
        <w:t xml:space="preserve"> G. MORBIDELLI, Il principio di legalità e i c.d. poteri </w:t>
      </w:r>
      <w:proofErr w:type="spellStart"/>
      <w:r w:rsidRPr="002C108C">
        <w:rPr>
          <w:rFonts w:ascii="Garamond" w:hAnsi="Garamond"/>
          <w:sz w:val="24"/>
          <w:szCs w:val="24"/>
        </w:rPr>
        <w:t>implicit</w:t>
      </w:r>
      <w:proofErr w:type="spellEnd"/>
      <w:r w:rsidRPr="002C108C">
        <w:rPr>
          <w:rFonts w:ascii="Garamond" w:hAnsi="Garamond"/>
          <w:sz w:val="24"/>
          <w:szCs w:val="24"/>
        </w:rPr>
        <w:t xml:space="preserve">, in Dir. </w:t>
      </w:r>
      <w:proofErr w:type="spellStart"/>
      <w:r w:rsidRPr="002C108C">
        <w:rPr>
          <w:rFonts w:ascii="Garamond" w:hAnsi="Garamond"/>
          <w:sz w:val="24"/>
          <w:szCs w:val="24"/>
        </w:rPr>
        <w:t>Amm</w:t>
      </w:r>
      <w:proofErr w:type="spellEnd"/>
      <w:r w:rsidRPr="002C108C">
        <w:rPr>
          <w:rFonts w:ascii="Garamond" w:hAnsi="Garamond"/>
          <w:sz w:val="24"/>
          <w:szCs w:val="24"/>
        </w:rPr>
        <w:t>. 2007</w:t>
      </w:r>
    </w:p>
  </w:footnote>
  <w:footnote w:id="25">
    <w:p w:rsidR="006D6003" w:rsidRDefault="006D6003" w:rsidP="006D6003">
      <w:pPr>
        <w:pStyle w:val="Testonotaapidipagina"/>
      </w:pPr>
      <w:r>
        <w:rPr>
          <w:rStyle w:val="Rimandonotaapidipagina"/>
        </w:rPr>
        <w:footnoteRef/>
      </w:r>
      <w:r>
        <w:t xml:space="preserve"> </w:t>
      </w:r>
      <w:r w:rsidRPr="006D6003">
        <w:rPr>
          <w:rFonts w:ascii="Garamond" w:hAnsi="Garamond"/>
          <w:sz w:val="24"/>
          <w:szCs w:val="24"/>
        </w:rPr>
        <w:t>TAR Lomb</w:t>
      </w:r>
      <w:r>
        <w:rPr>
          <w:rFonts w:ascii="Garamond" w:hAnsi="Garamond"/>
          <w:sz w:val="24"/>
          <w:szCs w:val="24"/>
        </w:rPr>
        <w:t xml:space="preserve">ardia - </w:t>
      </w:r>
      <w:r w:rsidRPr="006D6003">
        <w:rPr>
          <w:rFonts w:ascii="Garamond" w:hAnsi="Garamond"/>
          <w:sz w:val="24"/>
          <w:szCs w:val="24"/>
        </w:rPr>
        <w:t>Milano, sez. II, 4 aprile 2002, n. 1331;</w:t>
      </w:r>
    </w:p>
    <w:p w:rsidR="006D6003" w:rsidRDefault="006D6003" w:rsidP="006D6003">
      <w:pPr>
        <w:pStyle w:val="Testonotaapidipagina"/>
      </w:pPr>
    </w:p>
  </w:footnote>
  <w:footnote w:id="26">
    <w:p w:rsidR="00D34BFC" w:rsidRPr="00D13B61" w:rsidRDefault="00D34BFC" w:rsidP="00D34BFC">
      <w:pPr>
        <w:pStyle w:val="Testonotaapidipagina"/>
        <w:jc w:val="both"/>
        <w:rPr>
          <w:rFonts w:ascii="Garamond" w:hAnsi="Garamond"/>
          <w:sz w:val="24"/>
          <w:szCs w:val="24"/>
        </w:rPr>
      </w:pPr>
      <w:r>
        <w:rPr>
          <w:rStyle w:val="Rimandonotaapidipagina"/>
        </w:rPr>
        <w:footnoteRef/>
      </w:r>
      <w:r>
        <w:t xml:space="preserve"> </w:t>
      </w:r>
      <w:proofErr w:type="spellStart"/>
      <w:r w:rsidRPr="00D13B61">
        <w:rPr>
          <w:rFonts w:ascii="Garamond" w:hAnsi="Garamond"/>
          <w:sz w:val="24"/>
          <w:szCs w:val="24"/>
        </w:rPr>
        <w:t>Cons</w:t>
      </w:r>
      <w:proofErr w:type="spellEnd"/>
      <w:r w:rsidRPr="00D13B61">
        <w:rPr>
          <w:rFonts w:ascii="Garamond" w:hAnsi="Garamond"/>
          <w:sz w:val="24"/>
          <w:szCs w:val="24"/>
        </w:rPr>
        <w:t xml:space="preserve">. Stato, sez. VI, 24 maggio 2016 n. 2182, relativa a una delibera dell'allora AEEGSI che prevedeva specifici obblighi di garanzia in capo agli utenti del servizio di trasporto e vendita di energia elettrica (C.d. </w:t>
      </w:r>
      <w:proofErr w:type="spellStart"/>
      <w:r w:rsidRPr="00D13B61">
        <w:rPr>
          <w:rFonts w:ascii="Garamond" w:hAnsi="Garamond"/>
          <w:sz w:val="24"/>
          <w:szCs w:val="24"/>
        </w:rPr>
        <w:t>traiders</w:t>
      </w:r>
      <w:proofErr w:type="spellEnd"/>
      <w:r w:rsidRPr="00D13B61">
        <w:rPr>
          <w:rFonts w:ascii="Garamond" w:hAnsi="Garamond"/>
          <w:sz w:val="24"/>
          <w:szCs w:val="24"/>
        </w:rPr>
        <w:t>) a favore dei distributori, in caso di inadempimento da parte dei clienti nel corrispondere gli oneri di sistema; TAR Lombardia, Milano, sez. III, 14 marzo 2013 n. 683</w:t>
      </w:r>
    </w:p>
  </w:footnote>
  <w:footnote w:id="27">
    <w:p w:rsidR="00632D02" w:rsidRDefault="00632D02">
      <w:pPr>
        <w:pStyle w:val="Testonotaapidipagina"/>
      </w:pPr>
      <w:r>
        <w:rPr>
          <w:rStyle w:val="Rimandonotaapidipagina"/>
        </w:rPr>
        <w:footnoteRef/>
      </w:r>
      <w:r>
        <w:t xml:space="preserve"> </w:t>
      </w:r>
      <w:proofErr w:type="spellStart"/>
      <w:r w:rsidRPr="002C108C">
        <w:rPr>
          <w:rFonts w:ascii="Garamond" w:hAnsi="Garamond"/>
          <w:sz w:val="24"/>
          <w:szCs w:val="24"/>
        </w:rPr>
        <w:t>Cons</w:t>
      </w:r>
      <w:proofErr w:type="spellEnd"/>
      <w:r w:rsidRPr="002C108C">
        <w:rPr>
          <w:rFonts w:ascii="Garamond" w:hAnsi="Garamond"/>
          <w:sz w:val="24"/>
          <w:szCs w:val="24"/>
        </w:rPr>
        <w:t>. Stato sez. II 7 marzo 2024 n. 2255.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192692"/>
    <w:multiLevelType w:val="hybridMultilevel"/>
    <w:tmpl w:val="539039F8"/>
    <w:lvl w:ilvl="0" w:tplc="5FDE2AF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873"/>
    <w:rsid w:val="00024B7B"/>
    <w:rsid w:val="0003555A"/>
    <w:rsid w:val="000834EA"/>
    <w:rsid w:val="00083D08"/>
    <w:rsid w:val="000C58BA"/>
    <w:rsid w:val="000D2D54"/>
    <w:rsid w:val="000F3F35"/>
    <w:rsid w:val="000F6A52"/>
    <w:rsid w:val="00101144"/>
    <w:rsid w:val="001342DC"/>
    <w:rsid w:val="002240CB"/>
    <w:rsid w:val="002C108C"/>
    <w:rsid w:val="002C1B5A"/>
    <w:rsid w:val="002D51C5"/>
    <w:rsid w:val="002E481B"/>
    <w:rsid w:val="003025F7"/>
    <w:rsid w:val="00315E78"/>
    <w:rsid w:val="00325EE9"/>
    <w:rsid w:val="00327F72"/>
    <w:rsid w:val="00356809"/>
    <w:rsid w:val="00400399"/>
    <w:rsid w:val="00411865"/>
    <w:rsid w:val="004D5C19"/>
    <w:rsid w:val="004F0DA2"/>
    <w:rsid w:val="0050630F"/>
    <w:rsid w:val="00520E1E"/>
    <w:rsid w:val="00523BD0"/>
    <w:rsid w:val="00525E88"/>
    <w:rsid w:val="00550454"/>
    <w:rsid w:val="005563EE"/>
    <w:rsid w:val="005645C9"/>
    <w:rsid w:val="00572D58"/>
    <w:rsid w:val="00594E7B"/>
    <w:rsid w:val="005A21FE"/>
    <w:rsid w:val="005B24DD"/>
    <w:rsid w:val="005B5460"/>
    <w:rsid w:val="005B7023"/>
    <w:rsid w:val="006045C4"/>
    <w:rsid w:val="00607ED7"/>
    <w:rsid w:val="00632D02"/>
    <w:rsid w:val="00643649"/>
    <w:rsid w:val="00647873"/>
    <w:rsid w:val="006742D2"/>
    <w:rsid w:val="00684D90"/>
    <w:rsid w:val="00694D52"/>
    <w:rsid w:val="006C79D8"/>
    <w:rsid w:val="006D2244"/>
    <w:rsid w:val="006D6003"/>
    <w:rsid w:val="00726021"/>
    <w:rsid w:val="007630A0"/>
    <w:rsid w:val="007709E6"/>
    <w:rsid w:val="00777B8D"/>
    <w:rsid w:val="00782401"/>
    <w:rsid w:val="007A46E1"/>
    <w:rsid w:val="007A7A00"/>
    <w:rsid w:val="007B58F3"/>
    <w:rsid w:val="007C24E0"/>
    <w:rsid w:val="007C72A9"/>
    <w:rsid w:val="007F3DED"/>
    <w:rsid w:val="008407C4"/>
    <w:rsid w:val="008658D3"/>
    <w:rsid w:val="00881189"/>
    <w:rsid w:val="008B5268"/>
    <w:rsid w:val="008C3F7E"/>
    <w:rsid w:val="008C414F"/>
    <w:rsid w:val="008D4BEA"/>
    <w:rsid w:val="00954F03"/>
    <w:rsid w:val="00977782"/>
    <w:rsid w:val="009858FB"/>
    <w:rsid w:val="009A67E6"/>
    <w:rsid w:val="009A7A9C"/>
    <w:rsid w:val="009D1B23"/>
    <w:rsid w:val="00A432DB"/>
    <w:rsid w:val="00A70343"/>
    <w:rsid w:val="00A77D0A"/>
    <w:rsid w:val="00A94FE1"/>
    <w:rsid w:val="00AA7F0F"/>
    <w:rsid w:val="00AD1078"/>
    <w:rsid w:val="00AD3E63"/>
    <w:rsid w:val="00B225B2"/>
    <w:rsid w:val="00B37148"/>
    <w:rsid w:val="00B543F1"/>
    <w:rsid w:val="00B672F5"/>
    <w:rsid w:val="00B809CD"/>
    <w:rsid w:val="00BE162C"/>
    <w:rsid w:val="00C05FDC"/>
    <w:rsid w:val="00C3563A"/>
    <w:rsid w:val="00C361F7"/>
    <w:rsid w:val="00C36D0C"/>
    <w:rsid w:val="00C43AC9"/>
    <w:rsid w:val="00C52F7D"/>
    <w:rsid w:val="00C70A62"/>
    <w:rsid w:val="00C760AC"/>
    <w:rsid w:val="00CC24EA"/>
    <w:rsid w:val="00CC76EB"/>
    <w:rsid w:val="00D13B61"/>
    <w:rsid w:val="00D32DD1"/>
    <w:rsid w:val="00D34BFC"/>
    <w:rsid w:val="00D51222"/>
    <w:rsid w:val="00D839D7"/>
    <w:rsid w:val="00D85C3C"/>
    <w:rsid w:val="00D96D9C"/>
    <w:rsid w:val="00DC034E"/>
    <w:rsid w:val="00DF4F75"/>
    <w:rsid w:val="00DF5754"/>
    <w:rsid w:val="00DF7DCB"/>
    <w:rsid w:val="00E67ECD"/>
    <w:rsid w:val="00E7100A"/>
    <w:rsid w:val="00E84E86"/>
    <w:rsid w:val="00EB55EB"/>
    <w:rsid w:val="00EC2FA0"/>
    <w:rsid w:val="00EC4B7C"/>
    <w:rsid w:val="00F01803"/>
    <w:rsid w:val="00F140A2"/>
    <w:rsid w:val="00F23EB8"/>
    <w:rsid w:val="00F47F8D"/>
    <w:rsid w:val="00F6083A"/>
    <w:rsid w:val="00F75F6D"/>
    <w:rsid w:val="00F80E29"/>
    <w:rsid w:val="00F91E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0A840"/>
  <w15:chartTrackingRefBased/>
  <w15:docId w15:val="{6E13F995-513F-496E-8045-0FC35B5E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647873"/>
    <w:rPr>
      <w:i/>
      <w:iCs/>
    </w:rPr>
  </w:style>
  <w:style w:type="paragraph" w:customStyle="1" w:styleId="text-justify">
    <w:name w:val="text-justify"/>
    <w:basedOn w:val="Normale"/>
    <w:rsid w:val="009A7A9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notadichiusura">
    <w:name w:val="endnote reference"/>
    <w:basedOn w:val="Carpredefinitoparagrafo"/>
    <w:uiPriority w:val="99"/>
    <w:semiHidden/>
    <w:unhideWhenUsed/>
    <w:rsid w:val="009A7A9C"/>
  </w:style>
  <w:style w:type="paragraph" w:styleId="Paragrafoelenco">
    <w:name w:val="List Paragraph"/>
    <w:basedOn w:val="Normale"/>
    <w:uiPriority w:val="34"/>
    <w:qFormat/>
    <w:rsid w:val="002C1B5A"/>
    <w:pPr>
      <w:ind w:left="720"/>
      <w:contextualSpacing/>
    </w:pPr>
  </w:style>
  <w:style w:type="paragraph" w:styleId="Testonotaapidipagina">
    <w:name w:val="footnote text"/>
    <w:basedOn w:val="Normale"/>
    <w:link w:val="TestonotaapidipaginaCarattere"/>
    <w:uiPriority w:val="99"/>
    <w:semiHidden/>
    <w:unhideWhenUsed/>
    <w:rsid w:val="002C1B5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C1B5A"/>
    <w:rPr>
      <w:sz w:val="20"/>
      <w:szCs w:val="20"/>
    </w:rPr>
  </w:style>
  <w:style w:type="character" w:styleId="Rimandonotaapidipagina">
    <w:name w:val="footnote reference"/>
    <w:basedOn w:val="Carpredefinitoparagrafo"/>
    <w:uiPriority w:val="99"/>
    <w:semiHidden/>
    <w:unhideWhenUsed/>
    <w:rsid w:val="002C1B5A"/>
    <w:rPr>
      <w:vertAlign w:val="superscript"/>
    </w:rPr>
  </w:style>
  <w:style w:type="paragraph" w:styleId="Testofumetto">
    <w:name w:val="Balloon Text"/>
    <w:basedOn w:val="Normale"/>
    <w:link w:val="TestofumettoCarattere"/>
    <w:uiPriority w:val="99"/>
    <w:semiHidden/>
    <w:unhideWhenUsed/>
    <w:rsid w:val="00D32DD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32DD1"/>
    <w:rPr>
      <w:rFonts w:ascii="Segoe UI" w:hAnsi="Segoe UI" w:cs="Segoe UI"/>
      <w:sz w:val="18"/>
      <w:szCs w:val="18"/>
    </w:rPr>
  </w:style>
  <w:style w:type="paragraph" w:styleId="Intestazione">
    <w:name w:val="header"/>
    <w:basedOn w:val="Normale"/>
    <w:link w:val="IntestazioneCarattere"/>
    <w:uiPriority w:val="99"/>
    <w:unhideWhenUsed/>
    <w:rsid w:val="003025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25F7"/>
  </w:style>
  <w:style w:type="paragraph" w:styleId="Pidipagina">
    <w:name w:val="footer"/>
    <w:basedOn w:val="Normale"/>
    <w:link w:val="PidipaginaCarattere"/>
    <w:uiPriority w:val="99"/>
    <w:unhideWhenUsed/>
    <w:rsid w:val="003025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2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3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CA948-52A9-41DE-A575-3930E8B2B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15</Pages>
  <Words>4250</Words>
  <Characters>24230</Characters>
  <Application>Microsoft Office Word</Application>
  <DocSecurity>0</DocSecurity>
  <Lines>201</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MAMELI Valentina Santina</dc:creator>
  <cp:keywords/>
  <dc:description/>
  <cp:lastModifiedBy>MAMELI Valentina Santina</cp:lastModifiedBy>
  <cp:revision>10</cp:revision>
  <cp:lastPrinted>2024-10-02T14:10:00Z</cp:lastPrinted>
  <dcterms:created xsi:type="dcterms:W3CDTF">2024-10-15T19:16:00Z</dcterms:created>
  <dcterms:modified xsi:type="dcterms:W3CDTF">2024-10-24T16:10:00Z</dcterms:modified>
</cp:coreProperties>
</file>