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D6217" w14:textId="24907DB5" w:rsidR="00601FE8" w:rsidRPr="00813888" w:rsidRDefault="00601FE8" w:rsidP="00B06442">
      <w:pPr>
        <w:pStyle w:val="NormaleWeb"/>
        <w:ind w:firstLine="709"/>
        <w:jc w:val="center"/>
        <w:rPr>
          <w:color w:val="000000" w:themeColor="text1"/>
          <w:sz w:val="28"/>
          <w:szCs w:val="28"/>
        </w:rPr>
      </w:pPr>
      <w:r w:rsidRPr="00813888">
        <w:rPr>
          <w:color w:val="000000" w:themeColor="text1"/>
          <w:sz w:val="28"/>
          <w:szCs w:val="28"/>
        </w:rPr>
        <w:t xml:space="preserve">Margherita </w:t>
      </w:r>
      <w:proofErr w:type="spellStart"/>
      <w:r w:rsidRPr="00813888">
        <w:rPr>
          <w:color w:val="000000" w:themeColor="text1"/>
          <w:sz w:val="28"/>
          <w:szCs w:val="28"/>
        </w:rPr>
        <w:t>Ramajoli</w:t>
      </w:r>
      <w:proofErr w:type="spellEnd"/>
    </w:p>
    <w:p w14:paraId="07D52947" w14:textId="2864E1B5" w:rsidR="00F97172" w:rsidRPr="00813888" w:rsidRDefault="00AE3DA2" w:rsidP="00B06442">
      <w:pPr>
        <w:pStyle w:val="NormaleWeb"/>
        <w:ind w:firstLine="709"/>
        <w:jc w:val="center"/>
        <w:rPr>
          <w:b/>
          <w:bCs/>
          <w:sz w:val="28"/>
          <w:szCs w:val="28"/>
        </w:rPr>
      </w:pPr>
      <w:r w:rsidRPr="00813888">
        <w:rPr>
          <w:b/>
          <w:bCs/>
          <w:color w:val="000000" w:themeColor="text1"/>
          <w:sz w:val="28"/>
          <w:szCs w:val="28"/>
        </w:rPr>
        <w:t xml:space="preserve">Standard valutativi e </w:t>
      </w:r>
      <w:r w:rsidR="008F6E88" w:rsidRPr="00813888">
        <w:rPr>
          <w:b/>
          <w:bCs/>
          <w:color w:val="000000" w:themeColor="text1"/>
          <w:sz w:val="28"/>
          <w:szCs w:val="28"/>
        </w:rPr>
        <w:t xml:space="preserve">interpretazione </w:t>
      </w:r>
      <w:proofErr w:type="spellStart"/>
      <w:r w:rsidR="008F6E88" w:rsidRPr="00813888">
        <w:rPr>
          <w:b/>
          <w:bCs/>
          <w:color w:val="000000" w:themeColor="text1"/>
          <w:sz w:val="28"/>
          <w:szCs w:val="28"/>
        </w:rPr>
        <w:t>tassativizzante</w:t>
      </w:r>
      <w:proofErr w:type="spellEnd"/>
      <w:r w:rsidR="008F6E88" w:rsidRPr="00813888">
        <w:rPr>
          <w:b/>
          <w:bCs/>
          <w:color w:val="000000" w:themeColor="text1"/>
          <w:sz w:val="28"/>
          <w:szCs w:val="28"/>
        </w:rPr>
        <w:t xml:space="preserve"> delle clausole generali</w:t>
      </w:r>
      <w:r w:rsidR="00D62785">
        <w:rPr>
          <w:b/>
          <w:bCs/>
          <w:color w:val="000000" w:themeColor="text1"/>
          <w:sz w:val="28"/>
          <w:szCs w:val="28"/>
        </w:rPr>
        <w:t>*</w:t>
      </w:r>
    </w:p>
    <w:p w14:paraId="6EA5388B" w14:textId="77777777" w:rsidR="00142BD9" w:rsidRPr="00813888" w:rsidRDefault="00142BD9" w:rsidP="00B06442">
      <w:pPr>
        <w:pStyle w:val="NormaleWeb"/>
        <w:ind w:firstLine="709"/>
        <w:jc w:val="both"/>
        <w:rPr>
          <w:color w:val="000000" w:themeColor="text1"/>
          <w:sz w:val="28"/>
          <w:szCs w:val="28"/>
        </w:rPr>
      </w:pPr>
    </w:p>
    <w:p w14:paraId="683B8277" w14:textId="1FE8FCFE" w:rsidR="00C141B4" w:rsidRPr="00813888" w:rsidRDefault="00FC5EC5" w:rsidP="00B06442">
      <w:pPr>
        <w:pStyle w:val="NormaleWeb"/>
        <w:ind w:firstLine="709"/>
        <w:jc w:val="both"/>
        <w:rPr>
          <w:color w:val="000000" w:themeColor="text1"/>
          <w:sz w:val="22"/>
          <w:szCs w:val="22"/>
        </w:rPr>
      </w:pPr>
      <w:r w:rsidRPr="00813888">
        <w:rPr>
          <w:color w:val="000000" w:themeColor="text1"/>
          <w:sz w:val="22"/>
          <w:szCs w:val="22"/>
        </w:rPr>
        <w:t xml:space="preserve">Sommario: 1. La delega di concretizzazione della clausola generale all’interprete. – 2. </w:t>
      </w:r>
      <w:r w:rsidR="00C141B4" w:rsidRPr="00813888">
        <w:rPr>
          <w:color w:val="000000" w:themeColor="text1"/>
          <w:sz w:val="22"/>
          <w:szCs w:val="22"/>
        </w:rPr>
        <w:t>Gli antidoti al rischio di arbitrio interpretativo</w:t>
      </w:r>
      <w:r w:rsidR="002003C2" w:rsidRPr="00813888">
        <w:rPr>
          <w:color w:val="000000" w:themeColor="text1"/>
          <w:sz w:val="22"/>
          <w:szCs w:val="22"/>
        </w:rPr>
        <w:t xml:space="preserve"> </w:t>
      </w:r>
      <w:r w:rsidR="00C141B4" w:rsidRPr="00813888">
        <w:rPr>
          <w:color w:val="000000" w:themeColor="text1"/>
          <w:sz w:val="22"/>
          <w:szCs w:val="22"/>
        </w:rPr>
        <w:t>elaborati dall’amministrazione</w:t>
      </w:r>
      <w:r w:rsidR="002003C2" w:rsidRPr="00813888">
        <w:rPr>
          <w:color w:val="000000" w:themeColor="text1"/>
          <w:sz w:val="22"/>
          <w:szCs w:val="22"/>
        </w:rPr>
        <w:t>. – 3. Gli antidoti al rischio di arbitrio interpretativo elaborati dal</w:t>
      </w:r>
      <w:r w:rsidR="002171F5" w:rsidRPr="00813888">
        <w:rPr>
          <w:color w:val="000000" w:themeColor="text1"/>
          <w:sz w:val="22"/>
          <w:szCs w:val="22"/>
        </w:rPr>
        <w:t>la</w:t>
      </w:r>
      <w:r w:rsidR="002003C2" w:rsidRPr="00813888">
        <w:rPr>
          <w:color w:val="000000" w:themeColor="text1"/>
          <w:sz w:val="22"/>
          <w:szCs w:val="22"/>
        </w:rPr>
        <w:t xml:space="preserve"> giu</w:t>
      </w:r>
      <w:r w:rsidR="002171F5" w:rsidRPr="00813888">
        <w:rPr>
          <w:color w:val="000000" w:themeColor="text1"/>
          <w:sz w:val="22"/>
          <w:szCs w:val="22"/>
        </w:rPr>
        <w:t>risprudenza: gli standard valutativi</w:t>
      </w:r>
      <w:r w:rsidR="00C25087" w:rsidRPr="00813888">
        <w:rPr>
          <w:color w:val="000000" w:themeColor="text1"/>
          <w:sz w:val="22"/>
          <w:szCs w:val="22"/>
        </w:rPr>
        <w:t>.</w:t>
      </w:r>
      <w:r w:rsidR="00AE3DA2" w:rsidRPr="00813888">
        <w:rPr>
          <w:color w:val="000000" w:themeColor="text1"/>
          <w:sz w:val="22"/>
          <w:szCs w:val="22"/>
        </w:rPr>
        <w:t xml:space="preserve"> – </w:t>
      </w:r>
      <w:r w:rsidR="00C25087" w:rsidRPr="00813888">
        <w:rPr>
          <w:color w:val="000000" w:themeColor="text1"/>
          <w:sz w:val="22"/>
          <w:szCs w:val="22"/>
        </w:rPr>
        <w:t>4. Segue:</w:t>
      </w:r>
      <w:r w:rsidR="002171F5" w:rsidRPr="00813888">
        <w:rPr>
          <w:color w:val="000000" w:themeColor="text1"/>
          <w:sz w:val="22"/>
          <w:szCs w:val="22"/>
        </w:rPr>
        <w:t xml:space="preserve"> l’interpretazione </w:t>
      </w:r>
      <w:proofErr w:type="spellStart"/>
      <w:r w:rsidR="002171F5" w:rsidRPr="00813888">
        <w:rPr>
          <w:color w:val="000000" w:themeColor="text1"/>
          <w:sz w:val="22"/>
          <w:szCs w:val="22"/>
        </w:rPr>
        <w:t>tassativizzante</w:t>
      </w:r>
      <w:proofErr w:type="spellEnd"/>
      <w:r w:rsidR="002171F5" w:rsidRPr="00813888">
        <w:rPr>
          <w:color w:val="000000" w:themeColor="text1"/>
          <w:sz w:val="22"/>
          <w:szCs w:val="22"/>
        </w:rPr>
        <w:t>.</w:t>
      </w:r>
    </w:p>
    <w:p w14:paraId="2F85FCEE" w14:textId="77777777" w:rsidR="00514DC3" w:rsidRPr="00813888" w:rsidRDefault="00514DC3" w:rsidP="00B06442">
      <w:pPr>
        <w:pStyle w:val="NormaleWeb"/>
        <w:jc w:val="both"/>
        <w:rPr>
          <w:color w:val="000000" w:themeColor="text1"/>
          <w:sz w:val="28"/>
          <w:szCs w:val="28"/>
        </w:rPr>
      </w:pPr>
    </w:p>
    <w:p w14:paraId="367CAF28" w14:textId="43C423D8" w:rsidR="000D431B" w:rsidRPr="00813888" w:rsidRDefault="00601FE8" w:rsidP="00B06442">
      <w:pPr>
        <w:pStyle w:val="NormaleWeb"/>
        <w:ind w:firstLine="709"/>
        <w:jc w:val="both"/>
        <w:rPr>
          <w:color w:val="000000" w:themeColor="text1"/>
          <w:sz w:val="28"/>
          <w:szCs w:val="28"/>
        </w:rPr>
      </w:pPr>
      <w:r w:rsidRPr="00813888">
        <w:rPr>
          <w:color w:val="000000" w:themeColor="text1"/>
          <w:sz w:val="28"/>
          <w:szCs w:val="28"/>
        </w:rPr>
        <w:t xml:space="preserve">1. </w:t>
      </w:r>
      <w:r w:rsidR="001C124C" w:rsidRPr="00813888">
        <w:rPr>
          <w:color w:val="000000" w:themeColor="text1"/>
          <w:sz w:val="28"/>
          <w:szCs w:val="28"/>
        </w:rPr>
        <w:t xml:space="preserve">Il ricorso da parte del legislatore alle clausole generali presenta indubbi vantaggi e altrettanto innegabili </w:t>
      </w:r>
      <w:r w:rsidR="007B69F0" w:rsidRPr="00813888">
        <w:rPr>
          <w:color w:val="000000" w:themeColor="text1"/>
          <w:sz w:val="28"/>
          <w:szCs w:val="28"/>
        </w:rPr>
        <w:t>insidie</w:t>
      </w:r>
      <w:r w:rsidR="001C124C" w:rsidRPr="00813888">
        <w:rPr>
          <w:color w:val="000000" w:themeColor="text1"/>
          <w:sz w:val="28"/>
          <w:szCs w:val="28"/>
        </w:rPr>
        <w:t xml:space="preserve">. </w:t>
      </w:r>
      <w:r w:rsidR="00E71155" w:rsidRPr="00813888">
        <w:rPr>
          <w:color w:val="000000" w:themeColor="text1"/>
          <w:sz w:val="28"/>
          <w:szCs w:val="28"/>
        </w:rPr>
        <w:t>Grazie alla loro indeterminatezza semantica l</w:t>
      </w:r>
      <w:r w:rsidR="00546A2A" w:rsidRPr="00813888">
        <w:rPr>
          <w:spacing w:val="-3"/>
          <w:sz w:val="28"/>
          <w:szCs w:val="28"/>
        </w:rPr>
        <w:t xml:space="preserve">e clausole generali </w:t>
      </w:r>
      <w:r w:rsidR="000D431B" w:rsidRPr="00813888">
        <w:rPr>
          <w:color w:val="000000" w:themeColor="text1"/>
          <w:sz w:val="28"/>
          <w:szCs w:val="28"/>
        </w:rPr>
        <w:t>consent</w:t>
      </w:r>
      <w:r w:rsidR="00E71155" w:rsidRPr="00813888">
        <w:rPr>
          <w:color w:val="000000" w:themeColor="text1"/>
          <w:sz w:val="28"/>
          <w:szCs w:val="28"/>
        </w:rPr>
        <w:t>ono</w:t>
      </w:r>
      <w:r w:rsidR="000D431B" w:rsidRPr="00813888">
        <w:rPr>
          <w:color w:val="000000" w:themeColor="text1"/>
          <w:sz w:val="28"/>
          <w:szCs w:val="28"/>
        </w:rPr>
        <w:t xml:space="preserve"> l’</w:t>
      </w:r>
      <w:r w:rsidR="000D431B" w:rsidRPr="00813888">
        <w:rPr>
          <w:color w:val="000000"/>
          <w:sz w:val="28"/>
          <w:szCs w:val="28"/>
        </w:rPr>
        <w:t>adeguamento delle norme alla realtà da disciplinare</w:t>
      </w:r>
      <w:r w:rsidR="000D431B" w:rsidRPr="00813888">
        <w:rPr>
          <w:color w:val="000000" w:themeColor="text1"/>
          <w:sz w:val="28"/>
          <w:szCs w:val="28"/>
        </w:rPr>
        <w:t xml:space="preserve">. </w:t>
      </w:r>
      <w:r w:rsidR="00546A2A" w:rsidRPr="00813888">
        <w:rPr>
          <w:color w:val="000000" w:themeColor="text1"/>
          <w:sz w:val="28"/>
          <w:szCs w:val="28"/>
        </w:rPr>
        <w:t>Infatti, l</w:t>
      </w:r>
      <w:r w:rsidR="000D431B" w:rsidRPr="00813888">
        <w:rPr>
          <w:color w:val="000000" w:themeColor="text1"/>
          <w:sz w:val="28"/>
          <w:szCs w:val="28"/>
        </w:rPr>
        <w:t>e clausole generali sono formule lessicali aperte</w:t>
      </w:r>
      <w:r w:rsidR="007B69F0" w:rsidRPr="00813888">
        <w:rPr>
          <w:color w:val="000000" w:themeColor="text1"/>
          <w:sz w:val="28"/>
          <w:szCs w:val="28"/>
        </w:rPr>
        <w:t xml:space="preserve"> (</w:t>
      </w:r>
      <w:r w:rsidR="007B69F0" w:rsidRPr="00813888">
        <w:rPr>
          <w:sz w:val="28"/>
          <w:szCs w:val="28"/>
        </w:rPr>
        <w:t>ordine pubblico, pericolosità sociale, buona fede, buon costume e così via)</w:t>
      </w:r>
      <w:r w:rsidR="000D431B" w:rsidRPr="00813888">
        <w:rPr>
          <w:color w:val="000000" w:themeColor="text1"/>
          <w:sz w:val="28"/>
          <w:szCs w:val="28"/>
        </w:rPr>
        <w:t xml:space="preserve">, che </w:t>
      </w:r>
      <w:r w:rsidR="00EF2C60" w:rsidRPr="00813888">
        <w:rPr>
          <w:color w:val="000000" w:themeColor="text1"/>
          <w:sz w:val="28"/>
          <w:szCs w:val="28"/>
        </w:rPr>
        <w:t>reclamano</w:t>
      </w:r>
      <w:r w:rsidR="001C124C" w:rsidRPr="00813888">
        <w:rPr>
          <w:color w:val="000000" w:themeColor="text1"/>
          <w:sz w:val="28"/>
          <w:szCs w:val="28"/>
        </w:rPr>
        <w:t xml:space="preserve"> </w:t>
      </w:r>
      <w:r w:rsidR="000D431B" w:rsidRPr="00813888">
        <w:rPr>
          <w:color w:val="000000" w:themeColor="text1"/>
          <w:sz w:val="28"/>
          <w:szCs w:val="28"/>
        </w:rPr>
        <w:t xml:space="preserve">una delega all’interprete del potere di concretizzazione della disposizione che le </w:t>
      </w:r>
      <w:r w:rsidR="00546A2A" w:rsidRPr="00813888">
        <w:rPr>
          <w:color w:val="000000" w:themeColor="text1"/>
          <w:sz w:val="28"/>
          <w:szCs w:val="28"/>
        </w:rPr>
        <w:t>racchiude</w:t>
      </w:r>
      <w:r w:rsidR="000D431B" w:rsidRPr="00813888">
        <w:rPr>
          <w:color w:val="000000" w:themeColor="text1"/>
          <w:sz w:val="28"/>
          <w:szCs w:val="28"/>
        </w:rPr>
        <w:t xml:space="preserve">. La norma in cui </w:t>
      </w:r>
      <w:r w:rsidR="00546A2A" w:rsidRPr="00813888">
        <w:rPr>
          <w:color w:val="000000" w:themeColor="text1"/>
          <w:sz w:val="28"/>
          <w:szCs w:val="28"/>
        </w:rPr>
        <w:t>è contenuta</w:t>
      </w:r>
      <w:r w:rsidR="000D431B" w:rsidRPr="00813888">
        <w:rPr>
          <w:color w:val="000000" w:themeColor="text1"/>
          <w:sz w:val="28"/>
          <w:szCs w:val="28"/>
        </w:rPr>
        <w:t xml:space="preserve"> una clausola generale non descrive la fattispecie astratta in m</w:t>
      </w:r>
      <w:r w:rsidR="00E94A14" w:rsidRPr="00813888">
        <w:rPr>
          <w:color w:val="000000" w:themeColor="text1"/>
          <w:sz w:val="28"/>
          <w:szCs w:val="28"/>
        </w:rPr>
        <w:t>aniera</w:t>
      </w:r>
      <w:r w:rsidR="000D431B" w:rsidRPr="00813888">
        <w:rPr>
          <w:color w:val="000000" w:themeColor="text1"/>
          <w:sz w:val="28"/>
          <w:szCs w:val="28"/>
        </w:rPr>
        <w:t xml:space="preserve"> tassativ</w:t>
      </w:r>
      <w:r w:rsidR="00E94A14" w:rsidRPr="00813888">
        <w:rPr>
          <w:color w:val="000000" w:themeColor="text1"/>
          <w:sz w:val="28"/>
          <w:szCs w:val="28"/>
        </w:rPr>
        <w:t>a</w:t>
      </w:r>
      <w:r w:rsidR="000D431B" w:rsidRPr="00813888">
        <w:rPr>
          <w:color w:val="000000" w:themeColor="text1"/>
          <w:sz w:val="28"/>
          <w:szCs w:val="28"/>
        </w:rPr>
        <w:t xml:space="preserve"> ed esaustiv</w:t>
      </w:r>
      <w:r w:rsidR="00E94A14" w:rsidRPr="00813888">
        <w:rPr>
          <w:color w:val="000000" w:themeColor="text1"/>
          <w:sz w:val="28"/>
          <w:szCs w:val="28"/>
        </w:rPr>
        <w:t>a</w:t>
      </w:r>
      <w:r w:rsidR="000D431B" w:rsidRPr="00813888">
        <w:rPr>
          <w:color w:val="000000" w:themeColor="text1"/>
          <w:sz w:val="28"/>
          <w:szCs w:val="28"/>
        </w:rPr>
        <w:t>, ma ri</w:t>
      </w:r>
      <w:r w:rsidR="002B064A" w:rsidRPr="00813888">
        <w:rPr>
          <w:color w:val="000000" w:themeColor="text1"/>
          <w:sz w:val="28"/>
          <w:szCs w:val="28"/>
        </w:rPr>
        <w:t xml:space="preserve">mette </w:t>
      </w:r>
      <w:r w:rsidR="000D431B" w:rsidRPr="00813888">
        <w:rPr>
          <w:color w:val="000000" w:themeColor="text1"/>
          <w:sz w:val="28"/>
          <w:szCs w:val="28"/>
        </w:rPr>
        <w:t>all’interprete il completamento e</w:t>
      </w:r>
      <w:r w:rsidR="00E94A14" w:rsidRPr="00813888">
        <w:rPr>
          <w:color w:val="000000" w:themeColor="text1"/>
          <w:sz w:val="28"/>
          <w:szCs w:val="28"/>
        </w:rPr>
        <w:t xml:space="preserve"> </w:t>
      </w:r>
      <w:r w:rsidR="000D431B" w:rsidRPr="00813888">
        <w:rPr>
          <w:color w:val="000000" w:themeColor="text1"/>
          <w:sz w:val="28"/>
          <w:szCs w:val="28"/>
        </w:rPr>
        <w:t>la specificazione della clausola stessa</w:t>
      </w:r>
      <w:r w:rsidR="00DF4D7C" w:rsidRPr="00813888">
        <w:rPr>
          <w:rStyle w:val="Rimandonotaapidipagina"/>
          <w:color w:val="000000" w:themeColor="text1"/>
          <w:sz w:val="28"/>
          <w:szCs w:val="28"/>
        </w:rPr>
        <w:footnoteReference w:id="1"/>
      </w:r>
      <w:r w:rsidR="000D431B" w:rsidRPr="00813888">
        <w:rPr>
          <w:color w:val="000000" w:themeColor="text1"/>
          <w:sz w:val="28"/>
          <w:szCs w:val="28"/>
        </w:rPr>
        <w:t>.</w:t>
      </w:r>
    </w:p>
    <w:p w14:paraId="67E11532" w14:textId="0E3A652F" w:rsidR="002B064A" w:rsidRPr="00813888" w:rsidRDefault="00E94A14" w:rsidP="00B06442">
      <w:pPr>
        <w:pStyle w:val="NormaleWeb"/>
        <w:ind w:firstLine="709"/>
        <w:jc w:val="both"/>
        <w:rPr>
          <w:sz w:val="28"/>
          <w:szCs w:val="28"/>
        </w:rPr>
      </w:pPr>
      <w:r w:rsidRPr="00813888">
        <w:rPr>
          <w:color w:val="000000" w:themeColor="text1"/>
          <w:sz w:val="28"/>
          <w:szCs w:val="28"/>
        </w:rPr>
        <w:t>È</w:t>
      </w:r>
      <w:r w:rsidR="00FC5EC5" w:rsidRPr="00813888">
        <w:rPr>
          <w:color w:val="000000" w:themeColor="text1"/>
          <w:sz w:val="28"/>
          <w:szCs w:val="28"/>
        </w:rPr>
        <w:t xml:space="preserve"> sicuramente vero che ogni</w:t>
      </w:r>
      <w:r w:rsidR="000D431B" w:rsidRPr="00813888">
        <w:rPr>
          <w:color w:val="000000" w:themeColor="text1"/>
          <w:sz w:val="28"/>
          <w:szCs w:val="28"/>
        </w:rPr>
        <w:t xml:space="preserve"> disposizione normativ</w:t>
      </w:r>
      <w:r w:rsidR="00FC5EC5" w:rsidRPr="00813888">
        <w:rPr>
          <w:color w:val="000000" w:themeColor="text1"/>
          <w:sz w:val="28"/>
          <w:szCs w:val="28"/>
        </w:rPr>
        <w:t>a</w:t>
      </w:r>
      <w:r w:rsidR="000D431B" w:rsidRPr="00813888">
        <w:rPr>
          <w:color w:val="000000" w:themeColor="text1"/>
          <w:sz w:val="28"/>
          <w:szCs w:val="28"/>
        </w:rPr>
        <w:t xml:space="preserve"> </w:t>
      </w:r>
      <w:r w:rsidRPr="00813888">
        <w:rPr>
          <w:color w:val="000000" w:themeColor="text1"/>
          <w:sz w:val="28"/>
          <w:szCs w:val="28"/>
        </w:rPr>
        <w:t>possi</w:t>
      </w:r>
      <w:r w:rsidR="00F11638" w:rsidRPr="00813888">
        <w:rPr>
          <w:color w:val="000000" w:themeColor="text1"/>
          <w:sz w:val="28"/>
          <w:szCs w:val="28"/>
        </w:rPr>
        <w:t>ede</w:t>
      </w:r>
      <w:r w:rsidR="00FC5EC5" w:rsidRPr="00813888">
        <w:rPr>
          <w:color w:val="000000" w:themeColor="text1"/>
          <w:sz w:val="28"/>
          <w:szCs w:val="28"/>
        </w:rPr>
        <w:t xml:space="preserve"> </w:t>
      </w:r>
      <w:r w:rsidR="00CD13AE" w:rsidRPr="00813888">
        <w:rPr>
          <w:color w:val="000000" w:themeColor="text1"/>
          <w:sz w:val="28"/>
          <w:szCs w:val="28"/>
        </w:rPr>
        <w:t xml:space="preserve">di regola </w:t>
      </w:r>
      <w:r w:rsidR="00FC5EC5" w:rsidRPr="00813888">
        <w:rPr>
          <w:color w:val="000000" w:themeColor="text1"/>
          <w:sz w:val="28"/>
          <w:szCs w:val="28"/>
        </w:rPr>
        <w:t>un certo</w:t>
      </w:r>
      <w:r w:rsidR="000D431B" w:rsidRPr="00813888">
        <w:rPr>
          <w:color w:val="000000" w:themeColor="text1"/>
          <w:sz w:val="28"/>
          <w:szCs w:val="28"/>
        </w:rPr>
        <w:t xml:space="preserve"> qual grado di indeterminatezza</w:t>
      </w:r>
      <w:r w:rsidR="007C68F8" w:rsidRPr="00813888">
        <w:rPr>
          <w:rStyle w:val="Rimandonotaapidipagina"/>
          <w:color w:val="000000" w:themeColor="text1"/>
          <w:sz w:val="28"/>
          <w:szCs w:val="28"/>
        </w:rPr>
        <w:footnoteReference w:id="2"/>
      </w:r>
      <w:r w:rsidRPr="00813888">
        <w:rPr>
          <w:color w:val="000000" w:themeColor="text1"/>
          <w:sz w:val="28"/>
          <w:szCs w:val="28"/>
        </w:rPr>
        <w:t xml:space="preserve"> e che la c.d. crisi della fattispecie st</w:t>
      </w:r>
      <w:r w:rsidR="00F11638" w:rsidRPr="00813888">
        <w:rPr>
          <w:color w:val="000000" w:themeColor="text1"/>
          <w:sz w:val="28"/>
          <w:szCs w:val="28"/>
        </w:rPr>
        <w:t>a</w:t>
      </w:r>
      <w:r w:rsidRPr="00813888">
        <w:rPr>
          <w:color w:val="000000" w:themeColor="text1"/>
          <w:sz w:val="28"/>
          <w:szCs w:val="28"/>
        </w:rPr>
        <w:t xml:space="preserve"> interessando anche il diritto amministrativo</w:t>
      </w:r>
      <w:r w:rsidRPr="00813888">
        <w:rPr>
          <w:rStyle w:val="Rimandonotaapidipagina"/>
          <w:color w:val="000000" w:themeColor="text1"/>
          <w:sz w:val="28"/>
          <w:szCs w:val="28"/>
        </w:rPr>
        <w:footnoteReference w:id="3"/>
      </w:r>
      <w:r w:rsidRPr="00813888">
        <w:rPr>
          <w:color w:val="000000" w:themeColor="text1"/>
          <w:sz w:val="28"/>
          <w:szCs w:val="28"/>
        </w:rPr>
        <w:t xml:space="preserve">. </w:t>
      </w:r>
      <w:r w:rsidR="002B064A" w:rsidRPr="00813888">
        <w:rPr>
          <w:color w:val="000000" w:themeColor="text1"/>
          <w:sz w:val="28"/>
          <w:szCs w:val="28"/>
        </w:rPr>
        <w:t>Nondimeno</w:t>
      </w:r>
      <w:r w:rsidR="00325AA1" w:rsidRPr="00813888">
        <w:rPr>
          <w:color w:val="000000" w:themeColor="text1"/>
          <w:sz w:val="28"/>
          <w:szCs w:val="28"/>
        </w:rPr>
        <w:t>,</w:t>
      </w:r>
      <w:r w:rsidR="00CD13AE" w:rsidRPr="00813888">
        <w:rPr>
          <w:color w:val="000000" w:themeColor="text1"/>
          <w:sz w:val="28"/>
          <w:szCs w:val="28"/>
        </w:rPr>
        <w:t xml:space="preserve"> </w:t>
      </w:r>
      <w:r w:rsidR="00F11638" w:rsidRPr="00813888">
        <w:rPr>
          <w:color w:val="000000" w:themeColor="text1"/>
          <w:sz w:val="28"/>
          <w:szCs w:val="28"/>
        </w:rPr>
        <w:t>si assiste a</w:t>
      </w:r>
      <w:r w:rsidR="00CD13AE" w:rsidRPr="00813888">
        <w:rPr>
          <w:color w:val="000000" w:themeColor="text1"/>
          <w:sz w:val="28"/>
          <w:szCs w:val="28"/>
        </w:rPr>
        <w:t xml:space="preserve"> qualcosa di ulteriore e specifico </w:t>
      </w:r>
      <w:r w:rsidR="00F11638" w:rsidRPr="00813888">
        <w:rPr>
          <w:color w:val="000000" w:themeColor="text1"/>
          <w:sz w:val="28"/>
          <w:szCs w:val="28"/>
        </w:rPr>
        <w:t>quando vengono in rilievo clausole generali, le quali</w:t>
      </w:r>
      <w:r w:rsidR="000D431B" w:rsidRPr="00813888">
        <w:rPr>
          <w:color w:val="000000" w:themeColor="text1"/>
          <w:sz w:val="28"/>
          <w:szCs w:val="28"/>
        </w:rPr>
        <w:t xml:space="preserve"> necessita</w:t>
      </w:r>
      <w:r w:rsidR="00CD13AE" w:rsidRPr="00813888">
        <w:rPr>
          <w:color w:val="000000" w:themeColor="text1"/>
          <w:sz w:val="28"/>
          <w:szCs w:val="28"/>
        </w:rPr>
        <w:t>no</w:t>
      </w:r>
      <w:r w:rsidR="000D431B" w:rsidRPr="00813888">
        <w:rPr>
          <w:color w:val="000000" w:themeColor="text1"/>
          <w:sz w:val="28"/>
          <w:szCs w:val="28"/>
        </w:rPr>
        <w:t xml:space="preserve"> d</w:t>
      </w:r>
      <w:r w:rsidR="00FC5EC5" w:rsidRPr="00813888">
        <w:rPr>
          <w:color w:val="000000" w:themeColor="text1"/>
          <w:sz w:val="28"/>
          <w:szCs w:val="28"/>
        </w:rPr>
        <w:t xml:space="preserve">i </w:t>
      </w:r>
      <w:r w:rsidR="000D431B" w:rsidRPr="00813888">
        <w:rPr>
          <w:color w:val="000000" w:themeColor="text1"/>
          <w:sz w:val="28"/>
          <w:szCs w:val="28"/>
        </w:rPr>
        <w:t xml:space="preserve">essere </w:t>
      </w:r>
      <w:r w:rsidR="00F11638" w:rsidRPr="00813888">
        <w:rPr>
          <w:color w:val="000000" w:themeColor="text1"/>
          <w:sz w:val="28"/>
          <w:szCs w:val="28"/>
        </w:rPr>
        <w:t xml:space="preserve">non solo </w:t>
      </w:r>
      <w:r w:rsidR="000D431B" w:rsidRPr="00813888">
        <w:rPr>
          <w:color w:val="000000" w:themeColor="text1"/>
          <w:sz w:val="28"/>
          <w:szCs w:val="28"/>
        </w:rPr>
        <w:t>interpretat</w:t>
      </w:r>
      <w:r w:rsidR="00F11638" w:rsidRPr="00813888">
        <w:rPr>
          <w:color w:val="000000" w:themeColor="text1"/>
          <w:sz w:val="28"/>
          <w:szCs w:val="28"/>
        </w:rPr>
        <w:t>e</w:t>
      </w:r>
      <w:r w:rsidR="000D431B" w:rsidRPr="00813888">
        <w:rPr>
          <w:color w:val="000000" w:themeColor="text1"/>
          <w:sz w:val="28"/>
          <w:szCs w:val="28"/>
        </w:rPr>
        <w:t xml:space="preserve">, </w:t>
      </w:r>
      <w:r w:rsidR="00CD13AE" w:rsidRPr="00813888">
        <w:rPr>
          <w:color w:val="000000" w:themeColor="text1"/>
          <w:sz w:val="28"/>
          <w:szCs w:val="28"/>
        </w:rPr>
        <w:t>bensì</w:t>
      </w:r>
      <w:r w:rsidR="000D431B" w:rsidRPr="00813888">
        <w:rPr>
          <w:color w:val="000000" w:themeColor="text1"/>
          <w:sz w:val="28"/>
          <w:szCs w:val="28"/>
        </w:rPr>
        <w:t xml:space="preserve"> anche integrat</w:t>
      </w:r>
      <w:r w:rsidR="00F11638" w:rsidRPr="00813888">
        <w:rPr>
          <w:color w:val="000000" w:themeColor="text1"/>
          <w:sz w:val="28"/>
          <w:szCs w:val="28"/>
        </w:rPr>
        <w:t>e.</w:t>
      </w:r>
      <w:r w:rsidR="000D431B" w:rsidRPr="00813888">
        <w:rPr>
          <w:color w:val="000000" w:themeColor="text1"/>
          <w:sz w:val="28"/>
          <w:szCs w:val="28"/>
        </w:rPr>
        <w:t xml:space="preserve"> </w:t>
      </w:r>
      <w:r w:rsidR="002B064A" w:rsidRPr="00813888">
        <w:rPr>
          <w:color w:val="000000" w:themeColor="text1"/>
          <w:sz w:val="28"/>
          <w:szCs w:val="28"/>
        </w:rPr>
        <w:t>Più precisamente, n</w:t>
      </w:r>
      <w:r w:rsidR="000D431B" w:rsidRPr="00813888">
        <w:rPr>
          <w:color w:val="000000" w:themeColor="text1"/>
          <w:sz w:val="28"/>
          <w:szCs w:val="28"/>
        </w:rPr>
        <w:t xml:space="preserve">el caso di norme contenenti clausole generali l’indeterminatezza </w:t>
      </w:r>
      <w:r w:rsidR="002B064A" w:rsidRPr="00813888">
        <w:rPr>
          <w:color w:val="000000" w:themeColor="text1"/>
          <w:sz w:val="28"/>
          <w:szCs w:val="28"/>
        </w:rPr>
        <w:t>va</w:t>
      </w:r>
      <w:r w:rsidR="000D431B" w:rsidRPr="00813888">
        <w:rPr>
          <w:color w:val="000000" w:themeColor="text1"/>
          <w:sz w:val="28"/>
          <w:szCs w:val="28"/>
        </w:rPr>
        <w:t xml:space="preserve"> colmata attraverso un</w:t>
      </w:r>
      <w:r w:rsidR="00EF2C60" w:rsidRPr="00813888">
        <w:rPr>
          <w:color w:val="000000" w:themeColor="text1"/>
          <w:sz w:val="28"/>
          <w:szCs w:val="28"/>
        </w:rPr>
        <w:t>’attività d’</w:t>
      </w:r>
      <w:r w:rsidR="000D431B" w:rsidRPr="00813888">
        <w:rPr>
          <w:color w:val="000000" w:themeColor="text1"/>
          <w:sz w:val="28"/>
          <w:szCs w:val="28"/>
        </w:rPr>
        <w:t>integrazione valutativa</w:t>
      </w:r>
      <w:r w:rsidR="002B064A" w:rsidRPr="00813888">
        <w:rPr>
          <w:color w:val="000000" w:themeColor="text1"/>
          <w:sz w:val="28"/>
          <w:szCs w:val="28"/>
        </w:rPr>
        <w:t>, che consiste</w:t>
      </w:r>
      <w:r w:rsidR="00F11638" w:rsidRPr="00813888">
        <w:rPr>
          <w:color w:val="000000" w:themeColor="text1"/>
          <w:sz w:val="28"/>
          <w:szCs w:val="28"/>
        </w:rPr>
        <w:t xml:space="preserve"> </w:t>
      </w:r>
      <w:r w:rsidR="002B064A" w:rsidRPr="00813888">
        <w:rPr>
          <w:color w:val="000000" w:themeColor="text1"/>
          <w:sz w:val="28"/>
          <w:szCs w:val="28"/>
        </w:rPr>
        <w:t>nel</w:t>
      </w:r>
      <w:r w:rsidR="00F11638" w:rsidRPr="00813888">
        <w:rPr>
          <w:color w:val="000000" w:themeColor="text1"/>
          <w:sz w:val="28"/>
          <w:szCs w:val="28"/>
        </w:rPr>
        <w:t>la scelta del criterio utile alla determinazione del significato della clausola generale</w:t>
      </w:r>
      <w:r w:rsidR="002B064A" w:rsidRPr="00813888">
        <w:rPr>
          <w:color w:val="000000" w:themeColor="text1"/>
          <w:sz w:val="28"/>
          <w:szCs w:val="28"/>
        </w:rPr>
        <w:t xml:space="preserve">. Esiste </w:t>
      </w:r>
      <w:r w:rsidR="00F11638" w:rsidRPr="00813888">
        <w:rPr>
          <w:sz w:val="28"/>
          <w:szCs w:val="28"/>
        </w:rPr>
        <w:t xml:space="preserve">una </w:t>
      </w:r>
      <w:r w:rsidR="002B064A" w:rsidRPr="00813888">
        <w:rPr>
          <w:sz w:val="28"/>
          <w:szCs w:val="28"/>
        </w:rPr>
        <w:t xml:space="preserve">vera e propria </w:t>
      </w:r>
      <w:r w:rsidR="00F11638" w:rsidRPr="00813888">
        <w:rPr>
          <w:sz w:val="28"/>
          <w:szCs w:val="28"/>
        </w:rPr>
        <w:t xml:space="preserve">logica </w:t>
      </w:r>
      <w:r w:rsidR="007B69F0" w:rsidRPr="00813888">
        <w:rPr>
          <w:sz w:val="28"/>
          <w:szCs w:val="28"/>
        </w:rPr>
        <w:t>d</w:t>
      </w:r>
      <w:r w:rsidR="00F11638" w:rsidRPr="00813888">
        <w:rPr>
          <w:sz w:val="28"/>
          <w:szCs w:val="28"/>
        </w:rPr>
        <w:t>ell’integrazione valutativa</w:t>
      </w:r>
      <w:r w:rsidR="00325AA1" w:rsidRPr="00813888">
        <w:rPr>
          <w:sz w:val="28"/>
          <w:szCs w:val="28"/>
        </w:rPr>
        <w:t xml:space="preserve">, visto che </w:t>
      </w:r>
      <w:r w:rsidR="002B064A" w:rsidRPr="00813888">
        <w:rPr>
          <w:sz w:val="28"/>
          <w:szCs w:val="28"/>
        </w:rPr>
        <w:t>devono essere esplicitati</w:t>
      </w:r>
      <w:r w:rsidR="00EF2C60" w:rsidRPr="00813888">
        <w:rPr>
          <w:sz w:val="28"/>
          <w:szCs w:val="28"/>
        </w:rPr>
        <w:t xml:space="preserve"> </w:t>
      </w:r>
      <w:r w:rsidR="002B064A" w:rsidRPr="00813888">
        <w:rPr>
          <w:sz w:val="28"/>
          <w:szCs w:val="28"/>
        </w:rPr>
        <w:t>“</w:t>
      </w:r>
      <w:r w:rsidR="00EF2C60" w:rsidRPr="00813888">
        <w:rPr>
          <w:sz w:val="28"/>
          <w:szCs w:val="28"/>
        </w:rPr>
        <w:t xml:space="preserve">gli strumenti coerenti </w:t>
      </w:r>
      <w:r w:rsidR="00EF2C60" w:rsidRPr="00813888">
        <w:rPr>
          <w:sz w:val="28"/>
          <w:szCs w:val="28"/>
        </w:rPr>
        <w:lastRenderedPageBreak/>
        <w:t>con l’indeterminatezza utili a realizzare e a controllare i ragionamenti interpretativi compiuti con le clausole generali”</w:t>
      </w:r>
      <w:r w:rsidR="005021A1" w:rsidRPr="00813888">
        <w:rPr>
          <w:rStyle w:val="Rimandonotaapidipagina"/>
          <w:sz w:val="28"/>
          <w:szCs w:val="28"/>
        </w:rPr>
        <w:footnoteReference w:id="4"/>
      </w:r>
      <w:r w:rsidR="002B064A" w:rsidRPr="00813888">
        <w:rPr>
          <w:sz w:val="28"/>
          <w:szCs w:val="28"/>
        </w:rPr>
        <w:t>.</w:t>
      </w:r>
    </w:p>
    <w:p w14:paraId="4E71923C" w14:textId="66DB0F22" w:rsidR="00934E51" w:rsidRPr="00674A9D" w:rsidRDefault="002B064A" w:rsidP="00674A9D">
      <w:pPr>
        <w:pStyle w:val="NormaleWeb"/>
        <w:ind w:firstLine="709"/>
        <w:jc w:val="both"/>
        <w:rPr>
          <w:color w:val="000000" w:themeColor="text1"/>
          <w:sz w:val="28"/>
          <w:szCs w:val="28"/>
        </w:rPr>
      </w:pPr>
      <w:r w:rsidRPr="00813888">
        <w:rPr>
          <w:sz w:val="28"/>
          <w:szCs w:val="28"/>
        </w:rPr>
        <w:t>Tuttavia,</w:t>
      </w:r>
      <w:r w:rsidR="00EF2C60" w:rsidRPr="00813888">
        <w:rPr>
          <w:sz w:val="28"/>
          <w:szCs w:val="28"/>
        </w:rPr>
        <w:t xml:space="preserve"> </w:t>
      </w:r>
      <w:r w:rsidR="00BB5900" w:rsidRPr="00813888">
        <w:rPr>
          <w:sz w:val="28"/>
          <w:szCs w:val="28"/>
        </w:rPr>
        <w:t xml:space="preserve">non è possibile sottacere </w:t>
      </w:r>
      <w:r w:rsidR="005021A1" w:rsidRPr="00813888">
        <w:rPr>
          <w:sz w:val="28"/>
          <w:szCs w:val="28"/>
        </w:rPr>
        <w:t xml:space="preserve">il fatto </w:t>
      </w:r>
      <w:r w:rsidR="00BB5900" w:rsidRPr="00813888">
        <w:rPr>
          <w:sz w:val="28"/>
          <w:szCs w:val="28"/>
        </w:rPr>
        <w:t xml:space="preserve">che </w:t>
      </w:r>
      <w:r w:rsidR="00EF2C60" w:rsidRPr="00813888">
        <w:rPr>
          <w:sz w:val="28"/>
          <w:szCs w:val="28"/>
        </w:rPr>
        <w:t xml:space="preserve">l’elasticità insita nelle clausole generali </w:t>
      </w:r>
      <w:r w:rsidR="005021A1" w:rsidRPr="00813888">
        <w:rPr>
          <w:sz w:val="28"/>
          <w:szCs w:val="28"/>
        </w:rPr>
        <w:t>porta</w:t>
      </w:r>
      <w:r w:rsidR="00EF2C60" w:rsidRPr="00813888">
        <w:rPr>
          <w:sz w:val="28"/>
          <w:szCs w:val="28"/>
        </w:rPr>
        <w:t xml:space="preserve"> con sé alcune criticità</w:t>
      </w:r>
      <w:r w:rsidR="00BB5900" w:rsidRPr="00813888">
        <w:rPr>
          <w:sz w:val="28"/>
          <w:szCs w:val="28"/>
        </w:rPr>
        <w:t>.</w:t>
      </w:r>
      <w:r w:rsidRPr="00813888">
        <w:rPr>
          <w:sz w:val="28"/>
          <w:szCs w:val="28"/>
        </w:rPr>
        <w:t xml:space="preserve"> </w:t>
      </w:r>
      <w:r w:rsidR="005021A1" w:rsidRPr="00813888">
        <w:rPr>
          <w:color w:val="000000" w:themeColor="text1"/>
          <w:sz w:val="28"/>
          <w:szCs w:val="28"/>
        </w:rPr>
        <w:t>I</w:t>
      </w:r>
      <w:r w:rsidR="00276213" w:rsidRPr="00813888">
        <w:rPr>
          <w:color w:val="000000" w:themeColor="text1"/>
          <w:sz w:val="28"/>
          <w:szCs w:val="28"/>
        </w:rPr>
        <w:t>l ricorso a</w:t>
      </w:r>
      <w:r w:rsidRPr="00813888">
        <w:rPr>
          <w:color w:val="000000" w:themeColor="text1"/>
          <w:sz w:val="28"/>
          <w:szCs w:val="28"/>
        </w:rPr>
        <w:t xml:space="preserve"> questa</w:t>
      </w:r>
      <w:r w:rsidR="005021A1" w:rsidRPr="00813888">
        <w:rPr>
          <w:color w:val="000000" w:themeColor="text1"/>
          <w:sz w:val="28"/>
          <w:szCs w:val="28"/>
        </w:rPr>
        <w:t xml:space="preserve"> </w:t>
      </w:r>
      <w:r w:rsidR="00E97341" w:rsidRPr="00813888">
        <w:rPr>
          <w:color w:val="000000" w:themeColor="text1"/>
          <w:sz w:val="28"/>
          <w:szCs w:val="28"/>
        </w:rPr>
        <w:t>particolar</w:t>
      </w:r>
      <w:r w:rsidR="007B69F0" w:rsidRPr="00813888">
        <w:rPr>
          <w:color w:val="000000" w:themeColor="text1"/>
          <w:sz w:val="28"/>
          <w:szCs w:val="28"/>
        </w:rPr>
        <w:t>e tecnica normativa</w:t>
      </w:r>
      <w:r w:rsidRPr="00813888">
        <w:rPr>
          <w:color w:val="000000" w:themeColor="text1"/>
          <w:sz w:val="28"/>
          <w:szCs w:val="28"/>
        </w:rPr>
        <w:t xml:space="preserve"> </w:t>
      </w:r>
      <w:r w:rsidR="005021A1" w:rsidRPr="00813888">
        <w:rPr>
          <w:color w:val="000000" w:themeColor="text1"/>
          <w:sz w:val="28"/>
          <w:szCs w:val="28"/>
        </w:rPr>
        <w:t xml:space="preserve">mette in crisi alcuni principi fondanti del nostro ordinamento giuridico. </w:t>
      </w:r>
      <w:r w:rsidR="00674A9D">
        <w:rPr>
          <w:color w:val="000000" w:themeColor="text1"/>
          <w:sz w:val="28"/>
          <w:szCs w:val="28"/>
        </w:rPr>
        <w:t>Vengono in rilievo a</w:t>
      </w:r>
      <w:r w:rsidR="005021A1" w:rsidRPr="00813888">
        <w:rPr>
          <w:color w:val="000000" w:themeColor="text1"/>
          <w:sz w:val="28"/>
          <w:szCs w:val="28"/>
        </w:rPr>
        <w:t>nzitutto</w:t>
      </w:r>
      <w:r w:rsidR="00BB5900" w:rsidRPr="00813888">
        <w:rPr>
          <w:color w:val="000000" w:themeColor="text1"/>
          <w:sz w:val="28"/>
          <w:szCs w:val="28"/>
        </w:rPr>
        <w:t xml:space="preserve"> </w:t>
      </w:r>
      <w:r w:rsidR="00325AA1" w:rsidRPr="00813888">
        <w:rPr>
          <w:color w:val="000000" w:themeColor="text1"/>
          <w:sz w:val="28"/>
          <w:szCs w:val="28"/>
        </w:rPr>
        <w:t>i principi di legalità sostanziale</w:t>
      </w:r>
      <w:r w:rsidR="007B69F0" w:rsidRPr="00813888">
        <w:rPr>
          <w:color w:val="000000" w:themeColor="text1"/>
          <w:sz w:val="28"/>
          <w:szCs w:val="28"/>
        </w:rPr>
        <w:t>,</w:t>
      </w:r>
      <w:r w:rsidR="00325AA1" w:rsidRPr="00813888">
        <w:rPr>
          <w:color w:val="000000" w:themeColor="text1"/>
          <w:sz w:val="28"/>
          <w:szCs w:val="28"/>
        </w:rPr>
        <w:t xml:space="preserve"> </w:t>
      </w:r>
      <w:r w:rsidR="005021A1" w:rsidRPr="00813888">
        <w:rPr>
          <w:color w:val="000000" w:themeColor="text1"/>
          <w:sz w:val="28"/>
          <w:szCs w:val="28"/>
        </w:rPr>
        <w:t>di</w:t>
      </w:r>
      <w:r w:rsidR="00325AA1" w:rsidRPr="00813888">
        <w:rPr>
          <w:color w:val="000000" w:themeColor="text1"/>
          <w:sz w:val="28"/>
          <w:szCs w:val="28"/>
        </w:rPr>
        <w:t xml:space="preserve"> certezza del </w:t>
      </w:r>
      <w:r w:rsidR="00BB5900" w:rsidRPr="00813888">
        <w:rPr>
          <w:color w:val="000000" w:themeColor="text1"/>
          <w:sz w:val="28"/>
          <w:szCs w:val="28"/>
        </w:rPr>
        <w:t>diritto</w:t>
      </w:r>
      <w:r w:rsidR="007B69F0" w:rsidRPr="00813888">
        <w:rPr>
          <w:color w:val="000000" w:themeColor="text1"/>
          <w:sz w:val="28"/>
          <w:szCs w:val="28"/>
        </w:rPr>
        <w:t xml:space="preserve"> e </w:t>
      </w:r>
      <w:r w:rsidR="005021A1" w:rsidRPr="00813888">
        <w:rPr>
          <w:color w:val="000000" w:themeColor="text1"/>
          <w:sz w:val="28"/>
          <w:szCs w:val="28"/>
        </w:rPr>
        <w:t>di</w:t>
      </w:r>
      <w:r w:rsidR="007B69F0" w:rsidRPr="00813888">
        <w:rPr>
          <w:color w:val="000000" w:themeColor="text1"/>
          <w:sz w:val="28"/>
          <w:szCs w:val="28"/>
        </w:rPr>
        <w:t xml:space="preserve"> tutela dell’affidamento</w:t>
      </w:r>
      <w:r w:rsidR="00BB5900" w:rsidRPr="00813888">
        <w:rPr>
          <w:color w:val="000000" w:themeColor="text1"/>
          <w:sz w:val="28"/>
          <w:szCs w:val="28"/>
        </w:rPr>
        <w:t>,</w:t>
      </w:r>
      <w:r w:rsidR="00674A9D">
        <w:rPr>
          <w:color w:val="000000" w:themeColor="text1"/>
          <w:sz w:val="28"/>
          <w:szCs w:val="28"/>
        </w:rPr>
        <w:t xml:space="preserve"> stante</w:t>
      </w:r>
      <w:r w:rsidRPr="00813888">
        <w:rPr>
          <w:color w:val="000000" w:themeColor="text1"/>
          <w:sz w:val="28"/>
          <w:szCs w:val="28"/>
        </w:rPr>
        <w:t xml:space="preserve"> la non “calcolabilità” della decisione</w:t>
      </w:r>
      <w:r w:rsidR="00674A9D" w:rsidRPr="00813888">
        <w:rPr>
          <w:color w:val="000000" w:themeColor="text1"/>
          <w:sz w:val="22"/>
          <w:szCs w:val="22"/>
        </w:rPr>
        <w:t xml:space="preserve"> – </w:t>
      </w:r>
      <w:proofErr w:type="spellStart"/>
      <w:r w:rsidRPr="00813888">
        <w:rPr>
          <w:color w:val="000000" w:themeColor="text1"/>
          <w:sz w:val="28"/>
          <w:szCs w:val="28"/>
        </w:rPr>
        <w:t>sia</w:t>
      </w:r>
      <w:proofErr w:type="spellEnd"/>
      <w:r w:rsidRPr="00813888">
        <w:rPr>
          <w:color w:val="000000" w:themeColor="text1"/>
          <w:sz w:val="28"/>
          <w:szCs w:val="28"/>
        </w:rPr>
        <w:t xml:space="preserve"> essa un atto amministrativo, oppure una sentenza</w:t>
      </w:r>
      <w:r w:rsidR="00674A9D" w:rsidRPr="00813888">
        <w:rPr>
          <w:color w:val="000000" w:themeColor="text1"/>
          <w:sz w:val="22"/>
          <w:szCs w:val="22"/>
        </w:rPr>
        <w:t xml:space="preserve"> –</w:t>
      </w:r>
      <w:r w:rsidRPr="00813888">
        <w:rPr>
          <w:color w:val="000000" w:themeColor="text1"/>
          <w:sz w:val="28"/>
          <w:szCs w:val="28"/>
        </w:rPr>
        <w:t xml:space="preserve"> tenuta ad interpretare ed applicare la clausola generale in un caso di specie. </w:t>
      </w:r>
      <w:r w:rsidR="00674A9D">
        <w:rPr>
          <w:color w:val="000000" w:themeColor="text1"/>
          <w:sz w:val="28"/>
          <w:szCs w:val="28"/>
        </w:rPr>
        <w:t>Ma a</w:t>
      </w:r>
      <w:r w:rsidR="00BB5900" w:rsidRPr="00813888">
        <w:rPr>
          <w:color w:val="000000" w:themeColor="text1"/>
          <w:sz w:val="28"/>
          <w:szCs w:val="28"/>
        </w:rPr>
        <w:t xml:space="preserve">nche </w:t>
      </w:r>
      <w:r w:rsidRPr="00813888">
        <w:rPr>
          <w:color w:val="000000" w:themeColor="text1"/>
          <w:sz w:val="28"/>
          <w:szCs w:val="28"/>
        </w:rPr>
        <w:t xml:space="preserve">altri principi sono esposti a rischi in presenza di clausole generali, </w:t>
      </w:r>
      <w:r w:rsidR="00674A9D">
        <w:rPr>
          <w:color w:val="000000" w:themeColor="text1"/>
          <w:sz w:val="28"/>
          <w:szCs w:val="28"/>
        </w:rPr>
        <w:t>come</w:t>
      </w:r>
      <w:r w:rsidR="00674A9D" w:rsidRPr="00813888">
        <w:rPr>
          <w:color w:val="000000" w:themeColor="text1"/>
          <w:sz w:val="28"/>
          <w:szCs w:val="28"/>
        </w:rPr>
        <w:t xml:space="preserve"> il principio di separazione dei poteri dello Stato</w:t>
      </w:r>
      <w:r w:rsidR="00BB5900" w:rsidRPr="00813888">
        <w:rPr>
          <w:color w:val="000000" w:themeColor="text1"/>
          <w:sz w:val="28"/>
          <w:szCs w:val="28"/>
        </w:rPr>
        <w:t>,</w:t>
      </w:r>
      <w:r w:rsidR="00674A9D">
        <w:rPr>
          <w:color w:val="000000" w:themeColor="text1"/>
          <w:sz w:val="28"/>
          <w:szCs w:val="28"/>
        </w:rPr>
        <w:t xml:space="preserve"> che entra in crisi con </w:t>
      </w:r>
      <w:r w:rsidR="007B69F0" w:rsidRPr="00813888">
        <w:rPr>
          <w:color w:val="000000" w:themeColor="text1"/>
          <w:sz w:val="28"/>
          <w:szCs w:val="28"/>
        </w:rPr>
        <w:t>sfumature</w:t>
      </w:r>
      <w:r w:rsidR="00A0451B" w:rsidRPr="00813888">
        <w:rPr>
          <w:color w:val="000000" w:themeColor="text1"/>
          <w:sz w:val="28"/>
          <w:szCs w:val="28"/>
        </w:rPr>
        <w:t xml:space="preserve"> particolar</w:t>
      </w:r>
      <w:r w:rsidR="00545822" w:rsidRPr="00813888">
        <w:rPr>
          <w:color w:val="000000" w:themeColor="text1"/>
          <w:sz w:val="28"/>
          <w:szCs w:val="28"/>
        </w:rPr>
        <w:t>i nel diritto amministrativo</w:t>
      </w:r>
      <w:r w:rsidR="00A0451B" w:rsidRPr="00813888">
        <w:rPr>
          <w:color w:val="000000" w:themeColor="text1"/>
          <w:sz w:val="28"/>
          <w:szCs w:val="28"/>
        </w:rPr>
        <w:t>.</w:t>
      </w:r>
      <w:r w:rsidR="00276213" w:rsidRPr="00813888">
        <w:rPr>
          <w:color w:val="000000" w:themeColor="text1"/>
          <w:sz w:val="28"/>
          <w:szCs w:val="28"/>
        </w:rPr>
        <w:t xml:space="preserve"> </w:t>
      </w:r>
      <w:r w:rsidR="00545822" w:rsidRPr="00813888">
        <w:rPr>
          <w:color w:val="000000" w:themeColor="text1"/>
          <w:sz w:val="28"/>
          <w:szCs w:val="28"/>
        </w:rPr>
        <w:t>Infatti, qui non emerge solo il problema, trasversale e ben avvertito pure in diritto penale e in diritto privato, di un giudice che “</w:t>
      </w:r>
      <w:r w:rsidR="00545822" w:rsidRPr="00813888">
        <w:rPr>
          <w:spacing w:val="-2"/>
          <w:sz w:val="28"/>
          <w:szCs w:val="28"/>
        </w:rPr>
        <w:t xml:space="preserve">colmi l’indeterminatezza attingendo solipsisticamente a quella che egli ritiene essere la corrente morale sociale” con il </w:t>
      </w:r>
      <w:r w:rsidR="00674A9D">
        <w:rPr>
          <w:spacing w:val="-2"/>
          <w:sz w:val="28"/>
          <w:szCs w:val="28"/>
        </w:rPr>
        <w:t>pericolo</w:t>
      </w:r>
      <w:r w:rsidR="00545822" w:rsidRPr="00813888">
        <w:rPr>
          <w:spacing w:val="-2"/>
          <w:sz w:val="28"/>
          <w:szCs w:val="28"/>
        </w:rPr>
        <w:t xml:space="preserve"> di “trasformarlo in una sorta di rappresentante di un opaco </w:t>
      </w:r>
      <w:proofErr w:type="spellStart"/>
      <w:r w:rsidR="00545822" w:rsidRPr="00813888">
        <w:rPr>
          <w:i/>
          <w:iCs/>
          <w:spacing w:val="-2"/>
          <w:sz w:val="28"/>
          <w:szCs w:val="28"/>
        </w:rPr>
        <w:t>Volksgeist</w:t>
      </w:r>
      <w:proofErr w:type="spellEnd"/>
      <w:r w:rsidR="00545822" w:rsidRPr="00813888">
        <w:rPr>
          <w:spacing w:val="-2"/>
          <w:sz w:val="28"/>
          <w:szCs w:val="28"/>
        </w:rPr>
        <w:t>”</w:t>
      </w:r>
      <w:r w:rsidR="00674A9D">
        <w:rPr>
          <w:spacing w:val="-2"/>
          <w:sz w:val="28"/>
          <w:szCs w:val="28"/>
        </w:rPr>
        <w:t>, con un’indebita</w:t>
      </w:r>
      <w:r w:rsidR="007B69F0" w:rsidRPr="00813888">
        <w:rPr>
          <w:spacing w:val="-2"/>
          <w:sz w:val="28"/>
          <w:szCs w:val="28"/>
        </w:rPr>
        <w:t xml:space="preserve"> supplenza del giudice rispetto al legislatore</w:t>
      </w:r>
      <w:r w:rsidR="007B69F0" w:rsidRPr="00813888">
        <w:rPr>
          <w:rStyle w:val="Rimandonotaapidipagina"/>
          <w:spacing w:val="-2"/>
          <w:sz w:val="28"/>
          <w:szCs w:val="28"/>
        </w:rPr>
        <w:footnoteReference w:id="5"/>
      </w:r>
      <w:r w:rsidR="007B69F0" w:rsidRPr="00813888">
        <w:rPr>
          <w:spacing w:val="-2"/>
          <w:sz w:val="28"/>
          <w:szCs w:val="28"/>
        </w:rPr>
        <w:t>.</w:t>
      </w:r>
      <w:r w:rsidR="00674A9D">
        <w:rPr>
          <w:sz w:val="28"/>
          <w:szCs w:val="28"/>
        </w:rPr>
        <w:t xml:space="preserve"> </w:t>
      </w:r>
      <w:r w:rsidR="007B69F0" w:rsidRPr="00813888">
        <w:rPr>
          <w:spacing w:val="-2"/>
          <w:sz w:val="28"/>
          <w:szCs w:val="28"/>
        </w:rPr>
        <w:t xml:space="preserve">Nel diritto amministrativo </w:t>
      </w:r>
      <w:r w:rsidR="000A21A9" w:rsidRPr="00813888">
        <w:rPr>
          <w:color w:val="000000" w:themeColor="text1"/>
          <w:sz w:val="28"/>
          <w:szCs w:val="28"/>
        </w:rPr>
        <w:t>–</w:t>
      </w:r>
      <w:r w:rsidR="000A21A9" w:rsidRPr="00813888">
        <w:rPr>
          <w:spacing w:val="-2"/>
          <w:sz w:val="28"/>
          <w:szCs w:val="28"/>
        </w:rPr>
        <w:t xml:space="preserve"> </w:t>
      </w:r>
      <w:r w:rsidR="007B69F0" w:rsidRPr="00813888">
        <w:rPr>
          <w:spacing w:val="-2"/>
          <w:sz w:val="28"/>
          <w:szCs w:val="28"/>
        </w:rPr>
        <w:t>come pure nel diritto costituzionale e in quello sovranazionale</w:t>
      </w:r>
      <w:r w:rsidR="000A21A9" w:rsidRPr="00813888">
        <w:rPr>
          <w:spacing w:val="-2"/>
          <w:sz w:val="28"/>
          <w:szCs w:val="28"/>
        </w:rPr>
        <w:t xml:space="preserve"> </w:t>
      </w:r>
      <w:r w:rsidR="000A21A9" w:rsidRPr="00813888">
        <w:rPr>
          <w:color w:val="000000" w:themeColor="text1"/>
          <w:sz w:val="28"/>
          <w:szCs w:val="28"/>
        </w:rPr>
        <w:t>–</w:t>
      </w:r>
      <w:r w:rsidR="007B69F0" w:rsidRPr="00813888">
        <w:rPr>
          <w:spacing w:val="-2"/>
          <w:sz w:val="28"/>
          <w:szCs w:val="28"/>
        </w:rPr>
        <w:t xml:space="preserve">, l’interpretazione della clausola generale spetta in prima battuta alla pubblica amministrazione e solo successivamente al giudice. Di conseguenza, il giudice amministrativo si </w:t>
      </w:r>
      <w:r w:rsidR="007B69F0" w:rsidRPr="00674A9D">
        <w:rPr>
          <w:color w:val="000000" w:themeColor="text1"/>
          <w:spacing w:val="-2"/>
          <w:sz w:val="28"/>
          <w:szCs w:val="28"/>
        </w:rPr>
        <w:t xml:space="preserve">trova di fronte non a un terreno vergine da interpretare tramite un’attività d’integrazione valutativa, bensì </w:t>
      </w:r>
      <w:r w:rsidR="007B69F0" w:rsidRPr="00674A9D">
        <w:rPr>
          <w:color w:val="000000" w:themeColor="text1"/>
          <w:sz w:val="28"/>
          <w:szCs w:val="28"/>
        </w:rPr>
        <w:t>ad apprezzamenti già operati dall’autorità decidente. Pertanto, la relatività e la soggettività delle interpretazioni delle clausole generali trascinano con sé anche la questione del grado di deferenza del giudice nei confronti delle valutazioni, previamente compiute dall’amministrazione, di integrazione e completamento della norma giuridica contenente una clausola generale</w:t>
      </w:r>
      <w:r w:rsidR="00934E51" w:rsidRPr="00674A9D">
        <w:rPr>
          <w:rStyle w:val="Rimandonotaapidipagina"/>
          <w:color w:val="000000" w:themeColor="text1"/>
          <w:sz w:val="28"/>
          <w:szCs w:val="28"/>
        </w:rPr>
        <w:footnoteReference w:id="6"/>
      </w:r>
      <w:r w:rsidR="007B69F0" w:rsidRPr="00674A9D">
        <w:rPr>
          <w:color w:val="000000" w:themeColor="text1"/>
          <w:sz w:val="28"/>
          <w:szCs w:val="28"/>
        </w:rPr>
        <w:t>.</w:t>
      </w:r>
      <w:r w:rsidR="00934E51" w:rsidRPr="00674A9D">
        <w:rPr>
          <w:color w:val="000000" w:themeColor="text1"/>
          <w:sz w:val="28"/>
          <w:szCs w:val="28"/>
        </w:rPr>
        <w:t xml:space="preserve"> In altri termini, le clausole generali pubblicistiche creano un problema di separazione tra poteri dello Stato, di limiti e confini degli uni rispetto agli altri e, in definitiva, di equilibrio tra gli stessi.</w:t>
      </w:r>
    </w:p>
    <w:p w14:paraId="0F586BDB" w14:textId="77777777" w:rsidR="00934E51" w:rsidRPr="00674A9D" w:rsidRDefault="00934E51" w:rsidP="00B06442">
      <w:pPr>
        <w:pStyle w:val="NormaleWeb"/>
        <w:ind w:firstLine="709"/>
        <w:jc w:val="both"/>
        <w:rPr>
          <w:color w:val="000000" w:themeColor="text1"/>
          <w:sz w:val="28"/>
          <w:szCs w:val="28"/>
        </w:rPr>
      </w:pPr>
    </w:p>
    <w:p w14:paraId="1DFC8A85" w14:textId="791F5A26" w:rsidR="00B066DB" w:rsidRPr="00813888" w:rsidRDefault="00934E51" w:rsidP="00B06442">
      <w:pPr>
        <w:pStyle w:val="NormaleWeb"/>
        <w:ind w:firstLine="709"/>
        <w:jc w:val="both"/>
        <w:rPr>
          <w:color w:val="000000" w:themeColor="text1"/>
          <w:sz w:val="28"/>
          <w:szCs w:val="28"/>
        </w:rPr>
      </w:pPr>
      <w:r w:rsidRPr="00813888">
        <w:rPr>
          <w:color w:val="211C1E"/>
          <w:sz w:val="28"/>
          <w:szCs w:val="28"/>
        </w:rPr>
        <w:t xml:space="preserve">2. </w:t>
      </w:r>
      <w:r w:rsidR="000D431B" w:rsidRPr="00813888">
        <w:rPr>
          <w:color w:val="000000" w:themeColor="text1"/>
          <w:sz w:val="28"/>
          <w:szCs w:val="28"/>
        </w:rPr>
        <w:t xml:space="preserve">L’ordinamento giuridico ha cercato di introdurre alcuni presidi </w:t>
      </w:r>
      <w:r w:rsidR="00276213" w:rsidRPr="00813888">
        <w:rPr>
          <w:color w:val="000000" w:themeColor="text1"/>
          <w:sz w:val="28"/>
          <w:szCs w:val="28"/>
        </w:rPr>
        <w:t xml:space="preserve">di garanzia </w:t>
      </w:r>
      <w:r w:rsidRPr="00813888">
        <w:rPr>
          <w:color w:val="000000" w:themeColor="text1"/>
          <w:sz w:val="28"/>
          <w:szCs w:val="28"/>
        </w:rPr>
        <w:t xml:space="preserve">rispetto alle evocate insidie derivanti dall’uso delle clausole generali </w:t>
      </w:r>
      <w:r w:rsidR="00276213" w:rsidRPr="00813888">
        <w:rPr>
          <w:color w:val="000000" w:themeColor="text1"/>
          <w:sz w:val="28"/>
          <w:szCs w:val="28"/>
        </w:rPr>
        <w:t xml:space="preserve">e gli </w:t>
      </w:r>
      <w:r w:rsidR="00B066DB" w:rsidRPr="00813888">
        <w:rPr>
          <w:color w:val="000000" w:themeColor="text1"/>
          <w:sz w:val="28"/>
          <w:szCs w:val="28"/>
        </w:rPr>
        <w:t xml:space="preserve">antidoti al rischio di arbitrio interpretativo sono stati elaborati sia dal legislatore, sia dall’amministrazione, sia dai giudici. In alcune occasioni è lo stesso legislatore a dettare </w:t>
      </w:r>
      <w:r w:rsidR="00B066DB" w:rsidRPr="00813888">
        <w:rPr>
          <w:sz w:val="28"/>
          <w:szCs w:val="28"/>
        </w:rPr>
        <w:t xml:space="preserve">regole interpretative dirette a conferire maggiore certezza e prevedibilità alle clausole generali dallo stesso </w:t>
      </w:r>
      <w:r w:rsidR="005021A1" w:rsidRPr="00813888">
        <w:rPr>
          <w:sz w:val="28"/>
          <w:szCs w:val="28"/>
        </w:rPr>
        <w:t>introdotte. In altre ipotesi</w:t>
      </w:r>
      <w:r w:rsidR="00C80548" w:rsidRPr="00813888">
        <w:rPr>
          <w:sz w:val="28"/>
          <w:szCs w:val="28"/>
        </w:rPr>
        <w:t xml:space="preserve"> l’anelito di certezza e prevedibilità è soddisfatto</w:t>
      </w:r>
      <w:r w:rsidR="005021A1" w:rsidRPr="00813888">
        <w:rPr>
          <w:sz w:val="28"/>
          <w:szCs w:val="28"/>
        </w:rPr>
        <w:t>, oltre che dal legislatore che tipizza alcune fattispecie, anche</w:t>
      </w:r>
      <w:r w:rsidR="00C80548" w:rsidRPr="00813888">
        <w:rPr>
          <w:sz w:val="28"/>
          <w:szCs w:val="28"/>
        </w:rPr>
        <w:t xml:space="preserve"> </w:t>
      </w:r>
      <w:r w:rsidR="00C80548" w:rsidRPr="00813888">
        <w:rPr>
          <w:sz w:val="28"/>
          <w:szCs w:val="28"/>
        </w:rPr>
        <w:lastRenderedPageBreak/>
        <w:t>in via progressiva con un successivo intervento delle pubbliche amministrazioni</w:t>
      </w:r>
      <w:r w:rsidR="005021A1" w:rsidRPr="00813888">
        <w:rPr>
          <w:sz w:val="28"/>
          <w:szCs w:val="28"/>
        </w:rPr>
        <w:t xml:space="preserve">, che </w:t>
      </w:r>
      <w:r w:rsidR="002003C2" w:rsidRPr="00813888">
        <w:rPr>
          <w:sz w:val="28"/>
          <w:szCs w:val="28"/>
        </w:rPr>
        <w:t xml:space="preserve">adottano previ </w:t>
      </w:r>
      <w:r w:rsidR="00C80548" w:rsidRPr="00813888">
        <w:rPr>
          <w:sz w:val="28"/>
          <w:szCs w:val="28"/>
        </w:rPr>
        <w:t>atti di autolimitazione, con la conseguenza che tra la norma che impiega la tecnica delle clausole generali o dei concetti giuridici indeterminati e il provvedimento da emanare si interpongono criteri e parametri generali stabili</w:t>
      </w:r>
      <w:r w:rsidR="005021A1" w:rsidRPr="00813888">
        <w:rPr>
          <w:sz w:val="28"/>
          <w:szCs w:val="28"/>
        </w:rPr>
        <w:t>ti</w:t>
      </w:r>
      <w:r w:rsidR="00C80548" w:rsidRPr="00813888">
        <w:rPr>
          <w:sz w:val="28"/>
          <w:szCs w:val="28"/>
        </w:rPr>
        <w:t xml:space="preserve"> dalla stessa amministrazione titolare del potere</w:t>
      </w:r>
      <w:r w:rsidR="00C80548" w:rsidRPr="00813888">
        <w:rPr>
          <w:rStyle w:val="Rimandonotaapidipagina"/>
          <w:sz w:val="28"/>
          <w:szCs w:val="28"/>
        </w:rPr>
        <w:footnoteReference w:id="7"/>
      </w:r>
      <w:r w:rsidR="00C80548" w:rsidRPr="00813888">
        <w:rPr>
          <w:sz w:val="28"/>
          <w:szCs w:val="28"/>
        </w:rPr>
        <w:t>.</w:t>
      </w:r>
      <w:r w:rsidR="00B066DB" w:rsidRPr="00813888">
        <w:rPr>
          <w:color w:val="000000" w:themeColor="text1"/>
          <w:sz w:val="28"/>
          <w:szCs w:val="28"/>
        </w:rPr>
        <w:t xml:space="preserve"> </w:t>
      </w:r>
      <w:r w:rsidR="00C80548" w:rsidRPr="00813888">
        <w:rPr>
          <w:color w:val="000000" w:themeColor="text1"/>
          <w:sz w:val="28"/>
          <w:szCs w:val="28"/>
        </w:rPr>
        <w:t xml:space="preserve">Talvolta, </w:t>
      </w:r>
      <w:r w:rsidR="00B066DB" w:rsidRPr="00813888">
        <w:rPr>
          <w:color w:val="000000" w:themeColor="text1"/>
          <w:sz w:val="28"/>
          <w:szCs w:val="28"/>
        </w:rPr>
        <w:t>in</w:t>
      </w:r>
      <w:r w:rsidR="00C80548" w:rsidRPr="00813888">
        <w:rPr>
          <w:color w:val="000000" w:themeColor="text1"/>
          <w:sz w:val="28"/>
          <w:szCs w:val="28"/>
        </w:rPr>
        <w:t xml:space="preserve">fine, </w:t>
      </w:r>
      <w:r w:rsidR="00B066DB" w:rsidRPr="00813888">
        <w:rPr>
          <w:color w:val="000000" w:themeColor="text1"/>
          <w:sz w:val="28"/>
          <w:szCs w:val="28"/>
        </w:rPr>
        <w:t>si assiste a un particolare intreccio di misure normative e</w:t>
      </w:r>
      <w:r w:rsidR="00C80548" w:rsidRPr="00813888">
        <w:rPr>
          <w:color w:val="000000" w:themeColor="text1"/>
          <w:sz w:val="28"/>
          <w:szCs w:val="28"/>
        </w:rPr>
        <w:t xml:space="preserve"> interventi </w:t>
      </w:r>
      <w:r w:rsidR="00B066DB" w:rsidRPr="00813888">
        <w:rPr>
          <w:color w:val="000000" w:themeColor="text1"/>
          <w:sz w:val="28"/>
          <w:szCs w:val="28"/>
        </w:rPr>
        <w:t xml:space="preserve">pretori </w:t>
      </w:r>
      <w:r w:rsidR="00674A9D">
        <w:rPr>
          <w:color w:val="000000" w:themeColor="text1"/>
          <w:sz w:val="28"/>
          <w:szCs w:val="28"/>
        </w:rPr>
        <w:t>che dà</w:t>
      </w:r>
      <w:r w:rsidR="001075A9" w:rsidRPr="00813888">
        <w:rPr>
          <w:color w:val="000000" w:themeColor="text1"/>
          <w:sz w:val="28"/>
          <w:szCs w:val="28"/>
        </w:rPr>
        <w:t xml:space="preserve"> luogo alla c.d. interpretazione </w:t>
      </w:r>
      <w:proofErr w:type="spellStart"/>
      <w:r w:rsidR="001075A9" w:rsidRPr="00813888">
        <w:rPr>
          <w:color w:val="000000" w:themeColor="text1"/>
          <w:sz w:val="28"/>
          <w:szCs w:val="28"/>
        </w:rPr>
        <w:t>tassativizzante</w:t>
      </w:r>
      <w:proofErr w:type="spellEnd"/>
      <w:r w:rsidR="00B066DB" w:rsidRPr="00813888">
        <w:rPr>
          <w:color w:val="000000" w:themeColor="text1"/>
          <w:sz w:val="28"/>
          <w:szCs w:val="28"/>
        </w:rPr>
        <w:t>.</w:t>
      </w:r>
    </w:p>
    <w:p w14:paraId="01BD1614" w14:textId="1F65DFE2" w:rsidR="00072879" w:rsidRPr="00813888" w:rsidRDefault="005021A1" w:rsidP="00B06442">
      <w:pPr>
        <w:pStyle w:val="NormaleWeb"/>
        <w:ind w:firstLine="709"/>
        <w:jc w:val="both"/>
        <w:rPr>
          <w:color w:val="000000" w:themeColor="text1"/>
          <w:sz w:val="28"/>
          <w:szCs w:val="28"/>
        </w:rPr>
      </w:pPr>
      <w:r w:rsidRPr="00813888">
        <w:rPr>
          <w:color w:val="000000" w:themeColor="text1"/>
          <w:sz w:val="28"/>
          <w:szCs w:val="28"/>
        </w:rPr>
        <w:t xml:space="preserve">Considerando dapprima l’ipotesi in cui </w:t>
      </w:r>
      <w:r w:rsidR="00532EC3" w:rsidRPr="00813888">
        <w:rPr>
          <w:color w:val="000000" w:themeColor="text1"/>
          <w:sz w:val="28"/>
          <w:szCs w:val="28"/>
        </w:rPr>
        <w:t xml:space="preserve">è lo stesso legislatore a fornire un nucleo di certezza e prevedibilità </w:t>
      </w:r>
      <w:r w:rsidR="00072879" w:rsidRPr="00813888">
        <w:rPr>
          <w:color w:val="000000" w:themeColor="text1"/>
          <w:sz w:val="28"/>
          <w:szCs w:val="28"/>
        </w:rPr>
        <w:t>all’attività d’</w:t>
      </w:r>
      <w:r w:rsidR="00532EC3" w:rsidRPr="00813888">
        <w:rPr>
          <w:color w:val="000000" w:themeColor="text1"/>
          <w:sz w:val="28"/>
          <w:szCs w:val="28"/>
        </w:rPr>
        <w:t xml:space="preserve">interpretazione della clausola generale, questa </w:t>
      </w:r>
      <w:r w:rsidR="00072879" w:rsidRPr="00813888">
        <w:rPr>
          <w:color w:val="000000" w:themeColor="text1"/>
          <w:sz w:val="28"/>
          <w:szCs w:val="28"/>
        </w:rPr>
        <w:t xml:space="preserve">particolare </w:t>
      </w:r>
      <w:r w:rsidR="00532EC3" w:rsidRPr="00813888">
        <w:rPr>
          <w:color w:val="000000" w:themeColor="text1"/>
          <w:sz w:val="28"/>
          <w:szCs w:val="28"/>
        </w:rPr>
        <w:t xml:space="preserve">tecnica normativa è impiegata in vari campi dell’agire della pubblica amministrazione. </w:t>
      </w:r>
      <w:r w:rsidRPr="00813888">
        <w:rPr>
          <w:color w:val="000000" w:themeColor="text1"/>
          <w:sz w:val="28"/>
          <w:szCs w:val="28"/>
        </w:rPr>
        <w:t>D</w:t>
      </w:r>
      <w:r w:rsidRPr="00813888">
        <w:rPr>
          <w:color w:val="000000" w:themeColor="text1"/>
          <w:sz w:val="28"/>
          <w:szCs w:val="28"/>
        </w:rPr>
        <w:t xml:space="preserve">i recente l’operazione </w:t>
      </w:r>
      <w:r w:rsidR="00072879" w:rsidRPr="00813888">
        <w:rPr>
          <w:color w:val="000000" w:themeColor="text1"/>
          <w:sz w:val="28"/>
          <w:szCs w:val="28"/>
        </w:rPr>
        <w:t xml:space="preserve">normativa </w:t>
      </w:r>
      <w:r w:rsidRPr="00813888">
        <w:rPr>
          <w:color w:val="000000" w:themeColor="text1"/>
          <w:sz w:val="28"/>
          <w:szCs w:val="28"/>
        </w:rPr>
        <w:t xml:space="preserve">di perimetrazione delle clausole generali si rinviene </w:t>
      </w:r>
      <w:r w:rsidR="00532EC3" w:rsidRPr="00813888">
        <w:rPr>
          <w:color w:val="000000" w:themeColor="text1"/>
          <w:sz w:val="28"/>
          <w:szCs w:val="28"/>
        </w:rPr>
        <w:t>nel</w:t>
      </w:r>
      <w:r w:rsidRPr="00813888">
        <w:rPr>
          <w:color w:val="000000" w:themeColor="text1"/>
          <w:sz w:val="28"/>
          <w:szCs w:val="28"/>
        </w:rPr>
        <w:t xml:space="preserve"> nuovo codice dei contratti pubblici. </w:t>
      </w:r>
      <w:r w:rsidR="00532EC3" w:rsidRPr="00813888">
        <w:rPr>
          <w:sz w:val="28"/>
          <w:szCs w:val="28"/>
        </w:rPr>
        <w:t xml:space="preserve">Nei suoi primi articoli </w:t>
      </w:r>
      <w:r w:rsidR="00532EC3" w:rsidRPr="00813888">
        <w:rPr>
          <w:sz w:val="28"/>
          <w:szCs w:val="28"/>
        </w:rPr>
        <w:t xml:space="preserve">(artt. 1-11) </w:t>
      </w:r>
      <w:r w:rsidR="00532EC3" w:rsidRPr="00813888">
        <w:rPr>
          <w:sz w:val="28"/>
          <w:szCs w:val="28"/>
        </w:rPr>
        <w:t>il codice enuncia espressamente una serie di principi generali</w:t>
      </w:r>
      <w:r w:rsidR="00532EC3" w:rsidRPr="00813888">
        <w:rPr>
          <w:sz w:val="28"/>
          <w:szCs w:val="28"/>
        </w:rPr>
        <w:t xml:space="preserve">, molti dei quali </w:t>
      </w:r>
      <w:r w:rsidR="00072879" w:rsidRPr="00813888">
        <w:rPr>
          <w:sz w:val="28"/>
          <w:szCs w:val="28"/>
        </w:rPr>
        <w:t>altro non so</w:t>
      </w:r>
      <w:r w:rsidR="00674A9D">
        <w:rPr>
          <w:sz w:val="28"/>
          <w:szCs w:val="28"/>
        </w:rPr>
        <w:t>n</w:t>
      </w:r>
      <w:r w:rsidR="00072879" w:rsidRPr="00813888">
        <w:rPr>
          <w:sz w:val="28"/>
          <w:szCs w:val="28"/>
        </w:rPr>
        <w:t>o che</w:t>
      </w:r>
      <w:r w:rsidR="00532EC3" w:rsidRPr="00813888">
        <w:rPr>
          <w:sz w:val="28"/>
          <w:szCs w:val="28"/>
        </w:rPr>
        <w:t xml:space="preserve"> clausole generali, </w:t>
      </w:r>
      <w:r w:rsidR="00072879" w:rsidRPr="00813888">
        <w:rPr>
          <w:sz w:val="28"/>
          <w:szCs w:val="28"/>
        </w:rPr>
        <w:t>quali</w:t>
      </w:r>
      <w:r w:rsidR="00532EC3" w:rsidRPr="00813888">
        <w:rPr>
          <w:sz w:val="28"/>
          <w:szCs w:val="28"/>
        </w:rPr>
        <w:t xml:space="preserve">, ad esempio, </w:t>
      </w:r>
      <w:r w:rsidR="00072879" w:rsidRPr="00813888">
        <w:rPr>
          <w:sz w:val="28"/>
          <w:szCs w:val="28"/>
        </w:rPr>
        <w:t>i principi di</w:t>
      </w:r>
      <w:r w:rsidR="00532EC3" w:rsidRPr="00813888">
        <w:rPr>
          <w:sz w:val="28"/>
          <w:szCs w:val="28"/>
        </w:rPr>
        <w:t xml:space="preserve"> buona fede</w:t>
      </w:r>
      <w:r w:rsidR="00072879" w:rsidRPr="00813888">
        <w:rPr>
          <w:sz w:val="28"/>
          <w:szCs w:val="28"/>
        </w:rPr>
        <w:t xml:space="preserve"> e di tutela dell’affidamento</w:t>
      </w:r>
      <w:r w:rsidR="00532EC3" w:rsidRPr="00813888">
        <w:rPr>
          <w:sz w:val="28"/>
          <w:szCs w:val="28"/>
        </w:rPr>
        <w:t>.</w:t>
      </w:r>
      <w:r w:rsidR="00072879" w:rsidRPr="00813888">
        <w:rPr>
          <w:sz w:val="28"/>
          <w:szCs w:val="28"/>
        </w:rPr>
        <w:t xml:space="preserve"> </w:t>
      </w:r>
      <w:r w:rsidR="00532EC3" w:rsidRPr="00813888">
        <w:rPr>
          <w:sz w:val="28"/>
          <w:szCs w:val="28"/>
        </w:rPr>
        <w:t xml:space="preserve">Tuttavia, </w:t>
      </w:r>
      <w:r w:rsidR="00072879" w:rsidRPr="00813888">
        <w:rPr>
          <w:sz w:val="28"/>
          <w:szCs w:val="28"/>
        </w:rPr>
        <w:t xml:space="preserve">la stessa Relazione di accompagnamento al codice è conscia delle criticità insite nel ricorso a questa tecnica normativa, che </w:t>
      </w:r>
      <w:r w:rsidR="00532EC3" w:rsidRPr="00813888">
        <w:rPr>
          <w:sz w:val="28"/>
          <w:szCs w:val="28"/>
        </w:rPr>
        <w:t xml:space="preserve">rischia di attribuire al giudice un eccessivo potere interpretativo e, conseguentemente, di erodere certezza del diritto e prevedibilità delle soluzioni </w:t>
      </w:r>
      <w:r w:rsidR="00674A9D">
        <w:rPr>
          <w:sz w:val="28"/>
          <w:szCs w:val="28"/>
        </w:rPr>
        <w:t>concrete</w:t>
      </w:r>
      <w:r w:rsidR="00072879" w:rsidRPr="00813888">
        <w:rPr>
          <w:rStyle w:val="Rimandonotaapidipagina"/>
          <w:sz w:val="28"/>
          <w:szCs w:val="28"/>
        </w:rPr>
        <w:footnoteReference w:id="8"/>
      </w:r>
      <w:r w:rsidR="00532EC3" w:rsidRPr="00813888">
        <w:rPr>
          <w:sz w:val="28"/>
          <w:szCs w:val="28"/>
        </w:rPr>
        <w:t xml:space="preserve">. Proprio per scongiurare questi pericoli il codice ha voluto specificare </w:t>
      </w:r>
      <w:r w:rsidR="00072879" w:rsidRPr="00813888">
        <w:rPr>
          <w:sz w:val="28"/>
          <w:szCs w:val="28"/>
        </w:rPr>
        <w:t xml:space="preserve">un </w:t>
      </w:r>
      <w:r w:rsidR="00532EC3" w:rsidRPr="00813888">
        <w:rPr>
          <w:sz w:val="28"/>
          <w:szCs w:val="28"/>
        </w:rPr>
        <w:t xml:space="preserve">contenuto concreto e puntuale di alcuni </w:t>
      </w:r>
      <w:r w:rsidR="00072879" w:rsidRPr="00813888">
        <w:rPr>
          <w:sz w:val="28"/>
          <w:szCs w:val="28"/>
        </w:rPr>
        <w:t>principi o clausole generali</w:t>
      </w:r>
      <w:r w:rsidR="00532EC3" w:rsidRPr="00813888">
        <w:rPr>
          <w:sz w:val="28"/>
          <w:szCs w:val="28"/>
        </w:rPr>
        <w:t>. Si pensi, ad esempio, al</w:t>
      </w:r>
      <w:r w:rsidR="00072879" w:rsidRPr="00813888">
        <w:rPr>
          <w:sz w:val="28"/>
          <w:szCs w:val="28"/>
        </w:rPr>
        <w:t xml:space="preserve">la già menzionata </w:t>
      </w:r>
      <w:r w:rsidR="00532EC3" w:rsidRPr="00813888">
        <w:rPr>
          <w:sz w:val="28"/>
          <w:szCs w:val="28"/>
        </w:rPr>
        <w:t>buona fede e tutela dell’affidamento</w:t>
      </w:r>
      <w:r w:rsidR="00072879" w:rsidRPr="00813888">
        <w:rPr>
          <w:sz w:val="28"/>
          <w:szCs w:val="28"/>
        </w:rPr>
        <w:t>.</w:t>
      </w:r>
      <w:r w:rsidRPr="00813888">
        <w:rPr>
          <w:color w:val="000000" w:themeColor="text1"/>
          <w:sz w:val="28"/>
          <w:szCs w:val="28"/>
        </w:rPr>
        <w:t xml:space="preserve"> </w:t>
      </w:r>
      <w:r w:rsidR="00072879" w:rsidRPr="00813888">
        <w:rPr>
          <w:color w:val="000000" w:themeColor="text1"/>
          <w:sz w:val="28"/>
          <w:szCs w:val="28"/>
        </w:rPr>
        <w:t>L</w:t>
      </w:r>
      <w:r w:rsidRPr="00813888">
        <w:rPr>
          <w:color w:val="000000" w:themeColor="text1"/>
          <w:sz w:val="28"/>
          <w:szCs w:val="28"/>
        </w:rPr>
        <w:t xml:space="preserve">’art. 5 del d. lgs. n. 36 del 2023, da un lato, impone al primo comma il rispetto della buona fede nella materia della contrattualistica pubblica, dall’altro, nei commi successivi supera l’indeterminatezza insita in questa clausola generale introducendo alcune norme a fattispecie, attuative della clausola stessa, che portano al riconoscimento di un affidamento giuridicamente tutelato in capo all’operatore economico anche prima dell’aggiudicazione. </w:t>
      </w:r>
    </w:p>
    <w:p w14:paraId="178A2C85" w14:textId="625C99FE" w:rsidR="00E07945" w:rsidRPr="00813888" w:rsidRDefault="00532EC3" w:rsidP="00B06442">
      <w:pPr>
        <w:pStyle w:val="NormaleWeb"/>
        <w:ind w:firstLine="709"/>
        <w:jc w:val="both"/>
        <w:rPr>
          <w:color w:val="000000" w:themeColor="text1"/>
          <w:sz w:val="28"/>
          <w:szCs w:val="28"/>
        </w:rPr>
      </w:pPr>
      <w:r w:rsidRPr="00813888">
        <w:rPr>
          <w:color w:val="000000" w:themeColor="text1"/>
          <w:sz w:val="28"/>
          <w:szCs w:val="28"/>
        </w:rPr>
        <w:t xml:space="preserve">Anche </w:t>
      </w:r>
      <w:r w:rsidR="00934E51" w:rsidRPr="00813888">
        <w:rPr>
          <w:color w:val="000000" w:themeColor="text1"/>
          <w:sz w:val="28"/>
          <w:szCs w:val="28"/>
        </w:rPr>
        <w:t>i</w:t>
      </w:r>
      <w:r w:rsidR="000D431B" w:rsidRPr="00813888">
        <w:rPr>
          <w:color w:val="000000" w:themeColor="text1"/>
          <w:sz w:val="28"/>
          <w:szCs w:val="28"/>
        </w:rPr>
        <w:t xml:space="preserve">n materia </w:t>
      </w:r>
      <w:r w:rsidR="001075A9" w:rsidRPr="00813888">
        <w:rPr>
          <w:color w:val="000000" w:themeColor="text1"/>
          <w:sz w:val="28"/>
          <w:szCs w:val="28"/>
        </w:rPr>
        <w:t xml:space="preserve">di </w:t>
      </w:r>
      <w:r w:rsidR="000A21A9" w:rsidRPr="00813888">
        <w:rPr>
          <w:color w:val="000000" w:themeColor="text1"/>
          <w:sz w:val="28"/>
          <w:szCs w:val="28"/>
        </w:rPr>
        <w:t>disciplina antitrust</w:t>
      </w:r>
      <w:r w:rsidR="000D431B" w:rsidRPr="00813888">
        <w:rPr>
          <w:color w:val="000000" w:themeColor="text1"/>
          <w:sz w:val="28"/>
          <w:szCs w:val="28"/>
        </w:rPr>
        <w:t xml:space="preserve"> i</w:t>
      </w:r>
      <w:r w:rsidR="000D431B" w:rsidRPr="00813888">
        <w:rPr>
          <w:rFonts w:eastAsia="MS Mincho"/>
          <w:sz w:val="28"/>
          <w:szCs w:val="28"/>
          <w:lang w:eastAsia="ja-JP"/>
        </w:rPr>
        <w:t>l l</w:t>
      </w:r>
      <w:r w:rsidR="000D431B" w:rsidRPr="00813888">
        <w:rPr>
          <w:rFonts w:eastAsia="Garamond  (simoncini)"/>
          <w:sz w:val="28"/>
          <w:szCs w:val="28"/>
        </w:rPr>
        <w:t>egislatore, europeo e nazionale, ricorre a clausole generali nel descrivere le fattispecie imprenditoriali da vietare (“intesa restrittiva della concorrenza”, “posizione dominante”, “abuso” della stessa)</w:t>
      </w:r>
      <w:r w:rsidR="00920C3F" w:rsidRPr="00813888">
        <w:rPr>
          <w:rFonts w:eastAsia="Garamond  (simoncini)"/>
          <w:sz w:val="28"/>
          <w:szCs w:val="28"/>
        </w:rPr>
        <w:t>, m</w:t>
      </w:r>
      <w:r w:rsidR="000D431B" w:rsidRPr="00813888">
        <w:rPr>
          <w:rFonts w:eastAsia="Garamond  (simoncini)"/>
          <w:sz w:val="28"/>
          <w:szCs w:val="28"/>
        </w:rPr>
        <w:t>a, al tempo stesso, accompagna questa tecnica normativa alla tipizzazione di alcune fattispecie imprenditoriali</w:t>
      </w:r>
      <w:r w:rsidR="00920C3F" w:rsidRPr="00813888">
        <w:rPr>
          <w:rFonts w:eastAsia="Garamond  (simoncini)"/>
          <w:sz w:val="28"/>
          <w:szCs w:val="28"/>
        </w:rPr>
        <w:t xml:space="preserve"> </w:t>
      </w:r>
      <w:r w:rsidR="000D431B" w:rsidRPr="00813888">
        <w:rPr>
          <w:rFonts w:eastAsia="Garamond  (simoncini)"/>
          <w:sz w:val="28"/>
          <w:szCs w:val="28"/>
        </w:rPr>
        <w:t>tramite un elenco non tassativo di specifiche azioni vietate</w:t>
      </w:r>
      <w:r w:rsidR="001075A9" w:rsidRPr="00813888">
        <w:rPr>
          <w:rStyle w:val="Rimandonotaapidipagina"/>
          <w:rFonts w:eastAsia="Garamond  (simoncini)"/>
          <w:sz w:val="28"/>
          <w:szCs w:val="28"/>
        </w:rPr>
        <w:footnoteReference w:id="9"/>
      </w:r>
      <w:r w:rsidR="000D431B" w:rsidRPr="00813888">
        <w:rPr>
          <w:rFonts w:eastAsia="Garamond  (simoncini)"/>
          <w:sz w:val="28"/>
          <w:szCs w:val="28"/>
        </w:rPr>
        <w:t xml:space="preserve">. La tipizzazione legislativa ha lo scopo sia di identificare con certezza alcune condotte pacificamente illecite, sia di fornire un ausilio </w:t>
      </w:r>
      <w:r w:rsidR="000D431B" w:rsidRPr="00813888">
        <w:rPr>
          <w:color w:val="000000" w:themeColor="text1"/>
          <w:sz w:val="28"/>
          <w:szCs w:val="28"/>
        </w:rPr>
        <w:t>nel rendere la stessa clausola generale meno preda dell’imprevedibilità nei casi non tipizzati, guidando con alcune esemplificazioni normative l’attività dell’interprete</w:t>
      </w:r>
      <w:r w:rsidR="000D431B" w:rsidRPr="00813888">
        <w:rPr>
          <w:rFonts w:eastAsia="Garamond  (simoncini)"/>
          <w:sz w:val="28"/>
          <w:szCs w:val="28"/>
        </w:rPr>
        <w:t>.</w:t>
      </w:r>
      <w:r w:rsidR="001075A9" w:rsidRPr="00813888">
        <w:rPr>
          <w:rFonts w:eastAsia="Garamond  (simoncini)"/>
          <w:sz w:val="28"/>
          <w:szCs w:val="28"/>
        </w:rPr>
        <w:t xml:space="preserve"> </w:t>
      </w:r>
    </w:p>
    <w:p w14:paraId="791A01AB" w14:textId="26D1422D" w:rsidR="0099511B" w:rsidRPr="00813888" w:rsidRDefault="001075A9" w:rsidP="00B06442">
      <w:pPr>
        <w:pStyle w:val="NormaleWeb"/>
        <w:ind w:firstLine="709"/>
        <w:jc w:val="both"/>
        <w:rPr>
          <w:color w:val="141413"/>
          <w:sz w:val="28"/>
          <w:szCs w:val="28"/>
        </w:rPr>
      </w:pPr>
      <w:r w:rsidRPr="00813888">
        <w:rPr>
          <w:color w:val="000000" w:themeColor="text1"/>
          <w:sz w:val="28"/>
          <w:szCs w:val="28"/>
        </w:rPr>
        <w:lastRenderedPageBreak/>
        <w:t>P</w:t>
      </w:r>
      <w:r w:rsidR="000D431B" w:rsidRPr="00813888">
        <w:rPr>
          <w:color w:val="000000" w:themeColor="text1"/>
          <w:sz w:val="28"/>
          <w:szCs w:val="28"/>
        </w:rPr>
        <w:t xml:space="preserve">er </w:t>
      </w:r>
      <w:r w:rsidR="000D431B" w:rsidRPr="00813888">
        <w:rPr>
          <w:rFonts w:eastAsia="Garamond  (simoncini)"/>
          <w:sz w:val="28"/>
          <w:szCs w:val="28"/>
        </w:rPr>
        <w:t>facilitare l’applicazione in concreto della normativa e per fornire un criterio d’interpretazione da utilizzare con riferimento a fattispecie atipiche</w:t>
      </w:r>
      <w:r w:rsidRPr="00813888">
        <w:rPr>
          <w:rFonts w:eastAsia="Garamond  (simoncini)"/>
          <w:sz w:val="28"/>
          <w:szCs w:val="28"/>
        </w:rPr>
        <w:t xml:space="preserve"> intervengono poi in ausilio supplettivo alcuni atti amministrativi generali di auto</w:t>
      </w:r>
      <w:r w:rsidR="00987E65" w:rsidRPr="00813888">
        <w:rPr>
          <w:rFonts w:eastAsia="Garamond  (simoncini)"/>
          <w:sz w:val="28"/>
          <w:szCs w:val="28"/>
        </w:rPr>
        <w:t>-</w:t>
      </w:r>
      <w:r w:rsidRPr="00813888">
        <w:rPr>
          <w:rFonts w:eastAsia="Garamond  (simoncini)"/>
          <w:sz w:val="28"/>
          <w:szCs w:val="28"/>
        </w:rPr>
        <w:t xml:space="preserve">vincolo, quali </w:t>
      </w:r>
      <w:r w:rsidR="000D431B" w:rsidRPr="00813888">
        <w:rPr>
          <w:rFonts w:eastAsia="Garamond  (simoncini)"/>
          <w:sz w:val="28"/>
          <w:szCs w:val="28"/>
        </w:rPr>
        <w:t>le Comunicazioni della Commissione europea</w:t>
      </w:r>
      <w:r w:rsidRPr="00813888">
        <w:rPr>
          <w:rFonts w:eastAsia="Garamond  (simoncini)"/>
          <w:sz w:val="28"/>
          <w:szCs w:val="28"/>
        </w:rPr>
        <w:t xml:space="preserve"> </w:t>
      </w:r>
      <w:r w:rsidR="000D431B" w:rsidRPr="00813888">
        <w:rPr>
          <w:rFonts w:eastAsia="Garamond  (simoncini)"/>
          <w:sz w:val="28"/>
          <w:szCs w:val="28"/>
        </w:rPr>
        <w:t>o</w:t>
      </w:r>
      <w:r w:rsidRPr="00813888">
        <w:rPr>
          <w:rFonts w:eastAsia="Garamond  (simoncini)"/>
          <w:sz w:val="28"/>
          <w:szCs w:val="28"/>
        </w:rPr>
        <w:t xml:space="preserve"> </w:t>
      </w:r>
      <w:r w:rsidR="00987E65" w:rsidRPr="00813888">
        <w:rPr>
          <w:rFonts w:eastAsia="Garamond  (simoncini)"/>
          <w:sz w:val="28"/>
          <w:szCs w:val="28"/>
        </w:rPr>
        <w:t>le L</w:t>
      </w:r>
      <w:r w:rsidRPr="00813888">
        <w:rPr>
          <w:rFonts w:eastAsia="Garamond  (simoncini)"/>
          <w:sz w:val="28"/>
          <w:szCs w:val="28"/>
        </w:rPr>
        <w:t xml:space="preserve">inee guida </w:t>
      </w:r>
      <w:r w:rsidR="000D431B" w:rsidRPr="00813888">
        <w:rPr>
          <w:color w:val="000000" w:themeColor="text1"/>
          <w:sz w:val="28"/>
          <w:szCs w:val="28"/>
        </w:rPr>
        <w:t xml:space="preserve">dell’Autorità </w:t>
      </w:r>
      <w:r w:rsidRPr="00813888">
        <w:rPr>
          <w:color w:val="000000" w:themeColor="text1"/>
          <w:sz w:val="28"/>
          <w:szCs w:val="28"/>
        </w:rPr>
        <w:t>garante della concorrenza e del mercato</w:t>
      </w:r>
      <w:r w:rsidR="00987E65" w:rsidRPr="00813888">
        <w:rPr>
          <w:rStyle w:val="Rimandonotaapidipagina"/>
          <w:color w:val="000000" w:themeColor="text1"/>
          <w:sz w:val="28"/>
          <w:szCs w:val="28"/>
        </w:rPr>
        <w:footnoteReference w:id="10"/>
      </w:r>
      <w:r w:rsidRPr="00813888">
        <w:rPr>
          <w:color w:val="000000" w:themeColor="text1"/>
          <w:sz w:val="28"/>
          <w:szCs w:val="28"/>
        </w:rPr>
        <w:t>.</w:t>
      </w:r>
      <w:r w:rsidR="00987E65" w:rsidRPr="00813888">
        <w:rPr>
          <w:rFonts w:eastAsia="Garamond  (simoncini)"/>
          <w:sz w:val="28"/>
          <w:szCs w:val="28"/>
        </w:rPr>
        <w:t xml:space="preserve"> </w:t>
      </w:r>
      <w:r w:rsidR="00987E65" w:rsidRPr="00813888">
        <w:rPr>
          <w:color w:val="000000" w:themeColor="text1"/>
          <w:sz w:val="28"/>
          <w:szCs w:val="28"/>
        </w:rPr>
        <w:t>S</w:t>
      </w:r>
      <w:r w:rsidR="000D431B" w:rsidRPr="00813888">
        <w:rPr>
          <w:color w:val="000000" w:themeColor="text1"/>
          <w:sz w:val="28"/>
          <w:szCs w:val="28"/>
        </w:rPr>
        <w:t xml:space="preserve">copo di questi vari presidi è di tipo orientativo rispetto al singolo </w:t>
      </w:r>
      <w:r w:rsidR="000D431B" w:rsidRPr="00813888">
        <w:rPr>
          <w:rFonts w:eastAsia="Garamond  (simoncini)"/>
          <w:sz w:val="28"/>
          <w:szCs w:val="28"/>
        </w:rPr>
        <w:t>processo d</w:t>
      </w:r>
      <w:r w:rsidR="00987E65" w:rsidRPr="00813888">
        <w:rPr>
          <w:rFonts w:eastAsia="Garamond  (simoncini)"/>
          <w:sz w:val="28"/>
          <w:szCs w:val="28"/>
        </w:rPr>
        <w:t>’interpretazione</w:t>
      </w:r>
      <w:r w:rsidR="000D431B" w:rsidRPr="00813888">
        <w:rPr>
          <w:rFonts w:eastAsia="Garamond  (simoncini)"/>
          <w:sz w:val="28"/>
          <w:szCs w:val="28"/>
        </w:rPr>
        <w:t xml:space="preserve"> della clausola generale</w:t>
      </w:r>
      <w:r w:rsidR="00987E65" w:rsidRPr="00813888">
        <w:rPr>
          <w:rFonts w:eastAsia="Garamond  (simoncini)"/>
          <w:sz w:val="28"/>
          <w:szCs w:val="28"/>
        </w:rPr>
        <w:t xml:space="preserve">, </w:t>
      </w:r>
      <w:r w:rsidR="002003C2" w:rsidRPr="00813888">
        <w:rPr>
          <w:rFonts w:eastAsia="Garamond  (simoncini)"/>
          <w:sz w:val="28"/>
          <w:szCs w:val="28"/>
        </w:rPr>
        <w:t xml:space="preserve">ma </w:t>
      </w:r>
      <w:r w:rsidR="00F65B52" w:rsidRPr="00813888">
        <w:rPr>
          <w:rFonts w:eastAsia="Garamond  (simoncini)"/>
          <w:sz w:val="28"/>
          <w:szCs w:val="28"/>
        </w:rPr>
        <w:t>il grado di effettività del</w:t>
      </w:r>
      <w:r w:rsidR="0099511B" w:rsidRPr="00813888">
        <w:rPr>
          <w:rFonts w:eastAsia="Garamond  (simoncini)"/>
          <w:sz w:val="28"/>
          <w:szCs w:val="28"/>
        </w:rPr>
        <w:t>lo strumentario</w:t>
      </w:r>
      <w:r w:rsidR="002003C2" w:rsidRPr="00813888">
        <w:rPr>
          <w:rFonts w:eastAsia="Garamond  (simoncini)"/>
          <w:sz w:val="28"/>
          <w:szCs w:val="28"/>
        </w:rPr>
        <w:t xml:space="preserve"> </w:t>
      </w:r>
      <w:r w:rsidR="00F65B52" w:rsidRPr="00813888">
        <w:rPr>
          <w:rFonts w:eastAsia="Garamond  (simoncini)"/>
          <w:sz w:val="28"/>
          <w:szCs w:val="28"/>
        </w:rPr>
        <w:t>è condizionat</w:t>
      </w:r>
      <w:r w:rsidR="00E07945" w:rsidRPr="00813888">
        <w:rPr>
          <w:rFonts w:eastAsia="Garamond  (simoncini)"/>
          <w:sz w:val="28"/>
          <w:szCs w:val="28"/>
        </w:rPr>
        <w:t>o</w:t>
      </w:r>
      <w:r w:rsidR="00F65B52" w:rsidRPr="00813888">
        <w:rPr>
          <w:rFonts w:eastAsia="Garamond  (simoncini)"/>
          <w:sz w:val="28"/>
          <w:szCs w:val="28"/>
        </w:rPr>
        <w:t xml:space="preserve"> dalla sua natura giuridica</w:t>
      </w:r>
      <w:r w:rsidR="002003C2" w:rsidRPr="00813888">
        <w:rPr>
          <w:rFonts w:eastAsia="Garamond  (simoncini)"/>
          <w:sz w:val="28"/>
          <w:szCs w:val="28"/>
        </w:rPr>
        <w:t xml:space="preserve">. Infatti, </w:t>
      </w:r>
      <w:r w:rsidR="00F65B52" w:rsidRPr="00813888">
        <w:rPr>
          <w:rFonts w:eastAsia="Garamond  (simoncini)"/>
          <w:sz w:val="28"/>
          <w:szCs w:val="28"/>
        </w:rPr>
        <w:t xml:space="preserve">gli </w:t>
      </w:r>
      <w:r w:rsidR="002003C2" w:rsidRPr="00813888">
        <w:rPr>
          <w:rFonts w:eastAsia="Garamond  (simoncini)"/>
          <w:sz w:val="28"/>
          <w:szCs w:val="28"/>
        </w:rPr>
        <w:t>atti</w:t>
      </w:r>
      <w:r w:rsidR="00F65B52" w:rsidRPr="00813888">
        <w:rPr>
          <w:rFonts w:eastAsia="Garamond  (simoncini)"/>
          <w:sz w:val="28"/>
          <w:szCs w:val="28"/>
        </w:rPr>
        <w:t xml:space="preserve"> in questione</w:t>
      </w:r>
      <w:r w:rsidR="002003C2" w:rsidRPr="00813888">
        <w:rPr>
          <w:rFonts w:eastAsia="Garamond  (simoncini)"/>
          <w:sz w:val="28"/>
          <w:szCs w:val="28"/>
        </w:rPr>
        <w:t xml:space="preserve">, al pari di ogni atto </w:t>
      </w:r>
      <w:r w:rsidR="000D431B" w:rsidRPr="00813888">
        <w:rPr>
          <w:rFonts w:eastAsia="Garamond  (simoncini)"/>
          <w:sz w:val="28"/>
          <w:szCs w:val="28"/>
        </w:rPr>
        <w:t xml:space="preserve">di </w:t>
      </w:r>
      <w:r w:rsidR="000D431B" w:rsidRPr="00813888">
        <w:rPr>
          <w:rFonts w:eastAsia="Garamond  (simoncini)"/>
          <w:i/>
          <w:iCs/>
          <w:sz w:val="28"/>
          <w:szCs w:val="28"/>
        </w:rPr>
        <w:t xml:space="preserve">soft </w:t>
      </w:r>
      <w:proofErr w:type="spellStart"/>
      <w:r w:rsidR="000D431B" w:rsidRPr="00813888">
        <w:rPr>
          <w:rFonts w:eastAsia="Garamond  (simoncini)"/>
          <w:i/>
          <w:iCs/>
          <w:sz w:val="28"/>
          <w:szCs w:val="28"/>
        </w:rPr>
        <w:t>law</w:t>
      </w:r>
      <w:proofErr w:type="spellEnd"/>
      <w:r w:rsidR="00B066DB" w:rsidRPr="00813888">
        <w:rPr>
          <w:rFonts w:eastAsia="Garamond  (simoncini)"/>
          <w:i/>
          <w:iCs/>
          <w:sz w:val="28"/>
          <w:szCs w:val="28"/>
        </w:rPr>
        <w:t>,</w:t>
      </w:r>
      <w:r w:rsidR="000D431B" w:rsidRPr="00813888">
        <w:rPr>
          <w:rFonts w:eastAsia="Garamond  (simoncini)"/>
          <w:sz w:val="28"/>
          <w:szCs w:val="28"/>
        </w:rPr>
        <w:t xml:space="preserve"> </w:t>
      </w:r>
      <w:r w:rsidR="00E07945" w:rsidRPr="00813888">
        <w:rPr>
          <w:rFonts w:eastAsia="Garamond  (simoncini)"/>
          <w:sz w:val="28"/>
          <w:szCs w:val="28"/>
        </w:rPr>
        <w:t>influenzano</w:t>
      </w:r>
      <w:r w:rsidR="000D431B" w:rsidRPr="00813888">
        <w:rPr>
          <w:rFonts w:eastAsia="Garamond  (simoncini)"/>
          <w:sz w:val="28"/>
          <w:szCs w:val="28"/>
        </w:rPr>
        <w:t>, ma non vincolano l’interprete,</w:t>
      </w:r>
      <w:r w:rsidR="00920C3F" w:rsidRPr="00813888">
        <w:rPr>
          <w:rFonts w:eastAsia="Garamond  (simoncini)"/>
          <w:sz w:val="28"/>
          <w:szCs w:val="28"/>
        </w:rPr>
        <w:t xml:space="preserve"> </w:t>
      </w:r>
      <w:r w:rsidR="00B066DB" w:rsidRPr="00813888">
        <w:rPr>
          <w:rFonts w:eastAsia="Garamond  (simoncini)"/>
          <w:sz w:val="28"/>
          <w:szCs w:val="28"/>
        </w:rPr>
        <w:t>il quale</w:t>
      </w:r>
      <w:r w:rsidR="000D431B" w:rsidRPr="00813888">
        <w:rPr>
          <w:rFonts w:eastAsia="Garamond  (simoncini)"/>
          <w:sz w:val="28"/>
          <w:szCs w:val="28"/>
        </w:rPr>
        <w:t xml:space="preserve"> può </w:t>
      </w:r>
      <w:r w:rsidR="00F65B52" w:rsidRPr="00813888">
        <w:rPr>
          <w:rFonts w:eastAsia="Garamond  (simoncini)"/>
          <w:sz w:val="28"/>
          <w:szCs w:val="28"/>
        </w:rPr>
        <w:t xml:space="preserve">anche </w:t>
      </w:r>
      <w:r w:rsidR="000D431B" w:rsidRPr="00813888">
        <w:rPr>
          <w:rFonts w:eastAsia="Garamond  (simoncini)"/>
          <w:sz w:val="28"/>
          <w:szCs w:val="28"/>
        </w:rPr>
        <w:t>non prestarvi osservanza, a condizione di motivare le ragioni del suo discostarsi</w:t>
      </w:r>
      <w:r w:rsidR="00E07945" w:rsidRPr="00813888">
        <w:rPr>
          <w:rFonts w:eastAsia="Garamond  (simoncini)"/>
          <w:sz w:val="28"/>
          <w:szCs w:val="28"/>
        </w:rPr>
        <w:t xml:space="preserve"> </w:t>
      </w:r>
      <w:r w:rsidR="00E07945" w:rsidRPr="00813888">
        <w:rPr>
          <w:sz w:val="28"/>
          <w:szCs w:val="28"/>
        </w:rPr>
        <w:t xml:space="preserve">(principio del </w:t>
      </w:r>
      <w:proofErr w:type="spellStart"/>
      <w:r w:rsidR="00E07945" w:rsidRPr="00813888">
        <w:rPr>
          <w:i/>
          <w:iCs/>
          <w:sz w:val="28"/>
          <w:szCs w:val="28"/>
        </w:rPr>
        <w:t>comply</w:t>
      </w:r>
      <w:proofErr w:type="spellEnd"/>
      <w:r w:rsidR="00E07945" w:rsidRPr="00813888">
        <w:rPr>
          <w:i/>
          <w:iCs/>
          <w:sz w:val="28"/>
          <w:szCs w:val="28"/>
        </w:rPr>
        <w:t xml:space="preserve"> or </w:t>
      </w:r>
      <w:proofErr w:type="spellStart"/>
      <w:r w:rsidR="00E07945" w:rsidRPr="00813888">
        <w:rPr>
          <w:i/>
          <w:iCs/>
          <w:sz w:val="28"/>
          <w:szCs w:val="28"/>
        </w:rPr>
        <w:t>explain</w:t>
      </w:r>
      <w:proofErr w:type="spellEnd"/>
      <w:r w:rsidR="00E07945" w:rsidRPr="00813888">
        <w:rPr>
          <w:sz w:val="28"/>
          <w:szCs w:val="28"/>
        </w:rPr>
        <w:t>)</w:t>
      </w:r>
      <w:r w:rsidR="000D431B" w:rsidRPr="00813888">
        <w:rPr>
          <w:rFonts w:eastAsia="Garamond  (simoncini)"/>
          <w:sz w:val="28"/>
          <w:szCs w:val="28"/>
        </w:rPr>
        <w:t>.</w:t>
      </w:r>
      <w:r w:rsidR="002003C2" w:rsidRPr="00813888">
        <w:rPr>
          <w:rFonts w:eastAsia="Garamond  (simoncini)"/>
          <w:sz w:val="28"/>
          <w:szCs w:val="28"/>
        </w:rPr>
        <w:t xml:space="preserve"> </w:t>
      </w:r>
      <w:r w:rsidR="00F65B52" w:rsidRPr="00813888">
        <w:rPr>
          <w:rFonts w:eastAsia="Garamond  (simoncini)"/>
          <w:sz w:val="28"/>
          <w:szCs w:val="28"/>
        </w:rPr>
        <w:t xml:space="preserve">La contrapposizione tra </w:t>
      </w:r>
      <w:r w:rsidR="00F65B52" w:rsidRPr="00813888">
        <w:rPr>
          <w:rFonts w:eastAsia="Garamond  (simoncini)"/>
          <w:i/>
          <w:iCs/>
          <w:sz w:val="28"/>
          <w:szCs w:val="28"/>
        </w:rPr>
        <w:t xml:space="preserve">hard </w:t>
      </w:r>
      <w:proofErr w:type="spellStart"/>
      <w:r w:rsidR="00F65B52" w:rsidRPr="00813888">
        <w:rPr>
          <w:rFonts w:eastAsia="Garamond  (simoncini)"/>
          <w:i/>
          <w:iCs/>
          <w:sz w:val="28"/>
          <w:szCs w:val="28"/>
        </w:rPr>
        <w:t>law</w:t>
      </w:r>
      <w:proofErr w:type="spellEnd"/>
      <w:r w:rsidR="00F65B52" w:rsidRPr="00813888">
        <w:rPr>
          <w:rFonts w:eastAsia="Garamond  (simoncini)"/>
          <w:sz w:val="28"/>
          <w:szCs w:val="28"/>
        </w:rPr>
        <w:t xml:space="preserve"> e </w:t>
      </w:r>
      <w:r w:rsidR="00F65B52" w:rsidRPr="00813888">
        <w:rPr>
          <w:rFonts w:eastAsia="Garamond  (simoncini)"/>
          <w:i/>
          <w:iCs/>
          <w:sz w:val="28"/>
          <w:szCs w:val="28"/>
        </w:rPr>
        <w:t xml:space="preserve">soft </w:t>
      </w:r>
      <w:proofErr w:type="spellStart"/>
      <w:r w:rsidR="00F65B52" w:rsidRPr="00813888">
        <w:rPr>
          <w:rFonts w:eastAsia="Garamond  (simoncini)"/>
          <w:i/>
          <w:iCs/>
          <w:sz w:val="28"/>
          <w:szCs w:val="28"/>
        </w:rPr>
        <w:t>law</w:t>
      </w:r>
      <w:proofErr w:type="spellEnd"/>
      <w:r w:rsidR="00F65B52" w:rsidRPr="00813888">
        <w:rPr>
          <w:rFonts w:eastAsia="Garamond  (simoncini)"/>
          <w:sz w:val="28"/>
          <w:szCs w:val="28"/>
        </w:rPr>
        <w:t xml:space="preserve"> affonda le sue radici dal punto di vista storico nella distinzione tra comandi e consigli, o tra</w:t>
      </w:r>
      <w:r w:rsidR="00F65B52" w:rsidRPr="00813888">
        <w:rPr>
          <w:rFonts w:eastAsia="Garamond  (simoncini)"/>
          <w:i/>
          <w:iCs/>
          <w:sz w:val="28"/>
          <w:szCs w:val="28"/>
        </w:rPr>
        <w:t xml:space="preserve"> </w:t>
      </w:r>
      <w:proofErr w:type="spellStart"/>
      <w:r w:rsidR="00F65B52" w:rsidRPr="00813888">
        <w:rPr>
          <w:rFonts w:eastAsia="Garamond  (simoncini)"/>
          <w:i/>
          <w:iCs/>
          <w:sz w:val="28"/>
          <w:szCs w:val="28"/>
        </w:rPr>
        <w:t>commands</w:t>
      </w:r>
      <w:proofErr w:type="spellEnd"/>
      <w:r w:rsidR="00F65B52" w:rsidRPr="00813888">
        <w:rPr>
          <w:rFonts w:eastAsia="Garamond  (simoncini)"/>
          <w:sz w:val="28"/>
          <w:szCs w:val="28"/>
        </w:rPr>
        <w:t xml:space="preserve"> e </w:t>
      </w:r>
      <w:proofErr w:type="spellStart"/>
      <w:r w:rsidR="00F65B52" w:rsidRPr="00813888">
        <w:rPr>
          <w:rFonts w:eastAsia="Garamond  (simoncini)"/>
          <w:i/>
          <w:iCs/>
          <w:sz w:val="28"/>
          <w:szCs w:val="28"/>
        </w:rPr>
        <w:t>precepts</w:t>
      </w:r>
      <w:proofErr w:type="spellEnd"/>
      <w:r w:rsidR="00E07945" w:rsidRPr="00813888">
        <w:rPr>
          <w:rFonts w:eastAsia="Garamond  (simoncini)"/>
          <w:sz w:val="28"/>
          <w:szCs w:val="28"/>
        </w:rPr>
        <w:t xml:space="preserve">: </w:t>
      </w:r>
      <w:r w:rsidR="00F65B52" w:rsidRPr="00813888">
        <w:rPr>
          <w:rFonts w:eastAsia="Garamond  (simoncini)"/>
          <w:sz w:val="28"/>
          <w:szCs w:val="28"/>
        </w:rPr>
        <w:t>il destinatario dei primi, riconosciuti vincolanti per la loro forma, è obbligato ad attenervisi, mentre analogo obbligo non sussiste nel secondo caso, in cui il precetto diviene vincolante</w:t>
      </w:r>
      <w:r w:rsidR="00F65B52" w:rsidRPr="00813888">
        <w:rPr>
          <w:color w:val="141413"/>
          <w:sz w:val="28"/>
          <w:szCs w:val="28"/>
        </w:rPr>
        <w:t xml:space="preserve"> dal punto di vista sostanziale </w:t>
      </w:r>
      <w:r w:rsidR="00276B94" w:rsidRPr="00813888">
        <w:rPr>
          <w:color w:val="141413"/>
          <w:sz w:val="28"/>
          <w:szCs w:val="28"/>
        </w:rPr>
        <w:t xml:space="preserve">unicamente </w:t>
      </w:r>
      <w:r w:rsidR="00F65B52" w:rsidRPr="00813888">
        <w:rPr>
          <w:color w:val="141413"/>
          <w:sz w:val="28"/>
          <w:szCs w:val="28"/>
        </w:rPr>
        <w:t>in seguito alla convinzione della bontà del suo contenuto</w:t>
      </w:r>
      <w:r w:rsidR="00276B94" w:rsidRPr="00813888">
        <w:rPr>
          <w:rStyle w:val="Rimandonotaapidipagina"/>
          <w:color w:val="141413"/>
          <w:sz w:val="28"/>
          <w:szCs w:val="28"/>
        </w:rPr>
        <w:footnoteReference w:id="11"/>
      </w:r>
      <w:r w:rsidR="00276B94" w:rsidRPr="00813888">
        <w:rPr>
          <w:color w:val="141413"/>
          <w:sz w:val="28"/>
          <w:szCs w:val="28"/>
        </w:rPr>
        <w:t xml:space="preserve">. </w:t>
      </w:r>
    </w:p>
    <w:p w14:paraId="268FD113" w14:textId="75EA20EF" w:rsidR="002003C2" w:rsidRPr="00813888" w:rsidRDefault="00E07945" w:rsidP="00B06442">
      <w:pPr>
        <w:pStyle w:val="NormaleWeb"/>
        <w:ind w:firstLine="709"/>
        <w:jc w:val="both"/>
        <w:rPr>
          <w:color w:val="141413"/>
          <w:sz w:val="28"/>
          <w:szCs w:val="28"/>
        </w:rPr>
      </w:pPr>
      <w:r w:rsidRPr="00813888">
        <w:rPr>
          <w:color w:val="141413"/>
          <w:sz w:val="28"/>
          <w:szCs w:val="28"/>
        </w:rPr>
        <w:t>Ne consegue</w:t>
      </w:r>
      <w:r w:rsidR="00276B94" w:rsidRPr="00813888">
        <w:rPr>
          <w:color w:val="141413"/>
          <w:sz w:val="28"/>
          <w:szCs w:val="28"/>
        </w:rPr>
        <w:t xml:space="preserve"> che</w:t>
      </w:r>
      <w:r w:rsidR="0099511B" w:rsidRPr="00813888">
        <w:rPr>
          <w:color w:val="141413"/>
          <w:sz w:val="28"/>
          <w:szCs w:val="28"/>
        </w:rPr>
        <w:t xml:space="preserve"> </w:t>
      </w:r>
      <w:r w:rsidRPr="00813888">
        <w:rPr>
          <w:color w:val="141413"/>
          <w:sz w:val="28"/>
          <w:szCs w:val="28"/>
        </w:rPr>
        <w:t>i pericoli di soggettivismo nell’interpretazione delle clausole generali risultano circoscritti, ma non certo eliminati in virtù de</w:t>
      </w:r>
      <w:r w:rsidR="0099511B" w:rsidRPr="00813888">
        <w:rPr>
          <w:color w:val="141413"/>
          <w:sz w:val="28"/>
          <w:szCs w:val="28"/>
        </w:rPr>
        <w:t>gli anzidetti</w:t>
      </w:r>
      <w:r w:rsidRPr="00813888">
        <w:rPr>
          <w:color w:val="141413"/>
          <w:sz w:val="28"/>
          <w:szCs w:val="28"/>
        </w:rPr>
        <w:t xml:space="preserve"> presidi </w:t>
      </w:r>
      <w:r w:rsidR="0099511B" w:rsidRPr="00813888">
        <w:rPr>
          <w:color w:val="141413"/>
          <w:sz w:val="28"/>
          <w:szCs w:val="28"/>
        </w:rPr>
        <w:t>normativi. Il meccanismo che viene in rilievo non è molto dissimile dall’obbligo di motivazione nel caso di mancata osservanza di una circolare o di una norma interna nell’interpretazione di una fonte di rango primario. Con riferimento a questa particolare tipologia di precetti la giurisprudenza amministrativa ha realizzato un processo di indurimento del precetto, per cui tali atti intermedi sono concepiti come un tramite per operare un sindacato sull’eccesso di potere del provvedimento finale adottato dall’amministrazione</w:t>
      </w:r>
      <w:r w:rsidR="0099511B" w:rsidRPr="00813888">
        <w:rPr>
          <w:rStyle w:val="Rimandonotaapidipagina"/>
          <w:color w:val="141413"/>
          <w:sz w:val="28"/>
          <w:szCs w:val="28"/>
        </w:rPr>
        <w:footnoteReference w:id="12"/>
      </w:r>
      <w:r w:rsidR="00142BD9" w:rsidRPr="00813888">
        <w:rPr>
          <w:color w:val="141413"/>
          <w:sz w:val="28"/>
          <w:szCs w:val="28"/>
        </w:rPr>
        <w:t>.</w:t>
      </w:r>
    </w:p>
    <w:p w14:paraId="550DF778" w14:textId="77777777" w:rsidR="0099511B" w:rsidRPr="00813888" w:rsidRDefault="0099511B" w:rsidP="00B06442">
      <w:pPr>
        <w:pStyle w:val="NormaleWeb"/>
        <w:ind w:firstLine="709"/>
        <w:jc w:val="both"/>
        <w:rPr>
          <w:sz w:val="28"/>
          <w:szCs w:val="28"/>
        </w:rPr>
      </w:pPr>
    </w:p>
    <w:p w14:paraId="5C102137" w14:textId="53268FC6" w:rsidR="00C141B4" w:rsidRPr="00813888" w:rsidRDefault="0099511B" w:rsidP="00B06442">
      <w:pPr>
        <w:pStyle w:val="NormaleWeb"/>
        <w:ind w:firstLine="709"/>
        <w:jc w:val="both"/>
        <w:rPr>
          <w:color w:val="000000" w:themeColor="text1"/>
          <w:sz w:val="28"/>
          <w:szCs w:val="28"/>
        </w:rPr>
      </w:pPr>
      <w:r w:rsidRPr="00813888">
        <w:rPr>
          <w:sz w:val="28"/>
          <w:szCs w:val="28"/>
        </w:rPr>
        <w:t xml:space="preserve">3. </w:t>
      </w:r>
      <w:r w:rsidR="00142BD9" w:rsidRPr="00813888">
        <w:rPr>
          <w:rFonts w:eastAsia="Garamond  (simoncini)"/>
          <w:sz w:val="28"/>
          <w:szCs w:val="28"/>
        </w:rPr>
        <w:t>Il secondo strumentario</w:t>
      </w:r>
      <w:r w:rsidR="00987E65" w:rsidRPr="00813888">
        <w:rPr>
          <w:rFonts w:eastAsia="Garamond  (simoncini)"/>
          <w:sz w:val="28"/>
          <w:szCs w:val="28"/>
        </w:rPr>
        <w:t xml:space="preserve"> intes</w:t>
      </w:r>
      <w:r w:rsidR="00142BD9" w:rsidRPr="00813888">
        <w:rPr>
          <w:rFonts w:eastAsia="Garamond  (simoncini)"/>
          <w:sz w:val="28"/>
          <w:szCs w:val="28"/>
        </w:rPr>
        <w:t>o</w:t>
      </w:r>
      <w:r w:rsidR="00987E65" w:rsidRPr="00813888">
        <w:rPr>
          <w:rFonts w:eastAsia="Garamond  (simoncini)"/>
          <w:sz w:val="28"/>
          <w:szCs w:val="28"/>
        </w:rPr>
        <w:t xml:space="preserve"> a </w:t>
      </w:r>
      <w:r w:rsidR="000D431B" w:rsidRPr="00813888">
        <w:rPr>
          <w:color w:val="000000" w:themeColor="text1"/>
          <w:sz w:val="28"/>
          <w:szCs w:val="28"/>
        </w:rPr>
        <w:t>colmare il deficit di legalità sostanziale tipico delle clausole generali</w:t>
      </w:r>
      <w:r w:rsidR="00987E65" w:rsidRPr="00813888">
        <w:rPr>
          <w:color w:val="000000" w:themeColor="text1"/>
          <w:sz w:val="28"/>
          <w:szCs w:val="28"/>
        </w:rPr>
        <w:t xml:space="preserve"> fa leva sull’attività giurisprudenziale. </w:t>
      </w:r>
      <w:r w:rsidR="00142BD9" w:rsidRPr="00813888">
        <w:rPr>
          <w:color w:val="000000" w:themeColor="text1"/>
          <w:sz w:val="28"/>
          <w:szCs w:val="28"/>
        </w:rPr>
        <w:t xml:space="preserve">Il meccanismo </w:t>
      </w:r>
      <w:r w:rsidR="00B066DB" w:rsidRPr="00813888">
        <w:rPr>
          <w:color w:val="000000" w:themeColor="text1"/>
          <w:sz w:val="28"/>
          <w:szCs w:val="28"/>
        </w:rPr>
        <w:t>ha coinvolto vari ordini giurisdizionali (Corte costituzionale, Corte EDU, Cassazione, giurisdizione amministrativa), che si sono avvalsi di strumentari diversi</w:t>
      </w:r>
      <w:r w:rsidR="00C141B4" w:rsidRPr="00813888">
        <w:rPr>
          <w:color w:val="000000" w:themeColor="text1"/>
          <w:sz w:val="28"/>
          <w:szCs w:val="28"/>
        </w:rPr>
        <w:t>, come è ovvio, stante la di</w:t>
      </w:r>
      <w:r w:rsidR="00446180" w:rsidRPr="00813888">
        <w:rPr>
          <w:color w:val="000000" w:themeColor="text1"/>
          <w:sz w:val="28"/>
          <w:szCs w:val="28"/>
        </w:rPr>
        <w:t>stinta</w:t>
      </w:r>
      <w:r w:rsidR="00C141B4" w:rsidRPr="00813888">
        <w:rPr>
          <w:color w:val="000000" w:themeColor="text1"/>
          <w:sz w:val="28"/>
          <w:szCs w:val="28"/>
        </w:rPr>
        <w:t xml:space="preserve"> posizione istituzionale rivestita da ciascuno di essi all’interno dell’ordinamento giuridico.</w:t>
      </w:r>
      <w:r w:rsidR="00C141B4" w:rsidRPr="00813888">
        <w:rPr>
          <w:rFonts w:eastAsia="Garamond  (simoncini)"/>
          <w:sz w:val="28"/>
          <w:szCs w:val="28"/>
        </w:rPr>
        <w:t xml:space="preserve"> </w:t>
      </w:r>
      <w:r w:rsidR="000D431B" w:rsidRPr="00813888">
        <w:rPr>
          <w:color w:val="000000" w:themeColor="text1"/>
          <w:sz w:val="28"/>
          <w:szCs w:val="28"/>
        </w:rPr>
        <w:t>In particolare</w:t>
      </w:r>
      <w:r w:rsidR="00C141B4" w:rsidRPr="00813888">
        <w:rPr>
          <w:color w:val="000000" w:themeColor="text1"/>
          <w:sz w:val="28"/>
          <w:szCs w:val="28"/>
        </w:rPr>
        <w:t>,</w:t>
      </w:r>
      <w:r w:rsidR="000D431B" w:rsidRPr="00813888">
        <w:rPr>
          <w:color w:val="000000" w:themeColor="text1"/>
          <w:sz w:val="28"/>
          <w:szCs w:val="28"/>
        </w:rPr>
        <w:t xml:space="preserve"> si è fatto ricorso </w:t>
      </w:r>
      <w:r w:rsidR="00142BD9" w:rsidRPr="00813888">
        <w:rPr>
          <w:color w:val="000000" w:themeColor="text1"/>
          <w:sz w:val="28"/>
          <w:szCs w:val="28"/>
        </w:rPr>
        <w:t xml:space="preserve">vuoi </w:t>
      </w:r>
      <w:r w:rsidR="000D431B" w:rsidRPr="00813888">
        <w:rPr>
          <w:color w:val="000000" w:themeColor="text1"/>
          <w:sz w:val="28"/>
          <w:szCs w:val="28"/>
        </w:rPr>
        <w:t>all’uso di standard valutativi</w:t>
      </w:r>
      <w:r w:rsidR="00142BD9" w:rsidRPr="00813888">
        <w:rPr>
          <w:color w:val="000000" w:themeColor="text1"/>
          <w:sz w:val="28"/>
          <w:szCs w:val="28"/>
        </w:rPr>
        <w:t xml:space="preserve">, vuoi </w:t>
      </w:r>
      <w:r w:rsidR="00C141B4" w:rsidRPr="00813888">
        <w:rPr>
          <w:color w:val="000000" w:themeColor="text1"/>
          <w:sz w:val="28"/>
          <w:szCs w:val="28"/>
        </w:rPr>
        <w:t>all’interpretazione tipizzante</w:t>
      </w:r>
      <w:r w:rsidR="007B27D8" w:rsidRPr="00813888">
        <w:rPr>
          <w:color w:val="000000" w:themeColor="text1"/>
          <w:sz w:val="28"/>
          <w:szCs w:val="28"/>
        </w:rPr>
        <w:t>.</w:t>
      </w:r>
      <w:r w:rsidR="00920C3F" w:rsidRPr="00813888">
        <w:rPr>
          <w:color w:val="000000" w:themeColor="text1"/>
          <w:sz w:val="28"/>
          <w:szCs w:val="28"/>
        </w:rPr>
        <w:t xml:space="preserve"> </w:t>
      </w:r>
    </w:p>
    <w:p w14:paraId="1833EFB4" w14:textId="4797CFB7" w:rsidR="005A75B9" w:rsidRPr="00813888" w:rsidRDefault="00C141B4" w:rsidP="00B06442">
      <w:pPr>
        <w:pStyle w:val="NormaleWeb"/>
        <w:ind w:firstLine="709"/>
        <w:jc w:val="both"/>
        <w:rPr>
          <w:color w:val="000000" w:themeColor="text1"/>
          <w:sz w:val="28"/>
          <w:szCs w:val="28"/>
        </w:rPr>
      </w:pPr>
      <w:r w:rsidRPr="00813888">
        <w:rPr>
          <w:color w:val="000000" w:themeColor="text1"/>
          <w:sz w:val="28"/>
          <w:szCs w:val="28"/>
        </w:rPr>
        <w:t>I</w:t>
      </w:r>
      <w:r w:rsidR="000D431B" w:rsidRPr="00813888">
        <w:rPr>
          <w:color w:val="000000" w:themeColor="text1"/>
          <w:sz w:val="28"/>
          <w:szCs w:val="28"/>
        </w:rPr>
        <w:t>l maggior approfondimento in tema di standard valutativi</w:t>
      </w:r>
      <w:r w:rsidRPr="00813888">
        <w:rPr>
          <w:color w:val="000000" w:themeColor="text1"/>
          <w:sz w:val="28"/>
          <w:szCs w:val="28"/>
        </w:rPr>
        <w:t xml:space="preserve"> si deve alla Corte di Cassazione</w:t>
      </w:r>
      <w:r w:rsidR="000D431B" w:rsidRPr="00813888">
        <w:rPr>
          <w:color w:val="000000" w:themeColor="text1"/>
          <w:sz w:val="28"/>
          <w:szCs w:val="28"/>
        </w:rPr>
        <w:t>,</w:t>
      </w:r>
      <w:r w:rsidR="00920C3F" w:rsidRPr="00813888">
        <w:rPr>
          <w:color w:val="000000" w:themeColor="text1"/>
          <w:sz w:val="28"/>
          <w:szCs w:val="28"/>
        </w:rPr>
        <w:t xml:space="preserve"> </w:t>
      </w:r>
      <w:r w:rsidRPr="00813888">
        <w:rPr>
          <w:color w:val="000000" w:themeColor="text1"/>
          <w:sz w:val="28"/>
          <w:szCs w:val="28"/>
        </w:rPr>
        <w:t xml:space="preserve">secondo la quale essi </w:t>
      </w:r>
      <w:r w:rsidR="000D431B" w:rsidRPr="00813888">
        <w:rPr>
          <w:color w:val="000000" w:themeColor="text1"/>
          <w:sz w:val="28"/>
          <w:szCs w:val="28"/>
        </w:rPr>
        <w:t xml:space="preserve">sono </w:t>
      </w:r>
      <w:r w:rsidR="000D431B" w:rsidRPr="00813888">
        <w:rPr>
          <w:color w:val="000000"/>
          <w:sz w:val="28"/>
          <w:szCs w:val="28"/>
        </w:rPr>
        <w:t>espressione di valori presenti nell’ordinamento o nella coscienza sociale</w:t>
      </w:r>
      <w:r w:rsidRPr="00813888">
        <w:rPr>
          <w:rStyle w:val="Rimandonotaapidipagina"/>
          <w:color w:val="000000"/>
          <w:sz w:val="28"/>
          <w:szCs w:val="28"/>
        </w:rPr>
        <w:footnoteReference w:id="13"/>
      </w:r>
      <w:r w:rsidR="000D431B" w:rsidRPr="00813888">
        <w:rPr>
          <w:color w:val="000000"/>
          <w:sz w:val="28"/>
          <w:szCs w:val="28"/>
        </w:rPr>
        <w:t>.</w:t>
      </w:r>
      <w:r w:rsidR="00920C3F" w:rsidRPr="00813888">
        <w:rPr>
          <w:color w:val="000000" w:themeColor="text1"/>
          <w:sz w:val="28"/>
          <w:szCs w:val="28"/>
        </w:rPr>
        <w:t xml:space="preserve"> </w:t>
      </w:r>
      <w:r w:rsidR="001940AE" w:rsidRPr="00813888">
        <w:rPr>
          <w:color w:val="000000" w:themeColor="text1"/>
          <w:sz w:val="28"/>
          <w:szCs w:val="28"/>
        </w:rPr>
        <w:t xml:space="preserve">Ad esempio, </w:t>
      </w:r>
      <w:r w:rsidR="001940AE" w:rsidRPr="00813888">
        <w:rPr>
          <w:color w:val="000000"/>
          <w:sz w:val="28"/>
          <w:szCs w:val="28"/>
        </w:rPr>
        <w:t>consolidata è la giurisprudenza secondo cui</w:t>
      </w:r>
      <w:r w:rsidR="00836379" w:rsidRPr="00813888">
        <w:rPr>
          <w:color w:val="000000" w:themeColor="text1"/>
          <w:sz w:val="28"/>
          <w:szCs w:val="28"/>
        </w:rPr>
        <w:t xml:space="preserve"> </w:t>
      </w:r>
      <w:r w:rsidR="001940AE" w:rsidRPr="00813888">
        <w:rPr>
          <w:color w:val="000000" w:themeColor="text1"/>
          <w:sz w:val="28"/>
          <w:szCs w:val="28"/>
        </w:rPr>
        <w:t xml:space="preserve">la </w:t>
      </w:r>
      <w:r w:rsidR="001940AE" w:rsidRPr="00813888">
        <w:rPr>
          <w:color w:val="000000" w:themeColor="text1"/>
          <w:sz w:val="28"/>
          <w:szCs w:val="28"/>
        </w:rPr>
        <w:lastRenderedPageBreak/>
        <w:t>giusta causa di cui all’art. 2119 c.c. è una nozione che la legge</w:t>
      </w:r>
      <w:r w:rsidR="00446180" w:rsidRPr="00813888">
        <w:rPr>
          <w:color w:val="000000" w:themeColor="text1"/>
          <w:sz w:val="28"/>
          <w:szCs w:val="28"/>
        </w:rPr>
        <w:t xml:space="preserve">, </w:t>
      </w:r>
      <w:r w:rsidR="00DC7C9D" w:rsidRPr="00813888">
        <w:rPr>
          <w:color w:val="000000" w:themeColor="text1"/>
          <w:sz w:val="28"/>
          <w:szCs w:val="28"/>
        </w:rPr>
        <w:t>“</w:t>
      </w:r>
      <w:r w:rsidR="00446180" w:rsidRPr="00813888">
        <w:rPr>
          <w:color w:val="000000" w:themeColor="text1"/>
          <w:sz w:val="28"/>
          <w:szCs w:val="28"/>
        </w:rPr>
        <w:t>allo scopo di adeguamento delle norme alla realtà da disciplinare, articolata e mutevole nel tempo</w:t>
      </w:r>
      <w:r w:rsidR="00DC7C9D" w:rsidRPr="00813888">
        <w:rPr>
          <w:color w:val="000000" w:themeColor="text1"/>
          <w:sz w:val="28"/>
          <w:szCs w:val="28"/>
        </w:rPr>
        <w:t>”</w:t>
      </w:r>
      <w:r w:rsidR="00446180" w:rsidRPr="00813888">
        <w:rPr>
          <w:color w:val="000000" w:themeColor="text1"/>
          <w:sz w:val="28"/>
          <w:szCs w:val="28"/>
        </w:rPr>
        <w:t xml:space="preserve">, </w:t>
      </w:r>
      <w:r w:rsidR="00DC7C9D" w:rsidRPr="00813888">
        <w:rPr>
          <w:color w:val="000000" w:themeColor="text1"/>
          <w:sz w:val="28"/>
          <w:szCs w:val="28"/>
        </w:rPr>
        <w:t>“</w:t>
      </w:r>
      <w:r w:rsidR="00446180" w:rsidRPr="00813888">
        <w:rPr>
          <w:color w:val="000000" w:themeColor="text1"/>
          <w:sz w:val="28"/>
          <w:szCs w:val="28"/>
        </w:rPr>
        <w:t>configura con una disposizione (ascrivibile alla tipologia delle c.d. clausole generali) di limitato contenuto, delineante un modello generico che richiede di essere specificato in sede interpretativa mediante la valorizzazione sia di fattori esterni relativi alla coscienza generale, sia di principi che la stessa disposizione tacitamente richiama</w:t>
      </w:r>
      <w:r w:rsidR="001940AE" w:rsidRPr="00813888">
        <w:rPr>
          <w:color w:val="000000" w:themeColor="text1"/>
          <w:sz w:val="28"/>
          <w:szCs w:val="28"/>
        </w:rPr>
        <w:t>”</w:t>
      </w:r>
      <w:r w:rsidR="00446180" w:rsidRPr="00813888">
        <w:rPr>
          <w:rStyle w:val="Rimandonotaapidipagina"/>
          <w:color w:val="000000" w:themeColor="text1"/>
          <w:sz w:val="28"/>
          <w:szCs w:val="28"/>
        </w:rPr>
        <w:footnoteReference w:id="14"/>
      </w:r>
      <w:r w:rsidR="00446180" w:rsidRPr="00813888">
        <w:rPr>
          <w:color w:val="000000" w:themeColor="text1"/>
          <w:sz w:val="28"/>
          <w:szCs w:val="28"/>
        </w:rPr>
        <w:t>.</w:t>
      </w:r>
      <w:r w:rsidR="00DC7C9D" w:rsidRPr="00813888">
        <w:rPr>
          <w:color w:val="000000" w:themeColor="text1"/>
          <w:sz w:val="28"/>
          <w:szCs w:val="28"/>
        </w:rPr>
        <w:t xml:space="preserve"> Il contenuto delle clausole generali è destinato ad essere progressivamente precisato, “nell’estrinsecarsi della funzione nomofilattica della Corte di Cassazione, fino alla formazione del diritto vivente mediante puntualizzazioni, di carattere generale ed astratto”</w:t>
      </w:r>
      <w:r w:rsidR="00DC7C9D" w:rsidRPr="00813888">
        <w:rPr>
          <w:rStyle w:val="Rimandonotaapidipagina"/>
          <w:color w:val="000000" w:themeColor="text1"/>
          <w:sz w:val="28"/>
          <w:szCs w:val="28"/>
        </w:rPr>
        <w:footnoteReference w:id="15"/>
      </w:r>
      <w:r w:rsidR="00DC7C9D" w:rsidRPr="00813888">
        <w:rPr>
          <w:color w:val="000000" w:themeColor="text1"/>
          <w:sz w:val="28"/>
          <w:szCs w:val="28"/>
        </w:rPr>
        <w:t>. Nell’universo privatistico l’attività interpretativa-valutativa compiuta dal giudice di merito nell’applicare clausole generali non sfugge ad una verifica in sede di giudizio di legittimità, poiché “l’operatività in concreto di norme di tale tipo deve rispettare criteri e principi desumibili dall’ordinamento”</w:t>
      </w:r>
      <w:r w:rsidR="00DC7C9D" w:rsidRPr="00813888">
        <w:rPr>
          <w:rStyle w:val="Rimandonotaapidipagina"/>
          <w:color w:val="000000" w:themeColor="text1"/>
          <w:sz w:val="28"/>
          <w:szCs w:val="28"/>
        </w:rPr>
        <w:footnoteReference w:id="16"/>
      </w:r>
      <w:r w:rsidR="00DC7C9D" w:rsidRPr="00813888">
        <w:rPr>
          <w:color w:val="000000" w:themeColor="text1"/>
          <w:sz w:val="28"/>
          <w:szCs w:val="28"/>
        </w:rPr>
        <w:t>.</w:t>
      </w:r>
      <w:r w:rsidR="005A75B9" w:rsidRPr="00813888">
        <w:rPr>
          <w:color w:val="000000" w:themeColor="text1"/>
          <w:sz w:val="28"/>
          <w:szCs w:val="28"/>
        </w:rPr>
        <w:t xml:space="preserve"> In altri termini, “la sussunzione della fattispecie concreta nella clausola elastica … secondo </w:t>
      </w:r>
      <w:r w:rsidR="005A75B9" w:rsidRPr="00813888">
        <w:rPr>
          <w:i/>
          <w:iCs/>
          <w:color w:val="000000" w:themeColor="text1"/>
          <w:sz w:val="28"/>
          <w:szCs w:val="28"/>
        </w:rPr>
        <w:t>standards</w:t>
      </w:r>
      <w:r w:rsidR="005A75B9" w:rsidRPr="00813888">
        <w:rPr>
          <w:color w:val="000000" w:themeColor="text1"/>
          <w:sz w:val="28"/>
          <w:szCs w:val="28"/>
        </w:rPr>
        <w:t xml:space="preserve"> conformi ai valori dell’ordinamento, che trovino conferma nella realtà sociale, è … sindacabile in sede di legittimità con riguardo alla pertinenza e non coerenza del giudizio operato, quali specificazioni del parametro normativo avente natura giuridica e del conseguente controllo nomofilattico affidato alla Corte di cassazione”</w:t>
      </w:r>
      <w:r w:rsidR="005A75B9" w:rsidRPr="00813888">
        <w:rPr>
          <w:rStyle w:val="Rimandonotaapidipagina"/>
          <w:color w:val="000000" w:themeColor="text1"/>
          <w:sz w:val="28"/>
          <w:szCs w:val="28"/>
        </w:rPr>
        <w:footnoteReference w:id="17"/>
      </w:r>
      <w:r w:rsidR="005A75B9" w:rsidRPr="00813888">
        <w:rPr>
          <w:color w:val="000000" w:themeColor="text1"/>
          <w:sz w:val="28"/>
          <w:szCs w:val="28"/>
        </w:rPr>
        <w:t>.</w:t>
      </w:r>
    </w:p>
    <w:p w14:paraId="11BF8C3A" w14:textId="77777777" w:rsidR="00F27FC8" w:rsidRPr="00813888" w:rsidRDefault="005A75B9" w:rsidP="00B06442">
      <w:pPr>
        <w:pStyle w:val="NormaleWeb"/>
        <w:ind w:firstLine="709"/>
        <w:jc w:val="both"/>
        <w:rPr>
          <w:color w:val="000000" w:themeColor="text1"/>
          <w:sz w:val="28"/>
          <w:szCs w:val="28"/>
        </w:rPr>
      </w:pPr>
      <w:r w:rsidRPr="00813888">
        <w:rPr>
          <w:color w:val="000000" w:themeColor="text1"/>
          <w:sz w:val="28"/>
          <w:szCs w:val="28"/>
        </w:rPr>
        <w:t xml:space="preserve">La tecnica degli standard, quale limite all’arbitrio interpretativo, si articola dunque al suo interno mediante il ricorso vuoi a criteri extragiuridici, come lo sono i fattori esterni riferiti alla coscienza generale, vuoi a criteri giuridici ricavati per induzione, come lo sono i principi richiamati implicitamente dalla disposizione contenente la clausola generale. </w:t>
      </w:r>
    </w:p>
    <w:p w14:paraId="32A4BF80" w14:textId="129D32E6" w:rsidR="000D431B" w:rsidRPr="00813888" w:rsidRDefault="005A75B9" w:rsidP="00B06442">
      <w:pPr>
        <w:pStyle w:val="NormaleWeb"/>
        <w:ind w:firstLine="709"/>
        <w:jc w:val="both"/>
        <w:rPr>
          <w:color w:val="000000" w:themeColor="text1"/>
          <w:sz w:val="28"/>
          <w:szCs w:val="28"/>
        </w:rPr>
      </w:pPr>
      <w:r w:rsidRPr="00813888">
        <w:rPr>
          <w:color w:val="000000" w:themeColor="text1"/>
          <w:sz w:val="28"/>
          <w:szCs w:val="28"/>
        </w:rPr>
        <w:t xml:space="preserve">Tuttavia, </w:t>
      </w:r>
      <w:r w:rsidR="002171F5" w:rsidRPr="00813888">
        <w:rPr>
          <w:iCs/>
          <w:sz w:val="28"/>
          <w:szCs w:val="28"/>
        </w:rPr>
        <w:t xml:space="preserve">uno standard valutativo che </w:t>
      </w:r>
      <w:r w:rsidR="002171F5" w:rsidRPr="00813888">
        <w:rPr>
          <w:color w:val="000000" w:themeColor="text1"/>
          <w:sz w:val="28"/>
          <w:szCs w:val="28"/>
        </w:rPr>
        <w:t>fa appello a valori attraversanti la coscienza sociale e quindi a</w:t>
      </w:r>
      <w:r w:rsidR="002171F5" w:rsidRPr="00813888">
        <w:rPr>
          <w:sz w:val="28"/>
          <w:szCs w:val="28"/>
        </w:rPr>
        <w:t xml:space="preserve"> parametri di tipo etico o morale</w:t>
      </w:r>
      <w:r w:rsidR="002171F5" w:rsidRPr="00813888">
        <w:rPr>
          <w:color w:val="000000" w:themeColor="text1"/>
          <w:sz w:val="28"/>
          <w:szCs w:val="28"/>
        </w:rPr>
        <w:t xml:space="preserve"> </w:t>
      </w:r>
      <w:r w:rsidR="003B37CC" w:rsidRPr="00813888">
        <w:rPr>
          <w:sz w:val="28"/>
          <w:szCs w:val="28"/>
        </w:rPr>
        <w:t>risulta</w:t>
      </w:r>
      <w:r w:rsidR="002171F5" w:rsidRPr="00813888">
        <w:rPr>
          <w:sz w:val="28"/>
          <w:szCs w:val="28"/>
        </w:rPr>
        <w:t xml:space="preserve"> problematico</w:t>
      </w:r>
      <w:r w:rsidR="002171F5" w:rsidRPr="00813888">
        <w:rPr>
          <w:color w:val="000000" w:themeColor="text1"/>
          <w:sz w:val="28"/>
          <w:szCs w:val="28"/>
        </w:rPr>
        <w:t>.</w:t>
      </w:r>
      <w:r w:rsidR="00F27FC8" w:rsidRPr="00813888">
        <w:rPr>
          <w:color w:val="000000" w:themeColor="text1"/>
          <w:sz w:val="28"/>
          <w:szCs w:val="28"/>
        </w:rPr>
        <w:t xml:space="preserve"> </w:t>
      </w:r>
      <w:r w:rsidR="00C25087" w:rsidRPr="00813888">
        <w:rPr>
          <w:color w:val="000000" w:themeColor="text1"/>
          <w:sz w:val="28"/>
          <w:szCs w:val="28"/>
        </w:rPr>
        <w:t>Come è stato giustamente osservato</w:t>
      </w:r>
      <w:r w:rsidR="00C25087" w:rsidRPr="00813888">
        <w:rPr>
          <w:rStyle w:val="Rimandonotaapidipagina"/>
          <w:color w:val="000000" w:themeColor="text1"/>
          <w:sz w:val="28"/>
          <w:szCs w:val="28"/>
        </w:rPr>
        <w:footnoteReference w:id="18"/>
      </w:r>
      <w:r w:rsidR="00C25087" w:rsidRPr="00813888">
        <w:rPr>
          <w:color w:val="000000" w:themeColor="text1"/>
          <w:sz w:val="28"/>
          <w:szCs w:val="28"/>
        </w:rPr>
        <w:t>, uno standard di tal genere si presta a interpretazioni soggettive e variabili a seconda della sensibilità dell’interprete stesso, presentando così accentuati margini di opinabilità. Infatti, per un verso</w:t>
      </w:r>
      <w:r w:rsidR="000D431B" w:rsidRPr="00813888">
        <w:rPr>
          <w:color w:val="000000" w:themeColor="text1"/>
          <w:sz w:val="28"/>
          <w:szCs w:val="28"/>
        </w:rPr>
        <w:t xml:space="preserve">, specie nell’attuale periodo storico, è difficile ravvisare sentimenti condivisi nel corpo sociale, </w:t>
      </w:r>
      <w:r w:rsidR="00C25087" w:rsidRPr="00813888">
        <w:rPr>
          <w:color w:val="000000" w:themeColor="text1"/>
          <w:sz w:val="28"/>
          <w:szCs w:val="28"/>
        </w:rPr>
        <w:t xml:space="preserve">per </w:t>
      </w:r>
      <w:r w:rsidR="000D431B" w:rsidRPr="00813888">
        <w:rPr>
          <w:color w:val="000000" w:themeColor="text1"/>
          <w:sz w:val="28"/>
          <w:szCs w:val="28"/>
        </w:rPr>
        <w:t xml:space="preserve">altro </w:t>
      </w:r>
      <w:r w:rsidR="00C25087" w:rsidRPr="00813888">
        <w:rPr>
          <w:color w:val="000000" w:themeColor="text1"/>
          <w:sz w:val="28"/>
          <w:szCs w:val="28"/>
        </w:rPr>
        <w:t>verso</w:t>
      </w:r>
      <w:r w:rsidR="000D431B" w:rsidRPr="00813888">
        <w:rPr>
          <w:color w:val="000000" w:themeColor="text1"/>
          <w:sz w:val="28"/>
          <w:szCs w:val="28"/>
        </w:rPr>
        <w:t xml:space="preserve">, non è né </w:t>
      </w:r>
      <w:r w:rsidR="00C25087" w:rsidRPr="00813888">
        <w:rPr>
          <w:color w:val="000000" w:themeColor="text1"/>
          <w:sz w:val="28"/>
          <w:szCs w:val="28"/>
        </w:rPr>
        <w:t>legittimo</w:t>
      </w:r>
      <w:r w:rsidR="000D431B" w:rsidRPr="00813888">
        <w:rPr>
          <w:color w:val="000000" w:themeColor="text1"/>
          <w:sz w:val="28"/>
          <w:szCs w:val="28"/>
        </w:rPr>
        <w:t>, né opportuno caricare l’interprete della clausola generale d</w:t>
      </w:r>
      <w:r w:rsidR="00863856" w:rsidRPr="00813888">
        <w:rPr>
          <w:color w:val="000000" w:themeColor="text1"/>
          <w:sz w:val="28"/>
          <w:szCs w:val="28"/>
        </w:rPr>
        <w:t>i un compito così gravoso</w:t>
      </w:r>
      <w:r w:rsidR="00C25087" w:rsidRPr="00813888">
        <w:rPr>
          <w:color w:val="000000" w:themeColor="text1"/>
          <w:sz w:val="28"/>
          <w:szCs w:val="28"/>
        </w:rPr>
        <w:t>.</w:t>
      </w:r>
    </w:p>
    <w:p w14:paraId="33D0FB11" w14:textId="060753F0" w:rsidR="00471DED" w:rsidRPr="00813888" w:rsidRDefault="00F27FC8" w:rsidP="00B06442">
      <w:pPr>
        <w:pStyle w:val="NormaleWeb"/>
        <w:ind w:firstLine="709"/>
        <w:jc w:val="both"/>
        <w:rPr>
          <w:color w:val="000000" w:themeColor="text1"/>
          <w:sz w:val="28"/>
          <w:szCs w:val="28"/>
        </w:rPr>
      </w:pPr>
      <w:r w:rsidRPr="00813888">
        <w:rPr>
          <w:color w:val="000000" w:themeColor="text1"/>
          <w:sz w:val="28"/>
          <w:szCs w:val="28"/>
        </w:rPr>
        <w:t>Desta sicuramente minori perplessità l</w:t>
      </w:r>
      <w:r w:rsidR="000D431B" w:rsidRPr="00813888">
        <w:rPr>
          <w:color w:val="000000" w:themeColor="text1"/>
          <w:sz w:val="28"/>
          <w:szCs w:val="28"/>
        </w:rPr>
        <w:t>a seconda tecnica ricostruttiva, o standard valutativo</w:t>
      </w:r>
      <w:r w:rsidR="00277DBA" w:rsidRPr="00813888">
        <w:rPr>
          <w:color w:val="000000" w:themeColor="text1"/>
          <w:sz w:val="28"/>
          <w:szCs w:val="28"/>
        </w:rPr>
        <w:t xml:space="preserve">, </w:t>
      </w:r>
      <w:r w:rsidRPr="00813888">
        <w:rPr>
          <w:color w:val="000000" w:themeColor="text1"/>
          <w:sz w:val="28"/>
          <w:szCs w:val="28"/>
        </w:rPr>
        <w:t xml:space="preserve">che </w:t>
      </w:r>
      <w:r w:rsidR="000D431B" w:rsidRPr="00813888">
        <w:rPr>
          <w:color w:val="000000" w:themeColor="text1"/>
          <w:sz w:val="28"/>
          <w:szCs w:val="28"/>
        </w:rPr>
        <w:t xml:space="preserve">fa appello ai principi </w:t>
      </w:r>
      <w:r w:rsidR="00C25087" w:rsidRPr="00813888">
        <w:rPr>
          <w:color w:val="000000" w:themeColor="text1"/>
          <w:sz w:val="28"/>
          <w:szCs w:val="28"/>
        </w:rPr>
        <w:t>implicitamente richiamati</w:t>
      </w:r>
      <w:r w:rsidR="000D431B" w:rsidRPr="00813888">
        <w:rPr>
          <w:color w:val="000000" w:themeColor="text1"/>
          <w:sz w:val="28"/>
          <w:szCs w:val="28"/>
        </w:rPr>
        <w:t xml:space="preserve"> </w:t>
      </w:r>
      <w:r w:rsidR="00C25087" w:rsidRPr="00813888">
        <w:rPr>
          <w:color w:val="000000" w:themeColor="text1"/>
          <w:sz w:val="28"/>
          <w:szCs w:val="28"/>
        </w:rPr>
        <w:t>dal</w:t>
      </w:r>
      <w:r w:rsidR="000D431B" w:rsidRPr="00813888">
        <w:rPr>
          <w:color w:val="000000" w:themeColor="text1"/>
          <w:sz w:val="28"/>
          <w:szCs w:val="28"/>
        </w:rPr>
        <w:t xml:space="preserve">la disposizione </w:t>
      </w:r>
      <w:r w:rsidR="00C25087" w:rsidRPr="00813888">
        <w:rPr>
          <w:color w:val="000000" w:themeColor="text1"/>
          <w:sz w:val="28"/>
          <w:szCs w:val="28"/>
        </w:rPr>
        <w:lastRenderedPageBreak/>
        <w:t>normativa contenente una</w:t>
      </w:r>
      <w:r w:rsidR="00471DED" w:rsidRPr="00813888">
        <w:rPr>
          <w:color w:val="000000" w:themeColor="text1"/>
          <w:sz w:val="28"/>
          <w:szCs w:val="28"/>
        </w:rPr>
        <w:t xml:space="preserve"> clausola generale</w:t>
      </w:r>
      <w:r w:rsidR="000D431B" w:rsidRPr="00813888">
        <w:rPr>
          <w:color w:val="000000" w:themeColor="text1"/>
          <w:sz w:val="28"/>
          <w:szCs w:val="28"/>
        </w:rPr>
        <w:t xml:space="preserve">. </w:t>
      </w:r>
      <w:r w:rsidR="00471DED" w:rsidRPr="00813888">
        <w:rPr>
          <w:color w:val="000000" w:themeColor="text1"/>
          <w:sz w:val="28"/>
          <w:szCs w:val="28"/>
        </w:rPr>
        <w:t>Tale tecnica</w:t>
      </w:r>
      <w:r w:rsidR="00C25087" w:rsidRPr="00813888">
        <w:rPr>
          <w:color w:val="000000" w:themeColor="text1"/>
          <w:sz w:val="28"/>
          <w:szCs w:val="28"/>
        </w:rPr>
        <w:t xml:space="preserve"> </w:t>
      </w:r>
      <w:r w:rsidR="00471DED" w:rsidRPr="00813888">
        <w:rPr>
          <w:color w:val="000000" w:themeColor="text1"/>
          <w:sz w:val="28"/>
          <w:szCs w:val="28"/>
        </w:rPr>
        <w:t xml:space="preserve">di riempimento delle clausole generali </w:t>
      </w:r>
      <w:r w:rsidR="00C25087" w:rsidRPr="00813888">
        <w:rPr>
          <w:color w:val="000000" w:themeColor="text1"/>
          <w:sz w:val="28"/>
          <w:szCs w:val="28"/>
        </w:rPr>
        <w:t>presenta sicuramente minori insidie rispetto alla prima</w:t>
      </w:r>
      <w:r w:rsidR="00471DED" w:rsidRPr="00813888">
        <w:rPr>
          <w:color w:val="000000" w:themeColor="text1"/>
          <w:sz w:val="28"/>
          <w:szCs w:val="28"/>
        </w:rPr>
        <w:t xml:space="preserve">, incentrata sulla valorizzazione di fattori esterni relativi alla coscienza sociale. Tuttavia, il procedimento logico da seguire in questo caso va </w:t>
      </w:r>
      <w:r w:rsidR="00AE3DA2" w:rsidRPr="00813888">
        <w:rPr>
          <w:color w:val="000000" w:themeColor="text1"/>
          <w:sz w:val="28"/>
          <w:szCs w:val="28"/>
        </w:rPr>
        <w:t xml:space="preserve">meglio </w:t>
      </w:r>
      <w:r w:rsidR="00471DED" w:rsidRPr="00813888">
        <w:rPr>
          <w:color w:val="000000" w:themeColor="text1"/>
          <w:sz w:val="28"/>
          <w:szCs w:val="28"/>
        </w:rPr>
        <w:t xml:space="preserve">precisato, altrimenti si rischia di peccare </w:t>
      </w:r>
      <w:r w:rsidR="00AE3DA2" w:rsidRPr="00813888">
        <w:rPr>
          <w:color w:val="000000" w:themeColor="text1"/>
          <w:sz w:val="28"/>
          <w:szCs w:val="28"/>
        </w:rPr>
        <w:t xml:space="preserve">anche qui </w:t>
      </w:r>
      <w:r w:rsidR="00471DED" w:rsidRPr="00813888">
        <w:rPr>
          <w:color w:val="000000" w:themeColor="text1"/>
          <w:sz w:val="28"/>
          <w:szCs w:val="28"/>
        </w:rPr>
        <w:t>di soggettivismo interpretativo.</w:t>
      </w:r>
    </w:p>
    <w:p w14:paraId="0C2B5BB3" w14:textId="25AAC5C3" w:rsidR="003B37CC" w:rsidRPr="00813888" w:rsidRDefault="003E490F" w:rsidP="00B06442">
      <w:pPr>
        <w:pStyle w:val="NormaleWeb"/>
        <w:ind w:firstLine="709"/>
        <w:jc w:val="both"/>
        <w:rPr>
          <w:color w:val="000000" w:themeColor="text1"/>
          <w:sz w:val="28"/>
          <w:szCs w:val="28"/>
        </w:rPr>
      </w:pPr>
      <w:r w:rsidRPr="00813888">
        <w:rPr>
          <w:color w:val="000000" w:themeColor="text1"/>
          <w:sz w:val="28"/>
          <w:szCs w:val="28"/>
        </w:rPr>
        <w:t>L</w:t>
      </w:r>
      <w:r w:rsidR="000D431B" w:rsidRPr="00813888">
        <w:rPr>
          <w:color w:val="000000" w:themeColor="text1"/>
          <w:sz w:val="28"/>
          <w:szCs w:val="28"/>
        </w:rPr>
        <w:t>’interprete non può considerare la c</w:t>
      </w:r>
      <w:r w:rsidR="00277DBA" w:rsidRPr="00813888">
        <w:rPr>
          <w:color w:val="000000" w:themeColor="text1"/>
          <w:sz w:val="28"/>
          <w:szCs w:val="28"/>
        </w:rPr>
        <w:t xml:space="preserve">lausola </w:t>
      </w:r>
      <w:r w:rsidR="000D431B" w:rsidRPr="00813888">
        <w:rPr>
          <w:color w:val="000000" w:themeColor="text1"/>
          <w:sz w:val="28"/>
          <w:szCs w:val="28"/>
        </w:rPr>
        <w:t>g</w:t>
      </w:r>
      <w:r w:rsidR="00277DBA" w:rsidRPr="00813888">
        <w:rPr>
          <w:color w:val="000000" w:themeColor="text1"/>
          <w:sz w:val="28"/>
          <w:szCs w:val="28"/>
        </w:rPr>
        <w:t>enerale</w:t>
      </w:r>
      <w:r w:rsidR="000D431B" w:rsidRPr="00813888">
        <w:rPr>
          <w:color w:val="000000" w:themeColor="text1"/>
          <w:sz w:val="28"/>
          <w:szCs w:val="28"/>
        </w:rPr>
        <w:t xml:space="preserve"> </w:t>
      </w:r>
      <w:r w:rsidR="00324F54" w:rsidRPr="00813888">
        <w:rPr>
          <w:color w:val="000000" w:themeColor="text1"/>
          <w:sz w:val="28"/>
          <w:szCs w:val="28"/>
        </w:rPr>
        <w:t>isolatamente</w:t>
      </w:r>
      <w:r w:rsidR="003B37CC" w:rsidRPr="00813888">
        <w:rPr>
          <w:color w:val="000000" w:themeColor="text1"/>
          <w:sz w:val="28"/>
          <w:szCs w:val="28"/>
        </w:rPr>
        <w:t xml:space="preserve"> (</w:t>
      </w:r>
      <w:r w:rsidR="00AE3DA2" w:rsidRPr="00813888">
        <w:rPr>
          <w:color w:val="000000" w:themeColor="text1"/>
          <w:sz w:val="28"/>
          <w:szCs w:val="28"/>
        </w:rPr>
        <w:t>“nella sua isolata nudità”</w:t>
      </w:r>
      <w:r w:rsidR="003B37CC" w:rsidRPr="00813888">
        <w:rPr>
          <w:color w:val="000000" w:themeColor="text1"/>
          <w:sz w:val="28"/>
          <w:szCs w:val="28"/>
        </w:rPr>
        <w:t>)</w:t>
      </w:r>
      <w:r w:rsidR="00AE3DA2" w:rsidRPr="00813888">
        <w:rPr>
          <w:color w:val="000000" w:themeColor="text1"/>
          <w:sz w:val="28"/>
          <w:szCs w:val="28"/>
        </w:rPr>
        <w:t xml:space="preserve">, </w:t>
      </w:r>
      <w:r w:rsidR="000D431B" w:rsidRPr="00813888">
        <w:rPr>
          <w:color w:val="000000" w:themeColor="text1"/>
          <w:sz w:val="28"/>
          <w:szCs w:val="28"/>
        </w:rPr>
        <w:t xml:space="preserve">ma </w:t>
      </w:r>
      <w:r w:rsidR="00AE3DA2" w:rsidRPr="00813888">
        <w:rPr>
          <w:color w:val="000000" w:themeColor="text1"/>
          <w:sz w:val="28"/>
          <w:szCs w:val="28"/>
        </w:rPr>
        <w:t xml:space="preserve">è tenuto a </w:t>
      </w:r>
      <w:r w:rsidR="000D431B" w:rsidRPr="00813888">
        <w:rPr>
          <w:color w:val="000000" w:themeColor="text1"/>
          <w:sz w:val="28"/>
          <w:szCs w:val="28"/>
        </w:rPr>
        <w:t xml:space="preserve">collocarla </w:t>
      </w:r>
      <w:r w:rsidR="003B37CC" w:rsidRPr="00813888">
        <w:rPr>
          <w:color w:val="000000" w:themeColor="text1"/>
          <w:sz w:val="28"/>
          <w:szCs w:val="28"/>
        </w:rPr>
        <w:t>nel suo contesto ordinamentale (</w:t>
      </w:r>
      <w:r w:rsidR="00AE3DA2" w:rsidRPr="00813888">
        <w:rPr>
          <w:color w:val="000000" w:themeColor="text1"/>
          <w:sz w:val="28"/>
          <w:szCs w:val="28"/>
        </w:rPr>
        <w:t>“</w:t>
      </w:r>
      <w:r w:rsidR="000D431B" w:rsidRPr="00813888">
        <w:rPr>
          <w:color w:val="000000" w:themeColor="text1"/>
          <w:sz w:val="28"/>
          <w:szCs w:val="28"/>
        </w:rPr>
        <w:t>all’interno della trama</w:t>
      </w:r>
      <w:r w:rsidR="00AE3DA2" w:rsidRPr="00813888">
        <w:rPr>
          <w:color w:val="000000" w:themeColor="text1"/>
          <w:sz w:val="28"/>
          <w:szCs w:val="28"/>
        </w:rPr>
        <w:t xml:space="preserve"> – </w:t>
      </w:r>
      <w:r w:rsidR="000D431B" w:rsidRPr="00813888">
        <w:rPr>
          <w:color w:val="000000" w:themeColor="text1"/>
          <w:sz w:val="28"/>
          <w:szCs w:val="28"/>
        </w:rPr>
        <w:t>tutta intera</w:t>
      </w:r>
      <w:r w:rsidR="00AE3DA2" w:rsidRPr="00813888">
        <w:rPr>
          <w:color w:val="000000" w:themeColor="text1"/>
          <w:sz w:val="28"/>
          <w:szCs w:val="28"/>
        </w:rPr>
        <w:t xml:space="preserve"> –</w:t>
      </w:r>
      <w:r w:rsidR="000A21A9" w:rsidRPr="00813888">
        <w:rPr>
          <w:color w:val="000000" w:themeColor="text1"/>
          <w:sz w:val="28"/>
          <w:szCs w:val="28"/>
        </w:rPr>
        <w:t xml:space="preserve"> </w:t>
      </w:r>
      <w:r w:rsidR="000D431B" w:rsidRPr="00813888">
        <w:rPr>
          <w:color w:val="000000" w:themeColor="text1"/>
          <w:sz w:val="28"/>
          <w:szCs w:val="28"/>
        </w:rPr>
        <w:t>dell’ordinamento</w:t>
      </w:r>
      <w:r w:rsidR="00324F54" w:rsidRPr="00813888">
        <w:rPr>
          <w:color w:val="000000" w:themeColor="text1"/>
          <w:sz w:val="28"/>
          <w:szCs w:val="28"/>
        </w:rPr>
        <w:t>,</w:t>
      </w:r>
      <w:r w:rsidR="00B82CF6" w:rsidRPr="00813888">
        <w:rPr>
          <w:color w:val="000000" w:themeColor="text1"/>
          <w:sz w:val="28"/>
          <w:szCs w:val="28"/>
        </w:rPr>
        <w:t xml:space="preserve"> </w:t>
      </w:r>
      <w:r w:rsidR="00AE3DA2" w:rsidRPr="00813888">
        <w:rPr>
          <w:color w:val="000000" w:themeColor="text1"/>
          <w:sz w:val="28"/>
          <w:szCs w:val="28"/>
        </w:rPr>
        <w:t>del quale fa parte”</w:t>
      </w:r>
      <w:r w:rsidR="003B37CC" w:rsidRPr="00813888">
        <w:rPr>
          <w:color w:val="000000" w:themeColor="text1"/>
          <w:sz w:val="28"/>
          <w:szCs w:val="28"/>
        </w:rPr>
        <w:t>)</w:t>
      </w:r>
      <w:r w:rsidR="003B37CC" w:rsidRPr="00813888">
        <w:rPr>
          <w:rStyle w:val="Rimandonotaapidipagina"/>
          <w:color w:val="000000" w:themeColor="text1"/>
          <w:sz w:val="28"/>
          <w:szCs w:val="28"/>
        </w:rPr>
        <w:footnoteReference w:id="19"/>
      </w:r>
      <w:r w:rsidR="00AE3DA2" w:rsidRPr="00813888">
        <w:rPr>
          <w:color w:val="000000" w:themeColor="text1"/>
          <w:sz w:val="28"/>
          <w:szCs w:val="28"/>
        </w:rPr>
        <w:t xml:space="preserve">. </w:t>
      </w:r>
      <w:r w:rsidR="003B37CC" w:rsidRPr="00813888">
        <w:rPr>
          <w:color w:val="000000" w:themeColor="text1"/>
          <w:sz w:val="28"/>
          <w:szCs w:val="28"/>
        </w:rPr>
        <w:t xml:space="preserve">Più precisamente, il contenuto della clausola generale </w:t>
      </w:r>
      <w:r w:rsidRPr="00813888">
        <w:rPr>
          <w:color w:val="000000" w:themeColor="text1"/>
          <w:sz w:val="28"/>
          <w:szCs w:val="28"/>
        </w:rPr>
        <w:t>può essere “disvelato” proprio dalle norme a fattispecie che danno svolgimento alla clausola generale, secondo un processo di “</w:t>
      </w:r>
      <w:r w:rsidRPr="00813888">
        <w:rPr>
          <w:i/>
          <w:iCs/>
          <w:color w:val="000000" w:themeColor="text1"/>
          <w:sz w:val="28"/>
          <w:szCs w:val="28"/>
        </w:rPr>
        <w:t>astrazione generalizzante</w:t>
      </w:r>
      <w:r w:rsidRPr="00813888">
        <w:rPr>
          <w:color w:val="000000" w:themeColor="text1"/>
          <w:sz w:val="28"/>
          <w:szCs w:val="28"/>
        </w:rPr>
        <w:t xml:space="preserve">” che tuttavia sfocia, nel momento applicativo della clausola generale al caso singolo, in “un’operazione di </w:t>
      </w:r>
      <w:r w:rsidRPr="00813888">
        <w:rPr>
          <w:i/>
          <w:iCs/>
          <w:color w:val="000000" w:themeColor="text1"/>
          <w:sz w:val="28"/>
          <w:szCs w:val="28"/>
        </w:rPr>
        <w:t>concretizzazione individualizzante</w:t>
      </w:r>
      <w:r w:rsidRPr="00813888">
        <w:rPr>
          <w:color w:val="000000" w:themeColor="text1"/>
          <w:sz w:val="28"/>
          <w:szCs w:val="28"/>
        </w:rPr>
        <w:t>”</w:t>
      </w:r>
      <w:r w:rsidRPr="00813888">
        <w:rPr>
          <w:rStyle w:val="Rimandonotaapidipagina"/>
          <w:color w:val="000000" w:themeColor="text1"/>
          <w:sz w:val="28"/>
          <w:szCs w:val="28"/>
        </w:rPr>
        <w:footnoteReference w:id="20"/>
      </w:r>
      <w:r w:rsidRPr="00813888">
        <w:rPr>
          <w:color w:val="000000" w:themeColor="text1"/>
          <w:sz w:val="28"/>
          <w:szCs w:val="28"/>
        </w:rPr>
        <w:t>.</w:t>
      </w:r>
    </w:p>
    <w:p w14:paraId="6A15E920" w14:textId="4B7E4C8D" w:rsidR="00903E6F" w:rsidRPr="00813888" w:rsidRDefault="0016231C" w:rsidP="00B06442">
      <w:pPr>
        <w:pStyle w:val="NormaleWeb"/>
        <w:ind w:firstLine="709"/>
        <w:jc w:val="both"/>
        <w:rPr>
          <w:color w:val="000000" w:themeColor="text1"/>
          <w:sz w:val="28"/>
          <w:szCs w:val="28"/>
        </w:rPr>
      </w:pPr>
      <w:r w:rsidRPr="00813888">
        <w:rPr>
          <w:color w:val="000000" w:themeColor="text1"/>
          <w:sz w:val="28"/>
          <w:szCs w:val="28"/>
        </w:rPr>
        <w:t xml:space="preserve">È chiaro che </w:t>
      </w:r>
      <w:r w:rsidR="00795A8F" w:rsidRPr="00813888">
        <w:rPr>
          <w:color w:val="000000" w:themeColor="text1"/>
          <w:sz w:val="28"/>
          <w:szCs w:val="28"/>
        </w:rPr>
        <w:t>l’interprete, sia esso una pubblica amministrazione oppure un giudice,</w:t>
      </w:r>
      <w:r w:rsidRPr="00813888">
        <w:rPr>
          <w:color w:val="000000" w:themeColor="text1"/>
          <w:sz w:val="28"/>
          <w:szCs w:val="28"/>
        </w:rPr>
        <w:t xml:space="preserve"> </w:t>
      </w:r>
      <w:r w:rsidR="00674A9D">
        <w:rPr>
          <w:color w:val="000000" w:themeColor="text1"/>
          <w:sz w:val="28"/>
          <w:szCs w:val="28"/>
        </w:rPr>
        <w:t>è</w:t>
      </w:r>
      <w:r w:rsidRPr="00813888">
        <w:rPr>
          <w:color w:val="000000" w:themeColor="text1"/>
          <w:sz w:val="28"/>
          <w:szCs w:val="28"/>
        </w:rPr>
        <w:t xml:space="preserve"> chiamato a un </w:t>
      </w:r>
      <w:r w:rsidR="00307663" w:rsidRPr="00813888">
        <w:rPr>
          <w:color w:val="000000" w:themeColor="text1"/>
          <w:sz w:val="28"/>
          <w:szCs w:val="28"/>
        </w:rPr>
        <w:t>compito ben delicato e complesso</w:t>
      </w:r>
      <w:r w:rsidRPr="00813888">
        <w:rPr>
          <w:color w:val="000000" w:themeColor="text1"/>
          <w:sz w:val="28"/>
          <w:szCs w:val="28"/>
        </w:rPr>
        <w:t xml:space="preserve"> nel momento in cui gli viene richiesto che</w:t>
      </w:r>
      <w:r w:rsidR="00307663" w:rsidRPr="00813888">
        <w:rPr>
          <w:color w:val="000000" w:themeColor="text1"/>
          <w:sz w:val="28"/>
          <w:szCs w:val="28"/>
        </w:rPr>
        <w:t xml:space="preserve"> le singole norme </w:t>
      </w:r>
      <w:r w:rsidRPr="00813888">
        <w:rPr>
          <w:color w:val="000000" w:themeColor="text1"/>
          <w:sz w:val="28"/>
          <w:szCs w:val="28"/>
        </w:rPr>
        <w:t>contenenti clausole generali siano inte</w:t>
      </w:r>
      <w:r w:rsidR="00674A9D">
        <w:rPr>
          <w:color w:val="000000" w:themeColor="text1"/>
          <w:sz w:val="28"/>
          <w:szCs w:val="28"/>
        </w:rPr>
        <w:t>s</w:t>
      </w:r>
      <w:r w:rsidRPr="00813888">
        <w:rPr>
          <w:color w:val="000000" w:themeColor="text1"/>
          <w:sz w:val="28"/>
          <w:szCs w:val="28"/>
        </w:rPr>
        <w:t xml:space="preserve">e </w:t>
      </w:r>
      <w:r w:rsidR="00307663" w:rsidRPr="00813888">
        <w:rPr>
          <w:color w:val="000000" w:themeColor="text1"/>
          <w:sz w:val="28"/>
          <w:szCs w:val="28"/>
        </w:rPr>
        <w:t>situandole nel loro contesto ordinamentale. Va però riconosciuto che da secoli l’amministrazione pubblica e il</w:t>
      </w:r>
      <w:r w:rsidR="000D431B" w:rsidRPr="00813888">
        <w:rPr>
          <w:color w:val="000000" w:themeColor="text1"/>
          <w:sz w:val="28"/>
          <w:szCs w:val="28"/>
        </w:rPr>
        <w:t xml:space="preserve"> giudice amministrativo </w:t>
      </w:r>
      <w:r w:rsidR="00307663" w:rsidRPr="00813888">
        <w:rPr>
          <w:color w:val="000000" w:themeColor="text1"/>
          <w:sz w:val="28"/>
          <w:szCs w:val="28"/>
        </w:rPr>
        <w:t>hanno consuetudine con il tipo di attività in questione</w:t>
      </w:r>
      <w:r w:rsidR="00BF1F11" w:rsidRPr="00813888">
        <w:rPr>
          <w:color w:val="000000" w:themeColor="text1"/>
          <w:sz w:val="28"/>
          <w:szCs w:val="28"/>
        </w:rPr>
        <w:t xml:space="preserve"> che porta a</w:t>
      </w:r>
      <w:r w:rsidR="000D431B" w:rsidRPr="00813888">
        <w:rPr>
          <w:color w:val="000000" w:themeColor="text1"/>
          <w:sz w:val="28"/>
          <w:szCs w:val="28"/>
        </w:rPr>
        <w:t xml:space="preserve"> interpreta</w:t>
      </w:r>
      <w:r w:rsidR="00BF1F11" w:rsidRPr="00813888">
        <w:rPr>
          <w:color w:val="000000" w:themeColor="text1"/>
          <w:sz w:val="28"/>
          <w:szCs w:val="28"/>
        </w:rPr>
        <w:t>re</w:t>
      </w:r>
      <w:r w:rsidR="000D431B" w:rsidRPr="00813888">
        <w:rPr>
          <w:color w:val="000000" w:themeColor="text1"/>
          <w:sz w:val="28"/>
          <w:szCs w:val="28"/>
        </w:rPr>
        <w:t xml:space="preserve"> singole</w:t>
      </w:r>
      <w:r w:rsidR="00307663" w:rsidRPr="00813888">
        <w:rPr>
          <w:color w:val="000000" w:themeColor="text1"/>
          <w:sz w:val="28"/>
          <w:szCs w:val="28"/>
        </w:rPr>
        <w:t xml:space="preserve"> disposizioni </w:t>
      </w:r>
      <w:r w:rsidR="00BF1F11" w:rsidRPr="00813888">
        <w:rPr>
          <w:color w:val="000000" w:themeColor="text1"/>
          <w:sz w:val="28"/>
          <w:szCs w:val="28"/>
        </w:rPr>
        <w:t xml:space="preserve">di legge </w:t>
      </w:r>
      <w:r w:rsidR="00307663" w:rsidRPr="00813888">
        <w:rPr>
          <w:color w:val="000000" w:themeColor="text1"/>
          <w:sz w:val="28"/>
          <w:szCs w:val="28"/>
        </w:rPr>
        <w:t>valorizzando l’intero tessuto normativo</w:t>
      </w:r>
      <w:r w:rsidR="000D431B" w:rsidRPr="00813888">
        <w:rPr>
          <w:color w:val="000000" w:themeColor="text1"/>
          <w:sz w:val="28"/>
          <w:szCs w:val="28"/>
        </w:rPr>
        <w:t>.</w:t>
      </w:r>
      <w:r w:rsidR="00B82CF6" w:rsidRPr="00813888">
        <w:rPr>
          <w:color w:val="000000" w:themeColor="text1"/>
          <w:sz w:val="28"/>
          <w:szCs w:val="28"/>
        </w:rPr>
        <w:t xml:space="preserve"> </w:t>
      </w:r>
      <w:r w:rsidR="00307663" w:rsidRPr="00813888">
        <w:rPr>
          <w:color w:val="000000" w:themeColor="text1"/>
          <w:sz w:val="28"/>
          <w:szCs w:val="28"/>
        </w:rPr>
        <w:t>Infatti</w:t>
      </w:r>
      <w:r w:rsidR="00BF1F11" w:rsidRPr="00813888">
        <w:rPr>
          <w:color w:val="000000" w:themeColor="text1"/>
          <w:sz w:val="28"/>
          <w:szCs w:val="28"/>
        </w:rPr>
        <w:t>,</w:t>
      </w:r>
      <w:r w:rsidR="00307663" w:rsidRPr="00813888">
        <w:rPr>
          <w:color w:val="000000" w:themeColor="text1"/>
          <w:sz w:val="28"/>
          <w:szCs w:val="28"/>
        </w:rPr>
        <w:t xml:space="preserve"> t</w:t>
      </w:r>
      <w:r w:rsidR="000D431B" w:rsidRPr="00813888">
        <w:rPr>
          <w:color w:val="000000" w:themeColor="text1"/>
          <w:sz w:val="28"/>
          <w:szCs w:val="28"/>
        </w:rPr>
        <w:t>utto il processo di nascita e di emersione degli interessi legittimi si è avvalso della tecnica preziosa dei c.d. blocchi normativi</w:t>
      </w:r>
      <w:r w:rsidR="00E547E3" w:rsidRPr="00813888">
        <w:rPr>
          <w:color w:val="000000" w:themeColor="text1"/>
          <w:sz w:val="28"/>
          <w:szCs w:val="28"/>
        </w:rPr>
        <w:t xml:space="preserve">. Partendo dalla duplice premessa secondo cui esiste un interesse legittimo solo quando l’ordinamento giuridico conferisce una qualche particolare rilevanza giuridica a un interesse materiale, ma che raramente dalla sola lettura di una legge amministrativa è possibile desumere se la disciplina </w:t>
      </w:r>
      <w:r w:rsidR="00C1241F">
        <w:rPr>
          <w:color w:val="000000" w:themeColor="text1"/>
          <w:sz w:val="28"/>
          <w:szCs w:val="28"/>
        </w:rPr>
        <w:t>introdotta</w:t>
      </w:r>
      <w:r w:rsidR="00E547E3" w:rsidRPr="00813888">
        <w:rPr>
          <w:color w:val="000000" w:themeColor="text1"/>
          <w:sz w:val="28"/>
          <w:szCs w:val="28"/>
        </w:rPr>
        <w:t xml:space="preserve"> abbia per scopo anche la tutela di interessi individuali, ne consegue che non è agevole ricavare immediatamente da una norma attributiva del potere l’esistenza di interessi di specifica rilevanza. Di qui la necessità di ampliare il campo di osservazione ricorrendo ad altre norme connesse e utilizzando i principi ai quali si ispirano i blocchi normativi così formati</w:t>
      </w:r>
      <w:r w:rsidR="00E547E3" w:rsidRPr="00813888">
        <w:rPr>
          <w:rStyle w:val="Rimandonotaapidipagina"/>
          <w:color w:val="000000" w:themeColor="text1"/>
          <w:sz w:val="28"/>
          <w:szCs w:val="28"/>
        </w:rPr>
        <w:footnoteReference w:id="21"/>
      </w:r>
      <w:r w:rsidR="00903E6F" w:rsidRPr="00813888">
        <w:rPr>
          <w:color w:val="000000" w:themeColor="text1"/>
          <w:sz w:val="28"/>
          <w:szCs w:val="28"/>
        </w:rPr>
        <w:t xml:space="preserve">. </w:t>
      </w:r>
    </w:p>
    <w:p w14:paraId="0C6F2185" w14:textId="1C15D11E" w:rsidR="00903E6F" w:rsidRPr="00813888" w:rsidRDefault="00903E6F" w:rsidP="00B06442">
      <w:pPr>
        <w:pStyle w:val="NormaleWeb"/>
        <w:ind w:firstLine="709"/>
        <w:jc w:val="both"/>
        <w:rPr>
          <w:color w:val="000000" w:themeColor="text1"/>
          <w:sz w:val="28"/>
          <w:szCs w:val="28"/>
        </w:rPr>
      </w:pPr>
      <w:r w:rsidRPr="00813888">
        <w:rPr>
          <w:color w:val="000000" w:themeColor="text1"/>
          <w:sz w:val="28"/>
          <w:szCs w:val="28"/>
        </w:rPr>
        <w:t xml:space="preserve">Analogamente, le clausole generali vanno riempite di contenuto concreto ad opera dell’amministrazione prima e del giudice poi accertando i principi richiamati in via implicita dalle disposizioni che le prevedono e quindi allargando lo sguardo verso altre norme connesse. Ad esempio, ritornando alla clausola di buona fede sopra menzionata, essa può essere perimetrata in virtù di diverse norme a fattispecie, che spaziano </w:t>
      </w:r>
      <w:r w:rsidR="003F082C" w:rsidRPr="00813888">
        <w:rPr>
          <w:color w:val="000000"/>
          <w:sz w:val="28"/>
          <w:szCs w:val="28"/>
        </w:rPr>
        <w:t xml:space="preserve">dall’art. 1147, comma 2, c.c., per cui la buona fede non giova se l’ignoranza </w:t>
      </w:r>
      <w:r w:rsidR="003F082C" w:rsidRPr="00813888">
        <w:rPr>
          <w:color w:val="000000"/>
          <w:sz w:val="28"/>
          <w:szCs w:val="28"/>
        </w:rPr>
        <w:lastRenderedPageBreak/>
        <w:t>dipende da colpa grave</w:t>
      </w:r>
      <w:r w:rsidR="003F082C" w:rsidRPr="00813888">
        <w:rPr>
          <w:color w:val="000000"/>
          <w:sz w:val="28"/>
          <w:szCs w:val="28"/>
        </w:rPr>
        <w:t xml:space="preserve">, </w:t>
      </w:r>
      <w:r w:rsidRPr="00813888">
        <w:rPr>
          <w:color w:val="000000" w:themeColor="text1"/>
          <w:sz w:val="28"/>
          <w:szCs w:val="28"/>
        </w:rPr>
        <w:t xml:space="preserve">all’art. </w:t>
      </w:r>
      <w:r w:rsidR="003F082C" w:rsidRPr="00813888">
        <w:rPr>
          <w:color w:val="000000" w:themeColor="text1"/>
          <w:sz w:val="28"/>
          <w:szCs w:val="28"/>
        </w:rPr>
        <w:t>1227, comma 2, c.c., secondo cui il risarcimento non è dovuto per i danni che il creditore avrebbe potuto evitare usando l’ordinaria diligenza</w:t>
      </w:r>
      <w:r w:rsidR="003F082C" w:rsidRPr="00813888">
        <w:rPr>
          <w:rStyle w:val="Rimandonotaapidipagina"/>
          <w:color w:val="000000" w:themeColor="text1"/>
          <w:sz w:val="28"/>
          <w:szCs w:val="28"/>
        </w:rPr>
        <w:footnoteReference w:id="22"/>
      </w:r>
      <w:r w:rsidR="003F082C" w:rsidRPr="00813888">
        <w:rPr>
          <w:color w:val="000000" w:themeColor="text1"/>
          <w:sz w:val="28"/>
          <w:szCs w:val="28"/>
        </w:rPr>
        <w:t>.</w:t>
      </w:r>
    </w:p>
    <w:p w14:paraId="74E8ADE9" w14:textId="699D3256" w:rsidR="009F0EFB" w:rsidRPr="00813888" w:rsidRDefault="009F0EFB" w:rsidP="00B06442">
      <w:pPr>
        <w:pStyle w:val="NormaleWeb"/>
        <w:ind w:firstLine="709"/>
        <w:jc w:val="both"/>
        <w:rPr>
          <w:color w:val="000000"/>
          <w:sz w:val="28"/>
          <w:szCs w:val="28"/>
        </w:rPr>
      </w:pPr>
      <w:r w:rsidRPr="00813888">
        <w:rPr>
          <w:color w:val="000000" w:themeColor="text1"/>
          <w:sz w:val="28"/>
          <w:szCs w:val="28"/>
        </w:rPr>
        <w:t>In questa maniera si valorizza l’importanza del criterio sistematico, che è stato acutamente definito parametro essenziale e immanente di una coerenza complessiva, raccogliendo i diversi fili dell’ordinamento e ricomponendo i frammenti nell’ordine che si ricava dalle norme</w:t>
      </w:r>
      <w:r w:rsidRPr="00813888">
        <w:rPr>
          <w:rStyle w:val="Rimandonotaapidipagina"/>
          <w:color w:val="000000" w:themeColor="text1"/>
          <w:sz w:val="28"/>
          <w:szCs w:val="28"/>
        </w:rPr>
        <w:footnoteReference w:id="23"/>
      </w:r>
      <w:r w:rsidRPr="00813888">
        <w:rPr>
          <w:color w:val="000000" w:themeColor="text1"/>
          <w:sz w:val="28"/>
          <w:szCs w:val="28"/>
        </w:rPr>
        <w:t>.</w:t>
      </w:r>
    </w:p>
    <w:p w14:paraId="6C2914C5" w14:textId="77777777" w:rsidR="003F082C" w:rsidRPr="00813888" w:rsidRDefault="003F082C" w:rsidP="00B06442">
      <w:pPr>
        <w:pStyle w:val="NormaleWeb"/>
        <w:ind w:firstLine="709"/>
        <w:jc w:val="both"/>
        <w:rPr>
          <w:color w:val="000000" w:themeColor="text1"/>
          <w:sz w:val="28"/>
          <w:szCs w:val="28"/>
        </w:rPr>
      </w:pPr>
    </w:p>
    <w:p w14:paraId="2722D59C" w14:textId="5D492DBD" w:rsidR="00947792" w:rsidRPr="00813888" w:rsidRDefault="00C25087" w:rsidP="00B06442">
      <w:pPr>
        <w:pStyle w:val="NormaleWeb"/>
        <w:ind w:firstLine="709"/>
        <w:jc w:val="both"/>
        <w:rPr>
          <w:sz w:val="28"/>
          <w:szCs w:val="28"/>
        </w:rPr>
      </w:pPr>
      <w:r w:rsidRPr="00813888">
        <w:rPr>
          <w:sz w:val="28"/>
          <w:szCs w:val="28"/>
        </w:rPr>
        <w:t xml:space="preserve">4. </w:t>
      </w:r>
      <w:r w:rsidR="00BF1F11" w:rsidRPr="00813888">
        <w:rPr>
          <w:sz w:val="28"/>
          <w:szCs w:val="28"/>
        </w:rPr>
        <w:t>La s</w:t>
      </w:r>
      <w:r w:rsidR="000D431B" w:rsidRPr="00813888">
        <w:rPr>
          <w:sz w:val="28"/>
          <w:szCs w:val="28"/>
        </w:rPr>
        <w:t xml:space="preserve">econda modalità pretoria per colmare il deficit di legalità sostanziale, di certezza e di prevedibilità tipico delle clausole generali è data dalla c.d. interpretazione </w:t>
      </w:r>
      <w:proofErr w:type="spellStart"/>
      <w:r w:rsidR="000D431B" w:rsidRPr="00813888">
        <w:rPr>
          <w:sz w:val="28"/>
          <w:szCs w:val="28"/>
        </w:rPr>
        <w:t>tassativizzante</w:t>
      </w:r>
      <w:proofErr w:type="spellEnd"/>
      <w:r w:rsidR="003F082C" w:rsidRPr="00813888">
        <w:rPr>
          <w:sz w:val="28"/>
          <w:szCs w:val="28"/>
        </w:rPr>
        <w:t xml:space="preserve"> da parte della giurisprudenza amministrativa</w:t>
      </w:r>
      <w:r w:rsidR="000A0E71" w:rsidRPr="00813888">
        <w:rPr>
          <w:sz w:val="28"/>
          <w:szCs w:val="28"/>
        </w:rPr>
        <w:t>, ossia da quella attività interpretativa pretoria che, sulla base della casistica concreta, sviluppa parametri, criteri, quando non addirittura regole vere e proprie</w:t>
      </w:r>
      <w:r w:rsidR="000A0E71" w:rsidRPr="00813888">
        <w:rPr>
          <w:rStyle w:val="Rimandonotaapidipagina"/>
          <w:sz w:val="28"/>
          <w:szCs w:val="28"/>
        </w:rPr>
        <w:footnoteReference w:id="24"/>
      </w:r>
      <w:r w:rsidR="000A0E71" w:rsidRPr="00813888">
        <w:rPr>
          <w:sz w:val="28"/>
          <w:szCs w:val="28"/>
        </w:rPr>
        <w:t>. Questa</w:t>
      </w:r>
      <w:r w:rsidR="00BF1F11" w:rsidRPr="00813888">
        <w:rPr>
          <w:sz w:val="28"/>
          <w:szCs w:val="28"/>
        </w:rPr>
        <w:t xml:space="preserve"> tecnica è stata raffinata </w:t>
      </w:r>
      <w:r w:rsidR="005B4A74" w:rsidRPr="00813888">
        <w:rPr>
          <w:sz w:val="28"/>
          <w:szCs w:val="28"/>
        </w:rPr>
        <w:t xml:space="preserve">in maniera particolare </w:t>
      </w:r>
      <w:r w:rsidR="000D431B" w:rsidRPr="00813888">
        <w:rPr>
          <w:sz w:val="28"/>
          <w:szCs w:val="28"/>
        </w:rPr>
        <w:t>nel caso di misure di prevenzione e interdittive antimafia</w:t>
      </w:r>
      <w:r w:rsidR="000C0C7A" w:rsidRPr="00813888">
        <w:rPr>
          <w:rStyle w:val="Rimandonotaapidipagina"/>
          <w:sz w:val="28"/>
          <w:szCs w:val="28"/>
        </w:rPr>
        <w:footnoteReference w:id="25"/>
      </w:r>
      <w:r w:rsidR="000C0C7A" w:rsidRPr="00813888">
        <w:rPr>
          <w:sz w:val="28"/>
          <w:szCs w:val="28"/>
        </w:rPr>
        <w:t xml:space="preserve">. </w:t>
      </w:r>
      <w:r w:rsidR="000A0E71" w:rsidRPr="00813888">
        <w:rPr>
          <w:sz w:val="28"/>
          <w:szCs w:val="28"/>
        </w:rPr>
        <w:t>In essa l</w:t>
      </w:r>
      <w:r w:rsidR="000C0C7A" w:rsidRPr="00813888">
        <w:rPr>
          <w:sz w:val="28"/>
          <w:szCs w:val="28"/>
        </w:rPr>
        <w:t xml:space="preserve">e relative norme attributive del potere </w:t>
      </w:r>
      <w:r w:rsidR="000D431B" w:rsidRPr="00813888">
        <w:rPr>
          <w:sz w:val="28"/>
          <w:szCs w:val="28"/>
        </w:rPr>
        <w:t>abbonda</w:t>
      </w:r>
      <w:r w:rsidR="00947792" w:rsidRPr="00813888">
        <w:rPr>
          <w:sz w:val="28"/>
          <w:szCs w:val="28"/>
        </w:rPr>
        <w:t>no</w:t>
      </w:r>
      <w:r w:rsidR="000D431B" w:rsidRPr="00813888">
        <w:rPr>
          <w:sz w:val="28"/>
          <w:szCs w:val="28"/>
        </w:rPr>
        <w:t xml:space="preserve"> di elementi elastici lasciati all’apprezzamento dell’amministrazione</w:t>
      </w:r>
      <w:r w:rsidR="00B82CF6" w:rsidRPr="00813888">
        <w:rPr>
          <w:sz w:val="28"/>
          <w:szCs w:val="28"/>
        </w:rPr>
        <w:t xml:space="preserve"> </w:t>
      </w:r>
      <w:r w:rsidR="00C1241F">
        <w:rPr>
          <w:sz w:val="28"/>
          <w:szCs w:val="28"/>
        </w:rPr>
        <w:t>o, in altri termini</w:t>
      </w:r>
      <w:r w:rsidR="00BF1F11" w:rsidRPr="00813888">
        <w:rPr>
          <w:sz w:val="28"/>
          <w:szCs w:val="28"/>
        </w:rPr>
        <w:t>,</w:t>
      </w:r>
      <w:r w:rsidR="000D431B" w:rsidRPr="00813888">
        <w:rPr>
          <w:sz w:val="28"/>
          <w:szCs w:val="28"/>
        </w:rPr>
        <w:t xml:space="preserve"> di fattispecie contrassegnate da uno scarsissimo coefficiente di tassatività</w:t>
      </w:r>
      <w:r w:rsidR="00C1241F">
        <w:rPr>
          <w:sz w:val="28"/>
          <w:szCs w:val="28"/>
        </w:rPr>
        <w:t xml:space="preserve">, </w:t>
      </w:r>
      <w:r w:rsidR="000D431B" w:rsidRPr="00813888">
        <w:rPr>
          <w:sz w:val="28"/>
          <w:szCs w:val="28"/>
        </w:rPr>
        <w:t>come tal</w:t>
      </w:r>
      <w:r w:rsidR="00BF1F11" w:rsidRPr="00813888">
        <w:rPr>
          <w:sz w:val="28"/>
          <w:szCs w:val="28"/>
        </w:rPr>
        <w:t>i</w:t>
      </w:r>
      <w:r w:rsidR="000D431B" w:rsidRPr="00813888">
        <w:rPr>
          <w:sz w:val="28"/>
          <w:szCs w:val="28"/>
        </w:rPr>
        <w:t xml:space="preserve"> strutturalmente inclini a</w:t>
      </w:r>
      <w:r w:rsidR="00BF1F11" w:rsidRPr="00813888">
        <w:rPr>
          <w:sz w:val="28"/>
          <w:szCs w:val="28"/>
        </w:rPr>
        <w:t>d essere interpretate in maniera estesa</w:t>
      </w:r>
      <w:r w:rsidR="00601FE8" w:rsidRPr="00813888">
        <w:rPr>
          <w:sz w:val="28"/>
          <w:szCs w:val="28"/>
        </w:rPr>
        <w:t xml:space="preserve">. </w:t>
      </w:r>
      <w:r w:rsidR="00BF1F11" w:rsidRPr="00813888">
        <w:rPr>
          <w:sz w:val="28"/>
          <w:szCs w:val="28"/>
        </w:rPr>
        <w:t xml:space="preserve">Questo rischio di sovra-estensione applicativa è </w:t>
      </w:r>
      <w:r w:rsidR="000D431B" w:rsidRPr="00813888">
        <w:rPr>
          <w:sz w:val="28"/>
          <w:szCs w:val="28"/>
        </w:rPr>
        <w:t>particolarmente delicat</w:t>
      </w:r>
      <w:r w:rsidR="00BF1F11" w:rsidRPr="00813888">
        <w:rPr>
          <w:sz w:val="28"/>
          <w:szCs w:val="28"/>
        </w:rPr>
        <w:t>o</w:t>
      </w:r>
      <w:r w:rsidR="000D431B" w:rsidRPr="00813888">
        <w:rPr>
          <w:sz w:val="28"/>
          <w:szCs w:val="28"/>
        </w:rPr>
        <w:t xml:space="preserve"> in </w:t>
      </w:r>
      <w:r w:rsidR="00BF1F11" w:rsidRPr="00813888">
        <w:rPr>
          <w:sz w:val="28"/>
          <w:szCs w:val="28"/>
        </w:rPr>
        <w:t xml:space="preserve">materia </w:t>
      </w:r>
      <w:r w:rsidR="003D7E3F" w:rsidRPr="00813888">
        <w:rPr>
          <w:sz w:val="28"/>
          <w:szCs w:val="28"/>
        </w:rPr>
        <w:t xml:space="preserve">dal momento che </w:t>
      </w:r>
      <w:r w:rsidR="00BF1F11" w:rsidRPr="00813888">
        <w:rPr>
          <w:sz w:val="28"/>
          <w:szCs w:val="28"/>
        </w:rPr>
        <w:t>ven</w:t>
      </w:r>
      <w:r w:rsidR="003D7E3F" w:rsidRPr="00813888">
        <w:rPr>
          <w:sz w:val="28"/>
          <w:szCs w:val="28"/>
        </w:rPr>
        <w:t>gono</w:t>
      </w:r>
      <w:r w:rsidR="00BF1F11" w:rsidRPr="00813888">
        <w:rPr>
          <w:sz w:val="28"/>
          <w:szCs w:val="28"/>
        </w:rPr>
        <w:t xml:space="preserve"> in rilievo ipotesi in </w:t>
      </w:r>
      <w:r w:rsidR="000D431B" w:rsidRPr="00813888">
        <w:rPr>
          <w:sz w:val="28"/>
          <w:szCs w:val="28"/>
        </w:rPr>
        <w:t>cui un soggetto può vedere limitat</w:t>
      </w:r>
      <w:r w:rsidR="00616317" w:rsidRPr="00813888">
        <w:rPr>
          <w:sz w:val="28"/>
          <w:szCs w:val="28"/>
        </w:rPr>
        <w:t>i</w:t>
      </w:r>
      <w:r w:rsidR="000D431B" w:rsidRPr="00813888">
        <w:rPr>
          <w:sz w:val="28"/>
          <w:szCs w:val="28"/>
        </w:rPr>
        <w:t xml:space="preserve"> </w:t>
      </w:r>
      <w:r w:rsidR="00C1241F">
        <w:rPr>
          <w:sz w:val="28"/>
          <w:szCs w:val="28"/>
        </w:rPr>
        <w:t xml:space="preserve">i </w:t>
      </w:r>
      <w:r w:rsidR="000D431B" w:rsidRPr="00813888">
        <w:rPr>
          <w:sz w:val="28"/>
          <w:szCs w:val="28"/>
        </w:rPr>
        <w:t>suoi diritti, personali e patrimoniali, costituzionalmente protetti</w:t>
      </w:r>
      <w:r w:rsidR="00204D58" w:rsidRPr="00813888">
        <w:rPr>
          <w:sz w:val="28"/>
          <w:szCs w:val="28"/>
        </w:rPr>
        <w:t xml:space="preserve">, </w:t>
      </w:r>
      <w:r w:rsidR="003D7E3F" w:rsidRPr="00813888">
        <w:rPr>
          <w:sz w:val="28"/>
          <w:szCs w:val="28"/>
        </w:rPr>
        <w:t>evenienza che</w:t>
      </w:r>
      <w:r w:rsidR="00204D58" w:rsidRPr="00813888">
        <w:rPr>
          <w:sz w:val="28"/>
          <w:szCs w:val="28"/>
        </w:rPr>
        <w:t xml:space="preserve"> suggerisce di evitare “un aberrante meccanismo di estensione a catena della pericolosità simile a quello su cui si fondava, in un non recente passato, l’inquisizione medievale”</w:t>
      </w:r>
      <w:r w:rsidR="00204D58" w:rsidRPr="00813888">
        <w:rPr>
          <w:rStyle w:val="Rimandonotaapidipagina"/>
          <w:sz w:val="28"/>
          <w:szCs w:val="28"/>
        </w:rPr>
        <w:footnoteReference w:id="26"/>
      </w:r>
      <w:r w:rsidR="00204D58" w:rsidRPr="00813888">
        <w:rPr>
          <w:sz w:val="28"/>
          <w:szCs w:val="28"/>
        </w:rPr>
        <w:t>.</w:t>
      </w:r>
    </w:p>
    <w:p w14:paraId="2FD815C8" w14:textId="24B4C3C2" w:rsidR="003B30D3" w:rsidRPr="00813888" w:rsidRDefault="005B4A74" w:rsidP="00B06442">
      <w:pPr>
        <w:pStyle w:val="NormaleWeb"/>
        <w:ind w:firstLine="709"/>
        <w:jc w:val="both"/>
        <w:rPr>
          <w:sz w:val="28"/>
          <w:szCs w:val="28"/>
        </w:rPr>
      </w:pPr>
      <w:r w:rsidRPr="00813888">
        <w:rPr>
          <w:sz w:val="28"/>
          <w:szCs w:val="28"/>
        </w:rPr>
        <w:t>Le informative antimafia sono caratterizzate da un</w:t>
      </w:r>
      <w:r w:rsidR="000A0E71" w:rsidRPr="00813888">
        <w:rPr>
          <w:sz w:val="28"/>
          <w:szCs w:val="28"/>
        </w:rPr>
        <w:t>’</w:t>
      </w:r>
      <w:r w:rsidRPr="00813888">
        <w:rPr>
          <w:sz w:val="28"/>
          <w:szCs w:val="28"/>
        </w:rPr>
        <w:t xml:space="preserve">accentuata discrezionalità in capo al Prefetto nel soppesare il rischio di “permeabilità mafiosa” dell’impresa, ossia nel valutare la sussistenza di tentativi di infiltrazione </w:t>
      </w:r>
      <w:r w:rsidR="00E76D9F" w:rsidRPr="00813888">
        <w:rPr>
          <w:sz w:val="28"/>
          <w:szCs w:val="28"/>
        </w:rPr>
        <w:t>mafiosa nell’attività d’impresa</w:t>
      </w:r>
      <w:r w:rsidR="00575D72" w:rsidRPr="00813888">
        <w:rPr>
          <w:sz w:val="28"/>
          <w:szCs w:val="28"/>
        </w:rPr>
        <w:t xml:space="preserve"> (artt. 84, comma 4, e 91, comma 6, del d. lgs. n. 159/2011)</w:t>
      </w:r>
      <w:r w:rsidR="00F2331D" w:rsidRPr="00813888">
        <w:rPr>
          <w:rStyle w:val="Rimandonotaapidipagina"/>
          <w:sz w:val="28"/>
          <w:szCs w:val="28"/>
        </w:rPr>
        <w:footnoteReference w:id="27"/>
      </w:r>
      <w:r w:rsidR="00E76D9F" w:rsidRPr="00813888">
        <w:rPr>
          <w:sz w:val="28"/>
          <w:szCs w:val="28"/>
        </w:rPr>
        <w:t>.</w:t>
      </w:r>
      <w:r w:rsidR="00422F21">
        <w:rPr>
          <w:color w:val="000000" w:themeColor="text1"/>
          <w:sz w:val="22"/>
          <w:szCs w:val="22"/>
        </w:rPr>
        <w:t xml:space="preserve"> </w:t>
      </w:r>
      <w:r w:rsidR="00422F21">
        <w:rPr>
          <w:sz w:val="28"/>
          <w:szCs w:val="28"/>
        </w:rPr>
        <w:t>I</w:t>
      </w:r>
      <w:r w:rsidR="00991C2D" w:rsidRPr="00813888">
        <w:rPr>
          <w:sz w:val="28"/>
          <w:szCs w:val="28"/>
        </w:rPr>
        <w:t>n un contesto</w:t>
      </w:r>
      <w:r w:rsidR="00EF0D9A" w:rsidRPr="00813888">
        <w:rPr>
          <w:sz w:val="28"/>
          <w:szCs w:val="28"/>
        </w:rPr>
        <w:t xml:space="preserve"> </w:t>
      </w:r>
      <w:r w:rsidR="00991C2D" w:rsidRPr="00813888">
        <w:rPr>
          <w:sz w:val="28"/>
          <w:szCs w:val="28"/>
        </w:rPr>
        <w:t xml:space="preserve">generale </w:t>
      </w:r>
      <w:r w:rsidR="00422F21">
        <w:rPr>
          <w:sz w:val="28"/>
          <w:szCs w:val="28"/>
        </w:rPr>
        <w:t xml:space="preserve">di relazioni tra legge e giurisprudenza </w:t>
      </w:r>
      <w:r w:rsidR="00991C2D" w:rsidRPr="00813888">
        <w:rPr>
          <w:sz w:val="28"/>
          <w:szCs w:val="28"/>
        </w:rPr>
        <w:t xml:space="preserve">altamente problematico </w:t>
      </w:r>
      <w:r w:rsidR="009F49B7" w:rsidRPr="00813888">
        <w:rPr>
          <w:sz w:val="28"/>
          <w:szCs w:val="28"/>
        </w:rPr>
        <w:t>nel quale</w:t>
      </w:r>
      <w:r w:rsidR="00991C2D" w:rsidRPr="00813888">
        <w:rPr>
          <w:sz w:val="28"/>
          <w:szCs w:val="28"/>
        </w:rPr>
        <w:t xml:space="preserve"> sono </w:t>
      </w:r>
      <w:r w:rsidR="00991C2D" w:rsidRPr="00813888">
        <w:rPr>
          <w:sz w:val="28"/>
          <w:szCs w:val="28"/>
        </w:rPr>
        <w:lastRenderedPageBreak/>
        <w:t>intervenuti sia il giudice europeo</w:t>
      </w:r>
      <w:r w:rsidR="00991C2D" w:rsidRPr="00813888">
        <w:rPr>
          <w:rStyle w:val="Rimandonotaapidipagina"/>
          <w:sz w:val="28"/>
          <w:szCs w:val="28"/>
        </w:rPr>
        <w:footnoteReference w:id="28"/>
      </w:r>
      <w:r w:rsidR="00991C2D" w:rsidRPr="00813888">
        <w:rPr>
          <w:sz w:val="28"/>
          <w:szCs w:val="28"/>
        </w:rPr>
        <w:t xml:space="preserve">, sia quello </w:t>
      </w:r>
      <w:r w:rsidR="000D431B" w:rsidRPr="00813888">
        <w:rPr>
          <w:sz w:val="28"/>
          <w:szCs w:val="28"/>
        </w:rPr>
        <w:t>di legittimità</w:t>
      </w:r>
      <w:r w:rsidR="00674CB7" w:rsidRPr="00813888">
        <w:rPr>
          <w:rStyle w:val="Rimandonotaapidipagina"/>
          <w:sz w:val="28"/>
          <w:szCs w:val="28"/>
        </w:rPr>
        <w:footnoteReference w:id="29"/>
      </w:r>
      <w:r w:rsidR="00422F21">
        <w:rPr>
          <w:sz w:val="28"/>
          <w:szCs w:val="28"/>
        </w:rPr>
        <w:t xml:space="preserve"> i</w:t>
      </w:r>
      <w:r w:rsidR="00422F21" w:rsidRPr="00813888">
        <w:rPr>
          <w:sz w:val="28"/>
          <w:szCs w:val="28"/>
        </w:rPr>
        <w:t>l giudice amministrativo</w:t>
      </w:r>
      <w:r w:rsidR="00422F21">
        <w:rPr>
          <w:sz w:val="28"/>
          <w:szCs w:val="28"/>
        </w:rPr>
        <w:t xml:space="preserve"> </w:t>
      </w:r>
      <w:r w:rsidR="003B30A1" w:rsidRPr="00813888">
        <w:rPr>
          <w:sz w:val="28"/>
          <w:szCs w:val="28"/>
        </w:rPr>
        <w:t>ha</w:t>
      </w:r>
      <w:r w:rsidR="00947792" w:rsidRPr="00813888">
        <w:rPr>
          <w:sz w:val="28"/>
          <w:szCs w:val="28"/>
        </w:rPr>
        <w:t xml:space="preserve"> costruito un sistema in cui</w:t>
      </w:r>
      <w:r w:rsidR="003B30A1" w:rsidRPr="00813888">
        <w:rPr>
          <w:sz w:val="28"/>
          <w:szCs w:val="28"/>
        </w:rPr>
        <w:t>,</w:t>
      </w:r>
      <w:r w:rsidR="00601FE8" w:rsidRPr="00813888">
        <w:rPr>
          <w:sz w:val="28"/>
          <w:szCs w:val="28"/>
        </w:rPr>
        <w:t xml:space="preserve"> </w:t>
      </w:r>
      <w:r w:rsidR="000D431B" w:rsidRPr="00813888">
        <w:rPr>
          <w:sz w:val="28"/>
          <w:szCs w:val="28"/>
        </w:rPr>
        <w:t xml:space="preserve">a fianco di situazioni relative ai tentativi di infiltrazione mafiosa </w:t>
      </w:r>
      <w:r w:rsidR="00601FE8" w:rsidRPr="00813888">
        <w:rPr>
          <w:sz w:val="28"/>
          <w:szCs w:val="28"/>
        </w:rPr>
        <w:t>tipizzate</w:t>
      </w:r>
      <w:r w:rsidR="000D431B" w:rsidRPr="00813888">
        <w:rPr>
          <w:sz w:val="28"/>
          <w:szCs w:val="28"/>
        </w:rPr>
        <w:t xml:space="preserve"> dal legislatore</w:t>
      </w:r>
      <w:r w:rsidR="005C6FFC" w:rsidRPr="00813888">
        <w:rPr>
          <w:rStyle w:val="Rimandonotaapidipagina"/>
          <w:sz w:val="28"/>
          <w:szCs w:val="28"/>
        </w:rPr>
        <w:footnoteReference w:id="30"/>
      </w:r>
      <w:r w:rsidR="00601FE8" w:rsidRPr="00813888">
        <w:rPr>
          <w:sz w:val="28"/>
          <w:szCs w:val="28"/>
        </w:rPr>
        <w:t xml:space="preserve">, </w:t>
      </w:r>
      <w:r w:rsidR="00947792" w:rsidRPr="00813888">
        <w:rPr>
          <w:sz w:val="28"/>
          <w:szCs w:val="28"/>
        </w:rPr>
        <w:t>vengono individuate</w:t>
      </w:r>
      <w:r w:rsidR="00422F21">
        <w:rPr>
          <w:sz w:val="28"/>
          <w:szCs w:val="28"/>
        </w:rPr>
        <w:t xml:space="preserve">, </w:t>
      </w:r>
      <w:r w:rsidR="00947792" w:rsidRPr="00813888">
        <w:rPr>
          <w:sz w:val="28"/>
          <w:szCs w:val="28"/>
        </w:rPr>
        <w:t>a mo’ di decalogo</w:t>
      </w:r>
      <w:r w:rsidR="00422F21">
        <w:rPr>
          <w:sz w:val="28"/>
          <w:szCs w:val="28"/>
        </w:rPr>
        <w:t xml:space="preserve">, </w:t>
      </w:r>
      <w:r w:rsidR="000D431B" w:rsidRPr="00813888">
        <w:rPr>
          <w:sz w:val="28"/>
          <w:szCs w:val="28"/>
        </w:rPr>
        <w:t>altre situazioni non tipizzate</w:t>
      </w:r>
      <w:r w:rsidR="00601FE8" w:rsidRPr="00813888">
        <w:rPr>
          <w:sz w:val="28"/>
          <w:szCs w:val="28"/>
        </w:rPr>
        <w:t xml:space="preserve"> </w:t>
      </w:r>
      <w:r w:rsidR="000D431B" w:rsidRPr="00813888">
        <w:rPr>
          <w:sz w:val="28"/>
          <w:szCs w:val="28"/>
        </w:rPr>
        <w:t xml:space="preserve">ritenute </w:t>
      </w:r>
      <w:r w:rsidR="00947792" w:rsidRPr="00813888">
        <w:rPr>
          <w:sz w:val="28"/>
          <w:szCs w:val="28"/>
        </w:rPr>
        <w:t xml:space="preserve">spie, situazioni sintomatiche o </w:t>
      </w:r>
      <w:r w:rsidR="000D431B" w:rsidRPr="00813888">
        <w:rPr>
          <w:sz w:val="28"/>
          <w:szCs w:val="28"/>
        </w:rPr>
        <w:t>indizi del condizionamento mafioso</w:t>
      </w:r>
      <w:r w:rsidR="005C6FFC" w:rsidRPr="00813888">
        <w:rPr>
          <w:rStyle w:val="Rimandonotaapidipagina"/>
          <w:sz w:val="28"/>
          <w:szCs w:val="28"/>
        </w:rPr>
        <w:footnoteReference w:id="31"/>
      </w:r>
      <w:r w:rsidR="00112ACE" w:rsidRPr="00813888">
        <w:rPr>
          <w:sz w:val="28"/>
          <w:szCs w:val="28"/>
        </w:rPr>
        <w:t>.</w:t>
      </w:r>
      <w:r w:rsidR="00F2331D" w:rsidRPr="00813888">
        <w:rPr>
          <w:sz w:val="28"/>
          <w:szCs w:val="28"/>
        </w:rPr>
        <w:t xml:space="preserve"> </w:t>
      </w:r>
      <w:r w:rsidR="000D431B" w:rsidRPr="00813888">
        <w:rPr>
          <w:sz w:val="28"/>
          <w:szCs w:val="28"/>
        </w:rPr>
        <w:t>Queste situazioni indiziarie, individuate e codificate in via pretoria dalla giurisprudenza amministrativa, sviluppano e completano le indicazioni legislative e</w:t>
      </w:r>
      <w:r w:rsidR="00947792" w:rsidRPr="00813888">
        <w:rPr>
          <w:sz w:val="28"/>
          <w:szCs w:val="28"/>
        </w:rPr>
        <w:t xml:space="preserve"> aspirano a creare </w:t>
      </w:r>
      <w:r w:rsidR="000D431B" w:rsidRPr="00813888">
        <w:rPr>
          <w:sz w:val="28"/>
          <w:szCs w:val="28"/>
        </w:rPr>
        <w:t xml:space="preserve">un </w:t>
      </w:r>
      <w:r w:rsidR="00947792" w:rsidRPr="00813888">
        <w:rPr>
          <w:sz w:val="28"/>
          <w:szCs w:val="28"/>
        </w:rPr>
        <w:t xml:space="preserve">vero e proprio </w:t>
      </w:r>
      <w:r w:rsidR="000D431B" w:rsidRPr="00813888">
        <w:rPr>
          <w:sz w:val="28"/>
          <w:szCs w:val="28"/>
        </w:rPr>
        <w:t>sistema di tassatività sostanziale</w:t>
      </w:r>
      <w:r w:rsidR="00F27FC8" w:rsidRPr="00813888">
        <w:rPr>
          <w:sz w:val="28"/>
          <w:szCs w:val="28"/>
        </w:rPr>
        <w:t>, con la conseguenza che</w:t>
      </w:r>
      <w:r w:rsidR="009F0EFB" w:rsidRPr="00813888">
        <w:rPr>
          <w:sz w:val="28"/>
          <w:szCs w:val="28"/>
        </w:rPr>
        <w:t xml:space="preserve"> </w:t>
      </w:r>
      <w:r w:rsidR="003B30D3" w:rsidRPr="00813888">
        <w:rPr>
          <w:sz w:val="28"/>
          <w:szCs w:val="28"/>
        </w:rPr>
        <w:t xml:space="preserve">le condizioni in presenza delle quali un diritto costituzionalmente protetto può essere soggetto a limitazioni </w:t>
      </w:r>
      <w:r w:rsidR="00F27FC8" w:rsidRPr="00813888">
        <w:rPr>
          <w:sz w:val="28"/>
          <w:szCs w:val="28"/>
        </w:rPr>
        <w:t>si ritrovano in questo insieme di disposizioni normative e indicazioni giurisprudenziali</w:t>
      </w:r>
      <w:r w:rsidR="003B30D3" w:rsidRPr="00813888">
        <w:rPr>
          <w:rStyle w:val="Rimandonotaapidipagina"/>
          <w:sz w:val="28"/>
          <w:szCs w:val="28"/>
        </w:rPr>
        <w:footnoteReference w:id="32"/>
      </w:r>
      <w:r w:rsidR="003B30D3" w:rsidRPr="00813888">
        <w:rPr>
          <w:sz w:val="28"/>
          <w:szCs w:val="28"/>
        </w:rPr>
        <w:t>.</w:t>
      </w:r>
      <w:r w:rsidR="009F0EFB" w:rsidRPr="00813888">
        <w:rPr>
          <w:sz w:val="28"/>
          <w:szCs w:val="28"/>
        </w:rPr>
        <w:t xml:space="preserve"> </w:t>
      </w:r>
    </w:p>
    <w:p w14:paraId="47F1F35F" w14:textId="5A11A5BE" w:rsidR="00E32005" w:rsidRPr="00813888" w:rsidRDefault="00E32005" w:rsidP="00B06442">
      <w:pPr>
        <w:pStyle w:val="NormaleWeb"/>
        <w:ind w:firstLine="709"/>
        <w:jc w:val="both"/>
        <w:rPr>
          <w:sz w:val="28"/>
          <w:szCs w:val="28"/>
        </w:rPr>
      </w:pPr>
      <w:r w:rsidRPr="00813888">
        <w:rPr>
          <w:sz w:val="28"/>
          <w:szCs w:val="28"/>
        </w:rPr>
        <w:t>L</w:t>
      </w:r>
      <w:r w:rsidR="00112ACE" w:rsidRPr="00813888">
        <w:rPr>
          <w:sz w:val="28"/>
          <w:szCs w:val="28"/>
        </w:rPr>
        <w:t>a premessa</w:t>
      </w:r>
      <w:r w:rsidR="00991C2D" w:rsidRPr="00813888">
        <w:rPr>
          <w:sz w:val="28"/>
          <w:szCs w:val="28"/>
        </w:rPr>
        <w:t xml:space="preserve"> </w:t>
      </w:r>
      <w:r w:rsidR="003D7E3F" w:rsidRPr="00813888">
        <w:rPr>
          <w:sz w:val="28"/>
          <w:szCs w:val="28"/>
        </w:rPr>
        <w:t xml:space="preserve">legittimante </w:t>
      </w:r>
      <w:r w:rsidR="000D431B" w:rsidRPr="00813888">
        <w:rPr>
          <w:sz w:val="28"/>
          <w:szCs w:val="28"/>
        </w:rPr>
        <w:t>l</w:t>
      </w:r>
      <w:r w:rsidR="00422F21">
        <w:rPr>
          <w:sz w:val="28"/>
          <w:szCs w:val="28"/>
        </w:rPr>
        <w:t xml:space="preserve">a </w:t>
      </w:r>
      <w:proofErr w:type="spellStart"/>
      <w:r w:rsidR="000D431B" w:rsidRPr="00813888">
        <w:rPr>
          <w:sz w:val="28"/>
          <w:szCs w:val="28"/>
        </w:rPr>
        <w:t>tassativizza</w:t>
      </w:r>
      <w:r w:rsidR="00422F21">
        <w:rPr>
          <w:sz w:val="28"/>
          <w:szCs w:val="28"/>
        </w:rPr>
        <w:t>zione</w:t>
      </w:r>
      <w:proofErr w:type="spellEnd"/>
      <w:r w:rsidR="00112ACE" w:rsidRPr="00813888">
        <w:rPr>
          <w:sz w:val="28"/>
          <w:szCs w:val="28"/>
        </w:rPr>
        <w:t xml:space="preserve"> </w:t>
      </w:r>
      <w:r w:rsidRPr="00813888">
        <w:rPr>
          <w:sz w:val="28"/>
          <w:szCs w:val="28"/>
        </w:rPr>
        <w:t xml:space="preserve">di matrice </w:t>
      </w:r>
      <w:r w:rsidR="00112ACE" w:rsidRPr="00813888">
        <w:rPr>
          <w:sz w:val="28"/>
          <w:szCs w:val="28"/>
        </w:rPr>
        <w:t>giurisprudenz</w:t>
      </w:r>
      <w:r w:rsidRPr="00813888">
        <w:rPr>
          <w:sz w:val="28"/>
          <w:szCs w:val="28"/>
        </w:rPr>
        <w:t>i</w:t>
      </w:r>
      <w:r w:rsidR="00112ACE" w:rsidRPr="00813888">
        <w:rPr>
          <w:sz w:val="28"/>
          <w:szCs w:val="28"/>
        </w:rPr>
        <w:t>a</w:t>
      </w:r>
      <w:r w:rsidRPr="00813888">
        <w:rPr>
          <w:sz w:val="28"/>
          <w:szCs w:val="28"/>
        </w:rPr>
        <w:t xml:space="preserve">le </w:t>
      </w:r>
      <w:r w:rsidR="000D431B" w:rsidRPr="00813888">
        <w:rPr>
          <w:sz w:val="28"/>
          <w:szCs w:val="28"/>
        </w:rPr>
        <w:t xml:space="preserve">è stata precisata dalla Corte costituzionale </w:t>
      </w:r>
      <w:r w:rsidR="00601FE8" w:rsidRPr="00813888">
        <w:rPr>
          <w:sz w:val="28"/>
          <w:szCs w:val="28"/>
        </w:rPr>
        <w:t>nel momento in cui</w:t>
      </w:r>
      <w:r w:rsidR="000D431B" w:rsidRPr="00813888">
        <w:rPr>
          <w:sz w:val="28"/>
          <w:szCs w:val="28"/>
        </w:rPr>
        <w:t xml:space="preserve"> </w:t>
      </w:r>
      <w:r w:rsidR="00514DC3" w:rsidRPr="00813888">
        <w:rPr>
          <w:sz w:val="28"/>
          <w:szCs w:val="28"/>
        </w:rPr>
        <w:t>ha ritenuto infondate le censure sollevate in ordine all’incompatibilità d</w:t>
      </w:r>
      <w:r w:rsidR="003D7E3F" w:rsidRPr="00813888">
        <w:rPr>
          <w:sz w:val="28"/>
          <w:szCs w:val="28"/>
        </w:rPr>
        <w:t>i una</w:t>
      </w:r>
      <w:r w:rsidR="00514DC3" w:rsidRPr="00813888">
        <w:rPr>
          <w:sz w:val="28"/>
          <w:szCs w:val="28"/>
        </w:rPr>
        <w:t xml:space="preserve"> disciplina dell’informazione antimafia</w:t>
      </w:r>
      <w:r w:rsidR="00112ACE" w:rsidRPr="00813888">
        <w:rPr>
          <w:sz w:val="28"/>
          <w:szCs w:val="28"/>
        </w:rPr>
        <w:t xml:space="preserve"> composta di indicazioni legislative e di situazioni indiziarie pretori</w:t>
      </w:r>
      <w:r w:rsidR="003D7E3F" w:rsidRPr="00813888">
        <w:rPr>
          <w:sz w:val="28"/>
          <w:szCs w:val="28"/>
        </w:rPr>
        <w:t>e</w:t>
      </w:r>
      <w:r w:rsidR="00112ACE" w:rsidRPr="00813888">
        <w:rPr>
          <w:sz w:val="28"/>
          <w:szCs w:val="28"/>
        </w:rPr>
        <w:t xml:space="preserve"> </w:t>
      </w:r>
      <w:r w:rsidR="00514DC3" w:rsidRPr="00813888">
        <w:rPr>
          <w:sz w:val="28"/>
          <w:szCs w:val="28"/>
        </w:rPr>
        <w:t>c</w:t>
      </w:r>
      <w:r w:rsidR="00112ACE" w:rsidRPr="00813888">
        <w:rPr>
          <w:sz w:val="28"/>
          <w:szCs w:val="28"/>
        </w:rPr>
        <w:t>on il</w:t>
      </w:r>
      <w:r w:rsidR="00514DC3" w:rsidRPr="00813888">
        <w:rPr>
          <w:sz w:val="28"/>
          <w:szCs w:val="28"/>
        </w:rPr>
        <w:t xml:space="preserve"> principio di legalità sostanziale che presiede all’esercizio di ogni attività amministrativa</w:t>
      </w:r>
      <w:r w:rsidR="00112ACE" w:rsidRPr="00813888">
        <w:rPr>
          <w:rStyle w:val="Rimandonotaapidipagina"/>
          <w:sz w:val="28"/>
          <w:szCs w:val="28"/>
        </w:rPr>
        <w:footnoteReference w:id="33"/>
      </w:r>
      <w:r w:rsidR="00514DC3" w:rsidRPr="00813888">
        <w:rPr>
          <w:sz w:val="28"/>
          <w:szCs w:val="28"/>
        </w:rPr>
        <w:t xml:space="preserve">. </w:t>
      </w:r>
      <w:r w:rsidR="00330E22">
        <w:rPr>
          <w:sz w:val="28"/>
          <w:szCs w:val="28"/>
        </w:rPr>
        <w:t xml:space="preserve">Se costante è l’orientamento secondo cui </w:t>
      </w:r>
      <w:r w:rsidR="000D431B" w:rsidRPr="00813888">
        <w:rPr>
          <w:sz w:val="28"/>
          <w:szCs w:val="28"/>
        </w:rPr>
        <w:t>in ambito penale “l</w:t>
      </w:r>
      <w:r w:rsidR="003B30D3" w:rsidRPr="00813888">
        <w:rPr>
          <w:sz w:val="28"/>
          <w:szCs w:val="28"/>
        </w:rPr>
        <w:t>’</w:t>
      </w:r>
      <w:r w:rsidR="000D431B" w:rsidRPr="00813888">
        <w:rPr>
          <w:sz w:val="28"/>
          <w:szCs w:val="28"/>
        </w:rPr>
        <w:t>esistenza di interpretazioni giurisprudenziali costanti non vale a colmare l</w:t>
      </w:r>
      <w:r w:rsidR="003B30D3" w:rsidRPr="00813888">
        <w:rPr>
          <w:sz w:val="28"/>
          <w:szCs w:val="28"/>
        </w:rPr>
        <w:t>’</w:t>
      </w:r>
      <w:r w:rsidR="000D431B" w:rsidRPr="00813888">
        <w:rPr>
          <w:sz w:val="28"/>
          <w:szCs w:val="28"/>
        </w:rPr>
        <w:t>eventuale originaria carenza di precisione del precetto penale”</w:t>
      </w:r>
      <w:r w:rsidR="00601FE8" w:rsidRPr="00813888">
        <w:rPr>
          <w:sz w:val="28"/>
          <w:szCs w:val="28"/>
        </w:rPr>
        <w:t>, con la conseguenza che</w:t>
      </w:r>
      <w:r w:rsidR="003B30D3" w:rsidRPr="00813888">
        <w:rPr>
          <w:sz w:val="28"/>
          <w:szCs w:val="28"/>
        </w:rPr>
        <w:t xml:space="preserve"> lì</w:t>
      </w:r>
      <w:r w:rsidR="000D431B" w:rsidRPr="00813888">
        <w:rPr>
          <w:sz w:val="28"/>
          <w:szCs w:val="28"/>
        </w:rPr>
        <w:t xml:space="preserve"> l’interpretazione </w:t>
      </w:r>
      <w:proofErr w:type="spellStart"/>
      <w:r w:rsidR="000D431B" w:rsidRPr="00813888">
        <w:rPr>
          <w:sz w:val="28"/>
          <w:szCs w:val="28"/>
        </w:rPr>
        <w:t>tassativizzante</w:t>
      </w:r>
      <w:proofErr w:type="spellEnd"/>
      <w:r w:rsidR="000D431B" w:rsidRPr="00813888">
        <w:rPr>
          <w:sz w:val="28"/>
          <w:szCs w:val="28"/>
        </w:rPr>
        <w:t xml:space="preserve"> non ha diritto di cittadinanza</w:t>
      </w:r>
      <w:r w:rsidR="00330E22">
        <w:rPr>
          <w:rStyle w:val="Rimandonotaapidipagina"/>
          <w:sz w:val="28"/>
          <w:szCs w:val="28"/>
        </w:rPr>
        <w:footnoteReference w:id="34"/>
      </w:r>
      <w:r w:rsidR="00F2331D" w:rsidRPr="00813888">
        <w:rPr>
          <w:sz w:val="28"/>
          <w:szCs w:val="28"/>
        </w:rPr>
        <w:t>; i</w:t>
      </w:r>
      <w:r w:rsidR="003B30D3" w:rsidRPr="00813888">
        <w:rPr>
          <w:sz w:val="28"/>
          <w:szCs w:val="28"/>
        </w:rPr>
        <w:t xml:space="preserve">nvece, </w:t>
      </w:r>
      <w:r w:rsidR="000D431B" w:rsidRPr="00813888">
        <w:rPr>
          <w:sz w:val="28"/>
          <w:szCs w:val="28"/>
        </w:rPr>
        <w:t xml:space="preserve">al di fuori della materia penale e quindi </w:t>
      </w:r>
      <w:r w:rsidR="00330E22">
        <w:rPr>
          <w:sz w:val="28"/>
          <w:szCs w:val="28"/>
        </w:rPr>
        <w:t>nel</w:t>
      </w:r>
      <w:r w:rsidR="000D431B" w:rsidRPr="00813888">
        <w:rPr>
          <w:sz w:val="28"/>
          <w:szCs w:val="28"/>
        </w:rPr>
        <w:t xml:space="preserve"> contesto pubblicistico delle misure di prevenzione il dettato legislativo può ben essere precisato</w:t>
      </w:r>
      <w:r w:rsidR="003B30A1" w:rsidRPr="00813888">
        <w:rPr>
          <w:sz w:val="28"/>
          <w:szCs w:val="28"/>
        </w:rPr>
        <w:t xml:space="preserve"> e sufficientemente determinato</w:t>
      </w:r>
      <w:r w:rsidR="00601FE8" w:rsidRPr="00813888">
        <w:rPr>
          <w:sz w:val="28"/>
          <w:szCs w:val="28"/>
        </w:rPr>
        <w:t xml:space="preserve"> </w:t>
      </w:r>
      <w:r w:rsidR="003B30A1" w:rsidRPr="00813888">
        <w:rPr>
          <w:sz w:val="28"/>
          <w:szCs w:val="28"/>
        </w:rPr>
        <w:t xml:space="preserve">da una </w:t>
      </w:r>
      <w:r w:rsidR="000D431B" w:rsidRPr="00813888">
        <w:rPr>
          <w:sz w:val="28"/>
          <w:szCs w:val="28"/>
        </w:rPr>
        <w:t xml:space="preserve">giurisprudenza, </w:t>
      </w:r>
      <w:r w:rsidR="003B30D3" w:rsidRPr="00813888">
        <w:rPr>
          <w:sz w:val="28"/>
          <w:szCs w:val="28"/>
        </w:rPr>
        <w:t>“</w:t>
      </w:r>
      <w:r w:rsidR="000D431B" w:rsidRPr="00813888">
        <w:rPr>
          <w:sz w:val="28"/>
          <w:szCs w:val="28"/>
        </w:rPr>
        <w:t>costante e uniforme</w:t>
      </w:r>
      <w:r w:rsidR="003B30D3" w:rsidRPr="00813888">
        <w:rPr>
          <w:sz w:val="28"/>
          <w:szCs w:val="28"/>
        </w:rPr>
        <w:t>”</w:t>
      </w:r>
      <w:r w:rsidR="000D431B" w:rsidRPr="00813888">
        <w:rPr>
          <w:sz w:val="28"/>
          <w:szCs w:val="28"/>
        </w:rPr>
        <w:t>,</w:t>
      </w:r>
      <w:r w:rsidR="00601FE8" w:rsidRPr="00813888">
        <w:rPr>
          <w:sz w:val="28"/>
          <w:szCs w:val="28"/>
        </w:rPr>
        <w:t xml:space="preserve"> la quale si trova così</w:t>
      </w:r>
      <w:r w:rsidR="000D431B" w:rsidRPr="00813888">
        <w:rPr>
          <w:sz w:val="28"/>
          <w:szCs w:val="28"/>
        </w:rPr>
        <w:t xml:space="preserve"> ad esplicitare le condizioni in presenza delle quali può legittimamente limitarsi un diritto costituzionalmente protetto</w:t>
      </w:r>
      <w:r w:rsidR="00330E22">
        <w:rPr>
          <w:rStyle w:val="Rimandonotaapidipagina"/>
          <w:sz w:val="28"/>
          <w:szCs w:val="28"/>
        </w:rPr>
        <w:footnoteReference w:id="35"/>
      </w:r>
      <w:r w:rsidR="00E443D1" w:rsidRPr="00813888">
        <w:rPr>
          <w:sz w:val="28"/>
          <w:szCs w:val="28"/>
        </w:rPr>
        <w:t>.</w:t>
      </w:r>
      <w:r w:rsidR="00601FE8" w:rsidRPr="00813888">
        <w:rPr>
          <w:sz w:val="28"/>
          <w:szCs w:val="28"/>
        </w:rPr>
        <w:t xml:space="preserve"> </w:t>
      </w:r>
    </w:p>
    <w:p w14:paraId="4353FA3D" w14:textId="0BD0EF2C" w:rsidR="009F0EFB" w:rsidRPr="00813888" w:rsidRDefault="00674CB7" w:rsidP="00B06442">
      <w:pPr>
        <w:pStyle w:val="NormaleWeb"/>
        <w:ind w:firstLine="709"/>
        <w:jc w:val="both"/>
        <w:rPr>
          <w:sz w:val="28"/>
          <w:szCs w:val="28"/>
        </w:rPr>
      </w:pPr>
      <w:r w:rsidRPr="00813888">
        <w:rPr>
          <w:sz w:val="28"/>
          <w:szCs w:val="28"/>
        </w:rPr>
        <w:lastRenderedPageBreak/>
        <w:t xml:space="preserve">Si assiste dunque alla configurazione non tanto di un unico diritto </w:t>
      </w:r>
      <w:r w:rsidR="00CD39F6" w:rsidRPr="00813888">
        <w:rPr>
          <w:sz w:val="28"/>
          <w:szCs w:val="28"/>
        </w:rPr>
        <w:t>afflittivo in senso lato</w:t>
      </w:r>
      <w:r w:rsidRPr="00813888">
        <w:rPr>
          <w:sz w:val="28"/>
          <w:szCs w:val="28"/>
        </w:rPr>
        <w:t>, che accumun</w:t>
      </w:r>
      <w:r w:rsidR="003D7E3F" w:rsidRPr="00813888">
        <w:rPr>
          <w:sz w:val="28"/>
          <w:szCs w:val="28"/>
        </w:rPr>
        <w:t>erebbe</w:t>
      </w:r>
      <w:r w:rsidRPr="00813888">
        <w:rPr>
          <w:sz w:val="28"/>
          <w:szCs w:val="28"/>
        </w:rPr>
        <w:t xml:space="preserve"> diritto penale e diritto amministrativo sanzionatorio, sulla base dei noti criteri </w:t>
      </w:r>
      <w:r w:rsidRPr="00330E22">
        <w:rPr>
          <w:i/>
          <w:iCs/>
          <w:sz w:val="28"/>
          <w:szCs w:val="28"/>
        </w:rPr>
        <w:t>Engel</w:t>
      </w:r>
      <w:r w:rsidR="00330E22" w:rsidRPr="00813888">
        <w:rPr>
          <w:rStyle w:val="Rimandonotaapidipagina"/>
          <w:sz w:val="28"/>
          <w:szCs w:val="28"/>
        </w:rPr>
        <w:footnoteReference w:id="36"/>
      </w:r>
      <w:r w:rsidRPr="00813888">
        <w:rPr>
          <w:sz w:val="28"/>
          <w:szCs w:val="28"/>
        </w:rPr>
        <w:t>, quanto piuttosto di una inedita legalità giurisprudenziale, che trova cittadinanza nel solo diritto amministrativo.</w:t>
      </w:r>
      <w:r w:rsidR="00E32005" w:rsidRPr="00813888">
        <w:rPr>
          <w:sz w:val="28"/>
          <w:szCs w:val="28"/>
        </w:rPr>
        <w:t xml:space="preserve"> </w:t>
      </w:r>
      <w:r w:rsidR="00601FE8" w:rsidRPr="00813888">
        <w:rPr>
          <w:sz w:val="28"/>
          <w:szCs w:val="28"/>
        </w:rPr>
        <w:t>La dottrina ha espresso</w:t>
      </w:r>
      <w:r w:rsidR="00E443D1" w:rsidRPr="00813888">
        <w:rPr>
          <w:sz w:val="28"/>
          <w:szCs w:val="28"/>
        </w:rPr>
        <w:t xml:space="preserve"> perplessità </w:t>
      </w:r>
      <w:r w:rsidR="00CF6A67" w:rsidRPr="00813888">
        <w:rPr>
          <w:sz w:val="28"/>
          <w:szCs w:val="28"/>
        </w:rPr>
        <w:t xml:space="preserve">sia </w:t>
      </w:r>
      <w:r w:rsidR="0073050E" w:rsidRPr="00813888">
        <w:rPr>
          <w:sz w:val="28"/>
          <w:szCs w:val="28"/>
        </w:rPr>
        <w:t>su</w:t>
      </w:r>
      <w:r w:rsidR="00E443D1" w:rsidRPr="00813888">
        <w:rPr>
          <w:sz w:val="28"/>
          <w:szCs w:val="28"/>
        </w:rPr>
        <w:t>lla compatibilità costituzionale e convenzionale di un sistema</w:t>
      </w:r>
      <w:r w:rsidR="00514DC3" w:rsidRPr="00813888">
        <w:rPr>
          <w:sz w:val="28"/>
          <w:szCs w:val="28"/>
        </w:rPr>
        <w:t xml:space="preserve"> </w:t>
      </w:r>
      <w:r w:rsidR="00300023" w:rsidRPr="00813888">
        <w:rPr>
          <w:sz w:val="28"/>
          <w:szCs w:val="28"/>
        </w:rPr>
        <w:t>in cui una tipizzazione giurisprudenziale</w:t>
      </w:r>
      <w:r w:rsidR="003F082C" w:rsidRPr="00813888">
        <w:rPr>
          <w:sz w:val="28"/>
          <w:szCs w:val="28"/>
        </w:rPr>
        <w:t xml:space="preserve"> </w:t>
      </w:r>
      <w:r w:rsidR="00300023" w:rsidRPr="00813888">
        <w:rPr>
          <w:sz w:val="28"/>
          <w:szCs w:val="28"/>
        </w:rPr>
        <w:t>dovrebbe assicurare la tassatività sostanziale</w:t>
      </w:r>
      <w:r w:rsidR="00601FE8" w:rsidRPr="00813888">
        <w:rPr>
          <w:sz w:val="28"/>
          <w:szCs w:val="28"/>
        </w:rPr>
        <w:t xml:space="preserve"> </w:t>
      </w:r>
      <w:r w:rsidR="00300023" w:rsidRPr="00813888">
        <w:rPr>
          <w:sz w:val="28"/>
          <w:szCs w:val="28"/>
        </w:rPr>
        <w:t xml:space="preserve">nel caso di </w:t>
      </w:r>
      <w:r w:rsidR="00E443D1" w:rsidRPr="00813888">
        <w:rPr>
          <w:sz w:val="28"/>
          <w:szCs w:val="28"/>
        </w:rPr>
        <w:t>applicazione di misur</w:t>
      </w:r>
      <w:r w:rsidR="00300023" w:rsidRPr="00813888">
        <w:rPr>
          <w:sz w:val="28"/>
          <w:szCs w:val="28"/>
        </w:rPr>
        <w:t>e</w:t>
      </w:r>
      <w:r w:rsidR="00E443D1" w:rsidRPr="00813888">
        <w:rPr>
          <w:sz w:val="28"/>
          <w:szCs w:val="28"/>
        </w:rPr>
        <w:t xml:space="preserve"> in grado di produrre </w:t>
      </w:r>
      <w:r w:rsidR="0073050E" w:rsidRPr="00813888">
        <w:rPr>
          <w:sz w:val="28"/>
          <w:szCs w:val="28"/>
        </w:rPr>
        <w:t>pesanti</w:t>
      </w:r>
      <w:r w:rsidR="00E443D1" w:rsidRPr="00813888">
        <w:rPr>
          <w:sz w:val="28"/>
          <w:szCs w:val="28"/>
        </w:rPr>
        <w:t xml:space="preserve"> effetti restrittivi sulle sfere giuridiche dei destinatari, </w:t>
      </w:r>
      <w:r w:rsidR="00493DBA" w:rsidRPr="00813888">
        <w:rPr>
          <w:sz w:val="28"/>
          <w:szCs w:val="28"/>
        </w:rPr>
        <w:t xml:space="preserve">sia </w:t>
      </w:r>
      <w:r w:rsidR="0073050E" w:rsidRPr="00813888">
        <w:rPr>
          <w:sz w:val="28"/>
          <w:szCs w:val="28"/>
        </w:rPr>
        <w:t>su</w:t>
      </w:r>
      <w:r w:rsidR="00300023" w:rsidRPr="00813888">
        <w:rPr>
          <w:sz w:val="28"/>
          <w:szCs w:val="28"/>
        </w:rPr>
        <w:t xml:space="preserve">lla difficoltà di individuare in materia una giurisprudenza </w:t>
      </w:r>
      <w:r w:rsidR="009F49B7" w:rsidRPr="00813888">
        <w:rPr>
          <w:sz w:val="28"/>
          <w:szCs w:val="28"/>
        </w:rPr>
        <w:t>“</w:t>
      </w:r>
      <w:r w:rsidR="00300023" w:rsidRPr="00813888">
        <w:rPr>
          <w:sz w:val="28"/>
          <w:szCs w:val="28"/>
        </w:rPr>
        <w:t>costante e uniforme</w:t>
      </w:r>
      <w:r w:rsidR="009F49B7" w:rsidRPr="00813888">
        <w:rPr>
          <w:sz w:val="28"/>
          <w:szCs w:val="28"/>
        </w:rPr>
        <w:t>”</w:t>
      </w:r>
      <w:r w:rsidR="000D46C1" w:rsidRPr="00813888">
        <w:rPr>
          <w:sz w:val="28"/>
          <w:szCs w:val="28"/>
        </w:rPr>
        <w:t xml:space="preserve"> in tema di interpretazione di disposizioni legislative “caratterizzante dall’uso di clausole generali, o comunque da formule connotate in origine da un certo grado di imprecisione”</w:t>
      </w:r>
      <w:r w:rsidR="009F49B7" w:rsidRPr="00813888">
        <w:rPr>
          <w:rStyle w:val="Rimandonotaapidipagina"/>
          <w:sz w:val="28"/>
          <w:szCs w:val="28"/>
        </w:rPr>
        <w:footnoteReference w:id="37"/>
      </w:r>
      <w:r w:rsidR="003D7E3F" w:rsidRPr="00813888">
        <w:rPr>
          <w:sz w:val="28"/>
          <w:szCs w:val="28"/>
        </w:rPr>
        <w:t xml:space="preserve">; ciò in ragione dell’esistenza di </w:t>
      </w:r>
      <w:r w:rsidR="00300023" w:rsidRPr="00813888">
        <w:rPr>
          <w:sz w:val="28"/>
          <w:szCs w:val="28"/>
        </w:rPr>
        <w:t xml:space="preserve">oscillazioni e contrasti, </w:t>
      </w:r>
      <w:r w:rsidR="00601FE8" w:rsidRPr="00813888">
        <w:rPr>
          <w:sz w:val="28"/>
          <w:szCs w:val="28"/>
        </w:rPr>
        <w:t>come testimoniato dalla vivace dialettica in materia</w:t>
      </w:r>
      <w:r w:rsidR="00300023" w:rsidRPr="00813888">
        <w:rPr>
          <w:sz w:val="28"/>
          <w:szCs w:val="28"/>
        </w:rPr>
        <w:t xml:space="preserve"> tra </w:t>
      </w:r>
      <w:r w:rsidR="00601FE8" w:rsidRPr="00813888">
        <w:rPr>
          <w:sz w:val="28"/>
          <w:szCs w:val="28"/>
        </w:rPr>
        <w:t xml:space="preserve">il </w:t>
      </w:r>
      <w:r w:rsidR="00300023" w:rsidRPr="00813888">
        <w:rPr>
          <w:sz w:val="28"/>
          <w:szCs w:val="28"/>
        </w:rPr>
        <w:t xml:space="preserve">Consiglio di Stato e </w:t>
      </w:r>
      <w:r w:rsidR="00601FE8" w:rsidRPr="00813888">
        <w:rPr>
          <w:sz w:val="28"/>
          <w:szCs w:val="28"/>
        </w:rPr>
        <w:t xml:space="preserve">il </w:t>
      </w:r>
      <w:r w:rsidR="00300023" w:rsidRPr="00813888">
        <w:rPr>
          <w:sz w:val="28"/>
          <w:szCs w:val="28"/>
        </w:rPr>
        <w:t xml:space="preserve">Consiglio per la giustizia amministrativa della </w:t>
      </w:r>
      <w:r w:rsidR="00601FE8" w:rsidRPr="00813888">
        <w:rPr>
          <w:sz w:val="28"/>
          <w:szCs w:val="28"/>
        </w:rPr>
        <w:t>R</w:t>
      </w:r>
      <w:r w:rsidR="00300023" w:rsidRPr="00813888">
        <w:rPr>
          <w:sz w:val="28"/>
          <w:szCs w:val="28"/>
        </w:rPr>
        <w:t xml:space="preserve">egione </w:t>
      </w:r>
      <w:r w:rsidR="005B00CF" w:rsidRPr="00813888">
        <w:rPr>
          <w:sz w:val="28"/>
          <w:szCs w:val="28"/>
        </w:rPr>
        <w:t>S</w:t>
      </w:r>
      <w:r w:rsidR="00300023" w:rsidRPr="00813888">
        <w:rPr>
          <w:sz w:val="28"/>
          <w:szCs w:val="28"/>
        </w:rPr>
        <w:t>icilia.</w:t>
      </w:r>
      <w:r w:rsidR="009F49B7" w:rsidRPr="00813888">
        <w:rPr>
          <w:sz w:val="28"/>
          <w:szCs w:val="28"/>
        </w:rPr>
        <w:t xml:space="preserve"> </w:t>
      </w:r>
      <w:r w:rsidR="007B507D" w:rsidRPr="00813888">
        <w:rPr>
          <w:sz w:val="28"/>
          <w:szCs w:val="28"/>
        </w:rPr>
        <w:t xml:space="preserve">I due motivi di perplessità </w:t>
      </w:r>
      <w:r w:rsidR="003D7E3F" w:rsidRPr="00813888">
        <w:rPr>
          <w:sz w:val="28"/>
          <w:szCs w:val="28"/>
        </w:rPr>
        <w:t>appena precisati risultano</w:t>
      </w:r>
      <w:r w:rsidR="007B507D" w:rsidRPr="00813888">
        <w:rPr>
          <w:sz w:val="28"/>
          <w:szCs w:val="28"/>
        </w:rPr>
        <w:t xml:space="preserve"> tra loro strettamente intrecciati, se si considera che la giurisprudenza del </w:t>
      </w:r>
      <w:r w:rsidR="007B507D" w:rsidRPr="00813888">
        <w:rPr>
          <w:sz w:val="28"/>
          <w:szCs w:val="28"/>
        </w:rPr>
        <w:t>Consiglio per la giustizia amministrativa della Regione Sicilia</w:t>
      </w:r>
      <w:r w:rsidR="009F49B7" w:rsidRPr="00813888">
        <w:rPr>
          <w:sz w:val="28"/>
          <w:szCs w:val="28"/>
        </w:rPr>
        <w:t xml:space="preserve"> </w:t>
      </w:r>
      <w:r w:rsidR="007B507D" w:rsidRPr="00813888">
        <w:rPr>
          <w:sz w:val="28"/>
          <w:szCs w:val="28"/>
        </w:rPr>
        <w:t xml:space="preserve">tende a fornire una lettura </w:t>
      </w:r>
      <w:r w:rsidR="003D7E3F" w:rsidRPr="00813888">
        <w:rPr>
          <w:sz w:val="28"/>
          <w:szCs w:val="28"/>
        </w:rPr>
        <w:t xml:space="preserve">maggiormente </w:t>
      </w:r>
      <w:r w:rsidR="007B507D" w:rsidRPr="00813888">
        <w:rPr>
          <w:sz w:val="28"/>
          <w:szCs w:val="28"/>
        </w:rPr>
        <w:t>incline a valorizzare la dimensione sanzionatoria delle misure amministrative</w:t>
      </w:r>
      <w:r w:rsidR="003D7E3F" w:rsidRPr="00813888">
        <w:rPr>
          <w:sz w:val="28"/>
          <w:szCs w:val="28"/>
        </w:rPr>
        <w:t xml:space="preserve"> rispetto a quella preventiva</w:t>
      </w:r>
      <w:r w:rsidR="007B507D" w:rsidRPr="00813888">
        <w:rPr>
          <w:sz w:val="28"/>
          <w:szCs w:val="28"/>
        </w:rPr>
        <w:t>, sulla falsariga del giudice convenzionale, affermando a chiare lettere che i provvedimenti in questione “</w:t>
      </w:r>
      <w:r w:rsidR="009F0EFB" w:rsidRPr="00813888">
        <w:rPr>
          <w:color w:val="000000"/>
          <w:sz w:val="28"/>
          <w:szCs w:val="28"/>
        </w:rPr>
        <w:t>impattano</w:t>
      </w:r>
      <w:r w:rsidR="007B507D" w:rsidRPr="00813888">
        <w:rPr>
          <w:color w:val="000000"/>
          <w:sz w:val="28"/>
          <w:szCs w:val="28"/>
        </w:rPr>
        <w:t xml:space="preserve"> …</w:t>
      </w:r>
      <w:r w:rsidR="009F0EFB" w:rsidRPr="00813888">
        <w:rPr>
          <w:color w:val="000000"/>
          <w:sz w:val="28"/>
          <w:szCs w:val="28"/>
        </w:rPr>
        <w:t xml:space="preserve"> con </w:t>
      </w:r>
      <w:r w:rsidR="009F0EFB" w:rsidRPr="00813888">
        <w:rPr>
          <w:sz w:val="28"/>
          <w:szCs w:val="28"/>
        </w:rPr>
        <w:t>diritti fondamentali che spettano a tutti</w:t>
      </w:r>
      <w:r w:rsidR="007B507D" w:rsidRPr="00813888">
        <w:rPr>
          <w:color w:val="000000"/>
          <w:sz w:val="28"/>
          <w:szCs w:val="28"/>
        </w:rPr>
        <w:t xml:space="preserve"> …</w:t>
      </w:r>
      <w:r w:rsidR="009F0EFB" w:rsidRPr="00813888">
        <w:rPr>
          <w:color w:val="000000"/>
          <w:sz w:val="28"/>
          <w:szCs w:val="28"/>
        </w:rPr>
        <w:t xml:space="preserve"> e producono a volte effetti devastanti di gran lunga più gravi delle sentenze penali”</w:t>
      </w:r>
      <w:r w:rsidR="007B507D" w:rsidRPr="00813888">
        <w:rPr>
          <w:rStyle w:val="Rimandonotaapidipagina"/>
          <w:color w:val="000000"/>
          <w:sz w:val="28"/>
          <w:szCs w:val="28"/>
        </w:rPr>
        <w:footnoteReference w:id="38"/>
      </w:r>
      <w:r w:rsidR="007B507D" w:rsidRPr="00813888">
        <w:rPr>
          <w:color w:val="000000"/>
          <w:sz w:val="28"/>
          <w:szCs w:val="28"/>
        </w:rPr>
        <w:t>.</w:t>
      </w:r>
    </w:p>
    <w:p w14:paraId="3444C09F" w14:textId="2016DC08" w:rsidR="00C900D8" w:rsidRPr="00813888" w:rsidRDefault="00330E22" w:rsidP="00B06442">
      <w:pPr>
        <w:pStyle w:val="NormaleWeb"/>
        <w:ind w:firstLine="709"/>
        <w:jc w:val="both"/>
        <w:rPr>
          <w:color w:val="000000" w:themeColor="text1"/>
          <w:sz w:val="28"/>
          <w:szCs w:val="28"/>
        </w:rPr>
      </w:pPr>
      <w:r>
        <w:rPr>
          <w:sz w:val="28"/>
          <w:szCs w:val="28"/>
        </w:rPr>
        <w:t>L</w:t>
      </w:r>
      <w:r w:rsidR="00EB363D" w:rsidRPr="00813888">
        <w:rPr>
          <w:sz w:val="28"/>
          <w:szCs w:val="28"/>
        </w:rPr>
        <w:t xml:space="preserve">e criticità </w:t>
      </w:r>
      <w:r w:rsidR="00F2331D" w:rsidRPr="00813888">
        <w:rPr>
          <w:sz w:val="28"/>
          <w:szCs w:val="28"/>
        </w:rPr>
        <w:t xml:space="preserve">appena </w:t>
      </w:r>
      <w:r w:rsidR="00EB363D" w:rsidRPr="00813888">
        <w:rPr>
          <w:sz w:val="28"/>
          <w:szCs w:val="28"/>
        </w:rPr>
        <w:t xml:space="preserve">menzionate </w:t>
      </w:r>
      <w:r>
        <w:rPr>
          <w:sz w:val="28"/>
          <w:szCs w:val="28"/>
        </w:rPr>
        <w:t xml:space="preserve">possono essere attenuate da </w:t>
      </w:r>
      <w:r w:rsidR="00EB363D" w:rsidRPr="00813888">
        <w:rPr>
          <w:sz w:val="28"/>
          <w:szCs w:val="28"/>
        </w:rPr>
        <w:t xml:space="preserve">un’altra </w:t>
      </w:r>
      <w:r w:rsidR="007B507D" w:rsidRPr="00813888">
        <w:rPr>
          <w:sz w:val="28"/>
          <w:szCs w:val="28"/>
        </w:rPr>
        <w:t xml:space="preserve">tipologia di </w:t>
      </w:r>
      <w:r w:rsidR="00EB363D" w:rsidRPr="00813888">
        <w:rPr>
          <w:sz w:val="28"/>
          <w:szCs w:val="28"/>
        </w:rPr>
        <w:t xml:space="preserve">tassatività, e cioè </w:t>
      </w:r>
      <w:r>
        <w:rPr>
          <w:sz w:val="28"/>
          <w:szCs w:val="28"/>
        </w:rPr>
        <w:t>da</w:t>
      </w:r>
      <w:r w:rsidR="007B507D" w:rsidRPr="00813888">
        <w:rPr>
          <w:sz w:val="28"/>
          <w:szCs w:val="28"/>
        </w:rPr>
        <w:t>lla</w:t>
      </w:r>
      <w:r w:rsidR="00EB363D" w:rsidRPr="00813888">
        <w:rPr>
          <w:sz w:val="28"/>
          <w:szCs w:val="28"/>
        </w:rPr>
        <w:t xml:space="preserve"> tassatività processuale.</w:t>
      </w:r>
      <w:r w:rsidR="00CF6A67" w:rsidRPr="00813888">
        <w:rPr>
          <w:sz w:val="28"/>
          <w:szCs w:val="28"/>
        </w:rPr>
        <w:t xml:space="preserve"> </w:t>
      </w:r>
      <w:r w:rsidR="00EB363D" w:rsidRPr="00813888">
        <w:rPr>
          <w:sz w:val="28"/>
          <w:szCs w:val="28"/>
        </w:rPr>
        <w:t xml:space="preserve">Se </w:t>
      </w:r>
      <w:r w:rsidR="00645536" w:rsidRPr="00813888">
        <w:rPr>
          <w:sz w:val="28"/>
          <w:szCs w:val="28"/>
        </w:rPr>
        <w:t>la tassatività sostanziale</w:t>
      </w:r>
      <w:r w:rsidR="00EB363D" w:rsidRPr="00813888">
        <w:rPr>
          <w:sz w:val="28"/>
          <w:szCs w:val="28"/>
        </w:rPr>
        <w:t xml:space="preserve"> è </w:t>
      </w:r>
      <w:r w:rsidR="00645536" w:rsidRPr="00813888">
        <w:rPr>
          <w:sz w:val="28"/>
          <w:szCs w:val="28"/>
        </w:rPr>
        <w:t>relativa alla garanzia di precisione, determinatezza e prevedibilità</w:t>
      </w:r>
      <w:r w:rsidR="006C65A8" w:rsidRPr="00813888">
        <w:rPr>
          <w:sz w:val="28"/>
          <w:szCs w:val="28"/>
        </w:rPr>
        <w:t>,</w:t>
      </w:r>
      <w:r w:rsidR="00EB363D" w:rsidRPr="00813888">
        <w:rPr>
          <w:sz w:val="28"/>
          <w:szCs w:val="28"/>
        </w:rPr>
        <w:t xml:space="preserve"> </w:t>
      </w:r>
      <w:r w:rsidR="00645536" w:rsidRPr="00813888">
        <w:rPr>
          <w:sz w:val="28"/>
          <w:szCs w:val="28"/>
        </w:rPr>
        <w:t>la tassatività processuale</w:t>
      </w:r>
      <w:r w:rsidR="006C65A8" w:rsidRPr="00813888">
        <w:rPr>
          <w:sz w:val="28"/>
          <w:szCs w:val="28"/>
        </w:rPr>
        <w:t xml:space="preserve"> </w:t>
      </w:r>
      <w:r w:rsidR="00645536" w:rsidRPr="00813888">
        <w:rPr>
          <w:sz w:val="28"/>
          <w:szCs w:val="28"/>
        </w:rPr>
        <w:t>concerne le modalità di accertamento probatorio in giudizio</w:t>
      </w:r>
      <w:r w:rsidR="00EB363D" w:rsidRPr="00813888">
        <w:rPr>
          <w:sz w:val="28"/>
          <w:szCs w:val="28"/>
        </w:rPr>
        <w:t xml:space="preserve"> e quindi lo standard probatorio richiesto per reputare sussistente il pericolo di infiltrazione </w:t>
      </w:r>
      <w:r w:rsidR="00592A8D" w:rsidRPr="00813888">
        <w:rPr>
          <w:sz w:val="28"/>
          <w:szCs w:val="28"/>
        </w:rPr>
        <w:t>mafiosa</w:t>
      </w:r>
      <w:r w:rsidR="00645536" w:rsidRPr="00813888">
        <w:rPr>
          <w:sz w:val="28"/>
          <w:szCs w:val="28"/>
        </w:rPr>
        <w:t>.</w:t>
      </w:r>
      <w:r w:rsidR="006C65A8" w:rsidRPr="00813888">
        <w:rPr>
          <w:sz w:val="28"/>
          <w:szCs w:val="28"/>
        </w:rPr>
        <w:t xml:space="preserve"> </w:t>
      </w:r>
      <w:r w:rsidR="00645536" w:rsidRPr="00813888">
        <w:rPr>
          <w:sz w:val="28"/>
          <w:szCs w:val="28"/>
        </w:rPr>
        <w:t>Ciò conduce al cuore del problema delle clausole generali</w:t>
      </w:r>
      <w:r w:rsidR="003D7E3F" w:rsidRPr="00813888">
        <w:rPr>
          <w:sz w:val="28"/>
          <w:szCs w:val="28"/>
        </w:rPr>
        <w:t xml:space="preserve"> dato da quella </w:t>
      </w:r>
      <w:r w:rsidR="00493DBA" w:rsidRPr="00813888">
        <w:rPr>
          <w:sz w:val="28"/>
          <w:szCs w:val="28"/>
        </w:rPr>
        <w:t xml:space="preserve">“spirale ermeneutica tra fatto e diritto” </w:t>
      </w:r>
      <w:r w:rsidR="00592A8D" w:rsidRPr="00813888">
        <w:rPr>
          <w:sz w:val="28"/>
          <w:szCs w:val="28"/>
        </w:rPr>
        <w:t>che avvolge come un vortice l’interprete</w:t>
      </w:r>
      <w:r w:rsidR="00592A8D" w:rsidRPr="00813888">
        <w:rPr>
          <w:rStyle w:val="Rimandonotaapidipagina"/>
          <w:sz w:val="28"/>
          <w:szCs w:val="28"/>
        </w:rPr>
        <w:footnoteReference w:id="39"/>
      </w:r>
      <w:r w:rsidR="00493DBA" w:rsidRPr="00813888">
        <w:rPr>
          <w:color w:val="000000" w:themeColor="text1"/>
          <w:sz w:val="28"/>
          <w:szCs w:val="28"/>
        </w:rPr>
        <w:t>.</w:t>
      </w:r>
    </w:p>
    <w:p w14:paraId="42FE83A8" w14:textId="1AC7CEAF" w:rsidR="00F2331D" w:rsidRPr="00813888" w:rsidRDefault="00E32005" w:rsidP="00B06442">
      <w:pPr>
        <w:pStyle w:val="NormaleWeb"/>
        <w:ind w:firstLine="709"/>
        <w:jc w:val="both"/>
        <w:rPr>
          <w:sz w:val="28"/>
          <w:szCs w:val="28"/>
        </w:rPr>
      </w:pPr>
      <w:r w:rsidRPr="00813888">
        <w:rPr>
          <w:sz w:val="28"/>
          <w:szCs w:val="28"/>
        </w:rPr>
        <w:t>Di regola i</w:t>
      </w:r>
      <w:r w:rsidRPr="00813888">
        <w:rPr>
          <w:sz w:val="28"/>
          <w:szCs w:val="28"/>
        </w:rPr>
        <w:t>l rischio di condizionamento mafioso viene valutato in base al criterio del “più probabile che non”</w:t>
      </w:r>
      <w:r w:rsidR="00813888">
        <w:rPr>
          <w:sz w:val="28"/>
          <w:szCs w:val="28"/>
        </w:rPr>
        <w:t xml:space="preserve"> </w:t>
      </w:r>
      <w:r w:rsidRPr="00813888">
        <w:rPr>
          <w:sz w:val="28"/>
          <w:szCs w:val="28"/>
        </w:rPr>
        <w:t>e non del criterio, rispondente alla logica penalistica, della “certezza probatoria raggiunta al di là del ragionevole dubbio”</w:t>
      </w:r>
      <w:r w:rsidRPr="00813888">
        <w:rPr>
          <w:rStyle w:val="Rimandonotaapidipagina"/>
          <w:sz w:val="28"/>
          <w:szCs w:val="28"/>
        </w:rPr>
        <w:footnoteReference w:id="40"/>
      </w:r>
      <w:r w:rsidRPr="00813888">
        <w:rPr>
          <w:sz w:val="28"/>
          <w:szCs w:val="28"/>
        </w:rPr>
        <w:t xml:space="preserve">. La giurisprudenza ritiene infatti che quest’ultimo criterio </w:t>
      </w:r>
      <w:r w:rsidR="007C5868">
        <w:rPr>
          <w:sz w:val="28"/>
          <w:szCs w:val="28"/>
        </w:rPr>
        <w:t>si debba applicare</w:t>
      </w:r>
      <w:r w:rsidRPr="00813888">
        <w:rPr>
          <w:sz w:val="28"/>
          <w:szCs w:val="28"/>
        </w:rPr>
        <w:t xml:space="preserve"> unicamente nel diritto penale, </w:t>
      </w:r>
      <w:r w:rsidRPr="00813888">
        <w:rPr>
          <w:sz w:val="28"/>
          <w:szCs w:val="28"/>
        </w:rPr>
        <w:lastRenderedPageBreak/>
        <w:t>in cui viene in gioco la libertà personale dell’imputato, e non nel diritto amministrativo, che riguarda la legittimità del provvedimento interdittivo antimafia, ispirato alla diversa logica preventiva</w:t>
      </w:r>
      <w:r w:rsidRPr="00813888">
        <w:rPr>
          <w:rStyle w:val="Rimandonotaapidipagina"/>
          <w:sz w:val="28"/>
          <w:szCs w:val="28"/>
        </w:rPr>
        <w:footnoteReference w:id="41"/>
      </w:r>
      <w:r w:rsidRPr="00813888">
        <w:rPr>
          <w:sz w:val="28"/>
          <w:szCs w:val="28"/>
        </w:rPr>
        <w:t>.</w:t>
      </w:r>
      <w:r w:rsidR="003D7E3F" w:rsidRPr="00813888">
        <w:rPr>
          <w:sz w:val="28"/>
          <w:szCs w:val="28"/>
        </w:rPr>
        <w:t xml:space="preserve"> Torna qui il presupposto sottostante all’intera impostazione data alla problematica dell’interpretazione delle clausole generali nella disciplina delle informazioni antimafia: la misura amministrativa </w:t>
      </w:r>
      <w:r w:rsidR="00D43992" w:rsidRPr="00813888">
        <w:rPr>
          <w:sz w:val="28"/>
          <w:szCs w:val="28"/>
        </w:rPr>
        <w:t xml:space="preserve">avrebbe una funzione </w:t>
      </w:r>
      <w:r w:rsidR="003D7E3F" w:rsidRPr="00813888">
        <w:rPr>
          <w:sz w:val="28"/>
          <w:szCs w:val="28"/>
        </w:rPr>
        <w:t xml:space="preserve">preventiva e non sanzionatoria, a dispetto del suo contenuto </w:t>
      </w:r>
      <w:r w:rsidR="00D43992" w:rsidRPr="00813888">
        <w:rPr>
          <w:sz w:val="28"/>
          <w:szCs w:val="28"/>
        </w:rPr>
        <w:t xml:space="preserve">realmente </w:t>
      </w:r>
      <w:r w:rsidR="003D7E3F" w:rsidRPr="00813888">
        <w:rPr>
          <w:sz w:val="28"/>
          <w:szCs w:val="28"/>
        </w:rPr>
        <w:t>afflittiv</w:t>
      </w:r>
      <w:r w:rsidR="00D43992" w:rsidRPr="00813888">
        <w:rPr>
          <w:sz w:val="28"/>
          <w:szCs w:val="28"/>
        </w:rPr>
        <w:t xml:space="preserve">o, con la conseguenza che non solo il dettato normativo può essere progressivamente precisato dalla giurisprudenza, a differenza di quanto accade nel diritto penale, ma anche </w:t>
      </w:r>
      <w:r w:rsidR="007C5868">
        <w:rPr>
          <w:sz w:val="28"/>
          <w:szCs w:val="28"/>
        </w:rPr>
        <w:t xml:space="preserve">che </w:t>
      </w:r>
      <w:r w:rsidR="00D43992" w:rsidRPr="00813888">
        <w:rPr>
          <w:sz w:val="28"/>
          <w:szCs w:val="28"/>
        </w:rPr>
        <w:t>i criteri probatori siano differenti da quelli vigenti in ambito punitivo</w:t>
      </w:r>
      <w:r w:rsidR="00F2331D" w:rsidRPr="00813888">
        <w:rPr>
          <w:rStyle w:val="Rimandonotaapidipagina"/>
          <w:sz w:val="28"/>
          <w:szCs w:val="28"/>
        </w:rPr>
        <w:footnoteReference w:id="42"/>
      </w:r>
      <w:r w:rsidR="00F2331D" w:rsidRPr="00813888">
        <w:rPr>
          <w:sz w:val="28"/>
          <w:szCs w:val="28"/>
        </w:rPr>
        <w:t>.</w:t>
      </w:r>
    </w:p>
    <w:p w14:paraId="46777863" w14:textId="724E8F02" w:rsidR="00A4743C" w:rsidRPr="00813888" w:rsidRDefault="00D43992" w:rsidP="00B06442">
      <w:pPr>
        <w:pStyle w:val="NormaleWeb"/>
        <w:ind w:firstLine="709"/>
        <w:jc w:val="both"/>
        <w:rPr>
          <w:rFonts w:eastAsia="Garamond  (simoncini)"/>
          <w:sz w:val="28"/>
          <w:szCs w:val="28"/>
        </w:rPr>
      </w:pPr>
      <w:r w:rsidRPr="00813888">
        <w:rPr>
          <w:sz w:val="28"/>
          <w:szCs w:val="28"/>
        </w:rPr>
        <w:t>Tuttavia,</w:t>
      </w:r>
      <w:r w:rsidR="00A4743C" w:rsidRPr="00813888">
        <w:rPr>
          <w:sz w:val="28"/>
          <w:szCs w:val="28"/>
        </w:rPr>
        <w:t xml:space="preserve"> sempre e in ogni caso,</w:t>
      </w:r>
      <w:r w:rsidR="00A4743C" w:rsidRPr="00813888">
        <w:rPr>
          <w:color w:val="000000" w:themeColor="text1"/>
          <w:sz w:val="28"/>
          <w:szCs w:val="28"/>
        </w:rPr>
        <w:t xml:space="preserve"> a prescindere dalla puntualità o elasticità delle disposizioni normative</w:t>
      </w:r>
      <w:r w:rsidR="00A4743C" w:rsidRPr="00813888">
        <w:rPr>
          <w:color w:val="000000" w:themeColor="text1"/>
          <w:sz w:val="28"/>
          <w:szCs w:val="28"/>
        </w:rPr>
        <w:t xml:space="preserve">, </w:t>
      </w:r>
      <w:r w:rsidR="0000421A">
        <w:rPr>
          <w:color w:val="000000" w:themeColor="text1"/>
          <w:sz w:val="28"/>
          <w:szCs w:val="28"/>
        </w:rPr>
        <w:t xml:space="preserve">anche </w:t>
      </w:r>
      <w:r w:rsidR="00A4743C" w:rsidRPr="00813888">
        <w:rPr>
          <w:color w:val="000000" w:themeColor="text1"/>
          <w:sz w:val="28"/>
          <w:szCs w:val="28"/>
        </w:rPr>
        <w:t>il giudice amministrativo</w:t>
      </w:r>
      <w:r w:rsidR="0000421A">
        <w:rPr>
          <w:color w:val="000000" w:themeColor="text1"/>
          <w:sz w:val="28"/>
          <w:szCs w:val="28"/>
        </w:rPr>
        <w:t>, al pari di ogni altro giudice,</w:t>
      </w:r>
      <w:r w:rsidR="00A4743C" w:rsidRPr="00813888">
        <w:rPr>
          <w:color w:val="000000" w:themeColor="text1"/>
          <w:sz w:val="28"/>
          <w:szCs w:val="28"/>
        </w:rPr>
        <w:t xml:space="preserve"> è tenuto a stabilire </w:t>
      </w:r>
      <w:r w:rsidR="00A4743C" w:rsidRPr="00813888">
        <w:rPr>
          <w:color w:val="000000" w:themeColor="text1"/>
          <w:sz w:val="28"/>
          <w:szCs w:val="28"/>
        </w:rPr>
        <w:t>se una certa situazione</w:t>
      </w:r>
      <w:r w:rsidR="00A4743C" w:rsidRPr="00813888">
        <w:rPr>
          <w:sz w:val="28"/>
          <w:szCs w:val="28"/>
        </w:rPr>
        <w:t xml:space="preserve"> </w:t>
      </w:r>
      <w:r w:rsidR="00A4743C" w:rsidRPr="00813888">
        <w:rPr>
          <w:color w:val="000000" w:themeColor="text1"/>
          <w:sz w:val="28"/>
          <w:szCs w:val="28"/>
        </w:rPr>
        <w:t>rientri o meno nella fattispecie contemplata dalla norma.</w:t>
      </w:r>
      <w:r w:rsidR="00A4743C" w:rsidRPr="00813888">
        <w:rPr>
          <w:sz w:val="28"/>
          <w:szCs w:val="28"/>
        </w:rPr>
        <w:t xml:space="preserve"> </w:t>
      </w:r>
      <w:r w:rsidR="00A4743C" w:rsidRPr="00813888">
        <w:rPr>
          <w:rFonts w:eastAsia="Garamond  (simoncini)"/>
          <w:sz w:val="28"/>
          <w:szCs w:val="28"/>
        </w:rPr>
        <w:t>L</w:t>
      </w:r>
      <w:r w:rsidR="00A4743C" w:rsidRPr="00813888">
        <w:rPr>
          <w:rFonts w:eastAsia="Garamond  (simoncini)"/>
          <w:sz w:val="28"/>
          <w:szCs w:val="28"/>
        </w:rPr>
        <w:t xml:space="preserve">a contestualizzazione o concretizzazione della disposizione normativa contenente clausole generali o concetti giuridici indeterminati è un’operazione che attiene ad una </w:t>
      </w:r>
      <w:r w:rsidR="00A4743C" w:rsidRPr="00813888">
        <w:rPr>
          <w:rFonts w:eastAsia="Garamond  (simoncini)"/>
          <w:i/>
          <w:iCs/>
          <w:sz w:val="28"/>
          <w:szCs w:val="28"/>
        </w:rPr>
        <w:t xml:space="preserve">quaestio </w:t>
      </w:r>
      <w:proofErr w:type="spellStart"/>
      <w:r w:rsidR="00A4743C" w:rsidRPr="00813888">
        <w:rPr>
          <w:rFonts w:eastAsia="Garamond  (simoncini)"/>
          <w:i/>
          <w:iCs/>
          <w:sz w:val="28"/>
          <w:szCs w:val="28"/>
        </w:rPr>
        <w:t>juris</w:t>
      </w:r>
      <w:proofErr w:type="spellEnd"/>
      <w:r w:rsidR="00813888" w:rsidRPr="00813888">
        <w:rPr>
          <w:rStyle w:val="Rimandonotaapidipagina"/>
          <w:rFonts w:eastAsia="Garamond  (simoncini)"/>
          <w:i/>
          <w:iCs/>
          <w:sz w:val="28"/>
          <w:szCs w:val="28"/>
        </w:rPr>
        <w:footnoteReference w:id="43"/>
      </w:r>
      <w:r w:rsidR="00A4743C" w:rsidRPr="00813888">
        <w:rPr>
          <w:rFonts w:eastAsia="Garamond  (simoncini)"/>
          <w:i/>
          <w:iCs/>
          <w:sz w:val="28"/>
          <w:szCs w:val="28"/>
        </w:rPr>
        <w:t>.</w:t>
      </w:r>
      <w:r w:rsidR="00EF0D9A" w:rsidRPr="00813888">
        <w:rPr>
          <w:rFonts w:eastAsia="Garamond  (simoncini)"/>
          <w:i/>
          <w:iCs/>
          <w:sz w:val="28"/>
          <w:szCs w:val="28"/>
        </w:rPr>
        <w:t xml:space="preserve"> </w:t>
      </w:r>
      <w:r w:rsidR="00813888" w:rsidRPr="00813888">
        <w:rPr>
          <w:rFonts w:eastAsia="Garamond  (simoncini)"/>
          <w:sz w:val="28"/>
          <w:szCs w:val="28"/>
        </w:rPr>
        <w:t xml:space="preserve">Pertanto, </w:t>
      </w:r>
      <w:r w:rsidR="00813888" w:rsidRPr="00813888">
        <w:rPr>
          <w:sz w:val="28"/>
          <w:szCs w:val="28"/>
        </w:rPr>
        <w:t>n</w:t>
      </w:r>
      <w:r w:rsidR="00E55D85" w:rsidRPr="00813888">
        <w:rPr>
          <w:sz w:val="28"/>
          <w:szCs w:val="28"/>
        </w:rPr>
        <w:t>el caso di interpretazione definente</w:t>
      </w:r>
      <w:r w:rsidR="00A4743C" w:rsidRPr="00813888">
        <w:rPr>
          <w:sz w:val="28"/>
          <w:szCs w:val="28"/>
        </w:rPr>
        <w:t>, in cui il giudice indica la tipologia di fatti che l’amministrazione deve prendere in considerazion</w:t>
      </w:r>
      <w:r w:rsidR="0000421A">
        <w:rPr>
          <w:sz w:val="28"/>
          <w:szCs w:val="28"/>
        </w:rPr>
        <w:t>e</w:t>
      </w:r>
      <w:r w:rsidR="00A4743C" w:rsidRPr="00813888">
        <w:rPr>
          <w:sz w:val="28"/>
          <w:szCs w:val="28"/>
        </w:rPr>
        <w:t xml:space="preserve"> quando effettua le valutazioni affidat</w:t>
      </w:r>
      <w:r w:rsidR="0000421A">
        <w:rPr>
          <w:sz w:val="28"/>
          <w:szCs w:val="28"/>
        </w:rPr>
        <w:t xml:space="preserve">ele </w:t>
      </w:r>
      <w:r w:rsidR="00A4743C" w:rsidRPr="00813888">
        <w:rPr>
          <w:sz w:val="28"/>
          <w:szCs w:val="28"/>
        </w:rPr>
        <w:t>dalla legge,</w:t>
      </w:r>
      <w:r w:rsidR="00C900D8" w:rsidRPr="00813888">
        <w:rPr>
          <w:sz w:val="28"/>
          <w:szCs w:val="28"/>
        </w:rPr>
        <w:t xml:space="preserve"> il giudizio sulla rilevanza dei fatti non avviene “in una sorta di vuoto normativo”, come se l’imprecisione della norma attribuisse all</w:t>
      </w:r>
      <w:r w:rsidR="006C65A8" w:rsidRPr="00813888">
        <w:rPr>
          <w:sz w:val="28"/>
          <w:szCs w:val="28"/>
        </w:rPr>
        <w:t xml:space="preserve">’amministrazione </w:t>
      </w:r>
      <w:r w:rsidR="00C900D8" w:rsidRPr="00813888">
        <w:rPr>
          <w:sz w:val="28"/>
          <w:szCs w:val="28"/>
        </w:rPr>
        <w:t xml:space="preserve">un margine di valutazione dei </w:t>
      </w:r>
      <w:r w:rsidR="005B00CF" w:rsidRPr="00813888">
        <w:rPr>
          <w:sz w:val="28"/>
          <w:szCs w:val="28"/>
        </w:rPr>
        <w:t>fatti libero dal diritto</w:t>
      </w:r>
      <w:r w:rsidR="006C65A8" w:rsidRPr="00813888">
        <w:rPr>
          <w:sz w:val="28"/>
          <w:szCs w:val="28"/>
        </w:rPr>
        <w:t xml:space="preserve">. </w:t>
      </w:r>
      <w:r w:rsidR="00E21F7D" w:rsidRPr="00813888">
        <w:rPr>
          <w:sz w:val="28"/>
          <w:szCs w:val="28"/>
        </w:rPr>
        <w:t xml:space="preserve">Il giudizio sulla rilevanza dei fatti </w:t>
      </w:r>
      <w:r w:rsidR="005B00CF" w:rsidRPr="00813888">
        <w:rPr>
          <w:sz w:val="28"/>
          <w:szCs w:val="28"/>
        </w:rPr>
        <w:t xml:space="preserve">si appoggia su un’interpretazione della norma </w:t>
      </w:r>
      <w:r w:rsidR="0000421A">
        <w:rPr>
          <w:sz w:val="28"/>
          <w:szCs w:val="28"/>
        </w:rPr>
        <w:t xml:space="preserve">che debba </w:t>
      </w:r>
      <w:r w:rsidR="005B00CF" w:rsidRPr="00813888">
        <w:rPr>
          <w:sz w:val="28"/>
          <w:szCs w:val="28"/>
        </w:rPr>
        <w:t>tene</w:t>
      </w:r>
      <w:r w:rsidR="0000421A">
        <w:rPr>
          <w:sz w:val="28"/>
          <w:szCs w:val="28"/>
        </w:rPr>
        <w:t>re</w:t>
      </w:r>
      <w:r w:rsidR="005B00CF" w:rsidRPr="00813888">
        <w:rPr>
          <w:sz w:val="28"/>
          <w:szCs w:val="28"/>
        </w:rPr>
        <w:t xml:space="preserve"> conto </w:t>
      </w:r>
      <w:r w:rsidR="0000421A">
        <w:rPr>
          <w:sz w:val="28"/>
          <w:szCs w:val="28"/>
        </w:rPr>
        <w:t>“</w:t>
      </w:r>
      <w:r w:rsidR="005B00CF" w:rsidRPr="00813888">
        <w:rPr>
          <w:sz w:val="28"/>
          <w:szCs w:val="28"/>
        </w:rPr>
        <w:t>non solo dell’esigenza della specifica funzione amministrativa,</w:t>
      </w:r>
      <w:r w:rsidR="00E21F7D" w:rsidRPr="00813888">
        <w:rPr>
          <w:sz w:val="28"/>
          <w:szCs w:val="28"/>
        </w:rPr>
        <w:t xml:space="preserve"> </w:t>
      </w:r>
      <w:r w:rsidR="005B00CF" w:rsidRPr="00813888">
        <w:rPr>
          <w:sz w:val="28"/>
          <w:szCs w:val="28"/>
        </w:rPr>
        <w:t>ma anche della posizione dei soggetti sacrificati dal</w:t>
      </w:r>
      <w:r w:rsidR="0000421A">
        <w:rPr>
          <w:sz w:val="28"/>
          <w:szCs w:val="28"/>
        </w:rPr>
        <w:t xml:space="preserve"> suo </w:t>
      </w:r>
      <w:r w:rsidR="005B00CF" w:rsidRPr="00813888">
        <w:rPr>
          <w:sz w:val="28"/>
          <w:szCs w:val="28"/>
        </w:rPr>
        <w:t>esercizio”</w:t>
      </w:r>
      <w:r w:rsidR="00A4743C" w:rsidRPr="00813888">
        <w:rPr>
          <w:rStyle w:val="Rimandonotaapidipagina"/>
          <w:sz w:val="28"/>
          <w:szCs w:val="28"/>
        </w:rPr>
        <w:footnoteReference w:id="44"/>
      </w:r>
      <w:r w:rsidR="005B00CF" w:rsidRPr="00813888">
        <w:rPr>
          <w:sz w:val="28"/>
          <w:szCs w:val="28"/>
        </w:rPr>
        <w:t>.</w:t>
      </w:r>
      <w:r w:rsidR="000A0E71" w:rsidRPr="00813888">
        <w:rPr>
          <w:sz w:val="28"/>
          <w:szCs w:val="28"/>
        </w:rPr>
        <w:t xml:space="preserve"> </w:t>
      </w:r>
    </w:p>
    <w:p w14:paraId="26BF99C2" w14:textId="31E4E811" w:rsidR="00D43992" w:rsidRPr="00813888" w:rsidRDefault="005B00CF" w:rsidP="0000421A">
      <w:pPr>
        <w:pStyle w:val="NormaleWeb"/>
        <w:ind w:firstLine="709"/>
        <w:jc w:val="both"/>
        <w:rPr>
          <w:sz w:val="28"/>
          <w:szCs w:val="28"/>
        </w:rPr>
      </w:pPr>
      <w:r w:rsidRPr="00813888">
        <w:rPr>
          <w:sz w:val="28"/>
          <w:szCs w:val="28"/>
        </w:rPr>
        <w:t>Ciò comporta che non sia tanto il ricorrente gravato dell’onere di dimostrare l’insussistenza del presupposto d</w:t>
      </w:r>
      <w:r w:rsidR="008E30BC" w:rsidRPr="00813888">
        <w:rPr>
          <w:sz w:val="28"/>
          <w:szCs w:val="28"/>
        </w:rPr>
        <w:t>i una misura di prevenzione</w:t>
      </w:r>
      <w:r w:rsidRPr="00813888">
        <w:rPr>
          <w:sz w:val="28"/>
          <w:szCs w:val="28"/>
        </w:rPr>
        <w:t>,</w:t>
      </w:r>
      <w:r w:rsidR="00E21F7D" w:rsidRPr="00813888">
        <w:rPr>
          <w:sz w:val="28"/>
          <w:szCs w:val="28"/>
        </w:rPr>
        <w:t xml:space="preserve"> </w:t>
      </w:r>
      <w:r w:rsidRPr="00813888">
        <w:rPr>
          <w:sz w:val="28"/>
          <w:szCs w:val="28"/>
        </w:rPr>
        <w:t xml:space="preserve">quanto piuttosto </w:t>
      </w:r>
      <w:r w:rsidR="00E21F7D" w:rsidRPr="00813888">
        <w:rPr>
          <w:sz w:val="28"/>
          <w:szCs w:val="28"/>
        </w:rPr>
        <w:t>sia l’amministrazione gravata</w:t>
      </w:r>
      <w:r w:rsidRPr="00813888">
        <w:rPr>
          <w:sz w:val="28"/>
          <w:szCs w:val="28"/>
        </w:rPr>
        <w:t xml:space="preserve"> dell’onere di dimostrare la sussistenza di tale presupposto</w:t>
      </w:r>
      <w:r w:rsidR="00E21F7D" w:rsidRPr="00813888">
        <w:rPr>
          <w:sz w:val="28"/>
          <w:szCs w:val="28"/>
        </w:rPr>
        <w:t xml:space="preserve">, </w:t>
      </w:r>
      <w:r w:rsidRPr="00813888">
        <w:rPr>
          <w:color w:val="000000"/>
          <w:sz w:val="28"/>
          <w:szCs w:val="28"/>
        </w:rPr>
        <w:t>esaminando, con cura e imparzialità, tutti gli elementi pertinenti della situazione di cui trattasi e palesandoli puntualmente</w:t>
      </w:r>
      <w:r w:rsidR="00E21F7D" w:rsidRPr="00813888">
        <w:rPr>
          <w:color w:val="000000"/>
          <w:sz w:val="28"/>
          <w:szCs w:val="28"/>
        </w:rPr>
        <w:t>.</w:t>
      </w:r>
      <w:r w:rsidR="0000421A">
        <w:rPr>
          <w:sz w:val="28"/>
          <w:szCs w:val="28"/>
        </w:rPr>
        <w:t xml:space="preserve"> </w:t>
      </w:r>
      <w:r w:rsidR="00D43992" w:rsidRPr="00813888">
        <w:rPr>
          <w:sz w:val="28"/>
          <w:szCs w:val="28"/>
        </w:rPr>
        <w:t xml:space="preserve">In questa logica il ricorso a un ragionamento induttivo, di tipo probabilistico, che non richiede un livello di certezza oltre ogni ragionevole dubbio, ma implica una prognosi fondata sulla regola causale del “più </w:t>
      </w:r>
      <w:r w:rsidR="00D43992" w:rsidRPr="00813888">
        <w:rPr>
          <w:sz w:val="28"/>
          <w:szCs w:val="28"/>
        </w:rPr>
        <w:lastRenderedPageBreak/>
        <w:t>probabile che non” finisce per attenuare il particolare onere probatorio che dovrebbe gravare sull’amministrazione nel caso di valutazioni complesse</w:t>
      </w:r>
      <w:r w:rsidR="00D43992" w:rsidRPr="00813888">
        <w:rPr>
          <w:rStyle w:val="Rimandonotaapidipagina"/>
          <w:sz w:val="28"/>
          <w:szCs w:val="28"/>
        </w:rPr>
        <w:footnoteReference w:id="45"/>
      </w:r>
      <w:r w:rsidR="00D43992" w:rsidRPr="00813888">
        <w:rPr>
          <w:sz w:val="28"/>
          <w:szCs w:val="28"/>
        </w:rPr>
        <w:t xml:space="preserve">. </w:t>
      </w:r>
    </w:p>
    <w:p w14:paraId="56463D18" w14:textId="7DCE2232" w:rsidR="00170C3E" w:rsidRPr="00813888" w:rsidRDefault="00E21F7D" w:rsidP="00B06442">
      <w:pPr>
        <w:pStyle w:val="NormaleWeb"/>
        <w:ind w:firstLine="709"/>
        <w:jc w:val="both"/>
        <w:rPr>
          <w:sz w:val="28"/>
          <w:szCs w:val="28"/>
        </w:rPr>
      </w:pPr>
      <w:r w:rsidRPr="00813888">
        <w:rPr>
          <w:sz w:val="28"/>
          <w:szCs w:val="28"/>
        </w:rPr>
        <w:t>Di conseguenza,</w:t>
      </w:r>
      <w:r w:rsidR="0000421A">
        <w:rPr>
          <w:sz w:val="28"/>
          <w:szCs w:val="28"/>
        </w:rPr>
        <w:t xml:space="preserve"> merita un plauso</w:t>
      </w:r>
      <w:r w:rsidRPr="00813888">
        <w:rPr>
          <w:sz w:val="28"/>
          <w:szCs w:val="28"/>
        </w:rPr>
        <w:t xml:space="preserve"> </w:t>
      </w:r>
      <w:r w:rsidR="0000421A">
        <w:rPr>
          <w:sz w:val="28"/>
          <w:szCs w:val="28"/>
        </w:rPr>
        <w:t>la</w:t>
      </w:r>
      <w:r w:rsidR="00F616F2" w:rsidRPr="00813888">
        <w:rPr>
          <w:sz w:val="28"/>
          <w:szCs w:val="28"/>
        </w:rPr>
        <w:t xml:space="preserve"> giuri</w:t>
      </w:r>
      <w:r w:rsidR="00E55D85" w:rsidRPr="00813888">
        <w:rPr>
          <w:sz w:val="28"/>
          <w:szCs w:val="28"/>
        </w:rPr>
        <w:t xml:space="preserve">sprudenza, che </w:t>
      </w:r>
      <w:r w:rsidR="00170C3E" w:rsidRPr="00813888">
        <w:rPr>
          <w:sz w:val="28"/>
          <w:szCs w:val="28"/>
        </w:rPr>
        <w:t>sottopone la valutazione amministrativa a un vaglio giurisdizionale pieno ed effettivo,</w:t>
      </w:r>
      <w:r w:rsidRPr="00813888">
        <w:rPr>
          <w:sz w:val="28"/>
          <w:szCs w:val="28"/>
        </w:rPr>
        <w:t xml:space="preserve"> </w:t>
      </w:r>
      <w:r w:rsidR="00170C3E" w:rsidRPr="00813888">
        <w:rPr>
          <w:sz w:val="28"/>
          <w:szCs w:val="28"/>
        </w:rPr>
        <w:t>rileggendo il criterio del più probabile che non con l’affermazione che il giudice amministrativo deve “valutare la gravità del quadro indiziario ..., con un pieno accesso ai fatti rivelatori del pericolo” e con il potere “di sindacare l</w:t>
      </w:r>
      <w:r w:rsidR="00DB2D53">
        <w:rPr>
          <w:sz w:val="28"/>
          <w:szCs w:val="28"/>
        </w:rPr>
        <w:t>’</w:t>
      </w:r>
      <w:r w:rsidR="00170C3E" w:rsidRPr="00813888">
        <w:rPr>
          <w:sz w:val="28"/>
          <w:szCs w:val="28"/>
        </w:rPr>
        <w:t>esistenza o meno di questi fatti, che devono essere gravi, precisi e concordanti</w:t>
      </w:r>
      <w:r w:rsidR="00DB2D53">
        <w:rPr>
          <w:sz w:val="28"/>
          <w:szCs w:val="28"/>
        </w:rPr>
        <w:t>”</w:t>
      </w:r>
      <w:r w:rsidR="00170C3E" w:rsidRPr="00813888">
        <w:rPr>
          <w:sz w:val="28"/>
          <w:szCs w:val="28"/>
        </w:rPr>
        <w:t xml:space="preserve">, </w:t>
      </w:r>
      <w:r w:rsidR="00DB2D53">
        <w:rPr>
          <w:sz w:val="28"/>
          <w:szCs w:val="28"/>
        </w:rPr>
        <w:t>in modo da lasciar ritenere altamente verosimile il pericolo di infiltrazione mafioso, e</w:t>
      </w:r>
      <w:r w:rsidR="00170C3E" w:rsidRPr="00813888">
        <w:rPr>
          <w:sz w:val="28"/>
          <w:szCs w:val="28"/>
        </w:rPr>
        <w:t xml:space="preserve"> di </w:t>
      </w:r>
      <w:r w:rsidR="00DB2D53">
        <w:rPr>
          <w:sz w:val="28"/>
          <w:szCs w:val="28"/>
        </w:rPr>
        <w:t>“</w:t>
      </w:r>
      <w:r w:rsidR="00170C3E" w:rsidRPr="00813888">
        <w:rPr>
          <w:sz w:val="28"/>
          <w:szCs w:val="28"/>
        </w:rPr>
        <w:t>apprezzare la ragionevolezza e la proporzionalità della prognosi inferenziale che l</w:t>
      </w:r>
      <w:r w:rsidR="00DB2D53">
        <w:rPr>
          <w:sz w:val="28"/>
          <w:szCs w:val="28"/>
        </w:rPr>
        <w:t>’</w:t>
      </w:r>
      <w:r w:rsidR="00170C3E" w:rsidRPr="00813888">
        <w:rPr>
          <w:sz w:val="28"/>
          <w:szCs w:val="28"/>
        </w:rPr>
        <w:t>autorità amministrativa trae da quei fatti”</w:t>
      </w:r>
      <w:r w:rsidR="000A0E71" w:rsidRPr="00813888">
        <w:rPr>
          <w:rStyle w:val="Rimandonotaapidipagina"/>
          <w:sz w:val="28"/>
          <w:szCs w:val="28"/>
        </w:rPr>
        <w:footnoteReference w:id="46"/>
      </w:r>
      <w:r w:rsidR="00170C3E" w:rsidRPr="00813888">
        <w:rPr>
          <w:sz w:val="28"/>
          <w:szCs w:val="28"/>
        </w:rPr>
        <w:t>.</w:t>
      </w:r>
    </w:p>
    <w:p w14:paraId="7F4759B3" w14:textId="2445E4BD" w:rsidR="000D431B" w:rsidRPr="00813888" w:rsidRDefault="00E21F7D" w:rsidP="00B06442">
      <w:pPr>
        <w:pStyle w:val="NormaleWeb"/>
        <w:ind w:firstLine="709"/>
        <w:jc w:val="both"/>
        <w:rPr>
          <w:sz w:val="28"/>
          <w:szCs w:val="28"/>
        </w:rPr>
      </w:pPr>
      <w:r w:rsidRPr="00813888">
        <w:rPr>
          <w:sz w:val="28"/>
          <w:szCs w:val="28"/>
        </w:rPr>
        <w:t>Unicamente in</w:t>
      </w:r>
      <w:r w:rsidR="00170C3E" w:rsidRPr="00813888">
        <w:rPr>
          <w:sz w:val="28"/>
          <w:szCs w:val="28"/>
        </w:rPr>
        <w:t xml:space="preserve"> questa maniera </w:t>
      </w:r>
      <w:r w:rsidR="00DB2D53">
        <w:rPr>
          <w:sz w:val="28"/>
          <w:szCs w:val="28"/>
        </w:rPr>
        <w:t>il giudice si fa attento custode delle irrinunciabili condizioni di tassatività sostanziale e di tassatività processuale</w:t>
      </w:r>
      <w:r w:rsidR="00DB2D53" w:rsidRPr="00813888">
        <w:rPr>
          <w:color w:val="000000" w:themeColor="text1"/>
          <w:sz w:val="22"/>
          <w:szCs w:val="22"/>
        </w:rPr>
        <w:t xml:space="preserve"> – </w:t>
      </w:r>
      <w:r w:rsidR="00DB2D53">
        <w:rPr>
          <w:sz w:val="28"/>
          <w:szCs w:val="28"/>
        </w:rPr>
        <w:t>che sono un’endiadi</w:t>
      </w:r>
      <w:r w:rsidR="00DB2D53" w:rsidRPr="00813888">
        <w:rPr>
          <w:color w:val="000000" w:themeColor="text1"/>
          <w:sz w:val="22"/>
          <w:szCs w:val="22"/>
        </w:rPr>
        <w:t xml:space="preserve"> – </w:t>
      </w:r>
      <w:r w:rsidR="00DB2D53">
        <w:rPr>
          <w:sz w:val="28"/>
          <w:szCs w:val="28"/>
        </w:rPr>
        <w:t xml:space="preserve">ed </w:t>
      </w:r>
      <w:r w:rsidR="00170C3E" w:rsidRPr="00813888">
        <w:rPr>
          <w:sz w:val="28"/>
          <w:szCs w:val="28"/>
        </w:rPr>
        <w:t>è possibile salvaguardare contemporaneamente l’elasticità della clausola generale e le garanzie dei cittadini.</w:t>
      </w:r>
    </w:p>
    <w:sectPr w:rsidR="000D431B" w:rsidRPr="00813888">
      <w:footerReference w:type="even"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9181" w14:textId="77777777" w:rsidR="00B04FFE" w:rsidRDefault="00B04FFE" w:rsidP="000D431B">
      <w:r>
        <w:separator/>
      </w:r>
    </w:p>
  </w:endnote>
  <w:endnote w:type="continuationSeparator" w:id="0">
    <w:p w14:paraId="6A3E52AA" w14:textId="77777777" w:rsidR="00B04FFE" w:rsidRDefault="00B04FFE" w:rsidP="000D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Merriweather">
    <w:panose1 w:val="00000500000000000000"/>
    <w:charset w:val="4D"/>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Garamond  (simoncini)">
    <w:altName w:val="Garamond"/>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91841545"/>
      <w:docPartObj>
        <w:docPartGallery w:val="Page Numbers (Bottom of Page)"/>
        <w:docPartUnique/>
      </w:docPartObj>
    </w:sdtPr>
    <w:sdtContent>
      <w:p w14:paraId="055FAB80" w14:textId="77777777" w:rsidR="00561979" w:rsidRDefault="00000000" w:rsidP="003A37F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2430579" w14:textId="77777777" w:rsidR="00561979" w:rsidRDefault="00561979" w:rsidP="00A353F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797441633"/>
      <w:docPartObj>
        <w:docPartGallery w:val="Page Numbers (Bottom of Page)"/>
        <w:docPartUnique/>
      </w:docPartObj>
    </w:sdtPr>
    <w:sdtContent>
      <w:p w14:paraId="492FB49A" w14:textId="77777777" w:rsidR="00561979" w:rsidRDefault="00000000" w:rsidP="003A37F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46305CA6" w14:textId="77777777" w:rsidR="00561979" w:rsidRDefault="00561979" w:rsidP="00A353F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1A73E" w14:textId="77777777" w:rsidR="00B04FFE" w:rsidRDefault="00B04FFE" w:rsidP="000D431B">
      <w:r>
        <w:separator/>
      </w:r>
    </w:p>
  </w:footnote>
  <w:footnote w:type="continuationSeparator" w:id="0">
    <w:p w14:paraId="08109B34" w14:textId="77777777" w:rsidR="00B04FFE" w:rsidRDefault="00B04FFE" w:rsidP="000D431B">
      <w:r>
        <w:continuationSeparator/>
      </w:r>
    </w:p>
  </w:footnote>
  <w:footnote w:id="1">
    <w:p w14:paraId="0A1AD47B" w14:textId="77777777" w:rsidR="008D1682" w:rsidRDefault="008D1682" w:rsidP="008D1682">
      <w:pPr>
        <w:pStyle w:val="Rientrocorpodeltesto"/>
        <w:tabs>
          <w:tab w:val="left" w:pos="284"/>
        </w:tabs>
        <w:spacing w:line="300" w:lineRule="exact"/>
        <w:ind w:right="-550"/>
        <w:contextualSpacing/>
        <w:rPr>
          <w:iCs/>
          <w:sz w:val="20"/>
          <w:szCs w:val="20"/>
        </w:rPr>
      </w:pPr>
      <w:r w:rsidRPr="008D1682">
        <w:rPr>
          <w:iCs/>
          <w:sz w:val="20"/>
          <w:szCs w:val="20"/>
        </w:rPr>
        <w:t xml:space="preserve">* Relazione al Convegno “L’interpretazione nel diritto amministrativo tra legalità e discrezionalità”, </w:t>
      </w:r>
    </w:p>
    <w:p w14:paraId="6640C7F4" w14:textId="2EB8FEFC" w:rsidR="008D1682" w:rsidRPr="008D1682" w:rsidRDefault="008D1682" w:rsidP="008D1682">
      <w:pPr>
        <w:pStyle w:val="Rientrocorpodeltesto"/>
        <w:tabs>
          <w:tab w:val="left" w:pos="284"/>
        </w:tabs>
        <w:spacing w:line="300" w:lineRule="exact"/>
        <w:ind w:right="-550"/>
        <w:contextualSpacing/>
        <w:rPr>
          <w:iCs/>
          <w:sz w:val="20"/>
          <w:szCs w:val="20"/>
        </w:rPr>
      </w:pPr>
      <w:r w:rsidRPr="008D1682">
        <w:rPr>
          <w:iCs/>
          <w:sz w:val="20"/>
          <w:szCs w:val="20"/>
        </w:rPr>
        <w:t>Roma, Tribunale Amministrativo del Lazio, 17 novembre 2023</w:t>
      </w:r>
    </w:p>
    <w:p w14:paraId="7BF1DC5C" w14:textId="77777777" w:rsidR="008D1682" w:rsidRDefault="008D1682" w:rsidP="00813888">
      <w:pPr>
        <w:pStyle w:val="Testonotaapidipagina"/>
        <w:ind w:firstLine="709"/>
        <w:jc w:val="both"/>
        <w:rPr>
          <w:rFonts w:ascii="Times New Roman" w:hAnsi="Times New Roman"/>
        </w:rPr>
      </w:pPr>
    </w:p>
    <w:p w14:paraId="4960E413" w14:textId="4256185F" w:rsidR="004674B9" w:rsidRPr="00813888" w:rsidRDefault="00DF4D7C"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001C124C" w:rsidRPr="00813888">
        <w:rPr>
          <w:rFonts w:ascii="Times New Roman" w:hAnsi="Times New Roman"/>
        </w:rPr>
        <w:t xml:space="preserve">Sul fenomeno in generale, ampiamente indagato in dottrina, cfr., da ultimo, </w:t>
      </w:r>
      <w:r w:rsidRPr="00813888">
        <w:rPr>
          <w:rFonts w:ascii="Times New Roman" w:hAnsi="Times New Roman"/>
          <w:smallCaps/>
        </w:rPr>
        <w:t xml:space="preserve">L. </w:t>
      </w:r>
      <w:proofErr w:type="spellStart"/>
      <w:r w:rsidRPr="00813888">
        <w:rPr>
          <w:rFonts w:ascii="Times New Roman" w:hAnsi="Times New Roman"/>
          <w:smallCaps/>
        </w:rPr>
        <w:t>Nivarra</w:t>
      </w:r>
      <w:proofErr w:type="spellEnd"/>
      <w:r w:rsidRPr="00813888">
        <w:rPr>
          <w:rFonts w:ascii="Times New Roman" w:hAnsi="Times New Roman"/>
          <w:smallCaps/>
        </w:rPr>
        <w:t xml:space="preserve">, </w:t>
      </w:r>
      <w:r w:rsidRPr="00813888">
        <w:rPr>
          <w:rFonts w:ascii="Times New Roman" w:hAnsi="Times New Roman"/>
          <w:i/>
        </w:rPr>
        <w:t>Introduzione</w:t>
      </w:r>
      <w:r w:rsidRPr="00813888">
        <w:rPr>
          <w:rFonts w:ascii="Times New Roman" w:hAnsi="Times New Roman"/>
        </w:rPr>
        <w:t xml:space="preserve"> a </w:t>
      </w:r>
      <w:r w:rsidRPr="00813888">
        <w:rPr>
          <w:rFonts w:ascii="Times New Roman" w:hAnsi="Times New Roman"/>
          <w:smallCaps/>
        </w:rPr>
        <w:t xml:space="preserve">J.W. </w:t>
      </w:r>
      <w:proofErr w:type="spellStart"/>
      <w:r w:rsidRPr="00813888">
        <w:rPr>
          <w:rFonts w:ascii="Times New Roman" w:hAnsi="Times New Roman"/>
          <w:smallCaps/>
        </w:rPr>
        <w:t>Hedemann</w:t>
      </w:r>
      <w:proofErr w:type="spellEnd"/>
      <w:r w:rsidRPr="00813888">
        <w:rPr>
          <w:rFonts w:ascii="Times New Roman" w:hAnsi="Times New Roman"/>
        </w:rPr>
        <w:t xml:space="preserve">, </w:t>
      </w:r>
      <w:r w:rsidRPr="00813888">
        <w:rPr>
          <w:rFonts w:ascii="Times New Roman" w:hAnsi="Times New Roman"/>
          <w:i/>
        </w:rPr>
        <w:t>La fuga nelle clausole generali. Una minaccia per il diritto e per lo Stato</w:t>
      </w:r>
      <w:r w:rsidRPr="00813888">
        <w:rPr>
          <w:rFonts w:ascii="Times New Roman" w:hAnsi="Times New Roman"/>
        </w:rPr>
        <w:t>, Pisa, 2022, 9-45</w:t>
      </w:r>
      <w:r w:rsidR="001C124C" w:rsidRPr="00813888">
        <w:rPr>
          <w:rFonts w:ascii="Times New Roman" w:hAnsi="Times New Roman"/>
        </w:rPr>
        <w:t xml:space="preserve">; </w:t>
      </w:r>
      <w:r w:rsidR="001C124C" w:rsidRPr="00813888">
        <w:rPr>
          <w:rFonts w:ascii="Times New Roman" w:hAnsi="Times New Roman"/>
          <w:smallCaps/>
        </w:rPr>
        <w:t>A. Gambaro</w:t>
      </w:r>
      <w:r w:rsidR="001C124C" w:rsidRPr="00813888">
        <w:rPr>
          <w:rFonts w:ascii="Times New Roman" w:hAnsi="Times New Roman"/>
          <w:i/>
          <w:iCs/>
        </w:rPr>
        <w:t xml:space="preserve">, </w:t>
      </w:r>
      <w:r w:rsidR="004674B9" w:rsidRPr="00813888">
        <w:rPr>
          <w:rFonts w:ascii="Times New Roman" w:hAnsi="Times New Roman"/>
          <w:i/>
          <w:iCs/>
        </w:rPr>
        <w:t>Clausole generali in relazione ai principi e ai valori</w:t>
      </w:r>
      <w:r w:rsidR="004674B9" w:rsidRPr="00813888">
        <w:rPr>
          <w:rFonts w:ascii="Times New Roman" w:hAnsi="Times New Roman"/>
        </w:rPr>
        <w:t xml:space="preserve">, </w:t>
      </w:r>
      <w:r w:rsidR="00EF2C60" w:rsidRPr="00813888">
        <w:rPr>
          <w:rFonts w:ascii="Times New Roman" w:hAnsi="Times New Roman"/>
        </w:rPr>
        <w:t xml:space="preserve">in </w:t>
      </w:r>
      <w:r w:rsidR="00EF2C60" w:rsidRPr="00813888">
        <w:rPr>
          <w:rFonts w:ascii="Times New Roman" w:hAnsi="Times New Roman"/>
          <w:smallCaps/>
        </w:rPr>
        <w:t>R. Lener</w:t>
      </w:r>
      <w:r w:rsidR="00EF2C60" w:rsidRPr="00813888">
        <w:rPr>
          <w:rFonts w:ascii="Times New Roman" w:hAnsi="Times New Roman"/>
        </w:rPr>
        <w:t xml:space="preserve">, </w:t>
      </w:r>
      <w:r w:rsidR="00EF2C60" w:rsidRPr="00813888">
        <w:rPr>
          <w:rFonts w:ascii="Times New Roman" w:hAnsi="Times New Roman"/>
          <w:smallCaps/>
        </w:rPr>
        <w:t>M. Rabitti</w:t>
      </w:r>
      <w:r w:rsidR="00EF2C60" w:rsidRPr="00813888">
        <w:rPr>
          <w:rFonts w:ascii="Times New Roman" w:hAnsi="Times New Roman"/>
        </w:rPr>
        <w:t xml:space="preserve">, </w:t>
      </w:r>
      <w:r w:rsidR="00EF2C60" w:rsidRPr="00813888">
        <w:rPr>
          <w:rFonts w:ascii="Times New Roman" w:hAnsi="Times New Roman"/>
          <w:smallCaps/>
        </w:rPr>
        <w:t>F. Sartori</w:t>
      </w:r>
      <w:r w:rsidR="00EF2C60" w:rsidRPr="00813888">
        <w:rPr>
          <w:rFonts w:ascii="Times New Roman" w:hAnsi="Times New Roman"/>
        </w:rPr>
        <w:t xml:space="preserve">, </w:t>
      </w:r>
      <w:r w:rsidR="00EF2C60" w:rsidRPr="00813888">
        <w:rPr>
          <w:rFonts w:ascii="Times New Roman" w:hAnsi="Times New Roman"/>
          <w:smallCaps/>
        </w:rPr>
        <w:t>A. Sciarrone Alibrandi</w:t>
      </w:r>
      <w:r w:rsidR="00EF2C60" w:rsidRPr="00813888">
        <w:rPr>
          <w:rFonts w:ascii="Times New Roman" w:hAnsi="Times New Roman"/>
        </w:rPr>
        <w:t xml:space="preserve"> (a cura di), </w:t>
      </w:r>
      <w:r w:rsidR="00EF2C60" w:rsidRPr="00813888">
        <w:rPr>
          <w:rFonts w:ascii="Times New Roman" w:hAnsi="Times New Roman"/>
          <w:i/>
          <w:iCs/>
        </w:rPr>
        <w:t>Le clausole generali nel diritto dell’economia</w:t>
      </w:r>
      <w:r w:rsidR="00EF2C60" w:rsidRPr="00813888">
        <w:rPr>
          <w:rFonts w:ascii="Times New Roman" w:hAnsi="Times New Roman"/>
        </w:rPr>
        <w:t xml:space="preserve">, Torino, 2024, </w:t>
      </w:r>
      <w:r w:rsidR="004674B9" w:rsidRPr="00813888">
        <w:rPr>
          <w:rFonts w:ascii="Times New Roman" w:hAnsi="Times New Roman"/>
        </w:rPr>
        <w:t>19 ss.</w:t>
      </w:r>
    </w:p>
  </w:footnote>
  <w:footnote w:id="2">
    <w:p w14:paraId="09428436" w14:textId="63832C32" w:rsidR="007C68F8" w:rsidRPr="00813888" w:rsidRDefault="007C68F8"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In tema cfr., recentemente, </w:t>
      </w:r>
      <w:r w:rsidRPr="00813888">
        <w:rPr>
          <w:rFonts w:ascii="Times New Roman" w:hAnsi="Times New Roman"/>
          <w:smallCaps/>
        </w:rPr>
        <w:t>L. Benvenuti</w:t>
      </w:r>
      <w:r w:rsidRPr="00813888">
        <w:rPr>
          <w:rFonts w:ascii="Times New Roman" w:hAnsi="Times New Roman"/>
          <w:i/>
          <w:iCs/>
        </w:rPr>
        <w:t>, Postfazione. La discrezionalità amministrativa nella lente dei suoi interpreti</w:t>
      </w:r>
      <w:r w:rsidRPr="00813888">
        <w:rPr>
          <w:rFonts w:ascii="Times New Roman" w:hAnsi="Times New Roman"/>
        </w:rPr>
        <w:t xml:space="preserve">, in </w:t>
      </w:r>
      <w:r w:rsidRPr="00813888">
        <w:rPr>
          <w:rFonts w:ascii="Times New Roman" w:hAnsi="Times New Roman"/>
          <w:i/>
          <w:iCs/>
        </w:rPr>
        <w:t>La discrezionalità amministrativa</w:t>
      </w:r>
      <w:r w:rsidRPr="00813888">
        <w:rPr>
          <w:rFonts w:ascii="Times New Roman" w:hAnsi="Times New Roman"/>
        </w:rPr>
        <w:t>, nuova edizione, Pisa, 2023, 261 ss.</w:t>
      </w:r>
    </w:p>
  </w:footnote>
  <w:footnote w:id="3">
    <w:p w14:paraId="31ADA30D" w14:textId="3EB69BB2" w:rsidR="00CD13AE" w:rsidRPr="00813888" w:rsidRDefault="00E94A14"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Pr="00813888">
        <w:rPr>
          <w:rFonts w:ascii="Times New Roman" w:hAnsi="Times New Roman"/>
          <w:smallCaps/>
        </w:rPr>
        <w:t>G. Corso</w:t>
      </w:r>
      <w:r w:rsidRPr="00813888">
        <w:rPr>
          <w:rFonts w:ascii="Times New Roman" w:hAnsi="Times New Roman"/>
        </w:rPr>
        <w:t xml:space="preserve">, </w:t>
      </w:r>
      <w:r w:rsidRPr="00813888">
        <w:rPr>
          <w:rFonts w:ascii="Times New Roman" w:hAnsi="Times New Roman"/>
          <w:i/>
          <w:iCs/>
        </w:rPr>
        <w:t>Tra legge e fattispecie: la prospettiva del diritto amministrativo</w:t>
      </w:r>
      <w:r w:rsidRPr="00813888">
        <w:rPr>
          <w:rFonts w:ascii="Times New Roman" w:hAnsi="Times New Roman"/>
        </w:rPr>
        <w:t xml:space="preserve">, </w:t>
      </w:r>
      <w:r w:rsidR="00CD13AE" w:rsidRPr="00813888">
        <w:rPr>
          <w:rFonts w:ascii="Times New Roman" w:hAnsi="Times New Roman"/>
        </w:rPr>
        <w:t xml:space="preserve">in </w:t>
      </w:r>
      <w:r w:rsidR="00CD13AE" w:rsidRPr="00813888">
        <w:rPr>
          <w:rFonts w:ascii="Times New Roman" w:hAnsi="Times New Roman"/>
          <w:i/>
          <w:iCs/>
        </w:rPr>
        <w:t xml:space="preserve">Ars </w:t>
      </w:r>
      <w:proofErr w:type="spellStart"/>
      <w:r w:rsidR="00CD13AE" w:rsidRPr="00813888">
        <w:rPr>
          <w:rFonts w:ascii="Times New Roman" w:hAnsi="Times New Roman"/>
          <w:i/>
          <w:iCs/>
        </w:rPr>
        <w:t>Interpretandi</w:t>
      </w:r>
      <w:proofErr w:type="spellEnd"/>
      <w:r w:rsidR="00CD13AE" w:rsidRPr="00813888">
        <w:rPr>
          <w:rFonts w:ascii="Times New Roman" w:hAnsi="Times New Roman"/>
        </w:rPr>
        <w:t>, 2019, 71 ss.</w:t>
      </w:r>
      <w:r w:rsidR="00AE3DA2" w:rsidRPr="00813888">
        <w:rPr>
          <w:rFonts w:ascii="Times New Roman" w:hAnsi="Times New Roman"/>
        </w:rPr>
        <w:t xml:space="preserve">; </w:t>
      </w:r>
      <w:r w:rsidR="006A0E9D" w:rsidRPr="00813888">
        <w:rPr>
          <w:rFonts w:ascii="Times New Roman" w:hAnsi="Times New Roman"/>
        </w:rPr>
        <w:t xml:space="preserve">sul fenomeno in generale il rinvio, d’obbligo, è a </w:t>
      </w:r>
      <w:r w:rsidR="006A0E9D" w:rsidRPr="00813888">
        <w:rPr>
          <w:rFonts w:ascii="Times New Roman" w:hAnsi="Times New Roman"/>
          <w:smallCaps/>
        </w:rPr>
        <w:t>N. Irti</w:t>
      </w:r>
      <w:r w:rsidR="006A0E9D" w:rsidRPr="00813888">
        <w:rPr>
          <w:rFonts w:ascii="Times New Roman" w:hAnsi="Times New Roman"/>
        </w:rPr>
        <w:t xml:space="preserve">, </w:t>
      </w:r>
      <w:r w:rsidR="006A0E9D" w:rsidRPr="00813888">
        <w:rPr>
          <w:rFonts w:ascii="Times New Roman" w:hAnsi="Times New Roman"/>
          <w:i/>
          <w:iCs/>
        </w:rPr>
        <w:t>La crisi della fattispecie</w:t>
      </w:r>
      <w:r w:rsidR="006A0E9D" w:rsidRPr="00813888">
        <w:rPr>
          <w:rFonts w:ascii="Times New Roman" w:hAnsi="Times New Roman"/>
        </w:rPr>
        <w:t xml:space="preserve">, in </w:t>
      </w:r>
      <w:r w:rsidR="006A0E9D" w:rsidRPr="00813888">
        <w:rPr>
          <w:rFonts w:ascii="Times New Roman" w:hAnsi="Times New Roman"/>
          <w:i/>
          <w:iCs/>
        </w:rPr>
        <w:t>Riv. dir. proc</w:t>
      </w:r>
      <w:r w:rsidR="006A0E9D" w:rsidRPr="00813888">
        <w:rPr>
          <w:rFonts w:ascii="Times New Roman" w:hAnsi="Times New Roman"/>
        </w:rPr>
        <w:t>., 2014, 36 ss.</w:t>
      </w:r>
    </w:p>
    <w:p w14:paraId="0ED05D52" w14:textId="77777777" w:rsidR="00CD13AE" w:rsidRPr="00813888" w:rsidRDefault="00CD13AE" w:rsidP="00813888">
      <w:pPr>
        <w:pStyle w:val="Testonotaapidipagina"/>
        <w:ind w:firstLine="709"/>
        <w:jc w:val="both"/>
        <w:rPr>
          <w:rFonts w:ascii="Times New Roman" w:hAnsi="Times New Roman"/>
        </w:rPr>
      </w:pPr>
    </w:p>
  </w:footnote>
  <w:footnote w:id="4">
    <w:p w14:paraId="17AE50AB" w14:textId="77777777" w:rsidR="005021A1" w:rsidRPr="00813888" w:rsidRDefault="005021A1" w:rsidP="00813888">
      <w:pPr>
        <w:pStyle w:val="Testonotaapidipagina"/>
        <w:ind w:firstLine="709"/>
        <w:jc w:val="both"/>
        <w:rPr>
          <w:rFonts w:ascii="Times New Roman" w:hAnsi="Times New Roman"/>
          <w:iCs/>
        </w:rPr>
      </w:pPr>
      <w:r w:rsidRPr="00813888">
        <w:rPr>
          <w:rStyle w:val="Rimandonotaapidipagina"/>
          <w:rFonts w:ascii="Times New Roman" w:hAnsi="Times New Roman"/>
        </w:rPr>
        <w:footnoteRef/>
      </w:r>
      <w:r w:rsidRPr="00813888">
        <w:rPr>
          <w:rFonts w:ascii="Times New Roman" w:hAnsi="Times New Roman"/>
        </w:rPr>
        <w:t xml:space="preserve"> Il virgolettato è tratto da </w:t>
      </w:r>
      <w:r w:rsidRPr="00813888">
        <w:rPr>
          <w:rFonts w:ascii="Times New Roman" w:hAnsi="Times New Roman"/>
          <w:smallCaps/>
        </w:rPr>
        <w:t xml:space="preserve">V. </w:t>
      </w:r>
      <w:proofErr w:type="spellStart"/>
      <w:r w:rsidRPr="00813888">
        <w:rPr>
          <w:rFonts w:ascii="Times New Roman" w:hAnsi="Times New Roman"/>
          <w:smallCaps/>
        </w:rPr>
        <w:t>Velluzzi</w:t>
      </w:r>
      <w:proofErr w:type="spellEnd"/>
      <w:r w:rsidRPr="00813888">
        <w:rPr>
          <w:rFonts w:ascii="Times New Roman" w:hAnsi="Times New Roman"/>
        </w:rPr>
        <w:t xml:space="preserve">, </w:t>
      </w:r>
      <w:r w:rsidRPr="00813888">
        <w:rPr>
          <w:rFonts w:ascii="Times New Roman" w:hAnsi="Times New Roman"/>
          <w:i/>
          <w:iCs/>
        </w:rPr>
        <w:t>Semantica e politica del diritto delle clausole generali</w:t>
      </w:r>
      <w:r w:rsidRPr="00813888">
        <w:rPr>
          <w:rFonts w:ascii="Times New Roman" w:hAnsi="Times New Roman"/>
        </w:rPr>
        <w:t xml:space="preserve">, in </w:t>
      </w:r>
      <w:r w:rsidRPr="00813888">
        <w:rPr>
          <w:rFonts w:ascii="Times New Roman" w:hAnsi="Times New Roman"/>
          <w:smallCaps/>
        </w:rPr>
        <w:t>R. Lener</w:t>
      </w:r>
      <w:r w:rsidRPr="00813888">
        <w:rPr>
          <w:rFonts w:ascii="Times New Roman" w:hAnsi="Times New Roman"/>
        </w:rPr>
        <w:t xml:space="preserve">, </w:t>
      </w:r>
      <w:r w:rsidRPr="00813888">
        <w:rPr>
          <w:rFonts w:ascii="Times New Roman" w:hAnsi="Times New Roman"/>
          <w:smallCaps/>
        </w:rPr>
        <w:t>M. Rabitti</w:t>
      </w:r>
      <w:r w:rsidRPr="00813888">
        <w:rPr>
          <w:rFonts w:ascii="Times New Roman" w:hAnsi="Times New Roman"/>
        </w:rPr>
        <w:t xml:space="preserve">, </w:t>
      </w:r>
      <w:r w:rsidRPr="00813888">
        <w:rPr>
          <w:rFonts w:ascii="Times New Roman" w:hAnsi="Times New Roman"/>
          <w:smallCaps/>
        </w:rPr>
        <w:t>F. Sartori</w:t>
      </w:r>
      <w:r w:rsidRPr="00813888">
        <w:rPr>
          <w:rFonts w:ascii="Times New Roman" w:hAnsi="Times New Roman"/>
        </w:rPr>
        <w:t xml:space="preserve">, </w:t>
      </w:r>
      <w:r w:rsidRPr="00813888">
        <w:rPr>
          <w:rFonts w:ascii="Times New Roman" w:hAnsi="Times New Roman"/>
          <w:smallCaps/>
        </w:rPr>
        <w:t>A. Sciarrone Alibrandi</w:t>
      </w:r>
      <w:r w:rsidRPr="00813888">
        <w:rPr>
          <w:rFonts w:ascii="Times New Roman" w:hAnsi="Times New Roman"/>
        </w:rPr>
        <w:t xml:space="preserve"> (a cura di), </w:t>
      </w:r>
      <w:r w:rsidRPr="00813888">
        <w:rPr>
          <w:rFonts w:ascii="Times New Roman" w:hAnsi="Times New Roman"/>
          <w:i/>
          <w:iCs/>
        </w:rPr>
        <w:t>Le clausole generali nel diritto dell’economia</w:t>
      </w:r>
      <w:r w:rsidRPr="00813888">
        <w:rPr>
          <w:rFonts w:ascii="Times New Roman" w:hAnsi="Times New Roman"/>
        </w:rPr>
        <w:t>, cit., 9 ss.</w:t>
      </w:r>
    </w:p>
  </w:footnote>
  <w:footnote w:id="5">
    <w:p w14:paraId="41B61967" w14:textId="78194B2F" w:rsidR="007B69F0" w:rsidRPr="00813888" w:rsidRDefault="007B69F0"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Da ultimo cfr. </w:t>
      </w:r>
      <w:r w:rsidRPr="00813888">
        <w:rPr>
          <w:rFonts w:ascii="Times New Roman" w:hAnsi="Times New Roman"/>
          <w:smallCaps/>
        </w:rPr>
        <w:t>A. Punzi</w:t>
      </w:r>
      <w:r w:rsidRPr="00813888">
        <w:rPr>
          <w:rFonts w:ascii="Times New Roman" w:hAnsi="Times New Roman"/>
        </w:rPr>
        <w:t xml:space="preserve">, </w:t>
      </w:r>
      <w:r w:rsidRPr="00813888">
        <w:rPr>
          <w:rFonts w:ascii="Times New Roman" w:hAnsi="Times New Roman"/>
          <w:i/>
        </w:rPr>
        <w:t>Le clausole generali e le sfide della complessità. Integrazione valutativa, comunità dell’argomentazione e intelligenza artificiale</w:t>
      </w:r>
      <w:r w:rsidRPr="00813888">
        <w:rPr>
          <w:rFonts w:ascii="Times New Roman" w:hAnsi="Times New Roman"/>
        </w:rPr>
        <w:t xml:space="preserve">, in </w:t>
      </w:r>
      <w:r w:rsidRPr="00813888">
        <w:rPr>
          <w:rFonts w:ascii="Times New Roman" w:eastAsia="Merriweather" w:hAnsi="Times New Roman"/>
          <w:smallCaps/>
        </w:rPr>
        <w:t>R. Sacchi</w:t>
      </w:r>
      <w:r w:rsidRPr="00813888">
        <w:rPr>
          <w:rFonts w:ascii="Times New Roman" w:eastAsia="Merriweather" w:hAnsi="Times New Roman"/>
        </w:rPr>
        <w:t xml:space="preserve"> (a cura di),</w:t>
      </w:r>
      <w:r w:rsidRPr="00813888">
        <w:rPr>
          <w:rFonts w:ascii="Times New Roman" w:eastAsia="Merriweather" w:hAnsi="Times New Roman"/>
          <w:i/>
        </w:rPr>
        <w:t xml:space="preserve"> Il ruolo delle clausole generali in una prospettiva multidisciplinare</w:t>
      </w:r>
      <w:r w:rsidRPr="00813888">
        <w:rPr>
          <w:rFonts w:ascii="Times New Roman" w:eastAsia="Merriweather" w:hAnsi="Times New Roman"/>
          <w:iCs/>
        </w:rPr>
        <w:t>, Milano, 2021, 69 ss., 72.</w:t>
      </w:r>
    </w:p>
  </w:footnote>
  <w:footnote w:id="6">
    <w:p w14:paraId="31743B20" w14:textId="7AC23A2D" w:rsidR="00934E51" w:rsidRPr="00813888" w:rsidRDefault="00934E51"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Pr="00813888">
        <w:rPr>
          <w:rFonts w:ascii="Times New Roman" w:hAnsi="Times New Roman"/>
          <w:smallCaps/>
        </w:rPr>
        <w:t>M. Clarich</w:t>
      </w:r>
      <w:r w:rsidRPr="00813888">
        <w:rPr>
          <w:rFonts w:ascii="Times New Roman" w:hAnsi="Times New Roman"/>
        </w:rPr>
        <w:t xml:space="preserve">, in </w:t>
      </w:r>
      <w:r w:rsidRPr="00813888">
        <w:rPr>
          <w:rFonts w:ascii="Times New Roman" w:hAnsi="Times New Roman"/>
          <w:smallCaps/>
        </w:rPr>
        <w:t>M. Clarich</w:t>
      </w:r>
      <w:r w:rsidRPr="00813888">
        <w:rPr>
          <w:rFonts w:ascii="Times New Roman" w:hAnsi="Times New Roman"/>
        </w:rPr>
        <w:t xml:space="preserve">, </w:t>
      </w:r>
      <w:r w:rsidRPr="00813888">
        <w:rPr>
          <w:rFonts w:ascii="Times New Roman" w:hAnsi="Times New Roman"/>
          <w:smallCaps/>
        </w:rPr>
        <w:t xml:space="preserve">M. </w:t>
      </w:r>
      <w:proofErr w:type="spellStart"/>
      <w:r w:rsidRPr="00813888">
        <w:rPr>
          <w:rFonts w:ascii="Times New Roman" w:hAnsi="Times New Roman"/>
          <w:smallCaps/>
        </w:rPr>
        <w:t>Ramajoli</w:t>
      </w:r>
      <w:proofErr w:type="spellEnd"/>
      <w:r w:rsidRPr="00813888">
        <w:rPr>
          <w:rFonts w:ascii="Times New Roman" w:hAnsi="Times New Roman"/>
        </w:rPr>
        <w:t xml:space="preserve">, </w:t>
      </w:r>
      <w:r w:rsidRPr="00813888">
        <w:rPr>
          <w:rFonts w:ascii="Times New Roman" w:hAnsi="Times New Roman"/>
          <w:i/>
          <w:iCs/>
        </w:rPr>
        <w:t>Diritto amministrativo e clausole generali: un dialogo</w:t>
      </w:r>
      <w:r w:rsidRPr="00813888">
        <w:rPr>
          <w:rFonts w:ascii="Times New Roman" w:hAnsi="Times New Roman"/>
        </w:rPr>
        <w:t xml:space="preserve">, Pisa, 2021, 40 ss.; S. </w:t>
      </w:r>
      <w:r w:rsidRPr="00813888">
        <w:rPr>
          <w:rFonts w:ascii="Times New Roman" w:hAnsi="Times New Roman"/>
          <w:smallCaps/>
        </w:rPr>
        <w:t>Cognetti</w:t>
      </w:r>
      <w:r w:rsidRPr="00813888">
        <w:rPr>
          <w:rFonts w:ascii="Times New Roman" w:hAnsi="Times New Roman"/>
        </w:rPr>
        <w:t xml:space="preserve">, </w:t>
      </w:r>
      <w:r w:rsidRPr="00813888">
        <w:rPr>
          <w:rFonts w:ascii="Times New Roman" w:hAnsi="Times New Roman"/>
          <w:i/>
          <w:iCs/>
        </w:rPr>
        <w:t>Clausole generali nel diritto amministrativo. Principi di ragionevolezza e di proporzionalità</w:t>
      </w:r>
      <w:r w:rsidRPr="00813888">
        <w:rPr>
          <w:rFonts w:ascii="Times New Roman" w:hAnsi="Times New Roman"/>
        </w:rPr>
        <w:t xml:space="preserve">, in </w:t>
      </w:r>
      <w:r w:rsidRPr="00813888">
        <w:rPr>
          <w:rFonts w:ascii="Times New Roman" w:hAnsi="Times New Roman"/>
          <w:i/>
          <w:iCs/>
        </w:rPr>
        <w:t xml:space="preserve">Giur. </w:t>
      </w:r>
      <w:proofErr w:type="spellStart"/>
      <w:r w:rsidRPr="00813888">
        <w:rPr>
          <w:rFonts w:ascii="Times New Roman" w:hAnsi="Times New Roman"/>
          <w:i/>
          <w:iCs/>
        </w:rPr>
        <w:t>it</w:t>
      </w:r>
      <w:proofErr w:type="spellEnd"/>
      <w:r w:rsidRPr="00813888">
        <w:rPr>
          <w:rFonts w:ascii="Times New Roman" w:hAnsi="Times New Roman"/>
          <w:i/>
          <w:iCs/>
        </w:rPr>
        <w:t>.</w:t>
      </w:r>
      <w:r w:rsidRPr="00813888">
        <w:rPr>
          <w:rFonts w:ascii="Times New Roman" w:hAnsi="Times New Roman"/>
        </w:rPr>
        <w:t>, 2012, 1197 ss.</w:t>
      </w:r>
    </w:p>
  </w:footnote>
  <w:footnote w:id="7">
    <w:p w14:paraId="0D0D96D5" w14:textId="53F0F968" w:rsidR="00C80548" w:rsidRPr="00813888" w:rsidRDefault="00C80548"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005021A1" w:rsidRPr="00813888">
        <w:rPr>
          <w:rFonts w:ascii="Times New Roman" w:hAnsi="Times New Roman"/>
        </w:rPr>
        <w:t xml:space="preserve">Questo </w:t>
      </w:r>
      <w:r w:rsidRPr="00813888">
        <w:rPr>
          <w:rFonts w:ascii="Times New Roman" w:hAnsi="Times New Roman"/>
        </w:rPr>
        <w:t xml:space="preserve">fenomeno è puntualmente indagato da </w:t>
      </w:r>
      <w:r w:rsidRPr="00813888">
        <w:rPr>
          <w:rFonts w:ascii="Times New Roman" w:hAnsi="Times New Roman"/>
          <w:smallCaps/>
        </w:rPr>
        <w:t>M. Clarich</w:t>
      </w:r>
      <w:r w:rsidRPr="00813888">
        <w:rPr>
          <w:rFonts w:ascii="Times New Roman" w:hAnsi="Times New Roman"/>
        </w:rPr>
        <w:t xml:space="preserve">, </w:t>
      </w:r>
      <w:r w:rsidRPr="00813888">
        <w:rPr>
          <w:rFonts w:ascii="Times New Roman" w:hAnsi="Times New Roman"/>
          <w:i/>
          <w:iCs/>
        </w:rPr>
        <w:t>op. cit</w:t>
      </w:r>
      <w:r w:rsidRPr="00813888">
        <w:rPr>
          <w:rFonts w:ascii="Times New Roman" w:hAnsi="Times New Roman"/>
        </w:rPr>
        <w:t>., 32 ss., cui si rinvia anche per l’equivalenza terminologica tra clausole generali e concetti giuridici indeterminati.</w:t>
      </w:r>
    </w:p>
  </w:footnote>
  <w:footnote w:id="8">
    <w:p w14:paraId="27AD9E32" w14:textId="182DB231" w:rsidR="00072879" w:rsidRPr="00813888" w:rsidRDefault="00072879"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Pr="00813888">
        <w:rPr>
          <w:rFonts w:ascii="Times New Roman" w:hAnsi="Times New Roman"/>
          <w:i/>
          <w:iCs/>
        </w:rPr>
        <w:t>Relazione allo Schema definitivo del Codice dei contratti pubblici del Consiglio di Stato</w:t>
      </w:r>
      <w:r w:rsidRPr="00813888">
        <w:rPr>
          <w:rFonts w:ascii="Times New Roman" w:hAnsi="Times New Roman"/>
        </w:rPr>
        <w:t>, 7</w:t>
      </w:r>
      <w:r w:rsidRPr="00813888">
        <w:rPr>
          <w:rFonts w:ascii="Times New Roman" w:hAnsi="Times New Roman"/>
        </w:rPr>
        <w:t xml:space="preserve"> dicembre </w:t>
      </w:r>
      <w:r w:rsidRPr="00813888">
        <w:rPr>
          <w:rFonts w:ascii="Times New Roman" w:hAnsi="Times New Roman"/>
        </w:rPr>
        <w:t>2022</w:t>
      </w:r>
      <w:r w:rsidRPr="00813888">
        <w:rPr>
          <w:rFonts w:ascii="Times New Roman" w:hAnsi="Times New Roman"/>
          <w:i/>
          <w:iCs/>
        </w:rPr>
        <w:t xml:space="preserve">, </w:t>
      </w:r>
      <w:r w:rsidRPr="00813888">
        <w:rPr>
          <w:rFonts w:ascii="Times New Roman" w:hAnsi="Times New Roman"/>
        </w:rPr>
        <w:t xml:space="preserve">consultabile in </w:t>
      </w:r>
      <w:r w:rsidRPr="00813888">
        <w:rPr>
          <w:rFonts w:ascii="Times New Roman" w:hAnsi="Times New Roman"/>
          <w:i/>
          <w:iCs/>
        </w:rPr>
        <w:t>https://www.giustizia-amministrativa.it</w:t>
      </w:r>
      <w:r w:rsidRPr="00813888">
        <w:rPr>
          <w:rFonts w:ascii="Times New Roman" w:hAnsi="Times New Roman"/>
          <w:i/>
          <w:iCs/>
        </w:rPr>
        <w:t>.</w:t>
      </w:r>
    </w:p>
  </w:footnote>
  <w:footnote w:id="9">
    <w:p w14:paraId="29CFF57E" w14:textId="55B8480C" w:rsidR="001075A9" w:rsidRPr="00813888" w:rsidRDefault="001075A9"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Si pensi al sintagma indeterminato del divieto di abuso di posizione dominante, in cui la fattispecie è individuata facendo riferimento a una valutazione affidata all’interprete che è guidato nella sua attività da esemplificazioni normative (art. 102 T.F.U.E. e art. 3 della legge n. 287/1990). </w:t>
      </w:r>
    </w:p>
  </w:footnote>
  <w:footnote w:id="10">
    <w:p w14:paraId="3427A392" w14:textId="44EAC7C0" w:rsidR="00987E65" w:rsidRPr="00813888" w:rsidRDefault="00987E65"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Sul punto si rinvia a </w:t>
      </w:r>
      <w:r w:rsidRPr="00813888">
        <w:rPr>
          <w:rFonts w:ascii="Times New Roman" w:hAnsi="Times New Roman"/>
          <w:smallCaps/>
        </w:rPr>
        <w:t>F. Ghezzi</w:t>
      </w:r>
      <w:r w:rsidRPr="00813888">
        <w:rPr>
          <w:rFonts w:ascii="Times New Roman" w:hAnsi="Times New Roman"/>
        </w:rPr>
        <w:t xml:space="preserve"> e </w:t>
      </w:r>
      <w:r w:rsidRPr="00813888">
        <w:rPr>
          <w:rFonts w:ascii="Times New Roman" w:hAnsi="Times New Roman"/>
          <w:smallCaps/>
        </w:rPr>
        <w:t>G. Olivieri</w:t>
      </w:r>
      <w:r w:rsidRPr="00813888">
        <w:rPr>
          <w:rFonts w:ascii="Times New Roman" w:hAnsi="Times New Roman"/>
        </w:rPr>
        <w:t xml:space="preserve">, </w:t>
      </w:r>
      <w:r w:rsidRPr="00813888">
        <w:rPr>
          <w:rFonts w:ascii="Times New Roman" w:hAnsi="Times New Roman"/>
          <w:i/>
          <w:iCs/>
        </w:rPr>
        <w:t>Diritto antitrust</w:t>
      </w:r>
      <w:r w:rsidRPr="00813888">
        <w:rPr>
          <w:rFonts w:ascii="Times New Roman" w:hAnsi="Times New Roman"/>
        </w:rPr>
        <w:t>, III ed., Torino, 2023, 235 ss.</w:t>
      </w:r>
    </w:p>
  </w:footnote>
  <w:footnote w:id="11">
    <w:p w14:paraId="7D5B5DB2" w14:textId="4D5452A0" w:rsidR="00276B94" w:rsidRPr="00813888" w:rsidRDefault="00276B94"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00E07945" w:rsidRPr="00813888">
        <w:rPr>
          <w:rFonts w:ascii="Times New Roman" w:hAnsi="Times New Roman"/>
        </w:rPr>
        <w:t>Per un’analisi di queste dinamiche</w:t>
      </w:r>
      <w:r w:rsidRPr="00813888">
        <w:rPr>
          <w:rFonts w:ascii="Times New Roman" w:hAnsi="Times New Roman"/>
        </w:rPr>
        <w:t xml:space="preserve"> cfr. </w:t>
      </w:r>
      <w:r w:rsidRPr="00813888">
        <w:rPr>
          <w:rFonts w:ascii="Times New Roman" w:hAnsi="Times New Roman"/>
          <w:smallCaps/>
        </w:rPr>
        <w:t>F. Vella</w:t>
      </w:r>
      <w:r w:rsidRPr="00813888">
        <w:rPr>
          <w:rFonts w:ascii="Times New Roman" w:hAnsi="Times New Roman"/>
        </w:rPr>
        <w:t xml:space="preserve">, </w:t>
      </w:r>
      <w:r w:rsidRPr="00813888">
        <w:rPr>
          <w:rFonts w:ascii="Times New Roman" w:hAnsi="Times New Roman"/>
          <w:i/>
          <w:iCs/>
        </w:rPr>
        <w:t>Diritto ed economia comportamentale</w:t>
      </w:r>
      <w:r w:rsidRPr="00813888">
        <w:rPr>
          <w:rFonts w:ascii="Times New Roman" w:hAnsi="Times New Roman"/>
        </w:rPr>
        <w:t>, Bologna, 2023</w:t>
      </w:r>
      <w:r w:rsidR="0099511B" w:rsidRPr="00813888">
        <w:rPr>
          <w:rFonts w:ascii="Times New Roman" w:hAnsi="Times New Roman"/>
        </w:rPr>
        <w:t>.</w:t>
      </w:r>
    </w:p>
  </w:footnote>
  <w:footnote w:id="12">
    <w:p w14:paraId="0596F582" w14:textId="0BC82F31" w:rsidR="00142BD9" w:rsidRPr="00813888" w:rsidRDefault="0099511B"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00142BD9" w:rsidRPr="00813888">
        <w:rPr>
          <w:rFonts w:ascii="Times New Roman" w:hAnsi="Times New Roman"/>
        </w:rPr>
        <w:t>Su</w:t>
      </w:r>
      <w:r w:rsidR="000C0C7A" w:rsidRPr="00813888">
        <w:rPr>
          <w:rFonts w:ascii="Times New Roman" w:hAnsi="Times New Roman"/>
        </w:rPr>
        <w:t xml:space="preserve"> questo </w:t>
      </w:r>
      <w:r w:rsidR="00142BD9" w:rsidRPr="00813888">
        <w:rPr>
          <w:rFonts w:ascii="Times New Roman" w:hAnsi="Times New Roman"/>
        </w:rPr>
        <w:t>fenomeno</w:t>
      </w:r>
      <w:r w:rsidR="00AE3DA2" w:rsidRPr="00813888">
        <w:rPr>
          <w:rFonts w:ascii="Times New Roman" w:hAnsi="Times New Roman"/>
        </w:rPr>
        <w:t xml:space="preserve"> cfr. </w:t>
      </w:r>
      <w:r w:rsidR="00AE3DA2" w:rsidRPr="00813888">
        <w:rPr>
          <w:rFonts w:ascii="Times New Roman" w:hAnsi="Times New Roman"/>
          <w:smallCaps/>
        </w:rPr>
        <w:t>R. Villata</w:t>
      </w:r>
      <w:r w:rsidR="00AE3DA2" w:rsidRPr="00813888">
        <w:rPr>
          <w:rFonts w:ascii="Times New Roman" w:hAnsi="Times New Roman"/>
        </w:rPr>
        <w:t xml:space="preserve"> e </w:t>
      </w:r>
      <w:r w:rsidR="00AE3DA2" w:rsidRPr="00813888">
        <w:rPr>
          <w:rFonts w:ascii="Times New Roman" w:hAnsi="Times New Roman"/>
          <w:smallCaps/>
        </w:rPr>
        <w:t xml:space="preserve">M. </w:t>
      </w:r>
      <w:proofErr w:type="spellStart"/>
      <w:r w:rsidR="00AE3DA2" w:rsidRPr="00813888">
        <w:rPr>
          <w:rFonts w:ascii="Times New Roman" w:hAnsi="Times New Roman"/>
          <w:smallCaps/>
        </w:rPr>
        <w:t>Ramajoli</w:t>
      </w:r>
      <w:proofErr w:type="spellEnd"/>
      <w:r w:rsidR="00142BD9" w:rsidRPr="00813888">
        <w:rPr>
          <w:rFonts w:ascii="Times New Roman" w:hAnsi="Times New Roman"/>
        </w:rPr>
        <w:t xml:space="preserve">, </w:t>
      </w:r>
      <w:r w:rsidR="00142BD9" w:rsidRPr="00813888">
        <w:rPr>
          <w:rFonts w:ascii="Times New Roman" w:hAnsi="Times New Roman"/>
          <w:i/>
          <w:iCs/>
        </w:rPr>
        <w:t>Il provvedimento amministrativo</w:t>
      </w:r>
      <w:r w:rsidR="00142BD9" w:rsidRPr="00813888">
        <w:rPr>
          <w:rFonts w:ascii="Times New Roman" w:hAnsi="Times New Roman"/>
        </w:rPr>
        <w:t>, Torino, 2017, II ed., 538 ss.</w:t>
      </w:r>
    </w:p>
  </w:footnote>
  <w:footnote w:id="13">
    <w:p w14:paraId="6B291A80" w14:textId="63DDDDC7" w:rsidR="00446180" w:rsidRPr="00813888" w:rsidRDefault="00C141B4" w:rsidP="00813888">
      <w:pPr>
        <w:pStyle w:val="Testonotaapidipagina"/>
        <w:ind w:firstLine="709"/>
        <w:jc w:val="both"/>
        <w:rPr>
          <w:rFonts w:ascii="Times New Roman" w:hAnsi="Times New Roman"/>
          <w:color w:val="000000"/>
        </w:rPr>
      </w:pPr>
      <w:r w:rsidRPr="00813888">
        <w:rPr>
          <w:rStyle w:val="Rimandonotaapidipagina"/>
          <w:rFonts w:ascii="Times New Roman" w:hAnsi="Times New Roman"/>
        </w:rPr>
        <w:footnoteRef/>
      </w:r>
      <w:r w:rsidRPr="00813888">
        <w:rPr>
          <w:rFonts w:ascii="Times New Roman" w:hAnsi="Times New Roman"/>
        </w:rPr>
        <w:t xml:space="preserve"> Può rivestire un qualche interesse notare che invece la giurisprudenza amministrativa </w:t>
      </w:r>
      <w:r w:rsidR="00142BD9" w:rsidRPr="00813888">
        <w:rPr>
          <w:rFonts w:ascii="Times New Roman" w:hAnsi="Times New Roman"/>
        </w:rPr>
        <w:t xml:space="preserve">utilizza l’espressione “standard valutativi” in tutt’altro significato </w:t>
      </w:r>
      <w:r w:rsidR="00D70F80" w:rsidRPr="00813888">
        <w:rPr>
          <w:rFonts w:ascii="Times New Roman" w:hAnsi="Times New Roman"/>
        </w:rPr>
        <w:t xml:space="preserve">rispetto a quello impiegato dalla giurisprudenza di legittimità, intesa quest’ultima a scongiurare lo scivolamento verso il soggettivismo tramite peculiari presidi di tipo pretorio. Nella giurisprudenza amministrativa l’espressione ricorre </w:t>
      </w:r>
      <w:r w:rsidR="00446180" w:rsidRPr="00813888">
        <w:rPr>
          <w:rFonts w:ascii="Times New Roman" w:hAnsi="Times New Roman"/>
        </w:rPr>
        <w:t xml:space="preserve">esclusivamente </w:t>
      </w:r>
      <w:r w:rsidR="00D70F80" w:rsidRPr="00813888">
        <w:rPr>
          <w:rFonts w:ascii="Times New Roman" w:hAnsi="Times New Roman"/>
        </w:rPr>
        <w:t>in materia di</w:t>
      </w:r>
      <w:r w:rsidR="00446180" w:rsidRPr="00813888">
        <w:rPr>
          <w:rFonts w:ascii="Times New Roman" w:hAnsi="Times New Roman"/>
        </w:rPr>
        <w:t xml:space="preserve"> concorsi </w:t>
      </w:r>
      <w:r w:rsidR="00D70F80" w:rsidRPr="00813888">
        <w:rPr>
          <w:rFonts w:ascii="Times New Roman" w:hAnsi="Times New Roman"/>
        </w:rPr>
        <w:t xml:space="preserve">universitari per </w:t>
      </w:r>
      <w:r w:rsidR="00446180" w:rsidRPr="00813888">
        <w:rPr>
          <w:rFonts w:ascii="Times New Roman" w:hAnsi="Times New Roman"/>
        </w:rPr>
        <w:t>precisare che le procedure di reclutamento “sono disciplinate da normative di rango e contenuto diverso, quali la legge n. 240/2010, i regolamenti attuativi, i regolamenti delle singole Università, gli standard valutativi elaborati e accettati da diverse istituzioni e comunità scientifiche a livello nazionale e internazionale” (</w:t>
      </w:r>
      <w:r w:rsidR="000C0C7A" w:rsidRPr="00813888">
        <w:rPr>
          <w:rFonts w:ascii="Times New Roman" w:hAnsi="Times New Roman"/>
        </w:rPr>
        <w:t xml:space="preserve">così, </w:t>
      </w:r>
      <w:r w:rsidR="00446180" w:rsidRPr="00813888">
        <w:rPr>
          <w:rFonts w:ascii="Times New Roman" w:eastAsia="Times New Roman" w:hAnsi="Times New Roman"/>
          <w:color w:val="000000"/>
          <w:lang w:eastAsia="it-IT"/>
        </w:rPr>
        <w:t>da ultimo</w:t>
      </w:r>
      <w:r w:rsidR="000C0C7A" w:rsidRPr="00813888">
        <w:rPr>
          <w:rFonts w:ascii="Times New Roman" w:eastAsia="Times New Roman" w:hAnsi="Times New Roman"/>
          <w:color w:val="000000"/>
          <w:lang w:eastAsia="it-IT"/>
        </w:rPr>
        <w:t>,</w:t>
      </w:r>
      <w:r w:rsidR="00446180" w:rsidRPr="00813888">
        <w:rPr>
          <w:rFonts w:ascii="Times New Roman" w:eastAsia="Times New Roman" w:hAnsi="Times New Roman"/>
          <w:color w:val="000000"/>
          <w:lang w:eastAsia="it-IT"/>
        </w:rPr>
        <w:t xml:space="preserve"> Cons. Stato, sez. VII, 5 gennaio 2024, n. 223).</w:t>
      </w:r>
    </w:p>
  </w:footnote>
  <w:footnote w:id="14">
    <w:p w14:paraId="1E3D5BE6" w14:textId="01E732C1" w:rsidR="001940AE" w:rsidRPr="00813888" w:rsidRDefault="00446180"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001940AE" w:rsidRPr="00813888">
        <w:rPr>
          <w:rFonts w:ascii="Times New Roman" w:hAnsi="Times New Roman"/>
        </w:rPr>
        <w:t xml:space="preserve">Da ultimo </w:t>
      </w:r>
      <w:r w:rsidRPr="00813888">
        <w:rPr>
          <w:rFonts w:ascii="Times New Roman" w:hAnsi="Times New Roman"/>
        </w:rPr>
        <w:t xml:space="preserve">Cass. </w:t>
      </w:r>
      <w:r w:rsidR="00DC7C9D" w:rsidRPr="00813888">
        <w:rPr>
          <w:rFonts w:ascii="Times New Roman" w:hAnsi="Times New Roman"/>
        </w:rPr>
        <w:t>c</w:t>
      </w:r>
      <w:r w:rsidRPr="00813888">
        <w:rPr>
          <w:rFonts w:ascii="Times New Roman" w:hAnsi="Times New Roman"/>
        </w:rPr>
        <w:t xml:space="preserve">iv., sez. lav., </w:t>
      </w:r>
      <w:proofErr w:type="spellStart"/>
      <w:r w:rsidRPr="00813888">
        <w:rPr>
          <w:rFonts w:ascii="Times New Roman" w:hAnsi="Times New Roman"/>
        </w:rPr>
        <w:t>ord</w:t>
      </w:r>
      <w:proofErr w:type="spellEnd"/>
      <w:r w:rsidRPr="00813888">
        <w:rPr>
          <w:rFonts w:ascii="Times New Roman" w:hAnsi="Times New Roman"/>
        </w:rPr>
        <w:t xml:space="preserve">. </w:t>
      </w:r>
      <w:r w:rsidR="001940AE" w:rsidRPr="00813888">
        <w:rPr>
          <w:rFonts w:ascii="Times New Roman" w:hAnsi="Times New Roman"/>
        </w:rPr>
        <w:t xml:space="preserve">9 marzo 2023, n. 7029; </w:t>
      </w:r>
      <w:r w:rsidRPr="00813888">
        <w:rPr>
          <w:rFonts w:ascii="Times New Roman" w:hAnsi="Times New Roman"/>
        </w:rPr>
        <w:t>19 gennaio 2023, n. 1591</w:t>
      </w:r>
      <w:r w:rsidR="001940AE" w:rsidRPr="00813888">
        <w:rPr>
          <w:rFonts w:ascii="Times New Roman" w:hAnsi="Times New Roman"/>
        </w:rPr>
        <w:t xml:space="preserve">, ma cfr. anche </w:t>
      </w:r>
      <w:proofErr w:type="spellStart"/>
      <w:r w:rsidR="00DC7C9D" w:rsidRPr="00813888">
        <w:rPr>
          <w:rFonts w:ascii="Times New Roman" w:hAnsi="Times New Roman"/>
        </w:rPr>
        <w:t>sent</w:t>
      </w:r>
      <w:proofErr w:type="spellEnd"/>
      <w:r w:rsidR="00DC7C9D" w:rsidRPr="00813888">
        <w:rPr>
          <w:rFonts w:ascii="Times New Roman" w:hAnsi="Times New Roman"/>
        </w:rPr>
        <w:t xml:space="preserve">. 26 marzo 2018, n. 7426; </w:t>
      </w:r>
      <w:proofErr w:type="spellStart"/>
      <w:r w:rsidR="00DC7C9D" w:rsidRPr="00813888">
        <w:rPr>
          <w:rFonts w:ascii="Times New Roman" w:hAnsi="Times New Roman"/>
        </w:rPr>
        <w:t>ord</w:t>
      </w:r>
      <w:proofErr w:type="spellEnd"/>
      <w:r w:rsidR="00DC7C9D" w:rsidRPr="00813888">
        <w:rPr>
          <w:rFonts w:ascii="Times New Roman" w:hAnsi="Times New Roman"/>
        </w:rPr>
        <w:t xml:space="preserve">. 3 dicembre 2018, n. 31155; </w:t>
      </w:r>
      <w:proofErr w:type="spellStart"/>
      <w:r w:rsidR="001940AE" w:rsidRPr="00813888">
        <w:rPr>
          <w:rFonts w:ascii="Times New Roman" w:hAnsi="Times New Roman"/>
        </w:rPr>
        <w:t>sent</w:t>
      </w:r>
      <w:proofErr w:type="spellEnd"/>
      <w:r w:rsidR="001940AE" w:rsidRPr="00813888">
        <w:rPr>
          <w:rFonts w:ascii="Times New Roman" w:hAnsi="Times New Roman"/>
        </w:rPr>
        <w:t>. 13 dicembre 2010, n. 25144.</w:t>
      </w:r>
    </w:p>
  </w:footnote>
  <w:footnote w:id="15">
    <w:p w14:paraId="1FE4013B" w14:textId="151669DD" w:rsidR="00DC7C9D" w:rsidRPr="00813888" w:rsidRDefault="00DC7C9D"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Cass. civ., sez. lav., </w:t>
      </w:r>
      <w:proofErr w:type="spellStart"/>
      <w:r w:rsidR="005A75B9" w:rsidRPr="00813888">
        <w:rPr>
          <w:rFonts w:ascii="Times New Roman" w:hAnsi="Times New Roman"/>
        </w:rPr>
        <w:t>sent</w:t>
      </w:r>
      <w:proofErr w:type="spellEnd"/>
      <w:r w:rsidR="005A75B9" w:rsidRPr="00813888">
        <w:rPr>
          <w:rFonts w:ascii="Times New Roman" w:hAnsi="Times New Roman"/>
        </w:rPr>
        <w:t xml:space="preserve">. </w:t>
      </w:r>
      <w:r w:rsidRPr="00813888">
        <w:rPr>
          <w:rFonts w:ascii="Times New Roman" w:hAnsi="Times New Roman"/>
        </w:rPr>
        <w:t>21 aprile 2022, n. 12789.</w:t>
      </w:r>
    </w:p>
  </w:footnote>
  <w:footnote w:id="16">
    <w:p w14:paraId="123563B5" w14:textId="21A89D73" w:rsidR="005A75B9" w:rsidRPr="00813888" w:rsidRDefault="00DC7C9D"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005A75B9" w:rsidRPr="00813888">
        <w:rPr>
          <w:rFonts w:ascii="Times New Roman" w:hAnsi="Times New Roman"/>
        </w:rPr>
        <w:t xml:space="preserve">Ancora Cass. civ., sez. lav., </w:t>
      </w:r>
      <w:proofErr w:type="spellStart"/>
      <w:r w:rsidR="005A75B9" w:rsidRPr="00813888">
        <w:rPr>
          <w:rFonts w:ascii="Times New Roman" w:hAnsi="Times New Roman"/>
        </w:rPr>
        <w:t>sent</w:t>
      </w:r>
      <w:proofErr w:type="spellEnd"/>
      <w:r w:rsidR="005A75B9" w:rsidRPr="00813888">
        <w:rPr>
          <w:rFonts w:ascii="Times New Roman" w:hAnsi="Times New Roman"/>
        </w:rPr>
        <w:t>. n. 12789/2022, cit.</w:t>
      </w:r>
    </w:p>
  </w:footnote>
  <w:footnote w:id="17">
    <w:p w14:paraId="60B0F384" w14:textId="0B085841" w:rsidR="005A75B9" w:rsidRPr="00813888" w:rsidRDefault="005A75B9"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Cass. civ., sez. lav., </w:t>
      </w:r>
      <w:proofErr w:type="spellStart"/>
      <w:r w:rsidRPr="00813888">
        <w:rPr>
          <w:rFonts w:ascii="Times New Roman" w:hAnsi="Times New Roman"/>
        </w:rPr>
        <w:t>ord</w:t>
      </w:r>
      <w:proofErr w:type="spellEnd"/>
      <w:r w:rsidRPr="00813888">
        <w:rPr>
          <w:rFonts w:ascii="Times New Roman" w:hAnsi="Times New Roman"/>
        </w:rPr>
        <w:t>. n. 7029/2023, cit.</w:t>
      </w:r>
    </w:p>
  </w:footnote>
  <w:footnote w:id="18">
    <w:p w14:paraId="37C31154" w14:textId="77777777" w:rsidR="00C25087" w:rsidRPr="00813888" w:rsidRDefault="00C25087"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Pr="00813888">
        <w:rPr>
          <w:rFonts w:ascii="Times New Roman" w:hAnsi="Times New Roman"/>
          <w:smallCaps/>
        </w:rPr>
        <w:t>M. Clarich</w:t>
      </w:r>
      <w:r w:rsidRPr="00813888">
        <w:rPr>
          <w:rFonts w:ascii="Times New Roman" w:hAnsi="Times New Roman"/>
        </w:rPr>
        <w:t xml:space="preserve">, </w:t>
      </w:r>
      <w:r w:rsidRPr="00813888">
        <w:rPr>
          <w:rFonts w:ascii="Times New Roman" w:hAnsi="Times New Roman"/>
          <w:i/>
          <w:iCs/>
        </w:rPr>
        <w:t>Diritto amministrativo e clausole generali</w:t>
      </w:r>
      <w:r w:rsidRPr="00813888">
        <w:rPr>
          <w:rFonts w:ascii="Times New Roman" w:hAnsi="Times New Roman"/>
        </w:rPr>
        <w:t>, cit., 20 ss.</w:t>
      </w:r>
    </w:p>
  </w:footnote>
  <w:footnote w:id="19">
    <w:p w14:paraId="6D2FAFAD" w14:textId="2EF1315F" w:rsidR="003B37CC" w:rsidRPr="00813888" w:rsidRDefault="003B37CC"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Pr="00813888">
        <w:rPr>
          <w:rFonts w:ascii="Times New Roman" w:hAnsi="Times New Roman"/>
          <w:smallCaps/>
        </w:rPr>
        <w:t>M. Luciani</w:t>
      </w:r>
      <w:r w:rsidRPr="00813888">
        <w:rPr>
          <w:rFonts w:ascii="Times New Roman" w:hAnsi="Times New Roman"/>
        </w:rPr>
        <w:t xml:space="preserve">, </w:t>
      </w:r>
      <w:r w:rsidRPr="00813888">
        <w:rPr>
          <w:rFonts w:ascii="Times New Roman" w:hAnsi="Times New Roman"/>
          <w:i/>
          <w:iCs/>
        </w:rPr>
        <w:t>Ogni cosa a suo posto. Restaurare l’ordine costituzionale dei poteri</w:t>
      </w:r>
      <w:r w:rsidRPr="00813888">
        <w:rPr>
          <w:rFonts w:ascii="Times New Roman" w:hAnsi="Times New Roman"/>
        </w:rPr>
        <w:t>, Milano, 2023, 239.</w:t>
      </w:r>
    </w:p>
  </w:footnote>
  <w:footnote w:id="20">
    <w:p w14:paraId="622BA3DF" w14:textId="5BECEDF2" w:rsidR="003E490F" w:rsidRPr="00813888" w:rsidRDefault="003E490F"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“Un contenuto della clausola generale che non avesse trovato alcuna traduzione in qualche norma a fattispecie non si saprebbe da dove potrebbe essere attinto se non dai personali convincimenti dell’interprete. L’aggancio alle norme a fattispecie, invece, non fa rientrare dalla finestra una staticità che si voleva cacciata dalla porta, ma permette di cogliere la clausola generale nel dialettico svolgimento dei suoi rapporti con le norme puntuali” (</w:t>
      </w:r>
      <w:r w:rsidRPr="00813888">
        <w:rPr>
          <w:rFonts w:ascii="Times New Roman" w:hAnsi="Times New Roman"/>
          <w:smallCaps/>
        </w:rPr>
        <w:t>M. Luciani</w:t>
      </w:r>
      <w:r w:rsidRPr="00813888">
        <w:rPr>
          <w:rFonts w:ascii="Times New Roman" w:hAnsi="Times New Roman"/>
        </w:rPr>
        <w:t xml:space="preserve">, </w:t>
      </w:r>
      <w:r w:rsidRPr="00813888">
        <w:rPr>
          <w:rFonts w:ascii="Times New Roman" w:hAnsi="Times New Roman"/>
          <w:i/>
          <w:iCs/>
        </w:rPr>
        <w:t xml:space="preserve">op. cit., </w:t>
      </w:r>
      <w:r w:rsidRPr="00813888">
        <w:rPr>
          <w:rFonts w:ascii="Times New Roman" w:hAnsi="Times New Roman"/>
        </w:rPr>
        <w:t>241-242).</w:t>
      </w:r>
    </w:p>
  </w:footnote>
  <w:footnote w:id="21">
    <w:p w14:paraId="55DE077F" w14:textId="4EDDCB3F" w:rsidR="00E547E3" w:rsidRPr="00813888" w:rsidRDefault="00E547E3"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Questo processo di emersione degli interessi legittimi è magistralmente descritto da </w:t>
      </w:r>
      <w:r w:rsidRPr="00813888">
        <w:rPr>
          <w:rFonts w:ascii="Times New Roman" w:hAnsi="Times New Roman"/>
          <w:smallCaps/>
        </w:rPr>
        <w:t>M. Nigro</w:t>
      </w:r>
      <w:r w:rsidRPr="00813888">
        <w:rPr>
          <w:rFonts w:ascii="Times New Roman" w:hAnsi="Times New Roman"/>
        </w:rPr>
        <w:t xml:space="preserve">, </w:t>
      </w:r>
      <w:r w:rsidRPr="00813888">
        <w:rPr>
          <w:rFonts w:ascii="Times New Roman" w:hAnsi="Times New Roman"/>
          <w:i/>
          <w:iCs/>
        </w:rPr>
        <w:t>Giustizia amministrativa</w:t>
      </w:r>
      <w:r w:rsidRPr="00813888">
        <w:rPr>
          <w:rFonts w:ascii="Times New Roman" w:hAnsi="Times New Roman"/>
        </w:rPr>
        <w:t xml:space="preserve">, </w:t>
      </w:r>
      <w:r w:rsidR="00903E6F" w:rsidRPr="00813888">
        <w:rPr>
          <w:rFonts w:ascii="Times New Roman" w:hAnsi="Times New Roman"/>
        </w:rPr>
        <w:t xml:space="preserve">Bologna, 2002, </w:t>
      </w:r>
      <w:r w:rsidR="00903E6F" w:rsidRPr="00813888">
        <w:rPr>
          <w:rFonts w:ascii="Times New Roman" w:hAnsi="Times New Roman"/>
        </w:rPr>
        <w:t xml:space="preserve">VI ed. a cura di </w:t>
      </w:r>
      <w:r w:rsidR="00903E6F" w:rsidRPr="00813888">
        <w:rPr>
          <w:rFonts w:ascii="Times New Roman" w:hAnsi="Times New Roman"/>
          <w:smallCaps/>
        </w:rPr>
        <w:t>E. Cardi</w:t>
      </w:r>
      <w:r w:rsidR="00903E6F" w:rsidRPr="00813888">
        <w:rPr>
          <w:rFonts w:ascii="Times New Roman" w:hAnsi="Times New Roman"/>
        </w:rPr>
        <w:t xml:space="preserve"> e </w:t>
      </w:r>
      <w:r w:rsidR="00903E6F" w:rsidRPr="00813888">
        <w:rPr>
          <w:rFonts w:ascii="Times New Roman" w:hAnsi="Times New Roman"/>
          <w:smallCaps/>
        </w:rPr>
        <w:t>A. Nigro</w:t>
      </w:r>
      <w:r w:rsidR="00903E6F" w:rsidRPr="00813888">
        <w:rPr>
          <w:rFonts w:ascii="Times New Roman" w:hAnsi="Times New Roman"/>
        </w:rPr>
        <w:t>, 113-115</w:t>
      </w:r>
      <w:r w:rsidRPr="00813888">
        <w:rPr>
          <w:rFonts w:ascii="Times New Roman" w:hAnsi="Times New Roman"/>
        </w:rPr>
        <w:t>.</w:t>
      </w:r>
    </w:p>
  </w:footnote>
  <w:footnote w:id="22">
    <w:p w14:paraId="11A22DE0" w14:textId="1B26018A" w:rsidR="003F082C" w:rsidRPr="00813888" w:rsidRDefault="003F082C"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Su questo specifico punto sia consentito rinviare a </w:t>
      </w:r>
      <w:r w:rsidRPr="00813888">
        <w:rPr>
          <w:rFonts w:ascii="Times New Roman" w:hAnsi="Times New Roman"/>
          <w:smallCaps/>
        </w:rPr>
        <w:t xml:space="preserve">M. </w:t>
      </w:r>
      <w:proofErr w:type="spellStart"/>
      <w:r w:rsidRPr="00813888">
        <w:rPr>
          <w:rFonts w:ascii="Times New Roman" w:hAnsi="Times New Roman"/>
          <w:smallCaps/>
        </w:rPr>
        <w:t>Ramajoli</w:t>
      </w:r>
      <w:proofErr w:type="spellEnd"/>
      <w:r w:rsidRPr="00813888">
        <w:rPr>
          <w:rFonts w:ascii="Times New Roman" w:hAnsi="Times New Roman"/>
        </w:rPr>
        <w:t xml:space="preserve">, </w:t>
      </w:r>
      <w:r w:rsidRPr="00813888">
        <w:rPr>
          <w:rFonts w:ascii="Times New Roman" w:hAnsi="Times New Roman"/>
          <w:i/>
          <w:iCs/>
        </w:rPr>
        <w:t>Art. 5</w:t>
      </w:r>
      <w:r w:rsidRPr="00813888">
        <w:rPr>
          <w:rFonts w:ascii="Times New Roman" w:hAnsi="Times New Roman"/>
        </w:rPr>
        <w:t xml:space="preserve">, in </w:t>
      </w:r>
      <w:r w:rsidRPr="00813888">
        <w:rPr>
          <w:rFonts w:ascii="Times New Roman" w:hAnsi="Times New Roman"/>
          <w:smallCaps/>
        </w:rPr>
        <w:t>R. Villata</w:t>
      </w:r>
      <w:r w:rsidRPr="00813888">
        <w:rPr>
          <w:rFonts w:ascii="Times New Roman" w:hAnsi="Times New Roman"/>
        </w:rPr>
        <w:t xml:space="preserve"> e </w:t>
      </w:r>
      <w:r w:rsidRPr="00813888">
        <w:rPr>
          <w:rFonts w:ascii="Times New Roman" w:hAnsi="Times New Roman"/>
          <w:smallCaps/>
        </w:rPr>
        <w:t xml:space="preserve">M. </w:t>
      </w:r>
      <w:proofErr w:type="spellStart"/>
      <w:r w:rsidRPr="00813888">
        <w:rPr>
          <w:rFonts w:ascii="Times New Roman" w:hAnsi="Times New Roman"/>
          <w:smallCaps/>
        </w:rPr>
        <w:t>Ramajoli</w:t>
      </w:r>
      <w:proofErr w:type="spellEnd"/>
      <w:r w:rsidRPr="00813888">
        <w:rPr>
          <w:rFonts w:ascii="Times New Roman" w:hAnsi="Times New Roman"/>
        </w:rPr>
        <w:t xml:space="preserve"> (a cura di), </w:t>
      </w:r>
      <w:r w:rsidRPr="00813888">
        <w:rPr>
          <w:rFonts w:ascii="Times New Roman" w:hAnsi="Times New Roman"/>
          <w:i/>
          <w:iCs/>
        </w:rPr>
        <w:t>Commentario al codice dei contratti pubblici</w:t>
      </w:r>
      <w:r w:rsidRPr="00813888">
        <w:rPr>
          <w:rFonts w:ascii="Times New Roman" w:hAnsi="Times New Roman"/>
        </w:rPr>
        <w:t>, in corso di pubblicazione.</w:t>
      </w:r>
    </w:p>
  </w:footnote>
  <w:footnote w:id="23">
    <w:p w14:paraId="52E029C2" w14:textId="7FBA68B3" w:rsidR="009F0EFB" w:rsidRPr="00813888" w:rsidRDefault="009F0EFB"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Così </w:t>
      </w:r>
      <w:r w:rsidRPr="00813888">
        <w:rPr>
          <w:rFonts w:ascii="Times New Roman" w:hAnsi="Times New Roman"/>
          <w:smallCaps/>
        </w:rPr>
        <w:t>A. Travi</w:t>
      </w:r>
      <w:r w:rsidRPr="00813888">
        <w:rPr>
          <w:rFonts w:ascii="Times New Roman" w:hAnsi="Times New Roman"/>
        </w:rPr>
        <w:t xml:space="preserve">, </w:t>
      </w:r>
      <w:r w:rsidRPr="00813888">
        <w:rPr>
          <w:rFonts w:ascii="Times New Roman" w:hAnsi="Times New Roman"/>
          <w:i/>
          <w:iCs/>
        </w:rPr>
        <w:t>L’interpretazione della norma amministrativa</w:t>
      </w:r>
      <w:r w:rsidRPr="00813888">
        <w:rPr>
          <w:rFonts w:ascii="Times New Roman" w:hAnsi="Times New Roman"/>
        </w:rPr>
        <w:t xml:space="preserve">, in questa </w:t>
      </w:r>
      <w:r w:rsidRPr="00813888">
        <w:rPr>
          <w:rFonts w:ascii="Times New Roman" w:hAnsi="Times New Roman"/>
          <w:i/>
          <w:iCs/>
        </w:rPr>
        <w:t>Rivista</w:t>
      </w:r>
      <w:r w:rsidRPr="00813888">
        <w:rPr>
          <w:rFonts w:ascii="Times New Roman" w:hAnsi="Times New Roman"/>
        </w:rPr>
        <w:t xml:space="preserve">, richiamando la riflessione di Santi Romano in una voce dei suoi </w:t>
      </w:r>
      <w:r w:rsidRPr="00813888">
        <w:rPr>
          <w:rFonts w:ascii="Times New Roman" w:hAnsi="Times New Roman"/>
          <w:i/>
          <w:iCs/>
        </w:rPr>
        <w:t>Frammenti di un dizionario giuridico</w:t>
      </w:r>
      <w:r w:rsidRPr="00813888">
        <w:rPr>
          <w:rFonts w:ascii="Times New Roman" w:hAnsi="Times New Roman"/>
        </w:rPr>
        <w:t>.</w:t>
      </w:r>
    </w:p>
  </w:footnote>
  <w:footnote w:id="24">
    <w:p w14:paraId="1FC92904" w14:textId="7B2F9474" w:rsidR="000A0E71" w:rsidRPr="00813888" w:rsidRDefault="000A0E71"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Pr="00813888">
        <w:rPr>
          <w:rFonts w:ascii="Times New Roman" w:hAnsi="Times New Roman"/>
          <w:smallCaps/>
        </w:rPr>
        <w:t>M. Clarich</w:t>
      </w:r>
      <w:r w:rsidRPr="00813888">
        <w:rPr>
          <w:rFonts w:ascii="Times New Roman" w:hAnsi="Times New Roman"/>
        </w:rPr>
        <w:t xml:space="preserve">, </w:t>
      </w:r>
      <w:r w:rsidRPr="00813888">
        <w:rPr>
          <w:rFonts w:ascii="Times New Roman" w:hAnsi="Times New Roman"/>
          <w:i/>
          <w:iCs/>
        </w:rPr>
        <w:t>Diritto amministrativo e clausole generali</w:t>
      </w:r>
      <w:r w:rsidRPr="00813888">
        <w:rPr>
          <w:rFonts w:ascii="Times New Roman" w:hAnsi="Times New Roman"/>
        </w:rPr>
        <w:t>, cit.,</w:t>
      </w:r>
      <w:r w:rsidRPr="00813888">
        <w:rPr>
          <w:rFonts w:ascii="Times New Roman" w:hAnsi="Times New Roman"/>
        </w:rPr>
        <w:t xml:space="preserve"> 34 ss.</w:t>
      </w:r>
    </w:p>
  </w:footnote>
  <w:footnote w:id="25">
    <w:p w14:paraId="24C1D401" w14:textId="5209B48D" w:rsidR="000C0C7A" w:rsidRPr="00813888" w:rsidRDefault="000C0C7A"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La tecnica è </w:t>
      </w:r>
      <w:r w:rsidR="00C1241F">
        <w:rPr>
          <w:rFonts w:ascii="Times New Roman" w:hAnsi="Times New Roman"/>
        </w:rPr>
        <w:t xml:space="preserve">comunque </w:t>
      </w:r>
      <w:r w:rsidRPr="00813888">
        <w:rPr>
          <w:rFonts w:ascii="Times New Roman" w:hAnsi="Times New Roman"/>
        </w:rPr>
        <w:t>impiegata anche in altri ambiti dell’agire amministrativo, come ad esempio in materia di foglio di via obbligatorio, ove è parimenti cospicua la giurisprudenza; cfr., tra le tante, Cons. Stato, sez. III, 3 febbraio 2020, n. 484; 6 novembre 2019, n. 7575.</w:t>
      </w:r>
    </w:p>
  </w:footnote>
  <w:footnote w:id="26">
    <w:p w14:paraId="73A91C4C" w14:textId="627C724B" w:rsidR="00204D58" w:rsidRPr="00813888" w:rsidRDefault="00204D58"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In questi termini Cons. </w:t>
      </w:r>
      <w:proofErr w:type="spellStart"/>
      <w:r w:rsidRPr="00813888">
        <w:rPr>
          <w:rFonts w:ascii="Times New Roman" w:hAnsi="Times New Roman"/>
        </w:rPr>
        <w:t>giust</w:t>
      </w:r>
      <w:proofErr w:type="spellEnd"/>
      <w:r w:rsidRPr="00813888">
        <w:rPr>
          <w:rFonts w:ascii="Times New Roman" w:hAnsi="Times New Roman"/>
        </w:rPr>
        <w:t xml:space="preserve">. </w:t>
      </w:r>
      <w:proofErr w:type="spellStart"/>
      <w:r w:rsidRPr="00813888">
        <w:rPr>
          <w:rFonts w:ascii="Times New Roman" w:hAnsi="Times New Roman"/>
        </w:rPr>
        <w:t>amm</w:t>
      </w:r>
      <w:proofErr w:type="spellEnd"/>
      <w:r w:rsidRPr="00813888">
        <w:rPr>
          <w:rFonts w:ascii="Times New Roman" w:hAnsi="Times New Roman"/>
        </w:rPr>
        <w:t>. reg. sic., 28 agosto 2017, n. 379.</w:t>
      </w:r>
      <w:r w:rsidR="000C0C7A" w:rsidRPr="00813888">
        <w:rPr>
          <w:rFonts w:ascii="Times New Roman" w:hAnsi="Times New Roman"/>
        </w:rPr>
        <w:t xml:space="preserve"> </w:t>
      </w:r>
    </w:p>
  </w:footnote>
  <w:footnote w:id="27">
    <w:p w14:paraId="49DC2C89" w14:textId="0A3C0089" w:rsidR="00F2331D" w:rsidRPr="00813888" w:rsidRDefault="00F2331D"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Pr="00813888">
        <w:rPr>
          <w:rFonts w:ascii="Times New Roman" w:hAnsi="Times New Roman"/>
          <w:smallCaps/>
        </w:rPr>
        <w:t xml:space="preserve">B. </w:t>
      </w:r>
      <w:proofErr w:type="spellStart"/>
      <w:r w:rsidRPr="00813888">
        <w:rPr>
          <w:rFonts w:ascii="Times New Roman" w:hAnsi="Times New Roman"/>
          <w:smallCaps/>
        </w:rPr>
        <w:t>Tonoletti</w:t>
      </w:r>
      <w:proofErr w:type="spellEnd"/>
      <w:r w:rsidRPr="00813888">
        <w:rPr>
          <w:rFonts w:ascii="Times New Roman" w:hAnsi="Times New Roman"/>
        </w:rPr>
        <w:t xml:space="preserve">, voce </w:t>
      </w:r>
      <w:r w:rsidRPr="00813888">
        <w:rPr>
          <w:rFonts w:ascii="Times New Roman" w:hAnsi="Times New Roman"/>
          <w:i/>
          <w:iCs/>
        </w:rPr>
        <w:t>Ordine e sicurezza pubblica</w:t>
      </w:r>
      <w:r w:rsidRPr="00813888">
        <w:rPr>
          <w:rFonts w:ascii="Times New Roman" w:hAnsi="Times New Roman"/>
        </w:rPr>
        <w:t xml:space="preserve">, in </w:t>
      </w:r>
      <w:r w:rsidRPr="00813888">
        <w:rPr>
          <w:rFonts w:ascii="Times New Roman" w:hAnsi="Times New Roman"/>
          <w:i/>
          <w:iCs/>
        </w:rPr>
        <w:t>Enc. Dir., I tematici. Funzioni amministrative</w:t>
      </w:r>
      <w:r w:rsidRPr="00813888">
        <w:rPr>
          <w:rFonts w:ascii="Times New Roman" w:hAnsi="Times New Roman"/>
        </w:rPr>
        <w:t>, Milano, 2022, 791 ss., spec. 811 ss.</w:t>
      </w:r>
    </w:p>
  </w:footnote>
  <w:footnote w:id="28">
    <w:p w14:paraId="4776FB61" w14:textId="090BE441" w:rsidR="00991C2D" w:rsidRPr="00813888" w:rsidRDefault="00991C2D"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Corte EDU, Grande Camera, 23 febbraio 2017, </w:t>
      </w:r>
      <w:r w:rsidRPr="00C1241F">
        <w:rPr>
          <w:rFonts w:ascii="Times New Roman" w:hAnsi="Times New Roman"/>
          <w:i/>
          <w:iCs/>
        </w:rPr>
        <w:t>De Tommaso c. Italia</w:t>
      </w:r>
      <w:r w:rsidRPr="00813888">
        <w:rPr>
          <w:rFonts w:ascii="Times New Roman" w:hAnsi="Times New Roman"/>
        </w:rPr>
        <w:t xml:space="preserve">, </w:t>
      </w:r>
      <w:r w:rsidR="00F2331D" w:rsidRPr="00813888">
        <w:rPr>
          <w:rFonts w:ascii="Times New Roman" w:hAnsi="Times New Roman"/>
        </w:rPr>
        <w:t xml:space="preserve">in tema di misure di prevenzione; </w:t>
      </w:r>
      <w:r w:rsidRPr="00813888">
        <w:rPr>
          <w:rFonts w:ascii="Times New Roman" w:hAnsi="Times New Roman"/>
        </w:rPr>
        <w:t xml:space="preserve">sulla </w:t>
      </w:r>
      <w:r w:rsidR="00F2331D" w:rsidRPr="00813888">
        <w:rPr>
          <w:rFonts w:ascii="Times New Roman" w:hAnsi="Times New Roman"/>
        </w:rPr>
        <w:t>decisione</w:t>
      </w:r>
      <w:r w:rsidRPr="00813888">
        <w:rPr>
          <w:rFonts w:ascii="Times New Roman" w:hAnsi="Times New Roman"/>
        </w:rPr>
        <w:t xml:space="preserve"> cfr. </w:t>
      </w:r>
      <w:r w:rsidRPr="00813888">
        <w:rPr>
          <w:rFonts w:ascii="Times New Roman" w:hAnsi="Times New Roman"/>
          <w:smallCaps/>
        </w:rPr>
        <w:t>F. Viganò</w:t>
      </w:r>
      <w:r w:rsidRPr="00813888">
        <w:rPr>
          <w:rFonts w:ascii="Times New Roman" w:hAnsi="Times New Roman"/>
        </w:rPr>
        <w:t xml:space="preserve">, </w:t>
      </w:r>
      <w:r w:rsidRPr="00813888">
        <w:rPr>
          <w:rFonts w:ascii="Times New Roman" w:hAnsi="Times New Roman"/>
          <w:i/>
          <w:iCs/>
        </w:rPr>
        <w:t>La Corte di Strasburgo assesta un duro colpo alla disciplina italiana delle misure di prevenzione personali</w:t>
      </w:r>
      <w:r w:rsidRPr="00813888">
        <w:rPr>
          <w:rFonts w:ascii="Times New Roman" w:hAnsi="Times New Roman"/>
        </w:rPr>
        <w:t xml:space="preserve">, in </w:t>
      </w:r>
      <w:r w:rsidRPr="00813888">
        <w:rPr>
          <w:rFonts w:ascii="Times New Roman" w:hAnsi="Times New Roman"/>
          <w:i/>
          <w:iCs/>
        </w:rPr>
        <w:t>Diritto penale contemporaneo</w:t>
      </w:r>
      <w:r w:rsidRPr="00813888">
        <w:rPr>
          <w:rFonts w:ascii="Times New Roman" w:hAnsi="Times New Roman"/>
        </w:rPr>
        <w:t>, 2017.</w:t>
      </w:r>
    </w:p>
  </w:footnote>
  <w:footnote w:id="29">
    <w:p w14:paraId="4BE9C742" w14:textId="29C1546E" w:rsidR="00674CB7" w:rsidRPr="00813888" w:rsidRDefault="00674CB7"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Cass., sez. un., 27 aprile-5 settembre 2017, n. 40076, in </w:t>
      </w:r>
      <w:r w:rsidRPr="00813888">
        <w:rPr>
          <w:rFonts w:ascii="Times New Roman" w:hAnsi="Times New Roman"/>
          <w:i/>
          <w:iCs/>
        </w:rPr>
        <w:t>Diritto penale contemporaneo</w:t>
      </w:r>
      <w:r w:rsidRPr="00813888">
        <w:rPr>
          <w:rFonts w:ascii="Times New Roman" w:hAnsi="Times New Roman"/>
        </w:rPr>
        <w:t xml:space="preserve">, 2017, con nota di </w:t>
      </w:r>
      <w:r w:rsidRPr="00813888">
        <w:rPr>
          <w:rFonts w:ascii="Times New Roman" w:hAnsi="Times New Roman"/>
          <w:smallCaps/>
        </w:rPr>
        <w:t>G. Biondi</w:t>
      </w:r>
      <w:r w:rsidRPr="00813888">
        <w:rPr>
          <w:rFonts w:ascii="Times New Roman" w:hAnsi="Times New Roman"/>
        </w:rPr>
        <w:t xml:space="preserve">, </w:t>
      </w:r>
      <w:r w:rsidRPr="00813888">
        <w:rPr>
          <w:rFonts w:ascii="Times New Roman" w:hAnsi="Times New Roman"/>
          <w:i/>
          <w:iCs/>
        </w:rPr>
        <w:t>Le Sezioni Unite Paternò e le ricadute della sentenza Corte EDU De Tommaso c. Italia</w:t>
      </w:r>
      <w:r w:rsidR="005B4A74" w:rsidRPr="00813888">
        <w:rPr>
          <w:rFonts w:ascii="Times New Roman" w:hAnsi="Times New Roman"/>
          <w:i/>
          <w:iCs/>
        </w:rPr>
        <w:t xml:space="preserve"> sul delitto ex art. 75 comma 2, D. Lgs. n. 159/2011: luci ed ombre di una sentenza attesa</w:t>
      </w:r>
      <w:r w:rsidR="005B4A74" w:rsidRPr="00813888">
        <w:rPr>
          <w:rFonts w:ascii="Times New Roman" w:hAnsi="Times New Roman"/>
        </w:rPr>
        <w:t xml:space="preserve">. </w:t>
      </w:r>
    </w:p>
  </w:footnote>
  <w:footnote w:id="30">
    <w:p w14:paraId="01E039B8" w14:textId="622BCD77" w:rsidR="005C6FFC" w:rsidRPr="00813888" w:rsidRDefault="005C6FFC"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Ad esempio, la </w:t>
      </w:r>
      <w:r w:rsidRPr="00813888">
        <w:rPr>
          <w:rFonts w:ascii="Times New Roman" w:hAnsi="Times New Roman"/>
        </w:rPr>
        <w:t>condanna per delitti sicuri indicatori della presenza mafiosa</w:t>
      </w:r>
      <w:r w:rsidRPr="00813888">
        <w:rPr>
          <w:rFonts w:ascii="Times New Roman" w:hAnsi="Times New Roman"/>
        </w:rPr>
        <w:t xml:space="preserve"> (art. 84, comma 4, lett. a) o la condanna per reati strumentali alle organizzazioni criminali (art. 91, comma 6).</w:t>
      </w:r>
    </w:p>
  </w:footnote>
  <w:footnote w:id="31">
    <w:p w14:paraId="7A1CA01A" w14:textId="35951008" w:rsidR="005C6FFC" w:rsidRPr="00813888" w:rsidRDefault="005C6FFC"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Pr="00813888">
        <w:rPr>
          <w:rFonts w:ascii="Times New Roman" w:hAnsi="Times New Roman"/>
          <w:color w:val="000000"/>
        </w:rPr>
        <w:t>L’autorità prefettizia deve valutare perciò il rischio che l’attività di impresa possa essere oggetto di infiltrazione mafiosa, in modo concreto ed attuale, sulla base dei seguenti elementi:</w:t>
      </w:r>
      <w:r w:rsidRPr="00813888">
        <w:rPr>
          <w:rFonts w:ascii="Times New Roman" w:hAnsi="Times New Roman"/>
          <w:color w:val="000000"/>
        </w:rPr>
        <w:t xml:space="preserve"> </w:t>
      </w:r>
      <w:r w:rsidRPr="00813888">
        <w:rPr>
          <w:rFonts w:ascii="Times New Roman" w:hAnsi="Times New Roman"/>
          <w:i/>
          <w:iCs/>
          <w:color w:val="000000"/>
        </w:rPr>
        <w:t>a)</w:t>
      </w:r>
      <w:r w:rsidRPr="00813888">
        <w:rPr>
          <w:rFonts w:ascii="Times New Roman" w:hAnsi="Times New Roman"/>
          <w:color w:val="000000"/>
        </w:rPr>
        <w:t> i provvedimenti ‘sfavorevoli’ del giudice penale;</w:t>
      </w:r>
      <w:r w:rsidRPr="00813888">
        <w:rPr>
          <w:rFonts w:ascii="Times New Roman" w:hAnsi="Times New Roman"/>
          <w:color w:val="000000"/>
        </w:rPr>
        <w:t xml:space="preserve"> </w:t>
      </w:r>
      <w:r w:rsidRPr="00813888">
        <w:rPr>
          <w:rFonts w:ascii="Times New Roman" w:hAnsi="Times New Roman"/>
          <w:i/>
          <w:iCs/>
          <w:color w:val="000000"/>
        </w:rPr>
        <w:t>b)</w:t>
      </w:r>
      <w:r w:rsidRPr="00813888">
        <w:rPr>
          <w:rFonts w:ascii="Times New Roman" w:hAnsi="Times New Roman"/>
          <w:color w:val="000000"/>
        </w:rPr>
        <w:t> le sentenze di proscioglimento o di assoluzione;</w:t>
      </w:r>
      <w:r w:rsidRPr="00813888">
        <w:rPr>
          <w:rFonts w:ascii="Times New Roman" w:hAnsi="Times New Roman"/>
          <w:color w:val="000000"/>
        </w:rPr>
        <w:t xml:space="preserve"> </w:t>
      </w:r>
      <w:r w:rsidRPr="00813888">
        <w:rPr>
          <w:rFonts w:ascii="Times New Roman" w:hAnsi="Times New Roman"/>
          <w:i/>
          <w:iCs/>
          <w:color w:val="000000"/>
        </w:rPr>
        <w:t>c)</w:t>
      </w:r>
      <w:r w:rsidRPr="00813888">
        <w:rPr>
          <w:rFonts w:ascii="Times New Roman" w:hAnsi="Times New Roman"/>
          <w:color w:val="000000"/>
        </w:rPr>
        <w:t> la proposta o il provvedimento di applicazione di taluna delle misure di prevenzione previste dallo stesso d. lgs. n. 159 del 2011;</w:t>
      </w:r>
      <w:r w:rsidRPr="00813888">
        <w:rPr>
          <w:rFonts w:ascii="Times New Roman" w:hAnsi="Times New Roman"/>
          <w:color w:val="000000"/>
        </w:rPr>
        <w:t xml:space="preserve"> </w:t>
      </w:r>
      <w:r w:rsidRPr="00813888">
        <w:rPr>
          <w:rFonts w:ascii="Times New Roman" w:hAnsi="Times New Roman"/>
          <w:i/>
          <w:iCs/>
          <w:color w:val="000000"/>
        </w:rPr>
        <w:t>d)</w:t>
      </w:r>
      <w:r w:rsidRPr="00813888">
        <w:rPr>
          <w:rFonts w:ascii="Times New Roman" w:hAnsi="Times New Roman"/>
          <w:color w:val="000000"/>
        </w:rPr>
        <w:t> i rapporti di parentela;</w:t>
      </w:r>
      <w:r w:rsidRPr="00813888">
        <w:rPr>
          <w:rFonts w:ascii="Times New Roman" w:hAnsi="Times New Roman"/>
          <w:color w:val="000000"/>
        </w:rPr>
        <w:t xml:space="preserve"> </w:t>
      </w:r>
      <w:r w:rsidRPr="00813888">
        <w:rPr>
          <w:rFonts w:ascii="Times New Roman" w:hAnsi="Times New Roman"/>
          <w:i/>
          <w:iCs/>
          <w:color w:val="000000"/>
        </w:rPr>
        <w:t>e)</w:t>
      </w:r>
      <w:r w:rsidRPr="00813888">
        <w:rPr>
          <w:rFonts w:ascii="Times New Roman" w:hAnsi="Times New Roman"/>
          <w:color w:val="000000"/>
        </w:rPr>
        <w:t> i contatti o i rapporti di frequentazione, conoscenza, colleganza, amicizia;</w:t>
      </w:r>
      <w:r w:rsidRPr="00813888">
        <w:rPr>
          <w:rFonts w:ascii="Times New Roman" w:hAnsi="Times New Roman"/>
          <w:color w:val="000000"/>
        </w:rPr>
        <w:t xml:space="preserve"> </w:t>
      </w:r>
      <w:r w:rsidRPr="00813888">
        <w:rPr>
          <w:rFonts w:ascii="Times New Roman" w:hAnsi="Times New Roman"/>
          <w:i/>
          <w:iCs/>
          <w:color w:val="000000"/>
        </w:rPr>
        <w:t>f)</w:t>
      </w:r>
      <w:r w:rsidRPr="00813888">
        <w:rPr>
          <w:rFonts w:ascii="Times New Roman" w:hAnsi="Times New Roman"/>
          <w:color w:val="000000"/>
        </w:rPr>
        <w:t> le vicende anomale nella formale struttura dell’impresa;</w:t>
      </w:r>
      <w:r w:rsidRPr="00813888">
        <w:rPr>
          <w:rFonts w:ascii="Times New Roman" w:hAnsi="Times New Roman"/>
          <w:color w:val="000000"/>
        </w:rPr>
        <w:t xml:space="preserve"> </w:t>
      </w:r>
      <w:r w:rsidRPr="00813888">
        <w:rPr>
          <w:rFonts w:ascii="Times New Roman" w:hAnsi="Times New Roman"/>
          <w:i/>
          <w:iCs/>
          <w:color w:val="000000"/>
        </w:rPr>
        <w:t>g)</w:t>
      </w:r>
      <w:r w:rsidRPr="00813888">
        <w:rPr>
          <w:rFonts w:ascii="Times New Roman" w:hAnsi="Times New Roman"/>
          <w:color w:val="000000"/>
        </w:rPr>
        <w:t> le vicende anomale nella concreta gestione dell’impresa;</w:t>
      </w:r>
      <w:r w:rsidRPr="00813888">
        <w:rPr>
          <w:rFonts w:ascii="Times New Roman" w:hAnsi="Times New Roman"/>
          <w:color w:val="000000"/>
        </w:rPr>
        <w:t xml:space="preserve"> </w:t>
      </w:r>
      <w:r w:rsidRPr="00813888">
        <w:rPr>
          <w:rFonts w:ascii="Times New Roman" w:hAnsi="Times New Roman"/>
          <w:i/>
          <w:iCs/>
          <w:color w:val="000000"/>
        </w:rPr>
        <w:t>h)</w:t>
      </w:r>
      <w:r w:rsidRPr="00813888">
        <w:rPr>
          <w:rFonts w:ascii="Times New Roman" w:hAnsi="Times New Roman"/>
          <w:color w:val="000000"/>
        </w:rPr>
        <w:t> la condivisione di un sistema di illegalità, volto ad ottenere i relativi ‘benefici’;</w:t>
      </w:r>
      <w:r w:rsidRPr="00813888">
        <w:rPr>
          <w:rFonts w:ascii="Times New Roman" w:hAnsi="Times New Roman"/>
          <w:color w:val="000000"/>
        </w:rPr>
        <w:t xml:space="preserve"> </w:t>
      </w:r>
      <w:r w:rsidRPr="00813888">
        <w:rPr>
          <w:rFonts w:ascii="Times New Roman" w:hAnsi="Times New Roman"/>
          <w:i/>
          <w:iCs/>
          <w:color w:val="000000"/>
        </w:rPr>
        <w:t>i)</w:t>
      </w:r>
      <w:r w:rsidRPr="00813888">
        <w:rPr>
          <w:rFonts w:ascii="Times New Roman" w:hAnsi="Times New Roman"/>
          <w:color w:val="000000"/>
        </w:rPr>
        <w:t> l’inserimento in un contesto di illegalità o di abusivismo, in assenza di iniziative volte al ripristino della legalità</w:t>
      </w:r>
      <w:r w:rsidRPr="00813888">
        <w:rPr>
          <w:rFonts w:ascii="Times New Roman" w:hAnsi="Times New Roman"/>
          <w:color w:val="000000"/>
        </w:rPr>
        <w:t>” (</w:t>
      </w:r>
      <w:r w:rsidRPr="00813888">
        <w:rPr>
          <w:rFonts w:ascii="Times New Roman" w:hAnsi="Times New Roman"/>
        </w:rPr>
        <w:t>Cons. Stato, sez. III, 3 maggio 2016, n. 1743</w:t>
      </w:r>
      <w:r w:rsidR="00112ACE" w:rsidRPr="00813888">
        <w:rPr>
          <w:rFonts w:ascii="Times New Roman" w:hAnsi="Times New Roman"/>
        </w:rPr>
        <w:t xml:space="preserve">, che rappresenta il </w:t>
      </w:r>
      <w:proofErr w:type="spellStart"/>
      <w:r w:rsidR="00112ACE" w:rsidRPr="00813888">
        <w:rPr>
          <w:rFonts w:ascii="Times New Roman" w:hAnsi="Times New Roman"/>
          <w:i/>
          <w:iCs/>
        </w:rPr>
        <w:t>leading</w:t>
      </w:r>
      <w:proofErr w:type="spellEnd"/>
      <w:r w:rsidR="00112ACE" w:rsidRPr="00813888">
        <w:rPr>
          <w:rFonts w:ascii="Times New Roman" w:hAnsi="Times New Roman"/>
          <w:i/>
          <w:iCs/>
        </w:rPr>
        <w:t xml:space="preserve"> case</w:t>
      </w:r>
      <w:r w:rsidR="00112ACE" w:rsidRPr="00813888">
        <w:rPr>
          <w:rFonts w:ascii="Times New Roman" w:hAnsi="Times New Roman"/>
        </w:rPr>
        <w:t xml:space="preserve"> in materia</w:t>
      </w:r>
      <w:r w:rsidRPr="00813888">
        <w:rPr>
          <w:rFonts w:ascii="Times New Roman" w:hAnsi="Times New Roman"/>
        </w:rPr>
        <w:t>).</w:t>
      </w:r>
      <w:r w:rsidR="00112ACE" w:rsidRPr="00813888">
        <w:rPr>
          <w:rFonts w:ascii="Times New Roman" w:hAnsi="Times New Roman"/>
        </w:rPr>
        <w:t xml:space="preserve"> In termini Cons. Stato, sez. III, 20 gennaio 2019, n. 758; 3 aprile 2019, n. 2211.</w:t>
      </w:r>
    </w:p>
  </w:footnote>
  <w:footnote w:id="32">
    <w:p w14:paraId="2A3C5FB0" w14:textId="2C715C3B" w:rsidR="009F0EFB" w:rsidRPr="00813888" w:rsidRDefault="003B30D3"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Cons. Stato, sez. III, </w:t>
      </w:r>
      <w:r w:rsidR="00002594" w:rsidRPr="00813888">
        <w:rPr>
          <w:rFonts w:ascii="Times New Roman" w:hAnsi="Times New Roman"/>
        </w:rPr>
        <w:t xml:space="preserve">16 gennaio 2023, n. 491; </w:t>
      </w:r>
      <w:r w:rsidRPr="00813888">
        <w:rPr>
          <w:rFonts w:ascii="Times New Roman" w:hAnsi="Times New Roman"/>
        </w:rPr>
        <w:t xml:space="preserve">30 giugno 2020, n. 4168; </w:t>
      </w:r>
      <w:r w:rsidR="00002594" w:rsidRPr="00813888">
        <w:rPr>
          <w:rFonts w:ascii="Times New Roman" w:hAnsi="Times New Roman"/>
        </w:rPr>
        <w:t xml:space="preserve">8 giugno 2020, </w:t>
      </w:r>
      <w:r w:rsidRPr="00813888">
        <w:rPr>
          <w:rFonts w:ascii="Times New Roman" w:hAnsi="Times New Roman"/>
        </w:rPr>
        <w:t>n. 3641</w:t>
      </w:r>
      <w:r w:rsidR="009F0EFB" w:rsidRPr="00813888">
        <w:rPr>
          <w:rFonts w:ascii="Times New Roman" w:hAnsi="Times New Roman"/>
        </w:rPr>
        <w:t xml:space="preserve">; </w:t>
      </w:r>
      <w:r w:rsidR="009F0EFB" w:rsidRPr="00813888">
        <w:rPr>
          <w:rFonts w:ascii="Times New Roman" w:hAnsi="Times New Roman"/>
        </w:rPr>
        <w:t>5 settembre 2019, n. 6105</w:t>
      </w:r>
      <w:r w:rsidR="009F0EFB" w:rsidRPr="00813888">
        <w:rPr>
          <w:rFonts w:ascii="Times New Roman" w:hAnsi="Times New Roman"/>
        </w:rPr>
        <w:t xml:space="preserve">; </w:t>
      </w:r>
      <w:r w:rsidR="009F0EFB" w:rsidRPr="00813888">
        <w:rPr>
          <w:rFonts w:ascii="Times New Roman" w:hAnsi="Times New Roman"/>
        </w:rPr>
        <w:t>n. 174</w:t>
      </w:r>
      <w:r w:rsidR="00575D72" w:rsidRPr="00813888">
        <w:rPr>
          <w:rFonts w:ascii="Times New Roman" w:hAnsi="Times New Roman"/>
        </w:rPr>
        <w:t>3/2026, cit.; 7 ottobre 2015, n. 4657.</w:t>
      </w:r>
    </w:p>
  </w:footnote>
  <w:footnote w:id="33">
    <w:p w14:paraId="1C702411" w14:textId="33ACA98B" w:rsidR="002D0E46" w:rsidRPr="002D0E46" w:rsidRDefault="00112ACE" w:rsidP="00330E22">
      <w:pPr>
        <w:pStyle w:val="Testonotaapidipagina"/>
        <w:ind w:firstLine="709"/>
        <w:jc w:val="both"/>
        <w:rPr>
          <w:color w:val="666666"/>
          <w:shd w:val="clear" w:color="auto" w:fill="FFFFFF"/>
        </w:rPr>
      </w:pPr>
      <w:r w:rsidRPr="00813888">
        <w:rPr>
          <w:rStyle w:val="Rimandonotaapidipagina"/>
          <w:rFonts w:ascii="Times New Roman" w:hAnsi="Times New Roman"/>
        </w:rPr>
        <w:footnoteRef/>
      </w:r>
      <w:r w:rsidRPr="00813888">
        <w:rPr>
          <w:rFonts w:ascii="Times New Roman" w:hAnsi="Times New Roman"/>
        </w:rPr>
        <w:t xml:space="preserve"> Corte cost., 26 marzo 2020, n. 57, su cui </w:t>
      </w:r>
      <w:r w:rsidRPr="00813888">
        <w:rPr>
          <w:rFonts w:ascii="Times New Roman" w:hAnsi="Times New Roman"/>
          <w:smallCaps/>
        </w:rPr>
        <w:t>M. Mazzamuto</w:t>
      </w:r>
      <w:r w:rsidRPr="00813888">
        <w:rPr>
          <w:rFonts w:ascii="Times New Roman" w:hAnsi="Times New Roman"/>
        </w:rPr>
        <w:t xml:space="preserve">, </w:t>
      </w:r>
      <w:r w:rsidRPr="00813888">
        <w:rPr>
          <w:rFonts w:ascii="Times New Roman" w:hAnsi="Times New Roman"/>
          <w:i/>
          <w:iCs/>
        </w:rPr>
        <w:t>Interdittive prefettizie: rapporti tra privati, contagi e giusto procedimento</w:t>
      </w:r>
      <w:r w:rsidRPr="00813888">
        <w:rPr>
          <w:rFonts w:ascii="Times New Roman" w:hAnsi="Times New Roman"/>
        </w:rPr>
        <w:t xml:space="preserve">, in </w:t>
      </w:r>
      <w:r w:rsidRPr="00813888">
        <w:rPr>
          <w:rFonts w:ascii="Times New Roman" w:hAnsi="Times New Roman"/>
          <w:i/>
          <w:iCs/>
        </w:rPr>
        <w:t>Giur.</w:t>
      </w:r>
      <w:r w:rsidR="00002594" w:rsidRPr="00813888">
        <w:rPr>
          <w:rFonts w:ascii="Times New Roman" w:hAnsi="Times New Roman"/>
          <w:i/>
          <w:iCs/>
        </w:rPr>
        <w:t>i</w:t>
      </w:r>
      <w:r w:rsidRPr="00813888">
        <w:rPr>
          <w:rFonts w:ascii="Times New Roman" w:hAnsi="Times New Roman"/>
          <w:i/>
          <w:iCs/>
        </w:rPr>
        <w:t>t</w:t>
      </w:r>
      <w:r w:rsidRPr="00813888">
        <w:rPr>
          <w:rFonts w:ascii="Times New Roman" w:hAnsi="Times New Roman"/>
        </w:rPr>
        <w:t>., 2020, 1479 ss.</w:t>
      </w:r>
      <w:r w:rsidR="00E32005" w:rsidRPr="00813888">
        <w:rPr>
          <w:rFonts w:ascii="Times New Roman" w:hAnsi="Times New Roman"/>
        </w:rPr>
        <w:t xml:space="preserve">; </w:t>
      </w:r>
      <w:r w:rsidR="00E32005" w:rsidRPr="00813888">
        <w:rPr>
          <w:rFonts w:ascii="Times New Roman" w:hAnsi="Times New Roman"/>
          <w:smallCaps/>
        </w:rPr>
        <w:t>M. Nocelli</w:t>
      </w:r>
      <w:r w:rsidR="00E32005" w:rsidRPr="00813888">
        <w:rPr>
          <w:rFonts w:ascii="Times New Roman" w:hAnsi="Times New Roman"/>
        </w:rPr>
        <w:t xml:space="preserve">, </w:t>
      </w:r>
      <w:r w:rsidR="00E32005" w:rsidRPr="00813888">
        <w:rPr>
          <w:rFonts w:ascii="Times New Roman" w:hAnsi="Times New Roman"/>
          <w:i/>
          <w:iCs/>
        </w:rPr>
        <w:t>Le informazioni antimafia tra tassatività sostanziale e tassatività processuale</w:t>
      </w:r>
      <w:r w:rsidR="00E32005" w:rsidRPr="00813888">
        <w:rPr>
          <w:rFonts w:ascii="Times New Roman" w:hAnsi="Times New Roman"/>
        </w:rPr>
        <w:t xml:space="preserve">, in </w:t>
      </w:r>
      <w:r w:rsidR="000A0E71" w:rsidRPr="00813888">
        <w:rPr>
          <w:rFonts w:ascii="Times New Roman" w:hAnsi="Times New Roman"/>
          <w:i/>
          <w:iCs/>
        </w:rPr>
        <w:t>www.giustizia-amministrativa.it</w:t>
      </w:r>
      <w:r w:rsidR="00330E22">
        <w:rPr>
          <w:rFonts w:ascii="Times New Roman" w:hAnsi="Times New Roman"/>
          <w:i/>
          <w:iCs/>
        </w:rPr>
        <w:t>.</w:t>
      </w:r>
    </w:p>
  </w:footnote>
  <w:footnote w:id="34">
    <w:p w14:paraId="28103759" w14:textId="1CBB5CE1" w:rsidR="00330E22" w:rsidRDefault="00330E22" w:rsidP="00330E22">
      <w:pPr>
        <w:pStyle w:val="Testonotaapidipagina"/>
        <w:ind w:firstLine="709"/>
      </w:pPr>
      <w:r>
        <w:rPr>
          <w:rStyle w:val="Rimandonotaapidipagina"/>
        </w:rPr>
        <w:footnoteRef/>
      </w:r>
      <w:r>
        <w:t xml:space="preserve"> </w:t>
      </w:r>
      <w:r>
        <w:rPr>
          <w:rFonts w:ascii="Times New Roman" w:hAnsi="Times New Roman"/>
        </w:rPr>
        <w:t xml:space="preserve">Cfr., da ultimo, </w:t>
      </w:r>
      <w:r>
        <w:rPr>
          <w:rFonts w:ascii="Times New Roman" w:hAnsi="Times New Roman"/>
        </w:rPr>
        <w:t>Corte cost., 27 febbraio 2019, n. 24.</w:t>
      </w:r>
    </w:p>
  </w:footnote>
  <w:footnote w:id="35">
    <w:p w14:paraId="4874A51E" w14:textId="244B8255" w:rsidR="00330E22" w:rsidRDefault="00330E22" w:rsidP="00330E22">
      <w:pPr>
        <w:pStyle w:val="Testonotaapidipagina"/>
        <w:ind w:firstLine="709"/>
      </w:pPr>
      <w:r>
        <w:rPr>
          <w:rStyle w:val="Rimandonotaapidipagina"/>
        </w:rPr>
        <w:footnoteRef/>
      </w:r>
      <w:r>
        <w:t xml:space="preserve"> </w:t>
      </w:r>
      <w:r>
        <w:rPr>
          <w:rFonts w:ascii="Times New Roman" w:hAnsi="Times New Roman"/>
        </w:rPr>
        <w:t xml:space="preserve">Corte cost., n. </w:t>
      </w:r>
      <w:r>
        <w:rPr>
          <w:rFonts w:ascii="Times New Roman" w:hAnsi="Times New Roman"/>
        </w:rPr>
        <w:t>57/2020, cit.</w:t>
      </w:r>
    </w:p>
  </w:footnote>
  <w:footnote w:id="36">
    <w:p w14:paraId="6974310A" w14:textId="2B4A2352" w:rsidR="00330E22" w:rsidRPr="00813888" w:rsidRDefault="00330E22" w:rsidP="00330E22">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Il giudice convenzionale, a partire dalla nota decisione Corte </w:t>
      </w:r>
      <w:proofErr w:type="spellStart"/>
      <w:r w:rsidRPr="00813888">
        <w:rPr>
          <w:rFonts w:ascii="Times New Roman" w:hAnsi="Times New Roman"/>
        </w:rPr>
        <w:t>eur</w:t>
      </w:r>
      <w:proofErr w:type="spellEnd"/>
      <w:r w:rsidRPr="00813888">
        <w:rPr>
          <w:rFonts w:ascii="Times New Roman" w:hAnsi="Times New Roman"/>
        </w:rPr>
        <w:t xml:space="preserve">. dir. uomo, Plenaria, 8 giugno 1976, caso n. 5100/71, Engel and Others v. the Netherlands, §§ 81 e 82, </w:t>
      </w:r>
      <w:r>
        <w:rPr>
          <w:rFonts w:ascii="Times New Roman" w:hAnsi="Times New Roman"/>
        </w:rPr>
        <w:t>utilizza</w:t>
      </w:r>
      <w:r w:rsidRPr="00813888">
        <w:rPr>
          <w:rFonts w:ascii="Times New Roman" w:hAnsi="Times New Roman"/>
        </w:rPr>
        <w:t xml:space="preserve"> il criterio dell’effettiva lesività di una misura </w:t>
      </w:r>
      <w:r>
        <w:rPr>
          <w:rFonts w:ascii="Times New Roman" w:hAnsi="Times New Roman"/>
        </w:rPr>
        <w:t xml:space="preserve">al fine di </w:t>
      </w:r>
      <w:r w:rsidRPr="00813888">
        <w:rPr>
          <w:rFonts w:ascii="Times New Roman" w:hAnsi="Times New Roman"/>
        </w:rPr>
        <w:t xml:space="preserve">stabilire a quale genere e </w:t>
      </w:r>
      <w:r>
        <w:rPr>
          <w:rFonts w:ascii="Times New Roman" w:hAnsi="Times New Roman"/>
        </w:rPr>
        <w:t>a quale l</w:t>
      </w:r>
      <w:r w:rsidRPr="00813888">
        <w:rPr>
          <w:rFonts w:ascii="Times New Roman" w:hAnsi="Times New Roman"/>
        </w:rPr>
        <w:t xml:space="preserve">ivello di garanzie essa debba essere sottoposta. Sul punto e anche per una critica alla giurisprudenza costituzionale in materia cfr. </w:t>
      </w:r>
      <w:r w:rsidRPr="00813888">
        <w:rPr>
          <w:rFonts w:ascii="Times New Roman" w:hAnsi="Times New Roman"/>
          <w:smallCaps/>
        </w:rPr>
        <w:t>G. Amarelli</w:t>
      </w:r>
      <w:r w:rsidRPr="00813888">
        <w:rPr>
          <w:rFonts w:ascii="Times New Roman" w:hAnsi="Times New Roman"/>
        </w:rPr>
        <w:t xml:space="preserve">, </w:t>
      </w:r>
      <w:r w:rsidRPr="00813888">
        <w:rPr>
          <w:rFonts w:ascii="Times New Roman" w:hAnsi="Times New Roman"/>
          <w:i/>
          <w:iCs/>
        </w:rPr>
        <w:t>Interdittive antimafia e “valori fondanti della democrazia”: il pericoloso equivoca da evitare</w:t>
      </w:r>
      <w:r w:rsidRPr="00813888">
        <w:rPr>
          <w:rFonts w:ascii="Times New Roman" w:hAnsi="Times New Roman"/>
        </w:rPr>
        <w:t xml:space="preserve">, in </w:t>
      </w:r>
      <w:r w:rsidRPr="00813888">
        <w:rPr>
          <w:rFonts w:ascii="Times New Roman" w:hAnsi="Times New Roman"/>
          <w:i/>
          <w:iCs/>
        </w:rPr>
        <w:t>www.giustiziainsieme.it</w:t>
      </w:r>
      <w:r w:rsidRPr="00813888">
        <w:rPr>
          <w:rFonts w:ascii="Times New Roman" w:hAnsi="Times New Roman"/>
        </w:rPr>
        <w:t>.</w:t>
      </w:r>
    </w:p>
  </w:footnote>
  <w:footnote w:id="37">
    <w:p w14:paraId="7B92EA9B" w14:textId="1817A0B5" w:rsidR="009F49B7" w:rsidRPr="00813888" w:rsidRDefault="009F49B7"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Pr="00813888">
        <w:rPr>
          <w:rFonts w:ascii="Times New Roman" w:hAnsi="Times New Roman"/>
        </w:rPr>
        <w:t xml:space="preserve">Condizione espressamente richiesta dalla Consulta per riconoscere la legittimità dell’interpretazione </w:t>
      </w:r>
      <w:proofErr w:type="spellStart"/>
      <w:r w:rsidRPr="00813888">
        <w:rPr>
          <w:rFonts w:ascii="Times New Roman" w:hAnsi="Times New Roman"/>
        </w:rPr>
        <w:t>tassativizzante</w:t>
      </w:r>
      <w:proofErr w:type="spellEnd"/>
      <w:r w:rsidR="002D0E46">
        <w:rPr>
          <w:rFonts w:ascii="Times New Roman" w:hAnsi="Times New Roman"/>
        </w:rPr>
        <w:t xml:space="preserve"> (Corte cost., n. 24/2019, cit.</w:t>
      </w:r>
      <w:r w:rsidR="00422F21">
        <w:rPr>
          <w:rFonts w:ascii="Times New Roman" w:hAnsi="Times New Roman"/>
        </w:rPr>
        <w:t>, punto 12 del Considerato in diritto; n. 57/2020, cit., punto 5 del Considerato in diritto</w:t>
      </w:r>
      <w:r w:rsidR="002D0E46">
        <w:rPr>
          <w:rFonts w:ascii="Times New Roman" w:hAnsi="Times New Roman"/>
        </w:rPr>
        <w:t>).</w:t>
      </w:r>
    </w:p>
  </w:footnote>
  <w:footnote w:id="38">
    <w:p w14:paraId="75072CBF" w14:textId="54D0626C" w:rsidR="007B507D" w:rsidRPr="00813888" w:rsidRDefault="007B507D"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Così Cons. </w:t>
      </w:r>
      <w:proofErr w:type="spellStart"/>
      <w:r w:rsidRPr="00813888">
        <w:rPr>
          <w:rFonts w:ascii="Times New Roman" w:hAnsi="Times New Roman"/>
        </w:rPr>
        <w:t>giust</w:t>
      </w:r>
      <w:proofErr w:type="spellEnd"/>
      <w:r w:rsidRPr="00813888">
        <w:rPr>
          <w:rFonts w:ascii="Times New Roman" w:hAnsi="Times New Roman"/>
        </w:rPr>
        <w:t xml:space="preserve">. </w:t>
      </w:r>
      <w:proofErr w:type="spellStart"/>
      <w:r w:rsidRPr="00813888">
        <w:rPr>
          <w:rFonts w:ascii="Times New Roman" w:hAnsi="Times New Roman"/>
        </w:rPr>
        <w:t>amm</w:t>
      </w:r>
      <w:proofErr w:type="spellEnd"/>
      <w:r w:rsidRPr="00813888">
        <w:rPr>
          <w:rFonts w:ascii="Times New Roman" w:hAnsi="Times New Roman"/>
        </w:rPr>
        <w:t xml:space="preserve">. reg. sic., </w:t>
      </w:r>
      <w:r w:rsidRPr="00813888">
        <w:rPr>
          <w:rFonts w:ascii="Times New Roman" w:hAnsi="Times New Roman"/>
          <w:color w:val="000000"/>
        </w:rPr>
        <w:t>29 luglio 2017, n. 713</w:t>
      </w:r>
      <w:r w:rsidRPr="00813888">
        <w:rPr>
          <w:rFonts w:ascii="Times New Roman" w:hAnsi="Times New Roman"/>
          <w:color w:val="000000"/>
        </w:rPr>
        <w:t>.</w:t>
      </w:r>
    </w:p>
  </w:footnote>
  <w:footnote w:id="39">
    <w:p w14:paraId="30EFC7EA" w14:textId="565EB388" w:rsidR="00592A8D" w:rsidRPr="00813888" w:rsidRDefault="00592A8D"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Di spirale ermeneutica tra fatto e diritto parlano le sezioni unite della Cassazione a far data dalla decisione </w:t>
      </w:r>
      <w:r w:rsidRPr="00813888">
        <w:rPr>
          <w:rFonts w:ascii="Times New Roman" w:hAnsi="Times New Roman"/>
          <w:color w:val="000000" w:themeColor="text1"/>
        </w:rPr>
        <w:t>22 febbraio 2012, n. 2572</w:t>
      </w:r>
      <w:r w:rsidRPr="00813888">
        <w:rPr>
          <w:rFonts w:ascii="Times New Roman" w:hAnsi="Times New Roman"/>
          <w:color w:val="000000" w:themeColor="text1"/>
        </w:rPr>
        <w:t>.</w:t>
      </w:r>
    </w:p>
  </w:footnote>
  <w:footnote w:id="40">
    <w:p w14:paraId="67C97BB8" w14:textId="29C5B025" w:rsidR="00E32005" w:rsidRPr="00813888" w:rsidRDefault="00E32005"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00813888">
        <w:rPr>
          <w:rFonts w:ascii="Times New Roman" w:hAnsi="Times New Roman"/>
        </w:rPr>
        <w:t>“</w:t>
      </w:r>
      <w:r w:rsidR="007C5868">
        <w:rPr>
          <w:rFonts w:ascii="Times New Roman" w:hAnsi="Times New Roman"/>
        </w:rPr>
        <w:t xml:space="preserve">… </w:t>
      </w:r>
      <w:r w:rsidR="00813888">
        <w:rPr>
          <w:rFonts w:ascii="Times New Roman" w:hAnsi="Times New Roman"/>
        </w:rPr>
        <w:t xml:space="preserve">Sia sufficiente accertare che l’ipotesi intorno a quel fatto sia più probabile di tutte le altre messe assieme, ossia rappresenti il 50 % + 1 di possibilità”; così </w:t>
      </w:r>
      <w:r w:rsidRPr="00813888">
        <w:rPr>
          <w:rFonts w:ascii="Times New Roman" w:hAnsi="Times New Roman"/>
        </w:rPr>
        <w:t xml:space="preserve">Cons. Stato, sez. III, </w:t>
      </w:r>
      <w:r w:rsidR="00813888">
        <w:rPr>
          <w:rFonts w:ascii="Times New Roman" w:hAnsi="Times New Roman"/>
        </w:rPr>
        <w:t xml:space="preserve">26 settembre 2017, n. 4483; </w:t>
      </w:r>
      <w:r w:rsidRPr="00813888">
        <w:rPr>
          <w:rFonts w:ascii="Times New Roman" w:hAnsi="Times New Roman"/>
        </w:rPr>
        <w:t>7 ottobre 2015, n. 4657.</w:t>
      </w:r>
    </w:p>
  </w:footnote>
  <w:footnote w:id="41">
    <w:p w14:paraId="379C3E13" w14:textId="77777777" w:rsidR="00E32005" w:rsidRPr="00813888" w:rsidRDefault="00E32005"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Cons. Stato, sez. III, 28 giugno 2017, n. 3173; 26 aprile 2017, n. 1923; 3 maggio 2016, n. 1743.</w:t>
      </w:r>
    </w:p>
  </w:footnote>
  <w:footnote w:id="42">
    <w:p w14:paraId="0CF5EB3F" w14:textId="11674BD3" w:rsidR="00F2331D" w:rsidRPr="00813888" w:rsidRDefault="00F2331D"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P</w:t>
      </w:r>
      <w:r w:rsidRPr="00813888">
        <w:rPr>
          <w:rFonts w:ascii="Times New Roman" w:hAnsi="Times New Roman"/>
        </w:rPr>
        <w:t xml:space="preserve">er l’emanazione dell’interdittiva non occorre </w:t>
      </w:r>
      <w:r w:rsidRPr="00813888">
        <w:rPr>
          <w:rFonts w:ascii="Times New Roman" w:hAnsi="Times New Roman"/>
        </w:rPr>
        <w:t>“</w:t>
      </w:r>
      <w:r w:rsidRPr="00813888">
        <w:rPr>
          <w:rFonts w:ascii="Times New Roman" w:hAnsi="Times New Roman"/>
        </w:rPr>
        <w:t>provare l’intervenuta infiltrazione mafiosa, bens</w:t>
      </w:r>
      <w:r w:rsidRPr="00813888">
        <w:rPr>
          <w:rFonts w:ascii="Times New Roman" w:hAnsi="Times New Roman"/>
        </w:rPr>
        <w:t>ì</w:t>
      </w:r>
      <w:r w:rsidRPr="00813888">
        <w:rPr>
          <w:rFonts w:ascii="Times New Roman" w:hAnsi="Times New Roman"/>
        </w:rPr>
        <w:t xml:space="preserve"> soltanto la sussistenza di elementi sintomatico-presuntivi dai quali — secondo un giudizio prognostico latamente discrezionale — sia deducibile il pericolo di ingerenza da parte della criminalit</w:t>
      </w:r>
      <w:r w:rsidRPr="00813888">
        <w:rPr>
          <w:rFonts w:ascii="Times New Roman" w:hAnsi="Times New Roman"/>
        </w:rPr>
        <w:t>à</w:t>
      </w:r>
      <w:r w:rsidRPr="00813888">
        <w:rPr>
          <w:rFonts w:ascii="Times New Roman" w:hAnsi="Times New Roman"/>
        </w:rPr>
        <w:t xml:space="preserve"> organizzata</w:t>
      </w:r>
      <w:r w:rsidRPr="00813888">
        <w:rPr>
          <w:rFonts w:ascii="Times New Roman" w:hAnsi="Times New Roman"/>
        </w:rPr>
        <w:t xml:space="preserve">” (Cons. Stato, sez. III, </w:t>
      </w:r>
      <w:r w:rsidRPr="00813888">
        <w:rPr>
          <w:rFonts w:ascii="Times New Roman" w:hAnsi="Times New Roman"/>
        </w:rPr>
        <w:t>18 aprile 2018, n. 2343</w:t>
      </w:r>
      <w:r w:rsidRPr="00813888">
        <w:rPr>
          <w:rFonts w:ascii="Times New Roman" w:hAnsi="Times New Roman"/>
        </w:rPr>
        <w:t>)</w:t>
      </w:r>
      <w:r w:rsidRPr="00813888">
        <w:rPr>
          <w:rFonts w:ascii="Times New Roman" w:hAnsi="Times New Roman"/>
        </w:rPr>
        <w:t xml:space="preserve">. </w:t>
      </w:r>
    </w:p>
  </w:footnote>
  <w:footnote w:id="43">
    <w:p w14:paraId="750A7BCF" w14:textId="5DECA9B4" w:rsidR="00813888" w:rsidRPr="00813888" w:rsidRDefault="00813888"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In questo senso, con particolare chiarezza, </w:t>
      </w:r>
      <w:r w:rsidRPr="00813888">
        <w:rPr>
          <w:rFonts w:ascii="Times New Roman" w:hAnsi="Times New Roman"/>
          <w:smallCaps/>
        </w:rPr>
        <w:t>A. T</w:t>
      </w:r>
      <w:r w:rsidRPr="00813888">
        <w:rPr>
          <w:rFonts w:ascii="Times New Roman" w:hAnsi="Times New Roman"/>
          <w:smallCaps/>
        </w:rPr>
        <w:t>ravi</w:t>
      </w:r>
      <w:r w:rsidRPr="00813888">
        <w:rPr>
          <w:rFonts w:ascii="Times New Roman" w:hAnsi="Times New Roman"/>
        </w:rPr>
        <w:t xml:space="preserve">, </w:t>
      </w:r>
      <w:r w:rsidRPr="00813888">
        <w:rPr>
          <w:rFonts w:ascii="Times New Roman" w:hAnsi="Times New Roman"/>
          <w:i/>
          <w:iCs/>
        </w:rPr>
        <w:t xml:space="preserve">Recensione a Ernesto Fabiani, Clausole generali e sindacato della Cassazione, con prefazione di Michele </w:t>
      </w:r>
      <w:proofErr w:type="spellStart"/>
      <w:r w:rsidRPr="00813888">
        <w:rPr>
          <w:rFonts w:ascii="Times New Roman" w:hAnsi="Times New Roman"/>
          <w:i/>
          <w:iCs/>
        </w:rPr>
        <w:t>Taruffo</w:t>
      </w:r>
      <w:proofErr w:type="spellEnd"/>
      <w:r w:rsidRPr="00813888">
        <w:rPr>
          <w:rFonts w:ascii="Times New Roman" w:hAnsi="Times New Roman"/>
        </w:rPr>
        <w:t xml:space="preserve">, in </w:t>
      </w:r>
      <w:r w:rsidRPr="00813888">
        <w:rPr>
          <w:rFonts w:ascii="Times New Roman" w:hAnsi="Times New Roman"/>
          <w:i/>
          <w:iCs/>
        </w:rPr>
        <w:t xml:space="preserve">Dir. </w:t>
      </w:r>
      <w:proofErr w:type="spellStart"/>
      <w:r w:rsidRPr="00813888">
        <w:rPr>
          <w:rFonts w:ascii="Times New Roman" w:hAnsi="Times New Roman"/>
          <w:i/>
          <w:iCs/>
        </w:rPr>
        <w:t>pubbl</w:t>
      </w:r>
      <w:proofErr w:type="spellEnd"/>
      <w:r w:rsidRPr="00813888">
        <w:rPr>
          <w:rFonts w:ascii="Times New Roman" w:hAnsi="Times New Roman"/>
        </w:rPr>
        <w:t>., 2005, p. 663 ss.</w:t>
      </w:r>
      <w:r w:rsidRPr="00813888">
        <w:rPr>
          <w:rFonts w:ascii="Times New Roman" w:hAnsi="Times New Roman"/>
        </w:rPr>
        <w:t xml:space="preserve">; </w:t>
      </w:r>
      <w:r w:rsidRPr="00813888">
        <w:rPr>
          <w:rFonts w:ascii="Times New Roman" w:hAnsi="Times New Roman"/>
          <w:smallCaps/>
        </w:rPr>
        <w:t>Id.</w:t>
      </w:r>
      <w:r w:rsidRPr="00813888">
        <w:rPr>
          <w:rFonts w:ascii="Times New Roman" w:hAnsi="Times New Roman"/>
        </w:rPr>
        <w:t>,</w:t>
      </w:r>
      <w:r w:rsidRPr="00813888">
        <w:rPr>
          <w:rFonts w:ascii="Times New Roman" w:hAnsi="Times New Roman"/>
        </w:rPr>
        <w:t xml:space="preserve"> </w:t>
      </w:r>
      <w:r w:rsidRPr="00813888">
        <w:rPr>
          <w:rFonts w:ascii="Times New Roman" w:hAnsi="Times New Roman"/>
          <w:i/>
        </w:rPr>
        <w:t>Giurisdizione e amministrazione</w:t>
      </w:r>
      <w:r w:rsidRPr="00813888">
        <w:rPr>
          <w:rFonts w:ascii="Times New Roman" w:hAnsi="Times New Roman"/>
        </w:rPr>
        <w:t xml:space="preserve">, in </w:t>
      </w:r>
      <w:r w:rsidRPr="00813888">
        <w:rPr>
          <w:rFonts w:ascii="Times New Roman" w:hAnsi="Times New Roman"/>
          <w:smallCaps/>
        </w:rPr>
        <w:t>F. Manganaro, A. Romano Tassone, F. Saitta</w:t>
      </w:r>
      <w:r w:rsidRPr="00813888">
        <w:rPr>
          <w:rFonts w:ascii="Times New Roman" w:hAnsi="Times New Roman"/>
          <w:smallCaps/>
        </w:rPr>
        <w:t>,</w:t>
      </w:r>
      <w:r w:rsidRPr="00813888">
        <w:rPr>
          <w:rFonts w:ascii="Times New Roman" w:hAnsi="Times New Roman"/>
          <w:i/>
        </w:rPr>
        <w:t xml:space="preserve"> </w:t>
      </w:r>
      <w:r w:rsidRPr="00813888">
        <w:rPr>
          <w:rFonts w:ascii="Times New Roman" w:hAnsi="Times New Roman"/>
          <w:iCs/>
        </w:rPr>
        <w:t xml:space="preserve">(a cura di), </w:t>
      </w:r>
      <w:r w:rsidRPr="00813888">
        <w:rPr>
          <w:rFonts w:ascii="Times New Roman" w:hAnsi="Times New Roman"/>
          <w:i/>
        </w:rPr>
        <w:t xml:space="preserve">Sindacato giurisdizionale e </w:t>
      </w:r>
      <w:r w:rsidRPr="00813888">
        <w:rPr>
          <w:rFonts w:ascii="Times New Roman" w:hAnsi="Times New Roman"/>
          <w:i/>
        </w:rPr>
        <w:t>“</w:t>
      </w:r>
      <w:r w:rsidRPr="00813888">
        <w:rPr>
          <w:rFonts w:ascii="Times New Roman" w:hAnsi="Times New Roman"/>
          <w:i/>
        </w:rPr>
        <w:t>sostituzione</w:t>
      </w:r>
      <w:r w:rsidRPr="00813888">
        <w:rPr>
          <w:rFonts w:ascii="Times New Roman" w:hAnsi="Times New Roman"/>
          <w:i/>
        </w:rPr>
        <w:t xml:space="preserve">” </w:t>
      </w:r>
      <w:r w:rsidRPr="00813888">
        <w:rPr>
          <w:rFonts w:ascii="Times New Roman" w:hAnsi="Times New Roman"/>
          <w:i/>
        </w:rPr>
        <w:t>della pubblica amministrazione</w:t>
      </w:r>
      <w:r w:rsidRPr="00813888">
        <w:rPr>
          <w:rFonts w:ascii="Times New Roman" w:hAnsi="Times New Roman"/>
        </w:rPr>
        <w:t>, Milano, 2013, 3 ss.</w:t>
      </w:r>
      <w:r w:rsidRPr="00813888">
        <w:rPr>
          <w:rFonts w:ascii="Times New Roman" w:hAnsi="Times New Roman"/>
        </w:rPr>
        <w:t xml:space="preserve">; </w:t>
      </w:r>
      <w:r w:rsidRPr="00813888">
        <w:rPr>
          <w:rFonts w:ascii="Times New Roman" w:hAnsi="Times New Roman"/>
          <w:smallCaps/>
        </w:rPr>
        <w:t>Id</w:t>
      </w:r>
      <w:r w:rsidRPr="00813888">
        <w:rPr>
          <w:rFonts w:ascii="Times New Roman" w:hAnsi="Times New Roman"/>
        </w:rPr>
        <w:t>.,</w:t>
      </w:r>
      <w:r w:rsidRPr="00813888">
        <w:rPr>
          <w:rFonts w:ascii="Times New Roman" w:hAnsi="Times New Roman"/>
        </w:rPr>
        <w:t xml:space="preserve"> </w:t>
      </w:r>
      <w:r w:rsidRPr="00813888">
        <w:rPr>
          <w:rFonts w:ascii="Times New Roman" w:hAnsi="Times New Roman"/>
          <w:i/>
        </w:rPr>
        <w:t>Per una revisione dei limiti del sindacato giurisdizionale nei confronti dei provvedimenti amministrativi</w:t>
      </w:r>
      <w:r w:rsidRPr="00813888">
        <w:rPr>
          <w:rFonts w:ascii="Times New Roman" w:hAnsi="Times New Roman"/>
        </w:rPr>
        <w:t xml:space="preserve">, in </w:t>
      </w:r>
      <w:proofErr w:type="spellStart"/>
      <w:r w:rsidRPr="00813888">
        <w:rPr>
          <w:rFonts w:ascii="Times New Roman" w:hAnsi="Times New Roman"/>
          <w:smallCaps/>
        </w:rPr>
        <w:t>Aa.vv</w:t>
      </w:r>
      <w:proofErr w:type="spellEnd"/>
      <w:r w:rsidRPr="00813888">
        <w:rPr>
          <w:rFonts w:ascii="Times New Roman" w:hAnsi="Times New Roman"/>
        </w:rPr>
        <w:t xml:space="preserve">., </w:t>
      </w:r>
      <w:r w:rsidRPr="00813888">
        <w:rPr>
          <w:rFonts w:ascii="Times New Roman" w:hAnsi="Times New Roman"/>
          <w:i/>
        </w:rPr>
        <w:t xml:space="preserve">La </w:t>
      </w:r>
      <w:proofErr w:type="spellStart"/>
      <w:r w:rsidRPr="00813888">
        <w:rPr>
          <w:rFonts w:ascii="Times New Roman" w:hAnsi="Times New Roman"/>
          <w:i/>
        </w:rPr>
        <w:t>protección</w:t>
      </w:r>
      <w:proofErr w:type="spellEnd"/>
      <w:r w:rsidRPr="00813888">
        <w:rPr>
          <w:rFonts w:ascii="Times New Roman" w:hAnsi="Times New Roman"/>
          <w:i/>
        </w:rPr>
        <w:t xml:space="preserve"> de </w:t>
      </w:r>
      <w:proofErr w:type="spellStart"/>
      <w:r w:rsidRPr="00813888">
        <w:rPr>
          <w:rFonts w:ascii="Times New Roman" w:hAnsi="Times New Roman"/>
          <w:i/>
        </w:rPr>
        <w:t>los</w:t>
      </w:r>
      <w:proofErr w:type="spellEnd"/>
      <w:r w:rsidRPr="00813888">
        <w:rPr>
          <w:rFonts w:ascii="Times New Roman" w:hAnsi="Times New Roman"/>
          <w:i/>
        </w:rPr>
        <w:t xml:space="preserve"> </w:t>
      </w:r>
      <w:proofErr w:type="spellStart"/>
      <w:r w:rsidRPr="00813888">
        <w:rPr>
          <w:rFonts w:ascii="Times New Roman" w:hAnsi="Times New Roman"/>
          <w:i/>
        </w:rPr>
        <w:t>derechos</w:t>
      </w:r>
      <w:proofErr w:type="spellEnd"/>
      <w:r w:rsidRPr="00813888">
        <w:rPr>
          <w:rFonts w:ascii="Times New Roman" w:hAnsi="Times New Roman"/>
          <w:i/>
        </w:rPr>
        <w:t xml:space="preserve"> </w:t>
      </w:r>
      <w:proofErr w:type="spellStart"/>
      <w:r w:rsidRPr="00813888">
        <w:rPr>
          <w:rFonts w:ascii="Times New Roman" w:hAnsi="Times New Roman"/>
          <w:i/>
        </w:rPr>
        <w:t>frente</w:t>
      </w:r>
      <w:proofErr w:type="spellEnd"/>
      <w:r w:rsidRPr="00813888">
        <w:rPr>
          <w:rFonts w:ascii="Times New Roman" w:hAnsi="Times New Roman"/>
          <w:i/>
        </w:rPr>
        <w:t xml:space="preserve"> al </w:t>
      </w:r>
      <w:proofErr w:type="spellStart"/>
      <w:r w:rsidRPr="00813888">
        <w:rPr>
          <w:rFonts w:ascii="Times New Roman" w:hAnsi="Times New Roman"/>
          <w:i/>
        </w:rPr>
        <w:t>poder</w:t>
      </w:r>
      <w:proofErr w:type="spellEnd"/>
      <w:r w:rsidRPr="00813888">
        <w:rPr>
          <w:rFonts w:ascii="Times New Roman" w:hAnsi="Times New Roman"/>
          <w:i/>
        </w:rPr>
        <w:t xml:space="preserve"> de la </w:t>
      </w:r>
      <w:proofErr w:type="spellStart"/>
      <w:r w:rsidRPr="00813888">
        <w:rPr>
          <w:rFonts w:ascii="Times New Roman" w:hAnsi="Times New Roman"/>
          <w:i/>
        </w:rPr>
        <w:t>administracion</w:t>
      </w:r>
      <w:proofErr w:type="spellEnd"/>
      <w:r w:rsidRPr="00813888">
        <w:rPr>
          <w:rFonts w:ascii="Times New Roman" w:hAnsi="Times New Roman"/>
          <w:i/>
        </w:rPr>
        <w:t xml:space="preserve">. Libro </w:t>
      </w:r>
      <w:proofErr w:type="spellStart"/>
      <w:r w:rsidRPr="00813888">
        <w:rPr>
          <w:rFonts w:ascii="Times New Roman" w:hAnsi="Times New Roman"/>
          <w:i/>
        </w:rPr>
        <w:t>homenaje</w:t>
      </w:r>
      <w:proofErr w:type="spellEnd"/>
      <w:r w:rsidRPr="00813888">
        <w:rPr>
          <w:rFonts w:ascii="Times New Roman" w:hAnsi="Times New Roman"/>
          <w:i/>
        </w:rPr>
        <w:t xml:space="preserve"> al </w:t>
      </w:r>
      <w:proofErr w:type="spellStart"/>
      <w:r w:rsidRPr="00813888">
        <w:rPr>
          <w:rFonts w:ascii="Times New Roman" w:hAnsi="Times New Roman"/>
          <w:i/>
        </w:rPr>
        <w:t>Profesor</w:t>
      </w:r>
      <w:proofErr w:type="spellEnd"/>
      <w:r w:rsidRPr="00813888">
        <w:rPr>
          <w:rFonts w:ascii="Times New Roman" w:hAnsi="Times New Roman"/>
          <w:i/>
        </w:rPr>
        <w:t xml:space="preserve"> Eduardo García de </w:t>
      </w:r>
      <w:proofErr w:type="spellStart"/>
      <w:r w:rsidRPr="00813888">
        <w:rPr>
          <w:rFonts w:ascii="Times New Roman" w:hAnsi="Times New Roman"/>
          <w:i/>
        </w:rPr>
        <w:t>Enterría</w:t>
      </w:r>
      <w:proofErr w:type="spellEnd"/>
      <w:r w:rsidRPr="00813888">
        <w:rPr>
          <w:rFonts w:ascii="Times New Roman" w:hAnsi="Times New Roman"/>
        </w:rPr>
        <w:t>, Caracas, 2014, 755 ss.</w:t>
      </w:r>
    </w:p>
  </w:footnote>
  <w:footnote w:id="44">
    <w:p w14:paraId="4ABDB149" w14:textId="114FEB13" w:rsidR="00A4743C" w:rsidRPr="00813888" w:rsidRDefault="00A4743C"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w:t>
      </w:r>
      <w:r w:rsidRPr="00813888">
        <w:rPr>
          <w:rFonts w:ascii="Times New Roman" w:hAnsi="Times New Roman"/>
          <w:smallCaps/>
        </w:rPr>
        <w:t xml:space="preserve">B. </w:t>
      </w:r>
      <w:proofErr w:type="spellStart"/>
      <w:r w:rsidRPr="00813888">
        <w:rPr>
          <w:rFonts w:ascii="Times New Roman" w:hAnsi="Times New Roman"/>
          <w:smallCaps/>
        </w:rPr>
        <w:t>Tonoletti</w:t>
      </w:r>
      <w:proofErr w:type="spellEnd"/>
      <w:r w:rsidRPr="00813888">
        <w:rPr>
          <w:rFonts w:ascii="Times New Roman" w:hAnsi="Times New Roman"/>
        </w:rPr>
        <w:t xml:space="preserve">, </w:t>
      </w:r>
      <w:r w:rsidRPr="00813888">
        <w:rPr>
          <w:rFonts w:ascii="Times New Roman" w:hAnsi="Times New Roman"/>
          <w:i/>
          <w:iCs/>
        </w:rPr>
        <w:t>Il sindacato sugli atti valutativi di giudizio</w:t>
      </w:r>
      <w:r w:rsidRPr="00813888">
        <w:rPr>
          <w:rFonts w:ascii="Times New Roman" w:hAnsi="Times New Roman"/>
        </w:rPr>
        <w:t xml:space="preserve">, in </w:t>
      </w:r>
      <w:r w:rsidRPr="00813888">
        <w:rPr>
          <w:rFonts w:ascii="Times New Roman" w:hAnsi="Times New Roman"/>
          <w:smallCaps/>
        </w:rPr>
        <w:t xml:space="preserve">F. </w:t>
      </w:r>
      <w:proofErr w:type="spellStart"/>
      <w:r w:rsidRPr="00813888">
        <w:rPr>
          <w:rFonts w:ascii="Times New Roman" w:hAnsi="Times New Roman"/>
          <w:smallCaps/>
        </w:rPr>
        <w:t>Francario</w:t>
      </w:r>
      <w:proofErr w:type="spellEnd"/>
      <w:r w:rsidRPr="00813888">
        <w:rPr>
          <w:rFonts w:ascii="Times New Roman" w:hAnsi="Times New Roman"/>
        </w:rPr>
        <w:t xml:space="preserve"> e </w:t>
      </w:r>
      <w:r w:rsidRPr="00813888">
        <w:rPr>
          <w:rFonts w:ascii="Times New Roman" w:hAnsi="Times New Roman"/>
          <w:smallCaps/>
        </w:rPr>
        <w:t>M. A. Sandulli</w:t>
      </w:r>
      <w:r w:rsidRPr="00813888">
        <w:rPr>
          <w:rFonts w:ascii="Times New Roman" w:hAnsi="Times New Roman"/>
        </w:rPr>
        <w:t xml:space="preserve"> (a cura di), </w:t>
      </w:r>
      <w:r w:rsidRPr="00813888">
        <w:rPr>
          <w:rFonts w:ascii="Times New Roman" w:hAnsi="Times New Roman"/>
          <w:i/>
          <w:iCs/>
        </w:rPr>
        <w:t>Sindacato sulla discrezionalità e ambito del giudizio di cognizione</w:t>
      </w:r>
      <w:r w:rsidRPr="00813888">
        <w:rPr>
          <w:rFonts w:ascii="Times New Roman" w:hAnsi="Times New Roman"/>
        </w:rPr>
        <w:t xml:space="preserve">, 2023, </w:t>
      </w:r>
      <w:r w:rsidR="00A7417C" w:rsidRPr="00813888">
        <w:rPr>
          <w:rFonts w:ascii="Times New Roman" w:hAnsi="Times New Roman"/>
        </w:rPr>
        <w:t xml:space="preserve">Napoli, </w:t>
      </w:r>
      <w:r w:rsidRPr="00813888">
        <w:rPr>
          <w:rFonts w:ascii="Times New Roman" w:hAnsi="Times New Roman"/>
        </w:rPr>
        <w:t>75 ss., 90.</w:t>
      </w:r>
    </w:p>
  </w:footnote>
  <w:footnote w:id="45">
    <w:p w14:paraId="3977F555" w14:textId="4D8C912C" w:rsidR="00D43992" w:rsidRPr="00813888" w:rsidRDefault="00D43992"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In tema cfr. </w:t>
      </w:r>
      <w:r w:rsidR="0000421A">
        <w:rPr>
          <w:rFonts w:ascii="Times New Roman" w:hAnsi="Times New Roman"/>
        </w:rPr>
        <w:t xml:space="preserve">anche </w:t>
      </w:r>
      <w:r w:rsidRPr="00813888">
        <w:rPr>
          <w:rFonts w:ascii="Times New Roman" w:hAnsi="Times New Roman"/>
          <w:smallCaps/>
        </w:rPr>
        <w:t>F. Fracchia</w:t>
      </w:r>
      <w:r w:rsidRPr="00813888">
        <w:rPr>
          <w:rFonts w:ascii="Times New Roman" w:hAnsi="Times New Roman"/>
        </w:rPr>
        <w:t xml:space="preserve"> e </w:t>
      </w:r>
      <w:r w:rsidRPr="00813888">
        <w:rPr>
          <w:rFonts w:ascii="Times New Roman" w:hAnsi="Times New Roman"/>
          <w:smallCaps/>
        </w:rPr>
        <w:t>M. Occhiena</w:t>
      </w:r>
      <w:r w:rsidRPr="00813888">
        <w:rPr>
          <w:rFonts w:ascii="Times New Roman" w:hAnsi="Times New Roman"/>
        </w:rPr>
        <w:t xml:space="preserve">, </w:t>
      </w:r>
      <w:r w:rsidRPr="00813888">
        <w:rPr>
          <w:rFonts w:ascii="Times New Roman" w:hAnsi="Times New Roman"/>
          <w:i/>
          <w:iCs/>
        </w:rPr>
        <w:t>Il giudice amministrativo e l’inferenza logica: “più probabile che non” e “oltre”, “rilevante probabilità” e “oltre ogni ragionevole dubbio”. Paradigmi argomentativi e rilevanza dell’interesse pubblico</w:t>
      </w:r>
      <w:r w:rsidRPr="00813888">
        <w:rPr>
          <w:rFonts w:ascii="Times New Roman" w:hAnsi="Times New Roman"/>
        </w:rPr>
        <w:t xml:space="preserve">, in </w:t>
      </w:r>
      <w:r w:rsidRPr="00813888">
        <w:rPr>
          <w:rFonts w:ascii="Times New Roman" w:hAnsi="Times New Roman"/>
          <w:i/>
          <w:iCs/>
        </w:rPr>
        <w:t xml:space="preserve">Dir. </w:t>
      </w:r>
      <w:proofErr w:type="spellStart"/>
      <w:r w:rsidRPr="00813888">
        <w:rPr>
          <w:rFonts w:ascii="Times New Roman" w:hAnsi="Times New Roman"/>
          <w:i/>
          <w:iCs/>
        </w:rPr>
        <w:t>econ</w:t>
      </w:r>
      <w:proofErr w:type="spellEnd"/>
      <w:r w:rsidRPr="00813888">
        <w:rPr>
          <w:rFonts w:ascii="Times New Roman" w:hAnsi="Times New Roman"/>
        </w:rPr>
        <w:t>., 2018, 1125 ss., spec. 1143 ss.</w:t>
      </w:r>
    </w:p>
  </w:footnote>
  <w:footnote w:id="46">
    <w:p w14:paraId="6E57CFCE" w14:textId="21AAE593" w:rsidR="000A0E71" w:rsidRPr="00813888" w:rsidRDefault="000A0E71" w:rsidP="00813888">
      <w:pPr>
        <w:pStyle w:val="Testonotaapidipagina"/>
        <w:ind w:firstLine="709"/>
        <w:jc w:val="both"/>
        <w:rPr>
          <w:rFonts w:ascii="Times New Roman" w:hAnsi="Times New Roman"/>
        </w:rPr>
      </w:pPr>
      <w:r w:rsidRPr="00813888">
        <w:rPr>
          <w:rStyle w:val="Rimandonotaapidipagina"/>
          <w:rFonts w:ascii="Times New Roman" w:hAnsi="Times New Roman"/>
        </w:rPr>
        <w:footnoteRef/>
      </w:r>
      <w:r w:rsidRPr="00813888">
        <w:rPr>
          <w:rFonts w:ascii="Times New Roman" w:hAnsi="Times New Roman"/>
        </w:rPr>
        <w:t xml:space="preserve"> Particolarmente chiara sul punto è </w:t>
      </w:r>
      <w:r w:rsidRPr="00813888">
        <w:rPr>
          <w:rFonts w:ascii="Times New Roman" w:hAnsi="Times New Roman"/>
        </w:rPr>
        <w:t>Cons. St., sez. III, 28 giugno 2022, n. 5375</w:t>
      </w:r>
      <w:r w:rsidRPr="0081388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534B"/>
    <w:multiLevelType w:val="hybridMultilevel"/>
    <w:tmpl w:val="F45AE648"/>
    <w:lvl w:ilvl="0" w:tplc="6B3674DE">
      <w:start w:val="4"/>
      <w:numFmt w:val="bullet"/>
      <w:lvlText w:val=""/>
      <w:lvlJc w:val="left"/>
      <w:pPr>
        <w:ind w:left="1069" w:hanging="360"/>
      </w:pPr>
      <w:rPr>
        <w:rFonts w:ascii="Symbol" w:eastAsia="Calibri"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 w15:restartNumberingAfterBreak="0">
    <w:nsid w:val="284C20A4"/>
    <w:multiLevelType w:val="multilevel"/>
    <w:tmpl w:val="DD8A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603387">
    <w:abstractNumId w:val="1"/>
  </w:num>
  <w:num w:numId="2" w16cid:durableId="167013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31B"/>
    <w:rsid w:val="00002594"/>
    <w:rsid w:val="0000421A"/>
    <w:rsid w:val="00026284"/>
    <w:rsid w:val="00062EEC"/>
    <w:rsid w:val="00072879"/>
    <w:rsid w:val="000A0E71"/>
    <w:rsid w:val="000A21A9"/>
    <w:rsid w:val="000C0C7A"/>
    <w:rsid w:val="000C455F"/>
    <w:rsid w:val="000D431B"/>
    <w:rsid w:val="000D46C1"/>
    <w:rsid w:val="001075A9"/>
    <w:rsid w:val="00112ACE"/>
    <w:rsid w:val="00142BD9"/>
    <w:rsid w:val="0016231C"/>
    <w:rsid w:val="00170C3E"/>
    <w:rsid w:val="001768FA"/>
    <w:rsid w:val="001940AE"/>
    <w:rsid w:val="001C124C"/>
    <w:rsid w:val="002003C2"/>
    <w:rsid w:val="00204D58"/>
    <w:rsid w:val="002171F5"/>
    <w:rsid w:val="00276213"/>
    <w:rsid w:val="00276B94"/>
    <w:rsid w:val="00277DBA"/>
    <w:rsid w:val="002B064A"/>
    <w:rsid w:val="002D0E46"/>
    <w:rsid w:val="00300023"/>
    <w:rsid w:val="00307663"/>
    <w:rsid w:val="00324F54"/>
    <w:rsid w:val="00325AA1"/>
    <w:rsid w:val="00330E22"/>
    <w:rsid w:val="003346CD"/>
    <w:rsid w:val="003B30A1"/>
    <w:rsid w:val="003B30D3"/>
    <w:rsid w:val="003B37CC"/>
    <w:rsid w:val="003D01C2"/>
    <w:rsid w:val="003D7E3F"/>
    <w:rsid w:val="003E490F"/>
    <w:rsid w:val="003F082C"/>
    <w:rsid w:val="004048BF"/>
    <w:rsid w:val="00422F21"/>
    <w:rsid w:val="00443509"/>
    <w:rsid w:val="00446180"/>
    <w:rsid w:val="004674B9"/>
    <w:rsid w:val="00471DED"/>
    <w:rsid w:val="00476EF6"/>
    <w:rsid w:val="00493DBA"/>
    <w:rsid w:val="004B1DBA"/>
    <w:rsid w:val="005021A1"/>
    <w:rsid w:val="00514DC3"/>
    <w:rsid w:val="00532EC3"/>
    <w:rsid w:val="00545822"/>
    <w:rsid w:val="00546A2A"/>
    <w:rsid w:val="00561979"/>
    <w:rsid w:val="00575D72"/>
    <w:rsid w:val="00592A8D"/>
    <w:rsid w:val="005A75B9"/>
    <w:rsid w:val="005B00CF"/>
    <w:rsid w:val="005B4A74"/>
    <w:rsid w:val="005C6FFC"/>
    <w:rsid w:val="005D16DA"/>
    <w:rsid w:val="005F47F2"/>
    <w:rsid w:val="00601FE8"/>
    <w:rsid w:val="00603A84"/>
    <w:rsid w:val="00616317"/>
    <w:rsid w:val="00645536"/>
    <w:rsid w:val="00673D01"/>
    <w:rsid w:val="00674A9D"/>
    <w:rsid w:val="00674CB7"/>
    <w:rsid w:val="006A0E9D"/>
    <w:rsid w:val="006B40E7"/>
    <w:rsid w:val="006C65A8"/>
    <w:rsid w:val="0070553B"/>
    <w:rsid w:val="0073050E"/>
    <w:rsid w:val="00747E18"/>
    <w:rsid w:val="0077191B"/>
    <w:rsid w:val="00795A8F"/>
    <w:rsid w:val="007B27D8"/>
    <w:rsid w:val="007B507D"/>
    <w:rsid w:val="007B69F0"/>
    <w:rsid w:val="007C5868"/>
    <w:rsid w:val="007C68F8"/>
    <w:rsid w:val="0080185C"/>
    <w:rsid w:val="00804297"/>
    <w:rsid w:val="00813888"/>
    <w:rsid w:val="00836379"/>
    <w:rsid w:val="008515EB"/>
    <w:rsid w:val="00863856"/>
    <w:rsid w:val="008D1682"/>
    <w:rsid w:val="008E30BC"/>
    <w:rsid w:val="008F6E88"/>
    <w:rsid w:val="00903E6F"/>
    <w:rsid w:val="00920C3F"/>
    <w:rsid w:val="00934E51"/>
    <w:rsid w:val="00947792"/>
    <w:rsid w:val="00987E65"/>
    <w:rsid w:val="00991C2D"/>
    <w:rsid w:val="0099511B"/>
    <w:rsid w:val="009D4C0B"/>
    <w:rsid w:val="009F0EFB"/>
    <w:rsid w:val="009F49B7"/>
    <w:rsid w:val="00A0451B"/>
    <w:rsid w:val="00A4497A"/>
    <w:rsid w:val="00A4743C"/>
    <w:rsid w:val="00A7417C"/>
    <w:rsid w:val="00AE3DA2"/>
    <w:rsid w:val="00B04FFE"/>
    <w:rsid w:val="00B06442"/>
    <w:rsid w:val="00B066DB"/>
    <w:rsid w:val="00B82CF6"/>
    <w:rsid w:val="00BB5900"/>
    <w:rsid w:val="00BF1F11"/>
    <w:rsid w:val="00C1241F"/>
    <w:rsid w:val="00C141B4"/>
    <w:rsid w:val="00C25087"/>
    <w:rsid w:val="00C50EA5"/>
    <w:rsid w:val="00C74157"/>
    <w:rsid w:val="00C80548"/>
    <w:rsid w:val="00C900D8"/>
    <w:rsid w:val="00CD13AE"/>
    <w:rsid w:val="00CD39F6"/>
    <w:rsid w:val="00CF6A67"/>
    <w:rsid w:val="00D43992"/>
    <w:rsid w:val="00D62785"/>
    <w:rsid w:val="00D70F80"/>
    <w:rsid w:val="00DB2D53"/>
    <w:rsid w:val="00DC7654"/>
    <w:rsid w:val="00DC7C9D"/>
    <w:rsid w:val="00DF4D7C"/>
    <w:rsid w:val="00E07945"/>
    <w:rsid w:val="00E21F7D"/>
    <w:rsid w:val="00E32005"/>
    <w:rsid w:val="00E443D1"/>
    <w:rsid w:val="00E547E3"/>
    <w:rsid w:val="00E55D85"/>
    <w:rsid w:val="00E71155"/>
    <w:rsid w:val="00E76D9F"/>
    <w:rsid w:val="00E94A14"/>
    <w:rsid w:val="00E97341"/>
    <w:rsid w:val="00EB363D"/>
    <w:rsid w:val="00EF0D9A"/>
    <w:rsid w:val="00EF2C60"/>
    <w:rsid w:val="00F11638"/>
    <w:rsid w:val="00F2331D"/>
    <w:rsid w:val="00F27FC8"/>
    <w:rsid w:val="00F616F2"/>
    <w:rsid w:val="00F65B52"/>
    <w:rsid w:val="00F97172"/>
    <w:rsid w:val="00FC5E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EF4E"/>
  <w15:chartTrackingRefBased/>
  <w15:docId w15:val="{86ABF7C8-E119-2F4B-BCBA-78D64289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431B"/>
    <w:rPr>
      <w:rFonts w:ascii="Times New Roman" w:eastAsia="Times New Roman" w:hAnsi="Times New Roman" w:cs="Times New Roman"/>
      <w:kern w:val="0"/>
      <w:lang w:eastAsia="it-IT"/>
      <w14:ligatures w14:val="none"/>
    </w:rPr>
  </w:style>
  <w:style w:type="paragraph" w:styleId="Titolo1">
    <w:name w:val="heading 1"/>
    <w:basedOn w:val="Normale"/>
    <w:link w:val="Titolo1Carattere"/>
    <w:uiPriority w:val="9"/>
    <w:qFormat/>
    <w:rsid w:val="00EF2C60"/>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276B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6">
    <w:name w:val="heading 6"/>
    <w:basedOn w:val="Normale"/>
    <w:link w:val="Titolo6Carattere"/>
    <w:uiPriority w:val="9"/>
    <w:qFormat/>
    <w:rsid w:val="00EF2C60"/>
    <w:pPr>
      <w:spacing w:before="100" w:beforeAutospacing="1" w:after="100" w:afterAutospacing="1"/>
      <w:outlineLvl w:val="5"/>
    </w:pPr>
    <w:rPr>
      <w:b/>
      <w:bCs/>
      <w:sz w:val="15"/>
      <w:szCs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0D431B"/>
    <w:pPr>
      <w:spacing w:before="100" w:beforeAutospacing="1" w:after="100" w:afterAutospacing="1"/>
    </w:pPr>
  </w:style>
  <w:style w:type="paragraph" w:styleId="Pidipagina">
    <w:name w:val="footer"/>
    <w:basedOn w:val="Normale"/>
    <w:link w:val="PidipaginaCarattere"/>
    <w:uiPriority w:val="99"/>
    <w:unhideWhenUsed/>
    <w:rsid w:val="000D431B"/>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PidipaginaCarattere">
    <w:name w:val="Piè di pagina Carattere"/>
    <w:basedOn w:val="Carpredefinitoparagrafo"/>
    <w:link w:val="Pidipagina"/>
    <w:uiPriority w:val="99"/>
    <w:rsid w:val="000D431B"/>
  </w:style>
  <w:style w:type="character" w:styleId="Numeropagina">
    <w:name w:val="page number"/>
    <w:basedOn w:val="Carpredefinitoparagrafo"/>
    <w:uiPriority w:val="99"/>
    <w:semiHidden/>
    <w:unhideWhenUsed/>
    <w:rsid w:val="000D431B"/>
  </w:style>
  <w:style w:type="paragraph" w:styleId="Testonotaapidipagina">
    <w:name w:val="footnote text"/>
    <w:aliases w:val="Testo nota a piè di pagina Carattere Carattere Carattere Carattere Carattere,Testo nota a piè di pagina Carattere Carattere Carattere Carattere Carattere Carattere Carattere Carattere Carattere Carattere Carattere Carattere,fn"/>
    <w:basedOn w:val="Normale"/>
    <w:link w:val="TestonotaapidipaginaCarattere"/>
    <w:uiPriority w:val="99"/>
    <w:unhideWhenUsed/>
    <w:qFormat/>
    <w:rsid w:val="000D431B"/>
    <w:rPr>
      <w:rFonts w:ascii="Calibri" w:eastAsia="Calibri" w:hAnsi="Calibri"/>
      <w:sz w:val="20"/>
      <w:szCs w:val="20"/>
      <w:lang w:eastAsia="en-US"/>
    </w:rPr>
  </w:style>
  <w:style w:type="character" w:customStyle="1" w:styleId="TestonotaapidipaginaCarattere">
    <w:name w:val="Testo nota a piè di pagina Carattere"/>
    <w:aliases w:val="Testo nota a piè di pagina Carattere Carattere Carattere Carattere Carattere Carattere,fn Carattere"/>
    <w:basedOn w:val="Carpredefinitoparagrafo"/>
    <w:link w:val="Testonotaapidipagina"/>
    <w:uiPriority w:val="99"/>
    <w:qFormat/>
    <w:rsid w:val="000D431B"/>
    <w:rPr>
      <w:rFonts w:ascii="Calibri" w:eastAsia="Calibri" w:hAnsi="Calibri" w:cs="Times New Roman"/>
      <w:kern w:val="0"/>
      <w:sz w:val="20"/>
      <w:szCs w:val="20"/>
      <w14:ligatures w14:val="none"/>
    </w:rPr>
  </w:style>
  <w:style w:type="character" w:styleId="Rimandonotaapidipagina">
    <w:name w:val="footnote reference"/>
    <w:aliases w:val="f,Footnote reference number,Footnote symbol,note TESI,Footnote"/>
    <w:unhideWhenUsed/>
    <w:qFormat/>
    <w:rsid w:val="000D431B"/>
    <w:rPr>
      <w:vertAlign w:val="superscript"/>
    </w:rPr>
  </w:style>
  <w:style w:type="paragraph" w:customStyle="1" w:styleId="c01pointnumerotealtn">
    <w:name w:val="c01pointnumerotealtn"/>
    <w:basedOn w:val="Normale"/>
    <w:rsid w:val="000D431B"/>
    <w:pPr>
      <w:spacing w:before="100" w:beforeAutospacing="1" w:after="100" w:afterAutospacing="1"/>
    </w:pPr>
  </w:style>
  <w:style w:type="paragraph" w:customStyle="1" w:styleId="Titolodelcapitolo">
    <w:name w:val="Titolo del capitolo"/>
    <w:qFormat/>
    <w:rsid w:val="001C124C"/>
    <w:pPr>
      <w:widowControl w:val="0"/>
      <w:spacing w:before="1300" w:line="320" w:lineRule="exact"/>
      <w:jc w:val="center"/>
    </w:pPr>
    <w:rPr>
      <w:rFonts w:ascii="Times New Roman" w:eastAsia="Calibri" w:hAnsi="Times New Roman" w:cs="Times New Roman"/>
      <w:caps/>
      <w:kern w:val="0"/>
      <w:sz w:val="28"/>
      <w:szCs w:val="22"/>
      <w14:ligatures w14:val="none"/>
    </w:rPr>
  </w:style>
  <w:style w:type="paragraph" w:customStyle="1" w:styleId="mb-0">
    <w:name w:val="mb-0"/>
    <w:basedOn w:val="Normale"/>
    <w:rsid w:val="00CD13AE"/>
    <w:pPr>
      <w:spacing w:before="100" w:beforeAutospacing="1" w:after="100" w:afterAutospacing="1"/>
    </w:pPr>
  </w:style>
  <w:style w:type="character" w:customStyle="1" w:styleId="text-uppercase">
    <w:name w:val="text-uppercase"/>
    <w:basedOn w:val="Carpredefinitoparagrafo"/>
    <w:rsid w:val="00CD13AE"/>
  </w:style>
  <w:style w:type="paragraph" w:customStyle="1" w:styleId="Capoverso">
    <w:name w:val="Capoverso"/>
    <w:link w:val="CapoversoCarattere"/>
    <w:qFormat/>
    <w:rsid w:val="00F11638"/>
    <w:pPr>
      <w:widowControl w:val="0"/>
      <w:spacing w:line="264" w:lineRule="exact"/>
      <w:ind w:firstLine="284"/>
      <w:jc w:val="both"/>
    </w:pPr>
    <w:rPr>
      <w:rFonts w:ascii="Times New Roman" w:eastAsia="Times New Roman" w:hAnsi="Times New Roman" w:cs="Times New Roman"/>
      <w:kern w:val="0"/>
      <w:sz w:val="23"/>
      <w:szCs w:val="22"/>
      <w:lang w:eastAsia="it-IT"/>
      <w14:ligatures w14:val="none"/>
    </w:rPr>
  </w:style>
  <w:style w:type="character" w:customStyle="1" w:styleId="CapoversoCarattere">
    <w:name w:val="Capoverso Carattere"/>
    <w:link w:val="Capoverso"/>
    <w:rsid w:val="00F11638"/>
    <w:rPr>
      <w:rFonts w:ascii="Times New Roman" w:eastAsia="Times New Roman" w:hAnsi="Times New Roman" w:cs="Times New Roman"/>
      <w:kern w:val="0"/>
      <w:sz w:val="23"/>
      <w:szCs w:val="22"/>
      <w:lang w:eastAsia="it-IT"/>
      <w14:ligatures w14:val="none"/>
    </w:rPr>
  </w:style>
  <w:style w:type="character" w:customStyle="1" w:styleId="Titolo1Carattere">
    <w:name w:val="Titolo 1 Carattere"/>
    <w:basedOn w:val="Carpredefinitoparagrafo"/>
    <w:link w:val="Titolo1"/>
    <w:uiPriority w:val="9"/>
    <w:rsid w:val="00EF2C60"/>
    <w:rPr>
      <w:rFonts w:ascii="Times New Roman" w:eastAsia="Times New Roman" w:hAnsi="Times New Roman" w:cs="Times New Roman"/>
      <w:b/>
      <w:bCs/>
      <w:kern w:val="36"/>
      <w:sz w:val="48"/>
      <w:szCs w:val="48"/>
      <w:lang w:eastAsia="it-IT"/>
      <w14:ligatures w14:val="none"/>
    </w:rPr>
  </w:style>
  <w:style w:type="character" w:customStyle="1" w:styleId="Titolo6Carattere">
    <w:name w:val="Titolo 6 Carattere"/>
    <w:basedOn w:val="Carpredefinitoparagrafo"/>
    <w:link w:val="Titolo6"/>
    <w:uiPriority w:val="9"/>
    <w:rsid w:val="00EF2C60"/>
    <w:rPr>
      <w:rFonts w:ascii="Times New Roman" w:eastAsia="Times New Roman" w:hAnsi="Times New Roman" w:cs="Times New Roman"/>
      <w:b/>
      <w:bCs/>
      <w:kern w:val="0"/>
      <w:sz w:val="15"/>
      <w:szCs w:val="15"/>
      <w:lang w:eastAsia="it-IT"/>
      <w14:ligatures w14:val="none"/>
    </w:rPr>
  </w:style>
  <w:style w:type="character" w:customStyle="1" w:styleId="base">
    <w:name w:val="base"/>
    <w:basedOn w:val="Carpredefinitoparagrafo"/>
    <w:rsid w:val="00EF2C60"/>
  </w:style>
  <w:style w:type="character" w:customStyle="1" w:styleId="product-view-curator-list">
    <w:name w:val="product-view-curator-list"/>
    <w:basedOn w:val="Carpredefinitoparagrafo"/>
    <w:rsid w:val="00EF2C60"/>
  </w:style>
  <w:style w:type="paragraph" w:customStyle="1" w:styleId="Indicetitolocapitolo">
    <w:name w:val="Indice titolo capitolo"/>
    <w:qFormat/>
    <w:rsid w:val="004674B9"/>
    <w:pPr>
      <w:widowControl w:val="0"/>
      <w:tabs>
        <w:tab w:val="right" w:pos="7258"/>
      </w:tabs>
      <w:spacing w:line="260" w:lineRule="exact"/>
      <w:ind w:right="851"/>
      <w:jc w:val="both"/>
    </w:pPr>
    <w:rPr>
      <w:rFonts w:ascii="Times New Roman" w:eastAsia="Calibri" w:hAnsi="Times New Roman" w:cs="Times New Roman"/>
      <w:kern w:val="0"/>
      <w:sz w:val="22"/>
      <w:szCs w:val="22"/>
      <w14:ligatures w14:val="none"/>
    </w:rPr>
  </w:style>
  <w:style w:type="character" w:customStyle="1" w:styleId="product-view-author-list">
    <w:name w:val="product-view-author-list"/>
    <w:basedOn w:val="Carpredefinitoparagrafo"/>
    <w:rsid w:val="00987E65"/>
  </w:style>
  <w:style w:type="character" w:customStyle="1" w:styleId="Titolo2Carattere">
    <w:name w:val="Titolo 2 Carattere"/>
    <w:basedOn w:val="Carpredefinitoparagrafo"/>
    <w:link w:val="Titolo2"/>
    <w:uiPriority w:val="9"/>
    <w:semiHidden/>
    <w:rsid w:val="00276B94"/>
    <w:rPr>
      <w:rFonts w:asciiTheme="majorHAnsi" w:eastAsiaTheme="majorEastAsia" w:hAnsiTheme="majorHAnsi" w:cstheme="majorBidi"/>
      <w:color w:val="2F5496" w:themeColor="accent1" w:themeShade="BF"/>
      <w:kern w:val="0"/>
      <w:sz w:val="26"/>
      <w:szCs w:val="26"/>
      <w:lang w:eastAsia="it-IT"/>
      <w14:ligatures w14:val="none"/>
    </w:rPr>
  </w:style>
  <w:style w:type="character" w:styleId="Collegamentoipertestuale">
    <w:name w:val="Hyperlink"/>
    <w:basedOn w:val="Carpredefinitoparagrafo"/>
    <w:uiPriority w:val="99"/>
    <w:unhideWhenUsed/>
    <w:rsid w:val="00276B94"/>
    <w:rPr>
      <w:color w:val="0000FF"/>
      <w:u w:val="single"/>
    </w:rPr>
  </w:style>
  <w:style w:type="paragraph" w:customStyle="1" w:styleId="popolo">
    <w:name w:val="popolo"/>
    <w:basedOn w:val="Normale"/>
    <w:rsid w:val="00446180"/>
    <w:pPr>
      <w:spacing w:before="100" w:beforeAutospacing="1" w:after="100" w:afterAutospacing="1"/>
    </w:pPr>
  </w:style>
  <w:style w:type="character" w:styleId="CitazioneHTML">
    <w:name w:val="HTML Cite"/>
    <w:basedOn w:val="Carpredefinitoparagrafo"/>
    <w:uiPriority w:val="99"/>
    <w:semiHidden/>
    <w:unhideWhenUsed/>
    <w:rsid w:val="003D01C2"/>
    <w:rPr>
      <w:i/>
      <w:iCs/>
    </w:rPr>
  </w:style>
  <w:style w:type="character" w:styleId="Menzionenonrisolta">
    <w:name w:val="Unresolved Mention"/>
    <w:basedOn w:val="Carpredefinitoparagrafo"/>
    <w:uiPriority w:val="99"/>
    <w:semiHidden/>
    <w:unhideWhenUsed/>
    <w:rsid w:val="00CD39F6"/>
    <w:rPr>
      <w:color w:val="605E5C"/>
      <w:shd w:val="clear" w:color="auto" w:fill="E1DFDD"/>
    </w:rPr>
  </w:style>
  <w:style w:type="paragraph" w:styleId="Rientrocorpodeltesto">
    <w:name w:val="Body Text Indent"/>
    <w:basedOn w:val="Normale"/>
    <w:link w:val="RientrocorpodeltestoCarattere"/>
    <w:rsid w:val="008D1682"/>
    <w:pPr>
      <w:spacing w:after="120"/>
      <w:ind w:left="283"/>
    </w:pPr>
  </w:style>
  <w:style w:type="character" w:customStyle="1" w:styleId="RientrocorpodeltestoCarattere">
    <w:name w:val="Rientro corpo del testo Carattere"/>
    <w:basedOn w:val="Carpredefinitoparagrafo"/>
    <w:link w:val="Rientrocorpodeltesto"/>
    <w:rsid w:val="008D1682"/>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4951">
      <w:bodyDiv w:val="1"/>
      <w:marLeft w:val="0"/>
      <w:marRight w:val="0"/>
      <w:marTop w:val="0"/>
      <w:marBottom w:val="0"/>
      <w:divBdr>
        <w:top w:val="none" w:sz="0" w:space="0" w:color="auto"/>
        <w:left w:val="none" w:sz="0" w:space="0" w:color="auto"/>
        <w:bottom w:val="none" w:sz="0" w:space="0" w:color="auto"/>
        <w:right w:val="none" w:sz="0" w:space="0" w:color="auto"/>
      </w:divBdr>
    </w:div>
    <w:div w:id="118691971">
      <w:bodyDiv w:val="1"/>
      <w:marLeft w:val="0"/>
      <w:marRight w:val="0"/>
      <w:marTop w:val="0"/>
      <w:marBottom w:val="0"/>
      <w:divBdr>
        <w:top w:val="none" w:sz="0" w:space="0" w:color="auto"/>
        <w:left w:val="none" w:sz="0" w:space="0" w:color="auto"/>
        <w:bottom w:val="none" w:sz="0" w:space="0" w:color="auto"/>
        <w:right w:val="none" w:sz="0" w:space="0" w:color="auto"/>
      </w:divBdr>
      <w:divsChild>
        <w:div w:id="825169481">
          <w:marLeft w:val="0"/>
          <w:marRight w:val="0"/>
          <w:marTop w:val="0"/>
          <w:marBottom w:val="0"/>
          <w:divBdr>
            <w:top w:val="none" w:sz="0" w:space="0" w:color="auto"/>
            <w:left w:val="none" w:sz="0" w:space="0" w:color="auto"/>
            <w:bottom w:val="none" w:sz="0" w:space="0" w:color="auto"/>
            <w:right w:val="none" w:sz="0" w:space="0" w:color="auto"/>
          </w:divBdr>
          <w:divsChild>
            <w:div w:id="1043753499">
              <w:marLeft w:val="0"/>
              <w:marRight w:val="0"/>
              <w:marTop w:val="0"/>
              <w:marBottom w:val="0"/>
              <w:divBdr>
                <w:top w:val="none" w:sz="0" w:space="0" w:color="auto"/>
                <w:left w:val="none" w:sz="0" w:space="0" w:color="auto"/>
                <w:bottom w:val="none" w:sz="0" w:space="0" w:color="auto"/>
                <w:right w:val="none" w:sz="0" w:space="0" w:color="auto"/>
              </w:divBdr>
              <w:divsChild>
                <w:div w:id="1795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1872">
      <w:bodyDiv w:val="1"/>
      <w:marLeft w:val="0"/>
      <w:marRight w:val="0"/>
      <w:marTop w:val="0"/>
      <w:marBottom w:val="0"/>
      <w:divBdr>
        <w:top w:val="none" w:sz="0" w:space="0" w:color="auto"/>
        <w:left w:val="none" w:sz="0" w:space="0" w:color="auto"/>
        <w:bottom w:val="none" w:sz="0" w:space="0" w:color="auto"/>
        <w:right w:val="none" w:sz="0" w:space="0" w:color="auto"/>
      </w:divBdr>
      <w:divsChild>
        <w:div w:id="964000516">
          <w:marLeft w:val="0"/>
          <w:marRight w:val="0"/>
          <w:marTop w:val="0"/>
          <w:marBottom w:val="0"/>
          <w:divBdr>
            <w:top w:val="none" w:sz="0" w:space="0" w:color="auto"/>
            <w:left w:val="none" w:sz="0" w:space="0" w:color="auto"/>
            <w:bottom w:val="none" w:sz="0" w:space="0" w:color="auto"/>
            <w:right w:val="none" w:sz="0" w:space="0" w:color="auto"/>
          </w:divBdr>
          <w:divsChild>
            <w:div w:id="923076787">
              <w:marLeft w:val="0"/>
              <w:marRight w:val="0"/>
              <w:marTop w:val="0"/>
              <w:marBottom w:val="0"/>
              <w:divBdr>
                <w:top w:val="none" w:sz="0" w:space="0" w:color="auto"/>
                <w:left w:val="none" w:sz="0" w:space="0" w:color="auto"/>
                <w:bottom w:val="none" w:sz="0" w:space="0" w:color="auto"/>
                <w:right w:val="none" w:sz="0" w:space="0" w:color="auto"/>
              </w:divBdr>
              <w:divsChild>
                <w:div w:id="498469917">
                  <w:marLeft w:val="0"/>
                  <w:marRight w:val="0"/>
                  <w:marTop w:val="0"/>
                  <w:marBottom w:val="0"/>
                  <w:divBdr>
                    <w:top w:val="none" w:sz="0" w:space="0" w:color="auto"/>
                    <w:left w:val="none" w:sz="0" w:space="0" w:color="auto"/>
                    <w:bottom w:val="none" w:sz="0" w:space="0" w:color="auto"/>
                    <w:right w:val="none" w:sz="0" w:space="0" w:color="auto"/>
                  </w:divBdr>
                </w:div>
                <w:div w:id="8112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047572">
      <w:bodyDiv w:val="1"/>
      <w:marLeft w:val="0"/>
      <w:marRight w:val="0"/>
      <w:marTop w:val="0"/>
      <w:marBottom w:val="0"/>
      <w:divBdr>
        <w:top w:val="none" w:sz="0" w:space="0" w:color="auto"/>
        <w:left w:val="none" w:sz="0" w:space="0" w:color="auto"/>
        <w:bottom w:val="none" w:sz="0" w:space="0" w:color="auto"/>
        <w:right w:val="none" w:sz="0" w:space="0" w:color="auto"/>
      </w:divBdr>
      <w:divsChild>
        <w:div w:id="2043092754">
          <w:marLeft w:val="0"/>
          <w:marRight w:val="0"/>
          <w:marTop w:val="0"/>
          <w:marBottom w:val="0"/>
          <w:divBdr>
            <w:top w:val="none" w:sz="0" w:space="0" w:color="auto"/>
            <w:left w:val="none" w:sz="0" w:space="0" w:color="auto"/>
            <w:bottom w:val="none" w:sz="0" w:space="0" w:color="auto"/>
            <w:right w:val="none" w:sz="0" w:space="0" w:color="auto"/>
          </w:divBdr>
          <w:divsChild>
            <w:div w:id="824705534">
              <w:marLeft w:val="0"/>
              <w:marRight w:val="0"/>
              <w:marTop w:val="0"/>
              <w:marBottom w:val="0"/>
              <w:divBdr>
                <w:top w:val="none" w:sz="0" w:space="0" w:color="auto"/>
                <w:left w:val="none" w:sz="0" w:space="0" w:color="auto"/>
                <w:bottom w:val="none" w:sz="0" w:space="0" w:color="auto"/>
                <w:right w:val="none" w:sz="0" w:space="0" w:color="auto"/>
              </w:divBdr>
              <w:divsChild>
                <w:div w:id="193508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681027">
      <w:bodyDiv w:val="1"/>
      <w:marLeft w:val="0"/>
      <w:marRight w:val="0"/>
      <w:marTop w:val="0"/>
      <w:marBottom w:val="0"/>
      <w:divBdr>
        <w:top w:val="none" w:sz="0" w:space="0" w:color="auto"/>
        <w:left w:val="none" w:sz="0" w:space="0" w:color="auto"/>
        <w:bottom w:val="none" w:sz="0" w:space="0" w:color="auto"/>
        <w:right w:val="none" w:sz="0" w:space="0" w:color="auto"/>
      </w:divBdr>
      <w:divsChild>
        <w:div w:id="1338195613">
          <w:marLeft w:val="0"/>
          <w:marRight w:val="0"/>
          <w:marTop w:val="0"/>
          <w:marBottom w:val="0"/>
          <w:divBdr>
            <w:top w:val="none" w:sz="0" w:space="0" w:color="auto"/>
            <w:left w:val="none" w:sz="0" w:space="0" w:color="auto"/>
            <w:bottom w:val="none" w:sz="0" w:space="0" w:color="auto"/>
            <w:right w:val="none" w:sz="0" w:space="0" w:color="auto"/>
          </w:divBdr>
          <w:divsChild>
            <w:div w:id="1904294064">
              <w:marLeft w:val="0"/>
              <w:marRight w:val="0"/>
              <w:marTop w:val="0"/>
              <w:marBottom w:val="0"/>
              <w:divBdr>
                <w:top w:val="none" w:sz="0" w:space="0" w:color="auto"/>
                <w:left w:val="none" w:sz="0" w:space="0" w:color="auto"/>
                <w:bottom w:val="none" w:sz="0" w:space="0" w:color="auto"/>
                <w:right w:val="none" w:sz="0" w:space="0" w:color="auto"/>
              </w:divBdr>
              <w:divsChild>
                <w:div w:id="19858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066784">
      <w:bodyDiv w:val="1"/>
      <w:marLeft w:val="0"/>
      <w:marRight w:val="0"/>
      <w:marTop w:val="0"/>
      <w:marBottom w:val="0"/>
      <w:divBdr>
        <w:top w:val="none" w:sz="0" w:space="0" w:color="auto"/>
        <w:left w:val="none" w:sz="0" w:space="0" w:color="auto"/>
        <w:bottom w:val="none" w:sz="0" w:space="0" w:color="auto"/>
        <w:right w:val="none" w:sz="0" w:space="0" w:color="auto"/>
      </w:divBdr>
      <w:divsChild>
        <w:div w:id="1903248827">
          <w:marLeft w:val="0"/>
          <w:marRight w:val="0"/>
          <w:marTop w:val="0"/>
          <w:marBottom w:val="0"/>
          <w:divBdr>
            <w:top w:val="none" w:sz="0" w:space="0" w:color="auto"/>
            <w:left w:val="none" w:sz="0" w:space="0" w:color="auto"/>
            <w:bottom w:val="none" w:sz="0" w:space="0" w:color="auto"/>
            <w:right w:val="none" w:sz="0" w:space="0" w:color="auto"/>
          </w:divBdr>
          <w:divsChild>
            <w:div w:id="1529220146">
              <w:marLeft w:val="0"/>
              <w:marRight w:val="0"/>
              <w:marTop w:val="0"/>
              <w:marBottom w:val="0"/>
              <w:divBdr>
                <w:top w:val="none" w:sz="0" w:space="0" w:color="auto"/>
                <w:left w:val="none" w:sz="0" w:space="0" w:color="auto"/>
                <w:bottom w:val="none" w:sz="0" w:space="0" w:color="auto"/>
                <w:right w:val="none" w:sz="0" w:space="0" w:color="auto"/>
              </w:divBdr>
              <w:divsChild>
                <w:div w:id="16999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24042">
      <w:bodyDiv w:val="1"/>
      <w:marLeft w:val="0"/>
      <w:marRight w:val="0"/>
      <w:marTop w:val="0"/>
      <w:marBottom w:val="0"/>
      <w:divBdr>
        <w:top w:val="none" w:sz="0" w:space="0" w:color="auto"/>
        <w:left w:val="none" w:sz="0" w:space="0" w:color="auto"/>
        <w:bottom w:val="none" w:sz="0" w:space="0" w:color="auto"/>
        <w:right w:val="none" w:sz="0" w:space="0" w:color="auto"/>
      </w:divBdr>
      <w:divsChild>
        <w:div w:id="1233198076">
          <w:marLeft w:val="0"/>
          <w:marRight w:val="0"/>
          <w:marTop w:val="0"/>
          <w:marBottom w:val="0"/>
          <w:divBdr>
            <w:top w:val="none" w:sz="0" w:space="0" w:color="auto"/>
            <w:left w:val="none" w:sz="0" w:space="0" w:color="auto"/>
            <w:bottom w:val="none" w:sz="0" w:space="0" w:color="auto"/>
            <w:right w:val="none" w:sz="0" w:space="0" w:color="auto"/>
          </w:divBdr>
          <w:divsChild>
            <w:div w:id="1994942727">
              <w:marLeft w:val="0"/>
              <w:marRight w:val="0"/>
              <w:marTop w:val="0"/>
              <w:marBottom w:val="0"/>
              <w:divBdr>
                <w:top w:val="none" w:sz="0" w:space="0" w:color="auto"/>
                <w:left w:val="none" w:sz="0" w:space="0" w:color="auto"/>
                <w:bottom w:val="none" w:sz="0" w:space="0" w:color="auto"/>
                <w:right w:val="none" w:sz="0" w:space="0" w:color="auto"/>
              </w:divBdr>
              <w:divsChild>
                <w:div w:id="34840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76262">
      <w:bodyDiv w:val="1"/>
      <w:marLeft w:val="0"/>
      <w:marRight w:val="0"/>
      <w:marTop w:val="0"/>
      <w:marBottom w:val="0"/>
      <w:divBdr>
        <w:top w:val="none" w:sz="0" w:space="0" w:color="auto"/>
        <w:left w:val="none" w:sz="0" w:space="0" w:color="auto"/>
        <w:bottom w:val="none" w:sz="0" w:space="0" w:color="auto"/>
        <w:right w:val="none" w:sz="0" w:space="0" w:color="auto"/>
      </w:divBdr>
      <w:divsChild>
        <w:div w:id="1140460849">
          <w:marLeft w:val="0"/>
          <w:marRight w:val="0"/>
          <w:marTop w:val="0"/>
          <w:marBottom w:val="0"/>
          <w:divBdr>
            <w:top w:val="none" w:sz="0" w:space="0" w:color="auto"/>
            <w:left w:val="none" w:sz="0" w:space="0" w:color="auto"/>
            <w:bottom w:val="none" w:sz="0" w:space="0" w:color="auto"/>
            <w:right w:val="none" w:sz="0" w:space="0" w:color="auto"/>
          </w:divBdr>
          <w:divsChild>
            <w:div w:id="665549164">
              <w:marLeft w:val="0"/>
              <w:marRight w:val="0"/>
              <w:marTop w:val="0"/>
              <w:marBottom w:val="0"/>
              <w:divBdr>
                <w:top w:val="none" w:sz="0" w:space="0" w:color="auto"/>
                <w:left w:val="none" w:sz="0" w:space="0" w:color="auto"/>
                <w:bottom w:val="none" w:sz="0" w:space="0" w:color="auto"/>
                <w:right w:val="none" w:sz="0" w:space="0" w:color="auto"/>
              </w:divBdr>
              <w:divsChild>
                <w:div w:id="9412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7112">
      <w:bodyDiv w:val="1"/>
      <w:marLeft w:val="0"/>
      <w:marRight w:val="0"/>
      <w:marTop w:val="0"/>
      <w:marBottom w:val="0"/>
      <w:divBdr>
        <w:top w:val="none" w:sz="0" w:space="0" w:color="auto"/>
        <w:left w:val="none" w:sz="0" w:space="0" w:color="auto"/>
        <w:bottom w:val="none" w:sz="0" w:space="0" w:color="auto"/>
        <w:right w:val="none" w:sz="0" w:space="0" w:color="auto"/>
      </w:divBdr>
      <w:divsChild>
        <w:div w:id="559370717">
          <w:marLeft w:val="0"/>
          <w:marRight w:val="0"/>
          <w:marTop w:val="0"/>
          <w:marBottom w:val="0"/>
          <w:divBdr>
            <w:top w:val="none" w:sz="0" w:space="0" w:color="auto"/>
            <w:left w:val="none" w:sz="0" w:space="0" w:color="auto"/>
            <w:bottom w:val="none" w:sz="0" w:space="0" w:color="auto"/>
            <w:right w:val="none" w:sz="0" w:space="0" w:color="auto"/>
          </w:divBdr>
          <w:divsChild>
            <w:div w:id="337274307">
              <w:marLeft w:val="0"/>
              <w:marRight w:val="0"/>
              <w:marTop w:val="0"/>
              <w:marBottom w:val="0"/>
              <w:divBdr>
                <w:top w:val="none" w:sz="0" w:space="0" w:color="auto"/>
                <w:left w:val="none" w:sz="0" w:space="0" w:color="auto"/>
                <w:bottom w:val="none" w:sz="0" w:space="0" w:color="auto"/>
                <w:right w:val="none" w:sz="0" w:space="0" w:color="auto"/>
              </w:divBdr>
              <w:divsChild>
                <w:div w:id="18311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897183">
      <w:bodyDiv w:val="1"/>
      <w:marLeft w:val="0"/>
      <w:marRight w:val="0"/>
      <w:marTop w:val="0"/>
      <w:marBottom w:val="0"/>
      <w:divBdr>
        <w:top w:val="none" w:sz="0" w:space="0" w:color="auto"/>
        <w:left w:val="none" w:sz="0" w:space="0" w:color="auto"/>
        <w:bottom w:val="none" w:sz="0" w:space="0" w:color="auto"/>
        <w:right w:val="none" w:sz="0" w:space="0" w:color="auto"/>
      </w:divBdr>
      <w:divsChild>
        <w:div w:id="1795828730">
          <w:marLeft w:val="0"/>
          <w:marRight w:val="0"/>
          <w:marTop w:val="0"/>
          <w:marBottom w:val="0"/>
          <w:divBdr>
            <w:top w:val="none" w:sz="0" w:space="0" w:color="auto"/>
            <w:left w:val="none" w:sz="0" w:space="0" w:color="auto"/>
            <w:bottom w:val="none" w:sz="0" w:space="0" w:color="auto"/>
            <w:right w:val="none" w:sz="0" w:space="0" w:color="auto"/>
          </w:divBdr>
        </w:div>
        <w:div w:id="1655916667">
          <w:marLeft w:val="0"/>
          <w:marRight w:val="0"/>
          <w:marTop w:val="0"/>
          <w:marBottom w:val="0"/>
          <w:divBdr>
            <w:top w:val="none" w:sz="0" w:space="0" w:color="auto"/>
            <w:left w:val="none" w:sz="0" w:space="0" w:color="auto"/>
            <w:bottom w:val="none" w:sz="0" w:space="0" w:color="auto"/>
            <w:right w:val="none" w:sz="0" w:space="0" w:color="auto"/>
          </w:divBdr>
          <w:divsChild>
            <w:div w:id="597254650">
              <w:marLeft w:val="0"/>
              <w:marRight w:val="0"/>
              <w:marTop w:val="0"/>
              <w:marBottom w:val="0"/>
              <w:divBdr>
                <w:top w:val="none" w:sz="0" w:space="0" w:color="auto"/>
                <w:left w:val="none" w:sz="0" w:space="0" w:color="auto"/>
                <w:bottom w:val="none" w:sz="0" w:space="0" w:color="auto"/>
                <w:right w:val="none" w:sz="0" w:space="0" w:color="auto"/>
              </w:divBdr>
            </w:div>
            <w:div w:id="13230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7310">
      <w:bodyDiv w:val="1"/>
      <w:marLeft w:val="0"/>
      <w:marRight w:val="0"/>
      <w:marTop w:val="0"/>
      <w:marBottom w:val="0"/>
      <w:divBdr>
        <w:top w:val="none" w:sz="0" w:space="0" w:color="auto"/>
        <w:left w:val="none" w:sz="0" w:space="0" w:color="auto"/>
        <w:bottom w:val="none" w:sz="0" w:space="0" w:color="auto"/>
        <w:right w:val="none" w:sz="0" w:space="0" w:color="auto"/>
      </w:divBdr>
      <w:divsChild>
        <w:div w:id="1016077148">
          <w:marLeft w:val="0"/>
          <w:marRight w:val="0"/>
          <w:marTop w:val="0"/>
          <w:marBottom w:val="0"/>
          <w:divBdr>
            <w:top w:val="none" w:sz="0" w:space="0" w:color="auto"/>
            <w:left w:val="none" w:sz="0" w:space="0" w:color="auto"/>
            <w:bottom w:val="none" w:sz="0" w:space="0" w:color="auto"/>
            <w:right w:val="none" w:sz="0" w:space="0" w:color="auto"/>
          </w:divBdr>
          <w:divsChild>
            <w:div w:id="2005863750">
              <w:marLeft w:val="0"/>
              <w:marRight w:val="0"/>
              <w:marTop w:val="0"/>
              <w:marBottom w:val="0"/>
              <w:divBdr>
                <w:top w:val="none" w:sz="0" w:space="0" w:color="auto"/>
                <w:left w:val="none" w:sz="0" w:space="0" w:color="auto"/>
                <w:bottom w:val="none" w:sz="0" w:space="0" w:color="auto"/>
                <w:right w:val="none" w:sz="0" w:space="0" w:color="auto"/>
              </w:divBdr>
              <w:divsChild>
                <w:div w:id="15976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3287">
      <w:bodyDiv w:val="1"/>
      <w:marLeft w:val="0"/>
      <w:marRight w:val="0"/>
      <w:marTop w:val="0"/>
      <w:marBottom w:val="0"/>
      <w:divBdr>
        <w:top w:val="none" w:sz="0" w:space="0" w:color="auto"/>
        <w:left w:val="none" w:sz="0" w:space="0" w:color="auto"/>
        <w:bottom w:val="none" w:sz="0" w:space="0" w:color="auto"/>
        <w:right w:val="none" w:sz="0" w:space="0" w:color="auto"/>
      </w:divBdr>
      <w:divsChild>
        <w:div w:id="611860769">
          <w:marLeft w:val="0"/>
          <w:marRight w:val="0"/>
          <w:marTop w:val="0"/>
          <w:marBottom w:val="0"/>
          <w:divBdr>
            <w:top w:val="none" w:sz="0" w:space="0" w:color="auto"/>
            <w:left w:val="none" w:sz="0" w:space="0" w:color="auto"/>
            <w:bottom w:val="none" w:sz="0" w:space="0" w:color="auto"/>
            <w:right w:val="none" w:sz="0" w:space="0" w:color="auto"/>
          </w:divBdr>
          <w:divsChild>
            <w:div w:id="361781739">
              <w:marLeft w:val="0"/>
              <w:marRight w:val="0"/>
              <w:marTop w:val="0"/>
              <w:marBottom w:val="0"/>
              <w:divBdr>
                <w:top w:val="none" w:sz="0" w:space="0" w:color="auto"/>
                <w:left w:val="none" w:sz="0" w:space="0" w:color="auto"/>
                <w:bottom w:val="none" w:sz="0" w:space="0" w:color="auto"/>
                <w:right w:val="none" w:sz="0" w:space="0" w:color="auto"/>
              </w:divBdr>
              <w:divsChild>
                <w:div w:id="6098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88198">
      <w:bodyDiv w:val="1"/>
      <w:marLeft w:val="0"/>
      <w:marRight w:val="0"/>
      <w:marTop w:val="0"/>
      <w:marBottom w:val="0"/>
      <w:divBdr>
        <w:top w:val="none" w:sz="0" w:space="0" w:color="auto"/>
        <w:left w:val="none" w:sz="0" w:space="0" w:color="auto"/>
        <w:bottom w:val="none" w:sz="0" w:space="0" w:color="auto"/>
        <w:right w:val="none" w:sz="0" w:space="0" w:color="auto"/>
      </w:divBdr>
      <w:divsChild>
        <w:div w:id="402141616">
          <w:marLeft w:val="0"/>
          <w:marRight w:val="0"/>
          <w:marTop w:val="0"/>
          <w:marBottom w:val="0"/>
          <w:divBdr>
            <w:top w:val="none" w:sz="0" w:space="0" w:color="auto"/>
            <w:left w:val="none" w:sz="0" w:space="0" w:color="auto"/>
            <w:bottom w:val="none" w:sz="0" w:space="0" w:color="auto"/>
            <w:right w:val="none" w:sz="0" w:space="0" w:color="auto"/>
          </w:divBdr>
          <w:divsChild>
            <w:div w:id="138111244">
              <w:marLeft w:val="0"/>
              <w:marRight w:val="0"/>
              <w:marTop w:val="0"/>
              <w:marBottom w:val="0"/>
              <w:divBdr>
                <w:top w:val="none" w:sz="0" w:space="0" w:color="auto"/>
                <w:left w:val="none" w:sz="0" w:space="0" w:color="auto"/>
                <w:bottom w:val="none" w:sz="0" w:space="0" w:color="auto"/>
                <w:right w:val="none" w:sz="0" w:space="0" w:color="auto"/>
              </w:divBdr>
              <w:divsChild>
                <w:div w:id="14093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6446">
      <w:bodyDiv w:val="1"/>
      <w:marLeft w:val="0"/>
      <w:marRight w:val="0"/>
      <w:marTop w:val="0"/>
      <w:marBottom w:val="0"/>
      <w:divBdr>
        <w:top w:val="none" w:sz="0" w:space="0" w:color="auto"/>
        <w:left w:val="none" w:sz="0" w:space="0" w:color="auto"/>
        <w:bottom w:val="none" w:sz="0" w:space="0" w:color="auto"/>
        <w:right w:val="none" w:sz="0" w:space="0" w:color="auto"/>
      </w:divBdr>
      <w:divsChild>
        <w:div w:id="799105526">
          <w:marLeft w:val="0"/>
          <w:marRight w:val="0"/>
          <w:marTop w:val="0"/>
          <w:marBottom w:val="0"/>
          <w:divBdr>
            <w:top w:val="none" w:sz="0" w:space="0" w:color="auto"/>
            <w:left w:val="none" w:sz="0" w:space="0" w:color="auto"/>
            <w:bottom w:val="none" w:sz="0" w:space="0" w:color="auto"/>
            <w:right w:val="none" w:sz="0" w:space="0" w:color="auto"/>
          </w:divBdr>
          <w:divsChild>
            <w:div w:id="1957560558">
              <w:marLeft w:val="0"/>
              <w:marRight w:val="0"/>
              <w:marTop w:val="0"/>
              <w:marBottom w:val="0"/>
              <w:divBdr>
                <w:top w:val="none" w:sz="0" w:space="0" w:color="auto"/>
                <w:left w:val="none" w:sz="0" w:space="0" w:color="auto"/>
                <w:bottom w:val="none" w:sz="0" w:space="0" w:color="auto"/>
                <w:right w:val="none" w:sz="0" w:space="0" w:color="auto"/>
              </w:divBdr>
              <w:divsChild>
                <w:div w:id="463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17217">
      <w:bodyDiv w:val="1"/>
      <w:marLeft w:val="0"/>
      <w:marRight w:val="0"/>
      <w:marTop w:val="0"/>
      <w:marBottom w:val="0"/>
      <w:divBdr>
        <w:top w:val="none" w:sz="0" w:space="0" w:color="auto"/>
        <w:left w:val="none" w:sz="0" w:space="0" w:color="auto"/>
        <w:bottom w:val="none" w:sz="0" w:space="0" w:color="auto"/>
        <w:right w:val="none" w:sz="0" w:space="0" w:color="auto"/>
      </w:divBdr>
      <w:divsChild>
        <w:div w:id="1363702837">
          <w:marLeft w:val="0"/>
          <w:marRight w:val="0"/>
          <w:marTop w:val="0"/>
          <w:marBottom w:val="0"/>
          <w:divBdr>
            <w:top w:val="none" w:sz="0" w:space="0" w:color="auto"/>
            <w:left w:val="none" w:sz="0" w:space="0" w:color="auto"/>
            <w:bottom w:val="none" w:sz="0" w:space="0" w:color="auto"/>
            <w:right w:val="none" w:sz="0" w:space="0" w:color="auto"/>
          </w:divBdr>
          <w:divsChild>
            <w:div w:id="1278833864">
              <w:marLeft w:val="0"/>
              <w:marRight w:val="0"/>
              <w:marTop w:val="0"/>
              <w:marBottom w:val="0"/>
              <w:divBdr>
                <w:top w:val="none" w:sz="0" w:space="0" w:color="auto"/>
                <w:left w:val="none" w:sz="0" w:space="0" w:color="auto"/>
                <w:bottom w:val="none" w:sz="0" w:space="0" w:color="auto"/>
                <w:right w:val="none" w:sz="0" w:space="0" w:color="auto"/>
              </w:divBdr>
              <w:divsChild>
                <w:div w:id="124407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09952">
      <w:bodyDiv w:val="1"/>
      <w:marLeft w:val="0"/>
      <w:marRight w:val="0"/>
      <w:marTop w:val="0"/>
      <w:marBottom w:val="0"/>
      <w:divBdr>
        <w:top w:val="none" w:sz="0" w:space="0" w:color="auto"/>
        <w:left w:val="none" w:sz="0" w:space="0" w:color="auto"/>
        <w:bottom w:val="none" w:sz="0" w:space="0" w:color="auto"/>
        <w:right w:val="none" w:sz="0" w:space="0" w:color="auto"/>
      </w:divBdr>
      <w:divsChild>
        <w:div w:id="670988515">
          <w:marLeft w:val="0"/>
          <w:marRight w:val="0"/>
          <w:marTop w:val="0"/>
          <w:marBottom w:val="0"/>
          <w:divBdr>
            <w:top w:val="none" w:sz="0" w:space="0" w:color="auto"/>
            <w:left w:val="none" w:sz="0" w:space="0" w:color="auto"/>
            <w:bottom w:val="none" w:sz="0" w:space="0" w:color="auto"/>
            <w:right w:val="none" w:sz="0" w:space="0" w:color="auto"/>
          </w:divBdr>
          <w:divsChild>
            <w:div w:id="821889186">
              <w:marLeft w:val="0"/>
              <w:marRight w:val="0"/>
              <w:marTop w:val="0"/>
              <w:marBottom w:val="0"/>
              <w:divBdr>
                <w:top w:val="none" w:sz="0" w:space="0" w:color="auto"/>
                <w:left w:val="none" w:sz="0" w:space="0" w:color="auto"/>
                <w:bottom w:val="none" w:sz="0" w:space="0" w:color="auto"/>
                <w:right w:val="none" w:sz="0" w:space="0" w:color="auto"/>
              </w:divBdr>
              <w:divsChild>
                <w:div w:id="12733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95460">
      <w:bodyDiv w:val="1"/>
      <w:marLeft w:val="0"/>
      <w:marRight w:val="0"/>
      <w:marTop w:val="0"/>
      <w:marBottom w:val="0"/>
      <w:divBdr>
        <w:top w:val="none" w:sz="0" w:space="0" w:color="auto"/>
        <w:left w:val="none" w:sz="0" w:space="0" w:color="auto"/>
        <w:bottom w:val="none" w:sz="0" w:space="0" w:color="auto"/>
        <w:right w:val="none" w:sz="0" w:space="0" w:color="auto"/>
      </w:divBdr>
      <w:divsChild>
        <w:div w:id="1041595236">
          <w:marLeft w:val="0"/>
          <w:marRight w:val="0"/>
          <w:marTop w:val="0"/>
          <w:marBottom w:val="0"/>
          <w:divBdr>
            <w:top w:val="none" w:sz="0" w:space="0" w:color="auto"/>
            <w:left w:val="none" w:sz="0" w:space="0" w:color="auto"/>
            <w:bottom w:val="none" w:sz="0" w:space="0" w:color="auto"/>
            <w:right w:val="none" w:sz="0" w:space="0" w:color="auto"/>
          </w:divBdr>
          <w:divsChild>
            <w:div w:id="376198932">
              <w:marLeft w:val="0"/>
              <w:marRight w:val="0"/>
              <w:marTop w:val="0"/>
              <w:marBottom w:val="0"/>
              <w:divBdr>
                <w:top w:val="none" w:sz="0" w:space="0" w:color="auto"/>
                <w:left w:val="none" w:sz="0" w:space="0" w:color="auto"/>
                <w:bottom w:val="none" w:sz="0" w:space="0" w:color="auto"/>
                <w:right w:val="none" w:sz="0" w:space="0" w:color="auto"/>
              </w:divBdr>
              <w:divsChild>
                <w:div w:id="13793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37117">
      <w:bodyDiv w:val="1"/>
      <w:marLeft w:val="0"/>
      <w:marRight w:val="0"/>
      <w:marTop w:val="0"/>
      <w:marBottom w:val="0"/>
      <w:divBdr>
        <w:top w:val="none" w:sz="0" w:space="0" w:color="auto"/>
        <w:left w:val="none" w:sz="0" w:space="0" w:color="auto"/>
        <w:bottom w:val="none" w:sz="0" w:space="0" w:color="auto"/>
        <w:right w:val="none" w:sz="0" w:space="0" w:color="auto"/>
      </w:divBdr>
    </w:div>
    <w:div w:id="1347709939">
      <w:bodyDiv w:val="1"/>
      <w:marLeft w:val="0"/>
      <w:marRight w:val="0"/>
      <w:marTop w:val="0"/>
      <w:marBottom w:val="0"/>
      <w:divBdr>
        <w:top w:val="none" w:sz="0" w:space="0" w:color="auto"/>
        <w:left w:val="none" w:sz="0" w:space="0" w:color="auto"/>
        <w:bottom w:val="none" w:sz="0" w:space="0" w:color="auto"/>
        <w:right w:val="none" w:sz="0" w:space="0" w:color="auto"/>
      </w:divBdr>
      <w:divsChild>
        <w:div w:id="487480415">
          <w:marLeft w:val="0"/>
          <w:marRight w:val="0"/>
          <w:marTop w:val="0"/>
          <w:marBottom w:val="0"/>
          <w:divBdr>
            <w:top w:val="none" w:sz="0" w:space="0" w:color="auto"/>
            <w:left w:val="none" w:sz="0" w:space="0" w:color="auto"/>
            <w:bottom w:val="none" w:sz="0" w:space="0" w:color="auto"/>
            <w:right w:val="none" w:sz="0" w:space="0" w:color="auto"/>
          </w:divBdr>
          <w:divsChild>
            <w:div w:id="231081715">
              <w:marLeft w:val="0"/>
              <w:marRight w:val="0"/>
              <w:marTop w:val="0"/>
              <w:marBottom w:val="0"/>
              <w:divBdr>
                <w:top w:val="none" w:sz="0" w:space="0" w:color="auto"/>
                <w:left w:val="none" w:sz="0" w:space="0" w:color="auto"/>
                <w:bottom w:val="none" w:sz="0" w:space="0" w:color="auto"/>
                <w:right w:val="none" w:sz="0" w:space="0" w:color="auto"/>
              </w:divBdr>
              <w:divsChild>
                <w:div w:id="124560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767953">
      <w:bodyDiv w:val="1"/>
      <w:marLeft w:val="0"/>
      <w:marRight w:val="0"/>
      <w:marTop w:val="0"/>
      <w:marBottom w:val="0"/>
      <w:divBdr>
        <w:top w:val="none" w:sz="0" w:space="0" w:color="auto"/>
        <w:left w:val="none" w:sz="0" w:space="0" w:color="auto"/>
        <w:bottom w:val="none" w:sz="0" w:space="0" w:color="auto"/>
        <w:right w:val="none" w:sz="0" w:space="0" w:color="auto"/>
      </w:divBdr>
      <w:divsChild>
        <w:div w:id="2021930460">
          <w:marLeft w:val="0"/>
          <w:marRight w:val="0"/>
          <w:marTop w:val="0"/>
          <w:marBottom w:val="0"/>
          <w:divBdr>
            <w:top w:val="none" w:sz="0" w:space="0" w:color="auto"/>
            <w:left w:val="none" w:sz="0" w:space="0" w:color="auto"/>
            <w:bottom w:val="none" w:sz="0" w:space="0" w:color="auto"/>
            <w:right w:val="none" w:sz="0" w:space="0" w:color="auto"/>
          </w:divBdr>
          <w:divsChild>
            <w:div w:id="1216087420">
              <w:marLeft w:val="0"/>
              <w:marRight w:val="0"/>
              <w:marTop w:val="0"/>
              <w:marBottom w:val="0"/>
              <w:divBdr>
                <w:top w:val="none" w:sz="0" w:space="0" w:color="auto"/>
                <w:left w:val="none" w:sz="0" w:space="0" w:color="auto"/>
                <w:bottom w:val="none" w:sz="0" w:space="0" w:color="auto"/>
                <w:right w:val="none" w:sz="0" w:space="0" w:color="auto"/>
              </w:divBdr>
              <w:divsChild>
                <w:div w:id="16432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9275">
      <w:bodyDiv w:val="1"/>
      <w:marLeft w:val="0"/>
      <w:marRight w:val="0"/>
      <w:marTop w:val="0"/>
      <w:marBottom w:val="0"/>
      <w:divBdr>
        <w:top w:val="none" w:sz="0" w:space="0" w:color="auto"/>
        <w:left w:val="none" w:sz="0" w:space="0" w:color="auto"/>
        <w:bottom w:val="none" w:sz="0" w:space="0" w:color="auto"/>
        <w:right w:val="none" w:sz="0" w:space="0" w:color="auto"/>
      </w:divBdr>
      <w:divsChild>
        <w:div w:id="639457418">
          <w:marLeft w:val="0"/>
          <w:marRight w:val="0"/>
          <w:marTop w:val="0"/>
          <w:marBottom w:val="0"/>
          <w:divBdr>
            <w:top w:val="none" w:sz="0" w:space="0" w:color="auto"/>
            <w:left w:val="none" w:sz="0" w:space="0" w:color="auto"/>
            <w:bottom w:val="none" w:sz="0" w:space="0" w:color="auto"/>
            <w:right w:val="none" w:sz="0" w:space="0" w:color="auto"/>
          </w:divBdr>
          <w:divsChild>
            <w:div w:id="459500829">
              <w:marLeft w:val="0"/>
              <w:marRight w:val="0"/>
              <w:marTop w:val="0"/>
              <w:marBottom w:val="0"/>
              <w:divBdr>
                <w:top w:val="none" w:sz="0" w:space="0" w:color="auto"/>
                <w:left w:val="none" w:sz="0" w:space="0" w:color="auto"/>
                <w:bottom w:val="none" w:sz="0" w:space="0" w:color="auto"/>
                <w:right w:val="none" w:sz="0" w:space="0" w:color="auto"/>
              </w:divBdr>
              <w:divsChild>
                <w:div w:id="3136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172174">
      <w:bodyDiv w:val="1"/>
      <w:marLeft w:val="0"/>
      <w:marRight w:val="0"/>
      <w:marTop w:val="0"/>
      <w:marBottom w:val="0"/>
      <w:divBdr>
        <w:top w:val="none" w:sz="0" w:space="0" w:color="auto"/>
        <w:left w:val="none" w:sz="0" w:space="0" w:color="auto"/>
        <w:bottom w:val="none" w:sz="0" w:space="0" w:color="auto"/>
        <w:right w:val="none" w:sz="0" w:space="0" w:color="auto"/>
      </w:divBdr>
      <w:divsChild>
        <w:div w:id="297346702">
          <w:marLeft w:val="0"/>
          <w:marRight w:val="0"/>
          <w:marTop w:val="0"/>
          <w:marBottom w:val="0"/>
          <w:divBdr>
            <w:top w:val="none" w:sz="0" w:space="0" w:color="auto"/>
            <w:left w:val="none" w:sz="0" w:space="0" w:color="auto"/>
            <w:bottom w:val="none" w:sz="0" w:space="0" w:color="auto"/>
            <w:right w:val="none" w:sz="0" w:space="0" w:color="auto"/>
          </w:divBdr>
        </w:div>
        <w:div w:id="613027111">
          <w:marLeft w:val="0"/>
          <w:marRight w:val="0"/>
          <w:marTop w:val="0"/>
          <w:marBottom w:val="0"/>
          <w:divBdr>
            <w:top w:val="none" w:sz="0" w:space="0" w:color="auto"/>
            <w:left w:val="none" w:sz="0" w:space="0" w:color="auto"/>
            <w:bottom w:val="single" w:sz="12" w:space="8" w:color="C9C9C9"/>
            <w:right w:val="none" w:sz="0" w:space="0" w:color="auto"/>
          </w:divBdr>
          <w:divsChild>
            <w:div w:id="1947421219">
              <w:marLeft w:val="0"/>
              <w:marRight w:val="0"/>
              <w:marTop w:val="0"/>
              <w:marBottom w:val="0"/>
              <w:divBdr>
                <w:top w:val="none" w:sz="0" w:space="0" w:color="auto"/>
                <w:left w:val="none" w:sz="0" w:space="0" w:color="auto"/>
                <w:bottom w:val="none" w:sz="0" w:space="0" w:color="auto"/>
                <w:right w:val="none" w:sz="0" w:space="0" w:color="auto"/>
              </w:divBdr>
              <w:divsChild>
                <w:div w:id="393703275">
                  <w:marLeft w:val="0"/>
                  <w:marRight w:val="0"/>
                  <w:marTop w:val="0"/>
                  <w:marBottom w:val="0"/>
                  <w:divBdr>
                    <w:top w:val="none" w:sz="0" w:space="0" w:color="auto"/>
                    <w:left w:val="none" w:sz="0" w:space="0" w:color="auto"/>
                    <w:bottom w:val="none" w:sz="0" w:space="0" w:color="auto"/>
                    <w:right w:val="none" w:sz="0" w:space="0" w:color="auto"/>
                  </w:divBdr>
                </w:div>
              </w:divsChild>
            </w:div>
            <w:div w:id="990214951">
              <w:marLeft w:val="0"/>
              <w:marRight w:val="0"/>
              <w:marTop w:val="0"/>
              <w:marBottom w:val="0"/>
              <w:divBdr>
                <w:top w:val="none" w:sz="0" w:space="0" w:color="auto"/>
                <w:left w:val="none" w:sz="0" w:space="0" w:color="auto"/>
                <w:bottom w:val="none" w:sz="0" w:space="0" w:color="auto"/>
                <w:right w:val="none" w:sz="0" w:space="0" w:color="auto"/>
              </w:divBdr>
            </w:div>
          </w:divsChild>
        </w:div>
        <w:div w:id="1250849265">
          <w:marLeft w:val="0"/>
          <w:marRight w:val="0"/>
          <w:marTop w:val="0"/>
          <w:marBottom w:val="600"/>
          <w:divBdr>
            <w:top w:val="none" w:sz="0" w:space="0" w:color="auto"/>
            <w:left w:val="none" w:sz="0" w:space="0" w:color="auto"/>
            <w:bottom w:val="none" w:sz="0" w:space="0" w:color="auto"/>
            <w:right w:val="none" w:sz="0" w:space="0" w:color="auto"/>
          </w:divBdr>
        </w:div>
      </w:divsChild>
    </w:div>
    <w:div w:id="1762408657">
      <w:bodyDiv w:val="1"/>
      <w:marLeft w:val="0"/>
      <w:marRight w:val="0"/>
      <w:marTop w:val="0"/>
      <w:marBottom w:val="0"/>
      <w:divBdr>
        <w:top w:val="none" w:sz="0" w:space="0" w:color="auto"/>
        <w:left w:val="none" w:sz="0" w:space="0" w:color="auto"/>
        <w:bottom w:val="none" w:sz="0" w:space="0" w:color="auto"/>
        <w:right w:val="none" w:sz="0" w:space="0" w:color="auto"/>
      </w:divBdr>
      <w:divsChild>
        <w:div w:id="905801235">
          <w:marLeft w:val="0"/>
          <w:marRight w:val="0"/>
          <w:marTop w:val="0"/>
          <w:marBottom w:val="0"/>
          <w:divBdr>
            <w:top w:val="none" w:sz="0" w:space="0" w:color="auto"/>
            <w:left w:val="none" w:sz="0" w:space="0" w:color="auto"/>
            <w:bottom w:val="none" w:sz="0" w:space="0" w:color="auto"/>
            <w:right w:val="none" w:sz="0" w:space="0" w:color="auto"/>
          </w:divBdr>
          <w:divsChild>
            <w:div w:id="873007399">
              <w:marLeft w:val="0"/>
              <w:marRight w:val="0"/>
              <w:marTop w:val="0"/>
              <w:marBottom w:val="0"/>
              <w:divBdr>
                <w:top w:val="none" w:sz="0" w:space="0" w:color="auto"/>
                <w:left w:val="none" w:sz="0" w:space="0" w:color="auto"/>
                <w:bottom w:val="none" w:sz="0" w:space="0" w:color="auto"/>
                <w:right w:val="none" w:sz="0" w:space="0" w:color="auto"/>
              </w:divBdr>
              <w:divsChild>
                <w:div w:id="8400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8173">
      <w:bodyDiv w:val="1"/>
      <w:marLeft w:val="0"/>
      <w:marRight w:val="0"/>
      <w:marTop w:val="0"/>
      <w:marBottom w:val="0"/>
      <w:divBdr>
        <w:top w:val="none" w:sz="0" w:space="0" w:color="auto"/>
        <w:left w:val="none" w:sz="0" w:space="0" w:color="auto"/>
        <w:bottom w:val="none" w:sz="0" w:space="0" w:color="auto"/>
        <w:right w:val="none" w:sz="0" w:space="0" w:color="auto"/>
      </w:divBdr>
      <w:divsChild>
        <w:div w:id="338889795">
          <w:marLeft w:val="0"/>
          <w:marRight w:val="0"/>
          <w:marTop w:val="0"/>
          <w:marBottom w:val="0"/>
          <w:divBdr>
            <w:top w:val="none" w:sz="0" w:space="0" w:color="auto"/>
            <w:left w:val="none" w:sz="0" w:space="0" w:color="auto"/>
            <w:bottom w:val="none" w:sz="0" w:space="0" w:color="auto"/>
            <w:right w:val="none" w:sz="0" w:space="0" w:color="auto"/>
          </w:divBdr>
          <w:divsChild>
            <w:div w:id="1587690027">
              <w:marLeft w:val="0"/>
              <w:marRight w:val="0"/>
              <w:marTop w:val="0"/>
              <w:marBottom w:val="0"/>
              <w:divBdr>
                <w:top w:val="none" w:sz="0" w:space="0" w:color="auto"/>
                <w:left w:val="none" w:sz="0" w:space="0" w:color="auto"/>
                <w:bottom w:val="none" w:sz="0" w:space="0" w:color="auto"/>
                <w:right w:val="none" w:sz="0" w:space="0" w:color="auto"/>
              </w:divBdr>
              <w:divsChild>
                <w:div w:id="62843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161756">
      <w:bodyDiv w:val="1"/>
      <w:marLeft w:val="0"/>
      <w:marRight w:val="0"/>
      <w:marTop w:val="0"/>
      <w:marBottom w:val="0"/>
      <w:divBdr>
        <w:top w:val="none" w:sz="0" w:space="0" w:color="auto"/>
        <w:left w:val="none" w:sz="0" w:space="0" w:color="auto"/>
        <w:bottom w:val="none" w:sz="0" w:space="0" w:color="auto"/>
        <w:right w:val="none" w:sz="0" w:space="0" w:color="auto"/>
      </w:divBdr>
    </w:div>
    <w:div w:id="1941834368">
      <w:bodyDiv w:val="1"/>
      <w:marLeft w:val="0"/>
      <w:marRight w:val="0"/>
      <w:marTop w:val="0"/>
      <w:marBottom w:val="0"/>
      <w:divBdr>
        <w:top w:val="none" w:sz="0" w:space="0" w:color="auto"/>
        <w:left w:val="none" w:sz="0" w:space="0" w:color="auto"/>
        <w:bottom w:val="none" w:sz="0" w:space="0" w:color="auto"/>
        <w:right w:val="none" w:sz="0" w:space="0" w:color="auto"/>
      </w:divBdr>
      <w:divsChild>
        <w:div w:id="2101752298">
          <w:marLeft w:val="0"/>
          <w:marRight w:val="0"/>
          <w:marTop w:val="0"/>
          <w:marBottom w:val="0"/>
          <w:divBdr>
            <w:top w:val="none" w:sz="0" w:space="0" w:color="auto"/>
            <w:left w:val="none" w:sz="0" w:space="0" w:color="auto"/>
            <w:bottom w:val="none" w:sz="0" w:space="0" w:color="auto"/>
            <w:right w:val="none" w:sz="0" w:space="0" w:color="auto"/>
          </w:divBdr>
          <w:divsChild>
            <w:div w:id="1481966926">
              <w:marLeft w:val="0"/>
              <w:marRight w:val="0"/>
              <w:marTop w:val="0"/>
              <w:marBottom w:val="0"/>
              <w:divBdr>
                <w:top w:val="none" w:sz="0" w:space="0" w:color="auto"/>
                <w:left w:val="none" w:sz="0" w:space="0" w:color="auto"/>
                <w:bottom w:val="none" w:sz="0" w:space="0" w:color="auto"/>
                <w:right w:val="none" w:sz="0" w:space="0" w:color="auto"/>
              </w:divBdr>
              <w:divsChild>
                <w:div w:id="5439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08845">
      <w:bodyDiv w:val="1"/>
      <w:marLeft w:val="0"/>
      <w:marRight w:val="0"/>
      <w:marTop w:val="0"/>
      <w:marBottom w:val="0"/>
      <w:divBdr>
        <w:top w:val="none" w:sz="0" w:space="0" w:color="auto"/>
        <w:left w:val="none" w:sz="0" w:space="0" w:color="auto"/>
        <w:bottom w:val="none" w:sz="0" w:space="0" w:color="auto"/>
        <w:right w:val="none" w:sz="0" w:space="0" w:color="auto"/>
      </w:divBdr>
      <w:divsChild>
        <w:div w:id="534007129">
          <w:marLeft w:val="0"/>
          <w:marRight w:val="0"/>
          <w:marTop w:val="0"/>
          <w:marBottom w:val="0"/>
          <w:divBdr>
            <w:top w:val="none" w:sz="0" w:space="0" w:color="auto"/>
            <w:left w:val="none" w:sz="0" w:space="0" w:color="auto"/>
            <w:bottom w:val="none" w:sz="0" w:space="0" w:color="auto"/>
            <w:right w:val="none" w:sz="0" w:space="0" w:color="auto"/>
          </w:divBdr>
          <w:divsChild>
            <w:div w:id="311909770">
              <w:marLeft w:val="0"/>
              <w:marRight w:val="0"/>
              <w:marTop w:val="0"/>
              <w:marBottom w:val="0"/>
              <w:divBdr>
                <w:top w:val="none" w:sz="0" w:space="0" w:color="auto"/>
                <w:left w:val="none" w:sz="0" w:space="0" w:color="auto"/>
                <w:bottom w:val="none" w:sz="0" w:space="0" w:color="auto"/>
                <w:right w:val="none" w:sz="0" w:space="0" w:color="auto"/>
              </w:divBdr>
              <w:divsChild>
                <w:div w:id="202532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6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959</TotalTime>
  <Pages>11</Pages>
  <Words>3921</Words>
  <Characters>22355</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Maria Ramajoli</dc:creator>
  <cp:keywords/>
  <dc:description/>
  <cp:lastModifiedBy>Margherita Maria Ramajoli</cp:lastModifiedBy>
  <cp:revision>46</cp:revision>
  <cp:lastPrinted>2024-03-03T17:37:00Z</cp:lastPrinted>
  <dcterms:created xsi:type="dcterms:W3CDTF">2023-11-16T15:59:00Z</dcterms:created>
  <dcterms:modified xsi:type="dcterms:W3CDTF">2024-03-03T20:09:00Z</dcterms:modified>
</cp:coreProperties>
</file>