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577E10" w14:textId="7B0A70B6" w:rsidR="00E2413E" w:rsidRPr="0020691C" w:rsidRDefault="008B2D6E" w:rsidP="00596999">
      <w:pPr>
        <w:spacing w:line="240" w:lineRule="auto"/>
        <w:jc w:val="both"/>
        <w:rPr>
          <w:b/>
          <w:bCs/>
        </w:rPr>
      </w:pPr>
      <w:r w:rsidRPr="0020691C">
        <w:rPr>
          <w:b/>
          <w:bCs/>
        </w:rPr>
        <w:t>LA CONCEZIONE CROCIANA DEL PAESAGGIO NEL DIRITTO CONTEMPORANEO</w:t>
      </w:r>
    </w:p>
    <w:p w14:paraId="3F5F533D" w14:textId="0506C391" w:rsidR="00037B66" w:rsidRPr="0020691C" w:rsidRDefault="00037B66" w:rsidP="00596999">
      <w:pPr>
        <w:spacing w:line="240" w:lineRule="auto"/>
        <w:jc w:val="both"/>
        <w:rPr>
          <w:b/>
          <w:bCs/>
        </w:rPr>
      </w:pPr>
      <w:r w:rsidRPr="0020691C">
        <w:rPr>
          <w:b/>
          <w:bCs/>
        </w:rPr>
        <w:t>PRESENTA</w:t>
      </w:r>
      <w:r w:rsidR="0051286F" w:rsidRPr="0020691C">
        <w:rPr>
          <w:b/>
          <w:bCs/>
        </w:rPr>
        <w:t>Z</w:t>
      </w:r>
      <w:r w:rsidRPr="0020691C">
        <w:rPr>
          <w:b/>
          <w:bCs/>
        </w:rPr>
        <w:t>IONE DEL LIBRO DI PAOLO CARPENTIERI, CARLO INANNELLO E GIANCARLO MONTEDORO</w:t>
      </w:r>
      <w:r w:rsidR="0051286F" w:rsidRPr="0020691C">
        <w:rPr>
          <w:b/>
          <w:bCs/>
        </w:rPr>
        <w:t xml:space="preserve"> NAPOLI EDITORIALE S</w:t>
      </w:r>
      <w:r w:rsidR="00596999" w:rsidRPr="0020691C">
        <w:rPr>
          <w:b/>
          <w:bCs/>
        </w:rPr>
        <w:t>CIENTIFICA 2023. RELAZIONE DEL PROF.AVV.  EUGENIO PICOZZA</w:t>
      </w:r>
      <w:r w:rsidR="0020691C" w:rsidRPr="0020691C">
        <w:rPr>
          <w:b/>
          <w:bCs/>
        </w:rPr>
        <w:t xml:space="preserve"> EMERITO DI DIRITTO AMMINISTRATIVO DELLA FACOLTA’ DI GIURISPRUDENZA DELLA UNIVERSITA’ DI ROMA 2 TOR VERGATA </w:t>
      </w:r>
      <w:r w:rsidR="00094523">
        <w:rPr>
          <w:b/>
          <w:bCs/>
        </w:rPr>
        <w:t xml:space="preserve"> PALAZZO SPADA CONSIGLIO DI STATO AULA ADUNANZE </w:t>
      </w:r>
      <w:r w:rsidR="0020691C" w:rsidRPr="0020691C">
        <w:rPr>
          <w:b/>
          <w:bCs/>
        </w:rPr>
        <w:t>SALA DI POMPEO 11 GIUGNO 2024 ore 16.</w:t>
      </w:r>
    </w:p>
    <w:p w14:paraId="04260EDA" w14:textId="77777777" w:rsidR="0020691C" w:rsidRDefault="0020691C" w:rsidP="00596999">
      <w:pPr>
        <w:spacing w:line="240" w:lineRule="auto"/>
        <w:jc w:val="both"/>
      </w:pPr>
    </w:p>
    <w:p w14:paraId="04A426F3" w14:textId="61E4C5AA" w:rsidR="0020691C" w:rsidRDefault="0020691C" w:rsidP="00666C52">
      <w:pPr>
        <w:spacing w:line="480" w:lineRule="auto"/>
        <w:jc w:val="both"/>
      </w:pPr>
      <w:r>
        <w:t>1.Premessa</w:t>
      </w:r>
      <w:r w:rsidR="008B1D24">
        <w:t xml:space="preserve"> E’ molto difficile ed arduo presentare ciascuno dei tre bellissimi contributi che compongono il volume in oggett</w:t>
      </w:r>
      <w:r w:rsidR="00666C52">
        <w:t>o. Ciascuno di essi infatti evidenzia un proprio stile, una propria linea di pensie</w:t>
      </w:r>
      <w:r w:rsidR="00333141">
        <w:t>ro senza sovrapposizioni o interferenze. Se nel contributo dell’Amico Giancarlo troviamo la sua anima poetica, e quindi la capacità “rapsodica”</w:t>
      </w:r>
      <w:r w:rsidR="00DD6797">
        <w:t xml:space="preserve"> di toccare con lieve incedere massimi sistemi, come i rapporti tra storia, arte, scienza</w:t>
      </w:r>
      <w:r w:rsidR="00FF36A7">
        <w:t xml:space="preserve"> e bellezza, comparando il buon mondo antico (ma vissuto attraverso i miei nonni e la mia professoressa di pianoforte il cui papà era capo di gabinetto del Ministero Croce) con la c.d. “fine della civiltà” o addirittura pensano alcuni il “</w:t>
      </w:r>
      <w:proofErr w:type="spellStart"/>
      <w:r w:rsidR="00FF36A7">
        <w:t>transumanesimo”</w:t>
      </w:r>
      <w:r w:rsidR="0083343C">
        <w:t>,</w:t>
      </w:r>
      <w:r w:rsidR="00734EAB">
        <w:t>;</w:t>
      </w:r>
      <w:r w:rsidR="0083343C">
        <w:t>nel</w:t>
      </w:r>
      <w:proofErr w:type="spellEnd"/>
      <w:r w:rsidR="0083343C">
        <w:t xml:space="preserve"> saggio del prof. </w:t>
      </w:r>
      <w:proofErr w:type="spellStart"/>
      <w:r w:rsidR="0083343C">
        <w:t>Jannello</w:t>
      </w:r>
      <w:proofErr w:type="spellEnd"/>
      <w:r w:rsidR="0083343C">
        <w:t xml:space="preserve"> come avete già sentito dalle parole di Vincenzo, rinveniamo una analisi di diritto positivo della evoluzione di questa tormentata nozione, con tratti originali e coraggiosi nel rivendicare il carattere “ideologico” delle tre principali </w:t>
      </w:r>
      <w:r w:rsidR="00232E3A">
        <w:t xml:space="preserve">teorie proposte rispettivamente dal Aldo Maria Sandulli, da Giannini e da Predieri, che peraltro come cercherò di </w:t>
      </w:r>
      <w:r w:rsidR="00C74F9B">
        <w:t xml:space="preserve">illustrare tra poco </w:t>
      </w:r>
      <w:r w:rsidR="00252BFF">
        <w:t xml:space="preserve">erano già contenute in </w:t>
      </w:r>
      <w:proofErr w:type="spellStart"/>
      <w:r w:rsidR="00252BFF">
        <w:t>nuce</w:t>
      </w:r>
      <w:proofErr w:type="spellEnd"/>
      <w:r w:rsidR="00252BFF">
        <w:t xml:space="preserve"> nella famosa legge 778 del 1922 detta appunto legge Croce sul paesaggio.</w:t>
      </w:r>
    </w:p>
    <w:p w14:paraId="6B582F25" w14:textId="160E9C2D" w:rsidR="00252BFF" w:rsidRDefault="00252BFF" w:rsidP="00666C52">
      <w:pPr>
        <w:spacing w:line="480" w:lineRule="auto"/>
        <w:jc w:val="both"/>
      </w:pPr>
      <w:r>
        <w:t>Infine</w:t>
      </w:r>
      <w:r w:rsidR="00E55AB6">
        <w:t>, ne</w:t>
      </w:r>
      <w:r w:rsidR="008C5DFE">
        <w:t>ll’appassionato saggio di Paolo Carpentieri – con la sottigliezza di argomentazione propria del giudice amministrativo ma anche con il senso</w:t>
      </w:r>
      <w:r w:rsidR="00091144">
        <w:t xml:space="preserve"> istituzionale di chi ha servito lo Stato in questo delicato campo dei beni culturali</w:t>
      </w:r>
      <w:r w:rsidR="00A50A66">
        <w:t>, troviamo una ricostruzione dettagliata della storia di quello</w:t>
      </w:r>
      <w:r w:rsidR="00805393">
        <w:t xml:space="preserve"> che potremmo definire un “appannamento” del concetto di paesaggio progressivamente sostituito dalla pan </w:t>
      </w:r>
      <w:r w:rsidR="00B81509">
        <w:t>urbanistica e dell</w:t>
      </w:r>
      <w:r w:rsidR="00D955E0">
        <w:t>’</w:t>
      </w:r>
      <w:r w:rsidR="00B81509">
        <w:t xml:space="preserve"> emergere della nozione di tutela </w:t>
      </w:r>
      <w:r w:rsidR="00B81509">
        <w:lastRenderedPageBreak/>
        <w:t>dell’ambiente.</w:t>
      </w:r>
      <w:r w:rsidR="007B15E5">
        <w:rPr>
          <w:rStyle w:val="Rimandonotaapidipagina"/>
        </w:rPr>
        <w:footnoteReference w:id="1"/>
      </w:r>
      <w:r w:rsidR="00B81509">
        <w:t xml:space="preserve"> </w:t>
      </w:r>
      <w:r w:rsidR="00EE678A">
        <w:t>E</w:t>
      </w:r>
      <w:r w:rsidR="00D955E0">
        <w:t xml:space="preserve"> la difesa altrettanto  appassionata della essenza “estetica “ della nozione di paesaggio. Non volendo fare torto ad alcuno mi concentrer</w:t>
      </w:r>
      <w:r w:rsidR="008E691D">
        <w:t>ò su alcuni punti della legge.</w:t>
      </w:r>
    </w:p>
    <w:p w14:paraId="0236B965" w14:textId="77777777" w:rsidR="00BB5D7D" w:rsidRDefault="008E691D" w:rsidP="00666C52">
      <w:pPr>
        <w:spacing w:line="480" w:lineRule="auto"/>
        <w:jc w:val="both"/>
      </w:pPr>
      <w:r>
        <w:t xml:space="preserve">2. In primo luogo va analizzato l’aspetto “politico” della normativa </w:t>
      </w:r>
      <w:r w:rsidR="00CE1D63">
        <w:t>dal punto di vista dell’assetto costituzionale</w:t>
      </w:r>
      <w:r w:rsidR="009629BF">
        <w:t xml:space="preserve"> poco prima che instaurandosi il regime autoritario,</w:t>
      </w:r>
      <w:r w:rsidR="00BB5D7D">
        <w:t>(</w:t>
      </w:r>
      <w:r w:rsidR="009629BF">
        <w:t xml:space="preserve"> con la legge 100 del 1926 che delegava al governo il potere di emanare norme giuridiche in settori prima riservati al Parlamento</w:t>
      </w:r>
      <w:r w:rsidR="00AD7765">
        <w:rPr>
          <w:rStyle w:val="Rimandonotaapidipagina"/>
        </w:rPr>
        <w:footnoteReference w:id="2"/>
      </w:r>
      <w:r w:rsidR="001B07A2">
        <w:t xml:space="preserve"> </w:t>
      </w:r>
      <w:r w:rsidR="00BB5D7D">
        <w:t>)</w:t>
      </w:r>
      <w:r w:rsidR="009629BF">
        <w:t xml:space="preserve"> si passasse da uno Stato</w:t>
      </w:r>
      <w:r w:rsidR="001B07A2">
        <w:t xml:space="preserve"> liberale con una netta divisione tra governo e attività esecutiva, ad uno Stato appunto di tipo governativo </w:t>
      </w:r>
      <w:r w:rsidR="00AD7765">
        <w:rPr>
          <w:rStyle w:val="Rimandonotaapidipagina"/>
        </w:rPr>
        <w:footnoteReference w:id="3"/>
      </w:r>
      <w:r w:rsidR="00DA4D65">
        <w:t>.</w:t>
      </w:r>
      <w:r w:rsidR="002F1DBA">
        <w:t xml:space="preserve"> </w:t>
      </w:r>
    </w:p>
    <w:p w14:paraId="6DA9CAF9" w14:textId="77777777" w:rsidR="00FB5968" w:rsidRDefault="002F1DBA" w:rsidP="00666C52">
      <w:pPr>
        <w:spacing w:line="480" w:lineRule="auto"/>
        <w:jc w:val="both"/>
      </w:pPr>
      <w:r>
        <w:t xml:space="preserve">Ebbene nonostante </w:t>
      </w:r>
      <w:r w:rsidR="00BB5D7D">
        <w:t xml:space="preserve">fossero </w:t>
      </w:r>
      <w:r>
        <w:t xml:space="preserve"> passati meno di venti anni dal parziale insuccesso della legge </w:t>
      </w:r>
      <w:proofErr w:type="spellStart"/>
      <w:r>
        <w:t>Rosadi</w:t>
      </w:r>
      <w:proofErr w:type="spellEnd"/>
      <w:r>
        <w:t xml:space="preserve"> del 1905 (laddove come ricordano i nostri Autori) la tutela del paesaggio era è stata espunta da</w:t>
      </w:r>
      <w:r w:rsidR="00E5227D">
        <w:t xml:space="preserve">lle </w:t>
      </w:r>
      <w:r w:rsidR="00FB5968">
        <w:t xml:space="preserve">pressioni </w:t>
      </w:r>
      <w:r w:rsidR="00E5227D">
        <w:t xml:space="preserve"> dei proprietari, vediamo una legge che colloca lo Stato in posizione “interventista”, quindi in un rapporto tra Sovranità e Libertà</w:t>
      </w:r>
      <w:r w:rsidR="00FB5968">
        <w:t xml:space="preserve">, non più </w:t>
      </w:r>
      <w:r w:rsidR="00E5227D">
        <w:t>retto dal principio di “separazione “ come era stato in precedenza e confermato dalla politica del neonato Regno di Italia.</w:t>
      </w:r>
    </w:p>
    <w:p w14:paraId="0FF7669C" w14:textId="77777777" w:rsidR="00E87E20" w:rsidRDefault="00E5227D" w:rsidP="00666C52">
      <w:pPr>
        <w:spacing w:line="480" w:lineRule="auto"/>
        <w:jc w:val="both"/>
      </w:pPr>
      <w:r>
        <w:t xml:space="preserve"> Di lì a pochi anni sarà uno dei massimi costituzionalisti</w:t>
      </w:r>
      <w:r w:rsidR="00681DC6">
        <w:t xml:space="preserve"> tedeschi a teorizzare sulla scorta del dato positivo della Costituzione di Weimar la notissima “</w:t>
      </w:r>
      <w:proofErr w:type="spellStart"/>
      <w:r w:rsidR="00681DC6">
        <w:t>integrationlehre</w:t>
      </w:r>
      <w:proofErr w:type="spellEnd"/>
      <w:r w:rsidR="00681DC6">
        <w:t xml:space="preserve">” in appendice </w:t>
      </w:r>
      <w:r w:rsidR="00417D9E">
        <w:t xml:space="preserve">Al </w:t>
      </w:r>
      <w:r w:rsidR="00681DC6">
        <w:t xml:space="preserve"> volume </w:t>
      </w:r>
      <w:r w:rsidR="00417D9E">
        <w:t xml:space="preserve"> Dottrina della Costituzione </w:t>
      </w:r>
      <w:r w:rsidR="0063343A">
        <w:t xml:space="preserve"> cioè la primazia del potere politico sui poteri economici e sociali e soprattutto il “potere di integrazione” cioè quello</w:t>
      </w:r>
      <w:r w:rsidR="002328C0">
        <w:t xml:space="preserve"> di mediare e comporre i conflitti sociali laddove l’iniziativa economica o il consenso sociale non ci riuscissero.</w:t>
      </w:r>
      <w:r w:rsidR="006D2670">
        <w:t xml:space="preserve"> </w:t>
      </w:r>
    </w:p>
    <w:p w14:paraId="00AD493F" w14:textId="7315374C" w:rsidR="00D07E31" w:rsidRDefault="006D2670" w:rsidP="00666C52">
      <w:pPr>
        <w:spacing w:line="480" w:lineRule="auto"/>
        <w:jc w:val="both"/>
      </w:pPr>
      <w:r>
        <w:lastRenderedPageBreak/>
        <w:t>Nella fattispecie questo potere è insito nel termine “notevole interesse pubblico”</w:t>
      </w:r>
      <w:r w:rsidR="00756082">
        <w:t xml:space="preserve">. Sulla scorta della distinzione tra cura astratta e cura concreta dell’interesse pubblico – già composta nei manuali di Vittorio Emanuele Orlando e nei Principi di diritto amministrativo del 1912 di Santi Romano </w:t>
      </w:r>
      <w:r w:rsidR="00C211F8">
        <w:t>– emerge una concezione che non “limita” a priori l’interesse dello Stato ,</w:t>
      </w:r>
      <w:r w:rsidR="009144F9">
        <w:t>per rispetto della proprietà privata (le c.d. limitazioni legali ai diritti reali) ma “impone” il limite e quindi agisce non reagisce.</w:t>
      </w:r>
      <w:r w:rsidR="00D07E31">
        <w:t xml:space="preserve"> Questa impostazione anche essa contiene in un </w:t>
      </w:r>
      <w:proofErr w:type="spellStart"/>
      <w:r w:rsidR="00D07E31">
        <w:t>nuce</w:t>
      </w:r>
      <w:proofErr w:type="spellEnd"/>
      <w:r w:rsidR="00D07E31">
        <w:t xml:space="preserve"> la dottrina classica della discrezionalità amministrativa che sarà sistemata nella monografia sassarese di Massimo Severo Giannini del 1939.</w:t>
      </w:r>
      <w:r w:rsidR="00D07E31">
        <w:rPr>
          <w:rStyle w:val="Rimandonotaapidipagina"/>
        </w:rPr>
        <w:footnoteReference w:id="4"/>
      </w:r>
    </w:p>
    <w:p w14:paraId="43288E7E" w14:textId="082DB742" w:rsidR="000B513D" w:rsidRDefault="000B513D" w:rsidP="00666C52">
      <w:pPr>
        <w:spacing w:line="480" w:lineRule="auto"/>
        <w:jc w:val="both"/>
      </w:pPr>
      <w:r>
        <w:t>Il secondo aspetto fondamentale che denota lo spirito liberale di Benedetto Croce e dell’epoca prefascista è lo scrupoloso rispetto del principio di legalità</w:t>
      </w:r>
      <w:r w:rsidR="009925FD">
        <w:t xml:space="preserve"> o più precisamente della riserva di legge “Sono dichiarate soggette</w:t>
      </w:r>
      <w:r w:rsidR="006A2AC4">
        <w:t xml:space="preserve"> a speciale protezione le cose immobili la cui conservazione presenta un notevole interesse pubblico a causa della loro bellezza naturale e della loro particolare relazione con la storia civile e letteraria.</w:t>
      </w:r>
    </w:p>
    <w:p w14:paraId="14C3CAA5" w14:textId="58B52024" w:rsidR="006F59B1" w:rsidRDefault="006F59B1" w:rsidP="00666C52">
      <w:pPr>
        <w:spacing w:line="480" w:lineRule="auto"/>
        <w:jc w:val="both"/>
      </w:pPr>
      <w:r>
        <w:t>Sono protette altresì dalla presente legge le bellezze panoramiche”.</w:t>
      </w:r>
      <w:r w:rsidR="00466394">
        <w:rPr>
          <w:rStyle w:val="Rimandonotaapidipagina"/>
        </w:rPr>
        <w:footnoteReference w:id="5"/>
      </w:r>
    </w:p>
    <w:p w14:paraId="73B1EBE5" w14:textId="76B187F1" w:rsidR="006F59B1" w:rsidRDefault="006F59B1" w:rsidP="00666C52">
      <w:pPr>
        <w:spacing w:line="480" w:lineRule="auto"/>
        <w:jc w:val="both"/>
      </w:pPr>
      <w:r>
        <w:t>Indubbiamente si tratta di riserva di legge “relativa”</w:t>
      </w:r>
      <w:r w:rsidR="00EE6985">
        <w:t>: osservo incidentalmente che anche questa constatazione depone a favore del passaggio dal principio di separazione politica a quello di integrazione</w:t>
      </w:r>
      <w:r w:rsidR="005D2EF5">
        <w:t xml:space="preserve"> tra politica e società civile ed economica.</w:t>
      </w:r>
      <w:r w:rsidR="001D793B">
        <w:t xml:space="preserve"> Tanto è vero che la legge concede “facoltà” e non obbligo al Ministero competente di procedere alla dichiarazione di notevole interesse pubblico.</w:t>
      </w:r>
    </w:p>
    <w:p w14:paraId="2ADD912A" w14:textId="2446986D" w:rsidR="00E468F8" w:rsidRDefault="00E468F8" w:rsidP="00666C52">
      <w:pPr>
        <w:spacing w:line="480" w:lineRule="auto"/>
        <w:jc w:val="both"/>
      </w:pPr>
      <w:r>
        <w:lastRenderedPageBreak/>
        <w:t>Un altro aspetto fondamentale di tipo organizzativo che troviamo nella legge</w:t>
      </w:r>
      <w:r w:rsidR="000031A1">
        <w:t xml:space="preserve"> è il principio di continuità tra politica e amministrazione che già contenuto in </w:t>
      </w:r>
      <w:proofErr w:type="spellStart"/>
      <w:r w:rsidR="000031A1">
        <w:t>nuce</w:t>
      </w:r>
      <w:proofErr w:type="spellEnd"/>
      <w:r w:rsidR="000031A1">
        <w:t xml:space="preserve"> nello Statuto Albertino troverà fondamento costituzionale formale nell’articolo 95 della Costituzione fino alla rottura (ma sempre a livello di costituzione materiale</w:t>
      </w:r>
      <w:r w:rsidR="0059455F">
        <w:t xml:space="preserve">) con la legge 421/1992 e il d.p.r.  poi divenuto 165 sulla distinzione tra poteri di indirizzo (politico) e poteri di </w:t>
      </w:r>
      <w:r w:rsidR="00EE5226">
        <w:t>gestione</w:t>
      </w:r>
      <w:r w:rsidR="0059455F">
        <w:t xml:space="preserve"> dei dirigenti (artt. 4 e 27).</w:t>
      </w:r>
    </w:p>
    <w:p w14:paraId="39D08A07" w14:textId="77777777" w:rsidR="00B044F9" w:rsidRDefault="00EE5226" w:rsidP="00666C52">
      <w:pPr>
        <w:spacing w:line="480" w:lineRule="auto"/>
        <w:jc w:val="both"/>
      </w:pPr>
      <w:r>
        <w:t>Sembra emergere</w:t>
      </w:r>
      <w:r w:rsidR="002D66E9">
        <w:t xml:space="preserve"> dalla lettura completa della legge un fondamento di “direzione politica” della intera attività</w:t>
      </w:r>
      <w:r w:rsidR="000E0EC4">
        <w:t xml:space="preserve"> (</w:t>
      </w:r>
      <w:r w:rsidR="00D33AB3">
        <w:t xml:space="preserve">due sole volte </w:t>
      </w:r>
      <w:r w:rsidR="000E0EC4">
        <w:t>viene adoperato il termine “autorità governativa”</w:t>
      </w:r>
      <w:r w:rsidR="00D33AB3">
        <w:t>:</w:t>
      </w:r>
      <w:r w:rsidR="00B5443E">
        <w:t xml:space="preserve"> </w:t>
      </w:r>
      <w:r w:rsidR="000E0EC4">
        <w:t xml:space="preserve"> all’articolo</w:t>
      </w:r>
      <w:r w:rsidR="000D7FA4">
        <w:t xml:space="preserve"> 4 </w:t>
      </w:r>
      <w:r w:rsidR="00B5443E">
        <w:t xml:space="preserve"> comma 1 “Nei luoghi nei quali si trovano cose immobile soggette alle disposizione delle presente legge</w:t>
      </w:r>
      <w:r w:rsidR="00D2089E">
        <w:t>, nei casi di nuove costruzioni, ricostruzioni ed attuazioni di piani regolatori, possono essere presc</w:t>
      </w:r>
      <w:r w:rsidR="00E65C82">
        <w:t xml:space="preserve">ritte dall’autorità governativa le distanze, le misure e le altre norme necessarie, </w:t>
      </w:r>
      <w:proofErr w:type="spellStart"/>
      <w:r w:rsidR="00E65C82">
        <w:t>affinchè</w:t>
      </w:r>
      <w:proofErr w:type="spellEnd"/>
      <w:r w:rsidR="00E65C82">
        <w:t xml:space="preserve"> le nuove opere non danneggino l’aspetto </w:t>
      </w:r>
      <w:r w:rsidR="00B044F9">
        <w:t>e lo stato di pieno godimento delle cose e delle bellezze panoramiche contemplate nell’articolo 1.</w:t>
      </w:r>
    </w:p>
    <w:p w14:paraId="481B2A9B" w14:textId="53A741EE" w:rsidR="00EE5226" w:rsidRDefault="00B044F9" w:rsidP="00666C52">
      <w:pPr>
        <w:spacing w:line="480" w:lineRule="auto"/>
        <w:jc w:val="both"/>
      </w:pPr>
      <w:r>
        <w:t xml:space="preserve">E al </w:t>
      </w:r>
      <w:r w:rsidR="000D7FA4">
        <w:t>comma due “ L’autorità governativa potrà altresì prescrivere opere di tutela strettamente necessarie per impedire danneggiamenti alle bellezze naturali”</w:t>
      </w:r>
      <w:r w:rsidR="007C3E6B">
        <w:t xml:space="preserve">; altrimenti si usa sempre il termine Ministero della istruzione pubblica designando nel suo insieme la componente politica e la componente “esecutiva” di rilievo principale basti pensare alla azione di </w:t>
      </w:r>
      <w:proofErr w:type="spellStart"/>
      <w:r w:rsidR="007C3E6B">
        <w:t>Parpagliolo</w:t>
      </w:r>
      <w:proofErr w:type="spellEnd"/>
      <w:r w:rsidR="00D33AB3">
        <w:t>.</w:t>
      </w:r>
      <w:r w:rsidR="003169D5">
        <w:t>)</w:t>
      </w:r>
    </w:p>
    <w:p w14:paraId="2DBA1F04" w14:textId="409DB5F7" w:rsidR="001030FF" w:rsidRDefault="001030FF" w:rsidP="00666C52">
      <w:pPr>
        <w:spacing w:line="480" w:lineRule="auto"/>
        <w:jc w:val="both"/>
      </w:pPr>
      <w:r>
        <w:t xml:space="preserve">Sembra quindi evidenziarsi </w:t>
      </w:r>
      <w:proofErr w:type="spellStart"/>
      <w:r>
        <w:t>ancorchè</w:t>
      </w:r>
      <w:proofErr w:type="spellEnd"/>
      <w:r>
        <w:t xml:space="preserve"> implicitamente una divisione tra discrezionalità politico amministrativa (quella che poi si chiamerà semplicemente discrezionalità amministrativa ma che contiene immancabilmente una scelta di livello politico come dimostrato nei libri di Bassi, </w:t>
      </w:r>
      <w:proofErr w:type="spellStart"/>
      <w:r>
        <w:t>Cugurra</w:t>
      </w:r>
      <w:proofErr w:type="spellEnd"/>
      <w:r>
        <w:t xml:space="preserve"> e recentemente Tropea)</w:t>
      </w:r>
      <w:r w:rsidR="00727A19">
        <w:t xml:space="preserve"> quasi di tipo “ordinatorio”; e il normale esercizio della “discrezionalità tecnica</w:t>
      </w:r>
      <w:r w:rsidR="00FA061B">
        <w:t>” preceduta da una sapiente attività “conoscitiva” delle problematiche propria degli organi burocratici e tecnici del Ministero.</w:t>
      </w:r>
    </w:p>
    <w:p w14:paraId="71315764" w14:textId="64A476CA" w:rsidR="00D442AC" w:rsidRDefault="00D442AC" w:rsidP="00666C52">
      <w:pPr>
        <w:spacing w:line="480" w:lineRule="auto"/>
        <w:jc w:val="both"/>
      </w:pPr>
      <w:r>
        <w:lastRenderedPageBreak/>
        <w:t>Nessun dubbio sulla attribuzione della competenza in questione al Ministero della Pubblica Istruzione. Non solo questa scelta è dettata in armonia con la visione estetica della filosofia “spirituale” dominante per tutta la prima metà del ‘900, ma a nessuno venne in mente che io sappia di creare una altra struttura organizzativa ovvero un altro Ministero.</w:t>
      </w:r>
    </w:p>
    <w:p w14:paraId="0869DA97" w14:textId="77777777" w:rsidR="0096603E" w:rsidRDefault="005D2EF5" w:rsidP="00666C52">
      <w:pPr>
        <w:spacing w:line="480" w:lineRule="auto"/>
        <w:jc w:val="both"/>
      </w:pPr>
      <w:r>
        <w:t xml:space="preserve">Infine un coronamento della architettura liberale ma “interventista” della legge Croce si ha nel principio di </w:t>
      </w:r>
      <w:proofErr w:type="spellStart"/>
      <w:r>
        <w:t>giustiziabilità</w:t>
      </w:r>
      <w:proofErr w:type="spellEnd"/>
      <w:r w:rsidR="00C96DC9">
        <w:t xml:space="preserve"> attraverso </w:t>
      </w:r>
      <w:r w:rsidR="00A671F5">
        <w:t xml:space="preserve">la previsione </w:t>
      </w:r>
      <w:r w:rsidR="00AA7A79">
        <w:t>d</w:t>
      </w:r>
      <w:r w:rsidR="009A602D">
        <w:t>i ben tre</w:t>
      </w:r>
      <w:r w:rsidR="00AA7A79">
        <w:t xml:space="preserve"> rimedio alternativo tra il ricorso gerarchico al Governo del Re,</w:t>
      </w:r>
      <w:r w:rsidR="009A602D">
        <w:t xml:space="preserve"> (giustizia nell’amministrazione articolo 1</w:t>
      </w:r>
      <w:r w:rsidR="00E42A3E">
        <w:t>00 della Costituzione)</w:t>
      </w:r>
      <w:r w:rsidR="00AA7A79">
        <w:t xml:space="preserve"> il ricorso </w:t>
      </w:r>
      <w:r w:rsidR="00E42A3E">
        <w:t xml:space="preserve"> straordinario al Re (che aveva avuto una</w:t>
      </w:r>
      <w:r w:rsidR="005631E3">
        <w:t xml:space="preserve"> straordinaria importanza nel periodo tra il 1865 e il 1889) ed infine il ricorso alla IV Sezione del Consiglio di Stato.</w:t>
      </w:r>
    </w:p>
    <w:p w14:paraId="47D17D44" w14:textId="4619A0B1" w:rsidR="005330C2" w:rsidRDefault="005631E3" w:rsidP="00666C52">
      <w:pPr>
        <w:spacing w:line="480" w:lineRule="auto"/>
        <w:jc w:val="both"/>
      </w:pPr>
      <w:r>
        <w:t>E’ estremamente interessante a mio avviso come del resto è stato sottolineato da uno degli Autori della previsione di questo sistema articolato che consente di non contrapporre immediatamente i diritti fondamentali del proprietario all’esercizio del potere amministrativo allora inteso (almeno fino a Gia</w:t>
      </w:r>
      <w:r w:rsidR="003073B1">
        <w:t xml:space="preserve">nnini) come </w:t>
      </w:r>
      <w:proofErr w:type="spellStart"/>
      <w:r w:rsidR="003073B1">
        <w:t>potestas</w:t>
      </w:r>
      <w:proofErr w:type="spellEnd"/>
      <w:r w:rsidR="003073B1">
        <w:t xml:space="preserve"> romanistica cioè come potestà conferita dall’ordinamento giuridico per la tutela degli interessi dei cittadini nel caso di specie l’interesse a preservare il “volto amato della patria)</w:t>
      </w:r>
      <w:r w:rsidR="00AB20AE">
        <w:t xml:space="preserve"> e non già per attuare una “politica pubblica “come si direbbe </w:t>
      </w:r>
      <w:r w:rsidR="004C2E8D">
        <w:t>oggi che pretende non di conservare e proteggere ma di imporre obiettivi anche non necessaria o addirittura dannosi.</w:t>
      </w:r>
      <w:r w:rsidR="005330C2">
        <w:rPr>
          <w:rStyle w:val="Rimandonotaapidipagina"/>
        </w:rPr>
        <w:footnoteReference w:id="6"/>
      </w:r>
    </w:p>
    <w:p w14:paraId="3F616795" w14:textId="779B0DDE" w:rsidR="006A5C93" w:rsidRDefault="006A5C93" w:rsidP="00666C52">
      <w:pPr>
        <w:spacing w:line="480" w:lineRule="auto"/>
        <w:jc w:val="both"/>
      </w:pPr>
      <w:r>
        <w:t>Il concetto romanistico di “</w:t>
      </w:r>
      <w:proofErr w:type="spellStart"/>
      <w:r>
        <w:t>potestas</w:t>
      </w:r>
      <w:proofErr w:type="spellEnd"/>
      <w:r>
        <w:t>” tradotto in italiano come “potestà” di curare interessi pubblici e non come “potere amministrativo” tout court è presente anche in Giannini</w:t>
      </w:r>
      <w:r w:rsidR="00534797">
        <w:t>.</w:t>
      </w:r>
      <w:r w:rsidR="00534797">
        <w:rPr>
          <w:rStyle w:val="Rimandonotaapidipagina"/>
        </w:rPr>
        <w:footnoteReference w:id="7"/>
      </w:r>
    </w:p>
    <w:p w14:paraId="3B374F1C" w14:textId="7F96C50F" w:rsidR="004C2E8D" w:rsidRDefault="004C2E8D" w:rsidP="00666C52">
      <w:pPr>
        <w:spacing w:line="480" w:lineRule="auto"/>
        <w:jc w:val="both"/>
      </w:pPr>
      <w:r>
        <w:lastRenderedPageBreak/>
        <w:t xml:space="preserve">3. L’aspetto giuridico. Mi soffermo solo brevemente su questo punto perché ampiamente toccato dai tre Autori soprattutto da </w:t>
      </w:r>
      <w:proofErr w:type="spellStart"/>
      <w:r>
        <w:t>Jannello</w:t>
      </w:r>
      <w:proofErr w:type="spellEnd"/>
      <w:r>
        <w:t xml:space="preserve"> e da </w:t>
      </w:r>
      <w:r w:rsidR="00DC3E89">
        <w:t>Carpentieri.</w:t>
      </w:r>
    </w:p>
    <w:p w14:paraId="2818483B" w14:textId="65121950" w:rsidR="00DC3E89" w:rsidRDefault="000B1354" w:rsidP="00666C52">
      <w:pPr>
        <w:spacing w:line="480" w:lineRule="auto"/>
        <w:jc w:val="both"/>
      </w:pPr>
      <w:r>
        <w:t xml:space="preserve">Oltre alla definizione </w:t>
      </w:r>
      <w:r w:rsidR="00621352">
        <w:t>in via legislativa del concetto di bene culturale paesistico e ambientale (rispettosa appunto della distinzione tra</w:t>
      </w:r>
      <w:r w:rsidR="00A55A5B">
        <w:t xml:space="preserve"> funzione normativa: </w:t>
      </w:r>
      <w:proofErr w:type="spellStart"/>
      <w:r w:rsidR="00A55A5B">
        <w:t>idest</w:t>
      </w:r>
      <w:proofErr w:type="spellEnd"/>
      <w:r w:rsidR="00A55A5B">
        <w:t xml:space="preserve"> cura generale ed astratta degli interessi pubblici e funzione esecutiva: cura concreta e particolare dei medesimi interessi) e la sottolineatura dell’intrinseco potere discrezionale </w:t>
      </w:r>
      <w:r w:rsidR="009B3685">
        <w:t xml:space="preserve"> attribuita al Ministero competente “Il </w:t>
      </w:r>
      <w:r w:rsidR="009B3685" w:rsidRPr="00215AD6">
        <w:rPr>
          <w:i/>
          <w:iCs/>
        </w:rPr>
        <w:t>Ministero dell’istruzione pubblica ha facoltà di procedere, in via amministrativa, alla notificazio</w:t>
      </w:r>
      <w:r w:rsidR="003308F0" w:rsidRPr="00215AD6">
        <w:rPr>
          <w:i/>
          <w:iCs/>
        </w:rPr>
        <w:t>ne della dichiarazione del notevole  interesse pubblico ai proprietari possessori o detentori a qualsiasi titolo</w:t>
      </w:r>
      <w:r w:rsidR="00114643" w:rsidRPr="00215AD6">
        <w:rPr>
          <w:i/>
          <w:iCs/>
        </w:rPr>
        <w:t xml:space="preserve"> degli immobili di cui è parola nel precedente articolo</w:t>
      </w:r>
      <w:r w:rsidR="00114643">
        <w:t xml:space="preserve">”, </w:t>
      </w:r>
      <w:r w:rsidR="00180496">
        <w:t>già nel 1922 la legge Croce introduce la categoria dei procedimenti e provvedimenti dichiarativi</w:t>
      </w:r>
      <w:r w:rsidR="00560257">
        <w:t xml:space="preserve"> ad effetto costitutivo in funzione di certezza pubblica e di pubblicità legale. </w:t>
      </w:r>
      <w:r w:rsidR="005B0BE2">
        <w:rPr>
          <w:rStyle w:val="Rimandonotaapidipagina"/>
        </w:rPr>
        <w:footnoteReference w:id="8"/>
      </w:r>
      <w:r w:rsidR="00560257">
        <w:t>E tutto questo con un linguaggio italiano</w:t>
      </w:r>
      <w:r w:rsidR="00F71251">
        <w:t xml:space="preserve"> non giuridichese e non politichese, decenni prima che gli Studi di Pugliatti sulla trascrizione, quelli di Falzea sulla efficacia giuridica e l’applicazione datane da Giannini sul versante della tassonomia dei procedimenti amministrativi</w:t>
      </w:r>
      <w:r w:rsidR="00BE603D">
        <w:t xml:space="preserve"> ne delineino la sottile trama categorica e dogmatica.</w:t>
      </w:r>
    </w:p>
    <w:p w14:paraId="625EBF1A" w14:textId="77777777" w:rsidR="00EB0303" w:rsidRDefault="00BE603D" w:rsidP="00666C52">
      <w:pPr>
        <w:spacing w:line="480" w:lineRule="auto"/>
        <w:jc w:val="both"/>
      </w:pPr>
      <w:r>
        <w:t xml:space="preserve">Ha ragione </w:t>
      </w:r>
      <w:proofErr w:type="spellStart"/>
      <w:r>
        <w:t>Jannello</w:t>
      </w:r>
      <w:proofErr w:type="spellEnd"/>
      <w:r>
        <w:t xml:space="preserve"> su questo punto: la definizione politica e giuridica</w:t>
      </w:r>
      <w:r w:rsidR="00AF4557">
        <w:t xml:space="preserve"> c’è già tutta: ognuno la leggerà poi secondo la propria ideologia. </w:t>
      </w:r>
    </w:p>
    <w:p w14:paraId="1DEDF0AF" w14:textId="77777777" w:rsidR="00EB0303" w:rsidRDefault="00AF4557" w:rsidP="00666C52">
      <w:pPr>
        <w:spacing w:line="480" w:lineRule="auto"/>
        <w:jc w:val="both"/>
      </w:pPr>
      <w:r>
        <w:t xml:space="preserve">Ma questo avverrà nell’età </w:t>
      </w:r>
      <w:proofErr w:type="spellStart"/>
      <w:r>
        <w:t>gia</w:t>
      </w:r>
      <w:proofErr w:type="spellEnd"/>
      <w:r>
        <w:t xml:space="preserve"> postmoderna della dottrina dei Critical Legal Studies degli anni </w:t>
      </w:r>
      <w:r w:rsidR="00DE27B8">
        <w:t xml:space="preserve">60 e 70 del Novecento, importata dagli Stati Uniti e tesa a riscontrare il fondamento ideologico-politico del sostrato normativo. </w:t>
      </w:r>
    </w:p>
    <w:p w14:paraId="7BD7D112" w14:textId="77777777" w:rsidR="00EB0303" w:rsidRDefault="00DE27B8" w:rsidP="00666C52">
      <w:pPr>
        <w:spacing w:line="480" w:lineRule="auto"/>
        <w:jc w:val="both"/>
      </w:pPr>
      <w:r>
        <w:lastRenderedPageBreak/>
        <w:t>E dunque la categoria del bene di interesse pubblico propugnata dal Sandulli di chiaro stampo liberale, cui verrà contrapposta quella socialista</w:t>
      </w:r>
      <w:r w:rsidR="009056D9">
        <w:t xml:space="preserve"> della “funzionalizzazione” del bene di interesse culturale o paesistico di Giannini (chi non ricorda la polemica tra i due sul fondamento costituzionale della proprietà privata giocata su parole come vincolo o “conformazione nelle Riviste Politica del Diritto e Diritto e Società?)</w:t>
      </w:r>
      <w:r w:rsidR="00942F33">
        <w:t xml:space="preserve"> fino alla visione </w:t>
      </w:r>
      <w:proofErr w:type="spellStart"/>
      <w:r w:rsidR="00942F33">
        <w:t>panurbanistica</w:t>
      </w:r>
      <w:proofErr w:type="spellEnd"/>
      <w:r w:rsidR="00942F33">
        <w:t xml:space="preserve"> giustamente criticata da Carpentieri del paesaggio come forma globale del territorio.</w:t>
      </w:r>
      <w:r w:rsidR="00773CDE">
        <w:t xml:space="preserve"> </w:t>
      </w:r>
    </w:p>
    <w:p w14:paraId="619D92B9" w14:textId="6108A28C" w:rsidR="00BE603D" w:rsidRDefault="00773CDE" w:rsidP="00666C52">
      <w:pPr>
        <w:spacing w:line="480" w:lineRule="auto"/>
        <w:jc w:val="both"/>
      </w:pPr>
      <w:r>
        <w:t xml:space="preserve">Si noti </w:t>
      </w:r>
      <w:r w:rsidR="00EB0303">
        <w:t xml:space="preserve">poi </w:t>
      </w:r>
      <w:r>
        <w:t>che la posizione di Benedetto Croce nella legge (non altrettanto nella relazione) è politica e neutralmente giuridica. Essa esprime da un lato la prevalenza della decisione politica supportata dalla riserva di legge</w:t>
      </w:r>
      <w:r w:rsidR="00316114">
        <w:t xml:space="preserve"> circa la tutela dei beni culturali ambientali e paesaggistici: una concezione “unitaria” tra l’altro abbandonata dalle due leggi del 1939</w:t>
      </w:r>
      <w:r w:rsidR="003671FB">
        <w:t>; e dall’altro la trama giuridica che ne consente la tenuta giuridica e ordinamentale: procedimento dichiarativo perché queste cose sono in realtà</w:t>
      </w:r>
      <w:r w:rsidR="00A363D3">
        <w:t xml:space="preserve">; effetto costitutivo e </w:t>
      </w:r>
      <w:proofErr w:type="spellStart"/>
      <w:r w:rsidR="00A363D3">
        <w:t>trascrittivo</w:t>
      </w:r>
      <w:proofErr w:type="spellEnd"/>
      <w:r w:rsidR="00A363D3">
        <w:t xml:space="preserve"> perché valgano nei confronti della intera società, e</w:t>
      </w:r>
      <w:r w:rsidR="00FB1622">
        <w:t xml:space="preserve"> effettività della tutela giustiziale e giurisdizionale. Un capolavoro di sapienza politica, giuridica e</w:t>
      </w:r>
      <w:r w:rsidR="00E3541C">
        <w:t xml:space="preserve"> nel contempo di difesa dei diritti fondamentali. </w:t>
      </w:r>
    </w:p>
    <w:p w14:paraId="7D45BA51" w14:textId="69A09F9A" w:rsidR="00E3541C" w:rsidRDefault="00E3541C" w:rsidP="00666C52">
      <w:pPr>
        <w:spacing w:line="480" w:lineRule="auto"/>
        <w:jc w:val="both"/>
      </w:pPr>
      <w:r>
        <w:t>Insisto ancora sul suolo triplice dei rimedi giustiziali e giurisdizionali: non sono più i tempi</w:t>
      </w:r>
      <w:r w:rsidR="00AB0240">
        <w:t xml:space="preserve"> antecedenti alla legge istitutiva della IV sezione del Consiglio di Stato: mi ricordo che giovane laureato assistente universitario venni assoldato dal Prof. Angelo Antonio Cervati per una corposa ricerca all’Archivio di Stato sulla evoluzione dei ricorsi straordinari al RE</w:t>
      </w:r>
      <w:r w:rsidR="00D51F38">
        <w:t xml:space="preserve"> dal 18655 al 1889: laddove con un certo stupore trovavo termini come </w:t>
      </w:r>
      <w:r w:rsidR="00854097">
        <w:t>discrezionalità</w:t>
      </w:r>
      <w:r w:rsidR="00D51F38">
        <w:t xml:space="preserve"> che coincidevano con i l nostro attuale merito o opportunità amministrativa e l’assoluta insindacabilità degli atti e provvedimenti che noi chiamiamo di discrezionalità tecnica.</w:t>
      </w:r>
    </w:p>
    <w:p w14:paraId="5D073853" w14:textId="14CEE13D" w:rsidR="00E01FB2" w:rsidRDefault="00D51F38" w:rsidP="00666C52">
      <w:pPr>
        <w:spacing w:line="480" w:lineRule="auto"/>
        <w:jc w:val="both"/>
      </w:pPr>
      <w:r>
        <w:lastRenderedPageBreak/>
        <w:t>Quanta strada si era fatta in pochi decenni</w:t>
      </w:r>
      <w:r w:rsidR="003728EE">
        <w:t xml:space="preserve"> sulla tutela dei diritti nei confronti della “tecnica” (oggetto propri in quegli anni degli strali di Carl Schmitt nel famoso saggio “tecnica fine della politica). La giurisprudenza del Consiglio di Stato stava infatti già elaborando la distinzione tra apprezzamento (estetico-culturale) e operazioni e valutazioni tecniche. Comunque era già dato ingresso “esterno” di tali censure sotto il profilo della incompetenza violazione di legge</w:t>
      </w:r>
      <w:r w:rsidR="00E01FB2">
        <w:t xml:space="preserve"> ed indizio di eccesso di potere attraverso i tre fattori dell’assenza palese contraddittorietà o addirittura arbitrarietà della motivazione.</w:t>
      </w:r>
      <w:r w:rsidR="007D05DB">
        <w:t xml:space="preserve"> Basti vedere la legislazione successiva agli anni’70 dello scorso secolo per notare le profonde differenze che sono accadute nel bene e nel male.</w:t>
      </w:r>
    </w:p>
    <w:p w14:paraId="43F036D3" w14:textId="77777777" w:rsidR="00105288" w:rsidRDefault="00105288" w:rsidP="00666C52">
      <w:pPr>
        <w:spacing w:line="480" w:lineRule="auto"/>
        <w:jc w:val="both"/>
      </w:pPr>
    </w:p>
    <w:p w14:paraId="20453181" w14:textId="01EB88EA" w:rsidR="007D05DB" w:rsidRDefault="00EE7AF2" w:rsidP="00666C52">
      <w:pPr>
        <w:spacing w:line="480" w:lineRule="auto"/>
        <w:jc w:val="both"/>
      </w:pPr>
      <w:r>
        <w:t>4. L’aspetto filosofico-estetico.</w:t>
      </w:r>
    </w:p>
    <w:p w14:paraId="7DBFA584" w14:textId="0C264E93" w:rsidR="00EE7AF2" w:rsidRDefault="00EE7AF2" w:rsidP="00666C52">
      <w:pPr>
        <w:spacing w:line="480" w:lineRule="auto"/>
        <w:jc w:val="both"/>
      </w:pPr>
      <w:r>
        <w:t xml:space="preserve">Questo ultimo punto dei tre saggi è chiaramente il più appassionante </w:t>
      </w:r>
      <w:r w:rsidR="00E04CBE">
        <w:t>e magistralmente toccato principalmente da Giancarlo Montedoro</w:t>
      </w:r>
      <w:r w:rsidR="00EB390F">
        <w:t xml:space="preserve"> nel provocatorio finale 4 paragrafo: Croce oggi Green Deal e Paesaggio; </w:t>
      </w:r>
      <w:r w:rsidR="00910FF0">
        <w:t>e viceversa difeso con armatura di guerriero da Carpentieri in tutto il suo contributo ma primariamente</w:t>
      </w:r>
      <w:r w:rsidR="00B05100">
        <w:t xml:space="preserve"> anch’esso nel quarto paragrafo “la perdurante attualità</w:t>
      </w:r>
      <w:r w:rsidR="006D42F0">
        <w:t xml:space="preserve"> della visione crociana e della legge Croce del 1922</w:t>
      </w:r>
      <w:r w:rsidR="00892E82">
        <w:t>”</w:t>
      </w:r>
    </w:p>
    <w:p w14:paraId="245E9EE6" w14:textId="10999552" w:rsidR="00892E82" w:rsidRDefault="00892E82" w:rsidP="00666C52">
      <w:pPr>
        <w:spacing w:line="480" w:lineRule="auto"/>
        <w:jc w:val="both"/>
      </w:pPr>
      <w:r>
        <w:t>Non intendo ripetere qui concetti già espressi molto meglio nel libro che abbiamo l’onore di presentare</w:t>
      </w:r>
      <w:r w:rsidR="00C53796">
        <w:t>: ma</w:t>
      </w:r>
      <w:r w:rsidR="00FA3A31">
        <w:t xml:space="preserve"> non posso</w:t>
      </w:r>
      <w:r w:rsidR="00C53796">
        <w:t xml:space="preserve"> proprio</w:t>
      </w:r>
      <w:r w:rsidR="00FA3A31">
        <w:t xml:space="preserve"> omettere di riportare </w:t>
      </w:r>
      <w:r w:rsidR="00C53796">
        <w:t xml:space="preserve"> una frase di </w:t>
      </w:r>
      <w:r w:rsidR="008B23ED">
        <w:t>Montedoro a pag.</w:t>
      </w:r>
      <w:r w:rsidR="005C29A1">
        <w:t xml:space="preserve"> 11 dove  declina le quattro</w:t>
      </w:r>
      <w:r w:rsidR="00AA0111">
        <w:t xml:space="preserve"> concezioni del Bello elencate da Benedetto Croce ed in particola</w:t>
      </w:r>
      <w:r w:rsidR="00782CFD">
        <w:t>re quella alla quale egli sostanzialmente aderisce “l’idealismo concreto</w:t>
      </w:r>
      <w:r w:rsidR="00EA28F6">
        <w:t xml:space="preserve"> lo identifica nella rappresentazione sensibile della idea”. E’ una frase estremamente rivelatrice </w:t>
      </w:r>
      <w:r w:rsidR="00F568D5">
        <w:t>che</w:t>
      </w:r>
      <w:r w:rsidR="00FF5E1D">
        <w:t xml:space="preserve"> fa il paio con quella di Carpentieri a pag. </w:t>
      </w:r>
      <w:r w:rsidR="004731D4">
        <w:t xml:space="preserve">85: “Del resto estetica in greco vuol dire comprensione, contemplazione dal verbo </w:t>
      </w:r>
      <w:proofErr w:type="spellStart"/>
      <w:r w:rsidR="004731D4">
        <w:t>aistanomai</w:t>
      </w:r>
      <w:proofErr w:type="spellEnd"/>
      <w:r w:rsidR="004731D4">
        <w:t xml:space="preserve"> “percepire”.</w:t>
      </w:r>
    </w:p>
    <w:p w14:paraId="02B18A33" w14:textId="2AA0A406" w:rsidR="004731D4" w:rsidRDefault="004731D4" w:rsidP="00666C52">
      <w:pPr>
        <w:spacing w:line="480" w:lineRule="auto"/>
        <w:jc w:val="both"/>
      </w:pPr>
      <w:r>
        <w:lastRenderedPageBreak/>
        <w:t>Mi permetto di andare oltre al</w:t>
      </w:r>
      <w:r w:rsidR="009860E0">
        <w:t>la interpretazione che da Carpentieri che mi sembra già una interpretazione concettuale</w:t>
      </w:r>
      <w:r w:rsidR="007A4C83">
        <w:t xml:space="preserve"> che salda il concetto della parola scritta a quello che la utilizza secondo </w:t>
      </w:r>
      <w:r w:rsidR="009C588F">
        <w:t>la spiegazione del bel libro di Umberto Eco “</w:t>
      </w:r>
      <w:r w:rsidR="00466359">
        <w:rPr>
          <w:rStyle w:val="Rimandonotaapidipagina"/>
        </w:rPr>
        <w:footnoteReference w:id="9"/>
      </w:r>
    </w:p>
    <w:p w14:paraId="0BDDD12A" w14:textId="77777777" w:rsidR="001778AF" w:rsidRDefault="001F637C" w:rsidP="00666C52">
      <w:pPr>
        <w:spacing w:line="480" w:lineRule="auto"/>
        <w:jc w:val="both"/>
      </w:pPr>
      <w:r w:rsidRPr="001F637C">
        <w:t>Già William James alla fin</w:t>
      </w:r>
      <w:r>
        <w:t xml:space="preserve">e dell’800 nel fondamentale trattato di psicologia </w:t>
      </w:r>
      <w:r w:rsidR="00410239">
        <w:rPr>
          <w:rStyle w:val="Rimandonotaapidipagina"/>
        </w:rPr>
        <w:footnoteReference w:id="10"/>
      </w:r>
      <w:r w:rsidR="008F29E8">
        <w:t>aveva tratteggiato la differenza tra sensazione e percezione: essendo la prima un messaggio oggettivo rivolto a tutti gli esseri viventi; ma la percezione (James lo aveva scoperto</w:t>
      </w:r>
      <w:r w:rsidR="00434ADB">
        <w:t xml:space="preserve"> 100 anni prima delle neuroscienze) la percezione è una “individuazione” della sensazione: questo passaggio è reso possibile da un complesso procedimento che Freud chiamerà sublimazione dell’istinto sessuale</w:t>
      </w:r>
      <w:r w:rsidR="00057849">
        <w:t xml:space="preserve"> </w:t>
      </w:r>
      <w:r w:rsidR="00D02FEC">
        <w:rPr>
          <w:rStyle w:val="Rimandonotaapidipagina"/>
        </w:rPr>
        <w:footnoteReference w:id="11"/>
      </w:r>
      <w:r w:rsidR="00057849">
        <w:t>e più semplicemente Croce denominerà cultura per il Bello.</w:t>
      </w:r>
    </w:p>
    <w:p w14:paraId="4869E3C0" w14:textId="77777777" w:rsidR="001778AF" w:rsidRDefault="00057849" w:rsidP="00666C52">
      <w:pPr>
        <w:spacing w:line="480" w:lineRule="auto"/>
        <w:jc w:val="both"/>
      </w:pPr>
      <w:r>
        <w:t xml:space="preserve"> La reazione di Croce contro il positivismo scientifico e giuridico che aveva dilagato dalla metà dell’ottocento è netta ed a volte addirittura crudele (Anche se non dimentichiamo che per reazione all’eccesso di materialismo</w:t>
      </w:r>
      <w:r w:rsidR="00BD07D8">
        <w:t xml:space="preserve"> verso la fine dell’800 erano sorti fortissimi gruppi esoterici compreso lo spiritismo)</w:t>
      </w:r>
      <w:r w:rsidR="00570211">
        <w:t>. La trama del Suo pensiero appare chiarissima: da un lato la cultura è un faticoso processo di apprendimento</w:t>
      </w:r>
      <w:r w:rsidR="00967C47">
        <w:t xml:space="preserve"> (come diceva Mozart il talento è l’un per cento il 99 è fatica) che giustamente è affidato principalmente alla scuola e poi all’Università (preannuncio della riforma Gentile). </w:t>
      </w:r>
    </w:p>
    <w:p w14:paraId="0BD2CDD1" w14:textId="77777777" w:rsidR="001778AF" w:rsidRDefault="00967C47" w:rsidP="00666C52">
      <w:pPr>
        <w:spacing w:line="480" w:lineRule="auto"/>
        <w:jc w:val="both"/>
      </w:pPr>
      <w:r>
        <w:t xml:space="preserve">Dall’altro è una “coltivazione”: diremmo oggi una selezione e approfondimento delle informazioni secondo uno stile personale che cresce nel tempo e si protrae  nelle persone veramente colte fino alla morte. </w:t>
      </w:r>
    </w:p>
    <w:p w14:paraId="3B78BADF" w14:textId="58343771" w:rsidR="00A6189F" w:rsidRDefault="00967C47" w:rsidP="00666C52">
      <w:pPr>
        <w:spacing w:line="480" w:lineRule="auto"/>
        <w:jc w:val="both"/>
      </w:pPr>
      <w:r>
        <w:lastRenderedPageBreak/>
        <w:t>Da ciò la legittimazione</w:t>
      </w:r>
      <w:r w:rsidR="000F5E39">
        <w:t xml:space="preserve"> del giudizio veramente “estetico”  e non il mero “sensualismo” purtroppo oggi molto diffuso che riduce il Bello</w:t>
      </w:r>
      <w:r w:rsidR="00411179">
        <w:t xml:space="preserve"> a mero momento del piacere.</w:t>
      </w:r>
      <w:r w:rsidR="00A6189F">
        <w:rPr>
          <w:rStyle w:val="Rimandonotaapidipagina"/>
        </w:rPr>
        <w:footnoteReference w:id="12"/>
      </w:r>
    </w:p>
    <w:p w14:paraId="3E650257" w14:textId="225258A1" w:rsidR="004A1AFB" w:rsidRDefault="004A1AFB" w:rsidP="00666C52">
      <w:pPr>
        <w:spacing w:line="480" w:lineRule="auto"/>
        <w:jc w:val="both"/>
      </w:pPr>
      <w:r>
        <w:t>Croce peraltro (come ripo</w:t>
      </w:r>
      <w:r w:rsidR="004669CC">
        <w:t>rta fedelmente Montedoro) va anche più in là e critica “giustamente” anche la riduzione delle categorie estetiche a mere forme. Questa tesi ha avuto purtroppo molta fortuna nella arte musicale riducendo il fatto ad un elenco di forme e di tecniche di analisi armonica, melodica e ritmica; ovvero ad analisi strutturali, dimenticando che la musica è anche linguaggio (come hanno dimostrato le risonanze magnetiche) e addirittura linguaggio universale in grado di attraversare completamente le barriere linguistiche dei singoli popoli.</w:t>
      </w:r>
      <w:r w:rsidR="004669CC">
        <w:rPr>
          <w:rStyle w:val="Rimandonotaapidipagina"/>
        </w:rPr>
        <w:footnoteReference w:id="13"/>
      </w:r>
    </w:p>
    <w:p w14:paraId="1ECBAD28" w14:textId="495ACD09" w:rsidR="001F637C" w:rsidRDefault="00411179" w:rsidP="00666C52">
      <w:pPr>
        <w:spacing w:line="480" w:lineRule="auto"/>
        <w:jc w:val="both"/>
      </w:pPr>
      <w:r>
        <w:t xml:space="preserve"> Infatti il mero giudizio “mi piace” o non mi piace purtroppo contrassegna la persona incolta che si ferma alla “sensazione” appunto e non coltiva la percezione singola assembrandola gradatamente in un insieme sistematico che</w:t>
      </w:r>
      <w:r w:rsidR="0013206A">
        <w:t xml:space="preserve"> collega (</w:t>
      </w:r>
      <w:proofErr w:type="spellStart"/>
      <w:r w:rsidR="0013206A">
        <w:t>intelligere</w:t>
      </w:r>
      <w:proofErr w:type="spellEnd"/>
      <w:r w:rsidR="0013206A">
        <w:t>) le singole percezioni che fortunatamente il cervello</w:t>
      </w:r>
      <w:r w:rsidR="000F18C1">
        <w:t xml:space="preserve"> è in grado di conservare in buone condizioni fino quasi alla morte.</w:t>
      </w:r>
    </w:p>
    <w:p w14:paraId="0260651B" w14:textId="4245E28F" w:rsidR="00257B60" w:rsidRDefault="000F18C1" w:rsidP="00666C52">
      <w:pPr>
        <w:spacing w:line="480" w:lineRule="auto"/>
        <w:jc w:val="both"/>
      </w:pPr>
      <w:r>
        <w:t>Paradossalmente (ma non troppo: ricordiamo l’importanza che W</w:t>
      </w:r>
      <w:r w:rsidR="00A45BC6">
        <w:t>i</w:t>
      </w:r>
      <w:r>
        <w:t xml:space="preserve">ttgenstein </w:t>
      </w:r>
      <w:proofErr w:type="spellStart"/>
      <w:r>
        <w:t>da</w:t>
      </w:r>
      <w:proofErr w:type="spellEnd"/>
      <w:r>
        <w:t xml:space="preserve"> alle parole e al linguaggio)</w:t>
      </w:r>
      <w:r w:rsidR="00A45BC6">
        <w:t xml:space="preserve"> l’idea crociana trova oggi un paladino proprio nelle neuroscienze e soprattutto in un ramo denso di spunti che è la neuroestetica.</w:t>
      </w:r>
      <w:r w:rsidR="00257B60">
        <w:t xml:space="preserve"> </w:t>
      </w:r>
      <w:r w:rsidR="00E14CF9">
        <w:rPr>
          <w:rStyle w:val="Rimandonotaapidipagina"/>
        </w:rPr>
        <w:footnoteReference w:id="14"/>
      </w:r>
    </w:p>
    <w:p w14:paraId="4273AFCC" w14:textId="0CDEF516" w:rsidR="00A45BC6" w:rsidRDefault="00A45BC6" w:rsidP="00666C52">
      <w:pPr>
        <w:spacing w:line="480" w:lineRule="auto"/>
        <w:jc w:val="both"/>
      </w:pPr>
      <w:r>
        <w:t xml:space="preserve">Partendo dalle acquisizioni fondamentali delle scienze cognitive secondo cui l’ereditarietà genetica ha una importanza relativamente minore nella formazione e sviluppo del cervello (tranne ovviamente il caso di evidenti alterazioni genetiche ereditarie), gli scienziati del cervello </w:t>
      </w:r>
      <w:r>
        <w:lastRenderedPageBreak/>
        <w:t>hanno dimostrato e acquisito</w:t>
      </w:r>
      <w:r w:rsidR="00C561B2">
        <w:t xml:space="preserve"> il dato incontestabile che la c.d. plasticità cerebrale, cioè la capacità di incrementare, selezionare ed affinare l’insieme delle connessioni cerebrali (denotato scientificamente come connettoma)</w:t>
      </w:r>
      <w:r w:rsidR="0000043D">
        <w:rPr>
          <w:rStyle w:val="Rimandonotaapidipagina"/>
        </w:rPr>
        <w:footnoteReference w:id="15"/>
      </w:r>
      <w:r w:rsidR="000720B4">
        <w:t xml:space="preserve"> è determinato soprattutto dalla influenza esercitata nei bambini e nella </w:t>
      </w:r>
      <w:r w:rsidR="00195EC3">
        <w:t>età</w:t>
      </w:r>
      <w:r w:rsidR="000720B4">
        <w:t xml:space="preserve"> adolescenziale</w:t>
      </w:r>
      <w:r w:rsidR="00195EC3">
        <w:t xml:space="preserve"> dall’”ambiente” qui termine usato non in senso ecologico ma proprio nel senso etimologico latino di “</w:t>
      </w:r>
      <w:proofErr w:type="spellStart"/>
      <w:r w:rsidR="00195EC3">
        <w:t>ambitus</w:t>
      </w:r>
      <w:proofErr w:type="spellEnd"/>
      <w:r w:rsidR="00195EC3">
        <w:t>”</w:t>
      </w:r>
      <w:r w:rsidR="00B457EA">
        <w:t xml:space="preserve"> cioè il tuo luogo (della famiglia, della scuola, della società) carico però di un significato dinamico reso dal verbo ambire (cioè andare verso una direzione: questo è infatti l’inizio del processo formativo che dichiariamo culturale).</w:t>
      </w:r>
      <w:r w:rsidR="0032271C">
        <w:rPr>
          <w:rStyle w:val="Rimandonotaapidipagina"/>
        </w:rPr>
        <w:footnoteReference w:id="16"/>
      </w:r>
    </w:p>
    <w:p w14:paraId="4BB6FDDD" w14:textId="127BD452" w:rsidR="00B457EA" w:rsidRDefault="00223A17" w:rsidP="00666C52">
      <w:pPr>
        <w:spacing w:line="480" w:lineRule="auto"/>
        <w:jc w:val="both"/>
      </w:pPr>
      <w:r>
        <w:t xml:space="preserve">Il ruolo della intuizione è messo chiaramente in luce anche in lavori recedenti come quello di </w:t>
      </w:r>
      <w:proofErr w:type="spellStart"/>
      <w:r>
        <w:t>Kahnemann</w:t>
      </w:r>
      <w:proofErr w:type="spellEnd"/>
      <w:r>
        <w:t xml:space="preserve"> su pensieri lenti e pensieri veloci;</w:t>
      </w:r>
      <w:r w:rsidR="00FF344B">
        <w:rPr>
          <w:rStyle w:val="Rimandonotaapidipagina"/>
        </w:rPr>
        <w:footnoteReference w:id="17"/>
      </w:r>
      <w:r>
        <w:t xml:space="preserve"> ma è stato a fondo studiato</w:t>
      </w:r>
      <w:r w:rsidR="00932B18">
        <w:t xml:space="preserve"> anche per delineare lo stile dell’artista quello che ci permette di riconosce -sempre che abbiano avuto una effettiva formazione culturale- Monet da Monet, Michelangelo da Donatello, Mo</w:t>
      </w:r>
      <w:r w:rsidR="00B37771">
        <w:t>zart da Beethoven e così procedendo. Carpentieri opportunamente ricorda in una nota</w:t>
      </w:r>
      <w:r w:rsidR="00AC58BD">
        <w:t xml:space="preserve"> l’apporto della scoperta dei neuroni specchio, ma la scienza è andata oltre: ha scoperto il ruolo dei neuroni uditivi</w:t>
      </w:r>
      <w:r w:rsidR="000E3A06">
        <w:t xml:space="preserve"> e anche posto in guardia dai pericoli che una cultura meramente “visiva” come quella della televisione del cinema del computer e dei </w:t>
      </w:r>
      <w:proofErr w:type="spellStart"/>
      <w:r w:rsidR="000E3A06">
        <w:t>socials</w:t>
      </w:r>
      <w:proofErr w:type="spellEnd"/>
      <w:r w:rsidR="00BF78D5">
        <w:t>, può rappresentare alle capacità astrattive quelle che consentono simultaneamente di riconoscere</w:t>
      </w:r>
      <w:r w:rsidR="00CE45AB">
        <w:t>, percepire, amare e ragionare sul “paesaggio identitario”.</w:t>
      </w:r>
    </w:p>
    <w:p w14:paraId="2DC09ADF" w14:textId="1A5EF796" w:rsidR="00CE45AB" w:rsidRDefault="00CE45AB" w:rsidP="00666C52">
      <w:pPr>
        <w:spacing w:line="480" w:lineRule="auto"/>
        <w:jc w:val="both"/>
      </w:pPr>
      <w:r>
        <w:t xml:space="preserve">Nel libro si gioca una ideale partita </w:t>
      </w:r>
      <w:r w:rsidR="0047349E">
        <w:t xml:space="preserve">tra </w:t>
      </w:r>
      <w:r w:rsidR="008E032F">
        <w:t xml:space="preserve"> la parte di Montedoro sulla </w:t>
      </w:r>
      <w:r w:rsidR="0047349E">
        <w:t>la fine della civiltà dal titolo del piccolo libro di Benedetto Croce (i filosofi sono come gli artisti anche dei veri profeti)</w:t>
      </w:r>
      <w:r w:rsidR="0043323E">
        <w:t xml:space="preserve"> scritto </w:t>
      </w:r>
      <w:r w:rsidR="0043323E">
        <w:lastRenderedPageBreak/>
        <w:t xml:space="preserve">nel </w:t>
      </w:r>
      <w:r w:rsidR="008E032F">
        <w:t xml:space="preserve"> 1946 all’indomani della tragedia della seconda guerra mondiale</w:t>
      </w:r>
      <w:r w:rsidR="001460A9">
        <w:t xml:space="preserve">) mi permetto peraltro di ricordare che questo pensiero era stato ancora più drammaticamente espresso nel ponderoso volume di Oswald </w:t>
      </w:r>
      <w:proofErr w:type="spellStart"/>
      <w:r w:rsidR="001460A9">
        <w:t>Spleng</w:t>
      </w:r>
      <w:r w:rsidR="006D2BAE">
        <w:t>ler</w:t>
      </w:r>
      <w:proofErr w:type="spellEnd"/>
      <w:r w:rsidR="006D2BAE">
        <w:t xml:space="preserve"> “il Tramonto dell’Occidente” del 1921; e quella di Carpentieri che auspica il ritorno a Croce</w:t>
      </w:r>
      <w:r w:rsidR="00253FFD">
        <w:t xml:space="preserve"> anche se indubbiamente si rende conto come ha dimostrato il grande Vico che i corsi e ricorsi della storia non sono mai gli stessi.</w:t>
      </w:r>
    </w:p>
    <w:p w14:paraId="4B17C23E" w14:textId="761780A6" w:rsidR="00253FFD" w:rsidRDefault="00253FFD" w:rsidP="00666C52">
      <w:pPr>
        <w:spacing w:line="480" w:lineRule="auto"/>
        <w:jc w:val="both"/>
      </w:pPr>
      <w:r>
        <w:t>In effetti all’epoca della legge Croce anche in Italia cominciava ad emergere il concetto sociologico prima ancora che politico dello stato “pluriclasse” dove la classe media quella delle professioni, del commercio, dell’industria e dell’artigianato</w:t>
      </w:r>
      <w:r w:rsidR="005D62EB">
        <w:t xml:space="preserve"> si inseriva rispetto alla tutela della proprietà ancora frutto della nobiltà del clero e di opportuni matrimoni</w:t>
      </w:r>
      <w:r w:rsidR="00FE7EC1">
        <w:t xml:space="preserve"> con altoborghesi.</w:t>
      </w:r>
    </w:p>
    <w:p w14:paraId="28473649" w14:textId="4E5B2EB8" w:rsidR="00FE7EC1" w:rsidRDefault="00FE7EC1" w:rsidP="00666C52">
      <w:pPr>
        <w:spacing w:line="480" w:lineRule="auto"/>
        <w:jc w:val="both"/>
      </w:pPr>
      <w:r>
        <w:t xml:space="preserve">Questa società è completamente distrutta dopo la seconda guerra mondiale: Già negli anni 50 David </w:t>
      </w:r>
      <w:proofErr w:type="spellStart"/>
      <w:r>
        <w:t>Riesmann</w:t>
      </w:r>
      <w:proofErr w:type="spellEnd"/>
      <w:r>
        <w:t xml:space="preserve"> scrive un fortunato libro dal titolo “la folla solitaria” </w:t>
      </w:r>
      <w:r w:rsidR="00E34456">
        <w:t>.</w:t>
      </w:r>
      <w:r w:rsidR="008E3728">
        <w:rPr>
          <w:rStyle w:val="Rimandonotaapidipagina"/>
        </w:rPr>
        <w:footnoteReference w:id="18"/>
      </w:r>
    </w:p>
    <w:p w14:paraId="3314B5C5" w14:textId="7F9516AC" w:rsidR="00B333D4" w:rsidRDefault="00FF0135" w:rsidP="00666C52">
      <w:pPr>
        <w:spacing w:line="480" w:lineRule="auto"/>
        <w:jc w:val="both"/>
      </w:pPr>
      <w:r>
        <w:t>Di lì a poco si affermeranno gli “standard” cioè la codificazione tecnico- g</w:t>
      </w:r>
      <w:r w:rsidR="00A12958">
        <w:t>iuridica della società di massa intuita immediatamente dal Giannini con il suo concetto di “conformazione” e non solo</w:t>
      </w:r>
      <w:r w:rsidR="00B333D4">
        <w:t xml:space="preserve"> modificazione delle situazioni giuridiche soggettive</w:t>
      </w:r>
      <w:r w:rsidR="00E34456">
        <w:t xml:space="preserve"> </w:t>
      </w:r>
      <w:r w:rsidR="00B333D4">
        <w:t>.Proprio dalla lettura di questo aureo libretto (come si sarebbe detto un tempo)</w:t>
      </w:r>
      <w:r w:rsidR="0067190A">
        <w:t xml:space="preserve"> traggo alcune mie personali convinzioni, ringraziando ancora gli Autori per i loro saggi.</w:t>
      </w:r>
    </w:p>
    <w:p w14:paraId="1DBA5698" w14:textId="1C2FCEF8" w:rsidR="00AD1701" w:rsidRDefault="00484542" w:rsidP="00484542">
      <w:pPr>
        <w:spacing w:line="480" w:lineRule="auto"/>
        <w:jc w:val="both"/>
      </w:pPr>
      <w:r>
        <w:t>a)</w:t>
      </w:r>
      <w:r w:rsidR="0067190A">
        <w:t xml:space="preserve">Il punto di </w:t>
      </w:r>
      <w:proofErr w:type="spellStart"/>
      <w:r w:rsidR="0067190A">
        <w:t>di</w:t>
      </w:r>
      <w:r>
        <w:t>scrimen</w:t>
      </w:r>
      <w:proofErr w:type="spellEnd"/>
      <w:r>
        <w:t xml:space="preserve"> della società attuale almeno nella società occidentale è che non siamo </w:t>
      </w:r>
      <w:proofErr w:type="spellStart"/>
      <w:r>
        <w:t>neanchè</w:t>
      </w:r>
      <w:proofErr w:type="spellEnd"/>
      <w:r>
        <w:t xml:space="preserve"> più società di massa: la massa presuppone una realtà sociale una concretezza; anche il termine di società liquida usato da Baumann non mi persuade: esso rie</w:t>
      </w:r>
      <w:r w:rsidR="000F390F">
        <w:t xml:space="preserve">cheggia in fin dei conti la brillante dimostrazioni di Giannini e dei suoi successori sulla complessità degli interessi sulla compresenza di interessi pubblici e privati e sul conflitto tra gli stessi interessi pubblici. </w:t>
      </w:r>
      <w:r w:rsidR="000F390F">
        <w:lastRenderedPageBreak/>
        <w:t>In realtà il mondo che stiamo attraversando è un mondo che oserei definire “finto”: esso è il frutto di quello strapotere della tecnologia che come ricorda</w:t>
      </w:r>
      <w:r w:rsidR="007A6F52">
        <w:t xml:space="preserve"> Montedoro parafrasando il libro di Umberto Galimberti </w:t>
      </w:r>
      <w:r w:rsidR="00907E8A">
        <w:rPr>
          <w:rStyle w:val="Rimandonotaapidipagina"/>
        </w:rPr>
        <w:footnoteReference w:id="19"/>
      </w:r>
      <w:r w:rsidR="007A6F52">
        <w:t>è tecnica fine a se stessa non alla dichiarazione di bene culturale o paesaggistico. Il suo unico fine è lo sviluppo della efficienza ad ogni costo: perché? Perché la situazione giuridica fondamentale di ogni cittadino dell’occidente (e ormai non solo</w:t>
      </w:r>
      <w:r w:rsidR="009F5BC7">
        <w:t xml:space="preserve"> come dimostra l’esperimento fatto dal collegamento satellitare di Elon Musk in sperduti paesetti dell’Amazoni che attraverso il collegamento internet e i social hanno cominciato a comportarsi all’occidentale tra video, chiacchere malumori pettegolezzi ecc.)</w:t>
      </w:r>
      <w:r w:rsidR="00AD1701">
        <w:t xml:space="preserve"> non è quello di titolare di diritti e di doveri ma di consumatore e produttore (questo secondo per il momento nel prossimo futuro non si sa).</w:t>
      </w:r>
      <w:r w:rsidR="00F25288">
        <w:rPr>
          <w:rStyle w:val="Rimandonotaapidipagina"/>
        </w:rPr>
        <w:footnoteReference w:id="20"/>
      </w:r>
      <w:r w:rsidR="00AD1701">
        <w:t>Sarebbe interessante che i nostri giovani analizzasse</w:t>
      </w:r>
      <w:r w:rsidR="00026581">
        <w:t>ro il tema dei beni e delle attività culturali sotto questo profilo: il paesaggio da unità finale da ammirare e contemplare secondo l’estetica crociana, diventa</w:t>
      </w:r>
      <w:r w:rsidR="000D3631">
        <w:t xml:space="preserve"> l’oggetto del selfie, un po' come ci si fotografava quando si andava in montagna  su una bella cima.</w:t>
      </w:r>
      <w:r w:rsidR="00476A2D">
        <w:t xml:space="preserve"> Le immagini virtuali del patrimonio artistico e paesaggistico replicano le figurine dei calciatori, e ormai attraverso la c.d. </w:t>
      </w:r>
      <w:proofErr w:type="spellStart"/>
      <w:r w:rsidR="00476A2D">
        <w:t>tokenizzazione</w:t>
      </w:r>
      <w:proofErr w:type="spellEnd"/>
      <w:r w:rsidR="00256B9C">
        <w:t xml:space="preserve"> merce di sfruttamento anche legittimo da parte del Ministero della Cultura e delle Sovrintendenze.</w:t>
      </w:r>
      <w:r w:rsidR="00A87A05">
        <w:t>-</w:t>
      </w:r>
    </w:p>
    <w:p w14:paraId="240F3742" w14:textId="1443A611" w:rsidR="00A87A05" w:rsidRDefault="00B10D0C" w:rsidP="00484542">
      <w:pPr>
        <w:spacing w:line="480" w:lineRule="auto"/>
        <w:jc w:val="both"/>
      </w:pPr>
      <w:r>
        <w:t xml:space="preserve">b) </w:t>
      </w:r>
      <w:r w:rsidR="00A87A05">
        <w:t xml:space="preserve">Questo accertamento che mi sembra incontestabile mi </w:t>
      </w:r>
      <w:proofErr w:type="spellStart"/>
      <w:r w:rsidR="00A87A05">
        <w:t>da</w:t>
      </w:r>
      <w:proofErr w:type="spellEnd"/>
      <w:r w:rsidR="00A87A05">
        <w:t xml:space="preserve"> lo spunto per due riflessioni finali che offro</w:t>
      </w:r>
      <w:r w:rsidR="00A33D99">
        <w:t xml:space="preserve"> ai nostri pazienti e autorevoli ascoltatori;</w:t>
      </w:r>
    </w:p>
    <w:p w14:paraId="7D7A68D4" w14:textId="7129E2C4" w:rsidR="00A33D99" w:rsidRDefault="00A33D99" w:rsidP="00484542">
      <w:pPr>
        <w:spacing w:line="480" w:lineRule="auto"/>
        <w:jc w:val="both"/>
      </w:pPr>
      <w:r>
        <w:t>1)Il punto per l’estetica della cultura e dell’arte non è più riassumibile nel termine “post” (latino non inglese!) post diritto (</w:t>
      </w:r>
      <w:r w:rsidR="0046774A">
        <w:t>il</w:t>
      </w:r>
      <w:r>
        <w:t xml:space="preserve"> bel libro dell’accademico dei Lincei Giuseppe Zaccaria) post moderno</w:t>
      </w:r>
      <w:r w:rsidR="006C4747">
        <w:t xml:space="preserve">, fine dell’arte: sono tutte categorie novecentesche non del millennials. Quindi </w:t>
      </w:r>
      <w:r w:rsidR="006C4747">
        <w:lastRenderedPageBreak/>
        <w:t>occorre il coraggio di prendere coscienza che non abbiamo chiuso un’ epoca (cosi mirabilmente delineata nella storia dell’arte e della musica) ma un’era: quella appunto in cui dobbiamo decidere se rimanere umani o grazie alla tecnologia diventare qualche altra cosa.</w:t>
      </w:r>
      <w:r w:rsidR="00EA2837">
        <w:rPr>
          <w:rStyle w:val="Rimandonotaapidipagina"/>
        </w:rPr>
        <w:footnoteReference w:id="21"/>
      </w:r>
    </w:p>
    <w:p w14:paraId="6C4297D2" w14:textId="77777777" w:rsidR="00233D8A" w:rsidRDefault="00370365" w:rsidP="00484542">
      <w:pPr>
        <w:spacing w:line="480" w:lineRule="auto"/>
        <w:jc w:val="both"/>
      </w:pPr>
      <w:r>
        <w:t>2) Il punto per il salvataggio della cultura coincide con quello più generale definitivamente delineato dalle scoperte delle discipline cognitive ma già delineato da Freud: il cervello impara con l’imitazione e la ripetizione.</w:t>
      </w:r>
      <w:r w:rsidR="00924DB9">
        <w:t xml:space="preserve"> Il cervello è dilaniato tra il principio del piacere e quindi l’ottenimento del massimo obiettivo con il minimo sforzo</w:t>
      </w:r>
      <w:r w:rsidR="00D45CAF">
        <w:t>; e il principio della “fatica” che ben conoscono tutti sia quando studiano</w:t>
      </w:r>
      <w:r w:rsidR="00B533FD">
        <w:t xml:space="preserve"> o hanno studiato come voi per il concorso, per l’aggiornamento e semplicemente per redigere belle sentenze; ovvero quelli che studiano uno strumento, il disegno</w:t>
      </w:r>
      <w:r w:rsidR="00B10D0C">
        <w:t xml:space="preserve">, la pittura o discipline scientifiche. </w:t>
      </w:r>
    </w:p>
    <w:p w14:paraId="447C97D2" w14:textId="7BFC2448" w:rsidR="00233D8A" w:rsidRDefault="00B10D0C" w:rsidP="00484542">
      <w:pPr>
        <w:spacing w:line="480" w:lineRule="auto"/>
        <w:jc w:val="both"/>
      </w:pPr>
      <w:r>
        <w:t>Infine il cervello</w:t>
      </w:r>
      <w:r w:rsidR="0046774A">
        <w:t xml:space="preserve"> impara con premi e castighi, incentivazioni e dissuasioni</w:t>
      </w:r>
      <w:r w:rsidR="00122435">
        <w:t xml:space="preserve">, e perfino </w:t>
      </w:r>
      <w:r w:rsidR="003B0F3B">
        <w:t xml:space="preserve">suggerimenti e “spinte gentili” per rimediare ai propri </w:t>
      </w:r>
      <w:r w:rsidR="00233D8A">
        <w:t>“</w:t>
      </w:r>
      <w:proofErr w:type="spellStart"/>
      <w:r w:rsidR="00233D8A">
        <w:t>Bias</w:t>
      </w:r>
      <w:proofErr w:type="spellEnd"/>
      <w:r w:rsidR="00233D8A">
        <w:t>” (ma una volta non si diceva “errori”?) cognitivi.</w:t>
      </w:r>
      <w:r w:rsidR="00233D8A">
        <w:rPr>
          <w:rStyle w:val="Rimandonotaapidipagina"/>
        </w:rPr>
        <w:footnoteReference w:id="22"/>
      </w:r>
    </w:p>
    <w:p w14:paraId="70788514" w14:textId="5E33BE7C" w:rsidR="006C4747" w:rsidRDefault="0046774A" w:rsidP="00484542">
      <w:pPr>
        <w:spacing w:line="480" w:lineRule="auto"/>
        <w:jc w:val="both"/>
      </w:pPr>
      <w:r>
        <w:t xml:space="preserve"> </w:t>
      </w:r>
      <w:r w:rsidR="00233D8A">
        <w:t>Fa</w:t>
      </w:r>
      <w:r w:rsidR="00F062B2">
        <w:t>tica dunque contro la facile illusione della A.I. Grazie</w:t>
      </w:r>
    </w:p>
    <w:p w14:paraId="2B475939" w14:textId="366B13B9" w:rsidR="00CC3905" w:rsidRPr="001F637C" w:rsidRDefault="00CC3905" w:rsidP="00484542">
      <w:pPr>
        <w:spacing w:line="480" w:lineRule="auto"/>
        <w:jc w:val="both"/>
      </w:pPr>
      <w:r>
        <w:t>(Eugenio Picozza)</w:t>
      </w:r>
    </w:p>
    <w:p w14:paraId="1CFCD8C1" w14:textId="19B2B7E6" w:rsidR="00D33AB3" w:rsidRPr="001F637C" w:rsidRDefault="00D33AB3" w:rsidP="00666C52">
      <w:pPr>
        <w:spacing w:line="480" w:lineRule="auto"/>
        <w:jc w:val="both"/>
      </w:pPr>
    </w:p>
    <w:sectPr w:rsidR="00D33AB3" w:rsidRPr="001F637C">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7D61A" w14:textId="77777777" w:rsidR="000E0EAA" w:rsidRDefault="000E0EAA" w:rsidP="00AD7765">
      <w:pPr>
        <w:spacing w:after="0" w:line="240" w:lineRule="auto"/>
      </w:pPr>
      <w:r>
        <w:separator/>
      </w:r>
    </w:p>
  </w:endnote>
  <w:endnote w:type="continuationSeparator" w:id="0">
    <w:p w14:paraId="43077AEA" w14:textId="77777777" w:rsidR="000E0EAA" w:rsidRDefault="000E0EAA" w:rsidP="00AD7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eastAsiaTheme="majorEastAsia" w:hAnsiTheme="majorHAnsi" w:cstheme="majorBidi"/>
      </w:rPr>
      <w:id w:val="1413432190"/>
      <w:docPartObj>
        <w:docPartGallery w:val="Page Numbers (Bottom of Page)"/>
        <w:docPartUnique/>
      </w:docPartObj>
    </w:sdtPr>
    <w:sdtContent>
      <w:sdt>
        <w:sdtPr>
          <w:rPr>
            <w:rFonts w:asciiTheme="majorHAnsi" w:eastAsiaTheme="majorEastAsia" w:hAnsiTheme="majorHAnsi" w:cstheme="majorBidi"/>
          </w:rPr>
          <w:id w:val="1806425445"/>
        </w:sdtPr>
        <w:sdtContent>
          <w:p w14:paraId="2E8139A2" w14:textId="7964C67E" w:rsidR="00CC3905" w:rsidRDefault="00CC3905">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anchorId="350DA703" wp14:editId="1329C8DE">
                      <wp:simplePos x="0" y="0"/>
                      <wp:positionH relativeFrom="margin">
                        <wp:align>center</wp:align>
                      </wp:positionH>
                      <wp:positionV relativeFrom="bottomMargin">
                        <wp:align>center</wp:align>
                      </wp:positionV>
                      <wp:extent cx="626745" cy="626745"/>
                      <wp:effectExtent l="0" t="0" r="1905" b="1905"/>
                      <wp:wrapNone/>
                      <wp:docPr id="581070949" name="Ova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CCDBE7" w14:textId="77777777" w:rsidR="00CC3905" w:rsidRDefault="00CC3905">
                                  <w:pPr>
                                    <w:pStyle w:val="Pidipagina"/>
                                    <w:jc w:val="center"/>
                                    <w:rPr>
                                      <w:b/>
                                      <w:bCs/>
                                      <w:color w:val="FFFFFF" w:themeColor="background1"/>
                                      <w:sz w:val="32"/>
                                      <w:szCs w:val="32"/>
                                    </w:rPr>
                                  </w:pPr>
                                  <w:r>
                                    <w:rPr>
                                      <w:sz w:val="22"/>
                                      <w:szCs w:val="22"/>
                                    </w:rPr>
                                    <w:fldChar w:fldCharType="begin"/>
                                  </w:r>
                                  <w:r>
                                    <w:instrText>PAGE    \* MERGEFORMAT</w:instrText>
                                  </w:r>
                                  <w:r>
                                    <w:rPr>
                                      <w:sz w:val="22"/>
                                      <w:szCs w:val="22"/>
                                    </w:rPr>
                                    <w:fldChar w:fldCharType="separate"/>
                                  </w:r>
                                  <w:r>
                                    <w:rPr>
                                      <w:b/>
                                      <w:bCs/>
                                      <w:color w:val="FFFFFF" w:themeColor="background1"/>
                                      <w:sz w:val="32"/>
                                      <w:szCs w:val="32"/>
                                    </w:rPr>
                                    <w:t>2</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50DA703" id="Ovale 1" o:spid="_x0000_s1026"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" fillcolor="#40618b" stroked="f">
                      <v:textbox>
                        <w:txbxContent>
                          <w:p w14:paraId="67CCDBE7" w14:textId="77777777" w:rsidR="00CC3905" w:rsidRDefault="00CC3905">
                            <w:pPr>
                              <w:pStyle w:val="Pidipagina"/>
                              <w:jc w:val="center"/>
                              <w:rPr>
                                <w:b/>
                                <w:bCs/>
                                <w:color w:val="FFFFFF" w:themeColor="background1"/>
                                <w:sz w:val="32"/>
                                <w:szCs w:val="32"/>
                              </w:rPr>
                            </w:pPr>
                            <w:r>
                              <w:rPr>
                                <w:sz w:val="22"/>
                                <w:szCs w:val="22"/>
                              </w:rPr>
                              <w:fldChar w:fldCharType="begin"/>
                            </w:r>
                            <w:r>
                              <w:instrText>PAGE    \* MERGEFORMAT</w:instrText>
                            </w:r>
                            <w:r>
                              <w:rPr>
                                <w:sz w:val="22"/>
                                <w:szCs w:val="22"/>
                              </w:rPr>
                              <w:fldChar w:fldCharType="separate"/>
                            </w:r>
                            <w:r>
                              <w:rPr>
                                <w:b/>
                                <w:bCs/>
                                <w:color w:val="FFFFFF" w:themeColor="background1"/>
                                <w:sz w:val="32"/>
                                <w:szCs w:val="32"/>
                              </w:rPr>
                              <w:t>2</w:t>
                            </w:r>
                            <w:r>
                              <w:rPr>
                                <w:b/>
                                <w:bCs/>
                                <w:color w:val="FFFFFF" w:themeColor="background1"/>
                                <w:sz w:val="32"/>
                                <w:szCs w:val="32"/>
                              </w:rPr>
                              <w:fldChar w:fldCharType="end"/>
                            </w:r>
                          </w:p>
                        </w:txbxContent>
                      </v:textbox>
                      <w10:wrap anchorx="margin" anchory="margin"/>
                    </v:oval>
                  </w:pict>
                </mc:Fallback>
              </mc:AlternateContent>
            </w:r>
          </w:p>
        </w:sdtContent>
      </w:sdt>
    </w:sdtContent>
  </w:sdt>
  <w:p w14:paraId="63C6ADDB" w14:textId="77777777" w:rsidR="00CC3905" w:rsidRDefault="00CC390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8C5089" w14:textId="77777777" w:rsidR="000E0EAA" w:rsidRDefault="000E0EAA" w:rsidP="00AD7765">
      <w:pPr>
        <w:spacing w:after="0" w:line="240" w:lineRule="auto"/>
      </w:pPr>
      <w:r>
        <w:separator/>
      </w:r>
    </w:p>
  </w:footnote>
  <w:footnote w:type="continuationSeparator" w:id="0">
    <w:p w14:paraId="05EAD394" w14:textId="77777777" w:rsidR="000E0EAA" w:rsidRDefault="000E0EAA" w:rsidP="00AD7765">
      <w:pPr>
        <w:spacing w:after="0" w:line="240" w:lineRule="auto"/>
      </w:pPr>
      <w:r>
        <w:continuationSeparator/>
      </w:r>
    </w:p>
  </w:footnote>
  <w:footnote w:id="1">
    <w:p w14:paraId="498A36ED" w14:textId="05453CA9" w:rsidR="007B15E5" w:rsidRDefault="007B15E5">
      <w:pPr>
        <w:pStyle w:val="Testonotaapidipagina"/>
      </w:pPr>
      <w:r>
        <w:rPr>
          <w:rStyle w:val="Rimandonotaapidipagina"/>
        </w:rPr>
        <w:footnoteRef/>
      </w:r>
      <w:r>
        <w:t xml:space="preserve"> Termine utilizzato anche da F.G. SCOCA a proposito della crisi del principio di legalità in Attività </w:t>
      </w:r>
      <w:r w:rsidR="00DF34CB">
        <w:t>Amministrativa</w:t>
      </w:r>
      <w:r>
        <w:t xml:space="preserve"> </w:t>
      </w:r>
      <w:proofErr w:type="spellStart"/>
      <w:r>
        <w:t>Ecncicopedia</w:t>
      </w:r>
      <w:proofErr w:type="spellEnd"/>
      <w:r w:rsidR="00DF34CB">
        <w:t xml:space="preserve"> del Diritto Aggiornamenti Milano Giuffrè</w:t>
      </w:r>
    </w:p>
  </w:footnote>
  <w:footnote w:id="2">
    <w:p w14:paraId="05838648" w14:textId="0EF9F488" w:rsidR="00AD7765" w:rsidRDefault="00AD7765">
      <w:pPr>
        <w:pStyle w:val="Testonotaapidipagina"/>
      </w:pPr>
      <w:r>
        <w:rPr>
          <w:rStyle w:val="Rimandonotaapidipagina"/>
        </w:rPr>
        <w:footnoteRef/>
      </w:r>
      <w:r>
        <w:t xml:space="preserve"> M. NIGRO Studi sulla funzione organizzatrice della pubblica amministrazione Miano Giuffrè 1960.</w:t>
      </w:r>
    </w:p>
  </w:footnote>
  <w:footnote w:id="3">
    <w:p w14:paraId="0EEF93C7" w14:textId="56C74D97" w:rsidR="00AD7765" w:rsidRDefault="00417D9E" w:rsidP="0041443A">
      <w:pPr>
        <w:pStyle w:val="Testonotaapidipagina"/>
        <w:jc w:val="both"/>
      </w:pPr>
      <w:r>
        <w:rPr>
          <w:rStyle w:val="Rimandonotaapidipagina"/>
        </w:rPr>
        <w:footnoteRef/>
      </w:r>
      <w:r w:rsidR="00AD7765">
        <w:rPr>
          <w:rStyle w:val="Rimandonotaapidipagina"/>
        </w:rPr>
        <w:footnoteRef/>
      </w:r>
      <w:r w:rsidR="00AD7765">
        <w:t xml:space="preserve"> </w:t>
      </w:r>
      <w:r w:rsidR="00F832FF">
        <w:t xml:space="preserve">C. MORTATI L’ordinamento del Governo nel nuovo diritto pubblico italiano Roma 1940 </w:t>
      </w:r>
      <w:r w:rsidR="0041443A">
        <w:t xml:space="preserve">la Costituzione </w:t>
      </w:r>
      <w:r w:rsidR="00595947">
        <w:t xml:space="preserve">in senso materiale </w:t>
      </w:r>
      <w:r>
        <w:t>Milano</w:t>
      </w:r>
      <w:r w:rsidR="00595947">
        <w:t xml:space="preserve"> 1940 ora nuova edizione Milano Giuffrè 1998 e nella Raccolta completa degli Scritti Giuffrè.</w:t>
      </w:r>
    </w:p>
    <w:p w14:paraId="02FABF26" w14:textId="02CBFCC2" w:rsidR="00417D9E" w:rsidRDefault="00417D9E" w:rsidP="0041443A">
      <w:pPr>
        <w:pStyle w:val="Testonotaapidipagina"/>
        <w:jc w:val="both"/>
      </w:pPr>
      <w:r w:rsidRPr="00417D9E">
        <w:t>R. SMEND in appendice a Dottr</w:t>
      </w:r>
      <w:r>
        <w:t>ina della Costituzione</w:t>
      </w:r>
      <w:r w:rsidR="001B4CB1">
        <w:t xml:space="preserve"> che susciterà l’ironia di </w:t>
      </w:r>
      <w:proofErr w:type="spellStart"/>
      <w:r w:rsidR="001B4CB1">
        <w:t>Kans</w:t>
      </w:r>
      <w:proofErr w:type="spellEnd"/>
      <w:r w:rsidR="001B4CB1">
        <w:t xml:space="preserve"> </w:t>
      </w:r>
      <w:proofErr w:type="spellStart"/>
      <w:r w:rsidR="001B4CB1">
        <w:t>Kelsen</w:t>
      </w:r>
      <w:proofErr w:type="spellEnd"/>
      <w:r w:rsidR="001B4CB1">
        <w:t xml:space="preserve"> La c.d. dottrina……</w:t>
      </w:r>
    </w:p>
    <w:p w14:paraId="535514D6" w14:textId="35346583" w:rsidR="001B4CB1" w:rsidRPr="008C1090" w:rsidRDefault="001B4CB1" w:rsidP="001B4CB1">
      <w:pPr>
        <w:pStyle w:val="Testonotaapidipagina"/>
        <w:jc w:val="both"/>
      </w:pPr>
      <w:r>
        <w:t xml:space="preserve">Per un brillante commento v. J. LUTHER </w:t>
      </w:r>
      <w:r w:rsidRPr="008C1090">
        <w:t xml:space="preserve">Rudolf </w:t>
      </w:r>
      <w:proofErr w:type="spellStart"/>
      <w:r w:rsidRPr="008C1090">
        <w:t>Smend</w:t>
      </w:r>
      <w:proofErr w:type="spellEnd"/>
      <w:r w:rsidRPr="008C1090">
        <w:t>: genesi e sviluppo della dottrina dell'integrazione" Bologna l Mulino 1987</w:t>
      </w:r>
    </w:p>
    <w:p w14:paraId="7A8BFDED" w14:textId="020D39EB" w:rsidR="001B4CB1" w:rsidRPr="008C1090" w:rsidRDefault="001B4CB1" w:rsidP="0041443A">
      <w:pPr>
        <w:pStyle w:val="Testonotaapidipagina"/>
        <w:jc w:val="both"/>
      </w:pPr>
    </w:p>
  </w:footnote>
  <w:footnote w:id="4">
    <w:p w14:paraId="45243B8A" w14:textId="2C7208EB" w:rsidR="00D07E31" w:rsidRDefault="00D07E31">
      <w:pPr>
        <w:pStyle w:val="Testonotaapidipagina"/>
      </w:pPr>
      <w:r>
        <w:rPr>
          <w:rStyle w:val="Rimandonotaapidipagina"/>
        </w:rPr>
        <w:footnoteRef/>
      </w:r>
      <w:r>
        <w:t xml:space="preserve"> M</w:t>
      </w:r>
      <w:r w:rsidR="00E468F8">
        <w:t>.S. La discrezionalità amministrativa Milano Giuffrè 1939.</w:t>
      </w:r>
    </w:p>
  </w:footnote>
  <w:footnote w:id="5">
    <w:p w14:paraId="379EF672" w14:textId="74A8FA79" w:rsidR="00466394" w:rsidRDefault="00466394">
      <w:pPr>
        <w:pStyle w:val="Testonotaapidipagina"/>
      </w:pPr>
      <w:r>
        <w:rPr>
          <w:rStyle w:val="Rimandonotaapidipagina"/>
        </w:rPr>
        <w:footnoteRef/>
      </w:r>
      <w:r>
        <w:t xml:space="preserve"> Dunque una interpretazione quantomeno evolutiva rispetto al sacro ed inviolabile diritto di proprietà sancito dall’articolo 29 dello Statuto Albertino.</w:t>
      </w:r>
    </w:p>
  </w:footnote>
  <w:footnote w:id="6">
    <w:p w14:paraId="6036823C" w14:textId="42D46748" w:rsidR="005330C2" w:rsidRDefault="005330C2" w:rsidP="006E665B">
      <w:pPr>
        <w:pStyle w:val="Testonotaapidipagina"/>
        <w:jc w:val="both"/>
      </w:pPr>
      <w:r>
        <w:rPr>
          <w:rStyle w:val="Rimandonotaapidipagina"/>
        </w:rPr>
        <w:footnoteRef/>
      </w:r>
      <w:r>
        <w:t xml:space="preserve"> Sempre illuminante in proposito la lettura dei due volumi di A.POLICE </w:t>
      </w:r>
      <w:r w:rsidR="00F2013B" w:rsidRPr="00F2013B">
        <w:t>2. Il ricorso di piena giurisdizione davanti al giudice amministrativo, vol. I, Profili teorici ed evoluzione storica della giurisdizione esclusiva nel contesto del diritto europeo</w:t>
      </w:r>
      <w:r w:rsidR="006E665B">
        <w:t xml:space="preserve"> Padova Cedam 2000;</w:t>
      </w:r>
      <w:r w:rsidR="006E665B" w:rsidRPr="006E665B">
        <w:rPr>
          <w:sz w:val="24"/>
          <w:szCs w:val="24"/>
        </w:rPr>
        <w:t xml:space="preserve"> </w:t>
      </w:r>
      <w:r w:rsidR="006E665B" w:rsidRPr="006E665B">
        <w:t>Il ricorso di piena giurisdizione davanti al giudice amministrativo, vol. II, Contributo alla teoria dell'azione nella giurisdizione esclusiva</w:t>
      </w:r>
      <w:r w:rsidR="006E665B">
        <w:t xml:space="preserve"> </w:t>
      </w:r>
      <w:r w:rsidR="004C7986">
        <w:t>Padova Cedam 2000 dove ampi riferimenti alla dottrina di quel periodo in materia.</w:t>
      </w:r>
    </w:p>
  </w:footnote>
  <w:footnote w:id="7">
    <w:p w14:paraId="126FFA8F" w14:textId="6BFB878A" w:rsidR="00534797" w:rsidRDefault="00534797">
      <w:pPr>
        <w:pStyle w:val="Testonotaapidipagina"/>
      </w:pPr>
      <w:r>
        <w:rPr>
          <w:rStyle w:val="Rimandonotaapidipagina"/>
        </w:rPr>
        <w:footnoteRef/>
      </w:r>
      <w:r>
        <w:t xml:space="preserve"> Cf. M.S. GIANNINI Diritto amministrativo Milano Giuffrè 1970 ma già nelle Lezioni del 1950.</w:t>
      </w:r>
    </w:p>
  </w:footnote>
  <w:footnote w:id="8">
    <w:p w14:paraId="02620BE7" w14:textId="4831AC92" w:rsidR="005B0BE2" w:rsidRDefault="005B0BE2">
      <w:pPr>
        <w:pStyle w:val="Testonotaapidipagina"/>
      </w:pPr>
      <w:r>
        <w:rPr>
          <w:rStyle w:val="Rimandonotaapidipagina"/>
        </w:rPr>
        <w:footnoteRef/>
      </w:r>
      <w:r>
        <w:t xml:space="preserve"> Per la sistemazione definitiva della </w:t>
      </w:r>
      <w:r w:rsidR="00C63CBA">
        <w:t>categoria</w:t>
      </w:r>
      <w:r>
        <w:t xml:space="preserve"> v. sempre GIANNINI op. </w:t>
      </w:r>
      <w:proofErr w:type="spellStart"/>
      <w:r>
        <w:t>cit</w:t>
      </w:r>
      <w:proofErr w:type="spellEnd"/>
      <w:r>
        <w:t xml:space="preserve"> volume secondo i procedimenti dichiarativi e </w:t>
      </w:r>
      <w:r w:rsidR="00C63CBA">
        <w:t>dello stesso Autore Istituzioni di diritto amministrativo Milano Giuffrè 1981.</w:t>
      </w:r>
    </w:p>
  </w:footnote>
  <w:footnote w:id="9">
    <w:p w14:paraId="6FC13419" w14:textId="79C70C0A" w:rsidR="00466359" w:rsidRDefault="00466359" w:rsidP="00264D6E">
      <w:pPr>
        <w:pStyle w:val="Testonotaapidipagina"/>
        <w:jc w:val="both"/>
      </w:pPr>
      <w:r>
        <w:rPr>
          <w:rStyle w:val="Rimandonotaapidipagina"/>
        </w:rPr>
        <w:footnoteRef/>
      </w:r>
      <w:r>
        <w:t xml:space="preserve">  </w:t>
      </w:r>
      <w:proofErr w:type="spellStart"/>
      <w:r>
        <w:t>Lector</w:t>
      </w:r>
      <w:proofErr w:type="spellEnd"/>
      <w:r>
        <w:t xml:space="preserve"> in fabula </w:t>
      </w:r>
      <w:r w:rsidR="00EA468F">
        <w:t xml:space="preserve"> </w:t>
      </w:r>
      <w:r w:rsidR="00264D6E">
        <w:t>Milano Bompiani 2001 dove si dimostra la tesi secondo cui è il lettore a completare l’interpretazione del testo secondo la teoria generale semiotica di distinzione tra l’input e l’output del messaggio</w:t>
      </w:r>
      <w:r w:rsidR="00D4750D">
        <w:t xml:space="preserve"> e soprattutto in </w:t>
      </w:r>
      <w:r w:rsidR="006379B2">
        <w:t xml:space="preserve"> I limiti della interpretazione Milano la Nave di Teseo 2016.</w:t>
      </w:r>
    </w:p>
  </w:footnote>
  <w:footnote w:id="10">
    <w:p w14:paraId="3C46936D" w14:textId="79F92077" w:rsidR="00410239" w:rsidRDefault="00410239">
      <w:pPr>
        <w:pStyle w:val="Testonotaapidipagina"/>
      </w:pPr>
      <w:r>
        <w:rPr>
          <w:rStyle w:val="Rimandonotaapidipagina"/>
        </w:rPr>
        <w:footnoteRef/>
      </w:r>
      <w:r>
        <w:t xml:space="preserve"> </w:t>
      </w:r>
      <w:r w:rsidR="002217B3">
        <w:t>W. JAMES Principi di psicologia due volumi 1890</w:t>
      </w:r>
    </w:p>
  </w:footnote>
  <w:footnote w:id="11">
    <w:p w14:paraId="0ED43EEE" w14:textId="6AD24ACA" w:rsidR="00D02FEC" w:rsidRDefault="00D02FEC">
      <w:pPr>
        <w:pStyle w:val="Testonotaapidipagina"/>
      </w:pPr>
      <w:r>
        <w:rPr>
          <w:rStyle w:val="Rimandonotaapidipagina"/>
        </w:rPr>
        <w:footnoteRef/>
      </w:r>
      <w:r>
        <w:t xml:space="preserve"> </w:t>
      </w:r>
      <w:r w:rsidR="00B427D8">
        <w:t>Sul quale v. E GOMBRICH  Freud e la psicologia dell’arte Torino Einaudi 2001</w:t>
      </w:r>
    </w:p>
  </w:footnote>
  <w:footnote w:id="12">
    <w:p w14:paraId="663FBF2B" w14:textId="281233E6" w:rsidR="00A6189F" w:rsidRDefault="00A6189F">
      <w:pPr>
        <w:pStyle w:val="Testonotaapidipagina"/>
      </w:pPr>
      <w:r>
        <w:rPr>
          <w:rStyle w:val="Rimandonotaapidipagina"/>
        </w:rPr>
        <w:footnoteRef/>
      </w:r>
      <w:r>
        <w:t xml:space="preserve"> Un esempio emblematico è costituito dai mezzi</w:t>
      </w:r>
      <w:r w:rsidR="005B4D4F">
        <w:t xml:space="preserve"> elementari usati dai </w:t>
      </w:r>
      <w:proofErr w:type="spellStart"/>
      <w:r w:rsidR="005B4D4F">
        <w:t>socials</w:t>
      </w:r>
      <w:proofErr w:type="spellEnd"/>
      <w:r w:rsidR="005B4D4F">
        <w:t xml:space="preserve"> quali like ed </w:t>
      </w:r>
      <w:proofErr w:type="spellStart"/>
      <w:r w:rsidR="005B4D4F">
        <w:t>emoi</w:t>
      </w:r>
      <w:proofErr w:type="spellEnd"/>
    </w:p>
  </w:footnote>
  <w:footnote w:id="13">
    <w:p w14:paraId="4C1ECC57" w14:textId="1FD40E31" w:rsidR="004669CC" w:rsidRDefault="004669CC">
      <w:pPr>
        <w:pStyle w:val="Testonotaapidipagina"/>
      </w:pPr>
      <w:r>
        <w:rPr>
          <w:rStyle w:val="Rimandonotaapidipagina"/>
        </w:rPr>
        <w:footnoteRef/>
      </w:r>
      <w:r>
        <w:t xml:space="preserve"> </w:t>
      </w:r>
      <w:r w:rsidR="000A42D7">
        <w:t xml:space="preserve"> Un saggio autorevole di queste teorie in</w:t>
      </w:r>
      <w:r w:rsidR="00266BEC">
        <w:t xml:space="preserve"> Edward HANSLICK</w:t>
      </w:r>
      <w:r w:rsidR="0000043D">
        <w:t xml:space="preserve"> Il bello in musica </w:t>
      </w:r>
      <w:proofErr w:type="spellStart"/>
      <w:r w:rsidR="0000043D">
        <w:t>Aesthetica</w:t>
      </w:r>
      <w:proofErr w:type="spellEnd"/>
      <w:r w:rsidR="0000043D">
        <w:t xml:space="preserve"> 2001 </w:t>
      </w:r>
    </w:p>
  </w:footnote>
  <w:footnote w:id="14">
    <w:p w14:paraId="0E11701A" w14:textId="6D9A2A34" w:rsidR="00E14CF9" w:rsidRDefault="00E14CF9" w:rsidP="00EA43B0">
      <w:pPr>
        <w:pStyle w:val="Testonotaapidipagina"/>
        <w:jc w:val="both"/>
      </w:pPr>
      <w:r>
        <w:rPr>
          <w:rStyle w:val="Rimandonotaapidipagina"/>
        </w:rPr>
        <w:footnoteRef/>
      </w:r>
      <w:r>
        <w:t xml:space="preserve"> Qui una indicazione bibliografica minima.</w:t>
      </w:r>
      <w:r w:rsidR="00AC502D">
        <w:t xml:space="preserve"> S. ZEKI la visione dall’interno </w:t>
      </w:r>
      <w:r w:rsidR="00EA43B0">
        <w:t xml:space="preserve">(arte e cervello) Torino Bollati Boringhieri </w:t>
      </w:r>
      <w:r w:rsidR="003326D9">
        <w:t>2003. ID. Splendori e miserie del cervello Torino Codice Edizioni 2010</w:t>
      </w:r>
      <w:r w:rsidR="00DA42DE">
        <w:t xml:space="preserve">. L. MAFFEI </w:t>
      </w:r>
      <w:r w:rsidR="00BD23EF">
        <w:t xml:space="preserve"> e A. FIORENTINI </w:t>
      </w:r>
      <w:r w:rsidR="00DA42DE">
        <w:t xml:space="preserve">Arte e cervello Bologna Zanichelli </w:t>
      </w:r>
      <w:r w:rsidR="00BD23EF">
        <w:t xml:space="preserve"> 2008.</w:t>
      </w:r>
      <w:r w:rsidR="00732E7D">
        <w:t>Eric KANDEL L’età dell’inconscio. Arte e cervello</w:t>
      </w:r>
      <w:r w:rsidR="004B4079">
        <w:t xml:space="preserve"> dalla grande Vienna ai giorni nostri Milano Raffaello Cortina Editore 2012; ID. Arte e neuroscienze. Le due culture a confronto Milano Raffaello Cortina 2017.</w:t>
      </w:r>
      <w:r w:rsidR="00C91C77">
        <w:t xml:space="preserve"> J.P.CHANGEUX </w:t>
      </w:r>
      <w:r w:rsidR="00597B03">
        <w:t>Il bello, il buono, il vero Milano Raffaello Cortina editore 2013. IDEM Neu</w:t>
      </w:r>
      <w:r w:rsidR="00786F72">
        <w:t>roscienza della bellezza  Roma Carocci editore 2020;</w:t>
      </w:r>
      <w:r w:rsidR="006E71C8" w:rsidRPr="006E71C8">
        <w:rPr>
          <w:rFonts w:ascii="Arial" w:hAnsi="Arial" w:cs="Arial"/>
          <w:color w:val="202122"/>
          <w:sz w:val="21"/>
          <w:szCs w:val="21"/>
          <w:shd w:val="clear" w:color="auto" w:fill="FFFFFF"/>
        </w:rPr>
        <w:t xml:space="preserve"> </w:t>
      </w:r>
      <w:r w:rsidR="006E71C8" w:rsidRPr="006E71C8">
        <w:t>Vilayanur S. Ramachandran, </w:t>
      </w:r>
      <w:r w:rsidR="006E71C8" w:rsidRPr="006E71C8">
        <w:rPr>
          <w:i/>
          <w:iCs/>
        </w:rPr>
        <w:t>Che cosa sappiamo della mente</w:t>
      </w:r>
      <w:r w:rsidR="006E71C8" w:rsidRPr="006E71C8">
        <w:t>, Milano, Mondadori, 2006</w:t>
      </w:r>
      <w:r w:rsidR="00C70047">
        <w:t>.</w:t>
      </w:r>
    </w:p>
  </w:footnote>
  <w:footnote w:id="15">
    <w:p w14:paraId="0CF1BB27" w14:textId="66B9033B" w:rsidR="0000043D" w:rsidRDefault="0000043D">
      <w:pPr>
        <w:pStyle w:val="Testonotaapidipagina"/>
      </w:pPr>
      <w:r>
        <w:rPr>
          <w:rStyle w:val="Rimandonotaapidipagina"/>
        </w:rPr>
        <w:footnoteRef/>
      </w:r>
      <w:r>
        <w:t xml:space="preserve"> </w:t>
      </w:r>
      <w:r w:rsidR="009D6133">
        <w:t>Cfr. Sebastian SEUNG Connettoma Torino Codice Edizioni 2016</w:t>
      </w:r>
    </w:p>
  </w:footnote>
  <w:footnote w:id="16">
    <w:p w14:paraId="606CF347" w14:textId="18647560" w:rsidR="0032271C" w:rsidRDefault="0032271C">
      <w:pPr>
        <w:pStyle w:val="Testonotaapidipagina"/>
      </w:pPr>
      <w:r>
        <w:rPr>
          <w:rStyle w:val="Rimandonotaapidipagina"/>
        </w:rPr>
        <w:footnoteRef/>
      </w:r>
      <w:r>
        <w:t xml:space="preserve">  Un interessante contributo </w:t>
      </w:r>
      <w:r w:rsidR="007A7275">
        <w:t xml:space="preserve">sul tema della tutela dell’ambiente e del paesaggio è quello di V. D’ARRIGO </w:t>
      </w:r>
      <w:r w:rsidR="00D801B6">
        <w:t xml:space="preserve"> La neuroestetica come chiave di lettura della tutela ambientale in Trattato di Diritto dell’Ambiente </w:t>
      </w:r>
      <w:r w:rsidR="00242555">
        <w:t xml:space="preserve">diretto da P. Dell’Anno ed E. Picozza vol. III “tutele parallele” pag. 191 ss. </w:t>
      </w:r>
      <w:r w:rsidR="001422DB">
        <w:t xml:space="preserve">Padova Cedam Walther </w:t>
      </w:r>
      <w:proofErr w:type="spellStart"/>
      <w:r w:rsidR="001422DB">
        <w:t>Kluwers</w:t>
      </w:r>
      <w:proofErr w:type="spellEnd"/>
      <w:r w:rsidR="001422DB">
        <w:t xml:space="preserve"> 2015.</w:t>
      </w:r>
    </w:p>
  </w:footnote>
  <w:footnote w:id="17">
    <w:p w14:paraId="338D11E6" w14:textId="5A8BBB1D" w:rsidR="00FF344B" w:rsidRDefault="00FF344B">
      <w:pPr>
        <w:pStyle w:val="Testonotaapidipagina"/>
      </w:pPr>
      <w:r>
        <w:rPr>
          <w:rStyle w:val="Rimandonotaapidipagina"/>
        </w:rPr>
        <w:footnoteRef/>
      </w:r>
      <w:r>
        <w:t xml:space="preserve"> </w:t>
      </w:r>
      <w:r w:rsidR="003A3E53">
        <w:t xml:space="preserve">Daniel </w:t>
      </w:r>
      <w:proofErr w:type="spellStart"/>
      <w:r w:rsidR="003A3E53">
        <w:t>Kahnemann</w:t>
      </w:r>
      <w:proofErr w:type="spellEnd"/>
      <w:r w:rsidR="003A3E53">
        <w:t xml:space="preserve"> Pensieri lenti e pensieri veloci Milano Mondadori 2020</w:t>
      </w:r>
    </w:p>
  </w:footnote>
  <w:footnote w:id="18">
    <w:p w14:paraId="5ED5DE32" w14:textId="4EB48D14" w:rsidR="008E3728" w:rsidRDefault="008E3728">
      <w:pPr>
        <w:pStyle w:val="Testonotaapidipagina"/>
      </w:pPr>
      <w:r>
        <w:rPr>
          <w:rStyle w:val="Rimandonotaapidipagina"/>
        </w:rPr>
        <w:footnoteRef/>
      </w:r>
      <w:r>
        <w:t xml:space="preserve">  D. RIESMAN</w:t>
      </w:r>
      <w:r w:rsidR="002C4CB4">
        <w:t xml:space="preserve"> La folla solitaria nuova edizione </w:t>
      </w:r>
      <w:r w:rsidR="00E34456">
        <w:t xml:space="preserve"> Bologna il Mulino 2009 </w:t>
      </w:r>
    </w:p>
  </w:footnote>
  <w:footnote w:id="19">
    <w:p w14:paraId="431D80BA" w14:textId="208F487D" w:rsidR="00907E8A" w:rsidRDefault="00907E8A">
      <w:pPr>
        <w:pStyle w:val="Testonotaapidipagina"/>
      </w:pPr>
      <w:r>
        <w:rPr>
          <w:rStyle w:val="Rimandonotaapidipagina"/>
        </w:rPr>
        <w:footnoteRef/>
      </w:r>
      <w:r>
        <w:t xml:space="preserve"> </w:t>
      </w:r>
      <w:r w:rsidR="00D370B5">
        <w:t xml:space="preserve">U. GALIMBERTI L’etica del viandante Milano Feltrinelli 2023 </w:t>
      </w:r>
    </w:p>
  </w:footnote>
  <w:footnote w:id="20">
    <w:p w14:paraId="2C353B0E" w14:textId="50DB96EC" w:rsidR="0052433C" w:rsidRPr="0052433C" w:rsidRDefault="00F25288" w:rsidP="0052433C">
      <w:pPr>
        <w:pStyle w:val="Testonotaapidipagina"/>
        <w:jc w:val="both"/>
      </w:pPr>
      <w:r>
        <w:rPr>
          <w:rStyle w:val="Rimandonotaapidipagina"/>
        </w:rPr>
        <w:footnoteRef/>
      </w:r>
      <w:r>
        <w:t xml:space="preserve"> </w:t>
      </w:r>
      <w:r w:rsidR="0052433C">
        <w:t xml:space="preserve">Cfr. L. CAPPELLO </w:t>
      </w:r>
      <w:r w:rsidR="0052433C" w:rsidRPr="0052433C">
        <w:t>L' evoluzione del consumatore negli ecosistemi decentralizzati. L'impatto della digitalizzazione e della Blockchain</w:t>
      </w:r>
      <w:r w:rsidR="0052433C">
        <w:t xml:space="preserve"> Torino Giappichelli 2022.</w:t>
      </w:r>
    </w:p>
    <w:p w14:paraId="7123CFD1" w14:textId="1127600E" w:rsidR="00F25288" w:rsidRPr="0052433C" w:rsidRDefault="00F25288">
      <w:pPr>
        <w:pStyle w:val="Testonotaapidipagina"/>
        <w:rPr>
          <w:b/>
          <w:bCs/>
        </w:rPr>
      </w:pPr>
    </w:p>
  </w:footnote>
  <w:footnote w:id="21">
    <w:p w14:paraId="6EED7907" w14:textId="354A14B0" w:rsidR="00EA2837" w:rsidRDefault="00EA2837">
      <w:pPr>
        <w:pStyle w:val="Testonotaapidipagina"/>
      </w:pPr>
      <w:r>
        <w:rPr>
          <w:rStyle w:val="Rimandonotaapidipagina"/>
        </w:rPr>
        <w:footnoteRef/>
      </w:r>
      <w:r>
        <w:t xml:space="preserve"> </w:t>
      </w:r>
      <w:r w:rsidR="00BE11E1">
        <w:t>Un interessante tentativo di fondare la “scienza della creatività” che vorrebbe anche ricomporre la divisione tradizionale tra scienze della natura e scienze dello spirito in Anna A</w:t>
      </w:r>
      <w:r w:rsidR="00D149E6">
        <w:t xml:space="preserve">BRAHAM The </w:t>
      </w:r>
      <w:proofErr w:type="spellStart"/>
      <w:r w:rsidR="00D149E6">
        <w:t>Neuroscien</w:t>
      </w:r>
      <w:r w:rsidR="006170C2">
        <w:t>ce</w:t>
      </w:r>
      <w:proofErr w:type="spellEnd"/>
      <w:r w:rsidR="006170C2">
        <w:t xml:space="preserve"> </w:t>
      </w:r>
      <w:r w:rsidR="00D149E6">
        <w:t xml:space="preserve">of </w:t>
      </w:r>
      <w:proofErr w:type="spellStart"/>
      <w:r w:rsidR="00D149E6">
        <w:t>creativity</w:t>
      </w:r>
      <w:proofErr w:type="spellEnd"/>
      <w:r w:rsidR="006170C2">
        <w:t xml:space="preserve"> Cambridge </w:t>
      </w:r>
      <w:r w:rsidR="00BE2FA9">
        <w:t>University</w:t>
      </w:r>
      <w:r w:rsidR="006170C2">
        <w:t xml:space="preserve"> Press 2028.</w:t>
      </w:r>
    </w:p>
  </w:footnote>
  <w:footnote w:id="22">
    <w:p w14:paraId="1308C988" w14:textId="63F16DCC" w:rsidR="00233D8A" w:rsidRPr="00E40F56" w:rsidRDefault="00233D8A" w:rsidP="00E40F56">
      <w:pPr>
        <w:pStyle w:val="Testonotaapidipagina"/>
        <w:jc w:val="both"/>
      </w:pPr>
      <w:r>
        <w:rPr>
          <w:rStyle w:val="Rimandonotaapidipagina"/>
        </w:rPr>
        <w:footnoteRef/>
      </w:r>
      <w:r>
        <w:t xml:space="preserve"> </w:t>
      </w:r>
      <w:r w:rsidR="00316FAD">
        <w:t xml:space="preserve"> </w:t>
      </w:r>
      <w:r w:rsidR="00316FAD" w:rsidRPr="00E40F56">
        <w:t>Troviamo qui stilizzati i principi che guidano le principali teorie</w:t>
      </w:r>
      <w:r w:rsidR="001D0F9A" w:rsidRPr="00E40F56">
        <w:t xml:space="preserve"> generali del diritto contemporaneo: la teoria della sanzione autoritaria (</w:t>
      </w:r>
      <w:proofErr w:type="spellStart"/>
      <w:r w:rsidR="001D0F9A" w:rsidRPr="00E40F56">
        <w:t>Kelsen</w:t>
      </w:r>
      <w:proofErr w:type="spellEnd"/>
      <w:r w:rsidR="001D0F9A" w:rsidRPr="00E40F56">
        <w:t xml:space="preserve">); il c.d. diritto mite e soft </w:t>
      </w:r>
      <w:proofErr w:type="spellStart"/>
      <w:r w:rsidR="001D0F9A" w:rsidRPr="00E40F56">
        <w:t>law</w:t>
      </w:r>
      <w:proofErr w:type="spellEnd"/>
      <w:r w:rsidR="00E40F56" w:rsidRPr="00E40F56">
        <w:t xml:space="preserve"> (Zagrebelsky) e perfino il diritto ed economia comportamentale</w:t>
      </w:r>
      <w:r w:rsidR="00E40F56">
        <w:t xml:space="preserve"> (</w:t>
      </w:r>
      <w:r w:rsidR="00D2680A">
        <w:t>Francesco Vella) la sostanza non cambia: come scrive Girolamo Frescobaldi al termine della IX Toccata per clavicembalo del secondo libro della sua Raccolta “Non senza fatica si giunge al fine”.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73683"/>
    <w:multiLevelType w:val="hybridMultilevel"/>
    <w:tmpl w:val="8DE88AE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41989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13E"/>
    <w:rsid w:val="0000043D"/>
    <w:rsid w:val="000031A1"/>
    <w:rsid w:val="00024E84"/>
    <w:rsid w:val="00026581"/>
    <w:rsid w:val="00037B66"/>
    <w:rsid w:val="00057849"/>
    <w:rsid w:val="000720B4"/>
    <w:rsid w:val="00091144"/>
    <w:rsid w:val="00094523"/>
    <w:rsid w:val="000A42D7"/>
    <w:rsid w:val="000B1354"/>
    <w:rsid w:val="000B513D"/>
    <w:rsid w:val="000D3631"/>
    <w:rsid w:val="000D7FA4"/>
    <w:rsid w:val="000E0EAA"/>
    <w:rsid w:val="000E0EC4"/>
    <w:rsid w:val="000E3A06"/>
    <w:rsid w:val="000F18C1"/>
    <w:rsid w:val="000F390F"/>
    <w:rsid w:val="000F5E39"/>
    <w:rsid w:val="001030FF"/>
    <w:rsid w:val="00105288"/>
    <w:rsid w:val="00114643"/>
    <w:rsid w:val="00122435"/>
    <w:rsid w:val="0013206A"/>
    <w:rsid w:val="001422DB"/>
    <w:rsid w:val="001460A9"/>
    <w:rsid w:val="001778AF"/>
    <w:rsid w:val="00180496"/>
    <w:rsid w:val="00195EC3"/>
    <w:rsid w:val="001B07A2"/>
    <w:rsid w:val="001B4CB1"/>
    <w:rsid w:val="001D0F9A"/>
    <w:rsid w:val="001D793B"/>
    <w:rsid w:val="001F637C"/>
    <w:rsid w:val="0020691C"/>
    <w:rsid w:val="00215AD6"/>
    <w:rsid w:val="002217B3"/>
    <w:rsid w:val="00223A17"/>
    <w:rsid w:val="002328C0"/>
    <w:rsid w:val="00232E3A"/>
    <w:rsid w:val="00233D8A"/>
    <w:rsid w:val="00242555"/>
    <w:rsid w:val="00252BFF"/>
    <w:rsid w:val="00253FFD"/>
    <w:rsid w:val="00256B9C"/>
    <w:rsid w:val="00257B60"/>
    <w:rsid w:val="00264D6E"/>
    <w:rsid w:val="00266BEC"/>
    <w:rsid w:val="002C4CB4"/>
    <w:rsid w:val="002D66E9"/>
    <w:rsid w:val="002F1DBA"/>
    <w:rsid w:val="003073B1"/>
    <w:rsid w:val="00316114"/>
    <w:rsid w:val="003169D5"/>
    <w:rsid w:val="00316FAD"/>
    <w:rsid w:val="0032271C"/>
    <w:rsid w:val="003308F0"/>
    <w:rsid w:val="003326D9"/>
    <w:rsid w:val="00333141"/>
    <w:rsid w:val="003671FB"/>
    <w:rsid w:val="00370365"/>
    <w:rsid w:val="003728EE"/>
    <w:rsid w:val="003A3E53"/>
    <w:rsid w:val="003B0F3B"/>
    <w:rsid w:val="00410239"/>
    <w:rsid w:val="00411179"/>
    <w:rsid w:val="0041443A"/>
    <w:rsid w:val="00417D9E"/>
    <w:rsid w:val="0043323E"/>
    <w:rsid w:val="00434ADB"/>
    <w:rsid w:val="00466359"/>
    <w:rsid w:val="00466394"/>
    <w:rsid w:val="004669CC"/>
    <w:rsid w:val="0046774A"/>
    <w:rsid w:val="004731D4"/>
    <w:rsid w:val="0047349E"/>
    <w:rsid w:val="00476A2D"/>
    <w:rsid w:val="00484542"/>
    <w:rsid w:val="004A1AFB"/>
    <w:rsid w:val="004B4079"/>
    <w:rsid w:val="004C2E8D"/>
    <w:rsid w:val="004C7986"/>
    <w:rsid w:val="0051286F"/>
    <w:rsid w:val="0052433C"/>
    <w:rsid w:val="005330C2"/>
    <w:rsid w:val="00534797"/>
    <w:rsid w:val="00560257"/>
    <w:rsid w:val="005631E3"/>
    <w:rsid w:val="00570211"/>
    <w:rsid w:val="0059455F"/>
    <w:rsid w:val="00595947"/>
    <w:rsid w:val="00596999"/>
    <w:rsid w:val="00597B03"/>
    <w:rsid w:val="005B0BE2"/>
    <w:rsid w:val="005B4D4F"/>
    <w:rsid w:val="005C29A1"/>
    <w:rsid w:val="005D2EF5"/>
    <w:rsid w:val="005D62EB"/>
    <w:rsid w:val="006170C2"/>
    <w:rsid w:val="00621352"/>
    <w:rsid w:val="0063343A"/>
    <w:rsid w:val="006379B2"/>
    <w:rsid w:val="00666C52"/>
    <w:rsid w:val="0067190A"/>
    <w:rsid w:val="00681DC6"/>
    <w:rsid w:val="006A2AC4"/>
    <w:rsid w:val="006A5C93"/>
    <w:rsid w:val="006C4747"/>
    <w:rsid w:val="006D2670"/>
    <w:rsid w:val="006D2BAE"/>
    <w:rsid w:val="006D42F0"/>
    <w:rsid w:val="006E665B"/>
    <w:rsid w:val="006E71C8"/>
    <w:rsid w:val="006F59B1"/>
    <w:rsid w:val="00727A19"/>
    <w:rsid w:val="00732E7D"/>
    <w:rsid w:val="00734EAB"/>
    <w:rsid w:val="00756082"/>
    <w:rsid w:val="00773CDE"/>
    <w:rsid w:val="00782CFD"/>
    <w:rsid w:val="00786F72"/>
    <w:rsid w:val="007A4C83"/>
    <w:rsid w:val="007A6F52"/>
    <w:rsid w:val="007A7275"/>
    <w:rsid w:val="007B15E5"/>
    <w:rsid w:val="007C3E6B"/>
    <w:rsid w:val="007D05DB"/>
    <w:rsid w:val="00805393"/>
    <w:rsid w:val="0083343C"/>
    <w:rsid w:val="00854097"/>
    <w:rsid w:val="00892E82"/>
    <w:rsid w:val="008B1D24"/>
    <w:rsid w:val="008B23ED"/>
    <w:rsid w:val="008B2D6E"/>
    <w:rsid w:val="008C1090"/>
    <w:rsid w:val="008C5DFE"/>
    <w:rsid w:val="008E032F"/>
    <w:rsid w:val="008E3728"/>
    <w:rsid w:val="008E691D"/>
    <w:rsid w:val="008F29E8"/>
    <w:rsid w:val="009056D9"/>
    <w:rsid w:val="00907E8A"/>
    <w:rsid w:val="00910FF0"/>
    <w:rsid w:val="009144F9"/>
    <w:rsid w:val="00924DB9"/>
    <w:rsid w:val="00932B18"/>
    <w:rsid w:val="00942F33"/>
    <w:rsid w:val="009629BF"/>
    <w:rsid w:val="0096603E"/>
    <w:rsid w:val="00967C47"/>
    <w:rsid w:val="009860E0"/>
    <w:rsid w:val="009925FD"/>
    <w:rsid w:val="009A602D"/>
    <w:rsid w:val="009B3685"/>
    <w:rsid w:val="009C588F"/>
    <w:rsid w:val="009D6133"/>
    <w:rsid w:val="009F5BC7"/>
    <w:rsid w:val="00A12958"/>
    <w:rsid w:val="00A33D99"/>
    <w:rsid w:val="00A363D3"/>
    <w:rsid w:val="00A45BC6"/>
    <w:rsid w:val="00A50A66"/>
    <w:rsid w:val="00A55A5B"/>
    <w:rsid w:val="00A6189F"/>
    <w:rsid w:val="00A671F5"/>
    <w:rsid w:val="00A87A05"/>
    <w:rsid w:val="00AA0111"/>
    <w:rsid w:val="00AA7A79"/>
    <w:rsid w:val="00AB0240"/>
    <w:rsid w:val="00AB20AE"/>
    <w:rsid w:val="00AC502D"/>
    <w:rsid w:val="00AC58BD"/>
    <w:rsid w:val="00AD1701"/>
    <w:rsid w:val="00AD7765"/>
    <w:rsid w:val="00AF4557"/>
    <w:rsid w:val="00B044F9"/>
    <w:rsid w:val="00B05100"/>
    <w:rsid w:val="00B10D0C"/>
    <w:rsid w:val="00B333D4"/>
    <w:rsid w:val="00B37771"/>
    <w:rsid w:val="00B427D8"/>
    <w:rsid w:val="00B457EA"/>
    <w:rsid w:val="00B533FD"/>
    <w:rsid w:val="00B5443E"/>
    <w:rsid w:val="00B81509"/>
    <w:rsid w:val="00BB1719"/>
    <w:rsid w:val="00BB5D7D"/>
    <w:rsid w:val="00BD07D8"/>
    <w:rsid w:val="00BD23EF"/>
    <w:rsid w:val="00BE11E1"/>
    <w:rsid w:val="00BE2FA9"/>
    <w:rsid w:val="00BE603D"/>
    <w:rsid w:val="00BF78D5"/>
    <w:rsid w:val="00C009BD"/>
    <w:rsid w:val="00C211F8"/>
    <w:rsid w:val="00C53796"/>
    <w:rsid w:val="00C561B2"/>
    <w:rsid w:val="00C63CBA"/>
    <w:rsid w:val="00C70047"/>
    <w:rsid w:val="00C74F9B"/>
    <w:rsid w:val="00C91C77"/>
    <w:rsid w:val="00C96DC9"/>
    <w:rsid w:val="00CC3905"/>
    <w:rsid w:val="00CE1D63"/>
    <w:rsid w:val="00CE45AB"/>
    <w:rsid w:val="00CF5145"/>
    <w:rsid w:val="00D02FEC"/>
    <w:rsid w:val="00D07E31"/>
    <w:rsid w:val="00D149E6"/>
    <w:rsid w:val="00D2089E"/>
    <w:rsid w:val="00D2680A"/>
    <w:rsid w:val="00D33AB3"/>
    <w:rsid w:val="00D370B5"/>
    <w:rsid w:val="00D442AC"/>
    <w:rsid w:val="00D45CAF"/>
    <w:rsid w:val="00D4750D"/>
    <w:rsid w:val="00D51F38"/>
    <w:rsid w:val="00D801B6"/>
    <w:rsid w:val="00D955E0"/>
    <w:rsid w:val="00DA42DE"/>
    <w:rsid w:val="00DA4D65"/>
    <w:rsid w:val="00DC3E89"/>
    <w:rsid w:val="00DD169C"/>
    <w:rsid w:val="00DD6797"/>
    <w:rsid w:val="00DE27B8"/>
    <w:rsid w:val="00DF34CB"/>
    <w:rsid w:val="00E01FB2"/>
    <w:rsid w:val="00E04CBE"/>
    <w:rsid w:val="00E14CF9"/>
    <w:rsid w:val="00E2413E"/>
    <w:rsid w:val="00E34456"/>
    <w:rsid w:val="00E3541C"/>
    <w:rsid w:val="00E40F56"/>
    <w:rsid w:val="00E42A3E"/>
    <w:rsid w:val="00E468C9"/>
    <w:rsid w:val="00E468F8"/>
    <w:rsid w:val="00E5227D"/>
    <w:rsid w:val="00E55AB6"/>
    <w:rsid w:val="00E6203A"/>
    <w:rsid w:val="00E65C82"/>
    <w:rsid w:val="00E76E26"/>
    <w:rsid w:val="00E87E20"/>
    <w:rsid w:val="00EA2837"/>
    <w:rsid w:val="00EA28F6"/>
    <w:rsid w:val="00EA43B0"/>
    <w:rsid w:val="00EA468F"/>
    <w:rsid w:val="00EB0303"/>
    <w:rsid w:val="00EB390F"/>
    <w:rsid w:val="00EE5226"/>
    <w:rsid w:val="00EE678A"/>
    <w:rsid w:val="00EE6985"/>
    <w:rsid w:val="00EE7AF2"/>
    <w:rsid w:val="00F05DD9"/>
    <w:rsid w:val="00F062B2"/>
    <w:rsid w:val="00F2013B"/>
    <w:rsid w:val="00F25288"/>
    <w:rsid w:val="00F568D5"/>
    <w:rsid w:val="00F71251"/>
    <w:rsid w:val="00F832FF"/>
    <w:rsid w:val="00FA061B"/>
    <w:rsid w:val="00FA3A31"/>
    <w:rsid w:val="00FB1622"/>
    <w:rsid w:val="00FB5968"/>
    <w:rsid w:val="00FE7EC1"/>
    <w:rsid w:val="00FF0135"/>
    <w:rsid w:val="00FF344B"/>
    <w:rsid w:val="00FF36A7"/>
    <w:rsid w:val="00FF5E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AA8B5"/>
  <w15:chartTrackingRefBased/>
  <w15:docId w15:val="{8A1E29AF-41EB-42C9-80AA-D81019C8C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241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241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2413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2413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2413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2413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2413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2413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2413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2413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2413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2413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2413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2413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2413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2413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2413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2413E"/>
    <w:rPr>
      <w:rFonts w:eastAsiaTheme="majorEastAsia" w:cstheme="majorBidi"/>
      <w:color w:val="272727" w:themeColor="text1" w:themeTint="D8"/>
    </w:rPr>
  </w:style>
  <w:style w:type="paragraph" w:styleId="Titolo">
    <w:name w:val="Title"/>
    <w:basedOn w:val="Normale"/>
    <w:next w:val="Normale"/>
    <w:link w:val="TitoloCarattere"/>
    <w:uiPriority w:val="10"/>
    <w:qFormat/>
    <w:rsid w:val="00E24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2413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2413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2413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2413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2413E"/>
    <w:rPr>
      <w:i/>
      <w:iCs/>
      <w:color w:val="404040" w:themeColor="text1" w:themeTint="BF"/>
    </w:rPr>
  </w:style>
  <w:style w:type="paragraph" w:styleId="Paragrafoelenco">
    <w:name w:val="List Paragraph"/>
    <w:basedOn w:val="Normale"/>
    <w:uiPriority w:val="34"/>
    <w:qFormat/>
    <w:rsid w:val="00E2413E"/>
    <w:pPr>
      <w:ind w:left="720"/>
      <w:contextualSpacing/>
    </w:pPr>
  </w:style>
  <w:style w:type="character" w:styleId="Enfasiintensa">
    <w:name w:val="Intense Emphasis"/>
    <w:basedOn w:val="Carpredefinitoparagrafo"/>
    <w:uiPriority w:val="21"/>
    <w:qFormat/>
    <w:rsid w:val="00E2413E"/>
    <w:rPr>
      <w:i/>
      <w:iCs/>
      <w:color w:val="0F4761" w:themeColor="accent1" w:themeShade="BF"/>
    </w:rPr>
  </w:style>
  <w:style w:type="paragraph" w:styleId="Citazioneintensa">
    <w:name w:val="Intense Quote"/>
    <w:basedOn w:val="Normale"/>
    <w:next w:val="Normale"/>
    <w:link w:val="CitazioneintensaCarattere"/>
    <w:uiPriority w:val="30"/>
    <w:qFormat/>
    <w:rsid w:val="00E241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2413E"/>
    <w:rPr>
      <w:i/>
      <w:iCs/>
      <w:color w:val="0F4761" w:themeColor="accent1" w:themeShade="BF"/>
    </w:rPr>
  </w:style>
  <w:style w:type="character" w:styleId="Riferimentointenso">
    <w:name w:val="Intense Reference"/>
    <w:basedOn w:val="Carpredefinitoparagrafo"/>
    <w:uiPriority w:val="32"/>
    <w:qFormat/>
    <w:rsid w:val="00E2413E"/>
    <w:rPr>
      <w:b/>
      <w:bCs/>
      <w:smallCaps/>
      <w:color w:val="0F4761" w:themeColor="accent1" w:themeShade="BF"/>
      <w:spacing w:val="5"/>
    </w:rPr>
  </w:style>
  <w:style w:type="paragraph" w:styleId="Testonotaapidipagina">
    <w:name w:val="footnote text"/>
    <w:basedOn w:val="Normale"/>
    <w:link w:val="TestonotaapidipaginaCarattere"/>
    <w:uiPriority w:val="99"/>
    <w:semiHidden/>
    <w:unhideWhenUsed/>
    <w:rsid w:val="00AD776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D7765"/>
    <w:rPr>
      <w:sz w:val="20"/>
      <w:szCs w:val="20"/>
    </w:rPr>
  </w:style>
  <w:style w:type="character" w:styleId="Rimandonotaapidipagina">
    <w:name w:val="footnote reference"/>
    <w:basedOn w:val="Carpredefinitoparagrafo"/>
    <w:uiPriority w:val="99"/>
    <w:semiHidden/>
    <w:unhideWhenUsed/>
    <w:rsid w:val="00AD7765"/>
    <w:rPr>
      <w:vertAlign w:val="superscript"/>
    </w:rPr>
  </w:style>
  <w:style w:type="paragraph" w:styleId="Intestazione">
    <w:name w:val="header"/>
    <w:basedOn w:val="Normale"/>
    <w:link w:val="IntestazioneCarattere"/>
    <w:uiPriority w:val="99"/>
    <w:unhideWhenUsed/>
    <w:rsid w:val="00CC390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C3905"/>
  </w:style>
  <w:style w:type="paragraph" w:styleId="Pidipagina">
    <w:name w:val="footer"/>
    <w:basedOn w:val="Normale"/>
    <w:link w:val="PidipaginaCarattere"/>
    <w:uiPriority w:val="99"/>
    <w:unhideWhenUsed/>
    <w:rsid w:val="00CC390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C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900926">
      <w:bodyDiv w:val="1"/>
      <w:marLeft w:val="0"/>
      <w:marRight w:val="0"/>
      <w:marTop w:val="0"/>
      <w:marBottom w:val="0"/>
      <w:divBdr>
        <w:top w:val="none" w:sz="0" w:space="0" w:color="auto"/>
        <w:left w:val="none" w:sz="0" w:space="0" w:color="auto"/>
        <w:bottom w:val="none" w:sz="0" w:space="0" w:color="auto"/>
        <w:right w:val="none" w:sz="0" w:space="0" w:color="auto"/>
      </w:divBdr>
    </w:div>
    <w:div w:id="127729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203C4-80C6-4F84-AC22-D80E1DC1C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3611</Words>
  <Characters>20584</Characters>
  <Application>Microsoft Office Word</Application>
  <DocSecurity>0</DocSecurity>
  <Lines>171</Lines>
  <Paragraphs>48</Paragraphs>
  <ScaleCrop>false</ScaleCrop>
  <Company/>
  <LinksUpToDate>false</LinksUpToDate>
  <CharactersWithSpaces>24147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eugenio picozza</dc:creator>
  <cp:keywords/>
  <dc:description/>
  <cp:lastModifiedBy>eugenio picozza</cp:lastModifiedBy>
  <cp:revision>3</cp:revision>
  <cp:lastPrinted>2024-06-12T09:27:00Z</cp:lastPrinted>
  <dcterms:created xsi:type="dcterms:W3CDTF">2024-06-12T09:26:00Z</dcterms:created>
  <dcterms:modified xsi:type="dcterms:W3CDTF">2024-06-12T09:27:00Z</dcterms:modified>
</cp:coreProperties>
</file>