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17" w:rsidRDefault="00FA5B66">
      <w:pPr>
        <w:spacing w:after="988" w:line="254" w:lineRule="exact"/>
        <w:ind w:left="4493" w:right="4982"/>
        <w:textAlignment w:val="baseline"/>
      </w:pPr>
      <w:r>
        <w:rPr>
          <w:noProof/>
          <w:lang w:val="it-IT" w:eastAsia="it-IT"/>
        </w:rPr>
        <w:drawing>
          <wp:inline distT="0" distB="0" distL="0" distR="0">
            <wp:extent cx="155575" cy="1555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5575" cy="15557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8679"/>
        <w:gridCol w:w="1041"/>
      </w:tblGrid>
      <w:tr w:rsidR="00E31017">
        <w:tblPrEx>
          <w:tblCellMar>
            <w:top w:w="0" w:type="dxa"/>
            <w:bottom w:w="0" w:type="dxa"/>
          </w:tblCellMar>
        </w:tblPrEx>
        <w:trPr>
          <w:trHeight w:hRule="exact" w:val="3240"/>
        </w:trPr>
        <w:tc>
          <w:tcPr>
            <w:tcW w:w="8679" w:type="dxa"/>
            <w:vAlign w:val="bottom"/>
          </w:tcPr>
          <w:p w:rsidR="00E31017" w:rsidRDefault="00FA5B66">
            <w:pPr>
              <w:spacing w:before="597" w:line="243" w:lineRule="exact"/>
              <w:ind w:left="936"/>
              <w:textAlignment w:val="baseline"/>
              <w:rPr>
                <w:rFonts w:ascii="Arial" w:eastAsia="Arial" w:hAnsi="Arial"/>
                <w:b/>
                <w:color w:val="000000"/>
                <w:sz w:val="21"/>
                <w:lang w:val="it-IT"/>
              </w:rPr>
            </w:pPr>
            <w:r>
              <w:rPr>
                <w:rFonts w:ascii="Arial" w:eastAsia="Arial" w:hAnsi="Arial"/>
                <w:b/>
                <w:color w:val="000000"/>
                <w:sz w:val="21"/>
                <w:lang w:val="it-IT"/>
              </w:rPr>
              <w:t>INTRODUZIONE</w:t>
            </w:r>
          </w:p>
          <w:p w:rsidR="00E31017" w:rsidRDefault="00FA5B66">
            <w:pPr>
              <w:spacing w:before="287" w:line="520" w:lineRule="exact"/>
              <w:ind w:left="936"/>
              <w:textAlignment w:val="baseline"/>
              <w:rPr>
                <w:rFonts w:eastAsia="Times New Roman"/>
                <w:color w:val="000000"/>
                <w:w w:val="115"/>
                <w:sz w:val="43"/>
                <w:lang w:val="it-IT"/>
              </w:rPr>
            </w:pPr>
            <w:r>
              <w:rPr>
                <w:rFonts w:eastAsia="Times New Roman"/>
                <w:color w:val="000000"/>
                <w:w w:val="115"/>
                <w:sz w:val="43"/>
                <w:lang w:val="it-IT"/>
              </w:rPr>
              <w:t>Considerazioni introduttive</w:t>
            </w:r>
          </w:p>
          <w:p w:rsidR="00E31017" w:rsidRDefault="00FA5B66">
            <w:pPr>
              <w:spacing w:before="17" w:line="520" w:lineRule="exact"/>
              <w:ind w:left="936"/>
              <w:textAlignment w:val="baseline"/>
              <w:rPr>
                <w:rFonts w:eastAsia="Times New Roman"/>
                <w:color w:val="000000"/>
                <w:w w:val="115"/>
                <w:sz w:val="43"/>
                <w:lang w:val="it-IT"/>
              </w:rPr>
            </w:pPr>
            <w:r>
              <w:rPr>
                <w:rFonts w:eastAsia="Times New Roman"/>
                <w:color w:val="000000"/>
                <w:w w:val="115"/>
                <w:sz w:val="43"/>
                <w:lang w:val="it-IT"/>
              </w:rPr>
              <w:t>sull’origine, l’ascesa</w:t>
            </w:r>
          </w:p>
          <w:p w:rsidR="00E31017" w:rsidRDefault="00FA5B66">
            <w:pPr>
              <w:spacing w:line="519" w:lineRule="exact"/>
              <w:ind w:left="936"/>
              <w:textAlignment w:val="baseline"/>
              <w:rPr>
                <w:rFonts w:eastAsia="Times New Roman"/>
                <w:color w:val="000000"/>
                <w:w w:val="115"/>
                <w:sz w:val="43"/>
                <w:lang w:val="it-IT"/>
              </w:rPr>
            </w:pPr>
            <w:r>
              <w:rPr>
                <w:rFonts w:eastAsia="Times New Roman"/>
                <w:color w:val="000000"/>
                <w:w w:val="115"/>
                <w:sz w:val="43"/>
                <w:lang w:val="it-IT"/>
              </w:rPr>
              <w:t>e la più autentica funzione</w:t>
            </w:r>
          </w:p>
          <w:p w:rsidR="00E31017" w:rsidRDefault="00FA5B66">
            <w:pPr>
              <w:spacing w:before="17" w:line="510" w:lineRule="exact"/>
              <w:ind w:left="936"/>
              <w:textAlignment w:val="baseline"/>
              <w:rPr>
                <w:rFonts w:eastAsia="Times New Roman"/>
                <w:color w:val="000000"/>
                <w:w w:val="115"/>
                <w:sz w:val="43"/>
                <w:lang w:val="it-IT"/>
              </w:rPr>
            </w:pPr>
            <w:r>
              <w:rPr>
                <w:rFonts w:eastAsia="Times New Roman"/>
                <w:color w:val="000000"/>
                <w:w w:val="115"/>
                <w:sz w:val="43"/>
                <w:lang w:val="it-IT"/>
              </w:rPr>
              <w:t xml:space="preserve">del </w:t>
            </w:r>
            <w:r>
              <w:rPr>
                <w:rFonts w:eastAsia="Times New Roman"/>
                <w:i/>
                <w:color w:val="000000"/>
                <w:w w:val="105"/>
                <w:sz w:val="44"/>
                <w:lang w:val="it-IT"/>
              </w:rPr>
              <w:t>golden power</w:t>
            </w:r>
            <w:r w:rsidR="0094580E">
              <w:rPr>
                <w:rFonts w:eastAsia="Times New Roman"/>
                <w:i/>
                <w:color w:val="000000"/>
                <w:w w:val="105"/>
                <w:sz w:val="44"/>
                <w:lang w:val="it-IT"/>
              </w:rPr>
              <w:t xml:space="preserve"> **</w:t>
            </w:r>
          </w:p>
        </w:tc>
        <w:tc>
          <w:tcPr>
            <w:tcW w:w="1041" w:type="dxa"/>
          </w:tcPr>
          <w:p w:rsidR="00E31017" w:rsidRDefault="00FA5B66">
            <w:pPr>
              <w:jc w:val="center"/>
              <w:textAlignment w:val="baseline"/>
            </w:pPr>
            <w:r>
              <w:rPr>
                <w:noProof/>
                <w:lang w:val="it-IT" w:eastAsia="it-IT"/>
              </w:rPr>
              <w:drawing>
                <wp:inline distT="0" distB="0" distL="0" distR="0">
                  <wp:extent cx="661035" cy="96012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661035" cy="960120"/>
                          </a:xfrm>
                          <a:prstGeom prst="rect">
                            <a:avLst/>
                          </a:prstGeom>
                        </pic:spPr>
                      </pic:pic>
                    </a:graphicData>
                  </a:graphic>
                </wp:inline>
              </w:drawing>
            </w:r>
          </w:p>
        </w:tc>
      </w:tr>
    </w:tbl>
    <w:p w:rsidR="00E31017" w:rsidRDefault="00E31017">
      <w:pPr>
        <w:spacing w:after="360" w:line="20" w:lineRule="exact"/>
      </w:pPr>
    </w:p>
    <w:p w:rsidR="00E31017" w:rsidRDefault="00FA5B66">
      <w:pPr>
        <w:spacing w:line="231" w:lineRule="exact"/>
        <w:ind w:left="936"/>
        <w:textAlignment w:val="baseline"/>
        <w:rPr>
          <w:rFonts w:ascii="Tahoma" w:eastAsia="Tahoma" w:hAnsi="Tahoma"/>
          <w:b/>
          <w:color w:val="000000"/>
          <w:sz w:val="19"/>
          <w:lang w:val="it-IT"/>
        </w:rPr>
      </w:pPr>
      <w:r>
        <w:rPr>
          <w:rFonts w:ascii="Tahoma" w:eastAsia="Tahoma" w:hAnsi="Tahoma"/>
          <w:b/>
          <w:color w:val="000000"/>
          <w:sz w:val="19"/>
          <w:lang w:val="it-IT"/>
        </w:rPr>
        <w:t>di Carlo Deodato*</w:t>
      </w:r>
    </w:p>
    <w:p w:rsidR="00E31017" w:rsidRDefault="00FA5B66">
      <w:pPr>
        <w:spacing w:before="593" w:line="279" w:lineRule="exact"/>
        <w:ind w:left="936" w:right="1368"/>
        <w:jc w:val="both"/>
        <w:textAlignment w:val="baseline"/>
        <w:rPr>
          <w:rFonts w:eastAsia="Times New Roman"/>
          <w:color w:val="000000"/>
          <w:lang w:val="it-IT"/>
        </w:rPr>
      </w:pPr>
      <w:r>
        <w:rPr>
          <w:rFonts w:eastAsia="Times New Roman"/>
          <w:color w:val="000000"/>
          <w:lang w:val="it-IT"/>
        </w:rPr>
        <w:t>Uno dei temi che, negli ultimi anni, ha più interessato, con crescente intensità, giuristi, operatori economici, analisti, ma anche giudici (amministrativi) e politici (e, quindi, giurisdizione e legislazione), è senz’altro la disciplina dell’esercizio dei</w:t>
      </w:r>
      <w:r>
        <w:rPr>
          <w:rFonts w:eastAsia="Times New Roman"/>
          <w:color w:val="000000"/>
          <w:lang w:val="it-IT"/>
        </w:rPr>
        <w:t xml:space="preserve"> poteri speciali (d’ora innanzi </w:t>
      </w:r>
      <w:r>
        <w:rPr>
          <w:rFonts w:eastAsia="Times New Roman"/>
          <w:i/>
          <w:color w:val="000000"/>
          <w:lang w:val="it-IT"/>
        </w:rPr>
        <w:t>golden power</w:t>
      </w:r>
      <w:r>
        <w:rPr>
          <w:rFonts w:eastAsia="Times New Roman"/>
          <w:color w:val="000000"/>
          <w:lang w:val="it-IT"/>
        </w:rPr>
        <w:t>).</w:t>
      </w:r>
    </w:p>
    <w:p w:rsidR="00E31017" w:rsidRDefault="00FA5B66">
      <w:pPr>
        <w:spacing w:line="278" w:lineRule="exact"/>
        <w:ind w:left="936" w:right="1368" w:firstLine="216"/>
        <w:jc w:val="both"/>
        <w:textAlignment w:val="baseline"/>
        <w:rPr>
          <w:rFonts w:eastAsia="Times New Roman"/>
          <w:color w:val="000000"/>
          <w:spacing w:val="-4"/>
          <w:lang w:val="it-IT"/>
        </w:rPr>
      </w:pPr>
      <w:r>
        <w:pict>
          <v:shapetype id="_x0000_t202" coordsize="21600,21600" o:spt="202" path="m,l,21600r21600,l21600,xe">
            <v:stroke joinstyle="miter"/>
            <v:path gradientshapeok="t" o:connecttype="rect"/>
          </v:shapetype>
          <v:shape id="_x0000_s0" o:spid="_x0000_s1057" type="#_x0000_t202" style="position:absolute;left:0;text-align:left;margin-left:1.45pt;margin-top:368.9pt;width:12.25pt;height:12.2pt;z-index:-251673600;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56" type="#_x0000_t202" style="position:absolute;left:0;text-align:left;margin-left:538.1pt;margin-top:368.9pt;width:12pt;height:12.2pt;z-index:-251672576;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spacing w:val="-4"/>
          <w:lang w:val="it-IT"/>
        </w:rPr>
        <w:t>Si tratta di un complesso reticolo di regole che, per il suo carattere multidisciplinare, oltre che per la rilevanza del suo impatto sui diversi settori strategici della vita indu</w:t>
      </w:r>
      <w:r>
        <w:rPr>
          <w:rFonts w:eastAsia="Times New Roman"/>
          <w:color w:val="000000"/>
          <w:spacing w:val="-4"/>
          <w:lang w:val="it-IT"/>
        </w:rPr>
        <w:softHyphen/>
      </w:r>
      <w:r>
        <w:rPr>
          <w:rFonts w:eastAsia="Times New Roman"/>
          <w:color w:val="000000"/>
          <w:spacing w:val="-4"/>
          <w:lang w:val="it-IT"/>
        </w:rPr>
        <w:t>striale nazionale, suscita un’attenzione del tutto peculiare sulle differenti implicazioni della sua esegesi e della sua attuazione.</w:t>
      </w:r>
    </w:p>
    <w:p w:rsidR="00E31017" w:rsidRDefault="00FA5B66">
      <w:pPr>
        <w:spacing w:before="8" w:line="279" w:lineRule="exact"/>
        <w:ind w:left="936" w:right="1368" w:firstLine="216"/>
        <w:jc w:val="both"/>
        <w:textAlignment w:val="baseline"/>
        <w:rPr>
          <w:rFonts w:eastAsia="Times New Roman"/>
          <w:color w:val="000000"/>
          <w:lang w:val="it-IT"/>
        </w:rPr>
      </w:pPr>
      <w:r>
        <w:rPr>
          <w:rFonts w:eastAsia="Times New Roman"/>
          <w:color w:val="000000"/>
          <w:lang w:val="it-IT"/>
        </w:rPr>
        <w:t>La materia, infatti, può essere studiata con la lente più strettamente giuridica, ma anche con quella diplomatica, industri</w:t>
      </w:r>
      <w:r>
        <w:rPr>
          <w:rFonts w:eastAsia="Times New Roman"/>
          <w:color w:val="000000"/>
          <w:lang w:val="it-IT"/>
        </w:rPr>
        <w:t>ale, geoeconomica, geopolitica, interessando, quindi, una eterogena molteplicità di possibili analisi e prospettazioni.</w:t>
      </w:r>
    </w:p>
    <w:p w:rsidR="00E31017" w:rsidRDefault="00FA5B66">
      <w:pPr>
        <w:spacing w:before="3" w:line="279" w:lineRule="exact"/>
        <w:ind w:left="936" w:right="1368" w:firstLine="216"/>
        <w:jc w:val="both"/>
        <w:textAlignment w:val="baseline"/>
        <w:rPr>
          <w:rFonts w:eastAsia="Times New Roman"/>
          <w:color w:val="000000"/>
          <w:spacing w:val="-3"/>
          <w:lang w:val="it-IT"/>
        </w:rPr>
      </w:pPr>
      <w:r>
        <w:rPr>
          <w:rFonts w:eastAsia="Times New Roman"/>
          <w:color w:val="000000"/>
          <w:spacing w:val="-3"/>
          <w:lang w:val="it-IT"/>
        </w:rPr>
        <w:t xml:space="preserve">La costruzione della regolazione del </w:t>
      </w:r>
      <w:r>
        <w:rPr>
          <w:rFonts w:eastAsia="Times New Roman"/>
          <w:i/>
          <w:color w:val="000000"/>
          <w:spacing w:val="-3"/>
          <w:lang w:val="it-IT"/>
        </w:rPr>
        <w:t xml:space="preserve">golden power </w:t>
      </w:r>
      <w:r>
        <w:rPr>
          <w:rFonts w:eastAsia="Times New Roman"/>
          <w:color w:val="000000"/>
          <w:spacing w:val="-3"/>
          <w:lang w:val="it-IT"/>
        </w:rPr>
        <w:t>si è, inoltre, ormai configurata con una latitudine così ampia che le più rilevanti operazioni economiche e industriali (che implicano investimenti esteri, anche europei) incrociano ed esigono il controllo governativo del loro impatto sulla sicurezza del P</w:t>
      </w:r>
      <w:r>
        <w:rPr>
          <w:rFonts w:eastAsia="Times New Roman"/>
          <w:color w:val="000000"/>
          <w:spacing w:val="-3"/>
          <w:lang w:val="it-IT"/>
        </w:rPr>
        <w:t>aese.</w:t>
      </w:r>
    </w:p>
    <w:p w:rsidR="00E31017" w:rsidRDefault="00FA5B66">
      <w:pPr>
        <w:spacing w:before="3" w:line="279" w:lineRule="exact"/>
        <w:ind w:left="936" w:right="1368" w:firstLine="216"/>
        <w:jc w:val="both"/>
        <w:textAlignment w:val="baseline"/>
        <w:rPr>
          <w:rFonts w:eastAsia="Times New Roman"/>
          <w:color w:val="000000"/>
          <w:lang w:val="it-IT"/>
        </w:rPr>
      </w:pPr>
      <w:r>
        <w:rPr>
          <w:rFonts w:eastAsia="Times New Roman"/>
          <w:color w:val="000000"/>
          <w:lang w:val="it-IT"/>
        </w:rPr>
        <w:t>La dilatazione dell’attenzione per la disciplina resta, quindi, giustificata proprio dalla consistenza della sua incidenza sulle dinamiche degli investimenti esteri.</w:t>
      </w:r>
    </w:p>
    <w:p w:rsidR="00E31017" w:rsidRDefault="00FA5B66">
      <w:pPr>
        <w:spacing w:line="278" w:lineRule="exact"/>
        <w:ind w:left="936" w:right="1368" w:firstLine="216"/>
        <w:jc w:val="both"/>
        <w:textAlignment w:val="baseline"/>
        <w:rPr>
          <w:rFonts w:eastAsia="Times New Roman"/>
          <w:color w:val="000000"/>
          <w:spacing w:val="-6"/>
          <w:lang w:val="it-IT"/>
        </w:rPr>
      </w:pPr>
      <w:r>
        <w:rPr>
          <w:rFonts w:eastAsia="Times New Roman"/>
          <w:color w:val="000000"/>
          <w:spacing w:val="-6"/>
          <w:lang w:val="it-IT"/>
        </w:rPr>
        <w:t xml:space="preserve">La presente Opera è dedicata a una complessa, dettagliata e profonda disamina di tutti gli aspetti della normativa del </w:t>
      </w:r>
      <w:r>
        <w:rPr>
          <w:rFonts w:eastAsia="Times New Roman"/>
          <w:i/>
          <w:color w:val="000000"/>
          <w:spacing w:val="-6"/>
          <w:lang w:val="it-IT"/>
        </w:rPr>
        <w:t>golden power</w:t>
      </w:r>
      <w:r>
        <w:rPr>
          <w:rFonts w:eastAsia="Times New Roman"/>
          <w:color w:val="000000"/>
          <w:spacing w:val="-6"/>
          <w:lang w:val="it-IT"/>
        </w:rPr>
        <w:t>, con l’analisi puntuale ed esauriente del suo assetto, della sua attuazione e delle principali questioni ermeneutiche e appl</w:t>
      </w:r>
      <w:r>
        <w:rPr>
          <w:rFonts w:eastAsia="Times New Roman"/>
          <w:color w:val="000000"/>
          <w:spacing w:val="-6"/>
          <w:lang w:val="it-IT"/>
        </w:rPr>
        <w:t>icative.</w:t>
      </w:r>
    </w:p>
    <w:p w:rsidR="00E31017" w:rsidRDefault="00FA5B66">
      <w:pPr>
        <w:spacing w:before="3" w:line="279" w:lineRule="exact"/>
        <w:ind w:left="936" w:right="1368" w:firstLine="216"/>
        <w:jc w:val="both"/>
        <w:textAlignment w:val="baseline"/>
        <w:rPr>
          <w:rFonts w:eastAsia="Times New Roman"/>
          <w:color w:val="000000"/>
          <w:lang w:val="it-IT"/>
        </w:rPr>
      </w:pPr>
      <w:r>
        <w:rPr>
          <w:rFonts w:eastAsia="Times New Roman"/>
          <w:color w:val="000000"/>
          <w:lang w:val="it-IT"/>
        </w:rPr>
        <w:t>Questa introduzione resta, invece, confinata ad alcune considerazioni di ordine generale sulla genesi della disciplina, sulla sua evoluzione e sui caratteri più significativi della sua declinazione operativa e provvedimentale.</w:t>
      </w:r>
    </w:p>
    <w:p w:rsidR="00E31017" w:rsidRDefault="00FA5B66">
      <w:pPr>
        <w:spacing w:before="8" w:after="341" w:line="279" w:lineRule="exact"/>
        <w:ind w:left="936" w:right="1368" w:firstLine="216"/>
        <w:jc w:val="both"/>
        <w:textAlignment w:val="baseline"/>
        <w:rPr>
          <w:rFonts w:eastAsia="Times New Roman"/>
          <w:color w:val="000000"/>
          <w:lang w:val="it-IT"/>
        </w:rPr>
      </w:pPr>
      <w:r>
        <w:rPr>
          <w:rFonts w:eastAsia="Times New Roman"/>
          <w:color w:val="000000"/>
          <w:lang w:val="it-IT"/>
        </w:rPr>
        <w:t>Per comprendere appi</w:t>
      </w:r>
      <w:r>
        <w:rPr>
          <w:rFonts w:eastAsia="Times New Roman"/>
          <w:color w:val="000000"/>
          <w:lang w:val="it-IT"/>
        </w:rPr>
        <w:t>eno le principali questioni implicate dalla disciplina norma</w:t>
      </w:r>
      <w:r>
        <w:rPr>
          <w:rFonts w:eastAsia="Times New Roman"/>
          <w:color w:val="000000"/>
          <w:lang w:val="it-IT"/>
        </w:rPr>
        <w:softHyphen/>
        <w:t xml:space="preserve">tiva del </w:t>
      </w:r>
      <w:r>
        <w:rPr>
          <w:rFonts w:eastAsia="Times New Roman"/>
          <w:i/>
          <w:color w:val="000000"/>
          <w:lang w:val="it-IT"/>
        </w:rPr>
        <w:t xml:space="preserve">golden power </w:t>
      </w:r>
      <w:r>
        <w:rPr>
          <w:rFonts w:eastAsia="Times New Roman"/>
          <w:color w:val="000000"/>
          <w:lang w:val="it-IT"/>
        </w:rPr>
        <w:t>non può, innanzitutto, trascurarsi una sintetica disamina delle sue origini e delle ragioni fondative.</w:t>
      </w:r>
    </w:p>
    <w:p w:rsidR="0094580E" w:rsidRDefault="00FA5B66">
      <w:pPr>
        <w:tabs>
          <w:tab w:val="left" w:pos="1224"/>
        </w:tabs>
        <w:spacing w:before="60" w:line="188" w:lineRule="exact"/>
        <w:ind w:left="936"/>
        <w:textAlignment w:val="baseline"/>
        <w:rPr>
          <w:rFonts w:eastAsia="Times New Roman"/>
          <w:color w:val="000000"/>
          <w:spacing w:val="-2"/>
          <w:sz w:val="16"/>
          <w:lang w:val="it-IT"/>
        </w:rPr>
      </w:pPr>
      <w:r>
        <w:pict>
          <v:line id="_x0000_s1055" style="position:absolute;left:0;text-align:left;z-index:251641856;mso-position-horizontal-relative:page;mso-position-vertical-relative:page" from="91.45pt,666.5pt" to="460.15pt,666.5pt" strokeweight=".5pt">
            <w10:wrap anchorx="page" anchory="page"/>
          </v:line>
        </w:pict>
      </w:r>
      <w:r>
        <w:rPr>
          <w:rFonts w:eastAsia="Times New Roman"/>
          <w:color w:val="000000"/>
          <w:spacing w:val="-2"/>
          <w:sz w:val="16"/>
          <w:lang w:val="it-IT"/>
        </w:rPr>
        <w:t>*</w:t>
      </w:r>
      <w:r>
        <w:rPr>
          <w:rFonts w:eastAsia="Times New Roman"/>
          <w:color w:val="000000"/>
          <w:spacing w:val="-2"/>
          <w:sz w:val="16"/>
          <w:lang w:val="it-IT"/>
        </w:rPr>
        <w:tab/>
      </w:r>
      <w:r w:rsidR="0094580E">
        <w:rPr>
          <w:rFonts w:eastAsia="Times New Roman"/>
          <w:color w:val="000000"/>
          <w:spacing w:val="-2"/>
          <w:sz w:val="16"/>
          <w:lang w:val="it-IT"/>
        </w:rPr>
        <w:t>Le opinioni espresse, a titolo personale, non vincolano, in alcun modo, l’Amministrazione di appartenenza</w:t>
      </w:r>
    </w:p>
    <w:p w:rsidR="00E31017" w:rsidRDefault="0094580E" w:rsidP="0094580E">
      <w:pPr>
        <w:tabs>
          <w:tab w:val="left" w:pos="1224"/>
        </w:tabs>
        <w:spacing w:before="60" w:line="188" w:lineRule="exact"/>
        <w:ind w:left="936"/>
        <w:textAlignment w:val="baseline"/>
        <w:rPr>
          <w:rFonts w:ascii="Tahoma" w:eastAsia="Tahoma" w:hAnsi="Tahoma"/>
          <w:color w:val="000000"/>
          <w:sz w:val="13"/>
          <w:lang w:val="it-IT"/>
        </w:rPr>
      </w:pP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Pr>
          <w:rFonts w:ascii="Tahoma" w:eastAsia="Tahoma" w:hAnsi="Tahoma"/>
          <w:color w:val="000000"/>
          <w:sz w:val="13"/>
          <w:lang w:val="it-IT"/>
        </w:rPr>
        <w:tab/>
      </w:r>
      <w:r w:rsidR="00FA5B66">
        <w:rPr>
          <w:rFonts w:ascii="Tahoma" w:eastAsia="Tahoma" w:hAnsi="Tahoma"/>
          <w:color w:val="000000"/>
          <w:sz w:val="13"/>
          <w:lang w:val="it-IT"/>
        </w:rPr>
        <w:t>1</w:t>
      </w:r>
    </w:p>
    <w:p w:rsidR="00E31017" w:rsidRDefault="00FA5B66">
      <w:pPr>
        <w:tabs>
          <w:tab w:val="left" w:pos="8352"/>
        </w:tabs>
        <w:spacing w:before="1004" w:line="138" w:lineRule="exact"/>
        <w:textAlignment w:val="baseline"/>
        <w:rPr>
          <w:rFonts w:ascii="Helvetica" w:eastAsia="Helvetica" w:hAnsi="Helvetica"/>
          <w:color w:val="000000"/>
          <w:spacing w:val="4"/>
          <w:sz w:val="12"/>
          <w:lang w:val="it-IT"/>
        </w:rPr>
      </w:pPr>
      <w:r>
        <w:pict>
          <v:shape id="_x0000_s1054" type="#_x0000_t202" style="position:absolute;margin-left:269.75pt;margin-top:736.3pt;width:12.25pt;height:12.25pt;z-index:-251671552;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pacing w:val="4"/>
          <w:sz w:val="12"/>
          <w:lang w:val="it-IT"/>
        </w:rPr>
        <w:t>GOLDEN POWER_BOOK.indb 1</w:t>
      </w:r>
      <w:r>
        <w:rPr>
          <w:rFonts w:ascii="Helvetica" w:eastAsia="Helvetica" w:hAnsi="Helvetica"/>
          <w:color w:val="000000"/>
          <w:spacing w:val="4"/>
          <w:sz w:val="12"/>
          <w:lang w:val="it-IT"/>
        </w:rPr>
        <w:tab/>
        <w:t>13.11.23 15:57</w:t>
      </w:r>
    </w:p>
    <w:p w:rsidR="00E31017" w:rsidRDefault="00E31017">
      <w:pPr>
        <w:sectPr w:rsidR="00E31017">
          <w:pgSz w:w="11035" w:h="15000"/>
          <w:pgMar w:top="20" w:right="413" w:bottom="0" w:left="902" w:header="720" w:footer="720" w:gutter="0"/>
          <w:cols w:space="720"/>
        </w:sectPr>
      </w:pPr>
    </w:p>
    <w:p w:rsidR="00E31017" w:rsidRDefault="00FA5B66">
      <w:pPr>
        <w:spacing w:line="150" w:lineRule="exact"/>
        <w:ind w:left="1080"/>
        <w:textAlignment w:val="baseline"/>
        <w:rPr>
          <w:rFonts w:ascii="Arial" w:eastAsia="Arial" w:hAnsi="Arial"/>
          <w:color w:val="000000"/>
          <w:sz w:val="13"/>
          <w:lang w:val="it-IT"/>
        </w:rPr>
      </w:pPr>
      <w:r>
        <w:lastRenderedPageBreak/>
        <w:pict>
          <v:shape id="_x0000_s1053" type="#_x0000_t202" style="position:absolute;left:0;text-align:left;margin-left:35.75pt;margin-top:1pt;width:486pt;height:63.4pt;z-index:-251670528;mso-wrap-distance-left:0;mso-wrap-distance-right:0;mso-position-horizontal-relative:page;mso-position-vertical-relative:page" filled="f" stroked="f">
            <v:textbox inset="0,0,0,0">
              <w:txbxContent>
                <w:p w:rsidR="00E31017" w:rsidRDefault="00FA5B66">
                  <w:pPr>
                    <w:spacing w:before="9" w:after="1014" w:line="245" w:lineRule="exact"/>
                    <w:ind w:left="4680" w:right="4795"/>
                    <w:textAlignment w:val="baseline"/>
                  </w:pPr>
                  <w:r>
                    <w:rPr>
                      <w:noProof/>
                      <w:lang w:val="it-IT" w:eastAsia="it-IT"/>
                    </w:rPr>
                    <w:drawing>
                      <wp:inline distT="0" distB="0" distL="0" distR="0">
                        <wp:extent cx="155575" cy="15557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z w:val="13"/>
          <w:lang w:val="it-IT"/>
        </w:rPr>
        <w:t>INTRODUZIONE</w:t>
      </w:r>
    </w:p>
    <w:p w:rsidR="00E31017" w:rsidRDefault="00FA5B66">
      <w:pPr>
        <w:spacing w:before="337" w:line="279" w:lineRule="exact"/>
        <w:ind w:left="1080" w:right="1224" w:firstLine="288"/>
        <w:jc w:val="both"/>
        <w:textAlignment w:val="baseline"/>
        <w:rPr>
          <w:rFonts w:eastAsia="Times New Roman"/>
          <w:color w:val="000000"/>
          <w:spacing w:val="-1"/>
          <w:lang w:val="it-IT"/>
        </w:rPr>
      </w:pPr>
      <w:r>
        <w:rPr>
          <w:rFonts w:eastAsia="Times New Roman"/>
          <w:color w:val="000000"/>
          <w:spacing w:val="-1"/>
          <w:lang w:val="it-IT"/>
        </w:rPr>
        <w:t xml:space="preserve">Dall’analisi della genesi del </w:t>
      </w:r>
      <w:r>
        <w:rPr>
          <w:rFonts w:eastAsia="Times New Roman"/>
          <w:i/>
          <w:color w:val="000000"/>
          <w:spacing w:val="-1"/>
          <w:lang w:val="it-IT"/>
        </w:rPr>
        <w:t xml:space="preserve">golden power </w:t>
      </w:r>
      <w:r>
        <w:rPr>
          <w:rFonts w:eastAsia="Times New Roman"/>
          <w:color w:val="000000"/>
          <w:spacing w:val="-1"/>
          <w:lang w:val="it-IT"/>
        </w:rPr>
        <w:t>possono (anzi: debbono) trarsi, infatti, imprescindibili coordinate per lo scrutinio della normativa che ne è scaturita.</w:t>
      </w:r>
    </w:p>
    <w:p w:rsidR="00E31017" w:rsidRDefault="00FA5B66">
      <w:pPr>
        <w:spacing w:before="9"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 xml:space="preserve">L’originaria regolazione della </w:t>
      </w:r>
      <w:r>
        <w:rPr>
          <w:rFonts w:eastAsia="Times New Roman"/>
          <w:i/>
          <w:color w:val="000000"/>
          <w:spacing w:val="-4"/>
          <w:lang w:val="it-IT"/>
        </w:rPr>
        <w:t xml:space="preserve">golden share </w:t>
      </w:r>
      <w:r>
        <w:rPr>
          <w:rFonts w:eastAsia="Times New Roman"/>
          <w:color w:val="000000"/>
          <w:spacing w:val="-4"/>
          <w:lang w:val="it-IT"/>
        </w:rPr>
        <w:t xml:space="preserve">(D.L. 31 maggio 1994, n. 332), che mirava a difendere gli interessi strategici dello Stato </w:t>
      </w:r>
      <w:r>
        <w:rPr>
          <w:rFonts w:eastAsia="Times New Roman"/>
          <w:color w:val="000000"/>
          <w:spacing w:val="-4"/>
          <w:lang w:val="it-IT"/>
        </w:rPr>
        <w:t>mediante l’attribuzione a quest’ultimo, quale azionista di società destinate alla privatizzazione, di speciali diritti di governo societario (di gradimento e di veto in relazione all’assunzione delle decisioni più rile</w:t>
      </w:r>
      <w:r>
        <w:rPr>
          <w:rFonts w:eastAsia="Times New Roman"/>
          <w:color w:val="000000"/>
          <w:spacing w:val="-4"/>
          <w:lang w:val="it-IT"/>
        </w:rPr>
        <w:softHyphen/>
        <w:t>vanti), è stata giudicata dalla Corte</w:t>
      </w:r>
      <w:r>
        <w:rPr>
          <w:rFonts w:eastAsia="Times New Roman"/>
          <w:color w:val="000000"/>
          <w:spacing w:val="-4"/>
          <w:lang w:val="it-IT"/>
        </w:rPr>
        <w:t xml:space="preserve"> di giustizia UE (si veda, tra le altre, la decisione del 14 marzo 2000, C-54/99, Eglise de Scientologie) lesiva delle libertà riconosciute dal Trattato di fondazione dell’Unione europea (all’epoca Trattato CE) e, in particolare, della libertà di stabilime</w:t>
      </w:r>
      <w:r>
        <w:rPr>
          <w:rFonts w:eastAsia="Times New Roman"/>
          <w:color w:val="000000"/>
          <w:spacing w:val="-4"/>
          <w:lang w:val="it-IT"/>
        </w:rPr>
        <w:t>nto per il carattere indeterminato dei presupposti di esercizio dei predetti diritti.</w:t>
      </w:r>
    </w:p>
    <w:p w:rsidR="00E31017" w:rsidRDefault="00FA5B66">
      <w:pPr>
        <w:spacing w:before="2"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In particolare, è stata rilevata, nella normativa sulla </w:t>
      </w:r>
      <w:r>
        <w:rPr>
          <w:rFonts w:eastAsia="Times New Roman"/>
          <w:i/>
          <w:color w:val="000000"/>
          <w:lang w:val="it-IT"/>
        </w:rPr>
        <w:t>golden share</w:t>
      </w:r>
      <w:r>
        <w:rPr>
          <w:rFonts w:eastAsia="Times New Roman"/>
          <w:color w:val="000000"/>
          <w:lang w:val="it-IT"/>
        </w:rPr>
        <w:t>, l’assenza del</w:t>
      </w:r>
      <w:r>
        <w:rPr>
          <w:rFonts w:eastAsia="Times New Roman"/>
          <w:color w:val="000000"/>
          <w:lang w:val="it-IT"/>
        </w:rPr>
        <w:softHyphen/>
        <w:t>la previsione dei presupposti e dei criteri di esercizio dei diritti speciali in manie</w:t>
      </w:r>
      <w:r>
        <w:rPr>
          <w:rFonts w:eastAsia="Times New Roman"/>
          <w:color w:val="000000"/>
          <w:lang w:val="it-IT"/>
        </w:rPr>
        <w:t>ra sufficientemente precisa e oggettiva da consentire agli investitori la conoscenza e la prevedibilità delle relative decisioni (da parte dello Stato azionista).</w:t>
      </w:r>
    </w:p>
    <w:p w:rsidR="00E31017" w:rsidRDefault="00FA5B66">
      <w:pPr>
        <w:spacing w:before="7"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In altri termini, è stato precisato, con valenza ancora attuale, che la compatibilità con le </w:t>
      </w:r>
      <w:r>
        <w:rPr>
          <w:rFonts w:eastAsia="Times New Roman"/>
          <w:color w:val="000000"/>
          <w:lang w:val="it-IT"/>
        </w:rPr>
        <w:t>libertà sancite nel Trattato di una disciplina nazionale che ne condizioni il pieno esercizio esige, tra l’altro, la certezza giuridica e la prevedibilità dell’applica-zione di limiti o veti.</w:t>
      </w:r>
    </w:p>
    <w:p w:rsidR="00E31017" w:rsidRDefault="00FA5B66">
      <w:pPr>
        <w:spacing w:before="2" w:line="279" w:lineRule="exact"/>
        <w:ind w:left="1080" w:right="1224" w:firstLine="288"/>
        <w:jc w:val="both"/>
        <w:textAlignment w:val="baseline"/>
        <w:rPr>
          <w:rFonts w:eastAsia="Times New Roman"/>
          <w:color w:val="000000"/>
          <w:spacing w:val="-4"/>
          <w:lang w:val="it-IT"/>
        </w:rPr>
      </w:pPr>
      <w:r>
        <w:pict>
          <v:shape id="_x0000_s1052" type="#_x0000_t202" style="position:absolute;left:0;text-align:left;margin-left:1.45pt;margin-top:368.9pt;width:12.25pt;height:12.2pt;z-index:-251669504;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51" type="#_x0000_t202" style="position:absolute;left:0;text-align:left;margin-left:538.1pt;margin-top:368.9pt;width:12pt;height:12.2pt;z-index:-251668480;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spacing w:val="-4"/>
          <w:lang w:val="it-IT"/>
        </w:rPr>
        <w:t xml:space="preserve">Non solo, ma la Corte di Lussemburgo ha chiarito, anche, che le limitazioni alla libera circolazione dei capitali e alla libertà di stabilimento devono obbedire a motivi imperativi di interesse generale, non essendo sufficienti giustificazioni attinenti a </w:t>
      </w:r>
      <w:r>
        <w:rPr>
          <w:rFonts w:eastAsia="Times New Roman"/>
          <w:color w:val="000000"/>
          <w:spacing w:val="-4"/>
          <w:lang w:val="it-IT"/>
        </w:rPr>
        <w:t>profili di carattere meramente economico o commerciale.</w:t>
      </w:r>
    </w:p>
    <w:p w:rsidR="00E31017" w:rsidRDefault="00FA5B66">
      <w:pPr>
        <w:spacing w:before="6" w:line="279" w:lineRule="exact"/>
        <w:ind w:left="1080" w:right="1224" w:firstLine="288"/>
        <w:jc w:val="both"/>
        <w:textAlignment w:val="baseline"/>
        <w:rPr>
          <w:rFonts w:eastAsia="Times New Roman"/>
          <w:color w:val="000000"/>
          <w:spacing w:val="-6"/>
          <w:lang w:val="it-IT"/>
        </w:rPr>
      </w:pPr>
      <w:r>
        <w:rPr>
          <w:rFonts w:eastAsia="Times New Roman"/>
          <w:color w:val="000000"/>
          <w:spacing w:val="-6"/>
          <w:lang w:val="it-IT"/>
        </w:rPr>
        <w:t>Il medesimo approccio è rintracciabile nelle Comunicazioni della Commissione eu</w:t>
      </w:r>
      <w:r>
        <w:rPr>
          <w:rFonts w:eastAsia="Times New Roman"/>
          <w:color w:val="000000"/>
          <w:spacing w:val="-6"/>
          <w:lang w:val="it-IT"/>
        </w:rPr>
        <w:softHyphen/>
      </w:r>
      <w:r>
        <w:rPr>
          <w:rFonts w:eastAsia="Times New Roman"/>
          <w:color w:val="000000"/>
          <w:spacing w:val="-6"/>
          <w:lang w:val="it-IT"/>
        </w:rPr>
        <w:t>ropea del 2010 e del 2017 sugli investimenti diretti esteri (IDE), là dove è stata, dapprima (nel 2010), sancita l’importanza di questi ultimi per la crescita economica dell’Unione e, poi (nel 2017), rilevata l’esigenza di proteggere gli interessi strategi</w:t>
      </w:r>
      <w:r>
        <w:rPr>
          <w:rFonts w:eastAsia="Times New Roman"/>
          <w:color w:val="000000"/>
          <w:spacing w:val="-6"/>
          <w:lang w:val="it-IT"/>
        </w:rPr>
        <w:t>ci da investimen</w:t>
      </w:r>
      <w:r>
        <w:rPr>
          <w:rFonts w:eastAsia="Times New Roman"/>
          <w:color w:val="000000"/>
          <w:spacing w:val="-6"/>
          <w:lang w:val="it-IT"/>
        </w:rPr>
        <w:softHyphen/>
        <w:t>ti, non meramente commerciali, capaci di minacciare interessi essenziali quali quelli relativi alla sicurezza, alla difesa, a infrastrutture critiche o a informazioni sensibili.</w:t>
      </w:r>
    </w:p>
    <w:p w:rsidR="00E31017" w:rsidRDefault="00FA5B66">
      <w:pPr>
        <w:spacing w:before="6"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Dall’analisi dei pronunciamenti della Corte di giustizia UE e</w:t>
      </w:r>
      <w:r>
        <w:rPr>
          <w:rFonts w:eastAsia="Times New Roman"/>
          <w:color w:val="000000"/>
          <w:spacing w:val="-4"/>
          <w:lang w:val="it-IT"/>
        </w:rPr>
        <w:t xml:space="preserve"> della Commissione europea può, quindi, trarsi il convincimento che la compatibilità unionale della norma</w:t>
      </w:r>
      <w:r>
        <w:rPr>
          <w:rFonts w:eastAsia="Times New Roman"/>
          <w:color w:val="000000"/>
          <w:spacing w:val="-4"/>
          <w:lang w:val="it-IT"/>
        </w:rPr>
        <w:softHyphen/>
        <w:t xml:space="preserve">tiva nazionale sulle limitazioni agli investimenti esteri postula che le condizioni siano definite in modo sufficientemente oggettivo, che rispondano </w:t>
      </w:r>
      <w:r>
        <w:rPr>
          <w:rFonts w:eastAsia="Times New Roman"/>
          <w:color w:val="000000"/>
          <w:spacing w:val="-4"/>
          <w:lang w:val="it-IT"/>
        </w:rPr>
        <w:t>all’esigenza di proteggere interessi vitali dello Stato, che l’esercizio dei poteri limitativi obbedisca a canoni pre</w:t>
      </w:r>
      <w:r>
        <w:rPr>
          <w:rFonts w:eastAsia="Times New Roman"/>
          <w:color w:val="000000"/>
          <w:spacing w:val="-4"/>
          <w:lang w:val="it-IT"/>
        </w:rPr>
        <w:softHyphen/>
        <w:t>vedibili e proporzionati e che la potestà di veto resti immune da profili di arbitrarietà (o incontrollabile discrezionalità).</w:t>
      </w:r>
    </w:p>
    <w:p w:rsidR="00E31017" w:rsidRDefault="00FA5B66">
      <w:pPr>
        <w:spacing w:before="16"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In ossequio</w:t>
      </w:r>
      <w:r>
        <w:rPr>
          <w:rFonts w:eastAsia="Times New Roman"/>
          <w:color w:val="000000"/>
          <w:spacing w:val="-4"/>
          <w:lang w:val="it-IT"/>
        </w:rPr>
        <w:t xml:space="preserve"> a tali principi, è stato emanato il D.L. 15 marzo 2012, n. 21, che, abban</w:t>
      </w:r>
      <w:r>
        <w:rPr>
          <w:rFonts w:eastAsia="Times New Roman"/>
          <w:color w:val="000000"/>
          <w:spacing w:val="-4"/>
          <w:lang w:val="it-IT"/>
        </w:rPr>
        <w:softHyphen/>
        <w:t>donando lo schema dei diritti speciali dello Stato nel governo societario, ha introdot</w:t>
      </w:r>
      <w:r>
        <w:rPr>
          <w:rFonts w:eastAsia="Times New Roman"/>
          <w:color w:val="000000"/>
          <w:spacing w:val="-4"/>
          <w:lang w:val="it-IT"/>
        </w:rPr>
        <w:softHyphen/>
        <w:t>to il diverso modello pubblicistico di un controllo amministrativo sugli investimenti, mediant</w:t>
      </w:r>
      <w:r>
        <w:rPr>
          <w:rFonts w:eastAsia="Times New Roman"/>
          <w:color w:val="000000"/>
          <w:spacing w:val="-4"/>
          <w:lang w:val="it-IT"/>
        </w:rPr>
        <w:t>e la costruzione di un nuovo regime di poteri speciali (che possono giungere fino al veto dell’operazione) attributi al Governo nello scrutinio della pericolosità degli investimenti relativi a settori strategici.</w:t>
      </w:r>
    </w:p>
    <w:p w:rsidR="00E31017" w:rsidRDefault="00FA5B66">
      <w:pPr>
        <w:spacing w:before="44" w:line="186" w:lineRule="exact"/>
        <w:ind w:left="360"/>
        <w:textAlignment w:val="baseline"/>
        <w:rPr>
          <w:rFonts w:ascii="Tahoma" w:eastAsia="Tahoma" w:hAnsi="Tahoma"/>
          <w:color w:val="000000"/>
          <w:sz w:val="16"/>
          <w:lang w:val="it-IT"/>
        </w:rPr>
      </w:pPr>
      <w:r>
        <w:rPr>
          <w:rFonts w:ascii="Tahoma" w:eastAsia="Tahoma" w:hAnsi="Tahoma"/>
          <w:color w:val="000000"/>
          <w:sz w:val="16"/>
          <w:lang w:val="it-IT"/>
        </w:rPr>
        <w:t>2</w:t>
      </w:r>
    </w:p>
    <w:p w:rsidR="00E31017" w:rsidRDefault="00FA5B66">
      <w:pPr>
        <w:tabs>
          <w:tab w:val="right" w:pos="9576"/>
        </w:tabs>
        <w:spacing w:before="998" w:line="138" w:lineRule="exact"/>
        <w:ind w:left="144"/>
        <w:textAlignment w:val="baseline"/>
        <w:rPr>
          <w:rFonts w:ascii="Helvetica" w:eastAsia="Helvetica" w:hAnsi="Helvetica"/>
          <w:color w:val="000000"/>
          <w:sz w:val="12"/>
          <w:lang w:val="it-IT"/>
        </w:rPr>
      </w:pPr>
      <w:r>
        <w:pict>
          <v:shape id="_x0000_s1050" type="#_x0000_t202" style="position:absolute;left:0;text-align:left;margin-left:269.75pt;margin-top:736.3pt;width:12.25pt;height:12.25pt;z-index:-251667456;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GOLDEN POWER_BOOK.indb 2</w:t>
      </w:r>
      <w:r>
        <w:rPr>
          <w:rFonts w:ascii="Helvetica" w:eastAsia="Helvetica" w:hAnsi="Helvetica"/>
          <w:color w:val="000000"/>
          <w:sz w:val="12"/>
          <w:lang w:val="it-IT"/>
        </w:rPr>
        <w:tab/>
        <w:t>13.11.23 15</w:t>
      </w:r>
      <w:r>
        <w:rPr>
          <w:rFonts w:ascii="Helvetica" w:eastAsia="Helvetica" w:hAnsi="Helvetica"/>
          <w:color w:val="000000"/>
          <w:sz w:val="12"/>
          <w:lang w:val="it-IT"/>
        </w:rPr>
        <w:t>:57</w:t>
      </w:r>
    </w:p>
    <w:p w:rsidR="00E31017" w:rsidRDefault="00E31017">
      <w:pPr>
        <w:sectPr w:rsidR="00E31017">
          <w:pgSz w:w="11035" w:h="15000"/>
          <w:pgMar w:top="20" w:right="600" w:bottom="0" w:left="715" w:header="720" w:footer="720" w:gutter="0"/>
          <w:cols w:space="720"/>
        </w:sectPr>
      </w:pPr>
    </w:p>
    <w:p w:rsidR="00E31017" w:rsidRDefault="00FA5B66">
      <w:pPr>
        <w:spacing w:line="161" w:lineRule="exact"/>
        <w:ind w:left="7416"/>
        <w:textAlignment w:val="baseline"/>
        <w:rPr>
          <w:rFonts w:ascii="Arial" w:eastAsia="Arial" w:hAnsi="Arial"/>
          <w:color w:val="000000"/>
          <w:spacing w:val="-4"/>
          <w:sz w:val="14"/>
          <w:lang w:val="it-IT"/>
        </w:rPr>
      </w:pPr>
      <w:r>
        <w:lastRenderedPageBreak/>
        <w:pict>
          <v:shape id="_x0000_s1049" type="#_x0000_t202" style="position:absolute;left:0;text-align:left;margin-left:35.75pt;margin-top:1pt;width:486pt;height:62.95pt;z-index:-251666432;mso-wrap-distance-left:0;mso-wrap-distance-right:0;mso-position-horizontal-relative:page;mso-position-vertical-relative:page" filled="f" stroked="f">
            <v:textbox inset="0,0,0,0">
              <w:txbxContent>
                <w:p w:rsidR="00E31017" w:rsidRDefault="00FA5B66">
                  <w:pPr>
                    <w:spacing w:before="9" w:after="1005" w:line="245" w:lineRule="exact"/>
                    <w:ind w:left="4680" w:right="4795"/>
                    <w:textAlignment w:val="baseline"/>
                  </w:pPr>
                  <w:r>
                    <w:rPr>
                      <w:noProof/>
                      <w:lang w:val="it-IT" w:eastAsia="it-IT"/>
                    </w:rPr>
                    <w:drawing>
                      <wp:inline distT="0" distB="0" distL="0" distR="0">
                        <wp:extent cx="155575" cy="15557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pacing w:val="-4"/>
          <w:sz w:val="14"/>
          <w:lang w:val="it-IT"/>
        </w:rPr>
        <w:t>INTRODUZIONE</w:t>
      </w:r>
    </w:p>
    <w:p w:rsidR="00E31017" w:rsidRDefault="00FA5B66">
      <w:pPr>
        <w:spacing w:before="340"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La disciplina introdotta nel 2012 sana il </w:t>
      </w:r>
      <w:r>
        <w:rPr>
          <w:rFonts w:eastAsia="Times New Roman"/>
          <w:i/>
          <w:color w:val="000000"/>
          <w:lang w:val="it-IT"/>
        </w:rPr>
        <w:t xml:space="preserve">vulnus </w:t>
      </w:r>
      <w:r>
        <w:rPr>
          <w:rFonts w:eastAsia="Times New Roman"/>
          <w:color w:val="000000"/>
          <w:lang w:val="it-IT"/>
        </w:rPr>
        <w:t xml:space="preserve">riscontrato a carico della normativa sulla </w:t>
      </w:r>
      <w:r>
        <w:rPr>
          <w:rFonts w:eastAsia="Times New Roman"/>
          <w:i/>
          <w:color w:val="000000"/>
          <w:lang w:val="it-IT"/>
        </w:rPr>
        <w:t xml:space="preserve">golden share </w:t>
      </w:r>
      <w:r>
        <w:rPr>
          <w:rFonts w:eastAsia="Times New Roman"/>
          <w:color w:val="000000"/>
          <w:lang w:val="it-IT"/>
        </w:rPr>
        <w:t>sia definendo in maniera esatta i confini dell’ambito di applicazio</w:t>
      </w:r>
      <w:r>
        <w:rPr>
          <w:rFonts w:eastAsia="Times New Roman"/>
          <w:color w:val="000000"/>
          <w:lang w:val="it-IT"/>
        </w:rPr>
        <w:softHyphen/>
      </w:r>
      <w:r>
        <w:rPr>
          <w:rFonts w:eastAsia="Times New Roman"/>
          <w:color w:val="000000"/>
          <w:lang w:val="it-IT"/>
        </w:rPr>
        <w:t>ne della nuova disciplina del controllo sugli investimenti esteri, sia regolando pre</w:t>
      </w:r>
      <w:r>
        <w:rPr>
          <w:rFonts w:eastAsia="Times New Roman"/>
          <w:color w:val="000000"/>
          <w:lang w:val="it-IT"/>
        </w:rPr>
        <w:softHyphen/>
        <w:t>supposti, procedure, opzioni provvedimentali e criteri di esercizio dei poteri speciali attribuiti al Governo.</w:t>
      </w:r>
    </w:p>
    <w:p w:rsidR="00E31017" w:rsidRDefault="00FA5B66">
      <w:pPr>
        <w:spacing w:before="2"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 xml:space="preserve">Ne risulta una nuova regolazione delle potestà pubbliche di </w:t>
      </w:r>
      <w:r>
        <w:rPr>
          <w:rFonts w:eastAsia="Times New Roman"/>
          <w:i/>
          <w:color w:val="000000"/>
          <w:spacing w:val="-4"/>
          <w:lang w:val="it-IT"/>
        </w:rPr>
        <w:t xml:space="preserve">screening </w:t>
      </w:r>
      <w:r>
        <w:rPr>
          <w:rFonts w:eastAsia="Times New Roman"/>
          <w:color w:val="000000"/>
          <w:spacing w:val="-4"/>
          <w:lang w:val="it-IT"/>
        </w:rPr>
        <w:t>degli investi</w:t>
      </w:r>
      <w:r>
        <w:rPr>
          <w:rFonts w:eastAsia="Times New Roman"/>
          <w:color w:val="000000"/>
          <w:spacing w:val="-4"/>
          <w:lang w:val="it-IT"/>
        </w:rPr>
        <w:softHyphen/>
      </w:r>
      <w:r>
        <w:rPr>
          <w:rFonts w:eastAsia="Times New Roman"/>
          <w:color w:val="000000"/>
          <w:spacing w:val="-4"/>
          <w:lang w:val="it-IT"/>
        </w:rPr>
        <w:t>menti esteri in specifici settori strategici, che tenta di coniugare le esigenze di sicurezza giuridica postulate dalla giurisprudenza europea, con le istanze di garanzia delle libertà di mercato e di circolazione dei capitali e, ancora, con le necessità d</w:t>
      </w:r>
      <w:r>
        <w:rPr>
          <w:rFonts w:eastAsia="Times New Roman"/>
          <w:color w:val="000000"/>
          <w:spacing w:val="-4"/>
          <w:lang w:val="it-IT"/>
        </w:rPr>
        <w:t>i protezione degli interessi vitali dello Stato.</w:t>
      </w:r>
    </w:p>
    <w:p w:rsidR="00E31017" w:rsidRDefault="00FA5B66">
      <w:pPr>
        <w:spacing w:before="10"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L’assetto regolativo del 2012 (come successivamente integrato e modificato), diffu</w:t>
      </w:r>
      <w:r>
        <w:rPr>
          <w:rFonts w:eastAsia="Times New Roman"/>
          <w:color w:val="000000"/>
          <w:spacing w:val="-4"/>
          <w:lang w:val="it-IT"/>
        </w:rPr>
        <w:softHyphen/>
        <w:t>samente analizzato nel corpo dell’Opera e qui meramente accennato, ha ricercato la definizione di un punto di equilibrio tra</w:t>
      </w:r>
      <w:r>
        <w:rPr>
          <w:rFonts w:eastAsia="Times New Roman"/>
          <w:color w:val="000000"/>
          <w:spacing w:val="-4"/>
          <w:lang w:val="it-IT"/>
        </w:rPr>
        <w:t xml:space="preserve"> le diverse (e, per certi versi, opposte) esigenze sopra segnalate per mezzo di una codificazione, in ossequio al principio di legalità, delle condizioni e delle forme del valido e corretto esercizio dei poteri speciali, consegnando all’autorità titolare d</w:t>
      </w:r>
      <w:r>
        <w:rPr>
          <w:rFonts w:eastAsia="Times New Roman"/>
          <w:color w:val="000000"/>
          <w:spacing w:val="-4"/>
          <w:lang w:val="it-IT"/>
        </w:rPr>
        <w:t>i questi ultimi gli strumenti per un esercizio proporzionato, non discriminatorio, controllabile e giustiziabile delle potestà di conformazione o interdi</w:t>
      </w:r>
      <w:r>
        <w:rPr>
          <w:rFonts w:eastAsia="Times New Roman"/>
          <w:color w:val="000000"/>
          <w:spacing w:val="-4"/>
          <w:lang w:val="it-IT"/>
        </w:rPr>
        <w:softHyphen/>
        <w:t>zione delle operazioni scrutinate.</w:t>
      </w:r>
    </w:p>
    <w:p w:rsidR="00E31017" w:rsidRDefault="00FA5B66">
      <w:pPr>
        <w:spacing w:before="7" w:line="279" w:lineRule="exact"/>
        <w:ind w:left="1080" w:right="1224" w:firstLine="288"/>
        <w:jc w:val="both"/>
        <w:textAlignment w:val="baseline"/>
        <w:rPr>
          <w:rFonts w:eastAsia="Times New Roman"/>
          <w:color w:val="000000"/>
          <w:lang w:val="it-IT"/>
        </w:rPr>
      </w:pPr>
      <w:r>
        <w:pict>
          <v:shape id="_x0000_s1048" type="#_x0000_t202" style="position:absolute;left:0;text-align:left;margin-left:1.45pt;margin-top:368.9pt;width:12.25pt;height:12.2pt;z-index:-251665408;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47" type="#_x0000_t202" style="position:absolute;left:0;text-align:left;margin-left:538.1pt;margin-top:368.9pt;width:12pt;height:12.2pt;z-index:-251664384;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lang w:val="it-IT"/>
        </w:rPr>
        <w:t xml:space="preserve">Se ne ricava un </w:t>
      </w:r>
      <w:r>
        <w:rPr>
          <w:rFonts w:eastAsia="Times New Roman"/>
          <w:i/>
          <w:color w:val="000000"/>
          <w:lang w:val="it-IT"/>
        </w:rPr>
        <w:t xml:space="preserve">set </w:t>
      </w:r>
      <w:r>
        <w:rPr>
          <w:rFonts w:eastAsia="Times New Roman"/>
          <w:color w:val="000000"/>
          <w:lang w:val="it-IT"/>
        </w:rPr>
        <w:t>di regole procedurali che, se ben amm</w:t>
      </w:r>
      <w:r>
        <w:rPr>
          <w:rFonts w:eastAsia="Times New Roman"/>
          <w:color w:val="000000"/>
          <w:lang w:val="it-IT"/>
        </w:rPr>
        <w:t>inistrato, consente al Go</w:t>
      </w:r>
      <w:r>
        <w:rPr>
          <w:rFonts w:eastAsia="Times New Roman"/>
          <w:color w:val="000000"/>
          <w:lang w:val="it-IT"/>
        </w:rPr>
        <w:softHyphen/>
        <w:t>verno di impedire, limitare o condizionare operazioni capaci di minacciare, in maniera concreta e grave, la sicurezza dello Stato nei settori definiti strategici senza, tuttavia, nuocere al mercato e alla libera circolazione dei c</w:t>
      </w:r>
      <w:r>
        <w:rPr>
          <w:rFonts w:eastAsia="Times New Roman"/>
          <w:color w:val="000000"/>
          <w:lang w:val="it-IT"/>
        </w:rPr>
        <w:t>apitali.</w:t>
      </w:r>
    </w:p>
    <w:p w:rsidR="00E31017" w:rsidRDefault="00FA5B66">
      <w:pPr>
        <w:spacing w:before="3"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La sola esistenza di una disciplina </w:t>
      </w:r>
      <w:r>
        <w:rPr>
          <w:rFonts w:eastAsia="Times New Roman"/>
          <w:i/>
          <w:color w:val="000000"/>
          <w:lang w:val="it-IT"/>
        </w:rPr>
        <w:t>golden power</w:t>
      </w:r>
      <w:r>
        <w:rPr>
          <w:rFonts w:eastAsia="Times New Roman"/>
          <w:color w:val="000000"/>
          <w:lang w:val="it-IT"/>
        </w:rPr>
        <w:t>, infatti, per quanto equilibrata sia la sua costruzione giuridica, espone (in astratto) le libertà economiche alla minaccia di uso distorto o sproporzionato dei poteri di interdizione.</w:t>
      </w:r>
    </w:p>
    <w:p w:rsidR="00E31017" w:rsidRDefault="00FA5B66">
      <w:pPr>
        <w:spacing w:before="3" w:line="279" w:lineRule="exact"/>
        <w:ind w:left="1080" w:right="1224" w:firstLine="288"/>
        <w:jc w:val="both"/>
        <w:textAlignment w:val="baseline"/>
        <w:rPr>
          <w:rFonts w:eastAsia="Times New Roman"/>
          <w:color w:val="000000"/>
          <w:lang w:val="it-IT"/>
        </w:rPr>
      </w:pPr>
      <w:r>
        <w:rPr>
          <w:rFonts w:eastAsia="Times New Roman"/>
          <w:color w:val="000000"/>
          <w:lang w:val="it-IT"/>
        </w:rPr>
        <w:t>Un corollario</w:t>
      </w:r>
      <w:r>
        <w:rPr>
          <w:rFonts w:eastAsia="Times New Roman"/>
          <w:color w:val="000000"/>
          <w:lang w:val="it-IT"/>
        </w:rPr>
        <w:t xml:space="preserve"> di tale pericolo è rintracciabile nel conseguente potenziale effetto di disincentivo agli investimenti esteri, con grave nocumento degli interessi economici del sistema all’apporto di fonti di finanziamento straniere.</w:t>
      </w:r>
    </w:p>
    <w:p w:rsidR="00E31017" w:rsidRDefault="00FA5B66">
      <w:pPr>
        <w:spacing w:before="29" w:line="251" w:lineRule="exact"/>
        <w:ind w:left="1368"/>
        <w:jc w:val="both"/>
        <w:textAlignment w:val="baseline"/>
        <w:rPr>
          <w:rFonts w:eastAsia="Times New Roman"/>
          <w:color w:val="000000"/>
          <w:spacing w:val="-3"/>
          <w:lang w:val="it-IT"/>
        </w:rPr>
      </w:pPr>
      <w:r>
        <w:rPr>
          <w:rFonts w:eastAsia="Times New Roman"/>
          <w:color w:val="000000"/>
          <w:spacing w:val="-3"/>
          <w:lang w:val="it-IT"/>
        </w:rPr>
        <w:t>La corretta amministrazione dei poteri speciali, nondimeno, scongiura questi rischi.</w:t>
      </w:r>
    </w:p>
    <w:p w:rsidR="00E31017" w:rsidRDefault="00FA5B66">
      <w:pPr>
        <w:spacing w:before="2" w:line="279" w:lineRule="exact"/>
        <w:ind w:left="1080" w:right="1224" w:firstLine="288"/>
        <w:jc w:val="both"/>
        <w:textAlignment w:val="baseline"/>
        <w:rPr>
          <w:rFonts w:eastAsia="Times New Roman"/>
          <w:color w:val="000000"/>
          <w:spacing w:val="-5"/>
          <w:lang w:val="it-IT"/>
        </w:rPr>
      </w:pPr>
      <w:r>
        <w:rPr>
          <w:rFonts w:eastAsia="Times New Roman"/>
          <w:color w:val="000000"/>
          <w:spacing w:val="-5"/>
          <w:lang w:val="it-IT"/>
        </w:rPr>
        <w:t>I presidi procedimentali stabiliti dalla legge, unitamente a una consolidata prassi applicativa e alla giustiziabilità delle decisioni, risultano idonei ad evitare il pericolo che i poteri speciali vengano esercitati (al netto della patologia) sulla base d</w:t>
      </w:r>
      <w:r>
        <w:rPr>
          <w:rFonts w:eastAsia="Times New Roman"/>
          <w:color w:val="000000"/>
          <w:spacing w:val="-5"/>
          <w:lang w:val="it-IT"/>
        </w:rPr>
        <w:t>i condizioni o per finalità diverse da quelle definite nella fonte legale della potestà di controllo.</w:t>
      </w:r>
    </w:p>
    <w:p w:rsidR="00E31017" w:rsidRDefault="00FA5B66">
      <w:pPr>
        <w:spacing w:before="3"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Il combinato disposto delle disposizioni legislative e di quelle regolamentari (con</w:t>
      </w:r>
      <w:r>
        <w:rPr>
          <w:rFonts w:eastAsia="Times New Roman"/>
          <w:color w:val="000000"/>
          <w:spacing w:val="-3"/>
          <w:lang w:val="it-IT"/>
        </w:rPr>
        <w:softHyphen/>
        <w:t xml:space="preserve">tenute nei diversi D.P.C.M. di attuazione) disegna, invero, i confini </w:t>
      </w:r>
      <w:r>
        <w:rPr>
          <w:rFonts w:eastAsia="Times New Roman"/>
          <w:color w:val="000000"/>
          <w:spacing w:val="-3"/>
          <w:lang w:val="it-IT"/>
        </w:rPr>
        <w:t>dell’esercizio del potere in maniera sufficientemente precisa da scongiurare il rischio di deviazioni.</w:t>
      </w:r>
    </w:p>
    <w:p w:rsidR="00E31017" w:rsidRDefault="00FA5B66">
      <w:pPr>
        <w:spacing w:before="19"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La descrizione puntuale dell’ambito di applicazione, quanto ai settori e alle opera</w:t>
      </w:r>
      <w:r>
        <w:rPr>
          <w:rFonts w:eastAsia="Times New Roman"/>
          <w:color w:val="000000"/>
          <w:spacing w:val="-3"/>
          <w:lang w:val="it-IT"/>
        </w:rPr>
        <w:softHyphen/>
        <w:t>zioni che integrano gli estremi dell’obbligo di notifica, la scansion</w:t>
      </w:r>
      <w:r>
        <w:rPr>
          <w:rFonts w:eastAsia="Times New Roman"/>
          <w:color w:val="000000"/>
          <w:spacing w:val="-3"/>
          <w:lang w:val="it-IT"/>
        </w:rPr>
        <w:t>e precisa delle fasi procedurali, la fissazione di termini perentori, la previsione di un’istruttoria compiuta e plurale, la fissazione delle condizioni che autorizzano l’esercizio dei poteri speciali, la configurazione di diversi e tassativi esiti provved</w:t>
      </w:r>
      <w:r>
        <w:rPr>
          <w:rFonts w:eastAsia="Times New Roman"/>
          <w:color w:val="000000"/>
          <w:spacing w:val="-3"/>
          <w:lang w:val="it-IT"/>
        </w:rPr>
        <w:t xml:space="preserve">imentali, la cooperazione con lo </w:t>
      </w:r>
      <w:r>
        <w:rPr>
          <w:rFonts w:eastAsia="Times New Roman"/>
          <w:i/>
          <w:color w:val="000000"/>
          <w:spacing w:val="-3"/>
          <w:lang w:val="it-IT"/>
        </w:rPr>
        <w:t xml:space="preserve">screening </w:t>
      </w:r>
      <w:r>
        <w:rPr>
          <w:rFonts w:eastAsia="Times New Roman"/>
          <w:color w:val="000000"/>
          <w:spacing w:val="-3"/>
          <w:lang w:val="it-IT"/>
        </w:rPr>
        <w:t>effettuato dalla Commissione europea (quando ne ricorrano le condizioni) e</w:t>
      </w:r>
    </w:p>
    <w:p w:rsidR="00E31017" w:rsidRDefault="00FA5B66">
      <w:pPr>
        <w:spacing w:before="36" w:line="186" w:lineRule="exact"/>
        <w:ind w:left="9000"/>
        <w:textAlignment w:val="baseline"/>
        <w:rPr>
          <w:rFonts w:ascii="Tahoma" w:eastAsia="Tahoma" w:hAnsi="Tahoma"/>
          <w:color w:val="000000"/>
          <w:sz w:val="16"/>
          <w:lang w:val="it-IT"/>
        </w:rPr>
      </w:pPr>
      <w:r>
        <w:rPr>
          <w:rFonts w:ascii="Tahoma" w:eastAsia="Tahoma" w:hAnsi="Tahoma"/>
          <w:color w:val="000000"/>
          <w:sz w:val="16"/>
          <w:lang w:val="it-IT"/>
        </w:rPr>
        <w:t>3</w:t>
      </w:r>
    </w:p>
    <w:p w:rsidR="00E31017" w:rsidRDefault="00FA5B66">
      <w:pPr>
        <w:tabs>
          <w:tab w:val="right" w:pos="9576"/>
        </w:tabs>
        <w:spacing w:before="998" w:line="138" w:lineRule="exact"/>
        <w:ind w:left="144"/>
        <w:textAlignment w:val="baseline"/>
        <w:rPr>
          <w:rFonts w:ascii="Helvetica" w:eastAsia="Helvetica" w:hAnsi="Helvetica"/>
          <w:color w:val="000000"/>
          <w:sz w:val="12"/>
          <w:lang w:val="it-IT"/>
        </w:rPr>
      </w:pPr>
      <w:r>
        <w:pict>
          <v:shape id="_x0000_s1046" type="#_x0000_t202" style="position:absolute;left:0;text-align:left;margin-left:269.75pt;margin-top:736.3pt;width:12.25pt;height:12.25pt;z-index:-251663360;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 xml:space="preserve">GOLDEN POWER_BOOK.indb </w:t>
      </w:r>
      <w:r>
        <w:rPr>
          <w:rFonts w:ascii="Helvetica" w:eastAsia="Helvetica" w:hAnsi="Helvetica"/>
          <w:b/>
          <w:color w:val="000000"/>
          <w:sz w:val="12"/>
          <w:lang w:val="it-IT"/>
        </w:rPr>
        <w:t>3</w:t>
      </w:r>
      <w:r>
        <w:rPr>
          <w:rFonts w:ascii="Helvetica" w:eastAsia="Helvetica" w:hAnsi="Helvetica"/>
          <w:b/>
          <w:color w:val="000000"/>
          <w:sz w:val="12"/>
          <w:lang w:val="it-IT"/>
        </w:rPr>
        <w:tab/>
      </w:r>
      <w:r>
        <w:rPr>
          <w:rFonts w:ascii="Helvetica" w:eastAsia="Helvetica" w:hAnsi="Helvetica"/>
          <w:color w:val="000000"/>
          <w:sz w:val="12"/>
          <w:lang w:val="it-IT"/>
        </w:rPr>
        <w:t>13.11.23 15:57</w:t>
      </w:r>
    </w:p>
    <w:p w:rsidR="00E31017" w:rsidRDefault="00E31017">
      <w:pPr>
        <w:sectPr w:rsidR="00E31017">
          <w:pgSz w:w="11035" w:h="15000"/>
          <w:pgMar w:top="20" w:right="600" w:bottom="0" w:left="715" w:header="720" w:footer="720" w:gutter="0"/>
          <w:cols w:space="720"/>
        </w:sectPr>
      </w:pPr>
    </w:p>
    <w:p w:rsidR="00E31017" w:rsidRDefault="00FA5B66">
      <w:pPr>
        <w:spacing w:line="150" w:lineRule="exact"/>
        <w:ind w:left="1080"/>
        <w:textAlignment w:val="baseline"/>
        <w:rPr>
          <w:rFonts w:ascii="Arial" w:eastAsia="Arial" w:hAnsi="Arial"/>
          <w:color w:val="000000"/>
          <w:sz w:val="13"/>
          <w:lang w:val="it-IT"/>
        </w:rPr>
      </w:pPr>
      <w:r>
        <w:lastRenderedPageBreak/>
        <w:pict>
          <v:shape id="_x0000_s1045" type="#_x0000_t202" style="position:absolute;left:0;text-align:left;margin-left:35.75pt;margin-top:1pt;width:486pt;height:63.4pt;z-index:-251662336;mso-wrap-distance-left:0;mso-wrap-distance-right:0;mso-position-horizontal-relative:page;mso-position-vertical-relative:page" filled="f" stroked="f">
            <v:textbox inset="0,0,0,0">
              <w:txbxContent>
                <w:p w:rsidR="00E31017" w:rsidRDefault="00FA5B66">
                  <w:pPr>
                    <w:spacing w:before="9" w:after="1014" w:line="245" w:lineRule="exact"/>
                    <w:ind w:left="4680" w:right="4795"/>
                    <w:textAlignment w:val="baseline"/>
                  </w:pPr>
                  <w:r>
                    <w:rPr>
                      <w:noProof/>
                      <w:lang w:val="it-IT" w:eastAsia="it-IT"/>
                    </w:rPr>
                    <w:drawing>
                      <wp:inline distT="0" distB="0" distL="0" distR="0">
                        <wp:extent cx="155575" cy="15557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z w:val="13"/>
          <w:lang w:val="it-IT"/>
        </w:rPr>
        <w:t>INTRODUZIONE</w:t>
      </w:r>
    </w:p>
    <w:p w:rsidR="00E31017" w:rsidRDefault="00FA5B66">
      <w:pPr>
        <w:spacing w:before="342" w:line="279" w:lineRule="exact"/>
        <w:ind w:left="1080" w:right="1224"/>
        <w:jc w:val="both"/>
        <w:textAlignment w:val="baseline"/>
        <w:rPr>
          <w:rFonts w:eastAsia="Times New Roman"/>
          <w:color w:val="000000"/>
          <w:spacing w:val="-4"/>
          <w:lang w:val="it-IT"/>
        </w:rPr>
      </w:pPr>
      <w:r>
        <w:rPr>
          <w:rFonts w:eastAsia="Times New Roman"/>
          <w:color w:val="000000"/>
          <w:spacing w:val="-4"/>
          <w:lang w:val="it-IT"/>
        </w:rPr>
        <w:t>l’affidamento della determinazione conclusiva a un organo collegiale provvisto di un’alta responsabilità e di legittimazione democratica (come il Consiglio dei Ministri), uni</w:t>
      </w:r>
      <w:r>
        <w:rPr>
          <w:rFonts w:eastAsia="Times New Roman"/>
          <w:color w:val="000000"/>
          <w:spacing w:val="-4"/>
          <w:lang w:val="it-IT"/>
        </w:rPr>
        <w:softHyphen/>
        <w:t>tamente al controllo giurisdizionale e a forme di trasparenza politica (comunicaz</w:t>
      </w:r>
      <w:r>
        <w:rPr>
          <w:rFonts w:eastAsia="Times New Roman"/>
          <w:color w:val="000000"/>
          <w:spacing w:val="-4"/>
          <w:lang w:val="it-IT"/>
        </w:rPr>
        <w:t>ione alle Camere delle singole decisioni e relazione annuale al Parlamento), costituiscono un binario sicuro e affidabile per evitare il deragliamento verso un uso improprio e indebito dei poteri speciali.</w:t>
      </w:r>
    </w:p>
    <w:p w:rsidR="00E31017" w:rsidRDefault="00FA5B66">
      <w:pPr>
        <w:spacing w:before="15" w:line="279" w:lineRule="exact"/>
        <w:ind w:left="1080" w:right="1224" w:firstLine="288"/>
        <w:jc w:val="both"/>
        <w:textAlignment w:val="baseline"/>
        <w:rPr>
          <w:rFonts w:eastAsia="Times New Roman"/>
          <w:color w:val="000000"/>
          <w:spacing w:val="-2"/>
          <w:lang w:val="it-IT"/>
        </w:rPr>
      </w:pPr>
      <w:r>
        <w:rPr>
          <w:rFonts w:eastAsia="Times New Roman"/>
          <w:color w:val="000000"/>
          <w:spacing w:val="-2"/>
          <w:lang w:val="it-IT"/>
        </w:rPr>
        <w:t>È vero che la configurazione legislativa del poter</w:t>
      </w:r>
      <w:r>
        <w:rPr>
          <w:rFonts w:eastAsia="Times New Roman"/>
          <w:color w:val="000000"/>
          <w:spacing w:val="-2"/>
          <w:lang w:val="it-IT"/>
        </w:rPr>
        <w:t>e è costruita su clausole che pre</w:t>
      </w:r>
      <w:r>
        <w:rPr>
          <w:rFonts w:eastAsia="Times New Roman"/>
          <w:color w:val="000000"/>
          <w:spacing w:val="-2"/>
          <w:lang w:val="it-IT"/>
        </w:rPr>
        <w:softHyphen/>
        <w:t>sentano significativi profili di indeterminatezza, sia quanto ai presupposti (es. «[</w:t>
      </w:r>
      <w:r>
        <w:rPr>
          <w:rFonts w:eastAsia="Times New Roman"/>
          <w:color w:val="000000"/>
          <w:spacing w:val="-2"/>
          <w:sz w:val="24"/>
          <w:lang w:val="it-IT"/>
        </w:rPr>
        <w:t>...</w:t>
      </w:r>
      <w:r>
        <w:rPr>
          <w:rFonts w:eastAsia="Times New Roman"/>
          <w:color w:val="000000"/>
          <w:spacing w:val="-2"/>
          <w:lang w:val="it-IT"/>
        </w:rPr>
        <w:t>] in caso di minaccia di grave pregiudizio per gli interessi essenziali della difesa e della sicurezza nazionale»), sia quanto al contenuto dispositivo dell’esercizio del potere (es. «imposizione di specifiche condizioni [</w:t>
      </w:r>
      <w:r>
        <w:rPr>
          <w:rFonts w:eastAsia="Times New Roman"/>
          <w:color w:val="000000"/>
          <w:spacing w:val="-2"/>
          <w:sz w:val="24"/>
          <w:lang w:val="it-IT"/>
        </w:rPr>
        <w:t>...</w:t>
      </w:r>
      <w:r>
        <w:rPr>
          <w:rFonts w:eastAsia="Times New Roman"/>
          <w:color w:val="000000"/>
          <w:spacing w:val="-2"/>
          <w:lang w:val="it-IT"/>
        </w:rPr>
        <w:t>]»), ma è anche vero che la fle</w:t>
      </w:r>
      <w:r>
        <w:rPr>
          <w:rFonts w:eastAsia="Times New Roman"/>
          <w:color w:val="000000"/>
          <w:spacing w:val="-2"/>
          <w:lang w:val="it-IT"/>
        </w:rPr>
        <w:t>ssibilità che esige la regolazione della materia, anche in relazione alla estrema varietà delle ope</w:t>
      </w:r>
      <w:r>
        <w:rPr>
          <w:rFonts w:eastAsia="Times New Roman"/>
          <w:color w:val="000000"/>
          <w:spacing w:val="-2"/>
          <w:lang w:val="it-IT"/>
        </w:rPr>
        <w:softHyphen/>
        <w:t>razioni scrutinate, e la difficoltà di tipizzare ulteriormente condizioni e decisioni di esercizio del potere impediscono o sconsigliano di costruire fattis</w:t>
      </w:r>
      <w:r>
        <w:rPr>
          <w:rFonts w:eastAsia="Times New Roman"/>
          <w:color w:val="000000"/>
          <w:spacing w:val="-2"/>
          <w:lang w:val="it-IT"/>
        </w:rPr>
        <w:t>pecie più tassative (che rischierebbero di determinare più difficoltà interpretative e applicative di quelle che si prefiggono di evitare).</w:t>
      </w:r>
    </w:p>
    <w:p w:rsidR="00E31017" w:rsidRDefault="00FA5B66">
      <w:pPr>
        <w:spacing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L’esercizio del potere resta, in ogni caso, guidato, per un verso, dall’osservanza dei principi di proporzionalità e</w:t>
      </w:r>
      <w:r>
        <w:rPr>
          <w:rFonts w:eastAsia="Times New Roman"/>
          <w:color w:val="000000"/>
          <w:spacing w:val="-4"/>
          <w:lang w:val="it-IT"/>
        </w:rPr>
        <w:t xml:space="preserve"> di ragionevolezza, cristallizzati nella fonte legislativa del potere come limiti e criteri della valutazione della minaccia del pregiudizio e della sua intensità, e, per un altro, da una consolidata prassi nell’esercizio della discrezionalità.</w:t>
      </w:r>
    </w:p>
    <w:p w:rsidR="00E31017" w:rsidRDefault="00FA5B66">
      <w:pPr>
        <w:spacing w:before="28" w:line="279" w:lineRule="exact"/>
        <w:ind w:left="1080" w:right="1224" w:firstLine="288"/>
        <w:jc w:val="both"/>
        <w:textAlignment w:val="baseline"/>
        <w:rPr>
          <w:rFonts w:eastAsia="Times New Roman"/>
          <w:color w:val="000000"/>
          <w:spacing w:val="-6"/>
          <w:lang w:val="it-IT"/>
        </w:rPr>
      </w:pPr>
      <w:r>
        <w:pict>
          <v:shape id="_x0000_s1044" type="#_x0000_t202" style="position:absolute;left:0;text-align:left;margin-left:1.45pt;margin-top:368.9pt;width:12.25pt;height:12.2pt;z-index:-251661312;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43" type="#_x0000_t202" style="position:absolute;left:0;text-align:left;margin-left:538.1pt;margin-top:368.9pt;width:12pt;height:12.2pt;z-index:-251660288;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spacing w:val="-6"/>
          <w:lang w:val="it-IT"/>
        </w:rPr>
        <w:t>N</w:t>
      </w:r>
      <w:r>
        <w:rPr>
          <w:rFonts w:eastAsia="Times New Roman"/>
          <w:color w:val="000000"/>
          <w:spacing w:val="-6"/>
          <w:lang w:val="it-IT"/>
        </w:rPr>
        <w:t>ell’articolazione dialettica tra la fase istruttoria affidata al gruppo di coordinamen</w:t>
      </w:r>
      <w:r>
        <w:rPr>
          <w:rFonts w:eastAsia="Times New Roman"/>
          <w:color w:val="000000"/>
          <w:spacing w:val="-6"/>
          <w:lang w:val="it-IT"/>
        </w:rPr>
        <w:softHyphen/>
        <w:t>to costituito presso la Presidenza del Consiglio e la responsabilità decisoria riservata al Consiglio dei Ministri, è ormai acquisito il seguente schema logico-procedura</w:t>
      </w:r>
      <w:r>
        <w:rPr>
          <w:rFonts w:eastAsia="Times New Roman"/>
          <w:color w:val="000000"/>
          <w:spacing w:val="-6"/>
          <w:lang w:val="it-IT"/>
        </w:rPr>
        <w:t>le: dapprima la verifica si appunta sulla pertinenza dell’operazione notificata (discorso a parte merita l’istituto della prenotifica, che sarà esaminato nella parte dell’opera ad esso dedicata) al perimetro applicativo del D.L. n. 21/2012; in caso di veri</w:t>
      </w:r>
      <w:r>
        <w:rPr>
          <w:rFonts w:eastAsia="Times New Roman"/>
          <w:color w:val="000000"/>
          <w:spacing w:val="-6"/>
          <w:lang w:val="it-IT"/>
        </w:rPr>
        <w:t>fica negati</w:t>
      </w:r>
      <w:r>
        <w:rPr>
          <w:rFonts w:eastAsia="Times New Roman"/>
          <w:color w:val="000000"/>
          <w:spacing w:val="-6"/>
          <w:lang w:val="it-IT"/>
        </w:rPr>
        <w:softHyphen/>
        <w:t>va, il procedimento viene definito con un provvedimento di archiviazione che rileva l’assenza delle condizioni, anche astratte, di avvio della procedura; se, invece, si rileva l’ascrivibilità dell’operazione entro i confini di applicazione dell</w:t>
      </w:r>
      <w:r>
        <w:rPr>
          <w:rFonts w:eastAsia="Times New Roman"/>
          <w:color w:val="000000"/>
          <w:spacing w:val="-6"/>
          <w:lang w:val="it-IT"/>
        </w:rPr>
        <w:t xml:space="preserve">a disciplina </w:t>
      </w:r>
      <w:r>
        <w:rPr>
          <w:rFonts w:eastAsia="Times New Roman"/>
          <w:i/>
          <w:color w:val="000000"/>
          <w:spacing w:val="-6"/>
          <w:lang w:val="it-IT"/>
        </w:rPr>
        <w:t xml:space="preserve">golden power </w:t>
      </w:r>
      <w:r>
        <w:rPr>
          <w:rFonts w:eastAsia="Times New Roman"/>
          <w:color w:val="000000"/>
          <w:spacing w:val="-6"/>
          <w:lang w:val="it-IT"/>
        </w:rPr>
        <w:t>(anche in ragione della strategicità dell’</w:t>
      </w:r>
      <w:r>
        <w:rPr>
          <w:rFonts w:eastAsia="Times New Roman"/>
          <w:i/>
          <w:color w:val="000000"/>
          <w:spacing w:val="-6"/>
          <w:lang w:val="it-IT"/>
        </w:rPr>
        <w:t>asset</w:t>
      </w:r>
      <w:r>
        <w:rPr>
          <w:rFonts w:eastAsia="Times New Roman"/>
          <w:color w:val="000000"/>
          <w:spacing w:val="-6"/>
          <w:lang w:val="it-IT"/>
        </w:rPr>
        <w:t>), si avvia un’istruttoria in seno al gruppo di coordinamento destinata a concentrarsi, prima, sull’esistenza del pericolo di un pre</w:t>
      </w:r>
      <w:r>
        <w:rPr>
          <w:rFonts w:eastAsia="Times New Roman"/>
          <w:color w:val="000000"/>
          <w:spacing w:val="-6"/>
          <w:lang w:val="it-IT"/>
        </w:rPr>
        <w:softHyphen/>
        <w:t>giudizio e della sua intensità, e, poi, sulla sele</w:t>
      </w:r>
      <w:r>
        <w:rPr>
          <w:rFonts w:eastAsia="Times New Roman"/>
          <w:color w:val="000000"/>
          <w:spacing w:val="-6"/>
          <w:lang w:val="it-IT"/>
        </w:rPr>
        <w:t>zione dello strumento più appropriato per tutelare l’interesse nazionale minacciato; l’istruttoria può contemplare anche audizioni dei soggetti interessati o di terzi capaci di fornire informazioni utili alle valutazioni rimesse al gruppo di coordinamento;</w:t>
      </w:r>
      <w:r>
        <w:rPr>
          <w:rFonts w:eastAsia="Times New Roman"/>
          <w:color w:val="000000"/>
          <w:spacing w:val="-6"/>
          <w:lang w:val="it-IT"/>
        </w:rPr>
        <w:t xml:space="preserve"> se l’operazione, ancorché astrattamente perti</w:t>
      </w:r>
      <w:r>
        <w:rPr>
          <w:rFonts w:eastAsia="Times New Roman"/>
          <w:color w:val="000000"/>
          <w:spacing w:val="-6"/>
          <w:lang w:val="it-IT"/>
        </w:rPr>
        <w:softHyphen/>
        <w:t>nente al perimetro applicativo della disciplina, non presenta profili di pericolosità, in quanto, ad esempio, meramente commerciale e inidonea a danneggiare gli interessi vitali dello Stato, il procedimento vi</w:t>
      </w:r>
      <w:r>
        <w:rPr>
          <w:rFonts w:eastAsia="Times New Roman"/>
          <w:color w:val="000000"/>
          <w:spacing w:val="-6"/>
          <w:lang w:val="it-IT"/>
        </w:rPr>
        <w:t>ene definito con una determinazione di non eser</w:t>
      </w:r>
      <w:r>
        <w:rPr>
          <w:rFonts w:eastAsia="Times New Roman"/>
          <w:color w:val="000000"/>
          <w:spacing w:val="-6"/>
          <w:lang w:val="it-IT"/>
        </w:rPr>
        <w:softHyphen/>
        <w:t>cizio dei poteri speciali, che può essere accompagnata da mere raccomandazioni non vincolanti; se, invece, viene riscontrato il presupposto della pericolosità dell’operazione, si procederà a selezionare la mi</w:t>
      </w:r>
      <w:r>
        <w:rPr>
          <w:rFonts w:eastAsia="Times New Roman"/>
          <w:color w:val="000000"/>
          <w:spacing w:val="-6"/>
          <w:lang w:val="it-IT"/>
        </w:rPr>
        <w:t>sura più idonea, secondo canoni di proporzionalità e di gradualità, a realizzare in maniera adeguata l’esigenza di protezione dell’interesse</w:t>
      </w:r>
    </w:p>
    <w:p w:rsidR="00E31017" w:rsidRDefault="00FA5B66">
      <w:pPr>
        <w:spacing w:before="46" w:line="182" w:lineRule="exact"/>
        <w:ind w:left="360"/>
        <w:textAlignment w:val="baseline"/>
        <w:rPr>
          <w:rFonts w:ascii="Tahoma" w:eastAsia="Tahoma" w:hAnsi="Tahoma"/>
          <w:color w:val="000000"/>
          <w:sz w:val="15"/>
          <w:lang w:val="it-IT"/>
        </w:rPr>
      </w:pPr>
      <w:r>
        <w:rPr>
          <w:rFonts w:ascii="Tahoma" w:eastAsia="Tahoma" w:hAnsi="Tahoma"/>
          <w:color w:val="000000"/>
          <w:sz w:val="15"/>
          <w:lang w:val="it-IT"/>
        </w:rPr>
        <w:t>4</w:t>
      </w:r>
    </w:p>
    <w:p w:rsidR="00E31017" w:rsidRDefault="00FA5B66">
      <w:pPr>
        <w:tabs>
          <w:tab w:val="right" w:pos="9576"/>
        </w:tabs>
        <w:spacing w:before="1000" w:line="138" w:lineRule="exact"/>
        <w:ind w:left="144"/>
        <w:textAlignment w:val="baseline"/>
        <w:rPr>
          <w:rFonts w:ascii="Helvetica" w:eastAsia="Helvetica" w:hAnsi="Helvetica"/>
          <w:color w:val="000000"/>
          <w:sz w:val="12"/>
          <w:lang w:val="it-IT"/>
        </w:rPr>
      </w:pPr>
      <w:r>
        <w:pict>
          <v:shape id="_x0000_s1042" type="#_x0000_t202" style="position:absolute;left:0;text-align:left;margin-left:269.75pt;margin-top:736.3pt;width:12.25pt;height:12.25pt;z-index:-251659264;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GOLDEN POWER_BOOK.indb 4</w:t>
      </w:r>
      <w:r>
        <w:rPr>
          <w:rFonts w:ascii="Helvetica" w:eastAsia="Helvetica" w:hAnsi="Helvetica"/>
          <w:color w:val="000000"/>
          <w:sz w:val="12"/>
          <w:lang w:val="it-IT"/>
        </w:rPr>
        <w:tab/>
        <w:t>13.11.23 15:57</w:t>
      </w:r>
    </w:p>
    <w:p w:rsidR="00E31017" w:rsidRDefault="00E31017">
      <w:pPr>
        <w:sectPr w:rsidR="00E31017">
          <w:pgSz w:w="11035" w:h="15000"/>
          <w:pgMar w:top="20" w:right="600" w:bottom="0" w:left="715" w:header="720" w:footer="720" w:gutter="0"/>
          <w:cols w:space="720"/>
        </w:sectPr>
      </w:pPr>
    </w:p>
    <w:p w:rsidR="00E31017" w:rsidRDefault="00FA5B66">
      <w:pPr>
        <w:spacing w:before="1" w:line="161" w:lineRule="exact"/>
        <w:ind w:left="7416"/>
        <w:textAlignment w:val="baseline"/>
        <w:rPr>
          <w:rFonts w:ascii="Arial" w:eastAsia="Arial" w:hAnsi="Arial"/>
          <w:color w:val="000000"/>
          <w:spacing w:val="-4"/>
          <w:sz w:val="14"/>
          <w:lang w:val="it-IT"/>
        </w:rPr>
      </w:pPr>
      <w:r>
        <w:lastRenderedPageBreak/>
        <w:pict>
          <v:shape id="_x0000_s1041" type="#_x0000_t202" style="position:absolute;left:0;text-align:left;margin-left:35.75pt;margin-top:1pt;width:486pt;height:62.95pt;z-index:-251658240;mso-wrap-distance-left:0;mso-wrap-distance-right:0;mso-position-horizontal-relative:page;mso-position-vertical-relative:page" filled="f" stroked="f">
            <v:textbox inset="0,0,0,0">
              <w:txbxContent>
                <w:p w:rsidR="00E31017" w:rsidRDefault="00FA5B66">
                  <w:pPr>
                    <w:spacing w:before="9" w:after="1005" w:line="245" w:lineRule="exact"/>
                    <w:ind w:left="4680" w:right="4795"/>
                    <w:textAlignment w:val="baseline"/>
                  </w:pPr>
                  <w:r>
                    <w:rPr>
                      <w:noProof/>
                      <w:lang w:val="it-IT" w:eastAsia="it-IT"/>
                    </w:rPr>
                    <w:drawing>
                      <wp:inline distT="0" distB="0" distL="0" distR="0">
                        <wp:extent cx="155575" cy="15557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pacing w:val="-4"/>
          <w:sz w:val="14"/>
          <w:lang w:val="it-IT"/>
        </w:rPr>
        <w:t>INTRODUZIONE</w:t>
      </w:r>
    </w:p>
    <w:p w:rsidR="00E31017" w:rsidRDefault="00FA5B66">
      <w:pPr>
        <w:spacing w:before="332" w:line="279" w:lineRule="exact"/>
        <w:ind w:left="1080" w:right="1224"/>
        <w:jc w:val="both"/>
        <w:textAlignment w:val="baseline"/>
        <w:rPr>
          <w:rFonts w:eastAsia="Times New Roman"/>
          <w:color w:val="000000"/>
          <w:spacing w:val="-4"/>
          <w:lang w:val="it-IT"/>
        </w:rPr>
      </w:pPr>
      <w:r>
        <w:rPr>
          <w:rFonts w:eastAsia="Times New Roman"/>
          <w:color w:val="000000"/>
          <w:spacing w:val="-4"/>
          <w:lang w:val="it-IT"/>
        </w:rPr>
        <w:t>nazionale minacciato; esaurita la fase istruttoria in seno al gruppo di coordinamento, la determinazione viene affidata alla responsabilità decisoria del Consiglio dei Mini</w:t>
      </w:r>
      <w:r>
        <w:rPr>
          <w:rFonts w:eastAsia="Times New Roman"/>
          <w:color w:val="000000"/>
          <w:spacing w:val="-4"/>
          <w:lang w:val="it-IT"/>
        </w:rPr>
        <w:softHyphen/>
        <w:t>stri, che adotta il provvedimento finale (non necessariamente conforme alla propost</w:t>
      </w:r>
      <w:r>
        <w:rPr>
          <w:rFonts w:eastAsia="Times New Roman"/>
          <w:color w:val="000000"/>
          <w:spacing w:val="-4"/>
          <w:lang w:val="it-IT"/>
        </w:rPr>
        <w:t>a formulata all’esito della fase istruttoria).</w:t>
      </w:r>
    </w:p>
    <w:p w:rsidR="00E31017" w:rsidRDefault="00FA5B66">
      <w:pPr>
        <w:spacing w:before="13" w:line="279" w:lineRule="exact"/>
        <w:ind w:left="1080" w:right="1224" w:firstLine="288"/>
        <w:jc w:val="both"/>
        <w:textAlignment w:val="baseline"/>
        <w:rPr>
          <w:rFonts w:eastAsia="Times New Roman"/>
          <w:color w:val="000000"/>
          <w:spacing w:val="-5"/>
          <w:lang w:val="it-IT"/>
        </w:rPr>
      </w:pPr>
      <w:r>
        <w:rPr>
          <w:rFonts w:eastAsia="Times New Roman"/>
          <w:color w:val="000000"/>
          <w:spacing w:val="-5"/>
          <w:lang w:val="it-IT"/>
        </w:rPr>
        <w:t xml:space="preserve">Il percorso logico-giuridico così tracciato (che potrebbe apparire ridondante e che, invece, si rivela funzionale alle conclusioni che seguono) vale ad assicurare un esercizio equilibrato dei poteri speciali, sia perché fondato su acquisizioni istruttorie </w:t>
      </w:r>
      <w:r>
        <w:rPr>
          <w:rFonts w:eastAsia="Times New Roman"/>
          <w:color w:val="000000"/>
          <w:spacing w:val="-5"/>
          <w:lang w:val="it-IT"/>
        </w:rPr>
        <w:t>e informa</w:t>
      </w:r>
      <w:r>
        <w:rPr>
          <w:rFonts w:eastAsia="Times New Roman"/>
          <w:color w:val="000000"/>
          <w:spacing w:val="-5"/>
          <w:lang w:val="it-IT"/>
        </w:rPr>
        <w:softHyphen/>
        <w:t>tive complete e plurali, sia perché rispettoso dei canoni legali che lo presidiano.</w:t>
      </w:r>
    </w:p>
    <w:p w:rsidR="00E31017" w:rsidRDefault="00FA5B66">
      <w:pPr>
        <w:spacing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In particolare, lo schema valutativo riportato serve a coniugare le esigenze di difesa della sicurezza nazionale con le ordinarie dinamiche di mercato, nella misu</w:t>
      </w:r>
      <w:r>
        <w:rPr>
          <w:rFonts w:eastAsia="Times New Roman"/>
          <w:color w:val="000000"/>
          <w:spacing w:val="-4"/>
          <w:lang w:val="it-IT"/>
        </w:rPr>
        <w:t>ra in cui esige, secondo il modello logico che lo fonda, che il veto all’operazione sia legittima</w:t>
      </w:r>
      <w:r>
        <w:rPr>
          <w:rFonts w:eastAsia="Times New Roman"/>
          <w:color w:val="000000"/>
          <w:spacing w:val="-4"/>
          <w:lang w:val="it-IT"/>
        </w:rPr>
        <w:softHyphen/>
        <w:t>mente esercitabile, in via eccezionale e residuale, solo se il rischio rilevato non può essere mitigato con misure meno afflittive e le prescrizioni possono e</w:t>
      </w:r>
      <w:r>
        <w:rPr>
          <w:rFonts w:eastAsia="Times New Roman"/>
          <w:color w:val="000000"/>
          <w:spacing w:val="-4"/>
          <w:lang w:val="it-IT"/>
        </w:rPr>
        <w:t>ssere validamente imposte solo nella misura in cui siano quelle più strettamente adeguate per una misurata e proporzionata tutela dell’interesse minacciato.</w:t>
      </w:r>
    </w:p>
    <w:p w:rsidR="00E31017" w:rsidRDefault="00FA5B66">
      <w:pPr>
        <w:spacing w:before="8" w:line="279" w:lineRule="exact"/>
        <w:ind w:left="1080" w:right="1224" w:firstLine="288"/>
        <w:jc w:val="both"/>
        <w:textAlignment w:val="baseline"/>
        <w:rPr>
          <w:rFonts w:eastAsia="Times New Roman"/>
          <w:color w:val="000000"/>
          <w:lang w:val="it-IT"/>
        </w:rPr>
      </w:pPr>
      <w:r>
        <w:rPr>
          <w:rFonts w:eastAsia="Times New Roman"/>
          <w:color w:val="000000"/>
          <w:lang w:val="it-IT"/>
        </w:rPr>
        <w:t>La varietà delle opzioni provvedimentali, d’altro canto, vale ad assicurare quella flessibilità e quella duttilità nell’esercizio del potere che ne garantiscono, a sua volta, un uso ragionevole e adeguato.</w:t>
      </w:r>
    </w:p>
    <w:p w:rsidR="00E31017" w:rsidRDefault="00FA5B66">
      <w:pPr>
        <w:spacing w:line="278" w:lineRule="exact"/>
        <w:ind w:left="1080" w:right="1224" w:firstLine="288"/>
        <w:jc w:val="both"/>
        <w:textAlignment w:val="baseline"/>
        <w:rPr>
          <w:rFonts w:eastAsia="Times New Roman"/>
          <w:color w:val="000000"/>
          <w:lang w:val="it-IT"/>
        </w:rPr>
      </w:pPr>
      <w:r>
        <w:rPr>
          <w:rFonts w:eastAsia="Times New Roman"/>
          <w:color w:val="000000"/>
          <w:lang w:val="it-IT"/>
        </w:rPr>
        <w:t>Meritano, adesso, alcune ulteriori riflessioni pro</w:t>
      </w:r>
      <w:r>
        <w:rPr>
          <w:rFonts w:eastAsia="Times New Roman"/>
          <w:color w:val="000000"/>
          <w:lang w:val="it-IT"/>
        </w:rPr>
        <w:t>prio la natura del potere esercitato e la latitudine della pertinente discrezionalità.</w:t>
      </w:r>
    </w:p>
    <w:p w:rsidR="00E31017" w:rsidRDefault="00FA5B66">
      <w:pPr>
        <w:spacing w:before="8" w:line="279" w:lineRule="exact"/>
        <w:ind w:left="1080" w:right="1224" w:firstLine="288"/>
        <w:jc w:val="both"/>
        <w:textAlignment w:val="baseline"/>
        <w:rPr>
          <w:rFonts w:eastAsia="Times New Roman"/>
          <w:color w:val="000000"/>
          <w:lang w:val="it-IT"/>
        </w:rPr>
      </w:pPr>
      <w:r>
        <w:pict>
          <v:shape id="_x0000_s1040" type="#_x0000_t202" style="position:absolute;left:0;text-align:left;margin-left:1.45pt;margin-top:368.9pt;width:12.25pt;height:12.2pt;z-index:-251657216;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39" type="#_x0000_t202" style="position:absolute;left:0;text-align:left;margin-left:538.1pt;margin-top:368.9pt;width:12pt;height:12.2pt;z-index:-251656192;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lang w:val="it-IT"/>
        </w:rPr>
        <w:t>Dev’essere, innanzitutto, esclusa la classificazione come politici dei poteri speciali contemplati e regolati dal D.L. n. 21/2012.</w:t>
      </w:r>
    </w:p>
    <w:p w:rsidR="00E31017" w:rsidRDefault="00FA5B66">
      <w:pPr>
        <w:spacing w:line="278" w:lineRule="exact"/>
        <w:ind w:left="1080" w:right="1224" w:firstLine="288"/>
        <w:jc w:val="both"/>
        <w:textAlignment w:val="baseline"/>
        <w:rPr>
          <w:rFonts w:eastAsia="Times New Roman"/>
          <w:color w:val="000000"/>
          <w:lang w:val="it-IT"/>
        </w:rPr>
      </w:pPr>
      <w:r>
        <w:rPr>
          <w:rFonts w:eastAsia="Times New Roman"/>
          <w:color w:val="000000"/>
          <w:lang w:val="it-IT"/>
        </w:rPr>
        <w:t>Mentre, infatti, il potere p</w:t>
      </w:r>
      <w:r>
        <w:rPr>
          <w:rFonts w:eastAsia="Times New Roman"/>
          <w:color w:val="000000"/>
          <w:lang w:val="it-IT"/>
        </w:rPr>
        <w:t>olitico si connota essenzialmente per la libertà dei fini perseguiti (incontrando solo i limiti sanciti dalla Costituzione o da obblighi internazio</w:t>
      </w:r>
      <w:r>
        <w:rPr>
          <w:rFonts w:eastAsia="Times New Roman"/>
          <w:color w:val="000000"/>
          <w:lang w:val="it-IT"/>
        </w:rPr>
        <w:softHyphen/>
        <w:t xml:space="preserve">nali), il </w:t>
      </w:r>
      <w:r>
        <w:rPr>
          <w:rFonts w:eastAsia="Times New Roman"/>
          <w:i/>
          <w:color w:val="000000"/>
          <w:lang w:val="it-IT"/>
        </w:rPr>
        <w:t xml:space="preserve">golden power </w:t>
      </w:r>
      <w:r>
        <w:rPr>
          <w:rFonts w:eastAsia="Times New Roman"/>
          <w:color w:val="000000"/>
          <w:lang w:val="it-IT"/>
        </w:rPr>
        <w:t>resta regolato dalla legge attributiva del potere che ne stabilisce presupposti, moda</w:t>
      </w:r>
      <w:r>
        <w:rPr>
          <w:rFonts w:eastAsia="Times New Roman"/>
          <w:color w:val="000000"/>
          <w:lang w:val="it-IT"/>
        </w:rPr>
        <w:t>lità di esercizio, finalità e limiti.</w:t>
      </w:r>
    </w:p>
    <w:p w:rsidR="00E31017" w:rsidRDefault="00FA5B66">
      <w:pPr>
        <w:spacing w:before="7" w:line="279" w:lineRule="exact"/>
        <w:ind w:left="1080" w:right="1224" w:firstLine="288"/>
        <w:jc w:val="both"/>
        <w:textAlignment w:val="baseline"/>
        <w:rPr>
          <w:rFonts w:eastAsia="Times New Roman"/>
          <w:color w:val="000000"/>
          <w:lang w:val="it-IT"/>
        </w:rPr>
      </w:pPr>
      <w:r>
        <w:rPr>
          <w:rFonts w:eastAsia="Times New Roman"/>
          <w:color w:val="000000"/>
          <w:lang w:val="it-IT"/>
        </w:rPr>
        <w:t>I poteri speciali vanno, quindi, esercitati nel rispetto della legge e in coerenza con la causa della loro attribuzione, sia quanto alle modalità procedurali, sia quanto ai conte</w:t>
      </w:r>
      <w:r>
        <w:rPr>
          <w:rFonts w:eastAsia="Times New Roman"/>
          <w:color w:val="000000"/>
          <w:lang w:val="it-IT"/>
        </w:rPr>
        <w:softHyphen/>
        <w:t xml:space="preserve">nuti provvedimentali autorizzati dalla </w:t>
      </w:r>
      <w:r>
        <w:rPr>
          <w:rFonts w:eastAsia="Times New Roman"/>
          <w:color w:val="000000"/>
          <w:lang w:val="it-IT"/>
        </w:rPr>
        <w:t>legge, sia, infine, quanto ai parametri valutativi che ne condizionano il legittimo esercizio.</w:t>
      </w:r>
    </w:p>
    <w:p w:rsidR="00E31017" w:rsidRDefault="00FA5B66">
      <w:pPr>
        <w:spacing w:before="10" w:line="279" w:lineRule="exact"/>
        <w:ind w:left="1368"/>
        <w:jc w:val="both"/>
        <w:textAlignment w:val="baseline"/>
        <w:rPr>
          <w:rFonts w:eastAsia="Times New Roman"/>
          <w:color w:val="000000"/>
          <w:spacing w:val="-1"/>
          <w:lang w:val="it-IT"/>
        </w:rPr>
      </w:pPr>
      <w:r>
        <w:rPr>
          <w:rFonts w:eastAsia="Times New Roman"/>
          <w:color w:val="000000"/>
          <w:spacing w:val="-1"/>
          <w:lang w:val="it-IT"/>
        </w:rPr>
        <w:t xml:space="preserve">Anche il </w:t>
      </w:r>
      <w:r>
        <w:rPr>
          <w:rFonts w:eastAsia="Times New Roman"/>
          <w:i/>
          <w:color w:val="000000"/>
          <w:spacing w:val="-1"/>
          <w:lang w:val="it-IT"/>
        </w:rPr>
        <w:t>golden power</w:t>
      </w:r>
      <w:r>
        <w:rPr>
          <w:rFonts w:eastAsia="Times New Roman"/>
          <w:color w:val="000000"/>
          <w:spacing w:val="-1"/>
          <w:lang w:val="it-IT"/>
        </w:rPr>
        <w:t>, in altri termini, obbedisce al principio di legalità.</w:t>
      </w:r>
    </w:p>
    <w:p w:rsidR="00E31017" w:rsidRDefault="00FA5B66">
      <w:pPr>
        <w:spacing w:line="273"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Nondimeno, occorre riconoscere che la latitudine dell’apprezzamento discrezionale affidato al Governo in ordine all’esercizio dei poteri resta piuttosto estesa.</w:t>
      </w:r>
    </w:p>
    <w:p w:rsidR="00E31017" w:rsidRDefault="00FA5B66">
      <w:pPr>
        <w:spacing w:before="9"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Si tratta, in altri termini, di un’attività provvedimentale caratterizzata da un’alta di</w:t>
      </w:r>
      <w:r>
        <w:rPr>
          <w:rFonts w:eastAsia="Times New Roman"/>
          <w:color w:val="000000"/>
          <w:spacing w:val="-3"/>
          <w:lang w:val="it-IT"/>
        </w:rPr>
        <w:softHyphen/>
      </w:r>
      <w:r>
        <w:rPr>
          <w:rFonts w:eastAsia="Times New Roman"/>
          <w:color w:val="000000"/>
          <w:spacing w:val="-3"/>
          <w:lang w:val="it-IT"/>
        </w:rPr>
        <w:t>screzionalità, che, tuttavia, non va confusa con la libertà (o, peggio, con l’arbitrarietà).</w:t>
      </w:r>
    </w:p>
    <w:p w:rsidR="00E31017" w:rsidRDefault="00FA5B66">
      <w:pPr>
        <w:spacing w:before="5"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Se è vero che lo scrutinio sulla prevalenza dell’esigenza di protezione di interessi essenziali dello Stato su quello alla libertà dell’iniziativa economica presen</w:t>
      </w:r>
      <w:r>
        <w:rPr>
          <w:rFonts w:eastAsia="Times New Roman"/>
          <w:color w:val="000000"/>
          <w:spacing w:val="-4"/>
          <w:lang w:val="it-IT"/>
        </w:rPr>
        <w:t>ta profili va</w:t>
      </w:r>
      <w:r>
        <w:rPr>
          <w:rFonts w:eastAsia="Times New Roman"/>
          <w:color w:val="000000"/>
          <w:spacing w:val="-4"/>
          <w:lang w:val="it-IT"/>
        </w:rPr>
        <w:softHyphen/>
        <w:t>lutativi elastici, è anche vero che il relativo giudizio dev’essere fondato su una compiuta istruttoria, dev’essere sorretto da una (coerente) motivazione attendibile e plausibile e, soprattutto, l’opzione decisoria dev’essere adeguata alle i</w:t>
      </w:r>
      <w:r>
        <w:rPr>
          <w:rFonts w:eastAsia="Times New Roman"/>
          <w:color w:val="000000"/>
          <w:spacing w:val="-4"/>
          <w:lang w:val="it-IT"/>
        </w:rPr>
        <w:t>stanze di protezione che hanno giustificato l’esercizio del potere, in ossequio al principio di mitigazione del danno per l’operatore economico.</w:t>
      </w:r>
    </w:p>
    <w:p w:rsidR="00E31017" w:rsidRDefault="00FA5B66">
      <w:pPr>
        <w:spacing w:before="49" w:line="186" w:lineRule="exact"/>
        <w:ind w:left="9000"/>
        <w:textAlignment w:val="baseline"/>
        <w:rPr>
          <w:rFonts w:ascii="Tahoma" w:eastAsia="Tahoma" w:hAnsi="Tahoma"/>
          <w:color w:val="000000"/>
          <w:sz w:val="16"/>
          <w:lang w:val="it-IT"/>
        </w:rPr>
      </w:pPr>
      <w:r>
        <w:rPr>
          <w:rFonts w:ascii="Tahoma" w:eastAsia="Tahoma" w:hAnsi="Tahoma"/>
          <w:color w:val="000000"/>
          <w:sz w:val="16"/>
          <w:lang w:val="it-IT"/>
        </w:rPr>
        <w:t>5</w:t>
      </w:r>
    </w:p>
    <w:p w:rsidR="00E31017" w:rsidRDefault="00FA5B66">
      <w:pPr>
        <w:tabs>
          <w:tab w:val="right" w:pos="9576"/>
        </w:tabs>
        <w:spacing w:before="998" w:line="138" w:lineRule="exact"/>
        <w:ind w:left="144"/>
        <w:textAlignment w:val="baseline"/>
        <w:rPr>
          <w:rFonts w:ascii="Helvetica" w:eastAsia="Helvetica" w:hAnsi="Helvetica"/>
          <w:color w:val="000000"/>
          <w:sz w:val="12"/>
          <w:lang w:val="it-IT"/>
        </w:rPr>
      </w:pPr>
      <w:r>
        <w:pict>
          <v:shape id="_x0000_s1038" type="#_x0000_t202" style="position:absolute;left:0;text-align:left;margin-left:269.75pt;margin-top:736.3pt;width:12.25pt;height:12.25pt;z-index:-251655168;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 xml:space="preserve">GOLDEN POWER_BOOK.indb </w:t>
      </w:r>
      <w:r>
        <w:rPr>
          <w:rFonts w:ascii="Helvetica" w:eastAsia="Helvetica" w:hAnsi="Helvetica"/>
          <w:b/>
          <w:color w:val="000000"/>
          <w:sz w:val="12"/>
          <w:lang w:val="it-IT"/>
        </w:rPr>
        <w:t>5</w:t>
      </w:r>
      <w:r>
        <w:rPr>
          <w:rFonts w:ascii="Helvetica" w:eastAsia="Helvetica" w:hAnsi="Helvetica"/>
          <w:b/>
          <w:color w:val="000000"/>
          <w:sz w:val="12"/>
          <w:lang w:val="it-IT"/>
        </w:rPr>
        <w:tab/>
      </w:r>
      <w:r>
        <w:rPr>
          <w:rFonts w:ascii="Helvetica" w:eastAsia="Helvetica" w:hAnsi="Helvetica"/>
          <w:color w:val="000000"/>
          <w:sz w:val="12"/>
          <w:lang w:val="it-IT"/>
        </w:rPr>
        <w:t>13.11.23 15:57</w:t>
      </w:r>
    </w:p>
    <w:p w:rsidR="00E31017" w:rsidRDefault="00E31017">
      <w:pPr>
        <w:sectPr w:rsidR="00E31017">
          <w:pgSz w:w="11035" w:h="15000"/>
          <w:pgMar w:top="20" w:right="600" w:bottom="0" w:left="715" w:header="720" w:footer="720" w:gutter="0"/>
          <w:cols w:space="720"/>
        </w:sectPr>
      </w:pPr>
    </w:p>
    <w:p w:rsidR="00E31017" w:rsidRDefault="00FA5B66">
      <w:pPr>
        <w:spacing w:line="150" w:lineRule="exact"/>
        <w:ind w:left="1080"/>
        <w:textAlignment w:val="baseline"/>
        <w:rPr>
          <w:rFonts w:ascii="Arial" w:eastAsia="Arial" w:hAnsi="Arial"/>
          <w:color w:val="000000"/>
          <w:sz w:val="13"/>
          <w:lang w:val="it-IT"/>
        </w:rPr>
      </w:pPr>
      <w:r>
        <w:lastRenderedPageBreak/>
        <w:pict>
          <v:shape id="_x0000_s1037" type="#_x0000_t202" style="position:absolute;left:0;text-align:left;margin-left:35.75pt;margin-top:1pt;width:486pt;height:63.4pt;z-index:-251654144;mso-wrap-distance-left:0;mso-wrap-distance-right:0;mso-position-horizontal-relative:page;mso-position-vertical-relative:page" filled="f" stroked="f">
            <v:textbox inset="0,0,0,0">
              <w:txbxContent>
                <w:p w:rsidR="00E31017" w:rsidRDefault="00FA5B66">
                  <w:pPr>
                    <w:spacing w:before="9" w:after="1014" w:line="245" w:lineRule="exact"/>
                    <w:ind w:left="4680" w:right="4795"/>
                    <w:textAlignment w:val="baseline"/>
                  </w:pPr>
                  <w:r>
                    <w:rPr>
                      <w:noProof/>
                      <w:lang w:val="it-IT" w:eastAsia="it-IT"/>
                    </w:rPr>
                    <w:drawing>
                      <wp:inline distT="0" distB="0" distL="0" distR="0">
                        <wp:extent cx="155575" cy="15557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z w:val="13"/>
          <w:lang w:val="it-IT"/>
        </w:rPr>
        <w:t>INTRODUZIONE</w:t>
      </w:r>
    </w:p>
    <w:p w:rsidR="00E31017" w:rsidRDefault="00FA5B66">
      <w:pPr>
        <w:spacing w:before="340" w:line="279" w:lineRule="exact"/>
        <w:ind w:left="1080" w:right="1224" w:firstLine="288"/>
        <w:jc w:val="both"/>
        <w:textAlignment w:val="baseline"/>
        <w:rPr>
          <w:rFonts w:eastAsia="Times New Roman"/>
          <w:color w:val="000000"/>
          <w:spacing w:val="-5"/>
          <w:lang w:val="it-IT"/>
        </w:rPr>
      </w:pPr>
      <w:r>
        <w:rPr>
          <w:rFonts w:eastAsia="Times New Roman"/>
          <w:color w:val="000000"/>
          <w:spacing w:val="-5"/>
          <w:lang w:val="it-IT"/>
        </w:rPr>
        <w:t xml:space="preserve">Per quanto altamente discrezionale, quindi, il </w:t>
      </w:r>
      <w:r>
        <w:rPr>
          <w:rFonts w:eastAsia="Times New Roman"/>
          <w:i/>
          <w:color w:val="000000"/>
          <w:spacing w:val="-5"/>
          <w:lang w:val="it-IT"/>
        </w:rPr>
        <w:t xml:space="preserve">golden power </w:t>
      </w:r>
      <w:r>
        <w:rPr>
          <w:rFonts w:eastAsia="Times New Roman"/>
          <w:color w:val="000000"/>
          <w:spacing w:val="-5"/>
          <w:lang w:val="it-IT"/>
        </w:rPr>
        <w:t>rimane un’attività am</w:t>
      </w:r>
      <w:r>
        <w:rPr>
          <w:rFonts w:eastAsia="Times New Roman"/>
          <w:color w:val="000000"/>
          <w:spacing w:val="-5"/>
          <w:lang w:val="it-IT"/>
        </w:rPr>
        <w:softHyphen/>
        <w:t>ministrativa, il cui legittimo esercizio postula il rispetto delle garanzie procedimentali, la coerenza con la bilanciata soddisfazione degli interessi coinvolti nel procedim</w:t>
      </w:r>
      <w:r>
        <w:rPr>
          <w:rFonts w:eastAsia="Times New Roman"/>
          <w:color w:val="000000"/>
          <w:spacing w:val="-5"/>
          <w:lang w:val="it-IT"/>
        </w:rPr>
        <w:t>ento e l’adeguatezza rispetto allo scopo del potere pubblico, per come configurato dalla legge.</w:t>
      </w:r>
    </w:p>
    <w:p w:rsidR="00E31017" w:rsidRDefault="00FA5B66">
      <w:pPr>
        <w:spacing w:before="6"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Ovviamente, deve ammettersi che l’apprezzamento sulla consistenza e sull’inten-sità dell’esigenza di protezione degli interessi vitali dello Stato dalla minaccia arrecata dall’operazione economica scrutinata non può intendersi confinata entro stretti limit</w:t>
      </w:r>
      <w:r>
        <w:rPr>
          <w:rFonts w:eastAsia="Times New Roman"/>
          <w:color w:val="000000"/>
          <w:spacing w:val="-3"/>
          <w:lang w:val="it-IT"/>
        </w:rPr>
        <w:t xml:space="preserve">i tecnici, ma si dilata fino a una ponderazione della relazione (spesso conflittuale) tra la difesa della sicurezza del settore strategico interessato dall’operazione e l’esigenza di accogliere, favorire e garantire l’investimento e la presupposta libertà </w:t>
      </w:r>
      <w:r>
        <w:rPr>
          <w:rFonts w:eastAsia="Times New Roman"/>
          <w:color w:val="000000"/>
          <w:spacing w:val="-3"/>
          <w:lang w:val="it-IT"/>
        </w:rPr>
        <w:t>di stabilimento.</w:t>
      </w:r>
    </w:p>
    <w:p w:rsidR="00E31017" w:rsidRDefault="00FA5B66">
      <w:pPr>
        <w:spacing w:before="2" w:line="279" w:lineRule="exact"/>
        <w:ind w:left="1080" w:right="1224" w:firstLine="288"/>
        <w:jc w:val="both"/>
        <w:textAlignment w:val="baseline"/>
        <w:rPr>
          <w:rFonts w:eastAsia="Times New Roman"/>
          <w:color w:val="000000"/>
          <w:spacing w:val="-5"/>
          <w:lang w:val="it-IT"/>
        </w:rPr>
      </w:pPr>
      <w:r>
        <w:rPr>
          <w:rFonts w:eastAsia="Times New Roman"/>
          <w:color w:val="000000"/>
          <w:spacing w:val="-5"/>
          <w:lang w:val="it-IT"/>
        </w:rPr>
        <w:t>Ma, si ripete, tale giudizio non può mai sconfinare nella libertà insindacabile e deve restare circoscritto entro i limiti della discrezionalità amministrativa (per quanto estesa).</w:t>
      </w:r>
    </w:p>
    <w:p w:rsidR="00E31017" w:rsidRDefault="00FA5B66">
      <w:pPr>
        <w:spacing w:before="9"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 xml:space="preserve">L’ampiezza della discrezionalità, pur con i limiti appena </w:t>
      </w:r>
      <w:r>
        <w:rPr>
          <w:rFonts w:eastAsia="Times New Roman"/>
          <w:color w:val="000000"/>
          <w:spacing w:val="-3"/>
          <w:lang w:val="it-IT"/>
        </w:rPr>
        <w:t>segnalati, si riflette sull’in-tensità del sindacato giurisdizionale, che può estendersi dal controllo del rispetto delle regole procedurali fino allo scrutinio della correttezza e della coerenza dell’esercizio del potere, per come risultante dalle acquisi</w:t>
      </w:r>
      <w:r>
        <w:rPr>
          <w:rFonts w:eastAsia="Times New Roman"/>
          <w:color w:val="000000"/>
          <w:spacing w:val="-3"/>
          <w:lang w:val="it-IT"/>
        </w:rPr>
        <w:t>zioni istruttorie e dall’ordito motivazionale, ma che non può dilatarsi fino al giudizio del merito della valutazione dell’esigenza di protezione degli interessi essenziali dello Stato, se non inficiata dalla violazione dei paradigmi della proporzionalità,</w:t>
      </w:r>
      <w:r>
        <w:rPr>
          <w:rFonts w:eastAsia="Times New Roman"/>
          <w:color w:val="000000"/>
          <w:spacing w:val="-3"/>
          <w:lang w:val="it-IT"/>
        </w:rPr>
        <w:t xml:space="preserve"> della ragionevolezza e della non discriminazione, o da manifeste deviazioni valutative o carenze istruttorie.</w:t>
      </w:r>
    </w:p>
    <w:p w:rsidR="00E31017" w:rsidRDefault="00FA5B66">
      <w:pPr>
        <w:spacing w:before="7" w:line="279" w:lineRule="exact"/>
        <w:ind w:left="1080" w:right="1224" w:firstLine="288"/>
        <w:jc w:val="both"/>
        <w:textAlignment w:val="baseline"/>
        <w:rPr>
          <w:rFonts w:eastAsia="Times New Roman"/>
          <w:color w:val="000000"/>
          <w:spacing w:val="-7"/>
          <w:lang w:val="it-IT"/>
        </w:rPr>
      </w:pPr>
      <w:r>
        <w:pict>
          <v:shape id="_x0000_s1036" type="#_x0000_t202" style="position:absolute;left:0;text-align:left;margin-left:1.45pt;margin-top:368.9pt;width:12.25pt;height:12.2pt;z-index:-251653120;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35" type="#_x0000_t202" style="position:absolute;left:0;text-align:left;margin-left:538.1pt;margin-top:368.9pt;width:12pt;height:12.2pt;z-index:-251652096;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spacing w:val="-7"/>
          <w:lang w:val="it-IT"/>
        </w:rPr>
        <w:t>Il provvedimento di esercizio dei poteri speciali deve, in altri termini, resistere al test di proporzionalità e di adeguatezza delle m</w:t>
      </w:r>
      <w:r>
        <w:rPr>
          <w:rFonts w:eastAsia="Times New Roman"/>
          <w:color w:val="000000"/>
          <w:spacing w:val="-7"/>
          <w:lang w:val="it-IT"/>
        </w:rPr>
        <w:t>isure adottate che, pur nel rispetto del carattere altamente discrezionale del potere, può estendersi fino a riscontrare l’erroneo apprezza</w:t>
      </w:r>
      <w:r>
        <w:rPr>
          <w:rFonts w:eastAsia="Times New Roman"/>
          <w:color w:val="000000"/>
          <w:spacing w:val="-7"/>
          <w:lang w:val="it-IT"/>
        </w:rPr>
        <w:softHyphen/>
        <w:t>mento della idoneità della misura adottata a realizzare, nella forma più equilibrata, la difesa dell’interesse pubbl</w:t>
      </w:r>
      <w:r>
        <w:rPr>
          <w:rFonts w:eastAsia="Times New Roman"/>
          <w:color w:val="000000"/>
          <w:spacing w:val="-7"/>
          <w:lang w:val="it-IT"/>
        </w:rPr>
        <w:t>ico, con il minor sacrificio imposto all’operatore economico.</w:t>
      </w:r>
    </w:p>
    <w:p w:rsidR="00E31017" w:rsidRDefault="00FA5B66">
      <w:pPr>
        <w:spacing w:before="30" w:line="248" w:lineRule="exact"/>
        <w:ind w:left="1368"/>
        <w:jc w:val="both"/>
        <w:textAlignment w:val="baseline"/>
        <w:rPr>
          <w:rFonts w:eastAsia="Times New Roman"/>
          <w:color w:val="000000"/>
          <w:spacing w:val="-3"/>
          <w:lang w:val="it-IT"/>
        </w:rPr>
      </w:pPr>
      <w:r>
        <w:rPr>
          <w:rFonts w:eastAsia="Times New Roman"/>
          <w:color w:val="000000"/>
          <w:spacing w:val="-3"/>
          <w:lang w:val="it-IT"/>
        </w:rPr>
        <w:t>Un’ulteriore riflessione si impone sull’evoluzione del ruolo dello Stato.</w:t>
      </w:r>
    </w:p>
    <w:p w:rsidR="00E31017" w:rsidRDefault="00FA5B66">
      <w:pPr>
        <w:spacing w:before="4"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Già la transizione dal regime della </w:t>
      </w:r>
      <w:r>
        <w:rPr>
          <w:rFonts w:eastAsia="Times New Roman"/>
          <w:i/>
          <w:color w:val="000000"/>
          <w:lang w:val="it-IT"/>
        </w:rPr>
        <w:t xml:space="preserve">golden share </w:t>
      </w:r>
      <w:r>
        <w:rPr>
          <w:rFonts w:eastAsia="Times New Roman"/>
          <w:color w:val="000000"/>
          <w:lang w:val="it-IT"/>
        </w:rPr>
        <w:t xml:space="preserve">a quello del </w:t>
      </w:r>
      <w:r>
        <w:rPr>
          <w:rFonts w:eastAsia="Times New Roman"/>
          <w:i/>
          <w:color w:val="000000"/>
          <w:lang w:val="it-IT"/>
        </w:rPr>
        <w:t xml:space="preserve">golden power </w:t>
      </w:r>
      <w:r>
        <w:rPr>
          <w:rFonts w:eastAsia="Times New Roman"/>
          <w:color w:val="000000"/>
          <w:lang w:val="it-IT"/>
        </w:rPr>
        <w:t>aveva imposto una riflessione sulla (nuova) funzione dello Stato.</w:t>
      </w:r>
    </w:p>
    <w:p w:rsidR="00E31017" w:rsidRDefault="00FA5B66">
      <w:pPr>
        <w:spacing w:before="6"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La progressiva dilatazione, nel corso degli anni, dell’ambito di applicazione del re</w:t>
      </w:r>
      <w:r>
        <w:rPr>
          <w:rFonts w:eastAsia="Times New Roman"/>
          <w:color w:val="000000"/>
          <w:spacing w:val="-4"/>
          <w:lang w:val="it-IT"/>
        </w:rPr>
        <w:softHyphen/>
        <w:t xml:space="preserve">gime del </w:t>
      </w:r>
      <w:r>
        <w:rPr>
          <w:rFonts w:eastAsia="Times New Roman"/>
          <w:i/>
          <w:color w:val="000000"/>
          <w:spacing w:val="-4"/>
          <w:lang w:val="it-IT"/>
        </w:rPr>
        <w:t xml:space="preserve">golden power </w:t>
      </w:r>
      <w:r>
        <w:rPr>
          <w:rFonts w:eastAsia="Times New Roman"/>
          <w:color w:val="000000"/>
          <w:spacing w:val="-4"/>
          <w:lang w:val="it-IT"/>
        </w:rPr>
        <w:t>(per effetto dell’emergenza Covid-19, della crisi energetica, della guerra in Ucraina e dello sviluppo delle nuove tecnologie), che costituisce il sintomo più evidente dell’attualità, della ineludibilità e della duttilità dello strumento, rafforza, inoltre</w:t>
      </w:r>
      <w:r>
        <w:rPr>
          <w:rFonts w:eastAsia="Times New Roman"/>
          <w:color w:val="000000"/>
          <w:spacing w:val="-4"/>
          <w:lang w:val="it-IT"/>
        </w:rPr>
        <w:t>, l’esigenza di una qualificazione del compito dello Stato nella sorveglianza sugli investimenti nei settori sensibili.</w:t>
      </w:r>
    </w:p>
    <w:p w:rsidR="00E31017" w:rsidRDefault="00FA5B66">
      <w:pPr>
        <w:spacing w:before="5" w:line="279" w:lineRule="exact"/>
        <w:ind w:left="1080" w:right="1224" w:firstLine="288"/>
        <w:jc w:val="both"/>
        <w:textAlignment w:val="baseline"/>
        <w:rPr>
          <w:rFonts w:eastAsia="Times New Roman"/>
          <w:color w:val="000000"/>
          <w:spacing w:val="-5"/>
          <w:lang w:val="it-IT"/>
        </w:rPr>
      </w:pPr>
      <w:r>
        <w:rPr>
          <w:rFonts w:eastAsia="Times New Roman"/>
          <w:color w:val="000000"/>
          <w:spacing w:val="-5"/>
          <w:lang w:val="it-IT"/>
        </w:rPr>
        <w:t>L’ampliamento del novero di questi ultimi, dell’ambito territoriale di riferimento (esteso anche a operazioni intra-UE) e, quindi, delle</w:t>
      </w:r>
      <w:r>
        <w:rPr>
          <w:rFonts w:eastAsia="Times New Roman"/>
          <w:color w:val="000000"/>
          <w:spacing w:val="-5"/>
          <w:lang w:val="it-IT"/>
        </w:rPr>
        <w:t xml:space="preserve"> operazioni scrutinate ha, in par</w:t>
      </w:r>
      <w:r>
        <w:rPr>
          <w:rFonts w:eastAsia="Times New Roman"/>
          <w:color w:val="000000"/>
          <w:spacing w:val="-5"/>
          <w:lang w:val="it-IT"/>
        </w:rPr>
        <w:softHyphen/>
        <w:t>ticolare, assegnato allo Stato attribuzioni sempre più rilevanti nella vigilanza e nel go</w:t>
      </w:r>
      <w:r>
        <w:rPr>
          <w:rFonts w:eastAsia="Times New Roman"/>
          <w:color w:val="000000"/>
          <w:spacing w:val="-5"/>
          <w:lang w:val="it-IT"/>
        </w:rPr>
        <w:softHyphen/>
        <w:t>verno delle operazioni societarie nei settori strategici (come estesi nel corso degli anni).</w:t>
      </w:r>
    </w:p>
    <w:p w:rsidR="00E31017" w:rsidRDefault="00FA5B66">
      <w:pPr>
        <w:spacing w:before="4" w:line="279" w:lineRule="exact"/>
        <w:ind w:left="1080" w:right="1224" w:firstLine="288"/>
        <w:jc w:val="both"/>
        <w:textAlignment w:val="baseline"/>
        <w:rPr>
          <w:rFonts w:eastAsia="Times New Roman"/>
          <w:color w:val="000000"/>
          <w:lang w:val="it-IT"/>
        </w:rPr>
      </w:pPr>
      <w:r>
        <w:rPr>
          <w:rFonts w:eastAsia="Times New Roman"/>
          <w:color w:val="000000"/>
          <w:lang w:val="it-IT"/>
        </w:rPr>
        <w:t>Se risulta agevole rilevare la transizi</w:t>
      </w:r>
      <w:r>
        <w:rPr>
          <w:rFonts w:eastAsia="Times New Roman"/>
          <w:color w:val="000000"/>
          <w:lang w:val="it-IT"/>
        </w:rPr>
        <w:t>one genetica dallo Stato imprenditore o azio</w:t>
      </w:r>
      <w:r>
        <w:rPr>
          <w:rFonts w:eastAsia="Times New Roman"/>
          <w:color w:val="000000"/>
          <w:lang w:val="it-IT"/>
        </w:rPr>
        <w:softHyphen/>
        <w:t>nista allo Stato regolatore o vigilante, risulta più complessa la sua qualificazione come Stato stratega o doganiere (secondo le fortunate catalogazioni lessicali rinveni</w:t>
      </w:r>
      <w:r>
        <w:rPr>
          <w:rFonts w:eastAsia="Times New Roman"/>
          <w:color w:val="000000"/>
          <w:lang w:val="it-IT"/>
        </w:rPr>
        <w:softHyphen/>
        <w:t>bili in alcuni studi).</w:t>
      </w:r>
    </w:p>
    <w:p w:rsidR="00E31017" w:rsidRDefault="00FA5B66">
      <w:pPr>
        <w:spacing w:before="49" w:line="182" w:lineRule="exact"/>
        <w:ind w:left="360"/>
        <w:textAlignment w:val="baseline"/>
        <w:rPr>
          <w:rFonts w:ascii="Tahoma" w:eastAsia="Tahoma" w:hAnsi="Tahoma"/>
          <w:color w:val="000000"/>
          <w:sz w:val="15"/>
          <w:lang w:val="it-IT"/>
        </w:rPr>
      </w:pPr>
      <w:r>
        <w:rPr>
          <w:rFonts w:ascii="Tahoma" w:eastAsia="Tahoma" w:hAnsi="Tahoma"/>
          <w:color w:val="000000"/>
          <w:sz w:val="15"/>
          <w:lang w:val="it-IT"/>
        </w:rPr>
        <w:t>6</w:t>
      </w:r>
    </w:p>
    <w:p w:rsidR="00E31017" w:rsidRDefault="00FA5B66">
      <w:pPr>
        <w:tabs>
          <w:tab w:val="right" w:pos="9576"/>
        </w:tabs>
        <w:spacing w:before="1000" w:line="138" w:lineRule="exact"/>
        <w:ind w:left="144"/>
        <w:textAlignment w:val="baseline"/>
        <w:rPr>
          <w:rFonts w:ascii="Helvetica" w:eastAsia="Helvetica" w:hAnsi="Helvetica"/>
          <w:color w:val="000000"/>
          <w:sz w:val="12"/>
          <w:lang w:val="it-IT"/>
        </w:rPr>
      </w:pPr>
      <w:r>
        <w:pict>
          <v:shape id="_x0000_s1034" type="#_x0000_t202" style="position:absolute;left:0;text-align:left;margin-left:269.75pt;margin-top:736.3pt;width:12.25pt;height:12.25pt;z-index:-251651072;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GOLDEN POWER_BOOK.indb 6</w:t>
      </w:r>
      <w:r>
        <w:rPr>
          <w:rFonts w:ascii="Helvetica" w:eastAsia="Helvetica" w:hAnsi="Helvetica"/>
          <w:color w:val="000000"/>
          <w:sz w:val="12"/>
          <w:lang w:val="it-IT"/>
        </w:rPr>
        <w:tab/>
        <w:t>13.11.23 15:57</w:t>
      </w:r>
    </w:p>
    <w:p w:rsidR="00E31017" w:rsidRDefault="00E31017">
      <w:pPr>
        <w:sectPr w:rsidR="00E31017">
          <w:pgSz w:w="11035" w:h="15000"/>
          <w:pgMar w:top="20" w:right="600" w:bottom="0" w:left="715" w:header="720" w:footer="720" w:gutter="0"/>
          <w:cols w:space="720"/>
        </w:sectPr>
      </w:pPr>
    </w:p>
    <w:p w:rsidR="00E31017" w:rsidRDefault="00FA5B66">
      <w:pPr>
        <w:spacing w:before="1" w:line="161" w:lineRule="exact"/>
        <w:ind w:left="7416"/>
        <w:textAlignment w:val="baseline"/>
        <w:rPr>
          <w:rFonts w:ascii="Arial" w:eastAsia="Arial" w:hAnsi="Arial"/>
          <w:color w:val="000000"/>
          <w:spacing w:val="-4"/>
          <w:sz w:val="14"/>
          <w:lang w:val="it-IT"/>
        </w:rPr>
      </w:pPr>
      <w:r>
        <w:lastRenderedPageBreak/>
        <w:pict>
          <v:shape id="_x0000_s1033" type="#_x0000_t202" style="position:absolute;left:0;text-align:left;margin-left:35.75pt;margin-top:1pt;width:486pt;height:62.95pt;z-index:-251650048;mso-wrap-distance-left:0;mso-wrap-distance-right:0;mso-position-horizontal-relative:page;mso-position-vertical-relative:page" filled="f" stroked="f">
            <v:textbox inset="0,0,0,0">
              <w:txbxContent>
                <w:p w:rsidR="00E31017" w:rsidRDefault="00FA5B66">
                  <w:pPr>
                    <w:spacing w:before="9" w:after="1005" w:line="245" w:lineRule="exact"/>
                    <w:ind w:left="4680" w:right="4795"/>
                    <w:textAlignment w:val="baseline"/>
                  </w:pPr>
                  <w:r>
                    <w:rPr>
                      <w:noProof/>
                      <w:lang w:val="it-IT" w:eastAsia="it-IT"/>
                    </w:rPr>
                    <w:drawing>
                      <wp:inline distT="0" distB="0" distL="0" distR="0">
                        <wp:extent cx="155575" cy="15557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pacing w:val="-4"/>
          <w:sz w:val="14"/>
          <w:lang w:val="it-IT"/>
        </w:rPr>
        <w:t>INTRODUZIONE</w:t>
      </w:r>
    </w:p>
    <w:p w:rsidR="00E31017" w:rsidRDefault="00FA5B66">
      <w:pPr>
        <w:spacing w:before="337" w:line="279" w:lineRule="exact"/>
        <w:ind w:left="1080" w:right="1224" w:firstLine="288"/>
        <w:jc w:val="both"/>
        <w:textAlignment w:val="baseline"/>
        <w:rPr>
          <w:rFonts w:eastAsia="Times New Roman"/>
          <w:color w:val="000000"/>
          <w:lang w:val="it-IT"/>
        </w:rPr>
      </w:pPr>
      <w:r>
        <w:rPr>
          <w:rFonts w:eastAsia="Times New Roman"/>
          <w:color w:val="000000"/>
          <w:lang w:val="it-IT"/>
        </w:rPr>
        <w:t>Mentre, infatti, le funzioni di regolazione o di sorveglianza trovano un sicuro fon</w:t>
      </w:r>
      <w:r>
        <w:rPr>
          <w:rFonts w:eastAsia="Times New Roman"/>
          <w:color w:val="000000"/>
          <w:lang w:val="it-IT"/>
        </w:rPr>
        <w:softHyphen/>
      </w:r>
      <w:r>
        <w:rPr>
          <w:rFonts w:eastAsia="Times New Roman"/>
          <w:color w:val="000000"/>
          <w:lang w:val="it-IT"/>
        </w:rPr>
        <w:t>damento nell’analisi della normativa di riferimento, quelle di custode della sovranità nazionale nei settori strategici devono necessariamente essere intese entro i limiti te</w:t>
      </w:r>
      <w:r>
        <w:rPr>
          <w:rFonts w:eastAsia="Times New Roman"/>
          <w:color w:val="000000"/>
          <w:lang w:val="it-IT"/>
        </w:rPr>
        <w:softHyphen/>
        <w:t>leologici descritti dalla legge attributiva del potere.</w:t>
      </w:r>
    </w:p>
    <w:p w:rsidR="00E31017" w:rsidRDefault="00FA5B66">
      <w:pPr>
        <w:spacing w:before="7"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 xml:space="preserve">Se non v’è dubbio che la </w:t>
      </w:r>
      <w:r>
        <w:rPr>
          <w:rFonts w:eastAsia="Times New Roman"/>
          <w:color w:val="000000"/>
          <w:spacing w:val="-4"/>
          <w:lang w:val="it-IT"/>
        </w:rPr>
        <w:t xml:space="preserve">disciplina </w:t>
      </w:r>
      <w:r>
        <w:rPr>
          <w:rFonts w:eastAsia="Times New Roman"/>
          <w:i/>
          <w:color w:val="000000"/>
          <w:spacing w:val="-4"/>
          <w:lang w:val="it-IT"/>
        </w:rPr>
        <w:t>golden power</w:t>
      </w:r>
      <w:r>
        <w:rPr>
          <w:rFonts w:eastAsia="Times New Roman"/>
          <w:color w:val="000000"/>
          <w:spacing w:val="-4"/>
          <w:lang w:val="it-IT"/>
        </w:rPr>
        <w:t>, per la sua stessa ragione costituiva, presenta inevitabili e ontologici profili nazionalistici, è altrettanto certo che la difesa della sicurezza nazionale dev’essere giustificata dall’esigenza di contrastare una minaccia concreta ed effettiva ad interes</w:t>
      </w:r>
      <w:r>
        <w:rPr>
          <w:rFonts w:eastAsia="Times New Roman"/>
          <w:color w:val="000000"/>
          <w:spacing w:val="-4"/>
          <w:lang w:val="it-IT"/>
        </w:rPr>
        <w:t>si vitali dello Stato (mentre non può fondarsi su mere esigenze di protezionismo economico).</w:t>
      </w:r>
    </w:p>
    <w:p w:rsidR="00E31017" w:rsidRDefault="00FA5B66">
      <w:pPr>
        <w:spacing w:before="13" w:line="279" w:lineRule="exact"/>
        <w:ind w:left="1080" w:right="1224" w:firstLine="288"/>
        <w:jc w:val="both"/>
        <w:textAlignment w:val="baseline"/>
        <w:rPr>
          <w:rFonts w:eastAsia="Times New Roman"/>
          <w:color w:val="000000"/>
          <w:lang w:val="it-IT"/>
        </w:rPr>
      </w:pPr>
      <w:r>
        <w:rPr>
          <w:rFonts w:eastAsia="Times New Roman"/>
          <w:color w:val="000000"/>
          <w:lang w:val="it-IT"/>
        </w:rPr>
        <w:t xml:space="preserve">Non solo, ma i meccanismi di coordinamento con lo </w:t>
      </w:r>
      <w:r>
        <w:rPr>
          <w:rFonts w:eastAsia="Times New Roman"/>
          <w:i/>
          <w:color w:val="000000"/>
          <w:lang w:val="it-IT"/>
        </w:rPr>
        <w:t xml:space="preserve">screening </w:t>
      </w:r>
      <w:r>
        <w:rPr>
          <w:rFonts w:eastAsia="Times New Roman"/>
          <w:color w:val="000000"/>
          <w:lang w:val="it-IT"/>
        </w:rPr>
        <w:t>europeo, che pos</w:t>
      </w:r>
      <w:r>
        <w:rPr>
          <w:rFonts w:eastAsia="Times New Roman"/>
          <w:color w:val="000000"/>
          <w:lang w:val="it-IT"/>
        </w:rPr>
        <w:softHyphen/>
        <w:t>sono produrre un parere della Commissione (secondo la disciplina contenuta nel re</w:t>
      </w:r>
      <w:r>
        <w:rPr>
          <w:rFonts w:eastAsia="Times New Roman"/>
          <w:color w:val="000000"/>
          <w:lang w:val="it-IT"/>
        </w:rPr>
        <w:softHyphen/>
        <w:t>gola</w:t>
      </w:r>
      <w:r>
        <w:rPr>
          <w:rFonts w:eastAsia="Times New Roman"/>
          <w:color w:val="000000"/>
          <w:lang w:val="it-IT"/>
        </w:rPr>
        <w:t>mento UE 2019/452), attenuano il rischio di derive sovraniste e impongono un’e-segesi equilibrata dei profili di difesa nazionale che tenga conto dell’opinione europea che, ancorchè non vincolante, riveste una rilevanza procedurale (secondo lo schema “</w:t>
      </w:r>
      <w:r>
        <w:rPr>
          <w:rFonts w:eastAsia="Times New Roman"/>
          <w:i/>
          <w:color w:val="000000"/>
          <w:lang w:val="it-IT"/>
        </w:rPr>
        <w:t>comp</w:t>
      </w:r>
      <w:r>
        <w:rPr>
          <w:rFonts w:eastAsia="Times New Roman"/>
          <w:i/>
          <w:color w:val="000000"/>
          <w:lang w:val="it-IT"/>
        </w:rPr>
        <w:t>ly or explain</w:t>
      </w:r>
      <w:r>
        <w:rPr>
          <w:rFonts w:eastAsia="Times New Roman"/>
          <w:color w:val="000000"/>
          <w:lang w:val="it-IT"/>
        </w:rPr>
        <w:t>”).</w:t>
      </w:r>
    </w:p>
    <w:p w:rsidR="00E31017" w:rsidRDefault="00FA5B66">
      <w:pPr>
        <w:spacing w:line="279" w:lineRule="exact"/>
        <w:ind w:left="1080" w:right="1224" w:firstLine="288"/>
        <w:jc w:val="both"/>
        <w:textAlignment w:val="baseline"/>
        <w:rPr>
          <w:rFonts w:eastAsia="Times New Roman"/>
          <w:color w:val="000000"/>
          <w:spacing w:val="-4"/>
          <w:lang w:val="it-IT"/>
        </w:rPr>
      </w:pPr>
      <w:r>
        <w:rPr>
          <w:rFonts w:eastAsia="Times New Roman"/>
          <w:color w:val="000000"/>
          <w:spacing w:val="-4"/>
          <w:lang w:val="it-IT"/>
        </w:rPr>
        <w:t>Un certo grado di tensione tra nazionalismo e mercato resta ineliminabile, co</w:t>
      </w:r>
      <w:r>
        <w:rPr>
          <w:rFonts w:eastAsia="Times New Roman"/>
          <w:color w:val="000000"/>
          <w:spacing w:val="-4"/>
          <w:lang w:val="it-IT"/>
        </w:rPr>
        <w:softHyphen/>
        <w:t xml:space="preserve">stituendo il carattere essenziale della disciplina </w:t>
      </w:r>
      <w:r>
        <w:rPr>
          <w:rFonts w:eastAsia="Times New Roman"/>
          <w:i/>
          <w:color w:val="000000"/>
          <w:spacing w:val="-4"/>
          <w:lang w:val="it-IT"/>
        </w:rPr>
        <w:t>golden power</w:t>
      </w:r>
      <w:r>
        <w:rPr>
          <w:rFonts w:eastAsia="Times New Roman"/>
          <w:color w:val="000000"/>
          <w:spacing w:val="-4"/>
          <w:lang w:val="it-IT"/>
        </w:rPr>
        <w:t>, in quanto preordinato proprio a risolvere quel conflitto in maniera equilibrata, ma vanno rifiut</w:t>
      </w:r>
      <w:r>
        <w:rPr>
          <w:rFonts w:eastAsia="Times New Roman"/>
          <w:color w:val="000000"/>
          <w:spacing w:val="-4"/>
          <w:lang w:val="it-IT"/>
        </w:rPr>
        <w:t>ate le letture che qualificano i poteri speciali come un (inedito e innovativo) strumento di intervento pubblico nell’economia (perlomeno secondo la sua concezione più dogmatica).</w:t>
      </w:r>
    </w:p>
    <w:p w:rsidR="00E31017" w:rsidRDefault="00FA5B66">
      <w:pPr>
        <w:spacing w:before="3" w:line="279" w:lineRule="exact"/>
        <w:ind w:left="1080" w:right="1224" w:firstLine="288"/>
        <w:jc w:val="both"/>
        <w:textAlignment w:val="baseline"/>
        <w:rPr>
          <w:rFonts w:eastAsia="Times New Roman"/>
          <w:color w:val="000000"/>
          <w:lang w:val="it-IT"/>
        </w:rPr>
      </w:pPr>
      <w:r>
        <w:pict>
          <v:shape id="_x0000_s1032" type="#_x0000_t202" style="position:absolute;left:0;text-align:left;margin-left:1.45pt;margin-top:368.9pt;width:12.25pt;height:12.2pt;z-index:-251649024;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31" type="#_x0000_t202" style="position:absolute;left:0;text-align:left;margin-left:538.1pt;margin-top:368.9pt;width:12pt;height:12.2pt;z-index:-251648000;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lang w:val="it-IT"/>
        </w:rPr>
        <w:t>Così esaurito un accenno alle linee interpretative di ordine gener</w:t>
      </w:r>
      <w:r>
        <w:rPr>
          <w:rFonts w:eastAsia="Times New Roman"/>
          <w:color w:val="000000"/>
          <w:lang w:val="it-IT"/>
        </w:rPr>
        <w:t>ale e meramente introduttivo dell’assetto della disciplina dei poteri speciali, non resta che esaminarne, in conclusione, gli esiti applicativi.</w:t>
      </w:r>
    </w:p>
    <w:p w:rsidR="00E31017" w:rsidRDefault="00FA5B66">
      <w:pPr>
        <w:spacing w:line="279" w:lineRule="exact"/>
        <w:ind w:left="1080" w:right="1224" w:firstLine="288"/>
        <w:jc w:val="both"/>
        <w:textAlignment w:val="baseline"/>
        <w:rPr>
          <w:rFonts w:eastAsia="Times New Roman"/>
          <w:color w:val="000000"/>
          <w:lang w:val="it-IT"/>
        </w:rPr>
      </w:pPr>
      <w:r>
        <w:rPr>
          <w:rFonts w:eastAsia="Times New Roman"/>
          <w:color w:val="000000"/>
          <w:lang w:val="it-IT"/>
        </w:rPr>
        <w:t>L’esperienza maturata negli anni di applicazione del D.L. n. 21/2012 ci consegna un quadro rassicurante.</w:t>
      </w:r>
    </w:p>
    <w:p w:rsidR="00E31017" w:rsidRDefault="00FA5B66">
      <w:pPr>
        <w:spacing w:before="2" w:line="279" w:lineRule="exact"/>
        <w:ind w:left="1080" w:right="1224" w:firstLine="288"/>
        <w:jc w:val="both"/>
        <w:textAlignment w:val="baseline"/>
        <w:rPr>
          <w:rFonts w:eastAsia="Times New Roman"/>
          <w:color w:val="000000"/>
          <w:lang w:val="it-IT"/>
        </w:rPr>
      </w:pPr>
      <w:r>
        <w:rPr>
          <w:rFonts w:eastAsia="Times New Roman"/>
          <w:color w:val="000000"/>
          <w:lang w:val="it-IT"/>
        </w:rPr>
        <w:t>L’analisi del governo delle procedure conferma, infatti, che i poteri speciali sono stati esercitati secondo canoni di prudenza, selettività e ragionevolezza.</w:t>
      </w:r>
    </w:p>
    <w:p w:rsidR="00E31017" w:rsidRDefault="00FA5B66">
      <w:pPr>
        <w:spacing w:before="3" w:line="279" w:lineRule="exact"/>
        <w:ind w:left="1080" w:right="1224" w:firstLine="288"/>
        <w:jc w:val="both"/>
        <w:textAlignment w:val="baseline"/>
        <w:rPr>
          <w:rFonts w:eastAsia="Times New Roman"/>
          <w:color w:val="000000"/>
          <w:lang w:val="it-IT"/>
        </w:rPr>
      </w:pPr>
      <w:r>
        <w:rPr>
          <w:rFonts w:eastAsia="Times New Roman"/>
          <w:color w:val="000000"/>
          <w:lang w:val="it-IT"/>
        </w:rPr>
        <w:t>In particolare, è stato seguito un approccio del tutto equilibrato che, sul pre</w:t>
      </w:r>
      <w:r>
        <w:rPr>
          <w:rFonts w:eastAsia="Times New Roman"/>
          <w:color w:val="000000"/>
          <w:lang w:val="it-IT"/>
        </w:rPr>
        <w:softHyphen/>
        <w:t>supposto (conferm</w:t>
      </w:r>
      <w:r>
        <w:rPr>
          <w:rFonts w:eastAsia="Times New Roman"/>
          <w:color w:val="000000"/>
          <w:lang w:val="it-IT"/>
        </w:rPr>
        <w:t>ato dalle statistiche) del carattere eccezionale dell’esercizio dei poteri speciali (in particolare, di quelli di veto o di opposizione), ha preferito un’at-tenta e misurata gradazione delle misure (con una preferenza per le prescrizioni, rispetto ai provv</w:t>
      </w:r>
      <w:r>
        <w:rPr>
          <w:rFonts w:eastAsia="Times New Roman"/>
          <w:color w:val="000000"/>
          <w:lang w:val="it-IT"/>
        </w:rPr>
        <w:t>edimenti interdittivi), in ossequio ai canoni di proporzionalità e non discriminazione.</w:t>
      </w:r>
    </w:p>
    <w:p w:rsidR="00E31017" w:rsidRDefault="00FA5B66">
      <w:pPr>
        <w:spacing w:before="7" w:line="279" w:lineRule="exact"/>
        <w:ind w:left="1080" w:right="1224" w:firstLine="288"/>
        <w:jc w:val="both"/>
        <w:textAlignment w:val="baseline"/>
        <w:rPr>
          <w:rFonts w:eastAsia="Times New Roman"/>
          <w:color w:val="000000"/>
          <w:lang w:val="it-IT"/>
        </w:rPr>
      </w:pPr>
      <w:r>
        <w:rPr>
          <w:rFonts w:eastAsia="Times New Roman"/>
          <w:color w:val="000000"/>
          <w:lang w:val="it-IT"/>
        </w:rPr>
        <w:t>Inoltre, consta la scrupolosa osservanza delle garanzie procedimentali, del contrad</w:t>
      </w:r>
      <w:r>
        <w:rPr>
          <w:rFonts w:eastAsia="Times New Roman"/>
          <w:color w:val="000000"/>
          <w:lang w:val="it-IT"/>
        </w:rPr>
        <w:softHyphen/>
        <w:t>dittorio, dei termini e dell’obbligo motivazionale.</w:t>
      </w:r>
    </w:p>
    <w:p w:rsidR="00E31017" w:rsidRDefault="00FA5B66">
      <w:pPr>
        <w:spacing w:before="3" w:line="279" w:lineRule="exact"/>
        <w:ind w:left="1080" w:right="1224" w:firstLine="288"/>
        <w:jc w:val="both"/>
        <w:textAlignment w:val="baseline"/>
        <w:rPr>
          <w:rFonts w:eastAsia="Times New Roman"/>
          <w:color w:val="000000"/>
          <w:spacing w:val="-2"/>
          <w:lang w:val="it-IT"/>
        </w:rPr>
      </w:pPr>
      <w:r>
        <w:rPr>
          <w:rFonts w:eastAsia="Times New Roman"/>
          <w:color w:val="000000"/>
          <w:spacing w:val="-2"/>
          <w:lang w:val="it-IT"/>
        </w:rPr>
        <w:t>Un’attenzione particolare è stat</w:t>
      </w:r>
      <w:r>
        <w:rPr>
          <w:rFonts w:eastAsia="Times New Roman"/>
          <w:color w:val="000000"/>
          <w:spacing w:val="-2"/>
          <w:lang w:val="it-IT"/>
        </w:rPr>
        <w:t>a, poi, dedicata alla completezza dell’istruttoria, mediante l’acquisizione di tutte le informazioni, anche per mezzo dell’uso ponderato dello strumento dell’audizioni dei terzi, utili a fondare un apprezzamento compiuto e informato dei presupposti per l’e</w:t>
      </w:r>
      <w:r>
        <w:rPr>
          <w:rFonts w:eastAsia="Times New Roman"/>
          <w:color w:val="000000"/>
          <w:spacing w:val="-2"/>
          <w:lang w:val="it-IT"/>
        </w:rPr>
        <w:t>sercizio dei poteri speciali.</w:t>
      </w:r>
    </w:p>
    <w:p w:rsidR="00E31017" w:rsidRDefault="00FA5B66">
      <w:pPr>
        <w:spacing w:before="13" w:line="279" w:lineRule="exact"/>
        <w:ind w:left="1080" w:right="1224" w:firstLine="288"/>
        <w:jc w:val="both"/>
        <w:textAlignment w:val="baseline"/>
        <w:rPr>
          <w:rFonts w:eastAsia="Times New Roman"/>
          <w:color w:val="000000"/>
          <w:spacing w:val="-3"/>
          <w:lang w:val="it-IT"/>
        </w:rPr>
      </w:pPr>
      <w:r>
        <w:rPr>
          <w:rFonts w:eastAsia="Times New Roman"/>
          <w:color w:val="000000"/>
          <w:spacing w:val="-3"/>
          <w:lang w:val="it-IT"/>
        </w:rPr>
        <w:t>Il rigoroso rispetto dei presidi procedurali e dei parametri valutativi, nonché il con</w:t>
      </w:r>
      <w:r>
        <w:rPr>
          <w:rFonts w:eastAsia="Times New Roman"/>
          <w:color w:val="000000"/>
          <w:spacing w:val="-3"/>
          <w:lang w:val="it-IT"/>
        </w:rPr>
        <w:softHyphen/>
        <w:t xml:space="preserve">solidamento di prassi uniformi e affidabili, consente di attestare la conformità dell’ap-plicazione della normativa </w:t>
      </w:r>
      <w:r>
        <w:rPr>
          <w:rFonts w:eastAsia="Times New Roman"/>
          <w:i/>
          <w:color w:val="000000"/>
          <w:spacing w:val="-3"/>
          <w:lang w:val="it-IT"/>
        </w:rPr>
        <w:t xml:space="preserve">golden power </w:t>
      </w:r>
      <w:r>
        <w:rPr>
          <w:rFonts w:eastAsia="Times New Roman"/>
          <w:color w:val="000000"/>
          <w:spacing w:val="-3"/>
          <w:lang w:val="it-IT"/>
        </w:rPr>
        <w:t>alle esigenze della certezza del diritto e della</w:t>
      </w:r>
    </w:p>
    <w:p w:rsidR="00E31017" w:rsidRDefault="00FA5B66">
      <w:pPr>
        <w:spacing w:before="40" w:line="182" w:lineRule="exact"/>
        <w:ind w:left="9000"/>
        <w:textAlignment w:val="baseline"/>
        <w:rPr>
          <w:rFonts w:ascii="Tahoma" w:eastAsia="Tahoma" w:hAnsi="Tahoma"/>
          <w:color w:val="000000"/>
          <w:sz w:val="15"/>
          <w:lang w:val="it-IT"/>
        </w:rPr>
      </w:pPr>
      <w:r>
        <w:rPr>
          <w:rFonts w:ascii="Tahoma" w:eastAsia="Tahoma" w:hAnsi="Tahoma"/>
          <w:color w:val="000000"/>
          <w:sz w:val="15"/>
          <w:lang w:val="it-IT"/>
        </w:rPr>
        <w:t>7</w:t>
      </w:r>
    </w:p>
    <w:p w:rsidR="00E31017" w:rsidRDefault="00FA5B66">
      <w:pPr>
        <w:tabs>
          <w:tab w:val="right" w:pos="9576"/>
        </w:tabs>
        <w:spacing w:before="1000" w:line="138" w:lineRule="exact"/>
        <w:ind w:left="144"/>
        <w:textAlignment w:val="baseline"/>
        <w:rPr>
          <w:rFonts w:ascii="Helvetica" w:eastAsia="Helvetica" w:hAnsi="Helvetica"/>
          <w:color w:val="000000"/>
          <w:sz w:val="12"/>
          <w:lang w:val="it-IT"/>
        </w:rPr>
      </w:pPr>
      <w:r>
        <w:pict>
          <v:shape id="_x0000_s1030" type="#_x0000_t202" style="position:absolute;left:0;text-align:left;margin-left:269.75pt;margin-top:736.3pt;width:12.25pt;height:12.25pt;z-index:-251646976;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 xml:space="preserve">GOLDEN POWER_BOOK.indb </w:t>
      </w:r>
      <w:r>
        <w:rPr>
          <w:rFonts w:ascii="Helvetica" w:eastAsia="Helvetica" w:hAnsi="Helvetica"/>
          <w:b/>
          <w:color w:val="000000"/>
          <w:sz w:val="12"/>
          <w:lang w:val="it-IT"/>
        </w:rPr>
        <w:t>7</w:t>
      </w:r>
      <w:r>
        <w:rPr>
          <w:rFonts w:ascii="Helvetica" w:eastAsia="Helvetica" w:hAnsi="Helvetica"/>
          <w:b/>
          <w:color w:val="000000"/>
          <w:sz w:val="12"/>
          <w:lang w:val="it-IT"/>
        </w:rPr>
        <w:tab/>
      </w:r>
      <w:r>
        <w:rPr>
          <w:rFonts w:ascii="Helvetica" w:eastAsia="Helvetica" w:hAnsi="Helvetica"/>
          <w:color w:val="000000"/>
          <w:sz w:val="12"/>
          <w:lang w:val="it-IT"/>
        </w:rPr>
        <w:t>13.11.23 15:57</w:t>
      </w:r>
    </w:p>
    <w:p w:rsidR="00E31017" w:rsidRDefault="00E31017">
      <w:pPr>
        <w:sectPr w:rsidR="00E31017">
          <w:pgSz w:w="11035" w:h="15000"/>
          <w:pgMar w:top="20" w:right="600" w:bottom="0" w:left="715" w:header="720" w:footer="720" w:gutter="0"/>
          <w:cols w:space="720"/>
        </w:sectPr>
      </w:pPr>
    </w:p>
    <w:p w:rsidR="00E31017" w:rsidRDefault="00FA5B66">
      <w:pPr>
        <w:spacing w:line="150" w:lineRule="exact"/>
        <w:ind w:left="1152"/>
        <w:textAlignment w:val="baseline"/>
        <w:rPr>
          <w:rFonts w:ascii="Arial" w:eastAsia="Arial" w:hAnsi="Arial"/>
          <w:color w:val="000000"/>
          <w:sz w:val="13"/>
          <w:lang w:val="it-IT"/>
        </w:rPr>
      </w:pPr>
      <w:r>
        <w:lastRenderedPageBreak/>
        <w:pict>
          <v:shape id="_x0000_s1029" type="#_x0000_t202" style="position:absolute;left:0;text-align:left;margin-left:32.5pt;margin-top:1pt;width:486pt;height:63.4pt;z-index:-251645952;mso-wrap-distance-left:0;mso-wrap-distance-right:0;mso-position-horizontal-relative:page;mso-position-vertical-relative:page" filled="f" stroked="f">
            <v:textbox inset="0,0,0,0">
              <w:txbxContent>
                <w:p w:rsidR="00E31017" w:rsidRDefault="00FA5B66">
                  <w:pPr>
                    <w:spacing w:before="9" w:after="1014" w:line="245" w:lineRule="exact"/>
                    <w:ind w:left="4745" w:right="4730"/>
                    <w:textAlignment w:val="baseline"/>
                  </w:pPr>
                  <w:r>
                    <w:rPr>
                      <w:noProof/>
                      <w:lang w:val="it-IT" w:eastAsia="it-IT"/>
                    </w:rPr>
                    <w:drawing>
                      <wp:inline distT="0" distB="0" distL="0" distR="0">
                        <wp:extent cx="155575" cy="15557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12"/>
                                <a:stretch>
                                  <a:fillRect/>
                                </a:stretch>
                              </pic:blipFill>
                              <pic:spPr>
                                <a:xfrm>
                                  <a:off x="0" y="0"/>
                                  <a:ext cx="155575" cy="155575"/>
                                </a:xfrm>
                                <a:prstGeom prst="rect">
                                  <a:avLst/>
                                </a:prstGeom>
                              </pic:spPr>
                            </pic:pic>
                          </a:graphicData>
                        </a:graphic>
                      </wp:inline>
                    </w:drawing>
                  </w:r>
                </w:p>
              </w:txbxContent>
            </v:textbox>
            <w10:wrap type="square" anchorx="page" anchory="page"/>
          </v:shape>
        </w:pict>
      </w:r>
      <w:r>
        <w:rPr>
          <w:rFonts w:ascii="Arial" w:eastAsia="Arial" w:hAnsi="Arial"/>
          <w:color w:val="000000"/>
          <w:sz w:val="13"/>
          <w:lang w:val="it-IT"/>
        </w:rPr>
        <w:t>INTRODUZIONE</w:t>
      </w:r>
    </w:p>
    <w:p w:rsidR="00E31017" w:rsidRDefault="00FA5B66">
      <w:pPr>
        <w:spacing w:before="336" w:line="280" w:lineRule="exact"/>
        <w:ind w:left="1152" w:right="1152"/>
        <w:jc w:val="both"/>
        <w:textAlignment w:val="baseline"/>
        <w:rPr>
          <w:rFonts w:eastAsia="Times New Roman"/>
          <w:color w:val="000000"/>
          <w:spacing w:val="-4"/>
          <w:lang w:val="it-IT"/>
        </w:rPr>
      </w:pPr>
      <w:r>
        <w:rPr>
          <w:rFonts w:eastAsia="Times New Roman"/>
          <w:color w:val="000000"/>
          <w:spacing w:val="-4"/>
          <w:lang w:val="it-IT"/>
        </w:rPr>
        <w:t>prevedibilità delle decisioni, senza, quindi, la necessità della incerta e rischiosa tipiz</w:t>
      </w:r>
      <w:r>
        <w:rPr>
          <w:rFonts w:eastAsia="Times New Roman"/>
          <w:color w:val="000000"/>
          <w:spacing w:val="-4"/>
          <w:lang w:val="it-IT"/>
        </w:rPr>
        <w:softHyphen/>
      </w:r>
      <w:r>
        <w:rPr>
          <w:rFonts w:eastAsia="Times New Roman"/>
          <w:color w:val="000000"/>
          <w:spacing w:val="-4"/>
          <w:lang w:val="it-IT"/>
        </w:rPr>
        <w:t>zazione di condizioni e tassative fattispecie provvedimentali (pure da alcuni auspicata).</w:t>
      </w:r>
    </w:p>
    <w:p w:rsidR="00E31017" w:rsidRDefault="00FA5B66">
      <w:pPr>
        <w:spacing w:line="279" w:lineRule="exact"/>
        <w:ind w:left="1152" w:right="1152" w:firstLine="288"/>
        <w:jc w:val="both"/>
        <w:textAlignment w:val="baseline"/>
        <w:rPr>
          <w:rFonts w:eastAsia="Times New Roman"/>
          <w:color w:val="000000"/>
          <w:spacing w:val="-3"/>
          <w:lang w:val="it-IT"/>
        </w:rPr>
      </w:pPr>
      <w:r>
        <w:rPr>
          <w:rFonts w:eastAsia="Times New Roman"/>
          <w:color w:val="000000"/>
          <w:spacing w:val="-3"/>
          <w:lang w:val="it-IT"/>
        </w:rPr>
        <w:t>Non solo, ma i casi di esercizio dei poteri speciali appaiono fondati sulla presup</w:t>
      </w:r>
      <w:r>
        <w:rPr>
          <w:rFonts w:eastAsia="Times New Roman"/>
          <w:color w:val="000000"/>
          <w:spacing w:val="-3"/>
          <w:lang w:val="it-IT"/>
        </w:rPr>
        <w:softHyphen/>
        <w:t>posta verifica della sussistenza di una minaccia concreta, effettiva e sufficientem</w:t>
      </w:r>
      <w:r>
        <w:rPr>
          <w:rFonts w:eastAsia="Times New Roman"/>
          <w:color w:val="000000"/>
          <w:spacing w:val="-3"/>
          <w:lang w:val="it-IT"/>
        </w:rPr>
        <w:t xml:space="preserve">ente grave agli interessi vitali dello Stato (da ultimo ribadita, come condizione indefettibile, dalla sentenza CGUE nella causa C-106/22 del 13 luglio 2023 sulla disciplina </w:t>
      </w:r>
      <w:r>
        <w:rPr>
          <w:rFonts w:eastAsia="Times New Roman"/>
          <w:i/>
          <w:color w:val="000000"/>
          <w:spacing w:val="-3"/>
          <w:lang w:val="it-IT"/>
        </w:rPr>
        <w:t xml:space="preserve">golden power </w:t>
      </w:r>
      <w:r>
        <w:rPr>
          <w:rFonts w:eastAsia="Times New Roman"/>
          <w:color w:val="000000"/>
          <w:spacing w:val="-3"/>
          <w:lang w:val="it-IT"/>
        </w:rPr>
        <w:t>ungherese), senza che constino (o, comunque, siano state accertate) forzature sull’imposizione di prescrizioni o sulla decisione di veti basati su ragioni meramente economiche o commerciali.</w:t>
      </w:r>
    </w:p>
    <w:p w:rsidR="00E31017" w:rsidRDefault="00FA5B66">
      <w:pPr>
        <w:spacing w:before="1" w:line="280" w:lineRule="exact"/>
        <w:ind w:left="1152" w:right="1152" w:firstLine="288"/>
        <w:jc w:val="both"/>
        <w:textAlignment w:val="baseline"/>
        <w:rPr>
          <w:rFonts w:eastAsia="Times New Roman"/>
          <w:color w:val="000000"/>
          <w:spacing w:val="-4"/>
          <w:lang w:val="it-IT"/>
        </w:rPr>
      </w:pPr>
      <w:r>
        <w:rPr>
          <w:rFonts w:eastAsia="Times New Roman"/>
          <w:color w:val="000000"/>
          <w:spacing w:val="-4"/>
          <w:lang w:val="it-IT"/>
        </w:rPr>
        <w:t>Si tratta di un uso accorto, ragionato e ordinato dei poteri spec</w:t>
      </w:r>
      <w:r>
        <w:rPr>
          <w:rFonts w:eastAsia="Times New Roman"/>
          <w:color w:val="000000"/>
          <w:spacing w:val="-4"/>
          <w:lang w:val="it-IT"/>
        </w:rPr>
        <w:t>iali, nella consape</w:t>
      </w:r>
      <w:r>
        <w:rPr>
          <w:rFonts w:eastAsia="Times New Roman"/>
          <w:color w:val="000000"/>
          <w:spacing w:val="-4"/>
          <w:lang w:val="it-IT"/>
        </w:rPr>
        <w:softHyphen/>
        <w:t>volezza della rilevanza, della delicatezza e dell’impatto sul mercato dello strumento, la cui indefettibilità resta, per altro verso, confermata dalla indisponibilità degli interessi tutelati (attestata dalla procedibilità d’ufficio per</w:t>
      </w:r>
      <w:r>
        <w:rPr>
          <w:rFonts w:eastAsia="Times New Roman"/>
          <w:color w:val="000000"/>
          <w:spacing w:val="-4"/>
          <w:lang w:val="it-IT"/>
        </w:rPr>
        <w:t xml:space="preserve"> i casi di omessa notifica e dalla san</w:t>
      </w:r>
      <w:r>
        <w:rPr>
          <w:rFonts w:eastAsia="Times New Roman"/>
          <w:color w:val="000000"/>
          <w:spacing w:val="-4"/>
          <w:lang w:val="it-IT"/>
        </w:rPr>
        <w:softHyphen/>
        <w:t>zione della nullità prevista per l’inosservanza dei divieti).</w:t>
      </w:r>
    </w:p>
    <w:p w:rsidR="00E31017" w:rsidRDefault="00FA5B66">
      <w:pPr>
        <w:spacing w:line="279" w:lineRule="exact"/>
        <w:ind w:left="1152" w:right="1152" w:firstLine="288"/>
        <w:jc w:val="both"/>
        <w:textAlignment w:val="baseline"/>
        <w:rPr>
          <w:rFonts w:eastAsia="Times New Roman"/>
          <w:color w:val="000000"/>
          <w:spacing w:val="-4"/>
          <w:lang w:val="it-IT"/>
        </w:rPr>
      </w:pPr>
      <w:r>
        <w:rPr>
          <w:rFonts w:eastAsia="Times New Roman"/>
          <w:color w:val="000000"/>
          <w:spacing w:val="-4"/>
          <w:lang w:val="it-IT"/>
        </w:rPr>
        <w:t>Non resta che concludere formulando l’auspicio che si confermi l’uso di un metodo capace di custodire gli interessi vitali dello Stato da logiche predatori</w:t>
      </w:r>
      <w:r>
        <w:rPr>
          <w:rFonts w:eastAsia="Times New Roman"/>
          <w:color w:val="000000"/>
          <w:spacing w:val="-4"/>
          <w:lang w:val="it-IT"/>
        </w:rPr>
        <w:t>e e non control</w:t>
      </w:r>
      <w:r>
        <w:rPr>
          <w:rFonts w:eastAsia="Times New Roman"/>
          <w:color w:val="000000"/>
          <w:spacing w:val="-4"/>
          <w:lang w:val="it-IT"/>
        </w:rPr>
        <w:softHyphen/>
        <w:t>labili, ma rispettoso delle dinamiche di mercato e degli interessi degli investitori esteri alla conservazione di un sistema economico sicuro, stabile e affidabile.</w:t>
      </w:r>
    </w:p>
    <w:p w:rsidR="00E31017" w:rsidRDefault="00FA5B66">
      <w:pPr>
        <w:spacing w:before="3" w:line="280" w:lineRule="exact"/>
        <w:ind w:left="1152" w:right="1152" w:firstLine="288"/>
        <w:jc w:val="both"/>
        <w:textAlignment w:val="baseline"/>
        <w:rPr>
          <w:rFonts w:eastAsia="Times New Roman"/>
          <w:color w:val="000000"/>
          <w:spacing w:val="-6"/>
          <w:lang w:val="it-IT"/>
        </w:rPr>
      </w:pPr>
      <w:r>
        <w:pict>
          <v:shape id="_x0000_s1028" type="#_x0000_t202" style="position:absolute;left:0;text-align:left;margin-left:1.45pt;margin-top:368.9pt;width:12.25pt;height:12.2pt;z-index:-251644928;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5575" cy="15494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13"/>
                                <a:stretch>
                                  <a:fillRect/>
                                </a:stretch>
                              </pic:blipFill>
                              <pic:spPr>
                                <a:xfrm>
                                  <a:off x="0" y="0"/>
                                  <a:ext cx="155575" cy="154940"/>
                                </a:xfrm>
                                <a:prstGeom prst="rect">
                                  <a:avLst/>
                                </a:prstGeom>
                              </pic:spPr>
                            </pic:pic>
                          </a:graphicData>
                        </a:graphic>
                      </wp:inline>
                    </w:drawing>
                  </w:r>
                </w:p>
              </w:txbxContent>
            </v:textbox>
            <w10:wrap type="square" anchorx="page" anchory="page"/>
          </v:shape>
        </w:pict>
      </w:r>
      <w:r>
        <w:pict>
          <v:shape id="_x0000_s1027" type="#_x0000_t202" style="position:absolute;left:0;text-align:left;margin-left:538.1pt;margin-top:368.9pt;width:12pt;height:12.2pt;z-index:-251643904;mso-wrap-distance-left:0;mso-wrap-distance-right:0;mso-position-horizontal-relative:page;mso-position-vertical-relative:page" filled="f" stroked="f">
            <v:textbox inset="0,0,0,0">
              <w:txbxContent>
                <w:p w:rsidR="00E31017" w:rsidRDefault="00FA5B66">
                  <w:pPr>
                    <w:spacing w:line="244" w:lineRule="exact"/>
                    <w:textAlignment w:val="baseline"/>
                  </w:pPr>
                  <w:r>
                    <w:rPr>
                      <w:noProof/>
                      <w:lang w:val="it-IT" w:eastAsia="it-IT"/>
                    </w:rPr>
                    <w:drawing>
                      <wp:inline distT="0" distB="0" distL="0" distR="0">
                        <wp:extent cx="152400" cy="15494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14"/>
                                <a:stretch>
                                  <a:fillRect/>
                                </a:stretch>
                              </pic:blipFill>
                              <pic:spPr>
                                <a:xfrm>
                                  <a:off x="0" y="0"/>
                                  <a:ext cx="152400" cy="154940"/>
                                </a:xfrm>
                                <a:prstGeom prst="rect">
                                  <a:avLst/>
                                </a:prstGeom>
                              </pic:spPr>
                            </pic:pic>
                          </a:graphicData>
                        </a:graphic>
                      </wp:inline>
                    </w:drawing>
                  </w:r>
                </w:p>
              </w:txbxContent>
            </v:textbox>
            <w10:wrap type="square" anchorx="page" anchory="page"/>
          </v:shape>
        </w:pict>
      </w:r>
      <w:r>
        <w:rPr>
          <w:rFonts w:eastAsia="Times New Roman"/>
          <w:color w:val="000000"/>
          <w:spacing w:val="-6"/>
          <w:lang w:val="it-IT"/>
        </w:rPr>
        <w:t xml:space="preserve">Lo Stato può (meglio: deve) difendere i suoi interessi essenziali da gravi minacce esterne, ma non può utilizzare il </w:t>
      </w:r>
      <w:r>
        <w:rPr>
          <w:rFonts w:eastAsia="Times New Roman"/>
          <w:i/>
          <w:color w:val="000000"/>
          <w:spacing w:val="-6"/>
          <w:lang w:val="it-IT"/>
        </w:rPr>
        <w:t xml:space="preserve">golden power </w:t>
      </w:r>
      <w:r>
        <w:rPr>
          <w:rFonts w:eastAsia="Times New Roman"/>
          <w:color w:val="000000"/>
          <w:spacing w:val="-6"/>
          <w:lang w:val="it-IT"/>
        </w:rPr>
        <w:t>come un “armamento giuridico” (se</w:t>
      </w:r>
      <w:r>
        <w:rPr>
          <w:rFonts w:eastAsia="Times New Roman"/>
          <w:color w:val="000000"/>
          <w:spacing w:val="-6"/>
          <w:lang w:val="it-IT"/>
        </w:rPr>
        <w:softHyphen/>
        <w:t>condo una felice espressione utilizzata per descrivere l’accesa concorrenza tra gli Stati me</w:t>
      </w:r>
      <w:r>
        <w:rPr>
          <w:rFonts w:eastAsia="Times New Roman"/>
          <w:color w:val="000000"/>
          <w:spacing w:val="-6"/>
          <w:lang w:val="it-IT"/>
        </w:rPr>
        <w:t>diante l’adozione di competitive discipline nazionali sull’esercizio dei poteri speciali).</w:t>
      </w:r>
    </w:p>
    <w:p w:rsidR="00E31017" w:rsidRDefault="00FA5B66">
      <w:pPr>
        <w:spacing w:after="4803" w:line="280" w:lineRule="exact"/>
        <w:ind w:left="1152" w:right="1152" w:firstLine="288"/>
        <w:jc w:val="both"/>
        <w:textAlignment w:val="baseline"/>
        <w:rPr>
          <w:rFonts w:eastAsia="Times New Roman"/>
          <w:color w:val="000000"/>
          <w:lang w:val="it-IT"/>
        </w:rPr>
      </w:pPr>
      <w:r>
        <w:rPr>
          <w:rFonts w:eastAsia="Times New Roman"/>
          <w:color w:val="000000"/>
          <w:lang w:val="it-IT"/>
        </w:rPr>
        <w:t xml:space="preserve">Solo così il </w:t>
      </w:r>
      <w:r>
        <w:rPr>
          <w:rFonts w:eastAsia="Times New Roman"/>
          <w:i/>
          <w:color w:val="000000"/>
          <w:lang w:val="it-IT"/>
        </w:rPr>
        <w:t xml:space="preserve">golden power </w:t>
      </w:r>
      <w:r>
        <w:rPr>
          <w:rFonts w:eastAsia="Times New Roman"/>
          <w:color w:val="000000"/>
          <w:lang w:val="it-IT"/>
        </w:rPr>
        <w:t>servirà a impedire pericolose aggressioni industriali, senza, tuttavia, scoraggiare investimenti utili e immuni da insidie all’integrità della sicurezza nazionale.</w:t>
      </w:r>
    </w:p>
    <w:p w:rsidR="0094580E" w:rsidRPr="001D24B3" w:rsidRDefault="001D24B3">
      <w:pPr>
        <w:spacing w:after="4803" w:line="280" w:lineRule="exact"/>
        <w:ind w:left="1152" w:right="1152" w:firstLine="288"/>
        <w:jc w:val="both"/>
        <w:textAlignment w:val="baseline"/>
        <w:rPr>
          <w:rFonts w:eastAsia="Times New Roman"/>
          <w:color w:val="000000"/>
          <w:sz w:val="24"/>
          <w:szCs w:val="24"/>
          <w:lang w:val="it-IT"/>
        </w:rPr>
      </w:pPr>
      <w:r>
        <w:rPr>
          <w:rFonts w:eastAsia="Times New Roman"/>
          <w:color w:val="000000"/>
          <w:spacing w:val="-2"/>
          <w:sz w:val="24"/>
          <w:szCs w:val="24"/>
          <w:lang w:val="it-IT"/>
        </w:rPr>
        <w:t xml:space="preserve">** </w:t>
      </w:r>
      <w:bookmarkStart w:id="0" w:name="_GoBack"/>
      <w:bookmarkEnd w:id="0"/>
      <w:r w:rsidR="0094580E" w:rsidRPr="001D24B3">
        <w:rPr>
          <w:rFonts w:eastAsia="Times New Roman"/>
          <w:color w:val="000000"/>
          <w:spacing w:val="-2"/>
          <w:sz w:val="24"/>
          <w:szCs w:val="24"/>
          <w:lang w:val="it-IT"/>
        </w:rPr>
        <w:t>I</w:t>
      </w:r>
      <w:r w:rsidR="0094580E" w:rsidRPr="001D24B3">
        <w:rPr>
          <w:rFonts w:eastAsia="Times New Roman"/>
          <w:color w:val="000000"/>
          <w:spacing w:val="-2"/>
          <w:sz w:val="24"/>
          <w:szCs w:val="24"/>
          <w:lang w:val="it-IT"/>
        </w:rPr>
        <w:t>ntroduzione tratta dal libro “</w:t>
      </w:r>
      <w:r w:rsidRPr="001D24B3">
        <w:rPr>
          <w:rFonts w:eastAsia="Times New Roman"/>
          <w:i/>
          <w:color w:val="000000"/>
          <w:spacing w:val="-2"/>
          <w:sz w:val="24"/>
          <w:szCs w:val="24"/>
          <w:lang w:val="it-IT"/>
        </w:rPr>
        <w:t>Golden power</w:t>
      </w:r>
      <w:r w:rsidRPr="001D24B3">
        <w:rPr>
          <w:rFonts w:eastAsia="Times New Roman"/>
          <w:color w:val="000000"/>
          <w:spacing w:val="-2"/>
          <w:sz w:val="24"/>
          <w:szCs w:val="24"/>
          <w:lang w:val="it-IT"/>
        </w:rPr>
        <w:t>”, a cura di Roberto Chieppa, Ciro Daniele Piro, Raffaele Tuccillo. Editore: La Tribuna.</w:t>
      </w:r>
    </w:p>
    <w:p w:rsidR="00E31017" w:rsidRDefault="00E31017" w:rsidP="0094580E">
      <w:pPr>
        <w:spacing w:line="181" w:lineRule="exact"/>
        <w:textAlignment w:val="baseline"/>
        <w:rPr>
          <w:rFonts w:ascii="Tahoma" w:eastAsia="Tahoma" w:hAnsi="Tahoma"/>
          <w:color w:val="000000"/>
          <w:sz w:val="15"/>
          <w:lang w:val="it-IT"/>
        </w:rPr>
      </w:pPr>
    </w:p>
    <w:p w:rsidR="00E31017" w:rsidRDefault="00FA5B66">
      <w:pPr>
        <w:tabs>
          <w:tab w:val="right" w:pos="9576"/>
        </w:tabs>
        <w:spacing w:before="1000" w:line="138" w:lineRule="exact"/>
        <w:ind w:left="144"/>
        <w:textAlignment w:val="baseline"/>
        <w:rPr>
          <w:rFonts w:ascii="Helvetica" w:eastAsia="Helvetica" w:hAnsi="Helvetica"/>
          <w:color w:val="000000"/>
          <w:sz w:val="12"/>
          <w:lang w:val="it-IT"/>
        </w:rPr>
      </w:pPr>
      <w:r>
        <w:pict>
          <v:shape id="_x0000_s1026" type="#_x0000_t202" style="position:absolute;left:0;text-align:left;margin-left:269.75pt;margin-top:736.3pt;width:12.25pt;height:12.25pt;z-index:-251642880;mso-wrap-distance-left:0;mso-wrap-distance-right:0;mso-position-horizontal-relative:page;mso-position-vertical-relative:page" filled="f" stroked="f">
            <v:textbox inset="0,0,0,0">
              <w:txbxContent>
                <w:p w:rsidR="00E31017" w:rsidRDefault="00FA5B66">
                  <w:pPr>
                    <w:spacing w:line="245" w:lineRule="exact"/>
                    <w:textAlignment w:val="baseline"/>
                  </w:pPr>
                  <w:r>
                    <w:rPr>
                      <w:noProof/>
                      <w:lang w:val="it-IT" w:eastAsia="it-IT"/>
                    </w:rPr>
                    <w:drawing>
                      <wp:inline distT="0" distB="0" distL="0" distR="0">
                        <wp:extent cx="155575" cy="15557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15"/>
                                <a:stretch>
                                  <a:fillRect/>
                                </a:stretch>
                              </pic:blipFill>
                              <pic:spPr>
                                <a:xfrm>
                                  <a:off x="0" y="0"/>
                                  <a:ext cx="155575" cy="155575"/>
                                </a:xfrm>
                                <a:prstGeom prst="rect">
                                  <a:avLst/>
                                </a:prstGeom>
                              </pic:spPr>
                            </pic:pic>
                          </a:graphicData>
                        </a:graphic>
                      </wp:inline>
                    </w:drawing>
                  </w:r>
                </w:p>
              </w:txbxContent>
            </v:textbox>
            <w10:wrap anchorx="page" anchory="page"/>
          </v:shape>
        </w:pict>
      </w:r>
      <w:r>
        <w:rPr>
          <w:rFonts w:ascii="Helvetica" w:eastAsia="Helvetica" w:hAnsi="Helvetica"/>
          <w:color w:val="000000"/>
          <w:sz w:val="12"/>
          <w:lang w:val="it-IT"/>
        </w:rPr>
        <w:t xml:space="preserve">GOLDEN POWER_BOOK.indb </w:t>
      </w:r>
      <w:r>
        <w:rPr>
          <w:rFonts w:ascii="Helvetica" w:eastAsia="Helvetica" w:hAnsi="Helvetica"/>
          <w:b/>
          <w:color w:val="000000"/>
          <w:sz w:val="12"/>
          <w:lang w:val="it-IT"/>
        </w:rPr>
        <w:t>8</w:t>
      </w:r>
      <w:r>
        <w:rPr>
          <w:rFonts w:ascii="Helvetica" w:eastAsia="Helvetica" w:hAnsi="Helvetica"/>
          <w:b/>
          <w:color w:val="000000"/>
          <w:sz w:val="12"/>
          <w:lang w:val="it-IT"/>
        </w:rPr>
        <w:tab/>
      </w:r>
      <w:r>
        <w:rPr>
          <w:rFonts w:ascii="Helvetica" w:eastAsia="Helvetica" w:hAnsi="Helvetica"/>
          <w:color w:val="000000"/>
          <w:sz w:val="12"/>
          <w:lang w:val="it-IT"/>
        </w:rPr>
        <w:t>13.11.23 15:57</w:t>
      </w:r>
    </w:p>
    <w:sectPr w:rsidR="00E31017">
      <w:type w:val="continuous"/>
      <w:pgSz w:w="11035" w:h="15000"/>
      <w:pgMar w:top="20" w:right="600" w:bottom="0" w:left="7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B66" w:rsidRDefault="00FA5B66">
      <w:r>
        <w:separator/>
      </w:r>
    </w:p>
  </w:endnote>
  <w:endnote w:type="continuationSeparator" w:id="0">
    <w:p w:rsidR="00FA5B66" w:rsidRDefault="00FA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Helvetica">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B66" w:rsidRDefault="00FA5B66"/>
  </w:footnote>
  <w:footnote w:type="continuationSeparator" w:id="0">
    <w:p w:rsidR="00FA5B66" w:rsidRDefault="00FA5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17"/>
    <w:rsid w:val="001D24B3"/>
    <w:rsid w:val="004665CD"/>
    <w:rsid w:val="0094580E"/>
    <w:rsid w:val="00BA3B1D"/>
    <w:rsid w:val="00E31017"/>
    <w:rsid w:val="00FA5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4EB9C6F4"/>
  <w15:docId w15:val="{BA102154-FF15-4E9A-9D5F-74DEB771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94580E"/>
    <w:rPr>
      <w:sz w:val="20"/>
      <w:szCs w:val="20"/>
    </w:rPr>
  </w:style>
  <w:style w:type="character" w:customStyle="1" w:styleId="TestonotaapidipaginaCarattere">
    <w:name w:val="Testo nota a piè di pagina Carattere"/>
    <w:basedOn w:val="Carpredefinitoparagrafo"/>
    <w:link w:val="Testonotaapidipagina"/>
    <w:uiPriority w:val="99"/>
    <w:semiHidden/>
    <w:rsid w:val="0094580E"/>
    <w:rPr>
      <w:sz w:val="20"/>
      <w:szCs w:val="20"/>
    </w:rPr>
  </w:style>
  <w:style w:type="character" w:styleId="Rimandonotaapidipagina">
    <w:name w:val="footnote reference"/>
    <w:basedOn w:val="Carpredefinitoparagrafo"/>
    <w:uiPriority w:val="99"/>
    <w:semiHidden/>
    <w:unhideWhenUsed/>
    <w:rsid w:val="00945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A71CC-D538-4146-9CE7-6916E7FD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3785</Words>
  <Characters>21580</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FAILLA GIACOMOBONO Paolo</dc:creator>
  <cp:lastModifiedBy>FAILLA GIACOMOBONO Paolo</cp:lastModifiedBy>
  <cp:revision>3</cp:revision>
  <cp:lastPrinted>2024-02-22T08:32:00Z</cp:lastPrinted>
  <dcterms:created xsi:type="dcterms:W3CDTF">2024-02-22T08:12:00Z</dcterms:created>
  <dcterms:modified xsi:type="dcterms:W3CDTF">2024-02-22T09:30:00Z</dcterms:modified>
</cp:coreProperties>
</file>