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053" w:rsidRPr="000D6DEE" w:rsidRDefault="00895555" w:rsidP="00895555">
      <w:pPr>
        <w:pStyle w:val="Default"/>
        <w:rPr>
          <w:rFonts w:ascii="Times New Roman" w:hAnsi="Times New Roman" w:cs="Times New Roman"/>
          <w:b/>
          <w:sz w:val="28"/>
          <w:szCs w:val="28"/>
        </w:rPr>
      </w:pPr>
      <w:r w:rsidRPr="000D6DEE">
        <w:rPr>
          <w:rFonts w:ascii="Times New Roman" w:hAnsi="Times New Roman" w:cs="Times New Roman"/>
          <w:b/>
          <w:sz w:val="28"/>
          <w:szCs w:val="28"/>
        </w:rPr>
        <w:t>Il punto della giurisprudenza sulle autorizzazioni di polizia, in particolare per spettacoli e trattenimenti pubblici</w:t>
      </w:r>
      <w:r w:rsidR="00C53D07" w:rsidRPr="000D6DEE">
        <w:rPr>
          <w:rFonts w:ascii="Times New Roman" w:hAnsi="Times New Roman" w:cs="Times New Roman"/>
          <w:b/>
          <w:sz w:val="28"/>
          <w:szCs w:val="28"/>
        </w:rPr>
        <w:t>.</w:t>
      </w:r>
    </w:p>
    <w:p w:rsidR="00AE1B69" w:rsidRPr="000D6DEE" w:rsidRDefault="00AE1B69" w:rsidP="00895555">
      <w:pPr>
        <w:pStyle w:val="Default"/>
        <w:rPr>
          <w:rFonts w:ascii="Times New Roman" w:hAnsi="Times New Roman" w:cs="Times New Roman"/>
          <w:b/>
          <w:sz w:val="28"/>
          <w:szCs w:val="28"/>
        </w:rPr>
      </w:pPr>
    </w:p>
    <w:p w:rsidR="005F4E02" w:rsidRPr="000D6DEE" w:rsidRDefault="00AE1B69" w:rsidP="005F4E02">
      <w:pPr>
        <w:autoSpaceDE w:val="0"/>
        <w:autoSpaceDN w:val="0"/>
        <w:adjustRightInd w:val="0"/>
        <w:spacing w:after="0" w:line="360" w:lineRule="auto"/>
        <w:jc w:val="both"/>
        <w:rPr>
          <w:rFonts w:ascii="Times New Roman" w:hAnsi="Times New Roman" w:cs="Times New Roman"/>
          <w:b/>
          <w:sz w:val="20"/>
          <w:szCs w:val="20"/>
        </w:rPr>
      </w:pPr>
      <w:r w:rsidRPr="000D6DEE">
        <w:rPr>
          <w:rFonts w:ascii="Times New Roman" w:hAnsi="Times New Roman" w:cs="Times New Roman"/>
          <w:b/>
          <w:sz w:val="20"/>
          <w:szCs w:val="20"/>
        </w:rPr>
        <w:t xml:space="preserve">Sommario: 1. Considerazioni generali - 2. I requisiti soggettivi – 3.  Ancora sulla revoca delle autorizzazioni di polizia – 4. Spettacoli e trattenimenti pubblici: inquadramento generale – 5. </w:t>
      </w:r>
      <w:r w:rsidRPr="000D6DEE">
        <w:rPr>
          <w:rFonts w:ascii="Times New Roman" w:hAnsi="Times New Roman" w:cs="Times New Roman"/>
          <w:b/>
          <w:bCs/>
          <w:i/>
          <w:iCs/>
          <w:color w:val="19191A"/>
          <w:sz w:val="20"/>
          <w:szCs w:val="20"/>
          <w:shd w:val="clear" w:color="auto" w:fill="FFFFFF"/>
        </w:rPr>
        <w:t>Il regime sanzionatorio in materia di spettacoli e trattenimenti pubblici: considerazioni generali –</w:t>
      </w:r>
      <w:r w:rsidR="005F4E02" w:rsidRPr="000D6DEE">
        <w:rPr>
          <w:rFonts w:ascii="Times New Roman" w:hAnsi="Times New Roman" w:cs="Times New Roman"/>
          <w:b/>
          <w:bCs/>
          <w:i/>
          <w:iCs/>
          <w:color w:val="19191A"/>
          <w:sz w:val="20"/>
          <w:szCs w:val="20"/>
          <w:shd w:val="clear" w:color="auto" w:fill="FFFFFF"/>
        </w:rPr>
        <w:t xml:space="preserve"> </w:t>
      </w:r>
      <w:r w:rsidR="005F4E02" w:rsidRPr="000D6DEE">
        <w:rPr>
          <w:rFonts w:ascii="Times New Roman" w:hAnsi="Times New Roman" w:cs="Times New Roman"/>
          <w:b/>
          <w:sz w:val="20"/>
          <w:szCs w:val="20"/>
        </w:rPr>
        <w:t>6. L’applicabilità della l. n. 689 del 1981 alle sanzioni non pecuniarie – 7. La mancanza di agibilità dei locali di pubblico spettacolo – 8. Gli spettacoli e trattenimenti all’interno di altri pubblici esercizi: le problematiche della c.d. “movida” molesta – 9. La responsabilità civile dei Comuni secondo le ultime frontiere della giurisprudenza della Cassazione - 10. Conclusioni.</w:t>
      </w:r>
    </w:p>
    <w:p w:rsidR="005F4E02" w:rsidRPr="000D6DEE" w:rsidRDefault="005F4E02" w:rsidP="005F4E02">
      <w:pPr>
        <w:autoSpaceDE w:val="0"/>
        <w:autoSpaceDN w:val="0"/>
        <w:adjustRightInd w:val="0"/>
        <w:spacing w:after="0" w:line="360" w:lineRule="auto"/>
        <w:jc w:val="both"/>
        <w:rPr>
          <w:rFonts w:ascii="Times New Roman" w:hAnsi="Times New Roman" w:cs="Times New Roman"/>
          <w:b/>
          <w:sz w:val="20"/>
          <w:szCs w:val="20"/>
        </w:rPr>
      </w:pPr>
    </w:p>
    <w:p w:rsidR="00893053" w:rsidRPr="000D6DEE" w:rsidRDefault="00AE1B69" w:rsidP="00AE1B69">
      <w:pPr>
        <w:pStyle w:val="Paragrafoelenco"/>
        <w:numPr>
          <w:ilvl w:val="0"/>
          <w:numId w:val="5"/>
        </w:numPr>
        <w:spacing w:line="360" w:lineRule="auto"/>
        <w:rPr>
          <w:rFonts w:ascii="Times New Roman" w:hAnsi="Times New Roman" w:cs="Times New Roman"/>
          <w:sz w:val="28"/>
          <w:szCs w:val="28"/>
        </w:rPr>
      </w:pPr>
      <w:r w:rsidRPr="000D6DEE">
        <w:rPr>
          <w:rFonts w:ascii="Times New Roman" w:hAnsi="Times New Roman" w:cs="Times New Roman"/>
          <w:b/>
          <w:sz w:val="28"/>
          <w:szCs w:val="28"/>
        </w:rPr>
        <w:t xml:space="preserve">Considerazioni generali </w:t>
      </w:r>
    </w:p>
    <w:p w:rsidR="00D3250E" w:rsidRPr="000D6DEE" w:rsidRDefault="00893053" w:rsidP="005621D7">
      <w:pPr>
        <w:pStyle w:val="NormaleWeb"/>
        <w:shd w:val="clear" w:color="auto" w:fill="FFFFFF"/>
        <w:spacing w:before="30" w:beforeAutospacing="0" w:after="30" w:afterAutospacing="0" w:line="360" w:lineRule="auto"/>
        <w:ind w:left="30"/>
        <w:jc w:val="both"/>
        <w:rPr>
          <w:color w:val="000000"/>
          <w:sz w:val="28"/>
          <w:szCs w:val="28"/>
        </w:rPr>
      </w:pPr>
      <w:r w:rsidRPr="000D6DEE">
        <w:rPr>
          <w:color w:val="000000"/>
          <w:sz w:val="28"/>
          <w:szCs w:val="28"/>
        </w:rPr>
        <w:t>Ai sensi dell’</w:t>
      </w:r>
      <w:r w:rsidRPr="000D6DEE">
        <w:rPr>
          <w:bCs/>
          <w:color w:val="000000"/>
          <w:sz w:val="28"/>
          <w:szCs w:val="28"/>
        </w:rPr>
        <w:t>articolo 14 del testo unico delle leggi di pubblica sicurezza</w:t>
      </w:r>
      <w:r w:rsidRPr="000D6DEE">
        <w:rPr>
          <w:color w:val="000000"/>
          <w:sz w:val="28"/>
          <w:szCs w:val="28"/>
        </w:rPr>
        <w:t xml:space="preserve">, adottato con regio decreto </w:t>
      </w:r>
      <w:r w:rsidR="00895555" w:rsidRPr="000D6DEE">
        <w:rPr>
          <w:color w:val="000000"/>
          <w:sz w:val="28"/>
          <w:szCs w:val="28"/>
        </w:rPr>
        <w:t xml:space="preserve">18 giugno 1931, </w:t>
      </w:r>
      <w:r w:rsidRPr="000D6DEE">
        <w:rPr>
          <w:color w:val="000000"/>
          <w:sz w:val="28"/>
          <w:szCs w:val="28"/>
        </w:rPr>
        <w:t xml:space="preserve">n. 773, sono autorizzazioni di polizia le licenze, le iscrizioni in appositi registri, le approvazioni e simili atti di polizia. </w:t>
      </w:r>
      <w:r w:rsidR="00895555" w:rsidRPr="000D6DEE">
        <w:rPr>
          <w:color w:val="000000"/>
          <w:sz w:val="28"/>
          <w:szCs w:val="28"/>
        </w:rPr>
        <w:t>Trattasi, più che di una definizione, di un’elencazione, finanche tautologica nella clausola finale («</w:t>
      </w:r>
      <w:r w:rsidR="00C53D07" w:rsidRPr="000D6DEE">
        <w:rPr>
          <w:color w:val="000000"/>
          <w:sz w:val="28"/>
          <w:szCs w:val="28"/>
        </w:rPr>
        <w:t>…</w:t>
      </w:r>
      <w:r w:rsidR="00895555" w:rsidRPr="000D6DEE">
        <w:rPr>
          <w:i/>
          <w:color w:val="000000"/>
          <w:sz w:val="28"/>
          <w:szCs w:val="28"/>
        </w:rPr>
        <w:t>e simili atti di polizia</w:t>
      </w:r>
      <w:r w:rsidR="00895555" w:rsidRPr="000D6DEE">
        <w:rPr>
          <w:color w:val="000000"/>
          <w:sz w:val="28"/>
          <w:szCs w:val="28"/>
        </w:rPr>
        <w:t>») che non aiuta l’interprete nell’individuazione delle caratteristiche connotanti la categoria di riferimento</w:t>
      </w:r>
      <w:r w:rsidR="00895555" w:rsidRPr="000D6DEE">
        <w:rPr>
          <w:rStyle w:val="Rimandonotaapidipagina"/>
          <w:color w:val="000000"/>
          <w:sz w:val="28"/>
          <w:szCs w:val="28"/>
        </w:rPr>
        <w:footnoteReference w:id="1"/>
      </w:r>
      <w:r w:rsidR="00895555" w:rsidRPr="000D6DEE">
        <w:rPr>
          <w:color w:val="000000"/>
          <w:sz w:val="28"/>
          <w:szCs w:val="28"/>
        </w:rPr>
        <w:t xml:space="preserve">. </w:t>
      </w:r>
      <w:r w:rsidR="00E643B6" w:rsidRPr="000D6DEE">
        <w:rPr>
          <w:color w:val="000000"/>
          <w:sz w:val="28"/>
          <w:szCs w:val="28"/>
        </w:rPr>
        <w:t>Da un punto di vista pratic</w:t>
      </w:r>
      <w:r w:rsidR="00C53D07" w:rsidRPr="000D6DEE">
        <w:rPr>
          <w:color w:val="000000"/>
          <w:sz w:val="28"/>
          <w:szCs w:val="28"/>
        </w:rPr>
        <w:t>o</w:t>
      </w:r>
      <w:r w:rsidR="00E643B6" w:rsidRPr="000D6DEE">
        <w:rPr>
          <w:color w:val="000000"/>
          <w:sz w:val="28"/>
          <w:szCs w:val="28"/>
        </w:rPr>
        <w:t>, l</w:t>
      </w:r>
      <w:r w:rsidRPr="000D6DEE">
        <w:rPr>
          <w:color w:val="000000"/>
          <w:sz w:val="28"/>
          <w:szCs w:val="28"/>
        </w:rPr>
        <w:t xml:space="preserve">e attività soggette a licenza di pubblica sicurezza sono </w:t>
      </w:r>
      <w:r w:rsidR="00C53D07" w:rsidRPr="000D6DEE">
        <w:rPr>
          <w:color w:val="000000"/>
          <w:sz w:val="28"/>
          <w:szCs w:val="28"/>
        </w:rPr>
        <w:t xml:space="preserve">ancora oggi </w:t>
      </w:r>
      <w:r w:rsidRPr="000D6DEE">
        <w:rPr>
          <w:color w:val="000000"/>
          <w:sz w:val="28"/>
          <w:szCs w:val="28"/>
        </w:rPr>
        <w:t>numerose. In particolare, ess</w:t>
      </w:r>
      <w:r w:rsidR="00C53D07" w:rsidRPr="000D6DEE">
        <w:rPr>
          <w:color w:val="000000"/>
          <w:sz w:val="28"/>
          <w:szCs w:val="28"/>
        </w:rPr>
        <w:t xml:space="preserve">a è </w:t>
      </w:r>
      <w:r w:rsidRPr="000D6DEE">
        <w:rPr>
          <w:color w:val="000000"/>
          <w:sz w:val="28"/>
          <w:szCs w:val="28"/>
        </w:rPr>
        <w:t>necessari</w:t>
      </w:r>
      <w:r w:rsidR="00C53D07" w:rsidRPr="000D6DEE">
        <w:rPr>
          <w:color w:val="000000"/>
          <w:sz w:val="28"/>
          <w:szCs w:val="28"/>
        </w:rPr>
        <w:t>a</w:t>
      </w:r>
      <w:r w:rsidRPr="000D6DEE">
        <w:rPr>
          <w:color w:val="000000"/>
          <w:sz w:val="28"/>
          <w:szCs w:val="28"/>
        </w:rPr>
        <w:t xml:space="preserve"> per </w:t>
      </w:r>
      <w:r w:rsidR="00E643B6" w:rsidRPr="000D6DEE">
        <w:rPr>
          <w:color w:val="000000"/>
          <w:sz w:val="28"/>
          <w:szCs w:val="28"/>
        </w:rPr>
        <w:t>i pubblici esercizi</w:t>
      </w:r>
      <w:r w:rsidR="00C53D07" w:rsidRPr="000D6DEE">
        <w:rPr>
          <w:color w:val="000000"/>
          <w:sz w:val="28"/>
          <w:szCs w:val="28"/>
        </w:rPr>
        <w:t xml:space="preserve"> di cui all’art. 86 del medesimo Testo unico</w:t>
      </w:r>
      <w:r w:rsidR="00E643B6" w:rsidRPr="000D6DEE">
        <w:rPr>
          <w:color w:val="000000"/>
          <w:sz w:val="28"/>
          <w:szCs w:val="28"/>
        </w:rPr>
        <w:t xml:space="preserve">, </w:t>
      </w:r>
      <w:r w:rsidR="00C53D07" w:rsidRPr="000D6DEE">
        <w:rPr>
          <w:color w:val="000000"/>
          <w:sz w:val="28"/>
          <w:szCs w:val="28"/>
        </w:rPr>
        <w:t xml:space="preserve">categoria alla quale vanno ascritte, ad esempio, tutte </w:t>
      </w:r>
      <w:r w:rsidR="00E643B6" w:rsidRPr="000D6DEE">
        <w:rPr>
          <w:color w:val="000000"/>
          <w:sz w:val="28"/>
          <w:szCs w:val="28"/>
        </w:rPr>
        <w:t>l</w:t>
      </w:r>
      <w:r w:rsidRPr="000D6DEE">
        <w:rPr>
          <w:color w:val="000000"/>
          <w:sz w:val="28"/>
          <w:szCs w:val="28"/>
        </w:rPr>
        <w:t>e attività alberghiere ed extralberghiere</w:t>
      </w:r>
      <w:r w:rsidR="00E643B6" w:rsidRPr="000D6DEE">
        <w:rPr>
          <w:rStyle w:val="Rimandonotaapidipagina"/>
          <w:color w:val="000000"/>
          <w:sz w:val="28"/>
          <w:szCs w:val="28"/>
        </w:rPr>
        <w:footnoteReference w:id="2"/>
      </w:r>
      <w:r w:rsidRPr="000D6DEE">
        <w:rPr>
          <w:color w:val="000000"/>
          <w:sz w:val="28"/>
          <w:szCs w:val="28"/>
        </w:rPr>
        <w:t xml:space="preserve">; </w:t>
      </w:r>
      <w:r w:rsidR="00E643B6" w:rsidRPr="000D6DEE">
        <w:rPr>
          <w:color w:val="000000"/>
          <w:sz w:val="28"/>
          <w:szCs w:val="28"/>
        </w:rPr>
        <w:t xml:space="preserve">il </w:t>
      </w:r>
      <w:r w:rsidRPr="000D6DEE">
        <w:rPr>
          <w:color w:val="000000"/>
          <w:sz w:val="28"/>
          <w:szCs w:val="28"/>
        </w:rPr>
        <w:t>noleggi</w:t>
      </w:r>
      <w:r w:rsidR="00E643B6" w:rsidRPr="000D6DEE">
        <w:rPr>
          <w:color w:val="000000"/>
          <w:sz w:val="28"/>
          <w:szCs w:val="28"/>
        </w:rPr>
        <w:t>o</w:t>
      </w:r>
      <w:r w:rsidRPr="000D6DEE">
        <w:rPr>
          <w:color w:val="000000"/>
          <w:sz w:val="28"/>
          <w:szCs w:val="28"/>
        </w:rPr>
        <w:t xml:space="preserve"> senza conducent</w:t>
      </w:r>
      <w:r w:rsidR="00E643B6" w:rsidRPr="000D6DEE">
        <w:rPr>
          <w:color w:val="000000"/>
          <w:sz w:val="28"/>
          <w:szCs w:val="28"/>
        </w:rPr>
        <w:t xml:space="preserve">e </w:t>
      </w:r>
      <w:r w:rsidRPr="000D6DEE">
        <w:rPr>
          <w:color w:val="000000"/>
          <w:sz w:val="28"/>
          <w:szCs w:val="28"/>
        </w:rPr>
        <w:t xml:space="preserve">e </w:t>
      </w:r>
      <w:r w:rsidR="00E643B6" w:rsidRPr="000D6DEE">
        <w:rPr>
          <w:color w:val="000000"/>
          <w:sz w:val="28"/>
          <w:szCs w:val="28"/>
        </w:rPr>
        <w:t xml:space="preserve">le </w:t>
      </w:r>
      <w:r w:rsidRPr="000D6DEE">
        <w:rPr>
          <w:color w:val="000000"/>
          <w:sz w:val="28"/>
          <w:szCs w:val="28"/>
        </w:rPr>
        <w:t xml:space="preserve">rimesse pubbliche; </w:t>
      </w:r>
      <w:r w:rsidR="00E643B6" w:rsidRPr="000D6DEE">
        <w:rPr>
          <w:color w:val="000000"/>
          <w:sz w:val="28"/>
          <w:szCs w:val="28"/>
        </w:rPr>
        <w:t xml:space="preserve">le </w:t>
      </w:r>
      <w:r w:rsidRPr="000D6DEE">
        <w:rPr>
          <w:color w:val="000000"/>
          <w:sz w:val="28"/>
          <w:szCs w:val="28"/>
        </w:rPr>
        <w:t xml:space="preserve">agenzie </w:t>
      </w:r>
      <w:r w:rsidR="00E643B6" w:rsidRPr="000D6DEE">
        <w:rPr>
          <w:color w:val="000000"/>
          <w:sz w:val="28"/>
          <w:szCs w:val="28"/>
        </w:rPr>
        <w:t xml:space="preserve">di </w:t>
      </w:r>
      <w:r w:rsidRPr="000D6DEE">
        <w:rPr>
          <w:color w:val="000000"/>
          <w:sz w:val="28"/>
          <w:szCs w:val="28"/>
        </w:rPr>
        <w:t>affari</w:t>
      </w:r>
      <w:r w:rsidR="00E643B6" w:rsidRPr="000D6DEE">
        <w:rPr>
          <w:color w:val="000000"/>
          <w:sz w:val="28"/>
          <w:szCs w:val="28"/>
        </w:rPr>
        <w:t xml:space="preserve"> e quelle di</w:t>
      </w:r>
      <w:r w:rsidRPr="000D6DEE">
        <w:rPr>
          <w:color w:val="000000"/>
          <w:sz w:val="28"/>
          <w:szCs w:val="28"/>
        </w:rPr>
        <w:t xml:space="preserve"> viaggio; </w:t>
      </w:r>
      <w:r w:rsidR="00E643B6" w:rsidRPr="000D6DEE">
        <w:rPr>
          <w:color w:val="000000"/>
          <w:sz w:val="28"/>
          <w:szCs w:val="28"/>
        </w:rPr>
        <w:t>l’</w:t>
      </w:r>
      <w:r w:rsidRPr="000D6DEE">
        <w:rPr>
          <w:color w:val="000000"/>
          <w:sz w:val="28"/>
          <w:szCs w:val="28"/>
        </w:rPr>
        <w:t>installazione, produzione, importazione</w:t>
      </w:r>
      <w:r w:rsidR="00E643B6" w:rsidRPr="000D6DEE">
        <w:rPr>
          <w:color w:val="000000"/>
          <w:sz w:val="28"/>
          <w:szCs w:val="28"/>
        </w:rPr>
        <w:t>,</w:t>
      </w:r>
      <w:r w:rsidRPr="000D6DEE">
        <w:rPr>
          <w:color w:val="000000"/>
          <w:sz w:val="28"/>
          <w:szCs w:val="28"/>
        </w:rPr>
        <w:t xml:space="preserve"> distribuzione </w:t>
      </w:r>
      <w:r w:rsidR="00E643B6" w:rsidRPr="000D6DEE">
        <w:rPr>
          <w:color w:val="000000"/>
          <w:sz w:val="28"/>
          <w:szCs w:val="28"/>
        </w:rPr>
        <w:t xml:space="preserve">e </w:t>
      </w:r>
      <w:r w:rsidRPr="000D6DEE">
        <w:rPr>
          <w:color w:val="000000"/>
          <w:sz w:val="28"/>
          <w:szCs w:val="28"/>
        </w:rPr>
        <w:t xml:space="preserve">gestione </w:t>
      </w:r>
      <w:r w:rsidR="00E643B6" w:rsidRPr="000D6DEE">
        <w:rPr>
          <w:color w:val="000000"/>
          <w:sz w:val="28"/>
          <w:szCs w:val="28"/>
        </w:rPr>
        <w:t xml:space="preserve">di </w:t>
      </w:r>
      <w:r w:rsidRPr="000D6DEE">
        <w:rPr>
          <w:color w:val="000000"/>
          <w:sz w:val="28"/>
          <w:szCs w:val="28"/>
        </w:rPr>
        <w:t xml:space="preserve">giochi; </w:t>
      </w:r>
      <w:r w:rsidR="00E643B6" w:rsidRPr="000D6DEE">
        <w:rPr>
          <w:color w:val="000000"/>
          <w:sz w:val="28"/>
          <w:szCs w:val="28"/>
        </w:rPr>
        <w:t xml:space="preserve">le </w:t>
      </w:r>
      <w:r w:rsidRPr="000D6DEE">
        <w:rPr>
          <w:color w:val="000000"/>
          <w:sz w:val="28"/>
          <w:szCs w:val="28"/>
        </w:rPr>
        <w:t xml:space="preserve">sale gioco; </w:t>
      </w:r>
      <w:r w:rsidR="00C53D07" w:rsidRPr="000D6DEE">
        <w:rPr>
          <w:color w:val="000000"/>
          <w:sz w:val="28"/>
          <w:szCs w:val="28"/>
        </w:rPr>
        <w:t xml:space="preserve">le autorizzazioni </w:t>
      </w:r>
      <w:r w:rsidR="00E643B6" w:rsidRPr="000D6DEE">
        <w:rPr>
          <w:color w:val="000000"/>
          <w:sz w:val="28"/>
          <w:szCs w:val="28"/>
        </w:rPr>
        <w:t xml:space="preserve">in materia di armi; nonché, per quanto qui di interesse, gli spettacoli e trattenimenti pubblici. La natura delle autorizzazioni di polizia è piuttosto desumibile dai </w:t>
      </w:r>
      <w:r w:rsidRPr="000D6DEE">
        <w:rPr>
          <w:color w:val="000000"/>
          <w:sz w:val="28"/>
          <w:szCs w:val="28"/>
        </w:rPr>
        <w:t>principi a valenza generale</w:t>
      </w:r>
      <w:r w:rsidR="001F440B" w:rsidRPr="000D6DEE">
        <w:rPr>
          <w:color w:val="000000"/>
          <w:sz w:val="28"/>
          <w:szCs w:val="28"/>
        </w:rPr>
        <w:t xml:space="preserve"> </w:t>
      </w:r>
      <w:r w:rsidR="00C53D07" w:rsidRPr="000D6DEE">
        <w:rPr>
          <w:color w:val="000000"/>
          <w:sz w:val="28"/>
          <w:szCs w:val="28"/>
        </w:rPr>
        <w:t xml:space="preserve">riferibili alle stesse </w:t>
      </w:r>
      <w:r w:rsidR="001F440B" w:rsidRPr="000D6DEE">
        <w:rPr>
          <w:color w:val="000000"/>
          <w:sz w:val="28"/>
          <w:szCs w:val="28"/>
        </w:rPr>
        <w:t>contenut</w:t>
      </w:r>
      <w:r w:rsidR="00E643B6" w:rsidRPr="000D6DEE">
        <w:rPr>
          <w:color w:val="000000"/>
          <w:sz w:val="28"/>
          <w:szCs w:val="28"/>
        </w:rPr>
        <w:t>i</w:t>
      </w:r>
      <w:r w:rsidR="001F440B" w:rsidRPr="000D6DEE">
        <w:rPr>
          <w:color w:val="000000"/>
          <w:sz w:val="28"/>
          <w:szCs w:val="28"/>
        </w:rPr>
        <w:t xml:space="preserve"> nel Capo III del Titolo I (</w:t>
      </w:r>
      <w:r w:rsidR="00E643B6" w:rsidRPr="000D6DEE">
        <w:rPr>
          <w:color w:val="000000"/>
          <w:sz w:val="28"/>
          <w:szCs w:val="28"/>
        </w:rPr>
        <w:t xml:space="preserve">rubricato, appunto, </w:t>
      </w:r>
      <w:r w:rsidR="001F440B" w:rsidRPr="000D6DEE">
        <w:rPr>
          <w:color w:val="000000"/>
          <w:sz w:val="28"/>
          <w:szCs w:val="28"/>
        </w:rPr>
        <w:t>«</w:t>
      </w:r>
      <w:r w:rsidR="001F440B" w:rsidRPr="000D6DEE">
        <w:rPr>
          <w:i/>
          <w:color w:val="000000"/>
          <w:sz w:val="28"/>
          <w:szCs w:val="28"/>
        </w:rPr>
        <w:t>Delle autorizzazioni di polizia</w:t>
      </w:r>
      <w:r w:rsidR="001F440B" w:rsidRPr="000D6DEE">
        <w:rPr>
          <w:color w:val="000000"/>
          <w:sz w:val="28"/>
          <w:szCs w:val="28"/>
        </w:rPr>
        <w:t xml:space="preserve">», artt. 8-14), </w:t>
      </w:r>
      <w:r w:rsidR="00C53D07" w:rsidRPr="000D6DEE">
        <w:rPr>
          <w:color w:val="000000"/>
          <w:sz w:val="28"/>
          <w:szCs w:val="28"/>
        </w:rPr>
        <w:t xml:space="preserve">nonché dalle </w:t>
      </w:r>
      <w:r w:rsidR="00970B9E" w:rsidRPr="000D6DEE">
        <w:rPr>
          <w:color w:val="000000"/>
          <w:sz w:val="28"/>
          <w:szCs w:val="28"/>
        </w:rPr>
        <w:t>regole</w:t>
      </w:r>
      <w:r w:rsidR="00C53D07" w:rsidRPr="000D6DEE">
        <w:rPr>
          <w:color w:val="000000"/>
          <w:sz w:val="28"/>
          <w:szCs w:val="28"/>
        </w:rPr>
        <w:t xml:space="preserve"> in materia sanzionatoria applicabili a gran parte di esse e contenute </w:t>
      </w:r>
      <w:r w:rsidR="00970B9E" w:rsidRPr="000D6DEE">
        <w:rPr>
          <w:color w:val="000000"/>
          <w:sz w:val="28"/>
          <w:szCs w:val="28"/>
        </w:rPr>
        <w:t xml:space="preserve">nel </w:t>
      </w:r>
      <w:r w:rsidR="001F440B" w:rsidRPr="000D6DEE">
        <w:rPr>
          <w:color w:val="000000"/>
          <w:sz w:val="28"/>
          <w:szCs w:val="28"/>
        </w:rPr>
        <w:t>successivo Capo IV</w:t>
      </w:r>
      <w:r w:rsidR="00970B9E" w:rsidRPr="000D6DEE">
        <w:rPr>
          <w:color w:val="000000"/>
          <w:sz w:val="28"/>
          <w:szCs w:val="28"/>
        </w:rPr>
        <w:t xml:space="preserve"> (che reca </w:t>
      </w:r>
      <w:r w:rsidR="001F440B" w:rsidRPr="000D6DEE">
        <w:rPr>
          <w:color w:val="000000"/>
          <w:sz w:val="28"/>
          <w:szCs w:val="28"/>
        </w:rPr>
        <w:t>«</w:t>
      </w:r>
      <w:r w:rsidR="001F440B" w:rsidRPr="000D6DEE">
        <w:rPr>
          <w:i/>
          <w:color w:val="000000"/>
          <w:sz w:val="28"/>
          <w:szCs w:val="28"/>
        </w:rPr>
        <w:t>Dell’inosservanza degli ordini dell’autorità di pubblica sicurezza e delle contravvenzioni</w:t>
      </w:r>
      <w:r w:rsidR="001F440B" w:rsidRPr="000D6DEE">
        <w:rPr>
          <w:color w:val="000000"/>
          <w:sz w:val="28"/>
          <w:szCs w:val="28"/>
        </w:rPr>
        <w:t>», artt. 15- 17-</w:t>
      </w:r>
      <w:r w:rsidR="001F440B" w:rsidRPr="000D6DEE">
        <w:rPr>
          <w:i/>
          <w:color w:val="000000"/>
          <w:sz w:val="28"/>
          <w:szCs w:val="28"/>
        </w:rPr>
        <w:t>sexies</w:t>
      </w:r>
      <w:r w:rsidR="001F440B" w:rsidRPr="000D6DEE">
        <w:rPr>
          <w:color w:val="000000"/>
          <w:sz w:val="28"/>
          <w:szCs w:val="28"/>
        </w:rPr>
        <w:t>)</w:t>
      </w:r>
      <w:r w:rsidR="00970B9E" w:rsidRPr="000D6DEE">
        <w:rPr>
          <w:color w:val="000000"/>
          <w:sz w:val="28"/>
          <w:szCs w:val="28"/>
        </w:rPr>
        <w:t>.</w:t>
      </w:r>
      <w:r w:rsidR="00A40DE1" w:rsidRPr="000D6DEE">
        <w:rPr>
          <w:color w:val="000000"/>
          <w:sz w:val="28"/>
          <w:szCs w:val="28"/>
        </w:rPr>
        <w:t xml:space="preserve"> </w:t>
      </w:r>
      <w:r w:rsidR="00C53D07" w:rsidRPr="000D6DEE">
        <w:rPr>
          <w:color w:val="000000"/>
          <w:sz w:val="28"/>
          <w:szCs w:val="28"/>
        </w:rPr>
        <w:lastRenderedPageBreak/>
        <w:t xml:space="preserve">Tra queste ha sicuramente una portata </w:t>
      </w:r>
      <w:r w:rsidR="00970B9E" w:rsidRPr="000D6DEE">
        <w:rPr>
          <w:color w:val="000000"/>
          <w:sz w:val="28"/>
          <w:szCs w:val="28"/>
        </w:rPr>
        <w:t xml:space="preserve">generale </w:t>
      </w:r>
      <w:r w:rsidR="001F440B" w:rsidRPr="000D6DEE">
        <w:rPr>
          <w:color w:val="000000"/>
          <w:sz w:val="28"/>
          <w:szCs w:val="28"/>
        </w:rPr>
        <w:t>quanto disposto dall’</w:t>
      </w:r>
      <w:r w:rsidR="001F440B" w:rsidRPr="000D6DEE">
        <w:rPr>
          <w:bCs/>
          <w:color w:val="000000"/>
          <w:sz w:val="28"/>
          <w:szCs w:val="28"/>
        </w:rPr>
        <w:t>articolo 16</w:t>
      </w:r>
      <w:r w:rsidR="001F440B" w:rsidRPr="000D6DEE">
        <w:rPr>
          <w:color w:val="000000"/>
          <w:sz w:val="28"/>
          <w:szCs w:val="28"/>
        </w:rPr>
        <w:t>, ai sensi del quale gli ufficiali e gli agenti di pubblica sicurezza hanno facoltà di accedere in qualunque ora nei locali destinati all</w:t>
      </w:r>
      <w:r w:rsidR="00CA6529" w:rsidRPr="000D6DEE">
        <w:rPr>
          <w:color w:val="000000"/>
          <w:sz w:val="28"/>
          <w:szCs w:val="28"/>
        </w:rPr>
        <w:t>’</w:t>
      </w:r>
      <w:r w:rsidR="001F440B" w:rsidRPr="000D6DEE">
        <w:rPr>
          <w:color w:val="000000"/>
          <w:sz w:val="28"/>
          <w:szCs w:val="28"/>
        </w:rPr>
        <w:t xml:space="preserve">esercizio di attività </w:t>
      </w:r>
      <w:r w:rsidR="00970B9E" w:rsidRPr="000D6DEE">
        <w:rPr>
          <w:color w:val="000000"/>
          <w:sz w:val="28"/>
          <w:szCs w:val="28"/>
        </w:rPr>
        <w:t>«</w:t>
      </w:r>
      <w:r w:rsidR="001F440B" w:rsidRPr="000D6DEE">
        <w:rPr>
          <w:i/>
          <w:color w:val="000000"/>
          <w:sz w:val="28"/>
          <w:szCs w:val="28"/>
        </w:rPr>
        <w:t>soggette ad autorizzazioni di polizia</w:t>
      </w:r>
      <w:r w:rsidR="00970B9E" w:rsidRPr="000D6DEE">
        <w:rPr>
          <w:color w:val="000000"/>
          <w:sz w:val="28"/>
          <w:szCs w:val="28"/>
        </w:rPr>
        <w:t>»</w:t>
      </w:r>
      <w:r w:rsidR="001F440B" w:rsidRPr="000D6DEE">
        <w:rPr>
          <w:color w:val="000000"/>
          <w:sz w:val="28"/>
          <w:szCs w:val="28"/>
        </w:rPr>
        <w:t xml:space="preserve"> e di assicurarsi dell'adempimento delle prescrizioni imposte dalla legge, dai regolamenti o dall'autorità. La norma, che costituisce la necessaria scriminante per accedere ai relativi locali senza impattare </w:t>
      </w:r>
      <w:r w:rsidR="00970B9E" w:rsidRPr="000D6DEE">
        <w:rPr>
          <w:color w:val="000000"/>
          <w:sz w:val="28"/>
          <w:szCs w:val="28"/>
        </w:rPr>
        <w:t>nelle</w:t>
      </w:r>
      <w:r w:rsidR="001F440B" w:rsidRPr="000D6DEE">
        <w:rPr>
          <w:color w:val="000000"/>
          <w:sz w:val="28"/>
          <w:szCs w:val="28"/>
        </w:rPr>
        <w:t xml:space="preserve"> limitazioni </w:t>
      </w:r>
      <w:r w:rsidR="00970B9E" w:rsidRPr="000D6DEE">
        <w:rPr>
          <w:color w:val="000000"/>
          <w:sz w:val="28"/>
          <w:szCs w:val="28"/>
        </w:rPr>
        <w:t xml:space="preserve">all’attività ispettiva a tutela dei luoghi assimilati a privata dimora, </w:t>
      </w:r>
      <w:r w:rsidR="001F440B" w:rsidRPr="000D6DEE">
        <w:rPr>
          <w:color w:val="000000"/>
          <w:sz w:val="28"/>
          <w:szCs w:val="28"/>
        </w:rPr>
        <w:t xml:space="preserve">in tanto </w:t>
      </w:r>
      <w:r w:rsidR="00970B9E" w:rsidRPr="000D6DEE">
        <w:rPr>
          <w:color w:val="000000"/>
          <w:sz w:val="28"/>
          <w:szCs w:val="28"/>
        </w:rPr>
        <w:t xml:space="preserve">può </w:t>
      </w:r>
      <w:r w:rsidR="001F440B" w:rsidRPr="000D6DEE">
        <w:rPr>
          <w:color w:val="000000"/>
          <w:sz w:val="28"/>
          <w:szCs w:val="28"/>
        </w:rPr>
        <w:t>trova</w:t>
      </w:r>
      <w:r w:rsidR="00970B9E" w:rsidRPr="000D6DEE">
        <w:rPr>
          <w:color w:val="000000"/>
          <w:sz w:val="28"/>
          <w:szCs w:val="28"/>
        </w:rPr>
        <w:t>re</w:t>
      </w:r>
      <w:r w:rsidR="001F440B" w:rsidRPr="000D6DEE">
        <w:rPr>
          <w:color w:val="000000"/>
          <w:sz w:val="28"/>
          <w:szCs w:val="28"/>
        </w:rPr>
        <w:t xml:space="preserve"> applicazione in quanto gli stessi ospitino</w:t>
      </w:r>
      <w:r w:rsidR="00970B9E" w:rsidRPr="000D6DEE">
        <w:rPr>
          <w:color w:val="000000"/>
          <w:sz w:val="28"/>
          <w:szCs w:val="28"/>
        </w:rPr>
        <w:t>, appunto,</w:t>
      </w:r>
      <w:r w:rsidR="001F440B" w:rsidRPr="000D6DEE">
        <w:rPr>
          <w:color w:val="000000"/>
          <w:sz w:val="28"/>
          <w:szCs w:val="28"/>
        </w:rPr>
        <w:t xml:space="preserve"> un’attività soggetta ad autorizzazione di polizia. Non a caso, </w:t>
      </w:r>
      <w:r w:rsidR="00970B9E" w:rsidRPr="000D6DEE">
        <w:rPr>
          <w:color w:val="000000"/>
          <w:sz w:val="28"/>
          <w:szCs w:val="28"/>
        </w:rPr>
        <w:t xml:space="preserve">essa </w:t>
      </w:r>
      <w:r w:rsidR="001F440B" w:rsidRPr="000D6DEE">
        <w:rPr>
          <w:color w:val="000000"/>
          <w:sz w:val="28"/>
          <w:szCs w:val="28"/>
        </w:rPr>
        <w:t xml:space="preserve">è stata spesso invocata </w:t>
      </w:r>
      <w:r w:rsidR="00970B9E" w:rsidRPr="000D6DEE">
        <w:rPr>
          <w:color w:val="000000"/>
          <w:sz w:val="28"/>
          <w:szCs w:val="28"/>
        </w:rPr>
        <w:t>dall</w:t>
      </w:r>
      <w:r w:rsidR="001F440B" w:rsidRPr="000D6DEE">
        <w:rPr>
          <w:color w:val="000000"/>
          <w:sz w:val="28"/>
          <w:szCs w:val="28"/>
        </w:rPr>
        <w:t>’amministrazione dell’Interno a difesa del</w:t>
      </w:r>
      <w:r w:rsidR="00970B9E" w:rsidRPr="000D6DEE">
        <w:rPr>
          <w:color w:val="000000"/>
          <w:sz w:val="28"/>
          <w:szCs w:val="28"/>
        </w:rPr>
        <w:t xml:space="preserve"> mantenimento della </w:t>
      </w:r>
      <w:r w:rsidR="001F440B" w:rsidRPr="000D6DEE">
        <w:rPr>
          <w:color w:val="000000"/>
          <w:sz w:val="28"/>
          <w:szCs w:val="28"/>
        </w:rPr>
        <w:t xml:space="preserve">categoria </w:t>
      </w:r>
      <w:r w:rsidR="00970B9E" w:rsidRPr="000D6DEE">
        <w:rPr>
          <w:color w:val="000000"/>
          <w:sz w:val="28"/>
          <w:szCs w:val="28"/>
        </w:rPr>
        <w:t>e della riconduzione (anche) alla stessa di attività economiche che sono state attratte nel tempo nell’ambito di quelle più propriamente commerciali, ovvero comunque fatte oggetto di legislazione speciale di settore</w:t>
      </w:r>
      <w:r w:rsidR="00C26304" w:rsidRPr="000D6DEE">
        <w:rPr>
          <w:color w:val="000000"/>
          <w:sz w:val="28"/>
          <w:szCs w:val="28"/>
        </w:rPr>
        <w:t xml:space="preserve">. Si pensi, a mero titolo di esempio, a quanto disposto dal d.P.R. 19 dicembre 2001, n. 481, con riferimento alle attività di noleggio senza conducente: malgrado la loro attivazione sia soggetta a mera d.i.a. (ora s.c.i.a.) la modulazione procedurale della stessa è del tutto diversa dal paradigma generale declinato dalla l. n. 241 del 1990, e pare consentire al Prefetto, individuato quale preposto ai controlli sulla regolarità della pratica, un potere sospensivo/interdittivo </w:t>
      </w:r>
      <w:r w:rsidR="00C26304" w:rsidRPr="000D6DEE">
        <w:rPr>
          <w:i/>
          <w:color w:val="000000"/>
          <w:sz w:val="28"/>
          <w:szCs w:val="28"/>
        </w:rPr>
        <w:t>sine die</w:t>
      </w:r>
      <w:r w:rsidR="00C26304" w:rsidRPr="000D6DEE">
        <w:rPr>
          <w:rStyle w:val="Rimandonotaapidipagina"/>
          <w:color w:val="000000"/>
          <w:sz w:val="28"/>
          <w:szCs w:val="28"/>
        </w:rPr>
        <w:footnoteReference w:id="3"/>
      </w:r>
      <w:r w:rsidR="0045734F" w:rsidRPr="000D6DEE">
        <w:rPr>
          <w:color w:val="000000"/>
          <w:sz w:val="28"/>
          <w:szCs w:val="28"/>
        </w:rPr>
        <w:t xml:space="preserve">. </w:t>
      </w:r>
      <w:r w:rsidR="005621D7" w:rsidRPr="000D6DEE">
        <w:rPr>
          <w:color w:val="000000"/>
          <w:sz w:val="28"/>
          <w:szCs w:val="28"/>
        </w:rPr>
        <w:t xml:space="preserve">Ciò sulla base della assimilabilità del procedimento dichiarativo (anche) all’autorizzazione in passato riconducibile solo al r.d. n. 773 del 1931. </w:t>
      </w:r>
    </w:p>
    <w:p w:rsidR="001453CC" w:rsidRPr="000D6DEE" w:rsidRDefault="00D3250E" w:rsidP="005621D7">
      <w:pPr>
        <w:pStyle w:val="Testonotaapidipagina"/>
        <w:spacing w:line="360" w:lineRule="auto"/>
        <w:jc w:val="both"/>
        <w:rPr>
          <w:rFonts w:ascii="Times New Roman" w:hAnsi="Times New Roman" w:cs="Times New Roman"/>
          <w:color w:val="000000"/>
          <w:sz w:val="28"/>
          <w:szCs w:val="28"/>
          <w:shd w:val="clear" w:color="auto" w:fill="FFFFFF"/>
        </w:rPr>
      </w:pPr>
      <w:r w:rsidRPr="000D6DEE">
        <w:rPr>
          <w:rFonts w:ascii="Times New Roman" w:hAnsi="Times New Roman" w:cs="Times New Roman"/>
          <w:color w:val="000000"/>
          <w:sz w:val="28"/>
          <w:szCs w:val="28"/>
        </w:rPr>
        <w:lastRenderedPageBreak/>
        <w:t xml:space="preserve">La strategicità del richiamo all’art. 16 del </w:t>
      </w:r>
      <w:proofErr w:type="spellStart"/>
      <w:r w:rsidRPr="000D6DEE">
        <w:rPr>
          <w:rFonts w:ascii="Times New Roman" w:hAnsi="Times New Roman" w:cs="Times New Roman"/>
          <w:color w:val="000000"/>
          <w:sz w:val="28"/>
          <w:szCs w:val="28"/>
        </w:rPr>
        <w:t>T.u.l.p.s</w:t>
      </w:r>
      <w:proofErr w:type="spellEnd"/>
      <w:r w:rsidRPr="000D6DEE">
        <w:rPr>
          <w:rFonts w:ascii="Times New Roman" w:hAnsi="Times New Roman" w:cs="Times New Roman"/>
          <w:color w:val="000000"/>
          <w:sz w:val="28"/>
          <w:szCs w:val="28"/>
        </w:rPr>
        <w:t>., quale principio irrinunciabile a supporto del mantenimento della categoria delle autorizzazioni di polizia</w:t>
      </w:r>
      <w:r w:rsidRPr="000D6DEE">
        <w:rPr>
          <w:rFonts w:ascii="Times New Roman" w:hAnsi="Times New Roman" w:cs="Times New Roman"/>
          <w:b/>
          <w:color w:val="000000"/>
          <w:sz w:val="28"/>
          <w:szCs w:val="28"/>
        </w:rPr>
        <w:t>,</w:t>
      </w:r>
      <w:r w:rsidRPr="000D6DEE">
        <w:rPr>
          <w:rFonts w:ascii="Times New Roman" w:hAnsi="Times New Roman" w:cs="Times New Roman"/>
          <w:color w:val="000000"/>
          <w:sz w:val="28"/>
          <w:szCs w:val="28"/>
        </w:rPr>
        <w:t xml:space="preserve"> è da ultimo documentata dal contenuto della </w:t>
      </w:r>
      <w:r w:rsidR="0045734F" w:rsidRPr="000D6DEE">
        <w:rPr>
          <w:rFonts w:ascii="Times New Roman" w:hAnsi="Times New Roman" w:cs="Times New Roman"/>
          <w:color w:val="000000"/>
          <w:sz w:val="28"/>
          <w:szCs w:val="28"/>
        </w:rPr>
        <w:t xml:space="preserve">relazione illustrativa </w:t>
      </w:r>
      <w:r w:rsidRPr="000D6DEE">
        <w:rPr>
          <w:rFonts w:ascii="Times New Roman" w:hAnsi="Times New Roman" w:cs="Times New Roman"/>
          <w:color w:val="000000"/>
          <w:sz w:val="28"/>
          <w:szCs w:val="28"/>
        </w:rPr>
        <w:t xml:space="preserve">al </w:t>
      </w:r>
      <w:r w:rsidR="0045734F" w:rsidRPr="000D6DEE">
        <w:rPr>
          <w:rFonts w:ascii="Times New Roman" w:hAnsi="Times New Roman" w:cs="Times New Roman"/>
          <w:color w:val="000000"/>
          <w:sz w:val="28"/>
          <w:szCs w:val="28"/>
        </w:rPr>
        <w:t xml:space="preserve">d.lgs. </w:t>
      </w:r>
      <w:r w:rsidRPr="000D6DEE">
        <w:rPr>
          <w:rFonts w:ascii="Times New Roman" w:hAnsi="Times New Roman" w:cs="Times New Roman"/>
          <w:color w:val="000000"/>
          <w:sz w:val="28"/>
          <w:szCs w:val="28"/>
        </w:rPr>
        <w:t xml:space="preserve">25 novembre 2016, </w:t>
      </w:r>
      <w:r w:rsidR="0045734F" w:rsidRPr="000D6DEE">
        <w:rPr>
          <w:rFonts w:ascii="Times New Roman" w:hAnsi="Times New Roman" w:cs="Times New Roman"/>
          <w:color w:val="000000"/>
          <w:sz w:val="28"/>
          <w:szCs w:val="28"/>
        </w:rPr>
        <w:t xml:space="preserve">n. </w:t>
      </w:r>
      <w:r w:rsidR="00F63BB5" w:rsidRPr="000D6DEE">
        <w:rPr>
          <w:rFonts w:ascii="Times New Roman" w:hAnsi="Times New Roman" w:cs="Times New Roman"/>
          <w:color w:val="000000"/>
          <w:sz w:val="28"/>
          <w:szCs w:val="28"/>
        </w:rPr>
        <w:t>222</w:t>
      </w:r>
      <w:r w:rsidR="0045734F" w:rsidRPr="000D6DEE">
        <w:rPr>
          <w:rFonts w:ascii="Times New Roman" w:hAnsi="Times New Roman" w:cs="Times New Roman"/>
          <w:color w:val="000000"/>
          <w:sz w:val="28"/>
          <w:szCs w:val="28"/>
        </w:rPr>
        <w:t xml:space="preserve"> (c.d. </w:t>
      </w:r>
      <w:r w:rsidR="00945D37" w:rsidRPr="000D6DEE">
        <w:rPr>
          <w:rFonts w:ascii="Times New Roman" w:hAnsi="Times New Roman" w:cs="Times New Roman"/>
          <w:color w:val="000000"/>
          <w:sz w:val="28"/>
          <w:szCs w:val="28"/>
        </w:rPr>
        <w:t>“</w:t>
      </w:r>
      <w:r w:rsidR="0035055B" w:rsidRPr="000D6DEE">
        <w:rPr>
          <w:rFonts w:ascii="Times New Roman" w:hAnsi="Times New Roman" w:cs="Times New Roman"/>
          <w:color w:val="000000"/>
          <w:sz w:val="28"/>
          <w:szCs w:val="28"/>
        </w:rPr>
        <w:t xml:space="preserve">s.c.i.a. </w:t>
      </w:r>
      <w:r w:rsidR="00D55845" w:rsidRPr="000D6DEE">
        <w:rPr>
          <w:rFonts w:ascii="Times New Roman" w:hAnsi="Times New Roman" w:cs="Times New Roman"/>
          <w:color w:val="000000"/>
          <w:sz w:val="28"/>
          <w:szCs w:val="28"/>
        </w:rPr>
        <w:t>2</w:t>
      </w:r>
      <w:r w:rsidR="00945D37" w:rsidRPr="000D6DEE">
        <w:rPr>
          <w:rFonts w:ascii="Times New Roman" w:hAnsi="Times New Roman" w:cs="Times New Roman"/>
          <w:color w:val="000000"/>
          <w:sz w:val="28"/>
          <w:szCs w:val="28"/>
        </w:rPr>
        <w:t>”</w:t>
      </w:r>
      <w:r w:rsidR="0045734F" w:rsidRPr="000D6DEE">
        <w:rPr>
          <w:rFonts w:ascii="Times New Roman" w:hAnsi="Times New Roman" w:cs="Times New Roman"/>
          <w:color w:val="000000"/>
          <w:sz w:val="28"/>
          <w:szCs w:val="28"/>
        </w:rPr>
        <w:t>)</w:t>
      </w:r>
      <w:r w:rsidRPr="000D6DEE">
        <w:rPr>
          <w:rFonts w:ascii="Times New Roman" w:hAnsi="Times New Roman" w:cs="Times New Roman"/>
          <w:color w:val="000000"/>
          <w:sz w:val="28"/>
          <w:szCs w:val="28"/>
        </w:rPr>
        <w:t xml:space="preserve">, contenente l’individuazione dei </w:t>
      </w:r>
      <w:r w:rsidRPr="000D6DEE">
        <w:rPr>
          <w:rFonts w:ascii="Times New Roman" w:hAnsi="Times New Roman" w:cs="Times New Roman"/>
          <w:bCs/>
          <w:color w:val="19191A"/>
          <w:sz w:val="28"/>
          <w:szCs w:val="28"/>
        </w:rPr>
        <w:t>procedimenti oggetto di autorizzazione, segnalazione certificata di inizio di attività (</w:t>
      </w:r>
      <w:r w:rsidR="00CA6529" w:rsidRPr="000D6DEE">
        <w:rPr>
          <w:rFonts w:ascii="Times New Roman" w:hAnsi="Times New Roman" w:cs="Times New Roman"/>
          <w:bCs/>
          <w:color w:val="19191A"/>
          <w:sz w:val="28"/>
          <w:szCs w:val="28"/>
        </w:rPr>
        <w:t>s.c.i.a.</w:t>
      </w:r>
      <w:r w:rsidRPr="000D6DEE">
        <w:rPr>
          <w:rFonts w:ascii="Times New Roman" w:hAnsi="Times New Roman" w:cs="Times New Roman"/>
          <w:bCs/>
          <w:color w:val="19191A"/>
          <w:sz w:val="28"/>
          <w:szCs w:val="28"/>
        </w:rPr>
        <w:t>), silenzio assenso e comunicazione e la definizione dei regimi amministrativi applicabili a determinate attività e procedimenti, ai sensi dell'articolo 5 della legge 7 agosto 2015, n. 124</w:t>
      </w:r>
      <w:r w:rsidR="005621D7" w:rsidRPr="000D6DEE">
        <w:rPr>
          <w:rFonts w:ascii="Times New Roman" w:hAnsi="Times New Roman" w:cs="Times New Roman"/>
          <w:bCs/>
          <w:color w:val="19191A"/>
          <w:sz w:val="28"/>
          <w:szCs w:val="28"/>
        </w:rPr>
        <w:t xml:space="preserve"> (c.d. delega Madia)</w:t>
      </w:r>
      <w:r w:rsidRPr="000D6DEE">
        <w:rPr>
          <w:rFonts w:ascii="Times New Roman" w:hAnsi="Times New Roman" w:cs="Times New Roman"/>
          <w:b/>
          <w:bCs/>
          <w:color w:val="19191A"/>
          <w:sz w:val="28"/>
          <w:szCs w:val="28"/>
        </w:rPr>
        <w:t xml:space="preserve">. </w:t>
      </w:r>
      <w:r w:rsidRPr="000D6DEE">
        <w:rPr>
          <w:rFonts w:ascii="Times New Roman" w:hAnsi="Times New Roman" w:cs="Times New Roman"/>
          <w:bCs/>
          <w:color w:val="19191A"/>
          <w:sz w:val="28"/>
          <w:szCs w:val="28"/>
        </w:rPr>
        <w:t xml:space="preserve">Nell’esplicitare la scelta sottesa alla declinazione dell’art. 4, che ammette definitivamente la </w:t>
      </w:r>
      <w:r w:rsidR="0045734F" w:rsidRPr="000D6DEE">
        <w:rPr>
          <w:rFonts w:ascii="Times New Roman" w:hAnsi="Times New Roman" w:cs="Times New Roman"/>
          <w:color w:val="000000"/>
          <w:sz w:val="28"/>
          <w:szCs w:val="28"/>
        </w:rPr>
        <w:t>«</w:t>
      </w:r>
      <w:r w:rsidR="0045734F" w:rsidRPr="000D6DEE">
        <w:rPr>
          <w:rFonts w:ascii="Times New Roman" w:hAnsi="Times New Roman" w:cs="Times New Roman"/>
          <w:i/>
          <w:iCs/>
          <w:color w:val="000000"/>
          <w:sz w:val="28"/>
          <w:szCs w:val="28"/>
        </w:rPr>
        <w:t xml:space="preserve">Semplificazione di regimi amministrativi in materia di pubblica sicurezza», </w:t>
      </w:r>
      <w:r w:rsidR="005621D7" w:rsidRPr="000D6DEE">
        <w:rPr>
          <w:rFonts w:ascii="Times New Roman" w:hAnsi="Times New Roman" w:cs="Times New Roman"/>
          <w:iCs/>
          <w:color w:val="000000"/>
          <w:sz w:val="28"/>
          <w:szCs w:val="28"/>
        </w:rPr>
        <w:t xml:space="preserve">il legislatore </w:t>
      </w:r>
      <w:r w:rsidR="0045734F" w:rsidRPr="000D6DEE">
        <w:rPr>
          <w:rFonts w:ascii="Times New Roman" w:hAnsi="Times New Roman" w:cs="Times New Roman"/>
          <w:iCs/>
          <w:color w:val="000000"/>
          <w:sz w:val="28"/>
          <w:szCs w:val="28"/>
        </w:rPr>
        <w:t xml:space="preserve">non ha inteso </w:t>
      </w:r>
      <w:r w:rsidRPr="000D6DEE">
        <w:rPr>
          <w:rFonts w:ascii="Times New Roman" w:hAnsi="Times New Roman" w:cs="Times New Roman"/>
          <w:iCs/>
          <w:color w:val="000000"/>
          <w:sz w:val="28"/>
          <w:szCs w:val="28"/>
        </w:rPr>
        <w:t xml:space="preserve">comunque neutralizzare </w:t>
      </w:r>
      <w:r w:rsidR="0045734F" w:rsidRPr="000D6DEE">
        <w:rPr>
          <w:rFonts w:ascii="Times New Roman" w:hAnsi="Times New Roman" w:cs="Times New Roman"/>
          <w:iCs/>
          <w:color w:val="000000"/>
          <w:sz w:val="28"/>
          <w:szCs w:val="28"/>
        </w:rPr>
        <w:t xml:space="preserve">la categoria delle autorizzazioni di polizia, </w:t>
      </w:r>
      <w:r w:rsidRPr="000D6DEE">
        <w:rPr>
          <w:rFonts w:ascii="Times New Roman" w:hAnsi="Times New Roman" w:cs="Times New Roman"/>
          <w:iCs/>
          <w:color w:val="000000"/>
          <w:sz w:val="28"/>
          <w:szCs w:val="28"/>
        </w:rPr>
        <w:t xml:space="preserve">necessaria </w:t>
      </w:r>
      <w:r w:rsidR="005621D7" w:rsidRPr="000D6DEE">
        <w:rPr>
          <w:rFonts w:ascii="Times New Roman" w:hAnsi="Times New Roman" w:cs="Times New Roman"/>
          <w:iCs/>
          <w:color w:val="000000"/>
          <w:sz w:val="28"/>
          <w:szCs w:val="28"/>
        </w:rPr>
        <w:t xml:space="preserve">proprio </w:t>
      </w:r>
      <w:r w:rsidRPr="000D6DEE">
        <w:rPr>
          <w:rFonts w:ascii="Times New Roman" w:hAnsi="Times New Roman" w:cs="Times New Roman"/>
          <w:iCs/>
          <w:color w:val="000000"/>
          <w:sz w:val="28"/>
          <w:szCs w:val="28"/>
        </w:rPr>
        <w:t xml:space="preserve">per </w:t>
      </w:r>
      <w:r w:rsidR="0045734F" w:rsidRPr="000D6DEE">
        <w:rPr>
          <w:rFonts w:ascii="Times New Roman" w:hAnsi="Times New Roman" w:cs="Times New Roman"/>
          <w:iCs/>
          <w:color w:val="000000"/>
          <w:sz w:val="28"/>
          <w:szCs w:val="28"/>
        </w:rPr>
        <w:t xml:space="preserve">mantenere la possibilità per le autorità di pubblica sicurezza </w:t>
      </w:r>
      <w:r w:rsidR="0045734F" w:rsidRPr="000D6DEE">
        <w:rPr>
          <w:rFonts w:ascii="Times New Roman" w:hAnsi="Times New Roman" w:cs="Times New Roman"/>
          <w:color w:val="000000"/>
          <w:sz w:val="28"/>
          <w:szCs w:val="28"/>
        </w:rPr>
        <w:t xml:space="preserve">di controllare luoghi potenzialmente attrattivi </w:t>
      </w:r>
      <w:r w:rsidR="00CA6529" w:rsidRPr="000D6DEE">
        <w:rPr>
          <w:rFonts w:ascii="Times New Roman" w:hAnsi="Times New Roman" w:cs="Times New Roman"/>
          <w:color w:val="000000"/>
          <w:sz w:val="28"/>
          <w:szCs w:val="28"/>
        </w:rPr>
        <w:t xml:space="preserve">di una </w:t>
      </w:r>
      <w:r w:rsidR="0045734F" w:rsidRPr="000D6DEE">
        <w:rPr>
          <w:rFonts w:ascii="Times New Roman" w:hAnsi="Times New Roman" w:cs="Times New Roman"/>
          <w:color w:val="000000"/>
          <w:sz w:val="28"/>
          <w:szCs w:val="28"/>
        </w:rPr>
        <w:t>pluralità di utenti, senza che a ciò corrisponda il possesso di un’autorizzazione formale.</w:t>
      </w:r>
      <w:r w:rsidR="0045734F" w:rsidRPr="000D6DEE">
        <w:rPr>
          <w:rFonts w:ascii="Times New Roman" w:hAnsi="Times New Roman" w:cs="Times New Roman"/>
          <w:color w:val="000000"/>
          <w:sz w:val="28"/>
          <w:szCs w:val="28"/>
          <w:shd w:val="clear" w:color="auto" w:fill="FFFFFF"/>
        </w:rPr>
        <w:t xml:space="preserve"> </w:t>
      </w:r>
      <w:r w:rsidRPr="000D6DEE">
        <w:rPr>
          <w:rFonts w:ascii="Times New Roman" w:hAnsi="Times New Roman" w:cs="Times New Roman"/>
          <w:color w:val="000000"/>
          <w:sz w:val="28"/>
          <w:szCs w:val="28"/>
          <w:shd w:val="clear" w:color="auto" w:fill="FFFFFF"/>
        </w:rPr>
        <w:t xml:space="preserve">In ridetta </w:t>
      </w:r>
      <w:r w:rsidR="0045734F" w:rsidRPr="000D6DEE">
        <w:rPr>
          <w:rFonts w:ascii="Times New Roman" w:hAnsi="Times New Roman" w:cs="Times New Roman"/>
          <w:color w:val="000000"/>
          <w:sz w:val="28"/>
          <w:szCs w:val="28"/>
          <w:shd w:val="clear" w:color="auto" w:fill="FFFFFF"/>
        </w:rPr>
        <w:t>relazione</w:t>
      </w:r>
      <w:r w:rsidRPr="000D6DEE">
        <w:rPr>
          <w:rFonts w:ascii="Times New Roman" w:hAnsi="Times New Roman" w:cs="Times New Roman"/>
          <w:color w:val="000000"/>
          <w:sz w:val="28"/>
          <w:szCs w:val="28"/>
          <w:shd w:val="clear" w:color="auto" w:fill="FFFFFF"/>
        </w:rPr>
        <w:t xml:space="preserve">, dunque, si dà atto di avere inteso </w:t>
      </w:r>
      <w:r w:rsidR="0045734F" w:rsidRPr="000D6DEE">
        <w:rPr>
          <w:rFonts w:ascii="Times New Roman" w:hAnsi="Times New Roman" w:cs="Times New Roman"/>
          <w:color w:val="000000"/>
          <w:sz w:val="28"/>
          <w:szCs w:val="28"/>
          <w:shd w:val="clear" w:color="auto" w:fill="FFFFFF"/>
        </w:rPr>
        <w:t>risolvere una questione risalente</w:t>
      </w:r>
      <w:r w:rsidRPr="000D6DEE">
        <w:rPr>
          <w:rFonts w:ascii="Times New Roman" w:hAnsi="Times New Roman" w:cs="Times New Roman"/>
          <w:color w:val="000000"/>
          <w:sz w:val="28"/>
          <w:szCs w:val="28"/>
          <w:shd w:val="clear" w:color="auto" w:fill="FFFFFF"/>
        </w:rPr>
        <w:t xml:space="preserve"> nel tempo</w:t>
      </w:r>
      <w:r w:rsidR="0045734F" w:rsidRPr="000D6DEE">
        <w:rPr>
          <w:rFonts w:ascii="Times New Roman" w:hAnsi="Times New Roman" w:cs="Times New Roman"/>
          <w:color w:val="000000"/>
          <w:sz w:val="28"/>
          <w:szCs w:val="28"/>
          <w:shd w:val="clear" w:color="auto" w:fill="FFFFFF"/>
        </w:rPr>
        <w:t xml:space="preserve">, </w:t>
      </w:r>
      <w:r w:rsidRPr="000D6DEE">
        <w:rPr>
          <w:rFonts w:ascii="Times New Roman" w:hAnsi="Times New Roman" w:cs="Times New Roman"/>
          <w:color w:val="000000"/>
          <w:sz w:val="28"/>
          <w:szCs w:val="28"/>
          <w:shd w:val="clear" w:color="auto" w:fill="FFFFFF"/>
        </w:rPr>
        <w:t>optando per i</w:t>
      </w:r>
      <w:r w:rsidR="0045734F" w:rsidRPr="000D6DEE">
        <w:rPr>
          <w:rFonts w:ascii="Times New Roman" w:hAnsi="Times New Roman" w:cs="Times New Roman"/>
          <w:color w:val="000000"/>
          <w:sz w:val="28"/>
          <w:szCs w:val="28"/>
          <w:shd w:val="clear" w:color="auto" w:fill="FFFFFF"/>
        </w:rPr>
        <w:t xml:space="preserve">l mantenimento, almeno sotto il profilo formale, di un duplice regime per determinate attività commerciali che, pur </w:t>
      </w:r>
      <w:r w:rsidRPr="000D6DEE">
        <w:rPr>
          <w:rFonts w:ascii="Times New Roman" w:hAnsi="Times New Roman" w:cs="Times New Roman"/>
          <w:color w:val="000000"/>
          <w:sz w:val="28"/>
          <w:szCs w:val="28"/>
          <w:shd w:val="clear" w:color="auto" w:fill="FFFFFF"/>
        </w:rPr>
        <w:t xml:space="preserve">dovendo essere </w:t>
      </w:r>
      <w:r w:rsidR="001453CC" w:rsidRPr="000D6DEE">
        <w:rPr>
          <w:rFonts w:ascii="Times New Roman" w:hAnsi="Times New Roman" w:cs="Times New Roman"/>
          <w:color w:val="000000"/>
          <w:sz w:val="28"/>
          <w:szCs w:val="28"/>
          <w:shd w:val="clear" w:color="auto" w:fill="FFFFFF"/>
        </w:rPr>
        <w:t xml:space="preserve">considerate </w:t>
      </w:r>
      <w:r w:rsidRPr="000D6DEE">
        <w:rPr>
          <w:rFonts w:ascii="Times New Roman" w:hAnsi="Times New Roman" w:cs="Times New Roman"/>
          <w:color w:val="000000"/>
          <w:sz w:val="28"/>
          <w:szCs w:val="28"/>
          <w:shd w:val="clear" w:color="auto" w:fill="FFFFFF"/>
        </w:rPr>
        <w:t xml:space="preserve">liberalizzate al pari delle altre </w:t>
      </w:r>
      <w:r w:rsidR="0045734F" w:rsidRPr="000D6DEE">
        <w:rPr>
          <w:rFonts w:ascii="Times New Roman" w:hAnsi="Times New Roman" w:cs="Times New Roman"/>
          <w:color w:val="000000"/>
          <w:sz w:val="28"/>
          <w:szCs w:val="28"/>
          <w:shd w:val="clear" w:color="auto" w:fill="FFFFFF"/>
        </w:rPr>
        <w:t>a seguito dell</w:t>
      </w:r>
      <w:r w:rsidR="005621D7" w:rsidRPr="000D6DEE">
        <w:rPr>
          <w:rFonts w:ascii="Times New Roman" w:hAnsi="Times New Roman" w:cs="Times New Roman"/>
          <w:color w:val="000000"/>
          <w:sz w:val="28"/>
          <w:szCs w:val="28"/>
          <w:shd w:val="clear" w:color="auto" w:fill="FFFFFF"/>
        </w:rPr>
        <w:t>’</w:t>
      </w:r>
      <w:r w:rsidR="0045734F" w:rsidRPr="000D6DEE">
        <w:rPr>
          <w:rFonts w:ascii="Times New Roman" w:hAnsi="Times New Roman" w:cs="Times New Roman"/>
          <w:color w:val="000000"/>
          <w:sz w:val="28"/>
          <w:szCs w:val="28"/>
          <w:shd w:val="clear" w:color="auto" w:fill="FFFFFF"/>
        </w:rPr>
        <w:t xml:space="preserve">introduzione della </w:t>
      </w:r>
      <w:r w:rsidR="001453CC" w:rsidRPr="000D6DEE">
        <w:rPr>
          <w:rFonts w:ascii="Times New Roman" w:hAnsi="Times New Roman" w:cs="Times New Roman"/>
          <w:color w:val="000000"/>
          <w:sz w:val="28"/>
          <w:szCs w:val="28"/>
          <w:shd w:val="clear" w:color="auto" w:fill="FFFFFF"/>
        </w:rPr>
        <w:t xml:space="preserve">s.c.i.a., tuttavia </w:t>
      </w:r>
      <w:r w:rsidR="0045734F" w:rsidRPr="000D6DEE">
        <w:rPr>
          <w:rFonts w:ascii="Times New Roman" w:hAnsi="Times New Roman" w:cs="Times New Roman"/>
          <w:color w:val="000000"/>
          <w:sz w:val="28"/>
          <w:szCs w:val="28"/>
          <w:shd w:val="clear" w:color="auto" w:fill="FFFFFF"/>
        </w:rPr>
        <w:t>continuano ad essere assoggettate</w:t>
      </w:r>
      <w:r w:rsidR="001453CC" w:rsidRPr="000D6DEE">
        <w:rPr>
          <w:rFonts w:ascii="Times New Roman" w:hAnsi="Times New Roman" w:cs="Times New Roman"/>
          <w:color w:val="000000"/>
          <w:sz w:val="28"/>
          <w:szCs w:val="28"/>
          <w:shd w:val="clear" w:color="auto" w:fill="FFFFFF"/>
        </w:rPr>
        <w:t xml:space="preserve"> (anche)</w:t>
      </w:r>
      <w:r w:rsidR="0045734F" w:rsidRPr="000D6DEE">
        <w:rPr>
          <w:rFonts w:ascii="Times New Roman" w:hAnsi="Times New Roman" w:cs="Times New Roman"/>
          <w:color w:val="000000"/>
          <w:sz w:val="28"/>
          <w:szCs w:val="28"/>
          <w:shd w:val="clear" w:color="auto" w:fill="FFFFFF"/>
        </w:rPr>
        <w:t xml:space="preserve"> alle autorizzazioni di pubblica sicurezza per le finalità relative</w:t>
      </w:r>
      <w:r w:rsidR="001453CC" w:rsidRPr="000D6DEE">
        <w:rPr>
          <w:rFonts w:ascii="Times New Roman" w:hAnsi="Times New Roman" w:cs="Times New Roman"/>
          <w:color w:val="000000"/>
          <w:sz w:val="28"/>
          <w:szCs w:val="28"/>
          <w:shd w:val="clear" w:color="auto" w:fill="FFFFFF"/>
        </w:rPr>
        <w:t xml:space="preserve"> –</w:t>
      </w:r>
      <w:r w:rsidR="001453CC" w:rsidRPr="000D6DEE">
        <w:rPr>
          <w:rFonts w:ascii="Times New Roman" w:hAnsi="Times New Roman" w:cs="Times New Roman"/>
          <w:i/>
          <w:color w:val="000000"/>
          <w:sz w:val="28"/>
          <w:szCs w:val="28"/>
          <w:shd w:val="clear" w:color="auto" w:fill="FFFFFF"/>
        </w:rPr>
        <w:t>recte</w:t>
      </w:r>
      <w:r w:rsidR="001453CC" w:rsidRPr="000D6DEE">
        <w:rPr>
          <w:rFonts w:ascii="Times New Roman" w:hAnsi="Times New Roman" w:cs="Times New Roman"/>
          <w:color w:val="000000"/>
          <w:sz w:val="28"/>
          <w:szCs w:val="28"/>
          <w:shd w:val="clear" w:color="auto" w:fill="FFFFFF"/>
        </w:rPr>
        <w:t>, più propriamente, ai principi generali che governano le stesse</w:t>
      </w:r>
      <w:r w:rsidR="00AA289B" w:rsidRPr="000D6DEE">
        <w:rPr>
          <w:rFonts w:ascii="Times New Roman" w:hAnsi="Times New Roman" w:cs="Times New Roman"/>
          <w:color w:val="000000"/>
          <w:sz w:val="28"/>
          <w:szCs w:val="28"/>
          <w:shd w:val="clear" w:color="auto" w:fill="FFFFFF"/>
        </w:rPr>
        <w:t>. E ciò è quanto previsto dal</w:t>
      </w:r>
      <w:r w:rsidR="005621D7" w:rsidRPr="000D6DEE">
        <w:rPr>
          <w:rFonts w:ascii="Times New Roman" w:hAnsi="Times New Roman" w:cs="Times New Roman"/>
          <w:color w:val="000000"/>
          <w:sz w:val="28"/>
          <w:szCs w:val="28"/>
          <w:shd w:val="clear" w:color="auto" w:fill="FFFFFF"/>
        </w:rPr>
        <w:t xml:space="preserve"> comma 2 del richiamato art.</w:t>
      </w:r>
      <w:r w:rsidR="00AA289B" w:rsidRPr="000D6DEE">
        <w:rPr>
          <w:rFonts w:ascii="Times New Roman" w:hAnsi="Times New Roman" w:cs="Times New Roman"/>
          <w:color w:val="000000"/>
          <w:sz w:val="28"/>
          <w:szCs w:val="28"/>
          <w:shd w:val="clear" w:color="auto" w:fill="FFFFFF"/>
        </w:rPr>
        <w:t xml:space="preserve">4 </w:t>
      </w:r>
      <w:r w:rsidR="00AA289B" w:rsidRPr="000D6DEE">
        <w:rPr>
          <w:rFonts w:ascii="Times New Roman" w:hAnsi="Times New Roman" w:cs="Times New Roman"/>
          <w:sz w:val="28"/>
          <w:szCs w:val="28"/>
        </w:rPr>
        <w:t>del d.lgs. n. 222/2016, che costituisce una delle vere novità del testo in questione</w:t>
      </w:r>
      <w:r w:rsidR="00CC0F9A" w:rsidRPr="000D6DEE">
        <w:rPr>
          <w:rFonts w:ascii="Times New Roman" w:hAnsi="Times New Roman" w:cs="Times New Roman"/>
          <w:sz w:val="28"/>
          <w:szCs w:val="28"/>
        </w:rPr>
        <w:t>. Esso</w:t>
      </w:r>
      <w:r w:rsidR="00AA289B" w:rsidRPr="000D6DEE">
        <w:rPr>
          <w:rFonts w:ascii="Times New Roman" w:hAnsi="Times New Roman" w:cs="Times New Roman"/>
          <w:sz w:val="28"/>
          <w:szCs w:val="28"/>
        </w:rPr>
        <w:t xml:space="preserve"> recita: «</w:t>
      </w:r>
      <w:r w:rsidR="00AA289B" w:rsidRPr="000D6DEE">
        <w:rPr>
          <w:rFonts w:ascii="Times New Roman" w:hAnsi="Times New Roman" w:cs="Times New Roman"/>
          <w:i/>
          <w:color w:val="19191A"/>
          <w:sz w:val="28"/>
          <w:szCs w:val="28"/>
          <w:shd w:val="clear" w:color="auto" w:fill="FFFFFF"/>
        </w:rPr>
        <w:t>Per le attività sottoposte ad autorizzazione di pubblica sicurezza ai sensi del </w:t>
      </w:r>
      <w:r w:rsidR="00CC0F9A" w:rsidRPr="000D6DEE">
        <w:rPr>
          <w:rFonts w:ascii="Times New Roman" w:hAnsi="Times New Roman" w:cs="Times New Roman"/>
          <w:i/>
          <w:color w:val="19191A"/>
          <w:sz w:val="28"/>
          <w:szCs w:val="28"/>
          <w:shd w:val="clear" w:color="auto" w:fill="FFFFFF"/>
        </w:rPr>
        <w:t>regio decreto n. 773 del 1931</w:t>
      </w:r>
      <w:r w:rsidR="00AA289B" w:rsidRPr="000D6DEE">
        <w:rPr>
          <w:rFonts w:ascii="Times New Roman" w:hAnsi="Times New Roman" w:cs="Times New Roman"/>
          <w:i/>
          <w:color w:val="19191A"/>
          <w:sz w:val="28"/>
          <w:szCs w:val="28"/>
          <w:shd w:val="clear" w:color="auto" w:fill="FFFFFF"/>
        </w:rPr>
        <w:t>, ove l'allegata tabella A preveda un regime di Scia, quest'ultima produce anche gli effetti dell'autorizzazione ai fini dello stesso regio decreto</w:t>
      </w:r>
      <w:r w:rsidR="00AA289B" w:rsidRPr="000D6DEE">
        <w:rPr>
          <w:rFonts w:ascii="Times New Roman" w:hAnsi="Times New Roman" w:cs="Times New Roman"/>
          <w:color w:val="19191A"/>
          <w:sz w:val="28"/>
          <w:szCs w:val="28"/>
          <w:shd w:val="clear" w:color="auto" w:fill="FFFFFF"/>
        </w:rPr>
        <w:t xml:space="preserve">». La norma ha un antecedente nell’art. 152 </w:t>
      </w:r>
      <w:r w:rsidR="00AA289B" w:rsidRPr="000D6DEE">
        <w:rPr>
          <w:rFonts w:ascii="Times New Roman" w:hAnsi="Times New Roman" w:cs="Times New Roman"/>
          <w:sz w:val="28"/>
          <w:szCs w:val="28"/>
        </w:rPr>
        <w:t xml:space="preserve">del r.d. 6 maggio 1940, n. 635, recante il regolamento per l’esecuzione del </w:t>
      </w:r>
      <w:proofErr w:type="spellStart"/>
      <w:r w:rsidR="00AA289B" w:rsidRPr="000D6DEE">
        <w:rPr>
          <w:rFonts w:ascii="Times New Roman" w:hAnsi="Times New Roman" w:cs="Times New Roman"/>
          <w:sz w:val="28"/>
          <w:szCs w:val="28"/>
        </w:rPr>
        <w:t>t.u.l.p.s</w:t>
      </w:r>
      <w:proofErr w:type="spellEnd"/>
      <w:r w:rsidR="00AA289B" w:rsidRPr="000D6DEE">
        <w:rPr>
          <w:rFonts w:ascii="Times New Roman" w:hAnsi="Times New Roman" w:cs="Times New Roman"/>
          <w:sz w:val="28"/>
          <w:szCs w:val="28"/>
        </w:rPr>
        <w:t xml:space="preserve">., nella versione conseguita alla novella operata dall’art. 2, comma 1, lett. g), del d.P.R. 28 maggio 2001, n. 311, laddove, con riferimento a quelle attività economiche - quali quelle di somministrazione di alimenti e bevande o le strutture ricettive </w:t>
      </w:r>
      <w:r w:rsidR="00CC0F9A" w:rsidRPr="000D6DEE">
        <w:rPr>
          <w:rFonts w:ascii="Times New Roman" w:hAnsi="Times New Roman" w:cs="Times New Roman"/>
          <w:sz w:val="28"/>
          <w:szCs w:val="28"/>
        </w:rPr>
        <w:t>-</w:t>
      </w:r>
      <w:r w:rsidR="00AA289B" w:rsidRPr="000D6DEE">
        <w:rPr>
          <w:rFonts w:ascii="Times New Roman" w:hAnsi="Times New Roman" w:cs="Times New Roman"/>
          <w:sz w:val="28"/>
          <w:szCs w:val="28"/>
        </w:rPr>
        <w:t xml:space="preserve"> che rientrano anche nella definizione (elencazione) di cui all’art. 86 </w:t>
      </w:r>
      <w:r w:rsidR="00AA289B" w:rsidRPr="000D6DEE">
        <w:rPr>
          <w:rFonts w:ascii="Times New Roman" w:hAnsi="Times New Roman" w:cs="Times New Roman"/>
          <w:sz w:val="28"/>
          <w:szCs w:val="28"/>
        </w:rPr>
        <w:lastRenderedPageBreak/>
        <w:t xml:space="preserve">del </w:t>
      </w:r>
      <w:proofErr w:type="spellStart"/>
      <w:r w:rsidR="00AA289B" w:rsidRPr="000D6DEE">
        <w:rPr>
          <w:rFonts w:ascii="Times New Roman" w:hAnsi="Times New Roman" w:cs="Times New Roman"/>
          <w:sz w:val="28"/>
          <w:szCs w:val="28"/>
        </w:rPr>
        <w:t>T.u.l.p.s</w:t>
      </w:r>
      <w:proofErr w:type="spellEnd"/>
      <w:r w:rsidR="00AA289B" w:rsidRPr="000D6DEE">
        <w:rPr>
          <w:rFonts w:ascii="Times New Roman" w:hAnsi="Times New Roman" w:cs="Times New Roman"/>
          <w:sz w:val="28"/>
          <w:szCs w:val="28"/>
        </w:rPr>
        <w:t>., so</w:t>
      </w:r>
      <w:r w:rsidR="00CC0F9A" w:rsidRPr="000D6DEE">
        <w:rPr>
          <w:rFonts w:ascii="Times New Roman" w:hAnsi="Times New Roman" w:cs="Times New Roman"/>
          <w:sz w:val="28"/>
          <w:szCs w:val="28"/>
        </w:rPr>
        <w:t>mma</w:t>
      </w:r>
      <w:r w:rsidR="00AA289B" w:rsidRPr="000D6DEE">
        <w:rPr>
          <w:rFonts w:ascii="Times New Roman" w:hAnsi="Times New Roman" w:cs="Times New Roman"/>
          <w:sz w:val="28"/>
          <w:szCs w:val="28"/>
        </w:rPr>
        <w:t xml:space="preserve"> alle eventuali discipline, anche regionali, di settore, quelle rivenienti </w:t>
      </w:r>
      <w:r w:rsidR="00A22456" w:rsidRPr="000D6DEE">
        <w:rPr>
          <w:rFonts w:ascii="Times New Roman" w:hAnsi="Times New Roman" w:cs="Times New Roman"/>
          <w:sz w:val="28"/>
          <w:szCs w:val="28"/>
        </w:rPr>
        <w:t>dalla riconducibilità a ridetta norma, e segnatamente i principi di cui ai Capi III e IV del Titolo I del medesimo Testo unico</w:t>
      </w:r>
      <w:r w:rsidR="00A22456" w:rsidRPr="000D6DEE">
        <w:rPr>
          <w:rStyle w:val="Rimandonotaapidipagina"/>
          <w:rFonts w:ascii="Times New Roman" w:hAnsi="Times New Roman" w:cs="Times New Roman"/>
          <w:sz w:val="28"/>
          <w:szCs w:val="28"/>
        </w:rPr>
        <w:footnoteReference w:id="4"/>
      </w:r>
      <w:r w:rsidR="00A22456" w:rsidRPr="000D6DEE">
        <w:rPr>
          <w:rFonts w:ascii="Times New Roman" w:hAnsi="Times New Roman" w:cs="Times New Roman"/>
          <w:sz w:val="28"/>
          <w:szCs w:val="28"/>
        </w:rPr>
        <w:t>.</w:t>
      </w:r>
    </w:p>
    <w:p w:rsidR="004231C2" w:rsidRPr="000D6DEE" w:rsidRDefault="001453CC" w:rsidP="00CC0F9A">
      <w:pPr>
        <w:pStyle w:val="Titolo3"/>
        <w:shd w:val="clear" w:color="auto" w:fill="FFFFFF"/>
        <w:spacing w:before="0" w:beforeAutospacing="0" w:after="225" w:afterAutospacing="0" w:line="360" w:lineRule="auto"/>
        <w:jc w:val="both"/>
        <w:rPr>
          <w:b w:val="0"/>
          <w:color w:val="000000"/>
          <w:sz w:val="28"/>
          <w:szCs w:val="28"/>
          <w:shd w:val="clear" w:color="auto" w:fill="FFFFFF"/>
        </w:rPr>
      </w:pPr>
      <w:r w:rsidRPr="000D6DEE">
        <w:rPr>
          <w:b w:val="0"/>
          <w:color w:val="000000"/>
          <w:sz w:val="28"/>
          <w:szCs w:val="28"/>
          <w:shd w:val="clear" w:color="auto" w:fill="FFFFFF"/>
        </w:rPr>
        <w:t>Va ricordato come in origine si dubitasse in generale della</w:t>
      </w:r>
      <w:r w:rsidR="004231C2" w:rsidRPr="000D6DEE">
        <w:rPr>
          <w:b w:val="0"/>
          <w:sz w:val="28"/>
          <w:szCs w:val="28"/>
        </w:rPr>
        <w:t xml:space="preserve"> possibilità che per l’intera categoria delle autorizzazioni di polizia, caratterizzate </w:t>
      </w:r>
      <w:r w:rsidR="004231C2" w:rsidRPr="000D6DEE">
        <w:rPr>
          <w:b w:val="0"/>
          <w:i/>
          <w:sz w:val="28"/>
          <w:szCs w:val="28"/>
        </w:rPr>
        <w:t>ex se</w:t>
      </w:r>
      <w:r w:rsidR="004231C2" w:rsidRPr="000D6DEE">
        <w:rPr>
          <w:b w:val="0"/>
          <w:sz w:val="28"/>
          <w:szCs w:val="28"/>
        </w:rPr>
        <w:t xml:space="preserve"> da discrezionalità nel rilascio, fosse ammissibile l</w:t>
      </w:r>
      <w:r w:rsidRPr="000D6DEE">
        <w:rPr>
          <w:b w:val="0"/>
          <w:sz w:val="28"/>
          <w:szCs w:val="28"/>
        </w:rPr>
        <w:t xml:space="preserve">’utilizzo dei procedimenti dichiarativi, comunque denominati, </w:t>
      </w:r>
      <w:r w:rsidR="004231C2" w:rsidRPr="000D6DEE">
        <w:rPr>
          <w:b w:val="0"/>
          <w:sz w:val="28"/>
          <w:szCs w:val="28"/>
        </w:rPr>
        <w:t xml:space="preserve">in luogo del titolo autorizzatorio espresso. Gli orientamenti a favore della tesi positiva facevano leva sul richiamo soggettivo </w:t>
      </w:r>
      <w:r w:rsidRPr="000D6DEE">
        <w:rPr>
          <w:b w:val="0"/>
          <w:sz w:val="28"/>
          <w:szCs w:val="28"/>
        </w:rPr>
        <w:t xml:space="preserve">contenute nell’art. 19 della l. n. 241 del 1990 </w:t>
      </w:r>
      <w:r w:rsidR="004231C2" w:rsidRPr="000D6DEE">
        <w:rPr>
          <w:b w:val="0"/>
          <w:sz w:val="28"/>
          <w:szCs w:val="28"/>
        </w:rPr>
        <w:t xml:space="preserve">alle </w:t>
      </w:r>
      <w:r w:rsidRPr="000D6DEE">
        <w:rPr>
          <w:b w:val="0"/>
          <w:sz w:val="28"/>
          <w:szCs w:val="28"/>
        </w:rPr>
        <w:t>“</w:t>
      </w:r>
      <w:r w:rsidR="004231C2" w:rsidRPr="000D6DEE">
        <w:rPr>
          <w:b w:val="0"/>
          <w:sz w:val="28"/>
          <w:szCs w:val="28"/>
        </w:rPr>
        <w:t>amministrazioni</w:t>
      </w:r>
      <w:r w:rsidRPr="000D6DEE">
        <w:rPr>
          <w:b w:val="0"/>
          <w:sz w:val="28"/>
          <w:szCs w:val="28"/>
        </w:rPr>
        <w:t>”</w:t>
      </w:r>
      <w:r w:rsidR="004231C2" w:rsidRPr="000D6DEE">
        <w:rPr>
          <w:b w:val="0"/>
          <w:sz w:val="28"/>
          <w:szCs w:val="28"/>
        </w:rPr>
        <w:t xml:space="preserve"> preposte alla tutela della pubblica sicurezza, </w:t>
      </w:r>
      <w:r w:rsidRPr="000D6DEE">
        <w:rPr>
          <w:b w:val="0"/>
          <w:sz w:val="28"/>
          <w:szCs w:val="28"/>
        </w:rPr>
        <w:t xml:space="preserve">cercando così di </w:t>
      </w:r>
      <w:r w:rsidR="004231C2" w:rsidRPr="000D6DEE">
        <w:rPr>
          <w:b w:val="0"/>
          <w:sz w:val="28"/>
          <w:szCs w:val="28"/>
        </w:rPr>
        <w:t>neutralizza</w:t>
      </w:r>
      <w:r w:rsidRPr="000D6DEE">
        <w:rPr>
          <w:b w:val="0"/>
          <w:sz w:val="28"/>
          <w:szCs w:val="28"/>
        </w:rPr>
        <w:t>re</w:t>
      </w:r>
      <w:r w:rsidR="004231C2" w:rsidRPr="000D6DEE">
        <w:rPr>
          <w:b w:val="0"/>
          <w:sz w:val="28"/>
          <w:szCs w:val="28"/>
        </w:rPr>
        <w:t xml:space="preserve"> il riferimento all’aspetto oggettivo del contenuto dell’atto. Sulla questione erano intervenute anche talune circolari ministeriali, che seppur </w:t>
      </w:r>
      <w:r w:rsidRPr="000D6DEE">
        <w:rPr>
          <w:b w:val="0"/>
          <w:sz w:val="28"/>
          <w:szCs w:val="28"/>
        </w:rPr>
        <w:t>nate</w:t>
      </w:r>
      <w:r w:rsidR="004231C2" w:rsidRPr="000D6DEE">
        <w:rPr>
          <w:b w:val="0"/>
          <w:sz w:val="28"/>
          <w:szCs w:val="28"/>
        </w:rPr>
        <w:t xml:space="preserve"> con diversa e apprezzabile finalità, avevano finito per </w:t>
      </w:r>
      <w:r w:rsidRPr="000D6DEE">
        <w:rPr>
          <w:b w:val="0"/>
          <w:sz w:val="28"/>
          <w:szCs w:val="28"/>
        </w:rPr>
        <w:t>ingenerare più dubbi di quanti ne risolve</w:t>
      </w:r>
      <w:r w:rsidR="00CC0F9A" w:rsidRPr="000D6DEE">
        <w:rPr>
          <w:b w:val="0"/>
          <w:sz w:val="28"/>
          <w:szCs w:val="28"/>
        </w:rPr>
        <w:t>ssero</w:t>
      </w:r>
      <w:r w:rsidRPr="000D6DEE">
        <w:rPr>
          <w:b w:val="0"/>
          <w:sz w:val="28"/>
          <w:szCs w:val="28"/>
        </w:rPr>
        <w:t xml:space="preserve">. </w:t>
      </w:r>
      <w:r w:rsidR="00B92516" w:rsidRPr="000D6DEE">
        <w:rPr>
          <w:b w:val="0"/>
          <w:sz w:val="28"/>
          <w:szCs w:val="28"/>
        </w:rPr>
        <w:t xml:space="preserve">La </w:t>
      </w:r>
      <w:r w:rsidR="004231C2" w:rsidRPr="000D6DEE">
        <w:rPr>
          <w:b w:val="0"/>
          <w:sz w:val="28"/>
          <w:szCs w:val="28"/>
        </w:rPr>
        <w:t>circolare del Ministero dell’Interno prot. 0003791 del 24 marzo 2011</w:t>
      </w:r>
      <w:r w:rsidR="00B92516" w:rsidRPr="000D6DEE">
        <w:rPr>
          <w:b w:val="0"/>
          <w:sz w:val="28"/>
          <w:szCs w:val="28"/>
        </w:rPr>
        <w:t>, ad esempio, affermava a chiare lettere: «</w:t>
      </w:r>
      <w:r w:rsidR="004231C2" w:rsidRPr="000D6DEE">
        <w:rPr>
          <w:b w:val="0"/>
          <w:i/>
          <w:sz w:val="28"/>
          <w:szCs w:val="28"/>
        </w:rPr>
        <w:t>Si sottolinea che la SCIA, e di conseguenza il procedimento automatizzato, sono utilizzabili esclusivamente laddove la pubblica amministrazione non debba esprimere alcun apprezzamento tecnico-discrezionale per il rilascio</w:t>
      </w:r>
      <w:r w:rsidR="00B92516" w:rsidRPr="000D6DEE">
        <w:rPr>
          <w:b w:val="0"/>
          <w:i/>
          <w:sz w:val="28"/>
          <w:szCs w:val="28"/>
        </w:rPr>
        <w:t xml:space="preserve"> </w:t>
      </w:r>
      <w:r w:rsidR="004231C2" w:rsidRPr="000D6DEE">
        <w:rPr>
          <w:b w:val="0"/>
          <w:i/>
          <w:sz w:val="28"/>
          <w:szCs w:val="28"/>
        </w:rPr>
        <w:t>dell’atto di assenso comunque denominato, dovendosi esclusivamente effettuare un mero accertamento della sussistenza dei requisiti predeterminati dalla legge. Si evidenzia altresì che la disciplina della SCIA non è applicabile agli atti rilasciati dalle amministrazioni preposte alla pubblica sicurezza nonché di quelli imposti dalla normativa comunitaria. Pertanto restano esclusi i procedimenti collegati con il TULPS (ad esempio le commissioni provinciali/comunali di vigilanza sui locali di</w:t>
      </w:r>
      <w:r w:rsidR="00B92516" w:rsidRPr="000D6DEE">
        <w:rPr>
          <w:b w:val="0"/>
          <w:i/>
          <w:sz w:val="28"/>
          <w:szCs w:val="28"/>
        </w:rPr>
        <w:t xml:space="preserve"> </w:t>
      </w:r>
      <w:r w:rsidR="004231C2" w:rsidRPr="000D6DEE">
        <w:rPr>
          <w:b w:val="0"/>
          <w:i/>
          <w:sz w:val="28"/>
          <w:szCs w:val="28"/>
        </w:rPr>
        <w:t>pubblico spettacoli, le commissioni tecniche per sostanze esplosive, ecc.) e quelli in</w:t>
      </w:r>
      <w:r w:rsidR="00A40DE1" w:rsidRPr="000D6DEE">
        <w:rPr>
          <w:b w:val="0"/>
          <w:i/>
          <w:sz w:val="28"/>
          <w:szCs w:val="28"/>
        </w:rPr>
        <w:t xml:space="preserve"> </w:t>
      </w:r>
      <w:r w:rsidR="004231C2" w:rsidRPr="000D6DEE">
        <w:rPr>
          <w:b w:val="0"/>
          <w:i/>
          <w:sz w:val="28"/>
          <w:szCs w:val="28"/>
        </w:rPr>
        <w:t>materia di rischi di incidenti rilevanti di cui al d.lgs.334/1999 e s.m.i</w:t>
      </w:r>
      <w:r w:rsidR="004231C2" w:rsidRPr="000D6DEE">
        <w:rPr>
          <w:b w:val="0"/>
          <w:sz w:val="28"/>
          <w:szCs w:val="28"/>
        </w:rPr>
        <w:t>.</w:t>
      </w:r>
      <w:r w:rsidR="00B92516" w:rsidRPr="000D6DEE">
        <w:rPr>
          <w:b w:val="0"/>
          <w:sz w:val="28"/>
          <w:szCs w:val="28"/>
        </w:rPr>
        <w:t>».</w:t>
      </w:r>
    </w:p>
    <w:p w:rsidR="00B92516" w:rsidRPr="000D6DEE" w:rsidRDefault="001453CC" w:rsidP="00CC0F9A">
      <w:pPr>
        <w:spacing w:line="360" w:lineRule="auto"/>
        <w:jc w:val="both"/>
        <w:rPr>
          <w:rFonts w:ascii="Times New Roman" w:hAnsi="Times New Roman" w:cs="Times New Roman"/>
          <w:sz w:val="28"/>
          <w:szCs w:val="28"/>
        </w:rPr>
      </w:pPr>
      <w:r w:rsidRPr="000D6DEE">
        <w:rPr>
          <w:rFonts w:ascii="Times New Roman" w:hAnsi="Times New Roman" w:cs="Times New Roman"/>
          <w:color w:val="000000"/>
          <w:sz w:val="28"/>
          <w:szCs w:val="28"/>
          <w:shd w:val="clear" w:color="auto" w:fill="FFFFFF"/>
        </w:rPr>
        <w:lastRenderedPageBreak/>
        <w:t xml:space="preserve">Senza addentrarsi, per ragioni di sintesi, nell’esegesi puntuale dell’elencazione contenuta nelle tabelle </w:t>
      </w:r>
      <w:r w:rsidR="00CC0F9A" w:rsidRPr="000D6DEE">
        <w:rPr>
          <w:rFonts w:ascii="Times New Roman" w:hAnsi="Times New Roman" w:cs="Times New Roman"/>
          <w:color w:val="000000"/>
          <w:sz w:val="28"/>
          <w:szCs w:val="28"/>
          <w:shd w:val="clear" w:color="auto" w:fill="FFFFFF"/>
        </w:rPr>
        <w:t xml:space="preserve">allegate al d.lgs. n. 222 del 2016 </w:t>
      </w:r>
      <w:r w:rsidRPr="000D6DEE">
        <w:rPr>
          <w:rFonts w:ascii="Times New Roman" w:hAnsi="Times New Roman" w:cs="Times New Roman"/>
          <w:color w:val="000000"/>
          <w:sz w:val="28"/>
          <w:szCs w:val="28"/>
          <w:shd w:val="clear" w:color="auto" w:fill="FFFFFF"/>
        </w:rPr>
        <w:t>- che seppure evidentemente non esaustiva, costituisce sicuramente un’importante ricognizione delle fattispecie più significative</w:t>
      </w:r>
      <w:r w:rsidR="00CC0F9A" w:rsidRPr="000D6DEE">
        <w:rPr>
          <w:rFonts w:ascii="Times New Roman" w:hAnsi="Times New Roman" w:cs="Times New Roman"/>
          <w:color w:val="000000"/>
          <w:sz w:val="28"/>
          <w:szCs w:val="28"/>
          <w:shd w:val="clear" w:color="auto" w:fill="FFFFFF"/>
        </w:rPr>
        <w:t xml:space="preserve"> -</w:t>
      </w:r>
      <w:r w:rsidRPr="000D6DEE">
        <w:rPr>
          <w:rFonts w:ascii="Times New Roman" w:hAnsi="Times New Roman" w:cs="Times New Roman"/>
          <w:color w:val="000000"/>
          <w:sz w:val="28"/>
          <w:szCs w:val="28"/>
          <w:shd w:val="clear" w:color="auto" w:fill="FFFFFF"/>
        </w:rPr>
        <w:t xml:space="preserve"> va da subito notato come esse richiamino anche </w:t>
      </w:r>
      <w:r w:rsidR="00B92516" w:rsidRPr="000D6DEE">
        <w:rPr>
          <w:rFonts w:ascii="Times New Roman" w:hAnsi="Times New Roman" w:cs="Times New Roman"/>
          <w:color w:val="000000"/>
          <w:sz w:val="28"/>
          <w:szCs w:val="28"/>
          <w:shd w:val="clear" w:color="auto" w:fill="FFFFFF"/>
        </w:rPr>
        <w:t xml:space="preserve">i pubblici esercizi di somministrazione di alimenti e bevande, espressamente menzionati al </w:t>
      </w:r>
      <w:r w:rsidR="00B92516" w:rsidRPr="000D6DEE">
        <w:rPr>
          <w:rFonts w:ascii="Times New Roman" w:hAnsi="Times New Roman" w:cs="Times New Roman"/>
          <w:bCs/>
          <w:color w:val="000000"/>
          <w:sz w:val="28"/>
          <w:szCs w:val="28"/>
          <w:shd w:val="clear" w:color="auto" w:fill="FFFFFF"/>
        </w:rPr>
        <w:t>punto 3</w:t>
      </w:r>
      <w:r w:rsidR="00B92516" w:rsidRPr="000D6DEE">
        <w:rPr>
          <w:rFonts w:ascii="Times New Roman" w:hAnsi="Times New Roman" w:cs="Times New Roman"/>
          <w:color w:val="000000"/>
          <w:sz w:val="28"/>
          <w:szCs w:val="28"/>
          <w:shd w:val="clear" w:color="auto" w:fill="FFFFFF"/>
        </w:rPr>
        <w:t> </w:t>
      </w:r>
      <w:r w:rsidR="00CA6529" w:rsidRPr="000D6DEE">
        <w:rPr>
          <w:rFonts w:ascii="Times New Roman" w:hAnsi="Times New Roman" w:cs="Times New Roman"/>
          <w:color w:val="000000"/>
          <w:sz w:val="28"/>
          <w:szCs w:val="28"/>
          <w:shd w:val="clear" w:color="auto" w:fill="FFFFFF"/>
        </w:rPr>
        <w:t xml:space="preserve"> </w:t>
      </w:r>
      <w:r w:rsidR="00B92516" w:rsidRPr="000D6DEE">
        <w:rPr>
          <w:rFonts w:ascii="Times New Roman" w:hAnsi="Times New Roman" w:cs="Times New Roman"/>
          <w:color w:val="000000"/>
          <w:sz w:val="28"/>
          <w:szCs w:val="28"/>
          <w:shd w:val="clear" w:color="auto" w:fill="FFFFFF"/>
        </w:rPr>
        <w:t>della Sezione I della Parte I della tabella A</w:t>
      </w:r>
      <w:r w:rsidR="00B92516" w:rsidRPr="000D6DEE">
        <w:rPr>
          <w:rStyle w:val="Rimandonotaapidipagina"/>
          <w:rFonts w:ascii="Times New Roman" w:hAnsi="Times New Roman" w:cs="Times New Roman"/>
          <w:color w:val="000000"/>
          <w:sz w:val="28"/>
          <w:szCs w:val="28"/>
          <w:shd w:val="clear" w:color="auto" w:fill="FFFFFF"/>
        </w:rPr>
        <w:footnoteReference w:id="5"/>
      </w:r>
      <w:r w:rsidRPr="000D6DEE">
        <w:rPr>
          <w:rFonts w:ascii="Times New Roman" w:hAnsi="Times New Roman" w:cs="Times New Roman"/>
          <w:color w:val="000000"/>
          <w:sz w:val="28"/>
          <w:szCs w:val="28"/>
          <w:shd w:val="clear" w:color="auto" w:fill="FFFFFF"/>
        </w:rPr>
        <w:t>. S</w:t>
      </w:r>
      <w:r w:rsidR="00B92516" w:rsidRPr="000D6DEE">
        <w:rPr>
          <w:rFonts w:ascii="Times New Roman" w:hAnsi="Times New Roman" w:cs="Times New Roman"/>
          <w:color w:val="000000"/>
          <w:sz w:val="28"/>
          <w:szCs w:val="28"/>
          <w:shd w:val="clear" w:color="auto" w:fill="FFFFFF"/>
        </w:rPr>
        <w:t xml:space="preserve">otto la voce generale </w:t>
      </w:r>
      <w:r w:rsidRPr="000D6DEE">
        <w:rPr>
          <w:rFonts w:ascii="Times New Roman" w:hAnsi="Times New Roman" w:cs="Times New Roman"/>
          <w:color w:val="000000"/>
          <w:sz w:val="28"/>
          <w:szCs w:val="28"/>
          <w:shd w:val="clear" w:color="auto" w:fill="FFFFFF"/>
        </w:rPr>
        <w:t>«</w:t>
      </w:r>
      <w:r w:rsidR="00B92516" w:rsidRPr="000D6DEE">
        <w:rPr>
          <w:rFonts w:ascii="Times New Roman" w:hAnsi="Times New Roman" w:cs="Times New Roman"/>
          <w:i/>
          <w:color w:val="000000"/>
          <w:sz w:val="28"/>
          <w:szCs w:val="28"/>
          <w:shd w:val="clear" w:color="auto" w:fill="FFFFFF"/>
        </w:rPr>
        <w:t>Attività commerciali e assimilabili</w:t>
      </w:r>
      <w:r w:rsidRPr="000D6DEE">
        <w:rPr>
          <w:rFonts w:ascii="Times New Roman" w:hAnsi="Times New Roman" w:cs="Times New Roman"/>
          <w:color w:val="000000"/>
          <w:sz w:val="28"/>
          <w:szCs w:val="28"/>
          <w:shd w:val="clear" w:color="auto" w:fill="FFFFFF"/>
        </w:rPr>
        <w:t>» si ritrovano dunque ridetti e</w:t>
      </w:r>
      <w:r w:rsidR="00B92516" w:rsidRPr="000D6DEE">
        <w:rPr>
          <w:rFonts w:ascii="Times New Roman" w:hAnsi="Times New Roman" w:cs="Times New Roman"/>
          <w:bCs/>
          <w:color w:val="000000"/>
          <w:sz w:val="28"/>
          <w:szCs w:val="28"/>
          <w:shd w:val="clear" w:color="auto" w:fill="FFFFFF"/>
        </w:rPr>
        <w:t>sercizi di somministrazione di alimenti e bevande</w:t>
      </w:r>
      <w:r w:rsidR="00B92516" w:rsidRPr="000D6DEE">
        <w:rPr>
          <w:rFonts w:ascii="Times New Roman" w:hAnsi="Times New Roman" w:cs="Times New Roman"/>
          <w:color w:val="000000"/>
          <w:sz w:val="28"/>
          <w:szCs w:val="28"/>
          <w:shd w:val="clear" w:color="auto" w:fill="FFFFFF"/>
        </w:rPr>
        <w:t>,</w:t>
      </w:r>
      <w:r w:rsidR="00CA6529" w:rsidRPr="000D6DEE">
        <w:rPr>
          <w:rFonts w:ascii="Times New Roman" w:hAnsi="Times New Roman" w:cs="Times New Roman"/>
          <w:color w:val="000000"/>
          <w:sz w:val="28"/>
          <w:szCs w:val="28"/>
          <w:shd w:val="clear" w:color="auto" w:fill="FFFFFF"/>
        </w:rPr>
        <w:t xml:space="preserve"> </w:t>
      </w:r>
      <w:r w:rsidR="00B92516" w:rsidRPr="000D6DEE">
        <w:rPr>
          <w:rFonts w:ascii="Times New Roman" w:hAnsi="Times New Roman" w:cs="Times New Roman"/>
          <w:color w:val="000000"/>
          <w:sz w:val="28"/>
          <w:szCs w:val="28"/>
          <w:shd w:val="clear" w:color="auto" w:fill="FFFFFF"/>
        </w:rPr>
        <w:t xml:space="preserve">la cui apertura, trasferimento e ampliamento </w:t>
      </w:r>
      <w:r w:rsidR="00945D37" w:rsidRPr="000D6DEE">
        <w:rPr>
          <w:rFonts w:ascii="Times New Roman" w:hAnsi="Times New Roman" w:cs="Times New Roman"/>
          <w:color w:val="000000"/>
          <w:sz w:val="28"/>
          <w:szCs w:val="28"/>
          <w:shd w:val="clear" w:color="auto" w:fill="FFFFFF"/>
        </w:rPr>
        <w:t xml:space="preserve">sono di regola soggetti a s.c.i.a., salva la necessità di autorizzazione espressa </w:t>
      </w:r>
      <w:r w:rsidR="00B92516" w:rsidRPr="000D6DEE">
        <w:rPr>
          <w:rFonts w:ascii="Times New Roman" w:hAnsi="Times New Roman" w:cs="Times New Roman"/>
          <w:color w:val="000000"/>
          <w:sz w:val="28"/>
          <w:szCs w:val="28"/>
          <w:shd w:val="clear" w:color="auto" w:fill="FFFFFF"/>
        </w:rPr>
        <w:t>ove si tratti di zona tutelata</w:t>
      </w:r>
      <w:r w:rsidR="00945D37" w:rsidRPr="000D6DEE">
        <w:rPr>
          <w:rStyle w:val="Rimandonotaapidipagina"/>
          <w:rFonts w:ascii="Times New Roman" w:hAnsi="Times New Roman" w:cs="Times New Roman"/>
          <w:color w:val="000000"/>
          <w:sz w:val="28"/>
          <w:szCs w:val="28"/>
          <w:shd w:val="clear" w:color="auto" w:fill="FFFFFF"/>
        </w:rPr>
        <w:footnoteReference w:id="6"/>
      </w:r>
      <w:r w:rsidR="00945D37" w:rsidRPr="000D6DEE">
        <w:rPr>
          <w:rFonts w:ascii="Times New Roman" w:hAnsi="Times New Roman" w:cs="Times New Roman"/>
          <w:color w:val="000000"/>
          <w:sz w:val="28"/>
          <w:szCs w:val="28"/>
          <w:shd w:val="clear" w:color="auto" w:fill="FFFFFF"/>
        </w:rPr>
        <w:t>. N</w:t>
      </w:r>
      <w:r w:rsidR="00B92516" w:rsidRPr="000D6DEE">
        <w:rPr>
          <w:rFonts w:ascii="Times New Roman" w:hAnsi="Times New Roman" w:cs="Times New Roman"/>
          <w:color w:val="000000"/>
          <w:sz w:val="28"/>
          <w:szCs w:val="28"/>
          <w:shd w:val="clear" w:color="auto" w:fill="FFFFFF"/>
        </w:rPr>
        <w:t xml:space="preserve">ella colonna relativa al regime giuridico di </w:t>
      </w:r>
      <w:r w:rsidR="00945D37" w:rsidRPr="000D6DEE">
        <w:rPr>
          <w:rFonts w:ascii="Times New Roman" w:hAnsi="Times New Roman" w:cs="Times New Roman"/>
          <w:color w:val="000000"/>
          <w:sz w:val="28"/>
          <w:szCs w:val="28"/>
          <w:shd w:val="clear" w:color="auto" w:fill="FFFFFF"/>
        </w:rPr>
        <w:t xml:space="preserve">riferimento, figurano poi sia l’art. 86 del </w:t>
      </w:r>
      <w:proofErr w:type="spellStart"/>
      <w:r w:rsidR="00945D37" w:rsidRPr="000D6DEE">
        <w:rPr>
          <w:rFonts w:ascii="Times New Roman" w:hAnsi="Times New Roman" w:cs="Times New Roman"/>
          <w:color w:val="000000"/>
          <w:sz w:val="28"/>
          <w:szCs w:val="28"/>
          <w:shd w:val="clear" w:color="auto" w:fill="FFFFFF"/>
        </w:rPr>
        <w:t>T.u.l.p.s</w:t>
      </w:r>
      <w:proofErr w:type="spellEnd"/>
      <w:r w:rsidR="00945D37" w:rsidRPr="000D6DEE">
        <w:rPr>
          <w:rFonts w:ascii="Times New Roman" w:hAnsi="Times New Roman" w:cs="Times New Roman"/>
          <w:color w:val="000000"/>
          <w:sz w:val="28"/>
          <w:szCs w:val="28"/>
          <w:shd w:val="clear" w:color="auto" w:fill="FFFFFF"/>
        </w:rPr>
        <w:t>. che l’art. 16, afferente in realtà, come detto, all’effettuazione dei controlli ispettivi e non alla tipologia di autorizzazione in sé</w:t>
      </w:r>
      <w:r w:rsidR="00945D37" w:rsidRPr="000D6DEE">
        <w:rPr>
          <w:rStyle w:val="Rimandonotaapidipagina"/>
          <w:rFonts w:ascii="Times New Roman" w:hAnsi="Times New Roman" w:cs="Times New Roman"/>
          <w:color w:val="000000"/>
          <w:sz w:val="28"/>
          <w:szCs w:val="28"/>
          <w:shd w:val="clear" w:color="auto" w:fill="FFFFFF"/>
        </w:rPr>
        <w:footnoteReference w:id="7"/>
      </w:r>
      <w:r w:rsidR="005F347B" w:rsidRPr="000D6DEE">
        <w:rPr>
          <w:rFonts w:ascii="Times New Roman" w:hAnsi="Times New Roman" w:cs="Times New Roman"/>
          <w:color w:val="000000"/>
          <w:sz w:val="28"/>
          <w:szCs w:val="28"/>
          <w:shd w:val="clear" w:color="auto" w:fill="FFFFFF"/>
        </w:rPr>
        <w:t>.</w:t>
      </w:r>
      <w:r w:rsidR="00392ADD" w:rsidRPr="000D6DEE">
        <w:rPr>
          <w:rFonts w:ascii="Times New Roman" w:hAnsi="Times New Roman" w:cs="Times New Roman"/>
          <w:color w:val="000000"/>
          <w:sz w:val="28"/>
          <w:szCs w:val="28"/>
          <w:shd w:val="clear" w:color="auto" w:fill="FFFFFF"/>
        </w:rPr>
        <w:t xml:space="preserve"> </w:t>
      </w:r>
      <w:r w:rsidR="005F347B" w:rsidRPr="000D6DEE">
        <w:rPr>
          <w:rFonts w:ascii="Times New Roman" w:hAnsi="Times New Roman" w:cs="Times New Roman"/>
          <w:color w:val="000000"/>
          <w:sz w:val="28"/>
          <w:szCs w:val="28"/>
          <w:shd w:val="clear" w:color="auto" w:fill="FFFFFF"/>
        </w:rPr>
        <w:t xml:space="preserve">Si è inteso porre l’accento sulla tipologia dei pubblici esercizi di somministrazione di alimenti e bevande in quanto trattasi di categoria in relazione alla quale il dibattito sullo stralcio dalla disciplina del r.d. del 1931 era già nato prima della riforma del Titolo V della Costituzione, in ragione dell’avvenuta adozione di una legge di settore, </w:t>
      </w:r>
      <w:r w:rsidR="00ED033D" w:rsidRPr="000D6DEE">
        <w:rPr>
          <w:rFonts w:ascii="Times New Roman" w:hAnsi="Times New Roman" w:cs="Times New Roman"/>
          <w:color w:val="000000"/>
          <w:sz w:val="28"/>
          <w:szCs w:val="28"/>
          <w:shd w:val="clear" w:color="auto" w:fill="FFFFFF"/>
        </w:rPr>
        <w:t xml:space="preserve">la l. </w:t>
      </w:r>
      <w:r w:rsidR="005F347B" w:rsidRPr="000D6DEE">
        <w:rPr>
          <w:rFonts w:ascii="Times New Roman" w:hAnsi="Times New Roman" w:cs="Times New Roman"/>
          <w:color w:val="000000"/>
          <w:sz w:val="28"/>
          <w:szCs w:val="28"/>
          <w:shd w:val="clear" w:color="auto" w:fill="FFFFFF"/>
        </w:rPr>
        <w:t xml:space="preserve">25 agosto 1991, n. 287, per talune parti ancora in vigore. </w:t>
      </w:r>
      <w:r w:rsidR="004231C2" w:rsidRPr="000D6DEE">
        <w:rPr>
          <w:rFonts w:ascii="Times New Roman" w:hAnsi="Times New Roman" w:cs="Times New Roman"/>
          <w:sz w:val="28"/>
          <w:szCs w:val="28"/>
        </w:rPr>
        <w:t xml:space="preserve">Ma </w:t>
      </w:r>
      <w:r w:rsidR="005F347B" w:rsidRPr="000D6DEE">
        <w:rPr>
          <w:rFonts w:ascii="Times New Roman" w:hAnsi="Times New Roman" w:cs="Times New Roman"/>
          <w:sz w:val="28"/>
          <w:szCs w:val="28"/>
        </w:rPr>
        <w:t xml:space="preserve">ha assunto portata assai più attuale e assai più complessa con la ricordata riforma costituzionale, </w:t>
      </w:r>
      <w:r w:rsidR="00ED033D" w:rsidRPr="000D6DEE">
        <w:rPr>
          <w:rFonts w:ascii="Times New Roman" w:hAnsi="Times New Roman" w:cs="Times New Roman"/>
          <w:sz w:val="28"/>
          <w:szCs w:val="28"/>
        </w:rPr>
        <w:t xml:space="preserve">che ha definitivamente spostato </w:t>
      </w:r>
      <w:r w:rsidR="005F347B" w:rsidRPr="000D6DEE">
        <w:rPr>
          <w:rFonts w:ascii="Times New Roman" w:hAnsi="Times New Roman" w:cs="Times New Roman"/>
          <w:sz w:val="28"/>
          <w:szCs w:val="28"/>
        </w:rPr>
        <w:t xml:space="preserve">l’asse della discussione sul piano del rapporto tra </w:t>
      </w:r>
      <w:r w:rsidR="00ED033D" w:rsidRPr="000D6DEE">
        <w:rPr>
          <w:rFonts w:ascii="Times New Roman" w:hAnsi="Times New Roman" w:cs="Times New Roman"/>
          <w:sz w:val="28"/>
          <w:szCs w:val="28"/>
        </w:rPr>
        <w:t xml:space="preserve">competenza legislativa regionale esclusiva in materia </w:t>
      </w:r>
      <w:r w:rsidR="005F347B" w:rsidRPr="000D6DEE">
        <w:rPr>
          <w:rFonts w:ascii="Times New Roman" w:hAnsi="Times New Roman" w:cs="Times New Roman"/>
          <w:sz w:val="28"/>
          <w:szCs w:val="28"/>
        </w:rPr>
        <w:t xml:space="preserve">di “commercio” </w:t>
      </w:r>
      <w:proofErr w:type="gramStart"/>
      <w:r w:rsidR="005F347B" w:rsidRPr="000D6DEE">
        <w:rPr>
          <w:rFonts w:ascii="Times New Roman" w:hAnsi="Times New Roman" w:cs="Times New Roman"/>
          <w:sz w:val="28"/>
          <w:szCs w:val="28"/>
        </w:rPr>
        <w:t>e</w:t>
      </w:r>
      <w:r w:rsidR="0035055B" w:rsidRPr="000D6DEE">
        <w:rPr>
          <w:rFonts w:ascii="Times New Roman" w:hAnsi="Times New Roman" w:cs="Times New Roman"/>
          <w:sz w:val="28"/>
          <w:szCs w:val="28"/>
        </w:rPr>
        <w:t xml:space="preserve"> </w:t>
      </w:r>
      <w:r w:rsidR="00ED033D" w:rsidRPr="000D6DEE">
        <w:rPr>
          <w:rFonts w:ascii="Times New Roman" w:hAnsi="Times New Roman" w:cs="Times New Roman"/>
          <w:sz w:val="28"/>
          <w:szCs w:val="28"/>
        </w:rPr>
        <w:t>“</w:t>
      </w:r>
      <w:proofErr w:type="gramEnd"/>
      <w:r w:rsidR="005F347B" w:rsidRPr="000D6DEE">
        <w:rPr>
          <w:rFonts w:ascii="Times New Roman" w:hAnsi="Times New Roman" w:cs="Times New Roman"/>
          <w:sz w:val="28"/>
          <w:szCs w:val="28"/>
        </w:rPr>
        <w:t>polizia amministrativa locale</w:t>
      </w:r>
      <w:r w:rsidR="00ED033D" w:rsidRPr="000D6DEE">
        <w:rPr>
          <w:rFonts w:ascii="Times New Roman" w:hAnsi="Times New Roman" w:cs="Times New Roman"/>
          <w:sz w:val="28"/>
          <w:szCs w:val="28"/>
        </w:rPr>
        <w:t xml:space="preserve">” e pubblica sicurezza, che </w:t>
      </w:r>
      <w:r w:rsidR="00ED033D" w:rsidRPr="000D6DEE">
        <w:rPr>
          <w:rFonts w:ascii="Times New Roman" w:hAnsi="Times New Roman" w:cs="Times New Roman"/>
          <w:sz w:val="28"/>
          <w:szCs w:val="28"/>
        </w:rPr>
        <w:lastRenderedPageBreak/>
        <w:t>invece è appannaggio esclusivo dello Stato</w:t>
      </w:r>
      <w:r w:rsidR="00AE4AB4" w:rsidRPr="000D6DEE">
        <w:rPr>
          <w:rFonts w:ascii="Times New Roman" w:hAnsi="Times New Roman" w:cs="Times New Roman"/>
          <w:sz w:val="28"/>
          <w:szCs w:val="28"/>
        </w:rPr>
        <w:t xml:space="preserve"> </w:t>
      </w:r>
      <w:r w:rsidR="004231C2" w:rsidRPr="000D6DEE">
        <w:rPr>
          <w:rFonts w:ascii="Times New Roman" w:hAnsi="Times New Roman" w:cs="Times New Roman"/>
          <w:sz w:val="28"/>
          <w:szCs w:val="28"/>
        </w:rPr>
        <w:t xml:space="preserve">(art.117 Cost.). Molte attività, infatti, sicuramente riconducibili all’art.19 del d.P.R. 24 luglio 1977, n.616, </w:t>
      </w:r>
      <w:r w:rsidR="00AE4AB4" w:rsidRPr="000D6DEE">
        <w:rPr>
          <w:rFonts w:ascii="Times New Roman" w:hAnsi="Times New Roman" w:cs="Times New Roman"/>
          <w:sz w:val="28"/>
          <w:szCs w:val="28"/>
        </w:rPr>
        <w:t xml:space="preserve">che ebbe a trasferire la funzione agli enti territoriali, </w:t>
      </w:r>
      <w:r w:rsidR="004231C2" w:rsidRPr="000D6DEE">
        <w:rPr>
          <w:rFonts w:ascii="Times New Roman" w:hAnsi="Times New Roman" w:cs="Times New Roman"/>
          <w:sz w:val="28"/>
          <w:szCs w:val="28"/>
        </w:rPr>
        <w:t xml:space="preserve">costituiscono anche attività commerciali in senso lato e sono state oggetto di disciplina </w:t>
      </w:r>
      <w:r w:rsidR="00AE4AB4" w:rsidRPr="000D6DEE">
        <w:rPr>
          <w:rFonts w:ascii="Times New Roman" w:hAnsi="Times New Roman" w:cs="Times New Roman"/>
          <w:sz w:val="28"/>
          <w:szCs w:val="28"/>
        </w:rPr>
        <w:t xml:space="preserve">da parte di plurime </w:t>
      </w:r>
      <w:r w:rsidR="004231C2" w:rsidRPr="000D6DEE">
        <w:rPr>
          <w:rFonts w:ascii="Times New Roman" w:hAnsi="Times New Roman" w:cs="Times New Roman"/>
          <w:sz w:val="28"/>
          <w:szCs w:val="28"/>
        </w:rPr>
        <w:t xml:space="preserve">leggi regionali, comprensive </w:t>
      </w:r>
      <w:r w:rsidR="00AE4AB4" w:rsidRPr="000D6DEE">
        <w:rPr>
          <w:rFonts w:ascii="Times New Roman" w:hAnsi="Times New Roman" w:cs="Times New Roman"/>
          <w:sz w:val="28"/>
          <w:szCs w:val="28"/>
        </w:rPr>
        <w:t xml:space="preserve">peraltro </w:t>
      </w:r>
      <w:r w:rsidR="004231C2" w:rsidRPr="000D6DEE">
        <w:rPr>
          <w:rFonts w:ascii="Times New Roman" w:hAnsi="Times New Roman" w:cs="Times New Roman"/>
          <w:sz w:val="28"/>
          <w:szCs w:val="28"/>
        </w:rPr>
        <w:t>di autonomo e talvolta divergente regime sanzionatorio.</w:t>
      </w:r>
    </w:p>
    <w:p w:rsidR="005F347B" w:rsidRPr="000D6DEE" w:rsidRDefault="00AE1B69" w:rsidP="00C53D07">
      <w:pPr>
        <w:jc w:val="both"/>
        <w:rPr>
          <w:rFonts w:ascii="Times New Roman" w:hAnsi="Times New Roman" w:cs="Times New Roman"/>
          <w:b/>
          <w:sz w:val="28"/>
          <w:szCs w:val="28"/>
        </w:rPr>
      </w:pPr>
      <w:r w:rsidRPr="000D6DEE">
        <w:rPr>
          <w:rFonts w:ascii="Times New Roman" w:hAnsi="Times New Roman" w:cs="Times New Roman"/>
          <w:b/>
          <w:sz w:val="28"/>
          <w:szCs w:val="28"/>
        </w:rPr>
        <w:t xml:space="preserve">2. </w:t>
      </w:r>
      <w:r w:rsidR="000D6E0E" w:rsidRPr="000D6DEE">
        <w:rPr>
          <w:rFonts w:ascii="Times New Roman" w:hAnsi="Times New Roman" w:cs="Times New Roman"/>
          <w:b/>
          <w:sz w:val="28"/>
          <w:szCs w:val="28"/>
        </w:rPr>
        <w:t>I requisiti soggettivi</w:t>
      </w:r>
    </w:p>
    <w:p w:rsidR="002D375B" w:rsidRPr="000D6DEE" w:rsidRDefault="00A22456" w:rsidP="00AE4AB4">
      <w:pPr>
        <w:spacing w:line="360" w:lineRule="auto"/>
        <w:jc w:val="both"/>
        <w:rPr>
          <w:rFonts w:ascii="Times New Roman" w:hAnsi="Times New Roman" w:cs="Times New Roman"/>
          <w:sz w:val="28"/>
          <w:szCs w:val="28"/>
        </w:rPr>
      </w:pPr>
      <w:r w:rsidRPr="000D6DEE">
        <w:rPr>
          <w:rFonts w:ascii="Times New Roman" w:hAnsi="Times New Roman" w:cs="Times New Roman"/>
          <w:sz w:val="28"/>
          <w:szCs w:val="28"/>
        </w:rPr>
        <w:t>Tra i</w:t>
      </w:r>
      <w:r w:rsidR="005F347B" w:rsidRPr="000D6DEE">
        <w:rPr>
          <w:rFonts w:ascii="Times New Roman" w:hAnsi="Times New Roman" w:cs="Times New Roman"/>
          <w:sz w:val="28"/>
          <w:szCs w:val="28"/>
        </w:rPr>
        <w:t xml:space="preserve"> principi generali in materia di autorizzazioni di polizia</w:t>
      </w:r>
      <w:r w:rsidRPr="000D6DEE">
        <w:rPr>
          <w:rFonts w:ascii="Times New Roman" w:hAnsi="Times New Roman" w:cs="Times New Roman"/>
          <w:sz w:val="28"/>
          <w:szCs w:val="28"/>
        </w:rPr>
        <w:t xml:space="preserve"> merita una particolare attenzione quello contenuto nell’art. 11 </w:t>
      </w:r>
      <w:r w:rsidR="005F347B" w:rsidRPr="000D6DEE">
        <w:rPr>
          <w:rFonts w:ascii="Times New Roman" w:hAnsi="Times New Roman" w:cs="Times New Roman"/>
          <w:sz w:val="28"/>
          <w:szCs w:val="28"/>
        </w:rPr>
        <w:t xml:space="preserve">del </w:t>
      </w:r>
      <w:proofErr w:type="spellStart"/>
      <w:r w:rsidR="005F347B" w:rsidRPr="000D6DEE">
        <w:rPr>
          <w:rFonts w:ascii="Times New Roman" w:hAnsi="Times New Roman" w:cs="Times New Roman"/>
          <w:sz w:val="28"/>
          <w:szCs w:val="28"/>
        </w:rPr>
        <w:t>T.u.l.p.s</w:t>
      </w:r>
      <w:proofErr w:type="spellEnd"/>
      <w:r w:rsidR="005F347B" w:rsidRPr="000D6DEE">
        <w:rPr>
          <w:rFonts w:ascii="Times New Roman" w:hAnsi="Times New Roman" w:cs="Times New Roman"/>
          <w:sz w:val="28"/>
          <w:szCs w:val="28"/>
        </w:rPr>
        <w:t xml:space="preserve">., afferente ai </w:t>
      </w:r>
      <w:r w:rsidR="00392ADD" w:rsidRPr="000D6DEE">
        <w:rPr>
          <w:rFonts w:ascii="Times New Roman" w:hAnsi="Times New Roman" w:cs="Times New Roman"/>
          <w:sz w:val="28"/>
          <w:szCs w:val="28"/>
        </w:rPr>
        <w:t xml:space="preserve">requisiti soggettivi necessari ai fini dell’ottenimento di un’autorizzazione di polizia. </w:t>
      </w:r>
      <w:r w:rsidR="002D375B" w:rsidRPr="000D6DEE">
        <w:rPr>
          <w:rFonts w:ascii="Times New Roman" w:hAnsi="Times New Roman" w:cs="Times New Roman"/>
          <w:sz w:val="28"/>
          <w:szCs w:val="28"/>
        </w:rPr>
        <w:t xml:space="preserve">Recita dunque la norma: </w:t>
      </w:r>
    </w:p>
    <w:p w:rsidR="002D375B" w:rsidRPr="000D6DEE" w:rsidRDefault="00392ADD" w:rsidP="00AE4AB4">
      <w:pPr>
        <w:spacing w:line="360" w:lineRule="auto"/>
        <w:jc w:val="both"/>
        <w:rPr>
          <w:rFonts w:ascii="Times New Roman" w:hAnsi="Times New Roman" w:cs="Times New Roman"/>
          <w:i/>
          <w:color w:val="000000"/>
          <w:sz w:val="28"/>
          <w:szCs w:val="28"/>
        </w:rPr>
      </w:pPr>
      <w:r w:rsidRPr="000D6DEE">
        <w:rPr>
          <w:rFonts w:ascii="Times New Roman" w:hAnsi="Times New Roman" w:cs="Times New Roman"/>
          <w:sz w:val="28"/>
          <w:szCs w:val="28"/>
        </w:rPr>
        <w:t>«</w:t>
      </w:r>
      <w:r w:rsidRPr="000D6DEE">
        <w:rPr>
          <w:rFonts w:ascii="Times New Roman" w:hAnsi="Times New Roman" w:cs="Times New Roman"/>
          <w:i/>
          <w:color w:val="000000"/>
          <w:sz w:val="28"/>
          <w:szCs w:val="28"/>
        </w:rPr>
        <w:t>Salve le condizioni particolari stabilite dalla legge nei singoli casi, le autorizzazioni di polizia debbono essere negate:</w:t>
      </w:r>
    </w:p>
    <w:p w:rsidR="002D375B" w:rsidRPr="000D6DEE" w:rsidRDefault="00392ADD" w:rsidP="00AE4AB4">
      <w:pPr>
        <w:spacing w:line="360" w:lineRule="auto"/>
        <w:jc w:val="both"/>
        <w:rPr>
          <w:rFonts w:ascii="Times New Roman" w:hAnsi="Times New Roman" w:cs="Times New Roman"/>
          <w:i/>
          <w:color w:val="000000"/>
          <w:sz w:val="28"/>
          <w:szCs w:val="28"/>
        </w:rPr>
      </w:pPr>
      <w:r w:rsidRPr="000D6DEE">
        <w:rPr>
          <w:rFonts w:ascii="Times New Roman" w:hAnsi="Times New Roman" w:cs="Times New Roman"/>
          <w:i/>
          <w:color w:val="000000"/>
          <w:sz w:val="28"/>
          <w:szCs w:val="28"/>
        </w:rPr>
        <w:t>1) a chi ha riportato una condanna a pena restrittiva della libertà personale superiore a tre anni per delitto non colposo e non ha ottenuto la riabilitazione;</w:t>
      </w:r>
    </w:p>
    <w:p w:rsidR="002D375B" w:rsidRPr="000D6DEE" w:rsidRDefault="00392ADD" w:rsidP="00AE4AB4">
      <w:pPr>
        <w:spacing w:line="360" w:lineRule="auto"/>
        <w:jc w:val="both"/>
        <w:rPr>
          <w:rFonts w:ascii="Times New Roman" w:hAnsi="Times New Roman" w:cs="Times New Roman"/>
          <w:i/>
          <w:color w:val="000000"/>
          <w:sz w:val="28"/>
          <w:szCs w:val="28"/>
        </w:rPr>
      </w:pPr>
      <w:r w:rsidRPr="000D6DEE">
        <w:rPr>
          <w:rFonts w:ascii="Times New Roman" w:hAnsi="Times New Roman" w:cs="Times New Roman"/>
          <w:i/>
          <w:color w:val="000000"/>
          <w:sz w:val="28"/>
          <w:szCs w:val="28"/>
        </w:rPr>
        <w:t>2) a chi è sottoposto all'ammonizione o a misura di sicurezza personale o è stato dichiarato delinquente abituale, professionale o per tendenza.</w:t>
      </w:r>
    </w:p>
    <w:p w:rsidR="002D375B" w:rsidRPr="000D6DEE" w:rsidRDefault="00392ADD" w:rsidP="00AE4AB4">
      <w:pPr>
        <w:spacing w:line="360" w:lineRule="auto"/>
        <w:jc w:val="both"/>
        <w:rPr>
          <w:rFonts w:ascii="Times New Roman" w:hAnsi="Times New Roman" w:cs="Times New Roman"/>
          <w:i/>
          <w:color w:val="000000"/>
          <w:sz w:val="28"/>
          <w:szCs w:val="28"/>
        </w:rPr>
      </w:pPr>
      <w:r w:rsidRPr="000D6DEE">
        <w:rPr>
          <w:rFonts w:ascii="Times New Roman" w:hAnsi="Times New Roman" w:cs="Times New Roman"/>
          <w:i/>
          <w:color w:val="000000"/>
          <w:sz w:val="28"/>
          <w:szCs w:val="28"/>
        </w:rPr>
        <w:t>Le autorizzazioni di polizia possono essere negate a chi ha riportato condanna per delitti contro la personalità dello stato o contro l'ordine pubblico, ovvero per delitti contro le persone commessi con violenza, o per furto, rapina, estorsione, sequestro di persona a scopo di rapina o di estorsione, o per violenza o resistenza all'autorità, e a chi non può provare la sua buona condotta.</w:t>
      </w:r>
    </w:p>
    <w:p w:rsidR="00392ADD" w:rsidRPr="000D6DEE" w:rsidRDefault="00392ADD" w:rsidP="00AE4AB4">
      <w:pPr>
        <w:spacing w:line="360" w:lineRule="auto"/>
        <w:jc w:val="both"/>
        <w:rPr>
          <w:rFonts w:ascii="Times New Roman" w:hAnsi="Times New Roman" w:cs="Times New Roman"/>
          <w:color w:val="000000"/>
          <w:sz w:val="28"/>
          <w:szCs w:val="28"/>
        </w:rPr>
      </w:pPr>
      <w:r w:rsidRPr="000D6DEE">
        <w:rPr>
          <w:rFonts w:ascii="Times New Roman" w:hAnsi="Times New Roman" w:cs="Times New Roman"/>
          <w:i/>
          <w:color w:val="000000"/>
          <w:sz w:val="28"/>
          <w:szCs w:val="28"/>
        </w:rPr>
        <w:t>Le autorizzazioni devono essere revocate quando nella persona autorizzata vengono a mancare, in tutto o in parte, le condizioni alle quali sono subordinate, e possono essere revocate quando sopraggiungono o vengono a risultare circostanze che avrebbero imposto o consentito il diniego della autorizzazione</w:t>
      </w:r>
      <w:r w:rsidR="002D375B" w:rsidRPr="000D6DEE">
        <w:rPr>
          <w:rFonts w:ascii="Times New Roman" w:hAnsi="Times New Roman" w:cs="Times New Roman"/>
          <w:color w:val="000000"/>
          <w:sz w:val="28"/>
          <w:szCs w:val="28"/>
        </w:rPr>
        <w:t>».</w:t>
      </w:r>
    </w:p>
    <w:p w:rsidR="002D375B" w:rsidRPr="000D6DEE" w:rsidRDefault="002D375B" w:rsidP="00AE4AB4">
      <w:pPr>
        <w:spacing w:line="360" w:lineRule="auto"/>
        <w:jc w:val="both"/>
        <w:rPr>
          <w:rFonts w:ascii="Times New Roman" w:hAnsi="Times New Roman" w:cs="Times New Roman"/>
          <w:color w:val="000000"/>
          <w:sz w:val="28"/>
          <w:szCs w:val="28"/>
        </w:rPr>
      </w:pPr>
      <w:r w:rsidRPr="000D6DEE">
        <w:rPr>
          <w:rFonts w:ascii="Times New Roman" w:hAnsi="Times New Roman" w:cs="Times New Roman"/>
          <w:color w:val="000000"/>
          <w:sz w:val="28"/>
          <w:szCs w:val="28"/>
        </w:rPr>
        <w:t xml:space="preserve">La </w:t>
      </w:r>
      <w:r w:rsidR="00A22456" w:rsidRPr="000D6DEE">
        <w:rPr>
          <w:rFonts w:ascii="Times New Roman" w:hAnsi="Times New Roman" w:cs="Times New Roman"/>
          <w:color w:val="000000"/>
          <w:sz w:val="28"/>
          <w:szCs w:val="28"/>
        </w:rPr>
        <w:t xml:space="preserve">parte </w:t>
      </w:r>
      <w:r w:rsidRPr="000D6DEE">
        <w:rPr>
          <w:rFonts w:ascii="Times New Roman" w:hAnsi="Times New Roman" w:cs="Times New Roman"/>
          <w:color w:val="000000"/>
          <w:sz w:val="28"/>
          <w:szCs w:val="28"/>
        </w:rPr>
        <w:t xml:space="preserve">più problematica </w:t>
      </w:r>
      <w:r w:rsidR="00A22456" w:rsidRPr="000D6DEE">
        <w:rPr>
          <w:rFonts w:ascii="Times New Roman" w:hAnsi="Times New Roman" w:cs="Times New Roman"/>
          <w:color w:val="000000"/>
          <w:sz w:val="28"/>
          <w:szCs w:val="28"/>
        </w:rPr>
        <w:t xml:space="preserve">della disposizione </w:t>
      </w:r>
      <w:r w:rsidRPr="000D6DEE">
        <w:rPr>
          <w:rFonts w:ascii="Times New Roman" w:hAnsi="Times New Roman" w:cs="Times New Roman"/>
          <w:color w:val="000000"/>
          <w:sz w:val="28"/>
          <w:szCs w:val="28"/>
        </w:rPr>
        <w:t xml:space="preserve">sotto il profilo interpretativo è sicuramente quella sul potere di revoca, in particolare in relazione alla </w:t>
      </w:r>
      <w:r w:rsidR="00A22456" w:rsidRPr="000D6DEE">
        <w:rPr>
          <w:rFonts w:ascii="Times New Roman" w:hAnsi="Times New Roman" w:cs="Times New Roman"/>
          <w:color w:val="000000"/>
          <w:sz w:val="28"/>
          <w:szCs w:val="28"/>
        </w:rPr>
        <w:t xml:space="preserve">sua possibilità in caso sopravvengano </w:t>
      </w:r>
      <w:r w:rsidRPr="000D6DEE">
        <w:rPr>
          <w:rFonts w:ascii="Times New Roman" w:hAnsi="Times New Roman" w:cs="Times New Roman"/>
          <w:color w:val="000000"/>
          <w:sz w:val="28"/>
          <w:szCs w:val="28"/>
        </w:rPr>
        <w:t>imprecisate «</w:t>
      </w:r>
      <w:r w:rsidRPr="000D6DEE">
        <w:rPr>
          <w:rFonts w:ascii="Times New Roman" w:hAnsi="Times New Roman" w:cs="Times New Roman"/>
          <w:i/>
          <w:color w:val="000000"/>
          <w:sz w:val="28"/>
          <w:szCs w:val="28"/>
        </w:rPr>
        <w:t>circostanze</w:t>
      </w:r>
      <w:r w:rsidRPr="000D6DEE">
        <w:rPr>
          <w:rFonts w:ascii="Times New Roman" w:hAnsi="Times New Roman" w:cs="Times New Roman"/>
          <w:color w:val="000000"/>
          <w:sz w:val="28"/>
          <w:szCs w:val="28"/>
        </w:rPr>
        <w:t xml:space="preserve">» che avrebbero </w:t>
      </w:r>
      <w:r w:rsidR="00A22456" w:rsidRPr="000D6DEE">
        <w:rPr>
          <w:rFonts w:ascii="Times New Roman" w:hAnsi="Times New Roman" w:cs="Times New Roman"/>
          <w:color w:val="000000"/>
          <w:sz w:val="28"/>
          <w:szCs w:val="28"/>
        </w:rPr>
        <w:t xml:space="preserve">imposto o </w:t>
      </w:r>
      <w:r w:rsidRPr="000D6DEE">
        <w:rPr>
          <w:rFonts w:ascii="Times New Roman" w:hAnsi="Times New Roman" w:cs="Times New Roman"/>
          <w:color w:val="000000"/>
          <w:sz w:val="28"/>
          <w:szCs w:val="28"/>
        </w:rPr>
        <w:t xml:space="preserve">legittimato </w:t>
      </w:r>
      <w:r w:rsidRPr="000D6DEE">
        <w:rPr>
          <w:rFonts w:ascii="Times New Roman" w:hAnsi="Times New Roman" w:cs="Times New Roman"/>
          <w:color w:val="000000"/>
          <w:sz w:val="28"/>
          <w:szCs w:val="28"/>
        </w:rPr>
        <w:lastRenderedPageBreak/>
        <w:t>il diniego originario</w:t>
      </w:r>
      <w:r w:rsidR="00AE4AB4" w:rsidRPr="000D6DEE">
        <w:rPr>
          <w:rFonts w:ascii="Times New Roman" w:hAnsi="Times New Roman" w:cs="Times New Roman"/>
          <w:color w:val="000000"/>
          <w:sz w:val="28"/>
          <w:szCs w:val="28"/>
        </w:rPr>
        <w:t>, distinte peraltro dalle «</w:t>
      </w:r>
      <w:r w:rsidR="00AE4AB4" w:rsidRPr="000D6DEE">
        <w:rPr>
          <w:rFonts w:ascii="Times New Roman" w:hAnsi="Times New Roman" w:cs="Times New Roman"/>
          <w:i/>
          <w:color w:val="000000"/>
          <w:sz w:val="28"/>
          <w:szCs w:val="28"/>
        </w:rPr>
        <w:t>condizioni</w:t>
      </w:r>
      <w:r w:rsidR="00AE4AB4" w:rsidRPr="000D6DEE">
        <w:rPr>
          <w:rFonts w:ascii="Times New Roman" w:hAnsi="Times New Roman" w:cs="Times New Roman"/>
          <w:color w:val="000000"/>
          <w:sz w:val="28"/>
          <w:szCs w:val="28"/>
        </w:rPr>
        <w:t>» soggettive il cui venir meno impone, non facoltizza, l’adozione del provvedimento</w:t>
      </w:r>
      <w:r w:rsidRPr="000D6DEE">
        <w:rPr>
          <w:rFonts w:ascii="Times New Roman" w:hAnsi="Times New Roman" w:cs="Times New Roman"/>
          <w:color w:val="000000"/>
          <w:sz w:val="28"/>
          <w:szCs w:val="28"/>
        </w:rPr>
        <w:t xml:space="preserve">. </w:t>
      </w:r>
      <w:r w:rsidR="00A22456" w:rsidRPr="000D6DEE">
        <w:rPr>
          <w:rFonts w:ascii="Times New Roman" w:hAnsi="Times New Roman" w:cs="Times New Roman"/>
          <w:color w:val="000000"/>
          <w:sz w:val="28"/>
          <w:szCs w:val="28"/>
        </w:rPr>
        <w:t xml:space="preserve">Analoga previsione, connotata da elementi descrittivi egualmente “elastici”, si ritrova all’art. 10 del r.d. del 1931, che consente la revoca o la sospensione nel caso di </w:t>
      </w:r>
      <w:r w:rsidR="00AE4AB4" w:rsidRPr="000D6DEE">
        <w:rPr>
          <w:rFonts w:ascii="Times New Roman" w:hAnsi="Times New Roman" w:cs="Times New Roman"/>
          <w:color w:val="000000"/>
          <w:sz w:val="28"/>
          <w:szCs w:val="28"/>
        </w:rPr>
        <w:t>«</w:t>
      </w:r>
      <w:r w:rsidR="00A22456" w:rsidRPr="000D6DEE">
        <w:rPr>
          <w:rFonts w:ascii="Times New Roman" w:hAnsi="Times New Roman" w:cs="Times New Roman"/>
          <w:i/>
          <w:color w:val="000000"/>
          <w:sz w:val="28"/>
          <w:szCs w:val="28"/>
        </w:rPr>
        <w:t>abuso</w:t>
      </w:r>
      <w:r w:rsidR="00AE4AB4" w:rsidRPr="000D6DEE">
        <w:rPr>
          <w:rFonts w:ascii="Times New Roman" w:hAnsi="Times New Roman" w:cs="Times New Roman"/>
          <w:color w:val="000000"/>
          <w:sz w:val="28"/>
          <w:szCs w:val="28"/>
        </w:rPr>
        <w:t>»</w:t>
      </w:r>
      <w:r w:rsidR="00A22456" w:rsidRPr="000D6DEE">
        <w:rPr>
          <w:rFonts w:ascii="Times New Roman" w:hAnsi="Times New Roman" w:cs="Times New Roman"/>
          <w:color w:val="000000"/>
          <w:sz w:val="28"/>
          <w:szCs w:val="28"/>
        </w:rPr>
        <w:t xml:space="preserve"> della persona autorizzata</w:t>
      </w:r>
      <w:r w:rsidR="00AE4AB4" w:rsidRPr="000D6DEE">
        <w:rPr>
          <w:rFonts w:ascii="Times New Roman" w:hAnsi="Times New Roman" w:cs="Times New Roman"/>
          <w:color w:val="000000"/>
          <w:sz w:val="28"/>
          <w:szCs w:val="28"/>
        </w:rPr>
        <w:t>, senza peraltro chiarire in alcun modo in cosa lo stesso si concretizzi</w:t>
      </w:r>
      <w:r w:rsidR="00A22456" w:rsidRPr="000D6DEE">
        <w:rPr>
          <w:rFonts w:ascii="Times New Roman" w:hAnsi="Times New Roman" w:cs="Times New Roman"/>
          <w:color w:val="000000"/>
          <w:sz w:val="28"/>
          <w:szCs w:val="28"/>
        </w:rPr>
        <w:t xml:space="preserve">. Non a caso, le due norme vengono spesso </w:t>
      </w:r>
      <w:r w:rsidR="00AE4AB4" w:rsidRPr="000D6DEE">
        <w:rPr>
          <w:rFonts w:ascii="Times New Roman" w:hAnsi="Times New Roman" w:cs="Times New Roman"/>
          <w:color w:val="000000"/>
          <w:sz w:val="28"/>
          <w:szCs w:val="28"/>
        </w:rPr>
        <w:t xml:space="preserve">invocate </w:t>
      </w:r>
      <w:r w:rsidR="00A22456" w:rsidRPr="000D6DEE">
        <w:rPr>
          <w:rFonts w:ascii="Times New Roman" w:hAnsi="Times New Roman" w:cs="Times New Roman"/>
          <w:color w:val="000000"/>
          <w:sz w:val="28"/>
          <w:szCs w:val="28"/>
        </w:rPr>
        <w:t xml:space="preserve">congiuntamente a </w:t>
      </w:r>
      <w:r w:rsidR="00AE4AB4" w:rsidRPr="000D6DEE">
        <w:rPr>
          <w:rFonts w:ascii="Times New Roman" w:hAnsi="Times New Roman" w:cs="Times New Roman"/>
          <w:color w:val="000000"/>
          <w:sz w:val="28"/>
          <w:szCs w:val="28"/>
        </w:rPr>
        <w:t>supporto dei provvedimenti revocatori, siccome comunque orientat</w:t>
      </w:r>
      <w:r w:rsidR="00CA6529" w:rsidRPr="000D6DEE">
        <w:rPr>
          <w:rFonts w:ascii="Times New Roman" w:hAnsi="Times New Roman" w:cs="Times New Roman"/>
          <w:color w:val="000000"/>
          <w:sz w:val="28"/>
          <w:szCs w:val="28"/>
        </w:rPr>
        <w:t>i</w:t>
      </w:r>
      <w:r w:rsidR="00AE4AB4" w:rsidRPr="000D6DEE">
        <w:rPr>
          <w:rFonts w:ascii="Times New Roman" w:hAnsi="Times New Roman" w:cs="Times New Roman"/>
          <w:color w:val="000000"/>
          <w:sz w:val="28"/>
          <w:szCs w:val="28"/>
        </w:rPr>
        <w:t xml:space="preserve"> </w:t>
      </w:r>
      <w:r w:rsidR="00A22456" w:rsidRPr="000D6DEE">
        <w:rPr>
          <w:rFonts w:ascii="Times New Roman" w:hAnsi="Times New Roman" w:cs="Times New Roman"/>
          <w:color w:val="000000"/>
          <w:sz w:val="28"/>
          <w:szCs w:val="28"/>
        </w:rPr>
        <w:t>a porre rimedio a situazioni potenzialmente pregiudizievoli per la sicurezza pubblica.</w:t>
      </w:r>
    </w:p>
    <w:p w:rsidR="006F1110" w:rsidRPr="000D6DEE" w:rsidRDefault="00A22456" w:rsidP="00AE4AB4">
      <w:pPr>
        <w:spacing w:line="360" w:lineRule="auto"/>
        <w:jc w:val="both"/>
        <w:rPr>
          <w:rFonts w:ascii="Times New Roman" w:hAnsi="Times New Roman" w:cs="Times New Roman"/>
          <w:sz w:val="28"/>
          <w:szCs w:val="28"/>
        </w:rPr>
      </w:pPr>
      <w:r w:rsidRPr="000D6DEE">
        <w:rPr>
          <w:rFonts w:ascii="Times New Roman" w:hAnsi="Times New Roman" w:cs="Times New Roman"/>
          <w:color w:val="000000"/>
          <w:sz w:val="28"/>
          <w:szCs w:val="28"/>
        </w:rPr>
        <w:t>Per la categoria dei pubblici esercizi, i</w:t>
      </w:r>
      <w:r w:rsidR="002D375B" w:rsidRPr="000D6DEE">
        <w:rPr>
          <w:rFonts w:ascii="Times New Roman" w:hAnsi="Times New Roman" w:cs="Times New Roman"/>
          <w:color w:val="000000"/>
          <w:sz w:val="28"/>
          <w:szCs w:val="28"/>
        </w:rPr>
        <w:t xml:space="preserve"> requisiti soggettivi richiesti sono </w:t>
      </w:r>
      <w:r w:rsidRPr="000D6DEE">
        <w:rPr>
          <w:rFonts w:ascii="Times New Roman" w:hAnsi="Times New Roman" w:cs="Times New Roman"/>
          <w:color w:val="000000"/>
          <w:sz w:val="28"/>
          <w:szCs w:val="28"/>
        </w:rPr>
        <w:t>maggiori. L’</w:t>
      </w:r>
      <w:r w:rsidR="002D375B" w:rsidRPr="000D6DEE">
        <w:rPr>
          <w:rFonts w:ascii="Times New Roman" w:hAnsi="Times New Roman" w:cs="Times New Roman"/>
          <w:color w:val="000000"/>
          <w:sz w:val="28"/>
          <w:szCs w:val="28"/>
        </w:rPr>
        <w:t>art. 92</w:t>
      </w:r>
      <w:r w:rsidRPr="000D6DEE">
        <w:rPr>
          <w:rFonts w:ascii="Times New Roman" w:hAnsi="Times New Roman" w:cs="Times New Roman"/>
          <w:color w:val="000000"/>
          <w:sz w:val="28"/>
          <w:szCs w:val="28"/>
        </w:rPr>
        <w:t xml:space="preserve">, infatti, nel riferirsi agli stessi, </w:t>
      </w:r>
      <w:r w:rsidR="00AE4AB4" w:rsidRPr="000D6DEE">
        <w:rPr>
          <w:rFonts w:ascii="Times New Roman" w:hAnsi="Times New Roman" w:cs="Times New Roman"/>
          <w:color w:val="000000"/>
          <w:sz w:val="28"/>
          <w:szCs w:val="28"/>
        </w:rPr>
        <w:t>stabilisce</w:t>
      </w:r>
      <w:r w:rsidRPr="000D6DEE">
        <w:rPr>
          <w:rFonts w:ascii="Times New Roman" w:hAnsi="Times New Roman" w:cs="Times New Roman"/>
          <w:color w:val="000000"/>
          <w:sz w:val="28"/>
          <w:szCs w:val="28"/>
        </w:rPr>
        <w:t xml:space="preserve"> che </w:t>
      </w:r>
      <w:r w:rsidRPr="000D6DEE">
        <w:rPr>
          <w:rFonts w:ascii="Times New Roman" w:hAnsi="Times New Roman" w:cs="Times New Roman"/>
          <w:sz w:val="28"/>
          <w:szCs w:val="28"/>
        </w:rPr>
        <w:t>«</w:t>
      </w:r>
      <w:r w:rsidR="00AE4AB4" w:rsidRPr="000D6DEE">
        <w:rPr>
          <w:rFonts w:ascii="Times New Roman" w:hAnsi="Times New Roman" w:cs="Times New Roman"/>
          <w:i/>
          <w:sz w:val="28"/>
          <w:szCs w:val="28"/>
        </w:rPr>
        <w:t>Oltre a quanto è preveduto dall’art. 11, la licenza di esercizio pubblico e l’autorizzazione di cui all’art. 89 non possono essere date a chi sia stato condannato per reati contro la moralità pubblica e il buon costume, o contro la sanità pubblica o per giuochi d’azzardo, o per delitti commessi in istato di ubriachezza o per contravvenzioni concernenti la prevenzione dell’alcoolismo, o per infrazioni alla legge sul lotto, o per abuso di sostanze stupefacenti</w:t>
      </w:r>
      <w:r w:rsidR="00AE4AB4" w:rsidRPr="000D6DEE">
        <w:rPr>
          <w:rFonts w:ascii="Times New Roman" w:hAnsi="Times New Roman" w:cs="Times New Roman"/>
          <w:sz w:val="28"/>
          <w:szCs w:val="28"/>
        </w:rPr>
        <w:t>»</w:t>
      </w:r>
      <w:r w:rsidR="00AE4AB4" w:rsidRPr="000D6DEE">
        <w:rPr>
          <w:rStyle w:val="Rimandonotaapidipagina"/>
          <w:rFonts w:ascii="Times New Roman" w:hAnsi="Times New Roman" w:cs="Times New Roman"/>
          <w:sz w:val="28"/>
          <w:szCs w:val="28"/>
        </w:rPr>
        <w:footnoteReference w:id="8"/>
      </w:r>
      <w:r w:rsidR="00AE4AB4" w:rsidRPr="000D6DEE">
        <w:rPr>
          <w:rFonts w:ascii="Times New Roman" w:hAnsi="Times New Roman" w:cs="Times New Roman"/>
          <w:sz w:val="28"/>
          <w:szCs w:val="28"/>
        </w:rPr>
        <w:t xml:space="preserve">. </w:t>
      </w:r>
      <w:r w:rsidR="00392ADD" w:rsidRPr="000D6DEE">
        <w:rPr>
          <w:rFonts w:ascii="Times New Roman" w:hAnsi="Times New Roman" w:cs="Times New Roman"/>
          <w:sz w:val="28"/>
          <w:szCs w:val="28"/>
        </w:rPr>
        <w:t>A sua volta, i</w:t>
      </w:r>
      <w:r w:rsidR="00893053" w:rsidRPr="000D6DEE">
        <w:rPr>
          <w:rFonts w:ascii="Times New Roman" w:hAnsi="Times New Roman" w:cs="Times New Roman"/>
          <w:sz w:val="28"/>
          <w:szCs w:val="28"/>
        </w:rPr>
        <w:t xml:space="preserve">l decreto legislativo 26 marzo 2010, n.59, </w:t>
      </w:r>
      <w:r w:rsidR="0033428F" w:rsidRPr="000D6DEE">
        <w:rPr>
          <w:rFonts w:ascii="Times New Roman" w:hAnsi="Times New Roman" w:cs="Times New Roman"/>
          <w:sz w:val="28"/>
          <w:szCs w:val="28"/>
        </w:rPr>
        <w:t xml:space="preserve">che ha </w:t>
      </w:r>
      <w:r w:rsidR="00893053" w:rsidRPr="000D6DEE">
        <w:rPr>
          <w:rFonts w:ascii="Times New Roman" w:hAnsi="Times New Roman" w:cs="Times New Roman"/>
          <w:sz w:val="28"/>
          <w:szCs w:val="28"/>
        </w:rPr>
        <w:t>recepito in Italia la</w:t>
      </w:r>
      <w:r w:rsidR="00392ADD" w:rsidRPr="000D6DEE">
        <w:rPr>
          <w:rFonts w:ascii="Times New Roman" w:hAnsi="Times New Roman" w:cs="Times New Roman"/>
          <w:sz w:val="28"/>
          <w:szCs w:val="28"/>
        </w:rPr>
        <w:t xml:space="preserve"> </w:t>
      </w:r>
      <w:r w:rsidR="00893053" w:rsidRPr="000D6DEE">
        <w:rPr>
          <w:rFonts w:ascii="Times New Roman" w:hAnsi="Times New Roman" w:cs="Times New Roman"/>
          <w:sz w:val="28"/>
          <w:szCs w:val="28"/>
        </w:rPr>
        <w:t xml:space="preserve">cosiddetta direttiva </w:t>
      </w:r>
      <w:proofErr w:type="spellStart"/>
      <w:r w:rsidR="00893053" w:rsidRPr="000D6DEE">
        <w:rPr>
          <w:rFonts w:ascii="Times New Roman" w:hAnsi="Times New Roman" w:cs="Times New Roman"/>
          <w:i/>
          <w:sz w:val="28"/>
          <w:szCs w:val="28"/>
        </w:rPr>
        <w:t>Bolkestein</w:t>
      </w:r>
      <w:proofErr w:type="spellEnd"/>
      <w:r w:rsidR="00893053" w:rsidRPr="000D6DEE">
        <w:rPr>
          <w:rFonts w:ascii="Times New Roman" w:hAnsi="Times New Roman" w:cs="Times New Roman"/>
          <w:sz w:val="28"/>
          <w:szCs w:val="28"/>
        </w:rPr>
        <w:t>, n. 123/2006/CE</w:t>
      </w:r>
      <w:r w:rsidR="0033428F" w:rsidRPr="000D6DEE">
        <w:rPr>
          <w:rFonts w:ascii="Times New Roman" w:hAnsi="Times New Roman" w:cs="Times New Roman"/>
          <w:sz w:val="28"/>
          <w:szCs w:val="28"/>
        </w:rPr>
        <w:t>,</w:t>
      </w:r>
      <w:r w:rsidR="00893053" w:rsidRPr="000D6DEE">
        <w:rPr>
          <w:rFonts w:ascii="Times New Roman" w:hAnsi="Times New Roman" w:cs="Times New Roman"/>
          <w:sz w:val="28"/>
          <w:szCs w:val="28"/>
        </w:rPr>
        <w:t xml:space="preserve"> relativa ai servizi del mercato interno</w:t>
      </w:r>
      <w:r w:rsidR="000D6E0E" w:rsidRPr="000D6DEE">
        <w:rPr>
          <w:rFonts w:ascii="Times New Roman" w:hAnsi="Times New Roman" w:cs="Times New Roman"/>
          <w:sz w:val="28"/>
          <w:szCs w:val="28"/>
        </w:rPr>
        <w:t xml:space="preserve">, recentemente tornato di particolare attualità in ragione della nota questione della necessità di attivare procedure ad evidenza pubblica per le concessioni demaniali marittime, </w:t>
      </w:r>
      <w:r w:rsidR="002D375B" w:rsidRPr="000D6DEE">
        <w:rPr>
          <w:rFonts w:ascii="Times New Roman" w:hAnsi="Times New Roman" w:cs="Times New Roman"/>
          <w:sz w:val="28"/>
          <w:szCs w:val="28"/>
        </w:rPr>
        <w:t>c</w:t>
      </w:r>
      <w:r w:rsidR="000D6E0E" w:rsidRPr="000D6DEE">
        <w:rPr>
          <w:rFonts w:ascii="Times New Roman" w:hAnsi="Times New Roman" w:cs="Times New Roman"/>
          <w:sz w:val="28"/>
          <w:szCs w:val="28"/>
        </w:rPr>
        <w:t>on riferimento all</w:t>
      </w:r>
      <w:r w:rsidRPr="000D6DEE">
        <w:rPr>
          <w:rFonts w:ascii="Times New Roman" w:hAnsi="Times New Roman" w:cs="Times New Roman"/>
          <w:sz w:val="28"/>
          <w:szCs w:val="28"/>
        </w:rPr>
        <w:t xml:space="preserve">a sola attività di </w:t>
      </w:r>
      <w:r w:rsidR="000D6E0E" w:rsidRPr="000D6DEE">
        <w:rPr>
          <w:rFonts w:ascii="Times New Roman" w:hAnsi="Times New Roman" w:cs="Times New Roman"/>
          <w:sz w:val="28"/>
          <w:szCs w:val="28"/>
        </w:rPr>
        <w:t xml:space="preserve">somministrazione di alimenti e bevande </w:t>
      </w:r>
      <w:r w:rsidR="00B23CE7" w:rsidRPr="000D6DEE">
        <w:rPr>
          <w:rFonts w:ascii="Times New Roman" w:hAnsi="Times New Roman" w:cs="Times New Roman"/>
          <w:sz w:val="28"/>
          <w:szCs w:val="28"/>
        </w:rPr>
        <w:t xml:space="preserve">richiede </w:t>
      </w:r>
      <w:r w:rsidR="000D6E0E" w:rsidRPr="000D6DEE">
        <w:rPr>
          <w:rFonts w:ascii="Times New Roman" w:hAnsi="Times New Roman" w:cs="Times New Roman"/>
          <w:sz w:val="28"/>
          <w:szCs w:val="28"/>
        </w:rPr>
        <w:t xml:space="preserve">requisiti morali aggiuntivi rispetto all’elencazione di condanne ostative </w:t>
      </w:r>
      <w:r w:rsidR="006F1110" w:rsidRPr="000D6DEE">
        <w:rPr>
          <w:rFonts w:ascii="Times New Roman" w:hAnsi="Times New Roman" w:cs="Times New Roman"/>
          <w:sz w:val="28"/>
          <w:szCs w:val="28"/>
        </w:rPr>
        <w:t>all’attività di vendita</w:t>
      </w:r>
      <w:r w:rsidR="0033428F" w:rsidRPr="000D6DEE">
        <w:rPr>
          <w:rFonts w:ascii="Times New Roman" w:hAnsi="Times New Roman" w:cs="Times New Roman"/>
          <w:sz w:val="28"/>
          <w:szCs w:val="28"/>
        </w:rPr>
        <w:t>. Tali requisiti, contenuti nell’art. 71, comma 2, rie</w:t>
      </w:r>
      <w:r w:rsidR="006F1110" w:rsidRPr="000D6DEE">
        <w:rPr>
          <w:rFonts w:ascii="Times New Roman" w:hAnsi="Times New Roman" w:cs="Times New Roman"/>
          <w:sz w:val="28"/>
          <w:szCs w:val="28"/>
        </w:rPr>
        <w:t>cheggiano, senza richiamar</w:t>
      </w:r>
      <w:r w:rsidR="0033428F" w:rsidRPr="000D6DEE">
        <w:rPr>
          <w:rFonts w:ascii="Times New Roman" w:hAnsi="Times New Roman" w:cs="Times New Roman"/>
          <w:sz w:val="28"/>
          <w:szCs w:val="28"/>
        </w:rPr>
        <w:t>e</w:t>
      </w:r>
      <w:r w:rsidR="006F1110" w:rsidRPr="000D6DEE">
        <w:rPr>
          <w:rFonts w:ascii="Times New Roman" w:hAnsi="Times New Roman" w:cs="Times New Roman"/>
          <w:sz w:val="28"/>
          <w:szCs w:val="28"/>
        </w:rPr>
        <w:t xml:space="preserve"> espressamente</w:t>
      </w:r>
      <w:r w:rsidR="0033428F" w:rsidRPr="000D6DEE">
        <w:rPr>
          <w:rFonts w:ascii="Times New Roman" w:hAnsi="Times New Roman" w:cs="Times New Roman"/>
          <w:sz w:val="28"/>
          <w:szCs w:val="28"/>
        </w:rPr>
        <w:t xml:space="preserve"> la norma</w:t>
      </w:r>
      <w:r w:rsidR="006F1110" w:rsidRPr="000D6DEE">
        <w:rPr>
          <w:rFonts w:ascii="Times New Roman" w:hAnsi="Times New Roman" w:cs="Times New Roman"/>
          <w:sz w:val="28"/>
          <w:szCs w:val="28"/>
        </w:rPr>
        <w:t xml:space="preserve">, </w:t>
      </w:r>
      <w:r w:rsidR="002D375B" w:rsidRPr="000D6DEE">
        <w:rPr>
          <w:rFonts w:ascii="Times New Roman" w:hAnsi="Times New Roman" w:cs="Times New Roman"/>
          <w:sz w:val="28"/>
          <w:szCs w:val="28"/>
        </w:rPr>
        <w:t xml:space="preserve">le condanne di cui all’art. 92 del </w:t>
      </w:r>
      <w:proofErr w:type="spellStart"/>
      <w:r w:rsidR="002D375B" w:rsidRPr="000D6DEE">
        <w:rPr>
          <w:rFonts w:ascii="Times New Roman" w:hAnsi="Times New Roman" w:cs="Times New Roman"/>
          <w:sz w:val="28"/>
          <w:szCs w:val="28"/>
        </w:rPr>
        <w:t>T.u.l.p.s</w:t>
      </w:r>
      <w:proofErr w:type="spellEnd"/>
      <w:r w:rsidR="002D375B" w:rsidRPr="000D6DEE">
        <w:rPr>
          <w:rFonts w:ascii="Times New Roman" w:hAnsi="Times New Roman" w:cs="Times New Roman"/>
          <w:sz w:val="28"/>
          <w:szCs w:val="28"/>
        </w:rPr>
        <w:t>.</w:t>
      </w:r>
      <w:r w:rsidR="00B23CE7" w:rsidRPr="000D6DEE">
        <w:rPr>
          <w:rFonts w:ascii="Times New Roman" w:hAnsi="Times New Roman" w:cs="Times New Roman"/>
          <w:sz w:val="28"/>
          <w:szCs w:val="28"/>
        </w:rPr>
        <w:t xml:space="preserve"> </w:t>
      </w:r>
      <w:r w:rsidR="0033428F" w:rsidRPr="000D6DEE">
        <w:rPr>
          <w:rFonts w:ascii="Times New Roman" w:hAnsi="Times New Roman" w:cs="Times New Roman"/>
          <w:sz w:val="28"/>
          <w:szCs w:val="28"/>
        </w:rPr>
        <w:t xml:space="preserve">Tale mancato </w:t>
      </w:r>
      <w:r w:rsidR="00974236" w:rsidRPr="000D6DEE">
        <w:rPr>
          <w:rFonts w:ascii="Times New Roman" w:hAnsi="Times New Roman" w:cs="Times New Roman"/>
          <w:sz w:val="28"/>
          <w:szCs w:val="28"/>
        </w:rPr>
        <w:t>richiamo</w:t>
      </w:r>
      <w:r w:rsidR="0033428F" w:rsidRPr="000D6DEE">
        <w:rPr>
          <w:rFonts w:ascii="Times New Roman" w:hAnsi="Times New Roman" w:cs="Times New Roman"/>
          <w:sz w:val="28"/>
          <w:szCs w:val="28"/>
        </w:rPr>
        <w:t xml:space="preserve"> esplicito </w:t>
      </w:r>
      <w:r w:rsidR="00974236" w:rsidRPr="000D6DEE">
        <w:rPr>
          <w:rFonts w:ascii="Times New Roman" w:hAnsi="Times New Roman" w:cs="Times New Roman"/>
          <w:sz w:val="28"/>
          <w:szCs w:val="28"/>
        </w:rPr>
        <w:t>da parte dell’art. 71 del d.lgs. n. 59 del 2010, all’art. 92 e, per il suo tramite, all’art. 11</w:t>
      </w:r>
      <w:r w:rsidR="00B23CE7" w:rsidRPr="000D6DEE">
        <w:rPr>
          <w:rFonts w:ascii="Times New Roman" w:hAnsi="Times New Roman" w:cs="Times New Roman"/>
          <w:sz w:val="28"/>
          <w:szCs w:val="28"/>
        </w:rPr>
        <w:t xml:space="preserve"> del </w:t>
      </w:r>
      <w:proofErr w:type="spellStart"/>
      <w:r w:rsidR="00B23CE7" w:rsidRPr="000D6DEE">
        <w:rPr>
          <w:rFonts w:ascii="Times New Roman" w:hAnsi="Times New Roman" w:cs="Times New Roman"/>
          <w:sz w:val="28"/>
          <w:szCs w:val="28"/>
        </w:rPr>
        <w:t>T.u.l.p.s</w:t>
      </w:r>
      <w:proofErr w:type="spellEnd"/>
      <w:r w:rsidR="00B23CE7" w:rsidRPr="000D6DEE">
        <w:rPr>
          <w:rFonts w:ascii="Times New Roman" w:hAnsi="Times New Roman" w:cs="Times New Roman"/>
          <w:sz w:val="28"/>
          <w:szCs w:val="28"/>
        </w:rPr>
        <w:t>.</w:t>
      </w:r>
      <w:r w:rsidR="00974236" w:rsidRPr="000D6DEE">
        <w:rPr>
          <w:rFonts w:ascii="Times New Roman" w:hAnsi="Times New Roman" w:cs="Times New Roman"/>
          <w:sz w:val="28"/>
          <w:szCs w:val="28"/>
        </w:rPr>
        <w:t xml:space="preserve">, </w:t>
      </w:r>
      <w:r w:rsidR="00B23CE7" w:rsidRPr="000D6DEE">
        <w:rPr>
          <w:rFonts w:ascii="Times New Roman" w:hAnsi="Times New Roman" w:cs="Times New Roman"/>
          <w:sz w:val="28"/>
          <w:szCs w:val="28"/>
        </w:rPr>
        <w:t xml:space="preserve">potrebbe far sorgere il dubbio circa la portata derogatoria della disposizione sopravvenuta. Ma la disposizione </w:t>
      </w:r>
      <w:r w:rsidR="0033428F" w:rsidRPr="000D6DEE">
        <w:rPr>
          <w:rFonts w:ascii="Times New Roman" w:hAnsi="Times New Roman" w:cs="Times New Roman"/>
          <w:sz w:val="28"/>
          <w:szCs w:val="28"/>
        </w:rPr>
        <w:lastRenderedPageBreak/>
        <w:t>non sfugge al principio generale della riconducibilità della relativa attività comunque</w:t>
      </w:r>
      <w:r w:rsidR="00B23CE7" w:rsidRPr="000D6DEE">
        <w:rPr>
          <w:rFonts w:ascii="Times New Roman" w:hAnsi="Times New Roman" w:cs="Times New Roman"/>
          <w:sz w:val="28"/>
          <w:szCs w:val="28"/>
        </w:rPr>
        <w:t xml:space="preserve"> sotto l’egida del</w:t>
      </w:r>
      <w:r w:rsidR="0033428F" w:rsidRPr="000D6DEE">
        <w:rPr>
          <w:rFonts w:ascii="Times New Roman" w:hAnsi="Times New Roman" w:cs="Times New Roman"/>
          <w:sz w:val="28"/>
          <w:szCs w:val="28"/>
        </w:rPr>
        <w:t>le autorizzazioni di polizia, nella specie per il tramite del</w:t>
      </w:r>
      <w:r w:rsidR="00B23CE7" w:rsidRPr="000D6DEE">
        <w:rPr>
          <w:rFonts w:ascii="Times New Roman" w:hAnsi="Times New Roman" w:cs="Times New Roman"/>
          <w:sz w:val="28"/>
          <w:szCs w:val="28"/>
        </w:rPr>
        <w:t xml:space="preserve"> ricordato art. 152 del regolamento di esecuzione, </w:t>
      </w:r>
      <w:r w:rsidR="0033428F" w:rsidRPr="000D6DEE">
        <w:rPr>
          <w:rFonts w:ascii="Times New Roman" w:hAnsi="Times New Roman" w:cs="Times New Roman"/>
          <w:sz w:val="28"/>
          <w:szCs w:val="28"/>
        </w:rPr>
        <w:t xml:space="preserve">sì da circoscriverne la portata </w:t>
      </w:r>
      <w:r w:rsidR="00B23CE7" w:rsidRPr="000D6DEE">
        <w:rPr>
          <w:rFonts w:ascii="Times New Roman" w:hAnsi="Times New Roman" w:cs="Times New Roman"/>
          <w:sz w:val="28"/>
          <w:szCs w:val="28"/>
        </w:rPr>
        <w:t xml:space="preserve">agli aspetti commerciali, non a quelli, concomitanti e persistenti, di pubblica sicurezza. </w:t>
      </w:r>
      <w:r w:rsidR="00974236" w:rsidRPr="000D6DEE">
        <w:rPr>
          <w:rFonts w:ascii="Times New Roman" w:hAnsi="Times New Roman" w:cs="Times New Roman"/>
          <w:sz w:val="28"/>
          <w:szCs w:val="28"/>
        </w:rPr>
        <w:t xml:space="preserve">Nell’immediato dell’entrata in vigore del d.lgs. n. 59 del 2010, </w:t>
      </w:r>
      <w:r w:rsidR="00B23CE7" w:rsidRPr="000D6DEE">
        <w:rPr>
          <w:rFonts w:ascii="Times New Roman" w:hAnsi="Times New Roman" w:cs="Times New Roman"/>
          <w:sz w:val="28"/>
          <w:szCs w:val="28"/>
        </w:rPr>
        <w:t xml:space="preserve">infatti, </w:t>
      </w:r>
      <w:r w:rsidR="00974236" w:rsidRPr="000D6DEE">
        <w:rPr>
          <w:rFonts w:ascii="Times New Roman" w:hAnsi="Times New Roman" w:cs="Times New Roman"/>
          <w:sz w:val="28"/>
          <w:szCs w:val="28"/>
        </w:rPr>
        <w:t>il Ministero dello Sviluppo economico</w:t>
      </w:r>
      <w:r w:rsidR="00B23CE7" w:rsidRPr="000D6DEE">
        <w:rPr>
          <w:rFonts w:ascii="Times New Roman" w:hAnsi="Times New Roman" w:cs="Times New Roman"/>
          <w:sz w:val="28"/>
          <w:szCs w:val="28"/>
        </w:rPr>
        <w:t>, anche allo scopo di chiarire la portata dell’art. 64, che in apparente controtendenza con i propri principi a favore della semplificazione assoggetta ad autorizzazione l’apertura o il trasferimento di sede degli esercizi di somministrazione di alimenti e bevande</w:t>
      </w:r>
      <w:r w:rsidR="00B23CE7" w:rsidRPr="000D6DEE">
        <w:rPr>
          <w:rStyle w:val="Rimandonotaapidipagina"/>
          <w:rFonts w:ascii="Times New Roman" w:hAnsi="Times New Roman" w:cs="Times New Roman"/>
          <w:sz w:val="28"/>
          <w:szCs w:val="28"/>
        </w:rPr>
        <w:footnoteReference w:id="9"/>
      </w:r>
      <w:r w:rsidR="00B23CE7" w:rsidRPr="000D6DEE">
        <w:rPr>
          <w:rFonts w:ascii="Times New Roman" w:hAnsi="Times New Roman" w:cs="Times New Roman"/>
          <w:sz w:val="28"/>
          <w:szCs w:val="28"/>
        </w:rPr>
        <w:t>,</w:t>
      </w:r>
      <w:r w:rsidR="00974236" w:rsidRPr="000D6DEE">
        <w:rPr>
          <w:rFonts w:ascii="Times New Roman" w:hAnsi="Times New Roman" w:cs="Times New Roman"/>
          <w:sz w:val="28"/>
          <w:szCs w:val="28"/>
        </w:rPr>
        <w:t xml:space="preserve"> emanò la circolare interpretativa n.</w:t>
      </w:r>
      <w:r w:rsidR="00927BF2" w:rsidRPr="000D6DEE">
        <w:rPr>
          <w:rFonts w:ascii="Times New Roman" w:hAnsi="Times New Roman" w:cs="Times New Roman"/>
          <w:sz w:val="28"/>
          <w:szCs w:val="28"/>
        </w:rPr>
        <w:t xml:space="preserve"> </w:t>
      </w:r>
      <w:r w:rsidR="00974236" w:rsidRPr="000D6DEE">
        <w:rPr>
          <w:rFonts w:ascii="Times New Roman" w:hAnsi="Times New Roman" w:cs="Times New Roman"/>
          <w:sz w:val="28"/>
          <w:szCs w:val="28"/>
        </w:rPr>
        <w:t xml:space="preserve">3635/C del 6 maggio 2010 che al punto 2.2 recava: « </w:t>
      </w:r>
      <w:r w:rsidR="00974236" w:rsidRPr="000D6DEE">
        <w:rPr>
          <w:rFonts w:ascii="Times New Roman" w:hAnsi="Times New Roman" w:cs="Times New Roman"/>
          <w:i/>
          <w:sz w:val="28"/>
          <w:szCs w:val="28"/>
        </w:rPr>
        <w:t xml:space="preserve">In materia di attività di somministrazione di alimenti e bevande si richiama il parere 23 maggio 2007, n.557/PAS.1251:12001(1), nel quale il Ministero dell’interno ha ribadito che l’autorizzazione per l’attività in discorso mantiene la natura di licenza di polizia ai  fini dell’art.86 del T.U.L.P.S. come disposto dall’art.152 del reg. al </w:t>
      </w:r>
      <w:proofErr w:type="spellStart"/>
      <w:r w:rsidR="00974236" w:rsidRPr="000D6DEE">
        <w:rPr>
          <w:rFonts w:ascii="Times New Roman" w:hAnsi="Times New Roman" w:cs="Times New Roman"/>
          <w:i/>
          <w:sz w:val="28"/>
          <w:szCs w:val="28"/>
        </w:rPr>
        <w:t>t.u.l.p.s</w:t>
      </w:r>
      <w:proofErr w:type="spellEnd"/>
      <w:r w:rsidR="00974236" w:rsidRPr="000D6DEE">
        <w:rPr>
          <w:rFonts w:ascii="Times New Roman" w:hAnsi="Times New Roman" w:cs="Times New Roman"/>
          <w:i/>
          <w:sz w:val="28"/>
          <w:szCs w:val="28"/>
        </w:rPr>
        <w:t>., modificato dal d.P.R. n.311/2001</w:t>
      </w:r>
      <w:r w:rsidR="00974236" w:rsidRPr="000D6DEE">
        <w:rPr>
          <w:rStyle w:val="Rimandonotaapidipagina"/>
          <w:rFonts w:ascii="Times New Roman" w:hAnsi="Times New Roman" w:cs="Times New Roman"/>
          <w:i/>
          <w:sz w:val="28"/>
          <w:szCs w:val="28"/>
        </w:rPr>
        <w:footnoteReference w:id="10"/>
      </w:r>
      <w:r w:rsidR="00974236" w:rsidRPr="000D6DEE">
        <w:rPr>
          <w:rFonts w:ascii="Times New Roman" w:hAnsi="Times New Roman" w:cs="Times New Roman"/>
          <w:i/>
          <w:sz w:val="28"/>
          <w:szCs w:val="28"/>
        </w:rPr>
        <w:t xml:space="preserve">. Ad avviso del Ministero dell’interno, infatti, tale particolare natura di autorizzazione di polizia, che continua a caratterizzare la somministrazione di alimenti e bevande, comporta la soggezione dell’attività stessa alle disposizioni delle leggi di pubblica sicurezza per i profili attinenti la tutela dell’ordine e sicurezza pubblica e dell’incolumità delle </w:t>
      </w:r>
      <w:r w:rsidR="00974236" w:rsidRPr="000D6DEE">
        <w:rPr>
          <w:rFonts w:ascii="Times New Roman" w:hAnsi="Times New Roman" w:cs="Times New Roman"/>
          <w:i/>
          <w:sz w:val="28"/>
          <w:szCs w:val="28"/>
        </w:rPr>
        <w:lastRenderedPageBreak/>
        <w:t xml:space="preserve">persone. Da ciò discende che l’autorità competente al rilascio è tenuta a svolgere l’attività di verifica dei necessari </w:t>
      </w:r>
      <w:r w:rsidR="00974236" w:rsidRPr="000D6DEE">
        <w:rPr>
          <w:rFonts w:ascii="Times New Roman" w:hAnsi="Times New Roman" w:cs="Times New Roman"/>
          <w:b/>
          <w:i/>
          <w:sz w:val="28"/>
          <w:szCs w:val="28"/>
        </w:rPr>
        <w:t>requisiti soggettivi</w:t>
      </w:r>
      <w:r w:rsidR="00974236" w:rsidRPr="000D6DEE">
        <w:rPr>
          <w:rFonts w:ascii="Times New Roman" w:hAnsi="Times New Roman" w:cs="Times New Roman"/>
          <w:i/>
          <w:sz w:val="28"/>
          <w:szCs w:val="28"/>
        </w:rPr>
        <w:t xml:space="preserve"> di cui alle norme di pubblica sicurezza oltre a quelli oggettivi di </w:t>
      </w:r>
      <w:proofErr w:type="spellStart"/>
      <w:r w:rsidR="00974236" w:rsidRPr="000D6DEE">
        <w:rPr>
          <w:rFonts w:ascii="Times New Roman" w:hAnsi="Times New Roman" w:cs="Times New Roman"/>
          <w:i/>
          <w:sz w:val="28"/>
          <w:szCs w:val="28"/>
        </w:rPr>
        <w:t>sorvegliabilità</w:t>
      </w:r>
      <w:proofErr w:type="spellEnd"/>
      <w:r w:rsidR="00974236" w:rsidRPr="000D6DEE">
        <w:rPr>
          <w:rFonts w:ascii="Times New Roman" w:hAnsi="Times New Roman" w:cs="Times New Roman"/>
          <w:i/>
          <w:sz w:val="28"/>
          <w:szCs w:val="28"/>
        </w:rPr>
        <w:t xml:space="preserve"> del locale</w:t>
      </w:r>
      <w:r w:rsidR="00974236" w:rsidRPr="000D6DEE">
        <w:rPr>
          <w:rFonts w:ascii="Times New Roman" w:hAnsi="Times New Roman" w:cs="Times New Roman"/>
          <w:sz w:val="28"/>
          <w:szCs w:val="28"/>
        </w:rPr>
        <w:t xml:space="preserve"> (..)». Per concludere </w:t>
      </w:r>
      <w:r w:rsidR="00B23CE7" w:rsidRPr="000D6DEE">
        <w:rPr>
          <w:rFonts w:ascii="Times New Roman" w:hAnsi="Times New Roman" w:cs="Times New Roman"/>
          <w:sz w:val="28"/>
          <w:szCs w:val="28"/>
        </w:rPr>
        <w:t>affermando chiaramente</w:t>
      </w:r>
      <w:r w:rsidR="00974236" w:rsidRPr="000D6DEE">
        <w:rPr>
          <w:rFonts w:ascii="Times New Roman" w:hAnsi="Times New Roman" w:cs="Times New Roman"/>
          <w:sz w:val="28"/>
          <w:szCs w:val="28"/>
        </w:rPr>
        <w:t>: «</w:t>
      </w:r>
      <w:r w:rsidR="00974236" w:rsidRPr="000D6DEE">
        <w:rPr>
          <w:rFonts w:ascii="Times New Roman" w:hAnsi="Times New Roman" w:cs="Times New Roman"/>
          <w:i/>
          <w:sz w:val="28"/>
          <w:szCs w:val="28"/>
        </w:rPr>
        <w:t>I requisiti soggettivi ai quali fa riferimento il parere ministeriale sono quelli di cui agli artt. 11 e 92 del R.D. 18 giugno 1931, n.773</w:t>
      </w:r>
      <w:r w:rsidR="00974236" w:rsidRPr="000D6DEE">
        <w:rPr>
          <w:rFonts w:ascii="Times New Roman" w:hAnsi="Times New Roman" w:cs="Times New Roman"/>
          <w:sz w:val="28"/>
          <w:szCs w:val="28"/>
        </w:rPr>
        <w:t>».</w:t>
      </w:r>
    </w:p>
    <w:p w:rsidR="00193BAA" w:rsidRPr="000D6DEE" w:rsidRDefault="00B23CE7" w:rsidP="00472539">
      <w:pPr>
        <w:spacing w:line="360" w:lineRule="auto"/>
        <w:jc w:val="both"/>
        <w:rPr>
          <w:rFonts w:ascii="Times New Roman" w:hAnsi="Times New Roman" w:cs="Times New Roman"/>
          <w:color w:val="19191A"/>
          <w:sz w:val="28"/>
          <w:szCs w:val="28"/>
          <w:shd w:val="clear" w:color="auto" w:fill="FFFFFF"/>
        </w:rPr>
      </w:pPr>
      <w:r w:rsidRPr="000D6DEE">
        <w:rPr>
          <w:rFonts w:ascii="Times New Roman" w:hAnsi="Times New Roman" w:cs="Times New Roman"/>
          <w:sz w:val="28"/>
          <w:szCs w:val="28"/>
        </w:rPr>
        <w:t>L</w:t>
      </w:r>
      <w:r w:rsidR="00472539" w:rsidRPr="000D6DEE">
        <w:rPr>
          <w:rFonts w:ascii="Times New Roman" w:hAnsi="Times New Roman" w:cs="Times New Roman"/>
          <w:sz w:val="28"/>
          <w:szCs w:val="28"/>
        </w:rPr>
        <w:t>’obbligo di revocare il titolo ove vengano meno le «</w:t>
      </w:r>
      <w:r w:rsidR="00472539" w:rsidRPr="000D6DEE">
        <w:rPr>
          <w:rFonts w:ascii="Times New Roman" w:hAnsi="Times New Roman" w:cs="Times New Roman"/>
          <w:i/>
          <w:sz w:val="28"/>
          <w:szCs w:val="28"/>
        </w:rPr>
        <w:t>condizioni</w:t>
      </w:r>
      <w:r w:rsidR="00472539" w:rsidRPr="000D6DEE">
        <w:rPr>
          <w:rFonts w:ascii="Times New Roman" w:hAnsi="Times New Roman" w:cs="Times New Roman"/>
          <w:sz w:val="28"/>
          <w:szCs w:val="28"/>
        </w:rPr>
        <w:t xml:space="preserve">» soggettive che lo legittimavano assume particolare rilievo e incidenza casistica in relazione alla previsione tra le stesse della </w:t>
      </w:r>
      <w:r w:rsidR="002D375B" w:rsidRPr="000D6DEE">
        <w:rPr>
          <w:rFonts w:ascii="Times New Roman" w:hAnsi="Times New Roman" w:cs="Times New Roman"/>
          <w:sz w:val="28"/>
          <w:szCs w:val="28"/>
        </w:rPr>
        <w:t>«</w:t>
      </w:r>
      <w:r w:rsidR="006F1110" w:rsidRPr="000D6DEE">
        <w:rPr>
          <w:rFonts w:ascii="Times New Roman" w:hAnsi="Times New Roman" w:cs="Times New Roman"/>
          <w:i/>
          <w:sz w:val="28"/>
          <w:szCs w:val="28"/>
        </w:rPr>
        <w:t>buona condotta</w:t>
      </w:r>
      <w:r w:rsidR="002D375B" w:rsidRPr="000D6DEE">
        <w:rPr>
          <w:rFonts w:ascii="Times New Roman" w:hAnsi="Times New Roman" w:cs="Times New Roman"/>
          <w:sz w:val="28"/>
          <w:szCs w:val="28"/>
        </w:rPr>
        <w:t xml:space="preserve">», </w:t>
      </w:r>
      <w:r w:rsidRPr="000D6DEE">
        <w:rPr>
          <w:rFonts w:ascii="Times New Roman" w:hAnsi="Times New Roman" w:cs="Times New Roman"/>
          <w:sz w:val="28"/>
          <w:szCs w:val="28"/>
        </w:rPr>
        <w:t>espressione vagamente anacronistica e moraleggiante</w:t>
      </w:r>
      <w:r w:rsidR="00472539" w:rsidRPr="000D6DEE">
        <w:rPr>
          <w:rFonts w:ascii="Times New Roman" w:hAnsi="Times New Roman" w:cs="Times New Roman"/>
          <w:sz w:val="28"/>
          <w:szCs w:val="28"/>
        </w:rPr>
        <w:t xml:space="preserve"> che ancora figura espressamente</w:t>
      </w:r>
      <w:r w:rsidRPr="000D6DEE">
        <w:rPr>
          <w:rFonts w:ascii="Times New Roman" w:hAnsi="Times New Roman" w:cs="Times New Roman"/>
          <w:sz w:val="28"/>
          <w:szCs w:val="28"/>
        </w:rPr>
        <w:t xml:space="preserve"> tra i requisiti da accertare ai fini del rilascio del titolo</w:t>
      </w:r>
      <w:r w:rsidR="00472539" w:rsidRPr="000D6DEE">
        <w:rPr>
          <w:rFonts w:ascii="Times New Roman" w:hAnsi="Times New Roman" w:cs="Times New Roman"/>
          <w:sz w:val="28"/>
          <w:szCs w:val="28"/>
        </w:rPr>
        <w:t>. I presupposti che inducono a dubitare della sua persistenza, peraltro, ben possono integrare anche quella nozione di «</w:t>
      </w:r>
      <w:r w:rsidR="00472539" w:rsidRPr="000D6DEE">
        <w:rPr>
          <w:rFonts w:ascii="Times New Roman" w:hAnsi="Times New Roman" w:cs="Times New Roman"/>
          <w:i/>
          <w:sz w:val="28"/>
          <w:szCs w:val="28"/>
        </w:rPr>
        <w:t>abuso</w:t>
      </w:r>
      <w:r w:rsidR="00472539" w:rsidRPr="000D6DEE">
        <w:rPr>
          <w:rFonts w:ascii="Times New Roman" w:hAnsi="Times New Roman" w:cs="Times New Roman"/>
          <w:sz w:val="28"/>
          <w:szCs w:val="28"/>
        </w:rPr>
        <w:t xml:space="preserve">» che egualmente consente la revoca dell’autorizzazione, seppure in tal caso quale alternativa alla sospensione. </w:t>
      </w:r>
      <w:r w:rsidRPr="000D6DEE">
        <w:rPr>
          <w:rFonts w:ascii="Times New Roman" w:hAnsi="Times New Roman" w:cs="Times New Roman"/>
          <w:sz w:val="28"/>
          <w:szCs w:val="28"/>
        </w:rPr>
        <w:t xml:space="preserve">Il requisito peraltro ha superato </w:t>
      </w:r>
      <w:r w:rsidR="00472539" w:rsidRPr="000D6DEE">
        <w:rPr>
          <w:rFonts w:ascii="Times New Roman" w:hAnsi="Times New Roman" w:cs="Times New Roman"/>
          <w:sz w:val="28"/>
          <w:szCs w:val="28"/>
        </w:rPr>
        <w:t xml:space="preserve">da tempo </w:t>
      </w:r>
      <w:r w:rsidRPr="000D6DEE">
        <w:rPr>
          <w:rFonts w:ascii="Times New Roman" w:hAnsi="Times New Roman" w:cs="Times New Roman"/>
          <w:sz w:val="28"/>
          <w:szCs w:val="28"/>
        </w:rPr>
        <w:t>il vaglio del giudice delle leggi, che ne ha solo stigmatizzato l’attribuzione dell’onere della prova in capo al richiedente (</w:t>
      </w:r>
      <w:r w:rsidR="001F3728" w:rsidRPr="000D6DEE">
        <w:rPr>
          <w:rFonts w:ascii="Times New Roman" w:hAnsi="Times New Roman" w:cs="Times New Roman"/>
          <w:color w:val="19191A"/>
          <w:sz w:val="28"/>
          <w:szCs w:val="28"/>
          <w:shd w:val="clear" w:color="auto" w:fill="FFFFFF"/>
        </w:rPr>
        <w:t>Corte Costituzionale, sentenza 2 - 16 dicembre 1993, n. 440, in G.U. 1ª s.s. 22/12/1993, n. 52)</w:t>
      </w:r>
      <w:r w:rsidR="00974236" w:rsidRPr="000D6DEE">
        <w:rPr>
          <w:rStyle w:val="Rimandonotaapidipagina"/>
          <w:rFonts w:ascii="Times New Roman" w:hAnsi="Times New Roman" w:cs="Times New Roman"/>
          <w:color w:val="19191A"/>
          <w:sz w:val="28"/>
          <w:szCs w:val="28"/>
          <w:shd w:val="clear" w:color="auto" w:fill="FFFFFF"/>
        </w:rPr>
        <w:footnoteReference w:id="11"/>
      </w:r>
      <w:r w:rsidR="00974236" w:rsidRPr="000D6DEE">
        <w:rPr>
          <w:rFonts w:ascii="Times New Roman" w:hAnsi="Times New Roman" w:cs="Times New Roman"/>
          <w:color w:val="19191A"/>
          <w:sz w:val="28"/>
          <w:szCs w:val="28"/>
          <w:shd w:val="clear" w:color="auto" w:fill="FFFFFF"/>
        </w:rPr>
        <w:t>.</w:t>
      </w:r>
    </w:p>
    <w:p w:rsidR="00657484" w:rsidRPr="000D6DEE" w:rsidRDefault="00193BAA" w:rsidP="00804A98">
      <w:pPr>
        <w:pStyle w:val="Testonotaapidipagina"/>
        <w:spacing w:line="360" w:lineRule="auto"/>
        <w:jc w:val="both"/>
        <w:rPr>
          <w:rFonts w:ascii="Times New Roman" w:hAnsi="Times New Roman" w:cs="Times New Roman"/>
          <w:b/>
          <w:color w:val="000000"/>
          <w:sz w:val="28"/>
          <w:szCs w:val="28"/>
        </w:rPr>
      </w:pPr>
      <w:r w:rsidRPr="000D6DEE">
        <w:rPr>
          <w:rFonts w:ascii="Times New Roman" w:hAnsi="Times New Roman" w:cs="Times New Roman"/>
          <w:color w:val="19191A"/>
          <w:sz w:val="28"/>
          <w:szCs w:val="28"/>
          <w:shd w:val="clear" w:color="auto" w:fill="FFFFFF"/>
        </w:rPr>
        <w:t>È proprio sulla base dell’ampiezza valutativa sottesa a tale requisito soggettivo che la giurisprudenza ha reiteratamente ribadito l</w:t>
      </w:r>
      <w:r w:rsidR="000E3106" w:rsidRPr="000D6DEE">
        <w:rPr>
          <w:rFonts w:ascii="Times New Roman" w:hAnsi="Times New Roman" w:cs="Times New Roman"/>
          <w:color w:val="19191A"/>
          <w:sz w:val="28"/>
          <w:szCs w:val="28"/>
          <w:shd w:val="clear" w:color="auto" w:fill="FFFFFF"/>
        </w:rPr>
        <w:t xml:space="preserve">a insindacabilità nel merito della </w:t>
      </w:r>
      <w:r w:rsidRPr="000D6DEE">
        <w:rPr>
          <w:rFonts w:ascii="Times New Roman" w:hAnsi="Times New Roman" w:cs="Times New Roman"/>
          <w:color w:val="19191A"/>
          <w:sz w:val="28"/>
          <w:szCs w:val="28"/>
          <w:shd w:val="clear" w:color="auto" w:fill="FFFFFF"/>
        </w:rPr>
        <w:t xml:space="preserve">discrezionalità </w:t>
      </w:r>
      <w:r w:rsidR="000E3106" w:rsidRPr="000D6DEE">
        <w:rPr>
          <w:rFonts w:ascii="Times New Roman" w:hAnsi="Times New Roman" w:cs="Times New Roman"/>
          <w:color w:val="19191A"/>
          <w:sz w:val="28"/>
          <w:szCs w:val="28"/>
          <w:shd w:val="clear" w:color="auto" w:fill="FFFFFF"/>
        </w:rPr>
        <w:t>sottesa al</w:t>
      </w:r>
      <w:r w:rsidRPr="000D6DEE">
        <w:rPr>
          <w:rFonts w:ascii="Times New Roman" w:hAnsi="Times New Roman" w:cs="Times New Roman"/>
          <w:color w:val="19191A"/>
          <w:sz w:val="28"/>
          <w:szCs w:val="28"/>
          <w:shd w:val="clear" w:color="auto" w:fill="FFFFFF"/>
        </w:rPr>
        <w:t xml:space="preserve"> rilascio </w:t>
      </w:r>
      <w:r w:rsidR="000E3106" w:rsidRPr="000D6DEE">
        <w:rPr>
          <w:rFonts w:ascii="Times New Roman" w:hAnsi="Times New Roman" w:cs="Times New Roman"/>
          <w:color w:val="19191A"/>
          <w:sz w:val="28"/>
          <w:szCs w:val="28"/>
          <w:shd w:val="clear" w:color="auto" w:fill="FFFFFF"/>
        </w:rPr>
        <w:t xml:space="preserve">- e alla revoca - </w:t>
      </w:r>
      <w:r w:rsidRPr="000D6DEE">
        <w:rPr>
          <w:rFonts w:ascii="Times New Roman" w:hAnsi="Times New Roman" w:cs="Times New Roman"/>
          <w:color w:val="19191A"/>
          <w:sz w:val="28"/>
          <w:szCs w:val="28"/>
          <w:shd w:val="clear" w:color="auto" w:fill="FFFFFF"/>
        </w:rPr>
        <w:t>del titolo.</w:t>
      </w:r>
      <w:r w:rsidR="000E3106" w:rsidRPr="000D6DEE">
        <w:rPr>
          <w:rFonts w:ascii="Times New Roman" w:hAnsi="Times New Roman" w:cs="Times New Roman"/>
          <w:color w:val="19191A"/>
          <w:sz w:val="28"/>
          <w:szCs w:val="28"/>
          <w:shd w:val="clear" w:color="auto" w:fill="FFFFFF"/>
        </w:rPr>
        <w:t xml:space="preserve"> Per riportare solo alcuni esempi, tra quelli di più recente attualità, c</w:t>
      </w:r>
      <w:r w:rsidRPr="000D6DEE">
        <w:rPr>
          <w:rFonts w:ascii="Times New Roman" w:hAnsi="Times New Roman" w:cs="Times New Roman"/>
          <w:color w:val="19191A"/>
          <w:sz w:val="28"/>
          <w:szCs w:val="28"/>
          <w:shd w:val="clear" w:color="auto" w:fill="FFFFFF"/>
        </w:rPr>
        <w:t>on riferimento ad una agenzia investigativa</w:t>
      </w:r>
      <w:r w:rsidR="00050CF6" w:rsidRPr="000D6DEE">
        <w:rPr>
          <w:rStyle w:val="Rimandonotaapidipagina"/>
          <w:rFonts w:ascii="Times New Roman" w:hAnsi="Times New Roman" w:cs="Times New Roman"/>
          <w:color w:val="19191A"/>
          <w:sz w:val="28"/>
          <w:szCs w:val="28"/>
          <w:shd w:val="clear" w:color="auto" w:fill="FFFFFF"/>
        </w:rPr>
        <w:footnoteReference w:id="12"/>
      </w:r>
      <w:r w:rsidRPr="000D6DEE">
        <w:rPr>
          <w:rFonts w:ascii="Times New Roman" w:hAnsi="Times New Roman" w:cs="Times New Roman"/>
          <w:color w:val="19191A"/>
          <w:sz w:val="28"/>
          <w:szCs w:val="28"/>
          <w:shd w:val="clear" w:color="auto" w:fill="FFFFFF"/>
        </w:rPr>
        <w:t xml:space="preserve">, si </w:t>
      </w:r>
      <w:r w:rsidR="000E3106" w:rsidRPr="000D6DEE">
        <w:rPr>
          <w:rFonts w:ascii="Times New Roman" w:hAnsi="Times New Roman" w:cs="Times New Roman"/>
          <w:color w:val="19191A"/>
          <w:sz w:val="28"/>
          <w:szCs w:val="28"/>
          <w:shd w:val="clear" w:color="auto" w:fill="FFFFFF"/>
        </w:rPr>
        <w:t>è dunque affermato</w:t>
      </w:r>
      <w:r w:rsidR="00472539" w:rsidRPr="000D6DEE">
        <w:rPr>
          <w:rFonts w:ascii="Times New Roman" w:hAnsi="Times New Roman" w:cs="Times New Roman"/>
          <w:color w:val="19191A"/>
          <w:sz w:val="28"/>
          <w:szCs w:val="28"/>
          <w:shd w:val="clear" w:color="auto" w:fill="FFFFFF"/>
        </w:rPr>
        <w:t>:</w:t>
      </w:r>
      <w:r w:rsidRPr="000D6DEE">
        <w:rPr>
          <w:rFonts w:ascii="Times New Roman" w:hAnsi="Times New Roman" w:cs="Times New Roman"/>
          <w:color w:val="19191A"/>
          <w:sz w:val="28"/>
          <w:szCs w:val="28"/>
          <w:shd w:val="clear" w:color="auto" w:fill="FFFFFF"/>
        </w:rPr>
        <w:t xml:space="preserve"> </w:t>
      </w:r>
      <w:r w:rsidRPr="000D6DEE">
        <w:rPr>
          <w:rFonts w:ascii="Times New Roman" w:hAnsi="Times New Roman" w:cs="Times New Roman"/>
          <w:i/>
          <w:color w:val="000000"/>
          <w:sz w:val="28"/>
          <w:szCs w:val="28"/>
        </w:rPr>
        <w:t>«</w:t>
      </w:r>
      <w:r w:rsidR="004D685C" w:rsidRPr="000D6DEE">
        <w:rPr>
          <w:rFonts w:ascii="Times New Roman" w:hAnsi="Times New Roman" w:cs="Times New Roman"/>
          <w:i/>
          <w:color w:val="000000"/>
          <w:sz w:val="28"/>
          <w:szCs w:val="28"/>
        </w:rPr>
        <w:t xml:space="preserve">I provvedimenti di polizia sono preordinati alla </w:t>
      </w:r>
      <w:r w:rsidR="004D685C" w:rsidRPr="000D6DEE">
        <w:rPr>
          <w:rFonts w:ascii="Times New Roman" w:hAnsi="Times New Roman" w:cs="Times New Roman"/>
          <w:i/>
          <w:color w:val="000000"/>
          <w:sz w:val="28"/>
          <w:szCs w:val="28"/>
        </w:rPr>
        <w:lastRenderedPageBreak/>
        <w:t xml:space="preserve">prioritaria finalità di garantire la sicurezza e l'ordine pubblico mediante strumenti di prevenzione della commissione di reati e costituiscono la massima anticipazione della difesa sociale attraverso l'impedimento e la rimozione </w:t>
      </w:r>
      <w:r w:rsidR="004D685C" w:rsidRPr="000D6DEE">
        <w:rPr>
          <w:rFonts w:ascii="Times New Roman" w:hAnsi="Times New Roman" w:cs="Times New Roman"/>
          <w:color w:val="000000"/>
          <w:sz w:val="28"/>
          <w:szCs w:val="28"/>
        </w:rPr>
        <w:t>ab initio</w:t>
      </w:r>
      <w:r w:rsidR="004D685C" w:rsidRPr="000D6DEE">
        <w:rPr>
          <w:rFonts w:ascii="Times New Roman" w:hAnsi="Times New Roman" w:cs="Times New Roman"/>
          <w:i/>
          <w:color w:val="000000"/>
          <w:sz w:val="28"/>
          <w:szCs w:val="28"/>
        </w:rPr>
        <w:t xml:space="preserve"> delle stesse condizioni che potrebbero ragionevolmente costituire causa o anche solo occasione per il verificarsi di fatti, non solo e non necessariamente di rilievo penale, idonei a turbare l'ordinata convivenza civile mediante esposizione anche solo al pericolo della sicurezza e dell'ordine pubblico</w:t>
      </w:r>
      <w:r w:rsidR="0071459B" w:rsidRPr="000D6DEE">
        <w:rPr>
          <w:rFonts w:ascii="Times New Roman" w:hAnsi="Times New Roman" w:cs="Times New Roman"/>
          <w:color w:val="000000"/>
          <w:sz w:val="28"/>
          <w:szCs w:val="28"/>
        </w:rPr>
        <w:t>»</w:t>
      </w:r>
      <w:r w:rsidR="000E3106" w:rsidRPr="000D6DEE">
        <w:rPr>
          <w:rFonts w:ascii="Times New Roman" w:hAnsi="Times New Roman" w:cs="Times New Roman"/>
          <w:color w:val="000000"/>
          <w:sz w:val="28"/>
          <w:szCs w:val="28"/>
        </w:rPr>
        <w:t xml:space="preserve"> </w:t>
      </w:r>
      <w:r w:rsidR="000E3106" w:rsidRPr="000D6DEE">
        <w:rPr>
          <w:rFonts w:ascii="Times New Roman" w:hAnsi="Times New Roman" w:cs="Times New Roman"/>
          <w:color w:val="19191A"/>
          <w:sz w:val="28"/>
          <w:szCs w:val="28"/>
          <w:shd w:val="clear" w:color="auto" w:fill="FFFFFF"/>
        </w:rPr>
        <w:t>(</w:t>
      </w:r>
      <w:r w:rsidR="000E3106" w:rsidRPr="000D6DEE">
        <w:rPr>
          <w:rFonts w:ascii="Times New Roman" w:hAnsi="Times New Roman" w:cs="Times New Roman"/>
          <w:b/>
          <w:color w:val="000000"/>
          <w:sz w:val="28"/>
          <w:szCs w:val="28"/>
        </w:rPr>
        <w:t>Cons.</w:t>
      </w:r>
      <w:r w:rsidR="00AC29B1" w:rsidRPr="000D6DEE">
        <w:rPr>
          <w:rFonts w:ascii="Times New Roman" w:hAnsi="Times New Roman" w:cs="Times New Roman"/>
          <w:b/>
          <w:color w:val="000000"/>
          <w:sz w:val="28"/>
          <w:szCs w:val="28"/>
        </w:rPr>
        <w:t xml:space="preserve"> </w:t>
      </w:r>
      <w:r w:rsidR="000E3106" w:rsidRPr="000D6DEE">
        <w:rPr>
          <w:rFonts w:ascii="Times New Roman" w:hAnsi="Times New Roman" w:cs="Times New Roman"/>
          <w:b/>
          <w:color w:val="000000"/>
          <w:sz w:val="28"/>
          <w:szCs w:val="28"/>
        </w:rPr>
        <w:t>Stato, sez. III, 21 luglio 2023, n. 7171</w:t>
      </w:r>
      <w:r w:rsidR="0071459B" w:rsidRPr="000D6DEE">
        <w:rPr>
          <w:rStyle w:val="Rimandonotaapidipagina"/>
          <w:rFonts w:ascii="Times New Roman" w:hAnsi="Times New Roman" w:cs="Times New Roman"/>
          <w:color w:val="000000"/>
          <w:sz w:val="28"/>
          <w:szCs w:val="28"/>
        </w:rPr>
        <w:footnoteReference w:id="13"/>
      </w:r>
      <w:r w:rsidR="007F2BD6" w:rsidRPr="000D6DEE">
        <w:rPr>
          <w:rFonts w:ascii="Times New Roman" w:hAnsi="Times New Roman" w:cs="Times New Roman"/>
          <w:b/>
          <w:color w:val="000000"/>
          <w:sz w:val="28"/>
          <w:szCs w:val="28"/>
        </w:rPr>
        <w:t>)</w:t>
      </w:r>
      <w:r w:rsidR="00933FD0" w:rsidRPr="000D6DEE">
        <w:rPr>
          <w:rFonts w:ascii="Times New Roman" w:hAnsi="Times New Roman" w:cs="Times New Roman"/>
          <w:color w:val="000000"/>
          <w:sz w:val="28"/>
          <w:szCs w:val="28"/>
        </w:rPr>
        <w:t>.</w:t>
      </w:r>
      <w:r w:rsidR="007F2BD6" w:rsidRPr="000D6DEE">
        <w:rPr>
          <w:rFonts w:ascii="Times New Roman" w:hAnsi="Times New Roman" w:cs="Times New Roman"/>
          <w:color w:val="000000"/>
          <w:sz w:val="28"/>
          <w:szCs w:val="28"/>
        </w:rPr>
        <w:t xml:space="preserve"> </w:t>
      </w:r>
      <w:r w:rsidR="00472539" w:rsidRPr="000D6DEE">
        <w:rPr>
          <w:rFonts w:ascii="Times New Roman" w:hAnsi="Times New Roman" w:cs="Times New Roman"/>
          <w:color w:val="000000"/>
          <w:sz w:val="28"/>
          <w:szCs w:val="28"/>
        </w:rPr>
        <w:t xml:space="preserve">Talvolta la motivazione trae spunto dalla affermata sensibilità dell’attività di riferimento. </w:t>
      </w:r>
      <w:r w:rsidR="007F2BD6" w:rsidRPr="000D6DEE">
        <w:rPr>
          <w:rFonts w:ascii="Times New Roman" w:hAnsi="Times New Roman" w:cs="Times New Roman"/>
          <w:color w:val="000000"/>
          <w:sz w:val="28"/>
          <w:szCs w:val="28"/>
        </w:rPr>
        <w:t>Sempre con riferimento alle autorizzazioni di polizia rilasciate per attività investigative</w:t>
      </w:r>
      <w:r w:rsidR="00472539" w:rsidRPr="000D6DEE">
        <w:rPr>
          <w:rFonts w:ascii="Times New Roman" w:hAnsi="Times New Roman" w:cs="Times New Roman"/>
          <w:color w:val="000000"/>
          <w:sz w:val="28"/>
          <w:szCs w:val="28"/>
        </w:rPr>
        <w:t xml:space="preserve">, ad esempio, si è appunto chiarito che </w:t>
      </w:r>
      <w:r w:rsidR="007F2BD6" w:rsidRPr="000D6DEE">
        <w:rPr>
          <w:rFonts w:ascii="Times New Roman" w:hAnsi="Times New Roman" w:cs="Times New Roman"/>
          <w:color w:val="000000"/>
          <w:sz w:val="28"/>
          <w:szCs w:val="28"/>
        </w:rPr>
        <w:t>stante la delicatezza dell</w:t>
      </w:r>
      <w:r w:rsidR="00472539" w:rsidRPr="000D6DEE">
        <w:rPr>
          <w:rFonts w:ascii="Times New Roman" w:hAnsi="Times New Roman" w:cs="Times New Roman"/>
          <w:color w:val="000000"/>
          <w:sz w:val="28"/>
          <w:szCs w:val="28"/>
        </w:rPr>
        <w:t>e funzioni che accedono alla stessa,</w:t>
      </w:r>
      <w:r w:rsidR="007F2BD6" w:rsidRPr="000D6DEE">
        <w:rPr>
          <w:rFonts w:ascii="Times New Roman" w:hAnsi="Times New Roman" w:cs="Times New Roman"/>
          <w:color w:val="000000"/>
          <w:sz w:val="28"/>
          <w:szCs w:val="28"/>
        </w:rPr>
        <w:t xml:space="preserve"> è del tutto logico che la buona condotta dell'autorizzando debba essere accertata secondo un criterio particolarmente rigoroso, che risulterebbe eccessivo in relazione a provvedimenti autorizzatori di professioni di minore impatto sociale. In generale, </w:t>
      </w:r>
      <w:r w:rsidR="00804A98" w:rsidRPr="000D6DEE">
        <w:rPr>
          <w:rFonts w:ascii="Times New Roman" w:hAnsi="Times New Roman" w:cs="Times New Roman"/>
          <w:color w:val="000000"/>
          <w:sz w:val="28"/>
          <w:szCs w:val="28"/>
        </w:rPr>
        <w:t>comunque</w:t>
      </w:r>
      <w:r w:rsidR="007F2BD6" w:rsidRPr="000D6DEE">
        <w:rPr>
          <w:rFonts w:ascii="Times New Roman" w:hAnsi="Times New Roman" w:cs="Times New Roman"/>
          <w:color w:val="000000"/>
          <w:sz w:val="28"/>
          <w:szCs w:val="28"/>
        </w:rPr>
        <w:t xml:space="preserve">, si tende ad ammettere che venga dato rilievo in senso ostativo a </w:t>
      </w:r>
      <w:r w:rsidR="004D685C" w:rsidRPr="000D6DEE">
        <w:rPr>
          <w:rFonts w:ascii="Times New Roman" w:hAnsi="Times New Roman" w:cs="Times New Roman"/>
          <w:color w:val="000000"/>
          <w:sz w:val="28"/>
          <w:szCs w:val="28"/>
        </w:rPr>
        <w:t xml:space="preserve">fatti e circostanze privi in sé di significato penale e non riconducibili direttamente alla responsabilità del soggetto, </w:t>
      </w:r>
      <w:r w:rsidR="007F2BD6" w:rsidRPr="000D6DEE">
        <w:rPr>
          <w:rFonts w:ascii="Times New Roman" w:hAnsi="Times New Roman" w:cs="Times New Roman"/>
          <w:color w:val="000000"/>
          <w:sz w:val="28"/>
          <w:szCs w:val="28"/>
        </w:rPr>
        <w:t xml:space="preserve">purché motivatamente </w:t>
      </w:r>
      <w:r w:rsidR="004D685C" w:rsidRPr="000D6DEE">
        <w:rPr>
          <w:rFonts w:ascii="Times New Roman" w:hAnsi="Times New Roman" w:cs="Times New Roman"/>
          <w:color w:val="000000"/>
          <w:sz w:val="28"/>
          <w:szCs w:val="28"/>
        </w:rPr>
        <w:t>significativi dal punto di vista della “buona condotta”</w:t>
      </w:r>
      <w:r w:rsidR="00804A98" w:rsidRPr="000D6DEE">
        <w:rPr>
          <w:rFonts w:ascii="Times New Roman" w:hAnsi="Times New Roman" w:cs="Times New Roman"/>
          <w:color w:val="000000"/>
          <w:sz w:val="28"/>
          <w:szCs w:val="28"/>
        </w:rPr>
        <w:t>, appunto</w:t>
      </w:r>
      <w:r w:rsidR="004D685C" w:rsidRPr="000D6DEE">
        <w:rPr>
          <w:rFonts w:ascii="Times New Roman" w:hAnsi="Times New Roman" w:cs="Times New Roman"/>
          <w:color w:val="000000"/>
          <w:sz w:val="28"/>
          <w:szCs w:val="28"/>
        </w:rPr>
        <w:t xml:space="preserve"> e rilevanti sul piano prognostico</w:t>
      </w:r>
      <w:r w:rsidR="00804A98" w:rsidRPr="000D6DEE">
        <w:rPr>
          <w:rFonts w:ascii="Times New Roman" w:hAnsi="Times New Roman" w:cs="Times New Roman"/>
          <w:color w:val="000000"/>
          <w:sz w:val="28"/>
          <w:szCs w:val="28"/>
        </w:rPr>
        <w:t>, riferito alla stessa</w:t>
      </w:r>
      <w:r w:rsidR="004D685C" w:rsidRPr="000D6DEE">
        <w:rPr>
          <w:rFonts w:ascii="Times New Roman" w:hAnsi="Times New Roman" w:cs="Times New Roman"/>
          <w:color w:val="000000"/>
          <w:sz w:val="28"/>
          <w:szCs w:val="28"/>
        </w:rPr>
        <w:t xml:space="preserve"> (</w:t>
      </w:r>
      <w:r w:rsidR="004D685C" w:rsidRPr="000D6DEE">
        <w:rPr>
          <w:rFonts w:ascii="Times New Roman" w:hAnsi="Times New Roman" w:cs="Times New Roman"/>
          <w:b/>
          <w:color w:val="000000"/>
          <w:sz w:val="28"/>
          <w:szCs w:val="28"/>
        </w:rPr>
        <w:t>Cons. Stato, sez. IV, 5 luglio 2000, n. 3709</w:t>
      </w:r>
      <w:r w:rsidR="007F2BD6" w:rsidRPr="000D6DEE">
        <w:rPr>
          <w:rFonts w:ascii="Times New Roman" w:hAnsi="Times New Roman" w:cs="Times New Roman"/>
          <w:color w:val="000000"/>
          <w:sz w:val="28"/>
          <w:szCs w:val="28"/>
        </w:rPr>
        <w:t>, che benché risalente nel tempo, viene richiamata nelle pronunce più recenti</w:t>
      </w:r>
      <w:r w:rsidR="004D685C" w:rsidRPr="000D6DEE">
        <w:rPr>
          <w:rFonts w:ascii="Times New Roman" w:hAnsi="Times New Roman" w:cs="Times New Roman"/>
          <w:color w:val="000000"/>
          <w:sz w:val="28"/>
          <w:szCs w:val="28"/>
        </w:rPr>
        <w:t>)</w:t>
      </w:r>
      <w:r w:rsidR="007F2BD6" w:rsidRPr="000D6DEE">
        <w:rPr>
          <w:rFonts w:ascii="Times New Roman" w:hAnsi="Times New Roman" w:cs="Times New Roman"/>
          <w:color w:val="000000"/>
          <w:sz w:val="28"/>
          <w:szCs w:val="28"/>
        </w:rPr>
        <w:t xml:space="preserve">. </w:t>
      </w:r>
      <w:r w:rsidR="00657484" w:rsidRPr="000D6DEE">
        <w:rPr>
          <w:rFonts w:ascii="Times New Roman" w:hAnsi="Times New Roman" w:cs="Times New Roman"/>
          <w:color w:val="000000"/>
          <w:sz w:val="28"/>
          <w:szCs w:val="28"/>
        </w:rPr>
        <w:t>I</w:t>
      </w:r>
      <w:r w:rsidR="004D685C" w:rsidRPr="000D6DEE">
        <w:rPr>
          <w:rFonts w:ascii="Times New Roman" w:hAnsi="Times New Roman" w:cs="Times New Roman"/>
          <w:color w:val="000000"/>
          <w:sz w:val="28"/>
          <w:szCs w:val="28"/>
        </w:rPr>
        <w:t xml:space="preserve">l giudizio prognostico a fondamento del diniego delle autorizzazioni di polizia è considerato </w:t>
      </w:r>
      <w:r w:rsidR="00657484" w:rsidRPr="000D6DEE">
        <w:rPr>
          <w:rFonts w:ascii="Times New Roman" w:hAnsi="Times New Roman" w:cs="Times New Roman"/>
          <w:color w:val="000000"/>
          <w:sz w:val="28"/>
          <w:szCs w:val="28"/>
        </w:rPr>
        <w:t xml:space="preserve">infatti </w:t>
      </w:r>
      <w:r w:rsidR="004D685C" w:rsidRPr="000D6DEE">
        <w:rPr>
          <w:rFonts w:ascii="Times New Roman" w:hAnsi="Times New Roman" w:cs="Times New Roman"/>
          <w:color w:val="000000"/>
          <w:sz w:val="28"/>
          <w:szCs w:val="28"/>
        </w:rPr>
        <w:t>più stringente del giudizio di pericolosità sociale o di responsabilità penale (</w:t>
      </w:r>
      <w:r w:rsidR="004D685C" w:rsidRPr="000D6DEE">
        <w:rPr>
          <w:rFonts w:ascii="Times New Roman" w:hAnsi="Times New Roman" w:cs="Times New Roman"/>
          <w:b/>
          <w:color w:val="000000"/>
          <w:sz w:val="28"/>
          <w:szCs w:val="28"/>
        </w:rPr>
        <w:t>Cons. Stato, sez. III, 6 dicembre 2019, n. 8368</w:t>
      </w:r>
      <w:r w:rsidR="004D685C" w:rsidRPr="000D6DEE">
        <w:rPr>
          <w:rFonts w:ascii="Times New Roman" w:hAnsi="Times New Roman" w:cs="Times New Roman"/>
          <w:color w:val="000000"/>
          <w:sz w:val="28"/>
          <w:szCs w:val="28"/>
        </w:rPr>
        <w:t>)</w:t>
      </w:r>
      <w:r w:rsidR="00657484" w:rsidRPr="000D6DEE">
        <w:rPr>
          <w:rFonts w:ascii="Times New Roman" w:hAnsi="Times New Roman" w:cs="Times New Roman"/>
          <w:color w:val="000000"/>
          <w:sz w:val="28"/>
          <w:szCs w:val="28"/>
        </w:rPr>
        <w:t>.</w:t>
      </w:r>
      <w:r w:rsidR="00933FD0" w:rsidRPr="000D6DEE">
        <w:rPr>
          <w:rFonts w:ascii="Times New Roman" w:hAnsi="Times New Roman" w:cs="Times New Roman"/>
          <w:color w:val="000000"/>
          <w:sz w:val="28"/>
          <w:szCs w:val="28"/>
        </w:rPr>
        <w:t xml:space="preserve"> </w:t>
      </w:r>
      <w:r w:rsidR="004D685C" w:rsidRPr="000D6DEE">
        <w:rPr>
          <w:rFonts w:ascii="Times New Roman" w:hAnsi="Times New Roman" w:cs="Times New Roman"/>
          <w:color w:val="000000"/>
          <w:sz w:val="28"/>
          <w:szCs w:val="28"/>
        </w:rPr>
        <w:t>È, quindi, giust</w:t>
      </w:r>
      <w:r w:rsidR="00804A98" w:rsidRPr="000D6DEE">
        <w:rPr>
          <w:rFonts w:ascii="Times New Roman" w:hAnsi="Times New Roman" w:cs="Times New Roman"/>
          <w:color w:val="000000"/>
          <w:sz w:val="28"/>
          <w:szCs w:val="28"/>
        </w:rPr>
        <w:t xml:space="preserve">o </w:t>
      </w:r>
      <w:r w:rsidR="004D685C" w:rsidRPr="000D6DEE">
        <w:rPr>
          <w:rFonts w:ascii="Times New Roman" w:hAnsi="Times New Roman" w:cs="Times New Roman"/>
          <w:color w:val="000000"/>
          <w:sz w:val="28"/>
          <w:szCs w:val="28"/>
        </w:rPr>
        <w:t xml:space="preserve">che l'Amministrazione neghi l'autorizzazione </w:t>
      </w:r>
      <w:r w:rsidR="00804A98" w:rsidRPr="000D6DEE">
        <w:rPr>
          <w:rFonts w:ascii="Times New Roman" w:hAnsi="Times New Roman" w:cs="Times New Roman"/>
          <w:color w:val="000000"/>
          <w:sz w:val="28"/>
          <w:szCs w:val="28"/>
        </w:rPr>
        <w:t xml:space="preserve">di polizia </w:t>
      </w:r>
      <w:r w:rsidR="004D685C" w:rsidRPr="000D6DEE">
        <w:rPr>
          <w:rFonts w:ascii="Times New Roman" w:hAnsi="Times New Roman" w:cs="Times New Roman"/>
          <w:color w:val="000000"/>
          <w:sz w:val="28"/>
          <w:szCs w:val="28"/>
        </w:rPr>
        <w:t>anche sulla base di seri indizi di scarsa affidabilità</w:t>
      </w:r>
      <w:r w:rsidR="00804A98" w:rsidRPr="000D6DEE">
        <w:rPr>
          <w:rFonts w:ascii="Times New Roman" w:hAnsi="Times New Roman" w:cs="Times New Roman"/>
          <w:color w:val="000000"/>
          <w:sz w:val="28"/>
          <w:szCs w:val="28"/>
        </w:rPr>
        <w:t xml:space="preserve"> del richiedente</w:t>
      </w:r>
      <w:r w:rsidR="004D685C" w:rsidRPr="000D6DEE">
        <w:rPr>
          <w:rFonts w:ascii="Times New Roman" w:hAnsi="Times New Roman" w:cs="Times New Roman"/>
          <w:color w:val="000000"/>
          <w:sz w:val="28"/>
          <w:szCs w:val="28"/>
        </w:rPr>
        <w:t xml:space="preserve"> (</w:t>
      </w:r>
      <w:r w:rsidR="004D685C" w:rsidRPr="000D6DEE">
        <w:rPr>
          <w:rFonts w:ascii="Times New Roman" w:hAnsi="Times New Roman" w:cs="Times New Roman"/>
          <w:b/>
          <w:color w:val="000000"/>
          <w:sz w:val="28"/>
          <w:szCs w:val="28"/>
        </w:rPr>
        <w:t>Cons. Stato, sez. III, 3 novembre 2021, n. 7350</w:t>
      </w:r>
      <w:r w:rsidR="004D685C" w:rsidRPr="000D6DEE">
        <w:rPr>
          <w:rFonts w:ascii="Times New Roman" w:hAnsi="Times New Roman" w:cs="Times New Roman"/>
          <w:color w:val="000000"/>
          <w:sz w:val="28"/>
          <w:szCs w:val="28"/>
        </w:rPr>
        <w:t xml:space="preserve">; </w:t>
      </w:r>
      <w:r w:rsidR="004D685C" w:rsidRPr="000D6DEE">
        <w:rPr>
          <w:rFonts w:ascii="Times New Roman" w:hAnsi="Times New Roman" w:cs="Times New Roman"/>
          <w:i/>
          <w:color w:val="000000"/>
          <w:sz w:val="28"/>
          <w:szCs w:val="28"/>
        </w:rPr>
        <w:t>id</w:t>
      </w:r>
      <w:r w:rsidR="004D685C" w:rsidRPr="000D6DEE">
        <w:rPr>
          <w:rFonts w:ascii="Times New Roman" w:hAnsi="Times New Roman" w:cs="Times New Roman"/>
          <w:color w:val="000000"/>
          <w:sz w:val="28"/>
          <w:szCs w:val="28"/>
        </w:rPr>
        <w:t xml:space="preserve">., sez. VI, 25 giugno </w:t>
      </w:r>
      <w:r w:rsidR="004D685C" w:rsidRPr="000D6DEE">
        <w:rPr>
          <w:rFonts w:ascii="Times New Roman" w:hAnsi="Times New Roman" w:cs="Times New Roman"/>
          <w:color w:val="000000"/>
          <w:sz w:val="28"/>
          <w:szCs w:val="28"/>
        </w:rPr>
        <w:lastRenderedPageBreak/>
        <w:t>2008, n. 3227)</w:t>
      </w:r>
      <w:r w:rsidR="00933FD0" w:rsidRPr="000D6DEE">
        <w:rPr>
          <w:rFonts w:ascii="Times New Roman" w:hAnsi="Times New Roman" w:cs="Times New Roman"/>
          <w:color w:val="000000"/>
          <w:sz w:val="28"/>
          <w:szCs w:val="28"/>
        </w:rPr>
        <w:t xml:space="preserve">, sulla base di </w:t>
      </w:r>
      <w:r w:rsidR="004D685C" w:rsidRPr="000D6DEE">
        <w:rPr>
          <w:rFonts w:ascii="Times New Roman" w:hAnsi="Times New Roman" w:cs="Times New Roman"/>
          <w:color w:val="000000"/>
          <w:sz w:val="28"/>
          <w:szCs w:val="28"/>
        </w:rPr>
        <w:t xml:space="preserve">circostanze che, </w:t>
      </w:r>
      <w:r w:rsidR="00933FD0" w:rsidRPr="000D6DEE">
        <w:rPr>
          <w:rFonts w:ascii="Times New Roman" w:hAnsi="Times New Roman" w:cs="Times New Roman"/>
          <w:color w:val="000000"/>
          <w:sz w:val="28"/>
          <w:szCs w:val="28"/>
        </w:rPr>
        <w:t>nell’esercizio dell’</w:t>
      </w:r>
      <w:r w:rsidR="004D685C" w:rsidRPr="000D6DEE">
        <w:rPr>
          <w:rFonts w:ascii="Times New Roman" w:hAnsi="Times New Roman" w:cs="Times New Roman"/>
          <w:color w:val="000000"/>
          <w:sz w:val="28"/>
          <w:szCs w:val="28"/>
        </w:rPr>
        <w:t xml:space="preserve">ampio potere di apprezzamento discrezionale, </w:t>
      </w:r>
      <w:r w:rsidR="00933FD0" w:rsidRPr="000D6DEE">
        <w:rPr>
          <w:rFonts w:ascii="Times New Roman" w:hAnsi="Times New Roman" w:cs="Times New Roman"/>
          <w:color w:val="000000"/>
          <w:sz w:val="28"/>
          <w:szCs w:val="28"/>
        </w:rPr>
        <w:t xml:space="preserve">portino ad </w:t>
      </w:r>
      <w:r w:rsidR="004D685C" w:rsidRPr="000D6DEE">
        <w:rPr>
          <w:rFonts w:ascii="Times New Roman" w:hAnsi="Times New Roman" w:cs="Times New Roman"/>
          <w:color w:val="000000"/>
          <w:sz w:val="28"/>
          <w:szCs w:val="28"/>
        </w:rPr>
        <w:t>esclud</w:t>
      </w:r>
      <w:r w:rsidR="00933FD0" w:rsidRPr="000D6DEE">
        <w:rPr>
          <w:rFonts w:ascii="Times New Roman" w:hAnsi="Times New Roman" w:cs="Times New Roman"/>
          <w:color w:val="000000"/>
          <w:sz w:val="28"/>
          <w:szCs w:val="28"/>
        </w:rPr>
        <w:t>ere</w:t>
      </w:r>
      <w:r w:rsidR="004D685C" w:rsidRPr="000D6DEE">
        <w:rPr>
          <w:rFonts w:ascii="Times New Roman" w:hAnsi="Times New Roman" w:cs="Times New Roman"/>
          <w:color w:val="000000"/>
          <w:sz w:val="28"/>
          <w:szCs w:val="28"/>
        </w:rPr>
        <w:t xml:space="preserve"> una condotta irreprensibile ed immune da censure e costituiscano indice rivelatore (anche soltanto) della “possibilità” di abuso della licenza di pubblica sicurezza</w:t>
      </w:r>
      <w:r w:rsidR="00933FD0" w:rsidRPr="000D6DEE">
        <w:rPr>
          <w:rFonts w:ascii="Times New Roman" w:hAnsi="Times New Roman" w:cs="Times New Roman"/>
          <w:color w:val="000000"/>
          <w:sz w:val="28"/>
          <w:szCs w:val="28"/>
        </w:rPr>
        <w:t xml:space="preserve"> </w:t>
      </w:r>
      <w:r w:rsidR="004D685C" w:rsidRPr="000D6DEE">
        <w:rPr>
          <w:rFonts w:ascii="Times New Roman" w:hAnsi="Times New Roman" w:cs="Times New Roman"/>
          <w:color w:val="000000"/>
          <w:sz w:val="28"/>
          <w:szCs w:val="28"/>
        </w:rPr>
        <w:t>(</w:t>
      </w:r>
      <w:r w:rsidR="004D685C" w:rsidRPr="000D6DEE">
        <w:rPr>
          <w:rFonts w:ascii="Times New Roman" w:hAnsi="Times New Roman" w:cs="Times New Roman"/>
          <w:b/>
          <w:color w:val="000000"/>
          <w:sz w:val="28"/>
          <w:szCs w:val="28"/>
        </w:rPr>
        <w:t>Cons. Stato, sez. III, 19 maggio 2023, n. 4981</w:t>
      </w:r>
      <w:r w:rsidR="004D685C" w:rsidRPr="000D6DEE">
        <w:rPr>
          <w:rFonts w:ascii="Times New Roman" w:hAnsi="Times New Roman" w:cs="Times New Roman"/>
          <w:color w:val="000000"/>
          <w:sz w:val="28"/>
          <w:szCs w:val="28"/>
        </w:rPr>
        <w:t>).</w:t>
      </w:r>
      <w:r w:rsidR="00804A98" w:rsidRPr="000D6DEE">
        <w:rPr>
          <w:rFonts w:ascii="Times New Roman" w:hAnsi="Times New Roman" w:cs="Times New Roman"/>
          <w:color w:val="000000"/>
          <w:sz w:val="28"/>
          <w:szCs w:val="28"/>
        </w:rPr>
        <w:t xml:space="preserve"> Tali affermazioni, come si vede, fanno cogliere appieno la commistione interpretativa tra le due norme di riferimento (artt. 10 e 11 del </w:t>
      </w:r>
      <w:proofErr w:type="spellStart"/>
      <w:r w:rsidR="00804A98" w:rsidRPr="000D6DEE">
        <w:rPr>
          <w:rFonts w:ascii="Times New Roman" w:hAnsi="Times New Roman" w:cs="Times New Roman"/>
          <w:color w:val="000000"/>
          <w:sz w:val="28"/>
          <w:szCs w:val="28"/>
        </w:rPr>
        <w:t>T.u.l.p.s</w:t>
      </w:r>
      <w:proofErr w:type="spellEnd"/>
      <w:r w:rsidR="00804A98" w:rsidRPr="000D6DEE">
        <w:rPr>
          <w:rFonts w:ascii="Times New Roman" w:hAnsi="Times New Roman" w:cs="Times New Roman"/>
          <w:color w:val="000000"/>
          <w:sz w:val="28"/>
          <w:szCs w:val="28"/>
        </w:rPr>
        <w:t xml:space="preserve">.), in quanto ispirate alle medesime finalità di tutela. La loro </w:t>
      </w:r>
      <w:r w:rsidR="00804A98" w:rsidRPr="000D6DEE">
        <w:rPr>
          <w:rFonts w:ascii="Times New Roman" w:hAnsi="Times New Roman" w:cs="Times New Roman"/>
          <w:i/>
          <w:color w:val="000000"/>
          <w:sz w:val="28"/>
          <w:szCs w:val="28"/>
        </w:rPr>
        <w:t>ratio</w:t>
      </w:r>
      <w:r w:rsidR="00804A98" w:rsidRPr="000D6DEE">
        <w:rPr>
          <w:rFonts w:ascii="Times New Roman" w:hAnsi="Times New Roman" w:cs="Times New Roman"/>
          <w:color w:val="000000"/>
          <w:sz w:val="28"/>
          <w:szCs w:val="28"/>
        </w:rPr>
        <w:t xml:space="preserve">, cioè, risiede nella mai </w:t>
      </w:r>
      <w:r w:rsidR="00657484" w:rsidRPr="000D6DEE">
        <w:rPr>
          <w:rFonts w:ascii="Times New Roman" w:hAnsi="Times New Roman" w:cs="Times New Roman"/>
          <w:color w:val="000000"/>
          <w:sz w:val="28"/>
          <w:szCs w:val="28"/>
        </w:rPr>
        <w:t xml:space="preserve">rinnegata natura </w:t>
      </w:r>
      <w:proofErr w:type="spellStart"/>
      <w:r w:rsidR="00933FD0" w:rsidRPr="000D6DEE">
        <w:rPr>
          <w:rFonts w:ascii="Times New Roman" w:hAnsi="Times New Roman" w:cs="Times New Roman"/>
          <w:i/>
          <w:color w:val="000000"/>
          <w:sz w:val="28"/>
          <w:szCs w:val="28"/>
        </w:rPr>
        <w:t>intuitu</w:t>
      </w:r>
      <w:proofErr w:type="spellEnd"/>
      <w:r w:rsidR="00933FD0" w:rsidRPr="000D6DEE">
        <w:rPr>
          <w:rFonts w:ascii="Times New Roman" w:hAnsi="Times New Roman" w:cs="Times New Roman"/>
          <w:i/>
          <w:color w:val="000000"/>
          <w:sz w:val="28"/>
          <w:szCs w:val="28"/>
        </w:rPr>
        <w:t xml:space="preserve"> </w:t>
      </w:r>
      <w:proofErr w:type="spellStart"/>
      <w:r w:rsidR="00933FD0" w:rsidRPr="000D6DEE">
        <w:rPr>
          <w:rFonts w:ascii="Times New Roman" w:hAnsi="Times New Roman" w:cs="Times New Roman"/>
          <w:i/>
          <w:color w:val="000000"/>
          <w:sz w:val="28"/>
          <w:szCs w:val="28"/>
        </w:rPr>
        <w:t>personae</w:t>
      </w:r>
      <w:proofErr w:type="spellEnd"/>
      <w:r w:rsidR="00933FD0" w:rsidRPr="000D6DEE">
        <w:rPr>
          <w:rFonts w:ascii="Times New Roman" w:hAnsi="Times New Roman" w:cs="Times New Roman"/>
          <w:color w:val="000000"/>
          <w:sz w:val="28"/>
          <w:szCs w:val="28"/>
        </w:rPr>
        <w:t xml:space="preserve"> che connota</w:t>
      </w:r>
      <w:r w:rsidR="00657484" w:rsidRPr="000D6DEE">
        <w:rPr>
          <w:rFonts w:ascii="Times New Roman" w:hAnsi="Times New Roman" w:cs="Times New Roman"/>
          <w:color w:val="000000"/>
          <w:sz w:val="28"/>
          <w:szCs w:val="28"/>
        </w:rPr>
        <w:t>va originariamente</w:t>
      </w:r>
      <w:r w:rsidR="00933FD0" w:rsidRPr="000D6DEE">
        <w:rPr>
          <w:rFonts w:ascii="Times New Roman" w:hAnsi="Times New Roman" w:cs="Times New Roman"/>
          <w:color w:val="000000"/>
          <w:sz w:val="28"/>
          <w:szCs w:val="28"/>
        </w:rPr>
        <w:t xml:space="preserve"> tale tipo di licenze, </w:t>
      </w:r>
      <w:r w:rsidR="00657484" w:rsidRPr="000D6DEE">
        <w:rPr>
          <w:rFonts w:ascii="Times New Roman" w:hAnsi="Times New Roman" w:cs="Times New Roman"/>
          <w:color w:val="000000"/>
          <w:sz w:val="28"/>
          <w:szCs w:val="28"/>
        </w:rPr>
        <w:t>e che in alcuni casi è espressamente richiamata nella motivazione delle sentenze</w:t>
      </w:r>
      <w:r w:rsidR="00933FD0" w:rsidRPr="000D6DEE">
        <w:rPr>
          <w:rFonts w:ascii="Times New Roman" w:hAnsi="Times New Roman" w:cs="Times New Roman"/>
          <w:color w:val="000000"/>
          <w:sz w:val="28"/>
          <w:szCs w:val="28"/>
        </w:rPr>
        <w:t xml:space="preserve"> </w:t>
      </w:r>
      <w:r w:rsidR="00804A98" w:rsidRPr="000D6DEE">
        <w:rPr>
          <w:rFonts w:ascii="Times New Roman" w:hAnsi="Times New Roman" w:cs="Times New Roman"/>
          <w:color w:val="000000"/>
          <w:sz w:val="28"/>
          <w:szCs w:val="28"/>
        </w:rPr>
        <w:t xml:space="preserve">in materia di revoca </w:t>
      </w:r>
      <w:r w:rsidR="00933FD0" w:rsidRPr="000D6DEE">
        <w:rPr>
          <w:rFonts w:ascii="Times New Roman" w:hAnsi="Times New Roman" w:cs="Times New Roman"/>
          <w:color w:val="000000"/>
          <w:sz w:val="28"/>
          <w:szCs w:val="28"/>
        </w:rPr>
        <w:t>(</w:t>
      </w:r>
      <w:r w:rsidR="00657484" w:rsidRPr="000D6DEE">
        <w:rPr>
          <w:rFonts w:ascii="Times New Roman" w:hAnsi="Times New Roman" w:cs="Times New Roman"/>
          <w:color w:val="000000"/>
          <w:sz w:val="28"/>
          <w:szCs w:val="28"/>
        </w:rPr>
        <w:t xml:space="preserve">v. </w:t>
      </w:r>
      <w:r w:rsidR="00933FD0" w:rsidRPr="000D6DEE">
        <w:rPr>
          <w:rFonts w:ascii="Times New Roman" w:hAnsi="Times New Roman" w:cs="Times New Roman"/>
          <w:b/>
          <w:color w:val="000000"/>
          <w:sz w:val="28"/>
          <w:szCs w:val="28"/>
        </w:rPr>
        <w:t>Cons. Stato, sez. III, 17 agosto 2022, n. 7206</w:t>
      </w:r>
      <w:r w:rsidR="00933FD0" w:rsidRPr="000D6DEE">
        <w:rPr>
          <w:rFonts w:ascii="Times New Roman" w:hAnsi="Times New Roman" w:cs="Times New Roman"/>
          <w:color w:val="000000"/>
          <w:sz w:val="28"/>
          <w:szCs w:val="28"/>
        </w:rPr>
        <w:t xml:space="preserve">, riferita ad attività di esercizio scommesse </w:t>
      </w:r>
      <w:r w:rsidR="00933FD0" w:rsidRPr="000D6DEE">
        <w:rPr>
          <w:rFonts w:ascii="Times New Roman" w:hAnsi="Times New Roman" w:cs="Times New Roman"/>
          <w:i/>
          <w:color w:val="000000"/>
          <w:sz w:val="28"/>
          <w:szCs w:val="28"/>
        </w:rPr>
        <w:t>ex</w:t>
      </w:r>
      <w:r w:rsidR="00933FD0" w:rsidRPr="000D6DEE">
        <w:rPr>
          <w:rFonts w:ascii="Times New Roman" w:hAnsi="Times New Roman" w:cs="Times New Roman"/>
          <w:color w:val="000000"/>
          <w:sz w:val="28"/>
          <w:szCs w:val="28"/>
        </w:rPr>
        <w:t xml:space="preserve"> art. 88 del TULPS, che richiama </w:t>
      </w:r>
      <w:r w:rsidR="00933FD0" w:rsidRPr="000D6DEE">
        <w:rPr>
          <w:rFonts w:ascii="Times New Roman" w:hAnsi="Times New Roman" w:cs="Times New Roman"/>
          <w:i/>
          <w:color w:val="000000"/>
          <w:sz w:val="28"/>
          <w:szCs w:val="28"/>
        </w:rPr>
        <w:t>id</w:t>
      </w:r>
      <w:r w:rsidR="00933FD0" w:rsidRPr="000D6DEE">
        <w:rPr>
          <w:rFonts w:ascii="Times New Roman" w:hAnsi="Times New Roman" w:cs="Times New Roman"/>
          <w:color w:val="000000"/>
          <w:sz w:val="28"/>
          <w:szCs w:val="28"/>
        </w:rPr>
        <w:t xml:space="preserve">., </w:t>
      </w:r>
      <w:r w:rsidR="00933FD0" w:rsidRPr="000D6DEE">
        <w:rPr>
          <w:rFonts w:ascii="Times New Roman" w:hAnsi="Times New Roman" w:cs="Times New Roman"/>
          <w:b/>
          <w:color w:val="000000"/>
          <w:sz w:val="28"/>
          <w:szCs w:val="28"/>
        </w:rPr>
        <w:t>12 marzo 2020, n. 1140</w:t>
      </w:r>
      <w:r w:rsidR="00933FD0" w:rsidRPr="000D6DEE">
        <w:rPr>
          <w:rFonts w:ascii="Times New Roman" w:hAnsi="Times New Roman" w:cs="Times New Roman"/>
          <w:color w:val="000000"/>
          <w:sz w:val="28"/>
          <w:szCs w:val="28"/>
        </w:rPr>
        <w:t>).</w:t>
      </w:r>
    </w:p>
    <w:p w:rsidR="00657484" w:rsidRPr="000D6DEE" w:rsidRDefault="00AE1B69" w:rsidP="00804A98">
      <w:pPr>
        <w:spacing w:line="360" w:lineRule="auto"/>
        <w:jc w:val="both"/>
        <w:rPr>
          <w:rFonts w:ascii="Times New Roman" w:hAnsi="Times New Roman" w:cs="Times New Roman"/>
          <w:color w:val="000000"/>
          <w:sz w:val="28"/>
          <w:szCs w:val="28"/>
        </w:rPr>
      </w:pPr>
      <w:r w:rsidRPr="000D6DEE">
        <w:rPr>
          <w:rFonts w:ascii="Times New Roman" w:hAnsi="Times New Roman" w:cs="Times New Roman"/>
          <w:b/>
          <w:color w:val="000000"/>
          <w:sz w:val="28"/>
          <w:szCs w:val="28"/>
        </w:rPr>
        <w:t xml:space="preserve">3. </w:t>
      </w:r>
      <w:r w:rsidR="00804A98" w:rsidRPr="000D6DEE">
        <w:rPr>
          <w:rFonts w:ascii="Times New Roman" w:hAnsi="Times New Roman" w:cs="Times New Roman"/>
          <w:b/>
          <w:color w:val="000000"/>
          <w:sz w:val="28"/>
          <w:szCs w:val="28"/>
        </w:rPr>
        <w:t xml:space="preserve">Ancora sulla </w:t>
      </w:r>
      <w:r w:rsidR="00657484" w:rsidRPr="000D6DEE">
        <w:rPr>
          <w:rFonts w:ascii="Times New Roman" w:hAnsi="Times New Roman" w:cs="Times New Roman"/>
          <w:b/>
          <w:color w:val="000000"/>
          <w:sz w:val="28"/>
          <w:szCs w:val="28"/>
        </w:rPr>
        <w:t>revoca dell</w:t>
      </w:r>
      <w:r w:rsidR="00804A98" w:rsidRPr="000D6DEE">
        <w:rPr>
          <w:rFonts w:ascii="Times New Roman" w:hAnsi="Times New Roman" w:cs="Times New Roman"/>
          <w:b/>
          <w:color w:val="000000"/>
          <w:sz w:val="28"/>
          <w:szCs w:val="28"/>
        </w:rPr>
        <w:t xml:space="preserve">e </w:t>
      </w:r>
      <w:r w:rsidR="00657484" w:rsidRPr="000D6DEE">
        <w:rPr>
          <w:rFonts w:ascii="Times New Roman" w:hAnsi="Times New Roman" w:cs="Times New Roman"/>
          <w:b/>
          <w:color w:val="000000"/>
          <w:sz w:val="28"/>
          <w:szCs w:val="28"/>
        </w:rPr>
        <w:t>autorizzazion</w:t>
      </w:r>
      <w:r w:rsidR="00804A98" w:rsidRPr="000D6DEE">
        <w:rPr>
          <w:rFonts w:ascii="Times New Roman" w:hAnsi="Times New Roman" w:cs="Times New Roman"/>
          <w:b/>
          <w:color w:val="000000"/>
          <w:sz w:val="28"/>
          <w:szCs w:val="28"/>
        </w:rPr>
        <w:t>i</w:t>
      </w:r>
      <w:r w:rsidR="00657484" w:rsidRPr="000D6DEE">
        <w:rPr>
          <w:rFonts w:ascii="Times New Roman" w:hAnsi="Times New Roman" w:cs="Times New Roman"/>
          <w:b/>
          <w:color w:val="000000"/>
          <w:sz w:val="28"/>
          <w:szCs w:val="28"/>
        </w:rPr>
        <w:t xml:space="preserve"> di polizia</w:t>
      </w:r>
    </w:p>
    <w:p w:rsidR="004C7F00" w:rsidRPr="000D6DEE" w:rsidRDefault="00657484" w:rsidP="00EA0569">
      <w:pPr>
        <w:spacing w:line="360" w:lineRule="auto"/>
        <w:jc w:val="both"/>
        <w:rPr>
          <w:rFonts w:ascii="Times New Roman" w:hAnsi="Times New Roman" w:cs="Times New Roman"/>
          <w:color w:val="000000"/>
          <w:sz w:val="28"/>
          <w:szCs w:val="28"/>
        </w:rPr>
      </w:pPr>
      <w:r w:rsidRPr="000D6DEE">
        <w:rPr>
          <w:rFonts w:ascii="Times New Roman" w:hAnsi="Times New Roman" w:cs="Times New Roman"/>
          <w:color w:val="000000"/>
          <w:sz w:val="28"/>
          <w:szCs w:val="28"/>
        </w:rPr>
        <w:t>Si è già detto che i</w:t>
      </w:r>
      <w:r w:rsidR="00933FD0" w:rsidRPr="000D6DEE">
        <w:rPr>
          <w:rFonts w:ascii="Times New Roman" w:hAnsi="Times New Roman" w:cs="Times New Roman"/>
          <w:color w:val="000000"/>
          <w:sz w:val="28"/>
          <w:szCs w:val="28"/>
        </w:rPr>
        <w:t xml:space="preserve"> requisiti soggettivi</w:t>
      </w:r>
      <w:r w:rsidRPr="000D6DEE">
        <w:rPr>
          <w:rFonts w:ascii="Times New Roman" w:hAnsi="Times New Roman" w:cs="Times New Roman"/>
          <w:color w:val="000000"/>
          <w:sz w:val="28"/>
          <w:szCs w:val="28"/>
        </w:rPr>
        <w:t xml:space="preserve"> </w:t>
      </w:r>
      <w:r w:rsidR="00804A98" w:rsidRPr="000D6DEE">
        <w:rPr>
          <w:rFonts w:ascii="Times New Roman" w:hAnsi="Times New Roman" w:cs="Times New Roman"/>
          <w:color w:val="000000"/>
          <w:sz w:val="28"/>
          <w:szCs w:val="28"/>
        </w:rPr>
        <w:t xml:space="preserve">- </w:t>
      </w:r>
      <w:r w:rsidR="00804A98" w:rsidRPr="000D6DEE">
        <w:rPr>
          <w:rFonts w:ascii="Times New Roman" w:hAnsi="Times New Roman" w:cs="Times New Roman"/>
          <w:i/>
          <w:color w:val="000000"/>
          <w:sz w:val="28"/>
          <w:szCs w:val="28"/>
        </w:rPr>
        <w:t>recte</w:t>
      </w:r>
      <w:r w:rsidR="00804A98" w:rsidRPr="000D6DEE">
        <w:rPr>
          <w:rFonts w:ascii="Times New Roman" w:hAnsi="Times New Roman" w:cs="Times New Roman"/>
          <w:color w:val="000000"/>
          <w:sz w:val="28"/>
          <w:szCs w:val="28"/>
        </w:rPr>
        <w:t>, secondo la dizione testuale dell’art. 11, le «</w:t>
      </w:r>
      <w:r w:rsidR="00804A98" w:rsidRPr="000D6DEE">
        <w:rPr>
          <w:rFonts w:ascii="Times New Roman" w:hAnsi="Times New Roman" w:cs="Times New Roman"/>
          <w:i/>
          <w:color w:val="000000"/>
          <w:sz w:val="28"/>
          <w:szCs w:val="28"/>
        </w:rPr>
        <w:t>condizioni</w:t>
      </w:r>
      <w:r w:rsidR="00804A98" w:rsidRPr="000D6DEE">
        <w:rPr>
          <w:rFonts w:ascii="Times New Roman" w:hAnsi="Times New Roman" w:cs="Times New Roman"/>
          <w:color w:val="000000"/>
          <w:sz w:val="28"/>
          <w:szCs w:val="28"/>
        </w:rPr>
        <w:t xml:space="preserve">» afferenti il soggetto richiedente - </w:t>
      </w:r>
      <w:r w:rsidR="00933FD0" w:rsidRPr="000D6DEE">
        <w:rPr>
          <w:rFonts w:ascii="Times New Roman" w:hAnsi="Times New Roman" w:cs="Times New Roman"/>
          <w:color w:val="000000"/>
          <w:sz w:val="28"/>
          <w:szCs w:val="28"/>
        </w:rPr>
        <w:t>devono permanere per tutta la durata dell’attività, pena la “revoca” del titolo</w:t>
      </w:r>
      <w:r w:rsidR="007B2FD2" w:rsidRPr="000D6DEE">
        <w:rPr>
          <w:rFonts w:ascii="Times New Roman" w:hAnsi="Times New Roman" w:cs="Times New Roman"/>
          <w:color w:val="000000"/>
          <w:sz w:val="28"/>
          <w:szCs w:val="28"/>
        </w:rPr>
        <w:t xml:space="preserve">. </w:t>
      </w:r>
      <w:r w:rsidR="00EA0569" w:rsidRPr="000D6DEE">
        <w:rPr>
          <w:rFonts w:ascii="Times New Roman" w:hAnsi="Times New Roman" w:cs="Times New Roman"/>
          <w:color w:val="000000"/>
          <w:sz w:val="28"/>
          <w:szCs w:val="28"/>
        </w:rPr>
        <w:t xml:space="preserve">Il sopravvenire, dunque, delle condanne ostative nominativamente indicate impone la revoca; neppure si pone l’esigenza di valutare se sia necessaria la definitività della condanna, in quanto anche il semplice essere indagato, per quello o per altri reati, in quanto fa venire meno, almeno astrattamente, la “buona condotta”, può, anzi, a stretto rigore, deve, portare alle medesime conseguenze. Le altre circostanze rilevanti, dunque, afferiscono genericamente all’esercizio della discrezionalità nel rilascio del titolo e purché sorrette da adeguata motivazione possono riferirsi finanche alla incompatibilità con il contesto socio-ambientale di riferimento. </w:t>
      </w:r>
      <w:r w:rsidR="004C7F00" w:rsidRPr="000D6DEE">
        <w:rPr>
          <w:rFonts w:ascii="Times New Roman" w:hAnsi="Times New Roman" w:cs="Times New Roman"/>
          <w:color w:val="000000"/>
          <w:sz w:val="28"/>
          <w:szCs w:val="28"/>
        </w:rPr>
        <w:t>La formulazione della norma, infatti, che parla in un caso di «</w:t>
      </w:r>
      <w:r w:rsidR="004C7F00" w:rsidRPr="000D6DEE">
        <w:rPr>
          <w:rFonts w:ascii="Times New Roman" w:hAnsi="Times New Roman" w:cs="Times New Roman"/>
          <w:i/>
          <w:color w:val="000000"/>
          <w:sz w:val="28"/>
          <w:szCs w:val="28"/>
        </w:rPr>
        <w:t>condizioni</w:t>
      </w:r>
      <w:r w:rsidR="004C7F00" w:rsidRPr="000D6DEE">
        <w:rPr>
          <w:rFonts w:ascii="Times New Roman" w:hAnsi="Times New Roman" w:cs="Times New Roman"/>
          <w:color w:val="000000"/>
          <w:sz w:val="28"/>
          <w:szCs w:val="28"/>
        </w:rPr>
        <w:t>», da ascrivere comunque alla persona dell’autorizzato, nell’altro di «</w:t>
      </w:r>
      <w:r w:rsidR="004C7F00" w:rsidRPr="000D6DEE">
        <w:rPr>
          <w:rFonts w:ascii="Times New Roman" w:hAnsi="Times New Roman" w:cs="Times New Roman"/>
          <w:i/>
          <w:color w:val="000000"/>
          <w:sz w:val="28"/>
          <w:szCs w:val="28"/>
        </w:rPr>
        <w:t>circostanze</w:t>
      </w:r>
      <w:r w:rsidR="004C7F00" w:rsidRPr="000D6DEE">
        <w:rPr>
          <w:rFonts w:ascii="Times New Roman" w:hAnsi="Times New Roman" w:cs="Times New Roman"/>
          <w:color w:val="000000"/>
          <w:sz w:val="28"/>
          <w:szCs w:val="28"/>
        </w:rPr>
        <w:t xml:space="preserve">», </w:t>
      </w:r>
      <w:r w:rsidR="00EA0569" w:rsidRPr="000D6DEE">
        <w:rPr>
          <w:rFonts w:ascii="Times New Roman" w:hAnsi="Times New Roman" w:cs="Times New Roman"/>
          <w:color w:val="000000"/>
          <w:sz w:val="28"/>
          <w:szCs w:val="28"/>
        </w:rPr>
        <w:t xml:space="preserve">crea un’area chiaroscurale di sovrapposizione, al di fuori della quale si collocano valutazioni a tutela della sicurezza pubblica, anche urbana, di qualsivoglia tenore. Per operare distinzioni precise, d’altro canto, non è di aiuto neppure la giurisprudenza, che anzi, come detto, tende spesso a sovrapporre a tale fattispecie </w:t>
      </w:r>
      <w:r w:rsidR="00EA0569" w:rsidRPr="000D6DEE">
        <w:rPr>
          <w:rFonts w:ascii="Times New Roman" w:hAnsi="Times New Roman" w:cs="Times New Roman"/>
          <w:color w:val="000000"/>
          <w:sz w:val="28"/>
          <w:szCs w:val="28"/>
        </w:rPr>
        <w:lastRenderedPageBreak/>
        <w:t xml:space="preserve">quella di cui all’art. 10 del </w:t>
      </w:r>
      <w:proofErr w:type="spellStart"/>
      <w:r w:rsidR="00EA0569" w:rsidRPr="000D6DEE">
        <w:rPr>
          <w:rFonts w:ascii="Times New Roman" w:hAnsi="Times New Roman" w:cs="Times New Roman"/>
          <w:color w:val="000000"/>
          <w:sz w:val="28"/>
          <w:szCs w:val="28"/>
        </w:rPr>
        <w:t>T.u.l.p.s</w:t>
      </w:r>
      <w:proofErr w:type="spellEnd"/>
      <w:r w:rsidR="00EA0569" w:rsidRPr="000D6DEE">
        <w:rPr>
          <w:rFonts w:ascii="Times New Roman" w:hAnsi="Times New Roman" w:cs="Times New Roman"/>
          <w:color w:val="000000"/>
          <w:sz w:val="28"/>
          <w:szCs w:val="28"/>
        </w:rPr>
        <w:t>. che tuttavia consente una gradazione in senso proporzionale della scelta adottata.</w:t>
      </w:r>
    </w:p>
    <w:p w:rsidR="00805CB5" w:rsidRPr="000D6DEE" w:rsidRDefault="004E51D4" w:rsidP="00804A98">
      <w:pPr>
        <w:spacing w:line="360" w:lineRule="auto"/>
        <w:jc w:val="both"/>
        <w:rPr>
          <w:rFonts w:ascii="Times New Roman" w:eastAsia="Times New Roman" w:hAnsi="Times New Roman" w:cs="Times New Roman"/>
          <w:color w:val="000000"/>
          <w:sz w:val="28"/>
          <w:szCs w:val="28"/>
          <w:lang w:eastAsia="it-IT"/>
        </w:rPr>
      </w:pPr>
      <w:r w:rsidRPr="000D6DEE">
        <w:rPr>
          <w:rFonts w:ascii="Times New Roman" w:hAnsi="Times New Roman" w:cs="Times New Roman"/>
          <w:color w:val="000000"/>
          <w:sz w:val="28"/>
          <w:szCs w:val="28"/>
        </w:rPr>
        <w:t>Di norma, con i</w:t>
      </w:r>
      <w:r w:rsidRPr="000D6DEE">
        <w:rPr>
          <w:rFonts w:ascii="Times New Roman" w:eastAsia="Times New Roman" w:hAnsi="Times New Roman" w:cs="Times New Roman"/>
          <w:color w:val="000000"/>
          <w:sz w:val="28"/>
          <w:szCs w:val="28"/>
          <w:lang w:eastAsia="it-IT"/>
        </w:rPr>
        <w:t>l</w:t>
      </w:r>
      <w:r w:rsidR="00AC0D01" w:rsidRPr="000D6DEE">
        <w:rPr>
          <w:rFonts w:ascii="Times New Roman" w:eastAsia="Times New Roman" w:hAnsi="Times New Roman" w:cs="Times New Roman"/>
          <w:color w:val="000000"/>
          <w:sz w:val="28"/>
          <w:szCs w:val="28"/>
          <w:lang w:eastAsia="it-IT"/>
        </w:rPr>
        <w:t xml:space="preserve"> </w:t>
      </w:r>
      <w:r w:rsidRPr="000D6DEE">
        <w:rPr>
          <w:rFonts w:ascii="Times New Roman" w:eastAsia="Times New Roman" w:hAnsi="Times New Roman" w:cs="Times New Roman"/>
          <w:i/>
          <w:iCs/>
          <w:color w:val="000000"/>
          <w:sz w:val="28"/>
          <w:szCs w:val="28"/>
          <w:lang w:eastAsia="it-IT"/>
        </w:rPr>
        <w:t>nomen iuris</w:t>
      </w:r>
      <w:r w:rsidR="00AC0D01" w:rsidRPr="000D6DEE">
        <w:rPr>
          <w:rFonts w:ascii="Times New Roman" w:eastAsia="Times New Roman" w:hAnsi="Times New Roman" w:cs="Times New Roman"/>
          <w:i/>
          <w:iCs/>
          <w:color w:val="000000"/>
          <w:sz w:val="28"/>
          <w:szCs w:val="28"/>
          <w:lang w:eastAsia="it-IT"/>
        </w:rPr>
        <w:t xml:space="preserve"> </w:t>
      </w:r>
      <w:r w:rsidR="00EA0569" w:rsidRPr="000D6DEE">
        <w:rPr>
          <w:rFonts w:ascii="Times New Roman" w:eastAsia="Times New Roman" w:hAnsi="Times New Roman" w:cs="Times New Roman"/>
          <w:color w:val="000000"/>
          <w:sz w:val="28"/>
          <w:szCs w:val="28"/>
          <w:lang w:eastAsia="it-IT"/>
        </w:rPr>
        <w:t>“</w:t>
      </w:r>
      <w:r w:rsidRPr="000D6DEE">
        <w:rPr>
          <w:rFonts w:ascii="Times New Roman" w:eastAsia="Times New Roman" w:hAnsi="Times New Roman" w:cs="Times New Roman"/>
          <w:color w:val="000000"/>
          <w:sz w:val="28"/>
          <w:szCs w:val="28"/>
          <w:lang w:eastAsia="it-IT"/>
        </w:rPr>
        <w:t>revoca</w:t>
      </w:r>
      <w:r w:rsidR="00EA0569" w:rsidRPr="000D6DEE">
        <w:rPr>
          <w:rFonts w:ascii="Times New Roman" w:eastAsia="Times New Roman" w:hAnsi="Times New Roman" w:cs="Times New Roman"/>
          <w:color w:val="000000"/>
          <w:sz w:val="28"/>
          <w:szCs w:val="28"/>
          <w:lang w:eastAsia="it-IT"/>
        </w:rPr>
        <w:t>”</w:t>
      </w:r>
      <w:r w:rsidRPr="000D6DEE">
        <w:rPr>
          <w:rFonts w:ascii="Times New Roman" w:eastAsia="Times New Roman" w:hAnsi="Times New Roman" w:cs="Times New Roman"/>
          <w:color w:val="000000"/>
          <w:sz w:val="28"/>
          <w:szCs w:val="28"/>
          <w:lang w:eastAsia="it-IT"/>
        </w:rPr>
        <w:t xml:space="preserve"> il legislatore indica l’atto </w:t>
      </w:r>
      <w:r w:rsidR="00EA0569" w:rsidRPr="000D6DEE">
        <w:rPr>
          <w:rFonts w:ascii="Times New Roman" w:eastAsia="Times New Roman" w:hAnsi="Times New Roman" w:cs="Times New Roman"/>
          <w:color w:val="000000"/>
          <w:sz w:val="28"/>
          <w:szCs w:val="28"/>
          <w:lang w:eastAsia="it-IT"/>
        </w:rPr>
        <w:t xml:space="preserve">che costituisce </w:t>
      </w:r>
      <w:r w:rsidRPr="000D6DEE">
        <w:rPr>
          <w:rFonts w:ascii="Times New Roman" w:eastAsia="Times New Roman" w:hAnsi="Times New Roman" w:cs="Times New Roman"/>
          <w:color w:val="000000"/>
          <w:sz w:val="28"/>
          <w:szCs w:val="28"/>
          <w:lang w:eastAsia="it-IT"/>
        </w:rPr>
        <w:t>esercizio d</w:t>
      </w:r>
      <w:r w:rsidR="00EA0569" w:rsidRPr="000D6DEE">
        <w:rPr>
          <w:rFonts w:ascii="Times New Roman" w:eastAsia="Times New Roman" w:hAnsi="Times New Roman" w:cs="Times New Roman"/>
          <w:color w:val="000000"/>
          <w:sz w:val="28"/>
          <w:szCs w:val="28"/>
          <w:lang w:eastAsia="it-IT"/>
        </w:rPr>
        <w:t xml:space="preserve">i quel tipo di </w:t>
      </w:r>
      <w:r w:rsidR="004C7F00" w:rsidRPr="000D6DEE">
        <w:rPr>
          <w:rFonts w:ascii="Times New Roman" w:eastAsia="Times New Roman" w:hAnsi="Times New Roman" w:cs="Times New Roman"/>
          <w:color w:val="000000"/>
          <w:sz w:val="28"/>
          <w:szCs w:val="28"/>
          <w:lang w:eastAsia="it-IT"/>
        </w:rPr>
        <w:t xml:space="preserve">potere di autotutela con il quale si rimuove un provvedimento anteriore valido, ma ritenuto inopportuno per sopravvenute ragioni di pubblico interesse o per mutamento della situazione di fatto, </w:t>
      </w:r>
      <w:r w:rsidR="00EA0569" w:rsidRPr="000D6DEE">
        <w:rPr>
          <w:rFonts w:ascii="Times New Roman" w:eastAsia="Times New Roman" w:hAnsi="Times New Roman" w:cs="Times New Roman"/>
          <w:color w:val="000000"/>
          <w:sz w:val="28"/>
          <w:szCs w:val="28"/>
          <w:lang w:eastAsia="it-IT"/>
        </w:rPr>
        <w:t xml:space="preserve">ovvero </w:t>
      </w:r>
      <w:r w:rsidR="004C7F00" w:rsidRPr="000D6DEE">
        <w:rPr>
          <w:rFonts w:ascii="Times New Roman" w:eastAsia="Times New Roman" w:hAnsi="Times New Roman" w:cs="Times New Roman"/>
          <w:color w:val="000000"/>
          <w:sz w:val="28"/>
          <w:szCs w:val="28"/>
          <w:lang w:eastAsia="it-IT"/>
        </w:rPr>
        <w:t>a causa di una rivalutazione dell’interesse pubblico originariamente considerato dall’amministrazione (art. 21-</w:t>
      </w:r>
      <w:r w:rsidR="004C7F00" w:rsidRPr="000D6DEE">
        <w:rPr>
          <w:rFonts w:ascii="Times New Roman" w:eastAsia="Times New Roman" w:hAnsi="Times New Roman" w:cs="Times New Roman"/>
          <w:i/>
          <w:color w:val="000000"/>
          <w:sz w:val="28"/>
          <w:szCs w:val="28"/>
          <w:lang w:eastAsia="it-IT"/>
        </w:rPr>
        <w:t>quinquies</w:t>
      </w:r>
      <w:r w:rsidR="004C7F00" w:rsidRPr="000D6DEE">
        <w:rPr>
          <w:rFonts w:ascii="Times New Roman" w:eastAsia="Times New Roman" w:hAnsi="Times New Roman" w:cs="Times New Roman"/>
          <w:color w:val="000000"/>
          <w:sz w:val="28"/>
          <w:szCs w:val="28"/>
          <w:lang w:eastAsia="it-IT"/>
        </w:rPr>
        <w:t xml:space="preserve"> della l. n. 241 del 1990). </w:t>
      </w:r>
      <w:r w:rsidR="00EA0569" w:rsidRPr="000D6DEE">
        <w:rPr>
          <w:rFonts w:ascii="Times New Roman" w:eastAsia="Times New Roman" w:hAnsi="Times New Roman" w:cs="Times New Roman"/>
          <w:color w:val="000000"/>
          <w:sz w:val="28"/>
          <w:szCs w:val="28"/>
          <w:lang w:eastAsia="it-IT"/>
        </w:rPr>
        <w:t>I</w:t>
      </w:r>
      <w:r w:rsidR="004C7F00" w:rsidRPr="000D6DEE">
        <w:rPr>
          <w:rFonts w:ascii="Times New Roman" w:eastAsia="Times New Roman" w:hAnsi="Times New Roman" w:cs="Times New Roman"/>
          <w:color w:val="000000"/>
          <w:sz w:val="28"/>
          <w:szCs w:val="28"/>
          <w:lang w:eastAsia="it-IT"/>
        </w:rPr>
        <w:t xml:space="preserve">l relativo termine, </w:t>
      </w:r>
      <w:r w:rsidR="00EA0569" w:rsidRPr="000D6DEE">
        <w:rPr>
          <w:rFonts w:ascii="Times New Roman" w:eastAsia="Times New Roman" w:hAnsi="Times New Roman" w:cs="Times New Roman"/>
          <w:color w:val="000000"/>
          <w:sz w:val="28"/>
          <w:szCs w:val="28"/>
          <w:lang w:eastAsia="it-IT"/>
        </w:rPr>
        <w:t xml:space="preserve">tuttavia, </w:t>
      </w:r>
      <w:r w:rsidR="004C7F00" w:rsidRPr="000D6DEE">
        <w:rPr>
          <w:rFonts w:ascii="Times New Roman" w:eastAsia="Times New Roman" w:hAnsi="Times New Roman" w:cs="Times New Roman"/>
          <w:color w:val="000000"/>
          <w:sz w:val="28"/>
          <w:szCs w:val="28"/>
          <w:lang w:eastAsia="it-IT"/>
        </w:rPr>
        <w:t>nella prassi delle amministrazioni pubbliche ovvero, come nella specie, nei testi legislativi</w:t>
      </w:r>
      <w:r w:rsidR="00EA0569" w:rsidRPr="000D6DEE">
        <w:rPr>
          <w:rFonts w:ascii="Times New Roman" w:eastAsia="Times New Roman" w:hAnsi="Times New Roman" w:cs="Times New Roman"/>
          <w:color w:val="000000"/>
          <w:sz w:val="28"/>
          <w:szCs w:val="28"/>
          <w:lang w:eastAsia="it-IT"/>
        </w:rPr>
        <w:t>, assume anche un’accezione diversa, intrinsecamente sanzionatorio o decadenziale</w:t>
      </w:r>
      <w:r w:rsidR="004C7F00" w:rsidRPr="000D6DEE">
        <w:rPr>
          <w:rFonts w:ascii="Times New Roman" w:eastAsia="Times New Roman" w:hAnsi="Times New Roman" w:cs="Times New Roman"/>
          <w:color w:val="000000"/>
          <w:sz w:val="28"/>
          <w:szCs w:val="28"/>
          <w:lang w:eastAsia="it-IT"/>
        </w:rPr>
        <w:t xml:space="preserve">. </w:t>
      </w:r>
      <w:r w:rsidR="009D68B5" w:rsidRPr="000D6DEE">
        <w:rPr>
          <w:rFonts w:ascii="Times New Roman" w:eastAsia="Times New Roman" w:hAnsi="Times New Roman" w:cs="Times New Roman"/>
          <w:color w:val="000000"/>
          <w:sz w:val="28"/>
          <w:szCs w:val="28"/>
          <w:lang w:eastAsia="it-IT"/>
        </w:rPr>
        <w:t xml:space="preserve">L’effetto di tali revoche è analogo a quello prodotto dalla riedizione del potere, </w:t>
      </w:r>
      <w:r w:rsidR="00EA0569" w:rsidRPr="000D6DEE">
        <w:rPr>
          <w:rFonts w:ascii="Times New Roman" w:eastAsia="Times New Roman" w:hAnsi="Times New Roman" w:cs="Times New Roman"/>
          <w:color w:val="000000"/>
          <w:sz w:val="28"/>
          <w:szCs w:val="28"/>
          <w:lang w:eastAsia="it-IT"/>
        </w:rPr>
        <w:t xml:space="preserve">in quanto pone nel nulla con effetto </w:t>
      </w:r>
      <w:r w:rsidR="00EA0569" w:rsidRPr="000D6DEE">
        <w:rPr>
          <w:rFonts w:ascii="Times New Roman" w:eastAsia="Times New Roman" w:hAnsi="Times New Roman" w:cs="Times New Roman"/>
          <w:i/>
          <w:color w:val="000000"/>
          <w:sz w:val="28"/>
          <w:szCs w:val="28"/>
          <w:lang w:eastAsia="it-IT"/>
        </w:rPr>
        <w:t>ex nunc</w:t>
      </w:r>
      <w:r w:rsidR="00EA0569" w:rsidRPr="000D6DEE">
        <w:rPr>
          <w:rFonts w:ascii="Times New Roman" w:eastAsia="Times New Roman" w:hAnsi="Times New Roman" w:cs="Times New Roman"/>
          <w:color w:val="000000"/>
          <w:sz w:val="28"/>
          <w:szCs w:val="28"/>
          <w:lang w:eastAsia="it-IT"/>
        </w:rPr>
        <w:t xml:space="preserve"> un titolo in precedenza rilasciato, </w:t>
      </w:r>
      <w:r w:rsidR="009D68B5" w:rsidRPr="000D6DEE">
        <w:rPr>
          <w:rFonts w:ascii="Times New Roman" w:eastAsia="Times New Roman" w:hAnsi="Times New Roman" w:cs="Times New Roman"/>
          <w:color w:val="000000"/>
          <w:sz w:val="28"/>
          <w:szCs w:val="28"/>
          <w:lang w:eastAsia="it-IT"/>
        </w:rPr>
        <w:t xml:space="preserve">ma </w:t>
      </w:r>
      <w:r w:rsidR="00D47EFF" w:rsidRPr="000D6DEE">
        <w:rPr>
          <w:rFonts w:ascii="Times New Roman" w:eastAsia="Times New Roman" w:hAnsi="Times New Roman" w:cs="Times New Roman"/>
          <w:color w:val="000000"/>
          <w:sz w:val="28"/>
          <w:szCs w:val="28"/>
          <w:lang w:eastAsia="it-IT"/>
        </w:rPr>
        <w:t>ciò avviene in forza d</w:t>
      </w:r>
      <w:r w:rsidR="009D68B5" w:rsidRPr="000D6DEE">
        <w:rPr>
          <w:rFonts w:ascii="Times New Roman" w:eastAsia="Times New Roman" w:hAnsi="Times New Roman" w:cs="Times New Roman"/>
          <w:color w:val="000000"/>
          <w:sz w:val="28"/>
          <w:szCs w:val="28"/>
          <w:lang w:eastAsia="it-IT"/>
        </w:rPr>
        <w:t xml:space="preserve">ella disciplina propria del rapporto instauratosi tra p.a. e cittadino, ovvero connessa alla materia cui afferisce </w:t>
      </w:r>
      <w:r w:rsidR="00D47EFF" w:rsidRPr="000D6DEE">
        <w:rPr>
          <w:rFonts w:ascii="Times New Roman" w:eastAsia="Times New Roman" w:hAnsi="Times New Roman" w:cs="Times New Roman"/>
          <w:color w:val="000000"/>
          <w:sz w:val="28"/>
          <w:szCs w:val="28"/>
          <w:lang w:eastAsia="it-IT"/>
        </w:rPr>
        <w:t xml:space="preserve">l’attività di riferimento </w:t>
      </w:r>
      <w:r w:rsidR="009D68B5" w:rsidRPr="000D6DEE">
        <w:rPr>
          <w:rFonts w:ascii="Times New Roman" w:eastAsia="Times New Roman" w:hAnsi="Times New Roman" w:cs="Times New Roman"/>
          <w:color w:val="000000"/>
          <w:sz w:val="28"/>
          <w:szCs w:val="28"/>
          <w:lang w:eastAsia="it-IT"/>
        </w:rPr>
        <w:t>(norme di legge o regolamento, convenzioni, capitolati, disciplinari, ecc.). La causa della revoca</w:t>
      </w:r>
      <w:r w:rsidR="00D47EFF" w:rsidRPr="000D6DEE">
        <w:rPr>
          <w:rFonts w:ascii="Times New Roman" w:eastAsia="Times New Roman" w:hAnsi="Times New Roman" w:cs="Times New Roman"/>
          <w:color w:val="000000"/>
          <w:sz w:val="28"/>
          <w:szCs w:val="28"/>
          <w:lang w:eastAsia="it-IT"/>
        </w:rPr>
        <w:t xml:space="preserve">, cioè, </w:t>
      </w:r>
      <w:r w:rsidR="009D68B5" w:rsidRPr="000D6DEE">
        <w:rPr>
          <w:rFonts w:ascii="Times New Roman" w:eastAsia="Times New Roman" w:hAnsi="Times New Roman" w:cs="Times New Roman"/>
          <w:color w:val="000000"/>
          <w:sz w:val="28"/>
          <w:szCs w:val="28"/>
          <w:lang w:eastAsia="it-IT"/>
        </w:rPr>
        <w:t xml:space="preserve">sta </w:t>
      </w:r>
      <w:r w:rsidR="00D47EFF" w:rsidRPr="000D6DEE">
        <w:rPr>
          <w:rFonts w:ascii="Times New Roman" w:eastAsia="Times New Roman" w:hAnsi="Times New Roman" w:cs="Times New Roman"/>
          <w:color w:val="000000"/>
          <w:sz w:val="28"/>
          <w:szCs w:val="28"/>
          <w:lang w:eastAsia="it-IT"/>
        </w:rPr>
        <w:t xml:space="preserve">in tali casi </w:t>
      </w:r>
      <w:r w:rsidR="009D68B5" w:rsidRPr="000D6DEE">
        <w:rPr>
          <w:rFonts w:ascii="Times New Roman" w:eastAsia="Times New Roman" w:hAnsi="Times New Roman" w:cs="Times New Roman"/>
          <w:color w:val="000000"/>
          <w:sz w:val="28"/>
          <w:szCs w:val="28"/>
          <w:lang w:eastAsia="it-IT"/>
        </w:rPr>
        <w:t xml:space="preserve">nell’inosservanza di obblighi di legge, non nel contrasto originario o sopravvenuto con ragioni di pubblico interesse, che costituisce il </w:t>
      </w:r>
      <w:r w:rsidR="009D68B5" w:rsidRPr="000D6DEE">
        <w:rPr>
          <w:rFonts w:ascii="Times New Roman" w:eastAsia="Times New Roman" w:hAnsi="Times New Roman" w:cs="Times New Roman"/>
          <w:i/>
          <w:color w:val="000000"/>
          <w:sz w:val="28"/>
          <w:szCs w:val="28"/>
          <w:lang w:eastAsia="it-IT"/>
        </w:rPr>
        <w:t>proprium</w:t>
      </w:r>
      <w:r w:rsidR="009D68B5" w:rsidRPr="000D6DEE">
        <w:rPr>
          <w:rFonts w:ascii="Times New Roman" w:eastAsia="Times New Roman" w:hAnsi="Times New Roman" w:cs="Times New Roman"/>
          <w:color w:val="000000"/>
          <w:sz w:val="28"/>
          <w:szCs w:val="28"/>
          <w:lang w:eastAsia="it-IT"/>
        </w:rPr>
        <w:t xml:space="preserve"> della revoca di cui alla legge sul procedimento amministrativo. La giurisprudenza ha poi elaborato una sorta di </w:t>
      </w:r>
      <w:proofErr w:type="spellStart"/>
      <w:r w:rsidR="009D68B5" w:rsidRPr="000D6DEE">
        <w:rPr>
          <w:rFonts w:ascii="Times New Roman" w:eastAsia="Times New Roman" w:hAnsi="Times New Roman" w:cs="Times New Roman"/>
          <w:i/>
          <w:color w:val="000000"/>
          <w:sz w:val="28"/>
          <w:szCs w:val="28"/>
          <w:lang w:eastAsia="it-IT"/>
        </w:rPr>
        <w:t>tertium</w:t>
      </w:r>
      <w:proofErr w:type="spellEnd"/>
      <w:r w:rsidR="009D68B5" w:rsidRPr="000D6DEE">
        <w:rPr>
          <w:rFonts w:ascii="Times New Roman" w:eastAsia="Times New Roman" w:hAnsi="Times New Roman" w:cs="Times New Roman"/>
          <w:i/>
          <w:color w:val="000000"/>
          <w:sz w:val="28"/>
          <w:szCs w:val="28"/>
          <w:lang w:eastAsia="it-IT"/>
        </w:rPr>
        <w:t xml:space="preserve"> </w:t>
      </w:r>
      <w:proofErr w:type="spellStart"/>
      <w:r w:rsidR="009D68B5" w:rsidRPr="000D6DEE">
        <w:rPr>
          <w:rFonts w:ascii="Times New Roman" w:eastAsia="Times New Roman" w:hAnsi="Times New Roman" w:cs="Times New Roman"/>
          <w:i/>
          <w:color w:val="000000"/>
          <w:sz w:val="28"/>
          <w:szCs w:val="28"/>
          <w:lang w:eastAsia="it-IT"/>
        </w:rPr>
        <w:t>genus</w:t>
      </w:r>
      <w:proofErr w:type="spellEnd"/>
      <w:r w:rsidR="009D68B5" w:rsidRPr="000D6DEE">
        <w:rPr>
          <w:rFonts w:ascii="Times New Roman" w:eastAsia="Times New Roman" w:hAnsi="Times New Roman" w:cs="Times New Roman"/>
          <w:color w:val="000000"/>
          <w:sz w:val="28"/>
          <w:szCs w:val="28"/>
          <w:lang w:eastAsia="it-IT"/>
        </w:rPr>
        <w:t xml:space="preserve"> di revoca, afferente all’esercizio del</w:t>
      </w:r>
      <w:r w:rsidRPr="000D6DEE">
        <w:rPr>
          <w:rFonts w:ascii="Times New Roman" w:eastAsia="Times New Roman" w:hAnsi="Times New Roman" w:cs="Times New Roman"/>
          <w:color w:val="000000"/>
          <w:sz w:val="28"/>
          <w:szCs w:val="28"/>
          <w:lang w:eastAsia="it-IT"/>
        </w:rPr>
        <w:t xml:space="preserve"> potere di vigilanza conferito strumentalmente all’amministrazione preposta </w:t>
      </w:r>
      <w:r w:rsidR="009D68B5" w:rsidRPr="000D6DEE">
        <w:rPr>
          <w:rFonts w:ascii="Times New Roman" w:eastAsia="Times New Roman" w:hAnsi="Times New Roman" w:cs="Times New Roman"/>
          <w:color w:val="000000"/>
          <w:sz w:val="28"/>
          <w:szCs w:val="28"/>
          <w:lang w:eastAsia="it-IT"/>
        </w:rPr>
        <w:t>all’elargizione di benefici pubblici. I</w:t>
      </w:r>
      <w:r w:rsidRPr="000D6DEE">
        <w:rPr>
          <w:rFonts w:ascii="Times New Roman" w:eastAsia="Times New Roman" w:hAnsi="Times New Roman" w:cs="Times New Roman"/>
          <w:color w:val="000000"/>
          <w:sz w:val="28"/>
          <w:szCs w:val="28"/>
          <w:lang w:eastAsia="it-IT"/>
        </w:rPr>
        <w:t xml:space="preserve">n particolare, i tratti distintivi della </w:t>
      </w:r>
      <w:r w:rsidR="00D47EFF" w:rsidRPr="000D6DEE">
        <w:rPr>
          <w:rFonts w:ascii="Times New Roman" w:eastAsia="Times New Roman" w:hAnsi="Times New Roman" w:cs="Times New Roman"/>
          <w:color w:val="000000"/>
          <w:sz w:val="28"/>
          <w:szCs w:val="28"/>
          <w:lang w:eastAsia="it-IT"/>
        </w:rPr>
        <w:t>revoca/</w:t>
      </w:r>
      <w:r w:rsidRPr="000D6DEE">
        <w:rPr>
          <w:rFonts w:ascii="Times New Roman" w:eastAsia="Times New Roman" w:hAnsi="Times New Roman" w:cs="Times New Roman"/>
          <w:color w:val="000000"/>
          <w:sz w:val="28"/>
          <w:szCs w:val="28"/>
          <w:lang w:eastAsia="it-IT"/>
        </w:rPr>
        <w:t>decadenza dagli incentivi per le energie rinnovabili disposta dalla Società gestrice dei relativi servizi (G.S.E.), sono stati individuati dall’Adunanza plenaria d</w:t>
      </w:r>
      <w:r w:rsidR="009D68B5" w:rsidRPr="000D6DEE">
        <w:rPr>
          <w:rFonts w:ascii="Times New Roman" w:eastAsia="Times New Roman" w:hAnsi="Times New Roman" w:cs="Times New Roman"/>
          <w:color w:val="000000"/>
          <w:sz w:val="28"/>
          <w:szCs w:val="28"/>
          <w:lang w:eastAsia="it-IT"/>
        </w:rPr>
        <w:t>el</w:t>
      </w:r>
      <w:r w:rsidRPr="000D6DEE">
        <w:rPr>
          <w:rFonts w:ascii="Times New Roman" w:eastAsia="Times New Roman" w:hAnsi="Times New Roman" w:cs="Times New Roman"/>
          <w:color w:val="000000"/>
          <w:sz w:val="28"/>
          <w:szCs w:val="28"/>
          <w:lang w:eastAsia="it-IT"/>
        </w:rPr>
        <w:t xml:space="preserve"> Consiglio di Stato, distinguendoli per un verso dall’irrogazione d</w:t>
      </w:r>
      <w:r w:rsidR="00D47EFF" w:rsidRPr="000D6DEE">
        <w:rPr>
          <w:rFonts w:ascii="Times New Roman" w:eastAsia="Times New Roman" w:hAnsi="Times New Roman" w:cs="Times New Roman"/>
          <w:color w:val="000000"/>
          <w:sz w:val="28"/>
          <w:szCs w:val="28"/>
          <w:lang w:eastAsia="it-IT"/>
        </w:rPr>
        <w:t>i una</w:t>
      </w:r>
      <w:r w:rsidRPr="000D6DEE">
        <w:rPr>
          <w:rFonts w:ascii="Times New Roman" w:eastAsia="Times New Roman" w:hAnsi="Times New Roman" w:cs="Times New Roman"/>
          <w:color w:val="000000"/>
          <w:sz w:val="28"/>
          <w:szCs w:val="28"/>
          <w:lang w:eastAsia="it-IT"/>
        </w:rPr>
        <w:t xml:space="preserve"> sanzione e per l’altro dall’annullamento d’ufficio </w:t>
      </w:r>
      <w:r w:rsidRPr="000D6DEE">
        <w:rPr>
          <w:rFonts w:ascii="Times New Roman" w:eastAsia="Times New Roman" w:hAnsi="Times New Roman" w:cs="Times New Roman"/>
          <w:i/>
          <w:iCs/>
          <w:color w:val="000000"/>
          <w:sz w:val="28"/>
          <w:szCs w:val="28"/>
          <w:lang w:eastAsia="it-IT"/>
        </w:rPr>
        <w:t>ex</w:t>
      </w:r>
      <w:r w:rsidRPr="000D6DEE">
        <w:rPr>
          <w:rFonts w:ascii="Times New Roman" w:eastAsia="Times New Roman" w:hAnsi="Times New Roman" w:cs="Times New Roman"/>
          <w:color w:val="000000"/>
          <w:sz w:val="28"/>
          <w:szCs w:val="28"/>
          <w:lang w:eastAsia="it-IT"/>
        </w:rPr>
        <w:t> art. 21-</w:t>
      </w:r>
      <w:r w:rsidRPr="000D6DEE">
        <w:rPr>
          <w:rFonts w:ascii="Times New Roman" w:eastAsia="Times New Roman" w:hAnsi="Times New Roman" w:cs="Times New Roman"/>
          <w:i/>
          <w:iCs/>
          <w:color w:val="000000"/>
          <w:sz w:val="28"/>
          <w:szCs w:val="28"/>
          <w:lang w:eastAsia="it-IT"/>
        </w:rPr>
        <w:t>novies</w:t>
      </w:r>
      <w:r w:rsidRPr="000D6DEE">
        <w:rPr>
          <w:rFonts w:ascii="Times New Roman" w:eastAsia="Times New Roman" w:hAnsi="Times New Roman" w:cs="Times New Roman"/>
          <w:color w:val="000000"/>
          <w:sz w:val="28"/>
          <w:szCs w:val="28"/>
          <w:lang w:eastAsia="it-IT"/>
        </w:rPr>
        <w:t> della l. n. 241 del 1990 (</w:t>
      </w:r>
      <w:r w:rsidRPr="000D6DEE">
        <w:rPr>
          <w:rFonts w:ascii="Times New Roman" w:eastAsia="Times New Roman" w:hAnsi="Times New Roman" w:cs="Times New Roman"/>
          <w:b/>
          <w:color w:val="000000"/>
          <w:sz w:val="28"/>
          <w:szCs w:val="28"/>
          <w:lang w:eastAsia="it-IT"/>
        </w:rPr>
        <w:t>Cons. Stato, A.P., 11 settembre 2020, n. 18</w:t>
      </w:r>
      <w:r w:rsidRPr="000D6DEE">
        <w:rPr>
          <w:rFonts w:ascii="Times New Roman" w:eastAsia="Times New Roman" w:hAnsi="Times New Roman" w:cs="Times New Roman"/>
          <w:color w:val="000000"/>
          <w:sz w:val="28"/>
          <w:szCs w:val="28"/>
          <w:lang w:eastAsia="it-IT"/>
        </w:rPr>
        <w:t>)</w:t>
      </w:r>
      <w:r w:rsidR="00D47EFF" w:rsidRPr="000D6DEE">
        <w:rPr>
          <w:rStyle w:val="Rimandonotaapidipagina"/>
          <w:rFonts w:ascii="Times New Roman" w:eastAsia="Times New Roman" w:hAnsi="Times New Roman" w:cs="Times New Roman"/>
          <w:color w:val="000000"/>
          <w:sz w:val="28"/>
          <w:szCs w:val="28"/>
          <w:lang w:eastAsia="it-IT"/>
        </w:rPr>
        <w:footnoteReference w:id="14"/>
      </w:r>
      <w:r w:rsidRPr="000D6DEE">
        <w:rPr>
          <w:rFonts w:ascii="Times New Roman" w:eastAsia="Times New Roman" w:hAnsi="Times New Roman" w:cs="Times New Roman"/>
          <w:color w:val="000000"/>
          <w:sz w:val="28"/>
          <w:szCs w:val="28"/>
          <w:lang w:eastAsia="it-IT"/>
        </w:rPr>
        <w:t xml:space="preserve">. La revoca, infatti, </w:t>
      </w:r>
      <w:r w:rsidR="009D68B5" w:rsidRPr="000D6DEE">
        <w:rPr>
          <w:rFonts w:ascii="Times New Roman" w:eastAsia="Times New Roman" w:hAnsi="Times New Roman" w:cs="Times New Roman"/>
          <w:color w:val="000000"/>
          <w:sz w:val="28"/>
          <w:szCs w:val="28"/>
          <w:lang w:eastAsia="it-IT"/>
        </w:rPr>
        <w:t xml:space="preserve">nella specie, </w:t>
      </w:r>
      <w:r w:rsidRPr="000D6DEE">
        <w:rPr>
          <w:rFonts w:ascii="Times New Roman" w:eastAsia="Times New Roman" w:hAnsi="Times New Roman" w:cs="Times New Roman"/>
          <w:color w:val="000000"/>
          <w:sz w:val="28"/>
          <w:szCs w:val="28"/>
          <w:lang w:eastAsia="it-IT"/>
        </w:rPr>
        <w:t xml:space="preserve">consegue alla riscontrata necessità da parte della p.a. concedente di procedere al recupero o alla mancata liquidazione in concreto di </w:t>
      </w:r>
      <w:r w:rsidRPr="000D6DEE">
        <w:rPr>
          <w:rFonts w:ascii="Times New Roman" w:eastAsia="Times New Roman" w:hAnsi="Times New Roman" w:cs="Times New Roman"/>
          <w:color w:val="000000"/>
          <w:sz w:val="28"/>
          <w:szCs w:val="28"/>
          <w:lang w:eastAsia="it-IT"/>
        </w:rPr>
        <w:lastRenderedPageBreak/>
        <w:t>erogazioni in generale, in particolare se si tratta di agevolazioni di diritto UE, erroneamente accordate in assenza del presupposto che le legittimava</w:t>
      </w:r>
      <w:r w:rsidR="00F1131F" w:rsidRPr="000D6DEE">
        <w:rPr>
          <w:rFonts w:ascii="Times New Roman" w:eastAsia="Times New Roman" w:hAnsi="Times New Roman" w:cs="Times New Roman"/>
          <w:color w:val="000000"/>
          <w:sz w:val="28"/>
          <w:szCs w:val="28"/>
          <w:lang w:eastAsia="it-IT"/>
        </w:rPr>
        <w:t xml:space="preserve"> </w:t>
      </w:r>
      <w:r w:rsidRPr="000D6DEE">
        <w:rPr>
          <w:rFonts w:ascii="Times New Roman" w:eastAsia="Times New Roman" w:hAnsi="Times New Roman" w:cs="Times New Roman"/>
          <w:i/>
          <w:iCs/>
          <w:color w:val="000000"/>
          <w:sz w:val="28"/>
          <w:szCs w:val="28"/>
          <w:lang w:eastAsia="it-IT"/>
        </w:rPr>
        <w:t>ab origine</w:t>
      </w:r>
      <w:r w:rsidRPr="000D6DEE">
        <w:rPr>
          <w:rFonts w:ascii="Times New Roman" w:eastAsia="Times New Roman" w:hAnsi="Times New Roman" w:cs="Times New Roman"/>
          <w:color w:val="000000"/>
          <w:sz w:val="28"/>
          <w:szCs w:val="28"/>
          <w:lang w:eastAsia="it-IT"/>
        </w:rPr>
        <w:t>.</w:t>
      </w:r>
    </w:p>
    <w:p w:rsidR="00AA6A34" w:rsidRPr="000D6DEE" w:rsidRDefault="009D68B5" w:rsidP="008620A1">
      <w:pPr>
        <w:spacing w:line="360" w:lineRule="auto"/>
        <w:jc w:val="both"/>
        <w:rPr>
          <w:rFonts w:ascii="Times New Roman" w:eastAsia="Times New Roman" w:hAnsi="Times New Roman" w:cs="Times New Roman"/>
          <w:color w:val="000000"/>
          <w:sz w:val="28"/>
          <w:szCs w:val="28"/>
          <w:lang w:eastAsia="it-IT"/>
        </w:rPr>
      </w:pPr>
      <w:r w:rsidRPr="000D6DEE">
        <w:rPr>
          <w:rFonts w:ascii="Times New Roman" w:eastAsia="Times New Roman" w:hAnsi="Times New Roman" w:cs="Times New Roman"/>
          <w:color w:val="000000"/>
          <w:sz w:val="28"/>
          <w:szCs w:val="28"/>
          <w:lang w:eastAsia="it-IT"/>
        </w:rPr>
        <w:t xml:space="preserve">La sistematizzazione riportata non sempre è satisfattiva ai fini dell’inquadramento di tutte le situazioni per le quali il legislatore (o la prassi, come già detto) utilizzano il relativo termine.  La questione, di sicuro interesse accademico, lo è ancor più sul piano pratico, ove si abbia a mente che la configurazione della revoca come “sanzione” implica la necessità di individuare le regole procedimentali necessarie a garantirne l’irrogazione, rispettando le garanzie difensive del destinatario dell’atto. </w:t>
      </w:r>
      <w:r w:rsidR="00D47EFF" w:rsidRPr="000D6DEE">
        <w:rPr>
          <w:rFonts w:ascii="Times New Roman" w:eastAsia="Times New Roman" w:hAnsi="Times New Roman" w:cs="Times New Roman"/>
          <w:color w:val="000000"/>
          <w:sz w:val="28"/>
          <w:szCs w:val="28"/>
          <w:lang w:eastAsia="it-IT"/>
        </w:rPr>
        <w:t xml:space="preserve">Ciò a maggior ragione ove le si riconosca una tale </w:t>
      </w:r>
      <w:proofErr w:type="spellStart"/>
      <w:r w:rsidR="00D47EFF" w:rsidRPr="000D6DEE">
        <w:rPr>
          <w:rFonts w:ascii="Times New Roman" w:eastAsia="Times New Roman" w:hAnsi="Times New Roman" w:cs="Times New Roman"/>
          <w:color w:val="000000"/>
          <w:sz w:val="28"/>
          <w:szCs w:val="28"/>
          <w:lang w:eastAsia="it-IT"/>
        </w:rPr>
        <w:t>afflittività</w:t>
      </w:r>
      <w:proofErr w:type="spellEnd"/>
      <w:r w:rsidR="00D47EFF" w:rsidRPr="000D6DEE">
        <w:rPr>
          <w:rFonts w:ascii="Times New Roman" w:eastAsia="Times New Roman" w:hAnsi="Times New Roman" w:cs="Times New Roman"/>
          <w:color w:val="000000"/>
          <w:sz w:val="28"/>
          <w:szCs w:val="28"/>
          <w:lang w:eastAsia="it-IT"/>
        </w:rPr>
        <w:t xml:space="preserve"> da farla rientrare nella connotazione di “sanzione penale”, </w:t>
      </w:r>
      <w:r w:rsidR="00AA6A34" w:rsidRPr="000D6DEE">
        <w:rPr>
          <w:rFonts w:ascii="Times New Roman" w:eastAsia="Times New Roman" w:hAnsi="Times New Roman" w:cs="Times New Roman"/>
          <w:color w:val="000000"/>
          <w:sz w:val="28"/>
          <w:szCs w:val="28"/>
          <w:lang w:eastAsia="it-IT"/>
        </w:rPr>
        <w:t xml:space="preserve">secondo i particolari e autonomi criteri elaborati dalla Corte di Strasburgo al riguardo, che danno alla dizione un’accezione diversa da quella dell’ordinamento nazionale. Per tale ragione non può peraltro parlarsi di un’indebita ingerenza nella scelta di politica criminale tra qualificazione di un fatto illecito come amministrativo o penale, rimessa al legislatore nazionale (di particolare interesse il dialogo tra le Corti sviluppatosi al riguardo in tema di confisca, quale tipica sanzione amministrativa accessoria al reato di lottizzazione abusiva, su cui v. da ultimo Corte Cost., 26 marzo 2015, n. 49). Ma impone una valutazione estensiva del concetto per non sottrarlo ad alcuni ineludibili requisiti sostanziali, prima ancora che a precise garanzie procedurali. In particolare, i requisiti perché possa parlarsi di sanzione “sostanzialmente penale” si identificano: i) nella qualificazione giuridica dell’illecito nel diritto nazionale, con la puntualizzazione che la stessa non è vincolante quando si accerta la valenza “intrinsecamente penale” della misura; ii) nella natura dell’illecito, desunta dall’ambito di applicazione della norma che lo prevede e dallo scopo perseguito; iii) nel grado di severità della sanzione (sentenze 4 marzo 2014, r. n. 18640/10, resa nella causa Grande Stevens e altri c. Italia; 10 febbraio 2009, ric. n. 1439/03, resa nella causa </w:t>
      </w:r>
      <w:proofErr w:type="spellStart"/>
      <w:r w:rsidR="00AA6A34" w:rsidRPr="000D6DEE">
        <w:rPr>
          <w:rFonts w:ascii="Times New Roman" w:eastAsia="Times New Roman" w:hAnsi="Times New Roman" w:cs="Times New Roman"/>
          <w:color w:val="000000"/>
          <w:sz w:val="28"/>
          <w:szCs w:val="28"/>
          <w:lang w:eastAsia="it-IT"/>
        </w:rPr>
        <w:t>Zolotoukhine</w:t>
      </w:r>
      <w:proofErr w:type="spellEnd"/>
      <w:r w:rsidR="00AA6A34" w:rsidRPr="000D6DEE">
        <w:rPr>
          <w:rFonts w:ascii="Times New Roman" w:eastAsia="Times New Roman" w:hAnsi="Times New Roman" w:cs="Times New Roman"/>
          <w:color w:val="000000"/>
          <w:sz w:val="28"/>
          <w:szCs w:val="28"/>
          <w:lang w:eastAsia="it-IT"/>
        </w:rPr>
        <w:t xml:space="preserve"> c. Russia; si v. anche Corte di giustizia UE, grande sezione, 5 giugno 2012, n. 489, nella causa C-489/10), che è determinato con riguardo alla pena massima prevista dalla legge applicabile e non di quella concretamente applicata. Il fatto dunque che l’ordinamento nazionale non qualifichi </w:t>
      </w:r>
      <w:r w:rsidR="00AA6A34" w:rsidRPr="000D6DEE">
        <w:rPr>
          <w:rFonts w:ascii="Times New Roman" w:eastAsia="Times New Roman" w:hAnsi="Times New Roman" w:cs="Times New Roman"/>
          <w:color w:val="000000"/>
          <w:sz w:val="28"/>
          <w:szCs w:val="28"/>
          <w:lang w:eastAsia="it-IT"/>
        </w:rPr>
        <w:lastRenderedPageBreak/>
        <w:t>una certa sanzione come “penale” non ne implica l’esclusione dal relativo perimetro secondo la diversa accezione data alla stessa ai sensi della Convenzione. La Corte EDU, per evitare la c.d. “truffa delle etichette”, impone di guardare al di là dell’inquadramento formale e ricercare la «</w:t>
      </w:r>
      <w:r w:rsidR="00AA6A34" w:rsidRPr="000D6DEE">
        <w:rPr>
          <w:rFonts w:ascii="Times New Roman" w:eastAsia="Times New Roman" w:hAnsi="Times New Roman" w:cs="Times New Roman"/>
          <w:i/>
          <w:iCs/>
          <w:color w:val="000000"/>
          <w:sz w:val="28"/>
          <w:szCs w:val="28"/>
          <w:lang w:eastAsia="it-IT"/>
        </w:rPr>
        <w:t>realtà della procedura in questione</w:t>
      </w:r>
      <w:r w:rsidR="00AA6A34" w:rsidRPr="000D6DEE">
        <w:rPr>
          <w:rFonts w:ascii="Times New Roman" w:eastAsia="Times New Roman" w:hAnsi="Times New Roman" w:cs="Times New Roman"/>
          <w:color w:val="000000"/>
          <w:sz w:val="28"/>
          <w:szCs w:val="28"/>
          <w:lang w:eastAsia="it-IT"/>
        </w:rPr>
        <w:t xml:space="preserve">» (Corte EDU, 27 febbraio 1980, caso 6903/75, </w:t>
      </w:r>
      <w:proofErr w:type="spellStart"/>
      <w:r w:rsidR="00AA6A34" w:rsidRPr="000D6DEE">
        <w:rPr>
          <w:rFonts w:ascii="Times New Roman" w:eastAsia="Times New Roman" w:hAnsi="Times New Roman" w:cs="Times New Roman"/>
          <w:color w:val="000000"/>
          <w:sz w:val="28"/>
          <w:szCs w:val="28"/>
          <w:lang w:eastAsia="it-IT"/>
        </w:rPr>
        <w:t>Deweer</w:t>
      </w:r>
      <w:proofErr w:type="spellEnd"/>
      <w:r w:rsidR="00AA6A34" w:rsidRPr="000D6DEE">
        <w:rPr>
          <w:rFonts w:ascii="Times New Roman" w:eastAsia="Times New Roman" w:hAnsi="Times New Roman" w:cs="Times New Roman"/>
          <w:color w:val="000000"/>
          <w:sz w:val="28"/>
          <w:szCs w:val="28"/>
          <w:lang w:eastAsia="it-IT"/>
        </w:rPr>
        <w:t xml:space="preserve"> v. </w:t>
      </w:r>
      <w:proofErr w:type="spellStart"/>
      <w:r w:rsidR="00AA6A34" w:rsidRPr="000D6DEE">
        <w:rPr>
          <w:rFonts w:ascii="Times New Roman" w:eastAsia="Times New Roman" w:hAnsi="Times New Roman" w:cs="Times New Roman"/>
          <w:color w:val="000000"/>
          <w:sz w:val="28"/>
          <w:szCs w:val="28"/>
          <w:lang w:eastAsia="it-IT"/>
        </w:rPr>
        <w:t>Belgium</w:t>
      </w:r>
      <w:proofErr w:type="spellEnd"/>
      <w:r w:rsidR="00AA6A34" w:rsidRPr="000D6DEE">
        <w:rPr>
          <w:rFonts w:ascii="Times New Roman" w:eastAsia="Times New Roman" w:hAnsi="Times New Roman" w:cs="Times New Roman"/>
          <w:color w:val="000000"/>
          <w:sz w:val="28"/>
          <w:szCs w:val="28"/>
          <w:lang w:eastAsia="it-IT"/>
        </w:rPr>
        <w:t xml:space="preserve">, par. 44). Assume </w:t>
      </w:r>
      <w:r w:rsidR="00D47EFF" w:rsidRPr="000D6DEE">
        <w:rPr>
          <w:rFonts w:ascii="Times New Roman" w:eastAsia="Times New Roman" w:hAnsi="Times New Roman" w:cs="Times New Roman"/>
          <w:color w:val="000000"/>
          <w:sz w:val="28"/>
          <w:szCs w:val="28"/>
          <w:lang w:eastAsia="it-IT"/>
        </w:rPr>
        <w:t>pertanto</w:t>
      </w:r>
      <w:r w:rsidR="00AA6A34" w:rsidRPr="000D6DEE">
        <w:rPr>
          <w:rFonts w:ascii="Times New Roman" w:eastAsia="Times New Roman" w:hAnsi="Times New Roman" w:cs="Times New Roman"/>
          <w:color w:val="000000"/>
          <w:sz w:val="28"/>
          <w:szCs w:val="28"/>
          <w:lang w:eastAsia="it-IT"/>
        </w:rPr>
        <w:t xml:space="preserve"> rilievo la circostanza che la previsione sanzionatoria si rivolga ad una generalità di soggetti -non sia quindi una sanzione disciplinare- e che abbia un contenuto afflittivo e una funzione deterrente. Peraltro, secondo la costante giurisprudenza di Strasburgo, i due ultimi requisiti sopra richiamati sono tra loro alternativi e non cumulativi. Sicché, da un lato, la gravità (severità) può essere non necessaria, ove una sanzione abbia in sé stessa una inequivoca funzione deterrente e punitiva; dall’altro, entro certi limiti, anche una misura nella quale il carattere afflittivo non sia prevalente (o addirittura manchi), ma che abbia conseguenze gravi per il destinatario, può essere considerata di natura penale e, quindi, rientrare nell’ambito di applicazione dell’art. 6 CEDU: pertanto, anche provvedimenti di carattere interdittivo o ripristinatorio comunemente ritenuti espressione di un generico potere ablatorio possono, a certe condizioni, ricadere nella nozione di «</w:t>
      </w:r>
      <w:r w:rsidR="00AA6A34" w:rsidRPr="000D6DEE">
        <w:rPr>
          <w:rFonts w:ascii="Times New Roman" w:eastAsia="Times New Roman" w:hAnsi="Times New Roman" w:cs="Times New Roman"/>
          <w:i/>
          <w:color w:val="000000"/>
          <w:sz w:val="28"/>
          <w:szCs w:val="28"/>
          <w:lang w:eastAsia="it-IT"/>
        </w:rPr>
        <w:t>accusa penale</w:t>
      </w:r>
      <w:r w:rsidR="00AA6A34" w:rsidRPr="000D6DEE">
        <w:rPr>
          <w:rFonts w:ascii="Times New Roman" w:eastAsia="Times New Roman" w:hAnsi="Times New Roman" w:cs="Times New Roman"/>
          <w:color w:val="000000"/>
          <w:sz w:val="28"/>
          <w:szCs w:val="28"/>
          <w:lang w:eastAsia="it-IT"/>
        </w:rPr>
        <w:t xml:space="preserve">» di cui all’art. 6 della Carta EDU (Corte EDU, 24 aprile 2012, caso n. 1051/06, </w:t>
      </w:r>
      <w:proofErr w:type="spellStart"/>
      <w:r w:rsidR="00AA6A34" w:rsidRPr="000D6DEE">
        <w:rPr>
          <w:rFonts w:ascii="Times New Roman" w:eastAsia="Times New Roman" w:hAnsi="Times New Roman" w:cs="Times New Roman"/>
          <w:color w:val="000000"/>
          <w:sz w:val="28"/>
          <w:szCs w:val="28"/>
          <w:lang w:eastAsia="it-IT"/>
        </w:rPr>
        <w:t>Mihai</w:t>
      </w:r>
      <w:proofErr w:type="spellEnd"/>
      <w:r w:rsidR="00AA6A34" w:rsidRPr="000D6DEE">
        <w:rPr>
          <w:rFonts w:ascii="Times New Roman" w:eastAsia="Times New Roman" w:hAnsi="Times New Roman" w:cs="Times New Roman"/>
          <w:color w:val="000000"/>
          <w:sz w:val="28"/>
          <w:szCs w:val="28"/>
          <w:lang w:eastAsia="it-IT"/>
        </w:rPr>
        <w:t xml:space="preserve"> Toma v. Romania, par. 26; </w:t>
      </w:r>
      <w:r w:rsidR="00AA6A34" w:rsidRPr="000D6DEE">
        <w:rPr>
          <w:rFonts w:ascii="Times New Roman" w:eastAsia="Times New Roman" w:hAnsi="Times New Roman" w:cs="Times New Roman"/>
          <w:i/>
          <w:iCs/>
          <w:color w:val="000000"/>
          <w:sz w:val="28"/>
          <w:szCs w:val="28"/>
          <w:lang w:eastAsia="it-IT"/>
        </w:rPr>
        <w:t>id.</w:t>
      </w:r>
      <w:r w:rsidR="00AA6A34" w:rsidRPr="000D6DEE">
        <w:rPr>
          <w:rFonts w:ascii="Times New Roman" w:eastAsia="Times New Roman" w:hAnsi="Times New Roman" w:cs="Times New Roman"/>
          <w:color w:val="000000"/>
          <w:sz w:val="28"/>
          <w:szCs w:val="28"/>
          <w:lang w:eastAsia="it-IT"/>
        </w:rPr>
        <w:t xml:space="preserve">, 30 maggio 2006, caso n. 38184/03, </w:t>
      </w:r>
      <w:proofErr w:type="spellStart"/>
      <w:r w:rsidR="00AA6A34" w:rsidRPr="000D6DEE">
        <w:rPr>
          <w:rFonts w:ascii="Times New Roman" w:eastAsia="Times New Roman" w:hAnsi="Times New Roman" w:cs="Times New Roman"/>
          <w:color w:val="000000"/>
          <w:sz w:val="28"/>
          <w:szCs w:val="28"/>
          <w:lang w:eastAsia="it-IT"/>
        </w:rPr>
        <w:t>Matyjec</w:t>
      </w:r>
      <w:proofErr w:type="spellEnd"/>
      <w:r w:rsidR="00AA6A34" w:rsidRPr="000D6DEE">
        <w:rPr>
          <w:rFonts w:ascii="Times New Roman" w:eastAsia="Times New Roman" w:hAnsi="Times New Roman" w:cs="Times New Roman"/>
          <w:color w:val="000000"/>
          <w:sz w:val="28"/>
          <w:szCs w:val="28"/>
          <w:lang w:eastAsia="it-IT"/>
        </w:rPr>
        <w:t xml:space="preserve"> v. </w:t>
      </w:r>
      <w:proofErr w:type="spellStart"/>
      <w:r w:rsidR="00AA6A34" w:rsidRPr="000D6DEE">
        <w:rPr>
          <w:rFonts w:ascii="Times New Roman" w:eastAsia="Times New Roman" w:hAnsi="Times New Roman" w:cs="Times New Roman"/>
          <w:color w:val="000000"/>
          <w:sz w:val="28"/>
          <w:szCs w:val="28"/>
          <w:lang w:eastAsia="it-IT"/>
        </w:rPr>
        <w:t>Polland</w:t>
      </w:r>
      <w:proofErr w:type="spellEnd"/>
      <w:r w:rsidR="00AA6A34" w:rsidRPr="000D6DEE">
        <w:rPr>
          <w:rFonts w:ascii="Times New Roman" w:eastAsia="Times New Roman" w:hAnsi="Times New Roman" w:cs="Times New Roman"/>
          <w:color w:val="000000"/>
          <w:sz w:val="28"/>
          <w:szCs w:val="28"/>
          <w:lang w:eastAsia="it-IT"/>
        </w:rPr>
        <w:t>, par. 58). Quanto poi all’art. 7, la Corte EDU è giunta a trarne, con la sentenza sull’</w:t>
      </w:r>
      <w:r w:rsidR="00AA6A34" w:rsidRPr="000D6DEE">
        <w:rPr>
          <w:rFonts w:ascii="Times New Roman" w:eastAsia="Times New Roman" w:hAnsi="Times New Roman" w:cs="Times New Roman"/>
          <w:i/>
          <w:iCs/>
          <w:color w:val="000000"/>
          <w:sz w:val="28"/>
          <w:szCs w:val="28"/>
          <w:lang w:eastAsia="it-IT"/>
        </w:rPr>
        <w:t>affaire</w:t>
      </w:r>
      <w:r w:rsidR="00AA6A34" w:rsidRPr="000D6DEE">
        <w:rPr>
          <w:rFonts w:ascii="Times New Roman" w:eastAsia="Times New Roman" w:hAnsi="Times New Roman" w:cs="Times New Roman"/>
          <w:color w:val="000000"/>
          <w:sz w:val="28"/>
          <w:szCs w:val="28"/>
          <w:lang w:eastAsia="it-IT"/>
        </w:rPr>
        <w:t> di Punta Perotti facendo leva sulla presenza del sintagma «</w:t>
      </w:r>
      <w:r w:rsidR="00AA6A34" w:rsidRPr="000D6DEE">
        <w:rPr>
          <w:rFonts w:ascii="Times New Roman" w:eastAsia="Times New Roman" w:hAnsi="Times New Roman" w:cs="Times New Roman"/>
          <w:i/>
          <w:color w:val="000000"/>
          <w:sz w:val="28"/>
          <w:szCs w:val="28"/>
          <w:lang w:eastAsia="it-IT"/>
        </w:rPr>
        <w:t>persona colpevole</w:t>
      </w:r>
      <w:r w:rsidR="00AA6A34" w:rsidRPr="000D6DEE">
        <w:rPr>
          <w:rFonts w:ascii="Times New Roman" w:eastAsia="Times New Roman" w:hAnsi="Times New Roman" w:cs="Times New Roman"/>
          <w:color w:val="000000"/>
          <w:sz w:val="28"/>
          <w:szCs w:val="28"/>
          <w:lang w:eastAsia="it-IT"/>
        </w:rPr>
        <w:t>» nelle versioni inglese e francese dell’articolo, la necessaria presenza di un criterio d’imputabilità soggettiva dell’illecito soggetto a sanzione penale (Corte EDU, sez. II, 20 gennaio 2009, caso n. 75909/01, Sud Fondi s.r.l. e altri c. Italia, par. 116)</w:t>
      </w:r>
      <w:r w:rsidR="00AA6A34" w:rsidRPr="000D6DEE">
        <w:rPr>
          <w:rStyle w:val="Rimandonotaapidipagina"/>
          <w:rFonts w:ascii="Times New Roman" w:eastAsia="Times New Roman" w:hAnsi="Times New Roman" w:cs="Times New Roman"/>
          <w:color w:val="000000"/>
          <w:sz w:val="28"/>
          <w:szCs w:val="28"/>
          <w:lang w:eastAsia="it-IT"/>
        </w:rPr>
        <w:footnoteReference w:id="15"/>
      </w:r>
      <w:r w:rsidR="00AA6A34" w:rsidRPr="000D6DEE">
        <w:rPr>
          <w:rFonts w:ascii="Times New Roman" w:eastAsia="Times New Roman" w:hAnsi="Times New Roman" w:cs="Times New Roman"/>
          <w:color w:val="000000"/>
          <w:sz w:val="28"/>
          <w:szCs w:val="28"/>
          <w:lang w:eastAsia="it-IT"/>
        </w:rPr>
        <w:t>.</w:t>
      </w:r>
    </w:p>
    <w:p w:rsidR="005268EB" w:rsidRPr="000D6DEE" w:rsidRDefault="005268EB" w:rsidP="008620A1">
      <w:pPr>
        <w:autoSpaceDE w:val="0"/>
        <w:autoSpaceDN w:val="0"/>
        <w:adjustRightInd w:val="0"/>
        <w:spacing w:after="0" w:line="360" w:lineRule="auto"/>
        <w:jc w:val="both"/>
        <w:rPr>
          <w:rFonts w:ascii="Times New Roman" w:eastAsia="Times New Roman" w:hAnsi="Times New Roman" w:cs="Times New Roman"/>
          <w:color w:val="000000"/>
          <w:sz w:val="28"/>
          <w:szCs w:val="28"/>
          <w:lang w:eastAsia="it-IT"/>
        </w:rPr>
      </w:pPr>
      <w:r w:rsidRPr="000D6DEE">
        <w:rPr>
          <w:rFonts w:ascii="Times New Roman" w:eastAsia="Times New Roman" w:hAnsi="Times New Roman" w:cs="Times New Roman"/>
          <w:color w:val="000000"/>
          <w:sz w:val="28"/>
          <w:szCs w:val="28"/>
          <w:lang w:eastAsia="it-IT"/>
        </w:rPr>
        <w:lastRenderedPageBreak/>
        <w:t xml:space="preserve">Circa la natura giuridica del potere </w:t>
      </w:r>
      <w:r w:rsidR="00AE5B6F" w:rsidRPr="000D6DEE">
        <w:rPr>
          <w:rFonts w:ascii="Times New Roman" w:eastAsia="Times New Roman" w:hAnsi="Times New Roman" w:cs="Times New Roman"/>
          <w:color w:val="000000"/>
          <w:sz w:val="28"/>
          <w:szCs w:val="28"/>
          <w:lang w:eastAsia="it-IT"/>
        </w:rPr>
        <w:t xml:space="preserve">di cui all’art. 10 del TULPS </w:t>
      </w:r>
      <w:r w:rsidRPr="000D6DEE">
        <w:rPr>
          <w:rFonts w:ascii="Times New Roman" w:eastAsia="Times New Roman" w:hAnsi="Times New Roman" w:cs="Times New Roman"/>
          <w:color w:val="000000"/>
          <w:sz w:val="28"/>
          <w:szCs w:val="28"/>
          <w:lang w:eastAsia="it-IT"/>
        </w:rPr>
        <w:t>la giurisprudenza ha chiarito che si tratta di «</w:t>
      </w:r>
      <w:r w:rsidRPr="000D6DEE">
        <w:rPr>
          <w:rFonts w:ascii="Times New Roman" w:eastAsia="Times New Roman" w:hAnsi="Times New Roman" w:cs="Times New Roman"/>
          <w:i/>
          <w:color w:val="000000"/>
          <w:sz w:val="28"/>
          <w:szCs w:val="28"/>
          <w:lang w:eastAsia="it-IT"/>
        </w:rPr>
        <w:t>un potere ampiamente discrezionale, che ha natura tipicamente preventiva e cautelare, a garanzia di interessi pubblici primari quali la sicurezza e l’ordine pubblico, di talché la sospensione della licenza deve ritenersi legittimamente adottata a prescindere dalla colpa del titolare dell’esercizio</w:t>
      </w:r>
      <w:r w:rsidRPr="000D6DEE">
        <w:rPr>
          <w:rFonts w:ascii="Times New Roman" w:eastAsia="Times New Roman" w:hAnsi="Times New Roman" w:cs="Times New Roman"/>
          <w:color w:val="000000"/>
          <w:sz w:val="28"/>
          <w:szCs w:val="28"/>
          <w:lang w:eastAsia="it-IT"/>
        </w:rPr>
        <w:t xml:space="preserve"> </w:t>
      </w:r>
      <w:r w:rsidR="00AE5B6F" w:rsidRPr="000D6DEE">
        <w:rPr>
          <w:rFonts w:ascii="Times New Roman" w:eastAsia="Times New Roman" w:hAnsi="Times New Roman" w:cs="Times New Roman"/>
          <w:color w:val="000000"/>
          <w:sz w:val="28"/>
          <w:szCs w:val="28"/>
          <w:lang w:eastAsia="it-IT"/>
        </w:rPr>
        <w:t>»</w:t>
      </w:r>
      <w:r w:rsidR="00AA6A34" w:rsidRPr="000D6DEE">
        <w:rPr>
          <w:rFonts w:ascii="Times New Roman" w:eastAsia="Times New Roman" w:hAnsi="Times New Roman" w:cs="Times New Roman"/>
          <w:color w:val="000000"/>
          <w:sz w:val="28"/>
          <w:szCs w:val="28"/>
          <w:lang w:eastAsia="it-IT"/>
        </w:rPr>
        <w:t xml:space="preserve"> </w:t>
      </w:r>
      <w:r w:rsidRPr="000D6DEE">
        <w:rPr>
          <w:rFonts w:ascii="Times New Roman" w:eastAsia="Times New Roman" w:hAnsi="Times New Roman" w:cs="Times New Roman"/>
          <w:color w:val="000000"/>
          <w:sz w:val="28"/>
          <w:szCs w:val="28"/>
          <w:lang w:eastAsia="it-IT"/>
        </w:rPr>
        <w:t xml:space="preserve">(cfr. </w:t>
      </w:r>
      <w:r w:rsidR="00AE5B6F" w:rsidRPr="000D6DEE">
        <w:rPr>
          <w:rFonts w:ascii="Times New Roman" w:eastAsia="Times New Roman" w:hAnsi="Times New Roman" w:cs="Times New Roman"/>
          <w:b/>
          <w:color w:val="000000"/>
          <w:sz w:val="28"/>
          <w:szCs w:val="28"/>
          <w:lang w:eastAsia="it-IT"/>
        </w:rPr>
        <w:t>T.a.r. per la Sicilia, 5 settembre 2023, n. 2697</w:t>
      </w:r>
      <w:r w:rsidR="00AE5B6F" w:rsidRPr="000D6DEE">
        <w:rPr>
          <w:rStyle w:val="Rimandonotaapidipagina"/>
          <w:rFonts w:ascii="Times New Roman" w:eastAsia="Times New Roman" w:hAnsi="Times New Roman" w:cs="Times New Roman"/>
          <w:b/>
          <w:color w:val="000000"/>
          <w:sz w:val="28"/>
          <w:szCs w:val="28"/>
          <w:lang w:eastAsia="it-IT"/>
        </w:rPr>
        <w:footnoteReference w:id="16"/>
      </w:r>
      <w:r w:rsidR="00AE5B6F" w:rsidRPr="000D6DEE">
        <w:rPr>
          <w:rFonts w:ascii="Times New Roman" w:eastAsia="Times New Roman" w:hAnsi="Times New Roman" w:cs="Times New Roman"/>
          <w:b/>
          <w:color w:val="000000"/>
          <w:sz w:val="28"/>
          <w:szCs w:val="28"/>
          <w:lang w:eastAsia="it-IT"/>
        </w:rPr>
        <w:t xml:space="preserve">; </w:t>
      </w:r>
      <w:r w:rsidRPr="000D6DEE">
        <w:rPr>
          <w:rFonts w:ascii="Times New Roman" w:eastAsia="Times New Roman" w:hAnsi="Times New Roman" w:cs="Times New Roman"/>
          <w:b/>
          <w:color w:val="000000"/>
          <w:sz w:val="28"/>
          <w:szCs w:val="28"/>
          <w:lang w:eastAsia="it-IT"/>
        </w:rPr>
        <w:t>C</w:t>
      </w:r>
      <w:r w:rsidR="00AA6A34" w:rsidRPr="000D6DEE">
        <w:rPr>
          <w:rFonts w:ascii="Times New Roman" w:eastAsia="Times New Roman" w:hAnsi="Times New Roman" w:cs="Times New Roman"/>
          <w:b/>
          <w:color w:val="000000"/>
          <w:sz w:val="28"/>
          <w:szCs w:val="28"/>
          <w:lang w:eastAsia="it-IT"/>
        </w:rPr>
        <w:t>ons. Stato,</w:t>
      </w:r>
      <w:r w:rsidRPr="000D6DEE">
        <w:rPr>
          <w:rFonts w:ascii="Times New Roman" w:eastAsia="Times New Roman" w:hAnsi="Times New Roman" w:cs="Times New Roman"/>
          <w:b/>
          <w:color w:val="000000"/>
          <w:sz w:val="28"/>
          <w:szCs w:val="28"/>
          <w:lang w:eastAsia="it-IT"/>
        </w:rPr>
        <w:t xml:space="preserve"> sez. VI, 6 aprile 2007, n. 1563; </w:t>
      </w:r>
      <w:r w:rsidR="00AE5B6F" w:rsidRPr="000D6DEE">
        <w:rPr>
          <w:rFonts w:ascii="Times New Roman" w:eastAsia="Times New Roman" w:hAnsi="Times New Roman" w:cs="Times New Roman"/>
          <w:b/>
          <w:i/>
          <w:color w:val="000000"/>
          <w:sz w:val="28"/>
          <w:szCs w:val="28"/>
          <w:lang w:eastAsia="it-IT"/>
        </w:rPr>
        <w:t>id</w:t>
      </w:r>
      <w:r w:rsidR="00AE5B6F" w:rsidRPr="000D6DEE">
        <w:rPr>
          <w:rFonts w:ascii="Times New Roman" w:eastAsia="Times New Roman" w:hAnsi="Times New Roman" w:cs="Times New Roman"/>
          <w:b/>
          <w:color w:val="000000"/>
          <w:sz w:val="28"/>
          <w:szCs w:val="28"/>
          <w:lang w:eastAsia="it-IT"/>
        </w:rPr>
        <w:t xml:space="preserve">., </w:t>
      </w:r>
      <w:r w:rsidRPr="000D6DEE">
        <w:rPr>
          <w:rFonts w:ascii="Times New Roman" w:eastAsia="Times New Roman" w:hAnsi="Times New Roman" w:cs="Times New Roman"/>
          <w:b/>
          <w:color w:val="000000"/>
          <w:sz w:val="28"/>
          <w:szCs w:val="28"/>
          <w:lang w:eastAsia="it-IT"/>
        </w:rPr>
        <w:t>21 maggio 2007, n. 2534</w:t>
      </w:r>
      <w:r w:rsidR="00AE5B6F" w:rsidRPr="000D6DEE">
        <w:rPr>
          <w:rFonts w:ascii="Times New Roman" w:eastAsia="Times New Roman" w:hAnsi="Times New Roman" w:cs="Times New Roman"/>
          <w:color w:val="000000"/>
          <w:sz w:val="28"/>
          <w:szCs w:val="28"/>
          <w:lang w:eastAsia="it-IT"/>
        </w:rPr>
        <w:t>).</w:t>
      </w:r>
      <w:r w:rsidRPr="000D6DEE">
        <w:rPr>
          <w:rFonts w:ascii="Times New Roman" w:eastAsia="Times New Roman" w:hAnsi="Times New Roman" w:cs="Times New Roman"/>
          <w:color w:val="000000"/>
          <w:sz w:val="28"/>
          <w:szCs w:val="28"/>
          <w:lang w:eastAsia="it-IT"/>
        </w:rPr>
        <w:t xml:space="preserve"> </w:t>
      </w:r>
      <w:r w:rsidR="00186A3B" w:rsidRPr="000D6DEE">
        <w:rPr>
          <w:rFonts w:ascii="Times New Roman" w:hAnsi="Times New Roman" w:cs="Times New Roman"/>
          <w:sz w:val="28"/>
          <w:szCs w:val="28"/>
        </w:rPr>
        <w:t>La relativa dizione, come chiarito da tempo dalla giurisprudenza amministrativa, «</w:t>
      </w:r>
      <w:r w:rsidR="00186A3B" w:rsidRPr="000D6DEE">
        <w:rPr>
          <w:rFonts w:ascii="Times New Roman" w:hAnsi="Times New Roman" w:cs="Times New Roman"/>
          <w:i/>
          <w:iCs/>
          <w:sz w:val="28"/>
          <w:szCs w:val="28"/>
        </w:rPr>
        <w:t>comprende ogni violazione di legge, di regolamenti o di ordini dell’Autorità,</w:t>
      </w:r>
      <w:r w:rsidR="008620A1" w:rsidRPr="000D6DEE">
        <w:rPr>
          <w:rFonts w:ascii="Times New Roman" w:hAnsi="Times New Roman" w:cs="Times New Roman"/>
          <w:i/>
          <w:iCs/>
          <w:sz w:val="28"/>
          <w:szCs w:val="28"/>
        </w:rPr>
        <w:t xml:space="preserve"> </w:t>
      </w:r>
      <w:r w:rsidR="00186A3B" w:rsidRPr="000D6DEE">
        <w:rPr>
          <w:rFonts w:ascii="Times New Roman" w:hAnsi="Times New Roman" w:cs="Times New Roman"/>
          <w:i/>
          <w:iCs/>
          <w:sz w:val="28"/>
          <w:szCs w:val="28"/>
        </w:rPr>
        <w:t>indipendentemente dalla qualificazione come reato del</w:t>
      </w:r>
      <w:r w:rsidR="008620A1" w:rsidRPr="000D6DEE">
        <w:rPr>
          <w:rFonts w:ascii="Times New Roman" w:hAnsi="Times New Roman" w:cs="Times New Roman"/>
          <w:i/>
          <w:iCs/>
          <w:sz w:val="28"/>
          <w:szCs w:val="28"/>
        </w:rPr>
        <w:t xml:space="preserve"> </w:t>
      </w:r>
      <w:r w:rsidR="00186A3B" w:rsidRPr="000D6DEE">
        <w:rPr>
          <w:rFonts w:ascii="Times New Roman" w:hAnsi="Times New Roman" w:cs="Times New Roman"/>
          <w:i/>
          <w:iCs/>
          <w:sz w:val="28"/>
          <w:szCs w:val="28"/>
        </w:rPr>
        <w:t>comportamento sanzionato»</w:t>
      </w:r>
      <w:r w:rsidR="00186A3B" w:rsidRPr="000D6DEE">
        <w:rPr>
          <w:rFonts w:ascii="Times New Roman" w:hAnsi="Times New Roman" w:cs="Times New Roman"/>
          <w:sz w:val="28"/>
          <w:szCs w:val="28"/>
        </w:rPr>
        <w:t xml:space="preserve"> ( </w:t>
      </w:r>
      <w:r w:rsidR="00186A3B" w:rsidRPr="000D6DEE">
        <w:rPr>
          <w:rFonts w:ascii="Times New Roman" w:hAnsi="Times New Roman" w:cs="Times New Roman"/>
          <w:b/>
          <w:sz w:val="28"/>
          <w:szCs w:val="28"/>
        </w:rPr>
        <w:t>Cons. Stato, Sez. IV, 27 settembre 1997, n. 772,</w:t>
      </w:r>
      <w:r w:rsidR="00186A3B" w:rsidRPr="000D6DEE">
        <w:rPr>
          <w:rFonts w:ascii="Times New Roman" w:hAnsi="Times New Roman" w:cs="Times New Roman"/>
          <w:sz w:val="28"/>
          <w:szCs w:val="28"/>
        </w:rPr>
        <w:t xml:space="preserve"> richiamata in </w:t>
      </w:r>
      <w:r w:rsidR="00186A3B" w:rsidRPr="000D6DEE">
        <w:rPr>
          <w:rFonts w:ascii="Times New Roman" w:hAnsi="Times New Roman" w:cs="Times New Roman"/>
          <w:b/>
          <w:sz w:val="28"/>
          <w:szCs w:val="28"/>
        </w:rPr>
        <w:t>Cons. Stato, sez. III, 6 settembre 2018, n. 5263</w:t>
      </w:r>
      <w:r w:rsidR="00186A3B" w:rsidRPr="000D6DEE">
        <w:rPr>
          <w:rFonts w:ascii="Times New Roman" w:hAnsi="Times New Roman" w:cs="Times New Roman"/>
          <w:sz w:val="28"/>
          <w:szCs w:val="28"/>
        </w:rPr>
        <w:t>).</w:t>
      </w:r>
      <w:r w:rsidR="008620A1" w:rsidRPr="000D6DEE">
        <w:rPr>
          <w:rFonts w:ascii="Times New Roman" w:hAnsi="Times New Roman" w:cs="Times New Roman"/>
          <w:sz w:val="28"/>
          <w:szCs w:val="28"/>
        </w:rPr>
        <w:t xml:space="preserve"> Più in generale, si è affermato che «</w:t>
      </w:r>
      <w:r w:rsidR="008620A1" w:rsidRPr="000D6DEE">
        <w:rPr>
          <w:rFonts w:ascii="Times New Roman" w:hAnsi="Times New Roman" w:cs="Times New Roman"/>
          <w:i/>
          <w:iCs/>
          <w:sz w:val="28"/>
          <w:szCs w:val="28"/>
        </w:rPr>
        <w:t xml:space="preserve">È legittima la sospensione della licenza, ai sensi dell’art. 10 </w:t>
      </w:r>
      <w:proofErr w:type="spellStart"/>
      <w:r w:rsidR="008620A1" w:rsidRPr="000D6DEE">
        <w:rPr>
          <w:rFonts w:ascii="Times New Roman" w:hAnsi="Times New Roman" w:cs="Times New Roman"/>
          <w:i/>
          <w:iCs/>
          <w:sz w:val="28"/>
          <w:szCs w:val="28"/>
        </w:rPr>
        <w:t>t.u.l</w:t>
      </w:r>
      <w:proofErr w:type="spellEnd"/>
      <w:r w:rsidR="008620A1" w:rsidRPr="000D6DEE">
        <w:rPr>
          <w:rFonts w:ascii="Times New Roman" w:hAnsi="Times New Roman" w:cs="Times New Roman"/>
          <w:i/>
          <w:iCs/>
          <w:sz w:val="28"/>
          <w:szCs w:val="28"/>
        </w:rPr>
        <w:t xml:space="preserve">. </w:t>
      </w:r>
      <w:proofErr w:type="spellStart"/>
      <w:r w:rsidR="008620A1" w:rsidRPr="000D6DEE">
        <w:rPr>
          <w:rFonts w:ascii="Times New Roman" w:hAnsi="Times New Roman" w:cs="Times New Roman"/>
          <w:i/>
          <w:iCs/>
          <w:sz w:val="28"/>
          <w:szCs w:val="28"/>
        </w:rPr>
        <w:t>p.s.</w:t>
      </w:r>
      <w:proofErr w:type="spellEnd"/>
      <w:r w:rsidR="008620A1" w:rsidRPr="000D6DEE">
        <w:rPr>
          <w:rFonts w:ascii="Times New Roman" w:hAnsi="Times New Roman" w:cs="Times New Roman"/>
          <w:i/>
          <w:iCs/>
          <w:sz w:val="28"/>
          <w:szCs w:val="28"/>
        </w:rPr>
        <w:t xml:space="preserve"> (r.d. n. 773 del 1931), non solo nel caso di abuso del titolo ma anche per la mera violazione delle modalità di svolgimento del servizio. Infatti l’autorizzazione di polizia va utilizzata conformemente alle prescrizioni contenute nelle leggi e nelle altre varie fonti sub-primarie e la loro violazione costituisce un uso anomalo e quindi un abuso del titolo, da sanzionare alla stregua dell’art. 10 richiamato»</w:t>
      </w:r>
      <w:r w:rsidR="008620A1" w:rsidRPr="000D6DEE">
        <w:rPr>
          <w:rFonts w:ascii="Times New Roman" w:hAnsi="Times New Roman" w:cs="Times New Roman"/>
          <w:sz w:val="28"/>
          <w:szCs w:val="28"/>
        </w:rPr>
        <w:t xml:space="preserve"> (</w:t>
      </w:r>
      <w:r w:rsidR="008620A1" w:rsidRPr="000D6DEE">
        <w:rPr>
          <w:rFonts w:ascii="Times New Roman" w:hAnsi="Times New Roman" w:cs="Times New Roman"/>
          <w:b/>
          <w:sz w:val="28"/>
          <w:szCs w:val="28"/>
        </w:rPr>
        <w:t>Cons. Stato, sez. VI, 29 settembre 2010, n. 7185</w:t>
      </w:r>
      <w:r w:rsidR="008620A1" w:rsidRPr="000D6DEE">
        <w:rPr>
          <w:rFonts w:ascii="Times New Roman" w:hAnsi="Times New Roman" w:cs="Times New Roman"/>
          <w:sz w:val="28"/>
          <w:szCs w:val="28"/>
        </w:rPr>
        <w:t xml:space="preserve">). In linea di massima, tuttavia, si tende ad incidere sul titolo specificamente “abusato”, a seguito della perdita del rapporto fiduciario che aveva giustificato la sua adozione. Il che tipicamente accade con il venir meno delle condizioni che ne avevano consentito il rilascio. </w:t>
      </w:r>
      <w:r w:rsidRPr="000D6DEE">
        <w:rPr>
          <w:rFonts w:ascii="Times New Roman" w:eastAsia="Times New Roman" w:hAnsi="Times New Roman" w:cs="Times New Roman"/>
          <w:color w:val="000000"/>
          <w:sz w:val="28"/>
          <w:szCs w:val="28"/>
          <w:lang w:eastAsia="it-IT"/>
        </w:rPr>
        <w:t xml:space="preserve">La discrezionalità di cui gode l’Autorità di pubblica sicurezza consente di valutare la complessiva personalità del richiedente, apprezzando se lo stesso possieda la specifica attitudine e dia sicura affidabilità nell’attività autorizzata in relazione ai riflessi che tale attività viene ad avere ai fini di una efficace protezione dei due beni giuridici di primario interesse pubblico, </w:t>
      </w:r>
      <w:r w:rsidRPr="000D6DEE">
        <w:rPr>
          <w:rFonts w:ascii="Times New Roman" w:eastAsia="Times New Roman" w:hAnsi="Times New Roman" w:cs="Times New Roman"/>
          <w:color w:val="000000"/>
          <w:sz w:val="28"/>
          <w:szCs w:val="28"/>
          <w:lang w:eastAsia="it-IT"/>
        </w:rPr>
        <w:lastRenderedPageBreak/>
        <w:t xml:space="preserve">quali l’ordine e la sicurezza pubblica (così </w:t>
      </w:r>
      <w:r w:rsidRPr="000D6DEE">
        <w:rPr>
          <w:rFonts w:ascii="Times New Roman" w:eastAsia="Times New Roman" w:hAnsi="Times New Roman" w:cs="Times New Roman"/>
          <w:b/>
          <w:color w:val="000000"/>
          <w:sz w:val="28"/>
          <w:szCs w:val="28"/>
          <w:lang w:eastAsia="it-IT"/>
        </w:rPr>
        <w:t>C</w:t>
      </w:r>
      <w:r w:rsidR="00A834CF" w:rsidRPr="000D6DEE">
        <w:rPr>
          <w:rFonts w:ascii="Times New Roman" w:eastAsia="Times New Roman" w:hAnsi="Times New Roman" w:cs="Times New Roman"/>
          <w:b/>
          <w:color w:val="000000"/>
          <w:sz w:val="28"/>
          <w:szCs w:val="28"/>
          <w:lang w:eastAsia="it-IT"/>
        </w:rPr>
        <w:t xml:space="preserve">ons. Stato, </w:t>
      </w:r>
      <w:r w:rsidRPr="000D6DEE">
        <w:rPr>
          <w:rFonts w:ascii="Times New Roman" w:eastAsia="Times New Roman" w:hAnsi="Times New Roman" w:cs="Times New Roman"/>
          <w:b/>
          <w:color w:val="000000"/>
          <w:sz w:val="28"/>
          <w:szCs w:val="28"/>
          <w:lang w:eastAsia="it-IT"/>
        </w:rPr>
        <w:t xml:space="preserve"> sez. III, 27</w:t>
      </w:r>
      <w:r w:rsidR="00A834CF" w:rsidRPr="000D6DEE">
        <w:rPr>
          <w:rFonts w:ascii="Times New Roman" w:eastAsia="Times New Roman" w:hAnsi="Times New Roman" w:cs="Times New Roman"/>
          <w:b/>
          <w:color w:val="000000"/>
          <w:sz w:val="28"/>
          <w:szCs w:val="28"/>
          <w:lang w:eastAsia="it-IT"/>
        </w:rPr>
        <w:t xml:space="preserve"> luglio </w:t>
      </w:r>
      <w:r w:rsidRPr="000D6DEE">
        <w:rPr>
          <w:rFonts w:ascii="Times New Roman" w:eastAsia="Times New Roman" w:hAnsi="Times New Roman" w:cs="Times New Roman"/>
          <w:b/>
          <w:color w:val="000000"/>
          <w:sz w:val="28"/>
          <w:szCs w:val="28"/>
          <w:lang w:eastAsia="it-IT"/>
        </w:rPr>
        <w:t>2012, n. 4278</w:t>
      </w:r>
      <w:r w:rsidR="00A834CF" w:rsidRPr="000D6DEE">
        <w:rPr>
          <w:rFonts w:ascii="Times New Roman" w:eastAsia="Times New Roman" w:hAnsi="Times New Roman" w:cs="Times New Roman"/>
          <w:color w:val="000000"/>
          <w:sz w:val="28"/>
          <w:szCs w:val="28"/>
          <w:lang w:eastAsia="it-IT"/>
        </w:rPr>
        <w:t>;</w:t>
      </w:r>
      <w:r w:rsidR="00AE5B6F" w:rsidRPr="000D6DEE">
        <w:rPr>
          <w:rFonts w:ascii="Times New Roman" w:eastAsia="Times New Roman" w:hAnsi="Times New Roman" w:cs="Times New Roman"/>
          <w:color w:val="000000"/>
          <w:sz w:val="28"/>
          <w:szCs w:val="28"/>
          <w:lang w:eastAsia="it-IT"/>
        </w:rPr>
        <w:t xml:space="preserve"> </w:t>
      </w:r>
      <w:r w:rsidRPr="000D6DEE">
        <w:rPr>
          <w:rFonts w:ascii="Times New Roman" w:eastAsia="Times New Roman" w:hAnsi="Times New Roman" w:cs="Times New Roman"/>
          <w:b/>
          <w:color w:val="000000"/>
          <w:sz w:val="28"/>
          <w:szCs w:val="28"/>
          <w:lang w:eastAsia="it-IT"/>
        </w:rPr>
        <w:t xml:space="preserve">C.G.A.R.S. sez. </w:t>
      </w:r>
      <w:r w:rsidR="00AE5B6F" w:rsidRPr="000D6DEE">
        <w:rPr>
          <w:rFonts w:ascii="Times New Roman" w:eastAsia="Times New Roman" w:hAnsi="Times New Roman" w:cs="Times New Roman"/>
          <w:b/>
          <w:color w:val="000000"/>
          <w:sz w:val="28"/>
          <w:szCs w:val="28"/>
          <w:lang w:eastAsia="it-IT"/>
        </w:rPr>
        <w:t>I</w:t>
      </w:r>
      <w:r w:rsidRPr="000D6DEE">
        <w:rPr>
          <w:rFonts w:ascii="Times New Roman" w:eastAsia="Times New Roman" w:hAnsi="Times New Roman" w:cs="Times New Roman"/>
          <w:b/>
          <w:color w:val="000000"/>
          <w:sz w:val="28"/>
          <w:szCs w:val="28"/>
          <w:lang w:eastAsia="it-IT"/>
        </w:rPr>
        <w:t>, 21 febbraio 2019, n. 167</w:t>
      </w:r>
      <w:r w:rsidRPr="000D6DEE">
        <w:rPr>
          <w:rFonts w:ascii="Times New Roman" w:eastAsia="Times New Roman" w:hAnsi="Times New Roman" w:cs="Times New Roman"/>
          <w:color w:val="000000"/>
          <w:sz w:val="28"/>
          <w:szCs w:val="28"/>
          <w:lang w:eastAsia="it-IT"/>
        </w:rPr>
        <w:t>).</w:t>
      </w:r>
      <w:r w:rsidR="00B2483E" w:rsidRPr="000D6DEE">
        <w:rPr>
          <w:rFonts w:ascii="Times New Roman" w:eastAsia="Times New Roman" w:hAnsi="Times New Roman" w:cs="Times New Roman"/>
          <w:color w:val="000000"/>
          <w:sz w:val="28"/>
          <w:szCs w:val="28"/>
          <w:lang w:eastAsia="it-IT"/>
        </w:rPr>
        <w:t xml:space="preserve"> </w:t>
      </w:r>
      <w:r w:rsidRPr="000D6DEE">
        <w:rPr>
          <w:rFonts w:ascii="Times New Roman" w:eastAsia="Times New Roman" w:hAnsi="Times New Roman" w:cs="Times New Roman"/>
          <w:color w:val="000000"/>
          <w:sz w:val="28"/>
          <w:szCs w:val="28"/>
          <w:lang w:eastAsia="it-IT"/>
        </w:rPr>
        <w:t xml:space="preserve">Non può pertanto attribuirsi carattere inficiante dell’apparato motivazionale e dell’attività istruttoria ivi riflessa alla circostanza che le vicende penali </w:t>
      </w:r>
      <w:r w:rsidR="00AE5B6F" w:rsidRPr="000D6DEE">
        <w:rPr>
          <w:rFonts w:ascii="Times New Roman" w:eastAsia="Times New Roman" w:hAnsi="Times New Roman" w:cs="Times New Roman"/>
          <w:color w:val="000000"/>
          <w:sz w:val="28"/>
          <w:szCs w:val="28"/>
          <w:lang w:eastAsia="it-IT"/>
        </w:rPr>
        <w:t xml:space="preserve">alla base della scelta </w:t>
      </w:r>
      <w:r w:rsidRPr="000D6DEE">
        <w:rPr>
          <w:rFonts w:ascii="Times New Roman" w:eastAsia="Times New Roman" w:hAnsi="Times New Roman" w:cs="Times New Roman"/>
          <w:color w:val="000000"/>
          <w:sz w:val="28"/>
          <w:szCs w:val="28"/>
          <w:lang w:eastAsia="it-IT"/>
        </w:rPr>
        <w:t>non siano sfociate in pronunce sul «</w:t>
      </w:r>
      <w:r w:rsidRPr="000D6DEE">
        <w:rPr>
          <w:rFonts w:ascii="Times New Roman" w:eastAsia="Times New Roman" w:hAnsi="Times New Roman" w:cs="Times New Roman"/>
          <w:i/>
          <w:color w:val="000000"/>
          <w:sz w:val="28"/>
          <w:szCs w:val="28"/>
          <w:lang w:eastAsia="it-IT"/>
        </w:rPr>
        <w:t>merito</w:t>
      </w:r>
      <w:r w:rsidRPr="000D6DEE">
        <w:rPr>
          <w:rFonts w:ascii="Times New Roman" w:eastAsia="Times New Roman" w:hAnsi="Times New Roman" w:cs="Times New Roman"/>
          <w:color w:val="000000"/>
          <w:sz w:val="28"/>
          <w:szCs w:val="28"/>
          <w:lang w:eastAsia="it-IT"/>
        </w:rPr>
        <w:t xml:space="preserve">» della contestata reità. In particolare, </w:t>
      </w:r>
      <w:r w:rsidR="00A834CF" w:rsidRPr="000D6DEE">
        <w:rPr>
          <w:rFonts w:ascii="Times New Roman" w:eastAsia="Times New Roman" w:hAnsi="Times New Roman" w:cs="Times New Roman"/>
          <w:color w:val="000000"/>
          <w:sz w:val="28"/>
          <w:szCs w:val="28"/>
          <w:lang w:eastAsia="it-IT"/>
        </w:rPr>
        <w:t xml:space="preserve">come già ampiamente chiarito, </w:t>
      </w:r>
      <w:r w:rsidRPr="000D6DEE">
        <w:rPr>
          <w:rFonts w:ascii="Times New Roman" w:eastAsia="Times New Roman" w:hAnsi="Times New Roman" w:cs="Times New Roman"/>
          <w:color w:val="000000"/>
          <w:sz w:val="28"/>
          <w:szCs w:val="28"/>
          <w:lang w:eastAsia="it-IT"/>
        </w:rPr>
        <w:t>la giurisprudenza ha precisato che la revoca non presuppone necessariamente «</w:t>
      </w:r>
      <w:r w:rsidRPr="000D6DEE">
        <w:rPr>
          <w:rFonts w:ascii="Times New Roman" w:eastAsia="Times New Roman" w:hAnsi="Times New Roman" w:cs="Times New Roman"/>
          <w:i/>
          <w:color w:val="000000"/>
          <w:sz w:val="28"/>
          <w:szCs w:val="28"/>
          <w:lang w:eastAsia="it-IT"/>
        </w:rPr>
        <w:t>l'inconfutabile accertamento della commissione di reati</w:t>
      </w:r>
      <w:r w:rsidRPr="000D6DEE">
        <w:rPr>
          <w:rFonts w:ascii="Times New Roman" w:eastAsia="Times New Roman" w:hAnsi="Times New Roman" w:cs="Times New Roman"/>
          <w:color w:val="000000"/>
          <w:sz w:val="28"/>
          <w:szCs w:val="28"/>
          <w:lang w:eastAsia="it-IT"/>
        </w:rPr>
        <w:t>», potendo tali presupposti «</w:t>
      </w:r>
      <w:r w:rsidRPr="000D6DEE">
        <w:rPr>
          <w:rFonts w:ascii="Times New Roman" w:eastAsia="Times New Roman" w:hAnsi="Times New Roman" w:cs="Times New Roman"/>
          <w:i/>
          <w:color w:val="000000"/>
          <w:sz w:val="28"/>
          <w:szCs w:val="28"/>
          <w:lang w:eastAsia="it-IT"/>
        </w:rPr>
        <w:t>emergere anche laddove si riscontri che la licenza viene gestita nell'interesse di altri, specie se legati al mondo della criminalità organizzata, e se il locale pubblico diviene punto di riferimento di soggetti malavitosi. Tali condotte rappresentano espressione dell’</w:t>
      </w:r>
      <w:r w:rsidR="00AE5B6F" w:rsidRPr="000D6DEE">
        <w:rPr>
          <w:rFonts w:ascii="Times New Roman" w:eastAsia="Times New Roman" w:hAnsi="Times New Roman" w:cs="Times New Roman"/>
          <w:i/>
          <w:color w:val="000000"/>
          <w:sz w:val="28"/>
          <w:szCs w:val="28"/>
          <w:lang w:eastAsia="it-IT"/>
        </w:rPr>
        <w:t>”</w:t>
      </w:r>
      <w:r w:rsidRPr="000D6DEE">
        <w:rPr>
          <w:rFonts w:ascii="Times New Roman" w:eastAsia="Times New Roman" w:hAnsi="Times New Roman" w:cs="Times New Roman"/>
          <w:i/>
          <w:color w:val="000000"/>
          <w:sz w:val="28"/>
          <w:szCs w:val="28"/>
          <w:lang w:eastAsia="it-IT"/>
        </w:rPr>
        <w:t>abuso del titolo di polizia</w:t>
      </w:r>
      <w:r w:rsidR="00AE5B6F" w:rsidRPr="000D6DEE">
        <w:rPr>
          <w:rFonts w:ascii="Times New Roman" w:eastAsia="Times New Roman" w:hAnsi="Times New Roman" w:cs="Times New Roman"/>
          <w:i/>
          <w:color w:val="000000"/>
          <w:sz w:val="28"/>
          <w:szCs w:val="28"/>
          <w:lang w:eastAsia="it-IT"/>
        </w:rPr>
        <w:t>”</w:t>
      </w:r>
      <w:r w:rsidRPr="000D6DEE">
        <w:rPr>
          <w:rFonts w:ascii="Times New Roman" w:eastAsia="Times New Roman" w:hAnsi="Times New Roman" w:cs="Times New Roman"/>
          <w:i/>
          <w:color w:val="000000"/>
          <w:sz w:val="28"/>
          <w:szCs w:val="28"/>
          <w:lang w:eastAsia="it-IT"/>
        </w:rPr>
        <w:t xml:space="preserve"> previsto dall’art. 10 del TULPS come presupposto per la revoca</w:t>
      </w:r>
      <w:r w:rsidRPr="000D6DEE">
        <w:rPr>
          <w:rFonts w:ascii="Times New Roman" w:eastAsia="Times New Roman" w:hAnsi="Times New Roman" w:cs="Times New Roman"/>
          <w:color w:val="000000"/>
          <w:sz w:val="28"/>
          <w:szCs w:val="28"/>
          <w:lang w:eastAsia="it-IT"/>
        </w:rPr>
        <w:t>» (</w:t>
      </w:r>
      <w:r w:rsidRPr="000D6DEE">
        <w:rPr>
          <w:rFonts w:ascii="Times New Roman" w:eastAsia="Times New Roman" w:hAnsi="Times New Roman" w:cs="Times New Roman"/>
          <w:b/>
          <w:color w:val="000000"/>
          <w:sz w:val="28"/>
          <w:szCs w:val="28"/>
          <w:lang w:eastAsia="it-IT"/>
        </w:rPr>
        <w:t>T.A.R. Catania, Sez. IV, 30 luglio 2020, n. 1964</w:t>
      </w:r>
      <w:r w:rsidRPr="000D6DEE">
        <w:rPr>
          <w:rFonts w:ascii="Times New Roman" w:eastAsia="Times New Roman" w:hAnsi="Times New Roman" w:cs="Times New Roman"/>
          <w:color w:val="000000"/>
          <w:sz w:val="28"/>
          <w:szCs w:val="28"/>
          <w:lang w:eastAsia="it-IT"/>
        </w:rPr>
        <w:t>).</w:t>
      </w:r>
    </w:p>
    <w:p w:rsidR="0038256E" w:rsidRPr="000D6DEE" w:rsidRDefault="00A834CF" w:rsidP="00804A98">
      <w:pPr>
        <w:spacing w:line="360" w:lineRule="auto"/>
        <w:jc w:val="both"/>
        <w:rPr>
          <w:rFonts w:ascii="Times New Roman" w:eastAsia="Times New Roman" w:hAnsi="Times New Roman" w:cs="Times New Roman"/>
          <w:color w:val="000000"/>
          <w:sz w:val="28"/>
          <w:szCs w:val="28"/>
          <w:lang w:eastAsia="it-IT"/>
        </w:rPr>
      </w:pPr>
      <w:r w:rsidRPr="000D6DEE">
        <w:rPr>
          <w:rFonts w:ascii="Times New Roman" w:eastAsia="Times New Roman" w:hAnsi="Times New Roman" w:cs="Times New Roman"/>
          <w:color w:val="000000"/>
          <w:sz w:val="28"/>
          <w:szCs w:val="28"/>
          <w:lang w:eastAsia="it-IT"/>
        </w:rPr>
        <w:t xml:space="preserve">Se dunque, si è esclusa la portata sanzionatoria dell’art. 10 del </w:t>
      </w:r>
      <w:proofErr w:type="spellStart"/>
      <w:r w:rsidRPr="000D6DEE">
        <w:rPr>
          <w:rFonts w:ascii="Times New Roman" w:eastAsia="Times New Roman" w:hAnsi="Times New Roman" w:cs="Times New Roman"/>
          <w:color w:val="000000"/>
          <w:sz w:val="28"/>
          <w:szCs w:val="28"/>
          <w:lang w:eastAsia="it-IT"/>
        </w:rPr>
        <w:t>T.u.l.p.s</w:t>
      </w:r>
      <w:proofErr w:type="spellEnd"/>
      <w:r w:rsidRPr="000D6DEE">
        <w:rPr>
          <w:rFonts w:ascii="Times New Roman" w:eastAsia="Times New Roman" w:hAnsi="Times New Roman" w:cs="Times New Roman"/>
          <w:color w:val="000000"/>
          <w:sz w:val="28"/>
          <w:szCs w:val="28"/>
          <w:lang w:eastAsia="it-IT"/>
        </w:rPr>
        <w:t xml:space="preserve">., che, come detto, consente anche una certa gradazione della scelta, potendo essere irrogata la sospensione, anziché la revoca - sicché si ritiene che l’opzione per la misura più grave deve essere a sua volta motivata </w:t>
      </w:r>
      <w:r w:rsidR="0035055B" w:rsidRPr="000D6DEE">
        <w:rPr>
          <w:rFonts w:ascii="Times New Roman" w:eastAsia="Times New Roman" w:hAnsi="Times New Roman" w:cs="Times New Roman"/>
          <w:color w:val="000000"/>
          <w:sz w:val="28"/>
          <w:szCs w:val="28"/>
          <w:lang w:eastAsia="it-IT"/>
        </w:rPr>
        <w:t>-</w:t>
      </w:r>
      <w:r w:rsidRPr="000D6DEE">
        <w:rPr>
          <w:rFonts w:ascii="Times New Roman" w:eastAsia="Times New Roman" w:hAnsi="Times New Roman" w:cs="Times New Roman"/>
          <w:color w:val="000000"/>
          <w:sz w:val="28"/>
          <w:szCs w:val="28"/>
          <w:lang w:eastAsia="it-IT"/>
        </w:rPr>
        <w:t xml:space="preserve"> ciò non può che valere a maggior ragione per l’ipotesi, in larga parte analoga, di cui all’art. 11.</w:t>
      </w:r>
    </w:p>
    <w:p w:rsidR="007C3693" w:rsidRPr="000D6DEE" w:rsidRDefault="007C3693" w:rsidP="00804A98">
      <w:pPr>
        <w:spacing w:line="360" w:lineRule="auto"/>
        <w:jc w:val="both"/>
        <w:rPr>
          <w:rFonts w:ascii="Times New Roman" w:eastAsia="Times New Roman" w:hAnsi="Times New Roman" w:cs="Times New Roman"/>
          <w:color w:val="000000"/>
          <w:sz w:val="28"/>
          <w:szCs w:val="28"/>
          <w:lang w:eastAsia="it-IT"/>
        </w:rPr>
      </w:pPr>
      <w:r w:rsidRPr="000D6DEE">
        <w:rPr>
          <w:rFonts w:ascii="Times New Roman" w:eastAsia="Times New Roman" w:hAnsi="Times New Roman" w:cs="Times New Roman"/>
          <w:color w:val="000000"/>
          <w:sz w:val="28"/>
          <w:szCs w:val="28"/>
          <w:lang w:eastAsia="it-IT"/>
        </w:rPr>
        <w:t>Ovviamente, come sarà meglio precisato più avanti, la ritenuta natura non sanzionatoria della misura adottata la assoggetta alla giurisdizione del giudice amministrativo, anziché del giudice ordinario.</w:t>
      </w:r>
    </w:p>
    <w:p w:rsidR="00893053" w:rsidRPr="000D6DEE" w:rsidRDefault="005F4E02" w:rsidP="00C53D07">
      <w:pPr>
        <w:jc w:val="both"/>
        <w:rPr>
          <w:rFonts w:ascii="Times New Roman" w:hAnsi="Times New Roman" w:cs="Times New Roman"/>
          <w:b/>
          <w:sz w:val="28"/>
          <w:szCs w:val="28"/>
        </w:rPr>
      </w:pPr>
      <w:r w:rsidRPr="000D6DEE">
        <w:rPr>
          <w:rFonts w:ascii="Times New Roman" w:hAnsi="Times New Roman" w:cs="Times New Roman"/>
          <w:b/>
          <w:sz w:val="28"/>
          <w:szCs w:val="28"/>
        </w:rPr>
        <w:t>4</w:t>
      </w:r>
      <w:r w:rsidR="00AE1B69" w:rsidRPr="000D6DEE">
        <w:rPr>
          <w:rFonts w:ascii="Times New Roman" w:hAnsi="Times New Roman" w:cs="Times New Roman"/>
          <w:b/>
          <w:sz w:val="28"/>
          <w:szCs w:val="28"/>
        </w:rPr>
        <w:t xml:space="preserve">. </w:t>
      </w:r>
      <w:r w:rsidR="00893053" w:rsidRPr="000D6DEE">
        <w:rPr>
          <w:rFonts w:ascii="Times New Roman" w:hAnsi="Times New Roman" w:cs="Times New Roman"/>
          <w:b/>
          <w:sz w:val="28"/>
          <w:szCs w:val="28"/>
        </w:rPr>
        <w:t>Spettacoli e trattenimenti pubblici</w:t>
      </w:r>
      <w:r w:rsidR="0055037B" w:rsidRPr="000D6DEE">
        <w:rPr>
          <w:rFonts w:ascii="Times New Roman" w:hAnsi="Times New Roman" w:cs="Times New Roman"/>
          <w:b/>
          <w:sz w:val="28"/>
          <w:szCs w:val="28"/>
        </w:rPr>
        <w:t>: inquadramento generale</w:t>
      </w:r>
    </w:p>
    <w:p w:rsidR="0055037B" w:rsidRPr="000D6DEE" w:rsidRDefault="00B2483E" w:rsidP="007C3693">
      <w:pPr>
        <w:spacing w:line="360" w:lineRule="auto"/>
        <w:jc w:val="both"/>
        <w:rPr>
          <w:rFonts w:ascii="Times New Roman" w:hAnsi="Times New Roman" w:cs="Times New Roman"/>
          <w:b/>
          <w:bCs/>
          <w:i/>
          <w:iCs/>
          <w:color w:val="19191A"/>
          <w:sz w:val="28"/>
          <w:szCs w:val="28"/>
          <w:shd w:val="clear" w:color="auto" w:fill="FFFFFF"/>
        </w:rPr>
      </w:pPr>
      <w:r w:rsidRPr="000D6DEE">
        <w:rPr>
          <w:rFonts w:ascii="Times New Roman" w:hAnsi="Times New Roman" w:cs="Times New Roman"/>
          <w:sz w:val="28"/>
          <w:szCs w:val="28"/>
        </w:rPr>
        <w:t xml:space="preserve">Il Capo I del Titolo III del </w:t>
      </w:r>
      <w:proofErr w:type="spellStart"/>
      <w:r w:rsidRPr="000D6DEE">
        <w:rPr>
          <w:rFonts w:ascii="Times New Roman" w:hAnsi="Times New Roman" w:cs="Times New Roman"/>
          <w:sz w:val="28"/>
          <w:szCs w:val="28"/>
        </w:rPr>
        <w:t>T</w:t>
      </w:r>
      <w:r w:rsidR="0038256E" w:rsidRPr="000D6DEE">
        <w:rPr>
          <w:rFonts w:ascii="Times New Roman" w:hAnsi="Times New Roman" w:cs="Times New Roman"/>
          <w:sz w:val="28"/>
          <w:szCs w:val="28"/>
        </w:rPr>
        <w:t>.u.l.p.s</w:t>
      </w:r>
      <w:proofErr w:type="spellEnd"/>
      <w:r w:rsidR="0038256E" w:rsidRPr="000D6DEE">
        <w:rPr>
          <w:rFonts w:ascii="Times New Roman" w:hAnsi="Times New Roman" w:cs="Times New Roman"/>
          <w:sz w:val="28"/>
          <w:szCs w:val="28"/>
        </w:rPr>
        <w:t xml:space="preserve">. </w:t>
      </w:r>
      <w:r w:rsidRPr="000D6DEE">
        <w:rPr>
          <w:rFonts w:ascii="Times New Roman" w:hAnsi="Times New Roman" w:cs="Times New Roman"/>
          <w:sz w:val="28"/>
          <w:szCs w:val="28"/>
        </w:rPr>
        <w:t>(artt. 68-85-</w:t>
      </w:r>
      <w:r w:rsidRPr="000D6DEE">
        <w:rPr>
          <w:rFonts w:ascii="Times New Roman" w:hAnsi="Times New Roman" w:cs="Times New Roman"/>
          <w:i/>
          <w:sz w:val="28"/>
          <w:szCs w:val="28"/>
        </w:rPr>
        <w:t>bis</w:t>
      </w:r>
      <w:r w:rsidRPr="000D6DEE">
        <w:rPr>
          <w:rFonts w:ascii="Times New Roman" w:hAnsi="Times New Roman" w:cs="Times New Roman"/>
          <w:sz w:val="28"/>
          <w:szCs w:val="28"/>
        </w:rPr>
        <w:t xml:space="preserve">) contiene la disciplina degli spettacoli e trattenimenti pubblici. Gli artt. 68 e 69 elencano una serie di attività riconducibili alla relativa dizione soggette, rispettivamente, a </w:t>
      </w:r>
      <w:r w:rsidR="0038256E" w:rsidRPr="000D6DEE">
        <w:rPr>
          <w:rFonts w:ascii="Times New Roman" w:hAnsi="Times New Roman" w:cs="Times New Roman"/>
          <w:sz w:val="28"/>
          <w:szCs w:val="28"/>
        </w:rPr>
        <w:t>«</w:t>
      </w:r>
      <w:r w:rsidRPr="000D6DEE">
        <w:rPr>
          <w:rFonts w:ascii="Times New Roman" w:hAnsi="Times New Roman" w:cs="Times New Roman"/>
          <w:i/>
          <w:sz w:val="28"/>
          <w:szCs w:val="28"/>
        </w:rPr>
        <w:t>licenza del Questore</w:t>
      </w:r>
      <w:r w:rsidR="0038256E" w:rsidRPr="000D6DEE">
        <w:rPr>
          <w:rFonts w:ascii="Times New Roman" w:hAnsi="Times New Roman" w:cs="Times New Roman"/>
          <w:sz w:val="28"/>
          <w:szCs w:val="28"/>
        </w:rPr>
        <w:t>»</w:t>
      </w:r>
      <w:r w:rsidRPr="000D6DEE">
        <w:rPr>
          <w:rFonts w:ascii="Times New Roman" w:hAnsi="Times New Roman" w:cs="Times New Roman"/>
          <w:sz w:val="28"/>
          <w:szCs w:val="28"/>
        </w:rPr>
        <w:t xml:space="preserve"> (art. 68) ovvero dell’</w:t>
      </w:r>
      <w:r w:rsidR="0038256E" w:rsidRPr="000D6DEE">
        <w:rPr>
          <w:rFonts w:ascii="Times New Roman" w:hAnsi="Times New Roman" w:cs="Times New Roman"/>
          <w:sz w:val="28"/>
          <w:szCs w:val="28"/>
        </w:rPr>
        <w:t>«</w:t>
      </w:r>
      <w:r w:rsidRPr="000D6DEE">
        <w:rPr>
          <w:rFonts w:ascii="Times New Roman" w:hAnsi="Times New Roman" w:cs="Times New Roman"/>
          <w:i/>
          <w:sz w:val="28"/>
          <w:szCs w:val="28"/>
        </w:rPr>
        <w:t>autorità locale di pubblica sicurezza</w:t>
      </w:r>
      <w:r w:rsidR="0038256E" w:rsidRPr="000D6DEE">
        <w:rPr>
          <w:rFonts w:ascii="Times New Roman" w:hAnsi="Times New Roman" w:cs="Times New Roman"/>
          <w:sz w:val="28"/>
          <w:szCs w:val="28"/>
        </w:rPr>
        <w:t>»</w:t>
      </w:r>
      <w:r w:rsidRPr="000D6DEE">
        <w:rPr>
          <w:rFonts w:ascii="Times New Roman" w:hAnsi="Times New Roman" w:cs="Times New Roman"/>
          <w:sz w:val="28"/>
          <w:szCs w:val="28"/>
        </w:rPr>
        <w:t>. Sotto il profilo linguistico-etimologico è “spettacolo”</w:t>
      </w:r>
      <w:r w:rsidR="001732CC" w:rsidRPr="000D6DEE">
        <w:rPr>
          <w:rFonts w:ascii="Times New Roman" w:hAnsi="Times New Roman" w:cs="Times New Roman"/>
          <w:sz w:val="28"/>
          <w:szCs w:val="28"/>
        </w:rPr>
        <w:t xml:space="preserve"> la </w:t>
      </w:r>
      <w:r w:rsidRPr="000D6DEE">
        <w:rPr>
          <w:rFonts w:ascii="Times New Roman" w:hAnsi="Times New Roman" w:cs="Times New Roman"/>
          <w:sz w:val="28"/>
          <w:szCs w:val="28"/>
        </w:rPr>
        <w:t>manifestazione diretta al soddisfacimento di un’esigenza dello spirito alla quale si assiste per così dire</w:t>
      </w:r>
      <w:r w:rsidR="001732CC" w:rsidRPr="000D6DEE">
        <w:rPr>
          <w:rFonts w:ascii="Times New Roman" w:hAnsi="Times New Roman" w:cs="Times New Roman"/>
          <w:sz w:val="28"/>
          <w:szCs w:val="28"/>
        </w:rPr>
        <w:t xml:space="preserve"> </w:t>
      </w:r>
      <w:r w:rsidRPr="000D6DEE">
        <w:rPr>
          <w:rFonts w:ascii="Times New Roman" w:hAnsi="Times New Roman" w:cs="Times New Roman"/>
          <w:sz w:val="28"/>
          <w:szCs w:val="28"/>
        </w:rPr>
        <w:t xml:space="preserve">passivamente, mentre </w:t>
      </w:r>
      <w:r w:rsidR="001732CC" w:rsidRPr="000D6DEE">
        <w:rPr>
          <w:rFonts w:ascii="Times New Roman" w:hAnsi="Times New Roman" w:cs="Times New Roman"/>
          <w:sz w:val="28"/>
          <w:szCs w:val="28"/>
        </w:rPr>
        <w:t>è “trattenimento” l’</w:t>
      </w:r>
      <w:r w:rsidRPr="000D6DEE">
        <w:rPr>
          <w:rFonts w:ascii="Times New Roman" w:hAnsi="Times New Roman" w:cs="Times New Roman"/>
          <w:sz w:val="28"/>
          <w:szCs w:val="28"/>
        </w:rPr>
        <w:t>attività di svago e di divertimento</w:t>
      </w:r>
      <w:r w:rsidR="001732CC" w:rsidRPr="000D6DEE">
        <w:rPr>
          <w:rFonts w:ascii="Times New Roman" w:hAnsi="Times New Roman" w:cs="Times New Roman"/>
          <w:sz w:val="28"/>
          <w:szCs w:val="28"/>
        </w:rPr>
        <w:t xml:space="preserve"> nella quale si è direttamente coinvolti</w:t>
      </w:r>
      <w:r w:rsidRPr="000D6DEE">
        <w:rPr>
          <w:rFonts w:ascii="Times New Roman" w:hAnsi="Times New Roman" w:cs="Times New Roman"/>
          <w:sz w:val="28"/>
          <w:szCs w:val="28"/>
        </w:rPr>
        <w:t xml:space="preserve">. </w:t>
      </w:r>
      <w:r w:rsidR="0038256E" w:rsidRPr="000D6DEE">
        <w:rPr>
          <w:rFonts w:ascii="Times New Roman" w:hAnsi="Times New Roman" w:cs="Times New Roman"/>
          <w:sz w:val="28"/>
          <w:szCs w:val="28"/>
        </w:rPr>
        <w:t xml:space="preserve">Sotto il profilo giuridico, non pare individuabile una ragione ontologica di </w:t>
      </w:r>
      <w:r w:rsidR="0038256E" w:rsidRPr="000D6DEE">
        <w:rPr>
          <w:rFonts w:ascii="Times New Roman" w:hAnsi="Times New Roman" w:cs="Times New Roman"/>
          <w:sz w:val="28"/>
          <w:szCs w:val="28"/>
        </w:rPr>
        <w:lastRenderedPageBreak/>
        <w:t xml:space="preserve">distinzione, o per meglio dire non pare individuabile una ragione per la quale mentre </w:t>
      </w:r>
      <w:r w:rsidRPr="000D6DEE">
        <w:rPr>
          <w:rFonts w:ascii="Times New Roman" w:hAnsi="Times New Roman" w:cs="Times New Roman"/>
          <w:sz w:val="28"/>
          <w:szCs w:val="28"/>
        </w:rPr>
        <w:t>la parola “trattenimenti”</w:t>
      </w:r>
      <w:r w:rsidR="0038256E" w:rsidRPr="000D6DEE">
        <w:rPr>
          <w:rFonts w:ascii="Times New Roman" w:hAnsi="Times New Roman" w:cs="Times New Roman"/>
          <w:sz w:val="28"/>
          <w:szCs w:val="28"/>
        </w:rPr>
        <w:t xml:space="preserve"> figura in entrambe le norme</w:t>
      </w:r>
      <w:r w:rsidRPr="000D6DEE">
        <w:rPr>
          <w:rFonts w:ascii="Times New Roman" w:hAnsi="Times New Roman" w:cs="Times New Roman"/>
          <w:sz w:val="28"/>
          <w:szCs w:val="28"/>
        </w:rPr>
        <w:t xml:space="preserve">, quella “spettacoli” si ritrova solo nell’art. 68, </w:t>
      </w:r>
      <w:r w:rsidR="0038256E" w:rsidRPr="000D6DEE">
        <w:rPr>
          <w:rFonts w:ascii="Times New Roman" w:hAnsi="Times New Roman" w:cs="Times New Roman"/>
          <w:sz w:val="28"/>
          <w:szCs w:val="28"/>
        </w:rPr>
        <w:t xml:space="preserve">sicché a stretto rigore per tale tipologia di attività occorrerebbe sempre attingere a ridetta norma. </w:t>
      </w:r>
      <w:r w:rsidR="00A834CF" w:rsidRPr="000D6DEE">
        <w:rPr>
          <w:rFonts w:ascii="Times New Roman" w:hAnsi="Times New Roman" w:cs="Times New Roman"/>
          <w:sz w:val="28"/>
          <w:szCs w:val="28"/>
        </w:rPr>
        <w:t xml:space="preserve">Entrando nel merito delle singole attività, poi, si ha ad esempio che </w:t>
      </w:r>
      <w:r w:rsidR="0038256E" w:rsidRPr="000D6DEE">
        <w:rPr>
          <w:rFonts w:ascii="Times New Roman" w:hAnsi="Times New Roman" w:cs="Times New Roman"/>
          <w:sz w:val="28"/>
          <w:szCs w:val="28"/>
        </w:rPr>
        <w:t>l</w:t>
      </w:r>
      <w:r w:rsidR="001732CC" w:rsidRPr="000D6DEE">
        <w:rPr>
          <w:rFonts w:ascii="Times New Roman" w:hAnsi="Times New Roman" w:cs="Times New Roman"/>
          <w:sz w:val="28"/>
          <w:szCs w:val="28"/>
        </w:rPr>
        <w:t xml:space="preserve">’esposizione alla vista di rarità, persone o animali, </w:t>
      </w:r>
      <w:r w:rsidR="00577218" w:rsidRPr="000D6DEE">
        <w:rPr>
          <w:rFonts w:ascii="Times New Roman" w:hAnsi="Times New Roman" w:cs="Times New Roman"/>
          <w:sz w:val="28"/>
          <w:szCs w:val="28"/>
        </w:rPr>
        <w:t>cui fa riferimento espresso l’</w:t>
      </w:r>
      <w:r w:rsidR="001732CC" w:rsidRPr="000D6DEE">
        <w:rPr>
          <w:rFonts w:ascii="Times New Roman" w:hAnsi="Times New Roman" w:cs="Times New Roman"/>
          <w:sz w:val="28"/>
          <w:szCs w:val="28"/>
        </w:rPr>
        <w:t xml:space="preserve">art. 69 </w:t>
      </w:r>
      <w:r w:rsidR="00D252E5" w:rsidRPr="000D6DEE">
        <w:rPr>
          <w:rFonts w:ascii="Times New Roman" w:hAnsi="Times New Roman" w:cs="Times New Roman"/>
          <w:sz w:val="28"/>
          <w:szCs w:val="28"/>
        </w:rPr>
        <w:t xml:space="preserve">del </w:t>
      </w:r>
      <w:proofErr w:type="spellStart"/>
      <w:r w:rsidR="00D252E5" w:rsidRPr="000D6DEE">
        <w:rPr>
          <w:rFonts w:ascii="Times New Roman" w:hAnsi="Times New Roman" w:cs="Times New Roman"/>
          <w:sz w:val="28"/>
          <w:szCs w:val="28"/>
        </w:rPr>
        <w:t>T</w:t>
      </w:r>
      <w:r w:rsidR="001732CC" w:rsidRPr="000D6DEE">
        <w:rPr>
          <w:rFonts w:ascii="Times New Roman" w:hAnsi="Times New Roman" w:cs="Times New Roman"/>
          <w:sz w:val="28"/>
          <w:szCs w:val="28"/>
        </w:rPr>
        <w:t>.u.l.p.s</w:t>
      </w:r>
      <w:proofErr w:type="spellEnd"/>
      <w:r w:rsidR="001732CC" w:rsidRPr="000D6DEE">
        <w:rPr>
          <w:rFonts w:ascii="Times New Roman" w:hAnsi="Times New Roman" w:cs="Times New Roman"/>
          <w:sz w:val="28"/>
          <w:szCs w:val="28"/>
        </w:rPr>
        <w:t>.</w:t>
      </w:r>
      <w:r w:rsidR="00577218" w:rsidRPr="000D6DEE">
        <w:rPr>
          <w:rFonts w:ascii="Times New Roman" w:hAnsi="Times New Roman" w:cs="Times New Roman"/>
          <w:sz w:val="28"/>
          <w:szCs w:val="28"/>
        </w:rPr>
        <w:t xml:space="preserve">, con </w:t>
      </w:r>
      <w:r w:rsidR="00A834CF" w:rsidRPr="000D6DEE">
        <w:rPr>
          <w:rFonts w:ascii="Times New Roman" w:hAnsi="Times New Roman" w:cs="Times New Roman"/>
          <w:sz w:val="28"/>
          <w:szCs w:val="28"/>
        </w:rPr>
        <w:t xml:space="preserve">casistica </w:t>
      </w:r>
      <w:r w:rsidR="00577218" w:rsidRPr="000D6DEE">
        <w:rPr>
          <w:rFonts w:ascii="Times New Roman" w:hAnsi="Times New Roman" w:cs="Times New Roman"/>
          <w:sz w:val="28"/>
          <w:szCs w:val="28"/>
        </w:rPr>
        <w:t xml:space="preserve">di certo ormai anacronistica, costituisce </w:t>
      </w:r>
      <w:r w:rsidR="001732CC" w:rsidRPr="000D6DEE">
        <w:rPr>
          <w:rFonts w:ascii="Times New Roman" w:hAnsi="Times New Roman" w:cs="Times New Roman"/>
          <w:sz w:val="28"/>
          <w:szCs w:val="28"/>
        </w:rPr>
        <w:t>uno spettacolo, piuttosto che un trattenimento</w:t>
      </w:r>
      <w:r w:rsidR="00577218" w:rsidRPr="000D6DEE">
        <w:rPr>
          <w:rFonts w:ascii="Times New Roman" w:hAnsi="Times New Roman" w:cs="Times New Roman"/>
          <w:sz w:val="28"/>
          <w:szCs w:val="28"/>
        </w:rPr>
        <w:t xml:space="preserve">. Chi scrive ha avuto modo di evidenziare anche in passato come la distinzione tragga piuttosto origine dal diverso assetto </w:t>
      </w:r>
      <w:r w:rsidR="001732CC" w:rsidRPr="000D6DEE">
        <w:rPr>
          <w:rFonts w:ascii="Times New Roman" w:hAnsi="Times New Roman" w:cs="Times New Roman"/>
          <w:sz w:val="28"/>
          <w:szCs w:val="28"/>
        </w:rPr>
        <w:t xml:space="preserve">delle competenze </w:t>
      </w:r>
      <w:r w:rsidR="00577218" w:rsidRPr="000D6DEE">
        <w:rPr>
          <w:rFonts w:ascii="Times New Roman" w:hAnsi="Times New Roman" w:cs="Times New Roman"/>
          <w:sz w:val="28"/>
          <w:szCs w:val="28"/>
        </w:rPr>
        <w:t xml:space="preserve">nella configurazione del </w:t>
      </w:r>
      <w:proofErr w:type="spellStart"/>
      <w:r w:rsidR="00577218" w:rsidRPr="000D6DEE">
        <w:rPr>
          <w:rFonts w:ascii="Times New Roman" w:hAnsi="Times New Roman" w:cs="Times New Roman"/>
          <w:sz w:val="28"/>
          <w:szCs w:val="28"/>
        </w:rPr>
        <w:t>T.u.l.p.s</w:t>
      </w:r>
      <w:proofErr w:type="spellEnd"/>
      <w:r w:rsidR="00577218" w:rsidRPr="000D6DEE">
        <w:rPr>
          <w:rFonts w:ascii="Times New Roman" w:hAnsi="Times New Roman" w:cs="Times New Roman"/>
          <w:sz w:val="28"/>
          <w:szCs w:val="28"/>
        </w:rPr>
        <w:t>.</w:t>
      </w:r>
      <w:r w:rsidR="00D252E5" w:rsidRPr="000D6DEE">
        <w:rPr>
          <w:rFonts w:ascii="Times New Roman" w:hAnsi="Times New Roman" w:cs="Times New Roman"/>
          <w:sz w:val="28"/>
          <w:szCs w:val="28"/>
        </w:rPr>
        <w:t xml:space="preserve"> del 1931</w:t>
      </w:r>
      <w:r w:rsidR="00577218" w:rsidRPr="000D6DEE">
        <w:rPr>
          <w:rFonts w:ascii="Times New Roman" w:hAnsi="Times New Roman" w:cs="Times New Roman"/>
          <w:sz w:val="28"/>
          <w:szCs w:val="28"/>
        </w:rPr>
        <w:t>, che v</w:t>
      </w:r>
      <w:r w:rsidR="001732CC" w:rsidRPr="000D6DEE">
        <w:rPr>
          <w:rFonts w:ascii="Times New Roman" w:hAnsi="Times New Roman" w:cs="Times New Roman"/>
          <w:sz w:val="28"/>
          <w:szCs w:val="28"/>
        </w:rPr>
        <w:t xml:space="preserve">oleva interessato il Questore nei casi di cui all’art. 68, l’autorità locale di </w:t>
      </w:r>
      <w:proofErr w:type="spellStart"/>
      <w:r w:rsidR="001732CC" w:rsidRPr="000D6DEE">
        <w:rPr>
          <w:rFonts w:ascii="Times New Roman" w:hAnsi="Times New Roman" w:cs="Times New Roman"/>
          <w:sz w:val="28"/>
          <w:szCs w:val="28"/>
        </w:rPr>
        <w:t>p.s.</w:t>
      </w:r>
      <w:proofErr w:type="spellEnd"/>
      <w:r w:rsidR="001732CC" w:rsidRPr="000D6DEE">
        <w:rPr>
          <w:rFonts w:ascii="Times New Roman" w:hAnsi="Times New Roman" w:cs="Times New Roman"/>
          <w:sz w:val="28"/>
          <w:szCs w:val="28"/>
        </w:rPr>
        <w:t xml:space="preserve"> – quindi, in alcuni casi, anche semplicemente il Sindaco – in quelli di cui all’art. 69</w:t>
      </w:r>
      <w:r w:rsidR="00577218" w:rsidRPr="000D6DEE">
        <w:rPr>
          <w:rFonts w:ascii="Times New Roman" w:hAnsi="Times New Roman" w:cs="Times New Roman"/>
          <w:sz w:val="28"/>
          <w:szCs w:val="28"/>
        </w:rPr>
        <w:t>, evidentemente ritenuti di minore consistenza e, conseguentemente, anche di minor rilievo sul piano della sicurezza pubblica</w:t>
      </w:r>
      <w:r w:rsidR="0055037B" w:rsidRPr="000D6DEE">
        <w:rPr>
          <w:rStyle w:val="Rimandonotaapidipagina"/>
          <w:rFonts w:ascii="Times New Roman" w:hAnsi="Times New Roman" w:cs="Times New Roman"/>
          <w:sz w:val="28"/>
          <w:szCs w:val="28"/>
        </w:rPr>
        <w:footnoteReference w:id="17"/>
      </w:r>
      <w:r w:rsidR="001732CC" w:rsidRPr="000D6DEE">
        <w:rPr>
          <w:rFonts w:ascii="Times New Roman" w:hAnsi="Times New Roman" w:cs="Times New Roman"/>
          <w:sz w:val="28"/>
          <w:szCs w:val="28"/>
        </w:rPr>
        <w:t>.</w:t>
      </w:r>
      <w:r w:rsidR="0055037B" w:rsidRPr="000D6DEE">
        <w:rPr>
          <w:rFonts w:ascii="Times New Roman" w:hAnsi="Times New Roman" w:cs="Times New Roman"/>
          <w:sz w:val="28"/>
          <w:szCs w:val="28"/>
        </w:rPr>
        <w:t xml:space="preserve"> </w:t>
      </w:r>
      <w:r w:rsidR="00D252E5" w:rsidRPr="000D6DEE">
        <w:rPr>
          <w:rFonts w:ascii="Times New Roman" w:hAnsi="Times New Roman" w:cs="Times New Roman"/>
          <w:sz w:val="28"/>
          <w:szCs w:val="28"/>
        </w:rPr>
        <w:t xml:space="preserve">Con l’art. 1, comma 1, nn. 5 e 6, del d.P.R. 24 luglio 1977, n. 616, la </w:t>
      </w:r>
      <w:r w:rsidR="00D252E5" w:rsidRPr="000D6DEE">
        <w:rPr>
          <w:rFonts w:ascii="Times New Roman" w:hAnsi="Times New Roman" w:cs="Times New Roman"/>
          <w:color w:val="19191A"/>
          <w:sz w:val="28"/>
          <w:szCs w:val="28"/>
          <w:shd w:val="clear" w:color="auto" w:fill="FFFFFF"/>
        </w:rPr>
        <w:t xml:space="preserve">concessione di entrambe le licenze è stata trasferita ai Comuni, sicché la distinzione non ha più alcuna vera ragione di essere. </w:t>
      </w:r>
      <w:r w:rsidR="00A84E3C" w:rsidRPr="000D6DEE">
        <w:rPr>
          <w:rFonts w:ascii="Times New Roman" w:hAnsi="Times New Roman" w:cs="Times New Roman"/>
          <w:sz w:val="28"/>
          <w:szCs w:val="28"/>
        </w:rPr>
        <w:t>E tuttavia ancora di recente si è affermata la sussistenza di una distinzione sostanziale tra i due titoli, basata proprio sulla dimensione e sull’attrattività dell’attività svolta</w:t>
      </w:r>
      <w:r w:rsidR="007C3693" w:rsidRPr="000D6DEE">
        <w:rPr>
          <w:rFonts w:ascii="Times New Roman" w:hAnsi="Times New Roman" w:cs="Times New Roman"/>
          <w:sz w:val="28"/>
          <w:szCs w:val="28"/>
        </w:rPr>
        <w:t xml:space="preserve">. Si legge dunque in una recente pronuncia: </w:t>
      </w:r>
      <w:r w:rsidR="00D252E5" w:rsidRPr="000D6DEE">
        <w:rPr>
          <w:rFonts w:ascii="Times New Roman" w:hAnsi="Times New Roman" w:cs="Times New Roman"/>
          <w:sz w:val="28"/>
          <w:szCs w:val="28"/>
        </w:rPr>
        <w:t>«</w:t>
      </w:r>
      <w:r w:rsidR="00D252E5" w:rsidRPr="000D6DEE">
        <w:rPr>
          <w:rFonts w:ascii="Times New Roman" w:hAnsi="Times New Roman" w:cs="Times New Roman"/>
          <w:i/>
          <w:color w:val="000000"/>
          <w:sz w:val="28"/>
          <w:szCs w:val="28"/>
        </w:rPr>
        <w:t>Le attività di spettacolo e trattenimento pubblico soggette all’autorizzazione di cui all’art. 68 TULPS si distinguono da quelle contemplate dall’art. 69 del medesimo testo unico in quanto connotate da una maggiore pericolosità potenziale sul piano della pubblica incolumità e dell’igiene per la capacità di attrarre un maggior numero di utenti</w:t>
      </w:r>
      <w:r w:rsidR="00D252E5" w:rsidRPr="000D6DEE">
        <w:rPr>
          <w:rFonts w:ascii="Times New Roman" w:hAnsi="Times New Roman" w:cs="Times New Roman"/>
          <w:color w:val="000000"/>
          <w:sz w:val="28"/>
          <w:szCs w:val="28"/>
        </w:rPr>
        <w:t>»</w:t>
      </w:r>
      <w:r w:rsidR="00D252E5" w:rsidRPr="000D6DEE">
        <w:rPr>
          <w:rStyle w:val="Rimandonotaapidipagina"/>
          <w:rFonts w:ascii="Times New Roman" w:hAnsi="Times New Roman" w:cs="Times New Roman"/>
          <w:color w:val="000000"/>
          <w:sz w:val="28"/>
          <w:szCs w:val="28"/>
        </w:rPr>
        <w:footnoteReference w:id="18"/>
      </w:r>
      <w:r w:rsidR="00D252E5" w:rsidRPr="000D6DEE">
        <w:rPr>
          <w:rFonts w:ascii="Times New Roman" w:hAnsi="Times New Roman" w:cs="Times New Roman"/>
          <w:color w:val="000000"/>
          <w:sz w:val="28"/>
          <w:szCs w:val="28"/>
        </w:rPr>
        <w:t xml:space="preserve">. </w:t>
      </w:r>
      <w:r w:rsidR="0055037B" w:rsidRPr="000D6DEE">
        <w:rPr>
          <w:rFonts w:ascii="Times New Roman" w:hAnsi="Times New Roman" w:cs="Times New Roman"/>
          <w:color w:val="19191A"/>
          <w:sz w:val="28"/>
          <w:szCs w:val="28"/>
          <w:shd w:val="clear" w:color="auto" w:fill="FFFFFF"/>
        </w:rPr>
        <w:t xml:space="preserve">Quanto ai luoghi o locali ove ridette attività devono essere autorizzate, </w:t>
      </w:r>
      <w:r w:rsidR="00D252E5" w:rsidRPr="000D6DEE">
        <w:rPr>
          <w:rFonts w:ascii="Times New Roman" w:hAnsi="Times New Roman" w:cs="Times New Roman"/>
          <w:color w:val="19191A"/>
          <w:sz w:val="28"/>
          <w:szCs w:val="28"/>
          <w:shd w:val="clear" w:color="auto" w:fill="FFFFFF"/>
        </w:rPr>
        <w:t xml:space="preserve">sono ancora attuali i principi affermati in </w:t>
      </w:r>
      <w:r w:rsidR="00D252E5" w:rsidRPr="000D6DEE">
        <w:rPr>
          <w:rFonts w:ascii="Times New Roman" w:hAnsi="Times New Roman" w:cs="Times New Roman"/>
          <w:color w:val="19191A"/>
          <w:sz w:val="28"/>
          <w:szCs w:val="28"/>
          <w:shd w:val="clear" w:color="auto" w:fill="FFFFFF"/>
        </w:rPr>
        <w:lastRenderedPageBreak/>
        <w:t xml:space="preserve">risalenti pronunce della Corte costituzionale intervenute sulla formulazione originaria dell’art. 68 del </w:t>
      </w:r>
      <w:proofErr w:type="spellStart"/>
      <w:r w:rsidR="00D252E5" w:rsidRPr="000D6DEE">
        <w:rPr>
          <w:rFonts w:ascii="Times New Roman" w:hAnsi="Times New Roman" w:cs="Times New Roman"/>
          <w:color w:val="19191A"/>
          <w:sz w:val="28"/>
          <w:szCs w:val="28"/>
          <w:shd w:val="clear" w:color="auto" w:fill="FFFFFF"/>
        </w:rPr>
        <w:t>T.u.l.p.s</w:t>
      </w:r>
      <w:proofErr w:type="spellEnd"/>
      <w:r w:rsidR="00D252E5" w:rsidRPr="000D6DEE">
        <w:rPr>
          <w:rFonts w:ascii="Times New Roman" w:hAnsi="Times New Roman" w:cs="Times New Roman"/>
          <w:color w:val="19191A"/>
          <w:sz w:val="28"/>
          <w:szCs w:val="28"/>
          <w:shd w:val="clear" w:color="auto" w:fill="FFFFFF"/>
        </w:rPr>
        <w:t xml:space="preserve">. </w:t>
      </w:r>
      <w:r w:rsidR="0055037B" w:rsidRPr="000D6DEE">
        <w:rPr>
          <w:rFonts w:ascii="Times New Roman" w:hAnsi="Times New Roman" w:cs="Times New Roman"/>
          <w:color w:val="19191A"/>
          <w:sz w:val="28"/>
          <w:szCs w:val="28"/>
          <w:shd w:val="clear" w:color="auto" w:fill="FFFFFF"/>
        </w:rPr>
        <w:t xml:space="preserve">Con una </w:t>
      </w:r>
      <w:r w:rsidR="001732CC" w:rsidRPr="000D6DEE">
        <w:rPr>
          <w:rFonts w:ascii="Times New Roman" w:hAnsi="Times New Roman" w:cs="Times New Roman"/>
          <w:sz w:val="28"/>
          <w:szCs w:val="28"/>
        </w:rPr>
        <w:t>prima sentenza 1</w:t>
      </w:r>
      <w:r w:rsidR="001732CC" w:rsidRPr="000D6DEE">
        <w:rPr>
          <w:rFonts w:ascii="Times New Roman" w:hAnsi="Times New Roman" w:cs="Times New Roman"/>
          <w:color w:val="19191A"/>
          <w:sz w:val="28"/>
          <w:szCs w:val="28"/>
          <w:shd w:val="clear" w:color="auto" w:fill="FFFFFF"/>
        </w:rPr>
        <w:t xml:space="preserve">2 - 15 dicembre 1967, n. 142, </w:t>
      </w:r>
      <w:r w:rsidR="0055037B" w:rsidRPr="000D6DEE">
        <w:rPr>
          <w:rFonts w:ascii="Times New Roman" w:hAnsi="Times New Roman" w:cs="Times New Roman"/>
          <w:color w:val="19191A"/>
          <w:sz w:val="28"/>
          <w:szCs w:val="28"/>
          <w:shd w:val="clear" w:color="auto" w:fill="FFFFFF"/>
        </w:rPr>
        <w:t xml:space="preserve">il giudice delle leggi </w:t>
      </w:r>
      <w:r w:rsidR="001732CC" w:rsidRPr="000D6DEE">
        <w:rPr>
          <w:rFonts w:ascii="Times New Roman" w:hAnsi="Times New Roman" w:cs="Times New Roman"/>
          <w:color w:val="19191A"/>
          <w:sz w:val="28"/>
          <w:szCs w:val="28"/>
          <w:shd w:val="clear" w:color="auto" w:fill="FFFFFF"/>
        </w:rPr>
        <w:t xml:space="preserve">ebbe </w:t>
      </w:r>
      <w:r w:rsidR="00D252E5" w:rsidRPr="000D6DEE">
        <w:rPr>
          <w:rFonts w:ascii="Times New Roman" w:hAnsi="Times New Roman" w:cs="Times New Roman"/>
          <w:color w:val="19191A"/>
          <w:sz w:val="28"/>
          <w:szCs w:val="28"/>
          <w:shd w:val="clear" w:color="auto" w:fill="FFFFFF"/>
        </w:rPr>
        <w:t xml:space="preserve">dunque </w:t>
      </w:r>
      <w:r w:rsidR="001732CC" w:rsidRPr="000D6DEE">
        <w:rPr>
          <w:rFonts w:ascii="Times New Roman" w:hAnsi="Times New Roman" w:cs="Times New Roman"/>
          <w:color w:val="19191A"/>
          <w:sz w:val="28"/>
          <w:szCs w:val="28"/>
          <w:shd w:val="clear" w:color="auto" w:fill="FFFFFF"/>
        </w:rPr>
        <w:t xml:space="preserve">a dichiarare l'illegittimità </w:t>
      </w:r>
      <w:r w:rsidR="00D252E5" w:rsidRPr="000D6DEE">
        <w:rPr>
          <w:rFonts w:ascii="Times New Roman" w:hAnsi="Times New Roman" w:cs="Times New Roman"/>
          <w:color w:val="19191A"/>
          <w:sz w:val="28"/>
          <w:szCs w:val="28"/>
          <w:shd w:val="clear" w:color="auto" w:fill="FFFFFF"/>
        </w:rPr>
        <w:t>c</w:t>
      </w:r>
      <w:r w:rsidR="001732CC" w:rsidRPr="000D6DEE">
        <w:rPr>
          <w:rFonts w:ascii="Times New Roman" w:hAnsi="Times New Roman" w:cs="Times New Roman"/>
          <w:color w:val="19191A"/>
          <w:sz w:val="28"/>
          <w:szCs w:val="28"/>
          <w:shd w:val="clear" w:color="auto" w:fill="FFFFFF"/>
        </w:rPr>
        <w:t>ostituzionale d</w:t>
      </w:r>
      <w:r w:rsidR="00D252E5" w:rsidRPr="000D6DEE">
        <w:rPr>
          <w:rFonts w:ascii="Times New Roman" w:hAnsi="Times New Roman" w:cs="Times New Roman"/>
          <w:color w:val="19191A"/>
          <w:sz w:val="28"/>
          <w:szCs w:val="28"/>
          <w:shd w:val="clear" w:color="auto" w:fill="FFFFFF"/>
        </w:rPr>
        <w:t>i tale norma ne</w:t>
      </w:r>
      <w:r w:rsidR="001732CC" w:rsidRPr="000D6DEE">
        <w:rPr>
          <w:rFonts w:ascii="Times New Roman" w:hAnsi="Times New Roman" w:cs="Times New Roman"/>
          <w:sz w:val="28"/>
          <w:szCs w:val="28"/>
        </w:rPr>
        <w:t xml:space="preserve">lla parte in </w:t>
      </w:r>
      <w:r w:rsidR="00D252E5" w:rsidRPr="000D6DEE">
        <w:rPr>
          <w:rFonts w:ascii="Times New Roman" w:hAnsi="Times New Roman" w:cs="Times New Roman"/>
          <w:sz w:val="28"/>
          <w:szCs w:val="28"/>
        </w:rPr>
        <w:t xml:space="preserve">cui </w:t>
      </w:r>
      <w:r w:rsidR="001732CC" w:rsidRPr="000D6DEE">
        <w:rPr>
          <w:rFonts w:ascii="Times New Roman" w:hAnsi="Times New Roman" w:cs="Times New Roman"/>
          <w:sz w:val="28"/>
          <w:szCs w:val="28"/>
        </w:rPr>
        <w:t xml:space="preserve">imponeva la licenza del Questore per le feste da ballo da effettuarsi in </w:t>
      </w:r>
      <w:r w:rsidR="001732CC" w:rsidRPr="000D6DEE">
        <w:rPr>
          <w:rFonts w:ascii="Times New Roman" w:hAnsi="Times New Roman" w:cs="Times New Roman"/>
          <w:color w:val="19191A"/>
          <w:sz w:val="28"/>
          <w:szCs w:val="28"/>
          <w:shd w:val="clear" w:color="auto" w:fill="FFFFFF"/>
        </w:rPr>
        <w:t>luogo esposto al pubblico, in riferimento all</w:t>
      </w:r>
      <w:r w:rsidR="00D252E5" w:rsidRPr="000D6DEE">
        <w:rPr>
          <w:rFonts w:ascii="Times New Roman" w:hAnsi="Times New Roman" w:cs="Times New Roman"/>
          <w:color w:val="19191A"/>
          <w:sz w:val="28"/>
          <w:szCs w:val="28"/>
          <w:shd w:val="clear" w:color="auto" w:fill="FFFFFF"/>
        </w:rPr>
        <w:t xml:space="preserve">’art. 17 della Costituzione; con la successiva, </w:t>
      </w:r>
      <w:r w:rsidR="001732CC" w:rsidRPr="000D6DEE">
        <w:rPr>
          <w:rFonts w:ascii="Times New Roman" w:hAnsi="Times New Roman" w:cs="Times New Roman"/>
          <w:color w:val="19191A"/>
          <w:sz w:val="28"/>
          <w:szCs w:val="28"/>
          <w:shd w:val="clear" w:color="auto" w:fill="FFFFFF"/>
        </w:rPr>
        <w:t xml:space="preserve">9 - 15 aprile 1970, n. 56, </w:t>
      </w:r>
      <w:r w:rsidR="00D252E5" w:rsidRPr="000D6DEE">
        <w:rPr>
          <w:rFonts w:ascii="Times New Roman" w:hAnsi="Times New Roman" w:cs="Times New Roman"/>
          <w:color w:val="19191A"/>
          <w:sz w:val="28"/>
          <w:szCs w:val="28"/>
          <w:shd w:val="clear" w:color="auto" w:fill="FFFFFF"/>
        </w:rPr>
        <w:t xml:space="preserve">avente ad oggetto anche la disposizione sanzionatoria, all’epoca penale, di cui </w:t>
      </w:r>
      <w:r w:rsidR="0055037B" w:rsidRPr="000D6DEE">
        <w:rPr>
          <w:rFonts w:ascii="Times New Roman" w:hAnsi="Times New Roman" w:cs="Times New Roman"/>
          <w:color w:val="19191A"/>
          <w:sz w:val="28"/>
          <w:szCs w:val="28"/>
          <w:shd w:val="clear" w:color="auto" w:fill="FFFFFF"/>
        </w:rPr>
        <w:t>all’art. 666 c.p</w:t>
      </w:r>
      <w:r w:rsidR="00D252E5" w:rsidRPr="000D6DEE">
        <w:rPr>
          <w:rFonts w:ascii="Times New Roman" w:hAnsi="Times New Roman" w:cs="Times New Roman"/>
          <w:color w:val="19191A"/>
          <w:sz w:val="28"/>
          <w:szCs w:val="28"/>
          <w:shd w:val="clear" w:color="auto" w:fill="FFFFFF"/>
        </w:rPr>
        <w:t>., stigmatizz</w:t>
      </w:r>
      <w:r w:rsidR="007C3693" w:rsidRPr="000D6DEE">
        <w:rPr>
          <w:rFonts w:ascii="Times New Roman" w:hAnsi="Times New Roman" w:cs="Times New Roman"/>
          <w:color w:val="19191A"/>
          <w:sz w:val="28"/>
          <w:szCs w:val="28"/>
          <w:shd w:val="clear" w:color="auto" w:fill="FFFFFF"/>
        </w:rPr>
        <w:t>ò</w:t>
      </w:r>
      <w:r w:rsidR="00D252E5" w:rsidRPr="000D6DEE">
        <w:rPr>
          <w:rFonts w:ascii="Times New Roman" w:hAnsi="Times New Roman" w:cs="Times New Roman"/>
          <w:color w:val="19191A"/>
          <w:sz w:val="28"/>
          <w:szCs w:val="28"/>
          <w:shd w:val="clear" w:color="auto" w:fill="FFFFFF"/>
        </w:rPr>
        <w:t xml:space="preserve"> la medesima previsione laddove si riferiva </w:t>
      </w:r>
      <w:r w:rsidR="0055037B" w:rsidRPr="000D6DEE">
        <w:rPr>
          <w:rFonts w:ascii="Times New Roman" w:hAnsi="Times New Roman" w:cs="Times New Roman"/>
          <w:color w:val="19191A"/>
          <w:sz w:val="28"/>
          <w:szCs w:val="28"/>
          <w:shd w:val="clear" w:color="auto" w:fill="FFFFFF"/>
        </w:rPr>
        <w:t>ai</w:t>
      </w:r>
      <w:r w:rsidR="001732CC" w:rsidRPr="000D6DEE">
        <w:rPr>
          <w:rFonts w:ascii="Times New Roman" w:hAnsi="Times New Roman" w:cs="Times New Roman"/>
          <w:color w:val="19191A"/>
          <w:sz w:val="28"/>
          <w:szCs w:val="28"/>
          <w:shd w:val="clear" w:color="auto" w:fill="FFFFFF"/>
        </w:rPr>
        <w:t xml:space="preserve"> trattenimenti da tenersi </w:t>
      </w:r>
      <w:r w:rsidR="0055037B" w:rsidRPr="000D6DEE">
        <w:rPr>
          <w:rFonts w:ascii="Times New Roman" w:hAnsi="Times New Roman" w:cs="Times New Roman"/>
          <w:color w:val="19191A"/>
          <w:sz w:val="28"/>
          <w:szCs w:val="28"/>
          <w:shd w:val="clear" w:color="auto" w:fill="FFFFFF"/>
        </w:rPr>
        <w:t>«</w:t>
      </w:r>
      <w:r w:rsidR="001732CC" w:rsidRPr="000D6DEE">
        <w:rPr>
          <w:rFonts w:ascii="Times New Roman" w:hAnsi="Times New Roman" w:cs="Times New Roman"/>
          <w:i/>
          <w:color w:val="19191A"/>
          <w:sz w:val="28"/>
          <w:szCs w:val="28"/>
          <w:shd w:val="clear" w:color="auto" w:fill="FFFFFF"/>
        </w:rPr>
        <w:t>in luoghi aperti al pubblico</w:t>
      </w:r>
      <w:r w:rsidR="0055037B" w:rsidRPr="000D6DEE">
        <w:rPr>
          <w:rFonts w:ascii="Times New Roman" w:hAnsi="Times New Roman" w:cs="Times New Roman"/>
          <w:color w:val="19191A"/>
          <w:sz w:val="28"/>
          <w:szCs w:val="28"/>
          <w:shd w:val="clear" w:color="auto" w:fill="FFFFFF"/>
        </w:rPr>
        <w:t>»</w:t>
      </w:r>
      <w:r w:rsidR="00D252E5" w:rsidRPr="000D6DEE">
        <w:rPr>
          <w:rFonts w:ascii="Times New Roman" w:hAnsi="Times New Roman" w:cs="Times New Roman"/>
          <w:color w:val="19191A"/>
          <w:sz w:val="28"/>
          <w:szCs w:val="28"/>
          <w:shd w:val="clear" w:color="auto" w:fill="FFFFFF"/>
        </w:rPr>
        <w:t>, ove</w:t>
      </w:r>
      <w:r w:rsidR="001732CC" w:rsidRPr="000D6DEE">
        <w:rPr>
          <w:rFonts w:ascii="Times New Roman" w:hAnsi="Times New Roman" w:cs="Times New Roman"/>
          <w:color w:val="19191A"/>
          <w:sz w:val="28"/>
          <w:szCs w:val="28"/>
          <w:shd w:val="clear" w:color="auto" w:fill="FFFFFF"/>
        </w:rPr>
        <w:t xml:space="preserve"> non indetti nell'esercizio di attività imprenditoriali</w:t>
      </w:r>
      <w:r w:rsidR="0055037B" w:rsidRPr="000D6DEE">
        <w:rPr>
          <w:rFonts w:ascii="Times New Roman" w:hAnsi="Times New Roman" w:cs="Times New Roman"/>
          <w:color w:val="19191A"/>
          <w:sz w:val="28"/>
          <w:szCs w:val="28"/>
          <w:shd w:val="clear" w:color="auto" w:fill="FFFFFF"/>
        </w:rPr>
        <w:t xml:space="preserve">. </w:t>
      </w:r>
      <w:r w:rsidR="00D252E5" w:rsidRPr="000D6DEE">
        <w:rPr>
          <w:rFonts w:ascii="Times New Roman" w:hAnsi="Times New Roman" w:cs="Times New Roman"/>
          <w:color w:val="19191A"/>
          <w:sz w:val="28"/>
          <w:szCs w:val="28"/>
          <w:shd w:val="clear" w:color="auto" w:fill="FFFFFF"/>
        </w:rPr>
        <w:t xml:space="preserve">Tale ultima precisazione ha portato nel tempo a cercare di individuare </w:t>
      </w:r>
      <w:r w:rsidR="00AD697A" w:rsidRPr="000D6DEE">
        <w:rPr>
          <w:rFonts w:ascii="Times New Roman" w:hAnsi="Times New Roman" w:cs="Times New Roman"/>
          <w:color w:val="19191A"/>
          <w:sz w:val="28"/>
          <w:szCs w:val="28"/>
          <w:shd w:val="clear" w:color="auto" w:fill="FFFFFF"/>
        </w:rPr>
        <w:t xml:space="preserve">i casi in cui si può escludere tale imprenditorialità, ancorché l’attività si svolga all’interno di un locale, già destinato in forza di un titolo distinto ad attività imprenditoriale (ad esempio, tipicamente, un pubblico esercizio di somministrazione di alimenti e bevande). Si è in passato coniato il neologismo di “imprenditorialità aggiuntiva” per </w:t>
      </w:r>
      <w:proofErr w:type="spellStart"/>
      <w:r w:rsidR="00AD697A" w:rsidRPr="000D6DEE">
        <w:rPr>
          <w:rFonts w:ascii="Times New Roman" w:hAnsi="Times New Roman" w:cs="Times New Roman"/>
          <w:color w:val="19191A"/>
          <w:sz w:val="28"/>
          <w:szCs w:val="28"/>
          <w:shd w:val="clear" w:color="auto" w:fill="FFFFFF"/>
        </w:rPr>
        <w:t>dequotare</w:t>
      </w:r>
      <w:proofErr w:type="spellEnd"/>
      <w:r w:rsidR="00AD697A" w:rsidRPr="000D6DEE">
        <w:rPr>
          <w:rFonts w:ascii="Times New Roman" w:hAnsi="Times New Roman" w:cs="Times New Roman"/>
          <w:color w:val="19191A"/>
          <w:sz w:val="28"/>
          <w:szCs w:val="28"/>
          <w:shd w:val="clear" w:color="auto" w:fill="FFFFFF"/>
        </w:rPr>
        <w:t xml:space="preserve"> le situazioni per le quali in realtà, più correttamente, neppure ha ormai senso, con l’evoluzione dei costumi, parlare di uno “spettacolo” in senso giuridicamente rilevante</w:t>
      </w:r>
      <w:r w:rsidR="00AD697A" w:rsidRPr="000D6DEE">
        <w:rPr>
          <w:rStyle w:val="Rimandonotaapidipagina"/>
          <w:rFonts w:ascii="Times New Roman" w:hAnsi="Times New Roman" w:cs="Times New Roman"/>
          <w:color w:val="19191A"/>
          <w:sz w:val="28"/>
          <w:szCs w:val="28"/>
          <w:shd w:val="clear" w:color="auto" w:fill="FFFFFF"/>
        </w:rPr>
        <w:footnoteReference w:id="19"/>
      </w:r>
      <w:r w:rsidR="007C3693" w:rsidRPr="000D6DEE">
        <w:rPr>
          <w:rFonts w:ascii="Times New Roman" w:hAnsi="Times New Roman" w:cs="Times New Roman"/>
          <w:color w:val="19191A"/>
          <w:sz w:val="28"/>
          <w:szCs w:val="28"/>
          <w:shd w:val="clear" w:color="auto" w:fill="FFFFFF"/>
        </w:rPr>
        <w:t xml:space="preserve">. Laddove invece tale rilevanza sussista, infatti, è difficile ipotizzare che non vi sia una qualche finalità di lucro, stante che l’offerta aggiuntiva di spettacoli o trattenimenti è comunque volta ad attrarre o fidelizzare la clientela e dunque attinge inevitabilmente all’imprenditorialità dell’attività principale cui accede. </w:t>
      </w:r>
      <w:r w:rsidR="00EA3863" w:rsidRPr="000D6DEE">
        <w:rPr>
          <w:rFonts w:ascii="Times New Roman" w:hAnsi="Times New Roman" w:cs="Times New Roman"/>
          <w:bCs/>
          <w:iCs/>
          <w:color w:val="19191A"/>
          <w:sz w:val="28"/>
          <w:szCs w:val="28"/>
          <w:shd w:val="clear" w:color="auto" w:fill="FFFFFF"/>
        </w:rPr>
        <w:t>Quale che sia il luogo di svolgimento dell’attività, p</w:t>
      </w:r>
      <w:r w:rsidR="0055037B" w:rsidRPr="000D6DEE">
        <w:rPr>
          <w:rFonts w:ascii="Times New Roman" w:hAnsi="Times New Roman" w:cs="Times New Roman"/>
          <w:bCs/>
          <w:iCs/>
          <w:color w:val="19191A"/>
          <w:sz w:val="28"/>
          <w:szCs w:val="28"/>
          <w:shd w:val="clear" w:color="auto" w:fill="FFFFFF"/>
        </w:rPr>
        <w:t>er eventi fino ad un massimo di 200 partecipanti e che s</w:t>
      </w:r>
      <w:r w:rsidR="00E21657" w:rsidRPr="000D6DEE">
        <w:rPr>
          <w:rFonts w:ascii="Times New Roman" w:hAnsi="Times New Roman" w:cs="Times New Roman"/>
          <w:bCs/>
          <w:iCs/>
          <w:color w:val="19191A"/>
          <w:sz w:val="28"/>
          <w:szCs w:val="28"/>
          <w:shd w:val="clear" w:color="auto" w:fill="FFFFFF"/>
        </w:rPr>
        <w:t>i</w:t>
      </w:r>
      <w:r w:rsidR="0055037B" w:rsidRPr="000D6DEE">
        <w:rPr>
          <w:rFonts w:ascii="Times New Roman" w:hAnsi="Times New Roman" w:cs="Times New Roman"/>
          <w:bCs/>
          <w:iCs/>
          <w:color w:val="19191A"/>
          <w:sz w:val="28"/>
          <w:szCs w:val="28"/>
          <w:shd w:val="clear" w:color="auto" w:fill="FFFFFF"/>
        </w:rPr>
        <w:t xml:space="preserve"> svolgono entro le ore 24 del giorno di inizio, la licenza è sostituita dalla segnalazione certificata di inizio attività di cui all'</w:t>
      </w:r>
      <w:r w:rsidR="00E21657" w:rsidRPr="000D6DEE">
        <w:rPr>
          <w:rFonts w:ascii="Times New Roman" w:hAnsi="Times New Roman" w:cs="Times New Roman"/>
          <w:bCs/>
          <w:iCs/>
          <w:color w:val="19191A"/>
          <w:sz w:val="28"/>
          <w:szCs w:val="28"/>
          <w:shd w:val="clear" w:color="auto" w:fill="FFFFFF"/>
        </w:rPr>
        <w:t xml:space="preserve">art. 19 della l. 7 agosto 1990, n. 241, da presentare </w:t>
      </w:r>
      <w:r w:rsidR="0055037B" w:rsidRPr="000D6DEE">
        <w:rPr>
          <w:rFonts w:ascii="Times New Roman" w:hAnsi="Times New Roman" w:cs="Times New Roman"/>
          <w:bCs/>
          <w:iCs/>
          <w:color w:val="19191A"/>
          <w:sz w:val="28"/>
          <w:szCs w:val="28"/>
          <w:shd w:val="clear" w:color="auto" w:fill="FFFFFF"/>
        </w:rPr>
        <w:t>allo sportello unico per le attività produttive o ufficio analogo</w:t>
      </w:r>
      <w:r w:rsidR="0055037B" w:rsidRPr="000D6DEE">
        <w:rPr>
          <w:rStyle w:val="Rimandonotaapidipagina"/>
          <w:rFonts w:ascii="Times New Roman" w:hAnsi="Times New Roman" w:cs="Times New Roman"/>
          <w:b/>
          <w:bCs/>
          <w:i/>
          <w:iCs/>
          <w:color w:val="19191A"/>
          <w:sz w:val="28"/>
          <w:szCs w:val="28"/>
          <w:shd w:val="clear" w:color="auto" w:fill="FFFFFF"/>
        </w:rPr>
        <w:footnoteReference w:id="20"/>
      </w:r>
      <w:r w:rsidR="00E21657" w:rsidRPr="000D6DEE">
        <w:rPr>
          <w:rFonts w:ascii="Times New Roman" w:hAnsi="Times New Roman" w:cs="Times New Roman"/>
          <w:bCs/>
          <w:iCs/>
          <w:color w:val="19191A"/>
          <w:sz w:val="28"/>
          <w:szCs w:val="28"/>
          <w:shd w:val="clear" w:color="auto" w:fill="FFFFFF"/>
        </w:rPr>
        <w:t>.</w:t>
      </w:r>
    </w:p>
    <w:p w:rsidR="002B0F4A" w:rsidRPr="000D6DEE" w:rsidRDefault="005F4E02" w:rsidP="00C53D07">
      <w:pPr>
        <w:jc w:val="both"/>
        <w:rPr>
          <w:rFonts w:ascii="Times New Roman" w:hAnsi="Times New Roman" w:cs="Times New Roman"/>
          <w:b/>
          <w:bCs/>
          <w:i/>
          <w:iCs/>
          <w:color w:val="19191A"/>
          <w:sz w:val="28"/>
          <w:szCs w:val="28"/>
          <w:shd w:val="clear" w:color="auto" w:fill="FFFFFF"/>
        </w:rPr>
      </w:pPr>
      <w:r w:rsidRPr="000D6DEE">
        <w:rPr>
          <w:rFonts w:ascii="Times New Roman" w:hAnsi="Times New Roman" w:cs="Times New Roman"/>
          <w:b/>
          <w:bCs/>
          <w:i/>
          <w:iCs/>
          <w:color w:val="19191A"/>
          <w:sz w:val="28"/>
          <w:szCs w:val="28"/>
          <w:shd w:val="clear" w:color="auto" w:fill="FFFFFF"/>
        </w:rPr>
        <w:lastRenderedPageBreak/>
        <w:t>5</w:t>
      </w:r>
      <w:r w:rsidR="00AE1B69" w:rsidRPr="000D6DEE">
        <w:rPr>
          <w:rFonts w:ascii="Times New Roman" w:hAnsi="Times New Roman" w:cs="Times New Roman"/>
          <w:b/>
          <w:bCs/>
          <w:i/>
          <w:iCs/>
          <w:color w:val="19191A"/>
          <w:sz w:val="28"/>
          <w:szCs w:val="28"/>
          <w:shd w:val="clear" w:color="auto" w:fill="FFFFFF"/>
        </w:rPr>
        <w:t xml:space="preserve">. </w:t>
      </w:r>
      <w:r w:rsidR="002B0F4A" w:rsidRPr="000D6DEE">
        <w:rPr>
          <w:rFonts w:ascii="Times New Roman" w:hAnsi="Times New Roman" w:cs="Times New Roman"/>
          <w:b/>
          <w:bCs/>
          <w:iCs/>
          <w:color w:val="19191A"/>
          <w:sz w:val="28"/>
          <w:szCs w:val="28"/>
          <w:shd w:val="clear" w:color="auto" w:fill="FFFFFF"/>
        </w:rPr>
        <w:t>Il regime sanzionatorio</w:t>
      </w:r>
      <w:r w:rsidR="007C3693" w:rsidRPr="000D6DEE">
        <w:rPr>
          <w:rFonts w:ascii="Times New Roman" w:hAnsi="Times New Roman" w:cs="Times New Roman"/>
          <w:b/>
          <w:bCs/>
          <w:iCs/>
          <w:color w:val="19191A"/>
          <w:sz w:val="28"/>
          <w:szCs w:val="28"/>
          <w:shd w:val="clear" w:color="auto" w:fill="FFFFFF"/>
        </w:rPr>
        <w:t xml:space="preserve"> in materia di spettacoli e trattenimenti pubblici: considerazioni generali</w:t>
      </w:r>
    </w:p>
    <w:p w:rsidR="003C2694" w:rsidRPr="000D6DEE" w:rsidRDefault="003C2694" w:rsidP="003C2694">
      <w:pPr>
        <w:spacing w:line="360" w:lineRule="auto"/>
        <w:jc w:val="both"/>
        <w:rPr>
          <w:rFonts w:ascii="Times New Roman" w:eastAsia="Times New Roman" w:hAnsi="Times New Roman" w:cs="Times New Roman"/>
          <w:b/>
          <w:color w:val="000000"/>
          <w:sz w:val="28"/>
          <w:szCs w:val="28"/>
          <w:lang w:eastAsia="it-IT"/>
        </w:rPr>
      </w:pPr>
      <w:r w:rsidRPr="000D6DEE">
        <w:rPr>
          <w:rFonts w:ascii="Times New Roman" w:hAnsi="Times New Roman" w:cs="Times New Roman"/>
          <w:sz w:val="28"/>
          <w:szCs w:val="28"/>
        </w:rPr>
        <w:t xml:space="preserve">Il regime sanzionatorio in materia di spettacoli e trattenimenti pubblici si discosta da quello declinato in generale per gli illeciti contemplati nel </w:t>
      </w:r>
      <w:proofErr w:type="spellStart"/>
      <w:r w:rsidRPr="000D6DEE">
        <w:rPr>
          <w:rFonts w:ascii="Times New Roman" w:hAnsi="Times New Roman" w:cs="Times New Roman"/>
          <w:sz w:val="28"/>
          <w:szCs w:val="28"/>
        </w:rPr>
        <w:t>T.u.l.p.s</w:t>
      </w:r>
      <w:proofErr w:type="spellEnd"/>
      <w:r w:rsidRPr="000D6DEE">
        <w:rPr>
          <w:rFonts w:ascii="Times New Roman" w:hAnsi="Times New Roman" w:cs="Times New Roman"/>
          <w:sz w:val="28"/>
          <w:szCs w:val="28"/>
        </w:rPr>
        <w:t xml:space="preserve">., oggetto di depenalizzazione da parte del d.lgs. 13 luglio 1994, n. 480. Anche alle autorizzazioni concernenti ridette attività, tuttavia, si applicano le previsioni in materia di sospensione o revoca di cui agli artt. 10 e 11 del </w:t>
      </w:r>
      <w:proofErr w:type="spellStart"/>
      <w:r w:rsidRPr="000D6DEE">
        <w:rPr>
          <w:rFonts w:ascii="Times New Roman" w:hAnsi="Times New Roman" w:cs="Times New Roman"/>
          <w:sz w:val="28"/>
          <w:szCs w:val="28"/>
        </w:rPr>
        <w:t>T.u.l.p.s</w:t>
      </w:r>
      <w:proofErr w:type="spellEnd"/>
      <w:r w:rsidRPr="000D6DEE">
        <w:rPr>
          <w:rFonts w:ascii="Times New Roman" w:hAnsi="Times New Roman" w:cs="Times New Roman"/>
          <w:sz w:val="28"/>
          <w:szCs w:val="28"/>
        </w:rPr>
        <w:t>.</w:t>
      </w:r>
    </w:p>
    <w:p w:rsidR="003C2694" w:rsidRPr="000D6DEE" w:rsidRDefault="003C2694" w:rsidP="003C2694">
      <w:pPr>
        <w:spacing w:line="360" w:lineRule="auto"/>
        <w:jc w:val="both"/>
        <w:rPr>
          <w:rFonts w:ascii="Times New Roman" w:hAnsi="Times New Roman" w:cs="Times New Roman"/>
          <w:sz w:val="28"/>
          <w:szCs w:val="28"/>
        </w:rPr>
      </w:pPr>
      <w:r w:rsidRPr="000D6DEE">
        <w:rPr>
          <w:rFonts w:ascii="Times New Roman" w:hAnsi="Times New Roman" w:cs="Times New Roman"/>
          <w:sz w:val="28"/>
          <w:szCs w:val="28"/>
        </w:rPr>
        <w:t>La violazione degli artt. 68 e 69, dunque, non figura nell’elenco d</w:t>
      </w:r>
      <w:r w:rsidR="008E7F07" w:rsidRPr="000D6DEE">
        <w:rPr>
          <w:rFonts w:ascii="Times New Roman" w:hAnsi="Times New Roman" w:cs="Times New Roman"/>
          <w:sz w:val="28"/>
          <w:szCs w:val="28"/>
        </w:rPr>
        <w:t>i</w:t>
      </w:r>
      <w:r w:rsidRPr="000D6DEE">
        <w:rPr>
          <w:rFonts w:ascii="Times New Roman" w:hAnsi="Times New Roman" w:cs="Times New Roman"/>
          <w:sz w:val="28"/>
          <w:szCs w:val="28"/>
        </w:rPr>
        <w:t xml:space="preserve"> quelle per le quali l’art. 17-</w:t>
      </w:r>
      <w:r w:rsidRPr="000D6DEE">
        <w:rPr>
          <w:rFonts w:ascii="Times New Roman" w:hAnsi="Times New Roman" w:cs="Times New Roman"/>
          <w:i/>
          <w:sz w:val="28"/>
          <w:szCs w:val="28"/>
        </w:rPr>
        <w:t>bis</w:t>
      </w:r>
      <w:r w:rsidRPr="000D6DEE">
        <w:rPr>
          <w:rFonts w:ascii="Times New Roman" w:hAnsi="Times New Roman" w:cs="Times New Roman"/>
          <w:sz w:val="28"/>
          <w:szCs w:val="28"/>
        </w:rPr>
        <w:t xml:space="preserve"> del </w:t>
      </w:r>
      <w:proofErr w:type="spellStart"/>
      <w:r w:rsidRPr="000D6DEE">
        <w:rPr>
          <w:rFonts w:ascii="Times New Roman" w:hAnsi="Times New Roman" w:cs="Times New Roman"/>
          <w:sz w:val="28"/>
          <w:szCs w:val="28"/>
        </w:rPr>
        <w:t>T.u.l.p.s</w:t>
      </w:r>
      <w:proofErr w:type="spellEnd"/>
      <w:r w:rsidRPr="000D6DEE">
        <w:rPr>
          <w:rFonts w:ascii="Times New Roman" w:hAnsi="Times New Roman" w:cs="Times New Roman"/>
          <w:sz w:val="28"/>
          <w:szCs w:val="28"/>
        </w:rPr>
        <w:t xml:space="preserve">. declina un sistema sanzionatorio a carattere generale, suddiviso su due fasce in ragione della ritenuta maggiore – nella quale rientrano le violazioni delle regole sulla personalità delle autorizzazioni di polizia (art. 8) ovvero sulle prescrizioni imposte dall’autorità di </w:t>
      </w:r>
      <w:proofErr w:type="spellStart"/>
      <w:r w:rsidRPr="000D6DEE">
        <w:rPr>
          <w:rFonts w:ascii="Times New Roman" w:hAnsi="Times New Roman" w:cs="Times New Roman"/>
          <w:sz w:val="28"/>
          <w:szCs w:val="28"/>
        </w:rPr>
        <w:t>p.s.</w:t>
      </w:r>
      <w:proofErr w:type="spellEnd"/>
      <w:r w:rsidRPr="000D6DEE">
        <w:rPr>
          <w:rFonts w:ascii="Times New Roman" w:hAnsi="Times New Roman" w:cs="Times New Roman"/>
          <w:sz w:val="28"/>
          <w:szCs w:val="28"/>
        </w:rPr>
        <w:t xml:space="preserve"> nel pubblico interesse (art. 9) - o minore gravità degli illeciti</w:t>
      </w:r>
      <w:r w:rsidRPr="000D6DEE">
        <w:rPr>
          <w:rStyle w:val="Rimandonotaapidipagina"/>
          <w:rFonts w:ascii="Times New Roman" w:hAnsi="Times New Roman" w:cs="Times New Roman"/>
          <w:sz w:val="28"/>
          <w:szCs w:val="28"/>
        </w:rPr>
        <w:footnoteReference w:id="21"/>
      </w:r>
      <w:r w:rsidRPr="000D6DEE">
        <w:rPr>
          <w:rFonts w:ascii="Times New Roman" w:hAnsi="Times New Roman" w:cs="Times New Roman"/>
          <w:sz w:val="28"/>
          <w:szCs w:val="28"/>
        </w:rPr>
        <w:t>. Né possono trovare applicazione le previsioni di cui agli art. 17-</w:t>
      </w:r>
      <w:r w:rsidRPr="000D6DEE">
        <w:rPr>
          <w:rFonts w:ascii="Times New Roman" w:hAnsi="Times New Roman" w:cs="Times New Roman"/>
          <w:i/>
          <w:sz w:val="28"/>
          <w:szCs w:val="28"/>
        </w:rPr>
        <w:t>ter</w:t>
      </w:r>
      <w:r w:rsidRPr="000D6DEE">
        <w:rPr>
          <w:rFonts w:ascii="Times New Roman" w:hAnsi="Times New Roman" w:cs="Times New Roman"/>
          <w:sz w:val="28"/>
          <w:szCs w:val="28"/>
        </w:rPr>
        <w:t xml:space="preserve"> e 17-</w:t>
      </w:r>
      <w:r w:rsidRPr="000D6DEE">
        <w:rPr>
          <w:rFonts w:ascii="Times New Roman" w:hAnsi="Times New Roman" w:cs="Times New Roman"/>
          <w:i/>
          <w:sz w:val="28"/>
          <w:szCs w:val="28"/>
        </w:rPr>
        <w:t>quater</w:t>
      </w:r>
      <w:r w:rsidRPr="000D6DEE">
        <w:rPr>
          <w:rFonts w:ascii="Times New Roman" w:hAnsi="Times New Roman" w:cs="Times New Roman"/>
          <w:sz w:val="28"/>
          <w:szCs w:val="28"/>
        </w:rPr>
        <w:t>, che delineano un preciso sistema di misure a contorno, sia a carattere immediato/cautelare, e dunque si direbbe non sanzionatorio, sia invece dichiaratamente sanzionatori</w:t>
      </w:r>
      <w:r w:rsidR="008E7F07" w:rsidRPr="000D6DEE">
        <w:rPr>
          <w:rFonts w:ascii="Times New Roman" w:hAnsi="Times New Roman" w:cs="Times New Roman"/>
          <w:sz w:val="28"/>
          <w:szCs w:val="28"/>
        </w:rPr>
        <w:t>e</w:t>
      </w:r>
      <w:r w:rsidRPr="000D6DEE">
        <w:rPr>
          <w:rFonts w:ascii="Times New Roman" w:hAnsi="Times New Roman" w:cs="Times New Roman"/>
          <w:sz w:val="28"/>
          <w:szCs w:val="28"/>
        </w:rPr>
        <w:t>: la prima norma, infatti, prevede che l’autorità che ha rilasciato il titolo -</w:t>
      </w:r>
      <w:r w:rsidRPr="000D6DEE">
        <w:rPr>
          <w:rFonts w:ascii="Times New Roman" w:hAnsi="Times New Roman" w:cs="Times New Roman"/>
          <w:i/>
          <w:sz w:val="28"/>
          <w:szCs w:val="28"/>
        </w:rPr>
        <w:t xml:space="preserve">id est, </w:t>
      </w:r>
      <w:r w:rsidRPr="000D6DEE">
        <w:rPr>
          <w:rFonts w:ascii="Times New Roman" w:hAnsi="Times New Roman" w:cs="Times New Roman"/>
          <w:sz w:val="28"/>
          <w:szCs w:val="28"/>
        </w:rPr>
        <w:t>per lo più, il dirigente comunale titolare dell’ufficio competente - disponga la cessazione immediata dell’attività condotta in assenza dello stesso ovvero la sua sospensione per il tempo occorrente ad uniformarsi alle prescrizioni, comunque non superiore a tre mesi</w:t>
      </w:r>
      <w:r w:rsidRPr="000D6DEE">
        <w:rPr>
          <w:rStyle w:val="Rimandonotaapidipagina"/>
          <w:rFonts w:ascii="Times New Roman" w:hAnsi="Times New Roman" w:cs="Times New Roman"/>
          <w:sz w:val="28"/>
          <w:szCs w:val="28"/>
        </w:rPr>
        <w:footnoteReference w:id="22"/>
      </w:r>
      <w:r w:rsidRPr="000D6DEE">
        <w:rPr>
          <w:rFonts w:ascii="Times New Roman" w:hAnsi="Times New Roman" w:cs="Times New Roman"/>
          <w:sz w:val="28"/>
          <w:szCs w:val="28"/>
        </w:rPr>
        <w:t xml:space="preserve">; la seconda, contempla la sanzione, definita accessoria, sempre facoltativa, della sospensione dell’attività per un periodo non superiore a tre mesi, che in caso di connessione obiettiva con un reato è disposta dal giudice penale ai sensi </w:t>
      </w:r>
      <w:r w:rsidRPr="000D6DEE">
        <w:rPr>
          <w:rFonts w:ascii="Times New Roman" w:hAnsi="Times New Roman" w:cs="Times New Roman"/>
          <w:sz w:val="28"/>
          <w:szCs w:val="28"/>
        </w:rPr>
        <w:lastRenderedPageBreak/>
        <w:t>dell’art. 24 della l. n. 689 del 1981</w:t>
      </w:r>
      <w:r w:rsidRPr="000D6DEE">
        <w:rPr>
          <w:rStyle w:val="Rimandonotaapidipagina"/>
          <w:rFonts w:ascii="Times New Roman" w:hAnsi="Times New Roman" w:cs="Times New Roman"/>
          <w:sz w:val="28"/>
          <w:szCs w:val="28"/>
        </w:rPr>
        <w:footnoteReference w:id="23"/>
      </w:r>
      <w:r w:rsidRPr="000D6DEE">
        <w:rPr>
          <w:rFonts w:ascii="Times New Roman" w:hAnsi="Times New Roman" w:cs="Times New Roman"/>
          <w:sz w:val="28"/>
          <w:szCs w:val="28"/>
        </w:rPr>
        <w:t xml:space="preserve">. </w:t>
      </w:r>
      <w:r w:rsidR="0007141C" w:rsidRPr="000D6DEE">
        <w:rPr>
          <w:rFonts w:ascii="Times New Roman" w:hAnsi="Times New Roman" w:cs="Times New Roman"/>
          <w:sz w:val="28"/>
          <w:szCs w:val="28"/>
        </w:rPr>
        <w:t>Per gli spettacoli e trattenimenti dispone invece in maniera del tutto autonoma il g</w:t>
      </w:r>
      <w:r w:rsidRPr="000D6DEE">
        <w:rPr>
          <w:rFonts w:ascii="Times New Roman" w:hAnsi="Times New Roman" w:cs="Times New Roman"/>
          <w:sz w:val="28"/>
          <w:szCs w:val="28"/>
        </w:rPr>
        <w:t>ià ricordato art. 666 c.p., oggetto di decriminalizzazione ad opera del d.lgs. 30 dicembre 1999, n. 507.</w:t>
      </w:r>
    </w:p>
    <w:p w:rsidR="003C2694" w:rsidRPr="000D6DEE" w:rsidRDefault="003C2694" w:rsidP="003C2694">
      <w:pPr>
        <w:spacing w:line="360" w:lineRule="auto"/>
        <w:jc w:val="both"/>
        <w:rPr>
          <w:rFonts w:ascii="Times New Roman" w:hAnsi="Times New Roman" w:cs="Times New Roman"/>
          <w:sz w:val="28"/>
          <w:szCs w:val="28"/>
        </w:rPr>
      </w:pPr>
      <w:r w:rsidRPr="000D6DEE">
        <w:rPr>
          <w:rFonts w:ascii="Times New Roman" w:hAnsi="Times New Roman" w:cs="Times New Roman"/>
          <w:sz w:val="28"/>
          <w:szCs w:val="28"/>
        </w:rPr>
        <w:t xml:space="preserve">L’art. 666 c.p., dunque, concentra in un’unica previsione sia una misura riparatoria immediata, sia una presumibile sanzione accessoria, </w:t>
      </w:r>
      <w:r w:rsidR="0007141C" w:rsidRPr="000D6DEE">
        <w:rPr>
          <w:rFonts w:ascii="Times New Roman" w:hAnsi="Times New Roman" w:cs="Times New Roman"/>
          <w:sz w:val="28"/>
          <w:szCs w:val="28"/>
        </w:rPr>
        <w:t xml:space="preserve">che consiste nella </w:t>
      </w:r>
      <w:r w:rsidRPr="000D6DEE">
        <w:rPr>
          <w:rFonts w:ascii="Times New Roman" w:hAnsi="Times New Roman" w:cs="Times New Roman"/>
          <w:sz w:val="28"/>
          <w:szCs w:val="28"/>
        </w:rPr>
        <w:t xml:space="preserve">chiusura temporanea del locale </w:t>
      </w:r>
      <w:r w:rsidR="0007141C" w:rsidRPr="000D6DEE">
        <w:rPr>
          <w:rFonts w:ascii="Times New Roman" w:hAnsi="Times New Roman" w:cs="Times New Roman"/>
          <w:sz w:val="28"/>
          <w:szCs w:val="28"/>
        </w:rPr>
        <w:t>nel quale è esercitata (anche) l’</w:t>
      </w:r>
      <w:r w:rsidRPr="000D6DEE">
        <w:rPr>
          <w:rFonts w:ascii="Times New Roman" w:hAnsi="Times New Roman" w:cs="Times New Roman"/>
          <w:sz w:val="28"/>
          <w:szCs w:val="28"/>
        </w:rPr>
        <w:t xml:space="preserve">attività abusiva, </w:t>
      </w:r>
      <w:r w:rsidR="0007141C" w:rsidRPr="000D6DEE">
        <w:rPr>
          <w:rFonts w:ascii="Times New Roman" w:hAnsi="Times New Roman" w:cs="Times New Roman"/>
          <w:sz w:val="28"/>
          <w:szCs w:val="28"/>
        </w:rPr>
        <w:t xml:space="preserve">di fatto colpendo quindi l’imprenditore nel suo interesse principale, non accessorio e aggiuntivo. </w:t>
      </w:r>
      <w:r w:rsidRPr="000D6DEE">
        <w:rPr>
          <w:rFonts w:ascii="Times New Roman" w:hAnsi="Times New Roman" w:cs="Times New Roman"/>
          <w:sz w:val="28"/>
          <w:szCs w:val="28"/>
        </w:rPr>
        <w:t>In particolare infatti il comma 2 della norma impone la sospensione dell’attività autorizzata all’interno della quale si svolge quella illegittima di trattenimento o svago per un periodo non superiore a sette giorni</w:t>
      </w:r>
      <w:r w:rsidR="0007141C" w:rsidRPr="000D6DEE">
        <w:rPr>
          <w:rFonts w:ascii="Times New Roman" w:hAnsi="Times New Roman" w:cs="Times New Roman"/>
          <w:sz w:val="28"/>
          <w:szCs w:val="28"/>
        </w:rPr>
        <w:t xml:space="preserve">. Ciò sia </w:t>
      </w:r>
      <w:r w:rsidRPr="000D6DEE">
        <w:rPr>
          <w:rFonts w:ascii="Times New Roman" w:hAnsi="Times New Roman" w:cs="Times New Roman"/>
          <w:sz w:val="28"/>
          <w:szCs w:val="28"/>
        </w:rPr>
        <w:t>in caso di reiterazione della violazione</w:t>
      </w:r>
      <w:r w:rsidRPr="000D6DEE">
        <w:rPr>
          <w:rStyle w:val="Rimandonotaapidipagina"/>
          <w:rFonts w:ascii="Times New Roman" w:hAnsi="Times New Roman" w:cs="Times New Roman"/>
          <w:sz w:val="28"/>
          <w:szCs w:val="28"/>
        </w:rPr>
        <w:footnoteReference w:id="24"/>
      </w:r>
      <w:r w:rsidRPr="000D6DEE">
        <w:rPr>
          <w:rFonts w:ascii="Times New Roman" w:hAnsi="Times New Roman" w:cs="Times New Roman"/>
          <w:sz w:val="28"/>
          <w:szCs w:val="28"/>
        </w:rPr>
        <w:t xml:space="preserve">, </w:t>
      </w:r>
      <w:r w:rsidR="0007141C" w:rsidRPr="000D6DEE">
        <w:rPr>
          <w:rFonts w:ascii="Times New Roman" w:hAnsi="Times New Roman" w:cs="Times New Roman"/>
          <w:sz w:val="28"/>
          <w:szCs w:val="28"/>
        </w:rPr>
        <w:t xml:space="preserve">che laddove </w:t>
      </w:r>
      <w:r w:rsidRPr="000D6DEE">
        <w:rPr>
          <w:rFonts w:ascii="Times New Roman" w:hAnsi="Times New Roman" w:cs="Times New Roman"/>
          <w:sz w:val="28"/>
          <w:szCs w:val="28"/>
        </w:rPr>
        <w:t xml:space="preserve">l’autorizzazione sia stata negata, sospesa o revocata. Non è chi non veda l’intreccio di possibili situazioni che il coacervo di disposizioni richiamate chiama in causa: in caso di sospensione di un’autorizzazione </w:t>
      </w:r>
      <w:r w:rsidRPr="000D6DEE">
        <w:rPr>
          <w:rFonts w:ascii="Times New Roman" w:hAnsi="Times New Roman" w:cs="Times New Roman"/>
          <w:i/>
          <w:sz w:val="28"/>
          <w:szCs w:val="28"/>
        </w:rPr>
        <w:t>ex</w:t>
      </w:r>
      <w:r w:rsidRPr="000D6DEE">
        <w:rPr>
          <w:rFonts w:ascii="Times New Roman" w:hAnsi="Times New Roman" w:cs="Times New Roman"/>
          <w:sz w:val="28"/>
          <w:szCs w:val="28"/>
        </w:rPr>
        <w:t xml:space="preserve"> art</w:t>
      </w:r>
      <w:r w:rsidR="0007141C" w:rsidRPr="000D6DEE">
        <w:rPr>
          <w:rFonts w:ascii="Times New Roman" w:hAnsi="Times New Roman" w:cs="Times New Roman"/>
          <w:sz w:val="28"/>
          <w:szCs w:val="28"/>
        </w:rPr>
        <w:t>t</w:t>
      </w:r>
      <w:r w:rsidRPr="000D6DEE">
        <w:rPr>
          <w:rFonts w:ascii="Times New Roman" w:hAnsi="Times New Roman" w:cs="Times New Roman"/>
          <w:sz w:val="28"/>
          <w:szCs w:val="28"/>
        </w:rPr>
        <w:t xml:space="preserve">. 68 o 69 </w:t>
      </w:r>
      <w:proofErr w:type="spellStart"/>
      <w:r w:rsidRPr="000D6DEE">
        <w:rPr>
          <w:rFonts w:ascii="Times New Roman" w:hAnsi="Times New Roman" w:cs="Times New Roman"/>
          <w:sz w:val="28"/>
          <w:szCs w:val="28"/>
        </w:rPr>
        <w:t>T.u.l.p.s</w:t>
      </w:r>
      <w:proofErr w:type="spellEnd"/>
      <w:r w:rsidRPr="000D6DEE">
        <w:rPr>
          <w:rFonts w:ascii="Times New Roman" w:hAnsi="Times New Roman" w:cs="Times New Roman"/>
          <w:sz w:val="28"/>
          <w:szCs w:val="28"/>
        </w:rPr>
        <w:t xml:space="preserve">. ai sensi dell’art. 10 del </w:t>
      </w:r>
      <w:proofErr w:type="spellStart"/>
      <w:r w:rsidRPr="000D6DEE">
        <w:rPr>
          <w:rFonts w:ascii="Times New Roman" w:hAnsi="Times New Roman" w:cs="Times New Roman"/>
          <w:sz w:val="28"/>
          <w:szCs w:val="28"/>
        </w:rPr>
        <w:t>T.u.l.p.s</w:t>
      </w:r>
      <w:proofErr w:type="spellEnd"/>
      <w:r w:rsidRPr="000D6DEE">
        <w:rPr>
          <w:rFonts w:ascii="Times New Roman" w:hAnsi="Times New Roman" w:cs="Times New Roman"/>
          <w:sz w:val="28"/>
          <w:szCs w:val="28"/>
        </w:rPr>
        <w:t xml:space="preserve">., l’esercente verrà sanzionato in via principale </w:t>
      </w:r>
      <w:r w:rsidRPr="000D6DEE">
        <w:rPr>
          <w:rFonts w:ascii="Times New Roman" w:hAnsi="Times New Roman" w:cs="Times New Roman"/>
          <w:i/>
          <w:sz w:val="28"/>
          <w:szCs w:val="28"/>
        </w:rPr>
        <w:t>ex</w:t>
      </w:r>
      <w:r w:rsidRPr="000D6DEE">
        <w:rPr>
          <w:rFonts w:ascii="Times New Roman" w:hAnsi="Times New Roman" w:cs="Times New Roman"/>
          <w:sz w:val="28"/>
          <w:szCs w:val="28"/>
        </w:rPr>
        <w:t xml:space="preserve"> art. 666 c.p., </w:t>
      </w:r>
      <w:r w:rsidR="0007141C" w:rsidRPr="000D6DEE">
        <w:rPr>
          <w:rFonts w:ascii="Times New Roman" w:hAnsi="Times New Roman" w:cs="Times New Roman"/>
          <w:sz w:val="28"/>
          <w:szCs w:val="28"/>
        </w:rPr>
        <w:t xml:space="preserve">ma </w:t>
      </w:r>
      <w:r w:rsidRPr="000D6DEE">
        <w:rPr>
          <w:rFonts w:ascii="Times New Roman" w:hAnsi="Times New Roman" w:cs="Times New Roman"/>
          <w:sz w:val="28"/>
          <w:szCs w:val="28"/>
        </w:rPr>
        <w:t xml:space="preserve">incorrerà </w:t>
      </w:r>
      <w:r w:rsidR="0007141C" w:rsidRPr="000D6DEE">
        <w:rPr>
          <w:rFonts w:ascii="Times New Roman" w:hAnsi="Times New Roman" w:cs="Times New Roman"/>
          <w:sz w:val="28"/>
          <w:szCs w:val="28"/>
        </w:rPr>
        <w:t xml:space="preserve">anche </w:t>
      </w:r>
      <w:r w:rsidRPr="000D6DEE">
        <w:rPr>
          <w:rFonts w:ascii="Times New Roman" w:hAnsi="Times New Roman" w:cs="Times New Roman"/>
          <w:sz w:val="28"/>
          <w:szCs w:val="28"/>
        </w:rPr>
        <w:t>nella misura interdittiva di cui al comma 2</w:t>
      </w:r>
      <w:r w:rsidR="0007141C" w:rsidRPr="000D6DEE">
        <w:rPr>
          <w:rFonts w:ascii="Times New Roman" w:hAnsi="Times New Roman" w:cs="Times New Roman"/>
          <w:sz w:val="28"/>
          <w:szCs w:val="28"/>
        </w:rPr>
        <w:t xml:space="preserve">, ovvero, </w:t>
      </w:r>
      <w:r w:rsidRPr="000D6DEE">
        <w:rPr>
          <w:rFonts w:ascii="Times New Roman" w:hAnsi="Times New Roman" w:cs="Times New Roman"/>
          <w:sz w:val="28"/>
          <w:szCs w:val="28"/>
        </w:rPr>
        <w:t>ove l’attività si svolga ad esempio in un bar o altro pubblico esercizio, lo stesso dovrà essere chiuso fino a sette giorni; ove invece si tratti di altra tipologia di attività soggetta ad autorizzazione di polizia</w:t>
      </w:r>
      <w:r w:rsidR="0007141C" w:rsidRPr="000D6DEE">
        <w:rPr>
          <w:rFonts w:ascii="Times New Roman" w:hAnsi="Times New Roman" w:cs="Times New Roman"/>
          <w:sz w:val="28"/>
          <w:szCs w:val="28"/>
        </w:rPr>
        <w:t xml:space="preserve"> diversa</w:t>
      </w:r>
      <w:r w:rsidRPr="000D6DEE">
        <w:rPr>
          <w:rFonts w:ascii="Times New Roman" w:hAnsi="Times New Roman" w:cs="Times New Roman"/>
          <w:sz w:val="28"/>
          <w:szCs w:val="28"/>
        </w:rPr>
        <w:t>, la sanzione principale sarà quella di cui all’art. 17-</w:t>
      </w:r>
      <w:r w:rsidRPr="000D6DEE">
        <w:rPr>
          <w:rFonts w:ascii="Times New Roman" w:hAnsi="Times New Roman" w:cs="Times New Roman"/>
          <w:i/>
          <w:sz w:val="28"/>
          <w:szCs w:val="28"/>
        </w:rPr>
        <w:t>bis</w:t>
      </w:r>
      <w:r w:rsidRPr="000D6DEE">
        <w:rPr>
          <w:rFonts w:ascii="Times New Roman" w:hAnsi="Times New Roman" w:cs="Times New Roman"/>
          <w:sz w:val="28"/>
          <w:szCs w:val="28"/>
        </w:rPr>
        <w:t xml:space="preserve"> del </w:t>
      </w:r>
      <w:proofErr w:type="spellStart"/>
      <w:r w:rsidRPr="000D6DEE">
        <w:rPr>
          <w:rFonts w:ascii="Times New Roman" w:hAnsi="Times New Roman" w:cs="Times New Roman"/>
          <w:sz w:val="28"/>
          <w:szCs w:val="28"/>
        </w:rPr>
        <w:t>T.u.l.p.s</w:t>
      </w:r>
      <w:proofErr w:type="spellEnd"/>
      <w:r w:rsidRPr="000D6DEE">
        <w:rPr>
          <w:rFonts w:ascii="Times New Roman" w:hAnsi="Times New Roman" w:cs="Times New Roman"/>
          <w:sz w:val="28"/>
          <w:szCs w:val="28"/>
        </w:rPr>
        <w:t>., la misura riparatoria quella di cui all’art. 17-</w:t>
      </w:r>
      <w:r w:rsidRPr="000D6DEE">
        <w:rPr>
          <w:rFonts w:ascii="Times New Roman" w:hAnsi="Times New Roman" w:cs="Times New Roman"/>
          <w:i/>
          <w:sz w:val="28"/>
          <w:szCs w:val="28"/>
        </w:rPr>
        <w:t>ter</w:t>
      </w:r>
      <w:r w:rsidRPr="000D6DEE">
        <w:rPr>
          <w:rFonts w:ascii="Times New Roman" w:hAnsi="Times New Roman" w:cs="Times New Roman"/>
          <w:sz w:val="28"/>
          <w:szCs w:val="28"/>
        </w:rPr>
        <w:t xml:space="preserve">, quella accessoria facoltativa la chiusura fino a tre mesi </w:t>
      </w:r>
      <w:r w:rsidRPr="000D6DEE">
        <w:rPr>
          <w:rFonts w:ascii="Times New Roman" w:hAnsi="Times New Roman" w:cs="Times New Roman"/>
          <w:i/>
          <w:sz w:val="28"/>
          <w:szCs w:val="28"/>
        </w:rPr>
        <w:t>ex</w:t>
      </w:r>
      <w:r w:rsidRPr="000D6DEE">
        <w:rPr>
          <w:rFonts w:ascii="Times New Roman" w:hAnsi="Times New Roman" w:cs="Times New Roman"/>
          <w:sz w:val="28"/>
          <w:szCs w:val="28"/>
        </w:rPr>
        <w:t xml:space="preserve"> art. 17-</w:t>
      </w:r>
      <w:r w:rsidRPr="000D6DEE">
        <w:rPr>
          <w:rFonts w:ascii="Times New Roman" w:hAnsi="Times New Roman" w:cs="Times New Roman"/>
          <w:i/>
          <w:sz w:val="28"/>
          <w:szCs w:val="28"/>
        </w:rPr>
        <w:t>quate</w:t>
      </w:r>
      <w:r w:rsidRPr="000D6DEE">
        <w:rPr>
          <w:rFonts w:ascii="Times New Roman" w:hAnsi="Times New Roman" w:cs="Times New Roman"/>
          <w:sz w:val="28"/>
          <w:szCs w:val="28"/>
        </w:rPr>
        <w:t>r, ben potendo il mantenimento dell’attività sospesa costituire inosservanza di una prescrizione imposta dalla legge e pure impartita dall’autorità.</w:t>
      </w:r>
    </w:p>
    <w:p w:rsidR="003C2694" w:rsidRPr="000D6DEE" w:rsidRDefault="0007141C" w:rsidP="003C2694">
      <w:pPr>
        <w:spacing w:line="360" w:lineRule="auto"/>
        <w:jc w:val="both"/>
        <w:rPr>
          <w:rFonts w:ascii="Times New Roman" w:hAnsi="Times New Roman" w:cs="Times New Roman"/>
          <w:sz w:val="28"/>
          <w:szCs w:val="28"/>
        </w:rPr>
      </w:pPr>
      <w:r w:rsidRPr="000D6DEE">
        <w:rPr>
          <w:rFonts w:ascii="Times New Roman" w:hAnsi="Times New Roman" w:cs="Times New Roman"/>
          <w:sz w:val="28"/>
          <w:szCs w:val="28"/>
        </w:rPr>
        <w:t>Nella narrazione esemplificativa proposta si sono già suggeriti gli inquadramenti dogmatico-sistematici delle misure previste. In realtà, la</w:t>
      </w:r>
      <w:r w:rsidR="003C2694" w:rsidRPr="000D6DEE">
        <w:rPr>
          <w:rFonts w:ascii="Times New Roman" w:hAnsi="Times New Roman" w:cs="Times New Roman"/>
          <w:sz w:val="28"/>
          <w:szCs w:val="28"/>
        </w:rPr>
        <w:t xml:space="preserve"> differenza di inquadramento </w:t>
      </w:r>
      <w:r w:rsidR="003C2694" w:rsidRPr="000D6DEE">
        <w:rPr>
          <w:rFonts w:ascii="Times New Roman" w:hAnsi="Times New Roman" w:cs="Times New Roman"/>
          <w:sz w:val="28"/>
          <w:szCs w:val="28"/>
        </w:rPr>
        <w:lastRenderedPageBreak/>
        <w:t xml:space="preserve">tra una misura di portata più propriamente cautelare, quale la cessazione dell’attività, che mira a cauterizzare nell’immediato la lesione arrecata all’ordinamento dallo svolgimento dell’attività priva di titolo e la sanzione </w:t>
      </w:r>
      <w:r w:rsidRPr="000D6DEE">
        <w:rPr>
          <w:rFonts w:ascii="Times New Roman" w:hAnsi="Times New Roman" w:cs="Times New Roman"/>
          <w:sz w:val="28"/>
          <w:szCs w:val="28"/>
        </w:rPr>
        <w:t xml:space="preserve">non sempre è di così immediata percezione. Si ritiene che essa </w:t>
      </w:r>
      <w:r w:rsidR="003C2694" w:rsidRPr="000D6DEE">
        <w:rPr>
          <w:rFonts w:ascii="Times New Roman" w:hAnsi="Times New Roman" w:cs="Times New Roman"/>
          <w:sz w:val="28"/>
          <w:szCs w:val="28"/>
        </w:rPr>
        <w:t>risied</w:t>
      </w:r>
      <w:r w:rsidRPr="000D6DEE">
        <w:rPr>
          <w:rFonts w:ascii="Times New Roman" w:hAnsi="Times New Roman" w:cs="Times New Roman"/>
          <w:sz w:val="28"/>
          <w:szCs w:val="28"/>
        </w:rPr>
        <w:t>a</w:t>
      </w:r>
      <w:r w:rsidR="003C2694" w:rsidRPr="000D6DEE">
        <w:rPr>
          <w:rFonts w:ascii="Times New Roman" w:hAnsi="Times New Roman" w:cs="Times New Roman"/>
          <w:sz w:val="28"/>
          <w:szCs w:val="28"/>
        </w:rPr>
        <w:t xml:space="preserve"> proprio nell’esigenza di reattività immediata</w:t>
      </w:r>
      <w:r w:rsidRPr="000D6DEE">
        <w:rPr>
          <w:rFonts w:ascii="Times New Roman" w:hAnsi="Times New Roman" w:cs="Times New Roman"/>
          <w:sz w:val="28"/>
          <w:szCs w:val="28"/>
        </w:rPr>
        <w:t xml:space="preserve">, che la rendono assimilabile in qualche modo al rimedio estemporaneo ed </w:t>
      </w:r>
      <w:r w:rsidRPr="000D6DEE">
        <w:rPr>
          <w:rFonts w:ascii="Times New Roman" w:hAnsi="Times New Roman" w:cs="Times New Roman"/>
          <w:i/>
          <w:sz w:val="28"/>
          <w:szCs w:val="28"/>
        </w:rPr>
        <w:t>extra ordinem</w:t>
      </w:r>
      <w:r w:rsidRPr="000D6DEE">
        <w:rPr>
          <w:rFonts w:ascii="Times New Roman" w:hAnsi="Times New Roman" w:cs="Times New Roman"/>
          <w:sz w:val="28"/>
          <w:szCs w:val="28"/>
        </w:rPr>
        <w:t xml:space="preserve"> accordato al Sindaco con le ordinanze contingibili e urgenti, che tuttavia presuppone proprio la mancanza di altri strumenti “tipici” forniti dall’ordinamento. </w:t>
      </w:r>
      <w:r w:rsidR="003C2694" w:rsidRPr="000D6DEE">
        <w:rPr>
          <w:rFonts w:ascii="Times New Roman" w:hAnsi="Times New Roman" w:cs="Times New Roman"/>
          <w:sz w:val="28"/>
          <w:szCs w:val="28"/>
        </w:rPr>
        <w:t xml:space="preserve">La </w:t>
      </w:r>
      <w:r w:rsidRPr="000D6DEE">
        <w:rPr>
          <w:rFonts w:ascii="Times New Roman" w:hAnsi="Times New Roman" w:cs="Times New Roman"/>
          <w:sz w:val="28"/>
          <w:szCs w:val="28"/>
        </w:rPr>
        <w:t xml:space="preserve">misura interdittiva con finalità cautelare, cioè, </w:t>
      </w:r>
      <w:r w:rsidR="003C2694" w:rsidRPr="000D6DEE">
        <w:rPr>
          <w:rFonts w:ascii="Times New Roman" w:hAnsi="Times New Roman" w:cs="Times New Roman"/>
          <w:sz w:val="28"/>
          <w:szCs w:val="28"/>
        </w:rPr>
        <w:t>presuppone</w:t>
      </w:r>
      <w:r w:rsidRPr="000D6DEE">
        <w:rPr>
          <w:rFonts w:ascii="Times New Roman" w:hAnsi="Times New Roman" w:cs="Times New Roman"/>
          <w:sz w:val="28"/>
          <w:szCs w:val="28"/>
        </w:rPr>
        <w:t xml:space="preserve"> ontologicamente</w:t>
      </w:r>
      <w:r w:rsidR="003C2694" w:rsidRPr="000D6DEE">
        <w:rPr>
          <w:rFonts w:ascii="Times New Roman" w:hAnsi="Times New Roman" w:cs="Times New Roman"/>
          <w:sz w:val="28"/>
          <w:szCs w:val="28"/>
        </w:rPr>
        <w:t xml:space="preserve">, per essere efficace, tempi piuttosto compressi di adozione e per tale ragione prescinde finanche dalla verifica della effettiva responsabilità soggettiva nella causazione del fatto. In talune circostanze, ovvero ove vengano all’evidenza esigenze prioritarie di tutela dell’incolumità pubblica, ciò giustifica l’intervento per così dire </w:t>
      </w:r>
      <w:r w:rsidR="003C2694" w:rsidRPr="000D6DEE">
        <w:rPr>
          <w:rFonts w:ascii="Times New Roman" w:hAnsi="Times New Roman" w:cs="Times New Roman"/>
          <w:i/>
          <w:sz w:val="28"/>
          <w:szCs w:val="28"/>
        </w:rPr>
        <w:t>ad horas</w:t>
      </w:r>
      <w:r w:rsidR="003C2694" w:rsidRPr="000D6DEE">
        <w:rPr>
          <w:rFonts w:ascii="Times New Roman" w:hAnsi="Times New Roman" w:cs="Times New Roman"/>
          <w:sz w:val="28"/>
          <w:szCs w:val="28"/>
        </w:rPr>
        <w:t xml:space="preserve"> e, si ritiene, finanche in forma orale: si pensi al caso in cui il locale ove si svolge lo spettacolo o il trattenimento pubblico sia privo anche di collaudo ai sensi dell’art. 80 del </w:t>
      </w:r>
      <w:proofErr w:type="spellStart"/>
      <w:r w:rsidR="003C2694" w:rsidRPr="000D6DEE">
        <w:rPr>
          <w:rFonts w:ascii="Times New Roman" w:hAnsi="Times New Roman" w:cs="Times New Roman"/>
          <w:sz w:val="28"/>
          <w:szCs w:val="28"/>
        </w:rPr>
        <w:t>T.u.l.p.s</w:t>
      </w:r>
      <w:proofErr w:type="spellEnd"/>
      <w:r w:rsidR="003C2694" w:rsidRPr="000D6DEE">
        <w:rPr>
          <w:rFonts w:ascii="Times New Roman" w:hAnsi="Times New Roman" w:cs="Times New Roman"/>
          <w:sz w:val="28"/>
          <w:szCs w:val="28"/>
        </w:rPr>
        <w:t>. È di tutta evidenza che per tali fattispecie è essenziale bloccare immediatamente  l’attività, sicché l’ordine di cessazione della stessa ben può motivare una successiva notizia di reato per violazione dell’art. 650 c.p. essendo riconducibile a ragioni di sicurezza pubblica</w:t>
      </w:r>
      <w:r w:rsidR="003C2694" w:rsidRPr="000D6DEE">
        <w:rPr>
          <w:rStyle w:val="Rimandonotaapidipagina"/>
          <w:rFonts w:ascii="Times New Roman" w:hAnsi="Times New Roman" w:cs="Times New Roman"/>
          <w:sz w:val="28"/>
          <w:szCs w:val="28"/>
        </w:rPr>
        <w:footnoteReference w:id="25"/>
      </w:r>
      <w:r w:rsidR="003C2694" w:rsidRPr="000D6DEE">
        <w:rPr>
          <w:rFonts w:ascii="Times New Roman" w:hAnsi="Times New Roman" w:cs="Times New Roman"/>
          <w:sz w:val="28"/>
          <w:szCs w:val="28"/>
        </w:rPr>
        <w:t xml:space="preserve">. Di ciò si darà atto, motivando, nel verbale di contestazione, non essendo ipotizzabile attendere il perfezionamento di un normale procedimento sanzionatorio, che nella specie, giusta la inammissibilità del pagamento in misura ridotta e la necessità di addivenire sempre all’ordinanza ingiunzione per individuare l’entità della somma da pagare, rischierebbe di essere troppo lungo e come tale inutile. </w:t>
      </w:r>
      <w:r w:rsidRPr="000D6DEE">
        <w:rPr>
          <w:rFonts w:ascii="Times New Roman" w:hAnsi="Times New Roman" w:cs="Times New Roman"/>
          <w:sz w:val="28"/>
          <w:szCs w:val="28"/>
        </w:rPr>
        <w:t xml:space="preserve">Sotto il profilo formale, dunque, </w:t>
      </w:r>
      <w:r w:rsidR="003C2694" w:rsidRPr="000D6DEE">
        <w:rPr>
          <w:rFonts w:ascii="Times New Roman" w:hAnsi="Times New Roman" w:cs="Times New Roman"/>
          <w:sz w:val="28"/>
          <w:szCs w:val="28"/>
        </w:rPr>
        <w:t xml:space="preserve">sarà l’organo procedente o l’amministrazione a dover valutare caso per caso la via migliore per conciliare le esigenze di tutela </w:t>
      </w:r>
      <w:r w:rsidR="00A272B0" w:rsidRPr="000D6DEE">
        <w:rPr>
          <w:rFonts w:ascii="Times New Roman" w:hAnsi="Times New Roman" w:cs="Times New Roman"/>
          <w:sz w:val="28"/>
          <w:szCs w:val="28"/>
        </w:rPr>
        <w:t xml:space="preserve">alla cui salvaguardia è preposto </w:t>
      </w:r>
      <w:r w:rsidR="003C2694" w:rsidRPr="000D6DEE">
        <w:rPr>
          <w:rFonts w:ascii="Times New Roman" w:hAnsi="Times New Roman" w:cs="Times New Roman"/>
          <w:sz w:val="28"/>
          <w:szCs w:val="28"/>
        </w:rPr>
        <w:t xml:space="preserve">con quelle di difesa del presunto trasgressore. Nei casi in cui, ad esempio, </w:t>
      </w:r>
      <w:r w:rsidR="00A272B0" w:rsidRPr="000D6DEE">
        <w:rPr>
          <w:rFonts w:ascii="Times New Roman" w:hAnsi="Times New Roman" w:cs="Times New Roman"/>
          <w:sz w:val="28"/>
          <w:szCs w:val="28"/>
        </w:rPr>
        <w:t>l’</w:t>
      </w:r>
      <w:r w:rsidR="003C2694" w:rsidRPr="000D6DEE">
        <w:rPr>
          <w:rFonts w:ascii="Times New Roman" w:hAnsi="Times New Roman" w:cs="Times New Roman"/>
          <w:sz w:val="28"/>
          <w:szCs w:val="28"/>
        </w:rPr>
        <w:t xml:space="preserve">urgenza di agire nell’immediato non sussista, ragioni di analogia di </w:t>
      </w:r>
      <w:r w:rsidR="003C2694" w:rsidRPr="000D6DEE">
        <w:rPr>
          <w:rFonts w:ascii="Times New Roman" w:hAnsi="Times New Roman" w:cs="Times New Roman"/>
          <w:i/>
          <w:sz w:val="28"/>
          <w:szCs w:val="28"/>
        </w:rPr>
        <w:t>ratio</w:t>
      </w:r>
      <w:r w:rsidR="003C2694" w:rsidRPr="000D6DEE">
        <w:rPr>
          <w:rFonts w:ascii="Times New Roman" w:hAnsi="Times New Roman" w:cs="Times New Roman"/>
          <w:sz w:val="28"/>
          <w:szCs w:val="28"/>
        </w:rPr>
        <w:t xml:space="preserve"> possono suggerire di attingere alle tempistiche e alle scansioni procedurali che il legislatore ha inteso tipizzare in relazione agli illeciti amministrativi da </w:t>
      </w:r>
      <w:r w:rsidR="003C2694" w:rsidRPr="000D6DEE">
        <w:rPr>
          <w:rFonts w:ascii="Times New Roman" w:hAnsi="Times New Roman" w:cs="Times New Roman"/>
          <w:sz w:val="28"/>
          <w:szCs w:val="28"/>
        </w:rPr>
        <w:lastRenderedPageBreak/>
        <w:t xml:space="preserve">depenalizzazione del </w:t>
      </w:r>
      <w:proofErr w:type="spellStart"/>
      <w:r w:rsidR="003C2694" w:rsidRPr="000D6DEE">
        <w:rPr>
          <w:rFonts w:ascii="Times New Roman" w:hAnsi="Times New Roman" w:cs="Times New Roman"/>
          <w:sz w:val="28"/>
          <w:szCs w:val="28"/>
        </w:rPr>
        <w:t>T.u.l.p.s</w:t>
      </w:r>
      <w:proofErr w:type="spellEnd"/>
      <w:r w:rsidR="003C2694" w:rsidRPr="000D6DEE">
        <w:rPr>
          <w:rFonts w:ascii="Times New Roman" w:hAnsi="Times New Roman" w:cs="Times New Roman"/>
          <w:sz w:val="28"/>
          <w:szCs w:val="28"/>
        </w:rPr>
        <w:t xml:space="preserve">. nel </w:t>
      </w:r>
      <w:r w:rsidR="00A272B0" w:rsidRPr="000D6DEE">
        <w:rPr>
          <w:rFonts w:ascii="Times New Roman" w:hAnsi="Times New Roman" w:cs="Times New Roman"/>
          <w:sz w:val="28"/>
          <w:szCs w:val="28"/>
        </w:rPr>
        <w:t>già</w:t>
      </w:r>
      <w:r w:rsidR="003C2694" w:rsidRPr="000D6DEE">
        <w:rPr>
          <w:rFonts w:ascii="Times New Roman" w:hAnsi="Times New Roman" w:cs="Times New Roman"/>
          <w:sz w:val="28"/>
          <w:szCs w:val="28"/>
        </w:rPr>
        <w:t xml:space="preserve"> ricordato art. 17-</w:t>
      </w:r>
      <w:r w:rsidR="003C2694" w:rsidRPr="000D6DEE">
        <w:rPr>
          <w:rFonts w:ascii="Times New Roman" w:hAnsi="Times New Roman" w:cs="Times New Roman"/>
          <w:i/>
          <w:sz w:val="28"/>
          <w:szCs w:val="28"/>
        </w:rPr>
        <w:t>ter</w:t>
      </w:r>
      <w:r w:rsidR="003C2694" w:rsidRPr="000D6DEE">
        <w:rPr>
          <w:rFonts w:ascii="Times New Roman" w:hAnsi="Times New Roman" w:cs="Times New Roman"/>
          <w:sz w:val="28"/>
          <w:szCs w:val="28"/>
        </w:rPr>
        <w:t xml:space="preserve"> del </w:t>
      </w:r>
      <w:proofErr w:type="spellStart"/>
      <w:r w:rsidR="003C2694" w:rsidRPr="000D6DEE">
        <w:rPr>
          <w:rFonts w:ascii="Times New Roman" w:hAnsi="Times New Roman" w:cs="Times New Roman"/>
          <w:sz w:val="28"/>
          <w:szCs w:val="28"/>
        </w:rPr>
        <w:t>T.u.l.p.s</w:t>
      </w:r>
      <w:proofErr w:type="spellEnd"/>
      <w:r w:rsidR="003C2694" w:rsidRPr="000D6DEE">
        <w:rPr>
          <w:rFonts w:ascii="Times New Roman" w:hAnsi="Times New Roman" w:cs="Times New Roman"/>
          <w:sz w:val="28"/>
          <w:szCs w:val="28"/>
        </w:rPr>
        <w:t xml:space="preserve">. Di massima, quindi, potrà essere ritenuto congruo </w:t>
      </w:r>
      <w:r w:rsidR="00A272B0" w:rsidRPr="000D6DEE">
        <w:rPr>
          <w:rFonts w:ascii="Times New Roman" w:hAnsi="Times New Roman" w:cs="Times New Roman"/>
          <w:sz w:val="28"/>
          <w:szCs w:val="28"/>
        </w:rPr>
        <w:t>il</w:t>
      </w:r>
      <w:r w:rsidR="003C2694" w:rsidRPr="000D6DEE">
        <w:rPr>
          <w:rFonts w:ascii="Times New Roman" w:hAnsi="Times New Roman" w:cs="Times New Roman"/>
          <w:sz w:val="28"/>
          <w:szCs w:val="28"/>
        </w:rPr>
        <w:t xml:space="preserve"> termine </w:t>
      </w:r>
      <w:r w:rsidR="00A272B0" w:rsidRPr="000D6DEE">
        <w:rPr>
          <w:rFonts w:ascii="Times New Roman" w:hAnsi="Times New Roman" w:cs="Times New Roman"/>
          <w:sz w:val="28"/>
          <w:szCs w:val="28"/>
        </w:rPr>
        <w:t xml:space="preserve">ivi previsto </w:t>
      </w:r>
      <w:r w:rsidR="003C2694" w:rsidRPr="000D6DEE">
        <w:rPr>
          <w:rFonts w:ascii="Times New Roman" w:hAnsi="Times New Roman" w:cs="Times New Roman"/>
          <w:sz w:val="28"/>
          <w:szCs w:val="28"/>
        </w:rPr>
        <w:t xml:space="preserve">di cinque giorni, inserendo la comunicazione di avvio del procedimento nel verbale di accertamento ed inoltrandolo all’ufficio solo una volta contestato o notificato l’illecito al trasgressore. Quanto detto peraltro solo in funzione ipergarantista, ben potendo sostenersi che giusta la natura necessitata e il contenuto obbligato dell’atto interdittivo, ridetta comunicazione si palesa superflua, al pari di quanto affermato dalla giurisprudenza con riferimento </w:t>
      </w:r>
      <w:r w:rsidR="0035055B" w:rsidRPr="000D6DEE">
        <w:rPr>
          <w:rFonts w:ascii="Times New Roman" w:hAnsi="Times New Roman" w:cs="Times New Roman"/>
          <w:sz w:val="28"/>
          <w:szCs w:val="28"/>
        </w:rPr>
        <w:t>peraltro</w:t>
      </w:r>
      <w:r w:rsidR="00AC0D01" w:rsidRPr="000D6DEE">
        <w:rPr>
          <w:rFonts w:ascii="Times New Roman" w:hAnsi="Times New Roman" w:cs="Times New Roman"/>
          <w:sz w:val="28"/>
          <w:szCs w:val="28"/>
        </w:rPr>
        <w:t xml:space="preserve"> </w:t>
      </w:r>
      <w:r w:rsidR="003C2694" w:rsidRPr="000D6DEE">
        <w:rPr>
          <w:rFonts w:ascii="Times New Roman" w:hAnsi="Times New Roman" w:cs="Times New Roman"/>
          <w:sz w:val="28"/>
          <w:szCs w:val="28"/>
        </w:rPr>
        <w:t xml:space="preserve">alle sanzioni, </w:t>
      </w:r>
      <w:r w:rsidR="0035055B" w:rsidRPr="000D6DEE">
        <w:rPr>
          <w:rFonts w:ascii="Times New Roman" w:hAnsi="Times New Roman" w:cs="Times New Roman"/>
          <w:sz w:val="28"/>
          <w:szCs w:val="28"/>
        </w:rPr>
        <w:t>sull’assunto che l’amministrazione non potrebbe determinarsi diversamente da quanto ha fatto</w:t>
      </w:r>
      <w:r w:rsidR="008E264E" w:rsidRPr="000D6DEE">
        <w:rPr>
          <w:rFonts w:ascii="Times New Roman" w:hAnsi="Times New Roman" w:cs="Times New Roman"/>
          <w:sz w:val="28"/>
          <w:szCs w:val="28"/>
        </w:rPr>
        <w:t>, con conseguente applicazione dell’art. 21-</w:t>
      </w:r>
      <w:r w:rsidR="008E264E" w:rsidRPr="000D6DEE">
        <w:rPr>
          <w:rFonts w:ascii="Times New Roman" w:hAnsi="Times New Roman" w:cs="Times New Roman"/>
          <w:i/>
          <w:sz w:val="28"/>
          <w:szCs w:val="28"/>
        </w:rPr>
        <w:t>octies</w:t>
      </w:r>
      <w:r w:rsidR="008E264E" w:rsidRPr="000D6DEE">
        <w:rPr>
          <w:rFonts w:ascii="Times New Roman" w:hAnsi="Times New Roman" w:cs="Times New Roman"/>
          <w:sz w:val="28"/>
          <w:szCs w:val="28"/>
        </w:rPr>
        <w:t xml:space="preserve"> della l. n. 241 del 1990</w:t>
      </w:r>
      <w:r w:rsidR="008E264E" w:rsidRPr="000D6DEE">
        <w:rPr>
          <w:rStyle w:val="Rimandonotaapidipagina"/>
          <w:rFonts w:ascii="Times New Roman" w:hAnsi="Times New Roman" w:cs="Times New Roman"/>
          <w:sz w:val="28"/>
          <w:szCs w:val="28"/>
        </w:rPr>
        <w:footnoteReference w:id="26"/>
      </w:r>
      <w:r w:rsidR="003C2694" w:rsidRPr="000D6DEE">
        <w:rPr>
          <w:rFonts w:ascii="Times New Roman" w:hAnsi="Times New Roman" w:cs="Times New Roman"/>
          <w:sz w:val="28"/>
          <w:szCs w:val="28"/>
        </w:rPr>
        <w:t>.</w:t>
      </w:r>
    </w:p>
    <w:p w:rsidR="00A272B0" w:rsidRPr="000D6DEE" w:rsidRDefault="003C2694" w:rsidP="00A272B0">
      <w:pPr>
        <w:spacing w:line="360" w:lineRule="auto"/>
        <w:jc w:val="both"/>
        <w:rPr>
          <w:rFonts w:ascii="Times New Roman" w:hAnsi="Times New Roman" w:cs="Times New Roman"/>
          <w:sz w:val="28"/>
          <w:szCs w:val="28"/>
        </w:rPr>
      </w:pPr>
      <w:r w:rsidRPr="000D6DEE">
        <w:rPr>
          <w:rFonts w:ascii="Times New Roman" w:hAnsi="Times New Roman" w:cs="Times New Roman"/>
          <w:sz w:val="28"/>
          <w:szCs w:val="28"/>
        </w:rPr>
        <w:t xml:space="preserve">La sospensione dell’attività, invece, </w:t>
      </w:r>
      <w:r w:rsidR="008E264E" w:rsidRPr="000D6DEE">
        <w:rPr>
          <w:rFonts w:ascii="Times New Roman" w:hAnsi="Times New Roman" w:cs="Times New Roman"/>
          <w:sz w:val="28"/>
          <w:szCs w:val="28"/>
        </w:rPr>
        <w:t>ove non mirata al ripristino delle condizioni mancanti pare assumere natura meramente cautelare (art. 17-</w:t>
      </w:r>
      <w:r w:rsidR="008E264E" w:rsidRPr="000D6DEE">
        <w:rPr>
          <w:rFonts w:ascii="Times New Roman" w:hAnsi="Times New Roman" w:cs="Times New Roman"/>
          <w:i/>
          <w:sz w:val="28"/>
          <w:szCs w:val="28"/>
        </w:rPr>
        <w:t>ter</w:t>
      </w:r>
      <w:r w:rsidR="008E264E" w:rsidRPr="000D6DEE">
        <w:rPr>
          <w:rFonts w:ascii="Times New Roman" w:hAnsi="Times New Roman" w:cs="Times New Roman"/>
          <w:sz w:val="28"/>
          <w:szCs w:val="28"/>
        </w:rPr>
        <w:t xml:space="preserve">, comma 3,  del </w:t>
      </w:r>
      <w:proofErr w:type="spellStart"/>
      <w:r w:rsidR="008E264E" w:rsidRPr="000D6DEE">
        <w:rPr>
          <w:rFonts w:ascii="Times New Roman" w:hAnsi="Times New Roman" w:cs="Times New Roman"/>
          <w:sz w:val="28"/>
          <w:szCs w:val="28"/>
        </w:rPr>
        <w:t>T.u.l.p.s</w:t>
      </w:r>
      <w:proofErr w:type="spellEnd"/>
      <w:r w:rsidR="008E264E" w:rsidRPr="000D6DEE">
        <w:rPr>
          <w:rFonts w:ascii="Times New Roman" w:hAnsi="Times New Roman" w:cs="Times New Roman"/>
          <w:sz w:val="28"/>
          <w:szCs w:val="28"/>
        </w:rPr>
        <w:t xml:space="preserve">.), </w:t>
      </w:r>
      <w:r w:rsidRPr="000D6DEE">
        <w:rPr>
          <w:rFonts w:ascii="Times New Roman" w:hAnsi="Times New Roman" w:cs="Times New Roman"/>
          <w:sz w:val="28"/>
          <w:szCs w:val="28"/>
        </w:rPr>
        <w:t>ha sicuramente natura sanzionatoria</w:t>
      </w:r>
      <w:r w:rsidR="008E264E" w:rsidRPr="000D6DEE">
        <w:rPr>
          <w:rStyle w:val="Rimandonotaapidipagina"/>
          <w:rFonts w:ascii="Times New Roman" w:hAnsi="Times New Roman" w:cs="Times New Roman"/>
          <w:sz w:val="28"/>
          <w:szCs w:val="28"/>
        </w:rPr>
        <w:footnoteReference w:id="27"/>
      </w:r>
      <w:r w:rsidRPr="000D6DEE">
        <w:rPr>
          <w:rFonts w:ascii="Times New Roman" w:hAnsi="Times New Roman" w:cs="Times New Roman"/>
          <w:sz w:val="28"/>
          <w:szCs w:val="28"/>
        </w:rPr>
        <w:t xml:space="preserve">. </w:t>
      </w:r>
      <w:r w:rsidR="00A272B0" w:rsidRPr="000D6DEE">
        <w:rPr>
          <w:rFonts w:ascii="Times New Roman" w:hAnsi="Times New Roman" w:cs="Times New Roman"/>
          <w:sz w:val="28"/>
          <w:szCs w:val="28"/>
        </w:rPr>
        <w:t>Nel primo caso, dunque, un’eventuale contestazione dovrà essere portata all’attenzione del giudice amministrativo; nel secondo valgono le regole sull’opposizione innanzi al giudice ordinario di cui alla l. n. 689 del 1981.</w:t>
      </w:r>
      <w:r w:rsidR="008E264E" w:rsidRPr="000D6DEE">
        <w:rPr>
          <w:rFonts w:ascii="Times New Roman" w:hAnsi="Times New Roman" w:cs="Times New Roman"/>
          <w:color w:val="000000"/>
          <w:sz w:val="28"/>
          <w:szCs w:val="28"/>
        </w:rPr>
        <w:t xml:space="preserve"> </w:t>
      </w:r>
      <w:r w:rsidR="0010172F" w:rsidRPr="000D6DEE">
        <w:rPr>
          <w:rFonts w:ascii="Times New Roman" w:hAnsi="Times New Roman" w:cs="Times New Roman"/>
          <w:color w:val="000000"/>
          <w:sz w:val="28"/>
          <w:szCs w:val="28"/>
        </w:rPr>
        <w:t>Le esigenze di partecipazione dell’interessato, a fini di tutela, appaiono tuttavia forti giusta la portata afflittiva della chiusura dell’esercizio, e l’aspetto di discrezionalità amministrativa in ordine all’entità della stessa (fino a sei mesi), sicché anche sotto tale profilo ne potrebbe conseguire una specifica contestazione </w:t>
      </w:r>
      <w:r w:rsidR="0010172F" w:rsidRPr="000D6DEE">
        <w:rPr>
          <w:rFonts w:ascii="Times New Roman" w:hAnsi="Times New Roman" w:cs="Times New Roman"/>
          <w:i/>
          <w:iCs/>
          <w:color w:val="000000"/>
          <w:sz w:val="28"/>
          <w:szCs w:val="28"/>
        </w:rPr>
        <w:t>sub specie</w:t>
      </w:r>
      <w:r w:rsidR="0010172F" w:rsidRPr="000D6DEE">
        <w:rPr>
          <w:rFonts w:ascii="Times New Roman" w:hAnsi="Times New Roman" w:cs="Times New Roman"/>
          <w:color w:val="000000"/>
          <w:sz w:val="28"/>
          <w:szCs w:val="28"/>
        </w:rPr>
        <w:t xml:space="preserve"> di violazione del principio di proporzionalità. Da qui l’importanza della </w:t>
      </w:r>
      <w:r w:rsidR="008E264E" w:rsidRPr="000D6DEE">
        <w:rPr>
          <w:rFonts w:ascii="Times New Roman" w:hAnsi="Times New Roman" w:cs="Times New Roman"/>
          <w:color w:val="000000"/>
          <w:sz w:val="28"/>
          <w:szCs w:val="28"/>
        </w:rPr>
        <w:t>redazione del verbale di accertamento del fatto costituente illecito, che avviene in contraddittorio (o alla presenza) del</w:t>
      </w:r>
      <w:r w:rsidR="0010172F" w:rsidRPr="000D6DEE">
        <w:rPr>
          <w:rFonts w:ascii="Times New Roman" w:hAnsi="Times New Roman" w:cs="Times New Roman"/>
          <w:color w:val="000000"/>
          <w:sz w:val="28"/>
          <w:szCs w:val="28"/>
        </w:rPr>
        <w:t xml:space="preserve"> trasgressore </w:t>
      </w:r>
      <w:r w:rsidR="008E264E" w:rsidRPr="000D6DEE">
        <w:rPr>
          <w:rFonts w:ascii="Times New Roman" w:hAnsi="Times New Roman" w:cs="Times New Roman"/>
          <w:color w:val="000000"/>
          <w:sz w:val="28"/>
          <w:szCs w:val="28"/>
        </w:rPr>
        <w:t>e che costituisce il primo atto di avvio</w:t>
      </w:r>
      <w:r w:rsidR="0010172F" w:rsidRPr="000D6DEE">
        <w:rPr>
          <w:rFonts w:ascii="Times New Roman" w:hAnsi="Times New Roman" w:cs="Times New Roman"/>
          <w:color w:val="000000"/>
          <w:sz w:val="28"/>
          <w:szCs w:val="28"/>
        </w:rPr>
        <w:t xml:space="preserve"> del procedimento sanzionatorio</w:t>
      </w:r>
      <w:r w:rsidR="008E264E" w:rsidRPr="000D6DEE">
        <w:rPr>
          <w:rFonts w:ascii="Times New Roman" w:hAnsi="Times New Roman" w:cs="Times New Roman"/>
          <w:color w:val="000000"/>
          <w:sz w:val="28"/>
          <w:szCs w:val="28"/>
        </w:rPr>
        <w:t>.</w:t>
      </w:r>
    </w:p>
    <w:p w:rsidR="00450B3A" w:rsidRPr="000D6DEE" w:rsidRDefault="00A272B0" w:rsidP="00A272B0">
      <w:pPr>
        <w:spacing w:line="360" w:lineRule="auto"/>
        <w:jc w:val="both"/>
        <w:rPr>
          <w:rFonts w:ascii="Times New Roman" w:hAnsi="Times New Roman" w:cs="Times New Roman"/>
          <w:sz w:val="28"/>
          <w:szCs w:val="28"/>
        </w:rPr>
      </w:pPr>
      <w:r w:rsidRPr="000D6DEE">
        <w:rPr>
          <w:rFonts w:ascii="Times New Roman" w:hAnsi="Times New Roman" w:cs="Times New Roman"/>
          <w:sz w:val="28"/>
          <w:szCs w:val="28"/>
        </w:rPr>
        <w:t xml:space="preserve">Per completezza, va ricordato che l’art. 666 c.p. non “copre” l’ipotesi della violazione delle prescrizioni che ai sensi dell’art. 9 del </w:t>
      </w:r>
      <w:proofErr w:type="spellStart"/>
      <w:r w:rsidRPr="000D6DEE">
        <w:rPr>
          <w:rFonts w:ascii="Times New Roman" w:hAnsi="Times New Roman" w:cs="Times New Roman"/>
          <w:sz w:val="28"/>
          <w:szCs w:val="28"/>
        </w:rPr>
        <w:t>T</w:t>
      </w:r>
      <w:r w:rsidR="0035055B" w:rsidRPr="000D6DEE">
        <w:rPr>
          <w:rFonts w:ascii="Times New Roman" w:hAnsi="Times New Roman" w:cs="Times New Roman"/>
          <w:sz w:val="28"/>
          <w:szCs w:val="28"/>
        </w:rPr>
        <w:t>.</w:t>
      </w:r>
      <w:r w:rsidRPr="000D6DEE">
        <w:rPr>
          <w:rFonts w:ascii="Times New Roman" w:hAnsi="Times New Roman" w:cs="Times New Roman"/>
          <w:sz w:val="28"/>
          <w:szCs w:val="28"/>
        </w:rPr>
        <w:t>u</w:t>
      </w:r>
      <w:r w:rsidR="0035055B" w:rsidRPr="000D6DEE">
        <w:rPr>
          <w:rFonts w:ascii="Times New Roman" w:hAnsi="Times New Roman" w:cs="Times New Roman"/>
          <w:sz w:val="28"/>
          <w:szCs w:val="28"/>
        </w:rPr>
        <w:t>.</w:t>
      </w:r>
      <w:r w:rsidRPr="000D6DEE">
        <w:rPr>
          <w:rFonts w:ascii="Times New Roman" w:hAnsi="Times New Roman" w:cs="Times New Roman"/>
          <w:sz w:val="28"/>
          <w:szCs w:val="28"/>
        </w:rPr>
        <w:t>l</w:t>
      </w:r>
      <w:r w:rsidR="0035055B" w:rsidRPr="000D6DEE">
        <w:rPr>
          <w:rFonts w:ascii="Times New Roman" w:hAnsi="Times New Roman" w:cs="Times New Roman"/>
          <w:sz w:val="28"/>
          <w:szCs w:val="28"/>
        </w:rPr>
        <w:t>.</w:t>
      </w:r>
      <w:r w:rsidRPr="000D6DEE">
        <w:rPr>
          <w:rFonts w:ascii="Times New Roman" w:hAnsi="Times New Roman" w:cs="Times New Roman"/>
          <w:sz w:val="28"/>
          <w:szCs w:val="28"/>
        </w:rPr>
        <w:t>p</w:t>
      </w:r>
      <w:r w:rsidR="0035055B" w:rsidRPr="000D6DEE">
        <w:rPr>
          <w:rFonts w:ascii="Times New Roman" w:hAnsi="Times New Roman" w:cs="Times New Roman"/>
          <w:sz w:val="28"/>
          <w:szCs w:val="28"/>
        </w:rPr>
        <w:t>.</w:t>
      </w:r>
      <w:r w:rsidRPr="000D6DEE">
        <w:rPr>
          <w:rFonts w:ascii="Times New Roman" w:hAnsi="Times New Roman" w:cs="Times New Roman"/>
          <w:sz w:val="28"/>
          <w:szCs w:val="28"/>
        </w:rPr>
        <w:t>s</w:t>
      </w:r>
      <w:proofErr w:type="spellEnd"/>
      <w:r w:rsidR="0035055B" w:rsidRPr="000D6DEE">
        <w:rPr>
          <w:rFonts w:ascii="Times New Roman" w:hAnsi="Times New Roman" w:cs="Times New Roman"/>
          <w:sz w:val="28"/>
          <w:szCs w:val="28"/>
        </w:rPr>
        <w:t>.</w:t>
      </w:r>
      <w:r w:rsidRPr="000D6DEE">
        <w:rPr>
          <w:rFonts w:ascii="Times New Roman" w:hAnsi="Times New Roman" w:cs="Times New Roman"/>
          <w:sz w:val="28"/>
          <w:szCs w:val="28"/>
        </w:rPr>
        <w:t xml:space="preserve"> possono essere state imposte al </w:t>
      </w:r>
      <w:r w:rsidRPr="000D6DEE">
        <w:rPr>
          <w:rFonts w:ascii="Times New Roman" w:hAnsi="Times New Roman" w:cs="Times New Roman"/>
          <w:sz w:val="28"/>
          <w:szCs w:val="28"/>
        </w:rPr>
        <w:lastRenderedPageBreak/>
        <w:t xml:space="preserve">titolare dell’autorizzazione </w:t>
      </w:r>
      <w:r w:rsidRPr="000D6DEE">
        <w:rPr>
          <w:rStyle w:val="Rimandonotaapidipagina"/>
          <w:rFonts w:ascii="Times New Roman" w:hAnsi="Times New Roman" w:cs="Times New Roman"/>
          <w:sz w:val="28"/>
          <w:szCs w:val="28"/>
        </w:rPr>
        <w:footnoteReference w:id="28"/>
      </w:r>
      <w:r w:rsidRPr="000D6DEE">
        <w:rPr>
          <w:rFonts w:ascii="Times New Roman" w:hAnsi="Times New Roman" w:cs="Times New Roman"/>
          <w:sz w:val="28"/>
          <w:szCs w:val="28"/>
        </w:rPr>
        <w:t>. Pertanto la violazione delle stesse continua a costituire reato, riconducibile alla fattispecie residuale di cui all’art. 17 del medesimo Testo unico, diversamente da quanto previsto per la medesima violazione dell’art. 9 dall’art. 17-</w:t>
      </w:r>
      <w:r w:rsidRPr="000D6DEE">
        <w:rPr>
          <w:rFonts w:ascii="Times New Roman" w:hAnsi="Times New Roman" w:cs="Times New Roman"/>
          <w:i/>
          <w:sz w:val="28"/>
          <w:szCs w:val="28"/>
        </w:rPr>
        <w:t>bis</w:t>
      </w:r>
      <w:r w:rsidRPr="000D6DEE">
        <w:rPr>
          <w:rFonts w:ascii="Times New Roman" w:hAnsi="Times New Roman" w:cs="Times New Roman"/>
          <w:sz w:val="28"/>
          <w:szCs w:val="28"/>
        </w:rPr>
        <w:t>, che con riferimento alle diverse tipologie di attività soggette ad autorizzazione di polizia prevede la sanzione amministrativa pecuniaria più grave.</w:t>
      </w:r>
      <w:r w:rsidR="007564E7" w:rsidRPr="000D6DEE">
        <w:rPr>
          <w:rFonts w:ascii="Times New Roman" w:hAnsi="Times New Roman" w:cs="Times New Roman"/>
          <w:sz w:val="28"/>
          <w:szCs w:val="28"/>
        </w:rPr>
        <w:t xml:space="preserve"> </w:t>
      </w:r>
      <w:r w:rsidR="00450B3A" w:rsidRPr="000D6DEE">
        <w:rPr>
          <w:rFonts w:ascii="Times New Roman" w:hAnsi="Times New Roman" w:cs="Times New Roman"/>
          <w:sz w:val="28"/>
          <w:szCs w:val="28"/>
        </w:rPr>
        <w:t xml:space="preserve">Ragioni di sintesi hanno indotto a concentrare le considerazioni sviluppate nelle presenti note sul sistema delle sanzioni accessorie o delle misure </w:t>
      </w:r>
      <w:proofErr w:type="spellStart"/>
      <w:r w:rsidR="00450B3A" w:rsidRPr="000D6DEE">
        <w:rPr>
          <w:rFonts w:ascii="Times New Roman" w:hAnsi="Times New Roman" w:cs="Times New Roman"/>
          <w:sz w:val="28"/>
          <w:szCs w:val="28"/>
        </w:rPr>
        <w:t>interdittive</w:t>
      </w:r>
      <w:proofErr w:type="spellEnd"/>
      <w:r w:rsidR="00450B3A" w:rsidRPr="000D6DEE">
        <w:rPr>
          <w:rFonts w:ascii="Times New Roman" w:hAnsi="Times New Roman" w:cs="Times New Roman"/>
          <w:sz w:val="28"/>
          <w:szCs w:val="28"/>
        </w:rPr>
        <w:t xml:space="preserve"> che accedono a quelle pecuniarie. In senso diametralmente opposto, esigenze di completezza suggeriscono di richiamare le problematiche correlate all’entrata in vigore del d.lgs. 12 luglio 2024</w:t>
      </w:r>
      <w:r w:rsidR="00B03D30" w:rsidRPr="000D6DEE">
        <w:rPr>
          <w:rFonts w:ascii="Times New Roman" w:hAnsi="Times New Roman" w:cs="Times New Roman"/>
          <w:sz w:val="28"/>
          <w:szCs w:val="28"/>
        </w:rPr>
        <w:t>, n.</w:t>
      </w:r>
      <w:r w:rsidR="00450B3A" w:rsidRPr="000D6DEE">
        <w:rPr>
          <w:rFonts w:ascii="Times New Roman" w:hAnsi="Times New Roman" w:cs="Times New Roman"/>
          <w:sz w:val="28"/>
          <w:szCs w:val="28"/>
        </w:rPr>
        <w:t xml:space="preserve"> 103, recante «</w:t>
      </w:r>
      <w:r w:rsidR="00450B3A" w:rsidRPr="000D6DEE">
        <w:rPr>
          <w:rFonts w:ascii="Times New Roman" w:hAnsi="Times New Roman" w:cs="Times New Roman"/>
          <w:i/>
          <w:sz w:val="28"/>
          <w:szCs w:val="28"/>
        </w:rPr>
        <w:t>Semplificazione dei controlli sulle attività economiche, in attuazione della delega al Governo di cui all’articolo 27, comma 1, della legge 5 agosto 2022, n. 118</w:t>
      </w:r>
      <w:r w:rsidR="00450B3A" w:rsidRPr="000D6DEE">
        <w:rPr>
          <w:rFonts w:ascii="Times New Roman" w:hAnsi="Times New Roman" w:cs="Times New Roman"/>
          <w:sz w:val="28"/>
          <w:szCs w:val="28"/>
        </w:rPr>
        <w:t xml:space="preserve">». </w:t>
      </w:r>
      <w:r w:rsidR="00955B89" w:rsidRPr="000D6DEE">
        <w:rPr>
          <w:rFonts w:ascii="Times New Roman" w:hAnsi="Times New Roman" w:cs="Times New Roman"/>
          <w:sz w:val="28"/>
          <w:szCs w:val="28"/>
        </w:rPr>
        <w:t xml:space="preserve">Con tale norma </w:t>
      </w:r>
      <w:r w:rsidR="00B03D30" w:rsidRPr="000D6DEE">
        <w:rPr>
          <w:rFonts w:ascii="Times New Roman" w:hAnsi="Times New Roman" w:cs="Times New Roman"/>
          <w:sz w:val="28"/>
          <w:szCs w:val="28"/>
        </w:rPr>
        <w:t xml:space="preserve">si ripropone e attualizza, </w:t>
      </w:r>
      <w:r w:rsidR="00B03D30" w:rsidRPr="000D6DEE">
        <w:rPr>
          <w:rFonts w:ascii="Times New Roman" w:eastAsia="Times New Roman" w:hAnsi="Times New Roman" w:cs="Times New Roman"/>
          <w:color w:val="000000"/>
          <w:sz w:val="28"/>
          <w:szCs w:val="28"/>
          <w:lang w:eastAsia="it-IT"/>
        </w:rPr>
        <w:t>con la più incisiva opzione della delegazione legislativa, l’obiettivo a suo tempo previsto dall’articolo 14 del decreto-legge 9 febbraio 2012, n. 5, come convertito dalla legge 4 aprile 2012, n. 35 (recante “</w:t>
      </w:r>
      <w:r w:rsidR="00B03D30" w:rsidRPr="000D6DEE">
        <w:rPr>
          <w:rFonts w:ascii="Times New Roman" w:eastAsia="Times New Roman" w:hAnsi="Times New Roman" w:cs="Times New Roman"/>
          <w:i/>
          <w:iCs/>
          <w:color w:val="000000"/>
          <w:sz w:val="28"/>
          <w:szCs w:val="28"/>
          <w:lang w:eastAsia="it-IT"/>
        </w:rPr>
        <w:t>Disposizioni urgenti in materia di semplificazione e di sviluppo</w:t>
      </w:r>
      <w:r w:rsidR="00B03D30" w:rsidRPr="000D6DEE">
        <w:rPr>
          <w:rFonts w:ascii="Times New Roman" w:eastAsia="Times New Roman" w:hAnsi="Times New Roman" w:cs="Times New Roman"/>
          <w:color w:val="000000"/>
          <w:sz w:val="28"/>
          <w:szCs w:val="28"/>
          <w:lang w:eastAsia="it-IT"/>
        </w:rPr>
        <w:t>”), il quale aveva prefigurato un ambizioso programma di delegificazione, anch’esso ispirato ai principi “</w:t>
      </w:r>
      <w:r w:rsidR="00B03D30" w:rsidRPr="000D6DEE">
        <w:rPr>
          <w:rFonts w:ascii="Times New Roman" w:eastAsia="Times New Roman" w:hAnsi="Times New Roman" w:cs="Times New Roman"/>
          <w:i/>
          <w:iCs/>
          <w:color w:val="000000"/>
          <w:sz w:val="28"/>
          <w:szCs w:val="28"/>
          <w:lang w:eastAsia="it-IT"/>
        </w:rPr>
        <w:t>della semplicità, della proporzionalità dei controlli stessi e dei relativi adempimenti burocratici e della effettiva tutela del rischio</w:t>
      </w:r>
      <w:r w:rsidR="00B03D30" w:rsidRPr="000D6DEE">
        <w:rPr>
          <w:rFonts w:ascii="Times New Roman" w:eastAsia="Times New Roman" w:hAnsi="Times New Roman" w:cs="Times New Roman"/>
          <w:color w:val="000000"/>
          <w:sz w:val="28"/>
          <w:szCs w:val="28"/>
          <w:lang w:eastAsia="it-IT"/>
        </w:rPr>
        <w:t xml:space="preserve">”.  </w:t>
      </w:r>
      <w:r w:rsidR="00450B3A" w:rsidRPr="000D6DEE">
        <w:rPr>
          <w:rFonts w:ascii="Times New Roman" w:eastAsia="Times New Roman" w:hAnsi="Times New Roman" w:cs="Times New Roman"/>
          <w:color w:val="000000"/>
          <w:sz w:val="28"/>
          <w:szCs w:val="28"/>
          <w:lang w:eastAsia="it-IT"/>
        </w:rPr>
        <w:t>L’iniziativa aveva condotto alla elaborazione di apposite “</w:t>
      </w:r>
      <w:r w:rsidR="00450B3A" w:rsidRPr="000D6DEE">
        <w:rPr>
          <w:rFonts w:ascii="Times New Roman" w:eastAsia="Times New Roman" w:hAnsi="Times New Roman" w:cs="Times New Roman"/>
          <w:i/>
          <w:iCs/>
          <w:color w:val="000000"/>
          <w:sz w:val="28"/>
          <w:szCs w:val="28"/>
          <w:lang w:eastAsia="it-IT"/>
        </w:rPr>
        <w:t>linee guida</w:t>
      </w:r>
      <w:r w:rsidR="00450B3A" w:rsidRPr="000D6DEE">
        <w:rPr>
          <w:rFonts w:ascii="Times New Roman" w:eastAsia="Times New Roman" w:hAnsi="Times New Roman" w:cs="Times New Roman"/>
          <w:color w:val="000000"/>
          <w:sz w:val="28"/>
          <w:szCs w:val="28"/>
          <w:lang w:eastAsia="it-IT"/>
        </w:rPr>
        <w:t>”, approvate in sede di intesa sancita nella Conferenza unificata del 24 gennaio 2013</w:t>
      </w:r>
      <w:r w:rsidR="00B03D30" w:rsidRPr="000D6DEE">
        <w:rPr>
          <w:rFonts w:ascii="Times New Roman" w:eastAsia="Times New Roman" w:hAnsi="Times New Roman" w:cs="Times New Roman"/>
          <w:color w:val="000000"/>
          <w:sz w:val="28"/>
          <w:szCs w:val="28"/>
          <w:lang w:eastAsia="it-IT"/>
        </w:rPr>
        <w:t xml:space="preserve"> sostanzialmente rimaste senza seguito. Per quanto qui di interesse, l’art. 6 introduce un meccanismo di contemperamento tra </w:t>
      </w:r>
      <w:r w:rsidR="00B03D30" w:rsidRPr="000D6DEE">
        <w:rPr>
          <w:rFonts w:ascii="Times New Roman" w:eastAsia="Times New Roman" w:hAnsi="Times New Roman" w:cs="Times New Roman"/>
          <w:i/>
          <w:color w:val="000000"/>
          <w:sz w:val="28"/>
          <w:szCs w:val="28"/>
          <w:lang w:eastAsia="it-IT"/>
        </w:rPr>
        <w:t>compliance</w:t>
      </w:r>
      <w:r w:rsidR="00B03D30" w:rsidRPr="000D6DEE">
        <w:rPr>
          <w:rFonts w:ascii="Times New Roman" w:eastAsia="Times New Roman" w:hAnsi="Times New Roman" w:cs="Times New Roman"/>
          <w:color w:val="000000"/>
          <w:sz w:val="28"/>
          <w:szCs w:val="28"/>
          <w:lang w:eastAsia="it-IT"/>
        </w:rPr>
        <w:t xml:space="preserve"> e sanzione </w:t>
      </w:r>
      <w:r w:rsidR="00955B89" w:rsidRPr="000D6DEE">
        <w:rPr>
          <w:rFonts w:ascii="Times New Roman" w:eastAsia="Times New Roman" w:hAnsi="Times New Roman" w:cs="Times New Roman"/>
          <w:color w:val="000000"/>
          <w:sz w:val="28"/>
          <w:szCs w:val="28"/>
          <w:lang w:eastAsia="it-IT"/>
        </w:rPr>
        <w:t xml:space="preserve">che in relazione all’entità della sanzione pecuniaria – che non deve superare </w:t>
      </w:r>
      <w:r w:rsidR="00B03D30" w:rsidRPr="000D6DEE">
        <w:rPr>
          <w:rFonts w:ascii="Times New Roman" w:eastAsia="Times New Roman" w:hAnsi="Times New Roman" w:cs="Times New Roman"/>
          <w:color w:val="000000"/>
          <w:sz w:val="28"/>
          <w:szCs w:val="28"/>
          <w:lang w:eastAsia="it-IT"/>
        </w:rPr>
        <w:t xml:space="preserve">nel massimo i cinquemila euro </w:t>
      </w:r>
      <w:r w:rsidR="00955B89" w:rsidRPr="000D6DEE">
        <w:rPr>
          <w:rFonts w:ascii="Times New Roman" w:eastAsia="Times New Roman" w:hAnsi="Times New Roman" w:cs="Times New Roman"/>
          <w:color w:val="000000"/>
          <w:sz w:val="28"/>
          <w:szCs w:val="28"/>
          <w:lang w:eastAsia="it-IT"/>
        </w:rPr>
        <w:t xml:space="preserve">– potrebbe abbracciare sia la violazione dell’art. 666 c.p. che quelle </w:t>
      </w:r>
      <w:r w:rsidR="00B03D30" w:rsidRPr="000D6DEE">
        <w:rPr>
          <w:rFonts w:ascii="Times New Roman" w:eastAsia="Times New Roman" w:hAnsi="Times New Roman" w:cs="Times New Roman"/>
          <w:color w:val="000000"/>
          <w:sz w:val="28"/>
          <w:szCs w:val="28"/>
          <w:lang w:eastAsia="it-IT"/>
        </w:rPr>
        <w:t xml:space="preserve">al </w:t>
      </w:r>
      <w:proofErr w:type="spellStart"/>
      <w:r w:rsidR="00B03D30" w:rsidRPr="000D6DEE">
        <w:rPr>
          <w:rFonts w:ascii="Times New Roman" w:eastAsia="Times New Roman" w:hAnsi="Times New Roman" w:cs="Times New Roman"/>
          <w:color w:val="000000"/>
          <w:sz w:val="28"/>
          <w:szCs w:val="28"/>
          <w:lang w:eastAsia="it-IT"/>
        </w:rPr>
        <w:t>T.u.l.p.s</w:t>
      </w:r>
      <w:proofErr w:type="spellEnd"/>
      <w:r w:rsidR="00B03D30" w:rsidRPr="000D6DEE">
        <w:rPr>
          <w:rFonts w:ascii="Times New Roman" w:eastAsia="Times New Roman" w:hAnsi="Times New Roman" w:cs="Times New Roman"/>
          <w:color w:val="000000"/>
          <w:sz w:val="28"/>
          <w:szCs w:val="28"/>
          <w:lang w:eastAsia="it-IT"/>
        </w:rPr>
        <w:t>. riconducibili, a seguito di decriminalizzazione, all’art. 17-</w:t>
      </w:r>
      <w:r w:rsidR="00B03D30" w:rsidRPr="000D6DEE">
        <w:rPr>
          <w:rFonts w:ascii="Times New Roman" w:eastAsia="Times New Roman" w:hAnsi="Times New Roman" w:cs="Times New Roman"/>
          <w:i/>
          <w:color w:val="000000"/>
          <w:sz w:val="28"/>
          <w:szCs w:val="28"/>
          <w:lang w:eastAsia="it-IT"/>
        </w:rPr>
        <w:t>bis</w:t>
      </w:r>
      <w:r w:rsidR="00B03D30" w:rsidRPr="000D6DEE">
        <w:rPr>
          <w:rFonts w:ascii="Times New Roman" w:eastAsia="Times New Roman" w:hAnsi="Times New Roman" w:cs="Times New Roman"/>
          <w:color w:val="000000"/>
          <w:sz w:val="28"/>
          <w:szCs w:val="28"/>
          <w:lang w:eastAsia="it-IT"/>
        </w:rPr>
        <w:t xml:space="preserve"> dello stesso</w:t>
      </w:r>
      <w:r w:rsidR="00213F73" w:rsidRPr="000D6DEE">
        <w:rPr>
          <w:rFonts w:ascii="Times New Roman" w:eastAsia="Times New Roman" w:hAnsi="Times New Roman" w:cs="Times New Roman"/>
          <w:color w:val="000000"/>
          <w:sz w:val="28"/>
          <w:szCs w:val="28"/>
          <w:lang w:eastAsia="it-IT"/>
        </w:rPr>
        <w:t>)</w:t>
      </w:r>
      <w:r w:rsidR="00955B89" w:rsidRPr="000D6DEE">
        <w:rPr>
          <w:rStyle w:val="Rimandonotaapidipagina"/>
          <w:rFonts w:ascii="Times New Roman" w:eastAsia="Times New Roman" w:hAnsi="Times New Roman" w:cs="Times New Roman"/>
          <w:color w:val="000000"/>
          <w:sz w:val="28"/>
          <w:szCs w:val="28"/>
          <w:lang w:eastAsia="it-IT"/>
        </w:rPr>
        <w:footnoteReference w:id="29"/>
      </w:r>
      <w:r w:rsidR="00B03D30" w:rsidRPr="000D6DEE">
        <w:rPr>
          <w:rFonts w:ascii="Times New Roman" w:eastAsia="Times New Roman" w:hAnsi="Times New Roman" w:cs="Times New Roman"/>
          <w:color w:val="000000"/>
          <w:sz w:val="28"/>
          <w:szCs w:val="28"/>
          <w:lang w:eastAsia="it-IT"/>
        </w:rPr>
        <w:t>.</w:t>
      </w:r>
      <w:r w:rsidR="00B03D30" w:rsidRPr="000D6DEE">
        <w:rPr>
          <w:rFonts w:ascii="Garamond" w:eastAsia="Times New Roman" w:hAnsi="Garamond" w:cs="Times New Roman"/>
          <w:color w:val="000000"/>
          <w:sz w:val="30"/>
          <w:szCs w:val="30"/>
          <w:lang w:eastAsia="it-IT"/>
        </w:rPr>
        <w:t xml:space="preserve">  </w:t>
      </w:r>
      <w:r w:rsidR="00213F73" w:rsidRPr="000D6DEE">
        <w:rPr>
          <w:rFonts w:ascii="Times New Roman" w:eastAsia="Times New Roman" w:hAnsi="Times New Roman" w:cs="Times New Roman"/>
          <w:color w:val="000000"/>
          <w:sz w:val="28"/>
          <w:szCs w:val="28"/>
          <w:lang w:eastAsia="it-IT"/>
        </w:rPr>
        <w:t xml:space="preserve">Tuttavia, nell’escludere dall’ambito di applicazione </w:t>
      </w:r>
      <w:r w:rsidR="00213F73" w:rsidRPr="000D6DEE">
        <w:rPr>
          <w:rFonts w:ascii="Times New Roman" w:eastAsia="Times New Roman" w:hAnsi="Times New Roman" w:cs="Times New Roman"/>
          <w:color w:val="000000"/>
          <w:sz w:val="28"/>
          <w:szCs w:val="28"/>
          <w:lang w:eastAsia="it-IT"/>
        </w:rPr>
        <w:lastRenderedPageBreak/>
        <w:t>dell’istituto della diffida tutte le violazioni agli obblighi o adempimenti che riguardano, tra l’altro, la sicurezza e l’incolumità pubblica, sembrerebbe tagliarne fuori tutte le attività soggette ad autorizzazione di polizia. Come opportunamente rilevato dal Consiglio di Stato in sede di parere sullo schema di decreto legislativo in oggetto (</w:t>
      </w:r>
      <w:r w:rsidR="00213F73" w:rsidRPr="000D6DEE">
        <w:rPr>
          <w:rFonts w:ascii="Times New Roman" w:eastAsia="Times New Roman" w:hAnsi="Times New Roman" w:cs="Times New Roman"/>
          <w:b/>
          <w:color w:val="000000"/>
          <w:sz w:val="28"/>
          <w:szCs w:val="28"/>
          <w:lang w:eastAsia="it-IT"/>
        </w:rPr>
        <w:t>Cons. Stato, sez. consultiva per gli atti normativi, 28 marzo 2024, n. 440</w:t>
      </w:r>
      <w:r w:rsidR="00213F73" w:rsidRPr="000D6DEE">
        <w:rPr>
          <w:rFonts w:ascii="Times New Roman" w:eastAsia="Times New Roman" w:hAnsi="Times New Roman" w:cs="Times New Roman"/>
          <w:color w:val="000000"/>
          <w:sz w:val="28"/>
          <w:szCs w:val="28"/>
          <w:lang w:eastAsia="it-IT"/>
        </w:rPr>
        <w:t>)</w:t>
      </w:r>
      <w:r w:rsidR="00213F73" w:rsidRPr="000D6DEE">
        <w:rPr>
          <w:color w:val="000000"/>
          <w:sz w:val="28"/>
          <w:szCs w:val="28"/>
        </w:rPr>
        <w:t>, trattasi di una previsione che necessita di coordinam</w:t>
      </w:r>
      <w:r w:rsidR="000107E1" w:rsidRPr="000D6DEE">
        <w:rPr>
          <w:color w:val="000000"/>
          <w:sz w:val="28"/>
          <w:szCs w:val="28"/>
        </w:rPr>
        <w:t xml:space="preserve">ento </w:t>
      </w:r>
      <w:r w:rsidR="00213F73" w:rsidRPr="000D6DEE">
        <w:rPr>
          <w:rFonts w:ascii="Times New Roman" w:hAnsi="Times New Roman" w:cs="Times New Roman"/>
          <w:color w:val="000000"/>
          <w:sz w:val="28"/>
          <w:szCs w:val="28"/>
        </w:rPr>
        <w:t>con le previsioni procedimentali generali della più volte citata legge n. 689 del 1981</w:t>
      </w:r>
      <w:r w:rsidR="000107E1" w:rsidRPr="000D6DEE">
        <w:rPr>
          <w:color w:val="000000"/>
          <w:sz w:val="28"/>
          <w:szCs w:val="28"/>
        </w:rPr>
        <w:t>, segnalando «</w:t>
      </w:r>
      <w:r w:rsidR="00213F73" w:rsidRPr="000D6DEE">
        <w:rPr>
          <w:rFonts w:ascii="Times New Roman" w:hAnsi="Times New Roman" w:cs="Times New Roman"/>
          <w:iCs/>
          <w:color w:val="000000"/>
          <w:sz w:val="28"/>
          <w:szCs w:val="28"/>
        </w:rPr>
        <w:t>a fortiori</w:t>
      </w:r>
      <w:r w:rsidR="00213F73" w:rsidRPr="000D6DEE">
        <w:rPr>
          <w:rFonts w:ascii="Times New Roman" w:hAnsi="Times New Roman" w:cs="Times New Roman"/>
          <w:i/>
          <w:color w:val="000000"/>
          <w:sz w:val="28"/>
          <w:szCs w:val="28"/>
        </w:rPr>
        <w:t> l’esigenza di una revisione adeguatrice che possa prendere come suo punto di partenza le norme della legge medesima (in specie, precisando, nel contesto sempre più articolato, e variabile nel tempo, di sopravvenute disposizioni di origine euro-unitaria, sempre da leggere alla luce del principio di proporzionalità, l’àmbito dell’errore scusabile e la preferenza “legale”, quindi stabilmente generalizzata, per la fase di diffida con termine per l’adeguamento spontaneo, prima di giungere all’irrogazione di misure afflittive in senso stretto)</w:t>
      </w:r>
      <w:r w:rsidR="000107E1" w:rsidRPr="000D6DEE">
        <w:rPr>
          <w:color w:val="000000"/>
          <w:sz w:val="28"/>
          <w:szCs w:val="28"/>
        </w:rPr>
        <w:t>»</w:t>
      </w:r>
      <w:r w:rsidR="00213F73" w:rsidRPr="000D6DEE">
        <w:rPr>
          <w:rFonts w:ascii="Times New Roman" w:hAnsi="Times New Roman" w:cs="Times New Roman"/>
          <w:color w:val="000000"/>
          <w:sz w:val="28"/>
          <w:szCs w:val="28"/>
        </w:rPr>
        <w:t>.</w:t>
      </w:r>
      <w:r w:rsidR="000107E1" w:rsidRPr="000D6DEE">
        <w:rPr>
          <w:color w:val="000000"/>
          <w:sz w:val="28"/>
          <w:szCs w:val="28"/>
        </w:rPr>
        <w:t xml:space="preserve"> </w:t>
      </w:r>
      <w:r w:rsidR="000107E1" w:rsidRPr="000D6DEE">
        <w:rPr>
          <w:rFonts w:ascii="Times New Roman" w:hAnsi="Times New Roman" w:cs="Times New Roman"/>
          <w:color w:val="000000"/>
          <w:sz w:val="28"/>
          <w:szCs w:val="28"/>
        </w:rPr>
        <w:t xml:space="preserve">Più in generale, una volta valorizzato quale tratto unificatore delle varie disposizioni l’esigenza di scongiurare l’applicazione delle varie misure afflittive nell’esercizio di plurime attività di polizia amministrativa, </w:t>
      </w:r>
      <w:r w:rsidR="000A63E8" w:rsidRPr="000D6DEE">
        <w:rPr>
          <w:rFonts w:ascii="Times New Roman" w:hAnsi="Times New Roman" w:cs="Times New Roman"/>
          <w:color w:val="000000"/>
          <w:sz w:val="28"/>
          <w:szCs w:val="28"/>
        </w:rPr>
        <w:t>occorrerebbe pensare ad «</w:t>
      </w:r>
      <w:r w:rsidR="000107E1" w:rsidRPr="000D6DEE">
        <w:rPr>
          <w:rFonts w:ascii="Times New Roman" w:hAnsi="Times New Roman" w:cs="Times New Roman"/>
          <w:i/>
          <w:color w:val="000000"/>
          <w:sz w:val="28"/>
          <w:szCs w:val="28"/>
        </w:rPr>
        <w:t xml:space="preserve">una revisione adeguatrice, ma organica e stabile, del sistema delineato dalla ben nota legge n.689 del 1981, sia alla luce della (finora mai compiuta appieno) sua armonizzazione con l’applicazione diffusa della legge generale sul procedimento (n.241 del 1990 e sue, numerose, modifiche, in funzione, sovente, di arresti procedimentali consolidatisi nei decenni), sia, ancor più, - ed in modo risolutivo rispetto alla preoccupazione dell’interferenza con le fonti euro-unitarie, vigenti e potenzialmente subentranti, </w:t>
      </w:r>
      <w:r w:rsidR="000A63E8" w:rsidRPr="000D6DEE">
        <w:rPr>
          <w:rFonts w:ascii="Times New Roman" w:hAnsi="Times New Roman" w:cs="Times New Roman"/>
          <w:color w:val="000000"/>
          <w:sz w:val="28"/>
          <w:szCs w:val="28"/>
        </w:rPr>
        <w:t>[…]</w:t>
      </w:r>
      <w:r w:rsidR="000107E1" w:rsidRPr="000D6DEE">
        <w:rPr>
          <w:rFonts w:ascii="Times New Roman" w:hAnsi="Times New Roman" w:cs="Times New Roman"/>
          <w:i/>
          <w:color w:val="000000"/>
          <w:sz w:val="28"/>
          <w:szCs w:val="28"/>
        </w:rPr>
        <w:t xml:space="preserve">, in senso </w:t>
      </w:r>
      <w:proofErr w:type="spellStart"/>
      <w:r w:rsidR="000107E1" w:rsidRPr="000D6DEE">
        <w:rPr>
          <w:rFonts w:ascii="Times New Roman" w:hAnsi="Times New Roman" w:cs="Times New Roman"/>
          <w:i/>
          <w:color w:val="000000"/>
          <w:sz w:val="28"/>
          <w:szCs w:val="28"/>
        </w:rPr>
        <w:t>adeguativo</w:t>
      </w:r>
      <w:proofErr w:type="spellEnd"/>
      <w:r w:rsidR="000107E1" w:rsidRPr="000D6DEE">
        <w:rPr>
          <w:rFonts w:ascii="Times New Roman" w:hAnsi="Times New Roman" w:cs="Times New Roman"/>
          <w:i/>
          <w:color w:val="000000"/>
          <w:sz w:val="28"/>
          <w:szCs w:val="28"/>
        </w:rPr>
        <w:t xml:space="preserve"> rispetto al diritto euro-unitario, segnatamente in tema di proporzionalità e </w:t>
      </w:r>
      <w:proofErr w:type="spellStart"/>
      <w:r w:rsidR="000107E1" w:rsidRPr="000D6DEE">
        <w:rPr>
          <w:rFonts w:ascii="Times New Roman" w:hAnsi="Times New Roman" w:cs="Times New Roman"/>
          <w:i/>
          <w:color w:val="000000"/>
          <w:sz w:val="28"/>
          <w:szCs w:val="28"/>
        </w:rPr>
        <w:t>riconoscibiltà</w:t>
      </w:r>
      <w:proofErr w:type="spellEnd"/>
      <w:r w:rsidR="000107E1" w:rsidRPr="000D6DEE">
        <w:rPr>
          <w:rFonts w:ascii="Times New Roman" w:hAnsi="Times New Roman" w:cs="Times New Roman"/>
          <w:i/>
          <w:color w:val="000000"/>
          <w:sz w:val="28"/>
          <w:szCs w:val="28"/>
        </w:rPr>
        <w:t xml:space="preserve"> di garanzie (dottrina </w:t>
      </w:r>
      <w:r w:rsidR="000107E1" w:rsidRPr="000D6DEE">
        <w:rPr>
          <w:rFonts w:ascii="Times New Roman" w:hAnsi="Times New Roman" w:cs="Times New Roman"/>
          <w:i/>
          <w:iCs/>
          <w:color w:val="000000"/>
          <w:sz w:val="28"/>
          <w:szCs w:val="28"/>
        </w:rPr>
        <w:t>Engel</w:t>
      </w:r>
      <w:r w:rsidR="000107E1" w:rsidRPr="000D6DEE">
        <w:rPr>
          <w:rFonts w:ascii="Times New Roman" w:hAnsi="Times New Roman" w:cs="Times New Roman"/>
          <w:i/>
          <w:color w:val="000000"/>
          <w:sz w:val="28"/>
          <w:szCs w:val="28"/>
        </w:rPr>
        <w:t>), quale venutosi a creare fino ad oggi, (e, va detto, in senso progressivamente e concretamente espansivo della sua </w:t>
      </w:r>
      <w:r w:rsidR="000107E1" w:rsidRPr="000D6DEE">
        <w:rPr>
          <w:rFonts w:ascii="Times New Roman" w:hAnsi="Times New Roman" w:cs="Times New Roman"/>
          <w:i/>
          <w:iCs/>
          <w:color w:val="000000"/>
          <w:sz w:val="28"/>
          <w:szCs w:val="28"/>
        </w:rPr>
        <w:t>ratio</w:t>
      </w:r>
      <w:r w:rsidR="000107E1" w:rsidRPr="000D6DEE">
        <w:rPr>
          <w:rFonts w:ascii="Times New Roman" w:hAnsi="Times New Roman" w:cs="Times New Roman"/>
          <w:i/>
          <w:color w:val="000000"/>
          <w:sz w:val="28"/>
          <w:szCs w:val="28"/>
        </w:rPr>
        <w:t xml:space="preserve"> “garantista”, qui in rilievo per l’aspetto dei </w:t>
      </w:r>
      <w:r w:rsidR="000107E1" w:rsidRPr="000D6DEE">
        <w:rPr>
          <w:rFonts w:ascii="Times New Roman" w:hAnsi="Times New Roman" w:cs="Times New Roman"/>
          <w:i/>
          <w:color w:val="000000"/>
          <w:sz w:val="28"/>
          <w:szCs w:val="28"/>
        </w:rPr>
        <w:lastRenderedPageBreak/>
        <w:t>costi delle imprese in termini di </w:t>
      </w:r>
      <w:r w:rsidR="000107E1" w:rsidRPr="000D6DEE">
        <w:rPr>
          <w:rFonts w:ascii="Times New Roman" w:hAnsi="Times New Roman" w:cs="Times New Roman"/>
          <w:iCs/>
          <w:color w:val="000000"/>
          <w:sz w:val="28"/>
          <w:szCs w:val="28"/>
        </w:rPr>
        <w:t>compliance</w:t>
      </w:r>
      <w:r w:rsidR="000107E1" w:rsidRPr="000D6DEE">
        <w:rPr>
          <w:rFonts w:ascii="Times New Roman" w:hAnsi="Times New Roman" w:cs="Times New Roman"/>
          <w:i/>
          <w:color w:val="000000"/>
          <w:sz w:val="28"/>
          <w:szCs w:val="28"/>
        </w:rPr>
        <w:t> e di sostenibilità)</w:t>
      </w:r>
      <w:r w:rsidR="000A63E8" w:rsidRPr="000D6DEE">
        <w:rPr>
          <w:rFonts w:ascii="Times New Roman" w:hAnsi="Times New Roman" w:cs="Times New Roman"/>
          <w:i/>
          <w:color w:val="000000"/>
          <w:sz w:val="28"/>
          <w:szCs w:val="28"/>
        </w:rPr>
        <w:t>»</w:t>
      </w:r>
      <w:r w:rsidR="000107E1" w:rsidRPr="000D6DEE">
        <w:rPr>
          <w:rFonts w:ascii="Times New Roman" w:hAnsi="Times New Roman" w:cs="Times New Roman"/>
          <w:color w:val="000000"/>
          <w:sz w:val="28"/>
          <w:szCs w:val="28"/>
        </w:rPr>
        <w:t>.</w:t>
      </w:r>
      <w:r w:rsidR="000A63E8" w:rsidRPr="000D6DEE">
        <w:rPr>
          <w:rFonts w:ascii="Times New Roman" w:hAnsi="Times New Roman" w:cs="Times New Roman"/>
          <w:color w:val="000000"/>
          <w:sz w:val="28"/>
          <w:szCs w:val="28"/>
        </w:rPr>
        <w:t xml:space="preserve"> </w:t>
      </w:r>
      <w:r w:rsidR="00213F73" w:rsidRPr="000D6DEE">
        <w:rPr>
          <w:rFonts w:ascii="Times New Roman" w:hAnsi="Times New Roman" w:cs="Times New Roman"/>
          <w:color w:val="000000"/>
          <w:sz w:val="28"/>
          <w:szCs w:val="28"/>
        </w:rPr>
        <w:t xml:space="preserve">L’articolo 7 </w:t>
      </w:r>
      <w:r w:rsidR="000107E1" w:rsidRPr="000D6DEE">
        <w:rPr>
          <w:rFonts w:ascii="Times New Roman" w:hAnsi="Times New Roman" w:cs="Times New Roman"/>
          <w:color w:val="000000"/>
          <w:sz w:val="28"/>
          <w:szCs w:val="28"/>
        </w:rPr>
        <w:t>recante «</w:t>
      </w:r>
      <w:r w:rsidR="00213F73" w:rsidRPr="000D6DEE">
        <w:rPr>
          <w:rFonts w:ascii="Times New Roman" w:hAnsi="Times New Roman" w:cs="Times New Roman"/>
          <w:i/>
          <w:iCs/>
          <w:color w:val="000000"/>
          <w:sz w:val="28"/>
          <w:szCs w:val="28"/>
        </w:rPr>
        <w:t>Meccanismi di dialogo e collaborazione</w:t>
      </w:r>
      <w:r w:rsidR="000107E1" w:rsidRPr="000D6DEE">
        <w:rPr>
          <w:rFonts w:ascii="Times New Roman" w:hAnsi="Times New Roman" w:cs="Times New Roman"/>
          <w:i/>
          <w:iCs/>
          <w:color w:val="000000"/>
          <w:sz w:val="28"/>
          <w:szCs w:val="28"/>
        </w:rPr>
        <w:t>»,</w:t>
      </w:r>
      <w:r w:rsidR="00213F73" w:rsidRPr="000D6DEE">
        <w:rPr>
          <w:rFonts w:ascii="Times New Roman" w:hAnsi="Times New Roman" w:cs="Times New Roman"/>
          <w:color w:val="000000"/>
          <w:sz w:val="28"/>
          <w:szCs w:val="28"/>
        </w:rPr>
        <w:t xml:space="preserve"> prevede – in attuazione dell’articolo 27, comma 1 lettera </w:t>
      </w:r>
      <w:r w:rsidR="00213F73" w:rsidRPr="000D6DEE">
        <w:rPr>
          <w:rFonts w:ascii="Times New Roman" w:hAnsi="Times New Roman" w:cs="Times New Roman"/>
          <w:i/>
          <w:iCs/>
          <w:color w:val="000000"/>
          <w:sz w:val="28"/>
          <w:szCs w:val="28"/>
        </w:rPr>
        <w:t>e</w:t>
      </w:r>
      <w:r w:rsidR="00213F73" w:rsidRPr="000D6DEE">
        <w:rPr>
          <w:rFonts w:ascii="Times New Roman" w:hAnsi="Times New Roman" w:cs="Times New Roman"/>
          <w:color w:val="000000"/>
          <w:sz w:val="28"/>
          <w:szCs w:val="28"/>
        </w:rPr>
        <w:t>)</w:t>
      </w:r>
      <w:r w:rsidR="000107E1" w:rsidRPr="000D6DEE">
        <w:rPr>
          <w:rFonts w:ascii="Times New Roman" w:hAnsi="Times New Roman" w:cs="Times New Roman"/>
          <w:color w:val="000000"/>
          <w:sz w:val="28"/>
          <w:szCs w:val="28"/>
        </w:rPr>
        <w:t xml:space="preserve"> della legge delega</w:t>
      </w:r>
      <w:r w:rsidR="00213F73" w:rsidRPr="000D6DEE">
        <w:rPr>
          <w:rFonts w:ascii="Times New Roman" w:hAnsi="Times New Roman" w:cs="Times New Roman"/>
          <w:color w:val="000000"/>
          <w:sz w:val="28"/>
          <w:szCs w:val="28"/>
        </w:rPr>
        <w:t xml:space="preserve"> – un meccanismo di dialogo tra amministrazioni e operatori economici, disponendo che, quando vi sono condizioni di obiettiva incertezza sulla corretta interpretazione delle fonti normative riguardanti fattispecie di carattere generale o difformità applicative nell’ambito del territorio nazionale, relative a obblighi e adempimenti che sono oggetto dei controlli, le associazioni nazionali di categoria di cui all’articolo 4 della legge 11 novembre 2011, n. 180, possono interpellare l'amministrazione centrale competente, prospettando una soluzione motivata.</w:t>
      </w:r>
      <w:r w:rsidR="000107E1" w:rsidRPr="000D6DEE">
        <w:rPr>
          <w:rFonts w:ascii="Times New Roman" w:hAnsi="Times New Roman" w:cs="Times New Roman"/>
          <w:color w:val="000000"/>
          <w:sz w:val="28"/>
          <w:szCs w:val="28"/>
        </w:rPr>
        <w:t xml:space="preserve"> </w:t>
      </w:r>
      <w:r w:rsidR="00450B3A" w:rsidRPr="000D6DEE">
        <w:rPr>
          <w:rFonts w:ascii="Times New Roman" w:hAnsi="Times New Roman" w:cs="Times New Roman"/>
          <w:sz w:val="28"/>
          <w:szCs w:val="28"/>
        </w:rPr>
        <w:t xml:space="preserve">  </w:t>
      </w:r>
    </w:p>
    <w:p w:rsidR="00A272B0" w:rsidRPr="000D6DEE" w:rsidRDefault="005F4E02" w:rsidP="007C3693">
      <w:pPr>
        <w:spacing w:line="360" w:lineRule="auto"/>
        <w:jc w:val="both"/>
        <w:rPr>
          <w:rFonts w:ascii="Times New Roman" w:hAnsi="Times New Roman" w:cs="Times New Roman"/>
          <w:sz w:val="28"/>
          <w:szCs w:val="28"/>
        </w:rPr>
      </w:pPr>
      <w:r w:rsidRPr="000D6DEE">
        <w:rPr>
          <w:rFonts w:ascii="Times New Roman" w:hAnsi="Times New Roman" w:cs="Times New Roman"/>
          <w:b/>
          <w:sz w:val="28"/>
          <w:szCs w:val="28"/>
        </w:rPr>
        <w:t>6</w:t>
      </w:r>
      <w:r w:rsidR="00AE1B69" w:rsidRPr="000D6DEE">
        <w:rPr>
          <w:rFonts w:ascii="Times New Roman" w:hAnsi="Times New Roman" w:cs="Times New Roman"/>
          <w:b/>
          <w:sz w:val="28"/>
          <w:szCs w:val="28"/>
        </w:rPr>
        <w:t xml:space="preserve">. </w:t>
      </w:r>
      <w:r w:rsidR="00A272B0" w:rsidRPr="000D6DEE">
        <w:rPr>
          <w:rFonts w:ascii="Times New Roman" w:hAnsi="Times New Roman" w:cs="Times New Roman"/>
          <w:b/>
          <w:sz w:val="28"/>
          <w:szCs w:val="28"/>
        </w:rPr>
        <w:t>L’applicabilità della l. n. 689 del 1981 alle sanzioni non pecuniarie</w:t>
      </w:r>
    </w:p>
    <w:p w:rsidR="00A272B0" w:rsidRPr="000D6DEE" w:rsidRDefault="00354EE4" w:rsidP="00A272B0">
      <w:pPr>
        <w:spacing w:line="360" w:lineRule="auto"/>
        <w:jc w:val="both"/>
        <w:rPr>
          <w:rFonts w:ascii="Times New Roman" w:eastAsia="Times New Roman" w:hAnsi="Times New Roman" w:cs="Times New Roman"/>
          <w:color w:val="000000"/>
          <w:sz w:val="28"/>
          <w:szCs w:val="28"/>
          <w:lang w:eastAsia="it-IT"/>
        </w:rPr>
      </w:pPr>
      <w:r w:rsidRPr="000D6DEE">
        <w:rPr>
          <w:rFonts w:ascii="Times New Roman" w:hAnsi="Times New Roman" w:cs="Times New Roman"/>
          <w:sz w:val="28"/>
          <w:szCs w:val="28"/>
        </w:rPr>
        <w:t xml:space="preserve">Una volta risolto, tuttavia, in senso affermativo il quesito circa la natura sanzionatoria di una determinata misura, per lo più interdittiva, si pone il problema del procedimento applicabile per la relativa irrogazione ovvero, in maggior dettaglio, della applicabilità o meno delle regole, anche di garanzia, statuite dalla legge </w:t>
      </w:r>
      <w:r w:rsidR="00307BFA" w:rsidRPr="000D6DEE">
        <w:rPr>
          <w:rFonts w:ascii="Times New Roman" w:hAnsi="Times New Roman" w:cs="Times New Roman"/>
          <w:sz w:val="28"/>
          <w:szCs w:val="28"/>
        </w:rPr>
        <w:t>24 novembre 1981, n. 689.</w:t>
      </w:r>
      <w:r w:rsidR="00307BFA" w:rsidRPr="000D6DEE">
        <w:rPr>
          <w:rFonts w:ascii="Times New Roman" w:eastAsia="Times New Roman" w:hAnsi="Times New Roman" w:cs="Times New Roman"/>
          <w:color w:val="000000"/>
          <w:sz w:val="28"/>
          <w:szCs w:val="28"/>
          <w:lang w:eastAsia="it-IT"/>
        </w:rPr>
        <w:t xml:space="preserve"> </w:t>
      </w:r>
      <w:r w:rsidR="00307BFA" w:rsidRPr="000D6DEE">
        <w:rPr>
          <w:rFonts w:ascii="Times New Roman" w:hAnsi="Times New Roman" w:cs="Times New Roman"/>
          <w:sz w:val="28"/>
          <w:szCs w:val="28"/>
        </w:rPr>
        <w:t xml:space="preserve">Trattasi della normativa che ha dato un’organica razionalizzazione, sia sostanziale che processuale, alla </w:t>
      </w:r>
      <w:r w:rsidR="00307BFA" w:rsidRPr="000D6DEE">
        <w:rPr>
          <w:rFonts w:ascii="Times New Roman" w:eastAsia="Times New Roman" w:hAnsi="Times New Roman" w:cs="Times New Roman"/>
          <w:color w:val="000000"/>
          <w:sz w:val="28"/>
          <w:szCs w:val="28"/>
          <w:lang w:eastAsia="it-IT"/>
        </w:rPr>
        <w:t>disciplina del cd. diritto punitivo amministrativo o, secondo altra denominazione, del diritto penale amministrativo, distinto dal diritto amministrativo della prevenzione e da quello disciplinare.</w:t>
      </w:r>
      <w:r w:rsidR="00A272B0" w:rsidRPr="000D6DEE">
        <w:rPr>
          <w:rFonts w:ascii="Times New Roman" w:eastAsia="Times New Roman" w:hAnsi="Times New Roman" w:cs="Times New Roman"/>
          <w:color w:val="000000"/>
          <w:sz w:val="28"/>
          <w:szCs w:val="28"/>
          <w:lang w:eastAsia="it-IT"/>
        </w:rPr>
        <w:t xml:space="preserve"> </w:t>
      </w:r>
      <w:r w:rsidR="00307BFA" w:rsidRPr="000D6DEE">
        <w:rPr>
          <w:rFonts w:ascii="Times New Roman" w:eastAsia="Times New Roman" w:hAnsi="Times New Roman" w:cs="Times New Roman"/>
          <w:color w:val="000000"/>
          <w:sz w:val="28"/>
          <w:szCs w:val="28"/>
          <w:lang w:eastAsia="it-IT"/>
        </w:rPr>
        <w:t xml:space="preserve">L’art. 12 della </w:t>
      </w:r>
      <w:r w:rsidR="00307BFA" w:rsidRPr="000D6DEE">
        <w:rPr>
          <w:rFonts w:ascii="Times New Roman" w:eastAsia="Times New Roman" w:hAnsi="Times New Roman" w:cs="Times New Roman"/>
          <w:sz w:val="28"/>
          <w:szCs w:val="28"/>
          <w:lang w:eastAsia="it-IT"/>
        </w:rPr>
        <w:t xml:space="preserve">stessa, tuttavia, concernente il relativo ambito di applicazione, include nel proprio perimetro solo le sanzioni (e conseguentemente, gli illeciti puniti con le stesse) pecuniarie, con ciò rischiando di svuotare sensibilmente la portata della riforma, finalizzata anche a dar vita ad un vero e proprio “codice” dell’illecito amministrativo. Con riferimento alle sanzioni </w:t>
      </w:r>
      <w:r w:rsidR="00307BFA" w:rsidRPr="000D6DEE">
        <w:rPr>
          <w:rFonts w:ascii="Times New Roman" w:eastAsia="Times New Roman" w:hAnsi="Times New Roman" w:cs="Times New Roman"/>
          <w:color w:val="000000"/>
          <w:sz w:val="28"/>
          <w:szCs w:val="28"/>
          <w:lang w:eastAsia="it-IT"/>
        </w:rPr>
        <w:t xml:space="preserve">accessorie diverse dalla confisca, poi, l’art. 20, in maniera del tutto analoga, le disciplina solo con riferimento al caso in cui esse già fossero previste per il reato soggetto a depenalizzazione ad opera della medesima. Il che non è a dire per la fattispecie di cui all’art. 666 c.p. che è stato oggetto di successiva e diversa decriminalizzazione. Il dato letterale, cioè, resta il riferimento alla precedente disciplina penale: solo se l’originario reato, divenuto illecito amministrativo, già </w:t>
      </w:r>
      <w:r w:rsidR="00307BFA" w:rsidRPr="000D6DEE">
        <w:rPr>
          <w:rFonts w:ascii="Times New Roman" w:eastAsia="Times New Roman" w:hAnsi="Times New Roman" w:cs="Times New Roman"/>
          <w:color w:val="000000"/>
          <w:sz w:val="28"/>
          <w:szCs w:val="28"/>
          <w:lang w:eastAsia="it-IT"/>
        </w:rPr>
        <w:lastRenderedPageBreak/>
        <w:t>prevedeva l’applicazione, in via accessoria, di sanzioni consistenti nella privazione o sospensione di diritti e facoltà derivanti da provvedimenti dell’amministrazione, esse possono facoltativamente essere applicate dall’amministrazione competente ad adottare l’ordinanza ingiunzione che commina anche la sanzione amministrativa pecuniaria.</w:t>
      </w:r>
      <w:r w:rsidR="00A272B0" w:rsidRPr="000D6DEE">
        <w:rPr>
          <w:rFonts w:ascii="Times New Roman" w:eastAsia="Times New Roman" w:hAnsi="Times New Roman" w:cs="Times New Roman"/>
          <w:color w:val="000000"/>
          <w:sz w:val="28"/>
          <w:szCs w:val="28"/>
          <w:lang w:eastAsia="it-IT"/>
        </w:rPr>
        <w:t xml:space="preserve"> </w:t>
      </w:r>
      <w:r w:rsidR="00307BFA" w:rsidRPr="000D6DEE">
        <w:rPr>
          <w:rFonts w:ascii="Times New Roman" w:eastAsia="Times New Roman" w:hAnsi="Times New Roman" w:cs="Times New Roman"/>
          <w:color w:val="000000"/>
          <w:sz w:val="28"/>
          <w:szCs w:val="28"/>
          <w:lang w:eastAsia="it-IT"/>
        </w:rPr>
        <w:t xml:space="preserve">Tale lettura limitativa, ha fatto sì che </w:t>
      </w:r>
      <w:r w:rsidR="00307BFA" w:rsidRPr="000D6DEE">
        <w:rPr>
          <w:rFonts w:ascii="Times New Roman" w:eastAsia="Times New Roman" w:hAnsi="Times New Roman" w:cs="Times New Roman"/>
          <w:sz w:val="28"/>
          <w:szCs w:val="28"/>
          <w:lang w:eastAsia="it-IT"/>
        </w:rPr>
        <w:t xml:space="preserve">la dottrina abbia tentato da subito in vario modo di svalutare la portata delimitatrice dell’art. 12 </w:t>
      </w:r>
      <w:r w:rsidR="00CD4900" w:rsidRPr="000D6DEE">
        <w:rPr>
          <w:rFonts w:ascii="Times New Roman" w:eastAsia="Times New Roman" w:hAnsi="Times New Roman" w:cs="Times New Roman"/>
          <w:sz w:val="28"/>
          <w:szCs w:val="28"/>
          <w:lang w:eastAsia="it-IT"/>
        </w:rPr>
        <w:t>-</w:t>
      </w:r>
      <w:r w:rsidR="00307BFA" w:rsidRPr="000D6DEE">
        <w:rPr>
          <w:rFonts w:ascii="Times New Roman" w:eastAsia="Times New Roman" w:hAnsi="Times New Roman" w:cs="Times New Roman"/>
          <w:sz w:val="28"/>
          <w:szCs w:val="28"/>
          <w:lang w:eastAsia="it-IT"/>
        </w:rPr>
        <w:t xml:space="preserve"> e specularmente dell’art. 20 - della l. n. 689 del 1981. In particolare, si sono individuati all’interno dell’articolato normativo tre nuclei fondamentali: a) i principi in materia di tutela giurisdizionale (originariamente contenuti negli artt. 22-25, oggi riconducibili all’art. 6 del d.lgs. 1° settembre 2011, n. 150, che si occupa in maniera esplicita delle sanzioni non pecuniarie, che ove qualificate comunque tali (ovvero sanzioni) sono ascritte per lo più alla competenza del tribunale in composizione monocratica</w:t>
      </w:r>
      <w:r w:rsidR="00307BFA" w:rsidRPr="000D6DEE">
        <w:rPr>
          <w:rStyle w:val="Rimandonotaapidipagina"/>
          <w:rFonts w:ascii="Times New Roman" w:eastAsia="Times New Roman" w:hAnsi="Times New Roman" w:cs="Times New Roman"/>
          <w:sz w:val="28"/>
          <w:szCs w:val="28"/>
          <w:lang w:eastAsia="it-IT"/>
        </w:rPr>
        <w:footnoteReference w:id="30"/>
      </w:r>
      <w:r w:rsidR="00307BFA" w:rsidRPr="000D6DEE">
        <w:rPr>
          <w:rFonts w:ascii="Times New Roman" w:eastAsia="Times New Roman" w:hAnsi="Times New Roman" w:cs="Times New Roman"/>
          <w:sz w:val="28"/>
          <w:szCs w:val="28"/>
          <w:lang w:eastAsia="it-IT"/>
        </w:rPr>
        <w:t>; b) i principi sul procedimento (artt. 13-21); c) i principi sostanziali sull’illecito e la sanzione. Mentre le regole procedimentali, con l’esclusione secondo taluni dell’art. 13, invocato come modello generale per ogni caso di applicazione di una sanzione amministrativa, paiono attagliarsi solo a quelle pecuniarie</w:t>
      </w:r>
      <w:r w:rsidR="00307BFA" w:rsidRPr="000D6DEE">
        <w:rPr>
          <w:rStyle w:val="Rimandonotaapidipagina"/>
          <w:rFonts w:ascii="Times New Roman" w:eastAsia="Times New Roman" w:hAnsi="Times New Roman" w:cs="Times New Roman"/>
          <w:sz w:val="28"/>
          <w:szCs w:val="28"/>
          <w:lang w:eastAsia="it-IT"/>
        </w:rPr>
        <w:footnoteReference w:id="31"/>
      </w:r>
      <w:r w:rsidR="00307BFA" w:rsidRPr="000D6DEE">
        <w:rPr>
          <w:rFonts w:ascii="Times New Roman" w:eastAsia="Times New Roman" w:hAnsi="Times New Roman" w:cs="Times New Roman"/>
          <w:sz w:val="28"/>
          <w:szCs w:val="28"/>
          <w:lang w:eastAsia="it-IT"/>
        </w:rPr>
        <w:t>; quelle sostanziali, pur con talune eccezioni (si pensi alla previsione della forbice edittale di cui all’art. 10 ovvero alle regole sulla prescrizione, che peraltro sono collocate nella sez. II del capo I, all’art. 28), non possono non trovare applicazione ad ogni sanzione amministrativa in senso stretto, ancorché non pecuniaria. La l. n. 689/1981, dunque, finisce per avere un ambito di applicazione elastico, in quanto investe un</w:t>
      </w:r>
      <w:r w:rsidR="00CD4900" w:rsidRPr="000D6DEE">
        <w:rPr>
          <w:rFonts w:ascii="Times New Roman" w:eastAsia="Times New Roman" w:hAnsi="Times New Roman" w:cs="Times New Roman"/>
          <w:sz w:val="28"/>
          <w:szCs w:val="28"/>
          <w:lang w:eastAsia="it-IT"/>
        </w:rPr>
        <w:t xml:space="preserve"> </w:t>
      </w:r>
      <w:r w:rsidR="00307BFA" w:rsidRPr="000D6DEE">
        <w:rPr>
          <w:rFonts w:ascii="Times New Roman" w:eastAsia="Times New Roman" w:hAnsi="Times New Roman" w:cs="Times New Roman"/>
          <w:i/>
          <w:iCs/>
          <w:sz w:val="28"/>
          <w:szCs w:val="28"/>
          <w:lang w:eastAsia="it-IT"/>
        </w:rPr>
        <w:t>genus</w:t>
      </w:r>
      <w:r w:rsidR="00CD4900" w:rsidRPr="000D6DEE">
        <w:rPr>
          <w:rFonts w:ascii="Times New Roman" w:eastAsia="Times New Roman" w:hAnsi="Times New Roman" w:cs="Times New Roman"/>
          <w:i/>
          <w:iCs/>
          <w:sz w:val="28"/>
          <w:szCs w:val="28"/>
          <w:lang w:eastAsia="it-IT"/>
        </w:rPr>
        <w:t xml:space="preserve"> </w:t>
      </w:r>
      <w:r w:rsidR="00307BFA" w:rsidRPr="000D6DEE">
        <w:rPr>
          <w:rFonts w:ascii="Times New Roman" w:eastAsia="Times New Roman" w:hAnsi="Times New Roman" w:cs="Times New Roman"/>
          <w:sz w:val="28"/>
          <w:szCs w:val="28"/>
          <w:lang w:eastAsia="it-IT"/>
        </w:rPr>
        <w:t>di sanzioni (principalmente, ma non esclusivamente pecuniarie) comprensivo di una pluralità di</w:t>
      </w:r>
      <w:r w:rsidR="00CD4900" w:rsidRPr="000D6DEE">
        <w:rPr>
          <w:rFonts w:ascii="Times New Roman" w:eastAsia="Times New Roman" w:hAnsi="Times New Roman" w:cs="Times New Roman"/>
          <w:sz w:val="28"/>
          <w:szCs w:val="28"/>
          <w:lang w:eastAsia="it-IT"/>
        </w:rPr>
        <w:t xml:space="preserve"> </w:t>
      </w:r>
      <w:proofErr w:type="spellStart"/>
      <w:r w:rsidR="00307BFA" w:rsidRPr="000D6DEE">
        <w:rPr>
          <w:rFonts w:ascii="Times New Roman" w:eastAsia="Times New Roman" w:hAnsi="Times New Roman" w:cs="Times New Roman"/>
          <w:i/>
          <w:iCs/>
          <w:sz w:val="28"/>
          <w:szCs w:val="28"/>
          <w:lang w:eastAsia="it-IT"/>
        </w:rPr>
        <w:t>species</w:t>
      </w:r>
      <w:proofErr w:type="spellEnd"/>
      <w:r w:rsidR="00307BFA" w:rsidRPr="000D6DEE">
        <w:rPr>
          <w:rFonts w:ascii="Times New Roman" w:eastAsia="Times New Roman" w:hAnsi="Times New Roman" w:cs="Times New Roman"/>
          <w:i/>
          <w:iCs/>
          <w:sz w:val="28"/>
          <w:szCs w:val="28"/>
          <w:lang w:eastAsia="it-IT"/>
        </w:rPr>
        <w:t>,</w:t>
      </w:r>
      <w:r w:rsidR="00CD4900" w:rsidRPr="000D6DEE">
        <w:rPr>
          <w:rFonts w:ascii="Times New Roman" w:eastAsia="Times New Roman" w:hAnsi="Times New Roman" w:cs="Times New Roman"/>
          <w:i/>
          <w:iCs/>
          <w:sz w:val="28"/>
          <w:szCs w:val="28"/>
          <w:lang w:eastAsia="it-IT"/>
        </w:rPr>
        <w:t xml:space="preserve"> </w:t>
      </w:r>
      <w:r w:rsidR="00307BFA" w:rsidRPr="000D6DEE">
        <w:rPr>
          <w:rFonts w:ascii="Times New Roman" w:eastAsia="Times New Roman" w:hAnsi="Times New Roman" w:cs="Times New Roman"/>
          <w:sz w:val="28"/>
          <w:szCs w:val="28"/>
          <w:lang w:eastAsia="it-IT"/>
        </w:rPr>
        <w:t>solo</w:t>
      </w:r>
      <w:r w:rsidR="00CD4900" w:rsidRPr="000D6DEE">
        <w:rPr>
          <w:rFonts w:ascii="Times New Roman" w:eastAsia="Times New Roman" w:hAnsi="Times New Roman" w:cs="Times New Roman"/>
          <w:sz w:val="28"/>
          <w:szCs w:val="28"/>
          <w:lang w:eastAsia="it-IT"/>
        </w:rPr>
        <w:t xml:space="preserve"> </w:t>
      </w:r>
      <w:r w:rsidR="00307BFA" w:rsidRPr="000D6DEE">
        <w:rPr>
          <w:rFonts w:ascii="Times New Roman" w:eastAsia="Times New Roman" w:hAnsi="Times New Roman" w:cs="Times New Roman"/>
          <w:sz w:val="28"/>
          <w:szCs w:val="28"/>
          <w:lang w:eastAsia="it-IT"/>
        </w:rPr>
        <w:t xml:space="preserve">in alcuni casi dotate di una disciplina speciale -si pensi, ad esempio, alle sanzioni pecuniarie in senso stretto in materia urbanistico-edilizia. </w:t>
      </w:r>
      <w:r w:rsidR="00307BFA" w:rsidRPr="000D6DEE">
        <w:rPr>
          <w:rFonts w:ascii="Times New Roman" w:eastAsia="Times New Roman" w:hAnsi="Times New Roman" w:cs="Times New Roman"/>
          <w:color w:val="000000"/>
          <w:sz w:val="28"/>
          <w:szCs w:val="28"/>
          <w:lang w:eastAsia="it-IT"/>
        </w:rPr>
        <w:t xml:space="preserve">Una lettura sistematica e costituzionalmente orientata, dunque, non può non condurre all’estensione applicativa dei principi fondamentali di cui agli artt. 1, 2, 3 e 4 della l. 689/1981 ad ogni sanzione </w:t>
      </w:r>
      <w:r w:rsidR="00307BFA" w:rsidRPr="000D6DEE">
        <w:rPr>
          <w:rFonts w:ascii="Times New Roman" w:eastAsia="Times New Roman" w:hAnsi="Times New Roman" w:cs="Times New Roman"/>
          <w:color w:val="000000"/>
          <w:sz w:val="28"/>
          <w:szCs w:val="28"/>
          <w:lang w:eastAsia="it-IT"/>
        </w:rPr>
        <w:lastRenderedPageBreak/>
        <w:t xml:space="preserve">amministrativa in senso stretto e quindi ad ogni illecito amministrativo, anche se la sanzione prevista non è pecuniaria. Restano fuori dall’applicabilità degli stessi solo quei provvedimenti che, seppur pregiudizievoli per il destinatario, assumono carattere primariamente riparatorio, tra i quali, come detto, </w:t>
      </w:r>
      <w:r w:rsidR="00A272B0" w:rsidRPr="000D6DEE">
        <w:rPr>
          <w:rFonts w:ascii="Times New Roman" w:eastAsia="Times New Roman" w:hAnsi="Times New Roman" w:cs="Times New Roman"/>
          <w:color w:val="000000"/>
          <w:sz w:val="28"/>
          <w:szCs w:val="28"/>
          <w:lang w:eastAsia="it-IT"/>
        </w:rPr>
        <w:t xml:space="preserve">si ritiene rientrino tanto </w:t>
      </w:r>
      <w:r w:rsidR="00307BFA" w:rsidRPr="000D6DEE">
        <w:rPr>
          <w:rFonts w:ascii="Times New Roman" w:eastAsia="Times New Roman" w:hAnsi="Times New Roman" w:cs="Times New Roman"/>
          <w:color w:val="000000"/>
          <w:sz w:val="28"/>
          <w:szCs w:val="28"/>
          <w:lang w:eastAsia="it-IT"/>
        </w:rPr>
        <w:t>le cessazioni delle attività abusive disposte nel caso di violazioni di cui all’art. 17-</w:t>
      </w:r>
      <w:r w:rsidR="00307BFA" w:rsidRPr="000D6DEE">
        <w:rPr>
          <w:rFonts w:ascii="Times New Roman" w:eastAsia="Times New Roman" w:hAnsi="Times New Roman" w:cs="Times New Roman"/>
          <w:i/>
          <w:color w:val="000000"/>
          <w:sz w:val="28"/>
          <w:szCs w:val="28"/>
          <w:lang w:eastAsia="it-IT"/>
        </w:rPr>
        <w:t>bis</w:t>
      </w:r>
      <w:r w:rsidR="00307BFA" w:rsidRPr="000D6DEE">
        <w:rPr>
          <w:rFonts w:ascii="Times New Roman" w:eastAsia="Times New Roman" w:hAnsi="Times New Roman" w:cs="Times New Roman"/>
          <w:color w:val="000000"/>
          <w:sz w:val="28"/>
          <w:szCs w:val="28"/>
          <w:lang w:eastAsia="it-IT"/>
        </w:rPr>
        <w:t xml:space="preserve"> del </w:t>
      </w:r>
      <w:proofErr w:type="spellStart"/>
      <w:r w:rsidR="00307BFA" w:rsidRPr="000D6DEE">
        <w:rPr>
          <w:rFonts w:ascii="Times New Roman" w:eastAsia="Times New Roman" w:hAnsi="Times New Roman" w:cs="Times New Roman"/>
          <w:color w:val="000000"/>
          <w:sz w:val="28"/>
          <w:szCs w:val="28"/>
          <w:lang w:eastAsia="it-IT"/>
        </w:rPr>
        <w:t>T.u.l.p.s</w:t>
      </w:r>
      <w:proofErr w:type="spellEnd"/>
      <w:r w:rsidR="00307BFA" w:rsidRPr="000D6DEE">
        <w:rPr>
          <w:rFonts w:ascii="Times New Roman" w:eastAsia="Times New Roman" w:hAnsi="Times New Roman" w:cs="Times New Roman"/>
          <w:color w:val="000000"/>
          <w:sz w:val="28"/>
          <w:szCs w:val="28"/>
          <w:lang w:eastAsia="it-IT"/>
        </w:rPr>
        <w:t>.</w:t>
      </w:r>
      <w:r w:rsidR="00A272B0" w:rsidRPr="000D6DEE">
        <w:rPr>
          <w:rFonts w:ascii="Times New Roman" w:eastAsia="Times New Roman" w:hAnsi="Times New Roman" w:cs="Times New Roman"/>
          <w:color w:val="000000"/>
          <w:sz w:val="28"/>
          <w:szCs w:val="28"/>
          <w:lang w:eastAsia="it-IT"/>
        </w:rPr>
        <w:t xml:space="preserve"> (art. 17-</w:t>
      </w:r>
      <w:r w:rsidR="00A272B0" w:rsidRPr="000D6DEE">
        <w:rPr>
          <w:rFonts w:ascii="Times New Roman" w:eastAsia="Times New Roman" w:hAnsi="Times New Roman" w:cs="Times New Roman"/>
          <w:i/>
          <w:color w:val="000000"/>
          <w:sz w:val="28"/>
          <w:szCs w:val="28"/>
          <w:lang w:eastAsia="it-IT"/>
        </w:rPr>
        <w:t>ter</w:t>
      </w:r>
      <w:r w:rsidR="00A272B0" w:rsidRPr="000D6DEE">
        <w:rPr>
          <w:rFonts w:ascii="Times New Roman" w:eastAsia="Times New Roman" w:hAnsi="Times New Roman" w:cs="Times New Roman"/>
          <w:color w:val="000000"/>
          <w:sz w:val="28"/>
          <w:szCs w:val="28"/>
          <w:lang w:eastAsia="it-IT"/>
        </w:rPr>
        <w:t xml:space="preserve"> del </w:t>
      </w:r>
      <w:proofErr w:type="spellStart"/>
      <w:r w:rsidR="00A272B0" w:rsidRPr="000D6DEE">
        <w:rPr>
          <w:rFonts w:ascii="Times New Roman" w:eastAsia="Times New Roman" w:hAnsi="Times New Roman" w:cs="Times New Roman"/>
          <w:color w:val="000000"/>
          <w:sz w:val="28"/>
          <w:szCs w:val="28"/>
          <w:lang w:eastAsia="it-IT"/>
        </w:rPr>
        <w:t>T.u.l.p.s</w:t>
      </w:r>
      <w:proofErr w:type="spellEnd"/>
      <w:r w:rsidR="00A272B0" w:rsidRPr="000D6DEE">
        <w:rPr>
          <w:rFonts w:ascii="Times New Roman" w:eastAsia="Times New Roman" w:hAnsi="Times New Roman" w:cs="Times New Roman"/>
          <w:color w:val="000000"/>
          <w:sz w:val="28"/>
          <w:szCs w:val="28"/>
          <w:lang w:eastAsia="it-IT"/>
        </w:rPr>
        <w:t xml:space="preserve">.) </w:t>
      </w:r>
      <w:r w:rsidR="00307BFA" w:rsidRPr="000D6DEE">
        <w:rPr>
          <w:rFonts w:ascii="Times New Roman" w:eastAsia="Times New Roman" w:hAnsi="Times New Roman" w:cs="Times New Roman"/>
          <w:color w:val="000000"/>
          <w:sz w:val="28"/>
          <w:szCs w:val="28"/>
          <w:lang w:eastAsia="it-IT"/>
        </w:rPr>
        <w:t xml:space="preserve">che </w:t>
      </w:r>
      <w:r w:rsidR="00A272B0" w:rsidRPr="000D6DEE">
        <w:rPr>
          <w:rFonts w:ascii="Times New Roman" w:eastAsia="Times New Roman" w:hAnsi="Times New Roman" w:cs="Times New Roman"/>
          <w:color w:val="000000"/>
          <w:sz w:val="28"/>
          <w:szCs w:val="28"/>
          <w:lang w:eastAsia="it-IT"/>
        </w:rPr>
        <w:t xml:space="preserve">quella </w:t>
      </w:r>
      <w:r w:rsidR="00307BFA" w:rsidRPr="000D6DEE">
        <w:rPr>
          <w:rFonts w:ascii="Times New Roman" w:eastAsia="Times New Roman" w:hAnsi="Times New Roman" w:cs="Times New Roman"/>
          <w:color w:val="000000"/>
          <w:sz w:val="28"/>
          <w:szCs w:val="28"/>
          <w:lang w:eastAsia="it-IT"/>
        </w:rPr>
        <w:t xml:space="preserve">di cui all’art. 666 c.p. </w:t>
      </w:r>
      <w:r w:rsidR="00DE67D0" w:rsidRPr="000D6DEE">
        <w:rPr>
          <w:rStyle w:val="Rimandonotaapidipagina"/>
          <w:rFonts w:ascii="Times New Roman" w:eastAsia="Times New Roman" w:hAnsi="Times New Roman" w:cs="Times New Roman"/>
          <w:color w:val="000000"/>
          <w:sz w:val="28"/>
          <w:szCs w:val="28"/>
          <w:lang w:eastAsia="it-IT"/>
        </w:rPr>
        <w:footnoteReference w:id="32"/>
      </w:r>
    </w:p>
    <w:p w:rsidR="00290F6F" w:rsidRPr="000D6DEE" w:rsidRDefault="00A272B0" w:rsidP="00A272B0">
      <w:pPr>
        <w:spacing w:line="360" w:lineRule="auto"/>
        <w:jc w:val="both"/>
        <w:rPr>
          <w:rFonts w:ascii="Times New Roman" w:eastAsia="Times New Roman" w:hAnsi="Times New Roman" w:cs="Times New Roman"/>
          <w:color w:val="000000"/>
          <w:sz w:val="28"/>
          <w:szCs w:val="28"/>
          <w:lang w:eastAsia="it-IT"/>
        </w:rPr>
      </w:pPr>
      <w:r w:rsidRPr="000D6DEE">
        <w:rPr>
          <w:rFonts w:ascii="Times New Roman" w:eastAsia="Times New Roman" w:hAnsi="Times New Roman" w:cs="Times New Roman"/>
          <w:color w:val="000000"/>
          <w:sz w:val="28"/>
          <w:szCs w:val="28"/>
          <w:lang w:eastAsia="it-IT"/>
        </w:rPr>
        <w:t xml:space="preserve">D’altro canto, solo sottraendo dall’ambito sanzionatorio misure quali la sospensione o revoca dell’autorizzazione (art. 9 e 11 del </w:t>
      </w:r>
      <w:proofErr w:type="spellStart"/>
      <w:r w:rsidRPr="000D6DEE">
        <w:rPr>
          <w:rFonts w:ascii="Times New Roman" w:eastAsia="Times New Roman" w:hAnsi="Times New Roman" w:cs="Times New Roman"/>
          <w:color w:val="000000"/>
          <w:sz w:val="28"/>
          <w:szCs w:val="28"/>
          <w:lang w:eastAsia="it-IT"/>
        </w:rPr>
        <w:t>T.u.l.p.s</w:t>
      </w:r>
      <w:proofErr w:type="spellEnd"/>
      <w:r w:rsidRPr="000D6DEE">
        <w:rPr>
          <w:rFonts w:ascii="Times New Roman" w:eastAsia="Times New Roman" w:hAnsi="Times New Roman" w:cs="Times New Roman"/>
          <w:color w:val="000000"/>
          <w:sz w:val="28"/>
          <w:szCs w:val="28"/>
          <w:lang w:eastAsia="it-IT"/>
        </w:rPr>
        <w:t xml:space="preserve">.), così come la cessazione dell’attività di cui all’art. 17-ter del medesimo testo unico, o 666 c.p., che pure implicano tutte la privazione, anche solo temporanea, di diritti e facoltà e tuttavia non accedono ad un illecito amministrativo da depenalizzazione, se ne comprende la diversa </w:t>
      </w:r>
      <w:r w:rsidRPr="000D6DEE">
        <w:rPr>
          <w:rFonts w:ascii="Times New Roman" w:eastAsia="Times New Roman" w:hAnsi="Times New Roman" w:cs="Times New Roman"/>
          <w:i/>
          <w:iCs/>
          <w:color w:val="000000"/>
          <w:sz w:val="28"/>
          <w:szCs w:val="28"/>
          <w:lang w:eastAsia="it-IT"/>
        </w:rPr>
        <w:t>ratio</w:t>
      </w:r>
      <w:r w:rsidRPr="000D6DEE">
        <w:rPr>
          <w:rFonts w:ascii="Times New Roman" w:eastAsia="Times New Roman" w:hAnsi="Times New Roman" w:cs="Times New Roman"/>
          <w:color w:val="000000"/>
          <w:sz w:val="28"/>
          <w:szCs w:val="28"/>
          <w:lang w:eastAsia="it-IT"/>
        </w:rPr>
        <w:t> di protezione e realizzazione diretta degli interessi dell’Amministrazione:</w:t>
      </w:r>
      <w:r w:rsidR="00AC0D01" w:rsidRPr="000D6DEE">
        <w:rPr>
          <w:rFonts w:ascii="Times New Roman" w:eastAsia="Times New Roman" w:hAnsi="Times New Roman" w:cs="Times New Roman"/>
          <w:color w:val="000000"/>
          <w:sz w:val="28"/>
          <w:szCs w:val="28"/>
          <w:lang w:eastAsia="it-IT"/>
        </w:rPr>
        <w:t xml:space="preserve"> </w:t>
      </w:r>
      <w:r w:rsidRPr="000D6DEE">
        <w:rPr>
          <w:rFonts w:ascii="Times New Roman" w:eastAsia="Times New Roman" w:hAnsi="Times New Roman" w:cs="Times New Roman"/>
          <w:color w:val="000000"/>
          <w:sz w:val="28"/>
          <w:szCs w:val="28"/>
          <w:lang w:eastAsia="it-IT"/>
        </w:rPr>
        <w:t>l’ “interdizione” di un soggetto o di una sua attività è cioè imposta o consentita in ragione della ritenuta inidoneità dello stesso a soddisfarli, avuto riguardo alla condotta preventivamente tenuta.</w:t>
      </w:r>
    </w:p>
    <w:p w:rsidR="00307BFA" w:rsidRPr="000D6DEE" w:rsidRDefault="00A272B0" w:rsidP="00290F6F">
      <w:pPr>
        <w:spacing w:line="360" w:lineRule="auto"/>
        <w:jc w:val="both"/>
        <w:rPr>
          <w:rFonts w:ascii="Times New Roman" w:eastAsia="Times New Roman" w:hAnsi="Times New Roman" w:cs="Times New Roman"/>
          <w:color w:val="000000"/>
          <w:sz w:val="28"/>
          <w:szCs w:val="28"/>
          <w:lang w:eastAsia="it-IT"/>
        </w:rPr>
      </w:pPr>
      <w:r w:rsidRPr="000D6DEE">
        <w:rPr>
          <w:rFonts w:ascii="Times New Roman" w:eastAsia="Times New Roman" w:hAnsi="Times New Roman" w:cs="Times New Roman"/>
          <w:color w:val="000000"/>
          <w:sz w:val="28"/>
          <w:szCs w:val="28"/>
          <w:lang w:eastAsia="it-IT"/>
        </w:rPr>
        <w:t>Va notato come l’art. 20, c.2, della l. 689/1981, prevede che le sanzioni accessorie ad una sanzione amministrativa pecuniaria non siano applicabili -</w:t>
      </w:r>
      <w:r w:rsidRPr="000D6DEE">
        <w:rPr>
          <w:rFonts w:ascii="Times New Roman" w:eastAsia="Times New Roman" w:hAnsi="Times New Roman" w:cs="Times New Roman"/>
          <w:i/>
          <w:iCs/>
          <w:color w:val="000000"/>
          <w:sz w:val="28"/>
          <w:szCs w:val="28"/>
          <w:lang w:eastAsia="it-IT"/>
        </w:rPr>
        <w:t>rectius</w:t>
      </w:r>
      <w:r w:rsidRPr="000D6DEE">
        <w:rPr>
          <w:rFonts w:ascii="Times New Roman" w:eastAsia="Times New Roman" w:hAnsi="Times New Roman" w:cs="Times New Roman"/>
          <w:color w:val="000000"/>
          <w:sz w:val="28"/>
          <w:szCs w:val="28"/>
          <w:lang w:eastAsia="it-IT"/>
        </w:rPr>
        <w:t>, esecutive- fino a che sia pendente il giudizio di opposizione contro il provvedimento di condanna o, nel caso di connessione con un reato, fino a che il provvedimento stesso non sia divenuto esecutivo. Ciò da un lato ne conferma la natura afflittiva e la funzione deterrente, dall’altro evidenzia l’attenzione del legislatore al principio -</w:t>
      </w:r>
      <w:r w:rsidR="00EC6AF7" w:rsidRPr="000D6DEE">
        <w:rPr>
          <w:rFonts w:ascii="Times New Roman" w:eastAsia="Times New Roman" w:hAnsi="Times New Roman" w:cs="Times New Roman"/>
          <w:color w:val="000000"/>
          <w:sz w:val="28"/>
          <w:szCs w:val="28"/>
          <w:lang w:eastAsia="it-IT"/>
        </w:rPr>
        <w:t xml:space="preserve"> </w:t>
      </w:r>
      <w:r w:rsidRPr="000D6DEE">
        <w:rPr>
          <w:rFonts w:ascii="Times New Roman" w:eastAsia="Times New Roman" w:hAnsi="Times New Roman" w:cs="Times New Roman"/>
          <w:color w:val="000000"/>
          <w:sz w:val="28"/>
          <w:szCs w:val="28"/>
          <w:lang w:eastAsia="it-IT"/>
        </w:rPr>
        <w:t xml:space="preserve">sebbene fortemente temperato- di colpevolezza del destinatario del provvedimento. L’applicazione della sanzione accessoria, infatti, avviene, almeno in questi casi solo al </w:t>
      </w:r>
      <w:r w:rsidRPr="000D6DEE">
        <w:rPr>
          <w:rFonts w:ascii="Times New Roman" w:eastAsia="Times New Roman" w:hAnsi="Times New Roman" w:cs="Times New Roman"/>
          <w:color w:val="000000"/>
          <w:sz w:val="28"/>
          <w:szCs w:val="28"/>
          <w:lang w:eastAsia="it-IT"/>
        </w:rPr>
        <w:lastRenderedPageBreak/>
        <w:t>momento in cui il soggetto è riconosciuto responsabile, a seguito di un giudizio a cognizione piena, della violazione amministrativa</w:t>
      </w:r>
      <w:r w:rsidRPr="000D6DEE">
        <w:rPr>
          <w:rStyle w:val="Rimandonotaapidipagina"/>
          <w:rFonts w:ascii="Times New Roman" w:eastAsia="Times New Roman" w:hAnsi="Times New Roman" w:cs="Times New Roman"/>
          <w:color w:val="000000"/>
          <w:sz w:val="28"/>
          <w:szCs w:val="28"/>
          <w:lang w:eastAsia="it-IT"/>
        </w:rPr>
        <w:footnoteReference w:id="33"/>
      </w:r>
      <w:r w:rsidRPr="000D6DEE">
        <w:rPr>
          <w:rFonts w:ascii="Times New Roman" w:eastAsia="Times New Roman" w:hAnsi="Times New Roman" w:cs="Times New Roman"/>
          <w:color w:val="000000"/>
          <w:sz w:val="28"/>
          <w:szCs w:val="28"/>
          <w:lang w:eastAsia="it-IT"/>
        </w:rPr>
        <w:t>.</w:t>
      </w:r>
    </w:p>
    <w:p w:rsidR="00893053" w:rsidRPr="000D6DEE" w:rsidRDefault="005F4E02" w:rsidP="00C53D07">
      <w:pPr>
        <w:rPr>
          <w:rFonts w:ascii="Times New Roman" w:hAnsi="Times New Roman" w:cs="Times New Roman"/>
          <w:b/>
          <w:sz w:val="28"/>
          <w:szCs w:val="28"/>
        </w:rPr>
      </w:pPr>
      <w:r w:rsidRPr="000D6DEE">
        <w:rPr>
          <w:rFonts w:ascii="Times New Roman" w:hAnsi="Times New Roman" w:cs="Times New Roman"/>
          <w:b/>
          <w:sz w:val="28"/>
          <w:szCs w:val="28"/>
        </w:rPr>
        <w:t xml:space="preserve">7. </w:t>
      </w:r>
      <w:r w:rsidR="00893053" w:rsidRPr="000D6DEE">
        <w:rPr>
          <w:rFonts w:ascii="Times New Roman" w:hAnsi="Times New Roman" w:cs="Times New Roman"/>
          <w:b/>
          <w:sz w:val="28"/>
          <w:szCs w:val="28"/>
        </w:rPr>
        <w:t>La mancanza di agibilità dei locali di pubblico spettacolo</w:t>
      </w:r>
    </w:p>
    <w:p w:rsidR="00E9494D" w:rsidRPr="000D6DEE" w:rsidRDefault="00FD1B6E" w:rsidP="005F4E02">
      <w:pPr>
        <w:pStyle w:val="Titolo3"/>
        <w:shd w:val="clear" w:color="auto" w:fill="FFFFFF"/>
        <w:spacing w:before="0" w:beforeAutospacing="0" w:after="225" w:afterAutospacing="0" w:line="360" w:lineRule="auto"/>
        <w:jc w:val="both"/>
        <w:rPr>
          <w:b w:val="0"/>
          <w:color w:val="2D2D2D"/>
          <w:sz w:val="28"/>
          <w:szCs w:val="28"/>
        </w:rPr>
      </w:pPr>
      <w:r w:rsidRPr="000D6DEE">
        <w:rPr>
          <w:b w:val="0"/>
          <w:color w:val="000000"/>
          <w:sz w:val="28"/>
          <w:szCs w:val="28"/>
        </w:rPr>
        <w:t>I</w:t>
      </w:r>
      <w:r w:rsidR="009311C3" w:rsidRPr="000D6DEE">
        <w:rPr>
          <w:b w:val="0"/>
          <w:color w:val="000000"/>
          <w:sz w:val="28"/>
          <w:szCs w:val="28"/>
        </w:rPr>
        <w:t>l termine “agibilità”</w:t>
      </w:r>
      <w:r w:rsidRPr="000D6DEE">
        <w:rPr>
          <w:b w:val="0"/>
          <w:color w:val="000000"/>
          <w:sz w:val="28"/>
          <w:szCs w:val="28"/>
        </w:rPr>
        <w:t>, che nel tempo è traslato nella materia urbanistica</w:t>
      </w:r>
      <w:r w:rsidR="00CC586B" w:rsidRPr="000D6DEE">
        <w:rPr>
          <w:b w:val="0"/>
          <w:color w:val="000000"/>
          <w:sz w:val="28"/>
          <w:szCs w:val="28"/>
        </w:rPr>
        <w:t xml:space="preserve"> con accezione del tutto diversa</w:t>
      </w:r>
      <w:r w:rsidR="00CC586B" w:rsidRPr="000D6DEE">
        <w:rPr>
          <w:rStyle w:val="Rimandonotaapidipagina"/>
          <w:b w:val="0"/>
          <w:color w:val="000000"/>
          <w:sz w:val="28"/>
          <w:szCs w:val="28"/>
        </w:rPr>
        <w:footnoteReference w:id="34"/>
      </w:r>
      <w:r w:rsidRPr="000D6DEE">
        <w:rPr>
          <w:b w:val="0"/>
          <w:color w:val="000000"/>
          <w:sz w:val="28"/>
          <w:szCs w:val="28"/>
        </w:rPr>
        <w:t xml:space="preserve">, è stato utilizzato </w:t>
      </w:r>
      <w:r w:rsidR="00CC586B" w:rsidRPr="000D6DEE">
        <w:rPr>
          <w:b w:val="0"/>
          <w:color w:val="000000"/>
          <w:sz w:val="28"/>
          <w:szCs w:val="28"/>
        </w:rPr>
        <w:t xml:space="preserve">in passato </w:t>
      </w:r>
      <w:r w:rsidRPr="000D6DEE">
        <w:rPr>
          <w:b w:val="0"/>
          <w:color w:val="000000"/>
          <w:sz w:val="28"/>
          <w:szCs w:val="28"/>
        </w:rPr>
        <w:t xml:space="preserve">dal legislatore in relazione alla </w:t>
      </w:r>
      <w:r w:rsidR="009311C3" w:rsidRPr="000D6DEE">
        <w:rPr>
          <w:b w:val="0"/>
          <w:color w:val="000000"/>
          <w:sz w:val="28"/>
          <w:szCs w:val="28"/>
        </w:rPr>
        <w:t xml:space="preserve">certificazione dei requisiti di solidità e sicurezza che devono possedere i teatri e luoghi di pubblico spettacolo ai sensi dell’art. 80 del r.d. 18 giugno 1931, n. 773, </w:t>
      </w:r>
      <w:proofErr w:type="spellStart"/>
      <w:r w:rsidR="009311C3" w:rsidRPr="000D6DEE">
        <w:rPr>
          <w:b w:val="0"/>
          <w:color w:val="000000"/>
          <w:sz w:val="28"/>
          <w:szCs w:val="28"/>
        </w:rPr>
        <w:t>T.</w:t>
      </w:r>
      <w:r w:rsidR="00CC586B" w:rsidRPr="000D6DEE">
        <w:rPr>
          <w:b w:val="0"/>
          <w:color w:val="000000"/>
          <w:sz w:val="28"/>
          <w:szCs w:val="28"/>
        </w:rPr>
        <w:t>u.l.p.s</w:t>
      </w:r>
      <w:proofErr w:type="spellEnd"/>
      <w:r w:rsidR="00CC586B" w:rsidRPr="000D6DEE">
        <w:rPr>
          <w:b w:val="0"/>
          <w:color w:val="000000"/>
          <w:sz w:val="28"/>
          <w:szCs w:val="28"/>
        </w:rPr>
        <w:t>. In particolare, l’</w:t>
      </w:r>
      <w:r w:rsidR="009311C3" w:rsidRPr="000D6DEE">
        <w:rPr>
          <w:b w:val="0"/>
          <w:color w:val="000000"/>
          <w:sz w:val="28"/>
          <w:szCs w:val="28"/>
        </w:rPr>
        <w:t>art. 1</w:t>
      </w:r>
      <w:r w:rsidR="00CC586B" w:rsidRPr="000D6DEE">
        <w:rPr>
          <w:b w:val="0"/>
          <w:color w:val="000000"/>
          <w:sz w:val="28"/>
          <w:szCs w:val="28"/>
        </w:rPr>
        <w:t>9</w:t>
      </w:r>
      <w:r w:rsidR="009311C3" w:rsidRPr="000D6DEE">
        <w:rPr>
          <w:b w:val="0"/>
          <w:color w:val="000000"/>
          <w:sz w:val="28"/>
          <w:szCs w:val="28"/>
        </w:rPr>
        <w:t xml:space="preserve">, comma 1, n. 9, del d.P.R. 24 luglio 1977, n. 616, che ha trasferito la competenza al rilascio </w:t>
      </w:r>
      <w:r w:rsidRPr="000D6DEE">
        <w:rPr>
          <w:b w:val="0"/>
          <w:color w:val="000000"/>
          <w:sz w:val="28"/>
          <w:szCs w:val="28"/>
        </w:rPr>
        <w:t xml:space="preserve">della relativa licenza </w:t>
      </w:r>
      <w:r w:rsidR="009311C3" w:rsidRPr="000D6DEE">
        <w:rPr>
          <w:b w:val="0"/>
          <w:color w:val="000000"/>
          <w:sz w:val="28"/>
          <w:szCs w:val="28"/>
        </w:rPr>
        <w:t>ai Comuni</w:t>
      </w:r>
      <w:r w:rsidR="00CC586B" w:rsidRPr="000D6DEE">
        <w:rPr>
          <w:b w:val="0"/>
          <w:color w:val="000000"/>
          <w:sz w:val="28"/>
          <w:szCs w:val="28"/>
        </w:rPr>
        <w:t>, menziona una vera e propria “licenza” a tale scopo, riconducendola a ridetto art. 80</w:t>
      </w:r>
      <w:r w:rsidR="00E74BB4" w:rsidRPr="000D6DEE">
        <w:rPr>
          <w:b w:val="0"/>
          <w:color w:val="000000"/>
          <w:sz w:val="28"/>
          <w:szCs w:val="28"/>
        </w:rPr>
        <w:t xml:space="preserve">, che in verità sembra scindere tale titolo, riconducibile agli artt. 68 o 69 del </w:t>
      </w:r>
      <w:proofErr w:type="spellStart"/>
      <w:r w:rsidR="00E74BB4" w:rsidRPr="000D6DEE">
        <w:rPr>
          <w:b w:val="0"/>
          <w:color w:val="000000"/>
          <w:sz w:val="28"/>
          <w:szCs w:val="28"/>
        </w:rPr>
        <w:t>T.u.l.p.s</w:t>
      </w:r>
      <w:proofErr w:type="spellEnd"/>
      <w:r w:rsidR="00E74BB4" w:rsidRPr="000D6DEE">
        <w:rPr>
          <w:b w:val="0"/>
          <w:color w:val="000000"/>
          <w:sz w:val="28"/>
          <w:szCs w:val="28"/>
        </w:rPr>
        <w:t>., dalla – propedeutica – verifica di solidità e sicurezza dell’edificio e di esistenza delle uscite di sicurezza da parte dell’apposita commissione tecnica. Il riferimento, tuttavia, oltre che ai teatri, a «</w:t>
      </w:r>
      <w:r w:rsidR="00E74BB4" w:rsidRPr="000D6DEE">
        <w:rPr>
          <w:b w:val="0"/>
          <w:i/>
          <w:color w:val="000000"/>
          <w:sz w:val="28"/>
          <w:szCs w:val="28"/>
        </w:rPr>
        <w:t>luoghi</w:t>
      </w:r>
      <w:r w:rsidR="00E74BB4" w:rsidRPr="000D6DEE">
        <w:rPr>
          <w:b w:val="0"/>
          <w:color w:val="000000"/>
          <w:sz w:val="28"/>
          <w:szCs w:val="28"/>
        </w:rPr>
        <w:t xml:space="preserve">» di pubblico spettacolo ha da subito portato ad ampliare il dato testuale rigorosamente inteso, richiedendo la verifica di sicurezza, a condizioni date, anche per spazi all’aperto. In senso estensive sono state di aiuto le norme tecniche dettate a fini prevenzione incendi, che hanno da sempre declinato anche indicazioni concettuali di natura sostanziale utili ad integrare l’eccessiva stringatezza della legislazione primaria. Allo scopo va ancora oggi ricordata </w:t>
      </w:r>
      <w:r w:rsidR="00893053" w:rsidRPr="000D6DEE">
        <w:rPr>
          <w:b w:val="0"/>
          <w:sz w:val="28"/>
          <w:szCs w:val="28"/>
        </w:rPr>
        <w:t xml:space="preserve">la circolare n. 16 del 1951 del Ministero dell’Interno, che definisce il luogo di pubblico spettacolo </w:t>
      </w:r>
      <w:r w:rsidR="00E74BB4" w:rsidRPr="000D6DEE">
        <w:rPr>
          <w:b w:val="0"/>
          <w:sz w:val="28"/>
          <w:szCs w:val="28"/>
        </w:rPr>
        <w:t xml:space="preserve">assimilandovi opportunamente anche quello </w:t>
      </w:r>
      <w:r w:rsidR="00893053" w:rsidRPr="000D6DEE">
        <w:rPr>
          <w:b w:val="0"/>
          <w:sz w:val="28"/>
          <w:szCs w:val="28"/>
        </w:rPr>
        <w:t xml:space="preserve">di trattenimento ed individuandolo in un insieme di fabbricati, ambienti e luoghi. </w:t>
      </w:r>
      <w:r w:rsidR="00E74BB4" w:rsidRPr="000D6DEE">
        <w:rPr>
          <w:b w:val="0"/>
          <w:sz w:val="28"/>
          <w:szCs w:val="28"/>
        </w:rPr>
        <w:t xml:space="preserve">Con il successivo d.m. </w:t>
      </w:r>
      <w:r w:rsidR="00893053" w:rsidRPr="000D6DEE">
        <w:rPr>
          <w:b w:val="0"/>
          <w:sz w:val="28"/>
          <w:szCs w:val="28"/>
        </w:rPr>
        <w:t>19 agosto 1996, contenente la cosiddetta regola tecnica di prevenzione incendi per la progettazione, costruzione ed esercizio di locali di intrattenimento e di pubblico spettacolo</w:t>
      </w:r>
      <w:r w:rsidR="00E74BB4" w:rsidRPr="000D6DEE">
        <w:rPr>
          <w:b w:val="0"/>
          <w:sz w:val="28"/>
          <w:szCs w:val="28"/>
        </w:rPr>
        <w:t xml:space="preserve">, viene poi fornita un’utilissima elencazione dei luoghi/locali rilevanti allo scopo. </w:t>
      </w:r>
      <w:r w:rsidR="00180C7E" w:rsidRPr="000D6DEE">
        <w:rPr>
          <w:b w:val="0"/>
          <w:sz w:val="28"/>
          <w:szCs w:val="28"/>
        </w:rPr>
        <w:t>Con d.P.R. 1° agosto 2011, n. 151, recante «</w:t>
      </w:r>
      <w:r w:rsidR="00180C7E" w:rsidRPr="000D6DEE">
        <w:rPr>
          <w:b w:val="0"/>
          <w:bCs w:val="0"/>
          <w:i/>
          <w:color w:val="19191A"/>
          <w:sz w:val="28"/>
          <w:szCs w:val="28"/>
        </w:rPr>
        <w:t xml:space="preserve">Regolamento recante semplificazione della disciplina dei </w:t>
      </w:r>
      <w:r w:rsidR="00180C7E" w:rsidRPr="000D6DEE">
        <w:rPr>
          <w:b w:val="0"/>
          <w:bCs w:val="0"/>
          <w:i/>
          <w:color w:val="19191A"/>
          <w:sz w:val="28"/>
          <w:szCs w:val="28"/>
        </w:rPr>
        <w:lastRenderedPageBreak/>
        <w:t>procedimenti relativi alla prevenzione degli incendi</w:t>
      </w:r>
      <w:r w:rsidR="00180C7E" w:rsidRPr="000D6DEE">
        <w:rPr>
          <w:b w:val="0"/>
          <w:bCs w:val="0"/>
          <w:color w:val="19191A"/>
          <w:sz w:val="28"/>
          <w:szCs w:val="28"/>
        </w:rPr>
        <w:t xml:space="preserve">», alla voce 65 della Tabella I, </w:t>
      </w:r>
      <w:r w:rsidR="00765A35" w:rsidRPr="000D6DEE">
        <w:rPr>
          <w:b w:val="0"/>
          <w:bCs w:val="0"/>
          <w:color w:val="19191A"/>
          <w:sz w:val="28"/>
          <w:szCs w:val="28"/>
        </w:rPr>
        <w:t xml:space="preserve">si fa riferimento ai </w:t>
      </w:r>
      <w:r w:rsidR="00180C7E" w:rsidRPr="000D6DEE">
        <w:rPr>
          <w:b w:val="0"/>
          <w:bCs w:val="0"/>
          <w:color w:val="19191A"/>
          <w:sz w:val="28"/>
          <w:szCs w:val="28"/>
        </w:rPr>
        <w:t>locali di spettacolo e di trattenimento in genere, impianti e centri sportivi, palestre, sia a carattere pubblico che privato, con capienza superiore a 100 persone, ovvero di superficie lorda in pianta al chiuso superiore a 200 metri quadrati. Esclude espressamente le manifestazioni temporanee, di qualsiasi genere, che si effettuano in locali o luoghi aperti al pubblico</w:t>
      </w:r>
      <w:r w:rsidR="00180C7E" w:rsidRPr="000D6DEE">
        <w:rPr>
          <w:bCs w:val="0"/>
          <w:color w:val="19191A"/>
          <w:sz w:val="28"/>
          <w:szCs w:val="28"/>
        </w:rPr>
        <w:t>.</w:t>
      </w:r>
      <w:r w:rsidR="00677DF3" w:rsidRPr="000D6DEE">
        <w:rPr>
          <w:color w:val="777D8B"/>
          <w:sz w:val="28"/>
          <w:szCs w:val="28"/>
        </w:rPr>
        <w:t xml:space="preserve"> </w:t>
      </w:r>
      <w:r w:rsidR="00677DF3" w:rsidRPr="000D6DEE">
        <w:rPr>
          <w:b w:val="0"/>
          <w:color w:val="777D8B"/>
          <w:sz w:val="28"/>
          <w:szCs w:val="28"/>
        </w:rPr>
        <w:t>Essi vengono distinti a seconda che la capienza superi o meno le 200 persone (rispettivamente, categoria “B” e categoria “A”). L’art. 2, nel disciplinare il campo di applicazione del regolamento, fa riferimento alle attività</w:t>
      </w:r>
      <w:r w:rsidR="00677DF3" w:rsidRPr="000D6DEE">
        <w:rPr>
          <w:color w:val="777D8B"/>
          <w:sz w:val="28"/>
          <w:szCs w:val="28"/>
        </w:rPr>
        <w:t> </w:t>
      </w:r>
      <w:r w:rsidR="00677DF3" w:rsidRPr="000D6DEE">
        <w:rPr>
          <w:rStyle w:val="Enfasigrassetto"/>
          <w:color w:val="777D8B"/>
          <w:sz w:val="28"/>
          <w:szCs w:val="28"/>
        </w:rPr>
        <w:t>esistenti alla data della propria entrata in vigore ovvero a quelle di nuova realizzazione</w:t>
      </w:r>
      <w:r w:rsidR="00677DF3" w:rsidRPr="000D6DEE">
        <w:rPr>
          <w:color w:val="777D8B"/>
          <w:sz w:val="28"/>
          <w:szCs w:val="28"/>
        </w:rPr>
        <w:t>, </w:t>
      </w:r>
      <w:r w:rsidR="00677DF3" w:rsidRPr="000D6DEE">
        <w:rPr>
          <w:rStyle w:val="Enfasigrassetto"/>
          <w:color w:val="777D8B"/>
          <w:sz w:val="28"/>
          <w:szCs w:val="28"/>
        </w:rPr>
        <w:t>in</w:t>
      </w:r>
      <w:r w:rsidR="00677DF3" w:rsidRPr="000D6DEE">
        <w:rPr>
          <w:color w:val="777D8B"/>
          <w:sz w:val="28"/>
          <w:szCs w:val="28"/>
        </w:rPr>
        <w:t> </w:t>
      </w:r>
      <w:r w:rsidR="00677DF3" w:rsidRPr="000D6DEE">
        <w:rPr>
          <w:rStyle w:val="Enfasigrassetto"/>
          <w:color w:val="777D8B"/>
          <w:sz w:val="28"/>
          <w:szCs w:val="28"/>
        </w:rPr>
        <w:t>alternativa</w:t>
      </w:r>
      <w:r w:rsidR="00677DF3" w:rsidRPr="000D6DEE">
        <w:rPr>
          <w:color w:val="777D8B"/>
          <w:sz w:val="28"/>
          <w:szCs w:val="28"/>
        </w:rPr>
        <w:t> </w:t>
      </w:r>
      <w:r w:rsidR="00677DF3" w:rsidRPr="000D6DEE">
        <w:rPr>
          <w:b w:val="0"/>
          <w:color w:val="777D8B"/>
          <w:sz w:val="28"/>
          <w:szCs w:val="28"/>
        </w:rPr>
        <w:t>alle specifiche disposizioni di prevenzione incendi di cui </w:t>
      </w:r>
      <w:r w:rsidR="00677DF3" w:rsidRPr="000D6DEE">
        <w:rPr>
          <w:rStyle w:val="Enfasigrassetto"/>
          <w:color w:val="777D8B"/>
          <w:sz w:val="28"/>
          <w:szCs w:val="28"/>
        </w:rPr>
        <w:t>al</w:t>
      </w:r>
      <w:r w:rsidR="00677DF3" w:rsidRPr="000D6DEE">
        <w:rPr>
          <w:color w:val="777D8B"/>
          <w:sz w:val="28"/>
          <w:szCs w:val="28"/>
        </w:rPr>
        <w:t> </w:t>
      </w:r>
      <w:r w:rsidR="00677DF3" w:rsidRPr="000D6DEE">
        <w:rPr>
          <w:rStyle w:val="Enfasigrassetto"/>
          <w:color w:val="777D8B"/>
          <w:sz w:val="28"/>
          <w:szCs w:val="28"/>
        </w:rPr>
        <w:t>decreto</w:t>
      </w:r>
      <w:r w:rsidR="00677DF3" w:rsidRPr="000D6DEE">
        <w:rPr>
          <w:b w:val="0"/>
          <w:color w:val="777D8B"/>
          <w:sz w:val="28"/>
          <w:szCs w:val="28"/>
        </w:rPr>
        <w:t> del Ministro dell’interno del </w:t>
      </w:r>
      <w:r w:rsidR="00677DF3" w:rsidRPr="000D6DEE">
        <w:rPr>
          <w:rStyle w:val="Enfasigrassetto"/>
          <w:color w:val="777D8B"/>
          <w:sz w:val="28"/>
          <w:szCs w:val="28"/>
        </w:rPr>
        <w:t>19 agosto 1996</w:t>
      </w:r>
      <w:r w:rsidR="00677DF3" w:rsidRPr="000D6DEE">
        <w:rPr>
          <w:rStyle w:val="Enfasigrassetto"/>
          <w:b/>
          <w:color w:val="777D8B"/>
          <w:sz w:val="28"/>
          <w:szCs w:val="28"/>
        </w:rPr>
        <w:t>.  </w:t>
      </w:r>
      <w:r w:rsidR="00E74BB4" w:rsidRPr="000D6DEE">
        <w:rPr>
          <w:b w:val="0"/>
          <w:sz w:val="28"/>
          <w:szCs w:val="28"/>
        </w:rPr>
        <w:t>Sulla Gazzetta ufficiale n.</w:t>
      </w:r>
      <w:r w:rsidR="00CD4900" w:rsidRPr="000D6DEE">
        <w:rPr>
          <w:b w:val="0"/>
          <w:sz w:val="28"/>
          <w:szCs w:val="28"/>
        </w:rPr>
        <w:t xml:space="preserve"> 282 del 2 dicembre 2022 è stata ora pubblicata la c.d. dodicesima norma tecnica verticale (capitolo V.15 – Attività di intrattenimento e di spettacolo a carattere pubblico), derivata dalle nuove linee guida</w:t>
      </w:r>
      <w:r w:rsidR="00E74BB4" w:rsidRPr="000D6DEE">
        <w:rPr>
          <w:b w:val="0"/>
          <w:sz w:val="28"/>
          <w:szCs w:val="28"/>
        </w:rPr>
        <w:t xml:space="preserve"> </w:t>
      </w:r>
      <w:r w:rsidR="004E2CCD" w:rsidRPr="000D6DEE">
        <w:rPr>
          <w:b w:val="0"/>
          <w:sz w:val="28"/>
          <w:szCs w:val="28"/>
        </w:rPr>
        <w:t>e</w:t>
      </w:r>
      <w:r w:rsidR="00193B0B" w:rsidRPr="000D6DEE">
        <w:rPr>
          <w:b w:val="0"/>
          <w:sz w:val="28"/>
          <w:szCs w:val="28"/>
        </w:rPr>
        <w:t xml:space="preserve"> metodologie introdotte con il d.m. 3 agosto 2015. Il documento ha un approccio progettuale estremamente differente rispetto a quello che emergeva dal ricordato d.m. 19 agosto 1996. </w:t>
      </w:r>
      <w:r w:rsidR="00677DF3" w:rsidRPr="000D6DEE">
        <w:rPr>
          <w:b w:val="0"/>
          <w:sz w:val="28"/>
          <w:szCs w:val="28"/>
        </w:rPr>
        <w:t xml:space="preserve">Il suo </w:t>
      </w:r>
      <w:r w:rsidR="001F53EB" w:rsidRPr="000D6DEE">
        <w:rPr>
          <w:b w:val="0"/>
          <w:sz w:val="28"/>
          <w:szCs w:val="28"/>
        </w:rPr>
        <w:t xml:space="preserve">campo </w:t>
      </w:r>
      <w:r w:rsidR="00193B0B" w:rsidRPr="000D6DEE">
        <w:rPr>
          <w:b w:val="0"/>
          <w:color w:val="777D8B"/>
          <w:sz w:val="28"/>
          <w:szCs w:val="28"/>
        </w:rPr>
        <w:t xml:space="preserve">di applicazione </w:t>
      </w:r>
      <w:r w:rsidR="00677DF3" w:rsidRPr="000D6DEE">
        <w:rPr>
          <w:b w:val="0"/>
          <w:color w:val="777D8B"/>
          <w:sz w:val="28"/>
          <w:szCs w:val="28"/>
        </w:rPr>
        <w:t xml:space="preserve">è limitato alle sole </w:t>
      </w:r>
      <w:r w:rsidR="00193B0B" w:rsidRPr="000D6DEE">
        <w:rPr>
          <w:b w:val="0"/>
          <w:color w:val="777D8B"/>
          <w:sz w:val="28"/>
          <w:szCs w:val="28"/>
        </w:rPr>
        <w:t xml:space="preserve">attività </w:t>
      </w:r>
      <w:r w:rsidR="00677DF3" w:rsidRPr="000D6DEE">
        <w:rPr>
          <w:b w:val="0"/>
          <w:color w:val="777D8B"/>
          <w:sz w:val="28"/>
          <w:szCs w:val="28"/>
        </w:rPr>
        <w:t xml:space="preserve">di cui al </w:t>
      </w:r>
      <w:r w:rsidR="00193B0B" w:rsidRPr="000D6DEE">
        <w:rPr>
          <w:b w:val="0"/>
          <w:color w:val="777D8B"/>
          <w:sz w:val="28"/>
          <w:szCs w:val="28"/>
        </w:rPr>
        <w:t xml:space="preserve">n. 65 dell’allegato 1 al d.P.R. </w:t>
      </w:r>
      <w:r w:rsidR="00765A35" w:rsidRPr="000D6DEE">
        <w:rPr>
          <w:b w:val="0"/>
          <w:color w:val="777D8B"/>
          <w:sz w:val="28"/>
          <w:szCs w:val="28"/>
        </w:rPr>
        <w:t xml:space="preserve">1° agosto 2011, </w:t>
      </w:r>
      <w:r w:rsidR="00193B0B" w:rsidRPr="000D6DEE">
        <w:rPr>
          <w:b w:val="0"/>
          <w:color w:val="777D8B"/>
          <w:sz w:val="28"/>
          <w:szCs w:val="28"/>
        </w:rPr>
        <w:t>n. 151</w:t>
      </w:r>
      <w:r w:rsidR="00765A35" w:rsidRPr="000D6DEE">
        <w:rPr>
          <w:b w:val="0"/>
          <w:color w:val="777D8B"/>
          <w:sz w:val="28"/>
          <w:szCs w:val="28"/>
        </w:rPr>
        <w:t>,</w:t>
      </w:r>
      <w:r w:rsidR="00193B0B" w:rsidRPr="000D6DEE">
        <w:rPr>
          <w:b w:val="0"/>
          <w:color w:val="777D8B"/>
          <w:sz w:val="28"/>
          <w:szCs w:val="28"/>
        </w:rPr>
        <w:t xml:space="preserve"> </w:t>
      </w:r>
      <w:r w:rsidR="00677DF3" w:rsidRPr="000D6DEE">
        <w:rPr>
          <w:b w:val="0"/>
          <w:color w:val="777D8B"/>
          <w:sz w:val="28"/>
          <w:szCs w:val="28"/>
        </w:rPr>
        <w:t>riassunte richiamando le attività di intrattenimento e di spettacolo in genere, ma solo ove a carattere pubblico, ancorché svolte al chiuso, anche a carattere temporaneo. Sono esclusi dal campo di applicazione i luoghi non delimitati, esattamente come in passato, ma anche «</w:t>
      </w:r>
      <w:r w:rsidR="00677DF3" w:rsidRPr="000D6DEE">
        <w:rPr>
          <w:b w:val="0"/>
          <w:i/>
          <w:color w:val="777D8B"/>
          <w:sz w:val="28"/>
          <w:szCs w:val="28"/>
        </w:rPr>
        <w:t>gli esercizi pubblici dove sono impiegati strumenti musicali o apparecchi musicali, in assenza di attività danzanti o di spazi ed allestimenti specifici per gli avventori</w:t>
      </w:r>
      <w:r w:rsidR="00677DF3" w:rsidRPr="000D6DEE">
        <w:rPr>
          <w:b w:val="0"/>
          <w:color w:val="777D8B"/>
          <w:sz w:val="28"/>
          <w:szCs w:val="28"/>
        </w:rPr>
        <w:t xml:space="preserve">» (punto V.15.1, comma 2, lett. b). </w:t>
      </w:r>
      <w:r w:rsidR="001F53EB" w:rsidRPr="000D6DEE">
        <w:rPr>
          <w:b w:val="0"/>
          <w:color w:val="777D8B"/>
          <w:sz w:val="28"/>
          <w:szCs w:val="28"/>
        </w:rPr>
        <w:t>In nota vengono addirittura richiamate esemplificativamente i bar o ristoranti con «</w:t>
      </w:r>
      <w:r w:rsidR="001F53EB" w:rsidRPr="000D6DEE">
        <w:rPr>
          <w:b w:val="0"/>
          <w:i/>
          <w:color w:val="777D8B"/>
          <w:sz w:val="28"/>
          <w:szCs w:val="28"/>
        </w:rPr>
        <w:t>esibizioni musicali</w:t>
      </w:r>
      <w:r w:rsidR="001F53EB" w:rsidRPr="000D6DEE">
        <w:rPr>
          <w:b w:val="0"/>
          <w:color w:val="777D8B"/>
          <w:sz w:val="28"/>
          <w:szCs w:val="28"/>
        </w:rPr>
        <w:t xml:space="preserve">», oltre che con musica diffusa, ovvero con apparecchi </w:t>
      </w:r>
      <w:r w:rsidR="00AC0D01" w:rsidRPr="000D6DEE">
        <w:rPr>
          <w:b w:val="0"/>
          <w:color w:val="777D8B"/>
          <w:sz w:val="28"/>
          <w:szCs w:val="28"/>
        </w:rPr>
        <w:t>“</w:t>
      </w:r>
      <w:r w:rsidR="001F53EB" w:rsidRPr="000D6DEE">
        <w:rPr>
          <w:b w:val="0"/>
          <w:color w:val="777D8B"/>
          <w:sz w:val="28"/>
          <w:szCs w:val="28"/>
        </w:rPr>
        <w:t>karaoke</w:t>
      </w:r>
      <w:r w:rsidR="00AC0D01" w:rsidRPr="000D6DEE">
        <w:rPr>
          <w:b w:val="0"/>
          <w:color w:val="777D8B"/>
          <w:sz w:val="28"/>
          <w:szCs w:val="28"/>
        </w:rPr>
        <w:t>”</w:t>
      </w:r>
      <w:r w:rsidR="001F53EB" w:rsidRPr="000D6DEE">
        <w:rPr>
          <w:b w:val="0"/>
          <w:color w:val="777D8B"/>
          <w:sz w:val="28"/>
          <w:szCs w:val="28"/>
        </w:rPr>
        <w:t xml:space="preserve"> purché privi di spazi ed allestimenti dedicati agli avventori per assistere alle rappresentazioni o per danzare. Sono altresì escluse le attrazioni dello spettacolo viaggiante di cui alla legge 18 marzo 1968, n. 337.  A</w:t>
      </w:r>
      <w:r w:rsidR="001F53EB" w:rsidRPr="000D6DEE">
        <w:rPr>
          <w:b w:val="0"/>
          <w:color w:val="2D2D2D"/>
          <w:sz w:val="28"/>
          <w:szCs w:val="28"/>
        </w:rPr>
        <w:t>l punto V.15.2 la definizione di attività di spettacolo e di intrattenimento soggette al r.d. 18 giugno 1931, n. 773, presuppone che esse siano «</w:t>
      </w:r>
      <w:r w:rsidR="001F53EB" w:rsidRPr="000D6DEE">
        <w:rPr>
          <w:b w:val="0"/>
          <w:i/>
          <w:color w:val="2D2D2D"/>
          <w:sz w:val="28"/>
          <w:szCs w:val="28"/>
        </w:rPr>
        <w:t xml:space="preserve">a </w:t>
      </w:r>
      <w:r w:rsidR="001F53EB" w:rsidRPr="000D6DEE">
        <w:rPr>
          <w:b w:val="0"/>
          <w:i/>
          <w:color w:val="2D2D2D"/>
          <w:sz w:val="28"/>
          <w:szCs w:val="28"/>
        </w:rPr>
        <w:lastRenderedPageBreak/>
        <w:t>carattere pubblico</w:t>
      </w:r>
      <w:r w:rsidR="001F53EB" w:rsidRPr="000D6DEE">
        <w:rPr>
          <w:b w:val="0"/>
          <w:color w:val="2D2D2D"/>
          <w:sz w:val="28"/>
          <w:szCs w:val="28"/>
        </w:rPr>
        <w:t xml:space="preserve">». </w:t>
      </w:r>
      <w:r w:rsidR="00502290" w:rsidRPr="000D6DEE">
        <w:rPr>
          <w:b w:val="0"/>
          <w:color w:val="2D2D2D"/>
          <w:sz w:val="28"/>
          <w:szCs w:val="28"/>
        </w:rPr>
        <w:t xml:space="preserve">Segue un’elencazione esemplificativa che sembrerebbe utilizzabile anche ai fini della configurabilità della necessità dell’autorizzazione di polizia </w:t>
      </w:r>
      <w:r w:rsidR="00502290" w:rsidRPr="000D6DEE">
        <w:rPr>
          <w:b w:val="0"/>
          <w:i/>
          <w:color w:val="2D2D2D"/>
          <w:sz w:val="28"/>
          <w:szCs w:val="28"/>
        </w:rPr>
        <w:t>ex</w:t>
      </w:r>
      <w:r w:rsidR="00502290" w:rsidRPr="000D6DEE">
        <w:rPr>
          <w:b w:val="0"/>
          <w:color w:val="2D2D2D"/>
          <w:sz w:val="28"/>
          <w:szCs w:val="28"/>
        </w:rPr>
        <w:t xml:space="preserve"> artt. 68 e 69 del </w:t>
      </w:r>
      <w:proofErr w:type="spellStart"/>
      <w:r w:rsidR="00502290" w:rsidRPr="000D6DEE">
        <w:rPr>
          <w:b w:val="0"/>
          <w:color w:val="2D2D2D"/>
          <w:sz w:val="28"/>
          <w:szCs w:val="28"/>
        </w:rPr>
        <w:t>T.u.l.p.s</w:t>
      </w:r>
      <w:proofErr w:type="spellEnd"/>
      <w:r w:rsidR="00502290" w:rsidRPr="000D6DEE">
        <w:rPr>
          <w:b w:val="0"/>
          <w:color w:val="2D2D2D"/>
          <w:sz w:val="28"/>
          <w:szCs w:val="28"/>
        </w:rPr>
        <w:t xml:space="preserve">. </w:t>
      </w:r>
      <w:r w:rsidR="006C0223" w:rsidRPr="000D6DEE">
        <w:rPr>
          <w:b w:val="0"/>
          <w:color w:val="2D2D2D"/>
          <w:sz w:val="28"/>
          <w:szCs w:val="28"/>
        </w:rPr>
        <w:t xml:space="preserve">Vi rientrano </w:t>
      </w:r>
      <w:r w:rsidR="00502290" w:rsidRPr="000D6DEE">
        <w:rPr>
          <w:b w:val="0"/>
          <w:color w:val="2D2D2D"/>
          <w:sz w:val="28"/>
          <w:szCs w:val="28"/>
        </w:rPr>
        <w:t xml:space="preserve">dunque </w:t>
      </w:r>
      <w:r w:rsidR="006C0223" w:rsidRPr="000D6DEE">
        <w:rPr>
          <w:b w:val="0"/>
          <w:color w:val="2D2D2D"/>
          <w:sz w:val="28"/>
          <w:szCs w:val="28"/>
        </w:rPr>
        <w:t xml:space="preserve">le sale da ballo, le discoteche, </w:t>
      </w:r>
      <w:r w:rsidR="00E9494D" w:rsidRPr="000D6DEE">
        <w:rPr>
          <w:b w:val="0"/>
          <w:color w:val="2D2D2D"/>
          <w:sz w:val="28"/>
          <w:szCs w:val="28"/>
        </w:rPr>
        <w:t xml:space="preserve">i concerti, gli spettacoli vari in esercizi pubblici con aree o spazi specifici per gli spettatori, i locali in cui sono allestite le attrazioni di spettacolo viaggiante, le sale giochi, le agenzie di scommesse, le sale bingo, le rappresentazioni teatrali (es. spettacoli lirici, drammatici, coreografici, di rivista e varietà, </w:t>
      </w:r>
      <w:r w:rsidR="001F53EB" w:rsidRPr="000D6DEE">
        <w:rPr>
          <w:b w:val="0"/>
          <w:color w:val="2D2D2D"/>
          <w:sz w:val="28"/>
          <w:szCs w:val="28"/>
        </w:rPr>
        <w:t>ecc.)</w:t>
      </w:r>
      <w:r w:rsidR="00E9494D" w:rsidRPr="000D6DEE">
        <w:rPr>
          <w:b w:val="0"/>
          <w:color w:val="2D2D2D"/>
          <w:sz w:val="28"/>
          <w:szCs w:val="28"/>
        </w:rPr>
        <w:t>, le conferenze, i congressi, le proiezioni cinematografiche (es. teatri, cinema-teatri, auditorium, sale convegno, cinematografi, teatri di posa per riprese cinematografiche o televisive con presenza di pubblico</w:t>
      </w:r>
      <w:r w:rsidR="001F53EB" w:rsidRPr="000D6DEE">
        <w:rPr>
          <w:b w:val="0"/>
          <w:color w:val="2D2D2D"/>
          <w:sz w:val="28"/>
          <w:szCs w:val="28"/>
        </w:rPr>
        <w:t>)</w:t>
      </w:r>
      <w:r w:rsidR="006C0223" w:rsidRPr="000D6DEE">
        <w:rPr>
          <w:b w:val="0"/>
          <w:color w:val="2D2D2D"/>
          <w:sz w:val="28"/>
          <w:szCs w:val="28"/>
        </w:rPr>
        <w:t xml:space="preserve">.  </w:t>
      </w:r>
      <w:r w:rsidR="00502290" w:rsidRPr="000D6DEE">
        <w:rPr>
          <w:b w:val="0"/>
          <w:color w:val="2D2D2D"/>
          <w:sz w:val="28"/>
          <w:szCs w:val="28"/>
        </w:rPr>
        <w:t xml:space="preserve">Segue la definizione dei </w:t>
      </w:r>
      <w:r w:rsidR="00502290" w:rsidRPr="000D6DEE">
        <w:rPr>
          <w:color w:val="2D2D2D"/>
          <w:sz w:val="28"/>
          <w:szCs w:val="28"/>
        </w:rPr>
        <w:t>c</w:t>
      </w:r>
      <w:r w:rsidR="00E9494D" w:rsidRPr="000D6DEE">
        <w:rPr>
          <w:rStyle w:val="Enfasigrassetto"/>
          <w:color w:val="2D2D2D"/>
          <w:sz w:val="28"/>
          <w:szCs w:val="28"/>
        </w:rPr>
        <w:t>omplessi multifunzionali</w:t>
      </w:r>
      <w:r w:rsidR="00502290" w:rsidRPr="000D6DEE">
        <w:rPr>
          <w:rStyle w:val="Enfasigrassetto"/>
          <w:color w:val="2D2D2D"/>
          <w:sz w:val="28"/>
          <w:szCs w:val="28"/>
        </w:rPr>
        <w:t xml:space="preserve">, ovvero </w:t>
      </w:r>
      <w:r w:rsidR="006C0223" w:rsidRPr="000D6DEE">
        <w:rPr>
          <w:rStyle w:val="Enfasigrassetto"/>
          <w:color w:val="2D2D2D"/>
          <w:sz w:val="28"/>
          <w:szCs w:val="28"/>
        </w:rPr>
        <w:t>le</w:t>
      </w:r>
      <w:r w:rsidR="00E9494D" w:rsidRPr="000D6DEE">
        <w:rPr>
          <w:b w:val="0"/>
          <w:color w:val="2D2D2D"/>
          <w:sz w:val="28"/>
          <w:szCs w:val="28"/>
        </w:rPr>
        <w:t xml:space="preserve"> attività comprendenti ambiti di intrattenimento e di spettacolo ed ulteriori ambiti con attività diverse, caratterizzati da organicità funzionale, anche afferenti a diversi soggetti responsabili (attività quali cinema, auditorium, sale convegni, </w:t>
      </w:r>
      <w:r w:rsidR="001F53EB" w:rsidRPr="000D6DEE">
        <w:rPr>
          <w:b w:val="0"/>
          <w:color w:val="2D2D2D"/>
          <w:sz w:val="28"/>
          <w:szCs w:val="28"/>
        </w:rPr>
        <w:t>ecc.</w:t>
      </w:r>
      <w:r w:rsidR="00E9494D" w:rsidRPr="000D6DEE">
        <w:rPr>
          <w:b w:val="0"/>
          <w:color w:val="2D2D2D"/>
          <w:sz w:val="28"/>
          <w:szCs w:val="28"/>
        </w:rPr>
        <w:t xml:space="preserve"> inseriti in centri commerciali o poli fieristici).</w:t>
      </w:r>
      <w:r w:rsidR="006C0223" w:rsidRPr="000D6DEE">
        <w:rPr>
          <w:b w:val="0"/>
          <w:color w:val="2D2D2D"/>
          <w:sz w:val="28"/>
          <w:szCs w:val="28"/>
        </w:rPr>
        <w:t xml:space="preserve"> </w:t>
      </w:r>
      <w:r w:rsidR="00E9494D" w:rsidRPr="000D6DEE">
        <w:rPr>
          <w:b w:val="0"/>
          <w:color w:val="777D8B"/>
          <w:sz w:val="28"/>
          <w:szCs w:val="28"/>
        </w:rPr>
        <w:t>Sono esclusi dalla regola tecnica:</w:t>
      </w:r>
      <w:r w:rsidR="006C0223" w:rsidRPr="000D6DEE">
        <w:rPr>
          <w:b w:val="0"/>
          <w:color w:val="777D8B"/>
          <w:sz w:val="28"/>
          <w:szCs w:val="28"/>
        </w:rPr>
        <w:t xml:space="preserve"> </w:t>
      </w:r>
      <w:r w:rsidR="00E9494D" w:rsidRPr="000D6DEE">
        <w:rPr>
          <w:b w:val="0"/>
          <w:color w:val="2D2D2D"/>
          <w:sz w:val="28"/>
          <w:szCs w:val="28"/>
        </w:rPr>
        <w:t>i luoghi non delimitati;</w:t>
      </w:r>
      <w:r w:rsidR="006C0223" w:rsidRPr="000D6DEE">
        <w:rPr>
          <w:b w:val="0"/>
          <w:color w:val="2D2D2D"/>
          <w:sz w:val="28"/>
          <w:szCs w:val="28"/>
        </w:rPr>
        <w:t xml:space="preserve"> </w:t>
      </w:r>
      <w:r w:rsidR="00E9494D" w:rsidRPr="000D6DEE">
        <w:rPr>
          <w:b w:val="0"/>
          <w:color w:val="2D2D2D"/>
          <w:sz w:val="28"/>
          <w:szCs w:val="28"/>
        </w:rPr>
        <w:t>gli esercizi pubblici dove sono impiegati strumenti musicali o apparecchi musicali, in assenza di attività danzanti o di spazi ed allestimenti specifici per gli avventori;</w:t>
      </w:r>
      <w:r w:rsidR="006C0223" w:rsidRPr="000D6DEE">
        <w:rPr>
          <w:b w:val="0"/>
          <w:color w:val="2D2D2D"/>
          <w:sz w:val="28"/>
          <w:szCs w:val="28"/>
        </w:rPr>
        <w:t xml:space="preserve"> </w:t>
      </w:r>
      <w:r w:rsidR="00E9494D" w:rsidRPr="000D6DEE">
        <w:rPr>
          <w:b w:val="0"/>
          <w:color w:val="2D2D2D"/>
          <w:sz w:val="28"/>
          <w:szCs w:val="28"/>
        </w:rPr>
        <w:t>le attrazioni di spettacolo viaggiante regolati con legge 18 marzo 1968, n. 337, per cui si applica la normativa vigente.</w:t>
      </w:r>
    </w:p>
    <w:p w:rsidR="00042221" w:rsidRPr="000D6DEE" w:rsidRDefault="00502290" w:rsidP="00290F6F">
      <w:pPr>
        <w:spacing w:line="360" w:lineRule="auto"/>
        <w:jc w:val="both"/>
        <w:rPr>
          <w:rFonts w:ascii="Times New Roman" w:hAnsi="Times New Roman" w:cs="Times New Roman"/>
          <w:b/>
          <w:color w:val="2D2D2D"/>
          <w:sz w:val="28"/>
          <w:szCs w:val="28"/>
        </w:rPr>
      </w:pPr>
      <w:r w:rsidRPr="000D6DEE">
        <w:rPr>
          <w:rFonts w:ascii="Times New Roman" w:hAnsi="Times New Roman" w:cs="Times New Roman"/>
          <w:color w:val="2D2D2D"/>
          <w:sz w:val="28"/>
          <w:szCs w:val="28"/>
        </w:rPr>
        <w:t>Il riferimento al carattere “pubblico” sembrerebbe suggerire una nuova accezione della nozione di “imprenditorialità aggiuntiva” cui si attingeva in passato: solo l’accessibilità indiscriminata e non ad ospiti/amici/soci farebbe la differenza, nell’ipotesi in cui l’attività si svolge in un luogo privato, quale tipicamente un pubblico esercizio, con le eccezioni espressamente indicate, che risolvono in senso negativo una serie di fattispecie tipicamente sottoposte all’esame del giudice amministrativo</w:t>
      </w:r>
      <w:r w:rsidR="009F5573" w:rsidRPr="000D6DEE">
        <w:rPr>
          <w:rStyle w:val="Rimandonotaapidipagina"/>
          <w:rFonts w:ascii="Times New Roman" w:hAnsi="Times New Roman" w:cs="Times New Roman"/>
          <w:color w:val="2D2D2D"/>
          <w:sz w:val="28"/>
          <w:szCs w:val="28"/>
        </w:rPr>
        <w:footnoteReference w:id="35"/>
      </w:r>
      <w:r w:rsidRPr="000D6DEE">
        <w:rPr>
          <w:rFonts w:ascii="Times New Roman" w:hAnsi="Times New Roman" w:cs="Times New Roman"/>
          <w:color w:val="2D2D2D"/>
          <w:sz w:val="28"/>
          <w:szCs w:val="28"/>
        </w:rPr>
        <w:t xml:space="preserve">. </w:t>
      </w:r>
      <w:r w:rsidR="00042221" w:rsidRPr="000D6DEE">
        <w:rPr>
          <w:rFonts w:ascii="Times New Roman" w:hAnsi="Times New Roman" w:cs="Times New Roman"/>
          <w:color w:val="2D2D2D"/>
          <w:sz w:val="28"/>
          <w:szCs w:val="28"/>
        </w:rPr>
        <w:t xml:space="preserve">Tale approccio </w:t>
      </w:r>
      <w:r w:rsidRPr="000D6DEE">
        <w:rPr>
          <w:rFonts w:ascii="Times New Roman" w:hAnsi="Times New Roman" w:cs="Times New Roman"/>
          <w:color w:val="2D2D2D"/>
          <w:sz w:val="28"/>
          <w:szCs w:val="28"/>
        </w:rPr>
        <w:t xml:space="preserve">pare </w:t>
      </w:r>
      <w:r w:rsidR="00042221" w:rsidRPr="000D6DEE">
        <w:rPr>
          <w:rFonts w:ascii="Times New Roman" w:hAnsi="Times New Roman" w:cs="Times New Roman"/>
          <w:color w:val="2D2D2D"/>
          <w:sz w:val="28"/>
          <w:szCs w:val="28"/>
        </w:rPr>
        <w:t>contrasta</w:t>
      </w:r>
      <w:r w:rsidRPr="000D6DEE">
        <w:rPr>
          <w:rFonts w:ascii="Times New Roman" w:hAnsi="Times New Roman" w:cs="Times New Roman"/>
          <w:color w:val="2D2D2D"/>
          <w:sz w:val="28"/>
          <w:szCs w:val="28"/>
        </w:rPr>
        <w:t>re</w:t>
      </w:r>
      <w:r w:rsidR="00042221" w:rsidRPr="000D6DEE">
        <w:rPr>
          <w:rFonts w:ascii="Times New Roman" w:hAnsi="Times New Roman" w:cs="Times New Roman"/>
          <w:color w:val="2D2D2D"/>
          <w:sz w:val="28"/>
          <w:szCs w:val="28"/>
        </w:rPr>
        <w:t xml:space="preserve"> con il rigore della giurisprudenza penale sul punto che ha </w:t>
      </w:r>
      <w:r w:rsidR="00042221" w:rsidRPr="000D6DEE">
        <w:rPr>
          <w:rFonts w:ascii="Times New Roman" w:hAnsi="Times New Roman" w:cs="Times New Roman"/>
          <w:color w:val="2D2D2D"/>
          <w:sz w:val="28"/>
          <w:szCs w:val="28"/>
        </w:rPr>
        <w:lastRenderedPageBreak/>
        <w:t xml:space="preserve">da epoca risalente affermato che è </w:t>
      </w:r>
      <w:r w:rsidRPr="000D6DEE">
        <w:rPr>
          <w:rFonts w:ascii="Times New Roman" w:hAnsi="Times New Roman" w:cs="Times New Roman"/>
          <w:color w:val="2D2D2D"/>
          <w:sz w:val="28"/>
          <w:szCs w:val="28"/>
        </w:rPr>
        <w:t xml:space="preserve">legittima la sanzione amministrativa irrogata per la violazione degli artt. 666 c.p. e 68 del </w:t>
      </w:r>
      <w:proofErr w:type="spellStart"/>
      <w:r w:rsidRPr="000D6DEE">
        <w:rPr>
          <w:rFonts w:ascii="Times New Roman" w:hAnsi="Times New Roman" w:cs="Times New Roman"/>
          <w:color w:val="2D2D2D"/>
          <w:sz w:val="28"/>
          <w:szCs w:val="28"/>
        </w:rPr>
        <w:t>T.u.l.p.s</w:t>
      </w:r>
      <w:proofErr w:type="spellEnd"/>
      <w:r w:rsidRPr="000D6DEE">
        <w:rPr>
          <w:rFonts w:ascii="Times New Roman" w:hAnsi="Times New Roman" w:cs="Times New Roman"/>
          <w:color w:val="2D2D2D"/>
          <w:sz w:val="28"/>
          <w:szCs w:val="28"/>
        </w:rPr>
        <w:t xml:space="preserve">. nei confronti del gestore e, in solido, del proprietario di un locale aperto al pubblico privo dell’autorizzazione per lo svolgimento di attività da ballo, qualora risulti accertato che all’interno ballava un numero indeterminato di persone, non rilevando che tale attività fosse stata intrapresa in maniera spontanea, non autorizzata e non organizzata dal proprietario e che all’interno del locale esistessero cartelli di divieto. L’elemento psicologico è infatti integrato dal comportamento omissivo del gestore che, a tutela dell’incolumità degli avventori, avrebbe dovuto attivarsi per impedire loro di ballare </w:t>
      </w:r>
      <w:r w:rsidRPr="000D6DEE">
        <w:rPr>
          <w:rFonts w:ascii="Times New Roman" w:hAnsi="Times New Roman" w:cs="Times New Roman"/>
          <w:b/>
          <w:color w:val="2D2D2D"/>
          <w:sz w:val="28"/>
          <w:szCs w:val="28"/>
        </w:rPr>
        <w:t>(Cass., sez. I, 27 settembre 2006, n. 21012).</w:t>
      </w:r>
      <w:r w:rsidR="00EF09FA" w:rsidRPr="000D6DEE">
        <w:rPr>
          <w:rFonts w:ascii="Times New Roman" w:hAnsi="Times New Roman" w:cs="Times New Roman"/>
          <w:b/>
          <w:color w:val="2D2D2D"/>
          <w:sz w:val="28"/>
          <w:szCs w:val="28"/>
        </w:rPr>
        <w:t xml:space="preserve"> </w:t>
      </w:r>
      <w:r w:rsidR="00077DA1" w:rsidRPr="000D6DEE">
        <w:rPr>
          <w:rFonts w:ascii="Times New Roman" w:hAnsi="Times New Roman" w:cs="Times New Roman"/>
          <w:color w:val="2D2D2D"/>
          <w:sz w:val="28"/>
          <w:szCs w:val="28"/>
        </w:rPr>
        <w:t>In verità, tuttavia, anche in queste ipotesi si valorizza la circostanza “fisica” che lo spazio sia stato sgombrato, dunque chiaramente finalizzato ad ospitale l’attività.</w:t>
      </w:r>
    </w:p>
    <w:p w:rsidR="00534EBF" w:rsidRPr="000D6DEE" w:rsidRDefault="006C0223" w:rsidP="00290F6F">
      <w:pPr>
        <w:pStyle w:val="wkit-indentation-level-0"/>
        <w:shd w:val="clear" w:color="auto" w:fill="FFFFFF"/>
        <w:spacing w:before="0" w:beforeAutospacing="0" w:after="120" w:afterAutospacing="0" w:line="360" w:lineRule="auto"/>
        <w:jc w:val="both"/>
        <w:rPr>
          <w:color w:val="4A4A4A"/>
          <w:sz w:val="28"/>
          <w:szCs w:val="28"/>
        </w:rPr>
      </w:pPr>
      <w:r w:rsidRPr="000D6DEE">
        <w:rPr>
          <w:color w:val="4A4A4A"/>
          <w:sz w:val="28"/>
          <w:szCs w:val="28"/>
        </w:rPr>
        <w:t>Va infine ricordato come l’</w:t>
      </w:r>
      <w:r w:rsidR="00534EBF" w:rsidRPr="000D6DEE">
        <w:rPr>
          <w:color w:val="4A4A4A"/>
          <w:sz w:val="28"/>
          <w:szCs w:val="28"/>
        </w:rPr>
        <w:t>art. 38-</w:t>
      </w:r>
      <w:r w:rsidR="00534EBF" w:rsidRPr="000D6DEE">
        <w:rPr>
          <w:i/>
          <w:color w:val="4A4A4A"/>
          <w:sz w:val="28"/>
          <w:szCs w:val="28"/>
        </w:rPr>
        <w:t>bis</w:t>
      </w:r>
      <w:r w:rsidR="00872B5D" w:rsidRPr="000D6DEE">
        <w:rPr>
          <w:color w:val="4A4A4A"/>
          <w:sz w:val="28"/>
          <w:szCs w:val="28"/>
        </w:rPr>
        <w:t xml:space="preserve"> </w:t>
      </w:r>
      <w:r w:rsidR="00534EBF" w:rsidRPr="000D6DEE">
        <w:rPr>
          <w:color w:val="4A4A4A"/>
          <w:sz w:val="28"/>
          <w:szCs w:val="28"/>
        </w:rPr>
        <w:t xml:space="preserve">del </w:t>
      </w:r>
      <w:r w:rsidRPr="000D6DEE">
        <w:rPr>
          <w:color w:val="4A4A4A"/>
          <w:sz w:val="28"/>
          <w:szCs w:val="28"/>
        </w:rPr>
        <w:t xml:space="preserve">d.l. </w:t>
      </w:r>
      <w:r w:rsidR="008D5FFD" w:rsidRPr="000D6DEE">
        <w:rPr>
          <w:color w:val="4A4A4A"/>
          <w:sz w:val="28"/>
          <w:szCs w:val="28"/>
        </w:rPr>
        <w:t xml:space="preserve">16 luglio 2020, n. 76, </w:t>
      </w:r>
      <w:r w:rsidRPr="000D6DEE">
        <w:rPr>
          <w:color w:val="4A4A4A"/>
          <w:sz w:val="28"/>
          <w:szCs w:val="28"/>
        </w:rPr>
        <w:t xml:space="preserve">c.d. “semplificazione”, convertito, con modifiche, dalla l. 11 settembre 2020, n. 120, per far </w:t>
      </w:r>
      <w:r w:rsidR="00534EBF" w:rsidRPr="000D6DEE">
        <w:rPr>
          <w:color w:val="4A4A4A"/>
          <w:sz w:val="28"/>
          <w:szCs w:val="28"/>
        </w:rPr>
        <w:t xml:space="preserve">fronte alle ricadute economiche negative per il settore dell'industria culturale conseguenti alle misure di contenimento dell'emergenza epidemiologica da COVID-19, </w:t>
      </w:r>
      <w:r w:rsidRPr="000D6DEE">
        <w:rPr>
          <w:color w:val="4A4A4A"/>
          <w:sz w:val="28"/>
          <w:szCs w:val="28"/>
        </w:rPr>
        <w:t xml:space="preserve">ha introdotto la s.c.i.a. </w:t>
      </w:r>
      <w:r w:rsidR="00534EBF" w:rsidRPr="000D6DEE">
        <w:rPr>
          <w:color w:val="4A4A4A"/>
          <w:sz w:val="28"/>
          <w:szCs w:val="28"/>
        </w:rPr>
        <w:t xml:space="preserve">per la realizzazione degli spettacoli dal vivo. La disposizione è contornata da condizioni. Innanzi tutto la </w:t>
      </w:r>
      <w:r w:rsidR="00B00002" w:rsidRPr="000D6DEE">
        <w:rPr>
          <w:color w:val="4A4A4A"/>
          <w:sz w:val="28"/>
          <w:szCs w:val="28"/>
        </w:rPr>
        <w:t xml:space="preserve">s.c.i.a. </w:t>
      </w:r>
      <w:r w:rsidR="00534EBF" w:rsidRPr="000D6DEE">
        <w:rPr>
          <w:color w:val="4A4A4A"/>
          <w:sz w:val="28"/>
          <w:szCs w:val="28"/>
        </w:rPr>
        <w:t>è consentita fuori dei casi di cui agli artt. 142 e 143 del </w:t>
      </w:r>
      <w:r w:rsidR="00B00002" w:rsidRPr="000D6DEE">
        <w:rPr>
          <w:color w:val="4A4A4A"/>
          <w:sz w:val="28"/>
          <w:szCs w:val="28"/>
        </w:rPr>
        <w:t>r</w:t>
      </w:r>
      <w:r w:rsidR="00534EBF" w:rsidRPr="000D6DEE">
        <w:rPr>
          <w:color w:val="4A4A4A"/>
          <w:sz w:val="28"/>
          <w:szCs w:val="28"/>
        </w:rPr>
        <w:t xml:space="preserve">egolamento </w:t>
      </w:r>
      <w:r w:rsidR="00B00002" w:rsidRPr="000D6DEE">
        <w:rPr>
          <w:color w:val="4A4A4A"/>
          <w:sz w:val="28"/>
          <w:szCs w:val="28"/>
        </w:rPr>
        <w:t xml:space="preserve">di esecuzione del </w:t>
      </w:r>
      <w:proofErr w:type="spellStart"/>
      <w:r w:rsidR="00B00002" w:rsidRPr="000D6DEE">
        <w:rPr>
          <w:color w:val="4A4A4A"/>
          <w:sz w:val="28"/>
          <w:szCs w:val="28"/>
        </w:rPr>
        <w:t>T.u.l.p.s</w:t>
      </w:r>
      <w:proofErr w:type="spellEnd"/>
      <w:r w:rsidR="00B00002" w:rsidRPr="000D6DEE">
        <w:rPr>
          <w:color w:val="4A4A4A"/>
          <w:sz w:val="28"/>
          <w:szCs w:val="28"/>
        </w:rPr>
        <w:t xml:space="preserve">., e dunque al di fuori dei casi in cui è prescritta la c.d. agibilità del locale/luogo ospitante lo spettacolo rimessa alla competenza della Commissione provinciale di vigilanza sui locali di pubblico spettacolo. Nello specifico, l’intervento della Commissione provinciale “scatta” ove si tratti di </w:t>
      </w:r>
      <w:r w:rsidR="00534EBF" w:rsidRPr="000D6DEE">
        <w:rPr>
          <w:color w:val="4A4A4A"/>
          <w:sz w:val="28"/>
          <w:szCs w:val="28"/>
        </w:rPr>
        <w:t xml:space="preserve">teatri </w:t>
      </w:r>
      <w:r w:rsidR="00B00002" w:rsidRPr="000D6DEE">
        <w:rPr>
          <w:color w:val="4A4A4A"/>
          <w:sz w:val="28"/>
          <w:szCs w:val="28"/>
        </w:rPr>
        <w:t xml:space="preserve">o cinema o luoghi per lo spettacolo viaggiante </w:t>
      </w:r>
      <w:r w:rsidR="00534EBF" w:rsidRPr="000D6DEE">
        <w:rPr>
          <w:color w:val="4A4A4A"/>
          <w:sz w:val="28"/>
          <w:szCs w:val="28"/>
        </w:rPr>
        <w:t xml:space="preserve">di capienza superiore a 1.300 spettatori, </w:t>
      </w:r>
      <w:r w:rsidR="00B00002" w:rsidRPr="000D6DEE">
        <w:rPr>
          <w:color w:val="4A4A4A"/>
          <w:sz w:val="28"/>
          <w:szCs w:val="28"/>
        </w:rPr>
        <w:t xml:space="preserve">ovvero </w:t>
      </w:r>
      <w:r w:rsidR="00534EBF" w:rsidRPr="000D6DEE">
        <w:rPr>
          <w:color w:val="4A4A4A"/>
          <w:sz w:val="28"/>
          <w:szCs w:val="28"/>
        </w:rPr>
        <w:t>per gli altri </w:t>
      </w:r>
      <w:r w:rsidR="00B00002" w:rsidRPr="000D6DEE">
        <w:rPr>
          <w:color w:val="4A4A4A"/>
          <w:sz w:val="28"/>
          <w:szCs w:val="28"/>
        </w:rPr>
        <w:t xml:space="preserve">locali o impianti di capienza superiore a </w:t>
      </w:r>
      <w:r w:rsidR="00534EBF" w:rsidRPr="000D6DEE">
        <w:rPr>
          <w:color w:val="4A4A4A"/>
          <w:sz w:val="28"/>
          <w:szCs w:val="28"/>
        </w:rPr>
        <w:t>5.000 spettatori e per i parchi di divertimento e per le attrezzature da divertimento meccaniche o elettromeccaniche</w:t>
      </w:r>
      <w:r w:rsidR="00B00002" w:rsidRPr="000D6DEE">
        <w:rPr>
          <w:color w:val="4A4A4A"/>
          <w:sz w:val="28"/>
          <w:szCs w:val="28"/>
        </w:rPr>
        <w:t xml:space="preserve"> che comportino sollecitazioni fisiche degli spettatori oltre i limiti fissati in un decreto attuativo (art. 142 r.d. 6 maggio 1940, n. 635) ovvero ove si tratti di un progetto per la costruzione o sostanziale rinnovazione </w:t>
      </w:r>
      <w:r w:rsidR="00534EBF" w:rsidRPr="000D6DEE">
        <w:rPr>
          <w:color w:val="4A4A4A"/>
          <w:sz w:val="28"/>
          <w:szCs w:val="28"/>
        </w:rPr>
        <w:t>di un teatro o di un locale di</w:t>
      </w:r>
      <w:r w:rsidR="00B00002" w:rsidRPr="000D6DEE">
        <w:rPr>
          <w:color w:val="4A4A4A"/>
          <w:sz w:val="28"/>
          <w:szCs w:val="28"/>
        </w:rPr>
        <w:t xml:space="preserve"> pubblico spettacolo. </w:t>
      </w:r>
      <w:r w:rsidR="00534EBF" w:rsidRPr="000D6DEE">
        <w:rPr>
          <w:color w:val="4A4A4A"/>
          <w:sz w:val="28"/>
          <w:szCs w:val="28"/>
        </w:rPr>
        <w:t xml:space="preserve">La seconda è temporale: le disposizioni si applicano </w:t>
      </w:r>
      <w:r w:rsidR="00534EBF" w:rsidRPr="000D6DEE">
        <w:rPr>
          <w:color w:val="4A4A4A"/>
          <w:sz w:val="28"/>
          <w:szCs w:val="28"/>
        </w:rPr>
        <w:lastRenderedPageBreak/>
        <w:t>“in via sperimentale fino al 31 dicembre 2021”</w:t>
      </w:r>
      <w:r w:rsidR="00B00002" w:rsidRPr="000D6DEE">
        <w:rPr>
          <w:color w:val="4A4A4A"/>
          <w:sz w:val="28"/>
          <w:szCs w:val="28"/>
        </w:rPr>
        <w:t>, termine da ultimo prorogato al 31 dicembre 2024</w:t>
      </w:r>
      <w:r w:rsidR="00B00002" w:rsidRPr="000D6DEE">
        <w:rPr>
          <w:rStyle w:val="Rimandonotaapidipagina"/>
          <w:color w:val="4A4A4A"/>
          <w:sz w:val="28"/>
          <w:szCs w:val="28"/>
        </w:rPr>
        <w:footnoteReference w:id="36"/>
      </w:r>
      <w:r w:rsidR="00EF09FA" w:rsidRPr="000D6DEE">
        <w:rPr>
          <w:color w:val="4A4A4A"/>
          <w:sz w:val="28"/>
          <w:szCs w:val="28"/>
        </w:rPr>
        <w:t xml:space="preserve">. </w:t>
      </w:r>
      <w:r w:rsidR="00534EBF" w:rsidRPr="000D6DEE">
        <w:rPr>
          <w:color w:val="4A4A4A"/>
          <w:sz w:val="28"/>
          <w:szCs w:val="28"/>
        </w:rPr>
        <w:t>La terza è oggettiva: le nuove disposizioni di applica</w:t>
      </w:r>
      <w:r w:rsidR="00B00002" w:rsidRPr="000D6DEE">
        <w:rPr>
          <w:color w:val="4A4A4A"/>
          <w:sz w:val="28"/>
          <w:szCs w:val="28"/>
        </w:rPr>
        <w:t>no</w:t>
      </w:r>
      <w:r w:rsidR="00534EBF" w:rsidRPr="000D6DEE">
        <w:rPr>
          <w:color w:val="4A4A4A"/>
          <w:sz w:val="28"/>
          <w:szCs w:val="28"/>
        </w:rPr>
        <w:t xml:space="preserve"> alla realizzazione di spettacoli dal vivo, che comprendono attività culturali quali il teatro, la musica, la danza e il musical, che si svolgono in un orario compreso tra le ore 8 e le ore</w:t>
      </w:r>
      <w:r w:rsidR="004E7D3F" w:rsidRPr="000D6DEE">
        <w:rPr>
          <w:color w:val="4A4A4A"/>
          <w:sz w:val="28"/>
          <w:szCs w:val="28"/>
        </w:rPr>
        <w:t xml:space="preserve"> 01 del giorno seguente,</w:t>
      </w:r>
      <w:r w:rsidR="00534EBF" w:rsidRPr="000D6DEE">
        <w:rPr>
          <w:color w:val="4A4A4A"/>
          <w:sz w:val="28"/>
          <w:szCs w:val="28"/>
        </w:rPr>
        <w:t xml:space="preserve"> destinati ad un massimo di </w:t>
      </w:r>
      <w:r w:rsidR="004E7D3F" w:rsidRPr="000D6DEE">
        <w:rPr>
          <w:color w:val="4A4A4A"/>
          <w:sz w:val="28"/>
          <w:szCs w:val="28"/>
        </w:rPr>
        <w:t>2</w:t>
      </w:r>
      <w:r w:rsidR="00534EBF" w:rsidRPr="000D6DEE">
        <w:rPr>
          <w:color w:val="4A4A4A"/>
          <w:sz w:val="28"/>
          <w:szCs w:val="28"/>
        </w:rPr>
        <w:t>.000 partecipanti</w:t>
      </w:r>
      <w:r w:rsidR="004E7D3F" w:rsidRPr="000D6DEE">
        <w:rPr>
          <w:color w:val="4A4A4A"/>
          <w:sz w:val="28"/>
          <w:szCs w:val="28"/>
        </w:rPr>
        <w:t>, con esclusione dei casi in cui sussistono vincoli ambientali, paesaggistici o culturali nel luogo in cui lo spettacolo si svolge.</w:t>
      </w:r>
    </w:p>
    <w:p w:rsidR="00534EBF" w:rsidRPr="000D6DEE" w:rsidRDefault="00534EBF" w:rsidP="00290F6F">
      <w:pPr>
        <w:pStyle w:val="wkit-indentation-level-0"/>
        <w:shd w:val="clear" w:color="auto" w:fill="FFFFFF"/>
        <w:spacing w:before="0" w:beforeAutospacing="0" w:after="120" w:afterAutospacing="0" w:line="360" w:lineRule="auto"/>
        <w:jc w:val="both"/>
        <w:rPr>
          <w:color w:val="4A4A4A"/>
          <w:sz w:val="28"/>
          <w:szCs w:val="28"/>
        </w:rPr>
      </w:pPr>
      <w:r w:rsidRPr="000D6DEE">
        <w:rPr>
          <w:color w:val="4A4A4A"/>
          <w:sz w:val="28"/>
          <w:szCs w:val="28"/>
        </w:rPr>
        <w:t>In questi ambiti - piuttosto larghi per la verità - ogni atto di autorizzazione, licenza, concessione non costitutiva, permesso o nulla osta comunque denominato, il cui rilascio dipenda esclusivamente dall'accertamento di requisiti e presupposti richiesti dalla legge o da atti amministrativi a contenuto generale, è sostituito dalla SCIA. La segnalazione deve essere presentata dall'interessato allo sportello unico per le attività produttive o ufficio analogo, con esclusione dei casi in cui sussistano vincoli ambientali, paesaggistici o culturali nel luogo in cui si svolge lo spettacolo.</w:t>
      </w:r>
    </w:p>
    <w:p w:rsidR="00893053" w:rsidRPr="000D6DEE" w:rsidRDefault="00534EBF" w:rsidP="00290F6F">
      <w:pPr>
        <w:pStyle w:val="wkit-indentation-level-0"/>
        <w:shd w:val="clear" w:color="auto" w:fill="FFFFFF"/>
        <w:spacing w:before="0" w:beforeAutospacing="0" w:after="120" w:afterAutospacing="0" w:line="360" w:lineRule="auto"/>
        <w:jc w:val="both"/>
        <w:rPr>
          <w:sz w:val="28"/>
          <w:szCs w:val="28"/>
        </w:rPr>
      </w:pPr>
      <w:r w:rsidRPr="000D6DEE">
        <w:rPr>
          <w:color w:val="4A4A4A"/>
          <w:sz w:val="28"/>
          <w:szCs w:val="28"/>
        </w:rPr>
        <w:t xml:space="preserve">La </w:t>
      </w:r>
      <w:r w:rsidR="00EF09FA" w:rsidRPr="000D6DEE">
        <w:rPr>
          <w:color w:val="4A4A4A"/>
          <w:sz w:val="28"/>
          <w:szCs w:val="28"/>
        </w:rPr>
        <w:t xml:space="preserve">s.c.i.a. </w:t>
      </w:r>
      <w:r w:rsidRPr="000D6DEE">
        <w:rPr>
          <w:color w:val="4A4A4A"/>
          <w:sz w:val="28"/>
          <w:szCs w:val="28"/>
        </w:rPr>
        <w:t>deve indicare il numero massimo di partecipanti, il luogo e l'orario in cui si svolge lo spettacolo, deve essere corredata dalle dichiarazioni sostitutive di certificazioni e dell'atto di notorietà e da una relazione tecnica di un professionista che attesti la rispondenza del luogo alle regole tecniche stabilite con decreto del Ministro dell'Interno</w:t>
      </w:r>
      <w:r w:rsidR="004E7D3F" w:rsidRPr="000D6DEE">
        <w:rPr>
          <w:color w:val="4A4A4A"/>
          <w:sz w:val="28"/>
          <w:szCs w:val="28"/>
        </w:rPr>
        <w:t xml:space="preserve">. Tra l’altro, ancora una volta dimostrando lo scarso livello di coordinamento dei testi normativi, anziché rinviare, per la tempistica dei controlli, alle regole generali previste dall’art. 19 della l. n. 241 del 1990, se ne riproduce nella sostanza il contenuto (60 giorni per i controlli e i provvedimenti </w:t>
      </w:r>
      <w:proofErr w:type="spellStart"/>
      <w:r w:rsidR="004E7D3F" w:rsidRPr="000D6DEE">
        <w:rPr>
          <w:color w:val="4A4A4A"/>
          <w:sz w:val="28"/>
          <w:szCs w:val="28"/>
        </w:rPr>
        <w:t>interdittivi</w:t>
      </w:r>
      <w:proofErr w:type="spellEnd"/>
      <w:r w:rsidR="004E7D3F" w:rsidRPr="000D6DEE">
        <w:rPr>
          <w:color w:val="4A4A4A"/>
          <w:sz w:val="28"/>
          <w:szCs w:val="28"/>
        </w:rPr>
        <w:t>, salvo il caso di declaratoria falsa, che consente la deroga a tale limite temporale)</w:t>
      </w:r>
      <w:r w:rsidR="004E7D3F" w:rsidRPr="000D6DEE">
        <w:rPr>
          <w:rStyle w:val="Rimandonotaapidipagina"/>
          <w:color w:val="4A4A4A"/>
          <w:sz w:val="28"/>
          <w:szCs w:val="28"/>
        </w:rPr>
        <w:footnoteReference w:id="37"/>
      </w:r>
      <w:r w:rsidR="004E7D3F" w:rsidRPr="000D6DEE">
        <w:rPr>
          <w:color w:val="4A4A4A"/>
          <w:sz w:val="28"/>
          <w:szCs w:val="28"/>
        </w:rPr>
        <w:t xml:space="preserve">.  Non è chi non veda come la possibilità di impedire per mancanza dei presupposti </w:t>
      </w:r>
      <w:r w:rsidR="003C383F" w:rsidRPr="000D6DEE">
        <w:rPr>
          <w:color w:val="4A4A4A"/>
          <w:sz w:val="28"/>
          <w:szCs w:val="28"/>
        </w:rPr>
        <w:t xml:space="preserve">nei 60 giorni </w:t>
      </w:r>
      <w:r w:rsidR="003C383F" w:rsidRPr="000D6DEE">
        <w:rPr>
          <w:color w:val="4A4A4A"/>
          <w:sz w:val="28"/>
          <w:szCs w:val="28"/>
        </w:rPr>
        <w:lastRenderedPageBreak/>
        <w:t xml:space="preserve">successivi </w:t>
      </w:r>
      <w:r w:rsidR="004E7D3F" w:rsidRPr="000D6DEE">
        <w:rPr>
          <w:color w:val="4A4A4A"/>
          <w:sz w:val="28"/>
          <w:szCs w:val="28"/>
        </w:rPr>
        <w:t xml:space="preserve">un’attività per la quale la segnalazione va inoltrata al </w:t>
      </w:r>
      <w:proofErr w:type="spellStart"/>
      <w:r w:rsidR="004E7D3F" w:rsidRPr="000D6DEE">
        <w:rPr>
          <w:color w:val="4A4A4A"/>
          <w:sz w:val="28"/>
          <w:szCs w:val="28"/>
        </w:rPr>
        <w:t>S.u.a</w:t>
      </w:r>
      <w:r w:rsidR="003C383F" w:rsidRPr="000D6DEE">
        <w:rPr>
          <w:color w:val="4A4A4A"/>
          <w:sz w:val="28"/>
          <w:szCs w:val="28"/>
        </w:rPr>
        <w:t>.</w:t>
      </w:r>
      <w:r w:rsidR="004E7D3F" w:rsidRPr="000D6DEE">
        <w:rPr>
          <w:color w:val="4A4A4A"/>
          <w:sz w:val="28"/>
          <w:szCs w:val="28"/>
        </w:rPr>
        <w:t>p</w:t>
      </w:r>
      <w:proofErr w:type="spellEnd"/>
      <w:r w:rsidR="004E7D3F" w:rsidRPr="000D6DEE">
        <w:rPr>
          <w:color w:val="4A4A4A"/>
          <w:sz w:val="28"/>
          <w:szCs w:val="28"/>
        </w:rPr>
        <w:t xml:space="preserve">. il giorno </w:t>
      </w:r>
      <w:r w:rsidR="003C383F" w:rsidRPr="000D6DEE">
        <w:rPr>
          <w:color w:val="4A4A4A"/>
          <w:sz w:val="28"/>
          <w:szCs w:val="28"/>
        </w:rPr>
        <w:t xml:space="preserve">precedente, si palesi sostanzialmente inutile, con quanto ne consegue anche in termini di tutela della sicurezza degli eventi. Sul piano sanzionatorio, la violazione dell’art. 80 del </w:t>
      </w:r>
      <w:proofErr w:type="spellStart"/>
      <w:r w:rsidR="003C383F" w:rsidRPr="000D6DEE">
        <w:rPr>
          <w:color w:val="4A4A4A"/>
          <w:sz w:val="28"/>
          <w:szCs w:val="28"/>
        </w:rPr>
        <w:t>T.u.l.p.s</w:t>
      </w:r>
      <w:proofErr w:type="spellEnd"/>
      <w:r w:rsidR="003C383F" w:rsidRPr="000D6DEE">
        <w:rPr>
          <w:color w:val="4A4A4A"/>
          <w:sz w:val="28"/>
          <w:szCs w:val="28"/>
        </w:rPr>
        <w:t xml:space="preserve">. ha il suo precipitato sanzionatorio nell’art. 681 c.p., </w:t>
      </w:r>
      <w:r w:rsidR="00893053" w:rsidRPr="000D6DEE">
        <w:rPr>
          <w:sz w:val="28"/>
          <w:szCs w:val="28"/>
        </w:rPr>
        <w:t xml:space="preserve">rubricato </w:t>
      </w:r>
      <w:r w:rsidR="003C383F" w:rsidRPr="000D6DEE">
        <w:rPr>
          <w:sz w:val="28"/>
          <w:szCs w:val="28"/>
        </w:rPr>
        <w:t>«</w:t>
      </w:r>
      <w:r w:rsidR="00893053" w:rsidRPr="000D6DEE">
        <w:rPr>
          <w:i/>
          <w:sz w:val="28"/>
          <w:szCs w:val="28"/>
        </w:rPr>
        <w:t>Apertura abusiva di luoghi di pubblico spettacolo o trattenimento</w:t>
      </w:r>
      <w:r w:rsidR="003C383F" w:rsidRPr="000D6DEE">
        <w:rPr>
          <w:sz w:val="28"/>
          <w:szCs w:val="28"/>
        </w:rPr>
        <w:t xml:space="preserve">», </w:t>
      </w:r>
      <w:r w:rsidR="003C383F" w:rsidRPr="000D6DEE">
        <w:rPr>
          <w:color w:val="4A4A4A"/>
          <w:sz w:val="28"/>
          <w:szCs w:val="28"/>
        </w:rPr>
        <w:t>che costituisce ancora oggi reato.</w:t>
      </w:r>
      <w:r w:rsidR="00EF09FA" w:rsidRPr="000D6DEE">
        <w:rPr>
          <w:color w:val="4A4A4A"/>
          <w:sz w:val="28"/>
          <w:szCs w:val="28"/>
        </w:rPr>
        <w:t xml:space="preserve"> </w:t>
      </w:r>
      <w:r w:rsidR="003C383F" w:rsidRPr="000D6DEE">
        <w:rPr>
          <w:sz w:val="28"/>
          <w:szCs w:val="28"/>
        </w:rPr>
        <w:t xml:space="preserve">Contrariamente a quanto parrebbe doversi desumere dalla richiamata </w:t>
      </w:r>
      <w:r w:rsidR="00893053" w:rsidRPr="000D6DEE">
        <w:rPr>
          <w:sz w:val="28"/>
          <w:szCs w:val="28"/>
        </w:rPr>
        <w:t xml:space="preserve">intitolazione, essa sanziona l’apertura di luoghi di pubblico spettacolo, trattenimento o ritrovo in dispregio delle prescrizioni imposte dall’Autorità a tutela della pubblica incolumità. </w:t>
      </w:r>
      <w:r w:rsidR="003C383F" w:rsidRPr="000D6DEE">
        <w:rPr>
          <w:sz w:val="28"/>
          <w:szCs w:val="28"/>
        </w:rPr>
        <w:t xml:space="preserve">A ciò consegue che con riferimento a tale tipologia di locali, se le prescrizioni date dall’Autorità di </w:t>
      </w:r>
      <w:proofErr w:type="spellStart"/>
      <w:r w:rsidR="003C383F" w:rsidRPr="000D6DEE">
        <w:rPr>
          <w:sz w:val="28"/>
          <w:szCs w:val="28"/>
        </w:rPr>
        <w:t>p.s.</w:t>
      </w:r>
      <w:proofErr w:type="spellEnd"/>
      <w:r w:rsidR="003C383F" w:rsidRPr="000D6DEE">
        <w:rPr>
          <w:sz w:val="28"/>
          <w:szCs w:val="28"/>
        </w:rPr>
        <w:t xml:space="preserve"> sono, appunto, per tale specifica finalità, il reato ipotizzabile sarà non la fattispecie residuale di cui all’art. 17 del </w:t>
      </w:r>
      <w:proofErr w:type="spellStart"/>
      <w:r w:rsidR="003C383F" w:rsidRPr="000D6DEE">
        <w:rPr>
          <w:sz w:val="28"/>
          <w:szCs w:val="28"/>
        </w:rPr>
        <w:t>T.u.l.p.s</w:t>
      </w:r>
      <w:proofErr w:type="spellEnd"/>
      <w:r w:rsidR="003C383F" w:rsidRPr="000D6DEE">
        <w:rPr>
          <w:sz w:val="28"/>
          <w:szCs w:val="28"/>
        </w:rPr>
        <w:t xml:space="preserve">., ma l’art. 681 c.p. Rispondono del reato secondo la giurisprudenza penale </w:t>
      </w:r>
      <w:r w:rsidR="00893053" w:rsidRPr="000D6DEE">
        <w:rPr>
          <w:sz w:val="28"/>
          <w:szCs w:val="28"/>
        </w:rPr>
        <w:t xml:space="preserve">tutti coloro i quali a qualunque titolo concorrono ad aprire o tenere aperti luoghi di pubblico spettacolo, trattenimento o ritrovo: vi rientrano cioè, sia il titolare del locale o il gestore in forza di idoneo </w:t>
      </w:r>
      <w:r w:rsidR="003C383F" w:rsidRPr="000D6DEE">
        <w:rPr>
          <w:sz w:val="28"/>
          <w:szCs w:val="28"/>
        </w:rPr>
        <w:t xml:space="preserve"> </w:t>
      </w:r>
      <w:r w:rsidR="00893053" w:rsidRPr="000D6DEE">
        <w:rPr>
          <w:sz w:val="28"/>
          <w:szCs w:val="28"/>
        </w:rPr>
        <w:t xml:space="preserve">titolo giuridico, sia qualunque altro soggetto che, anche soltanto di fatto, svolga un’ attività di gestione. </w:t>
      </w:r>
      <w:r w:rsidR="003C383F" w:rsidRPr="000D6DEE">
        <w:rPr>
          <w:sz w:val="28"/>
          <w:szCs w:val="28"/>
        </w:rPr>
        <w:t xml:space="preserve">Il precetto, cioè, </w:t>
      </w:r>
      <w:r w:rsidR="00893053" w:rsidRPr="000D6DEE">
        <w:rPr>
          <w:sz w:val="28"/>
          <w:szCs w:val="28"/>
        </w:rPr>
        <w:t xml:space="preserve">non è rivolto esclusivamente a chi gestisce, in via permanente e professionale, luoghi di pubblico spettacolo, ma a “chiunque” li apra o li tenga aperti ancorché occasionalmente e per una sola volta. </w:t>
      </w:r>
      <w:r w:rsidR="00D84998" w:rsidRPr="000D6DEE">
        <w:rPr>
          <w:sz w:val="28"/>
          <w:szCs w:val="28"/>
        </w:rPr>
        <w:t xml:space="preserve">Ad esempio è stato ritenuto sussistente il reato di cui all’art. 681 c.p. </w:t>
      </w:r>
      <w:r w:rsidR="00042221" w:rsidRPr="000D6DEE">
        <w:rPr>
          <w:sz w:val="28"/>
          <w:szCs w:val="28"/>
        </w:rPr>
        <w:t>in caso di attività di intrattenimento e spettacolo in un locale formalmente concepito come un club privato e come tale apparentemente accessibile solo a una ristretta cerchia di aderenti, ma sostanzialmente aperto senza discriminazioni a una generalità di soggetti, e dunque a chiunque fosse disposto al pagamento della quota di adesione richiesta (</w:t>
      </w:r>
      <w:r w:rsidR="00042221" w:rsidRPr="000D6DEE">
        <w:rPr>
          <w:b/>
          <w:sz w:val="28"/>
          <w:szCs w:val="28"/>
        </w:rPr>
        <w:t>Cass., sez. I, 24 giugno 2016, n. 26526</w:t>
      </w:r>
      <w:r w:rsidR="00042221" w:rsidRPr="000D6DEE">
        <w:rPr>
          <w:sz w:val="28"/>
          <w:szCs w:val="28"/>
        </w:rPr>
        <w:t xml:space="preserve">). </w:t>
      </w:r>
      <w:r w:rsidR="00893053" w:rsidRPr="000D6DEE">
        <w:rPr>
          <w:sz w:val="28"/>
          <w:szCs w:val="28"/>
        </w:rPr>
        <w:t xml:space="preserve">L’elemento materiale del reato consiste nella mancata osservanza delle prescrizioni dell’Autorità in materia di sicurezza. Ora, l’art. 80 parla espressamente di una licenza subordinata alla verifica dei requisiti di solidità e sicurezza del locale, e dunque al parere dell’apposita commissione, comunale o provinciale che sia. La Cassazione ha avuto modo di puntualizzare in più occasioni, tuttavia, come non integri la fattispecie dell’art. 681 c.p. l’inottemperanza da parte del </w:t>
      </w:r>
      <w:r w:rsidR="00893053" w:rsidRPr="000D6DEE">
        <w:rPr>
          <w:sz w:val="28"/>
          <w:szCs w:val="28"/>
        </w:rPr>
        <w:lastRenderedPageBreak/>
        <w:t xml:space="preserve">responsabile di </w:t>
      </w:r>
      <w:r w:rsidR="003C383F" w:rsidRPr="000D6DEE">
        <w:rPr>
          <w:sz w:val="28"/>
          <w:szCs w:val="28"/>
        </w:rPr>
        <w:t xml:space="preserve"> </w:t>
      </w:r>
      <w:r w:rsidR="00893053" w:rsidRPr="000D6DEE">
        <w:rPr>
          <w:sz w:val="28"/>
          <w:szCs w:val="28"/>
        </w:rPr>
        <w:t xml:space="preserve">attività svolte in luoghi di pubblico spettacolo o trattenimento alle indicazioni fornite dalla Commissione tecnica provinciale di vigilanza - oggi dalla Commissione comunale </w:t>
      </w:r>
      <w:r w:rsidR="003C383F" w:rsidRPr="000D6DEE">
        <w:rPr>
          <w:sz w:val="28"/>
          <w:szCs w:val="28"/>
        </w:rPr>
        <w:t xml:space="preserve">o provinciale </w:t>
      </w:r>
      <w:r w:rsidR="00893053" w:rsidRPr="000D6DEE">
        <w:rPr>
          <w:sz w:val="28"/>
          <w:szCs w:val="28"/>
        </w:rPr>
        <w:t xml:space="preserve">- non costituendo quest’ultima organo dotato di autonomo potere di </w:t>
      </w:r>
      <w:r w:rsidR="003C383F" w:rsidRPr="000D6DEE">
        <w:rPr>
          <w:sz w:val="28"/>
          <w:szCs w:val="28"/>
        </w:rPr>
        <w:t xml:space="preserve"> </w:t>
      </w:r>
      <w:r w:rsidR="00893053" w:rsidRPr="000D6DEE">
        <w:rPr>
          <w:sz w:val="28"/>
          <w:szCs w:val="28"/>
        </w:rPr>
        <w:t>ordinanza, in quanto le funzioni consultive e ispettive, attribuitele dalla legge, sono finalizzate alla successiva adozione degli eventuali provvedimenti da parte delle competenti autorità di P.S. o comunali</w:t>
      </w:r>
      <w:r w:rsidRPr="000D6DEE">
        <w:rPr>
          <w:sz w:val="28"/>
          <w:szCs w:val="28"/>
        </w:rPr>
        <w:t xml:space="preserve">. </w:t>
      </w:r>
      <w:r w:rsidR="00893053" w:rsidRPr="000D6DEE">
        <w:rPr>
          <w:sz w:val="28"/>
          <w:szCs w:val="28"/>
        </w:rPr>
        <w:t>Con ciò si vuole dire che l’aggancio tra le due disposizioni effettuato nella prassi, in</w:t>
      </w:r>
      <w:r w:rsidRPr="000D6DEE">
        <w:rPr>
          <w:sz w:val="28"/>
          <w:szCs w:val="28"/>
        </w:rPr>
        <w:t xml:space="preserve"> </w:t>
      </w:r>
      <w:r w:rsidR="00893053" w:rsidRPr="000D6DEE">
        <w:rPr>
          <w:sz w:val="28"/>
          <w:szCs w:val="28"/>
        </w:rPr>
        <w:t xml:space="preserve">realtà non è così automatico, in quanto un locale di pubblico spettacolo potrebbe rispettare tutte le condizioni di sicurezza e mancare del solo elemento formale della relativa licenza. Teoricamente, occorrerebbe cioè un controllo di merito per poter dire che è stata violata la disposizione </w:t>
      </w:r>
      <w:r w:rsidR="00893053" w:rsidRPr="000D6DEE">
        <w:rPr>
          <w:i/>
          <w:sz w:val="28"/>
          <w:szCs w:val="28"/>
        </w:rPr>
        <w:t>de qua</w:t>
      </w:r>
      <w:r w:rsidR="00893053" w:rsidRPr="000D6DEE">
        <w:rPr>
          <w:sz w:val="28"/>
          <w:szCs w:val="28"/>
        </w:rPr>
        <w:t>. Non a caso i giudici di legittimità, nel negare potere precettivo diretto alla Commissione di vigilanza fanno riferimento agli atti successivi espliciti dell’autorità competente, ovvero il rilascio, rinnovo, sospensione o revoca delle licenze di apertura o di esercizio o ancora le ordinanze</w:t>
      </w:r>
      <w:r w:rsidR="00042221" w:rsidRPr="000D6DEE">
        <w:rPr>
          <w:sz w:val="28"/>
          <w:szCs w:val="28"/>
        </w:rPr>
        <w:t xml:space="preserve"> adottate allo scopo</w:t>
      </w:r>
      <w:r w:rsidRPr="000D6DEE">
        <w:rPr>
          <w:sz w:val="28"/>
          <w:szCs w:val="28"/>
        </w:rPr>
        <w:t>.</w:t>
      </w:r>
    </w:p>
    <w:p w:rsidR="00AC0D01" w:rsidRPr="000D6DEE" w:rsidRDefault="005F4E02" w:rsidP="005F4E02">
      <w:pPr>
        <w:autoSpaceDE w:val="0"/>
        <w:autoSpaceDN w:val="0"/>
        <w:adjustRightInd w:val="0"/>
        <w:spacing w:after="0" w:line="360" w:lineRule="auto"/>
        <w:jc w:val="both"/>
        <w:rPr>
          <w:rFonts w:ascii="Times New Roman" w:hAnsi="Times New Roman" w:cs="Times New Roman"/>
          <w:b/>
          <w:sz w:val="28"/>
          <w:szCs w:val="28"/>
        </w:rPr>
      </w:pPr>
      <w:r w:rsidRPr="000D6DEE">
        <w:rPr>
          <w:rFonts w:ascii="Times New Roman" w:hAnsi="Times New Roman" w:cs="Times New Roman"/>
          <w:b/>
          <w:sz w:val="28"/>
          <w:szCs w:val="28"/>
        </w:rPr>
        <w:t xml:space="preserve">8. </w:t>
      </w:r>
      <w:r w:rsidR="00042221" w:rsidRPr="000D6DEE">
        <w:rPr>
          <w:rFonts w:ascii="Times New Roman" w:hAnsi="Times New Roman" w:cs="Times New Roman"/>
          <w:b/>
          <w:sz w:val="28"/>
          <w:szCs w:val="28"/>
        </w:rPr>
        <w:t>Gli spettacoli e trattenimenti all’interno di altri pubblici esercizi: le problematiche della c.d. “movida” molesta.</w:t>
      </w:r>
    </w:p>
    <w:p w:rsidR="00DB3733" w:rsidRPr="000D6DEE" w:rsidRDefault="00B2061F" w:rsidP="005F4E02">
      <w:pPr>
        <w:autoSpaceDE w:val="0"/>
        <w:autoSpaceDN w:val="0"/>
        <w:adjustRightInd w:val="0"/>
        <w:spacing w:after="0" w:line="360" w:lineRule="auto"/>
        <w:jc w:val="both"/>
        <w:rPr>
          <w:rFonts w:ascii="Times New Roman" w:hAnsi="Times New Roman" w:cs="Times New Roman"/>
          <w:bCs/>
          <w:sz w:val="28"/>
          <w:szCs w:val="28"/>
        </w:rPr>
      </w:pPr>
      <w:r w:rsidRPr="000D6DEE">
        <w:rPr>
          <w:rFonts w:ascii="Times New Roman" w:hAnsi="Times New Roman" w:cs="Times New Roman"/>
          <w:sz w:val="28"/>
          <w:szCs w:val="28"/>
        </w:rPr>
        <w:t xml:space="preserve">La giurisprudenza penale ha preso atto della gravità del fenomeno </w:t>
      </w:r>
      <w:r w:rsidR="00042221" w:rsidRPr="000D6DEE">
        <w:rPr>
          <w:rFonts w:ascii="Times New Roman" w:hAnsi="Times New Roman" w:cs="Times New Roman"/>
          <w:sz w:val="28"/>
          <w:szCs w:val="28"/>
        </w:rPr>
        <w:t>della c.d. “movida” molesta, intendendosi per tale quella capace di generare fenomeniche di degrado e disturbo della quiete interessante le aree limitrofe ai locali ove si svolge l’attività di trattenimento o svago. Si è dunque ammessa da tempo «</w:t>
      </w:r>
      <w:r w:rsidRPr="000D6DEE">
        <w:rPr>
          <w:rFonts w:ascii="Times New Roman" w:hAnsi="Times New Roman" w:cs="Times New Roman"/>
          <w:i/>
          <w:sz w:val="28"/>
          <w:szCs w:val="28"/>
        </w:rPr>
        <w:t>la configurabilità della contravvenzione contestata (</w:t>
      </w:r>
      <w:r w:rsidRPr="000D6DEE">
        <w:rPr>
          <w:rFonts w:ascii="Times New Roman" w:hAnsi="Times New Roman" w:cs="Times New Roman"/>
          <w:sz w:val="28"/>
          <w:szCs w:val="28"/>
        </w:rPr>
        <w:t xml:space="preserve">art. 659 c.p., </w:t>
      </w:r>
      <w:proofErr w:type="spellStart"/>
      <w:r w:rsidRPr="000D6DEE">
        <w:rPr>
          <w:rFonts w:ascii="Times New Roman" w:hAnsi="Times New Roman" w:cs="Times New Roman"/>
          <w:sz w:val="28"/>
          <w:szCs w:val="28"/>
        </w:rPr>
        <w:t>n.d.r.</w:t>
      </w:r>
      <w:proofErr w:type="spellEnd"/>
      <w:r w:rsidRPr="000D6DEE">
        <w:rPr>
          <w:rFonts w:ascii="Times New Roman" w:hAnsi="Times New Roman" w:cs="Times New Roman"/>
          <w:sz w:val="28"/>
          <w:szCs w:val="28"/>
        </w:rPr>
        <w:t>)</w:t>
      </w:r>
      <w:r w:rsidRPr="000D6DEE">
        <w:rPr>
          <w:rFonts w:ascii="Times New Roman" w:hAnsi="Times New Roman" w:cs="Times New Roman"/>
          <w:i/>
          <w:sz w:val="28"/>
          <w:szCs w:val="28"/>
        </w:rPr>
        <w:t xml:space="preserve"> nella forma omissiva, riconoscendo, in capo al titolare di un esercizio pubblico, l’esistenza di una posizione di garanzia, cui è correlato l’obbligo giuridico di impedire gli schiamazzi o comunque i rumori prodotti, in maniera eccessiva, dalla propria clientela</w:t>
      </w:r>
      <w:r w:rsidRPr="000D6DEE">
        <w:rPr>
          <w:rFonts w:ascii="Times New Roman" w:hAnsi="Times New Roman" w:cs="Times New Roman"/>
          <w:sz w:val="28"/>
          <w:szCs w:val="28"/>
        </w:rPr>
        <w:t>”</w:t>
      </w:r>
      <w:r w:rsidRPr="000D6DEE">
        <w:rPr>
          <w:rStyle w:val="Rimandonotaapidipagina"/>
          <w:rFonts w:ascii="Times New Roman" w:hAnsi="Times New Roman" w:cs="Times New Roman"/>
          <w:sz w:val="28"/>
          <w:szCs w:val="28"/>
        </w:rPr>
        <w:footnoteReference w:id="38"/>
      </w:r>
      <w:r w:rsidRPr="000D6DEE">
        <w:rPr>
          <w:rFonts w:ascii="Times New Roman" w:hAnsi="Times New Roman" w:cs="Times New Roman"/>
          <w:sz w:val="28"/>
          <w:szCs w:val="28"/>
        </w:rPr>
        <w:t>.</w:t>
      </w:r>
      <w:r w:rsidR="00077DA1" w:rsidRPr="000D6DEE">
        <w:rPr>
          <w:rFonts w:ascii="Times New Roman" w:hAnsi="Times New Roman" w:cs="Times New Roman"/>
          <w:color w:val="2D2D2D"/>
          <w:sz w:val="28"/>
          <w:szCs w:val="28"/>
        </w:rPr>
        <w:t xml:space="preserve"> L</w:t>
      </w:r>
      <w:r w:rsidR="00077DA1" w:rsidRPr="000D6DEE">
        <w:rPr>
          <w:rFonts w:ascii="Times New Roman" w:hAnsi="Times New Roman" w:cs="Times New Roman"/>
          <w:color w:val="4C4C4C"/>
          <w:sz w:val="28"/>
          <w:szCs w:val="28"/>
          <w:shd w:val="clear" w:color="auto" w:fill="FFFFFF"/>
        </w:rPr>
        <w:t xml:space="preserve">a veste di titolare della gestione dell’esercizio pubblico comporterebbe dunque l’assunzione dell’obbligo giuridico di controllare, con possibile ricorso ai vari mezzi offerti dall’ordinamento, come l’attuazione dello </w:t>
      </w:r>
      <w:proofErr w:type="spellStart"/>
      <w:r w:rsidR="00077DA1" w:rsidRPr="000D6DEE">
        <w:rPr>
          <w:rStyle w:val="Enfasicorsivo"/>
          <w:rFonts w:ascii="Times New Roman" w:hAnsi="Times New Roman" w:cs="Times New Roman"/>
          <w:color w:val="4C4C4C"/>
          <w:sz w:val="28"/>
          <w:szCs w:val="28"/>
          <w:shd w:val="clear" w:color="auto" w:fill="FFFFFF"/>
        </w:rPr>
        <w:t>ius</w:t>
      </w:r>
      <w:proofErr w:type="spellEnd"/>
      <w:r w:rsidR="00077DA1" w:rsidRPr="000D6DEE">
        <w:rPr>
          <w:rStyle w:val="Enfasicorsivo"/>
          <w:rFonts w:ascii="Times New Roman" w:hAnsi="Times New Roman" w:cs="Times New Roman"/>
          <w:color w:val="4C4C4C"/>
          <w:sz w:val="28"/>
          <w:szCs w:val="28"/>
          <w:shd w:val="clear" w:color="auto" w:fill="FFFFFF"/>
        </w:rPr>
        <w:t xml:space="preserve"> </w:t>
      </w:r>
      <w:proofErr w:type="spellStart"/>
      <w:r w:rsidR="00077DA1" w:rsidRPr="000D6DEE">
        <w:rPr>
          <w:rStyle w:val="Enfasicorsivo"/>
          <w:rFonts w:ascii="Times New Roman" w:hAnsi="Times New Roman" w:cs="Times New Roman"/>
          <w:color w:val="4C4C4C"/>
          <w:sz w:val="28"/>
          <w:szCs w:val="28"/>
          <w:shd w:val="clear" w:color="auto" w:fill="FFFFFF"/>
        </w:rPr>
        <w:t>excludendi</w:t>
      </w:r>
      <w:proofErr w:type="spellEnd"/>
      <w:r w:rsidR="00077DA1" w:rsidRPr="000D6DEE">
        <w:rPr>
          <w:rFonts w:ascii="Times New Roman" w:hAnsi="Times New Roman" w:cs="Times New Roman"/>
          <w:color w:val="4C4C4C"/>
          <w:sz w:val="28"/>
          <w:szCs w:val="28"/>
          <w:shd w:val="clear" w:color="auto" w:fill="FFFFFF"/>
        </w:rPr>
        <w:t xml:space="preserve"> e il ricorso all’Autorità, che la frequenza del locale da parte degli utenti non sfoci in condotte contrastanti con le norme poste a tutela </w:t>
      </w:r>
      <w:r w:rsidR="00077DA1" w:rsidRPr="000D6DEE">
        <w:rPr>
          <w:rFonts w:ascii="Times New Roman" w:hAnsi="Times New Roman" w:cs="Times New Roman"/>
          <w:color w:val="4C4C4C"/>
          <w:sz w:val="28"/>
          <w:szCs w:val="28"/>
          <w:shd w:val="clear" w:color="auto" w:fill="FFFFFF"/>
        </w:rPr>
        <w:lastRenderedPageBreak/>
        <w:t>dell’ordine e della tranquillità pubblica. Di fatto, quindi, trattasi di una responsabilità di certo non per posizione, ma accertando caso per caso il mancato esercizio del potere di controllo da parte dell’agente. Ciò implica un’adeguata verifica in sede di merito, volta ad accertare la consistenza degli spazi fruibili dagli avventori, la tipologia delle emissioni sonore e le iniziative assunte dal gestore del locale per eliminarle o almeno per contenerle</w:t>
      </w:r>
      <w:r w:rsidR="00077DA1" w:rsidRPr="000D6DEE">
        <w:rPr>
          <w:rStyle w:val="Rimandonotaapidipagina"/>
          <w:rFonts w:ascii="Times New Roman" w:hAnsi="Times New Roman" w:cs="Times New Roman"/>
          <w:color w:val="4C4C4C"/>
          <w:sz w:val="28"/>
          <w:szCs w:val="28"/>
          <w:shd w:val="clear" w:color="auto" w:fill="FFFFFF"/>
        </w:rPr>
        <w:footnoteReference w:id="39"/>
      </w:r>
      <w:r w:rsidR="00AC0D01" w:rsidRPr="000D6DEE">
        <w:rPr>
          <w:rFonts w:ascii="Times New Roman" w:hAnsi="Times New Roman" w:cs="Times New Roman"/>
          <w:color w:val="4C4C4C"/>
          <w:sz w:val="28"/>
          <w:szCs w:val="28"/>
          <w:shd w:val="clear" w:color="auto" w:fill="FFFFFF"/>
        </w:rPr>
        <w:t xml:space="preserve">.  </w:t>
      </w:r>
      <w:r w:rsidRPr="000D6DEE">
        <w:rPr>
          <w:rFonts w:ascii="Times New Roman" w:hAnsi="Times New Roman" w:cs="Times New Roman"/>
          <w:sz w:val="28"/>
          <w:szCs w:val="28"/>
        </w:rPr>
        <w:t>Sul piano del rimedio preventivo, si è spesso fatto ricorso a</w:t>
      </w:r>
      <w:r w:rsidR="00042221" w:rsidRPr="000D6DEE">
        <w:rPr>
          <w:rFonts w:ascii="Times New Roman" w:hAnsi="Times New Roman" w:cs="Times New Roman"/>
          <w:sz w:val="28"/>
          <w:szCs w:val="28"/>
        </w:rPr>
        <w:t xml:space="preserve">d ordinanze di </w:t>
      </w:r>
      <w:r w:rsidRPr="000D6DEE">
        <w:rPr>
          <w:rFonts w:ascii="Times New Roman" w:hAnsi="Times New Roman" w:cs="Times New Roman"/>
          <w:sz w:val="28"/>
          <w:szCs w:val="28"/>
        </w:rPr>
        <w:t xml:space="preserve">limitazione dell’orario, </w:t>
      </w:r>
      <w:r w:rsidR="00F31E59" w:rsidRPr="000D6DEE">
        <w:rPr>
          <w:rFonts w:ascii="Times New Roman" w:hAnsi="Times New Roman" w:cs="Times New Roman"/>
          <w:sz w:val="28"/>
          <w:szCs w:val="28"/>
        </w:rPr>
        <w:t xml:space="preserve">laddove sarebbe stato più corretto utilizzare il potere regolamentare riconosciuto ai Comuni in via fisiologica, piuttosto che emergenziale. </w:t>
      </w:r>
      <w:r w:rsidRPr="000D6DEE">
        <w:rPr>
          <w:rFonts w:ascii="Times New Roman" w:hAnsi="Times New Roman" w:cs="Times New Roman"/>
          <w:sz w:val="28"/>
          <w:szCs w:val="28"/>
        </w:rPr>
        <w:t>Emblematica al riguardo la vicenda esaminata dal T</w:t>
      </w:r>
      <w:r w:rsidR="00F31E59" w:rsidRPr="000D6DEE">
        <w:rPr>
          <w:rFonts w:ascii="Times New Roman" w:hAnsi="Times New Roman" w:cs="Times New Roman"/>
          <w:sz w:val="28"/>
          <w:szCs w:val="28"/>
        </w:rPr>
        <w:t xml:space="preserve">.a.r. per la </w:t>
      </w:r>
      <w:r w:rsidRPr="000D6DEE">
        <w:rPr>
          <w:rFonts w:ascii="Times New Roman" w:hAnsi="Times New Roman" w:cs="Times New Roman"/>
          <w:sz w:val="28"/>
          <w:szCs w:val="28"/>
        </w:rPr>
        <w:t xml:space="preserve">Lombardia, Sez. Brescia, prima con l’ordinanza cautelare 15 gennaio 2015, n. 72, con la quale, partendo dal presupposto che il Comune avrebbe dovuto più legittimamente intervenire con regolamento, ha di fatto sospeso parzialmente l’ordinanza contingibile </w:t>
      </w:r>
      <w:proofErr w:type="spellStart"/>
      <w:r w:rsidRPr="000D6DEE">
        <w:rPr>
          <w:rFonts w:ascii="Times New Roman" w:hAnsi="Times New Roman" w:cs="Times New Roman"/>
          <w:sz w:val="28"/>
          <w:szCs w:val="28"/>
        </w:rPr>
        <w:t>ed</w:t>
      </w:r>
      <w:proofErr w:type="spellEnd"/>
      <w:r w:rsidRPr="000D6DEE">
        <w:rPr>
          <w:rFonts w:ascii="Times New Roman" w:hAnsi="Times New Roman" w:cs="Times New Roman"/>
          <w:sz w:val="28"/>
          <w:szCs w:val="28"/>
        </w:rPr>
        <w:t xml:space="preserve"> urgente adottata al riguardo; successivamente, con la sentenza n. 1425 del 21 ottobre dello stesso anno, ha respinto il ricorso </w:t>
      </w:r>
      <w:r w:rsidR="00F31E59" w:rsidRPr="000D6DEE">
        <w:rPr>
          <w:rFonts w:ascii="Times New Roman" w:hAnsi="Times New Roman" w:cs="Times New Roman"/>
          <w:sz w:val="28"/>
          <w:szCs w:val="28"/>
        </w:rPr>
        <w:t xml:space="preserve">di un gruppo di esercenti del Comune di Bergamo </w:t>
      </w:r>
      <w:r w:rsidRPr="000D6DEE">
        <w:rPr>
          <w:rFonts w:ascii="Times New Roman" w:hAnsi="Times New Roman" w:cs="Times New Roman"/>
          <w:sz w:val="28"/>
          <w:szCs w:val="28"/>
        </w:rPr>
        <w:t xml:space="preserve">essendo il nuovo provvedimento </w:t>
      </w:r>
      <w:r w:rsidR="00F31E59" w:rsidRPr="000D6DEE">
        <w:rPr>
          <w:rFonts w:ascii="Times New Roman" w:hAnsi="Times New Roman" w:cs="Times New Roman"/>
          <w:sz w:val="28"/>
          <w:szCs w:val="28"/>
        </w:rPr>
        <w:t xml:space="preserve">stato </w:t>
      </w:r>
      <w:r w:rsidRPr="000D6DEE">
        <w:rPr>
          <w:rFonts w:ascii="Times New Roman" w:hAnsi="Times New Roman" w:cs="Times New Roman"/>
          <w:sz w:val="28"/>
          <w:szCs w:val="28"/>
        </w:rPr>
        <w:t xml:space="preserve">adottato in ottemperanza al disposto dei giudici, </w:t>
      </w:r>
      <w:r w:rsidR="00F31E59" w:rsidRPr="000D6DEE">
        <w:rPr>
          <w:rFonts w:ascii="Times New Roman" w:hAnsi="Times New Roman" w:cs="Times New Roman"/>
          <w:sz w:val="28"/>
          <w:szCs w:val="28"/>
        </w:rPr>
        <w:t>e</w:t>
      </w:r>
      <w:r w:rsidRPr="000D6DEE">
        <w:rPr>
          <w:rFonts w:ascii="Times New Roman" w:hAnsi="Times New Roman" w:cs="Times New Roman"/>
          <w:sz w:val="28"/>
          <w:szCs w:val="28"/>
        </w:rPr>
        <w:t xml:space="preserve">, più correttamente, </w:t>
      </w:r>
      <w:r w:rsidR="00F31E59" w:rsidRPr="000D6DEE">
        <w:rPr>
          <w:rFonts w:ascii="Times New Roman" w:hAnsi="Times New Roman" w:cs="Times New Roman"/>
          <w:sz w:val="28"/>
          <w:szCs w:val="28"/>
        </w:rPr>
        <w:t>ricondotto nell’alveo dell’</w:t>
      </w:r>
      <w:r w:rsidRPr="000D6DEE">
        <w:rPr>
          <w:rFonts w:ascii="Times New Roman" w:hAnsi="Times New Roman" w:cs="Times New Roman"/>
          <w:sz w:val="28"/>
          <w:szCs w:val="28"/>
        </w:rPr>
        <w:t>attuazione di un regolamento deliberato dal Consiglio comunale</w:t>
      </w:r>
      <w:r w:rsidRPr="000D6DEE">
        <w:rPr>
          <w:rStyle w:val="Rimandonotaapidipagina"/>
          <w:rFonts w:ascii="Times New Roman" w:hAnsi="Times New Roman" w:cs="Times New Roman"/>
          <w:sz w:val="28"/>
          <w:szCs w:val="28"/>
        </w:rPr>
        <w:footnoteReference w:id="40"/>
      </w:r>
      <w:r w:rsidRPr="000D6DEE">
        <w:rPr>
          <w:rFonts w:ascii="Times New Roman" w:hAnsi="Times New Roman" w:cs="Times New Roman"/>
          <w:sz w:val="28"/>
          <w:szCs w:val="28"/>
        </w:rPr>
        <w:t xml:space="preserve"> .</w:t>
      </w:r>
      <w:r w:rsidR="00F31E59" w:rsidRPr="000D6DEE">
        <w:rPr>
          <w:rFonts w:ascii="Times New Roman" w:hAnsi="Times New Roman" w:cs="Times New Roman"/>
          <w:sz w:val="28"/>
          <w:szCs w:val="28"/>
        </w:rPr>
        <w:t xml:space="preserve"> </w:t>
      </w:r>
      <w:r w:rsidRPr="000D6DEE">
        <w:rPr>
          <w:rFonts w:ascii="Times New Roman" w:hAnsi="Times New Roman" w:cs="Times New Roman"/>
          <w:sz w:val="28"/>
          <w:szCs w:val="28"/>
        </w:rPr>
        <w:t xml:space="preserve">L’entità del contenzioso e la sicura sollecitazione proveniente dal mondo delle autonomie locali, ha indotto il legislatore </w:t>
      </w:r>
      <w:r w:rsidR="00F31E59" w:rsidRPr="000D6DEE">
        <w:rPr>
          <w:rFonts w:ascii="Times New Roman" w:hAnsi="Times New Roman" w:cs="Times New Roman"/>
          <w:sz w:val="28"/>
          <w:szCs w:val="28"/>
        </w:rPr>
        <w:t xml:space="preserve">a provare ad intervenire per rafforzare il potere di intervento del Sindaco, legittimandolo espressamente, sì dal porlo al sicuro da possibili oscillazioni giurisprudenziali. </w:t>
      </w:r>
      <w:r w:rsidRPr="000D6DEE">
        <w:rPr>
          <w:rFonts w:ascii="Times New Roman" w:hAnsi="Times New Roman" w:cs="Times New Roman"/>
          <w:sz w:val="28"/>
          <w:szCs w:val="28"/>
        </w:rPr>
        <w:t>E tuttavia proprio l’eccesso di enfasi</w:t>
      </w:r>
      <w:r w:rsidR="00F31E59" w:rsidRPr="000D6DEE">
        <w:rPr>
          <w:rFonts w:ascii="Times New Roman" w:hAnsi="Times New Roman" w:cs="Times New Roman"/>
          <w:sz w:val="28"/>
          <w:szCs w:val="28"/>
        </w:rPr>
        <w:t xml:space="preserve"> sugli attori della c.d. sicurezza urbana</w:t>
      </w:r>
      <w:r w:rsidRPr="000D6DEE">
        <w:rPr>
          <w:rFonts w:ascii="Times New Roman" w:hAnsi="Times New Roman" w:cs="Times New Roman"/>
          <w:sz w:val="28"/>
          <w:szCs w:val="28"/>
        </w:rPr>
        <w:t xml:space="preserve"> ha comportato difetti di coordinamento e potenziali sovrapposizioni tra fattispecie che non giovano alla chiarezza dell’</w:t>
      </w:r>
      <w:r w:rsidR="00F31E59" w:rsidRPr="000D6DEE">
        <w:rPr>
          <w:rFonts w:ascii="Times New Roman" w:hAnsi="Times New Roman" w:cs="Times New Roman"/>
          <w:sz w:val="28"/>
          <w:szCs w:val="28"/>
        </w:rPr>
        <w:t xml:space="preserve">impianto. </w:t>
      </w:r>
      <w:r w:rsidRPr="000D6DEE">
        <w:rPr>
          <w:rFonts w:ascii="Times New Roman" w:hAnsi="Times New Roman" w:cs="Times New Roman"/>
          <w:sz w:val="28"/>
          <w:szCs w:val="28"/>
        </w:rPr>
        <w:t xml:space="preserve">Le esigenze di </w:t>
      </w:r>
      <w:r w:rsidRPr="000D6DEE">
        <w:rPr>
          <w:rFonts w:ascii="Times New Roman" w:hAnsi="Times New Roman" w:cs="Times New Roman"/>
          <w:bCs/>
          <w:sz w:val="28"/>
          <w:szCs w:val="28"/>
        </w:rPr>
        <w:t xml:space="preserve">tutela della tranquillità e del riposo dei residenti, </w:t>
      </w:r>
      <w:r w:rsidR="00F31E59" w:rsidRPr="000D6DEE">
        <w:rPr>
          <w:rFonts w:ascii="Times New Roman" w:hAnsi="Times New Roman" w:cs="Times New Roman"/>
          <w:bCs/>
          <w:sz w:val="28"/>
          <w:szCs w:val="28"/>
        </w:rPr>
        <w:t xml:space="preserve">infatti, variamente configurate, </w:t>
      </w:r>
      <w:r w:rsidRPr="000D6DEE">
        <w:rPr>
          <w:rFonts w:ascii="Times New Roman" w:hAnsi="Times New Roman" w:cs="Times New Roman"/>
          <w:bCs/>
          <w:sz w:val="28"/>
          <w:szCs w:val="28"/>
        </w:rPr>
        <w:t xml:space="preserve">costituiscono una delle possibili </w:t>
      </w:r>
      <w:r w:rsidR="00F31E59" w:rsidRPr="000D6DEE">
        <w:rPr>
          <w:rFonts w:ascii="Times New Roman" w:hAnsi="Times New Roman" w:cs="Times New Roman"/>
          <w:bCs/>
          <w:sz w:val="28"/>
          <w:szCs w:val="28"/>
        </w:rPr>
        <w:t xml:space="preserve">ragioni in forza delle quali il Sindaco può adottare provvedimenti, anche di limitazione dell’orario, sia come capo del governo locale, e dunque </w:t>
      </w:r>
      <w:r w:rsidR="00F31E59" w:rsidRPr="000D6DEE">
        <w:rPr>
          <w:rFonts w:ascii="Times New Roman" w:hAnsi="Times New Roman" w:cs="Times New Roman"/>
          <w:bCs/>
          <w:i/>
          <w:sz w:val="28"/>
          <w:szCs w:val="28"/>
        </w:rPr>
        <w:t>ex</w:t>
      </w:r>
      <w:r w:rsidR="00F31E59" w:rsidRPr="000D6DEE">
        <w:rPr>
          <w:rFonts w:ascii="Times New Roman" w:hAnsi="Times New Roman" w:cs="Times New Roman"/>
          <w:bCs/>
          <w:sz w:val="28"/>
          <w:szCs w:val="28"/>
        </w:rPr>
        <w:t xml:space="preserve"> art. 50 del d.lgs. n. 267 del </w:t>
      </w:r>
      <w:r w:rsidR="00F31E59" w:rsidRPr="000D6DEE">
        <w:rPr>
          <w:rFonts w:ascii="Times New Roman" w:hAnsi="Times New Roman" w:cs="Times New Roman"/>
          <w:bCs/>
          <w:sz w:val="28"/>
          <w:szCs w:val="28"/>
        </w:rPr>
        <w:lastRenderedPageBreak/>
        <w:t>2000, che come ufficiale di governo, ai sensi dell’art. 54 del medesimo Testo unico.</w:t>
      </w:r>
      <w:r w:rsidRPr="000D6DEE">
        <w:rPr>
          <w:rFonts w:ascii="Times New Roman" w:hAnsi="Times New Roman" w:cs="Times New Roman"/>
          <w:bCs/>
          <w:i/>
          <w:sz w:val="28"/>
          <w:szCs w:val="28"/>
        </w:rPr>
        <w:t xml:space="preserve"> </w:t>
      </w:r>
      <w:r w:rsidR="00DB3733" w:rsidRPr="000D6DEE">
        <w:rPr>
          <w:rFonts w:ascii="Times New Roman" w:hAnsi="Times New Roman" w:cs="Times New Roman"/>
          <w:sz w:val="28"/>
          <w:szCs w:val="28"/>
        </w:rPr>
        <w:t xml:space="preserve">Il potere di ordinanza contingibile </w:t>
      </w:r>
      <w:proofErr w:type="spellStart"/>
      <w:r w:rsidR="00DB3733" w:rsidRPr="000D6DEE">
        <w:rPr>
          <w:rFonts w:ascii="Times New Roman" w:hAnsi="Times New Roman" w:cs="Times New Roman"/>
          <w:sz w:val="28"/>
          <w:szCs w:val="28"/>
        </w:rPr>
        <w:t>ed</w:t>
      </w:r>
      <w:proofErr w:type="spellEnd"/>
      <w:r w:rsidR="00DB3733" w:rsidRPr="000D6DEE">
        <w:rPr>
          <w:rFonts w:ascii="Times New Roman" w:hAnsi="Times New Roman" w:cs="Times New Roman"/>
          <w:sz w:val="28"/>
          <w:szCs w:val="28"/>
        </w:rPr>
        <w:t xml:space="preserve"> urgente attribuito al Sindaco quale capo del governo locale</w:t>
      </w:r>
      <w:r w:rsidR="00F31E59" w:rsidRPr="000D6DEE">
        <w:rPr>
          <w:rFonts w:ascii="Times New Roman" w:hAnsi="Times New Roman" w:cs="Times New Roman"/>
          <w:sz w:val="28"/>
          <w:szCs w:val="28"/>
        </w:rPr>
        <w:t xml:space="preserve"> a livello generale</w:t>
      </w:r>
      <w:r w:rsidR="00DB3733" w:rsidRPr="000D6DEE">
        <w:rPr>
          <w:rFonts w:ascii="Times New Roman" w:hAnsi="Times New Roman" w:cs="Times New Roman"/>
          <w:sz w:val="28"/>
          <w:szCs w:val="28"/>
        </w:rPr>
        <w:t xml:space="preserve"> è</w:t>
      </w:r>
      <w:r w:rsidR="00F31E59" w:rsidRPr="000D6DEE">
        <w:rPr>
          <w:rFonts w:ascii="Times New Roman" w:hAnsi="Times New Roman" w:cs="Times New Roman"/>
          <w:sz w:val="28"/>
          <w:szCs w:val="28"/>
        </w:rPr>
        <w:t>, come noto,</w:t>
      </w:r>
      <w:r w:rsidR="00DB3733" w:rsidRPr="000D6DEE">
        <w:rPr>
          <w:rFonts w:ascii="Times New Roman" w:hAnsi="Times New Roman" w:cs="Times New Roman"/>
          <w:sz w:val="28"/>
          <w:szCs w:val="28"/>
        </w:rPr>
        <w:t xml:space="preserve"> correlato ad emergenze sanitarie o di igiene pubblica a carattere esclusivamente local</w:t>
      </w:r>
      <w:r w:rsidR="00F31E59" w:rsidRPr="000D6DEE">
        <w:rPr>
          <w:rFonts w:ascii="Times New Roman" w:hAnsi="Times New Roman" w:cs="Times New Roman"/>
          <w:sz w:val="28"/>
          <w:szCs w:val="28"/>
        </w:rPr>
        <w:t>e,</w:t>
      </w:r>
      <w:r w:rsidR="00DB3733" w:rsidRPr="000D6DEE">
        <w:rPr>
          <w:rFonts w:ascii="Times New Roman" w:hAnsi="Times New Roman" w:cs="Times New Roman"/>
          <w:sz w:val="28"/>
          <w:szCs w:val="28"/>
        </w:rPr>
        <w:t xml:space="preserve"> ovvero, appunto </w:t>
      </w:r>
      <w:r w:rsidR="00E27CDD" w:rsidRPr="000D6DEE">
        <w:rPr>
          <w:rFonts w:ascii="Times New Roman" w:hAnsi="Times New Roman" w:cs="Times New Roman"/>
          <w:sz w:val="28"/>
          <w:szCs w:val="28"/>
        </w:rPr>
        <w:t>-</w:t>
      </w:r>
      <w:r w:rsidR="00DB3733" w:rsidRPr="000D6DEE">
        <w:rPr>
          <w:rFonts w:ascii="Times New Roman" w:hAnsi="Times New Roman" w:cs="Times New Roman"/>
          <w:sz w:val="28"/>
          <w:szCs w:val="28"/>
        </w:rPr>
        <w:t xml:space="preserve"> e questa è una delle novità della riforma</w:t>
      </w:r>
      <w:r w:rsidR="00E27CDD" w:rsidRPr="000D6DEE">
        <w:rPr>
          <w:rFonts w:ascii="Times New Roman" w:hAnsi="Times New Roman" w:cs="Times New Roman"/>
          <w:sz w:val="28"/>
          <w:szCs w:val="28"/>
        </w:rPr>
        <w:t xml:space="preserve"> </w:t>
      </w:r>
      <w:r w:rsidR="00DB3733" w:rsidRPr="000D6DEE">
        <w:rPr>
          <w:rFonts w:ascii="Times New Roman" w:hAnsi="Times New Roman" w:cs="Times New Roman"/>
          <w:sz w:val="28"/>
          <w:szCs w:val="28"/>
        </w:rPr>
        <w:t xml:space="preserve">di cui al d.l. 20 febbraio 2017, n. 14 (convertito dalla l. 18 aprile 2017, n. 48) </w:t>
      </w:r>
      <w:r w:rsidR="00E27CDD" w:rsidRPr="000D6DEE">
        <w:rPr>
          <w:rFonts w:ascii="Times New Roman" w:hAnsi="Times New Roman" w:cs="Times New Roman"/>
          <w:sz w:val="28"/>
          <w:szCs w:val="28"/>
        </w:rPr>
        <w:t>- «</w:t>
      </w:r>
      <w:r w:rsidR="00DB3733" w:rsidRPr="000D6DEE">
        <w:rPr>
          <w:rFonts w:ascii="Times New Roman" w:hAnsi="Times New Roman" w:cs="Times New Roman"/>
          <w:bCs/>
          <w:i/>
          <w:sz w:val="28"/>
          <w:szCs w:val="28"/>
        </w:rPr>
        <w:t>all'urgente necessità di interventi volti a superare situazioni di grave incuria o degrado del territorio o di pregiudizio del decoro e della vivibilità urbana, con particolare riferimento alle esigenze di tutela della tranquillità e del riposo dei residenti, anche intervenendo in materia di orari di vendita, anche per asporto, e di somministrazione di bevande alcoliche e superalcoliche</w:t>
      </w:r>
      <w:r w:rsidR="00C22F69" w:rsidRPr="000D6DEE">
        <w:rPr>
          <w:rStyle w:val="Rimandonotaapidipagina"/>
          <w:rFonts w:ascii="Times New Roman" w:hAnsi="Times New Roman" w:cs="Times New Roman"/>
          <w:bCs/>
          <w:i/>
          <w:sz w:val="28"/>
          <w:szCs w:val="28"/>
        </w:rPr>
        <w:footnoteReference w:id="41"/>
      </w:r>
      <w:r w:rsidR="00E27CDD" w:rsidRPr="000D6DEE">
        <w:rPr>
          <w:rFonts w:ascii="Times New Roman" w:hAnsi="Times New Roman" w:cs="Times New Roman"/>
          <w:bCs/>
          <w:i/>
          <w:sz w:val="28"/>
          <w:szCs w:val="28"/>
        </w:rPr>
        <w:t>»</w:t>
      </w:r>
      <w:r w:rsidR="00DB3733" w:rsidRPr="000D6DEE">
        <w:rPr>
          <w:rFonts w:ascii="Times New Roman" w:hAnsi="Times New Roman" w:cs="Times New Roman"/>
          <w:bCs/>
          <w:i/>
          <w:sz w:val="28"/>
          <w:szCs w:val="28"/>
        </w:rPr>
        <w:t xml:space="preserve">. </w:t>
      </w:r>
      <w:r w:rsidR="00DB3733" w:rsidRPr="000D6DEE">
        <w:rPr>
          <w:rFonts w:ascii="Times New Roman" w:hAnsi="Times New Roman" w:cs="Times New Roman"/>
          <w:bCs/>
          <w:sz w:val="28"/>
          <w:szCs w:val="28"/>
        </w:rPr>
        <w:t>Il</w:t>
      </w:r>
      <w:r w:rsidR="00DB3733" w:rsidRPr="000D6DEE">
        <w:rPr>
          <w:rFonts w:ascii="Times New Roman" w:hAnsi="Times New Roman" w:cs="Times New Roman"/>
          <w:b/>
          <w:bCs/>
          <w:sz w:val="28"/>
          <w:szCs w:val="28"/>
        </w:rPr>
        <w:t xml:space="preserve"> </w:t>
      </w:r>
      <w:r w:rsidR="00DB3733" w:rsidRPr="000D6DEE">
        <w:rPr>
          <w:rFonts w:ascii="Times New Roman" w:hAnsi="Times New Roman" w:cs="Times New Roman"/>
          <w:bCs/>
          <w:sz w:val="28"/>
          <w:szCs w:val="28"/>
        </w:rPr>
        <w:t>potere di ordinanza “ordinario” (già contemplato nel sistema preesistente) è invece previsto dal comma 7</w:t>
      </w:r>
      <w:r w:rsidR="00DB3733" w:rsidRPr="000D6DEE">
        <w:rPr>
          <w:rFonts w:ascii="Times New Roman" w:hAnsi="Times New Roman" w:cs="Times New Roman"/>
          <w:sz w:val="28"/>
          <w:szCs w:val="28"/>
        </w:rPr>
        <w:t xml:space="preserve"> in materia di orari degli esercizi commerciali, dei pubblici esercizi e dei servizi pubblici</w:t>
      </w:r>
      <w:r w:rsidR="00DB3733" w:rsidRPr="000D6DEE">
        <w:rPr>
          <w:rFonts w:ascii="Times New Roman" w:hAnsi="Times New Roman" w:cs="Times New Roman"/>
          <w:bCs/>
          <w:sz w:val="28"/>
          <w:szCs w:val="28"/>
        </w:rPr>
        <w:t xml:space="preserve">, ma in attuazione degli </w:t>
      </w:r>
      <w:r w:rsidR="00DB3733" w:rsidRPr="000D6DEE">
        <w:rPr>
          <w:rFonts w:ascii="Times New Roman" w:hAnsi="Times New Roman" w:cs="Times New Roman"/>
          <w:sz w:val="28"/>
          <w:szCs w:val="28"/>
        </w:rPr>
        <w:t xml:space="preserve">indirizzi espressi dal consiglio comunale e nell'ambito dei criteri eventualmente indicati dalla regione. </w:t>
      </w:r>
      <w:r w:rsidR="00E27CDD" w:rsidRPr="000D6DEE">
        <w:rPr>
          <w:rFonts w:ascii="Times New Roman" w:hAnsi="Times New Roman" w:cs="Times New Roman"/>
          <w:bCs/>
          <w:sz w:val="28"/>
          <w:szCs w:val="28"/>
        </w:rPr>
        <w:t>Al di fuori della eccezionalità, e pure della ordinarietà, si colloca quella peculiare ordinanza “temporanea” (massimo 60 giorni) con la quale, per fronteggiare comunque eventi particolari in determinate zone, si dispongono limitazioni di orario per la vendita e la somministrazione di bevande alcoliche e superalcoliche</w:t>
      </w:r>
      <w:r w:rsidR="00E27CDD" w:rsidRPr="000D6DEE">
        <w:rPr>
          <w:rStyle w:val="Rimandonotaapidipagina"/>
          <w:rFonts w:ascii="Times New Roman" w:hAnsi="Times New Roman" w:cs="Times New Roman"/>
          <w:bCs/>
          <w:sz w:val="28"/>
          <w:szCs w:val="28"/>
        </w:rPr>
        <w:footnoteReference w:id="42"/>
      </w:r>
      <w:r w:rsidR="00E27CDD" w:rsidRPr="000D6DEE">
        <w:rPr>
          <w:rFonts w:ascii="Times New Roman" w:hAnsi="Times New Roman" w:cs="Times New Roman"/>
          <w:bCs/>
          <w:sz w:val="28"/>
          <w:szCs w:val="28"/>
        </w:rPr>
        <w:t xml:space="preserve">. Trattasi dell’ipotesi ora prevista dal </w:t>
      </w:r>
      <w:r w:rsidR="00DB3733" w:rsidRPr="000D6DEE">
        <w:rPr>
          <w:rFonts w:ascii="Times New Roman" w:hAnsi="Times New Roman" w:cs="Times New Roman"/>
          <w:sz w:val="28"/>
          <w:szCs w:val="28"/>
        </w:rPr>
        <w:t>comma 7-</w:t>
      </w:r>
      <w:r w:rsidR="00DB3733" w:rsidRPr="000D6DEE">
        <w:rPr>
          <w:rFonts w:ascii="Times New Roman" w:hAnsi="Times New Roman" w:cs="Times New Roman"/>
          <w:i/>
          <w:sz w:val="28"/>
          <w:szCs w:val="28"/>
        </w:rPr>
        <w:t>bis</w:t>
      </w:r>
      <w:r w:rsidR="00E27CDD" w:rsidRPr="000D6DEE">
        <w:rPr>
          <w:rFonts w:ascii="Times New Roman" w:hAnsi="Times New Roman" w:cs="Times New Roman"/>
          <w:i/>
          <w:sz w:val="28"/>
          <w:szCs w:val="28"/>
        </w:rPr>
        <w:t xml:space="preserve">, </w:t>
      </w:r>
      <w:r w:rsidR="00E27CDD" w:rsidRPr="000D6DEE">
        <w:rPr>
          <w:rFonts w:ascii="Times New Roman" w:hAnsi="Times New Roman" w:cs="Times New Roman"/>
          <w:sz w:val="28"/>
          <w:szCs w:val="28"/>
        </w:rPr>
        <w:t>pure inserito con il d.l. n. 14 del 2017</w:t>
      </w:r>
      <w:r w:rsidR="00DB3733" w:rsidRPr="000D6DEE">
        <w:rPr>
          <w:rFonts w:ascii="Times New Roman" w:hAnsi="Times New Roman" w:cs="Times New Roman"/>
          <w:sz w:val="28"/>
          <w:szCs w:val="28"/>
        </w:rPr>
        <w:t xml:space="preserve">) quello ulteriore, sempre riferito all’orario di vendita e somministrazione di alcolici e superalcolici, nonché di vendita </w:t>
      </w:r>
      <w:r w:rsidR="00C22F69" w:rsidRPr="000D6DEE">
        <w:rPr>
          <w:rFonts w:ascii="Times New Roman" w:hAnsi="Times New Roman" w:cs="Times New Roman"/>
          <w:bCs/>
          <w:iCs/>
          <w:color w:val="19191A"/>
          <w:sz w:val="28"/>
          <w:szCs w:val="28"/>
          <w:shd w:val="clear" w:color="auto" w:fill="FFFFFF"/>
        </w:rPr>
        <w:t xml:space="preserve">degli esercizi del settore alimentare o misto, e delle attività artigianali di produzione e vendita di prodotti di gastronomia pronti per il consumo immediato e di erogazione di alimenti e bevande attraverso distributori automatici, </w:t>
      </w:r>
      <w:r w:rsidR="00E27CDD" w:rsidRPr="000D6DEE">
        <w:rPr>
          <w:rFonts w:ascii="Times New Roman" w:hAnsi="Times New Roman" w:cs="Times New Roman"/>
          <w:bCs/>
          <w:iCs/>
          <w:color w:val="19191A"/>
          <w:sz w:val="28"/>
          <w:szCs w:val="28"/>
          <w:shd w:val="clear" w:color="auto" w:fill="FFFFFF"/>
        </w:rPr>
        <w:t xml:space="preserve">egualmente </w:t>
      </w:r>
      <w:r w:rsidR="00C22F69" w:rsidRPr="000D6DEE">
        <w:rPr>
          <w:rFonts w:ascii="Times New Roman" w:hAnsi="Times New Roman" w:cs="Times New Roman"/>
          <w:bCs/>
          <w:iCs/>
          <w:color w:val="19191A"/>
          <w:sz w:val="28"/>
          <w:szCs w:val="28"/>
          <w:shd w:val="clear" w:color="auto" w:fill="FFFFFF"/>
        </w:rPr>
        <w:t xml:space="preserve"> correlato</w:t>
      </w:r>
      <w:r w:rsidR="00C22F69" w:rsidRPr="000D6DEE">
        <w:rPr>
          <w:rFonts w:ascii="Times New Roman" w:hAnsi="Times New Roman" w:cs="Times New Roman"/>
          <w:b/>
          <w:bCs/>
          <w:i/>
          <w:iCs/>
          <w:color w:val="19191A"/>
          <w:sz w:val="28"/>
          <w:szCs w:val="28"/>
          <w:shd w:val="clear" w:color="auto" w:fill="FFFFFF"/>
        </w:rPr>
        <w:t xml:space="preserve"> </w:t>
      </w:r>
      <w:r w:rsidR="00DB3733" w:rsidRPr="000D6DEE">
        <w:rPr>
          <w:rFonts w:ascii="Times New Roman" w:hAnsi="Times New Roman" w:cs="Times New Roman"/>
          <w:sz w:val="28"/>
          <w:szCs w:val="28"/>
        </w:rPr>
        <w:t xml:space="preserve">ad </w:t>
      </w:r>
      <w:r w:rsidR="00DB3733" w:rsidRPr="000D6DEE">
        <w:rPr>
          <w:rFonts w:ascii="Times New Roman" w:hAnsi="Times New Roman" w:cs="Times New Roman"/>
          <w:bCs/>
          <w:sz w:val="28"/>
          <w:szCs w:val="28"/>
        </w:rPr>
        <w:t xml:space="preserve">esigenze di tutela della tranquillità e del riposo dei residenti </w:t>
      </w:r>
      <w:r w:rsidR="00C22F69" w:rsidRPr="000D6DEE">
        <w:rPr>
          <w:rFonts w:ascii="Times New Roman" w:hAnsi="Times New Roman" w:cs="Times New Roman"/>
          <w:bCs/>
          <w:sz w:val="28"/>
          <w:szCs w:val="28"/>
        </w:rPr>
        <w:t xml:space="preserve">ma limitatamente a </w:t>
      </w:r>
      <w:r w:rsidR="00DB3733" w:rsidRPr="000D6DEE">
        <w:rPr>
          <w:rFonts w:ascii="Times New Roman" w:hAnsi="Times New Roman" w:cs="Times New Roman"/>
          <w:bCs/>
          <w:sz w:val="28"/>
          <w:szCs w:val="28"/>
        </w:rPr>
        <w:t xml:space="preserve">determinate aree delle città </w:t>
      </w:r>
      <w:r w:rsidR="00DB3733" w:rsidRPr="000D6DEE">
        <w:rPr>
          <w:rFonts w:ascii="Times New Roman" w:hAnsi="Times New Roman" w:cs="Times New Roman"/>
          <w:bCs/>
          <w:sz w:val="28"/>
          <w:szCs w:val="28"/>
        </w:rPr>
        <w:lastRenderedPageBreak/>
        <w:t>interessate da afflusso di persone di particolare rilevanza, anche in relazione allo svolgimento di specifici eventi, purché per una durata massima di 60 giorni</w:t>
      </w:r>
      <w:r w:rsidR="00DB3733" w:rsidRPr="000D6DEE">
        <w:rPr>
          <w:rStyle w:val="Rimandonotaapidipagina"/>
          <w:rFonts w:ascii="Times New Roman" w:hAnsi="Times New Roman" w:cs="Times New Roman"/>
          <w:bCs/>
          <w:sz w:val="28"/>
          <w:szCs w:val="28"/>
        </w:rPr>
        <w:footnoteReference w:id="43"/>
      </w:r>
      <w:r w:rsidR="00DB3733" w:rsidRPr="000D6DEE">
        <w:rPr>
          <w:rFonts w:ascii="Times New Roman" w:hAnsi="Times New Roman" w:cs="Times New Roman"/>
          <w:bCs/>
          <w:sz w:val="28"/>
          <w:szCs w:val="28"/>
        </w:rPr>
        <w:t>.</w:t>
      </w:r>
      <w:r w:rsidR="00C22F69" w:rsidRPr="000D6DEE">
        <w:rPr>
          <w:rFonts w:ascii="Times New Roman" w:hAnsi="Times New Roman" w:cs="Times New Roman"/>
          <w:bCs/>
          <w:sz w:val="28"/>
          <w:szCs w:val="28"/>
        </w:rPr>
        <w:t xml:space="preserve"> La dizione “evento” lascia presumere una durata certo non protraentesi nel tempo per 60 giorni. Salvo a volerle attribuire un’accezione così ampia da confondersi con l’intensificarsi, ad esempio, dei flussi di frequenza in particolari stagioni (si pensi ai mesi estivi nei comuni balneari). Ma è evidente che così facendo si viene a delineare un potere di intervento del Sindaco derogatorio della competenza del Consiglio comunale del quale andrebbe valutata la coerenza con le disposizioni in materia di liberalizzazione, anche degli orari. Si pensi a quanto previsto al riguardo dall’art</w:t>
      </w:r>
      <w:r w:rsidR="00C22F69" w:rsidRPr="000D6DEE">
        <w:rPr>
          <w:rFonts w:ascii="Times New Roman" w:hAnsi="Times New Roman" w:cs="Times New Roman"/>
          <w:sz w:val="28"/>
          <w:szCs w:val="28"/>
        </w:rPr>
        <w:t xml:space="preserve">. 35, comma 6, del d.l. 6 luglio 2011, n.98, convertito con modificazioni dalla l. 15 luglio 2011, n.111 e dall’art. 31, comma 1 del d.l. 6 dicembre 2011, n.201, convertito, con modificazioni dalla l. 22 dicembre 2011 n.214, che riconoscono come principio generale dell’ordinamento la libertà di apertura di nuovi esercizi commerciali sul territorio senza contingenti limiti territoriali o altri vincoli di qualsiasi genere, compresi gli orari di apertura e chiusura dell’esercizio, esclusi quelli connessi alla tutela della salute, dei lavoratori, dell’ambiente, ivi compreso quello urbano, e dei beni culturali, con conseguente caducazione di tutti i provvedimenti amministrativi, anche di natura generale e regolamentare che ponevano limiti agli orari stessi </w:t>
      </w:r>
      <w:r w:rsidR="00C22F69" w:rsidRPr="000D6DEE">
        <w:rPr>
          <w:rStyle w:val="Rimandonotaapidipagina"/>
          <w:rFonts w:ascii="Times New Roman" w:hAnsi="Times New Roman" w:cs="Times New Roman"/>
          <w:sz w:val="28"/>
          <w:szCs w:val="28"/>
        </w:rPr>
        <w:footnoteReference w:id="44"/>
      </w:r>
      <w:r w:rsidR="00C22F69" w:rsidRPr="000D6DEE">
        <w:rPr>
          <w:rFonts w:ascii="Times New Roman" w:hAnsi="Times New Roman" w:cs="Times New Roman"/>
          <w:sz w:val="28"/>
          <w:szCs w:val="28"/>
        </w:rPr>
        <w:t>.</w:t>
      </w:r>
    </w:p>
    <w:p w:rsidR="00DB3733" w:rsidRPr="000D6DEE" w:rsidRDefault="00DB3733" w:rsidP="00290F6F">
      <w:pPr>
        <w:autoSpaceDE w:val="0"/>
        <w:autoSpaceDN w:val="0"/>
        <w:adjustRightInd w:val="0"/>
        <w:spacing w:after="0" w:line="360" w:lineRule="auto"/>
        <w:jc w:val="both"/>
        <w:rPr>
          <w:rFonts w:ascii="Times New Roman" w:hAnsi="Times New Roman" w:cs="Times New Roman"/>
          <w:bCs/>
          <w:sz w:val="28"/>
          <w:szCs w:val="28"/>
        </w:rPr>
      </w:pPr>
      <w:r w:rsidRPr="000D6DEE">
        <w:rPr>
          <w:rFonts w:ascii="Times New Roman" w:hAnsi="Times New Roman" w:cs="Times New Roman"/>
          <w:bCs/>
          <w:sz w:val="28"/>
          <w:szCs w:val="28"/>
        </w:rPr>
        <w:t>Alla luce di tutte le considerazioni svolte, non è chi non veda come la criticità maggiore sia data dalla genericità di alcune finalizzazioni dell</w:t>
      </w:r>
      <w:r w:rsidR="00E27CDD" w:rsidRPr="000D6DEE">
        <w:rPr>
          <w:rFonts w:ascii="Times New Roman" w:hAnsi="Times New Roman" w:cs="Times New Roman"/>
          <w:bCs/>
          <w:sz w:val="28"/>
          <w:szCs w:val="28"/>
        </w:rPr>
        <w:t>e due distinte norme</w:t>
      </w:r>
      <w:r w:rsidRPr="000D6DEE">
        <w:rPr>
          <w:rFonts w:ascii="Times New Roman" w:hAnsi="Times New Roman" w:cs="Times New Roman"/>
          <w:bCs/>
          <w:sz w:val="28"/>
          <w:szCs w:val="28"/>
        </w:rPr>
        <w:t>: la tutela della “vivibilità cittadina”, infatti, è concetto dai confini estremamente vaghi ed elastici che poco pare rispondere ai canoni di pregressa tassatività fissati dalla sentenza n.115 del 2011 della Corte Costituzionale. Tanto più che, essendosi al di fuori della sicurezza urbana quale modo di atteggiarsi della sicurezza pubblica, non è di aiuto la nozione definita e definibile della stessa.</w:t>
      </w:r>
    </w:p>
    <w:p w:rsidR="00B2061F" w:rsidRPr="000D6DEE" w:rsidRDefault="00DB3733" w:rsidP="00290F6F">
      <w:pPr>
        <w:autoSpaceDE w:val="0"/>
        <w:autoSpaceDN w:val="0"/>
        <w:adjustRightInd w:val="0"/>
        <w:spacing w:after="0" w:line="360" w:lineRule="auto"/>
        <w:jc w:val="both"/>
        <w:rPr>
          <w:rFonts w:ascii="Times New Roman" w:hAnsi="Times New Roman" w:cs="Times New Roman"/>
          <w:sz w:val="28"/>
          <w:szCs w:val="28"/>
        </w:rPr>
      </w:pPr>
      <w:r w:rsidRPr="000D6DEE">
        <w:rPr>
          <w:rFonts w:ascii="Times New Roman" w:hAnsi="Times New Roman" w:cs="Times New Roman"/>
          <w:bCs/>
          <w:sz w:val="28"/>
          <w:szCs w:val="28"/>
        </w:rPr>
        <w:lastRenderedPageBreak/>
        <w:t xml:space="preserve">Solo per completezza, infatti, si ricordano alcuni passaggi salienti della ricordata pronuncia, </w:t>
      </w:r>
      <w:r w:rsidRPr="000D6DEE">
        <w:rPr>
          <w:rFonts w:ascii="Times New Roman" w:hAnsi="Times New Roman" w:cs="Times New Roman"/>
          <w:sz w:val="28"/>
          <w:szCs w:val="28"/>
        </w:rPr>
        <w:t xml:space="preserve">laddove afferma che </w:t>
      </w:r>
      <w:r w:rsidR="00E27CDD" w:rsidRPr="000D6DEE">
        <w:rPr>
          <w:rFonts w:ascii="Times New Roman" w:hAnsi="Times New Roman" w:cs="Times New Roman"/>
          <w:sz w:val="28"/>
          <w:szCs w:val="28"/>
        </w:rPr>
        <w:t>«</w:t>
      </w:r>
      <w:r w:rsidRPr="000D6DEE">
        <w:rPr>
          <w:rFonts w:ascii="Times New Roman" w:hAnsi="Times New Roman" w:cs="Times New Roman"/>
          <w:i/>
          <w:sz w:val="28"/>
          <w:szCs w:val="28"/>
        </w:rPr>
        <w:t>L’assenza di una valida base legislativa, riscontrabile nel potere conferito ai sindaci …così come incide negativamente sulla garanzia di imparzialità della pubblica amministrazione, a fortiori lede il principio di eguaglianza dei cittadini davanti alla legge, giacch</w:t>
      </w:r>
      <w:r w:rsidR="00E27CDD" w:rsidRPr="000D6DEE">
        <w:rPr>
          <w:rFonts w:ascii="Times New Roman" w:hAnsi="Times New Roman" w:cs="Times New Roman"/>
          <w:i/>
          <w:sz w:val="28"/>
          <w:szCs w:val="28"/>
        </w:rPr>
        <w:t>é</w:t>
      </w:r>
      <w:r w:rsidRPr="000D6DEE">
        <w:rPr>
          <w:rFonts w:ascii="Times New Roman" w:hAnsi="Times New Roman" w:cs="Times New Roman"/>
          <w:i/>
          <w:sz w:val="28"/>
          <w:szCs w:val="28"/>
        </w:rPr>
        <w:t xml:space="preserve"> gli stessi comportamenti potrebbero essere ritenuti leciti o illeciti, a seconda delle frazioni del territorio nazionale rappresentate dagli ambiti di competenza dei sindaci. Non si tratta, in tali casi, di adattamenti o modulazioni di precetti legislativi generali in vista di concrete situazioni locai, ma di vere e proprie disparità di trattamento tra cittadini, incidenti sulla loro sfera di generale di libertà, che possono consistere in fattispecie nuove, inedite, liberamente configurabili dai sindaci, senza base legislativa, come la prassi sonora realizzatasi ha ampiamente dimostrato”. </w:t>
      </w:r>
      <w:r w:rsidRPr="000D6DEE">
        <w:rPr>
          <w:rFonts w:ascii="Times New Roman" w:hAnsi="Times New Roman" w:cs="Times New Roman"/>
          <w:sz w:val="28"/>
          <w:szCs w:val="28"/>
        </w:rPr>
        <w:t>A</w:t>
      </w:r>
      <w:r w:rsidR="00E27CDD" w:rsidRPr="000D6DEE">
        <w:rPr>
          <w:rFonts w:ascii="Times New Roman" w:hAnsi="Times New Roman" w:cs="Times New Roman"/>
          <w:sz w:val="28"/>
          <w:szCs w:val="28"/>
        </w:rPr>
        <w:t>d</w:t>
      </w:r>
      <w:r w:rsidRPr="000D6DEE">
        <w:rPr>
          <w:rFonts w:ascii="Times New Roman" w:hAnsi="Times New Roman" w:cs="Times New Roman"/>
          <w:sz w:val="28"/>
          <w:szCs w:val="28"/>
        </w:rPr>
        <w:t xml:space="preserve"> </w:t>
      </w:r>
      <w:proofErr w:type="spellStart"/>
      <w:r w:rsidRPr="000D6DEE">
        <w:rPr>
          <w:rFonts w:ascii="Times New Roman" w:hAnsi="Times New Roman" w:cs="Times New Roman"/>
          <w:sz w:val="28"/>
          <w:szCs w:val="28"/>
        </w:rPr>
        <w:t>onor</w:t>
      </w:r>
      <w:proofErr w:type="spellEnd"/>
      <w:r w:rsidRPr="000D6DEE">
        <w:rPr>
          <w:rFonts w:ascii="Times New Roman" w:hAnsi="Times New Roman" w:cs="Times New Roman"/>
          <w:sz w:val="28"/>
          <w:szCs w:val="28"/>
        </w:rPr>
        <w:t xml:space="preserve"> del vero la critica della Corte si appunta prioritariamente sul fatto che la fonte di regolazione dei concetti base fosse in un decreto ministeriale: </w:t>
      </w:r>
      <w:r w:rsidR="00E27CDD" w:rsidRPr="000D6DEE">
        <w:rPr>
          <w:rFonts w:ascii="Times New Roman" w:hAnsi="Times New Roman" w:cs="Times New Roman"/>
          <w:sz w:val="28"/>
          <w:szCs w:val="28"/>
        </w:rPr>
        <w:t>«</w:t>
      </w:r>
      <w:r w:rsidRPr="000D6DEE">
        <w:rPr>
          <w:rFonts w:ascii="Times New Roman" w:hAnsi="Times New Roman" w:cs="Times New Roman"/>
          <w:i/>
          <w:sz w:val="28"/>
          <w:szCs w:val="28"/>
        </w:rPr>
        <w:t>Solo se le limitazioni e gli indirizzi contenuti nel citato decreto ministeriale fossero stati inclusi in un atto di valore legislativo, questa Corte avrebbe potuto valutare la loro idoneità a circoscrivere la discrezionalità amministrativa dei sindaci. Nel caso di specie, al contrario, le determinazioni definitorie, gli indirizzi e i campi di intervento non potrebbero essere ritenuti limiti validi alla suddetta discrezionalità, senza incorrere in un vizio logico di autoreferenzialità</w:t>
      </w:r>
      <w:r w:rsidR="00E27CDD" w:rsidRPr="000D6DEE">
        <w:rPr>
          <w:rFonts w:ascii="Times New Roman" w:hAnsi="Times New Roman" w:cs="Times New Roman"/>
          <w:i/>
          <w:sz w:val="28"/>
          <w:szCs w:val="28"/>
        </w:rPr>
        <w:t>»</w:t>
      </w:r>
      <w:r w:rsidRPr="000D6DEE">
        <w:rPr>
          <w:rFonts w:ascii="Times New Roman" w:hAnsi="Times New Roman" w:cs="Times New Roman"/>
          <w:sz w:val="28"/>
          <w:szCs w:val="28"/>
        </w:rPr>
        <w:t>.</w:t>
      </w:r>
      <w:r w:rsidR="00E27CDD" w:rsidRPr="000D6DEE">
        <w:rPr>
          <w:rFonts w:ascii="Times New Roman" w:hAnsi="Times New Roman" w:cs="Times New Roman"/>
          <w:sz w:val="28"/>
          <w:szCs w:val="28"/>
        </w:rPr>
        <w:t xml:space="preserve"> </w:t>
      </w:r>
      <w:r w:rsidR="00B2061F" w:rsidRPr="000D6DEE">
        <w:rPr>
          <w:rFonts w:ascii="Times New Roman" w:hAnsi="Times New Roman" w:cs="Times New Roman"/>
          <w:sz w:val="28"/>
          <w:szCs w:val="28"/>
        </w:rPr>
        <w:t xml:space="preserve">D’altro canto, anche l’art. 54 prende in considerazione sia le esigenze di tutela della quiete sia la possibilità di attuarle per il tramite della riduzione degli orari delle attività produttive in genere. Nel corpo della norma si fa più propriamente riferimento ad esigenze di tutela dall’inquinamento acustico, demandando all’interprete l’ardua distinzione tra fenomeni che determino suddetto inquinamento e altri, forse più lievi, che cagionino soltanto disturbo della quiete. Quanto potrebbe sovvenire desumendolo più dal gergo comune che da quello giuridico (l’inquinamento parrebbe far riferimento ad un fenomeno quantitativamente più intenso e di certo non estemporaneo), è contraddetto dal diritto positivo. L’art. 2 della l. 26 ottobre 1995, n.447, legge quadro sull’inquinamento acustico, appunto, lo </w:t>
      </w:r>
      <w:r w:rsidR="00B2061F" w:rsidRPr="000D6DEE">
        <w:rPr>
          <w:rFonts w:ascii="Times New Roman" w:hAnsi="Times New Roman" w:cs="Times New Roman"/>
          <w:sz w:val="28"/>
          <w:szCs w:val="28"/>
        </w:rPr>
        <w:lastRenderedPageBreak/>
        <w:t xml:space="preserve">definisce come </w:t>
      </w:r>
      <w:r w:rsidR="00E27CDD" w:rsidRPr="000D6DEE">
        <w:rPr>
          <w:rFonts w:ascii="Times New Roman" w:hAnsi="Times New Roman" w:cs="Times New Roman"/>
          <w:sz w:val="28"/>
          <w:szCs w:val="28"/>
        </w:rPr>
        <w:t>«</w:t>
      </w:r>
      <w:r w:rsidR="00B2061F" w:rsidRPr="000D6DEE">
        <w:rPr>
          <w:rFonts w:ascii="Times New Roman" w:hAnsi="Times New Roman" w:cs="Times New Roman"/>
          <w:i/>
          <w:sz w:val="28"/>
          <w:szCs w:val="28"/>
        </w:rPr>
        <w:t>l'introduzione di rumore nell'ambiente abitativo o nell'ambiente esterno tale da provocare fastidio o disturbo al riposo ed alle attività umane, pericolo per la salute umana, deterioramento degli ecosistemi, dei beni materiali, dei monumenti, dell'ambiente abitativo o dell'ambiente esterno o tale da interferire con le legittime fruizioni degli ambienti stessi</w:t>
      </w:r>
      <w:r w:rsidR="00E27CDD" w:rsidRPr="000D6DEE">
        <w:rPr>
          <w:rFonts w:ascii="Times New Roman" w:hAnsi="Times New Roman" w:cs="Times New Roman"/>
          <w:i/>
          <w:sz w:val="28"/>
          <w:szCs w:val="28"/>
        </w:rPr>
        <w:t>»</w:t>
      </w:r>
      <w:r w:rsidR="00B2061F" w:rsidRPr="000D6DEE">
        <w:rPr>
          <w:rFonts w:ascii="Times New Roman" w:hAnsi="Times New Roman" w:cs="Times New Roman"/>
          <w:sz w:val="28"/>
          <w:szCs w:val="28"/>
        </w:rPr>
        <w:t xml:space="preserve">. E laddove il rimedio venga individuato nel ricorso temporaneo a speciali forme di contenimento o di abbattimento delle emissioni sonore, l’ordinanza da adottare sarà riconducibile all’art. 9 di suddetta l. 447, che fa rientrare espressamente nello stesso anche </w:t>
      </w:r>
      <w:r w:rsidR="00E27CDD" w:rsidRPr="000D6DEE">
        <w:rPr>
          <w:rFonts w:ascii="Times New Roman" w:hAnsi="Times New Roman" w:cs="Times New Roman"/>
          <w:sz w:val="28"/>
          <w:szCs w:val="28"/>
        </w:rPr>
        <w:t>«</w:t>
      </w:r>
      <w:r w:rsidR="00B2061F" w:rsidRPr="000D6DEE">
        <w:rPr>
          <w:rFonts w:ascii="Times New Roman" w:hAnsi="Times New Roman" w:cs="Times New Roman"/>
          <w:i/>
          <w:sz w:val="28"/>
          <w:szCs w:val="28"/>
        </w:rPr>
        <w:t>l'inibitoria parziale o totale di determinate attività</w:t>
      </w:r>
      <w:r w:rsidR="00E27CDD" w:rsidRPr="000D6DEE">
        <w:rPr>
          <w:rFonts w:ascii="Times New Roman" w:hAnsi="Times New Roman" w:cs="Times New Roman"/>
          <w:sz w:val="28"/>
          <w:szCs w:val="28"/>
        </w:rPr>
        <w:t>»</w:t>
      </w:r>
      <w:r w:rsidR="00B2061F" w:rsidRPr="000D6DEE">
        <w:rPr>
          <w:rFonts w:ascii="Times New Roman" w:hAnsi="Times New Roman" w:cs="Times New Roman"/>
          <w:sz w:val="28"/>
          <w:szCs w:val="28"/>
        </w:rPr>
        <w:t>, purché alla base vi siano eccezionali ed urgenti necessità di tutela della salute pubblica o dell'ambiente</w:t>
      </w:r>
      <w:r w:rsidR="00B2061F" w:rsidRPr="000D6DEE">
        <w:rPr>
          <w:rStyle w:val="Rimandonotaapidipagina"/>
          <w:rFonts w:ascii="Times New Roman" w:hAnsi="Times New Roman" w:cs="Times New Roman"/>
          <w:sz w:val="28"/>
          <w:szCs w:val="28"/>
        </w:rPr>
        <w:footnoteReference w:id="45"/>
      </w:r>
      <w:r w:rsidR="00B2061F" w:rsidRPr="000D6DEE">
        <w:rPr>
          <w:rFonts w:ascii="Times New Roman" w:hAnsi="Times New Roman" w:cs="Times New Roman"/>
          <w:sz w:val="28"/>
          <w:szCs w:val="28"/>
        </w:rPr>
        <w:t>.</w:t>
      </w:r>
    </w:p>
    <w:p w:rsidR="00B2061F" w:rsidRPr="000D6DEE" w:rsidRDefault="00B2061F" w:rsidP="00290F6F">
      <w:pPr>
        <w:autoSpaceDE w:val="0"/>
        <w:autoSpaceDN w:val="0"/>
        <w:adjustRightInd w:val="0"/>
        <w:spacing w:after="0" w:line="360" w:lineRule="auto"/>
        <w:jc w:val="both"/>
        <w:rPr>
          <w:rFonts w:ascii="Times New Roman" w:hAnsi="Times New Roman" w:cs="Times New Roman"/>
          <w:i/>
          <w:sz w:val="28"/>
          <w:szCs w:val="28"/>
        </w:rPr>
      </w:pPr>
      <w:r w:rsidRPr="000D6DEE">
        <w:rPr>
          <w:rFonts w:ascii="Times New Roman" w:hAnsi="Times New Roman" w:cs="Times New Roman"/>
          <w:sz w:val="28"/>
          <w:szCs w:val="28"/>
        </w:rPr>
        <w:t xml:space="preserve">Solo per completezza, può rilevarsi come anche l’art. 54 menzioni espressamente, quale ipotetico contenuto del provvedimento, la limitazione degli orari e ne parli in un ambito a sé stante e quasi distinto rispetto alla formulazione generale della norma, che basa i provvedimenti su esigenze di tutela della incolumità pubblica e della sicurezza urbana. Solo che, dopo aver </w:t>
      </w:r>
      <w:r w:rsidR="00B16542" w:rsidRPr="000D6DEE">
        <w:rPr>
          <w:rFonts w:ascii="Times New Roman" w:hAnsi="Times New Roman" w:cs="Times New Roman"/>
          <w:sz w:val="28"/>
          <w:szCs w:val="28"/>
        </w:rPr>
        <w:t xml:space="preserve">richiamato </w:t>
      </w:r>
      <w:r w:rsidRPr="000D6DEE">
        <w:rPr>
          <w:rFonts w:ascii="Times New Roman" w:hAnsi="Times New Roman" w:cs="Times New Roman"/>
          <w:sz w:val="28"/>
          <w:szCs w:val="28"/>
        </w:rPr>
        <w:t xml:space="preserve">esigenze di traffico e tutela dall’inquinamento, riproduce nuovamente anche quelle di sicurezza urbana. Assai più correttamente, anche in termini di </w:t>
      </w:r>
      <w:proofErr w:type="spellStart"/>
      <w:r w:rsidRPr="000D6DEE">
        <w:rPr>
          <w:rFonts w:ascii="Times New Roman" w:hAnsi="Times New Roman" w:cs="Times New Roman"/>
          <w:i/>
          <w:sz w:val="28"/>
          <w:szCs w:val="28"/>
        </w:rPr>
        <w:t>drafting</w:t>
      </w:r>
      <w:proofErr w:type="spellEnd"/>
      <w:r w:rsidRPr="000D6DEE">
        <w:rPr>
          <w:rFonts w:ascii="Times New Roman" w:hAnsi="Times New Roman" w:cs="Times New Roman"/>
          <w:sz w:val="28"/>
          <w:szCs w:val="28"/>
        </w:rPr>
        <w:t xml:space="preserve">, si sarebbe potuto semplicemente dire che tra i provvedimenti correlati alle esigenze di sicurezza urbana, cui comunque vanno ricondotte esemplificativamente quelle di traffico e tutela dall’inquinamento atmosferico e acustico, </w:t>
      </w:r>
      <w:r w:rsidR="00B16542" w:rsidRPr="000D6DEE">
        <w:rPr>
          <w:rFonts w:ascii="Times New Roman" w:hAnsi="Times New Roman" w:cs="Times New Roman"/>
          <w:sz w:val="28"/>
          <w:szCs w:val="28"/>
        </w:rPr>
        <w:t>possono essere annoverati anche quelli di limitazione de</w:t>
      </w:r>
      <w:r w:rsidRPr="000D6DEE">
        <w:rPr>
          <w:rFonts w:ascii="Times New Roman" w:hAnsi="Times New Roman" w:cs="Times New Roman"/>
          <w:sz w:val="28"/>
          <w:szCs w:val="28"/>
        </w:rPr>
        <w:t xml:space="preserve">gli orari delle attività produttive. In tal modo gli artt. 50 e 54 sarebbero risultati coordinati almeno nella stesura </w:t>
      </w:r>
      <w:r w:rsidRPr="000D6DEE">
        <w:rPr>
          <w:rFonts w:ascii="Times New Roman" w:hAnsi="Times New Roman" w:cs="Times New Roman"/>
          <w:i/>
          <w:sz w:val="28"/>
          <w:szCs w:val="28"/>
        </w:rPr>
        <w:t>in parte qua.</w:t>
      </w:r>
    </w:p>
    <w:p w:rsidR="00B16542" w:rsidRPr="000D6DEE" w:rsidRDefault="00E27CDD" w:rsidP="00290F6F">
      <w:pPr>
        <w:autoSpaceDE w:val="0"/>
        <w:autoSpaceDN w:val="0"/>
        <w:adjustRightInd w:val="0"/>
        <w:spacing w:after="0" w:line="360" w:lineRule="auto"/>
        <w:jc w:val="both"/>
        <w:rPr>
          <w:rFonts w:ascii="Times New Roman" w:hAnsi="Times New Roman" w:cs="Times New Roman"/>
          <w:sz w:val="28"/>
          <w:szCs w:val="28"/>
        </w:rPr>
      </w:pPr>
      <w:r w:rsidRPr="000D6DEE">
        <w:rPr>
          <w:rFonts w:ascii="Times New Roman" w:hAnsi="Times New Roman" w:cs="Times New Roman"/>
          <w:sz w:val="28"/>
          <w:szCs w:val="28"/>
        </w:rPr>
        <w:t>In sintesi, n</w:t>
      </w:r>
      <w:r w:rsidR="00B2061F" w:rsidRPr="000D6DEE">
        <w:rPr>
          <w:rFonts w:ascii="Times New Roman" w:hAnsi="Times New Roman" w:cs="Times New Roman"/>
          <w:sz w:val="28"/>
          <w:szCs w:val="28"/>
        </w:rPr>
        <w:t xml:space="preserve">on è chi non veda come la disciplina degli orari, limitandosi agli interventi eccezionali, possa essere incisa per esigenze di tutela della quiete dei residenti, </w:t>
      </w:r>
      <w:r w:rsidR="00B2061F" w:rsidRPr="000D6DEE">
        <w:rPr>
          <w:rFonts w:ascii="Times New Roman" w:hAnsi="Times New Roman" w:cs="Times New Roman"/>
          <w:i/>
          <w:sz w:val="28"/>
          <w:szCs w:val="28"/>
        </w:rPr>
        <w:t>sub specie</w:t>
      </w:r>
      <w:r w:rsidR="00B2061F" w:rsidRPr="000D6DEE">
        <w:rPr>
          <w:rFonts w:ascii="Times New Roman" w:hAnsi="Times New Roman" w:cs="Times New Roman"/>
          <w:sz w:val="28"/>
          <w:szCs w:val="28"/>
        </w:rPr>
        <w:t xml:space="preserve"> di tutela della vivibilità cittadina (art. 50) ovvero di tutela dall’inquinamento acustico o della sicurezza urbana (diversa, evidentemente, dalla vivibilità cittadina – di </w:t>
      </w:r>
      <w:r w:rsidR="00B2061F" w:rsidRPr="000D6DEE">
        <w:rPr>
          <w:rFonts w:ascii="Times New Roman" w:hAnsi="Times New Roman" w:cs="Times New Roman"/>
          <w:sz w:val="28"/>
          <w:szCs w:val="28"/>
        </w:rPr>
        <w:lastRenderedPageBreak/>
        <w:t>cui all’art. 54).  In entrambi i casi si dovrà però avere bene a mente, in sede di adozione del provvedimento, che la regolamentazione “fisiologica” degli orari spetta al Consiglio comunale e al Sindaco in attuazione delle direttive del primo e che, al di fuori di tale cornice, non è l’espressa menzione del possibile contenuto del provvedimento a salvaguardane la legittimità</w:t>
      </w:r>
      <w:r w:rsidR="00B2061F" w:rsidRPr="000D6DEE">
        <w:rPr>
          <w:rStyle w:val="Rimandonotaapidipagina"/>
          <w:rFonts w:ascii="Times New Roman" w:hAnsi="Times New Roman" w:cs="Times New Roman"/>
          <w:sz w:val="28"/>
          <w:szCs w:val="28"/>
        </w:rPr>
        <w:footnoteReference w:id="46"/>
      </w:r>
      <w:r w:rsidR="00B2061F" w:rsidRPr="000D6DEE">
        <w:rPr>
          <w:rFonts w:ascii="Times New Roman" w:hAnsi="Times New Roman" w:cs="Times New Roman"/>
          <w:sz w:val="28"/>
          <w:szCs w:val="28"/>
        </w:rPr>
        <w:t>.</w:t>
      </w:r>
    </w:p>
    <w:p w:rsidR="00B16542" w:rsidRPr="000D6DEE" w:rsidRDefault="005F4E02" w:rsidP="00AE1B69">
      <w:pPr>
        <w:autoSpaceDE w:val="0"/>
        <w:autoSpaceDN w:val="0"/>
        <w:adjustRightInd w:val="0"/>
        <w:spacing w:after="0" w:line="360" w:lineRule="auto"/>
        <w:jc w:val="both"/>
        <w:rPr>
          <w:rFonts w:ascii="Times New Roman" w:hAnsi="Times New Roman" w:cs="Times New Roman"/>
          <w:b/>
          <w:sz w:val="28"/>
          <w:szCs w:val="28"/>
        </w:rPr>
      </w:pPr>
      <w:r w:rsidRPr="000D6DEE">
        <w:rPr>
          <w:rFonts w:ascii="Times New Roman" w:hAnsi="Times New Roman" w:cs="Times New Roman"/>
          <w:b/>
          <w:sz w:val="28"/>
          <w:szCs w:val="28"/>
        </w:rPr>
        <w:t xml:space="preserve">9. </w:t>
      </w:r>
      <w:r w:rsidR="00B16542" w:rsidRPr="000D6DEE">
        <w:rPr>
          <w:rFonts w:ascii="Times New Roman" w:hAnsi="Times New Roman" w:cs="Times New Roman"/>
          <w:b/>
          <w:sz w:val="28"/>
          <w:szCs w:val="28"/>
        </w:rPr>
        <w:t>La responsabilità civile dei Comuni secondo le ultime frontiere della giurisprudenza della Cassazione</w:t>
      </w:r>
    </w:p>
    <w:p w:rsidR="00A9047B" w:rsidRPr="000D6DEE" w:rsidRDefault="00B16542" w:rsidP="00A9047B">
      <w:pPr>
        <w:autoSpaceDE w:val="0"/>
        <w:autoSpaceDN w:val="0"/>
        <w:adjustRightInd w:val="0"/>
        <w:spacing w:after="0" w:line="360" w:lineRule="auto"/>
        <w:jc w:val="both"/>
        <w:rPr>
          <w:rFonts w:ascii="Times New Roman" w:hAnsi="Times New Roman" w:cs="Times New Roman"/>
          <w:b/>
          <w:sz w:val="28"/>
          <w:szCs w:val="28"/>
        </w:rPr>
      </w:pPr>
      <w:r w:rsidRPr="000D6DEE">
        <w:rPr>
          <w:rFonts w:ascii="Times New Roman" w:hAnsi="Times New Roman" w:cs="Times New Roman"/>
          <w:sz w:val="28"/>
          <w:szCs w:val="28"/>
        </w:rPr>
        <w:t xml:space="preserve">Fanno infine discutere e suscitano non poca preoccupazione tra gli addetti ai lavori, recenti arresti della giurisprudenza di legittimità </w:t>
      </w:r>
      <w:r w:rsidR="00A9047B" w:rsidRPr="000D6DEE">
        <w:rPr>
          <w:rFonts w:ascii="Times New Roman" w:hAnsi="Times New Roman" w:cs="Times New Roman"/>
          <w:sz w:val="28"/>
          <w:szCs w:val="28"/>
        </w:rPr>
        <w:t xml:space="preserve">che hanno riconosciuto la responsabilità civile delle amministrazioni per il danno, per lo più alla salute, riveniente ai residenti in zone caratterizzate dalla presenza di attività di trattenimento o spettacolo eccessivamente rumorose. Con una prima, significativa pronuncia, la Cassazione ha fatto leva sull’art. 844 c.c., concernente le c.d. immissioni moleste, per affermare ridetta responsabilità, qualificandola come extracontrattuale in quanto riconducibile alla violazione del principio di </w:t>
      </w:r>
      <w:proofErr w:type="spellStart"/>
      <w:r w:rsidR="00A9047B" w:rsidRPr="000D6DEE">
        <w:rPr>
          <w:rFonts w:ascii="Times New Roman" w:hAnsi="Times New Roman" w:cs="Times New Roman"/>
          <w:i/>
          <w:sz w:val="28"/>
          <w:szCs w:val="28"/>
        </w:rPr>
        <w:t>neminem</w:t>
      </w:r>
      <w:proofErr w:type="spellEnd"/>
      <w:r w:rsidR="00A9047B" w:rsidRPr="000D6DEE">
        <w:rPr>
          <w:rFonts w:ascii="Times New Roman" w:hAnsi="Times New Roman" w:cs="Times New Roman"/>
          <w:i/>
          <w:sz w:val="28"/>
          <w:szCs w:val="28"/>
        </w:rPr>
        <w:t xml:space="preserve"> </w:t>
      </w:r>
      <w:proofErr w:type="spellStart"/>
      <w:r w:rsidR="00A9047B" w:rsidRPr="000D6DEE">
        <w:rPr>
          <w:rFonts w:ascii="Times New Roman" w:hAnsi="Times New Roman" w:cs="Times New Roman"/>
          <w:i/>
          <w:sz w:val="28"/>
          <w:szCs w:val="28"/>
        </w:rPr>
        <w:t>laedere</w:t>
      </w:r>
      <w:proofErr w:type="spellEnd"/>
      <w:r w:rsidR="00A9047B" w:rsidRPr="000D6DEE">
        <w:rPr>
          <w:rFonts w:ascii="Times New Roman" w:hAnsi="Times New Roman" w:cs="Times New Roman"/>
          <w:sz w:val="28"/>
          <w:szCs w:val="28"/>
        </w:rPr>
        <w:t>, cui è ovviamente tenuta anche l’amministrazione pubblica. Le immissioni intollerabili provenienti da area pubblica, infatti, in quanto ledono il diritto alla salute, costituzionalmente garantito dall’art. 32 e incomprimibile nel suo nucleo essenziale, il diritto alla vita familiare, di cui all’art. 8 della CEDU e il diritto di proprietà, nella sua pienezza finché non affievolito, impongono alla p.a. di osservare regole tecniche e canoni di diligenza e prudenza nella gestione dei propri beni. Il Comune quindi «</w:t>
      </w:r>
      <w:r w:rsidR="00A9047B" w:rsidRPr="000D6DEE">
        <w:rPr>
          <w:rFonts w:ascii="Times New Roman" w:hAnsi="Times New Roman" w:cs="Times New Roman"/>
          <w:i/>
          <w:sz w:val="28"/>
          <w:szCs w:val="28"/>
        </w:rPr>
        <w:t xml:space="preserve">è responsabile dei danni conseguenti alla lesione dei diritti soggettivi dei privati, cagionata da immissioni provenienti da aree pubbliche, potendo conseguentemente essere condannata al risarcimento del danno, così come al “facere” necessario a ricondurre le dette immissioni al di sotto della soglia della normale tollerabilità, dal momento che tali domande non investono – di </w:t>
      </w:r>
      <w:r w:rsidR="00A9047B" w:rsidRPr="000D6DEE">
        <w:rPr>
          <w:rFonts w:ascii="Times New Roman" w:hAnsi="Times New Roman" w:cs="Times New Roman"/>
          <w:i/>
          <w:sz w:val="28"/>
          <w:szCs w:val="28"/>
        </w:rPr>
        <w:lastRenderedPageBreak/>
        <w:t>per sé – atti autoritativi e discrezionali, bensì un’attività materiale soggetta al richiamato principio del “</w:t>
      </w:r>
      <w:proofErr w:type="spellStart"/>
      <w:r w:rsidR="00A9047B" w:rsidRPr="000D6DEE">
        <w:rPr>
          <w:rFonts w:ascii="Times New Roman" w:hAnsi="Times New Roman" w:cs="Times New Roman"/>
          <w:i/>
          <w:sz w:val="28"/>
          <w:szCs w:val="28"/>
        </w:rPr>
        <w:t>neminem</w:t>
      </w:r>
      <w:proofErr w:type="spellEnd"/>
      <w:r w:rsidR="00A9047B" w:rsidRPr="000D6DEE">
        <w:rPr>
          <w:rFonts w:ascii="Times New Roman" w:hAnsi="Times New Roman" w:cs="Times New Roman"/>
          <w:i/>
          <w:sz w:val="28"/>
          <w:szCs w:val="28"/>
        </w:rPr>
        <w:t xml:space="preserve"> </w:t>
      </w:r>
      <w:proofErr w:type="spellStart"/>
      <w:r w:rsidR="00A9047B" w:rsidRPr="000D6DEE">
        <w:rPr>
          <w:rFonts w:ascii="Times New Roman" w:hAnsi="Times New Roman" w:cs="Times New Roman"/>
          <w:i/>
          <w:sz w:val="28"/>
          <w:szCs w:val="28"/>
        </w:rPr>
        <w:t>laedere</w:t>
      </w:r>
      <w:proofErr w:type="spellEnd"/>
      <w:r w:rsidR="00A9047B" w:rsidRPr="000D6DEE">
        <w:rPr>
          <w:rFonts w:ascii="Times New Roman" w:hAnsi="Times New Roman" w:cs="Times New Roman"/>
          <w:i/>
          <w:sz w:val="28"/>
          <w:szCs w:val="28"/>
        </w:rPr>
        <w:t>”</w:t>
      </w:r>
      <w:r w:rsidR="00A9047B" w:rsidRPr="000D6DEE">
        <w:rPr>
          <w:rFonts w:ascii="Times New Roman" w:hAnsi="Times New Roman" w:cs="Times New Roman"/>
          <w:sz w:val="28"/>
          <w:szCs w:val="28"/>
        </w:rPr>
        <w:t xml:space="preserve">» </w:t>
      </w:r>
      <w:r w:rsidR="00A9047B" w:rsidRPr="000D6DEE">
        <w:rPr>
          <w:rFonts w:ascii="Times New Roman" w:hAnsi="Times New Roman" w:cs="Times New Roman"/>
          <w:b/>
          <w:sz w:val="28"/>
          <w:szCs w:val="28"/>
        </w:rPr>
        <w:t>(</w:t>
      </w:r>
      <w:proofErr w:type="spellStart"/>
      <w:r w:rsidR="00A9047B" w:rsidRPr="000D6DEE">
        <w:rPr>
          <w:rFonts w:ascii="Times New Roman" w:hAnsi="Times New Roman" w:cs="Times New Roman"/>
          <w:b/>
          <w:sz w:val="28"/>
          <w:szCs w:val="28"/>
        </w:rPr>
        <w:t>Cass</w:t>
      </w:r>
      <w:proofErr w:type="spellEnd"/>
      <w:r w:rsidR="00A9047B" w:rsidRPr="000D6DEE">
        <w:rPr>
          <w:rFonts w:ascii="Times New Roman" w:hAnsi="Times New Roman" w:cs="Times New Roman"/>
          <w:b/>
          <w:sz w:val="28"/>
          <w:szCs w:val="28"/>
        </w:rPr>
        <w:t>., n. 14209 del 23 maggio 2023).</w:t>
      </w:r>
    </w:p>
    <w:p w:rsidR="0026179C" w:rsidRPr="000D6DEE" w:rsidRDefault="0040469C" w:rsidP="00290F6F">
      <w:pPr>
        <w:autoSpaceDE w:val="0"/>
        <w:autoSpaceDN w:val="0"/>
        <w:adjustRightInd w:val="0"/>
        <w:spacing w:after="0" w:line="360" w:lineRule="auto"/>
        <w:jc w:val="both"/>
        <w:rPr>
          <w:rFonts w:ascii="Times New Roman" w:hAnsi="Times New Roman" w:cs="Times New Roman"/>
          <w:sz w:val="28"/>
          <w:szCs w:val="28"/>
        </w:rPr>
      </w:pPr>
      <w:r w:rsidRPr="000D6DEE">
        <w:rPr>
          <w:rFonts w:ascii="Times New Roman" w:hAnsi="Times New Roman" w:cs="Times New Roman"/>
          <w:sz w:val="28"/>
          <w:szCs w:val="28"/>
        </w:rPr>
        <w:t xml:space="preserve">La ricostruzione parifica l’area pubblica e segnatamente la strada al «fondo del vicino», </w:t>
      </w:r>
      <w:proofErr w:type="spellStart"/>
      <w:r w:rsidRPr="000D6DEE">
        <w:rPr>
          <w:rFonts w:ascii="Times New Roman" w:hAnsi="Times New Roman" w:cs="Times New Roman"/>
          <w:sz w:val="28"/>
          <w:szCs w:val="28"/>
        </w:rPr>
        <w:t>dequotando</w:t>
      </w:r>
      <w:proofErr w:type="spellEnd"/>
      <w:r w:rsidRPr="000D6DEE">
        <w:rPr>
          <w:rFonts w:ascii="Times New Roman" w:hAnsi="Times New Roman" w:cs="Times New Roman"/>
          <w:sz w:val="28"/>
          <w:szCs w:val="28"/>
        </w:rPr>
        <w:t xml:space="preserve"> le potestà pubbliche inerenti il governo e la tutela del proprio territorio a corretto esercizio del diritto di proprietà, così da affermare la giurisdizione del giudice ordinario, anziché quella del giudice amministrativo, se del caso per porre rimedio all’inerzia dell’amministrazione in relazione agli atti di propria competenza, ove ritenuti doverosi.  Da lì a poco, partendo dal medesimo assunto, i giudici di legittimità hanno riconosciuto la responsabilità del Comune per il danno alla salute dei residenti finanche quando è lo stesso ad avere organizzato gli eventi. </w:t>
      </w:r>
      <w:r w:rsidR="00B16542" w:rsidRPr="000D6DEE">
        <w:rPr>
          <w:rFonts w:ascii="Times New Roman" w:hAnsi="Times New Roman" w:cs="Times New Roman"/>
          <w:sz w:val="28"/>
          <w:szCs w:val="28"/>
        </w:rPr>
        <w:t xml:space="preserve">Con ordinanza </w:t>
      </w:r>
      <w:r w:rsidR="008D4B7F" w:rsidRPr="000D6DEE">
        <w:rPr>
          <w:rFonts w:ascii="Times New Roman" w:hAnsi="Times New Roman" w:cs="Times New Roman"/>
          <w:sz w:val="28"/>
          <w:szCs w:val="28"/>
        </w:rPr>
        <w:t>n. 18676 del 9 luglio 2024 la</w:t>
      </w:r>
      <w:r w:rsidR="00B16542" w:rsidRPr="000D6DEE">
        <w:rPr>
          <w:rFonts w:ascii="Times New Roman" w:hAnsi="Times New Roman" w:cs="Times New Roman"/>
          <w:sz w:val="28"/>
          <w:szCs w:val="28"/>
        </w:rPr>
        <w:t xml:space="preserve"> Sez.</w:t>
      </w:r>
      <w:r w:rsidR="00077DA1" w:rsidRPr="000D6DEE">
        <w:rPr>
          <w:rFonts w:ascii="Times New Roman" w:hAnsi="Times New Roman" w:cs="Times New Roman"/>
          <w:sz w:val="28"/>
          <w:szCs w:val="28"/>
        </w:rPr>
        <w:t xml:space="preserve"> </w:t>
      </w:r>
      <w:r w:rsidR="00B16542" w:rsidRPr="000D6DEE">
        <w:rPr>
          <w:rFonts w:ascii="Times New Roman" w:hAnsi="Times New Roman" w:cs="Times New Roman"/>
          <w:sz w:val="28"/>
          <w:szCs w:val="28"/>
        </w:rPr>
        <w:t xml:space="preserve">III civile </w:t>
      </w:r>
      <w:r w:rsidR="008D4B7F" w:rsidRPr="000D6DEE">
        <w:rPr>
          <w:rFonts w:ascii="Times New Roman" w:hAnsi="Times New Roman" w:cs="Times New Roman"/>
          <w:sz w:val="28"/>
          <w:szCs w:val="28"/>
        </w:rPr>
        <w:t>della</w:t>
      </w:r>
      <w:r w:rsidR="00B16542" w:rsidRPr="000D6DEE">
        <w:rPr>
          <w:rFonts w:ascii="Times New Roman" w:hAnsi="Times New Roman" w:cs="Times New Roman"/>
          <w:sz w:val="28"/>
          <w:szCs w:val="28"/>
        </w:rPr>
        <w:t xml:space="preserve"> Cassazione</w:t>
      </w:r>
      <w:r w:rsidR="008D4B7F" w:rsidRPr="000D6DEE">
        <w:rPr>
          <w:rFonts w:ascii="Times New Roman" w:hAnsi="Times New Roman" w:cs="Times New Roman"/>
          <w:sz w:val="28"/>
          <w:szCs w:val="28"/>
        </w:rPr>
        <w:t xml:space="preserve">, </w:t>
      </w:r>
      <w:r w:rsidRPr="000D6DEE">
        <w:rPr>
          <w:rFonts w:ascii="Times New Roman" w:hAnsi="Times New Roman" w:cs="Times New Roman"/>
          <w:sz w:val="28"/>
          <w:szCs w:val="28"/>
        </w:rPr>
        <w:t xml:space="preserve">dunque, </w:t>
      </w:r>
      <w:r w:rsidR="008D4B7F" w:rsidRPr="000D6DEE">
        <w:rPr>
          <w:rFonts w:ascii="Times New Roman" w:hAnsi="Times New Roman" w:cs="Times New Roman"/>
          <w:sz w:val="28"/>
          <w:szCs w:val="28"/>
        </w:rPr>
        <w:t xml:space="preserve">dopo avere </w:t>
      </w:r>
      <w:r w:rsidR="00B16542" w:rsidRPr="000D6DEE">
        <w:rPr>
          <w:rFonts w:ascii="Times New Roman" w:hAnsi="Times New Roman" w:cs="Times New Roman"/>
          <w:sz w:val="28"/>
          <w:szCs w:val="28"/>
        </w:rPr>
        <w:t>affermato che il concetto di tollerabilità delle immissioni sonore va determinato «</w:t>
      </w:r>
      <w:r w:rsidR="00B16542" w:rsidRPr="000D6DEE">
        <w:rPr>
          <w:rFonts w:ascii="Times New Roman" w:hAnsi="Times New Roman" w:cs="Times New Roman"/>
          <w:i/>
          <w:sz w:val="28"/>
          <w:szCs w:val="28"/>
        </w:rPr>
        <w:t>tenendo conto dei luoghi, degli orari, delle caratteristiche della zona e delle abitudini degli abitanti</w:t>
      </w:r>
      <w:r w:rsidR="00B16542" w:rsidRPr="000D6DEE">
        <w:rPr>
          <w:rFonts w:ascii="Times New Roman" w:hAnsi="Times New Roman" w:cs="Times New Roman"/>
          <w:sz w:val="28"/>
          <w:szCs w:val="28"/>
        </w:rPr>
        <w:t>», a prescindere quindi dal rispetto del d.m. del 1997 sulla materia e finanche della regolamentazione comunale adottata</w:t>
      </w:r>
      <w:r w:rsidR="00FB60DD" w:rsidRPr="000D6DEE">
        <w:rPr>
          <w:rStyle w:val="Rimandonotaapidipagina"/>
          <w:rFonts w:ascii="Times New Roman" w:hAnsi="Times New Roman" w:cs="Times New Roman"/>
          <w:sz w:val="28"/>
          <w:szCs w:val="28"/>
        </w:rPr>
        <w:footnoteReference w:id="47"/>
      </w:r>
      <w:r w:rsidR="008D4B7F" w:rsidRPr="000D6DEE">
        <w:rPr>
          <w:rFonts w:ascii="Times New Roman" w:hAnsi="Times New Roman" w:cs="Times New Roman"/>
          <w:sz w:val="28"/>
          <w:szCs w:val="28"/>
        </w:rPr>
        <w:t xml:space="preserve">, ha </w:t>
      </w:r>
      <w:r w:rsidRPr="000D6DEE">
        <w:rPr>
          <w:rFonts w:ascii="Times New Roman" w:hAnsi="Times New Roman" w:cs="Times New Roman"/>
          <w:sz w:val="28"/>
          <w:szCs w:val="28"/>
        </w:rPr>
        <w:t xml:space="preserve">condannato il </w:t>
      </w:r>
      <w:r w:rsidR="008D4B7F" w:rsidRPr="000D6DEE">
        <w:rPr>
          <w:rFonts w:ascii="Times New Roman" w:hAnsi="Times New Roman" w:cs="Times New Roman"/>
          <w:sz w:val="28"/>
          <w:szCs w:val="28"/>
        </w:rPr>
        <w:t xml:space="preserve">Comune di Albissola </w:t>
      </w:r>
      <w:r w:rsidRPr="000D6DEE">
        <w:rPr>
          <w:rFonts w:ascii="Times New Roman" w:hAnsi="Times New Roman" w:cs="Times New Roman"/>
          <w:sz w:val="28"/>
          <w:szCs w:val="28"/>
        </w:rPr>
        <w:t xml:space="preserve">a risarcire i ricorrenti del danno causato loro dalla eccessiva rumorosità di una serie di iniziative culturali allestite sulla pubblica piazza. </w:t>
      </w:r>
      <w:r w:rsidR="008D4B7F" w:rsidRPr="000D6DEE">
        <w:rPr>
          <w:rFonts w:ascii="Times New Roman" w:hAnsi="Times New Roman" w:cs="Times New Roman"/>
          <w:sz w:val="28"/>
          <w:szCs w:val="28"/>
        </w:rPr>
        <w:t>L</w:t>
      </w:r>
      <w:r w:rsidR="00FB60DD" w:rsidRPr="000D6DEE">
        <w:rPr>
          <w:rFonts w:ascii="Times New Roman" w:hAnsi="Times New Roman" w:cs="Times New Roman"/>
          <w:sz w:val="28"/>
          <w:szCs w:val="28"/>
        </w:rPr>
        <w:t xml:space="preserve">’interesse pubblico perseguito </w:t>
      </w:r>
      <w:r w:rsidR="008D4B7F" w:rsidRPr="000D6DEE">
        <w:rPr>
          <w:rFonts w:ascii="Times New Roman" w:hAnsi="Times New Roman" w:cs="Times New Roman"/>
          <w:sz w:val="28"/>
          <w:szCs w:val="28"/>
        </w:rPr>
        <w:t xml:space="preserve">organizzando </w:t>
      </w:r>
      <w:r w:rsidR="0026179C" w:rsidRPr="000D6DEE">
        <w:rPr>
          <w:rFonts w:ascii="Times New Roman" w:hAnsi="Times New Roman" w:cs="Times New Roman"/>
          <w:sz w:val="28"/>
          <w:szCs w:val="28"/>
        </w:rPr>
        <w:t xml:space="preserve">le manifestazioni, infatti, non è stato reputato comparabile con il </w:t>
      </w:r>
      <w:r w:rsidR="00FB60DD" w:rsidRPr="000D6DEE">
        <w:rPr>
          <w:rFonts w:ascii="Times New Roman" w:hAnsi="Times New Roman" w:cs="Times New Roman"/>
          <w:sz w:val="28"/>
          <w:szCs w:val="28"/>
        </w:rPr>
        <w:t xml:space="preserve">sacrificio </w:t>
      </w:r>
      <w:r w:rsidR="0026179C" w:rsidRPr="000D6DEE">
        <w:rPr>
          <w:rFonts w:ascii="Times New Roman" w:hAnsi="Times New Roman" w:cs="Times New Roman"/>
          <w:sz w:val="28"/>
          <w:szCs w:val="28"/>
        </w:rPr>
        <w:t xml:space="preserve">imposto al </w:t>
      </w:r>
      <w:r w:rsidR="00FB60DD" w:rsidRPr="000D6DEE">
        <w:rPr>
          <w:rFonts w:ascii="Times New Roman" w:hAnsi="Times New Roman" w:cs="Times New Roman"/>
          <w:sz w:val="28"/>
          <w:szCs w:val="28"/>
        </w:rPr>
        <w:t xml:space="preserve">privato oltre la normale tollerabilità. </w:t>
      </w:r>
    </w:p>
    <w:p w:rsidR="0010172F" w:rsidRPr="000D6DEE" w:rsidRDefault="005F4E02" w:rsidP="00290F6F">
      <w:pPr>
        <w:autoSpaceDE w:val="0"/>
        <w:autoSpaceDN w:val="0"/>
        <w:adjustRightInd w:val="0"/>
        <w:spacing w:after="0" w:line="360" w:lineRule="auto"/>
        <w:jc w:val="both"/>
        <w:rPr>
          <w:rFonts w:ascii="Times New Roman" w:hAnsi="Times New Roman" w:cs="Times New Roman"/>
          <w:b/>
          <w:sz w:val="28"/>
          <w:szCs w:val="28"/>
        </w:rPr>
      </w:pPr>
      <w:r w:rsidRPr="000D6DEE">
        <w:rPr>
          <w:rFonts w:ascii="Times New Roman" w:hAnsi="Times New Roman" w:cs="Times New Roman"/>
          <w:b/>
          <w:sz w:val="28"/>
          <w:szCs w:val="28"/>
        </w:rPr>
        <w:t xml:space="preserve">10. </w:t>
      </w:r>
      <w:r w:rsidR="0010172F" w:rsidRPr="000D6DEE">
        <w:rPr>
          <w:rFonts w:ascii="Times New Roman" w:hAnsi="Times New Roman" w:cs="Times New Roman"/>
          <w:b/>
          <w:sz w:val="28"/>
          <w:szCs w:val="28"/>
        </w:rPr>
        <w:t>Conclusioni</w:t>
      </w:r>
      <w:r w:rsidR="0026179C" w:rsidRPr="000D6DEE">
        <w:rPr>
          <w:rFonts w:ascii="Times New Roman" w:hAnsi="Times New Roman" w:cs="Times New Roman"/>
          <w:b/>
          <w:sz w:val="28"/>
          <w:szCs w:val="28"/>
        </w:rPr>
        <w:t xml:space="preserve"> </w:t>
      </w:r>
    </w:p>
    <w:p w:rsidR="007764EF" w:rsidRPr="00C53D07" w:rsidRDefault="00607073" w:rsidP="007764EF">
      <w:pPr>
        <w:spacing w:line="360" w:lineRule="auto"/>
        <w:jc w:val="both"/>
        <w:rPr>
          <w:rFonts w:ascii="Times New Roman" w:hAnsi="Times New Roman" w:cs="Times New Roman"/>
          <w:b/>
          <w:sz w:val="28"/>
          <w:szCs w:val="28"/>
        </w:rPr>
      </w:pPr>
      <w:r w:rsidRPr="000D6DEE">
        <w:rPr>
          <w:rFonts w:ascii="Times New Roman" w:hAnsi="Times New Roman" w:cs="Times New Roman"/>
          <w:sz w:val="28"/>
          <w:szCs w:val="28"/>
        </w:rPr>
        <w:t xml:space="preserve">La </w:t>
      </w:r>
      <w:r w:rsidR="009526D2" w:rsidRPr="000D6DEE">
        <w:rPr>
          <w:rFonts w:ascii="Times New Roman" w:hAnsi="Times New Roman" w:cs="Times New Roman"/>
          <w:sz w:val="28"/>
          <w:szCs w:val="28"/>
        </w:rPr>
        <w:t xml:space="preserve">complessità del tema delle autorizzazioni di polizia è intrinseca nella stessa opzione del loro mantenimento, senza che tuttavia sia stato creato un sistema di coordinamento tra i principi generali che afferiscono alle stesse e le legislazioni speciali, anche regionali, che connotano la maggior parte delle relative attività. Esigenze di sintesi hanno indotto a concentrare le considerazioni svolte a quegli aspetti che hanno un risvolto sul piano sanzionatorio, </w:t>
      </w:r>
      <w:proofErr w:type="spellStart"/>
      <w:r w:rsidR="009526D2" w:rsidRPr="000D6DEE">
        <w:rPr>
          <w:rFonts w:ascii="Times New Roman" w:hAnsi="Times New Roman" w:cs="Times New Roman"/>
          <w:sz w:val="28"/>
          <w:szCs w:val="28"/>
        </w:rPr>
        <w:t>atecnicamente</w:t>
      </w:r>
      <w:proofErr w:type="spellEnd"/>
      <w:r w:rsidR="009526D2" w:rsidRPr="000D6DEE">
        <w:rPr>
          <w:rFonts w:ascii="Times New Roman" w:hAnsi="Times New Roman" w:cs="Times New Roman"/>
          <w:sz w:val="28"/>
          <w:szCs w:val="28"/>
        </w:rPr>
        <w:t xml:space="preserve"> inteso, così da evidenziare un nucleo comune alla relativa disciplina, caratterizzato dalla tutela della sicurezza pubblica nella </w:t>
      </w:r>
      <w:r w:rsidR="009526D2" w:rsidRPr="000D6DEE">
        <w:rPr>
          <w:rFonts w:ascii="Times New Roman" w:hAnsi="Times New Roman" w:cs="Times New Roman"/>
          <w:sz w:val="28"/>
          <w:szCs w:val="28"/>
        </w:rPr>
        <w:lastRenderedPageBreak/>
        <w:t xml:space="preserve">sua accezione comprensiva anche della sicurezza urbana, quale miglioramento della vivibilità cittadina. </w:t>
      </w:r>
      <w:r w:rsidR="007764EF" w:rsidRPr="000D6DEE">
        <w:rPr>
          <w:rFonts w:ascii="Times New Roman" w:hAnsi="Times New Roman" w:cs="Times New Roman"/>
          <w:sz w:val="28"/>
          <w:szCs w:val="28"/>
        </w:rPr>
        <w:t xml:space="preserve">Volendo ampliare le considerazioni svolte al principio di personalità dell’autorizzazione di polizia, sancito dall’art. 8 del </w:t>
      </w:r>
      <w:proofErr w:type="spellStart"/>
      <w:r w:rsidR="007764EF" w:rsidRPr="000D6DEE">
        <w:rPr>
          <w:rFonts w:ascii="Times New Roman" w:hAnsi="Times New Roman" w:cs="Times New Roman"/>
          <w:sz w:val="28"/>
          <w:szCs w:val="28"/>
        </w:rPr>
        <w:t>T.u.l.p.s</w:t>
      </w:r>
      <w:proofErr w:type="spellEnd"/>
      <w:r w:rsidR="007764EF" w:rsidRPr="000D6DEE">
        <w:rPr>
          <w:rFonts w:ascii="Times New Roman" w:hAnsi="Times New Roman" w:cs="Times New Roman"/>
          <w:sz w:val="28"/>
          <w:szCs w:val="28"/>
        </w:rPr>
        <w:t>., emerge in egual misura la sua connotazione intrinseca nel senso del rafforzamento della natura fiduciaria del rapporto con la p.a. La norma infatti evidenzia l’esigenza di</w:t>
      </w:r>
      <w:r w:rsidR="007764EF" w:rsidRPr="000D6DEE">
        <w:rPr>
          <w:rFonts w:ascii="Times New Roman" w:hAnsi="Times New Roman" w:cs="Times New Roman"/>
          <w:color w:val="000000"/>
          <w:sz w:val="28"/>
          <w:szCs w:val="28"/>
          <w:shd w:val="clear" w:color="auto" w:fill="FFFFFF"/>
        </w:rPr>
        <w:t xml:space="preserve"> realizzare un controllo efficace nei confronti del soggetto autorizzato, sul presupposto che lo stesso assuma in prima persona la responsabilità della piena conformità dell'attività esercitata rispetto all'atto di assenso rilasciato dall'autorità di pubblica sicurezza.</w:t>
      </w:r>
      <w:r w:rsidR="007764EF" w:rsidRPr="000D6DEE">
        <w:rPr>
          <w:rFonts w:ascii="Times New Roman" w:hAnsi="Times New Roman" w:cs="Times New Roman"/>
          <w:sz w:val="28"/>
          <w:szCs w:val="28"/>
        </w:rPr>
        <w:t xml:space="preserve"> Da qui, a monte, la circostanza che </w:t>
      </w:r>
      <w:r w:rsidR="007764EF" w:rsidRPr="000D6DEE">
        <w:rPr>
          <w:rFonts w:ascii="Times New Roman" w:hAnsi="Times New Roman" w:cs="Times New Roman"/>
          <w:color w:val="000000"/>
          <w:sz w:val="28"/>
          <w:szCs w:val="28"/>
          <w:shd w:val="clear" w:color="auto" w:fill="FFFFFF"/>
        </w:rPr>
        <w:t xml:space="preserve">gli accertamenti sulle capacità tecniche e sui requisiti morali previsti dalla normativa di pubblica sicurezza non devono limitarsi alla persona del solo richiedente il rilascio dell’autorizzazione ma andranno estesi anche al soggetto indicato nell’istanza come suo rappresentante; a valle, il </w:t>
      </w:r>
      <w:r w:rsidR="00466418" w:rsidRPr="000D6DEE">
        <w:rPr>
          <w:rFonts w:ascii="Times New Roman" w:hAnsi="Times New Roman" w:cs="Times New Roman"/>
          <w:color w:val="000000"/>
          <w:sz w:val="28"/>
          <w:szCs w:val="28"/>
          <w:shd w:val="clear" w:color="auto" w:fill="FFFFFF"/>
        </w:rPr>
        <w:t xml:space="preserve">fatto che il </w:t>
      </w:r>
      <w:r w:rsidR="007764EF" w:rsidRPr="000D6DEE">
        <w:rPr>
          <w:rFonts w:ascii="Times New Roman" w:hAnsi="Times New Roman" w:cs="Times New Roman"/>
          <w:color w:val="000000"/>
          <w:sz w:val="28"/>
          <w:szCs w:val="28"/>
          <w:shd w:val="clear" w:color="auto" w:fill="FFFFFF"/>
        </w:rPr>
        <w:t xml:space="preserve">venir meno degli stessi può integrare la carenza di quelle condizioni che ai sensi dell’art. 11 del </w:t>
      </w:r>
      <w:proofErr w:type="spellStart"/>
      <w:r w:rsidR="007764EF" w:rsidRPr="000D6DEE">
        <w:rPr>
          <w:rFonts w:ascii="Times New Roman" w:hAnsi="Times New Roman" w:cs="Times New Roman"/>
          <w:color w:val="000000"/>
          <w:sz w:val="28"/>
          <w:szCs w:val="28"/>
          <w:shd w:val="clear" w:color="auto" w:fill="FFFFFF"/>
        </w:rPr>
        <w:t>T.u.l.p.s</w:t>
      </w:r>
      <w:proofErr w:type="spellEnd"/>
      <w:r w:rsidR="007764EF" w:rsidRPr="000D6DEE">
        <w:rPr>
          <w:rFonts w:ascii="Times New Roman" w:hAnsi="Times New Roman" w:cs="Times New Roman"/>
          <w:color w:val="000000"/>
          <w:sz w:val="28"/>
          <w:szCs w:val="28"/>
          <w:shd w:val="clear" w:color="auto" w:fill="FFFFFF"/>
        </w:rPr>
        <w:t xml:space="preserve">. impone la revoca del titolo, ovvero la nozione di abuso che </w:t>
      </w:r>
      <w:r w:rsidR="00466418" w:rsidRPr="000D6DEE">
        <w:rPr>
          <w:rFonts w:ascii="Times New Roman" w:hAnsi="Times New Roman" w:cs="Times New Roman"/>
          <w:color w:val="000000"/>
          <w:sz w:val="28"/>
          <w:szCs w:val="28"/>
          <w:shd w:val="clear" w:color="auto" w:fill="FFFFFF"/>
        </w:rPr>
        <w:t xml:space="preserve">ne </w:t>
      </w:r>
      <w:r w:rsidR="007764EF" w:rsidRPr="000D6DEE">
        <w:rPr>
          <w:rFonts w:ascii="Times New Roman" w:hAnsi="Times New Roman" w:cs="Times New Roman"/>
          <w:color w:val="000000"/>
          <w:sz w:val="28"/>
          <w:szCs w:val="28"/>
          <w:shd w:val="clear" w:color="auto" w:fill="FFFFFF"/>
        </w:rPr>
        <w:t>consente la sospensione o, egualmente, la revoca</w:t>
      </w:r>
      <w:r w:rsidR="007764EF" w:rsidRPr="000D6DEE">
        <w:rPr>
          <w:rStyle w:val="Rimandonotaapidipagina"/>
          <w:rFonts w:ascii="Times New Roman" w:hAnsi="Times New Roman" w:cs="Times New Roman"/>
          <w:color w:val="000000"/>
          <w:sz w:val="28"/>
          <w:szCs w:val="28"/>
          <w:shd w:val="clear" w:color="auto" w:fill="FFFFFF"/>
        </w:rPr>
        <w:footnoteReference w:id="48"/>
      </w:r>
      <w:r w:rsidR="007764EF" w:rsidRPr="000D6DEE">
        <w:rPr>
          <w:rFonts w:ascii="Times New Roman" w:hAnsi="Times New Roman" w:cs="Times New Roman"/>
          <w:color w:val="000000"/>
          <w:sz w:val="28"/>
          <w:szCs w:val="28"/>
          <w:shd w:val="clear" w:color="auto" w:fill="FFFFFF"/>
        </w:rPr>
        <w:t xml:space="preserve">. Malgrado, dunque, la risalenza dei principi </w:t>
      </w:r>
      <w:r w:rsidR="007764EF" w:rsidRPr="000D6DEE">
        <w:rPr>
          <w:rFonts w:ascii="Times New Roman" w:hAnsi="Times New Roman" w:cs="Times New Roman"/>
          <w:i/>
          <w:color w:val="000000"/>
          <w:sz w:val="28"/>
          <w:szCs w:val="28"/>
          <w:shd w:val="clear" w:color="auto" w:fill="FFFFFF"/>
        </w:rPr>
        <w:t>de quibus</w:t>
      </w:r>
      <w:r w:rsidR="007764EF" w:rsidRPr="000D6DEE">
        <w:rPr>
          <w:rFonts w:ascii="Times New Roman" w:hAnsi="Times New Roman" w:cs="Times New Roman"/>
          <w:color w:val="000000"/>
          <w:sz w:val="28"/>
          <w:szCs w:val="28"/>
          <w:shd w:val="clear" w:color="auto" w:fill="FFFFFF"/>
        </w:rPr>
        <w:t xml:space="preserve"> addirittura al 1931, una loro lettura evolutiva e costituzionalmente orientata ne consente l’attualizzazione, </w:t>
      </w:r>
      <w:r w:rsidR="007B6B82" w:rsidRPr="000D6DEE">
        <w:rPr>
          <w:rFonts w:ascii="Times New Roman" w:hAnsi="Times New Roman" w:cs="Times New Roman"/>
          <w:color w:val="000000"/>
          <w:sz w:val="28"/>
          <w:szCs w:val="28"/>
          <w:shd w:val="clear" w:color="auto" w:fill="FFFFFF"/>
        </w:rPr>
        <w:t xml:space="preserve">sicché l’affidabilità che si richiede al </w:t>
      </w:r>
      <w:r w:rsidR="00466418" w:rsidRPr="000D6DEE">
        <w:rPr>
          <w:rFonts w:ascii="Times New Roman" w:hAnsi="Times New Roman" w:cs="Times New Roman"/>
          <w:color w:val="000000"/>
          <w:sz w:val="28"/>
          <w:szCs w:val="28"/>
          <w:shd w:val="clear" w:color="auto" w:fill="FFFFFF"/>
        </w:rPr>
        <w:t xml:space="preserve">richiedente </w:t>
      </w:r>
      <w:r w:rsidR="007B6B82" w:rsidRPr="000D6DEE">
        <w:rPr>
          <w:rFonts w:ascii="Times New Roman" w:hAnsi="Times New Roman" w:cs="Times New Roman"/>
          <w:color w:val="000000"/>
          <w:sz w:val="28"/>
          <w:szCs w:val="28"/>
          <w:shd w:val="clear" w:color="auto" w:fill="FFFFFF"/>
        </w:rPr>
        <w:t>non può prescindere dal contesto nel quale l’attività che intende esercitare deve inserirsi. Partendo da tale assunto, ovvero dalla sostanziale contestualizzazione d</w:t>
      </w:r>
      <w:r w:rsidR="00466418" w:rsidRPr="000D6DEE">
        <w:rPr>
          <w:rFonts w:ascii="Times New Roman" w:hAnsi="Times New Roman" w:cs="Times New Roman"/>
          <w:color w:val="000000"/>
          <w:sz w:val="28"/>
          <w:szCs w:val="28"/>
          <w:shd w:val="clear" w:color="auto" w:fill="FFFFFF"/>
        </w:rPr>
        <w:t xml:space="preserve">i ridetta </w:t>
      </w:r>
      <w:r w:rsidR="007B6B82" w:rsidRPr="000D6DEE">
        <w:rPr>
          <w:rFonts w:ascii="Times New Roman" w:hAnsi="Times New Roman" w:cs="Times New Roman"/>
          <w:color w:val="000000"/>
          <w:sz w:val="28"/>
          <w:szCs w:val="28"/>
          <w:shd w:val="clear" w:color="auto" w:fill="FFFFFF"/>
        </w:rPr>
        <w:t>attività nel tessuto socio-culturale che la ospita, e che vede la stessa come inevitabile polo di attrazione di utenza, la varietà dello strumentario giuridico messo a disposizione dall’ordinamento ben potrebbe -</w:t>
      </w:r>
      <w:r w:rsidR="007B6B82" w:rsidRPr="000D6DEE">
        <w:rPr>
          <w:rFonts w:ascii="Times New Roman" w:hAnsi="Times New Roman" w:cs="Times New Roman"/>
          <w:i/>
          <w:color w:val="000000"/>
          <w:sz w:val="28"/>
          <w:szCs w:val="28"/>
          <w:shd w:val="clear" w:color="auto" w:fill="FFFFFF"/>
        </w:rPr>
        <w:t>recte</w:t>
      </w:r>
      <w:r w:rsidR="007B6B82" w:rsidRPr="000D6DEE">
        <w:rPr>
          <w:rFonts w:ascii="Times New Roman" w:hAnsi="Times New Roman" w:cs="Times New Roman"/>
          <w:color w:val="000000"/>
          <w:sz w:val="28"/>
          <w:szCs w:val="28"/>
          <w:shd w:val="clear" w:color="auto" w:fill="FFFFFF"/>
        </w:rPr>
        <w:t xml:space="preserve">, dovrebbe </w:t>
      </w:r>
      <w:r w:rsidR="00C5550A" w:rsidRPr="000D6DEE">
        <w:rPr>
          <w:rFonts w:ascii="Times New Roman" w:hAnsi="Times New Roman" w:cs="Times New Roman"/>
          <w:color w:val="000000"/>
          <w:sz w:val="28"/>
          <w:szCs w:val="28"/>
          <w:shd w:val="clear" w:color="auto" w:fill="FFFFFF"/>
        </w:rPr>
        <w:t>-</w:t>
      </w:r>
      <w:r w:rsidR="007B6B82" w:rsidRPr="000D6DEE">
        <w:rPr>
          <w:rFonts w:ascii="Times New Roman" w:hAnsi="Times New Roman" w:cs="Times New Roman"/>
          <w:color w:val="000000"/>
          <w:sz w:val="28"/>
          <w:szCs w:val="28"/>
          <w:shd w:val="clear" w:color="auto" w:fill="FFFFFF"/>
        </w:rPr>
        <w:t xml:space="preserve"> consentire all’amministrazione di farsi garante del contemperamento degli interessi in gioco, intervenendo in via </w:t>
      </w:r>
      <w:r w:rsidR="007B6B82" w:rsidRPr="000D6DEE">
        <w:rPr>
          <w:rFonts w:ascii="Times New Roman" w:hAnsi="Times New Roman" w:cs="Times New Roman"/>
          <w:color w:val="000000"/>
          <w:sz w:val="28"/>
          <w:szCs w:val="28"/>
          <w:shd w:val="clear" w:color="auto" w:fill="FFFFFF"/>
        </w:rPr>
        <w:lastRenderedPageBreak/>
        <w:t>cautelativa, prima che sanzionatoria, per bilanciare le esigenze dell’imprenditoria con quelle degli abitanti di una determinata zona.</w:t>
      </w:r>
      <w:r w:rsidR="007B6B82">
        <w:rPr>
          <w:rFonts w:ascii="Times New Roman" w:hAnsi="Times New Roman" w:cs="Times New Roman"/>
          <w:color w:val="000000"/>
          <w:sz w:val="28"/>
          <w:szCs w:val="28"/>
          <w:shd w:val="clear" w:color="auto" w:fill="FFFFFF"/>
        </w:rPr>
        <w:t xml:space="preserve"> </w:t>
      </w:r>
    </w:p>
    <w:p w:rsidR="00893053" w:rsidRPr="00C53D07" w:rsidRDefault="00893053" w:rsidP="00B560C4">
      <w:pPr>
        <w:pStyle w:val="NormaleWeb"/>
        <w:shd w:val="clear" w:color="auto" w:fill="FFFFFF"/>
        <w:spacing w:before="0" w:beforeAutospacing="0" w:after="255" w:afterAutospacing="0" w:line="375" w:lineRule="atLeast"/>
        <w:jc w:val="both"/>
        <w:rPr>
          <w:sz w:val="28"/>
          <w:szCs w:val="28"/>
        </w:rPr>
      </w:pPr>
      <w:bookmarkStart w:id="0" w:name="_GoBack"/>
      <w:bookmarkEnd w:id="0"/>
    </w:p>
    <w:sectPr w:rsidR="00893053" w:rsidRPr="00C53D0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5BA" w:rsidRDefault="008A55BA" w:rsidP="00F63BB5">
      <w:pPr>
        <w:spacing w:after="0" w:line="240" w:lineRule="auto"/>
      </w:pPr>
      <w:r>
        <w:separator/>
      </w:r>
    </w:p>
  </w:endnote>
  <w:endnote w:type="continuationSeparator" w:id="0">
    <w:p w:rsidR="008A55BA" w:rsidRDefault="008A55BA" w:rsidP="00F63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5BA" w:rsidRDefault="008A55BA" w:rsidP="00F63BB5">
      <w:pPr>
        <w:spacing w:after="0" w:line="240" w:lineRule="auto"/>
      </w:pPr>
      <w:r>
        <w:separator/>
      </w:r>
    </w:p>
  </w:footnote>
  <w:footnote w:type="continuationSeparator" w:id="0">
    <w:p w:rsidR="008A55BA" w:rsidRDefault="008A55BA" w:rsidP="00F63BB5">
      <w:pPr>
        <w:spacing w:after="0" w:line="240" w:lineRule="auto"/>
      </w:pPr>
      <w:r>
        <w:continuationSeparator/>
      </w:r>
    </w:p>
  </w:footnote>
  <w:footnote w:id="1">
    <w:p w:rsidR="00E27CDD" w:rsidRPr="00E643B6" w:rsidRDefault="00E27CDD" w:rsidP="00E643B6">
      <w:pPr>
        <w:pStyle w:val="Testonotaapidipagina"/>
        <w:jc w:val="both"/>
        <w:rPr>
          <w:rFonts w:ascii="Times New Roman" w:hAnsi="Times New Roman" w:cs="Times New Roman"/>
        </w:rPr>
      </w:pPr>
      <w:r>
        <w:rPr>
          <w:rStyle w:val="Rimandonotaapidipagina"/>
        </w:rPr>
        <w:footnoteRef/>
      </w:r>
      <w:r>
        <w:t xml:space="preserve"> </w:t>
      </w:r>
      <w:r w:rsidRPr="00E643B6">
        <w:rPr>
          <w:rFonts w:ascii="Times New Roman" w:hAnsi="Times New Roman" w:cs="Times New Roman"/>
        </w:rPr>
        <w:t>Solo quale notazione ormai “storica” si ricorda come nell’elencazione originaria figurassero anche «</w:t>
      </w:r>
      <w:r w:rsidRPr="00C53D07">
        <w:rPr>
          <w:rFonts w:ascii="Times New Roman" w:hAnsi="Times New Roman" w:cs="Times New Roman"/>
          <w:i/>
        </w:rPr>
        <w:t>le dichiarazioni di locali di meretricio</w:t>
      </w:r>
      <w:r w:rsidRPr="00E643B6">
        <w:rPr>
          <w:rFonts w:ascii="Times New Roman" w:hAnsi="Times New Roman" w:cs="Times New Roman"/>
        </w:rPr>
        <w:t>», venute meno a seguito della relativa chiusura ad opera della legge Merlin, 20 febbraio 1958, n. 75.</w:t>
      </w:r>
    </w:p>
  </w:footnote>
  <w:footnote w:id="2">
    <w:p w:rsidR="00E27CDD" w:rsidRPr="00E643B6" w:rsidRDefault="00E27CDD" w:rsidP="00E643B6">
      <w:pPr>
        <w:pStyle w:val="Testonotaapidipagina"/>
        <w:jc w:val="both"/>
        <w:rPr>
          <w:rFonts w:ascii="Times New Roman" w:hAnsi="Times New Roman" w:cs="Times New Roman"/>
        </w:rPr>
      </w:pPr>
      <w:r w:rsidRPr="000D6DEE">
        <w:rPr>
          <w:rStyle w:val="Rimandonotaapidipagina"/>
          <w:rFonts w:ascii="Times New Roman" w:hAnsi="Times New Roman" w:cs="Times New Roman"/>
        </w:rPr>
        <w:footnoteRef/>
      </w:r>
      <w:r w:rsidRPr="000D6DEE">
        <w:rPr>
          <w:rFonts w:ascii="Times New Roman" w:hAnsi="Times New Roman" w:cs="Times New Roman"/>
        </w:rPr>
        <w:t xml:space="preserve"> I pubblici esercizi di somministrazione di alimenti e bevande, che costituiscono una particolare categoria di pubblici esercizi, come meglio chiarito nel prosieguo, giusta la loro natura anche di attività commerciale (al pari di altre riportate in elenco, in verità) creano non poche problematiche di coordinamento normativo.</w:t>
      </w:r>
    </w:p>
  </w:footnote>
  <w:footnote w:id="3">
    <w:p w:rsidR="00E27CDD" w:rsidRPr="007C54EE" w:rsidRDefault="00E27CDD" w:rsidP="00D3250E">
      <w:pPr>
        <w:pStyle w:val="Testonotaapidipagina"/>
        <w:jc w:val="both"/>
        <w:rPr>
          <w:rFonts w:ascii="Times New Roman" w:hAnsi="Times New Roman" w:cs="Times New Roman"/>
        </w:rPr>
      </w:pPr>
      <w:r>
        <w:rPr>
          <w:rStyle w:val="Rimandonotaapidipagina"/>
        </w:rPr>
        <w:footnoteRef/>
      </w:r>
      <w:r>
        <w:t xml:space="preserve"> </w:t>
      </w:r>
      <w:r w:rsidRPr="007C54EE">
        <w:rPr>
          <w:rFonts w:ascii="Times New Roman" w:hAnsi="Times New Roman" w:cs="Times New Roman"/>
        </w:rPr>
        <w:t>L’art. 2 del d.P.R. n. 201/2001, infatti, prevede che: «</w:t>
      </w:r>
      <w:r w:rsidRPr="007C54EE">
        <w:rPr>
          <w:rFonts w:ascii="Times New Roman" w:hAnsi="Times New Roman" w:cs="Times New Roman"/>
          <w:i/>
          <w:color w:val="19191A"/>
          <w:shd w:val="clear" w:color="auto" w:fill="FFFFFF"/>
        </w:rPr>
        <w:t>Il comune trasmette, entro cinque giorni, copia della denuncia di inizio dell'attività al prefetto. Il prefetto, entro sessanta giorni dal ricevimento della comunicazione, può sospendere o vietare l'esercizio dell'attività nei casi previsti dall'</w:t>
      </w:r>
      <w:r w:rsidR="005621D7">
        <w:rPr>
          <w:rFonts w:ascii="Times New Roman" w:hAnsi="Times New Roman" w:cs="Times New Roman"/>
          <w:i/>
          <w:color w:val="19191A"/>
          <w:shd w:val="clear" w:color="auto" w:fill="FFFFFF"/>
        </w:rPr>
        <w:t>articolo 11, comma 2, del regio decreto 18 giugno 1931, n. 773,</w:t>
      </w:r>
      <w:r w:rsidRPr="007C54EE">
        <w:rPr>
          <w:rFonts w:ascii="Times New Roman" w:hAnsi="Times New Roman" w:cs="Times New Roman"/>
          <w:i/>
          <w:color w:val="19191A"/>
          <w:shd w:val="clear" w:color="auto" w:fill="FFFFFF"/>
        </w:rPr>
        <w:t xml:space="preserve"> per motivate esigenze di pubblica sicurezza e, in ogni caso e anche successivamente a tale termine, per sopravvenute esigenze di pubblica sicurezza</w:t>
      </w:r>
      <w:r w:rsidRPr="007C54EE">
        <w:rPr>
          <w:rFonts w:ascii="Times New Roman" w:hAnsi="Times New Roman" w:cs="Times New Roman"/>
          <w:color w:val="19191A"/>
          <w:shd w:val="clear" w:color="auto" w:fill="FFFFFF"/>
        </w:rPr>
        <w:t>». La natura del provvedimento interdittivo del Prefetto è stata di recente oggetto di esame da parte del Consiglio di Stato, che ha appunto distinto il controllo effettuato nei 60 giorni – termine comunque diverso da quello generale, dato che decorre dall’inoltro della s.c.i.a. da parte del Comune alla Prefettura – da quello correlato alla verifica della sopravvenienza di esigenze di sicurezza pubblica, c</w:t>
      </w:r>
      <w:r w:rsidR="005621D7">
        <w:rPr>
          <w:rFonts w:ascii="Times New Roman" w:hAnsi="Times New Roman" w:cs="Times New Roman"/>
          <w:color w:val="19191A"/>
          <w:shd w:val="clear" w:color="auto" w:fill="FFFFFF"/>
        </w:rPr>
        <w:t xml:space="preserve">he </w:t>
      </w:r>
      <w:r w:rsidRPr="007C54EE">
        <w:rPr>
          <w:rFonts w:ascii="Times New Roman" w:hAnsi="Times New Roman" w:cs="Times New Roman"/>
          <w:color w:val="19191A"/>
          <w:shd w:val="clear" w:color="auto" w:fill="FFFFFF"/>
        </w:rPr>
        <w:t xml:space="preserve">nel caso di specie </w:t>
      </w:r>
      <w:r w:rsidR="005621D7">
        <w:rPr>
          <w:rFonts w:ascii="Times New Roman" w:hAnsi="Times New Roman" w:cs="Times New Roman"/>
          <w:color w:val="19191A"/>
          <w:shd w:val="clear" w:color="auto" w:fill="FFFFFF"/>
        </w:rPr>
        <w:t xml:space="preserve">erano emerse in seguito </w:t>
      </w:r>
      <w:r w:rsidRPr="007C54EE">
        <w:rPr>
          <w:rFonts w:ascii="Times New Roman" w:hAnsi="Times New Roman" w:cs="Times New Roman"/>
          <w:color w:val="19191A"/>
          <w:shd w:val="clear" w:color="auto" w:fill="FFFFFF"/>
        </w:rPr>
        <w:t xml:space="preserve">ad accertamenti di polizia amministrativa condotti </w:t>
      </w:r>
      <w:r w:rsidRPr="005621D7">
        <w:rPr>
          <w:rFonts w:ascii="Times New Roman" w:hAnsi="Times New Roman" w:cs="Times New Roman"/>
          <w:i/>
          <w:color w:val="19191A"/>
          <w:shd w:val="clear" w:color="auto" w:fill="FFFFFF"/>
        </w:rPr>
        <w:t>in loco</w:t>
      </w:r>
      <w:r w:rsidRPr="007C54EE">
        <w:rPr>
          <w:rFonts w:ascii="Times New Roman" w:hAnsi="Times New Roman" w:cs="Times New Roman"/>
          <w:color w:val="19191A"/>
          <w:shd w:val="clear" w:color="auto" w:fill="FFFFFF"/>
        </w:rPr>
        <w:t xml:space="preserve"> </w:t>
      </w:r>
      <w:r w:rsidR="005621D7">
        <w:rPr>
          <w:rFonts w:ascii="Times New Roman" w:hAnsi="Times New Roman" w:cs="Times New Roman"/>
          <w:color w:val="19191A"/>
          <w:shd w:val="clear" w:color="auto" w:fill="FFFFFF"/>
        </w:rPr>
        <w:t xml:space="preserve">e consentiti anche </w:t>
      </w:r>
      <w:r w:rsidRPr="007C54EE">
        <w:rPr>
          <w:rFonts w:ascii="Times New Roman" w:hAnsi="Times New Roman" w:cs="Times New Roman"/>
          <w:color w:val="19191A"/>
          <w:shd w:val="clear" w:color="auto" w:fill="FFFFFF"/>
        </w:rPr>
        <w:t>in momenti successivi alla presentazione della s.c.i.a.</w:t>
      </w:r>
      <w:r w:rsidR="005621D7">
        <w:rPr>
          <w:rFonts w:ascii="Times New Roman" w:hAnsi="Times New Roman" w:cs="Times New Roman"/>
          <w:color w:val="19191A"/>
          <w:shd w:val="clear" w:color="auto" w:fill="FFFFFF"/>
        </w:rPr>
        <w:t xml:space="preserve"> Tale controllo</w:t>
      </w:r>
      <w:r w:rsidRPr="007C54EE">
        <w:rPr>
          <w:rFonts w:ascii="Times New Roman" w:hAnsi="Times New Roman" w:cs="Times New Roman"/>
          <w:color w:val="19191A"/>
          <w:shd w:val="clear" w:color="auto" w:fill="FFFFFF"/>
        </w:rPr>
        <w:t xml:space="preserve">, in quanto </w:t>
      </w:r>
      <w:r w:rsidR="005621D7">
        <w:rPr>
          <w:rFonts w:ascii="Times New Roman" w:hAnsi="Times New Roman" w:cs="Times New Roman"/>
          <w:color w:val="19191A"/>
          <w:shd w:val="clear" w:color="auto" w:fill="FFFFFF"/>
        </w:rPr>
        <w:t xml:space="preserve">derivante da </w:t>
      </w:r>
      <w:r w:rsidRPr="007C54EE">
        <w:rPr>
          <w:rFonts w:ascii="Times New Roman" w:hAnsi="Times New Roman" w:cs="Times New Roman"/>
          <w:color w:val="19191A"/>
          <w:shd w:val="clear" w:color="auto" w:fill="FFFFFF"/>
        </w:rPr>
        <w:t xml:space="preserve">previsione derogatoria, </w:t>
      </w:r>
      <w:r w:rsidR="005621D7">
        <w:rPr>
          <w:rFonts w:ascii="Times New Roman" w:hAnsi="Times New Roman" w:cs="Times New Roman"/>
          <w:color w:val="19191A"/>
          <w:shd w:val="clear" w:color="auto" w:fill="FFFFFF"/>
        </w:rPr>
        <w:t xml:space="preserve">non va confuso </w:t>
      </w:r>
      <w:r w:rsidRPr="007C54EE">
        <w:rPr>
          <w:rFonts w:ascii="Times New Roman" w:hAnsi="Times New Roman" w:cs="Times New Roman"/>
          <w:color w:val="19191A"/>
          <w:shd w:val="clear" w:color="auto" w:fill="FFFFFF"/>
        </w:rPr>
        <w:t>con l’esercizio del potere di annullamento d’ufficio soggetto ai limiti temporali di cui all’art. 21</w:t>
      </w:r>
      <w:r>
        <w:rPr>
          <w:rFonts w:ascii="Times New Roman" w:hAnsi="Times New Roman" w:cs="Times New Roman"/>
          <w:color w:val="19191A"/>
          <w:shd w:val="clear" w:color="auto" w:fill="FFFFFF"/>
        </w:rPr>
        <w:t>-</w:t>
      </w:r>
      <w:r w:rsidRPr="00D3250E">
        <w:rPr>
          <w:rFonts w:ascii="Times New Roman" w:hAnsi="Times New Roman" w:cs="Times New Roman"/>
          <w:i/>
          <w:color w:val="19191A"/>
          <w:shd w:val="clear" w:color="auto" w:fill="FFFFFF"/>
        </w:rPr>
        <w:t xml:space="preserve">nonies </w:t>
      </w:r>
      <w:r w:rsidRPr="007C54EE">
        <w:rPr>
          <w:rFonts w:ascii="Times New Roman" w:hAnsi="Times New Roman" w:cs="Times New Roman"/>
          <w:color w:val="19191A"/>
          <w:shd w:val="clear" w:color="auto" w:fill="FFFFFF"/>
        </w:rPr>
        <w:t>della l. n. 241 del 1990 (cfr. Cons. Stato, sez. III, 19 agosto 2024, n. 7164, che ha avallato il provvedimento impugnato sull’assunto «</w:t>
      </w:r>
      <w:r w:rsidRPr="007C54EE">
        <w:rPr>
          <w:rFonts w:ascii="Times New Roman" w:hAnsi="Times New Roman" w:cs="Times New Roman"/>
          <w:i/>
          <w:color w:val="000000"/>
        </w:rPr>
        <w:t>della struttura prettamente probabilistica del sillogismo indiziario che sottende le valutazioni prefettizie in materia di autorizzazioni di polizia</w:t>
      </w:r>
      <w:r w:rsidRPr="007C54EE">
        <w:rPr>
          <w:rFonts w:ascii="Times New Roman" w:hAnsi="Times New Roman" w:cs="Times New Roman"/>
          <w:color w:val="000000"/>
        </w:rPr>
        <w:t>», sicché «</w:t>
      </w:r>
      <w:r w:rsidRPr="007C54EE">
        <w:rPr>
          <w:rFonts w:ascii="Times New Roman" w:hAnsi="Times New Roman" w:cs="Times New Roman"/>
          <w:i/>
          <w:color w:val="000000"/>
        </w:rPr>
        <w:t>il compendio versato in atti appare sufficiente a corroborare nel caso di specie le conclusioni raggiunte dall’Autorità circa l’inaffidabilità della titolare dell’impresa per carenza del requisito di buona condotta secondo un giudizio che si estende giocoforza al coniuge convivente stanti gli ineludibili elementi che avvalorano la tesi dell’interposizione fittizia rispetto al gerente di fatto</w:t>
      </w:r>
      <w:r w:rsidRPr="007C54EE">
        <w:rPr>
          <w:rFonts w:ascii="Times New Roman" w:hAnsi="Times New Roman" w:cs="Times New Roman"/>
          <w:color w:val="000000"/>
        </w:rPr>
        <w:t>».</w:t>
      </w:r>
    </w:p>
  </w:footnote>
  <w:footnote w:id="4">
    <w:p w:rsidR="00E27CDD" w:rsidRDefault="00E27CDD" w:rsidP="00A22456">
      <w:pPr>
        <w:pStyle w:val="Testonotaapidipagina"/>
        <w:jc w:val="both"/>
      </w:pPr>
      <w:r>
        <w:rPr>
          <w:rStyle w:val="Rimandonotaapidipagina"/>
        </w:rPr>
        <w:footnoteRef/>
      </w:r>
      <w:r>
        <w:t xml:space="preserve"> </w:t>
      </w:r>
      <w:r w:rsidRPr="00AA289B">
        <w:rPr>
          <w:rFonts w:ascii="Times New Roman" w:hAnsi="Times New Roman" w:cs="Times New Roman"/>
        </w:rPr>
        <w:t>Il comma 2 dell’art. 152 del r.d. 6 maggio 1940, n. 635, reca</w:t>
      </w:r>
      <w:r w:rsidRPr="002A4914">
        <w:rPr>
          <w:rFonts w:ascii="Times New Roman" w:hAnsi="Times New Roman" w:cs="Times New Roman"/>
          <w:i/>
        </w:rPr>
        <w:t>: «Per le attività ricomprese fra quelle indicate dall'articolo 86 della legge o dall'articolo 158 del presente regolamento, disciplinate da altre disposizioni di legge statale o regionale, la licenza e ogni altro titolo autorizzatorio, comunque denominato, previsti da queste ultime disposizioni, svolge anche, previa verifica della sussistenza delle condizioni previste dalla legge, la funzione di autorizzazione ai fini del predetto articolo 86, con l'osservanza delle disposizioni del titolo I, capi III e IV, e degli articoli 100, 101, 108, terzo comma, 109 e 110 della legge, nonché di quelle del presente regolamento non incompatibili con altre disposizioni che disciplinano specificamente la materia</w:t>
      </w:r>
      <w:r w:rsidRPr="002A4914">
        <w:rPr>
          <w:rFonts w:ascii="Times New Roman" w:hAnsi="Times New Roman" w:cs="Times New Roman"/>
        </w:rPr>
        <w:t>».</w:t>
      </w:r>
    </w:p>
  </w:footnote>
  <w:footnote w:id="5">
    <w:p w:rsidR="00E27CDD" w:rsidRPr="00ED033D" w:rsidRDefault="00E27CDD" w:rsidP="00B92516">
      <w:pPr>
        <w:pStyle w:val="NormaleWeb"/>
        <w:shd w:val="clear" w:color="auto" w:fill="FFFFFF"/>
        <w:spacing w:before="30" w:beforeAutospacing="0" w:after="30" w:afterAutospacing="0"/>
        <w:ind w:left="30"/>
        <w:jc w:val="both"/>
        <w:rPr>
          <w:rFonts w:ascii="Verdana" w:hAnsi="Verdana"/>
          <w:color w:val="000000"/>
          <w:sz w:val="20"/>
          <w:szCs w:val="20"/>
        </w:rPr>
      </w:pPr>
      <w:r>
        <w:rPr>
          <w:rStyle w:val="Rimandonotaapidipagina"/>
        </w:rPr>
        <w:footnoteRef/>
      </w:r>
      <w:r>
        <w:t xml:space="preserve"> </w:t>
      </w:r>
      <w:r w:rsidRPr="00ED033D">
        <w:rPr>
          <w:color w:val="000000"/>
          <w:sz w:val="20"/>
          <w:szCs w:val="20"/>
        </w:rPr>
        <w:t>La </w:t>
      </w:r>
      <w:r w:rsidRPr="00ED033D">
        <w:rPr>
          <w:bCs/>
          <w:color w:val="000000"/>
          <w:sz w:val="20"/>
          <w:szCs w:val="20"/>
        </w:rPr>
        <w:t>Sezione I</w:t>
      </w:r>
      <w:r w:rsidRPr="00ED033D">
        <w:rPr>
          <w:color w:val="000000"/>
          <w:sz w:val="20"/>
          <w:szCs w:val="20"/>
        </w:rPr>
        <w:t> - dedicata alle “</w:t>
      </w:r>
      <w:r w:rsidRPr="00ED033D">
        <w:rPr>
          <w:bCs/>
          <w:color w:val="000000"/>
          <w:sz w:val="20"/>
          <w:szCs w:val="20"/>
        </w:rPr>
        <w:t>Attività commerciali e assimilabili</w:t>
      </w:r>
      <w:r w:rsidRPr="00ED033D">
        <w:rPr>
          <w:color w:val="000000"/>
          <w:sz w:val="20"/>
          <w:szCs w:val="20"/>
        </w:rPr>
        <w:t>” - è articolata in </w:t>
      </w:r>
      <w:r w:rsidRPr="00ED033D">
        <w:rPr>
          <w:bCs/>
          <w:color w:val="000000"/>
          <w:sz w:val="20"/>
          <w:szCs w:val="20"/>
        </w:rPr>
        <w:t>14 sottosezioni</w:t>
      </w:r>
      <w:r w:rsidRPr="00ED033D">
        <w:rPr>
          <w:color w:val="000000"/>
          <w:sz w:val="20"/>
          <w:szCs w:val="20"/>
        </w:rPr>
        <w:t> che</w:t>
      </w:r>
      <w:r w:rsidRPr="00ED033D">
        <w:rPr>
          <w:bCs/>
          <w:color w:val="000000"/>
          <w:sz w:val="20"/>
          <w:szCs w:val="20"/>
        </w:rPr>
        <w:t> al loro interno </w:t>
      </w:r>
      <w:r w:rsidRPr="00ED033D">
        <w:rPr>
          <w:color w:val="000000"/>
          <w:sz w:val="20"/>
          <w:szCs w:val="20"/>
        </w:rPr>
        <w:t>contengono </w:t>
      </w:r>
      <w:r w:rsidRPr="00ED033D">
        <w:rPr>
          <w:bCs/>
          <w:color w:val="000000"/>
          <w:sz w:val="20"/>
          <w:szCs w:val="20"/>
        </w:rPr>
        <w:t>più settori</w:t>
      </w:r>
      <w:r w:rsidRPr="00ED033D">
        <w:rPr>
          <w:color w:val="000000"/>
          <w:sz w:val="20"/>
          <w:szCs w:val="20"/>
        </w:rPr>
        <w:t> (ad esempio: commercio all’ingrosso alimentare e commercio all’ingrosso non alimentare; ovvero, media struttura di vendita non alimentare e media struttura di vendita non alimentare). Dunque, il </w:t>
      </w:r>
      <w:r w:rsidRPr="00ED033D">
        <w:rPr>
          <w:bCs/>
          <w:color w:val="000000"/>
          <w:sz w:val="20"/>
          <w:szCs w:val="20"/>
        </w:rPr>
        <w:t>criterio seguito</w:t>
      </w:r>
      <w:r w:rsidRPr="00ED033D">
        <w:rPr>
          <w:color w:val="000000"/>
          <w:sz w:val="20"/>
          <w:szCs w:val="20"/>
        </w:rPr>
        <w:t> nella ripartizione tabellare delle attività di commercio è </w:t>
      </w:r>
      <w:r w:rsidRPr="00ED033D">
        <w:rPr>
          <w:bCs/>
          <w:color w:val="000000"/>
          <w:sz w:val="20"/>
          <w:szCs w:val="20"/>
        </w:rPr>
        <w:t>sia quello della tipologia</w:t>
      </w:r>
      <w:r w:rsidRPr="00ED033D">
        <w:rPr>
          <w:color w:val="000000"/>
          <w:sz w:val="20"/>
          <w:szCs w:val="20"/>
        </w:rPr>
        <w:t> delle attività svolte, </w:t>
      </w:r>
      <w:r w:rsidRPr="00ED033D">
        <w:rPr>
          <w:bCs/>
          <w:color w:val="000000"/>
          <w:sz w:val="20"/>
          <w:szCs w:val="20"/>
        </w:rPr>
        <w:t>sia della struttura/spazio</w:t>
      </w:r>
      <w:r w:rsidRPr="00ED033D">
        <w:rPr>
          <w:color w:val="000000"/>
          <w:sz w:val="20"/>
          <w:szCs w:val="20"/>
        </w:rPr>
        <w:t> in cui esse vengono svolte. La </w:t>
      </w:r>
      <w:r w:rsidRPr="00ED033D">
        <w:rPr>
          <w:bCs/>
          <w:color w:val="000000"/>
          <w:sz w:val="20"/>
          <w:szCs w:val="20"/>
        </w:rPr>
        <w:t>ripartizione</w:t>
      </w:r>
      <w:r w:rsidRPr="00ED033D">
        <w:rPr>
          <w:color w:val="000000"/>
          <w:sz w:val="20"/>
          <w:szCs w:val="20"/>
        </w:rPr>
        <w:t> adottata </w:t>
      </w:r>
      <w:r w:rsidRPr="00ED033D">
        <w:rPr>
          <w:bCs/>
          <w:color w:val="000000"/>
          <w:sz w:val="20"/>
          <w:szCs w:val="20"/>
        </w:rPr>
        <w:t>riflette </w:t>
      </w:r>
      <w:r w:rsidRPr="00ED033D">
        <w:rPr>
          <w:color w:val="000000"/>
          <w:sz w:val="20"/>
          <w:szCs w:val="20"/>
        </w:rPr>
        <w:t xml:space="preserve">nella sostanza </w:t>
      </w:r>
      <w:r w:rsidRPr="00ED033D">
        <w:rPr>
          <w:bCs/>
          <w:color w:val="000000"/>
          <w:sz w:val="20"/>
          <w:szCs w:val="20"/>
        </w:rPr>
        <w:t>la disciplina normativa di settore, richiamata</w:t>
      </w:r>
      <w:r w:rsidRPr="00ED033D">
        <w:rPr>
          <w:color w:val="000000"/>
          <w:sz w:val="20"/>
          <w:szCs w:val="20"/>
        </w:rPr>
        <w:t xml:space="preserve"> nella stessa tabella (quarta colonna), la quale è prevalentemente contenuta nel </w:t>
      </w:r>
      <w:r w:rsidR="00CC0F9A" w:rsidRPr="00ED033D">
        <w:rPr>
          <w:color w:val="000000"/>
          <w:sz w:val="20"/>
          <w:szCs w:val="20"/>
        </w:rPr>
        <w:t>d</w:t>
      </w:r>
      <w:r w:rsidRPr="00ED033D">
        <w:rPr>
          <w:color w:val="000000"/>
          <w:sz w:val="20"/>
          <w:szCs w:val="20"/>
        </w:rPr>
        <w:t>.</w:t>
      </w:r>
      <w:r w:rsidR="00CC0F9A" w:rsidRPr="00ED033D">
        <w:rPr>
          <w:color w:val="000000"/>
          <w:sz w:val="20"/>
          <w:szCs w:val="20"/>
        </w:rPr>
        <w:t>l</w:t>
      </w:r>
      <w:r w:rsidRPr="00ED033D">
        <w:rPr>
          <w:color w:val="000000"/>
          <w:sz w:val="20"/>
          <w:szCs w:val="20"/>
        </w:rPr>
        <w:t xml:space="preserve">gs. n. 114/1998 e nel </w:t>
      </w:r>
      <w:r w:rsidR="00CC0F9A" w:rsidRPr="00ED033D">
        <w:rPr>
          <w:color w:val="000000"/>
          <w:sz w:val="20"/>
          <w:szCs w:val="20"/>
        </w:rPr>
        <w:t>d</w:t>
      </w:r>
      <w:r w:rsidRPr="00ED033D">
        <w:rPr>
          <w:color w:val="000000"/>
          <w:sz w:val="20"/>
          <w:szCs w:val="20"/>
        </w:rPr>
        <w:t>.</w:t>
      </w:r>
      <w:r w:rsidR="00CC0F9A" w:rsidRPr="00ED033D">
        <w:rPr>
          <w:color w:val="000000"/>
          <w:sz w:val="20"/>
          <w:szCs w:val="20"/>
        </w:rPr>
        <w:t>l</w:t>
      </w:r>
      <w:r w:rsidRPr="00ED033D">
        <w:rPr>
          <w:color w:val="000000"/>
          <w:sz w:val="20"/>
          <w:szCs w:val="20"/>
        </w:rPr>
        <w:t>gs. n. 59/2010 (di recepimento della “Direttiva Servizi” c.d. </w:t>
      </w:r>
      <w:proofErr w:type="spellStart"/>
      <w:r w:rsidRPr="00ED033D">
        <w:rPr>
          <w:i/>
          <w:iCs/>
          <w:color w:val="000000"/>
          <w:sz w:val="20"/>
          <w:szCs w:val="20"/>
        </w:rPr>
        <w:t>Bolkenstein</w:t>
      </w:r>
      <w:proofErr w:type="spellEnd"/>
      <w:r w:rsidRPr="00ED033D">
        <w:rPr>
          <w:color w:val="000000"/>
          <w:sz w:val="20"/>
          <w:szCs w:val="20"/>
        </w:rPr>
        <w:t> 2006/123/CE).</w:t>
      </w:r>
      <w:r w:rsidRPr="00ED033D">
        <w:rPr>
          <w:rFonts w:ascii="Verdana" w:hAnsi="Verdana"/>
          <w:color w:val="000000"/>
          <w:sz w:val="20"/>
          <w:szCs w:val="20"/>
        </w:rPr>
        <w:t xml:space="preserve"> </w:t>
      </w:r>
    </w:p>
    <w:p w:rsidR="00E27CDD" w:rsidRDefault="00E27CDD">
      <w:pPr>
        <w:pStyle w:val="Testonotaapidipagina"/>
      </w:pPr>
    </w:p>
  </w:footnote>
  <w:footnote w:id="6">
    <w:p w:rsidR="00E27CDD" w:rsidRDefault="00E27CDD" w:rsidP="00945D37">
      <w:pPr>
        <w:pStyle w:val="Testonotaapidipagina"/>
        <w:jc w:val="both"/>
      </w:pPr>
      <w:r>
        <w:rPr>
          <w:rStyle w:val="Rimandonotaapidipagina"/>
        </w:rPr>
        <w:footnoteRef/>
      </w:r>
      <w:r>
        <w:t xml:space="preserve"> </w:t>
      </w:r>
      <w:r w:rsidRPr="00945D37">
        <w:rPr>
          <w:rFonts w:ascii="Times New Roman" w:hAnsi="Times New Roman" w:cs="Times New Roman"/>
        </w:rPr>
        <w:t xml:space="preserve">La necessità di conciliare le esigenze della concorrenza con quelle di tutela di alcune zone del territorio comunale ha comportato una stratificazione normativa non sempre coordinata, in relazione alla quale il Consiglio di Stato ha ancora di recente ricordato gli obblighi dei Comuni di fissare, nelle varie fonti locali, regole armoniche e non contraddittorie, pena l’illegittimità dei provvedimenti addottati. Sul punto, v. </w:t>
      </w:r>
      <w:r w:rsidRPr="00945D37">
        <w:rPr>
          <w:rFonts w:ascii="Times New Roman" w:hAnsi="Times New Roman" w:cs="Times New Roman"/>
          <w:b/>
        </w:rPr>
        <w:t>Cons. Stato, sez. II, 23 luglio 2024, n. 6666</w:t>
      </w:r>
      <w:r w:rsidRPr="00945D37">
        <w:rPr>
          <w:rFonts w:ascii="Times New Roman" w:hAnsi="Times New Roman" w:cs="Times New Roman"/>
        </w:rPr>
        <w:t xml:space="preserve">, avente ad oggetto il diniego di un’occupazione di suolo pubblico per esigenze di sicurezza stradale (area sottoposta a regolazione tariffaria della sosta) nel Comune di Roma capitale. Limitazioni derivanti da atti di programmazione finalizzati a esigenze di tutela dell’ambiente urbano </w:t>
      </w:r>
      <w:r w:rsidRPr="00ED033D">
        <w:rPr>
          <w:rFonts w:ascii="Times New Roman" w:hAnsi="Times New Roman" w:cs="Times New Roman"/>
          <w:i/>
        </w:rPr>
        <w:t xml:space="preserve">lato </w:t>
      </w:r>
      <w:proofErr w:type="spellStart"/>
      <w:r w:rsidRPr="00ED033D">
        <w:rPr>
          <w:rFonts w:ascii="Times New Roman" w:hAnsi="Times New Roman" w:cs="Times New Roman"/>
          <w:i/>
        </w:rPr>
        <w:t>sensu</w:t>
      </w:r>
      <w:proofErr w:type="spellEnd"/>
      <w:r w:rsidRPr="00945D37">
        <w:rPr>
          <w:rFonts w:ascii="Times New Roman" w:hAnsi="Times New Roman" w:cs="Times New Roman"/>
        </w:rPr>
        <w:t xml:space="preserve"> inteso si riscontrano anche all’art. 64 del d.lgs. n. 59 del 2010</w:t>
      </w:r>
      <w:r>
        <w:t xml:space="preserve">. </w:t>
      </w:r>
    </w:p>
  </w:footnote>
  <w:footnote w:id="7">
    <w:p w:rsidR="00E27CDD" w:rsidRPr="005F347B" w:rsidRDefault="00E27CDD" w:rsidP="005F347B">
      <w:pPr>
        <w:pStyle w:val="Testonotaapidipagina"/>
        <w:jc w:val="both"/>
        <w:rPr>
          <w:rFonts w:ascii="Times New Roman" w:hAnsi="Times New Roman" w:cs="Times New Roman"/>
        </w:rPr>
      </w:pPr>
      <w:r>
        <w:rPr>
          <w:rStyle w:val="Rimandonotaapidipagina"/>
        </w:rPr>
        <w:footnoteRef/>
      </w:r>
      <w:r>
        <w:t xml:space="preserve"> </w:t>
      </w:r>
      <w:r w:rsidRPr="005F347B">
        <w:rPr>
          <w:rFonts w:ascii="Times New Roman" w:hAnsi="Times New Roman" w:cs="Times New Roman"/>
        </w:rPr>
        <w:t xml:space="preserve">Il fatto che tra i vari principi generali in materia di autorizzazioni di polizia venga richiamato solo l’art. 16 del </w:t>
      </w:r>
      <w:proofErr w:type="spellStart"/>
      <w:r w:rsidRPr="005F347B">
        <w:rPr>
          <w:rFonts w:ascii="Times New Roman" w:hAnsi="Times New Roman" w:cs="Times New Roman"/>
        </w:rPr>
        <w:t>T.u.l.p.s</w:t>
      </w:r>
      <w:proofErr w:type="spellEnd"/>
      <w:r w:rsidRPr="005F347B">
        <w:rPr>
          <w:rFonts w:ascii="Times New Roman" w:hAnsi="Times New Roman" w:cs="Times New Roman"/>
        </w:rPr>
        <w:t xml:space="preserve">. e non, ad esempio, gli artt. 9 o 10, </w:t>
      </w:r>
      <w:r>
        <w:rPr>
          <w:rFonts w:ascii="Times New Roman" w:hAnsi="Times New Roman" w:cs="Times New Roman"/>
        </w:rPr>
        <w:t xml:space="preserve">pare piuttosto un refuso dettato dalla ricordata </w:t>
      </w:r>
      <w:r w:rsidRPr="005F347B">
        <w:rPr>
          <w:rFonts w:ascii="Times New Roman" w:hAnsi="Times New Roman" w:cs="Times New Roman"/>
        </w:rPr>
        <w:t>esigenza di valorizzar</w:t>
      </w:r>
      <w:r w:rsidR="00ED033D">
        <w:rPr>
          <w:rFonts w:ascii="Times New Roman" w:hAnsi="Times New Roman" w:cs="Times New Roman"/>
        </w:rPr>
        <w:t>n</w:t>
      </w:r>
      <w:r w:rsidRPr="005F347B">
        <w:rPr>
          <w:rFonts w:ascii="Times New Roman" w:hAnsi="Times New Roman" w:cs="Times New Roman"/>
        </w:rPr>
        <w:t>e l</w:t>
      </w:r>
      <w:r w:rsidR="00ED033D">
        <w:rPr>
          <w:rFonts w:ascii="Times New Roman" w:hAnsi="Times New Roman" w:cs="Times New Roman"/>
        </w:rPr>
        <w:t xml:space="preserve">a portata, </w:t>
      </w:r>
      <w:r>
        <w:rPr>
          <w:rFonts w:ascii="Times New Roman" w:hAnsi="Times New Roman" w:cs="Times New Roman"/>
        </w:rPr>
        <w:t xml:space="preserve">che una </w:t>
      </w:r>
      <w:r w:rsidRPr="005F347B">
        <w:rPr>
          <w:rFonts w:ascii="Times New Roman" w:hAnsi="Times New Roman" w:cs="Times New Roman"/>
        </w:rPr>
        <w:t xml:space="preserve">scelta selettiva del legislatore, </w:t>
      </w:r>
      <w:r>
        <w:rPr>
          <w:rFonts w:ascii="Times New Roman" w:hAnsi="Times New Roman" w:cs="Times New Roman"/>
        </w:rPr>
        <w:t xml:space="preserve">che peraltro </w:t>
      </w:r>
      <w:r w:rsidRPr="005F347B">
        <w:rPr>
          <w:rFonts w:ascii="Times New Roman" w:hAnsi="Times New Roman" w:cs="Times New Roman"/>
        </w:rPr>
        <w:t>non avrebbe potuto essere attuata nell’ambito del decreto delegato.</w:t>
      </w:r>
    </w:p>
  </w:footnote>
  <w:footnote w:id="8">
    <w:p w:rsidR="00AE4AB4" w:rsidRDefault="00AE4AB4" w:rsidP="0033428F">
      <w:pPr>
        <w:pStyle w:val="Testonotaapidipagina"/>
        <w:jc w:val="both"/>
      </w:pPr>
      <w:r>
        <w:rPr>
          <w:rStyle w:val="Rimandonotaapidipagina"/>
        </w:rPr>
        <w:footnoteRef/>
      </w:r>
      <w:r>
        <w:t xml:space="preserve"> </w:t>
      </w:r>
      <w:r w:rsidR="0033428F" w:rsidRPr="0033428F">
        <w:rPr>
          <w:rFonts w:ascii="Times New Roman" w:hAnsi="Times New Roman" w:cs="Times New Roman"/>
        </w:rPr>
        <w:t xml:space="preserve">L’art. 89 del </w:t>
      </w:r>
      <w:proofErr w:type="spellStart"/>
      <w:r w:rsidR="0033428F" w:rsidRPr="0033428F">
        <w:rPr>
          <w:rFonts w:ascii="Times New Roman" w:hAnsi="Times New Roman" w:cs="Times New Roman"/>
        </w:rPr>
        <w:t>T.u.l.p.s</w:t>
      </w:r>
      <w:proofErr w:type="spellEnd"/>
      <w:r w:rsidR="0033428F" w:rsidRPr="0033428F">
        <w:rPr>
          <w:rFonts w:ascii="Times New Roman" w:hAnsi="Times New Roman" w:cs="Times New Roman"/>
        </w:rPr>
        <w:t>. prevedeva una speciale autorizzazione del Prefetto per la vendita di bevande alcoliche di contenuto superiore al 21 per cento del volume. La disposizione è stata abrogata dall’art. 1 della l. 14 ottobre 1974, n. 524, e la relativa abrogazione è stata confermata dall’art. 1, comma 3, della l. 25 agosto 1991, n. 287.  L’art. 92 continua a richiamare tale disposizione per un evidente difetto di coordinamento, malgrado le numerose riforme sopravvenute.</w:t>
      </w:r>
      <w:r w:rsidR="0033428F">
        <w:t xml:space="preserve"> </w:t>
      </w:r>
    </w:p>
  </w:footnote>
  <w:footnote w:id="9">
    <w:p w:rsidR="00E27CDD" w:rsidRDefault="00E27CDD" w:rsidP="00B23CE7">
      <w:pPr>
        <w:pStyle w:val="Testonotaapidipagina"/>
        <w:jc w:val="both"/>
      </w:pPr>
      <w:r>
        <w:rPr>
          <w:rStyle w:val="Rimandonotaapidipagina"/>
        </w:rPr>
        <w:footnoteRef/>
      </w:r>
      <w:r>
        <w:t xml:space="preserve"> </w:t>
      </w:r>
      <w:r w:rsidRPr="00974236">
        <w:rPr>
          <w:rFonts w:ascii="Times New Roman" w:hAnsi="Times New Roman" w:cs="Times New Roman"/>
        </w:rPr>
        <w:t>La norma in verità, nella versione conseguita alla novella attuata con d.lgs. 6 agosto 2012, n. 147, impone l’autorizzazione espressa nei soli casi di apertura o trasferimento di sede che avvengano nelle zone soggette a tutela sulla base di appositi atti di programmazione adottati dai Comuni. «</w:t>
      </w:r>
      <w:r w:rsidRPr="00974236">
        <w:rPr>
          <w:rFonts w:ascii="Times New Roman" w:hAnsi="Times New Roman" w:cs="Times New Roman"/>
          <w:color w:val="19191A"/>
          <w:shd w:val="clear" w:color="auto" w:fill="FFFFFF"/>
        </w:rPr>
        <w:t xml:space="preserve"> </w:t>
      </w:r>
      <w:r w:rsidRPr="00974236">
        <w:rPr>
          <w:rFonts w:ascii="Times New Roman" w:hAnsi="Times New Roman" w:cs="Times New Roman"/>
          <w:i/>
          <w:color w:val="19191A"/>
          <w:shd w:val="clear" w:color="auto" w:fill="FFFFFF"/>
        </w:rPr>
        <w:t>Tale programmazione può prevedere, sulla base di parametri oggettivi e indici di qualità del servizio, divieti o limitazioni all'apertura di nuove strutture limitatamente ai casi in cui ragioni non altrimenti risolvibili di sostenibilità ambientale, sociale e di viabilità rendano impossibile consentire ulteriori flussi di pubblico nella zona senza incidere in modo gravemente negativo sui meccanismi dì controllo in particolare per il consumo di alcolici, e senza ledere il diritto dei residenti alla vivibilità del territorio e alla normale mobilità. In ogni caso, resta ferma la finalità di tutela e salvaguardia delle zone di pregio artistico, storico, architettonico e ambientale e sono vietati criteri legati alla verifica di natura economica o fondati sulla prova dell'esistenza di un bisogno economico o sulla prova di una domanda di mercato, quali entità delle vendite di alimenti e bevande e presenza di altri esercizi di somministrazione</w:t>
      </w:r>
      <w:r w:rsidRPr="00974236">
        <w:rPr>
          <w:rFonts w:ascii="Times New Roman" w:hAnsi="Times New Roman" w:cs="Times New Roman"/>
          <w:color w:val="19191A"/>
          <w:shd w:val="clear" w:color="auto" w:fill="FFFFFF"/>
        </w:rPr>
        <w:t xml:space="preserve">» (comma 3, secondo periodo). Per un’analitica ricostruzione della stratificazione normativa in materia di limitazioni alle attività commerciali per ragioni di tutela (anche) del paesaggio e dell’ambiente, v. ancora </w:t>
      </w:r>
      <w:r w:rsidRPr="00974236">
        <w:rPr>
          <w:rFonts w:ascii="Times New Roman" w:hAnsi="Times New Roman" w:cs="Times New Roman"/>
          <w:b/>
          <w:color w:val="19191A"/>
          <w:shd w:val="clear" w:color="auto" w:fill="FFFFFF"/>
        </w:rPr>
        <w:t xml:space="preserve">Cons. Stato, sez. II, 23 luglio 2024, n. 6666, </w:t>
      </w:r>
      <w:r w:rsidRPr="00974236">
        <w:rPr>
          <w:rFonts w:ascii="Times New Roman" w:hAnsi="Times New Roman" w:cs="Times New Roman"/>
          <w:color w:val="19191A"/>
          <w:shd w:val="clear" w:color="auto" w:fill="FFFFFF"/>
        </w:rPr>
        <w:t xml:space="preserve">cit. </w:t>
      </w:r>
      <w:r w:rsidRPr="00974236">
        <w:rPr>
          <w:rFonts w:ascii="Times New Roman" w:hAnsi="Times New Roman" w:cs="Times New Roman"/>
          <w:i/>
          <w:color w:val="19191A"/>
          <w:shd w:val="clear" w:color="auto" w:fill="FFFFFF"/>
        </w:rPr>
        <w:t>sub</w:t>
      </w:r>
      <w:r w:rsidRPr="00974236">
        <w:rPr>
          <w:rFonts w:ascii="Times New Roman" w:hAnsi="Times New Roman" w:cs="Times New Roman"/>
          <w:color w:val="19191A"/>
          <w:shd w:val="clear" w:color="auto" w:fill="FFFFFF"/>
        </w:rPr>
        <w:t xml:space="preserve"> nota 6.</w:t>
      </w:r>
    </w:p>
  </w:footnote>
  <w:footnote w:id="10">
    <w:p w:rsidR="00E27CDD" w:rsidRPr="002A4914" w:rsidRDefault="00E27CDD" w:rsidP="00974236">
      <w:pPr>
        <w:pStyle w:val="Testonotaapidipagina"/>
        <w:jc w:val="both"/>
        <w:rPr>
          <w:rFonts w:ascii="Times New Roman" w:hAnsi="Times New Roman" w:cs="Times New Roman"/>
        </w:rPr>
      </w:pPr>
      <w:r>
        <w:rPr>
          <w:rStyle w:val="Rimandonotaapidipagina"/>
        </w:rPr>
        <w:footnoteRef/>
      </w:r>
      <w:r>
        <w:t xml:space="preserve"> </w:t>
      </w:r>
      <w:r w:rsidRPr="00AA289B">
        <w:rPr>
          <w:rFonts w:ascii="Times New Roman" w:hAnsi="Times New Roman" w:cs="Times New Roman"/>
        </w:rPr>
        <w:t xml:space="preserve">Il comma 2 dell’art. 152 del r.d. 6 maggio 1940, n. 635, recante il regolamento per l’esecuzione del </w:t>
      </w:r>
      <w:proofErr w:type="spellStart"/>
      <w:r w:rsidRPr="00AA289B">
        <w:rPr>
          <w:rFonts w:ascii="Times New Roman" w:hAnsi="Times New Roman" w:cs="Times New Roman"/>
        </w:rPr>
        <w:t>t.u.l.p.s</w:t>
      </w:r>
      <w:proofErr w:type="spellEnd"/>
      <w:r w:rsidRPr="00AA289B">
        <w:rPr>
          <w:rFonts w:ascii="Times New Roman" w:hAnsi="Times New Roman" w:cs="Times New Roman"/>
        </w:rPr>
        <w:t>., sostituito dall’art. 2, comma 1, lett. g), del d.P.R. 28 maggio 2001, n. 311, reca</w:t>
      </w:r>
      <w:r w:rsidRPr="002A4914">
        <w:rPr>
          <w:rFonts w:ascii="Times New Roman" w:hAnsi="Times New Roman" w:cs="Times New Roman"/>
          <w:i/>
        </w:rPr>
        <w:t>: «Per le attività ricomprese fra quelle indicate dall'articolo 86 della legge o dall'articolo 158 del presente regolamento, disciplinate da altre disposizioni di legge statale o regionale, la licenza e ogni altro titolo autorizzatorio, comunque denominato, previsti da queste ultime disposizioni, svolge anche, previa verifica della sussistenza delle condizioni previste dalla legge, la funzione di autorizzazione ai fini del predetto articolo 86, con l'osservanza delle disposizioni del titolo I, capi III e IV, e degli articoli 100, 101, 108, terzo comma, 109 e 110 della legge, nonché di quelle del presente regolamento non incompatibili con altre disposizioni che disciplinano specificamente la materia</w:t>
      </w:r>
      <w:r w:rsidRPr="002A4914">
        <w:rPr>
          <w:rFonts w:ascii="Times New Roman" w:hAnsi="Times New Roman" w:cs="Times New Roman"/>
        </w:rPr>
        <w:t>».</w:t>
      </w:r>
    </w:p>
  </w:footnote>
  <w:footnote w:id="11">
    <w:p w:rsidR="00E27CDD" w:rsidRDefault="00E27CDD" w:rsidP="00974236">
      <w:pPr>
        <w:pStyle w:val="Testonotaapidipagina"/>
        <w:jc w:val="both"/>
      </w:pPr>
      <w:r>
        <w:rPr>
          <w:rStyle w:val="Rimandonotaapidipagina"/>
        </w:rPr>
        <w:footnoteRef/>
      </w:r>
      <w:r>
        <w:t xml:space="preserve"> </w:t>
      </w:r>
      <w:r w:rsidRPr="000E3106">
        <w:rPr>
          <w:rFonts w:ascii="Times New Roman" w:hAnsi="Times New Roman" w:cs="Times New Roman"/>
        </w:rPr>
        <w:t xml:space="preserve">Sulla </w:t>
      </w:r>
      <w:proofErr w:type="spellStart"/>
      <w:r w:rsidR="00472539">
        <w:rPr>
          <w:rFonts w:ascii="Times New Roman" w:hAnsi="Times New Roman" w:cs="Times New Roman"/>
        </w:rPr>
        <w:t>desumibilità</w:t>
      </w:r>
      <w:proofErr w:type="spellEnd"/>
      <w:r w:rsidR="00472539">
        <w:rPr>
          <w:rFonts w:ascii="Times New Roman" w:hAnsi="Times New Roman" w:cs="Times New Roman"/>
        </w:rPr>
        <w:t xml:space="preserve"> </w:t>
      </w:r>
      <w:r w:rsidRPr="000E3106">
        <w:rPr>
          <w:rFonts w:ascii="Times New Roman" w:hAnsi="Times New Roman" w:cs="Times New Roman"/>
        </w:rPr>
        <w:t xml:space="preserve">della rilevante permanenza del requisito della buona condotta anche dalla lettura della sentenza della Corte costituzionale </w:t>
      </w:r>
      <w:r w:rsidR="00472539">
        <w:rPr>
          <w:rFonts w:ascii="Times New Roman" w:hAnsi="Times New Roman" w:cs="Times New Roman"/>
        </w:rPr>
        <w:t>n. 440 del 1993</w:t>
      </w:r>
      <w:r w:rsidRPr="000E3106">
        <w:rPr>
          <w:rFonts w:ascii="Times New Roman" w:hAnsi="Times New Roman" w:cs="Times New Roman"/>
        </w:rPr>
        <w:t xml:space="preserve">, v.  </w:t>
      </w:r>
      <w:r w:rsidRPr="000E3106">
        <w:rPr>
          <w:rFonts w:ascii="Times New Roman" w:hAnsi="Times New Roman" w:cs="Times New Roman"/>
          <w:b/>
        </w:rPr>
        <w:t xml:space="preserve">Cons. Stato, sez. III, 6 dicembre 2019, n. 8368: </w:t>
      </w:r>
      <w:r w:rsidRPr="000E3106">
        <w:rPr>
          <w:rFonts w:ascii="Times New Roman" w:hAnsi="Times New Roman" w:cs="Times New Roman"/>
        </w:rPr>
        <w:t>nel caso all’esame dei giudici, il diniego di porto d’armi</w:t>
      </w:r>
      <w:r w:rsidR="00472539">
        <w:rPr>
          <w:rFonts w:ascii="Times New Roman" w:hAnsi="Times New Roman" w:cs="Times New Roman"/>
        </w:rPr>
        <w:t>, del quale si controverteva,</w:t>
      </w:r>
      <w:r w:rsidRPr="000E3106">
        <w:rPr>
          <w:rFonts w:ascii="Times New Roman" w:hAnsi="Times New Roman" w:cs="Times New Roman"/>
        </w:rPr>
        <w:t xml:space="preserve"> è stato ritenuto correttamente motivato in base al combinato disposto degli artt. 11 e 43 del </w:t>
      </w:r>
      <w:proofErr w:type="spellStart"/>
      <w:r w:rsidRPr="000E3106">
        <w:rPr>
          <w:rFonts w:ascii="Times New Roman" w:hAnsi="Times New Roman" w:cs="Times New Roman"/>
        </w:rPr>
        <w:t>T.u.l.p.s</w:t>
      </w:r>
      <w:proofErr w:type="spellEnd"/>
      <w:r w:rsidRPr="000E3106">
        <w:rPr>
          <w:rFonts w:ascii="Times New Roman" w:hAnsi="Times New Roman" w:cs="Times New Roman"/>
        </w:rPr>
        <w:t xml:space="preserve">. sulla base dei procedimenti penali per i quali il richiedente era semplicemente indagato, non </w:t>
      </w:r>
      <w:r w:rsidR="00472539">
        <w:rPr>
          <w:rFonts w:ascii="Times New Roman" w:hAnsi="Times New Roman" w:cs="Times New Roman"/>
        </w:rPr>
        <w:t xml:space="preserve">essendo ancora intervenuta alcuna </w:t>
      </w:r>
      <w:r w:rsidRPr="000E3106">
        <w:rPr>
          <w:rFonts w:ascii="Times New Roman" w:hAnsi="Times New Roman" w:cs="Times New Roman"/>
        </w:rPr>
        <w:t xml:space="preserve">condanna. Sulla circostanza che il diniego </w:t>
      </w:r>
      <w:r w:rsidR="00472539">
        <w:rPr>
          <w:rFonts w:ascii="Times New Roman" w:hAnsi="Times New Roman" w:cs="Times New Roman"/>
        </w:rPr>
        <w:t>-</w:t>
      </w:r>
      <w:r w:rsidRPr="000E3106">
        <w:rPr>
          <w:rFonts w:ascii="Times New Roman" w:hAnsi="Times New Roman" w:cs="Times New Roman"/>
        </w:rPr>
        <w:t xml:space="preserve"> sempre riferito all’uso di armi - può scaturire anche da situazioni che non hanno dato luogo a condanne penali o a misure di pubblica sicurezza, essendo il relativo giudizio prognostico considerato più stringente del giudizio di pericolosità sociale o di responsabilità penale, v. anche </w:t>
      </w:r>
      <w:r w:rsidRPr="00472539">
        <w:rPr>
          <w:rFonts w:ascii="Times New Roman" w:hAnsi="Times New Roman" w:cs="Times New Roman"/>
          <w:b/>
        </w:rPr>
        <w:t>Cons. Stato, sez</w:t>
      </w:r>
      <w:r w:rsidRPr="000E3106">
        <w:rPr>
          <w:rFonts w:ascii="Times New Roman" w:hAnsi="Times New Roman" w:cs="Times New Roman"/>
        </w:rPr>
        <w:t xml:space="preserve">. </w:t>
      </w:r>
      <w:r w:rsidRPr="000E3106">
        <w:rPr>
          <w:rFonts w:ascii="Times New Roman" w:hAnsi="Times New Roman" w:cs="Times New Roman"/>
          <w:b/>
        </w:rPr>
        <w:t xml:space="preserve">III, 1° luglio 2019, n. 4511; </w:t>
      </w:r>
      <w:r w:rsidRPr="000E3106">
        <w:rPr>
          <w:rFonts w:ascii="Times New Roman" w:hAnsi="Times New Roman" w:cs="Times New Roman"/>
          <w:b/>
          <w:i/>
        </w:rPr>
        <w:t>id</w:t>
      </w:r>
      <w:r w:rsidRPr="000E3106">
        <w:rPr>
          <w:rFonts w:ascii="Times New Roman" w:hAnsi="Times New Roman" w:cs="Times New Roman"/>
          <w:b/>
        </w:rPr>
        <w:t>., 25 luglio 2019</w:t>
      </w:r>
      <w:r>
        <w:rPr>
          <w:rFonts w:ascii="Times New Roman" w:hAnsi="Times New Roman" w:cs="Times New Roman"/>
          <w:b/>
        </w:rPr>
        <w:t>,</w:t>
      </w:r>
      <w:r w:rsidRPr="000E3106">
        <w:rPr>
          <w:rFonts w:ascii="Times New Roman" w:hAnsi="Times New Roman" w:cs="Times New Roman"/>
          <w:b/>
        </w:rPr>
        <w:t xml:space="preserve"> n. 1972 e 1° aprile 2019, n. 2135).</w:t>
      </w:r>
    </w:p>
  </w:footnote>
  <w:footnote w:id="12">
    <w:p w:rsidR="00050CF6" w:rsidRDefault="00050CF6" w:rsidP="000969D8">
      <w:pPr>
        <w:pStyle w:val="Testonotaapidipagina"/>
        <w:jc w:val="both"/>
      </w:pPr>
      <w:r>
        <w:rPr>
          <w:rStyle w:val="Rimandonotaapidipagina"/>
        </w:rPr>
        <w:footnoteRef/>
      </w:r>
      <w:r>
        <w:t xml:space="preserve"> Con l’art. 13 del n. 5 del 9 febbraio 2012</w:t>
      </w:r>
      <w:r w:rsidR="009C26FA">
        <w:t xml:space="preserve">, convertito dalla l. n. 35 del 4 aprile 2012, </w:t>
      </w:r>
      <w:r>
        <w:t xml:space="preserve"> la licenza per le attività di agenzie di affari è stata sostituita da una comunicazione al Questore</w:t>
      </w:r>
      <w:r w:rsidR="009C26FA">
        <w:t xml:space="preserve">. La disposizione è stata interpretata come riferita alle sole </w:t>
      </w:r>
      <w:r>
        <w:t xml:space="preserve">agenzie di pubblici incanti, matrimoniali e di pubbliche relazioni, </w:t>
      </w:r>
      <w:r w:rsidR="009C26FA">
        <w:t xml:space="preserve">stante che esse erano le uniche rimaste nella competenza del Questore dopo il trasferimento della stessa ai Comuni ad opera del d.lgs. 31 marzo 1998, n. 112 (art. 163, comma 2, lett. b) e d). Resta pertanto la licenza del Questore per le agenzie di recupero crediti, </w:t>
      </w:r>
      <w:r w:rsidR="00186A3B">
        <w:t>espressamente escluso dalla riforma del 2012. Resta altresì il rilascio della licenza comunale per tutte le altre agenzie.</w:t>
      </w:r>
      <w:r>
        <w:t xml:space="preserve">  Il Ministero dell’interno, in controtendenza con la propria impostazione tradizionale, ha ritenuto</w:t>
      </w:r>
      <w:r w:rsidR="00186A3B">
        <w:t xml:space="preserve"> che proprio in ragione della natura ibrida di tale comunicazione, che si pone a metà strada tra la s.c.i.a. e una completa liberalizzazione, a tale comunicazione ( e quindi a tale tipologia di agenzie) </w:t>
      </w:r>
      <w:r>
        <w:t xml:space="preserve"> </w:t>
      </w:r>
      <w:r w:rsidR="00186A3B">
        <w:t>non si applicherebbero i principi generali in materia di autorizzazioni di polizia, eccezion fatta per l’art. 16 sul potere ispettivo e delle disposizioni concernenti l’esercizio dell’attività, quali l’art. 120 sull’</w:t>
      </w:r>
      <w:r w:rsidR="000969D8">
        <w:t>obblig</w:t>
      </w:r>
      <w:r w:rsidR="00186A3B">
        <w:t xml:space="preserve">o </w:t>
      </w:r>
      <w:r w:rsidR="000969D8">
        <w:t>di tenuta de</w:t>
      </w:r>
      <w:r w:rsidR="00186A3B">
        <w:t>l</w:t>
      </w:r>
      <w:r w:rsidR="000969D8">
        <w:t xml:space="preserve"> registr</w:t>
      </w:r>
      <w:r w:rsidR="00186A3B">
        <w:t>o</w:t>
      </w:r>
      <w:r w:rsidR="000969D8">
        <w:t xml:space="preserve"> giornale degli affari e di esposizione della tabella con le tariffe  (circolare del 19 dicembre 2013</w:t>
      </w:r>
      <w:r w:rsidR="00186A3B">
        <w:t>, indirizzata alle Questure</w:t>
      </w:r>
      <w:r w:rsidR="000969D8">
        <w:t>).</w:t>
      </w:r>
      <w:r>
        <w:t xml:space="preserve">  </w:t>
      </w:r>
    </w:p>
  </w:footnote>
  <w:footnote w:id="13">
    <w:p w:rsidR="00804A98" w:rsidRDefault="00E27CDD" w:rsidP="00804A98">
      <w:pPr>
        <w:pStyle w:val="Testonotaapidipagina"/>
        <w:jc w:val="both"/>
      </w:pPr>
      <w:r>
        <w:rPr>
          <w:rStyle w:val="Rimandonotaapidipagina"/>
        </w:rPr>
        <w:footnoteRef/>
      </w:r>
      <w:r>
        <w:t xml:space="preserve"> </w:t>
      </w:r>
      <w:r w:rsidRPr="00472539">
        <w:rPr>
          <w:rFonts w:ascii="Times New Roman" w:hAnsi="Times New Roman" w:cs="Times New Roman"/>
        </w:rPr>
        <w:t xml:space="preserve">Nella sentenza peraltro l’accertamento dei requisiti è stato ritenuto necessario anche con riferimento ai collaboratori delle agenzie di investigazione. </w:t>
      </w:r>
      <w:r w:rsidR="00804A98">
        <w:rPr>
          <w:rFonts w:ascii="Times New Roman" w:hAnsi="Times New Roman" w:cs="Times New Roman"/>
        </w:rPr>
        <w:t xml:space="preserve">Nello specifico, tuttavia, </w:t>
      </w:r>
      <w:r w:rsidR="00804A98" w:rsidRPr="00472539">
        <w:rPr>
          <w:rFonts w:ascii="Times New Roman" w:hAnsi="Times New Roman" w:cs="Times New Roman"/>
          <w:color w:val="000000"/>
        </w:rPr>
        <w:t xml:space="preserve">l’appello del Ministero dell’interno è stato comunque respinto </w:t>
      </w:r>
      <w:proofErr w:type="gramStart"/>
      <w:r w:rsidR="00804A98" w:rsidRPr="00472539">
        <w:rPr>
          <w:rFonts w:ascii="Times New Roman" w:hAnsi="Times New Roman" w:cs="Times New Roman"/>
          <w:color w:val="000000"/>
        </w:rPr>
        <w:t>e</w:t>
      </w:r>
      <w:proofErr w:type="gramEnd"/>
      <w:r w:rsidR="00804A98" w:rsidRPr="00472539">
        <w:rPr>
          <w:rFonts w:ascii="Times New Roman" w:hAnsi="Times New Roman" w:cs="Times New Roman"/>
          <w:color w:val="000000"/>
        </w:rPr>
        <w:t xml:space="preserve"> la sentenza del T</w:t>
      </w:r>
      <w:r w:rsidR="00804A98">
        <w:rPr>
          <w:rFonts w:ascii="Times New Roman" w:hAnsi="Times New Roman" w:cs="Times New Roman"/>
          <w:color w:val="000000"/>
        </w:rPr>
        <w:t>.</w:t>
      </w:r>
      <w:r w:rsidR="00804A98" w:rsidRPr="00472539">
        <w:rPr>
          <w:rFonts w:ascii="Times New Roman" w:hAnsi="Times New Roman" w:cs="Times New Roman"/>
          <w:color w:val="000000"/>
        </w:rPr>
        <w:t>a</w:t>
      </w:r>
      <w:r w:rsidR="00804A98">
        <w:rPr>
          <w:rFonts w:ascii="Times New Roman" w:hAnsi="Times New Roman" w:cs="Times New Roman"/>
          <w:color w:val="000000"/>
        </w:rPr>
        <w:t>.</w:t>
      </w:r>
      <w:r w:rsidR="00804A98" w:rsidRPr="00472539">
        <w:rPr>
          <w:rFonts w:ascii="Times New Roman" w:hAnsi="Times New Roman" w:cs="Times New Roman"/>
          <w:color w:val="000000"/>
        </w:rPr>
        <w:t>r</w:t>
      </w:r>
      <w:r w:rsidR="00804A98">
        <w:rPr>
          <w:rFonts w:ascii="Times New Roman" w:hAnsi="Times New Roman" w:cs="Times New Roman"/>
          <w:color w:val="000000"/>
        </w:rPr>
        <w:t>.</w:t>
      </w:r>
      <w:r w:rsidR="00804A98" w:rsidRPr="00472539">
        <w:rPr>
          <w:rFonts w:ascii="Times New Roman" w:hAnsi="Times New Roman" w:cs="Times New Roman"/>
          <w:color w:val="000000"/>
        </w:rPr>
        <w:t xml:space="preserve"> per la Campania di annullamento del diniego confermata per difetto di motivazione, e di istruttoria, richiamando precedenti in termini (</w:t>
      </w:r>
      <w:r w:rsidR="00804A98" w:rsidRPr="00472539">
        <w:rPr>
          <w:rFonts w:ascii="Times New Roman" w:hAnsi="Times New Roman" w:cs="Times New Roman"/>
          <w:b/>
          <w:color w:val="000000"/>
        </w:rPr>
        <w:t>Cons. Stato, sez. III, 19 maggio 2023, n. 4981).</w:t>
      </w:r>
    </w:p>
    <w:p w:rsidR="00E27CDD" w:rsidRPr="00472539" w:rsidRDefault="00E27CDD" w:rsidP="0071459B">
      <w:pPr>
        <w:pStyle w:val="Testonotaapidipagina"/>
        <w:jc w:val="both"/>
        <w:rPr>
          <w:rFonts w:ascii="Times New Roman" w:hAnsi="Times New Roman" w:cs="Times New Roman"/>
        </w:rPr>
      </w:pPr>
      <w:r w:rsidRPr="00472539">
        <w:rPr>
          <w:rFonts w:ascii="Times New Roman" w:hAnsi="Times New Roman" w:cs="Times New Roman"/>
        </w:rPr>
        <w:t xml:space="preserve"> </w:t>
      </w:r>
    </w:p>
  </w:footnote>
  <w:footnote w:id="14">
    <w:p w:rsidR="00D47EFF" w:rsidRDefault="00D47EFF" w:rsidP="00D47EFF">
      <w:pPr>
        <w:pStyle w:val="Testonotaapidipagina"/>
        <w:jc w:val="both"/>
      </w:pPr>
      <w:r>
        <w:rPr>
          <w:rStyle w:val="Rimandonotaapidipagina"/>
        </w:rPr>
        <w:footnoteRef/>
      </w:r>
      <w:r>
        <w:t xml:space="preserve"> </w:t>
      </w:r>
      <w:r w:rsidRPr="00D47EFF">
        <w:rPr>
          <w:rFonts w:ascii="Times New Roman" w:hAnsi="Times New Roman" w:cs="Times New Roman"/>
        </w:rPr>
        <w:t>La pronuncia, in verità, non è di aiuto nella categorizzazione delle varie ipotesi di revoca/decadenza, limitandosi a tracciare dei distinguo, pure con qualche inesattezza sulla decorrenza (</w:t>
      </w:r>
      <w:r w:rsidRPr="00D47EFF">
        <w:rPr>
          <w:rFonts w:ascii="Times New Roman" w:hAnsi="Times New Roman" w:cs="Times New Roman"/>
          <w:i/>
        </w:rPr>
        <w:t>ex tunc</w:t>
      </w:r>
      <w:r w:rsidRPr="00D47EFF">
        <w:rPr>
          <w:rFonts w:ascii="Times New Roman" w:hAnsi="Times New Roman" w:cs="Times New Roman"/>
        </w:rPr>
        <w:t xml:space="preserve"> o </w:t>
      </w:r>
      <w:r w:rsidRPr="00D47EFF">
        <w:rPr>
          <w:rFonts w:ascii="Times New Roman" w:hAnsi="Times New Roman" w:cs="Times New Roman"/>
          <w:i/>
        </w:rPr>
        <w:t>ex nunc</w:t>
      </w:r>
      <w:r w:rsidRPr="00D47EFF">
        <w:rPr>
          <w:rFonts w:ascii="Times New Roman" w:hAnsi="Times New Roman" w:cs="Times New Roman"/>
        </w:rPr>
        <w:t>) degli effetti del provvedimento.</w:t>
      </w:r>
      <w:r>
        <w:t xml:space="preserve"> </w:t>
      </w:r>
    </w:p>
  </w:footnote>
  <w:footnote w:id="15">
    <w:p w:rsidR="00E27CDD" w:rsidRPr="00AA6A34" w:rsidRDefault="00E27CDD" w:rsidP="00AA6A34">
      <w:pPr>
        <w:pStyle w:val="Testonotaapidipagina"/>
        <w:jc w:val="both"/>
        <w:rPr>
          <w:rFonts w:ascii="Times New Roman" w:hAnsi="Times New Roman" w:cs="Times New Roman"/>
        </w:rPr>
      </w:pPr>
      <w:r>
        <w:rPr>
          <w:rStyle w:val="Rimandonotaapidipagina"/>
        </w:rPr>
        <w:footnoteRef/>
      </w:r>
      <w:r>
        <w:t xml:space="preserve"> </w:t>
      </w:r>
      <w:r w:rsidRPr="00AA6A34">
        <w:rPr>
          <w:rFonts w:ascii="Times New Roman" w:eastAsia="Times New Roman" w:hAnsi="Times New Roman" w:cs="Times New Roman"/>
          <w:color w:val="000000"/>
          <w:lang w:eastAsia="it-IT"/>
        </w:rPr>
        <w:t>Nel caso di specie si controverteva della sanzione amministrativa non pecuniaria della confisca </w:t>
      </w:r>
      <w:r w:rsidRPr="00AA6A34">
        <w:rPr>
          <w:rFonts w:ascii="Times New Roman" w:eastAsia="Times New Roman" w:hAnsi="Times New Roman" w:cs="Times New Roman"/>
          <w:i/>
          <w:iCs/>
          <w:color w:val="000000"/>
          <w:lang w:eastAsia="it-IT"/>
        </w:rPr>
        <w:t>ex</w:t>
      </w:r>
      <w:r w:rsidRPr="00AA6A34">
        <w:rPr>
          <w:rFonts w:ascii="Times New Roman" w:eastAsia="Times New Roman" w:hAnsi="Times New Roman" w:cs="Times New Roman"/>
          <w:color w:val="000000"/>
          <w:lang w:eastAsia="it-IT"/>
        </w:rPr>
        <w:t> art. 44, c.2, t.u. edilizia, a seguito della commissione del reato di lottizzazione abusiva (sulla possibilità di addivenire alla confisca anche in caso di declaratoria di estinzione del reato per prescrizione, v. Corte cost., n. 49/2015, cit. </w:t>
      </w:r>
      <w:r w:rsidRPr="00AA6A34">
        <w:rPr>
          <w:rFonts w:ascii="Times New Roman" w:eastAsia="Times New Roman" w:hAnsi="Times New Roman" w:cs="Times New Roman"/>
          <w:i/>
          <w:iCs/>
          <w:color w:val="000000"/>
          <w:lang w:eastAsia="it-IT"/>
        </w:rPr>
        <w:t>supra</w:t>
      </w:r>
      <w:r w:rsidRPr="00AA6A34">
        <w:rPr>
          <w:rFonts w:ascii="Times New Roman" w:eastAsia="Times New Roman" w:hAnsi="Times New Roman" w:cs="Times New Roman"/>
          <w:color w:val="000000"/>
          <w:lang w:eastAsia="it-IT"/>
        </w:rPr>
        <w:t xml:space="preserve">; per un’applicazione dei principi della responsabilità incolpevole dell’acquirente in caso di lottizzazione abusiva, </w:t>
      </w:r>
      <w:r w:rsidRPr="00D47EFF">
        <w:rPr>
          <w:rFonts w:ascii="Times New Roman" w:eastAsia="Times New Roman" w:hAnsi="Times New Roman" w:cs="Times New Roman"/>
          <w:b/>
          <w:color w:val="000000"/>
          <w:lang w:eastAsia="it-IT"/>
        </w:rPr>
        <w:t>v. Cons. Stato, sez.VI, 20 settembre 2017, n. 4400</w:t>
      </w:r>
      <w:r w:rsidRPr="00AA6A34">
        <w:rPr>
          <w:rFonts w:ascii="Times New Roman" w:eastAsia="Times New Roman" w:hAnsi="Times New Roman" w:cs="Times New Roman"/>
          <w:color w:val="000000"/>
          <w:lang w:eastAsia="it-IT"/>
        </w:rPr>
        <w:t>). Avuto riguardo ad una graduazione minimale dell’elemento soggettivo all’interno della fattispecie illecita, si è ritenuta sufficiente la coscienza e volontà della condotta, senza addivenire all’affermata necessità della pienezza della presenza del dolo o della colpa a seconda della tipologia dell’illecito; ma di certo senza neppure ammettere forme di responsabilità oggettiva per fatto di terzi, in alcun modo ricollegabile alla sfera di controllo del soggetto punito</w:t>
      </w:r>
      <w:r w:rsidR="00F1131F">
        <w:rPr>
          <w:rFonts w:ascii="Times New Roman" w:eastAsia="Times New Roman" w:hAnsi="Times New Roman" w:cs="Times New Roman"/>
          <w:color w:val="000000"/>
          <w:lang w:eastAsia="it-IT"/>
        </w:rPr>
        <w:t>.</w:t>
      </w:r>
    </w:p>
  </w:footnote>
  <w:footnote w:id="16">
    <w:p w:rsidR="00E27CDD" w:rsidRPr="00D47EFF" w:rsidRDefault="00E27CDD" w:rsidP="00AA6A34">
      <w:pPr>
        <w:spacing w:after="0" w:line="240" w:lineRule="auto"/>
        <w:jc w:val="both"/>
        <w:rPr>
          <w:rFonts w:ascii="Times New Roman" w:eastAsia="Times New Roman" w:hAnsi="Times New Roman" w:cs="Times New Roman"/>
          <w:color w:val="000000"/>
          <w:sz w:val="20"/>
          <w:szCs w:val="20"/>
          <w:lang w:eastAsia="it-IT"/>
        </w:rPr>
      </w:pPr>
      <w:r w:rsidRPr="00AA6A34">
        <w:rPr>
          <w:rStyle w:val="Rimandonotaapidipagina"/>
          <w:rFonts w:ascii="Times New Roman" w:hAnsi="Times New Roman" w:cs="Times New Roman"/>
          <w:sz w:val="20"/>
          <w:szCs w:val="20"/>
        </w:rPr>
        <w:footnoteRef/>
      </w:r>
      <w:r w:rsidRPr="00AA6A34">
        <w:rPr>
          <w:rFonts w:ascii="Times New Roman" w:hAnsi="Times New Roman" w:cs="Times New Roman"/>
          <w:sz w:val="20"/>
          <w:szCs w:val="20"/>
        </w:rPr>
        <w:t xml:space="preserve"> </w:t>
      </w:r>
      <w:r w:rsidRPr="00D47EFF">
        <w:rPr>
          <w:rFonts w:ascii="Times New Roman" w:hAnsi="Times New Roman" w:cs="Times New Roman"/>
          <w:sz w:val="20"/>
          <w:szCs w:val="20"/>
        </w:rPr>
        <w:t xml:space="preserve">In tale pronuncia, si riconosce il potere di revoca in capo (anche) al Questore, quale Autorità locale di </w:t>
      </w:r>
      <w:proofErr w:type="spellStart"/>
      <w:r w:rsidRPr="00D47EFF">
        <w:rPr>
          <w:rFonts w:ascii="Times New Roman" w:hAnsi="Times New Roman" w:cs="Times New Roman"/>
          <w:sz w:val="20"/>
          <w:szCs w:val="20"/>
        </w:rPr>
        <w:t>p.s.</w:t>
      </w:r>
      <w:proofErr w:type="spellEnd"/>
      <w:r w:rsidRPr="00D47EFF">
        <w:rPr>
          <w:rFonts w:ascii="Times New Roman" w:hAnsi="Times New Roman" w:cs="Times New Roman"/>
          <w:sz w:val="20"/>
          <w:szCs w:val="20"/>
        </w:rPr>
        <w:t xml:space="preserve">, stabilendo che </w:t>
      </w:r>
      <w:r w:rsidRPr="00D47EFF">
        <w:rPr>
          <w:rFonts w:ascii="Times New Roman" w:eastAsia="Times New Roman" w:hAnsi="Times New Roman" w:cs="Times New Roman"/>
          <w:color w:val="000000"/>
          <w:sz w:val="20"/>
          <w:szCs w:val="20"/>
          <w:lang w:eastAsia="it-IT"/>
        </w:rPr>
        <w:t>non è prospettabile alcuna violazione del principio del ne bis in idem in materia sanzionatoria né alcuna incompatibilità con le competenze del Sindaco (per il rilascio di autorizzazioni per la medesima attività) atteso che la disposta revoca rientra nella discrezionalità dell’Autorità di pubblica sicurezza che, in base alla gravità dell’abuso commesso, compie un’autonoma valutazione nell’ambito delle proprie attribuzioni finalizzate alla cura dell’ordine e la sicurezza pubblica.</w:t>
      </w:r>
    </w:p>
    <w:p w:rsidR="00E27CDD" w:rsidRPr="00AE5B6F" w:rsidRDefault="00E27CDD" w:rsidP="00AE5B6F">
      <w:pPr>
        <w:pStyle w:val="Testonotaapidipagina"/>
        <w:rPr>
          <w:rFonts w:ascii="Times New Roman" w:hAnsi="Times New Roman" w:cs="Times New Roman"/>
          <w:sz w:val="16"/>
          <w:szCs w:val="16"/>
        </w:rPr>
      </w:pPr>
    </w:p>
  </w:footnote>
  <w:footnote w:id="17">
    <w:p w:rsidR="00E27CDD" w:rsidRPr="00A834CF" w:rsidRDefault="00E27CDD">
      <w:pPr>
        <w:pStyle w:val="Testonotaapidipagina"/>
        <w:rPr>
          <w:rFonts w:ascii="Times New Roman" w:hAnsi="Times New Roman" w:cs="Times New Roman"/>
        </w:rPr>
      </w:pPr>
      <w:r>
        <w:rPr>
          <w:rStyle w:val="Rimandonotaapidipagina"/>
        </w:rPr>
        <w:footnoteRef/>
      </w:r>
      <w:r>
        <w:t xml:space="preserve"> </w:t>
      </w:r>
      <w:r w:rsidRPr="00A834CF">
        <w:rPr>
          <w:rFonts w:ascii="Times New Roman" w:hAnsi="Times New Roman" w:cs="Times New Roman"/>
        </w:rPr>
        <w:t xml:space="preserve">Non a caso, nell’elencazione originariamente contenuta nell’art. 68 del TULPS figuravano anche le rappresentazioni teatrali o cinematografiche, </w:t>
      </w:r>
      <w:r w:rsidR="00A834CF" w:rsidRPr="00A834CF">
        <w:rPr>
          <w:rFonts w:ascii="Times New Roman" w:hAnsi="Times New Roman" w:cs="Times New Roman"/>
        </w:rPr>
        <w:t xml:space="preserve">il cui richiamo è stato </w:t>
      </w:r>
      <w:r w:rsidRPr="00A834CF">
        <w:rPr>
          <w:rFonts w:ascii="Times New Roman" w:hAnsi="Times New Roman" w:cs="Times New Roman"/>
        </w:rPr>
        <w:t>abrogat</w:t>
      </w:r>
      <w:r w:rsidR="00A834CF" w:rsidRPr="00A834CF">
        <w:rPr>
          <w:rFonts w:ascii="Times New Roman" w:hAnsi="Times New Roman" w:cs="Times New Roman"/>
        </w:rPr>
        <w:t>o dall’</w:t>
      </w:r>
      <w:r w:rsidRPr="00A834CF">
        <w:rPr>
          <w:rFonts w:ascii="Times New Roman" w:hAnsi="Times New Roman" w:cs="Times New Roman"/>
        </w:rPr>
        <w:t xml:space="preserve">art. 164, comma 3, del d.lgs. 31 marzo 1998, n. 112.  </w:t>
      </w:r>
    </w:p>
  </w:footnote>
  <w:footnote w:id="18">
    <w:p w:rsidR="00E27CDD" w:rsidRPr="00A834CF" w:rsidRDefault="00E27CDD" w:rsidP="00D252E5">
      <w:pPr>
        <w:pStyle w:val="Testonotaapidipagina"/>
        <w:jc w:val="both"/>
        <w:rPr>
          <w:rFonts w:ascii="Times New Roman" w:hAnsi="Times New Roman" w:cs="Times New Roman"/>
        </w:rPr>
      </w:pPr>
      <w:r w:rsidRPr="00A834CF">
        <w:rPr>
          <w:rStyle w:val="Rimandonotaapidipagina"/>
          <w:rFonts w:ascii="Times New Roman" w:hAnsi="Times New Roman" w:cs="Times New Roman"/>
        </w:rPr>
        <w:footnoteRef/>
      </w:r>
      <w:r w:rsidRPr="00A834CF">
        <w:rPr>
          <w:rFonts w:ascii="Times New Roman" w:hAnsi="Times New Roman" w:cs="Times New Roman"/>
        </w:rPr>
        <w:t xml:space="preserve"> </w:t>
      </w:r>
      <w:r w:rsidRPr="00A834CF">
        <w:rPr>
          <w:rFonts w:ascii="Times New Roman" w:hAnsi="Times New Roman" w:cs="Times New Roman"/>
          <w:b/>
        </w:rPr>
        <w:t>Cons. Stato, sez. V, 6 dicembre 2023, n. 10576</w:t>
      </w:r>
      <w:r w:rsidRPr="00A834CF">
        <w:rPr>
          <w:rFonts w:ascii="Times New Roman" w:hAnsi="Times New Roman" w:cs="Times New Roman"/>
        </w:rPr>
        <w:t xml:space="preserve">. In tale sentenza si afferma la necessità della licenza </w:t>
      </w:r>
      <w:r w:rsidRPr="007C3693">
        <w:rPr>
          <w:rFonts w:ascii="Times New Roman" w:hAnsi="Times New Roman" w:cs="Times New Roman"/>
          <w:i/>
        </w:rPr>
        <w:t>ex</w:t>
      </w:r>
      <w:r w:rsidRPr="00A834CF">
        <w:rPr>
          <w:rFonts w:ascii="Times New Roman" w:hAnsi="Times New Roman" w:cs="Times New Roman"/>
        </w:rPr>
        <w:t xml:space="preserve"> art. 68 del </w:t>
      </w:r>
      <w:proofErr w:type="spellStart"/>
      <w:r w:rsidRPr="00A834CF">
        <w:rPr>
          <w:rFonts w:ascii="Times New Roman" w:hAnsi="Times New Roman" w:cs="Times New Roman"/>
        </w:rPr>
        <w:t>T.u.l.p.s</w:t>
      </w:r>
      <w:proofErr w:type="spellEnd"/>
      <w:r w:rsidRPr="00A834CF">
        <w:rPr>
          <w:rFonts w:ascii="Times New Roman" w:hAnsi="Times New Roman" w:cs="Times New Roman"/>
        </w:rPr>
        <w:t>. come parco di divertimento, ravvisando l’</w:t>
      </w:r>
      <w:r w:rsidRPr="00A834CF">
        <w:rPr>
          <w:rFonts w:ascii="Times New Roman" w:hAnsi="Times New Roman" w:cs="Times New Roman"/>
          <w:color w:val="000000"/>
        </w:rPr>
        <w:t>elemento discretivo rispetto all’autorizzazione </w:t>
      </w:r>
      <w:r w:rsidRPr="00A834CF">
        <w:rPr>
          <w:rFonts w:ascii="Times New Roman" w:hAnsi="Times New Roman" w:cs="Times New Roman"/>
          <w:i/>
          <w:iCs/>
          <w:color w:val="000000"/>
        </w:rPr>
        <w:t>ex</w:t>
      </w:r>
      <w:r w:rsidRPr="00A834CF">
        <w:rPr>
          <w:rFonts w:ascii="Times New Roman" w:hAnsi="Times New Roman" w:cs="Times New Roman"/>
          <w:color w:val="000000"/>
        </w:rPr>
        <w:t> art. 69 per attrazioni dello spettacolo viaggiante non nella qualificazione formale, ma nella effettiva attitudine del parco, in considerazione delle concrete modalità organizzative e delle attrezzature utilizzate, a richiamare un più ampio pubblico di minori con conseguente maggiore pericolosità potenziale. Nella specie, l’interessato aveva avuto concessioni di suolo pubblico per attrazioni dello spettacolo viaggiante, e dunque non poteva basare sulle stesse il proprio affidamento al mantenimento di un vero e proprio parco di divertimenti (“</w:t>
      </w:r>
      <w:proofErr w:type="spellStart"/>
      <w:r w:rsidRPr="00A834CF">
        <w:rPr>
          <w:rFonts w:ascii="Times New Roman" w:hAnsi="Times New Roman" w:cs="Times New Roman"/>
          <w:color w:val="000000"/>
        </w:rPr>
        <w:t>Laborandia</w:t>
      </w:r>
      <w:proofErr w:type="spellEnd"/>
      <w:r w:rsidRPr="00A834CF">
        <w:rPr>
          <w:rFonts w:ascii="Times New Roman" w:hAnsi="Times New Roman" w:cs="Times New Roman"/>
          <w:color w:val="000000"/>
        </w:rPr>
        <w:t xml:space="preserve">”, nel Comune di Roma Capitale). </w:t>
      </w:r>
      <w:r w:rsidRPr="00A834CF">
        <w:rPr>
          <w:rFonts w:ascii="Times New Roman" w:hAnsi="Times New Roman" w:cs="Times New Roman"/>
        </w:rPr>
        <w:t>In verità, pur condividendosi le conclusioni cui addiviene la pronuncia riportata nel testo, il percorso argomentativo non tiene conto della legislazione speciale afferente le attrazioni dello spettacolo viaggiante e pare confondere la necessità (indubbia) di sottoporre a verifica di agibilità il parco di divertimento ove insistono le plurime attrazioni con la diversità del titolo di polizia amministrativa.</w:t>
      </w:r>
    </w:p>
  </w:footnote>
  <w:footnote w:id="19">
    <w:p w:rsidR="00E27CDD" w:rsidRPr="00A3264A" w:rsidRDefault="00E27CDD" w:rsidP="00AD697A">
      <w:pPr>
        <w:pStyle w:val="Testonotaapidipagina"/>
        <w:jc w:val="both"/>
        <w:rPr>
          <w:rFonts w:ascii="Times New Roman" w:hAnsi="Times New Roman" w:cs="Times New Roman"/>
        </w:rPr>
      </w:pPr>
      <w:r>
        <w:rPr>
          <w:rStyle w:val="Rimandonotaapidipagina"/>
        </w:rPr>
        <w:footnoteRef/>
      </w:r>
      <w:r>
        <w:t xml:space="preserve"> </w:t>
      </w:r>
      <w:r w:rsidRPr="00A3264A">
        <w:rPr>
          <w:rFonts w:ascii="Times New Roman" w:hAnsi="Times New Roman" w:cs="Times New Roman"/>
        </w:rPr>
        <w:t>Si continua al riguardo a fare l’esempio dell’installazione di un apparecchio televisivo in un bar, che costituisce ormai, fatta salva la disciplina sul diritto d’autore, un mero elemento di arredo, salvo la creazione di alles</w:t>
      </w:r>
      <w:r>
        <w:rPr>
          <w:rFonts w:ascii="Times New Roman" w:hAnsi="Times New Roman" w:cs="Times New Roman"/>
        </w:rPr>
        <w:t>t</w:t>
      </w:r>
      <w:r w:rsidRPr="00A3264A">
        <w:rPr>
          <w:rFonts w:ascii="Times New Roman" w:hAnsi="Times New Roman" w:cs="Times New Roman"/>
        </w:rPr>
        <w:t>imenti specifici per la sistematica visione di determinati spettacoli. L’esempio è tratto da una risalente circolare ministeriale che distingueva le varie casistiche di riferimento.</w:t>
      </w:r>
    </w:p>
  </w:footnote>
  <w:footnote w:id="20">
    <w:p w:rsidR="00E27CDD" w:rsidRDefault="00E27CDD" w:rsidP="00482B92">
      <w:pPr>
        <w:pStyle w:val="Testonotaapidipagina"/>
        <w:jc w:val="both"/>
      </w:pPr>
      <w:r>
        <w:rPr>
          <w:rStyle w:val="Rimandonotaapidipagina"/>
        </w:rPr>
        <w:footnoteRef/>
      </w:r>
      <w:r>
        <w:t xml:space="preserve"> </w:t>
      </w:r>
      <w:r w:rsidRPr="00E21657">
        <w:rPr>
          <w:rFonts w:ascii="Times New Roman" w:hAnsi="Times New Roman" w:cs="Times New Roman"/>
        </w:rPr>
        <w:t xml:space="preserve">Tale inciso finale è stato inserito al termine del comma 1 sia dell’art. 68 che </w:t>
      </w:r>
      <w:r>
        <w:rPr>
          <w:rFonts w:ascii="Times New Roman" w:hAnsi="Times New Roman" w:cs="Times New Roman"/>
        </w:rPr>
        <w:t xml:space="preserve">dell’art. </w:t>
      </w:r>
      <w:r w:rsidRPr="00E21657">
        <w:rPr>
          <w:rFonts w:ascii="Times New Roman" w:hAnsi="Times New Roman" w:cs="Times New Roman"/>
        </w:rPr>
        <w:t xml:space="preserve">69 del </w:t>
      </w:r>
      <w:proofErr w:type="spellStart"/>
      <w:r w:rsidRPr="00E21657">
        <w:rPr>
          <w:rFonts w:ascii="Times New Roman" w:hAnsi="Times New Roman" w:cs="Times New Roman"/>
        </w:rPr>
        <w:t>T.u.l.p.s</w:t>
      </w:r>
      <w:proofErr w:type="spellEnd"/>
      <w:r w:rsidRPr="00E21657">
        <w:rPr>
          <w:rFonts w:ascii="Times New Roman" w:hAnsi="Times New Roman" w:cs="Times New Roman"/>
        </w:rPr>
        <w:t>. dall’art. 7, comma 8-</w:t>
      </w:r>
      <w:r w:rsidRPr="00E21657">
        <w:rPr>
          <w:rFonts w:ascii="Times New Roman" w:hAnsi="Times New Roman" w:cs="Times New Roman"/>
          <w:i/>
        </w:rPr>
        <w:t>bis</w:t>
      </w:r>
      <w:r w:rsidRPr="00E21657">
        <w:rPr>
          <w:rFonts w:ascii="Times New Roman" w:hAnsi="Times New Roman" w:cs="Times New Roman"/>
        </w:rPr>
        <w:t xml:space="preserve">, introdotto nel d.l. 8 agosto 2013, n. 91, dalla legge di conversione, 7 ottobre 2013, n. 112. A ben guardare, la tabella allegata al d.lgs. n. 222 del 2016, laddove l’attività di spettacolo o trattenimento </w:t>
      </w:r>
      <w:r>
        <w:rPr>
          <w:rFonts w:ascii="Times New Roman" w:hAnsi="Times New Roman" w:cs="Times New Roman"/>
        </w:rPr>
        <w:t xml:space="preserve">si svolge </w:t>
      </w:r>
      <w:r w:rsidRPr="00E21657">
        <w:rPr>
          <w:rFonts w:ascii="Times New Roman" w:hAnsi="Times New Roman" w:cs="Times New Roman"/>
        </w:rPr>
        <w:t>all’aperto</w:t>
      </w:r>
      <w:r>
        <w:rPr>
          <w:rFonts w:ascii="Times New Roman" w:hAnsi="Times New Roman" w:cs="Times New Roman"/>
        </w:rPr>
        <w:t xml:space="preserve">, sembra prevedere sempre e comunque l’autorizzazione </w:t>
      </w:r>
      <w:r w:rsidRPr="00E21657">
        <w:rPr>
          <w:rFonts w:ascii="Times New Roman" w:hAnsi="Times New Roman" w:cs="Times New Roman"/>
        </w:rPr>
        <w:t xml:space="preserve">in ragione della necessità comunque della licenza di agibilità </w:t>
      </w:r>
      <w:r w:rsidRPr="00E21657">
        <w:rPr>
          <w:rFonts w:ascii="Times New Roman" w:hAnsi="Times New Roman" w:cs="Times New Roman"/>
          <w:i/>
        </w:rPr>
        <w:t>ex</w:t>
      </w:r>
      <w:r w:rsidRPr="00E21657">
        <w:rPr>
          <w:rFonts w:ascii="Times New Roman" w:hAnsi="Times New Roman" w:cs="Times New Roman"/>
        </w:rPr>
        <w:t xml:space="preserve"> art. 80 </w:t>
      </w:r>
      <w:proofErr w:type="spellStart"/>
      <w:r w:rsidRPr="00E21657">
        <w:rPr>
          <w:rFonts w:ascii="Times New Roman" w:hAnsi="Times New Roman" w:cs="Times New Roman"/>
        </w:rPr>
        <w:t>T</w:t>
      </w:r>
      <w:r>
        <w:rPr>
          <w:rFonts w:ascii="Times New Roman" w:hAnsi="Times New Roman" w:cs="Times New Roman"/>
        </w:rPr>
        <w:t>.</w:t>
      </w:r>
      <w:r w:rsidRPr="00E21657">
        <w:rPr>
          <w:rFonts w:ascii="Times New Roman" w:hAnsi="Times New Roman" w:cs="Times New Roman"/>
        </w:rPr>
        <w:t>u</w:t>
      </w:r>
      <w:r>
        <w:rPr>
          <w:rFonts w:ascii="Times New Roman" w:hAnsi="Times New Roman" w:cs="Times New Roman"/>
        </w:rPr>
        <w:t>.</w:t>
      </w:r>
      <w:r w:rsidRPr="00E21657">
        <w:rPr>
          <w:rFonts w:ascii="Times New Roman" w:hAnsi="Times New Roman" w:cs="Times New Roman"/>
        </w:rPr>
        <w:t>l</w:t>
      </w:r>
      <w:r>
        <w:rPr>
          <w:rFonts w:ascii="Times New Roman" w:hAnsi="Times New Roman" w:cs="Times New Roman"/>
        </w:rPr>
        <w:t>.</w:t>
      </w:r>
      <w:r w:rsidRPr="00E21657">
        <w:rPr>
          <w:rFonts w:ascii="Times New Roman" w:hAnsi="Times New Roman" w:cs="Times New Roman"/>
        </w:rPr>
        <w:t>p</w:t>
      </w:r>
      <w:r>
        <w:rPr>
          <w:rFonts w:ascii="Times New Roman" w:hAnsi="Times New Roman" w:cs="Times New Roman"/>
        </w:rPr>
        <w:t>.</w:t>
      </w:r>
      <w:r w:rsidRPr="00E21657">
        <w:rPr>
          <w:rFonts w:ascii="Times New Roman" w:hAnsi="Times New Roman" w:cs="Times New Roman"/>
        </w:rPr>
        <w:t>s</w:t>
      </w:r>
      <w:proofErr w:type="spellEnd"/>
      <w:r>
        <w:rPr>
          <w:rFonts w:ascii="Times New Roman" w:hAnsi="Times New Roman" w:cs="Times New Roman"/>
        </w:rPr>
        <w:t>.</w:t>
      </w:r>
    </w:p>
  </w:footnote>
  <w:footnote w:id="21">
    <w:p w:rsidR="003C2694" w:rsidRPr="00915BC9" w:rsidRDefault="003C2694" w:rsidP="003C2694">
      <w:pPr>
        <w:pStyle w:val="Testonotaapidipagina"/>
        <w:jc w:val="both"/>
        <w:rPr>
          <w:rFonts w:ascii="Times New Roman" w:hAnsi="Times New Roman" w:cs="Times New Roman"/>
        </w:rPr>
      </w:pPr>
      <w:r>
        <w:rPr>
          <w:rStyle w:val="Rimandonotaapidipagina"/>
        </w:rPr>
        <w:footnoteRef/>
      </w:r>
      <w:r>
        <w:t xml:space="preserve"> </w:t>
      </w:r>
      <w:r w:rsidRPr="00915BC9">
        <w:rPr>
          <w:rFonts w:ascii="Times New Roman" w:hAnsi="Times New Roman" w:cs="Times New Roman"/>
        </w:rPr>
        <w:t>Gli artt. 17-</w:t>
      </w:r>
      <w:r w:rsidRPr="00915BC9">
        <w:rPr>
          <w:rFonts w:ascii="Times New Roman" w:hAnsi="Times New Roman" w:cs="Times New Roman"/>
          <w:i/>
        </w:rPr>
        <w:t>bis</w:t>
      </w:r>
      <w:r w:rsidRPr="00915BC9">
        <w:rPr>
          <w:rFonts w:ascii="Times New Roman" w:hAnsi="Times New Roman" w:cs="Times New Roman"/>
        </w:rPr>
        <w:t xml:space="preserve"> e seguenti, concernenti il regime sanzionatorio per gli illeciti contenuti nel </w:t>
      </w:r>
      <w:proofErr w:type="spellStart"/>
      <w:r w:rsidRPr="00915BC9">
        <w:rPr>
          <w:rFonts w:ascii="Times New Roman" w:hAnsi="Times New Roman" w:cs="Times New Roman"/>
        </w:rPr>
        <w:t>T.u.l.p.s</w:t>
      </w:r>
      <w:proofErr w:type="spellEnd"/>
      <w:r w:rsidRPr="00915BC9">
        <w:rPr>
          <w:rFonts w:ascii="Times New Roman" w:hAnsi="Times New Roman" w:cs="Times New Roman"/>
        </w:rPr>
        <w:t xml:space="preserve">., sono stati inseriti </w:t>
      </w:r>
      <w:r>
        <w:rPr>
          <w:rFonts w:ascii="Times New Roman" w:hAnsi="Times New Roman" w:cs="Times New Roman"/>
        </w:rPr>
        <w:t>dal</w:t>
      </w:r>
      <w:r w:rsidRPr="00915BC9">
        <w:rPr>
          <w:rFonts w:ascii="Times New Roman" w:hAnsi="Times New Roman" w:cs="Times New Roman"/>
        </w:rPr>
        <w:t xml:space="preserve"> d.lgs. 13 luglio 1994, n. 480, che ha anche depenalizzato</w:t>
      </w:r>
      <w:r>
        <w:rPr>
          <w:rFonts w:ascii="Times New Roman" w:hAnsi="Times New Roman" w:cs="Times New Roman"/>
        </w:rPr>
        <w:t>, come ricordato nel testo,</w:t>
      </w:r>
      <w:r w:rsidRPr="00915BC9">
        <w:rPr>
          <w:rFonts w:ascii="Times New Roman" w:hAnsi="Times New Roman" w:cs="Times New Roman"/>
        </w:rPr>
        <w:t xml:space="preserve"> una gran parte di illeciti previsti nel medesimo </w:t>
      </w:r>
      <w:r>
        <w:rPr>
          <w:rFonts w:ascii="Times New Roman" w:hAnsi="Times New Roman" w:cs="Times New Roman"/>
        </w:rPr>
        <w:t xml:space="preserve">r.d. n. 773 del 1931. </w:t>
      </w:r>
      <w:r w:rsidRPr="00915BC9">
        <w:rPr>
          <w:rFonts w:ascii="Times New Roman" w:hAnsi="Times New Roman" w:cs="Times New Roman"/>
        </w:rPr>
        <w:t>L’art. 9</w:t>
      </w:r>
      <w:r>
        <w:rPr>
          <w:rFonts w:ascii="Times New Roman" w:hAnsi="Times New Roman" w:cs="Times New Roman"/>
        </w:rPr>
        <w:t xml:space="preserve">, la cui violazione rientra nella fascia sanzionatoria più grave, </w:t>
      </w:r>
      <w:r w:rsidRPr="00915BC9">
        <w:rPr>
          <w:rFonts w:ascii="Times New Roman" w:hAnsi="Times New Roman" w:cs="Times New Roman"/>
        </w:rPr>
        <w:t xml:space="preserve">demanda all’autorità di </w:t>
      </w:r>
      <w:proofErr w:type="spellStart"/>
      <w:r w:rsidRPr="00915BC9">
        <w:rPr>
          <w:rFonts w:ascii="Times New Roman" w:hAnsi="Times New Roman" w:cs="Times New Roman"/>
        </w:rPr>
        <w:t>p.s.</w:t>
      </w:r>
      <w:proofErr w:type="spellEnd"/>
      <w:r w:rsidRPr="00915BC9">
        <w:rPr>
          <w:rFonts w:ascii="Times New Roman" w:hAnsi="Times New Roman" w:cs="Times New Roman"/>
        </w:rPr>
        <w:t xml:space="preserve">, non al Comune che ha rilasciato il titolo, l’individuazione di eventuali prescrizioni aggiuntive.  Con disposizione di tenore </w:t>
      </w:r>
      <w:r>
        <w:rPr>
          <w:rFonts w:ascii="Times New Roman" w:hAnsi="Times New Roman" w:cs="Times New Roman"/>
        </w:rPr>
        <w:t>analogo all’art. 17-</w:t>
      </w:r>
      <w:r w:rsidRPr="003C2694">
        <w:rPr>
          <w:rFonts w:ascii="Times New Roman" w:hAnsi="Times New Roman" w:cs="Times New Roman"/>
          <w:i/>
        </w:rPr>
        <w:t>bis</w:t>
      </w:r>
      <w:r>
        <w:rPr>
          <w:rFonts w:ascii="Times New Roman" w:hAnsi="Times New Roman" w:cs="Times New Roman"/>
        </w:rPr>
        <w:t xml:space="preserve"> </w:t>
      </w:r>
      <w:r w:rsidRPr="00915BC9">
        <w:rPr>
          <w:rFonts w:ascii="Times New Roman" w:hAnsi="Times New Roman" w:cs="Times New Roman"/>
        </w:rPr>
        <w:t>(art. 221-</w:t>
      </w:r>
      <w:r w:rsidRPr="00915BC9">
        <w:rPr>
          <w:rFonts w:ascii="Times New Roman" w:hAnsi="Times New Roman" w:cs="Times New Roman"/>
          <w:i/>
        </w:rPr>
        <w:t>bis</w:t>
      </w:r>
      <w:r w:rsidRPr="00915BC9">
        <w:rPr>
          <w:rFonts w:ascii="Times New Roman" w:hAnsi="Times New Roman" w:cs="Times New Roman"/>
        </w:rPr>
        <w:t xml:space="preserve">) è prevista la sola sanzione pecuniaria per violazioni del regolamento di esecuzione del </w:t>
      </w:r>
      <w:proofErr w:type="spellStart"/>
      <w:r w:rsidRPr="00915BC9">
        <w:rPr>
          <w:rFonts w:ascii="Times New Roman" w:hAnsi="Times New Roman" w:cs="Times New Roman"/>
        </w:rPr>
        <w:t>T.u.l.p.s</w:t>
      </w:r>
      <w:proofErr w:type="spellEnd"/>
      <w:r w:rsidRPr="00915BC9">
        <w:rPr>
          <w:rFonts w:ascii="Times New Roman" w:hAnsi="Times New Roman" w:cs="Times New Roman"/>
        </w:rPr>
        <w:t>. egualmente oggetto di decriminalizzazione.</w:t>
      </w:r>
    </w:p>
  </w:footnote>
  <w:footnote w:id="22">
    <w:p w:rsidR="003C2694" w:rsidRPr="00915BC9" w:rsidRDefault="003C2694" w:rsidP="003C2694">
      <w:pPr>
        <w:pStyle w:val="Testonotaapidipagina"/>
        <w:jc w:val="both"/>
        <w:rPr>
          <w:rFonts w:ascii="Times New Roman" w:hAnsi="Times New Roman" w:cs="Times New Roman"/>
        </w:rPr>
      </w:pPr>
      <w:r w:rsidRPr="00915BC9">
        <w:rPr>
          <w:rStyle w:val="Rimandonotaapidipagina"/>
          <w:rFonts w:ascii="Times New Roman" w:hAnsi="Times New Roman" w:cs="Times New Roman"/>
        </w:rPr>
        <w:footnoteRef/>
      </w:r>
      <w:r w:rsidRPr="00915BC9">
        <w:rPr>
          <w:rFonts w:ascii="Times New Roman" w:hAnsi="Times New Roman" w:cs="Times New Roman"/>
        </w:rPr>
        <w:t xml:space="preserve"> Il procedimento, come risultante dalle modifiche da ultimo apportate dalla legge 29 marzo 2001, n. 135, è il seguente: l’organo accertatore inoltra la comunicazione dell’avvenuto accertamento, se del caso mediante inoltro del verbale di contestazione, «</w:t>
      </w:r>
      <w:r w:rsidRPr="00915BC9">
        <w:rPr>
          <w:rFonts w:ascii="Times New Roman" w:hAnsi="Times New Roman" w:cs="Times New Roman"/>
          <w:i/>
        </w:rPr>
        <w:t>senza ritardo</w:t>
      </w:r>
      <w:r w:rsidRPr="00915BC9">
        <w:rPr>
          <w:rFonts w:ascii="Times New Roman" w:hAnsi="Times New Roman" w:cs="Times New Roman"/>
        </w:rPr>
        <w:t xml:space="preserve">»; il soggetto competente al rilascio del titolo ha cinque giorni di tempo per adottare il provvedimento di cessazione o sospensione dell’attività, termine che tuttavia, stante la mancata previsione di sanzioni per il caso di mancato rispetto, è da considerarsi ordinatorio, e comunque non tale </w:t>
      </w:r>
      <w:r w:rsidRPr="00915BC9">
        <w:rPr>
          <w:rFonts w:ascii="Times New Roman" w:hAnsi="Times New Roman" w:cs="Times New Roman"/>
          <w:i/>
        </w:rPr>
        <w:t>ex se</w:t>
      </w:r>
      <w:r w:rsidRPr="00915BC9">
        <w:rPr>
          <w:rFonts w:ascii="Times New Roman" w:hAnsi="Times New Roman" w:cs="Times New Roman"/>
        </w:rPr>
        <w:t xml:space="preserve"> da inficiare la legittimità dell’atto.   Ne resta ferma la tempestività per garantire l’efficacia della misura disposta, diversamente vanificata. L’inosservanza di tali provvedimenti costituisce reato punito ai sensi dell’art. 650 c.p.</w:t>
      </w:r>
    </w:p>
  </w:footnote>
  <w:footnote w:id="23">
    <w:p w:rsidR="003C2694" w:rsidRPr="00915BC9" w:rsidRDefault="003C2694" w:rsidP="003C2694">
      <w:pPr>
        <w:pStyle w:val="Testonotaapidipagina"/>
        <w:rPr>
          <w:rFonts w:ascii="Times New Roman" w:hAnsi="Times New Roman" w:cs="Times New Roman"/>
        </w:rPr>
      </w:pPr>
      <w:r w:rsidRPr="00915BC9">
        <w:rPr>
          <w:rStyle w:val="Rimandonotaapidipagina"/>
          <w:rFonts w:ascii="Times New Roman" w:hAnsi="Times New Roman" w:cs="Times New Roman"/>
        </w:rPr>
        <w:footnoteRef/>
      </w:r>
      <w:r w:rsidRPr="00915BC9">
        <w:rPr>
          <w:rFonts w:ascii="Times New Roman" w:hAnsi="Times New Roman" w:cs="Times New Roman"/>
        </w:rPr>
        <w:t xml:space="preserve"> Competente ad irrogare tale sanzione accessoria, e conseguentemente ad adottare la sanzione pecuniaria principale è il Prefetto, in quanto individuato come destinatario del “rapporto” (art. 17-</w:t>
      </w:r>
      <w:r w:rsidRPr="00915BC9">
        <w:rPr>
          <w:rFonts w:ascii="Times New Roman" w:hAnsi="Times New Roman" w:cs="Times New Roman"/>
          <w:i/>
        </w:rPr>
        <w:t>quinquies</w:t>
      </w:r>
      <w:r w:rsidRPr="00915BC9">
        <w:rPr>
          <w:rFonts w:ascii="Times New Roman" w:hAnsi="Times New Roman" w:cs="Times New Roman"/>
        </w:rPr>
        <w:t xml:space="preserve"> del </w:t>
      </w:r>
      <w:proofErr w:type="spellStart"/>
      <w:r w:rsidRPr="00915BC9">
        <w:rPr>
          <w:rFonts w:ascii="Times New Roman" w:hAnsi="Times New Roman" w:cs="Times New Roman"/>
        </w:rPr>
        <w:t>T.u.l.p.s</w:t>
      </w:r>
      <w:proofErr w:type="spellEnd"/>
      <w:r w:rsidRPr="00915BC9">
        <w:rPr>
          <w:rFonts w:ascii="Times New Roman" w:hAnsi="Times New Roman" w:cs="Times New Roman"/>
        </w:rPr>
        <w:t>.).</w:t>
      </w:r>
    </w:p>
  </w:footnote>
  <w:footnote w:id="24">
    <w:p w:rsidR="003C2694" w:rsidRPr="00C53D07" w:rsidRDefault="003C2694" w:rsidP="003C2694">
      <w:pPr>
        <w:pStyle w:val="Testonotaapidipagina"/>
        <w:jc w:val="both"/>
        <w:rPr>
          <w:rFonts w:ascii="Times New Roman" w:hAnsi="Times New Roman" w:cs="Times New Roman"/>
        </w:rPr>
      </w:pPr>
      <w:r>
        <w:rPr>
          <w:rStyle w:val="Rimandonotaapidipagina"/>
        </w:rPr>
        <w:footnoteRef/>
      </w:r>
      <w:r>
        <w:t xml:space="preserve"> </w:t>
      </w:r>
      <w:r w:rsidRPr="00C53D07">
        <w:rPr>
          <w:rFonts w:ascii="Times New Roman" w:hAnsi="Times New Roman" w:cs="Times New Roman"/>
        </w:rPr>
        <w:t>Il concetto di reiterazione della violazione, che ha sostituito quello di recidiva di derivazione penalistica, è contenuto nell’art. 8-</w:t>
      </w:r>
      <w:r w:rsidRPr="00AC0D01">
        <w:rPr>
          <w:rFonts w:ascii="Times New Roman" w:hAnsi="Times New Roman" w:cs="Times New Roman"/>
          <w:i/>
        </w:rPr>
        <w:t>bis</w:t>
      </w:r>
      <w:r w:rsidRPr="00C53D07">
        <w:rPr>
          <w:rFonts w:ascii="Times New Roman" w:hAnsi="Times New Roman" w:cs="Times New Roman"/>
        </w:rPr>
        <w:t xml:space="preserve">, inserito nella l. n. 689 del 1981 dal d.lgs. 30 dicembre 1999, n. 507. Essa sussiste solo quando il trasgressore commette un illecito della stessa indole nel quinquennio successivo alla precedente violazione, salvo si tratti di illeciti ravvicinati nel tempo e conducibili ad una programmazione unitaria, e non opera in caso di pagamento in misura ridotta. Per le ragioni sviluppate nel testo, non è chiaro se tale concetto si attagli alla “reiterazione” di cui parla l’art. 666 c.p., seppure inciso </w:t>
      </w:r>
      <w:r w:rsidR="00AC0D01">
        <w:rPr>
          <w:rFonts w:ascii="Times New Roman" w:hAnsi="Times New Roman" w:cs="Times New Roman"/>
        </w:rPr>
        <w:t>-</w:t>
      </w:r>
      <w:r w:rsidRPr="00C53D07">
        <w:rPr>
          <w:rFonts w:ascii="Times New Roman" w:hAnsi="Times New Roman" w:cs="Times New Roman"/>
        </w:rPr>
        <w:t xml:space="preserve"> depenalizzato - dal medesimo decreto, tanto più che per la relativa violazione non è mai ammesso il pagamento in misura ridotta.</w:t>
      </w:r>
    </w:p>
  </w:footnote>
  <w:footnote w:id="25">
    <w:p w:rsidR="003C2694" w:rsidRPr="00C53D07" w:rsidRDefault="003C2694" w:rsidP="003C2694">
      <w:pPr>
        <w:pStyle w:val="Testonotaapidipagina"/>
        <w:rPr>
          <w:rFonts w:ascii="Times New Roman" w:hAnsi="Times New Roman" w:cs="Times New Roman"/>
        </w:rPr>
      </w:pPr>
      <w:r w:rsidRPr="00C53D07">
        <w:rPr>
          <w:rStyle w:val="Rimandonotaapidipagina"/>
          <w:rFonts w:ascii="Times New Roman" w:hAnsi="Times New Roman" w:cs="Times New Roman"/>
        </w:rPr>
        <w:footnoteRef/>
      </w:r>
      <w:r w:rsidRPr="00C53D07">
        <w:rPr>
          <w:rFonts w:ascii="Times New Roman" w:hAnsi="Times New Roman" w:cs="Times New Roman"/>
        </w:rPr>
        <w:t xml:space="preserve"> L’art. 650 c.p. punisce penalmente, come è noto, l’inosservanza di un provvedimento legalmente dato dall’autorità per ragioni di giustizia, sicurezza o ordine pubblico o igiene.</w:t>
      </w:r>
    </w:p>
  </w:footnote>
  <w:footnote w:id="26">
    <w:p w:rsidR="008E264E" w:rsidRDefault="008E264E" w:rsidP="00AC0D01">
      <w:pPr>
        <w:pStyle w:val="Testonotaapidipagina"/>
        <w:jc w:val="both"/>
      </w:pPr>
      <w:r>
        <w:rPr>
          <w:rStyle w:val="Rimandonotaapidipagina"/>
        </w:rPr>
        <w:footnoteRef/>
      </w:r>
      <w:r>
        <w:t xml:space="preserve"> </w:t>
      </w:r>
      <w:r w:rsidRPr="00AC0D01">
        <w:rPr>
          <w:rFonts w:ascii="Times New Roman" w:hAnsi="Times New Roman" w:cs="Times New Roman"/>
        </w:rPr>
        <w:t xml:space="preserve">Sul punto, v. ancora </w:t>
      </w:r>
      <w:r w:rsidRPr="00AC0D01">
        <w:rPr>
          <w:rFonts w:ascii="Times New Roman" w:hAnsi="Times New Roman" w:cs="Times New Roman"/>
          <w:b/>
        </w:rPr>
        <w:t>Cons. Stato, sez. II, n. 3548 del 2020</w:t>
      </w:r>
      <w:r w:rsidRPr="00AC0D01">
        <w:rPr>
          <w:rFonts w:ascii="Times New Roman" w:hAnsi="Times New Roman" w:cs="Times New Roman"/>
        </w:rPr>
        <w:t>, già citata</w:t>
      </w:r>
      <w:r>
        <w:t xml:space="preserve">. </w:t>
      </w:r>
    </w:p>
  </w:footnote>
  <w:footnote w:id="27">
    <w:p w:rsidR="008E264E" w:rsidRDefault="008E264E" w:rsidP="00AC0D01">
      <w:pPr>
        <w:pStyle w:val="Testonotaapidipagina"/>
        <w:jc w:val="both"/>
      </w:pPr>
      <w:r>
        <w:rPr>
          <w:rStyle w:val="Rimandonotaapidipagina"/>
        </w:rPr>
        <w:footnoteRef/>
      </w:r>
      <w:r>
        <w:t xml:space="preserve"> </w:t>
      </w:r>
      <w:r w:rsidRPr="00DA0620">
        <w:rPr>
          <w:rFonts w:ascii="Times New Roman" w:hAnsi="Times New Roman" w:cs="Times New Roman"/>
        </w:rPr>
        <w:t>Avuto riguardo alla sospensione, l’art. 17-</w:t>
      </w:r>
      <w:r w:rsidRPr="00DA0620">
        <w:rPr>
          <w:rFonts w:ascii="Times New Roman" w:hAnsi="Times New Roman" w:cs="Times New Roman"/>
          <w:i/>
        </w:rPr>
        <w:t>ter</w:t>
      </w:r>
      <w:r w:rsidRPr="00DA0620">
        <w:rPr>
          <w:rFonts w:ascii="Times New Roman" w:hAnsi="Times New Roman" w:cs="Times New Roman"/>
        </w:rPr>
        <w:t xml:space="preserve">, riferito, come già detto, ad autorizzazioni di polizia diverse da quelle di cui agli artt. 68 e 69 del </w:t>
      </w:r>
      <w:proofErr w:type="spellStart"/>
      <w:r w:rsidRPr="00DA0620">
        <w:rPr>
          <w:rFonts w:ascii="Times New Roman" w:hAnsi="Times New Roman" w:cs="Times New Roman"/>
        </w:rPr>
        <w:t>T.u.l.p.s</w:t>
      </w:r>
      <w:proofErr w:type="spellEnd"/>
      <w:r w:rsidRPr="00DA0620">
        <w:rPr>
          <w:rFonts w:ascii="Times New Roman" w:hAnsi="Times New Roman" w:cs="Times New Roman"/>
        </w:rPr>
        <w:t xml:space="preserve">., può essere accordato un tempo più lungo per memorie e osservazioni, ovvero inviata dall’ufficio la comunicazione di avvio del procedimento </w:t>
      </w:r>
      <w:r w:rsidRPr="00212717">
        <w:rPr>
          <w:rFonts w:ascii="Times New Roman" w:hAnsi="Times New Roman" w:cs="Times New Roman"/>
          <w:i/>
        </w:rPr>
        <w:t>ex</w:t>
      </w:r>
      <w:r w:rsidRPr="00DA0620">
        <w:rPr>
          <w:rFonts w:ascii="Times New Roman" w:hAnsi="Times New Roman" w:cs="Times New Roman"/>
        </w:rPr>
        <w:t xml:space="preserve"> art. 7 della l. n. 241 del 1990, stante che la norma prevede che il relativo ordine debba essere adottato trascorsi 30 giorni dalla data di violazione (desumibile dal verbale).</w:t>
      </w:r>
    </w:p>
  </w:footnote>
  <w:footnote w:id="28">
    <w:p w:rsidR="00A272B0" w:rsidRPr="00DA0620" w:rsidRDefault="00A272B0" w:rsidP="00A272B0">
      <w:pPr>
        <w:pStyle w:val="Testonotaapidipagina"/>
        <w:jc w:val="both"/>
        <w:rPr>
          <w:rFonts w:ascii="Times New Roman" w:hAnsi="Times New Roman" w:cs="Times New Roman"/>
        </w:rPr>
      </w:pPr>
      <w:r w:rsidRPr="00DA0620">
        <w:rPr>
          <w:rStyle w:val="Rimandonotaapidipagina"/>
          <w:rFonts w:ascii="Times New Roman" w:hAnsi="Times New Roman" w:cs="Times New Roman"/>
        </w:rPr>
        <w:footnoteRef/>
      </w:r>
      <w:r w:rsidRPr="00DA0620">
        <w:rPr>
          <w:rFonts w:ascii="Times New Roman" w:hAnsi="Times New Roman" w:cs="Times New Roman"/>
        </w:rPr>
        <w:t xml:space="preserve"> La formulazione dell’art. 9 del TULPS fa riferimento alle prescrizioni imposte nel pubblico interesse dall’ «</w:t>
      </w:r>
      <w:r w:rsidR="00F1131F">
        <w:rPr>
          <w:rFonts w:ascii="Times New Roman" w:hAnsi="Times New Roman" w:cs="Times New Roman"/>
          <w:i/>
        </w:rPr>
        <w:t>a</w:t>
      </w:r>
      <w:r w:rsidRPr="00DA0620">
        <w:rPr>
          <w:rFonts w:ascii="Times New Roman" w:hAnsi="Times New Roman" w:cs="Times New Roman"/>
          <w:i/>
        </w:rPr>
        <w:t>utorità di pubblica sicurezza</w:t>
      </w:r>
      <w:r w:rsidRPr="00DA0620">
        <w:rPr>
          <w:rFonts w:ascii="Times New Roman" w:hAnsi="Times New Roman" w:cs="Times New Roman"/>
        </w:rPr>
        <w:t xml:space="preserve">». Sicché la relativa violazione non si riferisce a quelle inserite nel titolo, salvo recepiscano indicazioni dell’autorità di </w:t>
      </w:r>
      <w:proofErr w:type="spellStart"/>
      <w:r w:rsidRPr="00DA0620">
        <w:rPr>
          <w:rFonts w:ascii="Times New Roman" w:hAnsi="Times New Roman" w:cs="Times New Roman"/>
        </w:rPr>
        <w:t>p.s.</w:t>
      </w:r>
      <w:proofErr w:type="spellEnd"/>
      <w:r w:rsidRPr="00DA0620">
        <w:rPr>
          <w:rFonts w:ascii="Times New Roman" w:hAnsi="Times New Roman" w:cs="Times New Roman"/>
        </w:rPr>
        <w:t xml:space="preserve">, appunto. </w:t>
      </w:r>
    </w:p>
    <w:p w:rsidR="00A272B0" w:rsidRPr="00DA0620" w:rsidRDefault="00A272B0" w:rsidP="00A272B0">
      <w:pPr>
        <w:pStyle w:val="Testonotaapidipagina"/>
        <w:jc w:val="both"/>
        <w:rPr>
          <w:rFonts w:ascii="Times New Roman" w:hAnsi="Times New Roman" w:cs="Times New Roman"/>
        </w:rPr>
      </w:pPr>
      <w:r w:rsidRPr="00DA0620">
        <w:rPr>
          <w:rFonts w:ascii="Times New Roman" w:hAnsi="Times New Roman" w:cs="Times New Roman"/>
        </w:rPr>
        <w:t xml:space="preserve">  </w:t>
      </w:r>
    </w:p>
  </w:footnote>
  <w:footnote w:id="29">
    <w:p w:rsidR="00955B89" w:rsidRPr="00955B89" w:rsidRDefault="00955B89" w:rsidP="00955B89">
      <w:pPr>
        <w:pStyle w:val="Testonotaapidipagina"/>
        <w:jc w:val="both"/>
        <w:rPr>
          <w:rFonts w:ascii="Times New Roman" w:hAnsi="Times New Roman" w:cs="Times New Roman"/>
        </w:rPr>
      </w:pPr>
      <w:r>
        <w:rPr>
          <w:rStyle w:val="Rimandonotaapidipagina"/>
        </w:rPr>
        <w:footnoteRef/>
      </w:r>
      <w:r>
        <w:t xml:space="preserve"> </w:t>
      </w:r>
      <w:r w:rsidRPr="00955B89">
        <w:rPr>
          <w:rFonts w:ascii="Times New Roman" w:hAnsi="Times New Roman" w:cs="Times New Roman"/>
        </w:rPr>
        <w:t>L’art. 6 del d.lgs. 103/2024 introduce l</w:t>
      </w:r>
      <w:r w:rsidRPr="00955B89">
        <w:rPr>
          <w:rFonts w:ascii="Times New Roman" w:eastAsia="Times New Roman" w:hAnsi="Times New Roman" w:cs="Times New Roman"/>
          <w:color w:val="000000"/>
          <w:lang w:eastAsia="it-IT"/>
        </w:rPr>
        <w:t>’obbligo di previa diffida, laddove venga accertata, per la prima volta nell’arco di un quinquennio, l’esistenza di «</w:t>
      </w:r>
      <w:r w:rsidRPr="00955B89">
        <w:rPr>
          <w:rFonts w:ascii="Times New Roman" w:eastAsia="Times New Roman" w:hAnsi="Times New Roman" w:cs="Times New Roman"/>
          <w:i/>
          <w:color w:val="000000"/>
          <w:lang w:eastAsia="it-IT"/>
        </w:rPr>
        <w:t>violazioni sanabili</w:t>
      </w:r>
      <w:r w:rsidRPr="00955B89">
        <w:rPr>
          <w:rFonts w:ascii="Times New Roman" w:eastAsia="Times New Roman" w:hAnsi="Times New Roman" w:cs="Times New Roman"/>
          <w:color w:val="000000"/>
          <w:lang w:eastAsia="it-IT"/>
        </w:rPr>
        <w:t>», a porre termine alla violazione, ad adempiere alle prescrizioni violate e a rimuovere le conseguenze dell’illecito entro un termine non superiore a venti giorni dalla data della notificazione.</w:t>
      </w:r>
      <w:r>
        <w:rPr>
          <w:rFonts w:ascii="Times New Roman" w:eastAsia="Times New Roman" w:hAnsi="Times New Roman" w:cs="Times New Roman"/>
          <w:color w:val="000000"/>
          <w:lang w:eastAsia="it-IT"/>
        </w:rPr>
        <w:t xml:space="preserve"> La disposizione prevede che solo in caso di inottemperanza alla diffida l’organo di controllo può procedere con la contestazione ai sensi dell’art. 14 della l. n. 689 del 1981; salvo poi precisare che i termini concessi per adempiere alla diffida sono sospensivi di quelli previsti per la notificazione (di fatto, quindi, il verbale contenente la diffida viene “congelato” per il tempo indicato nello stesso, </w:t>
      </w:r>
      <w:r w:rsidR="00213F73">
        <w:rPr>
          <w:rFonts w:ascii="Times New Roman" w:eastAsia="Times New Roman" w:hAnsi="Times New Roman" w:cs="Times New Roman"/>
          <w:color w:val="000000"/>
          <w:lang w:eastAsia="it-IT"/>
        </w:rPr>
        <w:t xml:space="preserve">comunque non superiore a 20 giorni, e solo lo spirare di quest’ultimo costituisce il </w:t>
      </w:r>
      <w:r w:rsidR="00213F73" w:rsidRPr="00213F73">
        <w:rPr>
          <w:rFonts w:ascii="Times New Roman" w:eastAsia="Times New Roman" w:hAnsi="Times New Roman" w:cs="Times New Roman"/>
          <w:i/>
          <w:color w:val="000000"/>
          <w:lang w:eastAsia="it-IT"/>
        </w:rPr>
        <w:t>dies a quo</w:t>
      </w:r>
      <w:r w:rsidR="00213F73">
        <w:rPr>
          <w:rFonts w:ascii="Times New Roman" w:eastAsia="Times New Roman" w:hAnsi="Times New Roman" w:cs="Times New Roman"/>
          <w:color w:val="000000"/>
          <w:lang w:eastAsia="it-IT"/>
        </w:rPr>
        <w:t xml:space="preserve"> per il computo di quello per la notifica. </w:t>
      </w:r>
      <w:r>
        <w:rPr>
          <w:rFonts w:ascii="Times New Roman" w:eastAsia="Times New Roman" w:hAnsi="Times New Roman" w:cs="Times New Roman"/>
          <w:color w:val="000000"/>
          <w:lang w:eastAsia="it-IT"/>
        </w:rPr>
        <w:t xml:space="preserve"> </w:t>
      </w:r>
    </w:p>
  </w:footnote>
  <w:footnote w:id="30">
    <w:p w:rsidR="00E27CDD" w:rsidRPr="00DE67D0" w:rsidRDefault="00E27CDD" w:rsidP="00307BFA">
      <w:pPr>
        <w:pStyle w:val="Testonotaapidipagina"/>
        <w:jc w:val="both"/>
        <w:rPr>
          <w:rFonts w:ascii="Times New Roman" w:hAnsi="Times New Roman" w:cs="Times New Roman"/>
        </w:rPr>
      </w:pPr>
      <w:r>
        <w:rPr>
          <w:rStyle w:val="Rimandonotaapidipagina"/>
        </w:rPr>
        <w:footnoteRef/>
      </w:r>
      <w:r>
        <w:t xml:space="preserve"> </w:t>
      </w:r>
      <w:r w:rsidRPr="00DE67D0">
        <w:rPr>
          <w:rFonts w:ascii="Times New Roman" w:hAnsi="Times New Roman" w:cs="Times New Roman"/>
        </w:rPr>
        <w:t>Fanno eccezione talune materie, rimesse sempre alla competenza del giudice di pace, quali tipicamente le violazioni al Codice della Strada.</w:t>
      </w:r>
    </w:p>
  </w:footnote>
  <w:footnote w:id="31">
    <w:p w:rsidR="00E27CDD" w:rsidRPr="00DE67D0" w:rsidRDefault="00E27CDD" w:rsidP="00307BFA">
      <w:pPr>
        <w:pStyle w:val="Testonotaapidipagina"/>
        <w:jc w:val="both"/>
        <w:rPr>
          <w:rFonts w:ascii="Times New Roman" w:hAnsi="Times New Roman" w:cs="Times New Roman"/>
        </w:rPr>
      </w:pPr>
      <w:r w:rsidRPr="00DE67D0">
        <w:rPr>
          <w:rStyle w:val="Rimandonotaapidipagina"/>
          <w:rFonts w:ascii="Times New Roman" w:hAnsi="Times New Roman" w:cs="Times New Roman"/>
        </w:rPr>
        <w:footnoteRef/>
      </w:r>
      <w:r w:rsidRPr="00DE67D0">
        <w:rPr>
          <w:rFonts w:ascii="Times New Roman" w:hAnsi="Times New Roman" w:cs="Times New Roman"/>
        </w:rPr>
        <w:t xml:space="preserve"> È ovvio che se una sanzione di natura non pecuniaria è accessoria ad altra che implica invece sanzione pecuniaria, l’atto di accertamento di quest’ultima conterrà anche l’indicazione della futura applicazione della prima, ancorché meramente eventuale.</w:t>
      </w:r>
    </w:p>
  </w:footnote>
  <w:footnote w:id="32">
    <w:p w:rsidR="00DE67D0" w:rsidRPr="00DE67D0" w:rsidRDefault="00DE67D0" w:rsidP="00CD4900">
      <w:pPr>
        <w:pStyle w:val="Testonotaapidipagina"/>
        <w:jc w:val="both"/>
        <w:rPr>
          <w:rFonts w:ascii="Times New Roman" w:hAnsi="Times New Roman" w:cs="Times New Roman"/>
        </w:rPr>
      </w:pPr>
      <w:r w:rsidRPr="00DE67D0">
        <w:rPr>
          <w:rStyle w:val="Rimandonotaapidipagina"/>
          <w:rFonts w:ascii="Times New Roman" w:hAnsi="Times New Roman" w:cs="Times New Roman"/>
        </w:rPr>
        <w:footnoteRef/>
      </w:r>
      <w:r w:rsidRPr="00DE67D0">
        <w:rPr>
          <w:rFonts w:ascii="Times New Roman" w:hAnsi="Times New Roman" w:cs="Times New Roman"/>
        </w:rPr>
        <w:t xml:space="preserve"> Su</w:t>
      </w:r>
      <w:r w:rsidR="00CD4900">
        <w:rPr>
          <w:rFonts w:ascii="Times New Roman" w:hAnsi="Times New Roman" w:cs="Times New Roman"/>
        </w:rPr>
        <w:t>lle</w:t>
      </w:r>
      <w:r w:rsidRPr="00DE67D0">
        <w:rPr>
          <w:rFonts w:ascii="Times New Roman" w:hAnsi="Times New Roman" w:cs="Times New Roman"/>
        </w:rPr>
        <w:t xml:space="preserve"> sanzioni di natura non pecuni</w:t>
      </w:r>
      <w:r>
        <w:rPr>
          <w:rFonts w:ascii="Times New Roman" w:hAnsi="Times New Roman" w:cs="Times New Roman"/>
        </w:rPr>
        <w:t>a</w:t>
      </w:r>
      <w:r w:rsidRPr="00DE67D0">
        <w:rPr>
          <w:rFonts w:ascii="Times New Roman" w:hAnsi="Times New Roman" w:cs="Times New Roman"/>
        </w:rPr>
        <w:t>r</w:t>
      </w:r>
      <w:r>
        <w:rPr>
          <w:rFonts w:ascii="Times New Roman" w:hAnsi="Times New Roman" w:cs="Times New Roman"/>
        </w:rPr>
        <w:t>ia</w:t>
      </w:r>
      <w:r w:rsidRPr="00DE67D0">
        <w:rPr>
          <w:rFonts w:ascii="Times New Roman" w:hAnsi="Times New Roman" w:cs="Times New Roman"/>
        </w:rPr>
        <w:t xml:space="preserve">, v. </w:t>
      </w:r>
      <w:r w:rsidRPr="00CD4900">
        <w:rPr>
          <w:rFonts w:ascii="Times New Roman" w:hAnsi="Times New Roman" w:cs="Times New Roman"/>
          <w:b/>
        </w:rPr>
        <w:t>Cons. Stato, sez. II, 4 giugno 2020, n. 3548</w:t>
      </w:r>
      <w:r w:rsidR="00CD4900">
        <w:rPr>
          <w:rFonts w:ascii="Times New Roman" w:hAnsi="Times New Roman" w:cs="Times New Roman"/>
        </w:rPr>
        <w:t xml:space="preserve">, avente ad oggetto l’applicazione della misura di cui all’art. 5, comma 2, della l. 18 gennaio 1994, n. 50 (relativa alla chiusura di un esercizio commerciale a seguito dell’accertamento del reato di detenzione di tabacchi lavorati di contrabbando (che non è stata qualificata come sanzione accessoria ad illecito penale, ma quale sanzione autonoma di natura non pecuniaria, alla quale applicare i principi generali della l. n. 689 del 1981). </w:t>
      </w:r>
    </w:p>
  </w:footnote>
  <w:footnote w:id="33">
    <w:p w:rsidR="00A272B0" w:rsidRPr="00DA0620" w:rsidRDefault="00A272B0" w:rsidP="00A272B0">
      <w:pPr>
        <w:pStyle w:val="Testonotaapidipagina"/>
        <w:jc w:val="both"/>
        <w:rPr>
          <w:rFonts w:ascii="Times New Roman" w:hAnsi="Times New Roman" w:cs="Times New Roman"/>
        </w:rPr>
      </w:pPr>
      <w:r w:rsidRPr="00DA0620">
        <w:rPr>
          <w:rStyle w:val="Rimandonotaapidipagina"/>
          <w:rFonts w:ascii="Times New Roman" w:hAnsi="Times New Roman" w:cs="Times New Roman"/>
        </w:rPr>
        <w:footnoteRef/>
      </w:r>
      <w:r w:rsidRPr="00DA0620">
        <w:rPr>
          <w:rFonts w:ascii="Times New Roman" w:hAnsi="Times New Roman" w:cs="Times New Roman"/>
        </w:rPr>
        <w:t xml:space="preserve"> C</w:t>
      </w:r>
      <w:r w:rsidRPr="00DA0620">
        <w:rPr>
          <w:rFonts w:ascii="Times New Roman" w:eastAsia="Times New Roman" w:hAnsi="Times New Roman" w:cs="Times New Roman"/>
          <w:color w:val="000000"/>
          <w:lang w:eastAsia="it-IT"/>
        </w:rPr>
        <w:t>ostituiscono una generalizzata eccezione ancora una volta le violazioni in materia di circolazione stradale, caratterizzate da una sorta di anticipazione immediata degli effetti della sanzione, che talvolta ne esauriscono la portata afflittiva, talaltra necessitano di formalizzazione nell’atto di concreta irrogazione da parte dell’autorità competente.</w:t>
      </w:r>
    </w:p>
  </w:footnote>
  <w:footnote w:id="34">
    <w:p w:rsidR="00E27CDD" w:rsidRPr="00CD4900" w:rsidRDefault="00E27CDD">
      <w:pPr>
        <w:pStyle w:val="Testonotaapidipagina"/>
        <w:rPr>
          <w:rFonts w:ascii="Times New Roman" w:hAnsi="Times New Roman" w:cs="Times New Roman"/>
        </w:rPr>
      </w:pPr>
      <w:r w:rsidRPr="00CD4900">
        <w:rPr>
          <w:rStyle w:val="Rimandonotaapidipagina"/>
          <w:rFonts w:ascii="Times New Roman" w:hAnsi="Times New Roman" w:cs="Times New Roman"/>
        </w:rPr>
        <w:footnoteRef/>
      </w:r>
      <w:r w:rsidRPr="00CD4900">
        <w:rPr>
          <w:rFonts w:ascii="Times New Roman" w:hAnsi="Times New Roman" w:cs="Times New Roman"/>
        </w:rPr>
        <w:t xml:space="preserve"> Cfr. Titolo III, Capo I, del d.P.R. 6 giugno 2001, n. 380, </w:t>
      </w:r>
      <w:proofErr w:type="spellStart"/>
      <w:r w:rsidRPr="00CD4900">
        <w:rPr>
          <w:rFonts w:ascii="Times New Roman" w:hAnsi="Times New Roman" w:cs="Times New Roman"/>
        </w:rPr>
        <w:t>T.u.e</w:t>
      </w:r>
      <w:proofErr w:type="spellEnd"/>
      <w:r w:rsidRPr="00CD4900">
        <w:rPr>
          <w:rFonts w:ascii="Times New Roman" w:hAnsi="Times New Roman" w:cs="Times New Roman"/>
        </w:rPr>
        <w:t>.</w:t>
      </w:r>
    </w:p>
  </w:footnote>
  <w:footnote w:id="35">
    <w:p w:rsidR="009F5573" w:rsidRDefault="009F5573" w:rsidP="009F5573">
      <w:pPr>
        <w:pStyle w:val="Testonotaapidipagina"/>
        <w:jc w:val="both"/>
      </w:pPr>
      <w:r>
        <w:rPr>
          <w:rStyle w:val="Rimandonotaapidipagina"/>
        </w:rPr>
        <w:footnoteRef/>
      </w:r>
      <w:r>
        <w:t xml:space="preserve"> Gli uffici comunali sono soliti richiamare i contenuti di una ormai risalente risoluzione ( n. 52713 del 15 aprile 2015) del Ministero dello sviluppo economico, che richiamando una precedente nota del Ministero dell’Interno (n. 5020 del 1° aprile 2014)individuava quali figure sintomatiche della trasformazione del locale l’allestimento di apposite sale per trattenimento e/o svago, il richiamo di un pubblico più ampio di quello cui si rivolge normalmente la ristorazione, il pagamento di un biglietto di ingresso, la cadenza non saltuaria ma periodica del trattenimento, ecc. Se tali elementi possono ancora assumere rilevanza ai fini della necessità della sola autorizzazione ex artt. 68 o 69 del </w:t>
      </w:r>
      <w:proofErr w:type="spellStart"/>
      <w:r>
        <w:t>T.u.l.p.s</w:t>
      </w:r>
      <w:proofErr w:type="spellEnd"/>
      <w:r>
        <w:t>., solo la mancanza di specifici allestimenti sembra ormai dare rilievo alle esibizioni musicali, karaoke inclusi.</w:t>
      </w:r>
    </w:p>
  </w:footnote>
  <w:footnote w:id="36">
    <w:p w:rsidR="00E27CDD" w:rsidRDefault="00E27CDD" w:rsidP="004E7D3F">
      <w:pPr>
        <w:pStyle w:val="Testonotaapidipagina"/>
        <w:jc w:val="both"/>
      </w:pPr>
      <w:r>
        <w:rPr>
          <w:rStyle w:val="Rimandonotaapidipagina"/>
        </w:rPr>
        <w:footnoteRef/>
      </w:r>
      <w:r>
        <w:t xml:space="preserve"> </w:t>
      </w:r>
      <w:r w:rsidRPr="004E7D3F">
        <w:rPr>
          <w:rFonts w:ascii="Times New Roman" w:hAnsi="Times New Roman" w:cs="Times New Roman"/>
        </w:rPr>
        <w:t>La proroga al 31 dicembre 2024 sopravviene ad altre precedenti ed è stata disposta con d.l. 30 dicembre 2023, n. 215, convertito dalla l. 23 febbraio 2024, n. 18, c.d. “</w:t>
      </w:r>
      <w:proofErr w:type="spellStart"/>
      <w:r w:rsidRPr="004E7D3F">
        <w:rPr>
          <w:rFonts w:ascii="Times New Roman" w:hAnsi="Times New Roman" w:cs="Times New Roman"/>
        </w:rPr>
        <w:t>milleproroghe</w:t>
      </w:r>
      <w:proofErr w:type="spellEnd"/>
      <w:r w:rsidRPr="004E7D3F">
        <w:rPr>
          <w:rFonts w:ascii="Times New Roman" w:hAnsi="Times New Roman" w:cs="Times New Roman"/>
        </w:rPr>
        <w:t>”. Da notare che molte delle disposizioni introdotte in via transitoria per superare la fase emergenziale, hanno finito per essere prolungate nel tempo ben oltre gli effetti della pandemia, senza curare peraltro il mantenuto richiamo, nella norma originaria che si è andata ad incidere, alle esigenze del distanziamento sociale (si pensi a quanto avvenuto con riferimento alla sospensione della temporaneità delle occupazioni di suolo pubblico, anche in relazione al profilo paesaggistico).</w:t>
      </w:r>
    </w:p>
  </w:footnote>
  <w:footnote w:id="37">
    <w:p w:rsidR="00E27CDD" w:rsidRPr="00EF09FA" w:rsidRDefault="00E27CDD">
      <w:pPr>
        <w:pStyle w:val="Testonotaapidipagina"/>
        <w:rPr>
          <w:rFonts w:ascii="Times New Roman" w:hAnsi="Times New Roman" w:cs="Times New Roman"/>
        </w:rPr>
      </w:pPr>
      <w:r w:rsidRPr="00EF09FA">
        <w:rPr>
          <w:rStyle w:val="Rimandonotaapidipagina"/>
          <w:rFonts w:ascii="Times New Roman" w:hAnsi="Times New Roman" w:cs="Times New Roman"/>
        </w:rPr>
        <w:footnoteRef/>
      </w:r>
      <w:r w:rsidRPr="00EF09FA">
        <w:rPr>
          <w:rFonts w:ascii="Times New Roman" w:hAnsi="Times New Roman" w:cs="Times New Roman"/>
        </w:rPr>
        <w:t xml:space="preserve"> Viene altresì stabilita la giurisdizione esclusiva del giudice amministrativo su ogni controversia afferente all’applicazione della norma.</w:t>
      </w:r>
    </w:p>
  </w:footnote>
  <w:footnote w:id="38">
    <w:p w:rsidR="00E27CDD" w:rsidRPr="00077DA1" w:rsidRDefault="00E27CDD" w:rsidP="00B2061F">
      <w:pPr>
        <w:pStyle w:val="Testonotaapidipagina"/>
        <w:jc w:val="both"/>
        <w:rPr>
          <w:rFonts w:ascii="Times New Roman" w:hAnsi="Times New Roman" w:cs="Times New Roman"/>
        </w:rPr>
      </w:pPr>
      <w:r w:rsidRPr="00C9513F">
        <w:rPr>
          <w:rStyle w:val="Rimandonotaapidipagina"/>
        </w:rPr>
        <w:footnoteRef/>
      </w:r>
      <w:r w:rsidRPr="00C9513F">
        <w:t xml:space="preserve"> </w:t>
      </w:r>
      <w:r w:rsidRPr="00077DA1">
        <w:rPr>
          <w:rFonts w:ascii="Times New Roman" w:hAnsi="Times New Roman" w:cs="Times New Roman"/>
        </w:rPr>
        <w:t xml:space="preserve">Cfr. </w:t>
      </w:r>
      <w:r w:rsidRPr="00077DA1">
        <w:rPr>
          <w:rFonts w:ascii="Times New Roman" w:hAnsi="Times New Roman" w:cs="Times New Roman"/>
          <w:i/>
        </w:rPr>
        <w:t>ex multis</w:t>
      </w:r>
      <w:r w:rsidRPr="00077DA1">
        <w:rPr>
          <w:rFonts w:ascii="Times New Roman" w:hAnsi="Times New Roman" w:cs="Times New Roman"/>
        </w:rPr>
        <w:t xml:space="preserve">, </w:t>
      </w:r>
      <w:r w:rsidRPr="00077DA1">
        <w:rPr>
          <w:rFonts w:ascii="Times New Roman" w:hAnsi="Times New Roman" w:cs="Times New Roman"/>
          <w:b/>
        </w:rPr>
        <w:t>Cass</w:t>
      </w:r>
      <w:r w:rsidR="00077DA1" w:rsidRPr="00077DA1">
        <w:rPr>
          <w:rFonts w:ascii="Times New Roman" w:hAnsi="Times New Roman" w:cs="Times New Roman"/>
          <w:b/>
        </w:rPr>
        <w:t>.</w:t>
      </w:r>
      <w:r w:rsidRPr="00077DA1">
        <w:rPr>
          <w:rFonts w:ascii="Times New Roman" w:hAnsi="Times New Roman" w:cs="Times New Roman"/>
          <w:b/>
        </w:rPr>
        <w:t xml:space="preserve">, </w:t>
      </w:r>
      <w:r w:rsidR="00077DA1">
        <w:rPr>
          <w:rFonts w:ascii="Times New Roman" w:hAnsi="Times New Roman" w:cs="Times New Roman"/>
          <w:b/>
        </w:rPr>
        <w:t>s</w:t>
      </w:r>
      <w:r w:rsidRPr="00077DA1">
        <w:rPr>
          <w:rFonts w:ascii="Times New Roman" w:hAnsi="Times New Roman" w:cs="Times New Roman"/>
          <w:b/>
        </w:rPr>
        <w:t>ez.</w:t>
      </w:r>
      <w:r w:rsidR="00077DA1">
        <w:rPr>
          <w:rFonts w:ascii="Times New Roman" w:hAnsi="Times New Roman" w:cs="Times New Roman"/>
          <w:b/>
        </w:rPr>
        <w:t xml:space="preserve"> </w:t>
      </w:r>
      <w:r w:rsidRPr="00077DA1">
        <w:rPr>
          <w:rFonts w:ascii="Times New Roman" w:hAnsi="Times New Roman" w:cs="Times New Roman"/>
          <w:b/>
        </w:rPr>
        <w:t>III, 14 giugno 2017, n. 29552</w:t>
      </w:r>
      <w:r w:rsidRPr="00077DA1">
        <w:rPr>
          <w:rFonts w:ascii="Times New Roman" w:hAnsi="Times New Roman" w:cs="Times New Roman"/>
        </w:rPr>
        <w:t>.</w:t>
      </w:r>
    </w:p>
  </w:footnote>
  <w:footnote w:id="39">
    <w:p w:rsidR="00077DA1" w:rsidRDefault="00077DA1">
      <w:pPr>
        <w:pStyle w:val="Testonotaapidipagina"/>
      </w:pPr>
      <w:r>
        <w:rPr>
          <w:rStyle w:val="Rimandonotaapidipagina"/>
        </w:rPr>
        <w:footnoteRef/>
      </w:r>
      <w:r>
        <w:t xml:space="preserve"> </w:t>
      </w:r>
      <w:r w:rsidRPr="00077DA1">
        <w:rPr>
          <w:rFonts w:ascii="Times New Roman" w:hAnsi="Times New Roman" w:cs="Times New Roman"/>
        </w:rPr>
        <w:t xml:space="preserve">Cfr. </w:t>
      </w:r>
      <w:r w:rsidRPr="00077DA1">
        <w:rPr>
          <w:rFonts w:ascii="Times New Roman" w:hAnsi="Times New Roman" w:cs="Times New Roman"/>
          <w:b/>
        </w:rPr>
        <w:t>Cass., 13 maggio 2020, n. 14750</w:t>
      </w:r>
      <w:r>
        <w:t xml:space="preserve">.  </w:t>
      </w:r>
      <w:r w:rsidRPr="00077DA1">
        <w:rPr>
          <w:rFonts w:ascii="Times New Roman" w:hAnsi="Times New Roman" w:cs="Times New Roman"/>
          <w:i/>
        </w:rPr>
        <w:t>Contra</w:t>
      </w:r>
      <w:r w:rsidRPr="00077DA1">
        <w:rPr>
          <w:rFonts w:ascii="Times New Roman" w:hAnsi="Times New Roman" w:cs="Times New Roman"/>
        </w:rPr>
        <w:t xml:space="preserve">, si veda </w:t>
      </w:r>
      <w:r w:rsidRPr="00077DA1">
        <w:rPr>
          <w:rFonts w:ascii="Times New Roman" w:hAnsi="Times New Roman" w:cs="Times New Roman"/>
          <w:b/>
        </w:rPr>
        <w:t>Cass., sez. III, 10 marzo 2015, n. 9633</w:t>
      </w:r>
      <w:r>
        <w:t xml:space="preserve">. </w:t>
      </w:r>
    </w:p>
  </w:footnote>
  <w:footnote w:id="40">
    <w:p w:rsidR="00E27CDD" w:rsidRPr="00C9513F" w:rsidRDefault="00E27CDD" w:rsidP="00F31E59">
      <w:pPr>
        <w:pStyle w:val="Testonotaapidipagina"/>
      </w:pPr>
      <w:r w:rsidRPr="00C9513F">
        <w:rPr>
          <w:rStyle w:val="Rimandonotaapidipagina"/>
        </w:rPr>
        <w:footnoteRef/>
      </w:r>
      <w:r w:rsidRPr="00C9513F">
        <w:t xml:space="preserve"> </w:t>
      </w:r>
      <w:r w:rsidRPr="00F31E59">
        <w:rPr>
          <w:rFonts w:ascii="Times New Roman" w:hAnsi="Times New Roman" w:cs="Times New Roman"/>
        </w:rPr>
        <w:t>La sentenza è di particolare interesse in quanto va in senso diametralmente opposto a quanto evidenziato da parte dei giudici penali, negando la legittimità di qualsiasi previsione regolamentare (se non del tutto minimale, tipo apposizione di cartelli e di posacenere esterni</w:t>
      </w:r>
      <w:r>
        <w:rPr>
          <w:rFonts w:ascii="Times New Roman" w:hAnsi="Times New Roman" w:cs="Times New Roman"/>
        </w:rPr>
        <w:t>)</w:t>
      </w:r>
      <w:r w:rsidRPr="00F31E59">
        <w:rPr>
          <w:rFonts w:ascii="Times New Roman" w:hAnsi="Times New Roman" w:cs="Times New Roman"/>
        </w:rPr>
        <w:t>, che imponga condotte attive ai gestori, con ciò trasferendo indebitamente, a detta del giudice amministrativo, funzioni proprie degli organi di polizia a soggetti privati che non ne hanno la titolarità</w:t>
      </w:r>
      <w:r w:rsidRPr="00C9513F">
        <w:t xml:space="preserve">. </w:t>
      </w:r>
    </w:p>
  </w:footnote>
  <w:footnote w:id="41">
    <w:p w:rsidR="00E27CDD" w:rsidRPr="00B16542" w:rsidRDefault="00E27CDD" w:rsidP="00C22F69">
      <w:pPr>
        <w:spacing w:before="100" w:beforeAutospacing="1" w:after="100" w:afterAutospacing="1" w:line="240" w:lineRule="auto"/>
        <w:jc w:val="both"/>
        <w:rPr>
          <w:rFonts w:ascii="Times New Roman" w:hAnsi="Times New Roman" w:cs="Times New Roman"/>
        </w:rPr>
      </w:pPr>
      <w:r>
        <w:rPr>
          <w:rStyle w:val="Rimandonotaapidipagina"/>
        </w:rPr>
        <w:footnoteRef/>
      </w:r>
      <w:r>
        <w:t xml:space="preserve"> </w:t>
      </w:r>
      <w:r w:rsidRPr="00B16542">
        <w:rPr>
          <w:rFonts w:ascii="Times New Roman" w:hAnsi="Times New Roman" w:cs="Times New Roman"/>
          <w:sz w:val="20"/>
          <w:szCs w:val="20"/>
        </w:rPr>
        <w:t xml:space="preserve">La definizione normativa di bevande alcoliche e superalcoliche è ora contenuta nell’art. 1, comma 2, della l.125/2001.  </w:t>
      </w:r>
      <w:r w:rsidRPr="00B16542">
        <w:rPr>
          <w:rFonts w:ascii="Times New Roman" w:eastAsia="Times New Roman" w:hAnsi="Times New Roman" w:cs="Times New Roman"/>
          <w:sz w:val="20"/>
          <w:szCs w:val="20"/>
          <w:lang w:eastAsia="it-IT"/>
        </w:rPr>
        <w:t xml:space="preserve">Per bevanda alcolica si intende ogni prodotto contenente alcol alimentare con gradazione superiore a 1,2 gradi di alcol, mentre per bevanda superalcolica si intende ogni prodotto con gradazione superiore al 21% di alcol in volume. </w:t>
      </w:r>
    </w:p>
  </w:footnote>
  <w:footnote w:id="42">
    <w:p w:rsidR="00E27CDD" w:rsidRPr="00B16542" w:rsidRDefault="00E27CDD" w:rsidP="00E27CDD">
      <w:pPr>
        <w:pStyle w:val="Testonotaapidipagina"/>
        <w:jc w:val="both"/>
        <w:rPr>
          <w:rFonts w:ascii="Times New Roman" w:hAnsi="Times New Roman" w:cs="Times New Roman"/>
        </w:rPr>
      </w:pPr>
      <w:r w:rsidRPr="00B16542">
        <w:rPr>
          <w:rStyle w:val="Rimandonotaapidipagina"/>
          <w:rFonts w:ascii="Times New Roman" w:hAnsi="Times New Roman" w:cs="Times New Roman"/>
        </w:rPr>
        <w:footnoteRef/>
      </w:r>
      <w:r w:rsidRPr="00B16542">
        <w:rPr>
          <w:rFonts w:ascii="Times New Roman" w:hAnsi="Times New Roman" w:cs="Times New Roman"/>
        </w:rPr>
        <w:t xml:space="preserve"> In verità alcune norme in materia di vendita di alcolici e superalcolici, con i quali pure occorrerebbe coordinarsi in sede di adozione di eventuali provvedimenti specifici, sono contenute, ad esempio, nell’art. 6, comma 2 della l. 160 del 2007. Anche la normativa sul commercio su aree pubbliche prevede la possibilità di introdurre limitazioni in o</w:t>
      </w:r>
      <w:r w:rsidR="00077DA1">
        <w:rPr>
          <w:rFonts w:ascii="Times New Roman" w:hAnsi="Times New Roman" w:cs="Times New Roman"/>
        </w:rPr>
        <w:t>c</w:t>
      </w:r>
      <w:r w:rsidRPr="00B16542">
        <w:rPr>
          <w:rFonts w:ascii="Times New Roman" w:hAnsi="Times New Roman" w:cs="Times New Roman"/>
        </w:rPr>
        <w:t>casione di eventi che implichino particolare afflusso di persone.</w:t>
      </w:r>
    </w:p>
  </w:footnote>
  <w:footnote w:id="43">
    <w:p w:rsidR="00E27CDD" w:rsidRPr="00B16542" w:rsidRDefault="00E27CDD" w:rsidP="00C22F69">
      <w:pPr>
        <w:spacing w:before="100" w:beforeAutospacing="1" w:after="100" w:afterAutospacing="1" w:line="240" w:lineRule="auto"/>
        <w:jc w:val="both"/>
        <w:rPr>
          <w:rFonts w:ascii="Times New Roman" w:eastAsia="Times New Roman" w:hAnsi="Times New Roman" w:cs="Times New Roman"/>
          <w:sz w:val="20"/>
          <w:szCs w:val="20"/>
          <w:lang w:eastAsia="it-IT"/>
        </w:rPr>
      </w:pPr>
      <w:r w:rsidRPr="00B16542">
        <w:rPr>
          <w:rStyle w:val="Rimandonotaapidipagina"/>
          <w:rFonts w:ascii="Times New Roman" w:hAnsi="Times New Roman" w:cs="Times New Roman"/>
          <w:sz w:val="20"/>
          <w:szCs w:val="20"/>
        </w:rPr>
        <w:footnoteRef/>
      </w:r>
      <w:r w:rsidRPr="00B16542">
        <w:rPr>
          <w:rFonts w:ascii="Times New Roman" w:hAnsi="Times New Roman" w:cs="Times New Roman"/>
          <w:sz w:val="20"/>
          <w:szCs w:val="20"/>
        </w:rPr>
        <w:t xml:space="preserve"> Il riferimento anche alla vendita da parte degli esercizi commerc</w:t>
      </w:r>
      <w:r w:rsidR="00B16542" w:rsidRPr="00B16542">
        <w:rPr>
          <w:rFonts w:ascii="Times New Roman" w:hAnsi="Times New Roman" w:cs="Times New Roman"/>
          <w:sz w:val="20"/>
          <w:szCs w:val="20"/>
        </w:rPr>
        <w:t>iali</w:t>
      </w:r>
      <w:r w:rsidRPr="00B16542">
        <w:rPr>
          <w:rFonts w:ascii="Times New Roman" w:hAnsi="Times New Roman" w:cs="Times New Roman"/>
          <w:sz w:val="20"/>
          <w:szCs w:val="20"/>
        </w:rPr>
        <w:t>, artigianali e distributori automatici è stato inserito dal d.l. 4 ottobre 2018, n. 113, convertito, con modificazioni, dalla l. 1 dicembre 2018, n. 132.</w:t>
      </w:r>
    </w:p>
    <w:p w:rsidR="00E27CDD" w:rsidRPr="00C9513F" w:rsidRDefault="00E27CDD" w:rsidP="00DB3733">
      <w:pPr>
        <w:pStyle w:val="Testonotaapidipagina"/>
        <w:jc w:val="both"/>
      </w:pPr>
    </w:p>
  </w:footnote>
  <w:footnote w:id="44">
    <w:p w:rsidR="00E27CDD" w:rsidRPr="00B16542" w:rsidRDefault="00E27CDD" w:rsidP="00C22F69">
      <w:pPr>
        <w:autoSpaceDE w:val="0"/>
        <w:autoSpaceDN w:val="0"/>
        <w:adjustRightInd w:val="0"/>
        <w:spacing w:after="0" w:line="240" w:lineRule="auto"/>
        <w:jc w:val="both"/>
        <w:rPr>
          <w:rFonts w:ascii="Times New Roman" w:hAnsi="Times New Roman" w:cs="Times New Roman"/>
          <w:sz w:val="20"/>
          <w:szCs w:val="20"/>
        </w:rPr>
      </w:pPr>
      <w:r w:rsidRPr="00B16542">
        <w:rPr>
          <w:rStyle w:val="Rimandonotaapidipagina"/>
          <w:rFonts w:ascii="Times New Roman" w:hAnsi="Times New Roman" w:cs="Times New Roman"/>
          <w:sz w:val="20"/>
          <w:szCs w:val="20"/>
        </w:rPr>
        <w:footnoteRef/>
      </w:r>
      <w:r w:rsidRPr="00B16542">
        <w:rPr>
          <w:rFonts w:ascii="Times New Roman" w:hAnsi="Times New Roman" w:cs="Times New Roman"/>
          <w:sz w:val="20"/>
          <w:szCs w:val="20"/>
        </w:rPr>
        <w:t xml:space="preserve"> </w:t>
      </w:r>
      <w:r w:rsidR="00077DA1">
        <w:rPr>
          <w:rFonts w:ascii="Times New Roman" w:hAnsi="Times New Roman" w:cs="Times New Roman"/>
          <w:sz w:val="20"/>
          <w:szCs w:val="20"/>
        </w:rPr>
        <w:t>C</w:t>
      </w:r>
      <w:r w:rsidRPr="00B16542">
        <w:rPr>
          <w:rFonts w:ascii="Times New Roman" w:hAnsi="Times New Roman" w:cs="Times New Roman"/>
          <w:sz w:val="20"/>
          <w:szCs w:val="20"/>
        </w:rPr>
        <w:t xml:space="preserve">fr. </w:t>
      </w:r>
      <w:proofErr w:type="spellStart"/>
      <w:r w:rsidRPr="00077DA1">
        <w:rPr>
          <w:rFonts w:ascii="Times New Roman" w:hAnsi="Times New Roman" w:cs="Times New Roman"/>
          <w:b/>
          <w:sz w:val="20"/>
          <w:szCs w:val="20"/>
        </w:rPr>
        <w:t>Cons</w:t>
      </w:r>
      <w:proofErr w:type="spellEnd"/>
      <w:r w:rsidRPr="00077DA1">
        <w:rPr>
          <w:rFonts w:ascii="Times New Roman" w:hAnsi="Times New Roman" w:cs="Times New Roman"/>
          <w:b/>
          <w:sz w:val="20"/>
          <w:szCs w:val="20"/>
        </w:rPr>
        <w:t xml:space="preserve"> Stato, </w:t>
      </w:r>
      <w:proofErr w:type="spellStart"/>
      <w:r w:rsidRPr="00077DA1">
        <w:rPr>
          <w:rFonts w:ascii="Times New Roman" w:hAnsi="Times New Roman" w:cs="Times New Roman"/>
          <w:b/>
          <w:sz w:val="20"/>
          <w:szCs w:val="20"/>
        </w:rPr>
        <w:t>sez</w:t>
      </w:r>
      <w:proofErr w:type="spellEnd"/>
      <w:r w:rsidRPr="00077DA1">
        <w:rPr>
          <w:rFonts w:ascii="Times New Roman" w:hAnsi="Times New Roman" w:cs="Times New Roman"/>
          <w:b/>
          <w:sz w:val="20"/>
          <w:szCs w:val="20"/>
        </w:rPr>
        <w:t>, V, 13 gennaio 2014, n.70</w:t>
      </w:r>
      <w:r w:rsidRPr="00B16542">
        <w:rPr>
          <w:rFonts w:ascii="Times New Roman" w:hAnsi="Times New Roman" w:cs="Times New Roman"/>
          <w:sz w:val="20"/>
          <w:szCs w:val="20"/>
        </w:rPr>
        <w:t>.</w:t>
      </w:r>
    </w:p>
    <w:p w:rsidR="00E27CDD" w:rsidRPr="00B16542" w:rsidRDefault="00E27CDD" w:rsidP="00C22F69">
      <w:pPr>
        <w:pStyle w:val="Testonotaapidipagina"/>
        <w:jc w:val="both"/>
        <w:rPr>
          <w:rFonts w:ascii="Times New Roman" w:hAnsi="Times New Roman" w:cs="Times New Roman"/>
        </w:rPr>
      </w:pPr>
    </w:p>
  </w:footnote>
  <w:footnote w:id="45">
    <w:p w:rsidR="00E27CDD" w:rsidRPr="00C9513F" w:rsidRDefault="00E27CDD" w:rsidP="00B2061F">
      <w:pPr>
        <w:autoSpaceDE w:val="0"/>
        <w:autoSpaceDN w:val="0"/>
        <w:adjustRightInd w:val="0"/>
        <w:spacing w:after="0" w:line="240" w:lineRule="auto"/>
        <w:jc w:val="both"/>
      </w:pPr>
      <w:r w:rsidRPr="00C9513F">
        <w:rPr>
          <w:rStyle w:val="Rimandonotaapidipagina"/>
          <w:sz w:val="20"/>
          <w:szCs w:val="20"/>
        </w:rPr>
        <w:footnoteRef/>
      </w:r>
      <w:r w:rsidRPr="00C9513F">
        <w:rPr>
          <w:sz w:val="20"/>
          <w:szCs w:val="20"/>
        </w:rPr>
        <w:t xml:space="preserve"> </w:t>
      </w:r>
      <w:r w:rsidRPr="00077DA1">
        <w:rPr>
          <w:rFonts w:ascii="Times New Roman" w:hAnsi="Times New Roman" w:cs="Times New Roman"/>
          <w:sz w:val="20"/>
          <w:szCs w:val="20"/>
        </w:rPr>
        <w:t>Lo stesso potere è riconosciuto al presidente della provincia, al presidente della giunta regionale, a prefetto e al Ministro dell'ambiente, secondo quanto previsto dall'articolo 8 della legge 3 marzo 1987, n. 59, nonché al Presidente del Consiglio dei ministri, nell'ambito delle rispettive competenze. Nel caso di servizi pubblici essenziali, tale facoltà è riservata esclusivamente al Presidente del Consiglio dei ministri. Restano salvi i poteri degli organi dello Stato preposti, in base alle leggi vigenti, alla tutela della sicurezza pubblica.</w:t>
      </w:r>
    </w:p>
  </w:footnote>
  <w:footnote w:id="46">
    <w:p w:rsidR="00E27CDD" w:rsidRPr="00077DA1" w:rsidRDefault="00E27CDD" w:rsidP="00B2061F">
      <w:pPr>
        <w:pStyle w:val="Testonotaapidipagina"/>
        <w:jc w:val="both"/>
        <w:rPr>
          <w:rFonts w:ascii="Times New Roman" w:hAnsi="Times New Roman" w:cs="Times New Roman"/>
        </w:rPr>
      </w:pPr>
      <w:r w:rsidRPr="00C9513F">
        <w:rPr>
          <w:rStyle w:val="Rimandonotaapidipagina"/>
        </w:rPr>
        <w:footnoteRef/>
      </w:r>
      <w:r w:rsidRPr="00C9513F">
        <w:t xml:space="preserve"> </w:t>
      </w:r>
      <w:r w:rsidRPr="00077DA1">
        <w:rPr>
          <w:rFonts w:ascii="Times New Roman" w:hAnsi="Times New Roman" w:cs="Times New Roman"/>
        </w:rPr>
        <w:t xml:space="preserve">Cfr. sul punto quanto affermato da </w:t>
      </w:r>
      <w:r w:rsidRPr="00077DA1">
        <w:rPr>
          <w:rFonts w:ascii="Times New Roman" w:hAnsi="Times New Roman" w:cs="Times New Roman"/>
          <w:b/>
        </w:rPr>
        <w:t xml:space="preserve">Cons. Stato, </w:t>
      </w:r>
      <w:r w:rsidR="00077DA1" w:rsidRPr="00077DA1">
        <w:rPr>
          <w:rFonts w:ascii="Times New Roman" w:hAnsi="Times New Roman" w:cs="Times New Roman"/>
          <w:b/>
        </w:rPr>
        <w:t>s</w:t>
      </w:r>
      <w:r w:rsidRPr="00077DA1">
        <w:rPr>
          <w:rFonts w:ascii="Times New Roman" w:hAnsi="Times New Roman" w:cs="Times New Roman"/>
          <w:b/>
        </w:rPr>
        <w:t xml:space="preserve">ez. V, </w:t>
      </w:r>
      <w:r w:rsidR="00077DA1" w:rsidRPr="00077DA1">
        <w:rPr>
          <w:rFonts w:ascii="Times New Roman" w:hAnsi="Times New Roman" w:cs="Times New Roman"/>
          <w:b/>
        </w:rPr>
        <w:t xml:space="preserve">27 ottobre 2014, </w:t>
      </w:r>
      <w:r w:rsidRPr="00077DA1">
        <w:rPr>
          <w:rFonts w:ascii="Times New Roman" w:hAnsi="Times New Roman" w:cs="Times New Roman"/>
          <w:b/>
        </w:rPr>
        <w:t>n. 5287</w:t>
      </w:r>
      <w:r w:rsidR="00077DA1">
        <w:rPr>
          <w:rFonts w:ascii="Times New Roman" w:hAnsi="Times New Roman" w:cs="Times New Roman"/>
        </w:rPr>
        <w:t>,</w:t>
      </w:r>
      <w:r w:rsidRPr="00077DA1">
        <w:rPr>
          <w:rFonts w:ascii="Times New Roman" w:hAnsi="Times New Roman" w:cs="Times New Roman"/>
        </w:rPr>
        <w:t xml:space="preserve"> ove si legge che  </w:t>
      </w:r>
      <w:r w:rsidR="00077DA1">
        <w:rPr>
          <w:rFonts w:ascii="Times New Roman" w:hAnsi="Times New Roman" w:cs="Times New Roman"/>
        </w:rPr>
        <w:t>«[.</w:t>
      </w:r>
      <w:r w:rsidRPr="00077DA1">
        <w:rPr>
          <w:rFonts w:ascii="Times New Roman" w:hAnsi="Times New Roman" w:cs="Times New Roman"/>
        </w:rPr>
        <w:t>..</w:t>
      </w:r>
      <w:r w:rsidR="00077DA1">
        <w:rPr>
          <w:rFonts w:ascii="Times New Roman" w:hAnsi="Times New Roman" w:cs="Times New Roman"/>
        </w:rPr>
        <w:t>]</w:t>
      </w:r>
      <w:r w:rsidRPr="00077DA1">
        <w:rPr>
          <w:rFonts w:ascii="Times New Roman" w:hAnsi="Times New Roman" w:cs="Times New Roman"/>
          <w:i/>
        </w:rPr>
        <w:t xml:space="preserve">fermo restando il potere sindacale di emanare ordinanze contingibili </w:t>
      </w:r>
      <w:proofErr w:type="spellStart"/>
      <w:r w:rsidRPr="00077DA1">
        <w:rPr>
          <w:rFonts w:ascii="Times New Roman" w:hAnsi="Times New Roman" w:cs="Times New Roman"/>
          <w:i/>
        </w:rPr>
        <w:t>ed</w:t>
      </w:r>
      <w:proofErr w:type="spellEnd"/>
      <w:r w:rsidRPr="00077DA1">
        <w:rPr>
          <w:rFonts w:ascii="Times New Roman" w:hAnsi="Times New Roman" w:cs="Times New Roman"/>
          <w:i/>
        </w:rPr>
        <w:t xml:space="preserve"> urgenti </w:t>
      </w:r>
      <w:r w:rsidR="00077DA1" w:rsidRPr="00077DA1">
        <w:rPr>
          <w:rFonts w:ascii="Times New Roman" w:hAnsi="Times New Roman" w:cs="Times New Roman"/>
          <w:i/>
        </w:rPr>
        <w:t xml:space="preserve">allorché </w:t>
      </w:r>
      <w:r w:rsidRPr="00077DA1">
        <w:rPr>
          <w:rFonts w:ascii="Times New Roman" w:hAnsi="Times New Roman" w:cs="Times New Roman"/>
          <w:i/>
        </w:rPr>
        <w:t>si verifichino situazioni eccezionali, impreviste ed imprevedibili come tali autonomamente idonee a ledere o mettere in pericolo l’incolumità dei cittadini e la sicurezza pubblica (ivi compreso l’inquinamento acustico e atmosferico) il comune abbia il potere di tutelare e garantire la sicurezza urbana individuando a tal fine le misure più idonee e adeguate – tale potere non può che manifestarsi in via ordinaria attraverso l’esercizio della potestà regolamentare che spetta interamente ed esclusivamente all’organo consiliare</w:t>
      </w:r>
      <w:r w:rsidR="00077DA1">
        <w:rPr>
          <w:rFonts w:ascii="Times New Roman" w:hAnsi="Times New Roman" w:cs="Times New Roman"/>
        </w:rPr>
        <w:t>»</w:t>
      </w:r>
      <w:r w:rsidRPr="00077DA1">
        <w:rPr>
          <w:rFonts w:ascii="Times New Roman" w:hAnsi="Times New Roman" w:cs="Times New Roman"/>
        </w:rPr>
        <w:t>.</w:t>
      </w:r>
    </w:p>
  </w:footnote>
  <w:footnote w:id="47">
    <w:p w:rsidR="00FB60DD" w:rsidRDefault="00FB60DD" w:rsidP="008D4B7F">
      <w:pPr>
        <w:pStyle w:val="Testonotaapidipagina"/>
        <w:jc w:val="both"/>
      </w:pPr>
      <w:r>
        <w:rPr>
          <w:rStyle w:val="Rimandonotaapidipagina"/>
        </w:rPr>
        <w:footnoteRef/>
      </w:r>
      <w:r>
        <w:t xml:space="preserve"> </w:t>
      </w:r>
      <w:r w:rsidR="008D4B7F" w:rsidRPr="0010172F">
        <w:rPr>
          <w:rFonts w:ascii="Times New Roman" w:hAnsi="Times New Roman" w:cs="Times New Roman"/>
        </w:rPr>
        <w:t xml:space="preserve">In termini, v. anche </w:t>
      </w:r>
      <w:r w:rsidRPr="0010172F">
        <w:rPr>
          <w:rFonts w:ascii="Times New Roman" w:hAnsi="Times New Roman" w:cs="Times New Roman"/>
        </w:rPr>
        <w:t xml:space="preserve">Cass., n. 28201 del 2018. Nella specie, </w:t>
      </w:r>
      <w:proofErr w:type="spellStart"/>
      <w:r w:rsidRPr="0010172F">
        <w:rPr>
          <w:rFonts w:ascii="Times New Roman" w:hAnsi="Times New Roman" w:cs="Times New Roman"/>
        </w:rPr>
        <w:t>trattavasi</w:t>
      </w:r>
      <w:proofErr w:type="spellEnd"/>
      <w:r w:rsidRPr="0010172F">
        <w:rPr>
          <w:rFonts w:ascii="Times New Roman" w:hAnsi="Times New Roman" w:cs="Times New Roman"/>
        </w:rPr>
        <w:t xml:space="preserve"> del Comune di Albissola che aveva organizzato ridetti eventi </w:t>
      </w:r>
      <w:r w:rsidR="008D4B7F" w:rsidRPr="0010172F">
        <w:rPr>
          <w:rFonts w:ascii="Times New Roman" w:hAnsi="Times New Roman" w:cs="Times New Roman"/>
        </w:rPr>
        <w:t xml:space="preserve">culturali </w:t>
      </w:r>
      <w:r w:rsidRPr="0010172F">
        <w:rPr>
          <w:rFonts w:ascii="Times New Roman" w:hAnsi="Times New Roman" w:cs="Times New Roman"/>
        </w:rPr>
        <w:t>durante tutta la stagione estiva</w:t>
      </w:r>
      <w:r w:rsidR="008D4B7F" w:rsidRPr="0010172F">
        <w:rPr>
          <w:rFonts w:ascii="Times New Roman" w:hAnsi="Times New Roman" w:cs="Times New Roman"/>
        </w:rPr>
        <w:t>.</w:t>
      </w:r>
      <w:r w:rsidRPr="0010172F">
        <w:rPr>
          <w:rFonts w:ascii="Times New Roman" w:hAnsi="Times New Roman" w:cs="Times New Roman"/>
        </w:rPr>
        <w:t xml:space="preserve"> La CTU disposta nel corso del giudizio di primo grado ha dimostrato il superamento della soglia dei decibel consentiti. L’entità del danno è stato comunque circoscritto a euro 1.000/00, ma è evidente la portata deflagrante del precedente affermato.</w:t>
      </w:r>
    </w:p>
  </w:footnote>
  <w:footnote w:id="48">
    <w:p w:rsidR="007764EF" w:rsidRPr="00EF7F89" w:rsidRDefault="007764EF" w:rsidP="007764EF">
      <w:pPr>
        <w:pStyle w:val="NormaleWeb"/>
        <w:shd w:val="clear" w:color="auto" w:fill="FFFFFF"/>
        <w:spacing w:before="0" w:beforeAutospacing="0" w:after="255" w:afterAutospacing="0" w:line="276" w:lineRule="auto"/>
        <w:jc w:val="both"/>
        <w:rPr>
          <w:color w:val="000000"/>
          <w:sz w:val="16"/>
          <w:szCs w:val="16"/>
        </w:rPr>
      </w:pPr>
      <w:r>
        <w:rPr>
          <w:rStyle w:val="Rimandonotaapidipagina"/>
        </w:rPr>
        <w:footnoteRef/>
      </w:r>
      <w:r>
        <w:t xml:space="preserve"> </w:t>
      </w:r>
      <w:r w:rsidRPr="00B560C4">
        <w:rPr>
          <w:sz w:val="16"/>
          <w:szCs w:val="16"/>
        </w:rPr>
        <w:t>L</w:t>
      </w:r>
      <w:r w:rsidRPr="00B560C4">
        <w:rPr>
          <w:color w:val="000000"/>
          <w:sz w:val="16"/>
          <w:szCs w:val="16"/>
        </w:rPr>
        <w:t xml:space="preserve">’Avvocatura dello Stato ha sul punto rilasciato il parere </w:t>
      </w:r>
      <w:r w:rsidRPr="00B560C4">
        <w:rPr>
          <w:color w:val="000000"/>
          <w:sz w:val="16"/>
          <w:szCs w:val="16"/>
          <w:shd w:val="clear" w:color="auto" w:fill="FFFFFF"/>
        </w:rPr>
        <w:t xml:space="preserve">Sez. IV – V 30795/2018, trasfuso nella circolare del Ministero dell’Interno – Dipartimento della Pubblica Sicurezza – Ufficio dell’Amministrazione Generale del 28 gennaio 2019, ove si afferma </w:t>
      </w:r>
      <w:r w:rsidRPr="00B560C4">
        <w:rPr>
          <w:color w:val="000000"/>
          <w:sz w:val="16"/>
          <w:szCs w:val="16"/>
        </w:rPr>
        <w:t>che la disciplina della rappresentanza nell’ambito delle autorizzazioni di polizia deve essere ricostruita facendo riferimento alle norme civilistiche.</w:t>
      </w:r>
      <w:r>
        <w:rPr>
          <w:color w:val="000000"/>
          <w:sz w:val="16"/>
          <w:szCs w:val="16"/>
        </w:rPr>
        <w:t xml:space="preserve"> </w:t>
      </w:r>
      <w:r w:rsidRPr="00EF7F89">
        <w:rPr>
          <w:color w:val="000000"/>
          <w:sz w:val="16"/>
          <w:szCs w:val="16"/>
        </w:rPr>
        <w:t xml:space="preserve">In particolare, </w:t>
      </w:r>
      <w:r w:rsidRPr="00B560C4">
        <w:rPr>
          <w:color w:val="000000"/>
          <w:sz w:val="16"/>
          <w:szCs w:val="16"/>
        </w:rPr>
        <w:t xml:space="preserve">si </w:t>
      </w:r>
      <w:r w:rsidRPr="00EF7F89">
        <w:rPr>
          <w:color w:val="000000"/>
          <w:sz w:val="16"/>
          <w:szCs w:val="16"/>
        </w:rPr>
        <w:t xml:space="preserve">afferma che </w:t>
      </w:r>
      <w:r w:rsidRPr="00B560C4">
        <w:rPr>
          <w:color w:val="000000"/>
          <w:sz w:val="16"/>
          <w:szCs w:val="16"/>
        </w:rPr>
        <w:t>«</w:t>
      </w:r>
      <w:r w:rsidRPr="00B560C4">
        <w:rPr>
          <w:i/>
          <w:iCs/>
          <w:color w:val="000000"/>
          <w:sz w:val="16"/>
          <w:szCs w:val="16"/>
        </w:rPr>
        <w:t>la legislazione speciale </w:t>
      </w:r>
      <w:r w:rsidRPr="00EF7F89">
        <w:rPr>
          <w:color w:val="000000"/>
          <w:sz w:val="16"/>
          <w:szCs w:val="16"/>
        </w:rPr>
        <w:t xml:space="preserve">[l’art. 8 </w:t>
      </w:r>
      <w:proofErr w:type="spellStart"/>
      <w:r w:rsidRPr="00EF7F89">
        <w:rPr>
          <w:color w:val="000000"/>
          <w:sz w:val="16"/>
          <w:szCs w:val="16"/>
        </w:rPr>
        <w:t>T.u.l.p.s</w:t>
      </w:r>
      <w:proofErr w:type="spellEnd"/>
      <w:r w:rsidRPr="00EF7F89">
        <w:rPr>
          <w:color w:val="000000"/>
          <w:sz w:val="16"/>
          <w:szCs w:val="16"/>
        </w:rPr>
        <w:t>.</w:t>
      </w:r>
      <w:r w:rsidR="00AE1B69">
        <w:rPr>
          <w:color w:val="000000"/>
          <w:sz w:val="16"/>
          <w:szCs w:val="16"/>
        </w:rPr>
        <w:t>,</w:t>
      </w:r>
      <w:r w:rsidRPr="00EF7F89">
        <w:rPr>
          <w:color w:val="000000"/>
          <w:sz w:val="16"/>
          <w:szCs w:val="16"/>
        </w:rPr>
        <w:t xml:space="preserve"> </w:t>
      </w:r>
      <w:proofErr w:type="spellStart"/>
      <w:r w:rsidRPr="00EF7F89">
        <w:rPr>
          <w:color w:val="000000"/>
          <w:sz w:val="16"/>
          <w:szCs w:val="16"/>
        </w:rPr>
        <w:t>n</w:t>
      </w:r>
      <w:r w:rsidRPr="00B560C4">
        <w:rPr>
          <w:color w:val="000000"/>
          <w:sz w:val="16"/>
          <w:szCs w:val="16"/>
        </w:rPr>
        <w:t>.</w:t>
      </w:r>
      <w:r w:rsidRPr="00EF7F89">
        <w:rPr>
          <w:color w:val="000000"/>
          <w:sz w:val="16"/>
          <w:szCs w:val="16"/>
        </w:rPr>
        <w:t>d</w:t>
      </w:r>
      <w:r w:rsidRPr="00B560C4">
        <w:rPr>
          <w:color w:val="000000"/>
          <w:sz w:val="16"/>
          <w:szCs w:val="16"/>
        </w:rPr>
        <w:t>.</w:t>
      </w:r>
      <w:r w:rsidRPr="00EF7F89">
        <w:rPr>
          <w:color w:val="000000"/>
          <w:sz w:val="16"/>
          <w:szCs w:val="16"/>
        </w:rPr>
        <w:t>r</w:t>
      </w:r>
      <w:r w:rsidRPr="00B560C4">
        <w:rPr>
          <w:color w:val="000000"/>
          <w:sz w:val="16"/>
          <w:szCs w:val="16"/>
        </w:rPr>
        <w:t>.</w:t>
      </w:r>
      <w:proofErr w:type="spellEnd"/>
      <w:r w:rsidRPr="00EF7F89">
        <w:rPr>
          <w:color w:val="000000"/>
          <w:sz w:val="16"/>
          <w:szCs w:val="16"/>
        </w:rPr>
        <w:t>]</w:t>
      </w:r>
      <w:r w:rsidRPr="00B560C4">
        <w:rPr>
          <w:i/>
          <w:iCs/>
          <w:color w:val="000000"/>
          <w:sz w:val="16"/>
          <w:szCs w:val="16"/>
        </w:rPr>
        <w:t xml:space="preserve"> richiama nominalmente un istituto puntualmente regolato dalla disciplina di diritto comune, ragion per cui sembra che, allorquando nella costruzione della fattispecie vengono impiegati elementi normativi – già oggetto di disciplina in altro settore ordinario – in assenza di indici ermeneutici contrati, deve aversi riguardo all’istituto nominato e regolato dalla disciplina generale. Ne deriva che la rappresentanza nell’esercizio di una autorizzazione di polizia appare potersi ricondurre alla categoria della rappresentanza prevista nel diritto </w:t>
      </w:r>
      <w:proofErr w:type="spellStart"/>
      <w:r w:rsidRPr="00B560C4">
        <w:rPr>
          <w:i/>
          <w:iCs/>
          <w:color w:val="000000"/>
          <w:sz w:val="16"/>
          <w:szCs w:val="16"/>
        </w:rPr>
        <w:t>codicistico</w:t>
      </w:r>
      <w:proofErr w:type="spellEnd"/>
      <w:r w:rsidRPr="00B560C4">
        <w:rPr>
          <w:i/>
          <w:iCs/>
          <w:color w:val="000000"/>
          <w:sz w:val="16"/>
          <w:szCs w:val="16"/>
        </w:rPr>
        <w:t>, costituente quindi, in assenza di disposizioni speciali un regime tendenzialmente completo applicabile per la soluzione delle questioni interpretative suscettibili di essere poste dalla disciplina settoriale»</w:t>
      </w:r>
      <w:r w:rsidRPr="00EF7F89">
        <w:rPr>
          <w:color w:val="000000"/>
          <w:sz w:val="16"/>
          <w:szCs w:val="16"/>
        </w:rPr>
        <w:t>.</w:t>
      </w:r>
      <w:r>
        <w:rPr>
          <w:color w:val="000000"/>
          <w:sz w:val="16"/>
          <w:szCs w:val="16"/>
        </w:rPr>
        <w:t xml:space="preserve"> </w:t>
      </w:r>
    </w:p>
    <w:p w:rsidR="007764EF" w:rsidRDefault="007764EF" w:rsidP="007764EF">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D5850"/>
    <w:multiLevelType w:val="multilevel"/>
    <w:tmpl w:val="5C48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D601C"/>
    <w:multiLevelType w:val="multilevel"/>
    <w:tmpl w:val="B08C6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913A09"/>
    <w:multiLevelType w:val="multilevel"/>
    <w:tmpl w:val="635C5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B6233E"/>
    <w:multiLevelType w:val="hybridMultilevel"/>
    <w:tmpl w:val="652A746A"/>
    <w:lvl w:ilvl="0" w:tplc="6B10C8F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934490D"/>
    <w:multiLevelType w:val="hybridMultilevel"/>
    <w:tmpl w:val="034CBEC4"/>
    <w:lvl w:ilvl="0" w:tplc="A91C1DB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B671731"/>
    <w:multiLevelType w:val="hybridMultilevel"/>
    <w:tmpl w:val="8AC87CB6"/>
    <w:lvl w:ilvl="0" w:tplc="50AEB2F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E917EC3"/>
    <w:multiLevelType w:val="multilevel"/>
    <w:tmpl w:val="BE28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4D7271F-A67F-4D18-9DDB-073401DDB3A9}"/>
    <w:docVar w:name="dgnword-eventsink" w:val="386663776"/>
  </w:docVars>
  <w:rsids>
    <w:rsidRoot w:val="00893053"/>
    <w:rsid w:val="000107E1"/>
    <w:rsid w:val="00042221"/>
    <w:rsid w:val="00042B94"/>
    <w:rsid w:val="00050CF6"/>
    <w:rsid w:val="0007141C"/>
    <w:rsid w:val="00077DA1"/>
    <w:rsid w:val="000969D8"/>
    <w:rsid w:val="000A63E8"/>
    <w:rsid w:val="000D6DEE"/>
    <w:rsid w:val="000D6E0E"/>
    <w:rsid w:val="000E3106"/>
    <w:rsid w:val="0010172F"/>
    <w:rsid w:val="001453CC"/>
    <w:rsid w:val="001732CC"/>
    <w:rsid w:val="0017729A"/>
    <w:rsid w:val="00180C7E"/>
    <w:rsid w:val="00186A3B"/>
    <w:rsid w:val="00193B0B"/>
    <w:rsid w:val="00193BAA"/>
    <w:rsid w:val="001E14EA"/>
    <w:rsid w:val="001E52E8"/>
    <w:rsid w:val="001F3728"/>
    <w:rsid w:val="001F440B"/>
    <w:rsid w:val="001F53EB"/>
    <w:rsid w:val="001F5CB3"/>
    <w:rsid w:val="001F5EDC"/>
    <w:rsid w:val="002065A6"/>
    <w:rsid w:val="00213F73"/>
    <w:rsid w:val="00225F56"/>
    <w:rsid w:val="0026179C"/>
    <w:rsid w:val="00290F6F"/>
    <w:rsid w:val="002A1E75"/>
    <w:rsid w:val="002A4914"/>
    <w:rsid w:val="002A7A5A"/>
    <w:rsid w:val="002B0F4A"/>
    <w:rsid w:val="002B5148"/>
    <w:rsid w:val="002D375B"/>
    <w:rsid w:val="00307BFA"/>
    <w:rsid w:val="0033428F"/>
    <w:rsid w:val="00337879"/>
    <w:rsid w:val="0035055B"/>
    <w:rsid w:val="00354EE4"/>
    <w:rsid w:val="00357EA5"/>
    <w:rsid w:val="0038256E"/>
    <w:rsid w:val="00392ADD"/>
    <w:rsid w:val="00393617"/>
    <w:rsid w:val="003A3D00"/>
    <w:rsid w:val="003C2694"/>
    <w:rsid w:val="003C383F"/>
    <w:rsid w:val="0040469C"/>
    <w:rsid w:val="004231C2"/>
    <w:rsid w:val="00426E5B"/>
    <w:rsid w:val="00437F09"/>
    <w:rsid w:val="00450B3A"/>
    <w:rsid w:val="0045734F"/>
    <w:rsid w:val="00466418"/>
    <w:rsid w:val="00472539"/>
    <w:rsid w:val="00482B92"/>
    <w:rsid w:val="00495C0D"/>
    <w:rsid w:val="004B2D52"/>
    <w:rsid w:val="004C7F00"/>
    <w:rsid w:val="004D5094"/>
    <w:rsid w:val="004D685C"/>
    <w:rsid w:val="004E2CCD"/>
    <w:rsid w:val="004E51D4"/>
    <w:rsid w:val="004E7D3F"/>
    <w:rsid w:val="004F628A"/>
    <w:rsid w:val="00502290"/>
    <w:rsid w:val="00512769"/>
    <w:rsid w:val="005264B1"/>
    <w:rsid w:val="005268EB"/>
    <w:rsid w:val="00534EBF"/>
    <w:rsid w:val="00537709"/>
    <w:rsid w:val="005426C6"/>
    <w:rsid w:val="0055037B"/>
    <w:rsid w:val="005621D7"/>
    <w:rsid w:val="00577218"/>
    <w:rsid w:val="005F0B66"/>
    <w:rsid w:val="005F347B"/>
    <w:rsid w:val="005F4E02"/>
    <w:rsid w:val="00607073"/>
    <w:rsid w:val="0061217B"/>
    <w:rsid w:val="00637BB6"/>
    <w:rsid w:val="00657484"/>
    <w:rsid w:val="00664C4A"/>
    <w:rsid w:val="00677DF3"/>
    <w:rsid w:val="00680C02"/>
    <w:rsid w:val="00687518"/>
    <w:rsid w:val="006902E1"/>
    <w:rsid w:val="006C0223"/>
    <w:rsid w:val="006F1110"/>
    <w:rsid w:val="0071459B"/>
    <w:rsid w:val="007564E7"/>
    <w:rsid w:val="00765A35"/>
    <w:rsid w:val="00772B62"/>
    <w:rsid w:val="007764EF"/>
    <w:rsid w:val="007B2FD2"/>
    <w:rsid w:val="007B6B82"/>
    <w:rsid w:val="007C3693"/>
    <w:rsid w:val="007C54EE"/>
    <w:rsid w:val="007F2BD6"/>
    <w:rsid w:val="00804A98"/>
    <w:rsid w:val="00805CB5"/>
    <w:rsid w:val="00822C27"/>
    <w:rsid w:val="008230B9"/>
    <w:rsid w:val="00847218"/>
    <w:rsid w:val="00850036"/>
    <w:rsid w:val="008620A1"/>
    <w:rsid w:val="00872B5D"/>
    <w:rsid w:val="00882E52"/>
    <w:rsid w:val="00893053"/>
    <w:rsid w:val="00895555"/>
    <w:rsid w:val="008A1F81"/>
    <w:rsid w:val="008A55BA"/>
    <w:rsid w:val="008D4B7F"/>
    <w:rsid w:val="008D5FFD"/>
    <w:rsid w:val="008E264E"/>
    <w:rsid w:val="008E6127"/>
    <w:rsid w:val="008E7F07"/>
    <w:rsid w:val="0090013D"/>
    <w:rsid w:val="009025B3"/>
    <w:rsid w:val="009046A7"/>
    <w:rsid w:val="00915BC9"/>
    <w:rsid w:val="0092475D"/>
    <w:rsid w:val="00927BF2"/>
    <w:rsid w:val="009311C3"/>
    <w:rsid w:val="00933FD0"/>
    <w:rsid w:val="00945D37"/>
    <w:rsid w:val="009526D2"/>
    <w:rsid w:val="00955B89"/>
    <w:rsid w:val="00970B9E"/>
    <w:rsid w:val="00974236"/>
    <w:rsid w:val="009962F0"/>
    <w:rsid w:val="009A50EA"/>
    <w:rsid w:val="009C26FA"/>
    <w:rsid w:val="009D68B5"/>
    <w:rsid w:val="009F5573"/>
    <w:rsid w:val="00A22456"/>
    <w:rsid w:val="00A272B0"/>
    <w:rsid w:val="00A3264A"/>
    <w:rsid w:val="00A40DE1"/>
    <w:rsid w:val="00A53855"/>
    <w:rsid w:val="00A622D8"/>
    <w:rsid w:val="00A834CF"/>
    <w:rsid w:val="00A84E3C"/>
    <w:rsid w:val="00A9047B"/>
    <w:rsid w:val="00AA289B"/>
    <w:rsid w:val="00AA6A34"/>
    <w:rsid w:val="00AB1FD2"/>
    <w:rsid w:val="00AC0D01"/>
    <w:rsid w:val="00AC29B1"/>
    <w:rsid w:val="00AD697A"/>
    <w:rsid w:val="00AE1B69"/>
    <w:rsid w:val="00AE4AB4"/>
    <w:rsid w:val="00AE5B6F"/>
    <w:rsid w:val="00B00002"/>
    <w:rsid w:val="00B03D30"/>
    <w:rsid w:val="00B16542"/>
    <w:rsid w:val="00B2061F"/>
    <w:rsid w:val="00B23CE7"/>
    <w:rsid w:val="00B2483E"/>
    <w:rsid w:val="00B560C4"/>
    <w:rsid w:val="00B92516"/>
    <w:rsid w:val="00BA4855"/>
    <w:rsid w:val="00C1078E"/>
    <w:rsid w:val="00C22F69"/>
    <w:rsid w:val="00C26304"/>
    <w:rsid w:val="00C53D07"/>
    <w:rsid w:val="00C5550A"/>
    <w:rsid w:val="00CA6529"/>
    <w:rsid w:val="00CC0F9A"/>
    <w:rsid w:val="00CC586B"/>
    <w:rsid w:val="00CD4900"/>
    <w:rsid w:val="00CF2840"/>
    <w:rsid w:val="00CF2E12"/>
    <w:rsid w:val="00D111A0"/>
    <w:rsid w:val="00D252E5"/>
    <w:rsid w:val="00D3250E"/>
    <w:rsid w:val="00D47EFF"/>
    <w:rsid w:val="00D55845"/>
    <w:rsid w:val="00D84998"/>
    <w:rsid w:val="00DA0620"/>
    <w:rsid w:val="00DA1E43"/>
    <w:rsid w:val="00DB3733"/>
    <w:rsid w:val="00DE67D0"/>
    <w:rsid w:val="00E1526B"/>
    <w:rsid w:val="00E21657"/>
    <w:rsid w:val="00E27CDD"/>
    <w:rsid w:val="00E643B6"/>
    <w:rsid w:val="00E74BB4"/>
    <w:rsid w:val="00E9494D"/>
    <w:rsid w:val="00EA0569"/>
    <w:rsid w:val="00EA1548"/>
    <w:rsid w:val="00EA3863"/>
    <w:rsid w:val="00EB27C1"/>
    <w:rsid w:val="00EB5100"/>
    <w:rsid w:val="00EC197D"/>
    <w:rsid w:val="00EC2269"/>
    <w:rsid w:val="00EC6AF7"/>
    <w:rsid w:val="00ED033D"/>
    <w:rsid w:val="00EF09FA"/>
    <w:rsid w:val="00EF6A31"/>
    <w:rsid w:val="00EF7F89"/>
    <w:rsid w:val="00F1131F"/>
    <w:rsid w:val="00F31035"/>
    <w:rsid w:val="00F31E59"/>
    <w:rsid w:val="00F37253"/>
    <w:rsid w:val="00F41BF1"/>
    <w:rsid w:val="00F46D54"/>
    <w:rsid w:val="00F63BB5"/>
    <w:rsid w:val="00F767E2"/>
    <w:rsid w:val="00F85A02"/>
    <w:rsid w:val="00F9776C"/>
    <w:rsid w:val="00FB60DD"/>
    <w:rsid w:val="00FC2DE3"/>
    <w:rsid w:val="00FD1B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0E2B26-B87E-4BF3-BC78-7A427D8A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2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5F4E02"/>
  </w:style>
  <w:style w:type="paragraph" w:styleId="Titolo1">
    <w:name w:val="heading 1"/>
    <w:basedOn w:val="Normale"/>
    <w:next w:val="Normale"/>
    <w:link w:val="Titolo1Carattere"/>
    <w:uiPriority w:val="9"/>
    <w:qFormat/>
    <w:rsid w:val="008230B9"/>
    <w:pPr>
      <w:keepNext/>
      <w:keepLines/>
      <w:widowControl w:val="0"/>
      <w:suppressAutoHyphens/>
      <w:autoSpaceDN w:val="0"/>
      <w:spacing w:before="240" w:after="0"/>
      <w:textAlignment w:val="baseline"/>
      <w:outlineLvl w:val="0"/>
    </w:pPr>
    <w:rPr>
      <w:rFonts w:asciiTheme="majorHAnsi" w:eastAsiaTheme="majorEastAsia" w:hAnsiTheme="majorHAnsi" w:cstheme="majorBidi"/>
      <w:color w:val="2E74B5" w:themeColor="accent1" w:themeShade="BF"/>
      <w:kern w:val="3"/>
      <w:sz w:val="32"/>
      <w:szCs w:val="32"/>
    </w:rPr>
  </w:style>
  <w:style w:type="paragraph" w:styleId="Titolo2">
    <w:name w:val="heading 2"/>
    <w:basedOn w:val="Normale"/>
    <w:link w:val="Titolo2Carattere"/>
    <w:uiPriority w:val="9"/>
    <w:qFormat/>
    <w:rsid w:val="0045734F"/>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8230B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semiHidden/>
    <w:unhideWhenUsed/>
    <w:qFormat/>
    <w:rsid w:val="00EA154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E9494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30B9"/>
    <w:rPr>
      <w:rFonts w:asciiTheme="majorHAnsi" w:eastAsiaTheme="majorEastAsia" w:hAnsiTheme="majorHAnsi" w:cstheme="majorBidi"/>
      <w:color w:val="2E74B5" w:themeColor="accent1" w:themeShade="BF"/>
      <w:kern w:val="3"/>
      <w:sz w:val="32"/>
      <w:szCs w:val="32"/>
    </w:rPr>
  </w:style>
  <w:style w:type="character" w:customStyle="1" w:styleId="Titolo3Carattere">
    <w:name w:val="Titolo 3 Carattere"/>
    <w:basedOn w:val="Carpredefinitoparagrafo"/>
    <w:link w:val="Titolo3"/>
    <w:uiPriority w:val="9"/>
    <w:rsid w:val="008230B9"/>
    <w:rPr>
      <w:rFonts w:ascii="Times New Roman" w:eastAsia="Times New Roman" w:hAnsi="Times New Roman" w:cs="Times New Roman"/>
      <w:b/>
      <w:bCs/>
      <w:sz w:val="27"/>
      <w:szCs w:val="27"/>
      <w:lang w:eastAsia="it-IT"/>
    </w:rPr>
  </w:style>
  <w:style w:type="character" w:styleId="Enfasigrassetto">
    <w:name w:val="Strong"/>
    <w:basedOn w:val="Carpredefinitoparagrafo"/>
    <w:uiPriority w:val="22"/>
    <w:qFormat/>
    <w:rsid w:val="008230B9"/>
    <w:rPr>
      <w:b/>
      <w:bCs/>
    </w:rPr>
  </w:style>
  <w:style w:type="character" w:styleId="Enfasicorsivo">
    <w:name w:val="Emphasis"/>
    <w:basedOn w:val="Carpredefinitoparagrafo"/>
    <w:uiPriority w:val="20"/>
    <w:qFormat/>
    <w:rsid w:val="008230B9"/>
    <w:rPr>
      <w:i/>
      <w:iCs/>
    </w:rPr>
  </w:style>
  <w:style w:type="paragraph" w:styleId="NormaleWeb">
    <w:name w:val="Normal (Web)"/>
    <w:basedOn w:val="Normale"/>
    <w:uiPriority w:val="99"/>
    <w:unhideWhenUsed/>
    <w:rsid w:val="0089305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rsid w:val="0045734F"/>
    <w:rPr>
      <w:rFonts w:ascii="Times New Roman" w:eastAsia="Times New Roman" w:hAnsi="Times New Roman" w:cs="Times New Roman"/>
      <w:b/>
      <w:bCs/>
      <w:sz w:val="36"/>
      <w:szCs w:val="36"/>
      <w:lang w:eastAsia="it-IT"/>
    </w:rPr>
  </w:style>
  <w:style w:type="paragraph" w:styleId="Testonotaapidipagina">
    <w:name w:val="footnote text"/>
    <w:basedOn w:val="Normale"/>
    <w:link w:val="TestonotaapidipaginaCarattere"/>
    <w:uiPriority w:val="99"/>
    <w:unhideWhenUsed/>
    <w:rsid w:val="00F63BB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F63BB5"/>
    <w:rPr>
      <w:sz w:val="20"/>
      <w:szCs w:val="20"/>
    </w:rPr>
  </w:style>
  <w:style w:type="character" w:styleId="Rimandonotaapidipagina">
    <w:name w:val="footnote reference"/>
    <w:basedOn w:val="Carpredefinitoparagrafo"/>
    <w:uiPriority w:val="99"/>
    <w:semiHidden/>
    <w:unhideWhenUsed/>
    <w:rsid w:val="00F63BB5"/>
    <w:rPr>
      <w:vertAlign w:val="superscript"/>
    </w:rPr>
  </w:style>
  <w:style w:type="character" w:styleId="Collegamentoipertestuale">
    <w:name w:val="Hyperlink"/>
    <w:basedOn w:val="Carpredefinitoparagrafo"/>
    <w:uiPriority w:val="99"/>
    <w:semiHidden/>
    <w:unhideWhenUsed/>
    <w:rsid w:val="00B92516"/>
    <w:rPr>
      <w:color w:val="0000FF"/>
      <w:u w:val="single"/>
    </w:rPr>
  </w:style>
  <w:style w:type="paragraph" w:customStyle="1" w:styleId="popolo">
    <w:name w:val="popolo"/>
    <w:basedOn w:val="Normale"/>
    <w:rsid w:val="004D685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mma">
    <w:name w:val="comma"/>
    <w:basedOn w:val="Normale"/>
    <w:rsid w:val="00392AD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wkit-indentation-level-0">
    <w:name w:val="wkit-indentation-level-0"/>
    <w:basedOn w:val="Normale"/>
    <w:rsid w:val="00534EB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wk-highlight">
    <w:name w:val="wk-highlight"/>
    <w:basedOn w:val="Carpredefinitoparagrafo"/>
    <w:rsid w:val="00534EBF"/>
  </w:style>
  <w:style w:type="character" w:customStyle="1" w:styleId="wkit-bold">
    <w:name w:val="wkit-bold"/>
    <w:basedOn w:val="Carpredefinitoparagrafo"/>
    <w:rsid w:val="00534EBF"/>
  </w:style>
  <w:style w:type="character" w:customStyle="1" w:styleId="Titolo5Carattere">
    <w:name w:val="Titolo 5 Carattere"/>
    <w:basedOn w:val="Carpredefinitoparagrafo"/>
    <w:link w:val="Titolo5"/>
    <w:uiPriority w:val="9"/>
    <w:semiHidden/>
    <w:rsid w:val="00E9494D"/>
    <w:rPr>
      <w:rFonts w:asciiTheme="majorHAnsi" w:eastAsiaTheme="majorEastAsia" w:hAnsiTheme="majorHAnsi" w:cstheme="majorBidi"/>
      <w:color w:val="2E74B5" w:themeColor="accent1" w:themeShade="BF"/>
    </w:rPr>
  </w:style>
  <w:style w:type="character" w:customStyle="1" w:styleId="Titolo4Carattere">
    <w:name w:val="Titolo 4 Carattere"/>
    <w:basedOn w:val="Carpredefinitoparagrafo"/>
    <w:link w:val="Titolo4"/>
    <w:uiPriority w:val="9"/>
    <w:semiHidden/>
    <w:rsid w:val="00EA1548"/>
    <w:rPr>
      <w:rFonts w:asciiTheme="majorHAnsi" w:eastAsiaTheme="majorEastAsia" w:hAnsiTheme="majorHAnsi" w:cstheme="majorBidi"/>
      <w:i/>
      <w:iCs/>
      <w:color w:val="2E74B5" w:themeColor="accent1" w:themeShade="BF"/>
    </w:rPr>
  </w:style>
  <w:style w:type="paragraph" w:customStyle="1" w:styleId="Default">
    <w:name w:val="Default"/>
    <w:rsid w:val="00895555"/>
    <w:pPr>
      <w:autoSpaceDE w:val="0"/>
      <w:autoSpaceDN w:val="0"/>
      <w:adjustRightInd w:val="0"/>
      <w:spacing w:after="0" w:line="240" w:lineRule="auto"/>
    </w:pPr>
    <w:rPr>
      <w:rFonts w:ascii="Calibri" w:hAnsi="Calibri" w:cs="Calibri"/>
      <w:color w:val="000000"/>
      <w:sz w:val="24"/>
      <w:szCs w:val="24"/>
    </w:rPr>
  </w:style>
  <w:style w:type="character" w:customStyle="1" w:styleId="keep80">
    <w:name w:val="keep80"/>
    <w:basedOn w:val="Carpredefinitoparagrafo"/>
    <w:rsid w:val="00180C7E"/>
  </w:style>
  <w:style w:type="paragraph" w:styleId="Testofumetto">
    <w:name w:val="Balloon Text"/>
    <w:basedOn w:val="Normale"/>
    <w:link w:val="TestofumettoCarattere"/>
    <w:uiPriority w:val="99"/>
    <w:semiHidden/>
    <w:unhideWhenUsed/>
    <w:rsid w:val="00E27CD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27CDD"/>
    <w:rPr>
      <w:rFonts w:ascii="Segoe UI" w:hAnsi="Segoe UI" w:cs="Segoe UI"/>
      <w:sz w:val="18"/>
      <w:szCs w:val="18"/>
    </w:rPr>
  </w:style>
  <w:style w:type="paragraph" w:styleId="Paragrafoelenco">
    <w:name w:val="List Paragraph"/>
    <w:basedOn w:val="Normale"/>
    <w:uiPriority w:val="34"/>
    <w:rsid w:val="00AE1B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4352">
      <w:bodyDiv w:val="1"/>
      <w:marLeft w:val="0"/>
      <w:marRight w:val="0"/>
      <w:marTop w:val="0"/>
      <w:marBottom w:val="0"/>
      <w:divBdr>
        <w:top w:val="none" w:sz="0" w:space="0" w:color="auto"/>
        <w:left w:val="none" w:sz="0" w:space="0" w:color="auto"/>
        <w:bottom w:val="none" w:sz="0" w:space="0" w:color="auto"/>
        <w:right w:val="none" w:sz="0" w:space="0" w:color="auto"/>
      </w:divBdr>
    </w:div>
    <w:div w:id="181822409">
      <w:bodyDiv w:val="1"/>
      <w:marLeft w:val="0"/>
      <w:marRight w:val="0"/>
      <w:marTop w:val="0"/>
      <w:marBottom w:val="0"/>
      <w:divBdr>
        <w:top w:val="none" w:sz="0" w:space="0" w:color="auto"/>
        <w:left w:val="none" w:sz="0" w:space="0" w:color="auto"/>
        <w:bottom w:val="none" w:sz="0" w:space="0" w:color="auto"/>
        <w:right w:val="none" w:sz="0" w:space="0" w:color="auto"/>
      </w:divBdr>
    </w:div>
    <w:div w:id="298069732">
      <w:bodyDiv w:val="1"/>
      <w:marLeft w:val="0"/>
      <w:marRight w:val="0"/>
      <w:marTop w:val="0"/>
      <w:marBottom w:val="0"/>
      <w:divBdr>
        <w:top w:val="none" w:sz="0" w:space="0" w:color="auto"/>
        <w:left w:val="none" w:sz="0" w:space="0" w:color="auto"/>
        <w:bottom w:val="none" w:sz="0" w:space="0" w:color="auto"/>
        <w:right w:val="none" w:sz="0" w:space="0" w:color="auto"/>
      </w:divBdr>
    </w:div>
    <w:div w:id="313097814">
      <w:bodyDiv w:val="1"/>
      <w:marLeft w:val="0"/>
      <w:marRight w:val="0"/>
      <w:marTop w:val="0"/>
      <w:marBottom w:val="0"/>
      <w:divBdr>
        <w:top w:val="none" w:sz="0" w:space="0" w:color="auto"/>
        <w:left w:val="none" w:sz="0" w:space="0" w:color="auto"/>
        <w:bottom w:val="none" w:sz="0" w:space="0" w:color="auto"/>
        <w:right w:val="none" w:sz="0" w:space="0" w:color="auto"/>
      </w:divBdr>
    </w:div>
    <w:div w:id="324667385">
      <w:bodyDiv w:val="1"/>
      <w:marLeft w:val="0"/>
      <w:marRight w:val="0"/>
      <w:marTop w:val="0"/>
      <w:marBottom w:val="0"/>
      <w:divBdr>
        <w:top w:val="none" w:sz="0" w:space="0" w:color="auto"/>
        <w:left w:val="none" w:sz="0" w:space="0" w:color="auto"/>
        <w:bottom w:val="none" w:sz="0" w:space="0" w:color="auto"/>
        <w:right w:val="none" w:sz="0" w:space="0" w:color="auto"/>
      </w:divBdr>
    </w:div>
    <w:div w:id="428162895">
      <w:bodyDiv w:val="1"/>
      <w:marLeft w:val="0"/>
      <w:marRight w:val="0"/>
      <w:marTop w:val="0"/>
      <w:marBottom w:val="0"/>
      <w:divBdr>
        <w:top w:val="none" w:sz="0" w:space="0" w:color="auto"/>
        <w:left w:val="none" w:sz="0" w:space="0" w:color="auto"/>
        <w:bottom w:val="none" w:sz="0" w:space="0" w:color="auto"/>
        <w:right w:val="none" w:sz="0" w:space="0" w:color="auto"/>
      </w:divBdr>
    </w:div>
    <w:div w:id="496111863">
      <w:bodyDiv w:val="1"/>
      <w:marLeft w:val="0"/>
      <w:marRight w:val="0"/>
      <w:marTop w:val="0"/>
      <w:marBottom w:val="0"/>
      <w:divBdr>
        <w:top w:val="none" w:sz="0" w:space="0" w:color="auto"/>
        <w:left w:val="none" w:sz="0" w:space="0" w:color="auto"/>
        <w:bottom w:val="none" w:sz="0" w:space="0" w:color="auto"/>
        <w:right w:val="none" w:sz="0" w:space="0" w:color="auto"/>
      </w:divBdr>
    </w:div>
    <w:div w:id="520247854">
      <w:bodyDiv w:val="1"/>
      <w:marLeft w:val="0"/>
      <w:marRight w:val="0"/>
      <w:marTop w:val="0"/>
      <w:marBottom w:val="0"/>
      <w:divBdr>
        <w:top w:val="none" w:sz="0" w:space="0" w:color="auto"/>
        <w:left w:val="none" w:sz="0" w:space="0" w:color="auto"/>
        <w:bottom w:val="none" w:sz="0" w:space="0" w:color="auto"/>
        <w:right w:val="none" w:sz="0" w:space="0" w:color="auto"/>
      </w:divBdr>
    </w:div>
    <w:div w:id="586380991">
      <w:bodyDiv w:val="1"/>
      <w:marLeft w:val="0"/>
      <w:marRight w:val="0"/>
      <w:marTop w:val="0"/>
      <w:marBottom w:val="0"/>
      <w:divBdr>
        <w:top w:val="none" w:sz="0" w:space="0" w:color="auto"/>
        <w:left w:val="none" w:sz="0" w:space="0" w:color="auto"/>
        <w:bottom w:val="none" w:sz="0" w:space="0" w:color="auto"/>
        <w:right w:val="none" w:sz="0" w:space="0" w:color="auto"/>
      </w:divBdr>
    </w:div>
    <w:div w:id="606894027">
      <w:bodyDiv w:val="1"/>
      <w:marLeft w:val="0"/>
      <w:marRight w:val="0"/>
      <w:marTop w:val="0"/>
      <w:marBottom w:val="0"/>
      <w:divBdr>
        <w:top w:val="none" w:sz="0" w:space="0" w:color="auto"/>
        <w:left w:val="none" w:sz="0" w:space="0" w:color="auto"/>
        <w:bottom w:val="none" w:sz="0" w:space="0" w:color="auto"/>
        <w:right w:val="none" w:sz="0" w:space="0" w:color="auto"/>
      </w:divBdr>
    </w:div>
    <w:div w:id="686249956">
      <w:bodyDiv w:val="1"/>
      <w:marLeft w:val="0"/>
      <w:marRight w:val="0"/>
      <w:marTop w:val="0"/>
      <w:marBottom w:val="0"/>
      <w:divBdr>
        <w:top w:val="none" w:sz="0" w:space="0" w:color="auto"/>
        <w:left w:val="none" w:sz="0" w:space="0" w:color="auto"/>
        <w:bottom w:val="none" w:sz="0" w:space="0" w:color="auto"/>
        <w:right w:val="none" w:sz="0" w:space="0" w:color="auto"/>
      </w:divBdr>
    </w:div>
    <w:div w:id="789128330">
      <w:bodyDiv w:val="1"/>
      <w:marLeft w:val="0"/>
      <w:marRight w:val="0"/>
      <w:marTop w:val="0"/>
      <w:marBottom w:val="0"/>
      <w:divBdr>
        <w:top w:val="none" w:sz="0" w:space="0" w:color="auto"/>
        <w:left w:val="none" w:sz="0" w:space="0" w:color="auto"/>
        <w:bottom w:val="none" w:sz="0" w:space="0" w:color="auto"/>
        <w:right w:val="none" w:sz="0" w:space="0" w:color="auto"/>
      </w:divBdr>
    </w:div>
    <w:div w:id="827598367">
      <w:bodyDiv w:val="1"/>
      <w:marLeft w:val="0"/>
      <w:marRight w:val="0"/>
      <w:marTop w:val="0"/>
      <w:marBottom w:val="0"/>
      <w:divBdr>
        <w:top w:val="none" w:sz="0" w:space="0" w:color="auto"/>
        <w:left w:val="none" w:sz="0" w:space="0" w:color="auto"/>
        <w:bottom w:val="none" w:sz="0" w:space="0" w:color="auto"/>
        <w:right w:val="none" w:sz="0" w:space="0" w:color="auto"/>
      </w:divBdr>
    </w:div>
    <w:div w:id="909074652">
      <w:bodyDiv w:val="1"/>
      <w:marLeft w:val="0"/>
      <w:marRight w:val="0"/>
      <w:marTop w:val="0"/>
      <w:marBottom w:val="0"/>
      <w:divBdr>
        <w:top w:val="none" w:sz="0" w:space="0" w:color="auto"/>
        <w:left w:val="none" w:sz="0" w:space="0" w:color="auto"/>
        <w:bottom w:val="none" w:sz="0" w:space="0" w:color="auto"/>
        <w:right w:val="none" w:sz="0" w:space="0" w:color="auto"/>
      </w:divBdr>
    </w:div>
    <w:div w:id="929896115">
      <w:bodyDiv w:val="1"/>
      <w:marLeft w:val="0"/>
      <w:marRight w:val="0"/>
      <w:marTop w:val="0"/>
      <w:marBottom w:val="0"/>
      <w:divBdr>
        <w:top w:val="none" w:sz="0" w:space="0" w:color="auto"/>
        <w:left w:val="none" w:sz="0" w:space="0" w:color="auto"/>
        <w:bottom w:val="none" w:sz="0" w:space="0" w:color="auto"/>
        <w:right w:val="none" w:sz="0" w:space="0" w:color="auto"/>
      </w:divBdr>
    </w:div>
    <w:div w:id="1055852983">
      <w:bodyDiv w:val="1"/>
      <w:marLeft w:val="0"/>
      <w:marRight w:val="0"/>
      <w:marTop w:val="0"/>
      <w:marBottom w:val="0"/>
      <w:divBdr>
        <w:top w:val="none" w:sz="0" w:space="0" w:color="auto"/>
        <w:left w:val="none" w:sz="0" w:space="0" w:color="auto"/>
        <w:bottom w:val="none" w:sz="0" w:space="0" w:color="auto"/>
        <w:right w:val="none" w:sz="0" w:space="0" w:color="auto"/>
      </w:divBdr>
    </w:div>
    <w:div w:id="1081871654">
      <w:bodyDiv w:val="1"/>
      <w:marLeft w:val="0"/>
      <w:marRight w:val="0"/>
      <w:marTop w:val="0"/>
      <w:marBottom w:val="0"/>
      <w:divBdr>
        <w:top w:val="none" w:sz="0" w:space="0" w:color="auto"/>
        <w:left w:val="none" w:sz="0" w:space="0" w:color="auto"/>
        <w:bottom w:val="none" w:sz="0" w:space="0" w:color="auto"/>
        <w:right w:val="none" w:sz="0" w:space="0" w:color="auto"/>
      </w:divBdr>
    </w:div>
    <w:div w:id="1084689968">
      <w:bodyDiv w:val="1"/>
      <w:marLeft w:val="0"/>
      <w:marRight w:val="0"/>
      <w:marTop w:val="0"/>
      <w:marBottom w:val="0"/>
      <w:divBdr>
        <w:top w:val="none" w:sz="0" w:space="0" w:color="auto"/>
        <w:left w:val="none" w:sz="0" w:space="0" w:color="auto"/>
        <w:bottom w:val="none" w:sz="0" w:space="0" w:color="auto"/>
        <w:right w:val="none" w:sz="0" w:space="0" w:color="auto"/>
      </w:divBdr>
    </w:div>
    <w:div w:id="1103303801">
      <w:bodyDiv w:val="1"/>
      <w:marLeft w:val="0"/>
      <w:marRight w:val="0"/>
      <w:marTop w:val="0"/>
      <w:marBottom w:val="0"/>
      <w:divBdr>
        <w:top w:val="none" w:sz="0" w:space="0" w:color="auto"/>
        <w:left w:val="none" w:sz="0" w:space="0" w:color="auto"/>
        <w:bottom w:val="none" w:sz="0" w:space="0" w:color="auto"/>
        <w:right w:val="none" w:sz="0" w:space="0" w:color="auto"/>
      </w:divBdr>
    </w:div>
    <w:div w:id="1107847913">
      <w:bodyDiv w:val="1"/>
      <w:marLeft w:val="0"/>
      <w:marRight w:val="0"/>
      <w:marTop w:val="0"/>
      <w:marBottom w:val="0"/>
      <w:divBdr>
        <w:top w:val="none" w:sz="0" w:space="0" w:color="auto"/>
        <w:left w:val="none" w:sz="0" w:space="0" w:color="auto"/>
        <w:bottom w:val="none" w:sz="0" w:space="0" w:color="auto"/>
        <w:right w:val="none" w:sz="0" w:space="0" w:color="auto"/>
      </w:divBdr>
    </w:div>
    <w:div w:id="1294480148">
      <w:bodyDiv w:val="1"/>
      <w:marLeft w:val="0"/>
      <w:marRight w:val="0"/>
      <w:marTop w:val="0"/>
      <w:marBottom w:val="0"/>
      <w:divBdr>
        <w:top w:val="none" w:sz="0" w:space="0" w:color="auto"/>
        <w:left w:val="none" w:sz="0" w:space="0" w:color="auto"/>
        <w:bottom w:val="none" w:sz="0" w:space="0" w:color="auto"/>
        <w:right w:val="none" w:sz="0" w:space="0" w:color="auto"/>
      </w:divBdr>
    </w:div>
    <w:div w:id="1371569846">
      <w:bodyDiv w:val="1"/>
      <w:marLeft w:val="0"/>
      <w:marRight w:val="0"/>
      <w:marTop w:val="0"/>
      <w:marBottom w:val="0"/>
      <w:divBdr>
        <w:top w:val="none" w:sz="0" w:space="0" w:color="auto"/>
        <w:left w:val="none" w:sz="0" w:space="0" w:color="auto"/>
        <w:bottom w:val="none" w:sz="0" w:space="0" w:color="auto"/>
        <w:right w:val="none" w:sz="0" w:space="0" w:color="auto"/>
      </w:divBdr>
    </w:div>
    <w:div w:id="1579293526">
      <w:bodyDiv w:val="1"/>
      <w:marLeft w:val="0"/>
      <w:marRight w:val="0"/>
      <w:marTop w:val="0"/>
      <w:marBottom w:val="0"/>
      <w:divBdr>
        <w:top w:val="none" w:sz="0" w:space="0" w:color="auto"/>
        <w:left w:val="none" w:sz="0" w:space="0" w:color="auto"/>
        <w:bottom w:val="none" w:sz="0" w:space="0" w:color="auto"/>
        <w:right w:val="none" w:sz="0" w:space="0" w:color="auto"/>
      </w:divBdr>
    </w:div>
    <w:div w:id="1579552865">
      <w:bodyDiv w:val="1"/>
      <w:marLeft w:val="0"/>
      <w:marRight w:val="0"/>
      <w:marTop w:val="0"/>
      <w:marBottom w:val="0"/>
      <w:divBdr>
        <w:top w:val="none" w:sz="0" w:space="0" w:color="auto"/>
        <w:left w:val="none" w:sz="0" w:space="0" w:color="auto"/>
        <w:bottom w:val="none" w:sz="0" w:space="0" w:color="auto"/>
        <w:right w:val="none" w:sz="0" w:space="0" w:color="auto"/>
      </w:divBdr>
    </w:div>
    <w:div w:id="1729961080">
      <w:bodyDiv w:val="1"/>
      <w:marLeft w:val="0"/>
      <w:marRight w:val="0"/>
      <w:marTop w:val="0"/>
      <w:marBottom w:val="0"/>
      <w:divBdr>
        <w:top w:val="none" w:sz="0" w:space="0" w:color="auto"/>
        <w:left w:val="none" w:sz="0" w:space="0" w:color="auto"/>
        <w:bottom w:val="none" w:sz="0" w:space="0" w:color="auto"/>
        <w:right w:val="none" w:sz="0" w:space="0" w:color="auto"/>
      </w:divBdr>
    </w:div>
    <w:div w:id="2074158669">
      <w:bodyDiv w:val="1"/>
      <w:marLeft w:val="0"/>
      <w:marRight w:val="0"/>
      <w:marTop w:val="0"/>
      <w:marBottom w:val="0"/>
      <w:divBdr>
        <w:top w:val="none" w:sz="0" w:space="0" w:color="auto"/>
        <w:left w:val="none" w:sz="0" w:space="0" w:color="auto"/>
        <w:bottom w:val="none" w:sz="0" w:space="0" w:color="auto"/>
        <w:right w:val="none" w:sz="0" w:space="0" w:color="auto"/>
      </w:divBdr>
      <w:divsChild>
        <w:div w:id="1995259953">
          <w:marLeft w:val="0"/>
          <w:marRight w:val="0"/>
          <w:marTop w:val="150"/>
          <w:marBottom w:val="150"/>
          <w:divBdr>
            <w:top w:val="none" w:sz="0" w:space="0" w:color="auto"/>
            <w:left w:val="none" w:sz="0" w:space="0" w:color="auto"/>
            <w:bottom w:val="none" w:sz="0" w:space="0" w:color="auto"/>
            <w:right w:val="none" w:sz="0" w:space="0" w:color="auto"/>
          </w:divBdr>
          <w:divsChild>
            <w:div w:id="266280565">
              <w:marLeft w:val="0"/>
              <w:marRight w:val="0"/>
              <w:marTop w:val="0"/>
              <w:marBottom w:val="0"/>
              <w:divBdr>
                <w:top w:val="none" w:sz="0" w:space="0" w:color="auto"/>
                <w:left w:val="none" w:sz="0" w:space="0" w:color="auto"/>
                <w:bottom w:val="none" w:sz="0" w:space="0" w:color="auto"/>
                <w:right w:val="none" w:sz="0" w:space="0" w:color="auto"/>
              </w:divBdr>
              <w:divsChild>
                <w:div w:id="117290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73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50A43-50FF-4D16-8964-FBCFAB817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13462</Words>
  <Characters>76738</Characters>
  <Application>Microsoft Office Word</Application>
  <DocSecurity>0</DocSecurity>
  <Lines>639</Lines>
  <Paragraphs>180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MANZIONE Antonella</dc:creator>
  <cp:keywords/>
  <dc:description/>
  <cp:lastModifiedBy>FAILLA GIACOMOBONO Paolo</cp:lastModifiedBy>
  <cp:revision>3</cp:revision>
  <dcterms:created xsi:type="dcterms:W3CDTF">2024-10-07T14:01:00Z</dcterms:created>
  <dcterms:modified xsi:type="dcterms:W3CDTF">2024-10-07T14:03:00Z</dcterms:modified>
</cp:coreProperties>
</file>