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39" w:rsidRDefault="00FA4F5A">
      <w:pPr>
        <w:rPr>
          <w:smallCaps w:val="0"/>
        </w:rPr>
      </w:pPr>
      <w:r>
        <w:rPr>
          <w:smallCaps w:val="0"/>
        </w:rPr>
        <w:t>Raffaele Greco</w:t>
      </w:r>
    </w:p>
    <w:p w:rsidR="00FA4F5A" w:rsidRDefault="00FA4F5A">
      <w:pPr>
        <w:rPr>
          <w:b/>
          <w:i w:val="0"/>
          <w:smallCaps w:val="0"/>
        </w:rPr>
      </w:pPr>
      <w:r>
        <w:rPr>
          <w:b/>
          <w:i w:val="0"/>
          <w:smallCaps w:val="0"/>
        </w:rPr>
        <w:t>LA GIURISPRUDENZA DEL CONSIGLIO DI STATO</w:t>
      </w:r>
    </w:p>
    <w:p w:rsidR="00FA4F5A" w:rsidRDefault="00FA4F5A">
      <w:pPr>
        <w:rPr>
          <w:b/>
          <w:i w:val="0"/>
          <w:smallCaps w:val="0"/>
        </w:rPr>
      </w:pPr>
      <w:r>
        <w:rPr>
          <w:b/>
          <w:i w:val="0"/>
          <w:smallCaps w:val="0"/>
        </w:rPr>
        <w:t>IN TEMA DI MISURE ANTIMAFIA</w:t>
      </w:r>
      <w:r w:rsidR="00303ED1" w:rsidRPr="00303ED1">
        <w:rPr>
          <w:rStyle w:val="Rimandonotaapidipagina"/>
          <w:b/>
          <w:i w:val="0"/>
          <w:smallCaps w:val="0"/>
        </w:rPr>
        <w:footnoteReference w:customMarkFollows="1" w:id="1"/>
        <w:sym w:font="Symbol" w:char="F02A"/>
      </w:r>
    </w:p>
    <w:p w:rsidR="003F2665" w:rsidRDefault="003F2665">
      <w:pPr>
        <w:rPr>
          <w:b/>
          <w:i w:val="0"/>
          <w:smallCaps w:val="0"/>
        </w:rPr>
      </w:pPr>
    </w:p>
    <w:p w:rsidR="003F2665" w:rsidRDefault="003F2665">
      <w:pPr>
        <w:rPr>
          <w:b/>
          <w:i w:val="0"/>
          <w:smallCaps w:val="0"/>
        </w:rPr>
      </w:pPr>
    </w:p>
    <w:p w:rsidR="003F2665" w:rsidRPr="00B1082A" w:rsidRDefault="003F2665" w:rsidP="003F2665">
      <w:pPr>
        <w:jc w:val="both"/>
        <w:rPr>
          <w:i w:val="0"/>
          <w:smallCaps w:val="0"/>
          <w:sz w:val="20"/>
          <w:szCs w:val="20"/>
        </w:rPr>
      </w:pPr>
      <w:r>
        <w:rPr>
          <w:b/>
          <w:i w:val="0"/>
          <w:smallCaps w:val="0"/>
          <w:sz w:val="20"/>
          <w:szCs w:val="20"/>
        </w:rPr>
        <w:t xml:space="preserve">1. </w:t>
      </w:r>
      <w:r w:rsidR="00B621B0">
        <w:rPr>
          <w:i w:val="0"/>
          <w:smallCaps w:val="0"/>
          <w:sz w:val="20"/>
          <w:szCs w:val="20"/>
        </w:rPr>
        <w:t xml:space="preserve">Premessa. – </w:t>
      </w:r>
      <w:r w:rsidR="00B621B0">
        <w:rPr>
          <w:b/>
          <w:i w:val="0"/>
          <w:smallCaps w:val="0"/>
          <w:sz w:val="20"/>
          <w:szCs w:val="20"/>
        </w:rPr>
        <w:t xml:space="preserve">2. </w:t>
      </w:r>
      <w:r>
        <w:rPr>
          <w:i w:val="0"/>
          <w:smallCaps w:val="0"/>
          <w:sz w:val="20"/>
          <w:szCs w:val="20"/>
        </w:rPr>
        <w:t xml:space="preserve">Natura e finalità delle misure antimafia. – </w:t>
      </w:r>
      <w:r w:rsidR="00B621B0">
        <w:rPr>
          <w:b/>
          <w:i w:val="0"/>
          <w:smallCaps w:val="0"/>
          <w:sz w:val="20"/>
          <w:szCs w:val="20"/>
        </w:rPr>
        <w:t>3</w:t>
      </w:r>
      <w:r>
        <w:rPr>
          <w:b/>
          <w:i w:val="0"/>
          <w:smallCaps w:val="0"/>
          <w:sz w:val="20"/>
          <w:szCs w:val="20"/>
        </w:rPr>
        <w:t xml:space="preserve">. </w:t>
      </w:r>
      <w:r w:rsidR="00D34401">
        <w:rPr>
          <w:i w:val="0"/>
          <w:smallCaps w:val="0"/>
          <w:sz w:val="20"/>
          <w:szCs w:val="20"/>
        </w:rPr>
        <w:t>La documentazione antimafia: d</w:t>
      </w:r>
      <w:r>
        <w:rPr>
          <w:i w:val="0"/>
          <w:smallCaps w:val="0"/>
          <w:sz w:val="20"/>
          <w:szCs w:val="20"/>
        </w:rPr>
        <w:t xml:space="preserve">efinizioni e caratteristiche. – </w:t>
      </w:r>
      <w:r w:rsidR="00B621B0">
        <w:rPr>
          <w:b/>
          <w:i w:val="0"/>
          <w:smallCaps w:val="0"/>
          <w:sz w:val="20"/>
          <w:szCs w:val="20"/>
        </w:rPr>
        <w:t>4</w:t>
      </w:r>
      <w:r>
        <w:rPr>
          <w:b/>
          <w:i w:val="0"/>
          <w:smallCaps w:val="0"/>
          <w:sz w:val="20"/>
          <w:szCs w:val="20"/>
        </w:rPr>
        <w:t xml:space="preserve">. </w:t>
      </w:r>
      <w:r>
        <w:rPr>
          <w:i w:val="0"/>
          <w:smallCaps w:val="0"/>
          <w:sz w:val="20"/>
          <w:szCs w:val="20"/>
        </w:rPr>
        <w:t xml:space="preserve">I soggetti a cui si estendono gli accertamenti. – </w:t>
      </w:r>
      <w:r w:rsidR="00B621B0">
        <w:rPr>
          <w:b/>
          <w:i w:val="0"/>
          <w:smallCaps w:val="0"/>
          <w:sz w:val="20"/>
          <w:szCs w:val="20"/>
        </w:rPr>
        <w:t>5</w:t>
      </w:r>
      <w:r>
        <w:rPr>
          <w:b/>
          <w:i w:val="0"/>
          <w:smallCaps w:val="0"/>
          <w:sz w:val="20"/>
          <w:szCs w:val="20"/>
        </w:rPr>
        <w:t xml:space="preserve">. </w:t>
      </w:r>
      <w:r w:rsidR="00C2152C">
        <w:rPr>
          <w:i w:val="0"/>
          <w:smallCaps w:val="0"/>
          <w:sz w:val="20"/>
          <w:szCs w:val="20"/>
        </w:rPr>
        <w:t>Il concetto di “</w:t>
      </w:r>
      <w:r w:rsidR="00C2152C">
        <w:rPr>
          <w:smallCaps w:val="0"/>
          <w:sz w:val="20"/>
          <w:szCs w:val="20"/>
        </w:rPr>
        <w:t>tentativi di infiltrazione</w:t>
      </w:r>
      <w:r w:rsidR="00C2152C">
        <w:rPr>
          <w:i w:val="0"/>
          <w:smallCaps w:val="0"/>
          <w:sz w:val="20"/>
          <w:szCs w:val="20"/>
        </w:rPr>
        <w:t>”:</w:t>
      </w:r>
      <w:r>
        <w:rPr>
          <w:i w:val="0"/>
          <w:smallCaps w:val="0"/>
          <w:sz w:val="20"/>
          <w:szCs w:val="20"/>
        </w:rPr>
        <w:t xml:space="preserve"> natura dell’istruttoria e della valutazione prefettizia. – </w:t>
      </w:r>
      <w:r w:rsidR="00B621B0">
        <w:rPr>
          <w:b/>
          <w:i w:val="0"/>
          <w:smallCaps w:val="0"/>
          <w:sz w:val="20"/>
          <w:szCs w:val="20"/>
        </w:rPr>
        <w:t>6</w:t>
      </w:r>
      <w:r>
        <w:rPr>
          <w:b/>
          <w:i w:val="0"/>
          <w:smallCaps w:val="0"/>
          <w:sz w:val="20"/>
          <w:szCs w:val="20"/>
        </w:rPr>
        <w:t xml:space="preserve">. </w:t>
      </w:r>
      <w:r>
        <w:rPr>
          <w:i w:val="0"/>
          <w:smallCaps w:val="0"/>
          <w:sz w:val="20"/>
          <w:szCs w:val="20"/>
        </w:rPr>
        <w:t>I singoli elementi indizianti</w:t>
      </w:r>
      <w:r w:rsidR="00B621B0">
        <w:rPr>
          <w:i w:val="0"/>
          <w:smallCaps w:val="0"/>
          <w:sz w:val="20"/>
          <w:szCs w:val="20"/>
        </w:rPr>
        <w:t xml:space="preserve"> tra tassatività “formale” e tassatività “sostanziale”</w:t>
      </w:r>
      <w:r>
        <w:rPr>
          <w:i w:val="0"/>
          <w:smallCaps w:val="0"/>
          <w:sz w:val="20"/>
          <w:szCs w:val="20"/>
        </w:rPr>
        <w:t xml:space="preserve">. – </w:t>
      </w:r>
      <w:r w:rsidR="00B621B0">
        <w:rPr>
          <w:b/>
          <w:i w:val="0"/>
          <w:smallCaps w:val="0"/>
          <w:sz w:val="20"/>
          <w:szCs w:val="20"/>
        </w:rPr>
        <w:t>7</w:t>
      </w:r>
      <w:r>
        <w:rPr>
          <w:b/>
          <w:i w:val="0"/>
          <w:smallCaps w:val="0"/>
          <w:sz w:val="20"/>
          <w:szCs w:val="20"/>
        </w:rPr>
        <w:t xml:space="preserve">. </w:t>
      </w:r>
      <w:r>
        <w:rPr>
          <w:i w:val="0"/>
          <w:smallCaps w:val="0"/>
          <w:sz w:val="20"/>
          <w:szCs w:val="20"/>
        </w:rPr>
        <w:t xml:space="preserve">La teoria del “contagio” e le </w:t>
      </w:r>
      <w:proofErr w:type="spellStart"/>
      <w:r>
        <w:rPr>
          <w:i w:val="0"/>
          <w:smallCaps w:val="0"/>
          <w:sz w:val="20"/>
          <w:szCs w:val="20"/>
        </w:rPr>
        <w:t>interdittive</w:t>
      </w:r>
      <w:proofErr w:type="spellEnd"/>
      <w:r>
        <w:rPr>
          <w:i w:val="0"/>
          <w:smallCaps w:val="0"/>
          <w:sz w:val="20"/>
          <w:szCs w:val="20"/>
        </w:rPr>
        <w:t xml:space="preserve"> c</w:t>
      </w:r>
      <w:r w:rsidR="00952F6E">
        <w:rPr>
          <w:i w:val="0"/>
          <w:smallCaps w:val="0"/>
          <w:sz w:val="20"/>
          <w:szCs w:val="20"/>
        </w:rPr>
        <w:t>c</w:t>
      </w:r>
      <w:r>
        <w:rPr>
          <w:i w:val="0"/>
          <w:smallCaps w:val="0"/>
          <w:sz w:val="20"/>
          <w:szCs w:val="20"/>
        </w:rPr>
        <w:t>.d</w:t>
      </w:r>
      <w:r w:rsidR="00952F6E">
        <w:rPr>
          <w:i w:val="0"/>
          <w:smallCaps w:val="0"/>
          <w:sz w:val="20"/>
          <w:szCs w:val="20"/>
        </w:rPr>
        <w:t>d</w:t>
      </w:r>
      <w:r>
        <w:rPr>
          <w:i w:val="0"/>
          <w:smallCaps w:val="0"/>
          <w:sz w:val="20"/>
          <w:szCs w:val="20"/>
        </w:rPr>
        <w:t xml:space="preserve">. a cascata. – </w:t>
      </w:r>
      <w:r w:rsidR="00B621B0">
        <w:rPr>
          <w:b/>
          <w:i w:val="0"/>
          <w:smallCaps w:val="0"/>
          <w:sz w:val="20"/>
          <w:szCs w:val="20"/>
        </w:rPr>
        <w:t>8</w:t>
      </w:r>
      <w:r>
        <w:rPr>
          <w:b/>
          <w:i w:val="0"/>
          <w:smallCaps w:val="0"/>
          <w:sz w:val="20"/>
          <w:szCs w:val="20"/>
        </w:rPr>
        <w:t xml:space="preserve">. </w:t>
      </w:r>
      <w:r>
        <w:rPr>
          <w:i w:val="0"/>
          <w:smallCaps w:val="0"/>
          <w:sz w:val="20"/>
          <w:szCs w:val="20"/>
        </w:rPr>
        <w:t xml:space="preserve">Il procedimento di adozione dell’informativa antimafia. - </w:t>
      </w:r>
      <w:r w:rsidR="00B621B0">
        <w:rPr>
          <w:b/>
          <w:i w:val="0"/>
          <w:smallCaps w:val="0"/>
          <w:sz w:val="20"/>
          <w:szCs w:val="20"/>
        </w:rPr>
        <w:t>8</w:t>
      </w:r>
      <w:r>
        <w:rPr>
          <w:b/>
          <w:i w:val="0"/>
          <w:smallCaps w:val="0"/>
          <w:sz w:val="20"/>
          <w:szCs w:val="20"/>
        </w:rPr>
        <w:t xml:space="preserve">.1. </w:t>
      </w:r>
      <w:r>
        <w:rPr>
          <w:i w:val="0"/>
          <w:smallCaps w:val="0"/>
          <w:sz w:val="20"/>
          <w:szCs w:val="20"/>
        </w:rPr>
        <w:t xml:space="preserve">Contraddittorio e partecipazione procedimentale. – </w:t>
      </w:r>
      <w:r w:rsidR="00B621B0">
        <w:rPr>
          <w:b/>
          <w:i w:val="0"/>
          <w:smallCaps w:val="0"/>
          <w:sz w:val="20"/>
          <w:szCs w:val="20"/>
        </w:rPr>
        <w:t>8</w:t>
      </w:r>
      <w:r>
        <w:rPr>
          <w:b/>
          <w:i w:val="0"/>
          <w:smallCaps w:val="0"/>
          <w:sz w:val="20"/>
          <w:szCs w:val="20"/>
        </w:rPr>
        <w:t xml:space="preserve">.2. </w:t>
      </w:r>
      <w:r>
        <w:rPr>
          <w:i w:val="0"/>
          <w:smallCaps w:val="0"/>
          <w:sz w:val="20"/>
          <w:szCs w:val="20"/>
        </w:rPr>
        <w:t>L</w:t>
      </w:r>
      <w:r w:rsidR="00AA4981">
        <w:rPr>
          <w:i w:val="0"/>
          <w:smallCaps w:val="0"/>
          <w:sz w:val="20"/>
          <w:szCs w:val="20"/>
        </w:rPr>
        <w:t>’onere di</w:t>
      </w:r>
      <w:r>
        <w:rPr>
          <w:i w:val="0"/>
          <w:smallCaps w:val="0"/>
          <w:sz w:val="20"/>
          <w:szCs w:val="20"/>
        </w:rPr>
        <w:t xml:space="preserve"> motivazione</w:t>
      </w:r>
      <w:r w:rsidR="00AA4981">
        <w:rPr>
          <w:i w:val="0"/>
          <w:smallCaps w:val="0"/>
          <w:sz w:val="20"/>
          <w:szCs w:val="20"/>
        </w:rPr>
        <w:t xml:space="preserve"> a carico del Prefetto</w:t>
      </w:r>
      <w:r>
        <w:rPr>
          <w:i w:val="0"/>
          <w:smallCaps w:val="0"/>
          <w:sz w:val="20"/>
          <w:szCs w:val="20"/>
        </w:rPr>
        <w:t xml:space="preserve">. – </w:t>
      </w:r>
      <w:r w:rsidR="00B621B0">
        <w:rPr>
          <w:b/>
          <w:i w:val="0"/>
          <w:smallCaps w:val="0"/>
          <w:sz w:val="20"/>
          <w:szCs w:val="20"/>
        </w:rPr>
        <w:t>8</w:t>
      </w:r>
      <w:r>
        <w:rPr>
          <w:b/>
          <w:i w:val="0"/>
          <w:smallCaps w:val="0"/>
          <w:sz w:val="20"/>
          <w:szCs w:val="20"/>
        </w:rPr>
        <w:t xml:space="preserve">.3. </w:t>
      </w:r>
      <w:r>
        <w:rPr>
          <w:i w:val="0"/>
          <w:smallCaps w:val="0"/>
          <w:sz w:val="20"/>
          <w:szCs w:val="20"/>
        </w:rPr>
        <w:t xml:space="preserve">L’accesso ai documenti. – </w:t>
      </w:r>
      <w:r w:rsidR="00B621B0">
        <w:rPr>
          <w:b/>
          <w:i w:val="0"/>
          <w:smallCaps w:val="0"/>
          <w:sz w:val="20"/>
          <w:szCs w:val="20"/>
        </w:rPr>
        <w:t>9</w:t>
      </w:r>
      <w:r>
        <w:rPr>
          <w:b/>
          <w:i w:val="0"/>
          <w:smallCaps w:val="0"/>
          <w:sz w:val="20"/>
          <w:szCs w:val="20"/>
        </w:rPr>
        <w:t xml:space="preserve">. </w:t>
      </w:r>
      <w:r>
        <w:rPr>
          <w:i w:val="0"/>
          <w:smallCaps w:val="0"/>
          <w:sz w:val="20"/>
          <w:szCs w:val="20"/>
        </w:rPr>
        <w:t xml:space="preserve">Le misure alternative e di mitigazione. – </w:t>
      </w:r>
      <w:r w:rsidR="00B621B0">
        <w:rPr>
          <w:b/>
          <w:i w:val="0"/>
          <w:smallCaps w:val="0"/>
          <w:sz w:val="20"/>
          <w:szCs w:val="20"/>
        </w:rPr>
        <w:t>9</w:t>
      </w:r>
      <w:r>
        <w:rPr>
          <w:b/>
          <w:i w:val="0"/>
          <w:smallCaps w:val="0"/>
          <w:sz w:val="20"/>
          <w:szCs w:val="20"/>
        </w:rPr>
        <w:t xml:space="preserve">.1. </w:t>
      </w:r>
      <w:r w:rsidR="001919CE">
        <w:rPr>
          <w:i w:val="0"/>
          <w:smallCaps w:val="0"/>
          <w:sz w:val="20"/>
          <w:szCs w:val="20"/>
        </w:rPr>
        <w:t xml:space="preserve">La straordinaria gestione </w:t>
      </w:r>
      <w:r>
        <w:rPr>
          <w:i w:val="0"/>
          <w:smallCaps w:val="0"/>
          <w:sz w:val="20"/>
          <w:szCs w:val="20"/>
        </w:rPr>
        <w:t xml:space="preserve">del contratto </w:t>
      </w:r>
      <w:r>
        <w:rPr>
          <w:smallCaps w:val="0"/>
          <w:sz w:val="20"/>
          <w:szCs w:val="20"/>
        </w:rPr>
        <w:t xml:space="preserve">ex </w:t>
      </w:r>
      <w:r>
        <w:rPr>
          <w:i w:val="0"/>
          <w:smallCaps w:val="0"/>
          <w:sz w:val="20"/>
          <w:szCs w:val="20"/>
        </w:rPr>
        <w:t xml:space="preserve">articolo 32, </w:t>
      </w:r>
      <w:proofErr w:type="spellStart"/>
      <w:r>
        <w:rPr>
          <w:i w:val="0"/>
          <w:smallCaps w:val="0"/>
          <w:sz w:val="20"/>
          <w:szCs w:val="20"/>
        </w:rPr>
        <w:t>d.l.</w:t>
      </w:r>
      <w:proofErr w:type="spellEnd"/>
      <w:r>
        <w:rPr>
          <w:i w:val="0"/>
          <w:smallCaps w:val="0"/>
          <w:sz w:val="20"/>
          <w:szCs w:val="20"/>
        </w:rPr>
        <w:t xml:space="preserve"> n. 90/2014. – </w:t>
      </w:r>
      <w:r w:rsidR="00B621B0">
        <w:rPr>
          <w:b/>
          <w:i w:val="0"/>
          <w:smallCaps w:val="0"/>
          <w:sz w:val="20"/>
          <w:szCs w:val="20"/>
        </w:rPr>
        <w:t>9</w:t>
      </w:r>
      <w:r>
        <w:rPr>
          <w:b/>
          <w:i w:val="0"/>
          <w:smallCaps w:val="0"/>
          <w:sz w:val="20"/>
          <w:szCs w:val="20"/>
        </w:rPr>
        <w:t xml:space="preserve">.2. </w:t>
      </w:r>
      <w:r w:rsidR="00DF2CFD">
        <w:rPr>
          <w:i w:val="0"/>
          <w:smallCaps w:val="0"/>
          <w:sz w:val="20"/>
          <w:szCs w:val="20"/>
        </w:rPr>
        <w:t>I</w:t>
      </w:r>
      <w:r>
        <w:rPr>
          <w:i w:val="0"/>
          <w:smallCaps w:val="0"/>
          <w:sz w:val="20"/>
          <w:szCs w:val="20"/>
        </w:rPr>
        <w:t xml:space="preserve">l controllo giudiziario. – </w:t>
      </w:r>
      <w:r w:rsidR="00B621B0">
        <w:rPr>
          <w:b/>
          <w:i w:val="0"/>
          <w:smallCaps w:val="0"/>
          <w:sz w:val="20"/>
          <w:szCs w:val="20"/>
        </w:rPr>
        <w:t>9</w:t>
      </w:r>
      <w:r>
        <w:rPr>
          <w:b/>
          <w:i w:val="0"/>
          <w:smallCaps w:val="0"/>
          <w:sz w:val="20"/>
          <w:szCs w:val="20"/>
        </w:rPr>
        <w:t xml:space="preserve">.3. </w:t>
      </w:r>
      <w:r>
        <w:rPr>
          <w:i w:val="0"/>
          <w:smallCaps w:val="0"/>
          <w:sz w:val="20"/>
          <w:szCs w:val="20"/>
        </w:rPr>
        <w:t xml:space="preserve">Le misure di prevenzione collaborativa. – </w:t>
      </w:r>
      <w:r w:rsidR="00B621B0">
        <w:rPr>
          <w:b/>
          <w:i w:val="0"/>
          <w:smallCaps w:val="0"/>
          <w:sz w:val="20"/>
          <w:szCs w:val="20"/>
        </w:rPr>
        <w:t>10</w:t>
      </w:r>
      <w:r>
        <w:rPr>
          <w:b/>
          <w:i w:val="0"/>
          <w:smallCaps w:val="0"/>
          <w:sz w:val="20"/>
          <w:szCs w:val="20"/>
        </w:rPr>
        <w:t xml:space="preserve">. </w:t>
      </w:r>
      <w:r>
        <w:rPr>
          <w:i w:val="0"/>
          <w:smallCaps w:val="0"/>
          <w:sz w:val="20"/>
          <w:szCs w:val="20"/>
        </w:rPr>
        <w:t xml:space="preserve">Gli effetti dell’informativa </w:t>
      </w:r>
      <w:proofErr w:type="spellStart"/>
      <w:r>
        <w:rPr>
          <w:i w:val="0"/>
          <w:smallCaps w:val="0"/>
          <w:sz w:val="20"/>
          <w:szCs w:val="20"/>
        </w:rPr>
        <w:t>interdittiva</w:t>
      </w:r>
      <w:proofErr w:type="spellEnd"/>
      <w:r>
        <w:rPr>
          <w:i w:val="0"/>
          <w:smallCaps w:val="0"/>
          <w:sz w:val="20"/>
          <w:szCs w:val="20"/>
        </w:rPr>
        <w:t xml:space="preserve">. </w:t>
      </w:r>
      <w:r w:rsidR="00303ED1">
        <w:rPr>
          <w:i w:val="0"/>
          <w:smallCaps w:val="0"/>
          <w:sz w:val="20"/>
          <w:szCs w:val="20"/>
        </w:rPr>
        <w:t xml:space="preserve">– </w:t>
      </w:r>
      <w:r w:rsidR="00303ED1">
        <w:rPr>
          <w:b/>
          <w:i w:val="0"/>
          <w:smallCaps w:val="0"/>
          <w:sz w:val="20"/>
          <w:szCs w:val="20"/>
        </w:rPr>
        <w:t>1</w:t>
      </w:r>
      <w:r w:rsidR="00B621B0">
        <w:rPr>
          <w:b/>
          <w:i w:val="0"/>
          <w:smallCaps w:val="0"/>
          <w:sz w:val="20"/>
          <w:szCs w:val="20"/>
        </w:rPr>
        <w:t>1</w:t>
      </w:r>
      <w:r w:rsidR="00303ED1">
        <w:rPr>
          <w:b/>
          <w:i w:val="0"/>
          <w:smallCaps w:val="0"/>
          <w:sz w:val="20"/>
          <w:szCs w:val="20"/>
        </w:rPr>
        <w:t xml:space="preserve">. </w:t>
      </w:r>
      <w:r w:rsidR="00865255">
        <w:rPr>
          <w:i w:val="0"/>
          <w:smallCaps w:val="0"/>
          <w:sz w:val="20"/>
          <w:szCs w:val="20"/>
        </w:rPr>
        <w:t>Validità</w:t>
      </w:r>
      <w:r w:rsidR="00303ED1">
        <w:rPr>
          <w:i w:val="0"/>
          <w:smallCaps w:val="0"/>
          <w:sz w:val="20"/>
          <w:szCs w:val="20"/>
        </w:rPr>
        <w:t xml:space="preserve"> e aggiornamento delle informative antimafia. – </w:t>
      </w:r>
      <w:r w:rsidR="00303ED1">
        <w:rPr>
          <w:b/>
          <w:i w:val="0"/>
          <w:smallCaps w:val="0"/>
          <w:sz w:val="20"/>
          <w:szCs w:val="20"/>
        </w:rPr>
        <w:t>1</w:t>
      </w:r>
      <w:r w:rsidR="00B621B0">
        <w:rPr>
          <w:b/>
          <w:i w:val="0"/>
          <w:smallCaps w:val="0"/>
          <w:sz w:val="20"/>
          <w:szCs w:val="20"/>
        </w:rPr>
        <w:t>2</w:t>
      </w:r>
      <w:r w:rsidR="00303ED1">
        <w:rPr>
          <w:b/>
          <w:i w:val="0"/>
          <w:smallCaps w:val="0"/>
          <w:sz w:val="20"/>
          <w:szCs w:val="20"/>
        </w:rPr>
        <w:t xml:space="preserve">. </w:t>
      </w:r>
      <w:r w:rsidR="00303ED1">
        <w:rPr>
          <w:i w:val="0"/>
          <w:smallCaps w:val="0"/>
          <w:sz w:val="20"/>
          <w:szCs w:val="20"/>
        </w:rPr>
        <w:t xml:space="preserve">Le misure antimafia dinanzi al giudice amministrativo. – </w:t>
      </w:r>
      <w:r w:rsidR="00303ED1">
        <w:rPr>
          <w:b/>
          <w:i w:val="0"/>
          <w:smallCaps w:val="0"/>
          <w:sz w:val="20"/>
          <w:szCs w:val="20"/>
        </w:rPr>
        <w:t>1</w:t>
      </w:r>
      <w:r w:rsidR="00B621B0">
        <w:rPr>
          <w:b/>
          <w:i w:val="0"/>
          <w:smallCaps w:val="0"/>
          <w:sz w:val="20"/>
          <w:szCs w:val="20"/>
        </w:rPr>
        <w:t>2</w:t>
      </w:r>
      <w:r w:rsidR="00303ED1">
        <w:rPr>
          <w:b/>
          <w:i w:val="0"/>
          <w:smallCaps w:val="0"/>
          <w:sz w:val="20"/>
          <w:szCs w:val="20"/>
        </w:rPr>
        <w:t xml:space="preserve">.1. </w:t>
      </w:r>
      <w:r w:rsidR="00303ED1">
        <w:rPr>
          <w:i w:val="0"/>
          <w:smallCaps w:val="0"/>
          <w:sz w:val="20"/>
          <w:szCs w:val="20"/>
        </w:rPr>
        <w:t xml:space="preserve">Giurisdizione e competenza. – </w:t>
      </w:r>
      <w:r w:rsidR="00303ED1" w:rsidRPr="00EB22EE">
        <w:rPr>
          <w:b/>
          <w:i w:val="0"/>
          <w:smallCaps w:val="0"/>
          <w:sz w:val="20"/>
          <w:szCs w:val="20"/>
        </w:rPr>
        <w:t>1</w:t>
      </w:r>
      <w:r w:rsidR="00B621B0" w:rsidRPr="00EB22EE">
        <w:rPr>
          <w:b/>
          <w:i w:val="0"/>
          <w:smallCaps w:val="0"/>
          <w:sz w:val="20"/>
          <w:szCs w:val="20"/>
        </w:rPr>
        <w:t>2</w:t>
      </w:r>
      <w:r w:rsidR="00303ED1" w:rsidRPr="00EB22EE">
        <w:rPr>
          <w:b/>
          <w:i w:val="0"/>
          <w:smallCaps w:val="0"/>
          <w:sz w:val="20"/>
          <w:szCs w:val="20"/>
        </w:rPr>
        <w:t xml:space="preserve">.2. </w:t>
      </w:r>
      <w:r w:rsidR="00303ED1" w:rsidRPr="00EB22EE">
        <w:rPr>
          <w:i w:val="0"/>
          <w:smallCaps w:val="0"/>
          <w:sz w:val="20"/>
          <w:szCs w:val="20"/>
        </w:rPr>
        <w:t>Legittimazione e interesse a ricorrere.</w:t>
      </w:r>
      <w:r w:rsidR="00303ED1">
        <w:rPr>
          <w:i w:val="0"/>
          <w:smallCaps w:val="0"/>
          <w:sz w:val="20"/>
          <w:szCs w:val="20"/>
        </w:rPr>
        <w:t xml:space="preserve"> – </w:t>
      </w:r>
      <w:r w:rsidR="00303ED1">
        <w:rPr>
          <w:b/>
          <w:i w:val="0"/>
          <w:smallCaps w:val="0"/>
          <w:sz w:val="20"/>
          <w:szCs w:val="20"/>
        </w:rPr>
        <w:t>1</w:t>
      </w:r>
      <w:r w:rsidR="00B621B0">
        <w:rPr>
          <w:b/>
          <w:i w:val="0"/>
          <w:smallCaps w:val="0"/>
          <w:sz w:val="20"/>
          <w:szCs w:val="20"/>
        </w:rPr>
        <w:t>2</w:t>
      </w:r>
      <w:r w:rsidR="00303ED1">
        <w:rPr>
          <w:b/>
          <w:i w:val="0"/>
          <w:smallCaps w:val="0"/>
          <w:sz w:val="20"/>
          <w:szCs w:val="20"/>
        </w:rPr>
        <w:t xml:space="preserve">.3. </w:t>
      </w:r>
      <w:r w:rsidR="00303ED1">
        <w:rPr>
          <w:i w:val="0"/>
          <w:smallCaps w:val="0"/>
          <w:sz w:val="20"/>
          <w:szCs w:val="20"/>
        </w:rPr>
        <w:t>Il sindacato del giudice. –</w:t>
      </w:r>
      <w:r w:rsidR="00B1082A">
        <w:rPr>
          <w:i w:val="0"/>
          <w:smallCaps w:val="0"/>
          <w:sz w:val="20"/>
          <w:szCs w:val="20"/>
        </w:rPr>
        <w:t xml:space="preserve"> </w:t>
      </w:r>
      <w:r w:rsidR="00B1082A">
        <w:rPr>
          <w:b/>
          <w:i w:val="0"/>
          <w:smallCaps w:val="0"/>
          <w:sz w:val="20"/>
          <w:szCs w:val="20"/>
        </w:rPr>
        <w:t xml:space="preserve">13. </w:t>
      </w:r>
      <w:r w:rsidR="00B1082A">
        <w:rPr>
          <w:i w:val="0"/>
          <w:smallCaps w:val="0"/>
          <w:sz w:val="20"/>
          <w:szCs w:val="20"/>
        </w:rPr>
        <w:t>Conclusioni.</w:t>
      </w:r>
    </w:p>
    <w:p w:rsidR="00303ED1" w:rsidRDefault="00303ED1" w:rsidP="003F2665">
      <w:pPr>
        <w:jc w:val="both"/>
        <w:rPr>
          <w:i w:val="0"/>
          <w:smallCaps w:val="0"/>
          <w:sz w:val="20"/>
          <w:szCs w:val="20"/>
        </w:rPr>
      </w:pPr>
    </w:p>
    <w:p w:rsidR="00303ED1" w:rsidRDefault="00303ED1" w:rsidP="003F2665">
      <w:pPr>
        <w:jc w:val="both"/>
        <w:rPr>
          <w:i w:val="0"/>
          <w:smallCaps w:val="0"/>
          <w:sz w:val="20"/>
          <w:szCs w:val="20"/>
        </w:rPr>
      </w:pPr>
    </w:p>
    <w:p w:rsidR="00303ED1" w:rsidRDefault="00303ED1" w:rsidP="00303ED1">
      <w:pPr>
        <w:ind w:firstLine="426"/>
        <w:jc w:val="both"/>
        <w:rPr>
          <w:b/>
          <w:i w:val="0"/>
          <w:smallCaps w:val="0"/>
        </w:rPr>
      </w:pPr>
      <w:r>
        <w:rPr>
          <w:b/>
          <w:i w:val="0"/>
          <w:smallCaps w:val="0"/>
        </w:rPr>
        <w:t xml:space="preserve">1. </w:t>
      </w:r>
      <w:r w:rsidR="00B621B0">
        <w:rPr>
          <w:b/>
          <w:i w:val="0"/>
          <w:smallCaps w:val="0"/>
        </w:rPr>
        <w:t>Premess</w:t>
      </w:r>
      <w:r>
        <w:rPr>
          <w:b/>
          <w:i w:val="0"/>
          <w:smallCaps w:val="0"/>
        </w:rPr>
        <w:t>a.</w:t>
      </w:r>
    </w:p>
    <w:p w:rsidR="00B621B0" w:rsidRDefault="00B621B0" w:rsidP="00303ED1">
      <w:pPr>
        <w:ind w:firstLine="426"/>
        <w:jc w:val="both"/>
        <w:rPr>
          <w:i w:val="0"/>
          <w:smallCaps w:val="0"/>
        </w:rPr>
      </w:pPr>
    </w:p>
    <w:p w:rsidR="00B621B0" w:rsidRDefault="00B621B0" w:rsidP="00303ED1">
      <w:pPr>
        <w:ind w:firstLine="426"/>
        <w:jc w:val="both"/>
        <w:rPr>
          <w:i w:val="0"/>
          <w:smallCaps w:val="0"/>
        </w:rPr>
      </w:pPr>
      <w:r>
        <w:rPr>
          <w:i w:val="0"/>
          <w:smallCaps w:val="0"/>
        </w:rPr>
        <w:t>L’esigenza di “fare il punto” sulle misure amministrative antimafia</w:t>
      </w:r>
      <w:r>
        <w:rPr>
          <w:rStyle w:val="Rimandonotaapidipagina"/>
          <w:i w:val="0"/>
          <w:smallCaps w:val="0"/>
        </w:rPr>
        <w:footnoteReference w:id="2"/>
      </w:r>
      <w:r>
        <w:rPr>
          <w:i w:val="0"/>
          <w:smallCaps w:val="0"/>
        </w:rPr>
        <w:t xml:space="preserve">, e in particolare sui principali approdi </w:t>
      </w:r>
      <w:r w:rsidR="006B6257">
        <w:rPr>
          <w:i w:val="0"/>
          <w:smallCaps w:val="0"/>
        </w:rPr>
        <w:t xml:space="preserve">raggiunti dalla giurisprudenza amministrativa in tema di informative </w:t>
      </w:r>
      <w:proofErr w:type="spellStart"/>
      <w:r w:rsidR="006B6257">
        <w:rPr>
          <w:i w:val="0"/>
          <w:smallCaps w:val="0"/>
        </w:rPr>
        <w:t>interdittive</w:t>
      </w:r>
      <w:proofErr w:type="spellEnd"/>
      <w:r w:rsidR="006B6257">
        <w:rPr>
          <w:i w:val="0"/>
          <w:smallCaps w:val="0"/>
        </w:rPr>
        <w:t>, si impone oggi per un duplice ordine di ragioni: da un lato, per la crescente diffusività di tali misure, che hanno da tempo abbandonato la loro originaria connotazione “di nicchia”, circoscritta al solo settore degli appalti pubblici, per trasformarsi in strumenti ordinari di prevenzione delle infiltrazioni mafiose nell’economia e del mercato</w:t>
      </w:r>
      <w:r w:rsidR="006B6257">
        <w:rPr>
          <w:rStyle w:val="Rimandonotaapidipagina"/>
          <w:i w:val="0"/>
          <w:smallCaps w:val="0"/>
        </w:rPr>
        <w:footnoteReference w:id="3"/>
      </w:r>
      <w:r w:rsidR="006B6257">
        <w:rPr>
          <w:i w:val="0"/>
          <w:smallCaps w:val="0"/>
        </w:rPr>
        <w:t xml:space="preserve">; dall’altro, alla luce dei ripetuti interventi di modifica che hanno </w:t>
      </w:r>
      <w:r w:rsidR="006B6257">
        <w:rPr>
          <w:i w:val="0"/>
          <w:smallCaps w:val="0"/>
        </w:rPr>
        <w:lastRenderedPageBreak/>
        <w:t>interessato negli ultimi anni il quadro normativo, culminando in quell</w:t>
      </w:r>
      <w:r w:rsidR="00112508">
        <w:rPr>
          <w:i w:val="0"/>
          <w:smallCaps w:val="0"/>
        </w:rPr>
        <w:t>i operati</w:t>
      </w:r>
      <w:r w:rsidR="006B6257">
        <w:rPr>
          <w:i w:val="0"/>
          <w:smallCaps w:val="0"/>
        </w:rPr>
        <w:t xml:space="preserve"> con </w:t>
      </w:r>
      <w:r w:rsidR="00112508">
        <w:rPr>
          <w:i w:val="0"/>
          <w:smallCaps w:val="0"/>
        </w:rPr>
        <w:t>il decreto-legge 6 novembre 2021, n. 152, convertito, con modificazioni, dalla legge 29 dicembre 2021, n. 233, i quali – come si vedrà – sono verosimilmente destinati a produrre un impatto “sistemico” che andrà ben oltre la (pur rilevante) portata dei nuovi istituti introdotti.</w:t>
      </w:r>
    </w:p>
    <w:p w:rsidR="00B07DFB" w:rsidRDefault="00112508" w:rsidP="00303ED1">
      <w:pPr>
        <w:ind w:firstLine="426"/>
        <w:jc w:val="both"/>
        <w:rPr>
          <w:i w:val="0"/>
          <w:smallCaps w:val="0"/>
        </w:rPr>
      </w:pPr>
      <w:r>
        <w:rPr>
          <w:i w:val="0"/>
          <w:smallCaps w:val="0"/>
        </w:rPr>
        <w:t xml:space="preserve">Sotto il primo dei due profili evidenziati, sono eloquenti le </w:t>
      </w:r>
      <w:r w:rsidR="00236CE1">
        <w:rPr>
          <w:i w:val="0"/>
          <w:smallCaps w:val="0"/>
        </w:rPr>
        <w:t xml:space="preserve">recenti </w:t>
      </w:r>
      <w:r>
        <w:rPr>
          <w:i w:val="0"/>
          <w:smallCaps w:val="0"/>
        </w:rPr>
        <w:t xml:space="preserve">cifre ricavabili incrociando i dati comunicati dall’Autorità nazionale anticorruzione e quelli estratti dalla banca dati nazionale antimafia istituita presso il Ministero dell’interno, dai quali emergono nel contempo l’esponenziale crescita numerica delle imprese colpite da misure </w:t>
      </w:r>
      <w:proofErr w:type="spellStart"/>
      <w:r>
        <w:rPr>
          <w:i w:val="0"/>
          <w:smallCaps w:val="0"/>
        </w:rPr>
        <w:t>interdittive</w:t>
      </w:r>
      <w:proofErr w:type="spellEnd"/>
      <w:r>
        <w:rPr>
          <w:i w:val="0"/>
          <w:smallCaps w:val="0"/>
        </w:rPr>
        <w:t xml:space="preserve"> (si passa dalle 366 del 2015 alle 2007 del 2023) </w:t>
      </w:r>
      <w:r w:rsidR="00236CE1">
        <w:rPr>
          <w:i w:val="0"/>
          <w:smallCaps w:val="0"/>
        </w:rPr>
        <w:t>e la diffusione del fenomeno all’intero territorio nazionale (con punte in alcune Regioni del Nord, quali l’Emilia-Romagna)</w:t>
      </w:r>
      <w:r w:rsidR="00AA0556">
        <w:rPr>
          <w:i w:val="0"/>
          <w:smallCaps w:val="0"/>
        </w:rPr>
        <w:t xml:space="preserve"> piuttosto che la sua circoscrizione a specifiche aree geografiche</w:t>
      </w:r>
      <w:r w:rsidR="00236CE1">
        <w:rPr>
          <w:rStyle w:val="Rimandonotaapidipagina"/>
          <w:i w:val="0"/>
          <w:smallCaps w:val="0"/>
        </w:rPr>
        <w:footnoteReference w:id="4"/>
      </w:r>
      <w:r w:rsidR="00B07DFB">
        <w:rPr>
          <w:i w:val="0"/>
          <w:smallCaps w:val="0"/>
        </w:rPr>
        <w:t>.</w:t>
      </w:r>
    </w:p>
    <w:p w:rsidR="00112508" w:rsidRDefault="00236CE1" w:rsidP="00303ED1">
      <w:pPr>
        <w:ind w:firstLine="426"/>
        <w:jc w:val="both"/>
        <w:rPr>
          <w:i w:val="0"/>
          <w:smallCaps w:val="0"/>
        </w:rPr>
      </w:pPr>
      <w:r>
        <w:rPr>
          <w:i w:val="0"/>
          <w:smallCaps w:val="0"/>
        </w:rPr>
        <w:t>Quanto al secondo aspetto, le disposizioni di più recente introduzione (e, in particolare, il contraddittorio procedimentale generalizzato e i nuovi strumenti di “prevenzione collaborativa”) rispondono a uno sforzo del legislatore di “</w:t>
      </w:r>
      <w:r>
        <w:rPr>
          <w:smallCaps w:val="0"/>
        </w:rPr>
        <w:t>progressivo affinamento</w:t>
      </w:r>
      <w:r>
        <w:rPr>
          <w:i w:val="0"/>
          <w:smallCaps w:val="0"/>
        </w:rPr>
        <w:t>”</w:t>
      </w:r>
      <w:r>
        <w:rPr>
          <w:rStyle w:val="Rimandonotaapidipagina"/>
          <w:i w:val="0"/>
          <w:smallCaps w:val="0"/>
        </w:rPr>
        <w:footnoteReference w:id="5"/>
      </w:r>
      <w:r>
        <w:rPr>
          <w:i w:val="0"/>
          <w:smallCaps w:val="0"/>
        </w:rPr>
        <w:t xml:space="preserve"> della disciplina nel tentativo di raggiungere un punto di equilibrio in un settore nel quale si sono da sempre registrate</w:t>
      </w:r>
      <w:r w:rsidR="00B07DFB">
        <w:rPr>
          <w:i w:val="0"/>
          <w:smallCaps w:val="0"/>
        </w:rPr>
        <w:t xml:space="preserve"> in Italia</w:t>
      </w:r>
      <w:r>
        <w:rPr>
          <w:i w:val="0"/>
          <w:smallCaps w:val="0"/>
        </w:rPr>
        <w:t xml:space="preserve"> tensioni tra l’approccio della dottrina, per lo più orientato a evidenziare le plurime e rimarchevoli criticità – anche in termini di compatibilità con il quadro costituzionale e con i principi del diritto europeo – che connoterebbero la legislazione in materia, e le posizioni della giurisprudenza, per vero anche costituzionale, che </w:t>
      </w:r>
      <w:r w:rsidR="00B07DFB">
        <w:rPr>
          <w:i w:val="0"/>
          <w:smallCaps w:val="0"/>
        </w:rPr>
        <w:t xml:space="preserve">ha tendenzialmente difeso gli istituti </w:t>
      </w:r>
      <w:r w:rsidR="00B07DFB">
        <w:rPr>
          <w:smallCaps w:val="0"/>
        </w:rPr>
        <w:t xml:space="preserve">de </w:t>
      </w:r>
      <w:proofErr w:type="spellStart"/>
      <w:r w:rsidR="00B07DFB">
        <w:rPr>
          <w:smallCaps w:val="0"/>
        </w:rPr>
        <w:t>quibus</w:t>
      </w:r>
      <w:proofErr w:type="spellEnd"/>
      <w:r w:rsidR="00B07DFB">
        <w:rPr>
          <w:smallCaps w:val="0"/>
        </w:rPr>
        <w:t xml:space="preserve"> </w:t>
      </w:r>
      <w:r w:rsidR="00B07DFB">
        <w:rPr>
          <w:i w:val="0"/>
          <w:smallCaps w:val="0"/>
        </w:rPr>
        <w:t xml:space="preserve">giustificandone le peculiarità, ed anche le possibili “eccentricità” rispetto a istituti generali del diritto amministrativo, in nome della loro </w:t>
      </w:r>
      <w:r w:rsidR="00B07DFB">
        <w:rPr>
          <w:smallCaps w:val="0"/>
        </w:rPr>
        <w:t xml:space="preserve">ratio </w:t>
      </w:r>
      <w:r w:rsidR="00B07DFB">
        <w:rPr>
          <w:i w:val="0"/>
          <w:smallCaps w:val="0"/>
        </w:rPr>
        <w:t>cautelare e di ordine pubblico e della finalità perseguita di prevenire, anche attraverso una anticipazione delle soglie di tutela, le multiformi e pervasive infiltrazioni della criminalità organizzata nel tessuto economico.</w:t>
      </w:r>
    </w:p>
    <w:p w:rsidR="00B07DFB" w:rsidRDefault="00B07DFB" w:rsidP="00303ED1">
      <w:pPr>
        <w:ind w:firstLine="426"/>
        <w:jc w:val="both"/>
        <w:rPr>
          <w:i w:val="0"/>
          <w:smallCaps w:val="0"/>
        </w:rPr>
      </w:pPr>
      <w:r>
        <w:rPr>
          <w:i w:val="0"/>
          <w:smallCaps w:val="0"/>
        </w:rPr>
        <w:t xml:space="preserve">Se e come queste tensioni potranno essere attenuate o eliminate dalle nuove </w:t>
      </w:r>
      <w:r w:rsidR="00CE55C6">
        <w:rPr>
          <w:i w:val="0"/>
          <w:smallCaps w:val="0"/>
        </w:rPr>
        <w:t>disposizioni</w:t>
      </w:r>
      <w:r>
        <w:rPr>
          <w:i w:val="0"/>
          <w:smallCaps w:val="0"/>
        </w:rPr>
        <w:t>, è forse presto per ipotizzarlo. Si può però, muovendo dalla ricognizione dell’odierno quadro normativo e giurisprudenziale, verificare se e in quale misura esse potranno agevolare il perseguimento dei dichiarati obiettivi di razionalizzazione e adeguamento della disciplina alle nuove e mutate esigenze del nostro sistema economico, se è vero che queste postulano l’abbandono di un approccio meramente repressivo e l’individuazione di un nuovo punto di equilibrio che tenga nel debito conto, in relazione alla diversa intensità del rischio infiltrativo, anche le esigenze di continuità operativa dell’attività imprenditoriale</w:t>
      </w:r>
      <w:r>
        <w:rPr>
          <w:rStyle w:val="Rimandonotaapidipagina"/>
          <w:i w:val="0"/>
          <w:smallCaps w:val="0"/>
        </w:rPr>
        <w:footnoteReference w:id="6"/>
      </w:r>
      <w:r>
        <w:rPr>
          <w:i w:val="0"/>
          <w:smallCaps w:val="0"/>
        </w:rPr>
        <w:t>.</w:t>
      </w:r>
    </w:p>
    <w:p w:rsidR="00CE55C6" w:rsidRDefault="00CE55C6" w:rsidP="00303ED1">
      <w:pPr>
        <w:ind w:firstLine="426"/>
        <w:jc w:val="both"/>
        <w:rPr>
          <w:i w:val="0"/>
          <w:smallCaps w:val="0"/>
        </w:rPr>
      </w:pPr>
    </w:p>
    <w:p w:rsidR="00CE55C6" w:rsidRDefault="00CE55C6" w:rsidP="00303ED1">
      <w:pPr>
        <w:ind w:firstLine="426"/>
        <w:jc w:val="both"/>
        <w:rPr>
          <w:i w:val="0"/>
          <w:smallCaps w:val="0"/>
        </w:rPr>
      </w:pPr>
    </w:p>
    <w:p w:rsidR="00CE55C6" w:rsidRDefault="00CE55C6" w:rsidP="00303ED1">
      <w:pPr>
        <w:ind w:firstLine="426"/>
        <w:jc w:val="both"/>
        <w:rPr>
          <w:b/>
          <w:i w:val="0"/>
          <w:smallCaps w:val="0"/>
        </w:rPr>
      </w:pPr>
      <w:r>
        <w:rPr>
          <w:b/>
          <w:i w:val="0"/>
          <w:smallCaps w:val="0"/>
        </w:rPr>
        <w:t>2. Natura e finalità delle misure antimafia.</w:t>
      </w:r>
    </w:p>
    <w:p w:rsidR="00CE55C6" w:rsidRDefault="00CE55C6" w:rsidP="00303ED1">
      <w:pPr>
        <w:ind w:firstLine="426"/>
        <w:jc w:val="both"/>
        <w:rPr>
          <w:b/>
          <w:i w:val="0"/>
          <w:smallCaps w:val="0"/>
        </w:rPr>
      </w:pPr>
    </w:p>
    <w:p w:rsidR="00CE55C6" w:rsidRDefault="00CE55C6" w:rsidP="00303ED1">
      <w:pPr>
        <w:ind w:firstLine="426"/>
        <w:jc w:val="both"/>
        <w:rPr>
          <w:i w:val="0"/>
          <w:smallCaps w:val="0"/>
          <w:color w:val="000000"/>
        </w:rPr>
      </w:pPr>
      <w:r>
        <w:rPr>
          <w:i w:val="0"/>
          <w:smallCaps w:val="0"/>
        </w:rPr>
        <w:t>Disciplinate oggi dal c.d. Codice antimafia (d.lgs. 6 settembre 2011, n. 159), le misure prefettizie antimafia rientrano tra gli strumenti di prevenzione e contrasto della criminalità organizzata</w:t>
      </w:r>
      <w:r>
        <w:rPr>
          <w:rStyle w:val="Rimandonotaapidipagina"/>
          <w:i w:val="0"/>
          <w:smallCaps w:val="0"/>
        </w:rPr>
        <w:footnoteReference w:id="7"/>
      </w:r>
      <w:r>
        <w:rPr>
          <w:i w:val="0"/>
          <w:smallCaps w:val="0"/>
        </w:rPr>
        <w:t>. La loro collocazione nel Libro II del Codice (“</w:t>
      </w:r>
      <w:r>
        <w:rPr>
          <w:smallCaps w:val="0"/>
        </w:rPr>
        <w:t>Nuove disposizioni in materia di documentazione antimafia</w:t>
      </w:r>
      <w:r>
        <w:rPr>
          <w:i w:val="0"/>
          <w:smallCaps w:val="0"/>
        </w:rPr>
        <w:t xml:space="preserve">”) ne disvela già </w:t>
      </w:r>
      <w:proofErr w:type="spellStart"/>
      <w:r>
        <w:rPr>
          <w:smallCaps w:val="0"/>
        </w:rPr>
        <w:t>ictu</w:t>
      </w:r>
      <w:proofErr w:type="spellEnd"/>
      <w:r>
        <w:rPr>
          <w:smallCaps w:val="0"/>
        </w:rPr>
        <w:t xml:space="preserve"> oculi </w:t>
      </w:r>
      <w:r>
        <w:rPr>
          <w:i w:val="0"/>
          <w:smallCaps w:val="0"/>
        </w:rPr>
        <w:t>la diversità rispetto alle misure di prevenzione giurisdizionali a carattere penale, oggetto invece del Libro I</w:t>
      </w:r>
      <w:r>
        <w:rPr>
          <w:rStyle w:val="Rimandonotaapidipagina"/>
          <w:i w:val="0"/>
          <w:smallCaps w:val="0"/>
        </w:rPr>
        <w:footnoteReference w:id="8"/>
      </w:r>
      <w:r>
        <w:rPr>
          <w:i w:val="0"/>
          <w:smallCaps w:val="0"/>
        </w:rPr>
        <w:t>.</w:t>
      </w:r>
      <w:r w:rsidR="005372E6">
        <w:rPr>
          <w:i w:val="0"/>
          <w:smallCaps w:val="0"/>
        </w:rPr>
        <w:t xml:space="preserve"> Più specificamente, secondo la giurisprudenza esse si collocano tra gli atti di indagine amministrativa, costituendo </w:t>
      </w:r>
      <w:r w:rsidR="005372E6" w:rsidRPr="005372E6">
        <w:rPr>
          <w:i w:val="0"/>
          <w:smallCaps w:val="0"/>
          <w:color w:val="000000"/>
        </w:rPr>
        <w:t>una</w:t>
      </w:r>
      <w:r w:rsidR="005372E6">
        <w:rPr>
          <w:i w:val="0"/>
          <w:smallCaps w:val="0"/>
          <w:color w:val="000000"/>
        </w:rPr>
        <w:t xml:space="preserve"> </w:t>
      </w:r>
      <w:r w:rsidR="005372E6" w:rsidRPr="005372E6">
        <w:rPr>
          <w:i w:val="0"/>
          <w:smallCaps w:val="0"/>
        </w:rPr>
        <w:t>tipica misura cautelare di polizia</w:t>
      </w:r>
      <w:r w:rsidR="005372E6" w:rsidRPr="005372E6">
        <w:rPr>
          <w:i w:val="0"/>
          <w:smallCaps w:val="0"/>
          <w:color w:val="000000"/>
        </w:rPr>
        <w:t xml:space="preserve">, preventiva e </w:t>
      </w:r>
      <w:proofErr w:type="spellStart"/>
      <w:r w:rsidR="005372E6" w:rsidRPr="005372E6">
        <w:rPr>
          <w:i w:val="0"/>
          <w:smallCaps w:val="0"/>
          <w:color w:val="000000"/>
        </w:rPr>
        <w:t>interdittiva</w:t>
      </w:r>
      <w:proofErr w:type="spellEnd"/>
      <w:r w:rsidR="005372E6" w:rsidRPr="005372E6">
        <w:rPr>
          <w:i w:val="0"/>
          <w:smallCaps w:val="0"/>
          <w:color w:val="000000"/>
        </w:rPr>
        <w:t xml:space="preserve">, che si aggiunge alle misure di prevenzione antimafia di natura giurisdizionale, quale </w:t>
      </w:r>
      <w:r w:rsidR="005372E6" w:rsidRPr="005372E6">
        <w:rPr>
          <w:i w:val="0"/>
          <w:smallCaps w:val="0"/>
          <w:color w:val="000000"/>
        </w:rPr>
        <w:lastRenderedPageBreak/>
        <w:t>strumento di massima anticipazione della soglia di tutela di primari interessi pubblici, come risposta dello Stato al crimine organizzato</w:t>
      </w:r>
      <w:r w:rsidR="005372E6">
        <w:rPr>
          <w:rStyle w:val="Rimandonotaapidipagina"/>
          <w:i w:val="0"/>
          <w:smallCaps w:val="0"/>
          <w:color w:val="000000"/>
        </w:rPr>
        <w:footnoteReference w:id="9"/>
      </w:r>
      <w:r w:rsidR="005372E6">
        <w:rPr>
          <w:i w:val="0"/>
          <w:smallCaps w:val="0"/>
          <w:color w:val="000000"/>
        </w:rPr>
        <w:t>.</w:t>
      </w:r>
    </w:p>
    <w:p w:rsidR="005372E6" w:rsidRDefault="005372E6" w:rsidP="00303ED1">
      <w:pPr>
        <w:ind w:firstLine="426"/>
        <w:jc w:val="both"/>
        <w:rPr>
          <w:i w:val="0"/>
          <w:smallCaps w:val="0"/>
          <w:color w:val="000000"/>
        </w:rPr>
      </w:pPr>
      <w:r>
        <w:rPr>
          <w:i w:val="0"/>
          <w:smallCaps w:val="0"/>
          <w:color w:val="000000"/>
        </w:rPr>
        <w:t>Con riguardo alle finalità persegui</w:t>
      </w:r>
      <w:r w:rsidR="00AA0556">
        <w:rPr>
          <w:i w:val="0"/>
          <w:smallCaps w:val="0"/>
          <w:color w:val="000000"/>
        </w:rPr>
        <w:t>t</w:t>
      </w:r>
      <w:r>
        <w:rPr>
          <w:i w:val="0"/>
          <w:smallCaps w:val="0"/>
          <w:color w:val="000000"/>
        </w:rPr>
        <w:t>e, frequente è l’affermazione che si tratti di provvedimenti amministrativi aventi natura cautelare e preventiva, in un’ottica di bilanciamento tra la tutela dell’ordine e della sicurezza pubblica e la libertà di iniziativa economica riconosciuta dall’articolo 41 della Costituzione, e pertanto volti – ad un tempo – alla salvaguardia dell’ordine pubblico economico, della libera concorrenza tra le imprese e del buon andamento della pubblica amministrazione</w:t>
      </w:r>
      <w:r>
        <w:rPr>
          <w:rStyle w:val="Rimandonotaapidipagina"/>
          <w:i w:val="0"/>
          <w:smallCaps w:val="0"/>
          <w:color w:val="000000"/>
        </w:rPr>
        <w:footnoteReference w:id="10"/>
      </w:r>
      <w:r>
        <w:rPr>
          <w:i w:val="0"/>
          <w:smallCaps w:val="0"/>
          <w:color w:val="000000"/>
        </w:rPr>
        <w:t>.</w:t>
      </w:r>
      <w:r w:rsidR="009C4ABA">
        <w:rPr>
          <w:i w:val="0"/>
          <w:smallCaps w:val="0"/>
          <w:color w:val="000000"/>
        </w:rPr>
        <w:t xml:space="preserve"> Si è dunque al cospetto di istituti volti alla tutela di plurimi beni giuridici di rilevanza pubblicistica, in una chiave che sarebbe riduttivo circoscrivere al mero sacrificio di una libertà economica (sia pure costituzionalmente protetta) in nome di superiori esigenze di difesa sociale, dovendo tenersi conto dell’incidenza negativa che l’infiltrazione mafiosa nell’economia produce sull’economia, e quindi su un interesse collettivo corrispondente a quello degli stessi operatori economici cui deve essere garantito un corretto funzionamento della concorrenza e del mercato</w:t>
      </w:r>
      <w:r w:rsidR="009C4ABA">
        <w:rPr>
          <w:rStyle w:val="Rimandonotaapidipagina"/>
          <w:i w:val="0"/>
          <w:smallCaps w:val="0"/>
          <w:color w:val="000000"/>
        </w:rPr>
        <w:footnoteReference w:id="11"/>
      </w:r>
      <w:r w:rsidR="009C4ABA">
        <w:rPr>
          <w:i w:val="0"/>
          <w:smallCaps w:val="0"/>
          <w:color w:val="000000"/>
        </w:rPr>
        <w:t>.</w:t>
      </w:r>
    </w:p>
    <w:p w:rsidR="00475E4A" w:rsidRPr="00475E4A" w:rsidRDefault="00475E4A" w:rsidP="00303ED1">
      <w:pPr>
        <w:ind w:firstLine="426"/>
        <w:jc w:val="both"/>
        <w:rPr>
          <w:i w:val="0"/>
          <w:smallCaps w:val="0"/>
          <w:color w:val="000000"/>
        </w:rPr>
      </w:pPr>
      <w:r>
        <w:rPr>
          <w:i w:val="0"/>
          <w:smallCaps w:val="0"/>
          <w:color w:val="000000"/>
        </w:rPr>
        <w:t xml:space="preserve">Di questa complessità dell’intreccio degli interessi implicati, nonché della delicatezza del compito di segnare un punto di equilibrio tra le opposte esigenze, si fa interprete la giurisprudenza, la quale rinviene la </w:t>
      </w:r>
      <w:r>
        <w:rPr>
          <w:smallCaps w:val="0"/>
          <w:color w:val="000000"/>
        </w:rPr>
        <w:t xml:space="preserve">ratio </w:t>
      </w:r>
      <w:r>
        <w:rPr>
          <w:i w:val="0"/>
          <w:smallCaps w:val="0"/>
          <w:color w:val="000000"/>
        </w:rPr>
        <w:t>complessiva della disciplina nella necessità di non riconoscere dignità e statuto di operatori economici – e quindi, come si vedrà, non più soltanto nei rapporti con la pubblica amministrazione – a soggetti che risultino condizionati, controllati, infiltrati o eterodiretti dalle associazioni mafiose: ne deriva un severo limite all’iniziativa economica privata, che è però giustificato dalla considerazione che il metodo mafioso, per sua stessa ragion d’essere, costituisce un “</w:t>
      </w:r>
      <w:r w:rsidRPr="00475E4A">
        <w:rPr>
          <w:smallCaps w:val="0"/>
          <w:color w:val="000000"/>
        </w:rPr>
        <w:t>danno alla sicurezza, alla libertà, alla dignità umana</w:t>
      </w:r>
      <w:r>
        <w:rPr>
          <w:i w:val="0"/>
          <w:smallCaps w:val="0"/>
          <w:color w:val="000000"/>
        </w:rPr>
        <w:t xml:space="preserve">” (articolo 41, comma secondo, </w:t>
      </w:r>
      <w:proofErr w:type="spellStart"/>
      <w:r>
        <w:rPr>
          <w:i w:val="0"/>
          <w:smallCaps w:val="0"/>
          <w:color w:val="000000"/>
        </w:rPr>
        <w:t>Cost</w:t>
      </w:r>
      <w:proofErr w:type="spellEnd"/>
      <w:r>
        <w:rPr>
          <w:i w:val="0"/>
          <w:smallCaps w:val="0"/>
          <w:color w:val="000000"/>
        </w:rPr>
        <w:t>.), già sul piano dei rapporti tra privati prima ancora che in quelli con le pubbliche amministrazioni, oltre a porsi in contrasto, ovviamente, con l’utilità sociale, limite, quest’ultimo, allo stesso esercizio del diritto di proprietà</w:t>
      </w:r>
      <w:r>
        <w:rPr>
          <w:rStyle w:val="Rimandonotaapidipagina"/>
          <w:i w:val="0"/>
          <w:smallCaps w:val="0"/>
          <w:color w:val="000000"/>
        </w:rPr>
        <w:footnoteReference w:id="12"/>
      </w:r>
      <w:r>
        <w:rPr>
          <w:i w:val="0"/>
          <w:smallCaps w:val="0"/>
          <w:color w:val="000000"/>
        </w:rPr>
        <w:t xml:space="preserve">. </w:t>
      </w:r>
    </w:p>
    <w:p w:rsidR="00C14A73" w:rsidRPr="00475E4A" w:rsidRDefault="00C14A73" w:rsidP="00303ED1">
      <w:pPr>
        <w:ind w:firstLine="426"/>
        <w:jc w:val="both"/>
        <w:rPr>
          <w:i w:val="0"/>
          <w:smallCaps w:val="0"/>
          <w:color w:val="000000"/>
        </w:rPr>
      </w:pPr>
      <w:r>
        <w:rPr>
          <w:i w:val="0"/>
          <w:smallCaps w:val="0"/>
          <w:color w:val="000000"/>
        </w:rPr>
        <w:t xml:space="preserve">Così configurate, le misure in esame palesano la loro differenza dalle misure di prevenzione a carattere giurisdizionale: i destinatari di queste ultime, che seguono di regola a indagini penali, sono in teoria più agevolmente qualificabili come imprenditori “mafiosi”, laddove chi subisce una misura </w:t>
      </w:r>
      <w:proofErr w:type="spellStart"/>
      <w:r>
        <w:rPr>
          <w:i w:val="0"/>
          <w:smallCaps w:val="0"/>
          <w:color w:val="000000"/>
        </w:rPr>
        <w:t>interdittiva</w:t>
      </w:r>
      <w:proofErr w:type="spellEnd"/>
      <w:r>
        <w:rPr>
          <w:i w:val="0"/>
          <w:smallCaps w:val="0"/>
          <w:color w:val="000000"/>
        </w:rPr>
        <w:t xml:space="preserve"> di tipo amministrativo – come meglio si vedrà nell’esaminare le nozioni di tentativo e pericolo di infiltrazione mafiosa – non è necessariamente colluso con i sodalizi criminali, rilevando anche situazioni di contiguità e condizionamento riscontrabili in un’area “opaca” che non attinge la soglia della responsabilità penale</w:t>
      </w:r>
      <w:r>
        <w:rPr>
          <w:rStyle w:val="Rimandonotaapidipagina"/>
          <w:i w:val="0"/>
          <w:smallCaps w:val="0"/>
          <w:color w:val="000000"/>
        </w:rPr>
        <w:footnoteReference w:id="13"/>
      </w:r>
      <w:r>
        <w:rPr>
          <w:i w:val="0"/>
          <w:smallCaps w:val="0"/>
          <w:color w:val="000000"/>
        </w:rPr>
        <w:t>. E tuttavia, a tale diversità di presupposti non corrisponde necessariamente un corrispondente grado di “intensità” delle misure cui essi danno luogo: al contrario, come è stato acutamente osservato</w:t>
      </w:r>
      <w:r>
        <w:rPr>
          <w:rStyle w:val="Rimandonotaapidipagina"/>
          <w:i w:val="0"/>
          <w:smallCaps w:val="0"/>
          <w:color w:val="000000"/>
        </w:rPr>
        <w:footnoteReference w:id="14"/>
      </w:r>
      <w:r>
        <w:rPr>
          <w:i w:val="0"/>
          <w:smallCaps w:val="0"/>
          <w:color w:val="000000"/>
        </w:rPr>
        <w:t xml:space="preserve">, l’evoluzione amministrativa e giurisprudenziale ha portato – di fatto </w:t>
      </w:r>
      <w:r w:rsidR="00D34401">
        <w:rPr>
          <w:i w:val="0"/>
          <w:smallCaps w:val="0"/>
          <w:color w:val="000000"/>
        </w:rPr>
        <w:t>–</w:t>
      </w:r>
      <w:r>
        <w:rPr>
          <w:i w:val="0"/>
          <w:smallCaps w:val="0"/>
          <w:color w:val="000000"/>
        </w:rPr>
        <w:t xml:space="preserve"> </w:t>
      </w:r>
      <w:r w:rsidR="00D34401">
        <w:rPr>
          <w:i w:val="0"/>
          <w:smallCaps w:val="0"/>
          <w:color w:val="000000"/>
        </w:rPr>
        <w:t xml:space="preserve">a dotare le misure </w:t>
      </w:r>
      <w:proofErr w:type="spellStart"/>
      <w:r w:rsidR="00D34401">
        <w:rPr>
          <w:i w:val="0"/>
          <w:smallCaps w:val="0"/>
          <w:color w:val="000000"/>
        </w:rPr>
        <w:t>interdittive</w:t>
      </w:r>
      <w:proofErr w:type="spellEnd"/>
      <w:r w:rsidR="00D34401">
        <w:rPr>
          <w:i w:val="0"/>
          <w:smallCaps w:val="0"/>
          <w:color w:val="000000"/>
        </w:rPr>
        <w:t xml:space="preserve"> di ben maggiore “</w:t>
      </w:r>
      <w:proofErr w:type="spellStart"/>
      <w:r w:rsidR="00D34401">
        <w:rPr>
          <w:i w:val="0"/>
          <w:smallCaps w:val="0"/>
          <w:color w:val="000000"/>
        </w:rPr>
        <w:t>afflittività</w:t>
      </w:r>
      <w:proofErr w:type="spellEnd"/>
      <w:r w:rsidR="00D34401">
        <w:rPr>
          <w:i w:val="0"/>
          <w:smallCaps w:val="0"/>
          <w:color w:val="000000"/>
        </w:rPr>
        <w:t xml:space="preserve">” rispetto alle misure di prevenzione, in conseguenza della particolare forma di incapacità che esse comportano (a contrarre, a percepire contributi e benefici, a ottenere provvedimenti </w:t>
      </w:r>
      <w:proofErr w:type="spellStart"/>
      <w:r w:rsidR="00D34401">
        <w:rPr>
          <w:i w:val="0"/>
          <w:smallCaps w:val="0"/>
          <w:color w:val="000000"/>
        </w:rPr>
        <w:t>autorizzatori</w:t>
      </w:r>
      <w:proofErr w:type="spellEnd"/>
      <w:r w:rsidR="00D34401">
        <w:rPr>
          <w:i w:val="0"/>
          <w:smallCaps w:val="0"/>
          <w:color w:val="000000"/>
        </w:rPr>
        <w:t xml:space="preserve"> e concessori etc.) tale da indurre taluno a parlare di un vero e proprio “</w:t>
      </w:r>
      <w:r w:rsidR="00D34401">
        <w:rPr>
          <w:smallCaps w:val="0"/>
          <w:color w:val="000000"/>
        </w:rPr>
        <w:t>ergastolo imprenditoriale</w:t>
      </w:r>
      <w:r w:rsidR="00D34401">
        <w:rPr>
          <w:i w:val="0"/>
          <w:smallCaps w:val="0"/>
          <w:color w:val="000000"/>
        </w:rPr>
        <w:t>”</w:t>
      </w:r>
      <w:r w:rsidR="00D34401">
        <w:rPr>
          <w:rStyle w:val="Rimandonotaapidipagina"/>
          <w:i w:val="0"/>
          <w:smallCaps w:val="0"/>
          <w:color w:val="000000"/>
        </w:rPr>
        <w:footnoteReference w:id="15"/>
      </w:r>
      <w:r w:rsidR="00D34401">
        <w:rPr>
          <w:i w:val="0"/>
          <w:smallCaps w:val="0"/>
          <w:color w:val="000000"/>
        </w:rPr>
        <w:t>.</w:t>
      </w:r>
      <w:r w:rsidR="00475E4A">
        <w:rPr>
          <w:i w:val="0"/>
          <w:smallCaps w:val="0"/>
          <w:color w:val="000000"/>
        </w:rPr>
        <w:t xml:space="preserve"> Siffatta funzione di “</w:t>
      </w:r>
      <w:r w:rsidR="00475E4A">
        <w:rPr>
          <w:smallCaps w:val="0"/>
          <w:color w:val="000000"/>
        </w:rPr>
        <w:t>frontiera avanzata</w:t>
      </w:r>
      <w:r w:rsidR="00475E4A">
        <w:rPr>
          <w:i w:val="0"/>
          <w:smallCaps w:val="0"/>
          <w:color w:val="000000"/>
        </w:rPr>
        <w:t>” degli strumenti in discorso, nel continuo confronto tra Stato e anti-Stato, impone e giustifica – come si vedrà – le peculiarità e l’atipicità dei poteri istruttori rimessi all’autorità prefettizia e l’ampia discrezionalità che ne connota le valutazioni, destinate ad arrestarsi solo di fronte a fatti inesistenti od obiettivamente non sintomatici</w:t>
      </w:r>
      <w:r w:rsidR="00475E4A">
        <w:rPr>
          <w:rStyle w:val="Rimandonotaapidipagina"/>
          <w:i w:val="0"/>
          <w:smallCaps w:val="0"/>
          <w:color w:val="000000"/>
        </w:rPr>
        <w:footnoteReference w:id="16"/>
      </w:r>
      <w:r w:rsidR="00475E4A">
        <w:rPr>
          <w:i w:val="0"/>
          <w:smallCaps w:val="0"/>
          <w:color w:val="000000"/>
        </w:rPr>
        <w:t>.</w:t>
      </w:r>
    </w:p>
    <w:p w:rsidR="00D34401" w:rsidRDefault="00D34401" w:rsidP="00303ED1">
      <w:pPr>
        <w:ind w:firstLine="426"/>
        <w:jc w:val="both"/>
        <w:rPr>
          <w:i w:val="0"/>
          <w:smallCaps w:val="0"/>
          <w:color w:val="000000"/>
        </w:rPr>
      </w:pPr>
      <w:r>
        <w:rPr>
          <w:i w:val="0"/>
          <w:smallCaps w:val="0"/>
          <w:color w:val="000000"/>
        </w:rPr>
        <w:lastRenderedPageBreak/>
        <w:t xml:space="preserve">Tale rilievo, oltre a dare la misura del livello di responsabilità cui sono chiamati l’Autorità prefettizia, allorché chiamata a valutare la sussistenza o meno dei presupposti legittimanti l’adozione delle misure </w:t>
      </w:r>
      <w:r>
        <w:rPr>
          <w:smallCaps w:val="0"/>
          <w:color w:val="000000"/>
        </w:rPr>
        <w:t xml:space="preserve">de </w:t>
      </w:r>
      <w:proofErr w:type="spellStart"/>
      <w:r>
        <w:rPr>
          <w:smallCaps w:val="0"/>
          <w:color w:val="000000"/>
        </w:rPr>
        <w:t>quibus</w:t>
      </w:r>
      <w:proofErr w:type="spellEnd"/>
      <w:r>
        <w:rPr>
          <w:smallCaps w:val="0"/>
          <w:color w:val="000000"/>
        </w:rPr>
        <w:t xml:space="preserve">, </w:t>
      </w:r>
      <w:r>
        <w:rPr>
          <w:i w:val="0"/>
          <w:smallCaps w:val="0"/>
          <w:color w:val="000000"/>
        </w:rPr>
        <w:t xml:space="preserve">e il giudice amministrativo, ove </w:t>
      </w:r>
      <w:r w:rsidR="00AA0556">
        <w:rPr>
          <w:i w:val="0"/>
          <w:smallCaps w:val="0"/>
          <w:color w:val="000000"/>
        </w:rPr>
        <w:t>debba</w:t>
      </w:r>
      <w:r>
        <w:rPr>
          <w:i w:val="0"/>
          <w:smallCaps w:val="0"/>
          <w:color w:val="000000"/>
        </w:rPr>
        <w:t xml:space="preserve"> verificarne la legittimità, rende ragione anche del perché – come già evidenziato – il legislatore, di pari passo con il diffondersi e l’intensificarsi del ricorso alle </w:t>
      </w:r>
      <w:proofErr w:type="spellStart"/>
      <w:r>
        <w:rPr>
          <w:i w:val="0"/>
          <w:smallCaps w:val="0"/>
          <w:color w:val="000000"/>
        </w:rPr>
        <w:t>interdittive</w:t>
      </w:r>
      <w:proofErr w:type="spellEnd"/>
      <w:r>
        <w:rPr>
          <w:i w:val="0"/>
          <w:smallCaps w:val="0"/>
          <w:color w:val="000000"/>
        </w:rPr>
        <w:t xml:space="preserve"> prefettizie come strumento di contrasto alla criminalità, abbia avvertito l’impegno di elaborare un sistema normativo più articolato e coerente, in cui siano presenti anche opzioni e strumenti idonei ad attenuare</w:t>
      </w:r>
      <w:r w:rsidR="00AA0556">
        <w:rPr>
          <w:i w:val="0"/>
          <w:smallCaps w:val="0"/>
          <w:color w:val="000000"/>
        </w:rPr>
        <w:t>, o</w:t>
      </w:r>
      <w:r>
        <w:rPr>
          <w:i w:val="0"/>
          <w:smallCaps w:val="0"/>
          <w:color w:val="000000"/>
        </w:rPr>
        <w:t xml:space="preserve"> scongiurare quando possibile</w:t>
      </w:r>
      <w:r w:rsidR="00AA0556">
        <w:rPr>
          <w:i w:val="0"/>
          <w:smallCaps w:val="0"/>
          <w:color w:val="000000"/>
        </w:rPr>
        <w:t>,</w:t>
      </w:r>
      <w:r w:rsidR="003F55AD">
        <w:rPr>
          <w:i w:val="0"/>
          <w:smallCaps w:val="0"/>
          <w:color w:val="000000"/>
        </w:rPr>
        <w:t xml:space="preserve"> </w:t>
      </w:r>
      <w:r>
        <w:rPr>
          <w:i w:val="0"/>
          <w:smallCaps w:val="0"/>
          <w:color w:val="000000"/>
        </w:rPr>
        <w:t>effetti così gravosi e penalizzanti</w:t>
      </w:r>
      <w:r>
        <w:rPr>
          <w:rStyle w:val="Rimandonotaapidipagina"/>
          <w:i w:val="0"/>
          <w:smallCaps w:val="0"/>
          <w:color w:val="000000"/>
        </w:rPr>
        <w:footnoteReference w:id="17"/>
      </w:r>
      <w:r>
        <w:rPr>
          <w:i w:val="0"/>
          <w:smallCaps w:val="0"/>
          <w:color w:val="000000"/>
        </w:rPr>
        <w:t>.</w:t>
      </w:r>
    </w:p>
    <w:p w:rsidR="00D34401" w:rsidRDefault="00D34401" w:rsidP="00303ED1">
      <w:pPr>
        <w:ind w:firstLine="426"/>
        <w:jc w:val="both"/>
        <w:rPr>
          <w:i w:val="0"/>
          <w:smallCaps w:val="0"/>
          <w:color w:val="000000"/>
        </w:rPr>
      </w:pPr>
    </w:p>
    <w:p w:rsidR="00D34401" w:rsidRDefault="00D34401" w:rsidP="00303ED1">
      <w:pPr>
        <w:ind w:firstLine="426"/>
        <w:jc w:val="both"/>
        <w:rPr>
          <w:i w:val="0"/>
          <w:smallCaps w:val="0"/>
          <w:color w:val="000000"/>
        </w:rPr>
      </w:pPr>
    </w:p>
    <w:p w:rsidR="009A72A6" w:rsidRDefault="00D34401" w:rsidP="009A72A6">
      <w:pPr>
        <w:ind w:firstLine="426"/>
        <w:jc w:val="both"/>
        <w:rPr>
          <w:b/>
          <w:i w:val="0"/>
          <w:smallCaps w:val="0"/>
          <w:color w:val="000000"/>
        </w:rPr>
      </w:pPr>
      <w:r>
        <w:rPr>
          <w:b/>
          <w:i w:val="0"/>
          <w:smallCaps w:val="0"/>
          <w:color w:val="000000"/>
        </w:rPr>
        <w:t>3. La documentazione antimafia: definizioni e caratteristiche.</w:t>
      </w:r>
    </w:p>
    <w:p w:rsidR="009A72A6" w:rsidRDefault="009A72A6" w:rsidP="009A72A6">
      <w:pPr>
        <w:ind w:firstLine="426"/>
        <w:jc w:val="both"/>
        <w:rPr>
          <w:b/>
          <w:i w:val="0"/>
          <w:smallCaps w:val="0"/>
          <w:color w:val="000000"/>
        </w:rPr>
      </w:pPr>
    </w:p>
    <w:p w:rsidR="009A72A6" w:rsidRDefault="007D314E" w:rsidP="009A72A6">
      <w:pPr>
        <w:ind w:firstLine="426"/>
        <w:jc w:val="both"/>
        <w:rPr>
          <w:i w:val="0"/>
          <w:smallCaps w:val="0"/>
        </w:rPr>
      </w:pPr>
      <w:r>
        <w:rPr>
          <w:i w:val="0"/>
          <w:smallCaps w:val="0"/>
        </w:rPr>
        <w:t>Sul piano positivo, il sistema della documentazione amministrativa antimafia, pur dopo le rilevanti e incisive modifiche intervenute negli ultimi anni, ri</w:t>
      </w:r>
      <w:r w:rsidR="00AA0556">
        <w:rPr>
          <w:i w:val="0"/>
          <w:smallCaps w:val="0"/>
        </w:rPr>
        <w:t>mane</w:t>
      </w:r>
      <w:r>
        <w:rPr>
          <w:i w:val="0"/>
          <w:smallCaps w:val="0"/>
        </w:rPr>
        <w:t xml:space="preserve"> incentrato sul tradizionale binomio comunicazione antimafia/informazione (o informativa) antimafia. La distinzione</w:t>
      </w:r>
      <w:r>
        <w:rPr>
          <w:rStyle w:val="Rimandonotaapidipagina"/>
          <w:i w:val="0"/>
          <w:smallCaps w:val="0"/>
        </w:rPr>
        <w:footnoteReference w:id="18"/>
      </w:r>
      <w:r>
        <w:rPr>
          <w:i w:val="0"/>
          <w:smallCaps w:val="0"/>
        </w:rPr>
        <w:t xml:space="preserve">, per vero, attiene soprattutto alla diversità dei presupposti, e non appare scalfita dalla recente introduzione delle misure alternative di c.d. prevenzione collaborativa, le quali si innestano – come si vedrà </w:t>
      </w:r>
      <w:r>
        <w:rPr>
          <w:smallCaps w:val="0"/>
        </w:rPr>
        <w:t xml:space="preserve">infra </w:t>
      </w:r>
      <w:r>
        <w:rPr>
          <w:i w:val="0"/>
          <w:smallCaps w:val="0"/>
        </w:rPr>
        <w:t>al § 9.3 – sul secondo “corno” del predetto binomio.</w:t>
      </w:r>
    </w:p>
    <w:p w:rsidR="007D314E" w:rsidRDefault="007D314E" w:rsidP="009A72A6">
      <w:pPr>
        <w:ind w:firstLine="426"/>
        <w:jc w:val="both"/>
        <w:rPr>
          <w:i w:val="0"/>
          <w:smallCaps w:val="0"/>
        </w:rPr>
      </w:pPr>
      <w:r>
        <w:rPr>
          <w:i w:val="0"/>
          <w:smallCaps w:val="0"/>
        </w:rPr>
        <w:t>Nell’articolo 84 del d.lgs. n. 159/2011 si rinvengono le definizioni di “</w:t>
      </w:r>
      <w:r>
        <w:rPr>
          <w:smallCaps w:val="0"/>
        </w:rPr>
        <w:t>comunicazione antimafia</w:t>
      </w:r>
      <w:r>
        <w:rPr>
          <w:i w:val="0"/>
          <w:smallCaps w:val="0"/>
        </w:rPr>
        <w:t>” e di “</w:t>
      </w:r>
      <w:r>
        <w:rPr>
          <w:smallCaps w:val="0"/>
        </w:rPr>
        <w:t>informazione antimafia</w:t>
      </w:r>
      <w:r>
        <w:rPr>
          <w:i w:val="0"/>
          <w:smallCaps w:val="0"/>
        </w:rPr>
        <w:t>”, le quali consistono rispettivamente “</w:t>
      </w:r>
      <w:r w:rsidR="009A72A6" w:rsidRPr="007D314E">
        <w:rPr>
          <w:smallCaps w:val="0"/>
        </w:rPr>
        <w:t>nell’attestazione della sussistenza, o meno, di una delle cause di decadenza, di sospensione o di divieto di cui all’art</w:t>
      </w:r>
      <w:r w:rsidRPr="007D314E">
        <w:rPr>
          <w:smallCaps w:val="0"/>
        </w:rPr>
        <w:t>icolo</w:t>
      </w:r>
      <w:r w:rsidR="009A72A6" w:rsidRPr="007D314E">
        <w:rPr>
          <w:smallCaps w:val="0"/>
        </w:rPr>
        <w:t xml:space="preserve"> 67</w:t>
      </w:r>
      <w:r>
        <w:rPr>
          <w:i w:val="0"/>
          <w:smallCaps w:val="0"/>
        </w:rPr>
        <w:t>”</w:t>
      </w:r>
      <w:r w:rsidR="009A72A6" w:rsidRPr="009A72A6">
        <w:rPr>
          <w:i w:val="0"/>
          <w:smallCaps w:val="0"/>
        </w:rPr>
        <w:t xml:space="preserve"> (comma 2) e cioè, l’applicazione, con provvedimento definitivo</w:t>
      </w:r>
      <w:r>
        <w:rPr>
          <w:rStyle w:val="Rimandonotaapidipagina"/>
          <w:i w:val="0"/>
          <w:smallCaps w:val="0"/>
        </w:rPr>
        <w:footnoteReference w:id="19"/>
      </w:r>
      <w:r w:rsidR="009A72A6" w:rsidRPr="009A72A6">
        <w:rPr>
          <w:i w:val="0"/>
          <w:smallCaps w:val="0"/>
        </w:rPr>
        <w:t xml:space="preserve">, di una delle misure di prevenzione personali previste dal </w:t>
      </w:r>
      <w:r w:rsidR="00AA0556">
        <w:rPr>
          <w:i w:val="0"/>
          <w:smallCaps w:val="0"/>
        </w:rPr>
        <w:t>L</w:t>
      </w:r>
      <w:r w:rsidR="009A72A6" w:rsidRPr="009A72A6">
        <w:rPr>
          <w:i w:val="0"/>
          <w:smallCaps w:val="0"/>
        </w:rPr>
        <w:t xml:space="preserve">ibro I, capo II, </w:t>
      </w:r>
      <w:r>
        <w:rPr>
          <w:i w:val="0"/>
          <w:smallCaps w:val="0"/>
        </w:rPr>
        <w:t xml:space="preserve">dello stesso </w:t>
      </w:r>
      <w:r w:rsidR="009A72A6" w:rsidRPr="009A72A6">
        <w:rPr>
          <w:i w:val="0"/>
          <w:smallCaps w:val="0"/>
        </w:rPr>
        <w:t>d.lgs. n. 159/2011 e statuite dall’autorità giudiziaria o di condanna per uno dei delitti previsti da</w:t>
      </w:r>
      <w:r>
        <w:rPr>
          <w:i w:val="0"/>
          <w:smallCaps w:val="0"/>
        </w:rPr>
        <w:t xml:space="preserve">gli </w:t>
      </w:r>
      <w:r w:rsidR="009A72A6" w:rsidRPr="009A72A6">
        <w:rPr>
          <w:i w:val="0"/>
          <w:smallCaps w:val="0"/>
        </w:rPr>
        <w:t>art</w:t>
      </w:r>
      <w:r>
        <w:rPr>
          <w:i w:val="0"/>
          <w:smallCaps w:val="0"/>
        </w:rPr>
        <w:t>icoli</w:t>
      </w:r>
      <w:r w:rsidR="009A72A6" w:rsidRPr="009A72A6">
        <w:rPr>
          <w:i w:val="0"/>
          <w:smallCaps w:val="0"/>
        </w:rPr>
        <w:t xml:space="preserve"> 640, comma 2, n. 1, e 640 </w:t>
      </w:r>
      <w:r w:rsidR="009A72A6" w:rsidRPr="007D314E">
        <w:rPr>
          <w:smallCaps w:val="0"/>
        </w:rPr>
        <w:t>bis</w:t>
      </w:r>
      <w:r w:rsidR="009A72A6" w:rsidRPr="009A72A6">
        <w:rPr>
          <w:i w:val="0"/>
          <w:smallCaps w:val="0"/>
        </w:rPr>
        <w:t xml:space="preserve">, </w:t>
      </w:r>
      <w:r>
        <w:rPr>
          <w:i w:val="0"/>
          <w:smallCaps w:val="0"/>
        </w:rPr>
        <w:t xml:space="preserve">del </w:t>
      </w:r>
      <w:r w:rsidR="009A72A6" w:rsidRPr="009A72A6">
        <w:rPr>
          <w:i w:val="0"/>
          <w:smallCaps w:val="0"/>
        </w:rPr>
        <w:t>c</w:t>
      </w:r>
      <w:r>
        <w:rPr>
          <w:i w:val="0"/>
          <w:smallCaps w:val="0"/>
        </w:rPr>
        <w:t xml:space="preserve">odice </w:t>
      </w:r>
      <w:r w:rsidR="009A72A6" w:rsidRPr="009A72A6">
        <w:rPr>
          <w:i w:val="0"/>
          <w:smallCaps w:val="0"/>
        </w:rPr>
        <w:t>p</w:t>
      </w:r>
      <w:r>
        <w:rPr>
          <w:i w:val="0"/>
          <w:smallCaps w:val="0"/>
        </w:rPr>
        <w:t>enale</w:t>
      </w:r>
      <w:r w:rsidR="009466A3">
        <w:rPr>
          <w:i w:val="0"/>
          <w:smallCaps w:val="0"/>
        </w:rPr>
        <w:t>, e “</w:t>
      </w:r>
      <w:r w:rsidR="009466A3" w:rsidRPr="007D314E">
        <w:rPr>
          <w:smallCaps w:val="0"/>
        </w:rPr>
        <w:t>nell’attestazione della sussistenza, o meno, di una delle cause di decadenza, di sospensione o di divieto di cui all’articolo 67</w:t>
      </w:r>
      <w:r w:rsidR="009466A3">
        <w:rPr>
          <w:smallCaps w:val="0"/>
        </w:rPr>
        <w:t>, nonché, fatto salvo quanto previsto dall’articolo 91, comma 6,</w:t>
      </w:r>
      <w:r w:rsidR="009466A3" w:rsidRPr="00AA0556">
        <w:rPr>
          <w:rStyle w:val="Rimandonotaapidipagina"/>
          <w:i w:val="0"/>
          <w:smallCaps w:val="0"/>
        </w:rPr>
        <w:footnoteReference w:id="20"/>
      </w:r>
      <w:r w:rsidR="009466A3">
        <w:rPr>
          <w:smallCaps w:val="0"/>
        </w:rPr>
        <w:t xml:space="preserve"> nell’attestazione della sussistenza o meno di eventuali tentativi di infiltrazione mafiosa tendenti a condizionare le scelte e gli indirizzi delle società o imprese interessate indicati nel comma 4</w:t>
      </w:r>
      <w:r w:rsidR="009466A3">
        <w:rPr>
          <w:i w:val="0"/>
          <w:smallCaps w:val="0"/>
        </w:rPr>
        <w:t>” (comma 3).</w:t>
      </w:r>
    </w:p>
    <w:p w:rsidR="009A72A6" w:rsidRDefault="0008226B" w:rsidP="009A72A6">
      <w:pPr>
        <w:ind w:firstLine="426"/>
        <w:jc w:val="both"/>
        <w:rPr>
          <w:i w:val="0"/>
          <w:smallCaps w:val="0"/>
        </w:rPr>
      </w:pPr>
      <w:r>
        <w:rPr>
          <w:i w:val="0"/>
          <w:smallCaps w:val="0"/>
        </w:rPr>
        <w:t>Entrambi i provvedimenti seguono alla consultazione della banca dati nazionale antimafia istituita presso il Ministero dell’interno a norma degli articoli 96 e seguenti del d.lgs. n. 159/2011, ma ben diverse ne sono le caratteristiche e i contenuti. Mentre, infatti, l</w:t>
      </w:r>
      <w:r w:rsidR="009A72A6" w:rsidRPr="009A72A6">
        <w:rPr>
          <w:i w:val="0"/>
          <w:smallCaps w:val="0"/>
        </w:rPr>
        <w:t xml:space="preserve">a comunicazione antimafia </w:t>
      </w:r>
      <w:r>
        <w:rPr>
          <w:i w:val="0"/>
          <w:smallCaps w:val="0"/>
        </w:rPr>
        <w:t>“</w:t>
      </w:r>
      <w:r w:rsidR="009A72A6" w:rsidRPr="009A72A6">
        <w:rPr>
          <w:i w:val="0"/>
          <w:smallCaps w:val="0"/>
        </w:rPr>
        <w:t>fotografa</w:t>
      </w:r>
      <w:r>
        <w:rPr>
          <w:i w:val="0"/>
          <w:smallCaps w:val="0"/>
        </w:rPr>
        <w:t>” il cristallizzarsi</w:t>
      </w:r>
      <w:r w:rsidR="009A72A6" w:rsidRPr="009A72A6">
        <w:rPr>
          <w:i w:val="0"/>
          <w:smallCaps w:val="0"/>
        </w:rPr>
        <w:t xml:space="preserve"> di una situazione di permeabilità mafiosa contenuta in un provvedimento giurisdizionale ormai definitivo, con il quale il Tribunale ha applicato una misura di prevenzione personale prevista dal Codice antimafia, e ha un contenuto vincolato, di tipo accertativo, che attesta l’esistenza, o meno, di tale situazione tipizzata nel provvedimento di prevenzione o nella sentenza di condanna</w:t>
      </w:r>
      <w:r>
        <w:rPr>
          <w:i w:val="0"/>
          <w:smallCaps w:val="0"/>
        </w:rPr>
        <w:t xml:space="preserve">, </w:t>
      </w:r>
      <w:r w:rsidR="009A72A6" w:rsidRPr="009A72A6">
        <w:rPr>
          <w:i w:val="0"/>
          <w:smallCaps w:val="0"/>
        </w:rPr>
        <w:t xml:space="preserve">l’informazione antimafia è </w:t>
      </w:r>
      <w:r>
        <w:rPr>
          <w:i w:val="0"/>
          <w:smallCaps w:val="0"/>
        </w:rPr>
        <w:t xml:space="preserve">invece </w:t>
      </w:r>
      <w:r w:rsidR="009A72A6" w:rsidRPr="009A72A6">
        <w:rPr>
          <w:i w:val="0"/>
          <w:smallCaps w:val="0"/>
        </w:rPr>
        <w:t>provvedimento discrezionale e consiste</w:t>
      </w:r>
      <w:r>
        <w:rPr>
          <w:i w:val="0"/>
          <w:smallCaps w:val="0"/>
        </w:rPr>
        <w:t>, oltre che – al pari della comunicazione antimafia -</w:t>
      </w:r>
      <w:r w:rsidR="009A72A6" w:rsidRPr="009A72A6">
        <w:rPr>
          <w:i w:val="0"/>
          <w:smallCaps w:val="0"/>
        </w:rPr>
        <w:t xml:space="preserve"> nell’attestazione della sussistenza o meno di una delle cause di decadenza, di sospensione o di divieto di cui all’articolo 67, </w:t>
      </w:r>
      <w:r>
        <w:rPr>
          <w:i w:val="0"/>
          <w:smallCaps w:val="0"/>
        </w:rPr>
        <w:t xml:space="preserve">nell’attestazione </w:t>
      </w:r>
      <w:r w:rsidR="009A72A6" w:rsidRPr="009A72A6">
        <w:rPr>
          <w:i w:val="0"/>
          <w:smallCaps w:val="0"/>
        </w:rPr>
        <w:t xml:space="preserve">della sussistenza o meno </w:t>
      </w:r>
      <w:r w:rsidR="009A72A6" w:rsidRPr="009A72A6">
        <w:rPr>
          <w:i w:val="0"/>
          <w:smallCaps w:val="0"/>
        </w:rPr>
        <w:lastRenderedPageBreak/>
        <w:t>di tentativi di infiltrazione mafiosa</w:t>
      </w:r>
      <w:r>
        <w:rPr>
          <w:i w:val="0"/>
          <w:smallCaps w:val="0"/>
        </w:rPr>
        <w:t xml:space="preserve">, </w:t>
      </w:r>
      <w:r w:rsidR="00AA0556">
        <w:rPr>
          <w:i w:val="0"/>
          <w:smallCaps w:val="0"/>
        </w:rPr>
        <w:t>la qual</w:t>
      </w:r>
      <w:r>
        <w:rPr>
          <w:i w:val="0"/>
          <w:smallCaps w:val="0"/>
        </w:rPr>
        <w:t>e deve muovere dall’analisi e dalla valorizzazione di spe</w:t>
      </w:r>
      <w:r w:rsidR="00AA0556">
        <w:rPr>
          <w:i w:val="0"/>
          <w:smallCaps w:val="0"/>
        </w:rPr>
        <w:t>cifici elementi fattuali che</w:t>
      </w:r>
      <w:r>
        <w:rPr>
          <w:i w:val="0"/>
          <w:smallCaps w:val="0"/>
        </w:rPr>
        <w:t xml:space="preserve"> rappresentano obiettivi indici sintomatici di connessioni o collegamenti dell’impresa con associazioni criminali</w:t>
      </w:r>
      <w:r w:rsidR="00A14DE8">
        <w:rPr>
          <w:i w:val="0"/>
          <w:smallCaps w:val="0"/>
        </w:rPr>
        <w:t>, con esclusione di ogni automatismo rispetto all’emissione di un provvedimento in sede penale</w:t>
      </w:r>
      <w:r>
        <w:rPr>
          <w:rStyle w:val="Rimandonotaapidipagina"/>
          <w:i w:val="0"/>
          <w:smallCaps w:val="0"/>
        </w:rPr>
        <w:footnoteReference w:id="21"/>
      </w:r>
      <w:r w:rsidR="009A72A6" w:rsidRPr="009A72A6">
        <w:rPr>
          <w:i w:val="0"/>
          <w:smallCaps w:val="0"/>
        </w:rPr>
        <w:t>.</w:t>
      </w:r>
    </w:p>
    <w:p w:rsidR="006764DA" w:rsidRPr="006764DA" w:rsidRDefault="006764DA" w:rsidP="009A72A6">
      <w:pPr>
        <w:ind w:firstLine="426"/>
        <w:jc w:val="both"/>
        <w:rPr>
          <w:i w:val="0"/>
          <w:smallCaps w:val="0"/>
        </w:rPr>
      </w:pPr>
      <w:r>
        <w:rPr>
          <w:i w:val="0"/>
          <w:smallCaps w:val="0"/>
        </w:rPr>
        <w:t>Con l’entrata a regime del sistema delineato dal d.lgs. n. 159/2011, devono ritenersi definitivamente espunte dal quadro della documentazione antimafia le cc.dd. informative “atipiche”, in precedenza previste dall’articolo 1-</w:t>
      </w:r>
      <w:r>
        <w:rPr>
          <w:smallCaps w:val="0"/>
        </w:rPr>
        <w:t xml:space="preserve">septies </w:t>
      </w:r>
      <w:r>
        <w:rPr>
          <w:i w:val="0"/>
          <w:smallCaps w:val="0"/>
        </w:rPr>
        <w:t xml:space="preserve">del </w:t>
      </w:r>
      <w:proofErr w:type="spellStart"/>
      <w:r>
        <w:rPr>
          <w:i w:val="0"/>
          <w:smallCaps w:val="0"/>
        </w:rPr>
        <w:t>d.l.</w:t>
      </w:r>
      <w:proofErr w:type="spellEnd"/>
      <w:r>
        <w:rPr>
          <w:i w:val="0"/>
          <w:smallCaps w:val="0"/>
        </w:rPr>
        <w:t xml:space="preserve"> 6 settembre 1982, n. 629, convertito, con modificazioni, dalla legge 12 ottobre 1982, n. 726, con le quali </w:t>
      </w:r>
      <w:r w:rsidR="003B5842">
        <w:rPr>
          <w:i w:val="0"/>
          <w:smallCaps w:val="0"/>
        </w:rPr>
        <w:t xml:space="preserve">il Prefetto attestava la sussistenza di </w:t>
      </w:r>
      <w:r w:rsidR="003B5842" w:rsidRPr="00A14DE8">
        <w:rPr>
          <w:i w:val="0"/>
          <w:smallCaps w:val="0"/>
        </w:rPr>
        <w:t xml:space="preserve">elementi </w:t>
      </w:r>
      <w:r w:rsidR="00A14DE8">
        <w:rPr>
          <w:i w:val="0"/>
          <w:smallCaps w:val="0"/>
        </w:rPr>
        <w:t>che</w:t>
      </w:r>
      <w:r w:rsidR="003B5842" w:rsidRPr="00A14DE8">
        <w:rPr>
          <w:i w:val="0"/>
          <w:smallCaps w:val="0"/>
        </w:rPr>
        <w:t>, pur denotando il pericolo di collegamento tra l’impresa e la criminalità organizzata, non raggiung</w:t>
      </w:r>
      <w:r w:rsidR="00A14DE8">
        <w:rPr>
          <w:i w:val="0"/>
          <w:smallCaps w:val="0"/>
        </w:rPr>
        <w:t>eva</w:t>
      </w:r>
      <w:r w:rsidR="003B5842" w:rsidRPr="00A14DE8">
        <w:rPr>
          <w:i w:val="0"/>
          <w:smallCaps w:val="0"/>
        </w:rPr>
        <w:t>no la soglia di gravità prevista per dar vita ad un effetto legale di divieto a contrarre</w:t>
      </w:r>
      <w:r w:rsidR="00A14DE8">
        <w:rPr>
          <w:rStyle w:val="Rimandonotaapidipagina"/>
          <w:i w:val="0"/>
          <w:smallCaps w:val="0"/>
        </w:rPr>
        <w:footnoteReference w:id="22"/>
      </w:r>
      <w:r>
        <w:rPr>
          <w:i w:val="0"/>
          <w:smallCaps w:val="0"/>
        </w:rPr>
        <w:t>. Nonostante alcuni dubbi avanzati in dottrina sulla base della mancata espressa abrogazione della disposizione testé indicata</w:t>
      </w:r>
      <w:r>
        <w:rPr>
          <w:rStyle w:val="Rimandonotaapidipagina"/>
          <w:i w:val="0"/>
          <w:smallCaps w:val="0"/>
        </w:rPr>
        <w:footnoteReference w:id="23"/>
      </w:r>
      <w:r>
        <w:rPr>
          <w:i w:val="0"/>
          <w:smallCaps w:val="0"/>
        </w:rPr>
        <w:t xml:space="preserve">, la giurisprudenza </w:t>
      </w:r>
      <w:r w:rsidR="003B5842">
        <w:rPr>
          <w:i w:val="0"/>
          <w:smallCaps w:val="0"/>
        </w:rPr>
        <w:t xml:space="preserve">ha affermato senza mezzi termini che l’informativa antimafia atipica, non essendo più contemplata dall’attuale legislazione antimafia, ove emessa dalla Prefettura deve qualificarsi come mero atto </w:t>
      </w:r>
      <w:proofErr w:type="spellStart"/>
      <w:r w:rsidR="003B5842">
        <w:rPr>
          <w:i w:val="0"/>
          <w:smallCaps w:val="0"/>
        </w:rPr>
        <w:t>endoprocedimentale</w:t>
      </w:r>
      <w:proofErr w:type="spellEnd"/>
      <w:r w:rsidR="003B5842">
        <w:rPr>
          <w:i w:val="0"/>
          <w:smallCaps w:val="0"/>
        </w:rPr>
        <w:t xml:space="preserve"> non vincolante e privo di efficacia lesiva</w:t>
      </w:r>
      <w:r w:rsidR="003B5842">
        <w:rPr>
          <w:rStyle w:val="Rimandonotaapidipagina"/>
          <w:i w:val="0"/>
          <w:smallCaps w:val="0"/>
        </w:rPr>
        <w:footnoteReference w:id="24"/>
      </w:r>
      <w:r w:rsidR="003B5842">
        <w:rPr>
          <w:i w:val="0"/>
          <w:smallCaps w:val="0"/>
        </w:rPr>
        <w:t>.</w:t>
      </w:r>
    </w:p>
    <w:p w:rsidR="00410050" w:rsidRDefault="00206C7E" w:rsidP="009A72A6">
      <w:pPr>
        <w:ind w:firstLine="426"/>
        <w:jc w:val="both"/>
        <w:rPr>
          <w:i w:val="0"/>
          <w:smallCaps w:val="0"/>
        </w:rPr>
      </w:pPr>
      <w:r>
        <w:rPr>
          <w:i w:val="0"/>
          <w:smallCaps w:val="0"/>
        </w:rPr>
        <w:t>Nell’impianto originario del Codice antimafia, il rapporto tra i due istituti si poneva in termini di alternatività, nel senso che la comunicazione antimafia non deve essere acquisita quando è necessaria l’informazione antimafia e viceversa, ma tuttavia l’informazione antimafia, proprio in ragione della possibile duplicità dei propri contenuti, è astrattamente in grado di assorbire la comunicazione antimafia</w:t>
      </w:r>
      <w:r>
        <w:rPr>
          <w:rStyle w:val="Rimandonotaapidipagina"/>
          <w:i w:val="0"/>
          <w:smallCaps w:val="0"/>
        </w:rPr>
        <w:footnoteReference w:id="25"/>
      </w:r>
      <w:r>
        <w:rPr>
          <w:i w:val="0"/>
          <w:smallCaps w:val="0"/>
        </w:rPr>
        <w:t>. Di tanto ha preso atto il legislatore allorché, con il d.lgs. 13 ottobre 2014, n. 153, ha introdotto nel Codice l’articolo 89-</w:t>
      </w:r>
      <w:r>
        <w:rPr>
          <w:smallCaps w:val="0"/>
        </w:rPr>
        <w:t xml:space="preserve">bis, </w:t>
      </w:r>
      <w:r>
        <w:rPr>
          <w:i w:val="0"/>
          <w:smallCaps w:val="0"/>
        </w:rPr>
        <w:t xml:space="preserve">secondo il quale </w:t>
      </w:r>
      <w:r w:rsidR="00537C70">
        <w:rPr>
          <w:i w:val="0"/>
          <w:smallCaps w:val="0"/>
        </w:rPr>
        <w:t xml:space="preserve">ove </w:t>
      </w:r>
      <w:r>
        <w:rPr>
          <w:i w:val="0"/>
          <w:smallCaps w:val="0"/>
        </w:rPr>
        <w:t xml:space="preserve">il Prefetto, pur in esito a verifiche preordinate all’acquisizione della comunicazione antimafia, accerti la sussistenza di tentativi di infiltrazione mafiosa, adotta comunque un’informazione antimafia </w:t>
      </w:r>
      <w:proofErr w:type="spellStart"/>
      <w:r>
        <w:rPr>
          <w:i w:val="0"/>
          <w:smallCaps w:val="0"/>
        </w:rPr>
        <w:t>interdittiva</w:t>
      </w:r>
      <w:proofErr w:type="spellEnd"/>
      <w:r>
        <w:rPr>
          <w:i w:val="0"/>
          <w:smallCaps w:val="0"/>
        </w:rPr>
        <w:t xml:space="preserve"> e ne dà comunicazione ai soggetti richiedenti, soprassedendo dall’emissione della comunicazione antimafia (della quale l’adottata informativa </w:t>
      </w:r>
      <w:proofErr w:type="spellStart"/>
      <w:r>
        <w:rPr>
          <w:i w:val="0"/>
          <w:smallCaps w:val="0"/>
        </w:rPr>
        <w:t>interdittiva</w:t>
      </w:r>
      <w:proofErr w:type="spellEnd"/>
      <w:r>
        <w:rPr>
          <w:i w:val="0"/>
          <w:smallCaps w:val="0"/>
        </w:rPr>
        <w:t xml:space="preserve"> tiene luogo)</w:t>
      </w:r>
      <w:r>
        <w:rPr>
          <w:rStyle w:val="Rimandonotaapidipagina"/>
          <w:i w:val="0"/>
          <w:smallCaps w:val="0"/>
        </w:rPr>
        <w:footnoteReference w:id="26"/>
      </w:r>
      <w:r>
        <w:rPr>
          <w:i w:val="0"/>
          <w:smallCaps w:val="0"/>
        </w:rPr>
        <w:t>.</w:t>
      </w:r>
    </w:p>
    <w:p w:rsidR="00206C7E" w:rsidRDefault="00206C7E" w:rsidP="009A72A6">
      <w:pPr>
        <w:ind w:firstLine="426"/>
        <w:jc w:val="both"/>
        <w:rPr>
          <w:i w:val="0"/>
          <w:smallCaps w:val="0"/>
        </w:rPr>
      </w:pPr>
      <w:r>
        <w:rPr>
          <w:i w:val="0"/>
          <w:smallCaps w:val="0"/>
        </w:rPr>
        <w:t xml:space="preserve">Inizialmente intesa come una deroga al principio di alternatività tra i due istituti, la disposizione </w:t>
      </w:r>
      <w:r w:rsidR="00410050">
        <w:rPr>
          <w:smallCaps w:val="0"/>
        </w:rPr>
        <w:t xml:space="preserve">de qua </w:t>
      </w:r>
      <w:r>
        <w:rPr>
          <w:i w:val="0"/>
          <w:smallCaps w:val="0"/>
        </w:rPr>
        <w:t xml:space="preserve">è stata letta dalla giurisprudenza come una reazione alla crisi dell’originaria bipartizione, determinata dalla crescente infiltrazione dei sodalizi criminali nei vari settori dell’economia ivi comprese le attività soggette a regime </w:t>
      </w:r>
      <w:proofErr w:type="spellStart"/>
      <w:r>
        <w:rPr>
          <w:i w:val="0"/>
          <w:smallCaps w:val="0"/>
        </w:rPr>
        <w:t>autorizzatorio</w:t>
      </w:r>
      <w:proofErr w:type="spellEnd"/>
      <w:r>
        <w:rPr>
          <w:i w:val="0"/>
          <w:smallCaps w:val="0"/>
        </w:rPr>
        <w:t xml:space="preserve"> (oltre che </w:t>
      </w:r>
      <w:r w:rsidR="00537C70">
        <w:rPr>
          <w:i w:val="0"/>
          <w:smallCaps w:val="0"/>
        </w:rPr>
        <w:t>ne</w:t>
      </w:r>
      <w:r>
        <w:rPr>
          <w:i w:val="0"/>
          <w:smallCaps w:val="0"/>
        </w:rPr>
        <w:t xml:space="preserve">i contratti pubblici, che costituivano il terreno “tradizionale” di operatività </w:t>
      </w:r>
      <w:r w:rsidR="00410050">
        <w:rPr>
          <w:i w:val="0"/>
          <w:smallCaps w:val="0"/>
        </w:rPr>
        <w:t xml:space="preserve">delle informative </w:t>
      </w:r>
      <w:proofErr w:type="spellStart"/>
      <w:r w:rsidR="00410050">
        <w:rPr>
          <w:i w:val="0"/>
          <w:smallCaps w:val="0"/>
        </w:rPr>
        <w:t>interdittive</w:t>
      </w:r>
      <w:proofErr w:type="spellEnd"/>
      <w:r w:rsidR="00410050">
        <w:rPr>
          <w:i w:val="0"/>
          <w:smallCaps w:val="0"/>
        </w:rPr>
        <w:t>), al punto da spingere il legislatore a superare l’originaria rigida separazione tra le due misure</w:t>
      </w:r>
      <w:r w:rsidR="00410050">
        <w:rPr>
          <w:rStyle w:val="Rimandonotaapidipagina"/>
          <w:i w:val="0"/>
          <w:smallCaps w:val="0"/>
        </w:rPr>
        <w:footnoteReference w:id="27"/>
      </w:r>
      <w:r w:rsidR="00410050">
        <w:rPr>
          <w:i w:val="0"/>
          <w:smallCaps w:val="0"/>
        </w:rPr>
        <w:t>. La legittimità di tale opzione normativa</w:t>
      </w:r>
      <w:r w:rsidR="00C21C7A">
        <w:rPr>
          <w:i w:val="0"/>
          <w:smallCaps w:val="0"/>
        </w:rPr>
        <w:t xml:space="preserve"> </w:t>
      </w:r>
      <w:r w:rsidR="00C21C7A">
        <w:rPr>
          <w:i w:val="0"/>
          <w:smallCaps w:val="0"/>
        </w:rPr>
        <w:lastRenderedPageBreak/>
        <w:t>– oggetto di critiche da parte della dottrina</w:t>
      </w:r>
      <w:r w:rsidR="00C21C7A">
        <w:rPr>
          <w:rStyle w:val="Rimandonotaapidipagina"/>
          <w:i w:val="0"/>
          <w:smallCaps w:val="0"/>
        </w:rPr>
        <w:footnoteReference w:id="28"/>
      </w:r>
      <w:r w:rsidR="00C21C7A">
        <w:rPr>
          <w:i w:val="0"/>
          <w:smallCaps w:val="0"/>
        </w:rPr>
        <w:t xml:space="preserve"> -</w:t>
      </w:r>
      <w:r w:rsidR="00410050">
        <w:rPr>
          <w:i w:val="0"/>
          <w:smallCaps w:val="0"/>
        </w:rPr>
        <w:t xml:space="preserve"> è stata confermata dalla Corte costituzionale, la quale ha osservato come non vi siano ostacoli di ordine costituzionale a che, una volta accertata una situazione di pericolo di inquinamento dell’economia legale, l’ordinamento, sia pure all’esito di una diversa occasione di contatto con la pubblica amministrazione quale è quella discendente dall’obbligo di verificare la sussistenza o meno di uno dei provvedimenti indicati nell’articolo 67, consenta l’adozione di una misura che, assorbendo in sé la comunicazione antimafia, produca anche i più incisivi effetti inibitori dell’informazione antimafia </w:t>
      </w:r>
      <w:proofErr w:type="spellStart"/>
      <w:r w:rsidR="00410050">
        <w:rPr>
          <w:i w:val="0"/>
          <w:smallCaps w:val="0"/>
        </w:rPr>
        <w:t>interdittiva</w:t>
      </w:r>
      <w:proofErr w:type="spellEnd"/>
      <w:r w:rsidR="00410050">
        <w:rPr>
          <w:rStyle w:val="Rimandonotaapidipagina"/>
          <w:i w:val="0"/>
          <w:smallCaps w:val="0"/>
        </w:rPr>
        <w:footnoteReference w:id="29"/>
      </w:r>
      <w:r w:rsidR="00410050">
        <w:rPr>
          <w:i w:val="0"/>
          <w:smallCaps w:val="0"/>
        </w:rPr>
        <w:t>.</w:t>
      </w:r>
    </w:p>
    <w:p w:rsidR="009A72A6" w:rsidRDefault="006764DA" w:rsidP="00303ED1">
      <w:pPr>
        <w:ind w:firstLine="426"/>
        <w:jc w:val="both"/>
        <w:rPr>
          <w:i w:val="0"/>
          <w:smallCaps w:val="0"/>
          <w:shd w:val="clear" w:color="auto" w:fill="FFFFFF"/>
        </w:rPr>
      </w:pPr>
      <w:r>
        <w:rPr>
          <w:i w:val="0"/>
          <w:smallCaps w:val="0"/>
        </w:rPr>
        <w:t xml:space="preserve">Rispetto all’assetto </w:t>
      </w:r>
      <w:r w:rsidR="00A14DE8">
        <w:rPr>
          <w:i w:val="0"/>
          <w:smallCaps w:val="0"/>
        </w:rPr>
        <w:t xml:space="preserve">fin qui delineato, </w:t>
      </w:r>
      <w:r w:rsidR="001D4ADD">
        <w:rPr>
          <w:i w:val="0"/>
          <w:smallCaps w:val="0"/>
        </w:rPr>
        <w:t xml:space="preserve">deve escludersi che innovazioni sostanziali siano state apportate dall’introduzione del sistema delle c.d. </w:t>
      </w:r>
      <w:proofErr w:type="spellStart"/>
      <w:r w:rsidR="001D4ADD">
        <w:rPr>
          <w:smallCaps w:val="0"/>
        </w:rPr>
        <w:t>white</w:t>
      </w:r>
      <w:proofErr w:type="spellEnd"/>
      <w:r w:rsidR="001D4ADD">
        <w:rPr>
          <w:smallCaps w:val="0"/>
        </w:rPr>
        <w:t xml:space="preserve"> list, </w:t>
      </w:r>
      <w:r w:rsidR="001D4ADD">
        <w:rPr>
          <w:i w:val="0"/>
          <w:smallCaps w:val="0"/>
        </w:rPr>
        <w:t xml:space="preserve">contemplato per la prima volta dall’articolo 1, commi 52 e seguenti, della legge 6 novembre 2011, n. 190, e disciplinato in modo organico dall’articolo 29, comma 1, del </w:t>
      </w:r>
      <w:proofErr w:type="spellStart"/>
      <w:r w:rsidR="001D4ADD">
        <w:rPr>
          <w:i w:val="0"/>
          <w:smallCaps w:val="0"/>
        </w:rPr>
        <w:t>d.l.</w:t>
      </w:r>
      <w:proofErr w:type="spellEnd"/>
      <w:r w:rsidR="001D4ADD">
        <w:rPr>
          <w:i w:val="0"/>
          <w:smallCaps w:val="0"/>
        </w:rPr>
        <w:t xml:space="preserve"> 24 giugno 2014, n. 90, convertito, con modificazioni, dalla legge 11 agosto 2014, n. 114. Si tratta di un “</w:t>
      </w:r>
      <w:r w:rsidR="001D4ADD" w:rsidRPr="001D4ADD">
        <w:rPr>
          <w:smallCaps w:val="0"/>
          <w:shd w:val="clear" w:color="auto" w:fill="FFFFFF"/>
        </w:rPr>
        <w:t>apposito elenco di fornitori, prestatori di servizi ed esecutori di lavori non soggetti a tentativi di infiltrazione mafiosa</w:t>
      </w:r>
      <w:r w:rsidR="001D4ADD">
        <w:rPr>
          <w:i w:val="0"/>
          <w:smallCaps w:val="0"/>
          <w:shd w:val="clear" w:color="auto" w:fill="FFFFFF"/>
        </w:rPr>
        <w:t>”, istituito presso ciascuna Prefettura in relazione a specifici settori considerati particolarmente a rischio di infiltrazione criminale, e</w:t>
      </w:r>
      <w:r w:rsidR="00537C70">
        <w:rPr>
          <w:i w:val="0"/>
          <w:smallCaps w:val="0"/>
          <w:shd w:val="clear" w:color="auto" w:fill="FFFFFF"/>
        </w:rPr>
        <w:t xml:space="preserve"> ne</w:t>
      </w:r>
      <w:r w:rsidR="001D4ADD">
        <w:rPr>
          <w:i w:val="0"/>
          <w:smallCaps w:val="0"/>
          <w:shd w:val="clear" w:color="auto" w:fill="FFFFFF"/>
        </w:rPr>
        <w:t xml:space="preserve">l quale le imprese possono chiedere di </w:t>
      </w:r>
      <w:r w:rsidR="00537C70">
        <w:rPr>
          <w:i w:val="0"/>
          <w:smallCaps w:val="0"/>
          <w:shd w:val="clear" w:color="auto" w:fill="FFFFFF"/>
        </w:rPr>
        <w:t xml:space="preserve">essere </w:t>
      </w:r>
      <w:r w:rsidR="001D4ADD">
        <w:rPr>
          <w:i w:val="0"/>
          <w:smallCaps w:val="0"/>
          <w:shd w:val="clear" w:color="auto" w:fill="FFFFFF"/>
        </w:rPr>
        <w:t>iscri</w:t>
      </w:r>
      <w:r w:rsidR="00537C70">
        <w:rPr>
          <w:i w:val="0"/>
          <w:smallCaps w:val="0"/>
          <w:shd w:val="clear" w:color="auto" w:fill="FFFFFF"/>
        </w:rPr>
        <w:t>tt</w:t>
      </w:r>
      <w:r w:rsidR="001D4ADD">
        <w:rPr>
          <w:i w:val="0"/>
          <w:smallCaps w:val="0"/>
          <w:shd w:val="clear" w:color="auto" w:fill="FFFFFF"/>
        </w:rPr>
        <w:t>e in modo da agevolare le successive verifiche antimafia, le quali ove necessarie potranno essere condotte attraverso la semplice consultazione dell’elenco</w:t>
      </w:r>
      <w:r w:rsidR="001D4ADD">
        <w:rPr>
          <w:rStyle w:val="Rimandonotaapidipagina"/>
          <w:i w:val="0"/>
          <w:smallCaps w:val="0"/>
          <w:shd w:val="clear" w:color="auto" w:fill="FFFFFF"/>
        </w:rPr>
        <w:footnoteReference w:id="30"/>
      </w:r>
      <w:r w:rsidR="001D4ADD">
        <w:rPr>
          <w:i w:val="0"/>
          <w:smallCaps w:val="0"/>
          <w:shd w:val="clear" w:color="auto" w:fill="FFFFFF"/>
        </w:rPr>
        <w:t xml:space="preserve">. Tale sistema, che ha dato così buona prova di sé da essere generalizzato e fatto oggetto di disposizioni specifiche nell’ambito di discipline speciali (si pensi </w:t>
      </w:r>
      <w:r w:rsidR="00A60C17">
        <w:rPr>
          <w:i w:val="0"/>
          <w:smallCaps w:val="0"/>
          <w:shd w:val="clear" w:color="auto" w:fill="FFFFFF"/>
        </w:rPr>
        <w:t>alle esperienze della ricostruzione post-sisma in Emilia-Romagna e nell’Italia centrale</w:t>
      </w:r>
      <w:r w:rsidR="001D4ADD">
        <w:rPr>
          <w:i w:val="0"/>
          <w:smallCaps w:val="0"/>
          <w:shd w:val="clear" w:color="auto" w:fill="FFFFFF"/>
        </w:rPr>
        <w:t>)</w:t>
      </w:r>
      <w:r w:rsidR="00A60C17">
        <w:rPr>
          <w:rStyle w:val="Rimandonotaapidipagina"/>
          <w:i w:val="0"/>
          <w:smallCaps w:val="0"/>
          <w:shd w:val="clear" w:color="auto" w:fill="FFFFFF"/>
        </w:rPr>
        <w:footnoteReference w:id="31"/>
      </w:r>
      <w:r w:rsidR="001D4ADD">
        <w:rPr>
          <w:i w:val="0"/>
          <w:smallCaps w:val="0"/>
          <w:shd w:val="clear" w:color="auto" w:fill="FFFFFF"/>
        </w:rPr>
        <w:t xml:space="preserve">, </w:t>
      </w:r>
      <w:r w:rsidR="00A60C17">
        <w:rPr>
          <w:i w:val="0"/>
          <w:smallCaps w:val="0"/>
          <w:shd w:val="clear" w:color="auto" w:fill="FFFFFF"/>
        </w:rPr>
        <w:t>al di là dell’introduzione di un</w:t>
      </w:r>
      <w:r w:rsidR="00537C70">
        <w:rPr>
          <w:i w:val="0"/>
          <w:smallCaps w:val="0"/>
          <w:shd w:val="clear" w:color="auto" w:fill="FFFFFF"/>
        </w:rPr>
        <w:t xml:space="preserve">a inedita </w:t>
      </w:r>
      <w:r w:rsidR="00A60C17">
        <w:rPr>
          <w:i w:val="0"/>
          <w:smallCaps w:val="0"/>
          <w:shd w:val="clear" w:color="auto" w:fill="FFFFFF"/>
        </w:rPr>
        <w:t>ipotesi di controllo antimafia a istanza della stessa impresa interessata</w:t>
      </w:r>
      <w:r w:rsidR="00A60C17">
        <w:rPr>
          <w:rStyle w:val="Rimandonotaapidipagina"/>
          <w:i w:val="0"/>
          <w:smallCaps w:val="0"/>
          <w:shd w:val="clear" w:color="auto" w:fill="FFFFFF"/>
        </w:rPr>
        <w:footnoteReference w:id="32"/>
      </w:r>
      <w:r w:rsidR="00A60C17">
        <w:rPr>
          <w:i w:val="0"/>
          <w:smallCaps w:val="0"/>
          <w:shd w:val="clear" w:color="auto" w:fill="FFFFFF"/>
        </w:rPr>
        <w:t xml:space="preserve"> non ha innovato in nulla quanto alla natura e agli effetti della valutazione prefettizia, essendo pacifica l’equivalenza dei presupposti legittimanti il diniego dell’iscrizione nella </w:t>
      </w:r>
      <w:proofErr w:type="spellStart"/>
      <w:r w:rsidR="00A60C17">
        <w:rPr>
          <w:smallCaps w:val="0"/>
          <w:shd w:val="clear" w:color="auto" w:fill="FFFFFF"/>
        </w:rPr>
        <w:t>white</w:t>
      </w:r>
      <w:proofErr w:type="spellEnd"/>
      <w:r w:rsidR="00A60C17">
        <w:rPr>
          <w:smallCaps w:val="0"/>
          <w:shd w:val="clear" w:color="auto" w:fill="FFFFFF"/>
        </w:rPr>
        <w:t xml:space="preserve"> list </w:t>
      </w:r>
      <w:r w:rsidR="00A60C17">
        <w:rPr>
          <w:i w:val="0"/>
          <w:smallCaps w:val="0"/>
          <w:shd w:val="clear" w:color="auto" w:fill="FFFFFF"/>
        </w:rPr>
        <w:t xml:space="preserve">con quelli che comportano l’adozione di un’informativa </w:t>
      </w:r>
      <w:proofErr w:type="spellStart"/>
      <w:r w:rsidR="00A60C17">
        <w:rPr>
          <w:i w:val="0"/>
          <w:smallCaps w:val="0"/>
          <w:shd w:val="clear" w:color="auto" w:fill="FFFFFF"/>
        </w:rPr>
        <w:t>interdittiva</w:t>
      </w:r>
      <w:proofErr w:type="spellEnd"/>
      <w:r w:rsidR="00A60C17">
        <w:rPr>
          <w:i w:val="0"/>
          <w:smallCaps w:val="0"/>
          <w:shd w:val="clear" w:color="auto" w:fill="FFFFFF"/>
        </w:rPr>
        <w:t xml:space="preserve">; </w:t>
      </w:r>
      <w:r w:rsidR="0045389B">
        <w:rPr>
          <w:i w:val="0"/>
          <w:smallCaps w:val="0"/>
          <w:shd w:val="clear" w:color="auto" w:fill="FFFFFF"/>
        </w:rPr>
        <w:t xml:space="preserve">la giurisprudenza è pacifica nell’affermare che le disposizioni relative all’iscrizione nella </w:t>
      </w:r>
      <w:proofErr w:type="spellStart"/>
      <w:r w:rsidR="0045389B">
        <w:rPr>
          <w:smallCaps w:val="0"/>
          <w:shd w:val="clear" w:color="auto" w:fill="FFFFFF"/>
        </w:rPr>
        <w:t>white</w:t>
      </w:r>
      <w:proofErr w:type="spellEnd"/>
      <w:r w:rsidR="0045389B">
        <w:rPr>
          <w:smallCaps w:val="0"/>
          <w:shd w:val="clear" w:color="auto" w:fill="FFFFFF"/>
        </w:rPr>
        <w:t xml:space="preserve"> list </w:t>
      </w:r>
      <w:r w:rsidR="0045389B">
        <w:rPr>
          <w:i w:val="0"/>
          <w:smallCaps w:val="0"/>
          <w:shd w:val="clear" w:color="auto" w:fill="FFFFFF"/>
        </w:rPr>
        <w:t>formano un corpo normativo unico con quelle dettate dal Codice antimafia per le misure antimafia, tanto che – come chiarito dall’articolo 1, comma 52-</w:t>
      </w:r>
      <w:r w:rsidR="0045389B">
        <w:rPr>
          <w:smallCaps w:val="0"/>
          <w:shd w:val="clear" w:color="auto" w:fill="FFFFFF"/>
        </w:rPr>
        <w:t xml:space="preserve">bis, </w:t>
      </w:r>
      <w:r w:rsidR="0045389B">
        <w:rPr>
          <w:i w:val="0"/>
          <w:smallCaps w:val="0"/>
          <w:shd w:val="clear" w:color="auto" w:fill="FFFFFF"/>
        </w:rPr>
        <w:t>della legge n. 190/2012</w:t>
      </w:r>
      <w:r w:rsidR="005E1DE5">
        <w:rPr>
          <w:rStyle w:val="Rimandonotaapidipagina"/>
          <w:i w:val="0"/>
          <w:smallCaps w:val="0"/>
          <w:shd w:val="clear" w:color="auto" w:fill="FFFFFF"/>
        </w:rPr>
        <w:footnoteReference w:id="33"/>
      </w:r>
      <w:r w:rsidR="0045389B">
        <w:rPr>
          <w:i w:val="0"/>
          <w:smallCaps w:val="0"/>
          <w:shd w:val="clear" w:color="auto" w:fill="FFFFFF"/>
        </w:rPr>
        <w:t xml:space="preserve"> – l’iscrizione nell’elenco tiene luogo della comunicazione e dell’informazione liberatoria anche ai fini della stipula, approvazione o autorizzazione di contratti e subcontratti relativi ad attività diverse da quelle per le quali è stata disposta</w:t>
      </w:r>
      <w:r w:rsidR="002602A6">
        <w:rPr>
          <w:i w:val="0"/>
          <w:smallCaps w:val="0"/>
          <w:shd w:val="clear" w:color="auto" w:fill="FFFFFF"/>
        </w:rPr>
        <w:t xml:space="preserve">, avvertendo altresì che l’unicità e l’organicità del sistema normativo antimafia vietano all’interprete una lettura atomistica, frammentaria e non coordinata dei due sottosistemi – quello della c.d. </w:t>
      </w:r>
      <w:proofErr w:type="spellStart"/>
      <w:r w:rsidR="002602A6">
        <w:rPr>
          <w:smallCaps w:val="0"/>
          <w:shd w:val="clear" w:color="auto" w:fill="FFFFFF"/>
        </w:rPr>
        <w:t>white</w:t>
      </w:r>
      <w:proofErr w:type="spellEnd"/>
      <w:r w:rsidR="002602A6">
        <w:rPr>
          <w:smallCaps w:val="0"/>
          <w:shd w:val="clear" w:color="auto" w:fill="FFFFFF"/>
        </w:rPr>
        <w:t xml:space="preserve"> list </w:t>
      </w:r>
      <w:r w:rsidR="002602A6">
        <w:rPr>
          <w:i w:val="0"/>
          <w:smallCaps w:val="0"/>
          <w:shd w:val="clear" w:color="auto" w:fill="FFFFFF"/>
        </w:rPr>
        <w:t>e quello delle comunicazioni antimafia – che, limitandosi ad un criterio formalisticamente letterale e di c.d. stretta interpretazione, renda incoerente o addirittura vanifichi il sistema dei controlli antimafia</w:t>
      </w:r>
      <w:r w:rsidR="002602A6">
        <w:rPr>
          <w:rStyle w:val="Rimandonotaapidipagina"/>
          <w:i w:val="0"/>
          <w:smallCaps w:val="0"/>
          <w:shd w:val="clear" w:color="auto" w:fill="FFFFFF"/>
        </w:rPr>
        <w:footnoteReference w:id="34"/>
      </w:r>
      <w:r w:rsidR="002602A6">
        <w:rPr>
          <w:i w:val="0"/>
          <w:smallCaps w:val="0"/>
          <w:shd w:val="clear" w:color="auto" w:fill="FFFFFF"/>
        </w:rPr>
        <w:t>.</w:t>
      </w:r>
    </w:p>
    <w:p w:rsidR="002602A6" w:rsidRDefault="002602A6" w:rsidP="00303ED1">
      <w:pPr>
        <w:ind w:firstLine="426"/>
        <w:jc w:val="both"/>
        <w:rPr>
          <w:i w:val="0"/>
          <w:smallCaps w:val="0"/>
          <w:shd w:val="clear" w:color="auto" w:fill="FFFFFF"/>
        </w:rPr>
      </w:pPr>
      <w:r>
        <w:rPr>
          <w:i w:val="0"/>
          <w:smallCaps w:val="0"/>
          <w:shd w:val="clear" w:color="auto" w:fill="FFFFFF"/>
        </w:rPr>
        <w:lastRenderedPageBreak/>
        <w:t xml:space="preserve">In conseguenza di quanto sopra, è escluso che siano predicabili differenze di regime normativo, anche sotto il profilo procedimentale (connotato, come si vedrà, da significativi elementi di “specialità”), in ragione della mera configurazione dell’iscrizione nella </w:t>
      </w:r>
      <w:proofErr w:type="spellStart"/>
      <w:r>
        <w:rPr>
          <w:smallCaps w:val="0"/>
          <w:shd w:val="clear" w:color="auto" w:fill="FFFFFF"/>
        </w:rPr>
        <w:t>white</w:t>
      </w:r>
      <w:proofErr w:type="spellEnd"/>
      <w:r>
        <w:rPr>
          <w:smallCaps w:val="0"/>
          <w:shd w:val="clear" w:color="auto" w:fill="FFFFFF"/>
        </w:rPr>
        <w:t xml:space="preserve"> list, </w:t>
      </w:r>
      <w:r>
        <w:rPr>
          <w:i w:val="0"/>
          <w:smallCaps w:val="0"/>
          <w:shd w:val="clear" w:color="auto" w:fill="FFFFFF"/>
        </w:rPr>
        <w:t>a differenza del rilascio dell’informazione antimafia, quale procedimento attivabile a istanza dell’interessato</w:t>
      </w:r>
      <w:r>
        <w:rPr>
          <w:rStyle w:val="Rimandonotaapidipagina"/>
          <w:i w:val="0"/>
          <w:smallCaps w:val="0"/>
          <w:shd w:val="clear" w:color="auto" w:fill="FFFFFF"/>
        </w:rPr>
        <w:footnoteReference w:id="35"/>
      </w:r>
      <w:r>
        <w:rPr>
          <w:i w:val="0"/>
          <w:smallCaps w:val="0"/>
          <w:shd w:val="clear" w:color="auto" w:fill="FFFFFF"/>
        </w:rPr>
        <w:t>.</w:t>
      </w:r>
    </w:p>
    <w:p w:rsidR="00280EE2" w:rsidRDefault="00280EE2" w:rsidP="00303ED1">
      <w:pPr>
        <w:ind w:firstLine="426"/>
        <w:jc w:val="both"/>
        <w:rPr>
          <w:i w:val="0"/>
          <w:smallCaps w:val="0"/>
          <w:shd w:val="clear" w:color="auto" w:fill="FFFFFF"/>
        </w:rPr>
      </w:pPr>
      <w:r>
        <w:rPr>
          <w:i w:val="0"/>
          <w:smallCaps w:val="0"/>
          <w:shd w:val="clear" w:color="auto" w:fill="FFFFFF"/>
        </w:rPr>
        <w:t xml:space="preserve">La giurisprudenza, infine, è intervenuta anche sulla valenza della mera consultazione della Banca dati nazionale antimafia, la quale come si è visto costituisce il presupposto e il passaggio procedimentale necessario per l’emissione di comunicazioni e informazioni antimafia, per evidenziarne il carattere non </w:t>
      </w:r>
      <w:proofErr w:type="spellStart"/>
      <w:r>
        <w:rPr>
          <w:i w:val="0"/>
          <w:smallCaps w:val="0"/>
          <w:shd w:val="clear" w:color="auto" w:fill="FFFFFF"/>
        </w:rPr>
        <w:t>provvedimentale</w:t>
      </w:r>
      <w:proofErr w:type="spellEnd"/>
      <w:r>
        <w:rPr>
          <w:i w:val="0"/>
          <w:smallCaps w:val="0"/>
          <w:shd w:val="clear" w:color="auto" w:fill="FFFFFF"/>
        </w:rPr>
        <w:t xml:space="preserve"> (e, quindi, la non impugnabilità in via autonoma) ove non siano seguite dall’adozione di un provvedimento prefettizio riconducibile alle fattispecie di cui all’articolo 84 del d.lgs. n. 159/2011: in particolare, si è evidenziato che sulla base della disciplina contenuta nel </w:t>
      </w:r>
      <w:proofErr w:type="spellStart"/>
      <w:r>
        <w:rPr>
          <w:i w:val="0"/>
          <w:smallCaps w:val="0"/>
          <w:shd w:val="clear" w:color="auto" w:fill="FFFFFF"/>
        </w:rPr>
        <w:t>d.P.C.M</w:t>
      </w:r>
      <w:proofErr w:type="spellEnd"/>
      <w:r>
        <w:rPr>
          <w:i w:val="0"/>
          <w:smallCaps w:val="0"/>
          <w:shd w:val="clear" w:color="auto" w:fill="FFFFFF"/>
        </w:rPr>
        <w:t xml:space="preserve">. 30 ottobre 2014, n. 193 (recante le regole di funzionamento e di consultazione della Banca dati) emerge palesemente l’assenza di connotazioni </w:t>
      </w:r>
      <w:proofErr w:type="spellStart"/>
      <w:r>
        <w:rPr>
          <w:i w:val="0"/>
          <w:smallCaps w:val="0"/>
          <w:shd w:val="clear" w:color="auto" w:fill="FFFFFF"/>
        </w:rPr>
        <w:t>provvedimentali</w:t>
      </w:r>
      <w:proofErr w:type="spellEnd"/>
      <w:r>
        <w:rPr>
          <w:i w:val="0"/>
          <w:smallCaps w:val="0"/>
          <w:shd w:val="clear" w:color="auto" w:fill="FFFFFF"/>
        </w:rPr>
        <w:t xml:space="preserve"> nella “</w:t>
      </w:r>
      <w:r>
        <w:rPr>
          <w:smallCaps w:val="0"/>
          <w:shd w:val="clear" w:color="auto" w:fill="FFFFFF"/>
        </w:rPr>
        <w:t>immissione</w:t>
      </w:r>
      <w:r>
        <w:rPr>
          <w:i w:val="0"/>
          <w:smallCaps w:val="0"/>
          <w:shd w:val="clear" w:color="auto" w:fill="FFFFFF"/>
        </w:rPr>
        <w:t>” di dati e informazioni all’interno di essa, la quale costituisce una mera operazione materiale</w:t>
      </w:r>
      <w:r>
        <w:rPr>
          <w:rStyle w:val="Rimandonotaapidipagina"/>
          <w:i w:val="0"/>
          <w:smallCaps w:val="0"/>
          <w:shd w:val="clear" w:color="auto" w:fill="FFFFFF"/>
        </w:rPr>
        <w:footnoteReference w:id="36"/>
      </w:r>
      <w:r>
        <w:rPr>
          <w:i w:val="0"/>
          <w:smallCaps w:val="0"/>
          <w:shd w:val="clear" w:color="auto" w:fill="FFFFFF"/>
        </w:rPr>
        <w:t>.</w:t>
      </w:r>
    </w:p>
    <w:p w:rsidR="00C2152C" w:rsidRDefault="00C2152C" w:rsidP="00303ED1">
      <w:pPr>
        <w:ind w:firstLine="426"/>
        <w:jc w:val="both"/>
        <w:rPr>
          <w:i w:val="0"/>
          <w:smallCaps w:val="0"/>
          <w:shd w:val="clear" w:color="auto" w:fill="FFFFFF"/>
        </w:rPr>
      </w:pPr>
    </w:p>
    <w:p w:rsidR="00C2152C" w:rsidRDefault="00C2152C" w:rsidP="00303ED1">
      <w:pPr>
        <w:ind w:firstLine="426"/>
        <w:jc w:val="both"/>
        <w:rPr>
          <w:i w:val="0"/>
          <w:smallCaps w:val="0"/>
          <w:shd w:val="clear" w:color="auto" w:fill="FFFFFF"/>
        </w:rPr>
      </w:pPr>
    </w:p>
    <w:p w:rsidR="00C2152C" w:rsidRDefault="00C2152C" w:rsidP="00303ED1">
      <w:pPr>
        <w:ind w:firstLine="426"/>
        <w:jc w:val="both"/>
        <w:rPr>
          <w:b/>
          <w:i w:val="0"/>
          <w:smallCaps w:val="0"/>
          <w:shd w:val="clear" w:color="auto" w:fill="FFFFFF"/>
        </w:rPr>
      </w:pPr>
      <w:r>
        <w:rPr>
          <w:b/>
          <w:i w:val="0"/>
          <w:smallCaps w:val="0"/>
          <w:shd w:val="clear" w:color="auto" w:fill="FFFFFF"/>
        </w:rPr>
        <w:t>4. I soggetti a cui si estendono gli accertamenti.</w:t>
      </w:r>
    </w:p>
    <w:p w:rsidR="00C2152C" w:rsidRDefault="00C2152C" w:rsidP="00303ED1">
      <w:pPr>
        <w:ind w:firstLine="426"/>
        <w:jc w:val="both"/>
        <w:rPr>
          <w:b/>
          <w:i w:val="0"/>
          <w:smallCaps w:val="0"/>
          <w:shd w:val="clear" w:color="auto" w:fill="FFFFFF"/>
        </w:rPr>
      </w:pPr>
    </w:p>
    <w:p w:rsidR="00C2152C" w:rsidRDefault="00D86B1D" w:rsidP="00303ED1">
      <w:pPr>
        <w:ind w:firstLine="426"/>
        <w:jc w:val="both"/>
        <w:rPr>
          <w:i w:val="0"/>
          <w:smallCaps w:val="0"/>
          <w:shd w:val="clear" w:color="auto" w:fill="FFFFFF"/>
        </w:rPr>
      </w:pPr>
      <w:r>
        <w:rPr>
          <w:i w:val="0"/>
          <w:smallCaps w:val="0"/>
          <w:shd w:val="clear" w:color="auto" w:fill="FFFFFF"/>
        </w:rPr>
        <w:t xml:space="preserve">L’ambito dei soggetti cui vanno riferite le verifiche antimafia è definito in prima battuta dall’articolo 85 del d.lgs. n. 159/2011. Prima ancora di esaminare in dettaglio i contenuti di tale articolo, giova però richiamare il pacifico indirizzo che esclude che una persona fisica, in quanto tale e non esercente attività imprenditoriale, possa essere attinta da un’informazione </w:t>
      </w:r>
      <w:proofErr w:type="spellStart"/>
      <w:r>
        <w:rPr>
          <w:i w:val="0"/>
          <w:smallCaps w:val="0"/>
          <w:shd w:val="clear" w:color="auto" w:fill="FFFFFF"/>
        </w:rPr>
        <w:t>interdittiva</w:t>
      </w:r>
      <w:proofErr w:type="spellEnd"/>
      <w:r>
        <w:rPr>
          <w:i w:val="0"/>
          <w:smallCaps w:val="0"/>
          <w:shd w:val="clear" w:color="auto" w:fill="FFFFFF"/>
        </w:rPr>
        <w:t xml:space="preserve">, nemmeno laddove abbia rivestito cariche sociali rilevanti all’interno di una società a sua volta destinataria di un provvedimento </w:t>
      </w:r>
      <w:proofErr w:type="spellStart"/>
      <w:r>
        <w:rPr>
          <w:i w:val="0"/>
          <w:smallCaps w:val="0"/>
          <w:shd w:val="clear" w:color="auto" w:fill="FFFFFF"/>
        </w:rPr>
        <w:t>interdittivo</w:t>
      </w:r>
      <w:proofErr w:type="spellEnd"/>
      <w:r>
        <w:rPr>
          <w:rStyle w:val="Rimandonotaapidipagina"/>
          <w:i w:val="0"/>
          <w:smallCaps w:val="0"/>
          <w:shd w:val="clear" w:color="auto" w:fill="FFFFFF"/>
        </w:rPr>
        <w:footnoteReference w:id="37"/>
      </w:r>
      <w:r>
        <w:rPr>
          <w:i w:val="0"/>
          <w:smallCaps w:val="0"/>
          <w:shd w:val="clear" w:color="auto" w:fill="FFFFFF"/>
        </w:rPr>
        <w:t>.</w:t>
      </w:r>
      <w:r w:rsidR="00E50730">
        <w:rPr>
          <w:i w:val="0"/>
          <w:smallCaps w:val="0"/>
          <w:shd w:val="clear" w:color="auto" w:fill="FFFFFF"/>
        </w:rPr>
        <w:t xml:space="preserve"> </w:t>
      </w:r>
    </w:p>
    <w:p w:rsidR="00D86B1D" w:rsidRPr="00D86B1D" w:rsidRDefault="00E50730" w:rsidP="00E50730">
      <w:pPr>
        <w:pStyle w:val="popolo"/>
        <w:spacing w:before="0" w:beforeAutospacing="0" w:after="0" w:afterAutospacing="0"/>
        <w:ind w:firstLine="426"/>
        <w:jc w:val="both"/>
        <w:rPr>
          <w:color w:val="000000"/>
        </w:rPr>
      </w:pPr>
      <w:r>
        <w:rPr>
          <w:color w:val="000000"/>
        </w:rPr>
        <w:t xml:space="preserve">Al riguardo, </w:t>
      </w:r>
      <w:r w:rsidR="00D86B1D" w:rsidRPr="00D86B1D">
        <w:rPr>
          <w:color w:val="000000"/>
        </w:rPr>
        <w:t>il tenore letterale del</w:t>
      </w:r>
      <w:r>
        <w:rPr>
          <w:color w:val="000000"/>
        </w:rPr>
        <w:t>l’intero</w:t>
      </w:r>
      <w:r w:rsidR="00D86B1D" w:rsidRPr="00D86B1D">
        <w:rPr>
          <w:color w:val="000000"/>
        </w:rPr>
        <w:t xml:space="preserve"> microsistema della disciplina antimafia individua come riferimento soggettivo costante degli effetti dei provvedimenti inibitori prefettizi l’impresa, sia in forma individuale</w:t>
      </w:r>
      <w:r>
        <w:rPr>
          <w:color w:val="000000"/>
        </w:rPr>
        <w:t xml:space="preserve"> che</w:t>
      </w:r>
      <w:r w:rsidR="00D86B1D" w:rsidRPr="00D86B1D">
        <w:rPr>
          <w:color w:val="000000"/>
        </w:rPr>
        <w:t xml:space="preserve"> in forma societaria</w:t>
      </w:r>
      <w:r>
        <w:rPr>
          <w:color w:val="000000"/>
        </w:rPr>
        <w:t xml:space="preserve">, richiamando </w:t>
      </w:r>
      <w:r w:rsidR="00D86B1D" w:rsidRPr="00D86B1D">
        <w:rPr>
          <w:color w:val="000000"/>
        </w:rPr>
        <w:t>la nozione civilistica di imprenditore come colui che esercita professionalmente una attività economica organizzata al fine della produzione o dello scambio di beni o servizi</w:t>
      </w:r>
      <w:r>
        <w:rPr>
          <w:color w:val="000000"/>
        </w:rPr>
        <w:t xml:space="preserve"> </w:t>
      </w:r>
      <w:r w:rsidR="00D86B1D" w:rsidRPr="00D86B1D">
        <w:rPr>
          <w:i/>
          <w:iCs/>
          <w:color w:val="000000"/>
        </w:rPr>
        <w:t>ex</w:t>
      </w:r>
      <w:r>
        <w:rPr>
          <w:i/>
          <w:iCs/>
          <w:color w:val="000000"/>
        </w:rPr>
        <w:t xml:space="preserve"> </w:t>
      </w:r>
      <w:r w:rsidR="00D86B1D" w:rsidRPr="00D86B1D">
        <w:rPr>
          <w:color w:val="000000"/>
        </w:rPr>
        <w:t>art</w:t>
      </w:r>
      <w:r>
        <w:rPr>
          <w:color w:val="000000"/>
        </w:rPr>
        <w:t>icolo</w:t>
      </w:r>
      <w:r w:rsidR="00D86B1D" w:rsidRPr="00D86B1D">
        <w:rPr>
          <w:color w:val="000000"/>
        </w:rPr>
        <w:t xml:space="preserve"> 2082 </w:t>
      </w:r>
      <w:r>
        <w:rPr>
          <w:color w:val="000000"/>
        </w:rPr>
        <w:t xml:space="preserve">del </w:t>
      </w:r>
      <w:r w:rsidR="00D86B1D" w:rsidRPr="00D86B1D">
        <w:rPr>
          <w:color w:val="000000"/>
        </w:rPr>
        <w:t>cod</w:t>
      </w:r>
      <w:r>
        <w:rPr>
          <w:color w:val="000000"/>
        </w:rPr>
        <w:t>ice</w:t>
      </w:r>
      <w:r w:rsidR="00D86B1D" w:rsidRPr="00D86B1D">
        <w:rPr>
          <w:color w:val="000000"/>
        </w:rPr>
        <w:t xml:space="preserve"> civ</w:t>
      </w:r>
      <w:r>
        <w:rPr>
          <w:color w:val="000000"/>
        </w:rPr>
        <w:t>ile</w:t>
      </w:r>
      <w:r w:rsidR="00D86B1D" w:rsidRPr="00D86B1D">
        <w:rPr>
          <w:color w:val="000000"/>
        </w:rPr>
        <w:t>. In s</w:t>
      </w:r>
      <w:r>
        <w:rPr>
          <w:color w:val="000000"/>
        </w:rPr>
        <w:t>ostanza</w:t>
      </w:r>
      <w:r w:rsidR="00D86B1D" w:rsidRPr="00D86B1D">
        <w:rPr>
          <w:color w:val="000000"/>
        </w:rPr>
        <w:t>, il denominatore comune del</w:t>
      </w:r>
      <w:r>
        <w:rPr>
          <w:color w:val="000000"/>
        </w:rPr>
        <w:t xml:space="preserve"> </w:t>
      </w:r>
      <w:r w:rsidR="00D86B1D" w:rsidRPr="00D86B1D">
        <w:rPr>
          <w:i/>
          <w:iCs/>
          <w:color w:val="000000"/>
        </w:rPr>
        <w:t>corpus</w:t>
      </w:r>
      <w:r>
        <w:rPr>
          <w:i/>
          <w:iCs/>
          <w:color w:val="000000"/>
        </w:rPr>
        <w:t xml:space="preserve"> </w:t>
      </w:r>
      <w:r w:rsidR="00D86B1D" w:rsidRPr="00D86B1D">
        <w:rPr>
          <w:color w:val="000000"/>
        </w:rPr>
        <w:t>normativo antimafia è la sua focalizzazione verso gli operatori economici e i loro rapporti con la pubblica amministrazione in termini di affidabilità e serietà.</w:t>
      </w:r>
      <w:r>
        <w:rPr>
          <w:color w:val="000000"/>
        </w:rPr>
        <w:t xml:space="preserve"> </w:t>
      </w:r>
      <w:r w:rsidR="00D86B1D" w:rsidRPr="00D86B1D">
        <w:rPr>
          <w:color w:val="000000"/>
        </w:rPr>
        <w:t>A</w:t>
      </w:r>
      <w:r>
        <w:rPr>
          <w:color w:val="000000"/>
        </w:rPr>
        <w:t xml:space="preserve"> tale </w:t>
      </w:r>
      <w:r w:rsidR="00D86B1D" w:rsidRPr="00D86B1D">
        <w:rPr>
          <w:color w:val="000000"/>
        </w:rPr>
        <w:t>argomento letterale si affianca quello logico-sistematico</w:t>
      </w:r>
      <w:r>
        <w:rPr>
          <w:color w:val="000000"/>
        </w:rPr>
        <w:t xml:space="preserve">, in quanto </w:t>
      </w:r>
      <w:r w:rsidR="00D86B1D" w:rsidRPr="00D86B1D">
        <w:rPr>
          <w:color w:val="000000"/>
        </w:rPr>
        <w:t>la peculiare struttura logica del sillogismo inferenziale messo in campo dall’Autorità prefettizia</w:t>
      </w:r>
      <w:r>
        <w:rPr>
          <w:color w:val="000000"/>
        </w:rPr>
        <w:t xml:space="preserve"> </w:t>
      </w:r>
      <w:r w:rsidR="00D86B1D" w:rsidRPr="00D86B1D">
        <w:rPr>
          <w:color w:val="000000"/>
        </w:rPr>
        <w:t>prende l’abbrivio dall’apprezzamento di situazioni sintomatiche (provvedimenti cautelari o di condanna per cd. “reati</w:t>
      </w:r>
      <w:r w:rsidR="00537C70">
        <w:rPr>
          <w:color w:val="000000"/>
        </w:rPr>
        <w:t>-</w:t>
      </w:r>
      <w:r w:rsidR="00D86B1D" w:rsidRPr="00D86B1D">
        <w:rPr>
          <w:color w:val="000000"/>
        </w:rPr>
        <w:t>spia”; provvedimenti di prevenzione; etc.) e, più in generale, dai “</w:t>
      </w:r>
      <w:r w:rsidR="00D86B1D" w:rsidRPr="00D86B1D">
        <w:rPr>
          <w:i/>
          <w:iCs/>
          <w:color w:val="000000"/>
        </w:rPr>
        <w:t>concreti elementi da cui risulti che l’attività d’impresa possa, anche in modo indiretto, agevolare le attività criminose o esserne in qualche modo condizionata</w:t>
      </w:r>
      <w:r w:rsidR="00D86B1D" w:rsidRPr="00D86B1D">
        <w:rPr>
          <w:color w:val="000000"/>
        </w:rPr>
        <w:t xml:space="preserve">”: </w:t>
      </w:r>
      <w:r>
        <w:rPr>
          <w:color w:val="000000"/>
        </w:rPr>
        <w:t>l</w:t>
      </w:r>
      <w:r w:rsidR="00D86B1D" w:rsidRPr="00D86B1D">
        <w:rPr>
          <w:color w:val="000000"/>
        </w:rPr>
        <w:t>e situazioni sintomatiche e i reati</w:t>
      </w:r>
      <w:r w:rsidR="00537C70">
        <w:rPr>
          <w:color w:val="000000"/>
        </w:rPr>
        <w:t>-</w:t>
      </w:r>
      <w:r w:rsidR="00D86B1D" w:rsidRPr="00D86B1D">
        <w:rPr>
          <w:color w:val="000000"/>
        </w:rPr>
        <w:t>spia si riferiscono giocoforza alle persone fisiche (come comprovato dal disposto del</w:t>
      </w:r>
      <w:r>
        <w:rPr>
          <w:color w:val="000000"/>
        </w:rPr>
        <w:t xml:space="preserve"> citato </w:t>
      </w:r>
      <w:r w:rsidR="00D86B1D" w:rsidRPr="00D86B1D">
        <w:rPr>
          <w:color w:val="000000"/>
        </w:rPr>
        <w:t>art</w:t>
      </w:r>
      <w:r>
        <w:rPr>
          <w:color w:val="000000"/>
        </w:rPr>
        <w:t>icolo</w:t>
      </w:r>
      <w:r w:rsidR="00D86B1D" w:rsidRPr="00D86B1D">
        <w:rPr>
          <w:color w:val="000000"/>
        </w:rPr>
        <w:t xml:space="preserve"> 85</w:t>
      </w:r>
      <w:r>
        <w:rPr>
          <w:color w:val="000000"/>
        </w:rPr>
        <w:t>,</w:t>
      </w:r>
      <w:r w:rsidR="00D86B1D" w:rsidRPr="00D86B1D">
        <w:rPr>
          <w:color w:val="000000"/>
        </w:rPr>
        <w:t xml:space="preserve"> che enuclea i soggetti apicali da sottoporre a verifica), mentre il giudizio infiltrativo è centrato sull’impresa, vuoi che sia a base individuale o societaria. </w:t>
      </w:r>
      <w:r>
        <w:rPr>
          <w:color w:val="000000"/>
        </w:rPr>
        <w:t xml:space="preserve">Infine, sul piano teleologico </w:t>
      </w:r>
      <w:r w:rsidR="00D86B1D" w:rsidRPr="00D86B1D">
        <w:rPr>
          <w:color w:val="000000"/>
        </w:rPr>
        <w:t>la</w:t>
      </w:r>
      <w:r>
        <w:rPr>
          <w:color w:val="000000"/>
        </w:rPr>
        <w:t xml:space="preserve"> </w:t>
      </w:r>
      <w:r w:rsidR="00D86B1D" w:rsidRPr="00D86B1D">
        <w:rPr>
          <w:i/>
          <w:iCs/>
          <w:color w:val="000000"/>
        </w:rPr>
        <w:t xml:space="preserve">ratio </w:t>
      </w:r>
      <w:proofErr w:type="spellStart"/>
      <w:r w:rsidR="00D86B1D" w:rsidRPr="00D86B1D">
        <w:rPr>
          <w:i/>
          <w:iCs/>
          <w:color w:val="000000"/>
        </w:rPr>
        <w:t>legis</w:t>
      </w:r>
      <w:proofErr w:type="spellEnd"/>
      <w:r>
        <w:rPr>
          <w:i/>
          <w:iCs/>
          <w:color w:val="000000"/>
        </w:rPr>
        <w:t xml:space="preserve"> </w:t>
      </w:r>
      <w:r w:rsidR="00D86B1D" w:rsidRPr="00D86B1D">
        <w:rPr>
          <w:color w:val="000000"/>
        </w:rPr>
        <w:t xml:space="preserve">delle misure </w:t>
      </w:r>
      <w:proofErr w:type="spellStart"/>
      <w:r w:rsidR="00D86B1D" w:rsidRPr="00D86B1D">
        <w:rPr>
          <w:color w:val="000000"/>
        </w:rPr>
        <w:t>interdittive</w:t>
      </w:r>
      <w:proofErr w:type="spellEnd"/>
      <w:r w:rsidR="00D86B1D" w:rsidRPr="00D86B1D">
        <w:rPr>
          <w:color w:val="000000"/>
        </w:rPr>
        <w:t xml:space="preserve"> è di indole autenticamente preventivo-cautelare mirando a prevenire tentativi di infiltrazione mafiosa nelle imprese, suscettibili di condizionare anche le scelte e gli indirizzi della pubblica amministrazione</w:t>
      </w:r>
      <w:r>
        <w:rPr>
          <w:color w:val="000000"/>
        </w:rPr>
        <w:t xml:space="preserve">: </w:t>
      </w:r>
      <w:r>
        <w:rPr>
          <w:color w:val="000000"/>
        </w:rPr>
        <w:lastRenderedPageBreak/>
        <w:t>l</w:t>
      </w:r>
      <w:r w:rsidR="00D86B1D" w:rsidRPr="00D86B1D">
        <w:rPr>
          <w:color w:val="000000"/>
        </w:rPr>
        <w:t>’ordinamento vuole in definitiva scongiurare che la pubblica amministrazione si trovi a contrattare, rilasciare titoli abilitativi o erogare provvidenze, comunque denominate, a favore di soggetti immeritevoli di fiducia per via di situazioni opache di contiguità con la criminalità organizzata.</w:t>
      </w:r>
      <w:r>
        <w:rPr>
          <w:color w:val="000000"/>
        </w:rPr>
        <w:t xml:space="preserve"> Così stando le cose, </w:t>
      </w:r>
      <w:r w:rsidR="00D86B1D" w:rsidRPr="00D86B1D">
        <w:rPr>
          <w:color w:val="000000"/>
        </w:rPr>
        <w:t xml:space="preserve">l’allargamento della platea soggettiva dei soggetti suscettibili di essere attinti da </w:t>
      </w:r>
      <w:proofErr w:type="spellStart"/>
      <w:r w:rsidR="00D86B1D" w:rsidRPr="00D86B1D">
        <w:rPr>
          <w:color w:val="000000"/>
        </w:rPr>
        <w:t>interdittiva</w:t>
      </w:r>
      <w:proofErr w:type="spellEnd"/>
      <w:r w:rsidR="00D86B1D" w:rsidRPr="00D86B1D">
        <w:rPr>
          <w:color w:val="000000"/>
        </w:rPr>
        <w:t xml:space="preserve"> sino a ricomprendervi le persone fisiche slegate dal contesto imprenditoriale distorce</w:t>
      </w:r>
      <w:r>
        <w:rPr>
          <w:color w:val="000000"/>
        </w:rPr>
        <w:t>rebbe</w:t>
      </w:r>
      <w:r w:rsidR="00D86B1D" w:rsidRPr="00D86B1D">
        <w:rPr>
          <w:color w:val="000000"/>
        </w:rPr>
        <w:t xml:space="preserve"> gli obiettivi perseguiti dal legislatore e si tramut</w:t>
      </w:r>
      <w:r>
        <w:rPr>
          <w:color w:val="000000"/>
        </w:rPr>
        <w:t>erebbe</w:t>
      </w:r>
      <w:r w:rsidR="00D86B1D" w:rsidRPr="00D86B1D">
        <w:rPr>
          <w:color w:val="000000"/>
        </w:rPr>
        <w:t xml:space="preserve"> surrettiziamente in uno strumento di</w:t>
      </w:r>
      <w:r>
        <w:rPr>
          <w:color w:val="000000"/>
        </w:rPr>
        <w:t xml:space="preserve"> </w:t>
      </w:r>
      <w:proofErr w:type="spellStart"/>
      <w:r w:rsidR="00D86B1D" w:rsidRPr="00D86B1D">
        <w:rPr>
          <w:i/>
          <w:iCs/>
          <w:color w:val="000000"/>
        </w:rPr>
        <w:t>capitis</w:t>
      </w:r>
      <w:proofErr w:type="spellEnd"/>
      <w:r w:rsidR="00D86B1D" w:rsidRPr="00D86B1D">
        <w:rPr>
          <w:i/>
          <w:iCs/>
          <w:color w:val="000000"/>
        </w:rPr>
        <w:t xml:space="preserve"> </w:t>
      </w:r>
      <w:proofErr w:type="spellStart"/>
      <w:r w:rsidR="00D86B1D" w:rsidRPr="00D86B1D">
        <w:rPr>
          <w:i/>
          <w:iCs/>
          <w:color w:val="000000"/>
        </w:rPr>
        <w:t>deminutio</w:t>
      </w:r>
      <w:proofErr w:type="spellEnd"/>
      <w:r>
        <w:rPr>
          <w:i/>
          <w:iCs/>
          <w:color w:val="000000"/>
        </w:rPr>
        <w:t xml:space="preserve"> </w:t>
      </w:r>
      <w:r w:rsidR="00D86B1D" w:rsidRPr="00D86B1D">
        <w:rPr>
          <w:color w:val="000000"/>
        </w:rPr>
        <w:t>del privato che si cumul</w:t>
      </w:r>
      <w:r>
        <w:rPr>
          <w:color w:val="000000"/>
        </w:rPr>
        <w:t>erebbe</w:t>
      </w:r>
      <w:r w:rsidR="00D86B1D" w:rsidRPr="00D86B1D">
        <w:rPr>
          <w:color w:val="000000"/>
        </w:rPr>
        <w:t xml:space="preserve"> impropriamente con le pene accessorie, le misure di prevenzione e altre misure a carattere afflittivo-sanzionatorio previste dall’ordinamento</w:t>
      </w:r>
      <w:r>
        <w:rPr>
          <w:rStyle w:val="Rimandonotaapidipagina"/>
          <w:color w:val="000000"/>
        </w:rPr>
        <w:footnoteReference w:id="38"/>
      </w:r>
      <w:r w:rsidR="00D86B1D" w:rsidRPr="00D86B1D">
        <w:rPr>
          <w:color w:val="000000"/>
        </w:rPr>
        <w:t>.</w:t>
      </w:r>
    </w:p>
    <w:p w:rsidR="00E50730" w:rsidRDefault="00CE1455" w:rsidP="00D86B1D">
      <w:pPr>
        <w:ind w:firstLine="426"/>
        <w:jc w:val="both"/>
        <w:rPr>
          <w:i w:val="0"/>
          <w:smallCaps w:val="0"/>
          <w:color w:val="000000"/>
        </w:rPr>
      </w:pPr>
      <w:r>
        <w:rPr>
          <w:i w:val="0"/>
          <w:smallCaps w:val="0"/>
          <w:color w:val="000000"/>
        </w:rPr>
        <w:t xml:space="preserve">Ciò premesso, </w:t>
      </w:r>
      <w:r w:rsidR="00E50730" w:rsidRPr="00CE1455">
        <w:rPr>
          <w:i w:val="0"/>
          <w:smallCaps w:val="0"/>
          <w:color w:val="000000"/>
        </w:rPr>
        <w:t>l’art</w:t>
      </w:r>
      <w:r>
        <w:rPr>
          <w:i w:val="0"/>
          <w:smallCaps w:val="0"/>
          <w:color w:val="000000"/>
        </w:rPr>
        <w:t>icolo</w:t>
      </w:r>
      <w:r w:rsidR="00E50730" w:rsidRPr="00CE1455">
        <w:rPr>
          <w:i w:val="0"/>
          <w:smallCaps w:val="0"/>
          <w:color w:val="000000"/>
        </w:rPr>
        <w:t xml:space="preserve"> 85</w:t>
      </w:r>
      <w:r>
        <w:rPr>
          <w:i w:val="0"/>
          <w:smallCaps w:val="0"/>
          <w:color w:val="000000"/>
        </w:rPr>
        <w:t xml:space="preserve"> del d.lgs. n. 159/2011</w:t>
      </w:r>
      <w:r w:rsidR="00E50730" w:rsidRPr="00CE1455">
        <w:rPr>
          <w:i w:val="0"/>
          <w:smallCaps w:val="0"/>
          <w:color w:val="000000"/>
        </w:rPr>
        <w:t>, nel delimitare i soggetti sottoposti alla verifica antimafia, opera una</w:t>
      </w:r>
      <w:r w:rsidR="00895085">
        <w:rPr>
          <w:i w:val="0"/>
          <w:smallCaps w:val="0"/>
          <w:color w:val="000000"/>
        </w:rPr>
        <w:t xml:space="preserve"> </w:t>
      </w:r>
      <w:r w:rsidR="00E50730" w:rsidRPr="00CE1455">
        <w:rPr>
          <w:iCs/>
          <w:smallCaps w:val="0"/>
          <w:color w:val="000000"/>
        </w:rPr>
        <w:t xml:space="preserve">summa </w:t>
      </w:r>
      <w:proofErr w:type="spellStart"/>
      <w:r w:rsidR="00E50730" w:rsidRPr="00CE1455">
        <w:rPr>
          <w:iCs/>
          <w:smallCaps w:val="0"/>
          <w:color w:val="000000"/>
        </w:rPr>
        <w:t>divisio</w:t>
      </w:r>
      <w:proofErr w:type="spellEnd"/>
      <w:r w:rsidR="00895085">
        <w:rPr>
          <w:iCs/>
          <w:smallCaps w:val="0"/>
          <w:color w:val="000000"/>
        </w:rPr>
        <w:t xml:space="preserve"> </w:t>
      </w:r>
      <w:r w:rsidR="00E50730" w:rsidRPr="00CE1455">
        <w:rPr>
          <w:i w:val="0"/>
          <w:smallCaps w:val="0"/>
          <w:color w:val="000000"/>
        </w:rPr>
        <w:t>tra impresa individuale e compagini a base collettiva (associazioni, società, consorzi, raggruppamenti temporanei) declinando la sfera soggettiva di rilievo in relazione alla</w:t>
      </w:r>
      <w:r w:rsidR="00895085">
        <w:rPr>
          <w:i w:val="0"/>
          <w:smallCaps w:val="0"/>
          <w:color w:val="000000"/>
        </w:rPr>
        <w:t xml:space="preserve"> </w:t>
      </w:r>
      <w:proofErr w:type="spellStart"/>
      <w:r w:rsidR="00E50730" w:rsidRPr="00CE1455">
        <w:rPr>
          <w:iCs/>
          <w:smallCaps w:val="0"/>
          <w:color w:val="000000"/>
        </w:rPr>
        <w:t>governance</w:t>
      </w:r>
      <w:proofErr w:type="spellEnd"/>
      <w:r w:rsidR="00895085">
        <w:rPr>
          <w:iCs/>
          <w:smallCaps w:val="0"/>
          <w:color w:val="000000"/>
        </w:rPr>
        <w:t xml:space="preserve"> </w:t>
      </w:r>
      <w:r>
        <w:rPr>
          <w:i w:val="0"/>
          <w:smallCaps w:val="0"/>
          <w:color w:val="000000"/>
        </w:rPr>
        <w:t>dei vari soggetti economici</w:t>
      </w:r>
      <w:r>
        <w:rPr>
          <w:rStyle w:val="Rimandonotaapidipagina"/>
          <w:i w:val="0"/>
          <w:smallCaps w:val="0"/>
          <w:color w:val="000000"/>
        </w:rPr>
        <w:footnoteReference w:id="39"/>
      </w:r>
      <w:r>
        <w:rPr>
          <w:i w:val="0"/>
          <w:smallCaps w:val="0"/>
          <w:color w:val="000000"/>
        </w:rPr>
        <w:t>.</w:t>
      </w:r>
      <w:r w:rsidR="003E290E">
        <w:rPr>
          <w:i w:val="0"/>
          <w:smallCaps w:val="0"/>
          <w:color w:val="000000"/>
        </w:rPr>
        <w:t xml:space="preserve"> Speciali disposizioni sono poi dettate per le società costituite all’estero, prive di una sede secondaria con rappresentanza stabile nel territorio dello Stato (comma 2-</w:t>
      </w:r>
      <w:r w:rsidR="003E290E">
        <w:rPr>
          <w:smallCaps w:val="0"/>
          <w:color w:val="000000"/>
        </w:rPr>
        <w:t>ter</w:t>
      </w:r>
      <w:r w:rsidR="00B75128">
        <w:rPr>
          <w:i w:val="0"/>
          <w:smallCaps w:val="0"/>
          <w:color w:val="000000"/>
        </w:rPr>
        <w:t>)</w:t>
      </w:r>
      <w:r w:rsidR="00537C70">
        <w:rPr>
          <w:i w:val="0"/>
          <w:smallCaps w:val="0"/>
          <w:color w:val="000000"/>
        </w:rPr>
        <w:t>,</w:t>
      </w:r>
      <w:r w:rsidR="00B75128">
        <w:rPr>
          <w:i w:val="0"/>
          <w:smallCaps w:val="0"/>
          <w:color w:val="000000"/>
        </w:rPr>
        <w:t xml:space="preserve"> e per le società di capitali concessionarie nel settore dei giochi pubblici (comma 2-</w:t>
      </w:r>
      <w:r w:rsidR="00B75128">
        <w:rPr>
          <w:smallCaps w:val="0"/>
          <w:color w:val="000000"/>
        </w:rPr>
        <w:t>quater</w:t>
      </w:r>
      <w:r w:rsidR="00B75128">
        <w:rPr>
          <w:i w:val="0"/>
          <w:smallCaps w:val="0"/>
          <w:color w:val="000000"/>
        </w:rPr>
        <w:t>). Inoltre, è stabilito in ogni caso che le verifiche antimafia siano estese anche ai familiari conviventi di maggiore età dei soggetti così indicati (comma 3).</w:t>
      </w:r>
    </w:p>
    <w:p w:rsidR="00B75128" w:rsidRDefault="00B75128" w:rsidP="00D86B1D">
      <w:pPr>
        <w:ind w:firstLine="426"/>
        <w:jc w:val="both"/>
        <w:rPr>
          <w:i w:val="0"/>
          <w:smallCaps w:val="0"/>
          <w:shd w:val="clear" w:color="auto" w:fill="FFFFFF"/>
        </w:rPr>
      </w:pPr>
      <w:r>
        <w:rPr>
          <w:i w:val="0"/>
          <w:smallCaps w:val="0"/>
          <w:color w:val="000000"/>
        </w:rPr>
        <w:t>Il sistema si completa con la previsione di cui al comma 4 dell’articolo 91 (“</w:t>
      </w:r>
      <w:r w:rsidRPr="00B75128">
        <w:rPr>
          <w:smallCaps w:val="0"/>
          <w:shd w:val="clear" w:color="auto" w:fill="FFFFFF"/>
        </w:rPr>
        <w:t>Il prefetto competente estende gli accertamenti pure ai soggetti che risultano poter determinare in qualsiasi modo le scelte o gli indirizzi dell</w:t>
      </w:r>
      <w:r>
        <w:rPr>
          <w:smallCaps w:val="0"/>
          <w:shd w:val="clear" w:color="auto" w:fill="FFFFFF"/>
        </w:rPr>
        <w:t>’</w:t>
      </w:r>
      <w:r w:rsidRPr="00B75128">
        <w:rPr>
          <w:smallCaps w:val="0"/>
          <w:shd w:val="clear" w:color="auto" w:fill="FFFFFF"/>
        </w:rPr>
        <w:t>impresa</w:t>
      </w:r>
      <w:r>
        <w:rPr>
          <w:i w:val="0"/>
          <w:smallCaps w:val="0"/>
          <w:shd w:val="clear" w:color="auto" w:fill="FFFFFF"/>
        </w:rPr>
        <w:t>”) che, secondo la lettura datane dalla giurisprudenza, consente di estendere gli accertamenti anche ai cc.dd. amministratori “</w:t>
      </w:r>
      <w:r w:rsidRPr="00B75128">
        <w:rPr>
          <w:smallCaps w:val="0"/>
          <w:shd w:val="clear" w:color="auto" w:fill="FFFFFF"/>
        </w:rPr>
        <w:t>occulti</w:t>
      </w:r>
      <w:r>
        <w:rPr>
          <w:i w:val="0"/>
          <w:smallCaps w:val="0"/>
          <w:shd w:val="clear" w:color="auto" w:fill="FFFFFF"/>
        </w:rPr>
        <w:t>” (o “</w:t>
      </w:r>
      <w:r>
        <w:rPr>
          <w:smallCaps w:val="0"/>
          <w:shd w:val="clear" w:color="auto" w:fill="FFFFFF"/>
        </w:rPr>
        <w:t>di fatto</w:t>
      </w:r>
      <w:r>
        <w:rPr>
          <w:i w:val="0"/>
          <w:smallCaps w:val="0"/>
          <w:shd w:val="clear" w:color="auto" w:fill="FFFFFF"/>
        </w:rPr>
        <w:t>”), ossia ai soggetti i quali, pur non rivestendo cariche formali all’interno della compagine sociale, risultino svolgere un’influenza determinante nelle scelte imprenditoriali dell’impresa</w:t>
      </w:r>
      <w:r>
        <w:rPr>
          <w:rStyle w:val="Rimandonotaapidipagina"/>
          <w:i w:val="0"/>
          <w:smallCaps w:val="0"/>
          <w:shd w:val="clear" w:color="auto" w:fill="FFFFFF"/>
        </w:rPr>
        <w:footnoteReference w:id="40"/>
      </w:r>
      <w:r>
        <w:rPr>
          <w:i w:val="0"/>
          <w:smallCaps w:val="0"/>
          <w:shd w:val="clear" w:color="auto" w:fill="FFFFFF"/>
        </w:rPr>
        <w:t>.</w:t>
      </w:r>
    </w:p>
    <w:p w:rsidR="00E512E2" w:rsidRDefault="00E512E2" w:rsidP="00D86B1D">
      <w:pPr>
        <w:ind w:firstLine="426"/>
        <w:jc w:val="both"/>
        <w:rPr>
          <w:i w:val="0"/>
          <w:smallCaps w:val="0"/>
          <w:shd w:val="clear" w:color="auto" w:fill="FFFFFF"/>
        </w:rPr>
      </w:pPr>
    </w:p>
    <w:p w:rsidR="00E512E2" w:rsidRDefault="00E512E2" w:rsidP="00D86B1D">
      <w:pPr>
        <w:ind w:firstLine="426"/>
        <w:jc w:val="both"/>
        <w:rPr>
          <w:i w:val="0"/>
          <w:smallCaps w:val="0"/>
          <w:shd w:val="clear" w:color="auto" w:fill="FFFFFF"/>
        </w:rPr>
      </w:pPr>
    </w:p>
    <w:p w:rsidR="00E512E2" w:rsidRDefault="00E512E2" w:rsidP="00D86B1D">
      <w:pPr>
        <w:ind w:firstLine="426"/>
        <w:jc w:val="both"/>
        <w:rPr>
          <w:b/>
          <w:i w:val="0"/>
          <w:smallCaps w:val="0"/>
        </w:rPr>
      </w:pPr>
      <w:r>
        <w:rPr>
          <w:b/>
          <w:i w:val="0"/>
          <w:smallCaps w:val="0"/>
          <w:shd w:val="clear" w:color="auto" w:fill="FFFFFF"/>
        </w:rPr>
        <w:t xml:space="preserve">5. </w:t>
      </w:r>
      <w:r w:rsidRPr="00E512E2">
        <w:rPr>
          <w:b/>
          <w:i w:val="0"/>
          <w:smallCaps w:val="0"/>
        </w:rPr>
        <w:t>Il concetto di “</w:t>
      </w:r>
      <w:r w:rsidRPr="00E512E2">
        <w:rPr>
          <w:b/>
          <w:smallCaps w:val="0"/>
        </w:rPr>
        <w:t>tentativi di infiltrazione</w:t>
      </w:r>
      <w:r w:rsidRPr="00E512E2">
        <w:rPr>
          <w:b/>
          <w:i w:val="0"/>
          <w:smallCaps w:val="0"/>
        </w:rPr>
        <w:t>”: natura dell’istruttoria e della valutazione prefettizia.</w:t>
      </w:r>
    </w:p>
    <w:p w:rsidR="00E512E2" w:rsidRDefault="00E512E2" w:rsidP="00D86B1D">
      <w:pPr>
        <w:ind w:firstLine="426"/>
        <w:jc w:val="both"/>
        <w:rPr>
          <w:i w:val="0"/>
          <w:smallCaps w:val="0"/>
        </w:rPr>
      </w:pPr>
    </w:p>
    <w:p w:rsidR="000E4250" w:rsidRDefault="00E512E2" w:rsidP="00D86B1D">
      <w:pPr>
        <w:ind w:firstLine="426"/>
        <w:jc w:val="both"/>
        <w:rPr>
          <w:i w:val="0"/>
          <w:smallCaps w:val="0"/>
        </w:rPr>
      </w:pPr>
      <w:r>
        <w:rPr>
          <w:i w:val="0"/>
          <w:smallCaps w:val="0"/>
        </w:rPr>
        <w:t xml:space="preserve">Andando ora a concentrare l’attenzione su quello che è il cuore della specificità dell’informazione antimafia </w:t>
      </w:r>
      <w:proofErr w:type="spellStart"/>
      <w:r>
        <w:rPr>
          <w:i w:val="0"/>
          <w:smallCaps w:val="0"/>
        </w:rPr>
        <w:t>interdittiva</w:t>
      </w:r>
      <w:proofErr w:type="spellEnd"/>
      <w:r>
        <w:rPr>
          <w:i w:val="0"/>
          <w:smallCaps w:val="0"/>
        </w:rPr>
        <w:t>, si è visto che legislatore lo individua nell’accertata sussistenza di “</w:t>
      </w:r>
      <w:r>
        <w:rPr>
          <w:smallCaps w:val="0"/>
        </w:rPr>
        <w:t>tentativi di infiltrazione mafiosa</w:t>
      </w:r>
      <w:r>
        <w:rPr>
          <w:i w:val="0"/>
          <w:smallCaps w:val="0"/>
        </w:rPr>
        <w:t xml:space="preserve">” suscettibili di condizionare le scelte e gli indirizzi dell’impresa. </w:t>
      </w:r>
      <w:r>
        <w:rPr>
          <w:i w:val="0"/>
          <w:caps/>
          <w:smallCaps w:val="0"/>
        </w:rPr>
        <w:t xml:space="preserve">è </w:t>
      </w:r>
      <w:r>
        <w:rPr>
          <w:i w:val="0"/>
          <w:smallCaps w:val="0"/>
        </w:rPr>
        <w:t xml:space="preserve">proprio l’ampiezza e la genericità di questa formula ad avere innescato il mai sopito dibattito sul possibile </w:t>
      </w:r>
      <w:r>
        <w:rPr>
          <w:smallCaps w:val="0"/>
        </w:rPr>
        <w:t xml:space="preserve">deficit </w:t>
      </w:r>
      <w:r>
        <w:rPr>
          <w:i w:val="0"/>
          <w:smallCaps w:val="0"/>
        </w:rPr>
        <w:t xml:space="preserve">di determinatezza e tassatività della fattispecie così delineata, tenuto </w:t>
      </w:r>
      <w:r>
        <w:rPr>
          <w:i w:val="0"/>
          <w:smallCaps w:val="0"/>
        </w:rPr>
        <w:lastRenderedPageBreak/>
        <w:t xml:space="preserve">conto di quelli che si sono visti essere gli effetti, spesso dirompenti per l’attività imprenditoriale, dell’adozione delle misure </w:t>
      </w:r>
      <w:r>
        <w:rPr>
          <w:smallCaps w:val="0"/>
        </w:rPr>
        <w:t xml:space="preserve">de </w:t>
      </w:r>
      <w:proofErr w:type="spellStart"/>
      <w:r>
        <w:rPr>
          <w:smallCaps w:val="0"/>
        </w:rPr>
        <w:t>quibus</w:t>
      </w:r>
      <w:proofErr w:type="spellEnd"/>
      <w:r>
        <w:rPr>
          <w:smallCaps w:val="0"/>
        </w:rPr>
        <w:t>.</w:t>
      </w:r>
      <w:r w:rsidR="000E4250">
        <w:rPr>
          <w:smallCaps w:val="0"/>
        </w:rPr>
        <w:t xml:space="preserve"> </w:t>
      </w:r>
      <w:r w:rsidR="000E4250">
        <w:rPr>
          <w:i w:val="0"/>
          <w:smallCaps w:val="0"/>
        </w:rPr>
        <w:t xml:space="preserve">E invero, che la disciplina positiva sconti margini di elasticità e indeterminatezza è innegabile, essendo dimostrato </w:t>
      </w:r>
      <w:r w:rsidR="000E4250">
        <w:rPr>
          <w:smallCaps w:val="0"/>
        </w:rPr>
        <w:t xml:space="preserve">a contrario </w:t>
      </w:r>
      <w:r w:rsidR="000E4250">
        <w:rPr>
          <w:i w:val="0"/>
          <w:smallCaps w:val="0"/>
        </w:rPr>
        <w:t>dal fatto che la giurisprudenza nel corso degli anni si sia opportunamente impegnata nell’integrarla e definirne i contenuti</w:t>
      </w:r>
      <w:r w:rsidR="000E4250">
        <w:rPr>
          <w:rStyle w:val="Rimandonotaapidipagina"/>
          <w:i w:val="0"/>
          <w:smallCaps w:val="0"/>
        </w:rPr>
        <w:footnoteReference w:id="41"/>
      </w:r>
      <w:r w:rsidR="000E4250">
        <w:rPr>
          <w:i w:val="0"/>
          <w:smallCaps w:val="0"/>
        </w:rPr>
        <w:t xml:space="preserve">; tuttavia, il </w:t>
      </w:r>
      <w:proofErr w:type="spellStart"/>
      <w:r w:rsidR="000E4250">
        <w:rPr>
          <w:smallCaps w:val="0"/>
        </w:rPr>
        <w:t>punctum</w:t>
      </w:r>
      <w:proofErr w:type="spellEnd"/>
      <w:r w:rsidR="000E4250">
        <w:rPr>
          <w:smallCaps w:val="0"/>
        </w:rPr>
        <w:t xml:space="preserve"> </w:t>
      </w:r>
      <w:proofErr w:type="spellStart"/>
      <w:r w:rsidR="000E4250">
        <w:rPr>
          <w:smallCaps w:val="0"/>
        </w:rPr>
        <w:t>dolens</w:t>
      </w:r>
      <w:proofErr w:type="spellEnd"/>
      <w:r w:rsidR="000E4250">
        <w:rPr>
          <w:smallCaps w:val="0"/>
        </w:rPr>
        <w:t xml:space="preserve"> </w:t>
      </w:r>
      <w:r w:rsidR="000E4250">
        <w:rPr>
          <w:i w:val="0"/>
          <w:smallCaps w:val="0"/>
        </w:rPr>
        <w:t>sovente sollevato in dottrina è quello della conformità ai principi costituzionali ed europei di un sistema normativo così congegnato: al riguardo, può fin d’ora anticiparsi che la giurisprudenza della Corte costituzionale, e anche – sia pure con qualche maggiore margine di opinabilità – quella della Corte europea dei diritti umani (CEDU), hanno fino ad oggi escluso la sussistenza di profili di violazione di diritti e valori fondamentali.</w:t>
      </w:r>
    </w:p>
    <w:p w:rsidR="00E512E2" w:rsidRDefault="000E4250" w:rsidP="00D86B1D">
      <w:pPr>
        <w:ind w:firstLine="426"/>
        <w:jc w:val="both"/>
        <w:rPr>
          <w:i w:val="0"/>
          <w:smallCaps w:val="0"/>
        </w:rPr>
      </w:pPr>
      <w:r>
        <w:rPr>
          <w:i w:val="0"/>
          <w:smallCaps w:val="0"/>
        </w:rPr>
        <w:t>In linea generale, è evidente che la locuzione “</w:t>
      </w:r>
      <w:r w:rsidR="005A3921">
        <w:rPr>
          <w:smallCaps w:val="0"/>
        </w:rPr>
        <w:t xml:space="preserve">eventuali </w:t>
      </w:r>
      <w:r>
        <w:rPr>
          <w:smallCaps w:val="0"/>
        </w:rPr>
        <w:t>tentativi di infiltrazione mafiosa</w:t>
      </w:r>
      <w:r>
        <w:rPr>
          <w:i w:val="0"/>
          <w:smallCaps w:val="0"/>
        </w:rPr>
        <w:t xml:space="preserve">” costituisce una </w:t>
      </w:r>
      <w:r w:rsidRPr="005A3921">
        <w:rPr>
          <w:i w:val="0"/>
          <w:smallCaps w:val="0"/>
        </w:rPr>
        <w:t>clausola</w:t>
      </w:r>
      <w:r w:rsidR="005A3921">
        <w:rPr>
          <w:i w:val="0"/>
          <w:smallCaps w:val="0"/>
        </w:rPr>
        <w:t xml:space="preserve"> generale o</w:t>
      </w:r>
      <w:r>
        <w:rPr>
          <w:smallCaps w:val="0"/>
        </w:rPr>
        <w:t xml:space="preserve"> </w:t>
      </w:r>
      <w:r w:rsidR="005A3921">
        <w:rPr>
          <w:i w:val="0"/>
          <w:smallCaps w:val="0"/>
        </w:rPr>
        <w:t>“</w:t>
      </w:r>
      <w:r w:rsidRPr="005A3921">
        <w:rPr>
          <w:i w:val="0"/>
          <w:smallCaps w:val="0"/>
        </w:rPr>
        <w:t>aperta</w:t>
      </w:r>
      <w:r>
        <w:rPr>
          <w:i w:val="0"/>
          <w:smallCaps w:val="0"/>
        </w:rPr>
        <w:t>” corrispondente a una precisa scelta del legislatore</w:t>
      </w:r>
      <w:r w:rsidR="005A3921">
        <w:rPr>
          <w:i w:val="0"/>
          <w:smallCaps w:val="0"/>
        </w:rPr>
        <w:t>: ed è questa probabilmente la ragione delle criticità e tensioni che l’istituto ha suscitato, in considerazione della sua stretta connessione con il sistema penalistico (o para-penalistico) cui inerisce la legislazione antimafia, un settore nel quale più delicati sono i problemi legati al ricorso a clausole generali, in correlazione con la necessaria applicazione dei principi costituzionali di tassatività e stretta legalità</w:t>
      </w:r>
      <w:r w:rsidR="005A3921">
        <w:rPr>
          <w:rStyle w:val="Rimandonotaapidipagina"/>
          <w:i w:val="0"/>
          <w:smallCaps w:val="0"/>
        </w:rPr>
        <w:footnoteReference w:id="42"/>
      </w:r>
      <w:r w:rsidR="005A3921">
        <w:rPr>
          <w:i w:val="0"/>
          <w:smallCaps w:val="0"/>
        </w:rPr>
        <w:t>. Tuttavia, secondo l’opinione pressoché dominant</w:t>
      </w:r>
      <w:r w:rsidR="00537C70">
        <w:rPr>
          <w:i w:val="0"/>
          <w:smallCaps w:val="0"/>
        </w:rPr>
        <w:t>e</w:t>
      </w:r>
      <w:r w:rsidR="005A3921">
        <w:rPr>
          <w:i w:val="0"/>
          <w:smallCaps w:val="0"/>
        </w:rPr>
        <w:t xml:space="preserve"> nella giurisprudenza la scelta del legislatore nella specie si giustifica proprio in relazione alla necessità di una “anticipazione” della tutela, a fronte della pervasività del fenomeno mafioso e del carattere continuamente mutevole delle sue tecniche e modalità di infiltrazione nell’economia, che hanno indotto a delineare una fattispecie di pericolo, tipica del diritto della prevenzione</w:t>
      </w:r>
      <w:r w:rsidR="00815A53">
        <w:rPr>
          <w:i w:val="0"/>
          <w:smallCaps w:val="0"/>
        </w:rPr>
        <w:t>, finalizzata – appunto - a prevenire un evento che, per la stessa scelta del legislatore, non necessariamente è attuale, o già inveratosi, ma anche solo potenziale, purché desumibile da elementi non meramente immaginari o aleatori</w:t>
      </w:r>
      <w:r w:rsidR="00815A53">
        <w:rPr>
          <w:rStyle w:val="Rimandonotaapidipagina"/>
          <w:i w:val="0"/>
          <w:smallCaps w:val="0"/>
        </w:rPr>
        <w:footnoteReference w:id="43"/>
      </w:r>
      <w:r w:rsidR="00815A53">
        <w:rPr>
          <w:i w:val="0"/>
          <w:smallCaps w:val="0"/>
        </w:rPr>
        <w:t>; ciò peraltro non vuol dire che si sia in presenza di una “norma in bianco” né di una delega all’arbitrio dell’autorità amministrativa imprevedibile per il cittadino, e insindacabile per il giudice, poiché il pericolo di infiltrazione mafiosa costituisce sì il fondamento, ma anche il limite del potere prefettizio, e, quindi, demarca anche la portata della sua discrezionalità, da intendersi qui nel senso di equilibrato apprezzamento del rischio infiltrativo in chiave di prevenzione secondo corretti canoni di inferenza logica</w:t>
      </w:r>
      <w:r w:rsidR="00815A53">
        <w:rPr>
          <w:rStyle w:val="Rimandonotaapidipagina"/>
          <w:i w:val="0"/>
          <w:smallCaps w:val="0"/>
        </w:rPr>
        <w:footnoteReference w:id="44"/>
      </w:r>
      <w:r w:rsidR="00815A53">
        <w:rPr>
          <w:i w:val="0"/>
          <w:smallCaps w:val="0"/>
        </w:rPr>
        <w:t>.</w:t>
      </w:r>
    </w:p>
    <w:p w:rsidR="00815A53" w:rsidRDefault="00815A53" w:rsidP="00D86B1D">
      <w:pPr>
        <w:ind w:firstLine="426"/>
        <w:jc w:val="both"/>
        <w:rPr>
          <w:i w:val="0"/>
          <w:smallCaps w:val="0"/>
        </w:rPr>
      </w:pPr>
      <w:r>
        <w:rPr>
          <w:i w:val="0"/>
          <w:smallCaps w:val="0"/>
        </w:rPr>
        <w:t xml:space="preserve">Pertanto, ed è su questo terreno che il problema del </w:t>
      </w:r>
      <w:r>
        <w:rPr>
          <w:smallCaps w:val="0"/>
        </w:rPr>
        <w:t xml:space="preserve">deficit </w:t>
      </w:r>
      <w:r>
        <w:rPr>
          <w:i w:val="0"/>
          <w:smallCaps w:val="0"/>
        </w:rPr>
        <w:t xml:space="preserve">di tassatività trova la propria soluzione, anche laddove la prognosi infiltrativa sia fondata su elementi non tipizzati ma “a condotta libera”, lasciati al prudente e motivato apprezzamento dell’autorità amministrativa, può sicuramente individuarsi – anche grazie all’apporto </w:t>
      </w:r>
      <w:r w:rsidR="0077051C">
        <w:rPr>
          <w:i w:val="0"/>
          <w:smallCaps w:val="0"/>
        </w:rPr>
        <w:t>della giurisprudenza – un nucleo consolidato di situazioni indiziarie, che sviluppano e completano le indicazioni legislative, costruendo un sistema di “</w:t>
      </w:r>
      <w:r w:rsidR="0077051C">
        <w:rPr>
          <w:smallCaps w:val="0"/>
        </w:rPr>
        <w:t>tassatività sostanziale</w:t>
      </w:r>
      <w:r w:rsidR="0077051C">
        <w:rPr>
          <w:i w:val="0"/>
          <w:smallCaps w:val="0"/>
        </w:rPr>
        <w:t>”</w:t>
      </w:r>
      <w:r w:rsidR="0077051C">
        <w:rPr>
          <w:rStyle w:val="Rimandonotaapidipagina"/>
          <w:i w:val="0"/>
          <w:smallCaps w:val="0"/>
        </w:rPr>
        <w:footnoteReference w:id="45"/>
      </w:r>
      <w:r w:rsidR="0077051C">
        <w:rPr>
          <w:i w:val="0"/>
          <w:smallCaps w:val="0"/>
        </w:rPr>
        <w:t>.</w:t>
      </w:r>
    </w:p>
    <w:p w:rsidR="0077051C" w:rsidRDefault="0077051C" w:rsidP="00D86B1D">
      <w:pPr>
        <w:ind w:firstLine="426"/>
        <w:jc w:val="both"/>
        <w:rPr>
          <w:i w:val="0"/>
          <w:smallCaps w:val="0"/>
        </w:rPr>
      </w:pPr>
      <w:r>
        <w:rPr>
          <w:i w:val="0"/>
          <w:caps/>
          <w:smallCaps w:val="0"/>
        </w:rPr>
        <w:t xml:space="preserve">è </w:t>
      </w:r>
      <w:r>
        <w:rPr>
          <w:i w:val="0"/>
          <w:smallCaps w:val="0"/>
        </w:rPr>
        <w:t>a dirsi che questa impostazione giurisprudenziale è stata autorevolmente condivisa dalla Corte costituzionale</w:t>
      </w:r>
      <w:r>
        <w:rPr>
          <w:rStyle w:val="Rimandonotaapidipagina"/>
          <w:i w:val="0"/>
          <w:smallCaps w:val="0"/>
        </w:rPr>
        <w:footnoteReference w:id="46"/>
      </w:r>
      <w:r>
        <w:rPr>
          <w:i w:val="0"/>
          <w:smallCaps w:val="0"/>
        </w:rPr>
        <w:t>, la quale, investita di questione di legittimità costituzionale degli articoli 89-</w:t>
      </w:r>
      <w:r>
        <w:rPr>
          <w:smallCaps w:val="0"/>
        </w:rPr>
        <w:t xml:space="preserve">bis </w:t>
      </w:r>
      <w:r>
        <w:rPr>
          <w:i w:val="0"/>
          <w:smallCaps w:val="0"/>
        </w:rPr>
        <w:t>e 92, commi 3 e 4, del d.lgs. n. 159/2011, in riferimento agli articoli 3 e 41 della Costituzione:</w:t>
      </w:r>
    </w:p>
    <w:p w:rsidR="0077051C" w:rsidRDefault="0077051C" w:rsidP="0077051C">
      <w:pPr>
        <w:pStyle w:val="Paragrafoelenco"/>
        <w:numPr>
          <w:ilvl w:val="0"/>
          <w:numId w:val="2"/>
        </w:numPr>
        <w:jc w:val="both"/>
        <w:rPr>
          <w:i w:val="0"/>
          <w:smallCaps w:val="0"/>
        </w:rPr>
      </w:pPr>
      <w:r>
        <w:rPr>
          <w:i w:val="0"/>
          <w:smallCaps w:val="0"/>
        </w:rPr>
        <w:t>ha preliminarmente condiviso l’analisi “di contesto” da cui muove la giurisprudenza amministrativa, in relazione alla costante e crescente capacità di penetrazione della criminalità organizzata nell’economia ed alla necessità che lo Stato si doti di strumenti adeguati per contrastarla;</w:t>
      </w:r>
    </w:p>
    <w:p w:rsidR="0077051C" w:rsidRDefault="0077051C" w:rsidP="0077051C">
      <w:pPr>
        <w:pStyle w:val="Paragrafoelenco"/>
        <w:numPr>
          <w:ilvl w:val="0"/>
          <w:numId w:val="2"/>
        </w:numPr>
        <w:jc w:val="both"/>
        <w:rPr>
          <w:i w:val="0"/>
          <w:smallCaps w:val="0"/>
        </w:rPr>
      </w:pPr>
      <w:r>
        <w:rPr>
          <w:i w:val="0"/>
          <w:smallCaps w:val="0"/>
        </w:rPr>
        <w:t xml:space="preserve">ha conseguentemente ritenuto non irragionevole, proprio in ragione del quadro concreto delineato piuttosto che di astratte considerazioni di principio, la scelta legislativa di affidare </w:t>
      </w:r>
      <w:r w:rsidR="00AE3EC6">
        <w:rPr>
          <w:i w:val="0"/>
          <w:smallCaps w:val="0"/>
        </w:rPr>
        <w:t xml:space="preserve">all’autorità amministrativa la prevenzione dell’infiltrazione mafiosa nell’economia legale, </w:t>
      </w:r>
      <w:r w:rsidR="00AE3EC6">
        <w:rPr>
          <w:i w:val="0"/>
          <w:smallCaps w:val="0"/>
        </w:rPr>
        <w:lastRenderedPageBreak/>
        <w:t>attraverso una misura la cui natura cautelare e preventiva non può che comportare che essa risulti fondata su elementi fattuali “</w:t>
      </w:r>
      <w:r w:rsidR="00AE3EC6">
        <w:rPr>
          <w:smallCaps w:val="0"/>
        </w:rPr>
        <w:t>più sfumati</w:t>
      </w:r>
      <w:r w:rsidR="00AE3EC6">
        <w:rPr>
          <w:i w:val="0"/>
          <w:smallCaps w:val="0"/>
        </w:rPr>
        <w:t>” di quelli che si pretendono in sede giudiziaria;</w:t>
      </w:r>
    </w:p>
    <w:p w:rsidR="00AE3EC6" w:rsidRDefault="00AE3EC6" w:rsidP="0077051C">
      <w:pPr>
        <w:pStyle w:val="Paragrafoelenco"/>
        <w:numPr>
          <w:ilvl w:val="0"/>
          <w:numId w:val="2"/>
        </w:numPr>
        <w:jc w:val="both"/>
        <w:rPr>
          <w:i w:val="0"/>
          <w:smallCaps w:val="0"/>
        </w:rPr>
      </w:pPr>
      <w:r>
        <w:rPr>
          <w:i w:val="0"/>
          <w:smallCaps w:val="0"/>
        </w:rPr>
        <w:t>ha tuttavia escluso ogni violazione del principio di legalità sostanzial</w:t>
      </w:r>
      <w:r w:rsidR="00BD6861">
        <w:rPr>
          <w:i w:val="0"/>
          <w:smallCaps w:val="0"/>
        </w:rPr>
        <w:t>e</w:t>
      </w:r>
      <w:r>
        <w:rPr>
          <w:i w:val="0"/>
          <w:smallCaps w:val="0"/>
        </w:rPr>
        <w:t>, stanti la natura fortemente tecnica degli elementi indiziari su cui si basa la prognosi infiltrativa, la necessità di un’attenta e puntuale motivazione su di essa e la soggezione della stessa a un sindacato giurisdizionale pieno ed effettivo;</w:t>
      </w:r>
    </w:p>
    <w:p w:rsidR="00AE3EC6" w:rsidRDefault="00AE3EC6" w:rsidP="0077051C">
      <w:pPr>
        <w:pStyle w:val="Paragrafoelenco"/>
        <w:numPr>
          <w:ilvl w:val="0"/>
          <w:numId w:val="2"/>
        </w:numPr>
        <w:jc w:val="both"/>
        <w:rPr>
          <w:i w:val="0"/>
          <w:smallCaps w:val="0"/>
        </w:rPr>
      </w:pPr>
      <w:r>
        <w:rPr>
          <w:i w:val="0"/>
          <w:smallCaps w:val="0"/>
        </w:rPr>
        <w:t>ha infine individuato nella necessaria provvisorietà dell’istituto il punto di equilibrio tra le finalità preventive perseguite e la tutela delle libertà fondamentali che ne sono implicate</w:t>
      </w:r>
      <w:r>
        <w:rPr>
          <w:rStyle w:val="Rimandonotaapidipagina"/>
          <w:i w:val="0"/>
          <w:smallCaps w:val="0"/>
        </w:rPr>
        <w:footnoteReference w:id="47"/>
      </w:r>
      <w:r>
        <w:rPr>
          <w:i w:val="0"/>
          <w:smallCaps w:val="0"/>
        </w:rPr>
        <w:t>.</w:t>
      </w:r>
    </w:p>
    <w:p w:rsidR="00BD6861" w:rsidRDefault="00BD6861" w:rsidP="00BD6861">
      <w:pPr>
        <w:pStyle w:val="Paragrafoelenco"/>
        <w:ind w:left="0" w:firstLine="426"/>
        <w:jc w:val="both"/>
        <w:rPr>
          <w:i w:val="0"/>
          <w:smallCaps w:val="0"/>
        </w:rPr>
      </w:pPr>
      <w:r>
        <w:rPr>
          <w:i w:val="0"/>
          <w:smallCaps w:val="0"/>
        </w:rPr>
        <w:t xml:space="preserve">In definitiva, è la </w:t>
      </w:r>
      <w:r>
        <w:rPr>
          <w:smallCaps w:val="0"/>
        </w:rPr>
        <w:t xml:space="preserve">ratio </w:t>
      </w:r>
      <w:r>
        <w:rPr>
          <w:i w:val="0"/>
          <w:smallCaps w:val="0"/>
        </w:rPr>
        <w:t>stessa delle misure preventive in esame, la cui stessa esistenza è imposta dalla necessità per lo Stato di tenere il passo con una criminalità organizzata in continua evoluzione e progresso</w:t>
      </w:r>
      <w:r>
        <w:rPr>
          <w:rStyle w:val="Rimandonotaapidipagina"/>
          <w:i w:val="0"/>
          <w:smallCaps w:val="0"/>
        </w:rPr>
        <w:footnoteReference w:id="48"/>
      </w:r>
      <w:r>
        <w:rPr>
          <w:i w:val="0"/>
          <w:smallCaps w:val="0"/>
        </w:rPr>
        <w:t>, a giustificare il ricorso a clausole aperte, destinate a essere riempite di contenuti nella prassi applicativa e con il contributo determinante della giurisprudenza.</w:t>
      </w:r>
      <w:r w:rsidR="006C03B1">
        <w:rPr>
          <w:i w:val="0"/>
          <w:smallCaps w:val="0"/>
        </w:rPr>
        <w:t xml:space="preserve"> Per quanto criticata in dottrina</w:t>
      </w:r>
      <w:r w:rsidR="006C03B1">
        <w:rPr>
          <w:rStyle w:val="Rimandonotaapidipagina"/>
          <w:i w:val="0"/>
          <w:smallCaps w:val="0"/>
        </w:rPr>
        <w:footnoteReference w:id="49"/>
      </w:r>
      <w:r>
        <w:rPr>
          <w:i w:val="0"/>
          <w:smallCaps w:val="0"/>
        </w:rPr>
        <w:t xml:space="preserve">, la posizione della Corte costituzionale riflette fedelmente le argomentazioni </w:t>
      </w:r>
      <w:r w:rsidR="006C03B1">
        <w:rPr>
          <w:i w:val="0"/>
          <w:smallCaps w:val="0"/>
        </w:rPr>
        <w:t>in precedenza svolte dalla Corte europea dei diritti umani (CEDU) in una nota sentenza</w:t>
      </w:r>
      <w:r w:rsidR="006C03B1">
        <w:rPr>
          <w:rStyle w:val="Rimandonotaapidipagina"/>
          <w:i w:val="0"/>
          <w:smallCaps w:val="0"/>
        </w:rPr>
        <w:footnoteReference w:id="50"/>
      </w:r>
      <w:r w:rsidR="006C03B1">
        <w:rPr>
          <w:i w:val="0"/>
          <w:smallCaps w:val="0"/>
        </w:rPr>
        <w:t xml:space="preserve"> nella quale, occupandosi specificamente delle misure di prevenzione giurisdizionali (ma con considerazioni estensibili all’intero diritto della prevenzione)</w:t>
      </w:r>
      <w:r w:rsidR="00887686">
        <w:rPr>
          <w:rStyle w:val="Rimandonotaapidipagina"/>
          <w:i w:val="0"/>
          <w:smallCaps w:val="0"/>
        </w:rPr>
        <w:footnoteReference w:id="51"/>
      </w:r>
      <w:r w:rsidR="006C03B1">
        <w:rPr>
          <w:i w:val="0"/>
          <w:smallCaps w:val="0"/>
        </w:rPr>
        <w:t xml:space="preserve">, ne ha rimarcato il carattere </w:t>
      </w:r>
      <w:r w:rsidR="00F84874">
        <w:rPr>
          <w:i w:val="0"/>
          <w:smallCaps w:val="0"/>
        </w:rPr>
        <w:t xml:space="preserve">non sanzionatorio quale elemento decisivo ai fini dell’esclusione dell’applicabilità dei cc.dd. </w:t>
      </w:r>
      <w:r w:rsidR="00F84874">
        <w:rPr>
          <w:smallCaps w:val="0"/>
        </w:rPr>
        <w:t xml:space="preserve">Engel </w:t>
      </w:r>
      <w:proofErr w:type="spellStart"/>
      <w:r w:rsidR="00F84874">
        <w:rPr>
          <w:smallCaps w:val="0"/>
        </w:rPr>
        <w:t>criteria</w:t>
      </w:r>
      <w:proofErr w:type="spellEnd"/>
      <w:r w:rsidR="00F84874">
        <w:rPr>
          <w:smallCaps w:val="0"/>
        </w:rPr>
        <w:t xml:space="preserve">, </w:t>
      </w:r>
      <w:r w:rsidR="00F84874">
        <w:rPr>
          <w:i w:val="0"/>
          <w:smallCaps w:val="0"/>
        </w:rPr>
        <w:t>riconoscendo la legittimità che alcune leggi, in ragione delle loro finalità, siano inevitabilmente formulate in termini più o meno vaghi</w:t>
      </w:r>
      <w:r w:rsidR="00887686">
        <w:rPr>
          <w:i w:val="0"/>
          <w:smallCaps w:val="0"/>
        </w:rPr>
        <w:t xml:space="preserve">, essendo questioni di pratica la loro interpretazione e applicazione, fermo restando che quando la legge conferisce all’amministrazione una discrezionalità deve indicarne la portata e i limiti. Proprio in relazione a tale ultimo aspetto, l’insistenza della Corte sull’importanza della “integrazione” giurisprudenziale delle fattispecie oggetto delle misure </w:t>
      </w:r>
      <w:r w:rsidR="00887686">
        <w:rPr>
          <w:smallCaps w:val="0"/>
        </w:rPr>
        <w:t xml:space="preserve">de </w:t>
      </w:r>
      <w:proofErr w:type="spellStart"/>
      <w:r w:rsidR="00887686">
        <w:rPr>
          <w:smallCaps w:val="0"/>
        </w:rPr>
        <w:t>quibus</w:t>
      </w:r>
      <w:proofErr w:type="spellEnd"/>
      <w:r w:rsidR="00887686">
        <w:rPr>
          <w:smallCaps w:val="0"/>
        </w:rPr>
        <w:t xml:space="preserve"> </w:t>
      </w:r>
      <w:r w:rsidR="00887686">
        <w:rPr>
          <w:i w:val="0"/>
          <w:smallCaps w:val="0"/>
        </w:rPr>
        <w:t xml:space="preserve">dimostra la consapevolezza della delicatezza del problema di dettagliare in modo sufficiente le condotte che possono legittimare l’adozione delle misure </w:t>
      </w:r>
      <w:proofErr w:type="spellStart"/>
      <w:r w:rsidR="00887686">
        <w:rPr>
          <w:i w:val="0"/>
          <w:smallCaps w:val="0"/>
        </w:rPr>
        <w:t>interdittive</w:t>
      </w:r>
      <w:proofErr w:type="spellEnd"/>
      <w:r w:rsidR="00887686">
        <w:rPr>
          <w:rStyle w:val="Rimandonotaapidipagina"/>
          <w:i w:val="0"/>
          <w:smallCaps w:val="0"/>
        </w:rPr>
        <w:footnoteReference w:id="52"/>
      </w:r>
      <w:r w:rsidR="00887686">
        <w:rPr>
          <w:i w:val="0"/>
          <w:smallCaps w:val="0"/>
        </w:rPr>
        <w:t xml:space="preserve">, in ciò convergendo con le conclusioni della giurisprudenza più sensibile ai valori e diritti costituzionali coinvolti, che avverte dell’assoluta necessità di evitare misure amministrative fondate su un </w:t>
      </w:r>
      <w:r w:rsidR="00887686" w:rsidRPr="006C5A92">
        <w:rPr>
          <w:i w:val="0"/>
          <w:smallCaps w:val="0"/>
        </w:rPr>
        <w:t>mero sospetto</w:t>
      </w:r>
      <w:r w:rsidR="006C5A92">
        <w:rPr>
          <w:i w:val="0"/>
          <w:smallCaps w:val="0"/>
        </w:rPr>
        <w:t>, le quali consegnerebbero un istituto fondamentale per il contrasto alla criminalità organizzata ad un “</w:t>
      </w:r>
      <w:r w:rsidR="006C5A92">
        <w:rPr>
          <w:smallCaps w:val="0"/>
        </w:rPr>
        <w:t>diritto della paura</w:t>
      </w:r>
      <w:r w:rsidR="006C5A92">
        <w:rPr>
          <w:i w:val="0"/>
          <w:smallCaps w:val="0"/>
        </w:rPr>
        <w:t>”</w:t>
      </w:r>
      <w:r w:rsidR="006C5A92">
        <w:rPr>
          <w:rStyle w:val="Rimandonotaapidipagina"/>
          <w:i w:val="0"/>
          <w:smallCaps w:val="0"/>
        </w:rPr>
        <w:footnoteReference w:id="53"/>
      </w:r>
      <w:r w:rsidR="006C5A92">
        <w:rPr>
          <w:i w:val="0"/>
          <w:smallCaps w:val="0"/>
        </w:rPr>
        <w:t>.</w:t>
      </w:r>
    </w:p>
    <w:p w:rsidR="00087E51" w:rsidRDefault="00087E51" w:rsidP="00BD6861">
      <w:pPr>
        <w:pStyle w:val="Paragrafoelenco"/>
        <w:ind w:left="0" w:firstLine="426"/>
        <w:jc w:val="both"/>
        <w:rPr>
          <w:i w:val="0"/>
          <w:smallCaps w:val="0"/>
        </w:rPr>
      </w:pPr>
      <w:r>
        <w:rPr>
          <w:i w:val="0"/>
          <w:smallCaps w:val="0"/>
        </w:rPr>
        <w:t xml:space="preserve">Ecco dunque che l’attenzione deve spostarsi, dalla considerazione astratta della struttura della fattispecie normativa, all’esame dei criteri e degli elementi che devono guidare l’esercizio della discrezionalità dell’autorità prefettizia nell’individuazione delle condotte e circostanze sintomatiche del pericolo di infiltrazione mafiosa. In tale prospettiva, è frequente in giurisprudenza l’affermazione che, proprio in virtù della </w:t>
      </w:r>
      <w:r>
        <w:rPr>
          <w:smallCaps w:val="0"/>
        </w:rPr>
        <w:t xml:space="preserve">ratio </w:t>
      </w:r>
      <w:r>
        <w:rPr>
          <w:i w:val="0"/>
          <w:smallCaps w:val="0"/>
        </w:rPr>
        <w:t xml:space="preserve">legislativa di anticipazione della soglia della tutela, la valutazione dei tentativi di infiltrazione deve avvenire nella logica delle caratteristiche sociologiche del fenomeno, senza doversi concretizzare necessariamente in fatti univocamente illeciti o in accertate responsabilità </w:t>
      </w:r>
      <w:r>
        <w:rPr>
          <w:i w:val="0"/>
          <w:smallCaps w:val="0"/>
        </w:rPr>
        <w:lastRenderedPageBreak/>
        <w:t xml:space="preserve">penali, ma fermandosi sulla soglia </w:t>
      </w:r>
      <w:r w:rsidRPr="001D5F7D">
        <w:rPr>
          <w:i w:val="0"/>
          <w:smallCaps w:val="0"/>
        </w:rPr>
        <w:t>dell’intimidazione, dell’influenza e del condizionamento</w:t>
      </w:r>
      <w:r w:rsidR="001D5F7D">
        <w:rPr>
          <w:rStyle w:val="Rimandonotaapidipagina"/>
          <w:i w:val="0"/>
          <w:smallCaps w:val="0"/>
        </w:rPr>
        <w:footnoteReference w:id="54"/>
      </w:r>
      <w:r w:rsidRPr="001D5F7D">
        <w:rPr>
          <w:i w:val="0"/>
          <w:smallCaps w:val="0"/>
        </w:rPr>
        <w:t>.</w:t>
      </w:r>
      <w:r w:rsidR="001D5F7D">
        <w:rPr>
          <w:i w:val="0"/>
          <w:smallCaps w:val="0"/>
        </w:rPr>
        <w:t xml:space="preserve"> Ne discende che, ai fini dell’adozione dell’</w:t>
      </w:r>
      <w:proofErr w:type="spellStart"/>
      <w:r w:rsidR="001D5F7D">
        <w:rPr>
          <w:i w:val="0"/>
          <w:smallCaps w:val="0"/>
        </w:rPr>
        <w:t>interdittiva</w:t>
      </w:r>
      <w:proofErr w:type="spellEnd"/>
      <w:r w:rsidR="001D5F7D">
        <w:rPr>
          <w:i w:val="0"/>
          <w:smallCaps w:val="0"/>
        </w:rPr>
        <w:t xml:space="preserve"> antimafia occorre, da un lato, non già provare l’intervenuta infiltrazione mafiosa, bensì soltanto la sussistenza di elementi sintomatico-presuntivi dai quali – secondo un giudizio prognostico latamente discrezionale – sia deducibile il pericolo di ingerenza da parte della criminalità organizzata; d’altro lato, tali elementi vanno considerati in modo unitario, e non atomistico, in modo tale che ciascuno di essi acquisti una valenza nella sua connessione con gli altri</w:t>
      </w:r>
      <w:r w:rsidR="001D5F7D">
        <w:rPr>
          <w:rStyle w:val="Rimandonotaapidipagina"/>
          <w:i w:val="0"/>
          <w:smallCaps w:val="0"/>
        </w:rPr>
        <w:footnoteReference w:id="55"/>
      </w:r>
      <w:r w:rsidR="001D5F7D">
        <w:rPr>
          <w:i w:val="0"/>
          <w:smallCaps w:val="0"/>
        </w:rPr>
        <w:t>.</w:t>
      </w:r>
    </w:p>
    <w:p w:rsidR="00CF0AA9" w:rsidRDefault="00CF0AA9" w:rsidP="00BD6861">
      <w:pPr>
        <w:pStyle w:val="Paragrafoelenco"/>
        <w:ind w:left="0" w:firstLine="426"/>
        <w:jc w:val="both"/>
        <w:rPr>
          <w:i w:val="0"/>
          <w:smallCaps w:val="0"/>
        </w:rPr>
      </w:pPr>
      <w:r>
        <w:rPr>
          <w:i w:val="0"/>
          <w:smallCaps w:val="0"/>
        </w:rPr>
        <w:t>Sul carattere unitario della valutazione del quadro indiziario</w:t>
      </w:r>
      <w:r w:rsidR="00FA32C8">
        <w:rPr>
          <w:rStyle w:val="Rimandonotaapidipagina"/>
          <w:i w:val="0"/>
          <w:smallCaps w:val="0"/>
        </w:rPr>
        <w:footnoteReference w:id="56"/>
      </w:r>
      <w:r>
        <w:rPr>
          <w:i w:val="0"/>
          <w:smallCaps w:val="0"/>
        </w:rPr>
        <w:t xml:space="preserve"> si insiste in modo particolare, affermandosi che la verifica della legittimità dell’informativa antimafia deve essere effettuata sulla base di un apprezzamento complessivo degli elementi e dei fatti i quali, visti nel loro insieme, possono costituire un’ipotesi ragionevole e probabile di permeabilità della singola impresa ad ingerenze della criminalità organizzata di stampo mafioso sulla base della regola causale del “più probabile che non”, integrata da dati di comune esperienza, evincibili dall’osservazione dei fenomeni sociali (quale è quello mafioso), e che risente dell’estraneità al sistema delle informazioni antimafia di qualsiasi logica penalistica di certezza probatoria raggiunta al di là di ogni ragionevole dubbio</w:t>
      </w:r>
      <w:r>
        <w:rPr>
          <w:rStyle w:val="Rimandonotaapidipagina"/>
          <w:i w:val="0"/>
          <w:smallCaps w:val="0"/>
        </w:rPr>
        <w:footnoteReference w:id="57"/>
      </w:r>
      <w:r>
        <w:rPr>
          <w:i w:val="0"/>
          <w:smallCaps w:val="0"/>
        </w:rPr>
        <w:t xml:space="preserve">. </w:t>
      </w:r>
      <w:r w:rsidR="00F75ADD">
        <w:rPr>
          <w:i w:val="0"/>
          <w:smallCaps w:val="0"/>
        </w:rPr>
        <w:t>Correlativamente, si sottolinea l’inaccettabilità di un approccio atomistico e parcellizzato che, considerando in modo autonomo ciascuno degli elementi indiziari presi in esame, finisc</w:t>
      </w:r>
      <w:r w:rsidR="00E0504C">
        <w:rPr>
          <w:i w:val="0"/>
          <w:smallCaps w:val="0"/>
        </w:rPr>
        <w:t>a</w:t>
      </w:r>
      <w:r w:rsidR="00F75ADD">
        <w:rPr>
          <w:i w:val="0"/>
          <w:smallCaps w:val="0"/>
        </w:rPr>
        <w:t xml:space="preserve"> inevitabilmente per farne perdere la rilevanza nel legame sistematico con gli altri, con pregiudizio della loro complessiva efficacia sintomatica e dimostrativa</w:t>
      </w:r>
      <w:r w:rsidR="00F75ADD">
        <w:rPr>
          <w:rStyle w:val="Rimandonotaapidipagina"/>
          <w:i w:val="0"/>
          <w:smallCaps w:val="0"/>
        </w:rPr>
        <w:footnoteReference w:id="58"/>
      </w:r>
      <w:r w:rsidR="00F75ADD">
        <w:rPr>
          <w:i w:val="0"/>
          <w:smallCaps w:val="0"/>
        </w:rPr>
        <w:t>.</w:t>
      </w:r>
    </w:p>
    <w:p w:rsidR="00F75ADD" w:rsidRDefault="00F75ADD" w:rsidP="00BD6861">
      <w:pPr>
        <w:pStyle w:val="Paragrafoelenco"/>
        <w:ind w:left="0" w:firstLine="426"/>
        <w:jc w:val="both"/>
        <w:rPr>
          <w:i w:val="0"/>
          <w:smallCaps w:val="0"/>
        </w:rPr>
      </w:pPr>
      <w:r>
        <w:rPr>
          <w:i w:val="0"/>
          <w:smallCaps w:val="0"/>
        </w:rPr>
        <w:t xml:space="preserve">Non è in conflitto con queste affermazioni l’ulteriore rilievo per cui in tema di misure antimafia, nel rispetto dei principi di cui all’articolo 97 della Costituzione e quindi del principio di legalità sostanziale, declinato in senso forte, l’amministrazione è chiamata, esternando compiutamente le ragioni della propria valutazione nel provvedimento amministrativo, a verificare che gli elementi fattuali, anche quando “tipizzati” dal legislatore, non vengano assunti acriticamente a sostegno del provvedimento </w:t>
      </w:r>
      <w:proofErr w:type="spellStart"/>
      <w:r>
        <w:rPr>
          <w:i w:val="0"/>
          <w:smallCaps w:val="0"/>
        </w:rPr>
        <w:t>interdittivo</w:t>
      </w:r>
      <w:proofErr w:type="spellEnd"/>
      <w:r>
        <w:rPr>
          <w:i w:val="0"/>
          <w:smallCaps w:val="0"/>
        </w:rPr>
        <w:t>, ma siano dotati di individualità, concretezza ed attualità, per fondare secondo un corretto canone di inferenza logica la prognosi di permeabilità mafiosa, in base ad una struttura bifasica</w:t>
      </w:r>
      <w:r w:rsidR="004F42C8">
        <w:rPr>
          <w:i w:val="0"/>
          <w:smallCaps w:val="0"/>
        </w:rPr>
        <w:t xml:space="preserve"> (diagnosi dei fatti rilevanti e prognosi di permeabilità criminale) non dissimile, in fondo, da quella che il giudice penale compie per valutare gli elementi posti a fondamento delle misure di sicurezza personali, lungi da qualsiasi inammissibile automatismo presuntivo</w:t>
      </w:r>
      <w:r w:rsidR="004F42C8">
        <w:rPr>
          <w:rStyle w:val="Rimandonotaapidipagina"/>
          <w:i w:val="0"/>
          <w:smallCaps w:val="0"/>
        </w:rPr>
        <w:footnoteReference w:id="59"/>
      </w:r>
      <w:r w:rsidR="004F42C8">
        <w:rPr>
          <w:i w:val="0"/>
          <w:smallCaps w:val="0"/>
        </w:rPr>
        <w:t>.</w:t>
      </w:r>
    </w:p>
    <w:p w:rsidR="004F42C8" w:rsidRDefault="004F42C8" w:rsidP="00BD6861">
      <w:pPr>
        <w:pStyle w:val="Paragrafoelenco"/>
        <w:ind w:left="0" w:firstLine="426"/>
        <w:jc w:val="both"/>
        <w:rPr>
          <w:i w:val="0"/>
          <w:smallCaps w:val="0"/>
        </w:rPr>
      </w:pPr>
      <w:r>
        <w:rPr>
          <w:i w:val="0"/>
          <w:smallCaps w:val="0"/>
        </w:rPr>
        <w:t>In definitiva, ciò che connota la regola probatoria – che qui viene in rilievo – del “più probabile che non” non è un diverso procedimento logico, ma la (minore) forza dimostrativa dell’inferenza logica, sicché l’interprete è sempre vincolato a sviluppare un’argomentazione rigorosa sul piano metodologico, ancorché sia sufficiente accertare che l’ipotesi intorno a quel fatto sia più probabile di tutte le altre messe insieme, ossia rappresenti il 50% + 1 di possibilità, ovvero, con formulazione più appropriata, la c.d. probabilità cruciale</w:t>
      </w:r>
      <w:r>
        <w:rPr>
          <w:rStyle w:val="Rimandonotaapidipagina"/>
          <w:i w:val="0"/>
          <w:smallCaps w:val="0"/>
        </w:rPr>
        <w:footnoteReference w:id="60"/>
      </w:r>
      <w:r>
        <w:rPr>
          <w:i w:val="0"/>
          <w:smallCaps w:val="0"/>
        </w:rPr>
        <w:t>.</w:t>
      </w:r>
    </w:p>
    <w:p w:rsidR="00AA264A" w:rsidRDefault="00AA264A" w:rsidP="00BD6861">
      <w:pPr>
        <w:pStyle w:val="Paragrafoelenco"/>
        <w:ind w:left="0" w:firstLine="426"/>
        <w:jc w:val="both"/>
        <w:rPr>
          <w:i w:val="0"/>
          <w:iCs/>
          <w:smallCaps w:val="0"/>
          <w:color w:val="000000"/>
        </w:rPr>
      </w:pPr>
      <w:r>
        <w:rPr>
          <w:i w:val="0"/>
          <w:smallCaps w:val="0"/>
        </w:rPr>
        <w:lastRenderedPageBreak/>
        <w:t xml:space="preserve">Fondamentale conseguenza di questa impostazione, e in particolare della non necessità di un positivo accertamento di responsabilità dell’impresa, è che il presupposto per l’esercizio del potere prefettizio di emanazione di un’informativa </w:t>
      </w:r>
      <w:proofErr w:type="spellStart"/>
      <w:r>
        <w:rPr>
          <w:i w:val="0"/>
          <w:smallCaps w:val="0"/>
        </w:rPr>
        <w:t>interdittiva</w:t>
      </w:r>
      <w:proofErr w:type="spellEnd"/>
      <w:r>
        <w:rPr>
          <w:i w:val="0"/>
          <w:smallCaps w:val="0"/>
        </w:rPr>
        <w:t xml:space="preserve"> non implica necessariamente l’intenzionale adesione dell’imprenditore al tentativo di infiltrazione, potendo questa manifestarsi anche oltre l’intenzione del titolare dell’attività, insomma nelle forme, oltre che della c.d. “</w:t>
      </w:r>
      <w:r>
        <w:rPr>
          <w:smallCaps w:val="0"/>
        </w:rPr>
        <w:t>contiguità compiacente</w:t>
      </w:r>
      <w:r>
        <w:rPr>
          <w:i w:val="0"/>
          <w:smallCaps w:val="0"/>
        </w:rPr>
        <w:t>”, in quelle della c.d. “</w:t>
      </w:r>
      <w:r>
        <w:rPr>
          <w:smallCaps w:val="0"/>
        </w:rPr>
        <w:t>contiguità soggiacente</w:t>
      </w:r>
      <w:r>
        <w:rPr>
          <w:i w:val="0"/>
          <w:smallCaps w:val="0"/>
        </w:rPr>
        <w:t>”</w:t>
      </w:r>
      <w:r>
        <w:rPr>
          <w:rStyle w:val="Rimandonotaapidipagina"/>
          <w:i w:val="0"/>
          <w:smallCaps w:val="0"/>
        </w:rPr>
        <w:footnoteReference w:id="61"/>
      </w:r>
      <w:r>
        <w:rPr>
          <w:i w:val="0"/>
          <w:smallCaps w:val="0"/>
        </w:rPr>
        <w:t xml:space="preserve">. Le due forme di contiguità, </w:t>
      </w:r>
      <w:r w:rsidR="00DC2919">
        <w:rPr>
          <w:i w:val="0"/>
          <w:smallCaps w:val="0"/>
        </w:rPr>
        <w:t>entrambe pacificamente rilevanti sulla base della disciplina del d.lgs. n. 159/2011</w:t>
      </w:r>
      <w:r w:rsidR="00DC2919">
        <w:rPr>
          <w:rStyle w:val="Rimandonotaapidipagina"/>
          <w:i w:val="0"/>
          <w:smallCaps w:val="0"/>
        </w:rPr>
        <w:footnoteReference w:id="62"/>
      </w:r>
      <w:r w:rsidR="00DC2919">
        <w:rPr>
          <w:i w:val="0"/>
          <w:smallCaps w:val="0"/>
        </w:rPr>
        <w:t xml:space="preserve">, ricorrono rispettivamente quando l’imprenditore decida consapevolmente di scendere a patti con la mafia nella prospettiva di un qualche vantaggio per la propria attività e quando – invece – egli </w:t>
      </w:r>
      <w:r w:rsidR="00DC2919" w:rsidRPr="00DC2919">
        <w:rPr>
          <w:i w:val="0"/>
          <w:iCs/>
          <w:smallCaps w:val="0"/>
          <w:color w:val="000000"/>
        </w:rPr>
        <w:t>si lasci condizionare dalla minaccia mafiosa e si lasci imporre le condizioni (e/o le persone, le imprese e/o le logiche) da questa volute</w:t>
      </w:r>
      <w:r w:rsidR="00DC2919">
        <w:rPr>
          <w:rStyle w:val="Rimandonotaapidipagina"/>
          <w:i w:val="0"/>
          <w:iCs/>
          <w:smallCaps w:val="0"/>
          <w:color w:val="000000"/>
        </w:rPr>
        <w:footnoteReference w:id="63"/>
      </w:r>
      <w:r w:rsidR="00DC2919">
        <w:rPr>
          <w:i w:val="0"/>
          <w:iCs/>
          <w:smallCaps w:val="0"/>
          <w:color w:val="000000"/>
        </w:rPr>
        <w:t>; tale ultima condizione può dipendere o dal fatto che l’impresa, pur essendo di fatto vittima di delitti da parte dell’organizzazione criminale, ne subisca però la pressione estorsiva fino al punto di risultare fortemente compromessa, se non addirittura persa, la sua capacità di autodeterminazione</w:t>
      </w:r>
      <w:r w:rsidR="00DC2919">
        <w:rPr>
          <w:rStyle w:val="Rimandonotaapidipagina"/>
          <w:i w:val="0"/>
          <w:iCs/>
          <w:smallCaps w:val="0"/>
          <w:color w:val="000000"/>
        </w:rPr>
        <w:footnoteReference w:id="64"/>
      </w:r>
      <w:r w:rsidR="00DC2919">
        <w:rPr>
          <w:i w:val="0"/>
          <w:iCs/>
          <w:smallCaps w:val="0"/>
          <w:color w:val="000000"/>
        </w:rPr>
        <w:t xml:space="preserve"> ovvero dalla natura stessa della criminalità mafiosa, la cui </w:t>
      </w:r>
      <w:r w:rsidRPr="00DC2919">
        <w:rPr>
          <w:i w:val="0"/>
          <w:iCs/>
          <w:smallCaps w:val="0"/>
          <w:color w:val="000000"/>
        </w:rPr>
        <w:t xml:space="preserve">complessa organizzazione ha </w:t>
      </w:r>
      <w:r w:rsidR="00DC2919">
        <w:rPr>
          <w:i w:val="0"/>
          <w:iCs/>
          <w:smallCaps w:val="0"/>
          <w:color w:val="000000"/>
        </w:rPr>
        <w:t xml:space="preserve">spesso </w:t>
      </w:r>
      <w:r w:rsidRPr="00DC2919">
        <w:rPr>
          <w:i w:val="0"/>
          <w:iCs/>
          <w:smallCaps w:val="0"/>
          <w:color w:val="000000"/>
        </w:rPr>
        <w:t>una struttura clanica, si fonda e si articola, a livello particellare, sul nucleo fondante della famiglia, sicché in una famiglia mafiosa anche il soggetto, che non sia attinto da pregiudizio mafioso, può subire, nolente, l’influenza del capofamiglia e dell’associazione</w:t>
      </w:r>
      <w:r w:rsidR="00DC2919">
        <w:rPr>
          <w:rStyle w:val="Rimandonotaapidipagina"/>
          <w:i w:val="0"/>
          <w:iCs/>
          <w:smallCaps w:val="0"/>
          <w:color w:val="000000"/>
        </w:rPr>
        <w:footnoteReference w:id="65"/>
      </w:r>
      <w:r w:rsidR="00DC2919">
        <w:rPr>
          <w:i w:val="0"/>
          <w:iCs/>
          <w:smallCaps w:val="0"/>
          <w:color w:val="000000"/>
        </w:rPr>
        <w:t>.</w:t>
      </w:r>
    </w:p>
    <w:p w:rsidR="00DC2919" w:rsidRDefault="00DC2919" w:rsidP="00BD6861">
      <w:pPr>
        <w:pStyle w:val="Paragrafoelenco"/>
        <w:ind w:left="0" w:firstLine="426"/>
        <w:jc w:val="both"/>
        <w:rPr>
          <w:i w:val="0"/>
          <w:iCs/>
          <w:smallCaps w:val="0"/>
          <w:color w:val="000000"/>
        </w:rPr>
      </w:pPr>
    </w:p>
    <w:p w:rsidR="00DC2919" w:rsidRDefault="00DC2919" w:rsidP="00BD6861">
      <w:pPr>
        <w:pStyle w:val="Paragrafoelenco"/>
        <w:ind w:left="0" w:firstLine="426"/>
        <w:jc w:val="both"/>
        <w:rPr>
          <w:i w:val="0"/>
          <w:iCs/>
          <w:smallCaps w:val="0"/>
          <w:color w:val="000000"/>
        </w:rPr>
      </w:pPr>
    </w:p>
    <w:p w:rsidR="00DC2919" w:rsidRDefault="00DC2919" w:rsidP="00BD6861">
      <w:pPr>
        <w:pStyle w:val="Paragrafoelenco"/>
        <w:ind w:left="0" w:firstLine="426"/>
        <w:jc w:val="both"/>
        <w:rPr>
          <w:b/>
          <w:i w:val="0"/>
          <w:smallCaps w:val="0"/>
        </w:rPr>
      </w:pPr>
      <w:r>
        <w:rPr>
          <w:b/>
          <w:i w:val="0"/>
          <w:iCs/>
          <w:smallCaps w:val="0"/>
          <w:color w:val="000000"/>
        </w:rPr>
        <w:t xml:space="preserve">6. </w:t>
      </w:r>
      <w:r w:rsidRPr="00DC2919">
        <w:rPr>
          <w:b/>
          <w:i w:val="0"/>
          <w:smallCaps w:val="0"/>
        </w:rPr>
        <w:t>I singoli elementi indizianti tra tassatività “formale” e tassatività “sostanziale”.</w:t>
      </w:r>
    </w:p>
    <w:p w:rsidR="00D97815" w:rsidRDefault="00D97815" w:rsidP="00BD6861">
      <w:pPr>
        <w:pStyle w:val="Paragrafoelenco"/>
        <w:ind w:left="0" w:firstLine="426"/>
        <w:jc w:val="both"/>
        <w:rPr>
          <w:b/>
          <w:i w:val="0"/>
          <w:smallCaps w:val="0"/>
        </w:rPr>
      </w:pPr>
    </w:p>
    <w:p w:rsidR="00D97815" w:rsidRDefault="00D97815" w:rsidP="00BD6861">
      <w:pPr>
        <w:pStyle w:val="Paragrafoelenco"/>
        <w:ind w:left="0" w:firstLine="426"/>
        <w:jc w:val="both"/>
        <w:rPr>
          <w:i w:val="0"/>
          <w:smallCaps w:val="0"/>
        </w:rPr>
      </w:pPr>
      <w:r>
        <w:rPr>
          <w:i w:val="0"/>
          <w:smallCaps w:val="0"/>
        </w:rPr>
        <w:t xml:space="preserve">I rilievi svolti al paragrafo precedente aiutano a comprendere il perché, ai fini della verifica del rispetto di quelle che si è visto essere le ineludibili condizioni minime di tassatività (sia pure intesa in senso “sostanziale”) delle fattispecie idonee a legittimare l’adozione dell’informativa </w:t>
      </w:r>
      <w:proofErr w:type="spellStart"/>
      <w:r>
        <w:rPr>
          <w:i w:val="0"/>
          <w:smallCaps w:val="0"/>
        </w:rPr>
        <w:t>interdittiva</w:t>
      </w:r>
      <w:proofErr w:type="spellEnd"/>
      <w:r>
        <w:rPr>
          <w:i w:val="0"/>
          <w:smallCaps w:val="0"/>
        </w:rPr>
        <w:t>, risulti decisiva l’analisi della casistica giurisprudenziale. E in effetti, al netto di qualche oscillazione o divergenza di opinioni la cui gravità è stata forse eccessivamente enfatizzata dai commentatori</w:t>
      </w:r>
      <w:r w:rsidR="00FC7975">
        <w:rPr>
          <w:rStyle w:val="Rimandonotaapidipagina"/>
          <w:i w:val="0"/>
          <w:smallCaps w:val="0"/>
        </w:rPr>
        <w:footnoteReference w:id="66"/>
      </w:r>
      <w:r>
        <w:rPr>
          <w:i w:val="0"/>
          <w:smallCaps w:val="0"/>
        </w:rPr>
        <w:t xml:space="preserve">, un’attenta disamina della </w:t>
      </w:r>
      <w:r>
        <w:rPr>
          <w:smallCaps w:val="0"/>
        </w:rPr>
        <w:t xml:space="preserve">case law </w:t>
      </w:r>
      <w:r>
        <w:rPr>
          <w:i w:val="0"/>
          <w:smallCaps w:val="0"/>
        </w:rPr>
        <w:t xml:space="preserve">in materia dimostra come, da un lato, soprattutto il Consiglio di Stato si sia fatto carico di fornire </w:t>
      </w:r>
      <w:r w:rsidR="00FC7975">
        <w:rPr>
          <w:i w:val="0"/>
          <w:smallCaps w:val="0"/>
        </w:rPr>
        <w:t>all’amministrazione – talora tramite vere e proprie “sentenze-decalogo” - preziose e univoche indicazioni in ordine a coordinate e modalità delle verifiche istruttorie, intensità dell’onere motivazionale etc. (in modo da assolvere a quella funzione di “</w:t>
      </w:r>
      <w:r w:rsidR="00FC7975" w:rsidRPr="00FC7975">
        <w:rPr>
          <w:smallCaps w:val="0"/>
        </w:rPr>
        <w:t>integrazione</w:t>
      </w:r>
      <w:r w:rsidR="00FC7975">
        <w:rPr>
          <w:i w:val="0"/>
          <w:smallCaps w:val="0"/>
        </w:rPr>
        <w:t>” che la Corte costituzionale ha qualificato come essenziale per il rispetto del principio di legalità sostanzial</w:t>
      </w:r>
      <w:r w:rsidR="00E0504C">
        <w:rPr>
          <w:i w:val="0"/>
          <w:smallCaps w:val="0"/>
        </w:rPr>
        <w:t>e); dall’altro lato, le stesse P</w:t>
      </w:r>
      <w:r w:rsidR="00FC7975">
        <w:rPr>
          <w:i w:val="0"/>
          <w:smallCaps w:val="0"/>
        </w:rPr>
        <w:t>refetture abbiano fatto tesoro e di fatto assimilato</w:t>
      </w:r>
      <w:r w:rsidR="009B7AE7">
        <w:rPr>
          <w:i w:val="0"/>
          <w:smallCaps w:val="0"/>
        </w:rPr>
        <w:t xml:space="preserve"> i principi essenziali enunciati dalla giurisprudenza, in modo da rendere più rapido e agevole l’esercizio del diritto di difesa da parte delle imprese colpite dalle misure e al tempo stesso assicurare una maggiore tenuta delle stesse al vaglio del giudice amministrativo, come dimostrato dalla bassa percentuale di annullamenti</w:t>
      </w:r>
      <w:r w:rsidR="009B7AE7">
        <w:rPr>
          <w:rStyle w:val="Rimandonotaapidipagina"/>
          <w:i w:val="0"/>
          <w:smallCaps w:val="0"/>
        </w:rPr>
        <w:footnoteReference w:id="67"/>
      </w:r>
      <w:r w:rsidR="009B7AE7">
        <w:rPr>
          <w:i w:val="0"/>
          <w:smallCaps w:val="0"/>
        </w:rPr>
        <w:t>.</w:t>
      </w:r>
    </w:p>
    <w:p w:rsidR="008D7AB5" w:rsidRDefault="008D7AB5" w:rsidP="00BD6861">
      <w:pPr>
        <w:pStyle w:val="Paragrafoelenco"/>
        <w:ind w:left="0" w:firstLine="426"/>
        <w:jc w:val="both"/>
        <w:rPr>
          <w:i w:val="0"/>
          <w:smallCaps w:val="0"/>
          <w:shd w:val="clear" w:color="auto" w:fill="FFFFFF"/>
        </w:rPr>
      </w:pPr>
      <w:r>
        <w:rPr>
          <w:i w:val="0"/>
          <w:smallCaps w:val="0"/>
        </w:rPr>
        <w:lastRenderedPageBreak/>
        <w:t>L’approfondimento delle singole circostanze indizianti non può prescindere dalla disamina preliminare della disposizione contenuta nel comma 4 dell’articolo 84 del d.lgs. n. 159/2011, che individua le vicende da cui il Prefetto può desumere le “</w:t>
      </w:r>
      <w:r>
        <w:rPr>
          <w:smallCaps w:val="0"/>
        </w:rPr>
        <w:t>situazioni relative ai tentativi di infiltrazione mafiosa</w:t>
      </w:r>
      <w:r>
        <w:rPr>
          <w:i w:val="0"/>
          <w:smallCaps w:val="0"/>
        </w:rPr>
        <w:t>”. In realtà, è pacifico doversi escludere il carattere tassativo di tale elencazione, dal momento che la stessa è integrata e completata dalla previsione di cui al successivo articolo 91, comma 6, secondo cui il condizionamento mafioso può essere desunto anche “</w:t>
      </w:r>
      <w:r w:rsidRPr="000029FE">
        <w:rPr>
          <w:smallCaps w:val="0"/>
          <w:shd w:val="clear" w:color="auto" w:fill="FFFFFF"/>
        </w:rPr>
        <w:t>da provvedimenti di condanna anche non definitiva per reati strumentali all’attività delle organizzazioni criminali unitamente a concreti elementi da cui risulti che l’attività d’impresa possa, anche in modo indiretto, agevolare le attività criminose o esserne in qualche modo condizionata, nonché dall’accertamento delle violazioni degli obblighi di tracciabilità dei flussi finanziari di cui all’</w:t>
      </w:r>
      <w:hyperlink r:id="rId8" w:history="1">
        <w:r w:rsidRPr="000029FE">
          <w:rPr>
            <w:smallCaps w:val="0"/>
          </w:rPr>
          <w:t>articolo 3 della legge 13 agosto 2010, n. 136</w:t>
        </w:r>
      </w:hyperlink>
      <w:r w:rsidRPr="000029FE">
        <w:rPr>
          <w:smallCaps w:val="0"/>
          <w:shd w:val="clear" w:color="auto" w:fill="FFFFFF"/>
        </w:rPr>
        <w:t>, commesse con la condizione della reiterazione prevista dall’</w:t>
      </w:r>
      <w:hyperlink r:id="rId9" w:history="1">
        <w:r w:rsidRPr="000029FE">
          <w:rPr>
            <w:smallCaps w:val="0"/>
          </w:rPr>
          <w:t>articolo 8-bis della legge 24 novembre 1981, n. 689</w:t>
        </w:r>
      </w:hyperlink>
      <w:r>
        <w:rPr>
          <w:rFonts w:ascii="Fira Sans" w:hAnsi="Fira Sans"/>
          <w:i w:val="0"/>
          <w:smallCaps w:val="0"/>
          <w:shd w:val="clear" w:color="auto" w:fill="FFFFFF"/>
        </w:rPr>
        <w:t>”</w:t>
      </w:r>
      <w:r>
        <w:rPr>
          <w:rStyle w:val="Rimandonotaapidipagina"/>
          <w:rFonts w:ascii="Fira Sans" w:hAnsi="Fira Sans"/>
          <w:i w:val="0"/>
          <w:smallCaps w:val="0"/>
          <w:shd w:val="clear" w:color="auto" w:fill="FFFFFF"/>
        </w:rPr>
        <w:footnoteReference w:id="68"/>
      </w:r>
      <w:r>
        <w:rPr>
          <w:rFonts w:ascii="Fira Sans" w:hAnsi="Fira Sans"/>
          <w:i w:val="0"/>
          <w:smallCaps w:val="0"/>
          <w:shd w:val="clear" w:color="auto" w:fill="FFFFFF"/>
        </w:rPr>
        <w:t>. Lo stesso elenco contenuto nell’articolo 84 si configura come “aperto”, risolvendosi in una serie di elementi fattuali, taluni dei quali tipizzati dal legislatore (si pensi ai cc.dd. “delitti</w:t>
      </w:r>
      <w:r w:rsidR="00E0504C">
        <w:rPr>
          <w:rFonts w:ascii="Fira Sans" w:hAnsi="Fira Sans"/>
          <w:i w:val="0"/>
          <w:smallCaps w:val="0"/>
          <w:shd w:val="clear" w:color="auto" w:fill="FFFFFF"/>
        </w:rPr>
        <w:t>-</w:t>
      </w:r>
      <w:r>
        <w:rPr>
          <w:rFonts w:ascii="Fira Sans" w:hAnsi="Fira Sans"/>
          <w:i w:val="0"/>
          <w:smallCaps w:val="0"/>
          <w:shd w:val="clear" w:color="auto" w:fill="FFFFFF"/>
        </w:rPr>
        <w:t xml:space="preserve">spia”, su cui si tornerà subito appresso), mentre altri, “a condotta libera”, sono lasciati al prudente e motivato apprezzamento discrezionale </w:t>
      </w:r>
      <w:r w:rsidR="000029FE">
        <w:rPr>
          <w:rFonts w:ascii="Fira Sans" w:hAnsi="Fira Sans"/>
          <w:i w:val="0"/>
          <w:smallCaps w:val="0"/>
          <w:shd w:val="clear" w:color="auto" w:fill="FFFFFF"/>
        </w:rPr>
        <w:t>dell’autorità amministrativa</w:t>
      </w:r>
      <w:r w:rsidR="000029FE">
        <w:rPr>
          <w:rStyle w:val="Rimandonotaapidipagina"/>
          <w:rFonts w:ascii="Fira Sans" w:hAnsi="Fira Sans"/>
          <w:i w:val="0"/>
          <w:smallCaps w:val="0"/>
          <w:shd w:val="clear" w:color="auto" w:fill="FFFFFF"/>
        </w:rPr>
        <w:footnoteReference w:id="69"/>
      </w:r>
      <w:r w:rsidR="000029FE">
        <w:rPr>
          <w:rFonts w:ascii="Fira Sans" w:hAnsi="Fira Sans"/>
          <w:i w:val="0"/>
          <w:smallCaps w:val="0"/>
          <w:shd w:val="clear" w:color="auto" w:fill="FFFFFF"/>
        </w:rPr>
        <w:t xml:space="preserve">; ciò in quanto gli </w:t>
      </w:r>
      <w:r w:rsidR="000029FE" w:rsidRPr="000029FE">
        <w:rPr>
          <w:i w:val="0"/>
          <w:smallCaps w:val="0"/>
          <w:shd w:val="clear" w:color="auto" w:fill="FFFFFF"/>
        </w:rPr>
        <w:t xml:space="preserve">elementi di inquinamento mafioso, ben lungi dal costituire un </w:t>
      </w:r>
      <w:proofErr w:type="spellStart"/>
      <w:r w:rsidR="000029FE" w:rsidRPr="000029FE">
        <w:rPr>
          <w:smallCaps w:val="0"/>
          <w:shd w:val="clear" w:color="auto" w:fill="FFFFFF"/>
        </w:rPr>
        <w:t>numerus</w:t>
      </w:r>
      <w:proofErr w:type="spellEnd"/>
      <w:r w:rsidR="0015214A">
        <w:rPr>
          <w:smallCaps w:val="0"/>
          <w:shd w:val="clear" w:color="auto" w:fill="FFFFFF"/>
        </w:rPr>
        <w:t xml:space="preserve"> </w:t>
      </w:r>
      <w:proofErr w:type="spellStart"/>
      <w:r w:rsidR="000029FE" w:rsidRPr="000029FE">
        <w:rPr>
          <w:smallCaps w:val="0"/>
          <w:shd w:val="clear" w:color="auto" w:fill="FFFFFF"/>
        </w:rPr>
        <w:t>clausus</w:t>
      </w:r>
      <w:proofErr w:type="spellEnd"/>
      <w:r w:rsidR="000029FE" w:rsidRPr="000029FE">
        <w:rPr>
          <w:i w:val="0"/>
          <w:smallCaps w:val="0"/>
          <w:shd w:val="clear" w:color="auto" w:fill="FFFFFF"/>
        </w:rPr>
        <w:t>, assumono forme e caratteristiche diverse secondo i tempi, i luoghi e le persone e sfuggono, per l</w:t>
      </w:r>
      <w:r w:rsidR="000029FE">
        <w:rPr>
          <w:i w:val="0"/>
          <w:smallCaps w:val="0"/>
          <w:shd w:val="clear" w:color="auto" w:fill="FFFFFF"/>
        </w:rPr>
        <w:t>’</w:t>
      </w:r>
      <w:r w:rsidR="000029FE" w:rsidRPr="000029FE">
        <w:rPr>
          <w:i w:val="0"/>
          <w:smallCaps w:val="0"/>
          <w:shd w:val="clear" w:color="auto" w:fill="FFFFFF"/>
        </w:rPr>
        <w:t>insidiosa pervasività e mutevolezza, anzitutto sul piano sociale, del fenomeno mafioso, ad un preciso inquadramento</w:t>
      </w:r>
      <w:r w:rsidR="000029FE">
        <w:rPr>
          <w:rStyle w:val="Rimandonotaapidipagina"/>
          <w:i w:val="0"/>
          <w:smallCaps w:val="0"/>
          <w:shd w:val="clear" w:color="auto" w:fill="FFFFFF"/>
        </w:rPr>
        <w:footnoteReference w:id="70"/>
      </w:r>
      <w:r w:rsidR="000029FE">
        <w:rPr>
          <w:i w:val="0"/>
          <w:smallCaps w:val="0"/>
          <w:shd w:val="clear" w:color="auto" w:fill="FFFFFF"/>
        </w:rPr>
        <w:t>.</w:t>
      </w:r>
    </w:p>
    <w:p w:rsidR="00952F6E" w:rsidRDefault="000029FE" w:rsidP="00BD6861">
      <w:pPr>
        <w:pStyle w:val="Paragrafoelenco"/>
        <w:ind w:left="0" w:firstLine="426"/>
        <w:jc w:val="both"/>
        <w:rPr>
          <w:i w:val="0"/>
          <w:smallCaps w:val="0"/>
        </w:rPr>
      </w:pPr>
      <w:r>
        <w:rPr>
          <w:i w:val="0"/>
          <w:smallCaps w:val="0"/>
          <w:shd w:val="clear" w:color="auto" w:fill="FFFFFF"/>
        </w:rPr>
        <w:t>Tipizzata, in particolare, è l’indicazione delle fattispecie di reato che possono costituire “spia” del condizionamento mafioso, e che pertanto consentono di desumere l’esistenza dei presupposti per l’adozione di un’</w:t>
      </w:r>
      <w:proofErr w:type="spellStart"/>
      <w:r>
        <w:rPr>
          <w:i w:val="0"/>
          <w:smallCaps w:val="0"/>
          <w:shd w:val="clear" w:color="auto" w:fill="FFFFFF"/>
        </w:rPr>
        <w:t>interdittiva</w:t>
      </w:r>
      <w:proofErr w:type="spellEnd"/>
      <w:r>
        <w:rPr>
          <w:i w:val="0"/>
          <w:smallCaps w:val="0"/>
          <w:shd w:val="clear" w:color="auto" w:fill="FFFFFF"/>
        </w:rPr>
        <w:t xml:space="preserve"> in caso non solo di condanna (anche non definitiva) ma anche di semplice rinvio a giudizio ovvero di applicazione di misure cautelari</w:t>
      </w:r>
      <w:r>
        <w:rPr>
          <w:rStyle w:val="Rimandonotaapidipagina"/>
          <w:i w:val="0"/>
          <w:smallCaps w:val="0"/>
          <w:shd w:val="clear" w:color="auto" w:fill="FFFFFF"/>
        </w:rPr>
        <w:footnoteReference w:id="71"/>
      </w:r>
      <w:r>
        <w:rPr>
          <w:i w:val="0"/>
          <w:smallCaps w:val="0"/>
          <w:shd w:val="clear" w:color="auto" w:fill="FFFFFF"/>
        </w:rPr>
        <w:t>.</w:t>
      </w:r>
      <w:r w:rsidR="0016581E">
        <w:rPr>
          <w:i w:val="0"/>
          <w:smallCaps w:val="0"/>
          <w:shd w:val="clear" w:color="auto" w:fill="FFFFFF"/>
        </w:rPr>
        <w:t xml:space="preserve"> A fronte di un orientamento tendente a ricostruire in termini di automatismo il rapporto tra i provvedimenti relativi ai delitti-spia, nel senso che in presenza di essi </w:t>
      </w:r>
      <w:r w:rsidR="0016581E" w:rsidRPr="0016581E">
        <w:rPr>
          <w:i w:val="0"/>
          <w:smallCaps w:val="0"/>
          <w:color w:val="000000"/>
        </w:rPr>
        <w:t>il Prefetto non dovrebbe fare altro che limitarsi ad “attestare” la sussistenza del rischio infiltrativo siccome desunto dalla mera ricognizione della vicenda penale nei termini e nei limiti in cui è contemplata dalla disposizione</w:t>
      </w:r>
      <w:r w:rsidR="0016581E">
        <w:rPr>
          <w:i w:val="0"/>
          <w:smallCaps w:val="0"/>
          <w:color w:val="000000"/>
        </w:rPr>
        <w:t>, essendo stato il legislatore a monte a operare per tali ipotesi la prognosi di permeabilità mafiosa</w:t>
      </w:r>
      <w:r w:rsidR="0016581E">
        <w:rPr>
          <w:rStyle w:val="Rimandonotaapidipagina"/>
          <w:i w:val="0"/>
          <w:smallCaps w:val="0"/>
          <w:color w:val="000000"/>
        </w:rPr>
        <w:footnoteReference w:id="72"/>
      </w:r>
      <w:r w:rsidR="0016581E">
        <w:rPr>
          <w:i w:val="0"/>
          <w:smallCaps w:val="0"/>
          <w:color w:val="000000"/>
        </w:rPr>
        <w:t>, la giurisprudenza più recente – al contrario – è ferma nel sostenere che l’</w:t>
      </w:r>
      <w:r w:rsidR="0016581E" w:rsidRPr="0016581E">
        <w:rPr>
          <w:i w:val="0"/>
          <w:smallCaps w:val="0"/>
        </w:rPr>
        <w:t xml:space="preserve">informazione antimafia non ha </w:t>
      </w:r>
      <w:r w:rsidR="0016581E">
        <w:rPr>
          <w:i w:val="0"/>
          <w:smallCaps w:val="0"/>
        </w:rPr>
        <w:t xml:space="preserve">mai </w:t>
      </w:r>
      <w:r w:rsidR="0016581E" w:rsidRPr="0016581E">
        <w:rPr>
          <w:i w:val="0"/>
          <w:smallCaps w:val="0"/>
        </w:rPr>
        <w:t>carattere vincolato o automatico nemmeno a fronte di condanne per delitti-spia</w:t>
      </w:r>
      <w:r w:rsidR="0015214A">
        <w:rPr>
          <w:i w:val="0"/>
          <w:smallCaps w:val="0"/>
        </w:rPr>
        <w:t xml:space="preserve"> </w:t>
      </w:r>
      <w:r w:rsidR="0016581E" w:rsidRPr="0016581E">
        <w:rPr>
          <w:i w:val="0"/>
          <w:smallCaps w:val="0"/>
        </w:rPr>
        <w:t>(e, quindi,</w:t>
      </w:r>
      <w:r w:rsidR="0015214A">
        <w:rPr>
          <w:i w:val="0"/>
          <w:smallCaps w:val="0"/>
        </w:rPr>
        <w:t xml:space="preserve"> </w:t>
      </w:r>
      <w:r w:rsidR="0016581E" w:rsidRPr="0016581E">
        <w:rPr>
          <w:iCs/>
          <w:smallCaps w:val="0"/>
        </w:rPr>
        <w:t>a fortiori</w:t>
      </w:r>
      <w:r w:rsidR="0015214A">
        <w:rPr>
          <w:iCs/>
          <w:smallCaps w:val="0"/>
        </w:rPr>
        <w:t xml:space="preserve"> </w:t>
      </w:r>
      <w:r w:rsidR="0016581E" w:rsidRPr="0016581E">
        <w:rPr>
          <w:i w:val="0"/>
          <w:smallCaps w:val="0"/>
        </w:rPr>
        <w:t>in caso di semplice rinvio a giudizio)</w:t>
      </w:r>
      <w:r w:rsidR="0016581E">
        <w:rPr>
          <w:i w:val="0"/>
          <w:smallCaps w:val="0"/>
        </w:rPr>
        <w:t>:</w:t>
      </w:r>
      <w:r w:rsidR="0016581E" w:rsidRPr="0016581E">
        <w:rPr>
          <w:i w:val="0"/>
          <w:smallCaps w:val="0"/>
        </w:rPr>
        <w:t xml:space="preserve"> </w:t>
      </w:r>
      <w:r w:rsidR="0016581E">
        <w:rPr>
          <w:i w:val="0"/>
          <w:smallCaps w:val="0"/>
        </w:rPr>
        <w:t xml:space="preserve">sicché nei casi esaminati </w:t>
      </w:r>
      <w:r w:rsidR="0016581E" w:rsidRPr="0016581E">
        <w:rPr>
          <w:i w:val="0"/>
          <w:smallCaps w:val="0"/>
        </w:rPr>
        <w:t>il Prefetto deve necessariamente tenere in conto - ed è questo il tratto, imprescindibile, di doverosità - l’emissione o, comunque, il sopravvenire di un provvedimento giurisdizionale, nel suo valore estrinseco, tipizzato dal legislatore, di fatto sintomatico di infiltrazione mafiosa a fronte di uno dei delitti-spia, previsti dall’articolo 84, comma 4, lettera</w:t>
      </w:r>
      <w:r w:rsidR="0015214A">
        <w:rPr>
          <w:i w:val="0"/>
          <w:smallCaps w:val="0"/>
        </w:rPr>
        <w:t xml:space="preserve"> </w:t>
      </w:r>
      <w:r w:rsidR="0016581E" w:rsidRPr="0016581E">
        <w:rPr>
          <w:iCs/>
          <w:smallCaps w:val="0"/>
        </w:rPr>
        <w:t>a</w:t>
      </w:r>
      <w:r w:rsidR="0016581E" w:rsidRPr="0016581E">
        <w:rPr>
          <w:i w:val="0"/>
          <w:smallCaps w:val="0"/>
        </w:rPr>
        <w:t xml:space="preserve">); ma deve nel contempo - ed è questo il tratto, immancabile, di discrezionalità - effettuare anche un autonomo apprezzamento, nel loro contenuto intrinseco, delle risultanze penali, senza istituire un inammissibile </w:t>
      </w:r>
      <w:r w:rsidR="0016581E" w:rsidRPr="0016581E">
        <w:rPr>
          <w:i w:val="0"/>
          <w:smallCaps w:val="0"/>
        </w:rPr>
        <w:lastRenderedPageBreak/>
        <w:t xml:space="preserve">automatismo tra l’emissione del provvedimento giurisdizionale e l’emissione dell’informativa ad effetto </w:t>
      </w:r>
      <w:proofErr w:type="spellStart"/>
      <w:r w:rsidR="0016581E" w:rsidRPr="0016581E">
        <w:rPr>
          <w:i w:val="0"/>
          <w:smallCaps w:val="0"/>
        </w:rPr>
        <w:t>interdittivo</w:t>
      </w:r>
      <w:proofErr w:type="spellEnd"/>
      <w:r w:rsidR="0016581E">
        <w:rPr>
          <w:rStyle w:val="Rimandonotaapidipagina"/>
          <w:i w:val="0"/>
          <w:smallCaps w:val="0"/>
        </w:rPr>
        <w:footnoteReference w:id="73"/>
      </w:r>
      <w:r w:rsidR="0016581E">
        <w:rPr>
          <w:i w:val="0"/>
          <w:smallCaps w:val="0"/>
        </w:rPr>
        <w:t>.</w:t>
      </w:r>
    </w:p>
    <w:p w:rsidR="00232512" w:rsidRDefault="00952F6E" w:rsidP="00BD6861">
      <w:pPr>
        <w:pStyle w:val="Paragrafoelenco"/>
        <w:ind w:left="0" w:firstLine="426"/>
        <w:jc w:val="both"/>
        <w:rPr>
          <w:i w:val="0"/>
          <w:smallCaps w:val="0"/>
        </w:rPr>
      </w:pPr>
      <w:r>
        <w:rPr>
          <w:i w:val="0"/>
          <w:smallCaps w:val="0"/>
        </w:rPr>
        <w:t xml:space="preserve">Del pari tipizzate sono le situazioni sintomatiche di cui alle successive lettere </w:t>
      </w:r>
      <w:r>
        <w:rPr>
          <w:smallCaps w:val="0"/>
        </w:rPr>
        <w:t>b</w:t>
      </w:r>
      <w:r>
        <w:rPr>
          <w:i w:val="0"/>
          <w:smallCaps w:val="0"/>
        </w:rPr>
        <w:t xml:space="preserve">) e </w:t>
      </w:r>
      <w:r>
        <w:rPr>
          <w:smallCaps w:val="0"/>
        </w:rPr>
        <w:t>c</w:t>
      </w:r>
      <w:r>
        <w:rPr>
          <w:i w:val="0"/>
          <w:smallCaps w:val="0"/>
        </w:rPr>
        <w:t xml:space="preserve">), riferite rispettivamente alla proposta o al provvedimento di applicazione di una misura di prevenzione ed all’omessa denuncia all’autorità giudiziaria dei reati di cui agli articoli 317 e 629 del codice penale, aggravati ai sensi dell’articolo 7 del </w:t>
      </w:r>
      <w:proofErr w:type="spellStart"/>
      <w:r>
        <w:rPr>
          <w:i w:val="0"/>
          <w:smallCaps w:val="0"/>
        </w:rPr>
        <w:t>d.l.</w:t>
      </w:r>
      <w:proofErr w:type="spellEnd"/>
      <w:r>
        <w:rPr>
          <w:i w:val="0"/>
          <w:smallCaps w:val="0"/>
        </w:rPr>
        <w:t xml:space="preserve"> 13 maggio 1991, n. 152, convertito, con modificazioni, dalla legge 12 luglio 1991, n. 152</w:t>
      </w:r>
      <w:r>
        <w:rPr>
          <w:rStyle w:val="Rimandonotaapidipagina"/>
          <w:i w:val="0"/>
          <w:smallCaps w:val="0"/>
        </w:rPr>
        <w:footnoteReference w:id="74"/>
      </w:r>
      <w:r>
        <w:rPr>
          <w:i w:val="0"/>
          <w:smallCaps w:val="0"/>
        </w:rPr>
        <w:t>, da parte dei legali rappresentanti dell’impresa, in espressa</w:t>
      </w:r>
      <w:r w:rsidR="0003514F">
        <w:rPr>
          <w:i w:val="0"/>
          <w:smallCaps w:val="0"/>
        </w:rPr>
        <w:t xml:space="preserve"> convergenza con la causa di esclusione dalla procedure di affidamento di contratti pubblici oggi prevista dall’articolo 98, comma 3, lettera </w:t>
      </w:r>
      <w:r w:rsidR="0003514F">
        <w:rPr>
          <w:smallCaps w:val="0"/>
        </w:rPr>
        <w:t>f</w:t>
      </w:r>
      <w:r w:rsidR="0003514F">
        <w:rPr>
          <w:i w:val="0"/>
          <w:smallCaps w:val="0"/>
        </w:rPr>
        <w:t>), del nuovo codice dei contratti pubblici approvato con il d.lgs. 31 marzo 2023, n. 36</w:t>
      </w:r>
      <w:r w:rsidR="00232512">
        <w:rPr>
          <w:rStyle w:val="Rimandonotaapidipagina"/>
          <w:i w:val="0"/>
          <w:smallCaps w:val="0"/>
        </w:rPr>
        <w:footnoteReference w:id="75"/>
      </w:r>
      <w:r w:rsidR="0003514F">
        <w:rPr>
          <w:i w:val="0"/>
          <w:smallCaps w:val="0"/>
        </w:rPr>
        <w:t>.</w:t>
      </w:r>
    </w:p>
    <w:p w:rsidR="000029FE" w:rsidRDefault="00232512" w:rsidP="00BD6861">
      <w:pPr>
        <w:pStyle w:val="Paragrafoelenco"/>
        <w:ind w:left="0" w:firstLine="426"/>
        <w:jc w:val="both"/>
        <w:rPr>
          <w:smallCaps w:val="0"/>
        </w:rPr>
      </w:pPr>
      <w:r>
        <w:rPr>
          <w:i w:val="0"/>
          <w:smallCaps w:val="0"/>
        </w:rPr>
        <w:t xml:space="preserve">Con le successive lettere </w:t>
      </w:r>
      <w:r>
        <w:rPr>
          <w:smallCaps w:val="0"/>
        </w:rPr>
        <w:t>d</w:t>
      </w:r>
      <w:r>
        <w:rPr>
          <w:i w:val="0"/>
          <w:smallCaps w:val="0"/>
        </w:rPr>
        <w:t xml:space="preserve">) ed </w:t>
      </w:r>
      <w:r>
        <w:rPr>
          <w:smallCaps w:val="0"/>
        </w:rPr>
        <w:t>e</w:t>
      </w:r>
      <w:r>
        <w:rPr>
          <w:i w:val="0"/>
          <w:smallCaps w:val="0"/>
        </w:rPr>
        <w:t xml:space="preserve">) si entra invece nella sfera delle circostanze liberamente valutabili dal Prefetto, che può prenderne cognizione – rispettivamente – avvalendosi dei poteri di accesso e di accertamento delegati dal Ministero dell’interno ai sensi del </w:t>
      </w:r>
      <w:proofErr w:type="spellStart"/>
      <w:r>
        <w:rPr>
          <w:i w:val="0"/>
          <w:smallCaps w:val="0"/>
        </w:rPr>
        <w:t>d.l.</w:t>
      </w:r>
      <w:proofErr w:type="spellEnd"/>
      <w:r>
        <w:rPr>
          <w:i w:val="0"/>
          <w:smallCaps w:val="0"/>
        </w:rPr>
        <w:t xml:space="preserve"> 6 settembre 1982, n. 629, convertito, con modificazioni, dalla legge 12 ottobre 1982, n. 726, ovvero di quelli di cui all’articolo 93 del Codice antimafia, e degli accertamenti effettuati in altra Provincia a cura delle Prefetture competenti territorialmente; </w:t>
      </w:r>
      <w:r w:rsidR="00E3247D">
        <w:rPr>
          <w:i w:val="0"/>
          <w:smallCaps w:val="0"/>
        </w:rPr>
        <w:t xml:space="preserve">si tratta delle risultanze degli accertamenti sui cantieri e dei rapporti dei Gruppi Interforze istituiti ai sensi dell’articolo 5, comma 3, del </w:t>
      </w:r>
      <w:proofErr w:type="spellStart"/>
      <w:r w:rsidR="00E3247D">
        <w:rPr>
          <w:i w:val="0"/>
          <w:smallCaps w:val="0"/>
        </w:rPr>
        <w:t>d.m.</w:t>
      </w:r>
      <w:proofErr w:type="spellEnd"/>
      <w:r w:rsidR="00E3247D">
        <w:rPr>
          <w:i w:val="0"/>
          <w:smallCaps w:val="0"/>
        </w:rPr>
        <w:t xml:space="preserve"> 14 marzo 2003</w:t>
      </w:r>
      <w:r w:rsidR="00E3247D">
        <w:rPr>
          <w:rStyle w:val="Rimandonotaapidipagina"/>
          <w:i w:val="0"/>
          <w:smallCaps w:val="0"/>
        </w:rPr>
        <w:footnoteReference w:id="76"/>
      </w:r>
      <w:r w:rsidR="00E3247D">
        <w:rPr>
          <w:i w:val="0"/>
          <w:smallCaps w:val="0"/>
        </w:rPr>
        <w:t xml:space="preserve">, nonché di informazioni e documenti che possono essere acquisiti presso qualsiasi pubblica amministrazione o ente pubblico, anche non economico, e presso le imprese, sì da delineare un amplissimo spettro di fonti da cui è possibile trarre gli elementi oggetto della valutazione </w:t>
      </w:r>
      <w:r w:rsidR="00E3247D">
        <w:rPr>
          <w:smallCaps w:val="0"/>
        </w:rPr>
        <w:t>de qua.</w:t>
      </w:r>
    </w:p>
    <w:p w:rsidR="00E3247D" w:rsidRDefault="00E3247D" w:rsidP="00BD6861">
      <w:pPr>
        <w:pStyle w:val="Paragrafoelenco"/>
        <w:ind w:left="0" w:firstLine="426"/>
        <w:jc w:val="both"/>
        <w:rPr>
          <w:i w:val="0"/>
          <w:smallCaps w:val="0"/>
        </w:rPr>
      </w:pPr>
      <w:r>
        <w:rPr>
          <w:i w:val="0"/>
          <w:smallCaps w:val="0"/>
        </w:rPr>
        <w:t xml:space="preserve">Di qui il vasto e multiforme catalogo delle situazioni e vicende esaminate dalla casistica giurisprudenziale, che ne ha esplorato l’idoneità a </w:t>
      </w:r>
      <w:r w:rsidR="00076D3F">
        <w:rPr>
          <w:i w:val="0"/>
          <w:smallCaps w:val="0"/>
        </w:rPr>
        <w:t>porsi quali elementi sintomatici del pericolo di condizionamento mafioso, nonché le condizioni e i limiti entro cui ciò può avvenire. Si è così affermato, in particolare:</w:t>
      </w:r>
    </w:p>
    <w:p w:rsidR="00076D3F" w:rsidRPr="00076D3F" w:rsidRDefault="00076D3F" w:rsidP="00076D3F">
      <w:pPr>
        <w:pStyle w:val="Paragrafoelenco"/>
        <w:numPr>
          <w:ilvl w:val="0"/>
          <w:numId w:val="2"/>
        </w:numPr>
        <w:jc w:val="both"/>
        <w:rPr>
          <w:i w:val="0"/>
          <w:smallCaps w:val="0"/>
        </w:rPr>
      </w:pPr>
      <w:r>
        <w:rPr>
          <w:i w:val="0"/>
          <w:smallCaps w:val="0"/>
        </w:rPr>
        <w:t xml:space="preserve">che, attraverso le clausole “aperte” sopra richiamate, il legislatore ha individuato tra i possibili presupposti dell’informativa </w:t>
      </w:r>
      <w:proofErr w:type="spellStart"/>
      <w:r>
        <w:rPr>
          <w:i w:val="0"/>
          <w:smallCaps w:val="0"/>
        </w:rPr>
        <w:t>interdittiva</w:t>
      </w:r>
      <w:proofErr w:type="spellEnd"/>
      <w:r>
        <w:rPr>
          <w:i w:val="0"/>
          <w:smallCaps w:val="0"/>
        </w:rPr>
        <w:t xml:space="preserve"> </w:t>
      </w:r>
      <w:r w:rsidRPr="00076D3F">
        <w:rPr>
          <w:i w:val="0"/>
          <w:smallCaps w:val="0"/>
          <w:shd w:val="clear" w:color="auto" w:fill="FFFFFF"/>
        </w:rPr>
        <w:t>non solo i provvedimenti giudiziari adottati per i c</w:t>
      </w:r>
      <w:r w:rsidR="008D39C0">
        <w:rPr>
          <w:i w:val="0"/>
          <w:smallCaps w:val="0"/>
          <w:shd w:val="clear" w:color="auto" w:fill="FFFFFF"/>
        </w:rPr>
        <w:t>c.</w:t>
      </w:r>
      <w:r w:rsidRPr="00076D3F">
        <w:rPr>
          <w:i w:val="0"/>
          <w:smallCaps w:val="0"/>
          <w:shd w:val="clear" w:color="auto" w:fill="FFFFFF"/>
        </w:rPr>
        <w:t>d</w:t>
      </w:r>
      <w:r w:rsidR="008D39C0">
        <w:rPr>
          <w:i w:val="0"/>
          <w:smallCaps w:val="0"/>
          <w:shd w:val="clear" w:color="auto" w:fill="FFFFFF"/>
        </w:rPr>
        <w:t>d</w:t>
      </w:r>
      <w:r w:rsidRPr="00076D3F">
        <w:rPr>
          <w:i w:val="0"/>
          <w:smallCaps w:val="0"/>
          <w:shd w:val="clear" w:color="auto" w:fill="FFFFFF"/>
        </w:rPr>
        <w:t xml:space="preserve">. </w:t>
      </w:r>
      <w:r w:rsidR="008D39C0">
        <w:rPr>
          <w:i w:val="0"/>
          <w:smallCaps w:val="0"/>
          <w:shd w:val="clear" w:color="auto" w:fill="FFFFFF"/>
        </w:rPr>
        <w:t>“</w:t>
      </w:r>
      <w:r w:rsidRPr="00076D3F">
        <w:rPr>
          <w:i w:val="0"/>
          <w:smallCaps w:val="0"/>
          <w:shd w:val="clear" w:color="auto" w:fill="FFFFFF"/>
        </w:rPr>
        <w:t>reati</w:t>
      </w:r>
      <w:r w:rsidR="00FA5DA7">
        <w:rPr>
          <w:i w:val="0"/>
          <w:smallCaps w:val="0"/>
          <w:shd w:val="clear" w:color="auto" w:fill="FFFFFF"/>
        </w:rPr>
        <w:t>-</w:t>
      </w:r>
      <w:r w:rsidR="008D39C0">
        <w:rPr>
          <w:i w:val="0"/>
          <w:smallCaps w:val="0"/>
          <w:shd w:val="clear" w:color="auto" w:fill="FFFFFF"/>
        </w:rPr>
        <w:t>spia”</w:t>
      </w:r>
      <w:r w:rsidRPr="00076D3F">
        <w:rPr>
          <w:i w:val="0"/>
          <w:smallCaps w:val="0"/>
          <w:shd w:val="clear" w:color="auto" w:fill="FFFFFF"/>
        </w:rPr>
        <w:t xml:space="preserve"> menzionati nell</w:t>
      </w:r>
      <w:r w:rsidR="008D39C0">
        <w:rPr>
          <w:i w:val="0"/>
          <w:smallCaps w:val="0"/>
          <w:shd w:val="clear" w:color="auto" w:fill="FFFFFF"/>
        </w:rPr>
        <w:t>’</w:t>
      </w:r>
      <w:hyperlink r:id="rId10" w:history="1">
        <w:r w:rsidRPr="00076D3F">
          <w:rPr>
            <w:i w:val="0"/>
            <w:smallCaps w:val="0"/>
          </w:rPr>
          <w:t>art</w:t>
        </w:r>
        <w:r w:rsidR="008D39C0">
          <w:rPr>
            <w:i w:val="0"/>
            <w:smallCaps w:val="0"/>
          </w:rPr>
          <w:t>icolo</w:t>
        </w:r>
        <w:r w:rsidRPr="00076D3F">
          <w:rPr>
            <w:i w:val="0"/>
            <w:smallCaps w:val="0"/>
          </w:rPr>
          <w:t xml:space="preserve"> 84</w:t>
        </w:r>
      </w:hyperlink>
      <w:r w:rsidRPr="00076D3F">
        <w:rPr>
          <w:i w:val="0"/>
          <w:smallCaps w:val="0"/>
          <w:shd w:val="clear" w:color="auto" w:fill="FFFFFF"/>
        </w:rPr>
        <w:t>, co</w:t>
      </w:r>
      <w:r w:rsidR="008D39C0">
        <w:rPr>
          <w:i w:val="0"/>
          <w:smallCaps w:val="0"/>
          <w:shd w:val="clear" w:color="auto" w:fill="FFFFFF"/>
        </w:rPr>
        <w:t>mma</w:t>
      </w:r>
      <w:r w:rsidRPr="00076D3F">
        <w:rPr>
          <w:i w:val="0"/>
          <w:smallCaps w:val="0"/>
          <w:shd w:val="clear" w:color="auto" w:fill="FFFFFF"/>
        </w:rPr>
        <w:t xml:space="preserve"> 4, del </w:t>
      </w:r>
      <w:hyperlink r:id="rId11" w:history="1">
        <w:r w:rsidR="008D39C0">
          <w:rPr>
            <w:i w:val="0"/>
            <w:smallCaps w:val="0"/>
          </w:rPr>
          <w:t>d.l</w:t>
        </w:r>
        <w:r w:rsidRPr="00076D3F">
          <w:rPr>
            <w:i w:val="0"/>
            <w:smallCaps w:val="0"/>
          </w:rPr>
          <w:t>gs. n. 159/2011</w:t>
        </w:r>
      </w:hyperlink>
      <w:r w:rsidRPr="00076D3F">
        <w:rPr>
          <w:i w:val="0"/>
          <w:smallCaps w:val="0"/>
          <w:shd w:val="clear" w:color="auto" w:fill="FFFFFF"/>
        </w:rPr>
        <w:t>, ma anche provvedimenti giudiziari per reati</w:t>
      </w:r>
      <w:r w:rsidR="008D39C0">
        <w:rPr>
          <w:i w:val="0"/>
          <w:smallCaps w:val="0"/>
          <w:shd w:val="clear" w:color="auto" w:fill="FFFFFF"/>
        </w:rPr>
        <w:t xml:space="preserve"> che comunque risultino</w:t>
      </w:r>
      <w:r w:rsidRPr="00076D3F">
        <w:rPr>
          <w:i w:val="0"/>
          <w:smallCaps w:val="0"/>
          <w:shd w:val="clear" w:color="auto" w:fill="FFFFFF"/>
        </w:rPr>
        <w:t xml:space="preserve"> strumentali all</w:t>
      </w:r>
      <w:r w:rsidR="008D39C0">
        <w:rPr>
          <w:i w:val="0"/>
          <w:smallCaps w:val="0"/>
          <w:shd w:val="clear" w:color="auto" w:fill="FFFFFF"/>
        </w:rPr>
        <w:t>’</w:t>
      </w:r>
      <w:r w:rsidRPr="00076D3F">
        <w:rPr>
          <w:i w:val="0"/>
          <w:smallCaps w:val="0"/>
          <w:shd w:val="clear" w:color="auto" w:fill="FFFFFF"/>
        </w:rPr>
        <w:t>attività di organizzazioni criminal</w:t>
      </w:r>
      <w:r w:rsidR="008D39C0">
        <w:rPr>
          <w:i w:val="0"/>
          <w:smallCaps w:val="0"/>
          <w:shd w:val="clear" w:color="auto" w:fill="FFFFFF"/>
        </w:rPr>
        <w:t>i</w:t>
      </w:r>
      <w:r w:rsidR="008D39C0">
        <w:rPr>
          <w:rStyle w:val="Rimandonotaapidipagina"/>
          <w:i w:val="0"/>
          <w:smallCaps w:val="0"/>
          <w:shd w:val="clear" w:color="auto" w:fill="FFFFFF"/>
        </w:rPr>
        <w:footnoteReference w:id="77"/>
      </w:r>
      <w:r w:rsidR="008D39C0">
        <w:rPr>
          <w:i w:val="0"/>
          <w:smallCaps w:val="0"/>
          <w:shd w:val="clear" w:color="auto" w:fill="FFFFFF"/>
        </w:rPr>
        <w:t>;</w:t>
      </w:r>
    </w:p>
    <w:p w:rsidR="00076D3F" w:rsidRDefault="00076D3F" w:rsidP="00076D3F">
      <w:pPr>
        <w:pStyle w:val="Paragrafoelenco"/>
        <w:numPr>
          <w:ilvl w:val="0"/>
          <w:numId w:val="2"/>
        </w:numPr>
        <w:jc w:val="both"/>
        <w:rPr>
          <w:i w:val="0"/>
          <w:smallCaps w:val="0"/>
        </w:rPr>
      </w:pPr>
      <w:r>
        <w:rPr>
          <w:i w:val="0"/>
          <w:smallCaps w:val="0"/>
        </w:rPr>
        <w:t>che le condotte illecite poste a base dell’adozione di un’</w:t>
      </w:r>
      <w:proofErr w:type="spellStart"/>
      <w:r>
        <w:rPr>
          <w:i w:val="0"/>
          <w:smallCaps w:val="0"/>
        </w:rPr>
        <w:t>interdittiva</w:t>
      </w:r>
      <w:proofErr w:type="spellEnd"/>
      <w:r>
        <w:rPr>
          <w:i w:val="0"/>
          <w:smallCaps w:val="0"/>
        </w:rPr>
        <w:t xml:space="preserve"> possono essere anche non penalmente rilevanti, non essere state oggetto di procedimenti o di processi penali e possono perfino essere già stato oggetto di giudizio penale con esito di proscioglimento o di assoluzione, ovvero di indagini preliminari concluse con decreto di archiviazione, atteso che l’impossibilità di provare la responsabilità in sede penale non preclude affatto all’autorità preposta all’ordine pubblico la valutazione dei medesimi fatti sul differente piano della prevenzione e della difesa sociale</w:t>
      </w:r>
      <w:r>
        <w:rPr>
          <w:rStyle w:val="Rimandonotaapidipagina"/>
          <w:i w:val="0"/>
          <w:smallCaps w:val="0"/>
        </w:rPr>
        <w:footnoteReference w:id="78"/>
      </w:r>
      <w:r>
        <w:rPr>
          <w:i w:val="0"/>
          <w:smallCaps w:val="0"/>
        </w:rPr>
        <w:t>;</w:t>
      </w:r>
    </w:p>
    <w:p w:rsidR="008D39C0" w:rsidRDefault="008D39C0" w:rsidP="00076D3F">
      <w:pPr>
        <w:pStyle w:val="Paragrafoelenco"/>
        <w:numPr>
          <w:ilvl w:val="0"/>
          <w:numId w:val="2"/>
        </w:numPr>
        <w:jc w:val="both"/>
        <w:rPr>
          <w:i w:val="0"/>
          <w:smallCaps w:val="0"/>
        </w:rPr>
      </w:pPr>
      <w:r>
        <w:rPr>
          <w:i w:val="0"/>
          <w:smallCaps w:val="0"/>
        </w:rPr>
        <w:lastRenderedPageBreak/>
        <w:t>che l’amministrazione può altresì dare rilievo ai rapporti di parentela tra titolari, soci, amministratori, direttori generali dell’impresa e familiari, che siano soggetti affiliati, organici, contigui alle associazioni mafiose, laddove tale rapporto, per la sua natura, intensità o per altre caratteristiche concrete, lasci ritenere, per la logica del “più probabile che non”, che l’impresa abbia una conduzione collettiva e una regia familiare, di diritto o di fatto, alla quale non risultino estranei detti soggetti, ovvero che le decisioni sulla sua attività possano essere influenzate, anche indirettamente, dalla mafia attraverso la famiglia, o da un affiliato alla mafia mediante il contatto col proprio congiunto</w:t>
      </w:r>
      <w:r>
        <w:rPr>
          <w:rStyle w:val="Rimandonotaapidipagina"/>
          <w:i w:val="0"/>
          <w:smallCaps w:val="0"/>
        </w:rPr>
        <w:footnoteReference w:id="79"/>
      </w:r>
      <w:r>
        <w:rPr>
          <w:i w:val="0"/>
          <w:smallCaps w:val="0"/>
        </w:rPr>
        <w:t>;</w:t>
      </w:r>
    </w:p>
    <w:p w:rsidR="005139B3" w:rsidRDefault="005139B3" w:rsidP="00076D3F">
      <w:pPr>
        <w:pStyle w:val="Paragrafoelenco"/>
        <w:numPr>
          <w:ilvl w:val="0"/>
          <w:numId w:val="2"/>
        </w:numPr>
        <w:jc w:val="both"/>
        <w:rPr>
          <w:i w:val="0"/>
          <w:smallCaps w:val="0"/>
        </w:rPr>
      </w:pPr>
      <w:r>
        <w:rPr>
          <w:i w:val="0"/>
          <w:smallCaps w:val="0"/>
        </w:rPr>
        <w:t>che anche alcune operazioni societarie (fusioni, cessioni d’azienda etc.) possono disvelare attitudine elusiva della normativa antimafia ove risultino in concreto inidonee a creare una netta cesura con la pregressa gestione (in ipotesi a rischio di infiltrazione) subendone, anche inconsapevolmente, i tentativi di ingerenza</w:t>
      </w:r>
      <w:r>
        <w:rPr>
          <w:rStyle w:val="Rimandonotaapidipagina"/>
          <w:i w:val="0"/>
          <w:smallCaps w:val="0"/>
        </w:rPr>
        <w:footnoteReference w:id="80"/>
      </w:r>
      <w:r>
        <w:rPr>
          <w:i w:val="0"/>
          <w:smallCaps w:val="0"/>
        </w:rPr>
        <w:t>;</w:t>
      </w:r>
    </w:p>
    <w:p w:rsidR="005139B3" w:rsidRDefault="005139B3" w:rsidP="00543C3A">
      <w:pPr>
        <w:pStyle w:val="Paragrafoelenco"/>
        <w:numPr>
          <w:ilvl w:val="0"/>
          <w:numId w:val="2"/>
        </w:numPr>
        <w:jc w:val="both"/>
        <w:rPr>
          <w:i w:val="0"/>
          <w:smallCaps w:val="0"/>
        </w:rPr>
      </w:pPr>
      <w:r w:rsidRPr="005139B3">
        <w:rPr>
          <w:i w:val="0"/>
          <w:smallCaps w:val="0"/>
        </w:rPr>
        <w:t>che tra gli elementi rilevanti possono rientrare anche i ripetuti</w:t>
      </w:r>
      <w:r>
        <w:rPr>
          <w:i w:val="0"/>
          <w:smallCaps w:val="0"/>
        </w:rPr>
        <w:t xml:space="preserve"> e non occasionali</w:t>
      </w:r>
      <w:r w:rsidRPr="005139B3">
        <w:rPr>
          <w:i w:val="0"/>
          <w:smallCaps w:val="0"/>
        </w:rPr>
        <w:t xml:space="preserve"> contatt</w:t>
      </w:r>
      <w:r>
        <w:rPr>
          <w:i w:val="0"/>
          <w:smallCaps w:val="0"/>
        </w:rPr>
        <w:t>i</w:t>
      </w:r>
      <w:r w:rsidRPr="005139B3">
        <w:rPr>
          <w:i w:val="0"/>
          <w:smallCaps w:val="0"/>
        </w:rPr>
        <w:t xml:space="preserve"> o le frequentazioni con soggetti coinvolti in sodalizi criminali, che risultino avere precedenti penali o che comunque siano stati presi in considerazione in misure di prevenzione, purché </w:t>
      </w:r>
      <w:r>
        <w:rPr>
          <w:i w:val="0"/>
          <w:smallCaps w:val="0"/>
        </w:rPr>
        <w:t>non dipendano da mera causalità, o per converso da necessità</w:t>
      </w:r>
      <w:r>
        <w:rPr>
          <w:rStyle w:val="Rimandonotaapidipagina"/>
          <w:i w:val="0"/>
          <w:smallCaps w:val="0"/>
        </w:rPr>
        <w:footnoteReference w:id="81"/>
      </w:r>
      <w:r>
        <w:rPr>
          <w:i w:val="0"/>
          <w:smallCaps w:val="0"/>
        </w:rPr>
        <w:t>;</w:t>
      </w:r>
    </w:p>
    <w:p w:rsidR="006C6058" w:rsidRDefault="006C6058" w:rsidP="00543C3A">
      <w:pPr>
        <w:pStyle w:val="Paragrafoelenco"/>
        <w:numPr>
          <w:ilvl w:val="0"/>
          <w:numId w:val="2"/>
        </w:numPr>
        <w:jc w:val="both"/>
        <w:rPr>
          <w:i w:val="0"/>
          <w:smallCaps w:val="0"/>
        </w:rPr>
      </w:pPr>
      <w:r>
        <w:rPr>
          <w:i w:val="0"/>
          <w:smallCaps w:val="0"/>
        </w:rPr>
        <w:t>che il condizionamento mafioso può derivare altresì dalla presenza di soggetti controindicati nell’impresa interessata, anche in ruoli defilati rispetto a quella che appare, formalmente ed al pubblico, la gestione della stessa, al fine di consentire alle consorterie criminali per il tramite di propri uomini di fiducia, inseriti quali meri dipendenti o esecutori nell’assetto societario, di dettare dall’esterno gli obiettivi e le iniziative che l’impresa deve perseguire</w:t>
      </w:r>
      <w:r>
        <w:rPr>
          <w:rStyle w:val="Rimandonotaapidipagina"/>
          <w:i w:val="0"/>
          <w:smallCaps w:val="0"/>
        </w:rPr>
        <w:footnoteReference w:id="82"/>
      </w:r>
      <w:r>
        <w:rPr>
          <w:i w:val="0"/>
          <w:smallCaps w:val="0"/>
        </w:rPr>
        <w:t>;</w:t>
      </w:r>
    </w:p>
    <w:p w:rsidR="006C6058" w:rsidRDefault="006C6058" w:rsidP="00543C3A">
      <w:pPr>
        <w:pStyle w:val="Paragrafoelenco"/>
        <w:numPr>
          <w:ilvl w:val="0"/>
          <w:numId w:val="2"/>
        </w:numPr>
        <w:jc w:val="both"/>
        <w:rPr>
          <w:i w:val="0"/>
          <w:smallCaps w:val="0"/>
        </w:rPr>
      </w:pPr>
      <w:r>
        <w:rPr>
          <w:i w:val="0"/>
          <w:smallCaps w:val="0"/>
        </w:rPr>
        <w:t>che, infine, l’</w:t>
      </w:r>
      <w:proofErr w:type="spellStart"/>
      <w:r>
        <w:rPr>
          <w:i w:val="0"/>
          <w:smallCaps w:val="0"/>
        </w:rPr>
        <w:t>interdittiva</w:t>
      </w:r>
      <w:proofErr w:type="spellEnd"/>
      <w:r>
        <w:rPr>
          <w:i w:val="0"/>
          <w:smallCaps w:val="0"/>
        </w:rPr>
        <w:t xml:space="preserve"> può basarsi anche su circostanze ed elementi risalenti nel tempo, dal momento che il trascorrere del tempo è un elemento in sé neutro e inidoneo a elidere la portata indiziante dei fatti (concetto la cui rilevanza emerge anche in tema di aggiornamento delle informative </w:t>
      </w:r>
      <w:proofErr w:type="spellStart"/>
      <w:r>
        <w:rPr>
          <w:i w:val="0"/>
          <w:smallCaps w:val="0"/>
        </w:rPr>
        <w:t>interdittive</w:t>
      </w:r>
      <w:proofErr w:type="spellEnd"/>
      <w:r>
        <w:rPr>
          <w:i w:val="0"/>
          <w:smallCaps w:val="0"/>
        </w:rPr>
        <w:t>), e fermo restando che la valutazione dell’autorità prefettizia deve dimostrare la perdurante attualità del pericolo di condizionamento mafioso</w:t>
      </w:r>
      <w:r>
        <w:rPr>
          <w:rStyle w:val="Rimandonotaapidipagina"/>
          <w:i w:val="0"/>
          <w:smallCaps w:val="0"/>
        </w:rPr>
        <w:footnoteReference w:id="83"/>
      </w:r>
      <w:r>
        <w:rPr>
          <w:i w:val="0"/>
          <w:smallCaps w:val="0"/>
        </w:rPr>
        <w:t>.</w:t>
      </w:r>
    </w:p>
    <w:p w:rsidR="00E075BF" w:rsidRDefault="00E075BF" w:rsidP="00E075BF">
      <w:pPr>
        <w:jc w:val="both"/>
        <w:rPr>
          <w:i w:val="0"/>
          <w:smallCaps w:val="0"/>
        </w:rPr>
      </w:pPr>
    </w:p>
    <w:p w:rsidR="00E075BF" w:rsidRDefault="00E075BF" w:rsidP="00E075BF">
      <w:pPr>
        <w:jc w:val="both"/>
        <w:rPr>
          <w:i w:val="0"/>
          <w:smallCaps w:val="0"/>
        </w:rPr>
      </w:pPr>
    </w:p>
    <w:p w:rsidR="00E075BF" w:rsidRDefault="00E075BF" w:rsidP="00E075BF">
      <w:pPr>
        <w:ind w:firstLine="426"/>
        <w:jc w:val="both"/>
        <w:rPr>
          <w:b/>
          <w:i w:val="0"/>
          <w:smallCaps w:val="0"/>
        </w:rPr>
      </w:pPr>
      <w:r>
        <w:rPr>
          <w:b/>
          <w:i w:val="0"/>
          <w:smallCaps w:val="0"/>
        </w:rPr>
        <w:t xml:space="preserve">7. </w:t>
      </w:r>
      <w:r w:rsidRPr="00E075BF">
        <w:rPr>
          <w:b/>
          <w:i w:val="0"/>
          <w:smallCaps w:val="0"/>
        </w:rPr>
        <w:t xml:space="preserve">La teoria del “contagio” e le </w:t>
      </w:r>
      <w:proofErr w:type="spellStart"/>
      <w:r w:rsidRPr="00E075BF">
        <w:rPr>
          <w:b/>
          <w:i w:val="0"/>
          <w:smallCaps w:val="0"/>
        </w:rPr>
        <w:t>interdittive</w:t>
      </w:r>
      <w:proofErr w:type="spellEnd"/>
      <w:r w:rsidRPr="00E075BF">
        <w:rPr>
          <w:b/>
          <w:i w:val="0"/>
          <w:smallCaps w:val="0"/>
        </w:rPr>
        <w:t xml:space="preserve"> cc.dd. a cascata.</w:t>
      </w:r>
    </w:p>
    <w:p w:rsidR="00E075BF" w:rsidRDefault="00E075BF" w:rsidP="00E075BF">
      <w:pPr>
        <w:ind w:firstLine="426"/>
        <w:jc w:val="both"/>
        <w:rPr>
          <w:b/>
          <w:i w:val="0"/>
          <w:smallCaps w:val="0"/>
        </w:rPr>
      </w:pPr>
    </w:p>
    <w:p w:rsidR="00E075BF" w:rsidRDefault="00E075BF" w:rsidP="00E075BF">
      <w:pPr>
        <w:ind w:firstLine="426"/>
        <w:jc w:val="both"/>
        <w:rPr>
          <w:i w:val="0"/>
          <w:smallCaps w:val="0"/>
        </w:rPr>
      </w:pPr>
      <w:r>
        <w:rPr>
          <w:i w:val="0"/>
          <w:smallCaps w:val="0"/>
        </w:rPr>
        <w:t xml:space="preserve">Particolarmente frequente, e per questo meritevole di trattazione autonoma, è l’ipotesi in cui l’adozione di un’informativa </w:t>
      </w:r>
      <w:proofErr w:type="spellStart"/>
      <w:r>
        <w:rPr>
          <w:i w:val="0"/>
          <w:smallCaps w:val="0"/>
        </w:rPr>
        <w:t>interdittiva</w:t>
      </w:r>
      <w:proofErr w:type="spellEnd"/>
      <w:r>
        <w:rPr>
          <w:i w:val="0"/>
          <w:smallCaps w:val="0"/>
        </w:rPr>
        <w:t xml:space="preserve"> sia motivata con l’esistenza di rapporti e cointeressenze economiche tra l’impresa interessata ed altro operatore, a sua volta ritenuto esposto al rischio di influenza criminale e – in tesi – già raggiunto da un’informativa </w:t>
      </w:r>
      <w:proofErr w:type="spellStart"/>
      <w:r>
        <w:rPr>
          <w:i w:val="0"/>
          <w:smallCaps w:val="0"/>
        </w:rPr>
        <w:t>interdittiva</w:t>
      </w:r>
      <w:proofErr w:type="spellEnd"/>
      <w:r>
        <w:rPr>
          <w:i w:val="0"/>
          <w:smallCaps w:val="0"/>
        </w:rPr>
        <w:t xml:space="preserve">: è questo il fenomeno delle cc.dd. </w:t>
      </w:r>
      <w:proofErr w:type="spellStart"/>
      <w:r>
        <w:rPr>
          <w:i w:val="0"/>
          <w:smallCaps w:val="0"/>
        </w:rPr>
        <w:t>interdittive</w:t>
      </w:r>
      <w:proofErr w:type="spellEnd"/>
      <w:r>
        <w:rPr>
          <w:i w:val="0"/>
          <w:smallCaps w:val="0"/>
        </w:rPr>
        <w:t xml:space="preserve"> “a cascata”, in cui la “mafiosità” di un soggetto si trasmette ad un altro in </w:t>
      </w:r>
      <w:r>
        <w:rPr>
          <w:i w:val="0"/>
          <w:smallCaps w:val="0"/>
        </w:rPr>
        <w:lastRenderedPageBreak/>
        <w:t>ragione dei collegamenti societari ed economici, e che ha dato luogo a una copiosa giurisprudenza intesa a definire e precisare le condizioni affinché possa legittimamente ritenersi operante un siffatto “contagio”.</w:t>
      </w:r>
    </w:p>
    <w:p w:rsidR="00E075BF" w:rsidRDefault="00E075BF" w:rsidP="00E075BF">
      <w:pPr>
        <w:ind w:firstLine="426"/>
        <w:jc w:val="both"/>
        <w:rPr>
          <w:i w:val="0"/>
          <w:smallCaps w:val="0"/>
        </w:rPr>
      </w:pPr>
      <w:r>
        <w:rPr>
          <w:i w:val="0"/>
          <w:smallCaps w:val="0"/>
        </w:rPr>
        <w:t xml:space="preserve">In particolare, si assume che uno degli indici del tentativo di infiltrazione mafiosa – di per sé sufficiente a giustificare l’emanazione di una </w:t>
      </w:r>
      <w:proofErr w:type="spellStart"/>
      <w:r>
        <w:rPr>
          <w:i w:val="0"/>
          <w:smallCaps w:val="0"/>
        </w:rPr>
        <w:t>interdittiva</w:t>
      </w:r>
      <w:proofErr w:type="spellEnd"/>
      <w:r>
        <w:rPr>
          <w:i w:val="0"/>
          <w:smallCaps w:val="0"/>
        </w:rPr>
        <w:t xml:space="preserve"> antimafia – è identificabile nella instaurazione di rapporti commerciali o associativi tra un’impresa e una società già ritenuta a rischio di infiltrazione, in ragione della valenza sintomatica attribuibile a cointeressenze economiche particolarmente pregnanti; queste, infatti, giustificano il convincimento, seppure in termini prognostici e probabilistici, che l’impresa controindicata trasmetta alla seconda il suo corredo di controindicazioni antimafia, potendosi presumere che la prima scelga come </w:t>
      </w:r>
      <w:r>
        <w:rPr>
          <w:smallCaps w:val="0"/>
        </w:rPr>
        <w:t xml:space="preserve">partner </w:t>
      </w:r>
      <w:r>
        <w:rPr>
          <w:i w:val="0"/>
          <w:smallCaps w:val="0"/>
        </w:rPr>
        <w:t>un soggetto già colluso o, comunque, permeabile agli interessi criminali a cui essa resta assoggettata, o che addirittura interpreta e persegue</w:t>
      </w:r>
      <w:r>
        <w:rPr>
          <w:rStyle w:val="Rimandonotaapidipagina"/>
          <w:i w:val="0"/>
          <w:smallCaps w:val="0"/>
        </w:rPr>
        <w:footnoteReference w:id="84"/>
      </w:r>
      <w:r>
        <w:rPr>
          <w:i w:val="0"/>
          <w:smallCaps w:val="0"/>
        </w:rPr>
        <w:t>.</w:t>
      </w:r>
    </w:p>
    <w:p w:rsidR="00B348A0" w:rsidRDefault="00B348A0" w:rsidP="00E075BF">
      <w:pPr>
        <w:ind w:firstLine="426"/>
        <w:jc w:val="both"/>
        <w:rPr>
          <w:i w:val="0"/>
          <w:smallCaps w:val="0"/>
        </w:rPr>
      </w:pPr>
      <w:r>
        <w:rPr>
          <w:i w:val="0"/>
          <w:smallCaps w:val="0"/>
        </w:rPr>
        <w:t xml:space="preserve">Naturalmente, anche in questo caso è da escludersi ogni automatismo: il fenomeno delle </w:t>
      </w:r>
      <w:proofErr w:type="spellStart"/>
      <w:r>
        <w:rPr>
          <w:i w:val="0"/>
          <w:smallCaps w:val="0"/>
        </w:rPr>
        <w:t>interdittive</w:t>
      </w:r>
      <w:proofErr w:type="spellEnd"/>
      <w:r>
        <w:rPr>
          <w:i w:val="0"/>
          <w:smallCaps w:val="0"/>
        </w:rPr>
        <w:t xml:space="preserve"> “a cascata”, secondo la giurisprudenza, pur muovendo da una presunzione di trasmissione della “mafiosità” da un’impresa all’altra in conseguenza dell’instaurazione di rapporti e cointeressenze, presuppone quale condizione imprescindibile che la natura, la consistenza e i contenuti delle modalità di collaborazione tra le due imprese siano idonei a rivelare il carattere illecito dei legami stretti tra i due operatori economici; viceversa, ove l’esame dei contatti tra le società riveli il carattere del tutto episodico, inconsistente o remoto delle relazioni d’impresa, deve escludersi l’automatico trasferimento delle controindicazioni dalla prima alla seconda società</w:t>
      </w:r>
      <w:r>
        <w:rPr>
          <w:rStyle w:val="Rimandonotaapidipagina"/>
          <w:i w:val="0"/>
          <w:smallCaps w:val="0"/>
        </w:rPr>
        <w:footnoteReference w:id="85"/>
      </w:r>
      <w:r>
        <w:rPr>
          <w:i w:val="0"/>
          <w:smallCaps w:val="0"/>
        </w:rPr>
        <w:t>.</w:t>
      </w:r>
    </w:p>
    <w:p w:rsidR="00B348A0" w:rsidRDefault="00B348A0" w:rsidP="00E075BF">
      <w:pPr>
        <w:ind w:firstLine="426"/>
        <w:jc w:val="both"/>
        <w:rPr>
          <w:i w:val="0"/>
          <w:smallCaps w:val="0"/>
        </w:rPr>
      </w:pPr>
      <w:r>
        <w:rPr>
          <w:i w:val="0"/>
          <w:smallCaps w:val="0"/>
        </w:rPr>
        <w:t xml:space="preserve">Insomma, anche in questo caso il problema, più che all’idoneità dell’elemento indiziario a costituire di per sé solo la base per l’adozione di un’informativa </w:t>
      </w:r>
      <w:proofErr w:type="spellStart"/>
      <w:r>
        <w:rPr>
          <w:i w:val="0"/>
          <w:smallCaps w:val="0"/>
        </w:rPr>
        <w:t>interdittiva</w:t>
      </w:r>
      <w:proofErr w:type="spellEnd"/>
      <w:r>
        <w:rPr>
          <w:i w:val="0"/>
          <w:smallCaps w:val="0"/>
        </w:rPr>
        <w:t xml:space="preserve"> (ché di questo non dubita neanche la giurisprudenza più “garantista”), attiene alla natura e all’intensità delle relazioni e cointeressenze imprenditoriali tra le due imprese, da valutare caso per caso e tenendo conto delle molteplici e variegate forme che la collaborazione tra imprese può assumere, anche su di un piano meramente fattuale e finanche occulto. Non v’è chi non veda la delicatezza di una tale valutazione, essendo dato di comune esperienza che – ad esempio – la costituzione di una nuova società, sulla quale l’impresa già a rischio di condizionamento mantenga un controllo pieno ed a cui sia preposto un soggetto formalmente </w:t>
      </w:r>
      <w:r w:rsidR="0016596E">
        <w:rPr>
          <w:i w:val="0"/>
          <w:smallCaps w:val="0"/>
        </w:rPr>
        <w:t xml:space="preserve">immune da pregiudizi, può costituire una tipica modalità attraverso la quale i sodalizi criminali intendano proseguire le proprie attività economiche, in elusione della normativa antimafia e delle stesse misure </w:t>
      </w:r>
      <w:proofErr w:type="spellStart"/>
      <w:r w:rsidR="0016596E">
        <w:rPr>
          <w:i w:val="0"/>
          <w:smallCaps w:val="0"/>
        </w:rPr>
        <w:t>interdittive</w:t>
      </w:r>
      <w:proofErr w:type="spellEnd"/>
      <w:r w:rsidR="0016596E">
        <w:rPr>
          <w:i w:val="0"/>
          <w:smallCaps w:val="0"/>
        </w:rPr>
        <w:t xml:space="preserve"> già adottate.</w:t>
      </w:r>
    </w:p>
    <w:p w:rsidR="0016596E" w:rsidRDefault="0016596E" w:rsidP="00E075BF">
      <w:pPr>
        <w:ind w:firstLine="426"/>
        <w:jc w:val="both"/>
        <w:rPr>
          <w:i w:val="0"/>
          <w:smallCaps w:val="0"/>
        </w:rPr>
      </w:pPr>
    </w:p>
    <w:p w:rsidR="0016596E" w:rsidRDefault="0016596E" w:rsidP="00E075BF">
      <w:pPr>
        <w:ind w:firstLine="426"/>
        <w:jc w:val="both"/>
        <w:rPr>
          <w:i w:val="0"/>
          <w:smallCaps w:val="0"/>
        </w:rPr>
      </w:pPr>
    </w:p>
    <w:p w:rsidR="0016596E" w:rsidRDefault="0016596E" w:rsidP="00E075BF">
      <w:pPr>
        <w:ind w:firstLine="426"/>
        <w:jc w:val="both"/>
        <w:rPr>
          <w:b/>
          <w:i w:val="0"/>
          <w:smallCaps w:val="0"/>
        </w:rPr>
      </w:pPr>
      <w:r>
        <w:rPr>
          <w:b/>
          <w:i w:val="0"/>
          <w:smallCaps w:val="0"/>
        </w:rPr>
        <w:t>8. Il procedimento di adozione dell’informativa antimafia.</w:t>
      </w:r>
    </w:p>
    <w:p w:rsidR="00C4238E" w:rsidRDefault="00C4238E" w:rsidP="00E075BF">
      <w:pPr>
        <w:ind w:firstLine="426"/>
        <w:jc w:val="both"/>
        <w:rPr>
          <w:b/>
          <w:i w:val="0"/>
          <w:smallCaps w:val="0"/>
        </w:rPr>
      </w:pPr>
    </w:p>
    <w:p w:rsidR="00C4238E" w:rsidRDefault="00C4238E" w:rsidP="00E075BF">
      <w:pPr>
        <w:ind w:firstLine="426"/>
        <w:jc w:val="both"/>
        <w:rPr>
          <w:i w:val="0"/>
          <w:smallCaps w:val="0"/>
        </w:rPr>
      </w:pPr>
      <w:r>
        <w:rPr>
          <w:i w:val="0"/>
          <w:smallCaps w:val="0"/>
        </w:rPr>
        <w:t xml:space="preserve">Soprattutto in relazione all’informativa </w:t>
      </w:r>
      <w:proofErr w:type="spellStart"/>
      <w:r>
        <w:rPr>
          <w:i w:val="0"/>
          <w:smallCaps w:val="0"/>
        </w:rPr>
        <w:t>interdittiva</w:t>
      </w:r>
      <w:proofErr w:type="spellEnd"/>
      <w:r>
        <w:rPr>
          <w:i w:val="0"/>
          <w:smallCaps w:val="0"/>
        </w:rPr>
        <w:t>, stante la natura marcatamente discrezionale della valutazione ad essa sottesa, si è posto il problema del rapporto tra lo speciale procedimento previsto per la sua adozione, disciplinato dall’articolo 92 del d.lgs. n. 159/2011, e la disciplina generale del procedimento amministrativo quale riveniente dalla legge 7 agosto 1990, n. 241, e dalle sue successive modifiche e integrazioni. In linea di principio, si è da sempre sostenuto in giurisprudenza che la delicatezza degli interessi sottesi alle misure di prevenzione antimafia e le esigenze di ordine pubblico che queste mirano a perseguire giustificano la portata ampiamente derogatoria della relativa disciplina rispetto alle regole generali del procedimento amministrativo</w:t>
      </w:r>
      <w:r w:rsidR="00F44E64">
        <w:rPr>
          <w:i w:val="0"/>
          <w:smallCaps w:val="0"/>
        </w:rPr>
        <w:t xml:space="preserve"> e, in via di principio, l’attenuazione delle garanzie procedimentali</w:t>
      </w:r>
      <w:r w:rsidR="00F44E64">
        <w:rPr>
          <w:rStyle w:val="Rimandonotaapidipagina"/>
          <w:i w:val="0"/>
          <w:smallCaps w:val="0"/>
        </w:rPr>
        <w:footnoteReference w:id="86"/>
      </w:r>
      <w:r w:rsidR="00F44E64">
        <w:rPr>
          <w:i w:val="0"/>
          <w:smallCaps w:val="0"/>
        </w:rPr>
        <w:t>. Tale impostazione è stata condivisa dalla stessa Corte costituzionale, la quale, in una nota sentenza</w:t>
      </w:r>
      <w:r w:rsidR="00F44E64">
        <w:rPr>
          <w:rStyle w:val="Rimandonotaapidipagina"/>
          <w:i w:val="0"/>
          <w:smallCaps w:val="0"/>
        </w:rPr>
        <w:footnoteReference w:id="87"/>
      </w:r>
      <w:r w:rsidR="00F44E64">
        <w:rPr>
          <w:i w:val="0"/>
          <w:smallCaps w:val="0"/>
        </w:rPr>
        <w:t xml:space="preserve"> - relativa alla diversa misura dello </w:t>
      </w:r>
      <w:r w:rsidR="00F44E64">
        <w:rPr>
          <w:i w:val="0"/>
          <w:smallCaps w:val="0"/>
        </w:rPr>
        <w:lastRenderedPageBreak/>
        <w:t xml:space="preserve">scioglimento dei Consigli comunali per infiltrazioni mafiose di cui all’articolo 143 del d.lgs. </w:t>
      </w:r>
      <w:r w:rsidR="00653CF7">
        <w:rPr>
          <w:i w:val="0"/>
          <w:smallCaps w:val="0"/>
        </w:rPr>
        <w:t xml:space="preserve">18 agosto </w:t>
      </w:r>
      <w:r w:rsidR="00F44E64">
        <w:rPr>
          <w:i w:val="0"/>
          <w:smallCaps w:val="0"/>
        </w:rPr>
        <w:t>2000, n. 267, ma esprimente principi estensibili anche alla materia qui in esame</w:t>
      </w:r>
      <w:r w:rsidR="00E71719">
        <w:rPr>
          <w:rStyle w:val="Rimandonotaapidipagina"/>
          <w:i w:val="0"/>
          <w:smallCaps w:val="0"/>
        </w:rPr>
        <w:footnoteReference w:id="88"/>
      </w:r>
      <w:r w:rsidR="00F44E64">
        <w:rPr>
          <w:i w:val="0"/>
          <w:smallCaps w:val="0"/>
        </w:rPr>
        <w:t xml:space="preserve"> – ha rimarcato la natura meramente procedurale degli istituti procedimentali, la cui garanzie non esprimono un valore assoluto, da preservare ad ogni costo e in ogni caso, ma appaiono meritevoli di protezione se e in quanto compatibili con la tutela di valori di rango superiore, quali quelli di ordine pubblico e di contrasto al crimine organizzato.</w:t>
      </w:r>
    </w:p>
    <w:p w:rsidR="00E71719" w:rsidRDefault="00E71719" w:rsidP="00E075BF">
      <w:pPr>
        <w:ind w:firstLine="426"/>
        <w:jc w:val="both"/>
        <w:rPr>
          <w:i w:val="0"/>
          <w:smallCaps w:val="0"/>
        </w:rPr>
      </w:pPr>
      <w:r>
        <w:rPr>
          <w:i w:val="0"/>
          <w:smallCaps w:val="0"/>
        </w:rPr>
        <w:t>In particolare, secondo la Corte gli interessi legittimi correlati all’azione amministrativa non hanno una soglia costituzionalmente garantita, ma sono configurabili, nella loro effettiva consistenza, in relazione alla disciplina sostanziale di rango ordinario di volta in volta presa in considerazione, con la conseguenza che, una volta salvaguardati nei confronti della pubblica amministrazione i diritti fondamentali ed il principio di eguaglianza, e assicurata la relativa tutela giurisdizionale, gli interessi procedimentali (cioè quelli che attengono alla regolarità formale dell’azione amministrativa) assurgono ad interessi legittimi alla stregua della disciplina che li contempla, perché è essa che ne definisce la misura ed il contenuto in base ai quali possono poi essere fatti valere dinanzi al giudice</w:t>
      </w:r>
      <w:r>
        <w:rPr>
          <w:rStyle w:val="Rimandonotaapidipagina"/>
          <w:i w:val="0"/>
          <w:smallCaps w:val="0"/>
        </w:rPr>
        <w:footnoteReference w:id="89"/>
      </w:r>
      <w:r>
        <w:rPr>
          <w:i w:val="0"/>
          <w:smallCaps w:val="0"/>
        </w:rPr>
        <w:t>.</w:t>
      </w:r>
    </w:p>
    <w:p w:rsidR="00E71719" w:rsidRDefault="00E71719" w:rsidP="00E075BF">
      <w:pPr>
        <w:ind w:firstLine="426"/>
        <w:jc w:val="both"/>
        <w:rPr>
          <w:i w:val="0"/>
          <w:smallCaps w:val="0"/>
        </w:rPr>
      </w:pPr>
      <w:r>
        <w:rPr>
          <w:i w:val="0"/>
          <w:smallCaps w:val="0"/>
        </w:rPr>
        <w:t xml:space="preserve">Si vedrà subito appresso, peraltro, come questa impostazione di fondo – pur </w:t>
      </w:r>
      <w:r w:rsidR="000D17F2">
        <w:rPr>
          <w:i w:val="0"/>
          <w:smallCaps w:val="0"/>
        </w:rPr>
        <w:t xml:space="preserve">fino ad oggi non messa in discussione – per la sua idoneità a “stressare” le garanzie degli amministrati in un settore comunque rilevante e delicato quale è quello dell’esercizio delle libertà economiche, abbia indotto dapprima la stessa giurisprudenza ad auspicare, e quindi il legislatore a introdurre, dei temperamenti normativi: si è giunti così alle nuove regole in materia di contraddittorio introdotte dal </w:t>
      </w:r>
      <w:proofErr w:type="spellStart"/>
      <w:r w:rsidR="000D17F2">
        <w:rPr>
          <w:i w:val="0"/>
          <w:smallCaps w:val="0"/>
        </w:rPr>
        <w:t>d.l.</w:t>
      </w:r>
      <w:proofErr w:type="spellEnd"/>
      <w:r w:rsidR="000D17F2">
        <w:rPr>
          <w:i w:val="0"/>
          <w:smallCaps w:val="0"/>
        </w:rPr>
        <w:t xml:space="preserve"> n. 152/2021, la cui portata e i cui effetti sull’assetto normativo e giurisprudenziale esistente costituiscono oggi uno dei fronti che la prassi applicativa sta cominciando a esplorare.</w:t>
      </w:r>
    </w:p>
    <w:p w:rsidR="000D17F2" w:rsidRDefault="000D17F2" w:rsidP="00E075BF">
      <w:pPr>
        <w:ind w:firstLine="426"/>
        <w:jc w:val="both"/>
        <w:rPr>
          <w:i w:val="0"/>
          <w:smallCaps w:val="0"/>
        </w:rPr>
      </w:pPr>
    </w:p>
    <w:p w:rsidR="000D17F2" w:rsidRDefault="000D17F2" w:rsidP="00E075BF">
      <w:pPr>
        <w:ind w:firstLine="426"/>
        <w:jc w:val="both"/>
        <w:rPr>
          <w:b/>
          <w:i w:val="0"/>
          <w:smallCaps w:val="0"/>
        </w:rPr>
      </w:pPr>
      <w:r>
        <w:rPr>
          <w:b/>
          <w:i w:val="0"/>
          <w:smallCaps w:val="0"/>
        </w:rPr>
        <w:t>8.1. Contraddittorio e partecipazione procedimentale.</w:t>
      </w:r>
    </w:p>
    <w:p w:rsidR="000D17F2" w:rsidRDefault="000D17F2" w:rsidP="00E075BF">
      <w:pPr>
        <w:ind w:firstLine="426"/>
        <w:jc w:val="both"/>
        <w:rPr>
          <w:b/>
          <w:i w:val="0"/>
          <w:smallCaps w:val="0"/>
        </w:rPr>
      </w:pPr>
    </w:p>
    <w:p w:rsidR="000D17F2" w:rsidRDefault="000D17F2" w:rsidP="00E075BF">
      <w:pPr>
        <w:ind w:firstLine="426"/>
        <w:jc w:val="both"/>
        <w:rPr>
          <w:i w:val="0"/>
          <w:smallCaps w:val="0"/>
        </w:rPr>
      </w:pPr>
      <w:r>
        <w:rPr>
          <w:i w:val="0"/>
          <w:smallCaps w:val="0"/>
        </w:rPr>
        <w:t xml:space="preserve">I principi dianzi enunciati trovano coerente affermazione nella pacifica giurisprudenza in tema di </w:t>
      </w:r>
      <w:proofErr w:type="spellStart"/>
      <w:r>
        <w:rPr>
          <w:i w:val="0"/>
          <w:smallCaps w:val="0"/>
        </w:rPr>
        <w:t>interdittive</w:t>
      </w:r>
      <w:proofErr w:type="spellEnd"/>
      <w:r>
        <w:rPr>
          <w:i w:val="0"/>
          <w:smallCaps w:val="0"/>
        </w:rPr>
        <w:t xml:space="preserve"> antimafia, la quale anteriormente alle novità introdotte dal citato </w:t>
      </w:r>
      <w:proofErr w:type="spellStart"/>
      <w:r>
        <w:rPr>
          <w:i w:val="0"/>
          <w:smallCaps w:val="0"/>
        </w:rPr>
        <w:t>d.l.</w:t>
      </w:r>
      <w:proofErr w:type="spellEnd"/>
      <w:r>
        <w:rPr>
          <w:i w:val="0"/>
          <w:smallCaps w:val="0"/>
        </w:rPr>
        <w:t xml:space="preserve"> n. 152/2021 era consolidata nell’escludere che ai fini dell’adozione dell’informativa fossero necessari i “classici” istituti della partecipazione procedimentale, quali la comunicazione di avvio del procedimento (articolo 7, l. n. 241/1990) e il preavviso di rigetto (articolo 10-</w:t>
      </w:r>
      <w:r>
        <w:rPr>
          <w:smallCaps w:val="0"/>
        </w:rPr>
        <w:t xml:space="preserve">bis, </w:t>
      </w:r>
      <w:r>
        <w:rPr>
          <w:i w:val="0"/>
          <w:smallCaps w:val="0"/>
        </w:rPr>
        <w:t xml:space="preserve">l. n. 241/1990), stante la natura cautelare e preventiva dei procedimenti in materia di tutela antimafia e la loro tipica connessione con attività di indagine giudiziaria, </w:t>
      </w:r>
      <w:r w:rsidR="00F37E6B">
        <w:rPr>
          <w:i w:val="0"/>
          <w:smallCaps w:val="0"/>
        </w:rPr>
        <w:t>che li renderebbe connotati da ragioni di urgenza e finalità cautelari incompatibili con la dette garanzie procedimentali</w:t>
      </w:r>
      <w:r w:rsidR="00F37E6B">
        <w:rPr>
          <w:rStyle w:val="Rimandonotaapidipagina"/>
          <w:i w:val="0"/>
          <w:smallCaps w:val="0"/>
        </w:rPr>
        <w:footnoteReference w:id="90"/>
      </w:r>
      <w:r w:rsidR="00F37E6B">
        <w:rPr>
          <w:i w:val="0"/>
          <w:smallCaps w:val="0"/>
        </w:rPr>
        <w:t>. Tale conclusione, che connotava dunque il procedimento finalizzato all’adozione di un’informativa antimafia di una marcata “specialità” rispetto al modello generale delineato dalla legge n. 241/1990, trovava aggancio nel previgente tenore testuale della disposizione di cui all’articolo 93, comma 7, del d.lgs. n. 152/2011</w:t>
      </w:r>
      <w:r w:rsidR="00F37E6B">
        <w:rPr>
          <w:rStyle w:val="Rimandonotaapidipagina"/>
          <w:i w:val="0"/>
          <w:smallCaps w:val="0"/>
        </w:rPr>
        <w:footnoteReference w:id="91"/>
      </w:r>
      <w:r w:rsidR="00F37E6B">
        <w:rPr>
          <w:i w:val="0"/>
          <w:smallCaps w:val="0"/>
        </w:rPr>
        <w:t>, in virtù della quale il contraddittorio in questi casi era considerato meramente eventuale, rimesso a una valutazione discrezionale dell’autorità prefettizia (la quale in via ordinaria non era tenuta ad assicurarlo)</w:t>
      </w:r>
      <w:r w:rsidR="00FD6197">
        <w:rPr>
          <w:i w:val="0"/>
          <w:smallCaps w:val="0"/>
        </w:rPr>
        <w:t xml:space="preserve"> e – segnatamente – a un giudizio di “utilità” per gli stessi accertamenti antimafia, piuttosto che a finalità di garanzia del destinatario dell’</w:t>
      </w:r>
      <w:proofErr w:type="spellStart"/>
      <w:r w:rsidR="00FD6197">
        <w:rPr>
          <w:i w:val="0"/>
          <w:smallCaps w:val="0"/>
        </w:rPr>
        <w:t>emananda</w:t>
      </w:r>
      <w:proofErr w:type="spellEnd"/>
      <w:r w:rsidR="00FD6197">
        <w:rPr>
          <w:i w:val="0"/>
          <w:smallCaps w:val="0"/>
        </w:rPr>
        <w:t xml:space="preserve"> </w:t>
      </w:r>
      <w:proofErr w:type="spellStart"/>
      <w:r w:rsidR="00FD6197">
        <w:rPr>
          <w:i w:val="0"/>
          <w:smallCaps w:val="0"/>
        </w:rPr>
        <w:t>interdittiva</w:t>
      </w:r>
      <w:proofErr w:type="spellEnd"/>
      <w:r w:rsidR="00FD6197">
        <w:rPr>
          <w:rStyle w:val="Rimandonotaapidipagina"/>
          <w:i w:val="0"/>
          <w:smallCaps w:val="0"/>
        </w:rPr>
        <w:footnoteReference w:id="92"/>
      </w:r>
      <w:r w:rsidR="00FD6197">
        <w:rPr>
          <w:i w:val="0"/>
          <w:smallCaps w:val="0"/>
        </w:rPr>
        <w:t>.</w:t>
      </w:r>
    </w:p>
    <w:p w:rsidR="00FD6197" w:rsidRDefault="00FD6197" w:rsidP="00E075BF">
      <w:pPr>
        <w:ind w:firstLine="426"/>
        <w:jc w:val="both"/>
        <w:rPr>
          <w:i w:val="0"/>
          <w:smallCaps w:val="0"/>
        </w:rPr>
      </w:pPr>
      <w:r>
        <w:rPr>
          <w:i w:val="0"/>
          <w:smallCaps w:val="0"/>
        </w:rPr>
        <w:lastRenderedPageBreak/>
        <w:t>Tali conclusioni, pertanto, discendono dal bilanciamento tra le particolari esigenze e finalità perseguite dalla legislazione antimafia e gli interessi “procedimentali” alla cui tutela sono preposti gli istituti e le previsioni in materia di partecipazione al procedimento, e non già dal contenuto “sostanziale” di detti interessi né dal loro modo di atteggiarsi di fronte all’azione dell’amministrazione. Per questo, come già si è anticipato</w:t>
      </w:r>
      <w:r>
        <w:rPr>
          <w:rStyle w:val="Rimandonotaapidipagina"/>
          <w:i w:val="0"/>
          <w:smallCaps w:val="0"/>
        </w:rPr>
        <w:footnoteReference w:id="93"/>
      </w:r>
      <w:r>
        <w:rPr>
          <w:i w:val="0"/>
          <w:smallCaps w:val="0"/>
        </w:rPr>
        <w:t>, resta ferma la ritenuta non applicabilità dell’articolo 10-</w:t>
      </w:r>
      <w:r>
        <w:rPr>
          <w:smallCaps w:val="0"/>
        </w:rPr>
        <w:t xml:space="preserve">bis </w:t>
      </w:r>
      <w:r>
        <w:rPr>
          <w:i w:val="0"/>
          <w:smallCaps w:val="0"/>
        </w:rPr>
        <w:t xml:space="preserve">della legge n. 241/1990, in tema di preavviso di rigetto, </w:t>
      </w:r>
      <w:r w:rsidR="00653CF7">
        <w:rPr>
          <w:i w:val="0"/>
          <w:smallCaps w:val="0"/>
        </w:rPr>
        <w:t xml:space="preserve">anche qualora la verifica antimafia sia eseguita nell’ambito di un procedimento di iscrizione nella </w:t>
      </w:r>
      <w:proofErr w:type="spellStart"/>
      <w:r w:rsidR="00653CF7">
        <w:rPr>
          <w:smallCaps w:val="0"/>
        </w:rPr>
        <w:t>white</w:t>
      </w:r>
      <w:proofErr w:type="spellEnd"/>
      <w:r w:rsidR="00653CF7">
        <w:rPr>
          <w:smallCaps w:val="0"/>
        </w:rPr>
        <w:t xml:space="preserve"> list, </w:t>
      </w:r>
      <w:r w:rsidR="00653CF7">
        <w:rPr>
          <w:i w:val="0"/>
          <w:smallCaps w:val="0"/>
        </w:rPr>
        <w:t>nonostante questo sia costruito (formalmente) come a istanza di parte</w:t>
      </w:r>
      <w:r w:rsidR="00653CF7">
        <w:rPr>
          <w:rStyle w:val="Rimandonotaapidipagina"/>
          <w:i w:val="0"/>
          <w:smallCaps w:val="0"/>
        </w:rPr>
        <w:footnoteReference w:id="94"/>
      </w:r>
      <w:r w:rsidR="00653CF7">
        <w:rPr>
          <w:i w:val="0"/>
          <w:smallCaps w:val="0"/>
        </w:rPr>
        <w:t>. Per le stesse ragioni, non è condivisibile il minoritario indirizzo che vorrebbe differenziare tra l’ipotesi dell’originaria adozione dell’informativa e quella del suo aggiornamento in ragione del diverso atteggiarsi dell’interesse privato coinvolto, facendone discendere diverse conseguenze sotto il profilo degli oneri procedimentali a carico del Prefetto</w:t>
      </w:r>
      <w:r w:rsidR="00653CF7">
        <w:rPr>
          <w:rStyle w:val="Rimandonotaapidipagina"/>
          <w:i w:val="0"/>
          <w:smallCaps w:val="0"/>
        </w:rPr>
        <w:footnoteReference w:id="95"/>
      </w:r>
      <w:r w:rsidR="00653CF7">
        <w:rPr>
          <w:i w:val="0"/>
          <w:smallCaps w:val="0"/>
        </w:rPr>
        <w:t>.</w:t>
      </w:r>
    </w:p>
    <w:p w:rsidR="00653CF7" w:rsidRDefault="00653CF7" w:rsidP="00E075BF">
      <w:pPr>
        <w:ind w:firstLine="426"/>
        <w:jc w:val="both"/>
        <w:rPr>
          <w:i w:val="0"/>
          <w:smallCaps w:val="0"/>
        </w:rPr>
      </w:pPr>
      <w:r>
        <w:rPr>
          <w:i w:val="0"/>
          <w:caps/>
          <w:smallCaps w:val="0"/>
        </w:rPr>
        <w:t xml:space="preserve">è </w:t>
      </w:r>
      <w:r>
        <w:rPr>
          <w:i w:val="0"/>
          <w:smallCaps w:val="0"/>
        </w:rPr>
        <w:t>importante sottolineare che nemmeno i principi contenuti nei Trattati dell’Unione Europea sono stati considerati ostativi all’attenuazione del contraddittorio e della partecipazione in questo settore. La Corte di giustizia</w:t>
      </w:r>
      <w:r w:rsidR="00904533">
        <w:rPr>
          <w:rStyle w:val="Rimandonotaapidipagina"/>
          <w:i w:val="0"/>
          <w:smallCaps w:val="0"/>
        </w:rPr>
        <w:footnoteReference w:id="96"/>
      </w:r>
      <w:r>
        <w:rPr>
          <w:i w:val="0"/>
          <w:smallCaps w:val="0"/>
        </w:rPr>
        <w:t xml:space="preserve">, investita della questione pregiudiziale relativa proprio alla compatibilità </w:t>
      </w:r>
      <w:r w:rsidR="00904533">
        <w:rPr>
          <w:i w:val="0"/>
          <w:smallCaps w:val="0"/>
        </w:rPr>
        <w:t xml:space="preserve">con il diritto </w:t>
      </w:r>
      <w:proofErr w:type="spellStart"/>
      <w:r w:rsidR="00904533">
        <w:rPr>
          <w:i w:val="0"/>
          <w:smallCaps w:val="0"/>
        </w:rPr>
        <w:t>unionale</w:t>
      </w:r>
      <w:proofErr w:type="spellEnd"/>
      <w:r w:rsidR="00904533">
        <w:rPr>
          <w:i w:val="0"/>
          <w:smallCaps w:val="0"/>
        </w:rPr>
        <w:t xml:space="preserve"> (e, in particolare, con l’articolo 41 della Carta di Nizza) della previgente disciplina del procedimento di adozione delle informative antimafia, pur dichiarando irricevibile il ricorso per mancata dimostrazione di un criterio di collegamento tra il diritto dell’Unione e l’</w:t>
      </w:r>
      <w:proofErr w:type="spellStart"/>
      <w:r w:rsidR="00904533">
        <w:rPr>
          <w:i w:val="0"/>
          <w:smallCaps w:val="0"/>
        </w:rPr>
        <w:t>interdittiva</w:t>
      </w:r>
      <w:proofErr w:type="spellEnd"/>
      <w:r w:rsidR="00904533">
        <w:rPr>
          <w:i w:val="0"/>
          <w:smallCaps w:val="0"/>
        </w:rPr>
        <w:t xml:space="preserve"> nella specie emanata, ha precisato – richiamando propria pregressa giurisprudenza</w:t>
      </w:r>
      <w:r w:rsidR="00904533">
        <w:rPr>
          <w:rStyle w:val="Rimandonotaapidipagina"/>
          <w:i w:val="0"/>
          <w:smallCaps w:val="0"/>
        </w:rPr>
        <w:footnoteReference w:id="97"/>
      </w:r>
      <w:r w:rsidR="00904533">
        <w:rPr>
          <w:i w:val="0"/>
          <w:smallCaps w:val="0"/>
        </w:rPr>
        <w:t xml:space="preserve"> – che, sebbene il rispetto del diritto di difesa costituisce un principio generale del diritto dell’Unione destinato a trovare applicazione laddove l’amministrazione intenda adottare nei confronti di taluno un atto pregiudizievole, tuttavia l’assenza di una necessaria interlocuzione procedimentale non costituisce necessariamente un </w:t>
      </w:r>
      <w:r w:rsidR="00904533">
        <w:rPr>
          <w:smallCaps w:val="0"/>
        </w:rPr>
        <w:t xml:space="preserve">vulnus </w:t>
      </w:r>
      <w:r w:rsidR="00904533">
        <w:rPr>
          <w:i w:val="0"/>
          <w:smallCaps w:val="0"/>
        </w:rPr>
        <w:t>al principio di buona amministrazione, in quanto il diritto al contraddittorio procedimentale e ai diritti della difesa non costituisce una prerogativa assoluta, ma può soggiacere a restrizioni, a condizione che queste rispondano effettivamente a obiettivi di interesse generale perseguiti dalla misura di cui trattasi e non costituiscano, rispetto allo scopo perseguito, un intervento sproporzionato e inaccettabile, tale da ledere la sostanza stessa dei diritti così garantiti. E che il contrasto al fenomeno dell’infiltrazione della criminalità organizzata nel settore degli appalti pubblici possa costituire un obiettivo legittimo, tale da giustificare una restrizione alle regole fondamentali e ai principi generali del Trattato sul funzionamento dell’Unione Europea, è stato affermato dalla Corte ad altro riguardo in relazione all’impatto della disciplina antimafia sulla partecipazione alle procedure di aggiudicazione dei contratti pubblici</w:t>
      </w:r>
      <w:r w:rsidR="00904533">
        <w:rPr>
          <w:rStyle w:val="Rimandonotaapidipagina"/>
          <w:i w:val="0"/>
          <w:smallCaps w:val="0"/>
        </w:rPr>
        <w:footnoteReference w:id="98"/>
      </w:r>
      <w:r w:rsidR="00625C1D">
        <w:rPr>
          <w:i w:val="0"/>
          <w:smallCaps w:val="0"/>
        </w:rPr>
        <w:t>.</w:t>
      </w:r>
    </w:p>
    <w:p w:rsidR="00625C1D" w:rsidRDefault="00625C1D" w:rsidP="00E075BF">
      <w:pPr>
        <w:ind w:firstLine="426"/>
        <w:jc w:val="both"/>
        <w:rPr>
          <w:i w:val="0"/>
          <w:smallCaps w:val="0"/>
          <w:shd w:val="clear" w:color="auto" w:fill="FFFFFF"/>
        </w:rPr>
      </w:pPr>
      <w:r>
        <w:rPr>
          <w:i w:val="0"/>
          <w:smallCaps w:val="0"/>
        </w:rPr>
        <w:t>Nonostante ciò, la giurisprudenza più recente non si era mostrata insensibile alla necessità di una maggiore attenzione ai diritti di difesa del soggetto destinatario dell’</w:t>
      </w:r>
      <w:proofErr w:type="spellStart"/>
      <w:r>
        <w:rPr>
          <w:i w:val="0"/>
          <w:smallCaps w:val="0"/>
        </w:rPr>
        <w:t>interdittiva</w:t>
      </w:r>
      <w:proofErr w:type="spellEnd"/>
      <w:r>
        <w:rPr>
          <w:i w:val="0"/>
          <w:smallCaps w:val="0"/>
        </w:rPr>
        <w:t xml:space="preserve">, </w:t>
      </w:r>
      <w:r w:rsidR="0004464D">
        <w:rPr>
          <w:i w:val="0"/>
          <w:smallCaps w:val="0"/>
        </w:rPr>
        <w:t xml:space="preserve">e il Consiglio di Stato era giunto ad </w:t>
      </w:r>
      <w:r>
        <w:rPr>
          <w:i w:val="0"/>
          <w:smallCaps w:val="0"/>
        </w:rPr>
        <w:t>auspica</w:t>
      </w:r>
      <w:r w:rsidR="0004464D">
        <w:rPr>
          <w:i w:val="0"/>
          <w:smallCaps w:val="0"/>
        </w:rPr>
        <w:t>re</w:t>
      </w:r>
      <w:r>
        <w:rPr>
          <w:i w:val="0"/>
          <w:smallCaps w:val="0"/>
        </w:rPr>
        <w:t xml:space="preserve"> </w:t>
      </w:r>
      <w:r>
        <w:rPr>
          <w:smallCaps w:val="0"/>
        </w:rPr>
        <w:t xml:space="preserve">de </w:t>
      </w:r>
      <w:proofErr w:type="spellStart"/>
      <w:r>
        <w:rPr>
          <w:smallCaps w:val="0"/>
        </w:rPr>
        <w:t>jure</w:t>
      </w:r>
      <w:proofErr w:type="spellEnd"/>
      <w:r>
        <w:rPr>
          <w:smallCaps w:val="0"/>
        </w:rPr>
        <w:t xml:space="preserve"> condendo </w:t>
      </w:r>
      <w:r>
        <w:rPr>
          <w:i w:val="0"/>
          <w:smallCaps w:val="0"/>
        </w:rPr>
        <w:t>un “</w:t>
      </w:r>
      <w:r w:rsidRPr="00625C1D">
        <w:rPr>
          <w:smallCaps w:val="0"/>
        </w:rPr>
        <w:t>recupero</w:t>
      </w:r>
      <w:r>
        <w:rPr>
          <w:i w:val="0"/>
          <w:smallCaps w:val="0"/>
        </w:rPr>
        <w:t>” delle garanzie p</w:t>
      </w:r>
      <w:r w:rsidR="0068401B">
        <w:rPr>
          <w:i w:val="0"/>
          <w:smallCaps w:val="0"/>
        </w:rPr>
        <w:t>rocedimentali</w:t>
      </w:r>
      <w:r>
        <w:rPr>
          <w:i w:val="0"/>
          <w:smallCaps w:val="0"/>
        </w:rPr>
        <w:t xml:space="preserve">, con riguardo ai casi in cui non sussistessero particolari esigenze di celerità o di riservatezza e il quadro indiziario a sostegno </w:t>
      </w:r>
      <w:r w:rsidR="0068401B">
        <w:rPr>
          <w:i w:val="0"/>
          <w:smallCaps w:val="0"/>
        </w:rPr>
        <w:t xml:space="preserve">della prognosi infiltrativa presentasse margini di dubbio o incertezza, tali da rendere potenzialmente utile l’apporto partecipativo, ovvero fosse di intensità non così grave da imporre l’adozione della più penalizzante misura </w:t>
      </w:r>
      <w:proofErr w:type="spellStart"/>
      <w:r w:rsidR="0068401B">
        <w:rPr>
          <w:i w:val="0"/>
          <w:smallCaps w:val="0"/>
        </w:rPr>
        <w:t>interdittiva</w:t>
      </w:r>
      <w:proofErr w:type="spellEnd"/>
      <w:r w:rsidR="0068401B">
        <w:rPr>
          <w:i w:val="0"/>
          <w:smallCaps w:val="0"/>
        </w:rPr>
        <w:t xml:space="preserve"> o ancora da escludere la possibile adozione di misure di </w:t>
      </w:r>
      <w:r w:rsidR="0068401B">
        <w:rPr>
          <w:smallCaps w:val="0"/>
        </w:rPr>
        <w:t>self-</w:t>
      </w:r>
      <w:proofErr w:type="spellStart"/>
      <w:r w:rsidR="0068401B">
        <w:rPr>
          <w:smallCaps w:val="0"/>
        </w:rPr>
        <w:t>cleaning</w:t>
      </w:r>
      <w:proofErr w:type="spellEnd"/>
      <w:r w:rsidR="0068401B">
        <w:rPr>
          <w:smallCaps w:val="0"/>
        </w:rPr>
        <w:t xml:space="preserve"> </w:t>
      </w:r>
      <w:r w:rsidR="0068401B">
        <w:rPr>
          <w:i w:val="0"/>
          <w:smallCaps w:val="0"/>
        </w:rPr>
        <w:t>da parte della stessa impresa</w:t>
      </w:r>
      <w:r w:rsidR="0068401B">
        <w:rPr>
          <w:rStyle w:val="Rimandonotaapidipagina"/>
          <w:i w:val="0"/>
          <w:smallCaps w:val="0"/>
        </w:rPr>
        <w:footnoteReference w:id="99"/>
      </w:r>
      <w:r w:rsidR="0068401B">
        <w:rPr>
          <w:i w:val="0"/>
          <w:smallCaps w:val="0"/>
        </w:rPr>
        <w:t xml:space="preserve">. Tale invito, pur tacciato di scarso coraggio da </w:t>
      </w:r>
      <w:r w:rsidR="0068401B">
        <w:rPr>
          <w:i w:val="0"/>
          <w:smallCaps w:val="0"/>
        </w:rPr>
        <w:lastRenderedPageBreak/>
        <w:t>parte della dottrina</w:t>
      </w:r>
      <w:r w:rsidR="0068401B">
        <w:rPr>
          <w:rStyle w:val="Rimandonotaapidipagina"/>
          <w:i w:val="0"/>
          <w:smallCaps w:val="0"/>
        </w:rPr>
        <w:footnoteReference w:id="100"/>
      </w:r>
      <w:r w:rsidR="0068401B">
        <w:rPr>
          <w:i w:val="0"/>
          <w:smallCaps w:val="0"/>
        </w:rPr>
        <w:t xml:space="preserve">, è stato invero raccolto dal legislatore con il già più volte citato </w:t>
      </w:r>
      <w:proofErr w:type="spellStart"/>
      <w:r w:rsidR="0068401B">
        <w:rPr>
          <w:i w:val="0"/>
          <w:smallCaps w:val="0"/>
        </w:rPr>
        <w:t>d.l.</w:t>
      </w:r>
      <w:proofErr w:type="spellEnd"/>
      <w:r w:rsidR="0068401B">
        <w:rPr>
          <w:i w:val="0"/>
          <w:smallCaps w:val="0"/>
        </w:rPr>
        <w:t xml:space="preserve"> n. 152/2021, che ha introdotto nell’articolo 92 del d.lgs. n. 159/2011 il comma 2-</w:t>
      </w:r>
      <w:r w:rsidR="0068401B">
        <w:rPr>
          <w:smallCaps w:val="0"/>
        </w:rPr>
        <w:t xml:space="preserve">bis, </w:t>
      </w:r>
      <w:r w:rsidR="0068401B">
        <w:rPr>
          <w:i w:val="0"/>
          <w:smallCaps w:val="0"/>
        </w:rPr>
        <w:t xml:space="preserve">il quale così recita: </w:t>
      </w:r>
      <w:r w:rsidR="0068401B" w:rsidRPr="0068401B">
        <w:rPr>
          <w:smallCaps w:val="0"/>
        </w:rPr>
        <w:t>“</w:t>
      </w:r>
      <w:r w:rsidR="0068401B" w:rsidRPr="0068401B">
        <w:rPr>
          <w:smallCaps w:val="0"/>
          <w:shd w:val="clear" w:color="auto" w:fill="FFFFFF"/>
        </w:rPr>
        <w:t>Il prefetto, nel caso in cui, sulla base degli esiti delle verifiche disposte ai sensi del comma 2, ritenga sussistenti i presupposti per l</w:t>
      </w:r>
      <w:r w:rsidR="0068401B">
        <w:rPr>
          <w:smallCaps w:val="0"/>
          <w:shd w:val="clear" w:color="auto" w:fill="FFFFFF"/>
        </w:rPr>
        <w:t>’</w:t>
      </w:r>
      <w:r w:rsidR="0068401B" w:rsidRPr="0068401B">
        <w:rPr>
          <w:smallCaps w:val="0"/>
          <w:shd w:val="clear" w:color="auto" w:fill="FFFFFF"/>
        </w:rPr>
        <w:t>adozione dell</w:t>
      </w:r>
      <w:r w:rsidR="0068401B">
        <w:rPr>
          <w:smallCaps w:val="0"/>
          <w:shd w:val="clear" w:color="auto" w:fill="FFFFFF"/>
        </w:rPr>
        <w:t>’</w:t>
      </w:r>
      <w:r w:rsidR="0068401B" w:rsidRPr="0068401B">
        <w:rPr>
          <w:smallCaps w:val="0"/>
          <w:shd w:val="clear" w:color="auto" w:fill="FFFFFF"/>
        </w:rPr>
        <w:t xml:space="preserve">informazione antimafia </w:t>
      </w:r>
      <w:proofErr w:type="spellStart"/>
      <w:r w:rsidR="0068401B" w:rsidRPr="0068401B">
        <w:rPr>
          <w:smallCaps w:val="0"/>
          <w:shd w:val="clear" w:color="auto" w:fill="FFFFFF"/>
        </w:rPr>
        <w:t>interdittiva</w:t>
      </w:r>
      <w:proofErr w:type="spellEnd"/>
      <w:r w:rsidR="0068401B" w:rsidRPr="0068401B">
        <w:rPr>
          <w:smallCaps w:val="0"/>
          <w:shd w:val="clear" w:color="auto" w:fill="FFFFFF"/>
        </w:rPr>
        <w:t xml:space="preserve"> ovvero per procedere all</w:t>
      </w:r>
      <w:r w:rsidR="0068401B">
        <w:rPr>
          <w:smallCaps w:val="0"/>
          <w:shd w:val="clear" w:color="auto" w:fill="FFFFFF"/>
        </w:rPr>
        <w:t>’</w:t>
      </w:r>
      <w:r w:rsidR="0068401B" w:rsidRPr="0068401B">
        <w:rPr>
          <w:smallCaps w:val="0"/>
          <w:shd w:val="clear" w:color="auto" w:fill="FFFFFF"/>
        </w:rPr>
        <w:t>applicazione delle misure di cui all</w:t>
      </w:r>
      <w:r w:rsidR="0068401B">
        <w:rPr>
          <w:smallCaps w:val="0"/>
          <w:shd w:val="clear" w:color="auto" w:fill="FFFFFF"/>
        </w:rPr>
        <w:t>’</w:t>
      </w:r>
      <w:r w:rsidR="0068401B" w:rsidRPr="0068401B">
        <w:rPr>
          <w:smallCaps w:val="0"/>
          <w:shd w:val="clear" w:color="auto" w:fill="FFFFFF"/>
        </w:rPr>
        <w:t>articolo 94-bis, e non ricorrano particolari esigenze di celerità del procedimento, ne dà tempestiva comunicazione al soggetto interessato, indicando gli elementi sintomatici dei tentativi di infiltrazione mafiosa. Con tale comunicazione è assegnato un termine non superiore a venti giorni per presentare osservazioni scritte, eventualmente corredate da documenti, nonché per richiedere l</w:t>
      </w:r>
      <w:r w:rsidR="0068401B">
        <w:rPr>
          <w:smallCaps w:val="0"/>
          <w:shd w:val="clear" w:color="auto" w:fill="FFFFFF"/>
        </w:rPr>
        <w:t>’</w:t>
      </w:r>
      <w:r w:rsidR="0068401B" w:rsidRPr="0068401B">
        <w:rPr>
          <w:smallCaps w:val="0"/>
          <w:shd w:val="clear" w:color="auto" w:fill="FFFFFF"/>
        </w:rPr>
        <w:t>audizione, da effettuare secondo le modalità previste dall</w:t>
      </w:r>
      <w:r w:rsidR="0068401B">
        <w:rPr>
          <w:smallCaps w:val="0"/>
          <w:shd w:val="clear" w:color="auto" w:fill="FFFFFF"/>
        </w:rPr>
        <w:t>’</w:t>
      </w:r>
      <w:r w:rsidR="0068401B" w:rsidRPr="0068401B">
        <w:rPr>
          <w:smallCaps w:val="0"/>
          <w:shd w:val="clear" w:color="auto" w:fill="FFFFFF"/>
        </w:rPr>
        <w:t>articolo 93, commi 7, 8 e 9. In ogni caso, non possono formare oggetto della comunicazione di cui al presente comma elementi informativi il cui disvelamento sia idoneo a pregiudicare procedimenti amministrativi o attività processuali in corso, ovvero l'esito di altri accertamenti finalizzati alla prevenzione delle infiltrazioni mafiose. La predetta comunicazione sospende, con decorrenza dalla relativa data di invio, il termine di cui all</w:t>
      </w:r>
      <w:r w:rsidR="0068401B">
        <w:rPr>
          <w:smallCaps w:val="0"/>
          <w:shd w:val="clear" w:color="auto" w:fill="FFFFFF"/>
        </w:rPr>
        <w:t>’</w:t>
      </w:r>
      <w:r w:rsidR="0068401B" w:rsidRPr="0068401B">
        <w:rPr>
          <w:smallCaps w:val="0"/>
          <w:shd w:val="clear" w:color="auto" w:fill="FFFFFF"/>
        </w:rPr>
        <w:t xml:space="preserve">articolo 92, comma 2. La procedura del contraddittorio si </w:t>
      </w:r>
      <w:proofErr w:type="spellStart"/>
      <w:r w:rsidR="0068401B" w:rsidRPr="0068401B">
        <w:rPr>
          <w:smallCaps w:val="0"/>
          <w:shd w:val="clear" w:color="auto" w:fill="FFFFFF"/>
        </w:rPr>
        <w:t>conclude</w:t>
      </w:r>
      <w:proofErr w:type="spellEnd"/>
      <w:r w:rsidR="0068401B" w:rsidRPr="0068401B">
        <w:rPr>
          <w:smallCaps w:val="0"/>
          <w:shd w:val="clear" w:color="auto" w:fill="FFFFFF"/>
        </w:rPr>
        <w:t xml:space="preserve"> entro sessanta giorni dalla data di ricezione della predetta comunicazione</w:t>
      </w:r>
      <w:r w:rsidR="0068401B">
        <w:rPr>
          <w:i w:val="0"/>
          <w:smallCaps w:val="0"/>
          <w:shd w:val="clear" w:color="auto" w:fill="FFFFFF"/>
        </w:rPr>
        <w:t>”.</w:t>
      </w:r>
    </w:p>
    <w:p w:rsidR="0068401B" w:rsidRDefault="0068401B" w:rsidP="00E075BF">
      <w:pPr>
        <w:ind w:firstLine="426"/>
        <w:jc w:val="both"/>
        <w:rPr>
          <w:i w:val="0"/>
          <w:smallCaps w:val="0"/>
          <w:shd w:val="clear" w:color="auto" w:fill="FFFFFF"/>
        </w:rPr>
      </w:pPr>
      <w:r>
        <w:rPr>
          <w:i w:val="0"/>
          <w:caps/>
          <w:smallCaps w:val="0"/>
          <w:shd w:val="clear" w:color="auto" w:fill="FFFFFF"/>
        </w:rPr>
        <w:t xml:space="preserve">è </w:t>
      </w:r>
      <w:r>
        <w:rPr>
          <w:i w:val="0"/>
          <w:smallCaps w:val="0"/>
          <w:shd w:val="clear" w:color="auto" w:fill="FFFFFF"/>
        </w:rPr>
        <w:t>stata così introdotta nel sistema una compiuta disciplina del contraddittorio procedimentale, la quale, come subito si dirà, è destinata a innovare profondamente sia la prassi applicativa che la giurisprudenza sul punto. Tuttavia, un primo dato di cui prendere atto è che il legislatore, nel dettare una disciplina procedimentale a sua volta speciale e per molti versi “eccentrica” rispetto al modello base della partecipazione delineato dalla legge n. 241/1990, ha implicitamente confermato</w:t>
      </w:r>
      <w:r w:rsidR="0004464D">
        <w:rPr>
          <w:i w:val="0"/>
          <w:smallCaps w:val="0"/>
          <w:shd w:val="clear" w:color="auto" w:fill="FFFFFF"/>
        </w:rPr>
        <w:t xml:space="preserve"> la tesi della giurisprudenza circa l’inapplicabilità in via ordinaria degli istituti di tale legge</w:t>
      </w:r>
      <w:r w:rsidR="004F6F04">
        <w:rPr>
          <w:rStyle w:val="Rimandonotaapidipagina"/>
          <w:i w:val="0"/>
          <w:smallCaps w:val="0"/>
          <w:shd w:val="clear" w:color="auto" w:fill="FFFFFF"/>
        </w:rPr>
        <w:footnoteReference w:id="101"/>
      </w:r>
      <w:r w:rsidR="0004464D">
        <w:rPr>
          <w:i w:val="0"/>
          <w:smallCaps w:val="0"/>
          <w:shd w:val="clear" w:color="auto" w:fill="FFFFFF"/>
        </w:rPr>
        <w:t xml:space="preserve">; in particolare, nel prevedere una fase di interlocuzione con l’impresa destinata a svolgersi soltanto a valle delle acquisizioni istruttorie svolte dal Prefetto e solo qualora questi ritenga di dover adottare un’informativa </w:t>
      </w:r>
      <w:proofErr w:type="spellStart"/>
      <w:r w:rsidR="0004464D">
        <w:rPr>
          <w:i w:val="0"/>
          <w:smallCaps w:val="0"/>
          <w:shd w:val="clear" w:color="auto" w:fill="FFFFFF"/>
        </w:rPr>
        <w:t>interdittiva</w:t>
      </w:r>
      <w:proofErr w:type="spellEnd"/>
      <w:r w:rsidR="0004464D">
        <w:rPr>
          <w:i w:val="0"/>
          <w:smallCaps w:val="0"/>
          <w:shd w:val="clear" w:color="auto" w:fill="FFFFFF"/>
        </w:rPr>
        <w:t xml:space="preserve"> ovvero una delle misure di prevenzione collaborativa introdotte dal “nuovo” articolo 94-</w:t>
      </w:r>
      <w:r w:rsidR="0004464D">
        <w:rPr>
          <w:smallCaps w:val="0"/>
          <w:shd w:val="clear" w:color="auto" w:fill="FFFFFF"/>
        </w:rPr>
        <w:t>bis</w:t>
      </w:r>
      <w:r w:rsidR="0004464D" w:rsidRPr="00EC1A7B">
        <w:rPr>
          <w:rStyle w:val="Rimandonotaapidipagina"/>
          <w:i w:val="0"/>
          <w:smallCaps w:val="0"/>
          <w:shd w:val="clear" w:color="auto" w:fill="FFFFFF"/>
        </w:rPr>
        <w:footnoteReference w:id="102"/>
      </w:r>
      <w:r w:rsidR="0004464D">
        <w:rPr>
          <w:smallCaps w:val="0"/>
          <w:shd w:val="clear" w:color="auto" w:fill="FFFFFF"/>
        </w:rPr>
        <w:t xml:space="preserve">, </w:t>
      </w:r>
      <w:r w:rsidR="0004464D">
        <w:rPr>
          <w:i w:val="0"/>
          <w:smallCaps w:val="0"/>
          <w:shd w:val="clear" w:color="auto" w:fill="FFFFFF"/>
        </w:rPr>
        <w:t>la disposizione conferma come di regola non siano obbligatorie né la comunicazione di avvio del procedimento né la notifica del preavviso di rigetto.</w:t>
      </w:r>
    </w:p>
    <w:p w:rsidR="0004464D" w:rsidRDefault="0004464D" w:rsidP="00E075BF">
      <w:pPr>
        <w:ind w:firstLine="426"/>
        <w:jc w:val="both"/>
        <w:rPr>
          <w:i w:val="0"/>
          <w:smallCaps w:val="0"/>
          <w:shd w:val="clear" w:color="auto" w:fill="FFFFFF"/>
        </w:rPr>
      </w:pPr>
      <w:r>
        <w:rPr>
          <w:i w:val="0"/>
          <w:smallCaps w:val="0"/>
          <w:shd w:val="clear" w:color="auto" w:fill="FFFFFF"/>
        </w:rPr>
        <w:t xml:space="preserve">Al di là di ciò, la giurisprudenza ha immediatamente colto come la nuova disciplina </w:t>
      </w:r>
      <w:r>
        <w:rPr>
          <w:smallCaps w:val="0"/>
          <w:shd w:val="clear" w:color="auto" w:fill="FFFFFF"/>
        </w:rPr>
        <w:t xml:space="preserve">de qua </w:t>
      </w:r>
      <w:r>
        <w:rPr>
          <w:i w:val="0"/>
          <w:smallCaps w:val="0"/>
          <w:shd w:val="clear" w:color="auto" w:fill="FFFFFF"/>
        </w:rPr>
        <w:t>comporti il superamento della concezione del contraddittorio come meramente eventuale e discrezionale nel procedimento di adozione delle misure antimafia, invertendo il rapporto di regola ed eccezione di modo che il contraddittorio potrà essere omesso solo al ricorrere di specifiche condizioni, sulle quali il Prefetto sarà tenuto a motivare nel provvedimento conclusivo</w:t>
      </w:r>
      <w:r>
        <w:rPr>
          <w:rStyle w:val="Rimandonotaapidipagina"/>
          <w:i w:val="0"/>
          <w:smallCaps w:val="0"/>
          <w:shd w:val="clear" w:color="auto" w:fill="FFFFFF"/>
        </w:rPr>
        <w:footnoteReference w:id="103"/>
      </w:r>
      <w:r>
        <w:rPr>
          <w:i w:val="0"/>
          <w:smallCaps w:val="0"/>
          <w:shd w:val="clear" w:color="auto" w:fill="FFFFFF"/>
        </w:rPr>
        <w:t>. In qualche pronuncia di merito</w:t>
      </w:r>
      <w:r w:rsidR="00EC1A7B">
        <w:rPr>
          <w:i w:val="0"/>
          <w:smallCaps w:val="0"/>
          <w:shd w:val="clear" w:color="auto" w:fill="FFFFFF"/>
        </w:rPr>
        <w:t xml:space="preserve"> si sottolinea come il contraddittorio così prodotto, oltre alla sua tipica funzione “</w:t>
      </w:r>
      <w:r w:rsidR="00EC1A7B">
        <w:rPr>
          <w:smallCaps w:val="0"/>
          <w:shd w:val="clear" w:color="auto" w:fill="FFFFFF"/>
        </w:rPr>
        <w:t>difensiva</w:t>
      </w:r>
      <w:r w:rsidR="00EC1A7B">
        <w:rPr>
          <w:i w:val="0"/>
          <w:smallCaps w:val="0"/>
          <w:shd w:val="clear" w:color="auto" w:fill="FFFFFF"/>
        </w:rPr>
        <w:t>”, possa avere anche una funzione “</w:t>
      </w:r>
      <w:r w:rsidR="00EC1A7B">
        <w:rPr>
          <w:smallCaps w:val="0"/>
          <w:shd w:val="clear" w:color="auto" w:fill="FFFFFF"/>
        </w:rPr>
        <w:t>proattiva</w:t>
      </w:r>
      <w:r w:rsidR="00EC1A7B">
        <w:rPr>
          <w:i w:val="0"/>
          <w:smallCaps w:val="0"/>
          <w:shd w:val="clear" w:color="auto" w:fill="FFFFFF"/>
        </w:rPr>
        <w:t xml:space="preserve">”, nella misura in cui l’apprendere di essere possibile destinataria di una misura </w:t>
      </w:r>
      <w:proofErr w:type="spellStart"/>
      <w:r w:rsidR="00EC1A7B">
        <w:rPr>
          <w:i w:val="0"/>
          <w:smallCaps w:val="0"/>
          <w:shd w:val="clear" w:color="auto" w:fill="FFFFFF"/>
        </w:rPr>
        <w:t>interdittiva</w:t>
      </w:r>
      <w:proofErr w:type="spellEnd"/>
      <w:r w:rsidR="00EC1A7B">
        <w:rPr>
          <w:i w:val="0"/>
          <w:smallCaps w:val="0"/>
          <w:shd w:val="clear" w:color="auto" w:fill="FFFFFF"/>
        </w:rPr>
        <w:t xml:space="preserve"> possa indurre l’impresa ad avvalersi degli altri strumenti alternativi e meno impattanti oggi previsti dal legislatore, quali l’adozione di misure di </w:t>
      </w:r>
      <w:r w:rsidR="00EC1A7B">
        <w:rPr>
          <w:smallCaps w:val="0"/>
          <w:shd w:val="clear" w:color="auto" w:fill="FFFFFF"/>
        </w:rPr>
        <w:t>self-</w:t>
      </w:r>
      <w:proofErr w:type="spellStart"/>
      <w:r w:rsidR="00EC1A7B">
        <w:rPr>
          <w:smallCaps w:val="0"/>
          <w:shd w:val="clear" w:color="auto" w:fill="FFFFFF"/>
        </w:rPr>
        <w:t>cleaning</w:t>
      </w:r>
      <w:proofErr w:type="spellEnd"/>
      <w:r w:rsidR="00EC1A7B">
        <w:rPr>
          <w:smallCaps w:val="0"/>
          <w:shd w:val="clear" w:color="auto" w:fill="FFFFFF"/>
        </w:rPr>
        <w:t xml:space="preserve"> </w:t>
      </w:r>
      <w:r w:rsidR="00EC1A7B">
        <w:rPr>
          <w:i w:val="0"/>
          <w:smallCaps w:val="0"/>
          <w:shd w:val="clear" w:color="auto" w:fill="FFFFFF"/>
        </w:rPr>
        <w:t>o la richiesta di applicazione di misure di prevenzione collaborativa</w:t>
      </w:r>
      <w:r w:rsidR="00EC1A7B">
        <w:rPr>
          <w:rStyle w:val="Rimandonotaapidipagina"/>
          <w:i w:val="0"/>
          <w:smallCaps w:val="0"/>
          <w:shd w:val="clear" w:color="auto" w:fill="FFFFFF"/>
        </w:rPr>
        <w:footnoteReference w:id="104"/>
      </w:r>
      <w:r w:rsidR="00EC1A7B">
        <w:rPr>
          <w:i w:val="0"/>
          <w:smallCaps w:val="0"/>
          <w:shd w:val="clear" w:color="auto" w:fill="FFFFFF"/>
        </w:rPr>
        <w:t>.</w:t>
      </w:r>
    </w:p>
    <w:p w:rsidR="00EC1A7B" w:rsidRDefault="00EC1A7B" w:rsidP="00E075BF">
      <w:pPr>
        <w:ind w:firstLine="426"/>
        <w:jc w:val="both"/>
        <w:rPr>
          <w:i w:val="0"/>
          <w:smallCaps w:val="0"/>
          <w:shd w:val="clear" w:color="auto" w:fill="FFFFFF"/>
        </w:rPr>
      </w:pPr>
      <w:r>
        <w:rPr>
          <w:i w:val="0"/>
          <w:smallCaps w:val="0"/>
          <w:shd w:val="clear" w:color="auto" w:fill="FFFFFF"/>
        </w:rPr>
        <w:t>Con riguardo alle condizioni che possono legittimare l’omissione della previa interlocuzione con l’impresa, si tratta di materia che solo la casistica giurisprudenziale potrà meglio definire. Può però fin d’ora osservarsi:</w:t>
      </w:r>
    </w:p>
    <w:p w:rsidR="00EC1A7B" w:rsidRDefault="00EC1A7B" w:rsidP="00EC1A7B">
      <w:pPr>
        <w:pStyle w:val="Paragrafoelenco"/>
        <w:numPr>
          <w:ilvl w:val="0"/>
          <w:numId w:val="2"/>
        </w:numPr>
        <w:jc w:val="both"/>
        <w:rPr>
          <w:i w:val="0"/>
          <w:smallCaps w:val="0"/>
          <w:shd w:val="clear" w:color="auto" w:fill="FFFFFF"/>
        </w:rPr>
      </w:pPr>
      <w:r w:rsidRPr="00EC1A7B">
        <w:rPr>
          <w:i w:val="0"/>
          <w:smallCaps w:val="0"/>
          <w:shd w:val="clear" w:color="auto" w:fill="FFFFFF"/>
        </w:rPr>
        <w:t xml:space="preserve">che, stante la </w:t>
      </w:r>
      <w:r w:rsidRPr="00EC1A7B">
        <w:rPr>
          <w:smallCaps w:val="0"/>
          <w:shd w:val="clear" w:color="auto" w:fill="FFFFFF"/>
        </w:rPr>
        <w:t xml:space="preserve">ratio </w:t>
      </w:r>
      <w:r w:rsidRPr="00EC1A7B">
        <w:rPr>
          <w:i w:val="0"/>
          <w:smallCaps w:val="0"/>
          <w:shd w:val="clear" w:color="auto" w:fill="FFFFFF"/>
        </w:rPr>
        <w:t xml:space="preserve">della nuova previsione e l’esistenza di un chiaro onere motivazionale a carico del Prefetto, l’omissione del contraddittorio non potrà essere motivata con il ricorso a </w:t>
      </w:r>
      <w:r w:rsidRPr="00EC1A7B">
        <w:rPr>
          <w:i w:val="0"/>
          <w:smallCaps w:val="0"/>
          <w:shd w:val="clear" w:color="auto" w:fill="FFFFFF"/>
        </w:rPr>
        <w:lastRenderedPageBreak/>
        <w:t>mere clausole di stile né con un generico richiamo alla gravità o alla consistenza del quadro indiziario emerso dagli accertamenti svolti;</w:t>
      </w:r>
    </w:p>
    <w:p w:rsidR="00EC1A7B" w:rsidRDefault="00EC1A7B" w:rsidP="00EC1A7B">
      <w:pPr>
        <w:pStyle w:val="Paragrafoelenco"/>
        <w:numPr>
          <w:ilvl w:val="0"/>
          <w:numId w:val="2"/>
        </w:numPr>
        <w:jc w:val="both"/>
        <w:rPr>
          <w:i w:val="0"/>
          <w:smallCaps w:val="0"/>
          <w:shd w:val="clear" w:color="auto" w:fill="FFFFFF"/>
        </w:rPr>
      </w:pPr>
      <w:r>
        <w:rPr>
          <w:i w:val="0"/>
          <w:smallCaps w:val="0"/>
          <w:shd w:val="clear" w:color="auto" w:fill="FFFFFF"/>
        </w:rPr>
        <w:t>che, stante lo specifico riferimento normativo a “</w:t>
      </w:r>
      <w:r>
        <w:rPr>
          <w:smallCaps w:val="0"/>
          <w:shd w:val="clear" w:color="auto" w:fill="FFFFFF"/>
        </w:rPr>
        <w:t>particolari esigenze di celerità del procedimento</w:t>
      </w:r>
      <w:r>
        <w:rPr>
          <w:i w:val="0"/>
          <w:smallCaps w:val="0"/>
          <w:shd w:val="clear" w:color="auto" w:fill="FFFFFF"/>
        </w:rPr>
        <w:t>”, l’omissione di regola troverà giustificazione in ragioni di urgenza connesse a procedure o attività in essere da parte dell’impresa interessata (p.es. aggiudicazione di commesse pubbliche o percezione di contributi e finanziamenti pubblici) piuttosto che in esigenze riconducibili alla riservatezza delle indagini svolte o in corso, per le quali soccorre la diversa disciplina – introdotta dal medesimo comma 2-</w:t>
      </w:r>
      <w:r>
        <w:rPr>
          <w:smallCaps w:val="0"/>
          <w:shd w:val="clear" w:color="auto" w:fill="FFFFFF"/>
        </w:rPr>
        <w:t xml:space="preserve">bis </w:t>
      </w:r>
      <w:r w:rsidR="00AA4981">
        <w:rPr>
          <w:i w:val="0"/>
          <w:smallCaps w:val="0"/>
          <w:shd w:val="clear" w:color="auto" w:fill="FFFFFF"/>
        </w:rPr>
        <w:t>– della facoltà del Prefetto di non procedere al “</w:t>
      </w:r>
      <w:r w:rsidR="00AA4981">
        <w:rPr>
          <w:smallCaps w:val="0"/>
          <w:shd w:val="clear" w:color="auto" w:fill="FFFFFF"/>
        </w:rPr>
        <w:t>disvelamento</w:t>
      </w:r>
      <w:r w:rsidR="00AA4981">
        <w:rPr>
          <w:i w:val="0"/>
          <w:smallCaps w:val="0"/>
          <w:shd w:val="clear" w:color="auto" w:fill="FFFFFF"/>
        </w:rPr>
        <w:t>” di tutto o di parte del materiale istruttorio raccolto.</w:t>
      </w:r>
    </w:p>
    <w:p w:rsidR="00AA4981" w:rsidRDefault="00AA4981" w:rsidP="00AA4981">
      <w:pPr>
        <w:ind w:firstLine="426"/>
        <w:jc w:val="both"/>
        <w:rPr>
          <w:i w:val="0"/>
          <w:smallCaps w:val="0"/>
          <w:shd w:val="clear" w:color="auto" w:fill="FFFFFF"/>
        </w:rPr>
      </w:pPr>
      <w:r>
        <w:rPr>
          <w:i w:val="0"/>
          <w:smallCaps w:val="0"/>
          <w:shd w:val="clear" w:color="auto" w:fill="FFFFFF"/>
        </w:rPr>
        <w:t>Per il resto, la prevedibile maggiore rilevanza del vizio procedimentale in sede contenziosa, assieme all’evidenziata “eccentricità” della nuova disciplina rispetto al modello generale, potrebbe porre alla giurisprudenza il problema di verificare se e fino a che punto (non gli istituti specifici, ma) i principi generali del procedimento amministrativo debbano in ogni caso trovare applicazione: ciò potrebbe valere, ad esempio, per il principio di “</w:t>
      </w:r>
      <w:proofErr w:type="spellStart"/>
      <w:r>
        <w:rPr>
          <w:i w:val="0"/>
          <w:smallCaps w:val="0"/>
          <w:shd w:val="clear" w:color="auto" w:fill="FFFFFF"/>
        </w:rPr>
        <w:t>dequotazione</w:t>
      </w:r>
      <w:proofErr w:type="spellEnd"/>
      <w:r>
        <w:rPr>
          <w:i w:val="0"/>
          <w:smallCaps w:val="0"/>
          <w:shd w:val="clear" w:color="auto" w:fill="FFFFFF"/>
        </w:rPr>
        <w:t>” dei vizi formali espresso dall’articolo 21-</w:t>
      </w:r>
      <w:r>
        <w:rPr>
          <w:smallCaps w:val="0"/>
          <w:shd w:val="clear" w:color="auto" w:fill="FFFFFF"/>
        </w:rPr>
        <w:t xml:space="preserve">octies, </w:t>
      </w:r>
      <w:r>
        <w:rPr>
          <w:i w:val="0"/>
          <w:smallCaps w:val="0"/>
          <w:shd w:val="clear" w:color="auto" w:fill="FFFFFF"/>
        </w:rPr>
        <w:t>comma 2, l. n. 241/1990, che potrebbe portare a escludere la portata invalidante dell’omissione del contraddittorio pur in assenza delle condizioni richieste dalla disposizione in esame</w:t>
      </w:r>
      <w:r>
        <w:rPr>
          <w:rStyle w:val="Rimandonotaapidipagina"/>
          <w:i w:val="0"/>
          <w:smallCaps w:val="0"/>
          <w:shd w:val="clear" w:color="auto" w:fill="FFFFFF"/>
        </w:rPr>
        <w:footnoteReference w:id="105"/>
      </w:r>
      <w:r>
        <w:rPr>
          <w:i w:val="0"/>
          <w:smallCaps w:val="0"/>
          <w:shd w:val="clear" w:color="auto" w:fill="FFFFFF"/>
        </w:rPr>
        <w:t>.</w:t>
      </w:r>
    </w:p>
    <w:p w:rsidR="00AA4981" w:rsidRDefault="00AA4981" w:rsidP="00AA4981">
      <w:pPr>
        <w:ind w:firstLine="426"/>
        <w:jc w:val="both"/>
        <w:rPr>
          <w:i w:val="0"/>
          <w:smallCaps w:val="0"/>
          <w:shd w:val="clear" w:color="auto" w:fill="FFFFFF"/>
        </w:rPr>
      </w:pPr>
    </w:p>
    <w:p w:rsidR="00AA4981" w:rsidRDefault="00AA4981" w:rsidP="00AA4981">
      <w:pPr>
        <w:ind w:firstLine="426"/>
        <w:jc w:val="both"/>
        <w:rPr>
          <w:b/>
          <w:i w:val="0"/>
          <w:smallCaps w:val="0"/>
          <w:shd w:val="clear" w:color="auto" w:fill="FFFFFF"/>
        </w:rPr>
      </w:pPr>
      <w:r>
        <w:rPr>
          <w:b/>
          <w:i w:val="0"/>
          <w:smallCaps w:val="0"/>
          <w:shd w:val="clear" w:color="auto" w:fill="FFFFFF"/>
        </w:rPr>
        <w:t>8.2. L’onere di motivazione a carico del Prefetto.</w:t>
      </w:r>
    </w:p>
    <w:p w:rsidR="00543C3A" w:rsidRDefault="00543C3A" w:rsidP="00AA4981">
      <w:pPr>
        <w:ind w:firstLine="426"/>
        <w:jc w:val="both"/>
        <w:rPr>
          <w:b/>
          <w:i w:val="0"/>
          <w:smallCaps w:val="0"/>
          <w:shd w:val="clear" w:color="auto" w:fill="FFFFFF"/>
        </w:rPr>
      </w:pPr>
    </w:p>
    <w:p w:rsidR="00543C3A" w:rsidRDefault="00543C3A" w:rsidP="00AA4981">
      <w:pPr>
        <w:ind w:firstLine="426"/>
        <w:jc w:val="both"/>
        <w:rPr>
          <w:i w:val="0"/>
          <w:smallCaps w:val="0"/>
          <w:shd w:val="clear" w:color="auto" w:fill="FFFFFF"/>
        </w:rPr>
      </w:pPr>
      <w:r>
        <w:rPr>
          <w:i w:val="0"/>
          <w:smallCaps w:val="0"/>
          <w:shd w:val="clear" w:color="auto" w:fill="FFFFFF"/>
        </w:rPr>
        <w:t>Si è consapevoli dell’erroneità di ricondurre l’obbligo di motivazione (</w:t>
      </w:r>
      <w:r>
        <w:rPr>
          <w:smallCaps w:val="0"/>
          <w:shd w:val="clear" w:color="auto" w:fill="FFFFFF"/>
        </w:rPr>
        <w:t xml:space="preserve">ex </w:t>
      </w:r>
      <w:r>
        <w:rPr>
          <w:i w:val="0"/>
          <w:smallCaps w:val="0"/>
          <w:shd w:val="clear" w:color="auto" w:fill="FFFFFF"/>
        </w:rPr>
        <w:t>articolo 3, l. n. 241/1990) al novero delle disposizioni “procedimentali”, trattandosi piuttosto dell’essenza stessa del provvedimento amministrativo, ossia dell’esternazione dell’</w:t>
      </w:r>
      <w:r>
        <w:rPr>
          <w:smallCaps w:val="0"/>
          <w:shd w:val="clear" w:color="auto" w:fill="FFFFFF"/>
        </w:rPr>
        <w:t xml:space="preserve">iter </w:t>
      </w:r>
      <w:r>
        <w:rPr>
          <w:i w:val="0"/>
          <w:smallCaps w:val="0"/>
          <w:shd w:val="clear" w:color="auto" w:fill="FFFFFF"/>
        </w:rPr>
        <w:t>logico-giuridico che induce una pubblica amministrazione, specie quando esercita una valutazione discrezionale, a raggiungere un certo assetto ed equilibrio degli interessi (pubblici e privati) oggetto di ponderazione</w:t>
      </w:r>
      <w:r>
        <w:rPr>
          <w:rStyle w:val="Rimandonotaapidipagina"/>
          <w:i w:val="0"/>
          <w:smallCaps w:val="0"/>
          <w:shd w:val="clear" w:color="auto" w:fill="FFFFFF"/>
        </w:rPr>
        <w:footnoteReference w:id="106"/>
      </w:r>
      <w:r>
        <w:rPr>
          <w:i w:val="0"/>
          <w:smallCaps w:val="0"/>
          <w:shd w:val="clear" w:color="auto" w:fill="FFFFFF"/>
        </w:rPr>
        <w:t xml:space="preserve">. Più che altro, il tema è affrontato in questa sede per la sua connessione con la disciplina della partecipazione, oltre che con quella delle misure di prevenzione collaborativa, come rivenienti dalla novella di cui al </w:t>
      </w:r>
      <w:proofErr w:type="spellStart"/>
      <w:r>
        <w:rPr>
          <w:i w:val="0"/>
          <w:smallCaps w:val="0"/>
          <w:shd w:val="clear" w:color="auto" w:fill="FFFFFF"/>
        </w:rPr>
        <w:t>d.l.</w:t>
      </w:r>
      <w:proofErr w:type="spellEnd"/>
      <w:r>
        <w:rPr>
          <w:i w:val="0"/>
          <w:smallCaps w:val="0"/>
          <w:shd w:val="clear" w:color="auto" w:fill="FFFFFF"/>
        </w:rPr>
        <w:t xml:space="preserve"> n. 152/2021.</w:t>
      </w:r>
    </w:p>
    <w:p w:rsidR="00C031BB" w:rsidRDefault="00C031BB" w:rsidP="00AA4981">
      <w:pPr>
        <w:ind w:firstLine="426"/>
        <w:jc w:val="both"/>
        <w:rPr>
          <w:i w:val="0"/>
          <w:smallCaps w:val="0"/>
          <w:shd w:val="clear" w:color="auto" w:fill="FFFFFF"/>
        </w:rPr>
      </w:pPr>
      <w:r>
        <w:rPr>
          <w:i w:val="0"/>
          <w:smallCaps w:val="0"/>
          <w:shd w:val="clear" w:color="auto" w:fill="FFFFFF"/>
        </w:rPr>
        <w:t>E invero, la necessità che si è evidenziata</w:t>
      </w:r>
      <w:r>
        <w:rPr>
          <w:rStyle w:val="Rimandonotaapidipagina"/>
          <w:i w:val="0"/>
          <w:smallCaps w:val="0"/>
          <w:shd w:val="clear" w:color="auto" w:fill="FFFFFF"/>
        </w:rPr>
        <w:footnoteReference w:id="107"/>
      </w:r>
      <w:r>
        <w:rPr>
          <w:i w:val="0"/>
          <w:smallCaps w:val="0"/>
          <w:shd w:val="clear" w:color="auto" w:fill="FFFFFF"/>
        </w:rPr>
        <w:t xml:space="preserve"> che le determinazioni del Prefetto, ove sfocino nell’adozione di un’informativa </w:t>
      </w:r>
      <w:proofErr w:type="spellStart"/>
      <w:r>
        <w:rPr>
          <w:i w:val="0"/>
          <w:smallCaps w:val="0"/>
          <w:shd w:val="clear" w:color="auto" w:fill="FFFFFF"/>
        </w:rPr>
        <w:t>interdittiva</w:t>
      </w:r>
      <w:proofErr w:type="spellEnd"/>
      <w:r>
        <w:rPr>
          <w:i w:val="0"/>
          <w:smallCaps w:val="0"/>
          <w:shd w:val="clear" w:color="auto" w:fill="FFFFFF"/>
        </w:rPr>
        <w:t>, siano assistite da una congrua e adeguata motivazione idonea ad assicurare il rispetto dei principi di tassatività e legalità sostanziale, si accompagna all’affermazione frequente in giurisprudenza dell’elevato tasso di discrezionalità che connota il giudizio espresso attraverso tale motivazione, con le inevitabili conseguenze – come si vedrà - in tema di portata e limiti del sindacato giurisdizionale</w:t>
      </w:r>
      <w:r>
        <w:rPr>
          <w:rStyle w:val="Rimandonotaapidipagina"/>
          <w:i w:val="0"/>
          <w:smallCaps w:val="0"/>
          <w:shd w:val="clear" w:color="auto" w:fill="FFFFFF"/>
        </w:rPr>
        <w:footnoteReference w:id="108"/>
      </w:r>
      <w:r>
        <w:rPr>
          <w:i w:val="0"/>
          <w:smallCaps w:val="0"/>
          <w:shd w:val="clear" w:color="auto" w:fill="FFFFFF"/>
        </w:rPr>
        <w:t>.</w:t>
      </w:r>
      <w:r w:rsidR="00400167">
        <w:rPr>
          <w:i w:val="0"/>
          <w:smallCaps w:val="0"/>
          <w:shd w:val="clear" w:color="auto" w:fill="FFFFFF"/>
        </w:rPr>
        <w:t xml:space="preserve"> Al di là di ciò, le innovazioni introdotte dal legislatore del 2021 sono destinate certamente a tradursi in un </w:t>
      </w:r>
      <w:r w:rsidR="00400167">
        <w:rPr>
          <w:smallCaps w:val="0"/>
          <w:shd w:val="clear" w:color="auto" w:fill="FFFFFF"/>
        </w:rPr>
        <w:t xml:space="preserve">surplus </w:t>
      </w:r>
      <w:r w:rsidR="00400167">
        <w:rPr>
          <w:i w:val="0"/>
          <w:smallCaps w:val="0"/>
          <w:shd w:val="clear" w:color="auto" w:fill="FFFFFF"/>
        </w:rPr>
        <w:t>di onere motivazionale a carico dell’autorità prefettizia sotto un duplice profilo:</w:t>
      </w:r>
    </w:p>
    <w:p w:rsidR="00400167" w:rsidRDefault="00400167" w:rsidP="00400167">
      <w:pPr>
        <w:pStyle w:val="Paragrafoelenco"/>
        <w:numPr>
          <w:ilvl w:val="0"/>
          <w:numId w:val="4"/>
        </w:numPr>
        <w:jc w:val="both"/>
        <w:rPr>
          <w:i w:val="0"/>
          <w:smallCaps w:val="0"/>
          <w:shd w:val="clear" w:color="auto" w:fill="FFFFFF"/>
        </w:rPr>
      </w:pPr>
      <w:r>
        <w:rPr>
          <w:i w:val="0"/>
          <w:smallCaps w:val="0"/>
          <w:shd w:val="clear" w:color="auto" w:fill="FFFFFF"/>
        </w:rPr>
        <w:t>qualora si ritenga di omettere il previo contraddittorio con l’impresa interessata, come già osservato, quanto alla necessaria illustrazione delle “</w:t>
      </w:r>
      <w:r>
        <w:rPr>
          <w:smallCaps w:val="0"/>
          <w:shd w:val="clear" w:color="auto" w:fill="FFFFFF"/>
        </w:rPr>
        <w:t>particolari esigenze di celerità</w:t>
      </w:r>
      <w:r>
        <w:rPr>
          <w:i w:val="0"/>
          <w:smallCaps w:val="0"/>
          <w:shd w:val="clear" w:color="auto" w:fill="FFFFFF"/>
        </w:rPr>
        <w:t>” che giustificano l’omissione;</w:t>
      </w:r>
    </w:p>
    <w:p w:rsidR="00400167" w:rsidRDefault="00400167" w:rsidP="00400167">
      <w:pPr>
        <w:pStyle w:val="Paragrafoelenco"/>
        <w:numPr>
          <w:ilvl w:val="0"/>
          <w:numId w:val="4"/>
        </w:numPr>
        <w:jc w:val="both"/>
        <w:rPr>
          <w:i w:val="0"/>
          <w:smallCaps w:val="0"/>
          <w:shd w:val="clear" w:color="auto" w:fill="FFFFFF"/>
        </w:rPr>
      </w:pPr>
      <w:r>
        <w:rPr>
          <w:i w:val="0"/>
          <w:smallCaps w:val="0"/>
          <w:shd w:val="clear" w:color="auto" w:fill="FFFFFF"/>
        </w:rPr>
        <w:t xml:space="preserve">in ogni caso, in ordine all’effettiva necessità di adottare la più gravosa misura </w:t>
      </w:r>
      <w:proofErr w:type="spellStart"/>
      <w:r>
        <w:rPr>
          <w:i w:val="0"/>
          <w:smallCaps w:val="0"/>
          <w:shd w:val="clear" w:color="auto" w:fill="FFFFFF"/>
        </w:rPr>
        <w:t>interdittiva</w:t>
      </w:r>
      <w:proofErr w:type="spellEnd"/>
      <w:r>
        <w:rPr>
          <w:i w:val="0"/>
          <w:smallCaps w:val="0"/>
          <w:shd w:val="clear" w:color="auto" w:fill="FFFFFF"/>
        </w:rPr>
        <w:t>, e quindi sull’assenza del connotato di “occasionalità” del rischio infiltrativo che renderebbe sufficienti le misure di prevenzione collaborativa di cui all’articolo 94-</w:t>
      </w:r>
      <w:r>
        <w:rPr>
          <w:smallCaps w:val="0"/>
          <w:shd w:val="clear" w:color="auto" w:fill="FFFFFF"/>
        </w:rPr>
        <w:t xml:space="preserve">bis, </w:t>
      </w:r>
      <w:r>
        <w:rPr>
          <w:i w:val="0"/>
          <w:smallCaps w:val="0"/>
          <w:shd w:val="clear" w:color="auto" w:fill="FFFFFF"/>
        </w:rPr>
        <w:t>d.lgs. n. 159/2011.</w:t>
      </w:r>
    </w:p>
    <w:p w:rsidR="00400167" w:rsidRDefault="00400167" w:rsidP="00400167">
      <w:pPr>
        <w:ind w:firstLine="426"/>
        <w:jc w:val="both"/>
        <w:rPr>
          <w:i w:val="0"/>
          <w:smallCaps w:val="0"/>
          <w:shd w:val="clear" w:color="auto" w:fill="FFFFFF"/>
        </w:rPr>
      </w:pPr>
      <w:r>
        <w:rPr>
          <w:i w:val="0"/>
          <w:smallCaps w:val="0"/>
          <w:shd w:val="clear" w:color="auto" w:fill="FFFFFF"/>
        </w:rPr>
        <w:t xml:space="preserve">Si affronterà in appresso la questione di quale sia la portata di tale ultimo onere motivazionale, e di come esso interferisca con l’analoga valutazione rimessa al giudice della prevenzione chiamato a pronunciarsi sull’istanza di ammissione dell’impresa al controllo giudiziario: può fin d’ora osservarsi, </w:t>
      </w:r>
      <w:r>
        <w:rPr>
          <w:i w:val="0"/>
          <w:smallCaps w:val="0"/>
          <w:shd w:val="clear" w:color="auto" w:fill="FFFFFF"/>
        </w:rPr>
        <w:lastRenderedPageBreak/>
        <w:t xml:space="preserve">però, che l’innovazione normativa in discorso, risolvendosi nell’attribuzione al Prefetto di un potere di scelta nell’ambito di un “ventaglio” di misure dagli effetti gradatamente più afflittivi, comporterà come effetto una ben più frequente (e incisiva) evocazione del vizio sintomatico dell’eccesso di potere della violazione del principio di proporzionalità, dovendo la misura in concreto adottata rapportarsi più specificamente al livello di intensità e gravità del quadro indiziario. Ciò, a sua volta, arricchirà il sindacato giudiziale sulle misure di </w:t>
      </w:r>
      <w:r w:rsidR="00E229D2">
        <w:rPr>
          <w:i w:val="0"/>
          <w:smallCaps w:val="0"/>
          <w:shd w:val="clear" w:color="auto" w:fill="FFFFFF"/>
        </w:rPr>
        <w:t>ulteriori parametri e opzioni</w:t>
      </w:r>
      <w:r w:rsidR="00E229D2">
        <w:rPr>
          <w:rStyle w:val="Rimandonotaapidipagina"/>
          <w:i w:val="0"/>
          <w:smallCaps w:val="0"/>
          <w:shd w:val="clear" w:color="auto" w:fill="FFFFFF"/>
        </w:rPr>
        <w:footnoteReference w:id="109"/>
      </w:r>
      <w:r w:rsidR="00E229D2">
        <w:rPr>
          <w:i w:val="0"/>
          <w:smallCaps w:val="0"/>
          <w:shd w:val="clear" w:color="auto" w:fill="FFFFFF"/>
        </w:rPr>
        <w:t>.</w:t>
      </w:r>
    </w:p>
    <w:p w:rsidR="00E229D2" w:rsidRDefault="00E229D2" w:rsidP="00400167">
      <w:pPr>
        <w:ind w:firstLine="426"/>
        <w:jc w:val="both"/>
        <w:rPr>
          <w:i w:val="0"/>
          <w:smallCaps w:val="0"/>
          <w:shd w:val="clear" w:color="auto" w:fill="FFFFFF"/>
        </w:rPr>
      </w:pPr>
    </w:p>
    <w:p w:rsidR="00940059" w:rsidRDefault="00940059" w:rsidP="00400167">
      <w:pPr>
        <w:ind w:firstLine="426"/>
        <w:jc w:val="both"/>
        <w:rPr>
          <w:i w:val="0"/>
          <w:smallCaps w:val="0"/>
          <w:shd w:val="clear" w:color="auto" w:fill="FFFFFF"/>
        </w:rPr>
      </w:pPr>
    </w:p>
    <w:p w:rsidR="00940059" w:rsidRDefault="00940059" w:rsidP="00400167">
      <w:pPr>
        <w:ind w:firstLine="426"/>
        <w:jc w:val="both"/>
        <w:rPr>
          <w:i w:val="0"/>
          <w:smallCaps w:val="0"/>
          <w:shd w:val="clear" w:color="auto" w:fill="FFFFFF"/>
        </w:rPr>
      </w:pPr>
    </w:p>
    <w:p w:rsidR="00940059" w:rsidRDefault="00940059" w:rsidP="00400167">
      <w:pPr>
        <w:ind w:firstLine="426"/>
        <w:jc w:val="both"/>
        <w:rPr>
          <w:i w:val="0"/>
          <w:smallCaps w:val="0"/>
          <w:shd w:val="clear" w:color="auto" w:fill="FFFFFF"/>
        </w:rPr>
      </w:pPr>
    </w:p>
    <w:p w:rsidR="00E229D2" w:rsidRDefault="00E229D2" w:rsidP="00400167">
      <w:pPr>
        <w:ind w:firstLine="426"/>
        <w:jc w:val="both"/>
        <w:rPr>
          <w:b/>
          <w:i w:val="0"/>
          <w:smallCaps w:val="0"/>
          <w:shd w:val="clear" w:color="auto" w:fill="FFFFFF"/>
        </w:rPr>
      </w:pPr>
      <w:r>
        <w:rPr>
          <w:b/>
          <w:i w:val="0"/>
          <w:smallCaps w:val="0"/>
          <w:shd w:val="clear" w:color="auto" w:fill="FFFFFF"/>
        </w:rPr>
        <w:t>8.3. L’accesso ai documenti.</w:t>
      </w:r>
    </w:p>
    <w:p w:rsidR="00E229D2" w:rsidRDefault="00E229D2" w:rsidP="00400167">
      <w:pPr>
        <w:ind w:firstLine="426"/>
        <w:jc w:val="both"/>
        <w:rPr>
          <w:b/>
          <w:i w:val="0"/>
          <w:smallCaps w:val="0"/>
          <w:shd w:val="clear" w:color="auto" w:fill="FFFFFF"/>
        </w:rPr>
      </w:pPr>
    </w:p>
    <w:p w:rsidR="00E229D2" w:rsidRDefault="0024411F" w:rsidP="00400167">
      <w:pPr>
        <w:ind w:firstLine="426"/>
        <w:jc w:val="both"/>
        <w:rPr>
          <w:i w:val="0"/>
          <w:smallCaps w:val="0"/>
          <w:shd w:val="clear" w:color="auto" w:fill="FFFFFF"/>
        </w:rPr>
      </w:pPr>
      <w:r>
        <w:rPr>
          <w:i w:val="0"/>
          <w:smallCaps w:val="0"/>
          <w:shd w:val="clear" w:color="auto" w:fill="FFFFFF"/>
        </w:rPr>
        <w:t xml:space="preserve">Anche con riguardo all’accesso ai documenti relativi all’attività istruttoria condotta dall’autorità prefettizia anteriormente all’adozione dell’informativa </w:t>
      </w:r>
      <w:proofErr w:type="spellStart"/>
      <w:r>
        <w:rPr>
          <w:i w:val="0"/>
          <w:smallCaps w:val="0"/>
          <w:shd w:val="clear" w:color="auto" w:fill="FFFFFF"/>
        </w:rPr>
        <w:t>interdittiva</w:t>
      </w:r>
      <w:proofErr w:type="spellEnd"/>
      <w:r>
        <w:rPr>
          <w:i w:val="0"/>
          <w:smallCaps w:val="0"/>
          <w:shd w:val="clear" w:color="auto" w:fill="FFFFFF"/>
        </w:rPr>
        <w:t>, il legislatore del 2021 è intervenuto con disposizioni le quali, in attesa della necessaria applicazione da parte della giurisprudenza, potrebbero a loro volta essere intese come volte a introdurre una disciplina “speciale”, eccentrica e distonica rispetto a quella generale contenuta nella legge n. 241/1990 (sia pure “temperata”, in ragione dell’evidente rilevanza e delicatezza della materia qui implicata, con le regole di carattere secondario in materia di sottrazione all’accesso introdotte in attuazione dell’articolo 24 della ridetta legge).</w:t>
      </w:r>
    </w:p>
    <w:p w:rsidR="00675240" w:rsidRPr="00675240" w:rsidRDefault="0024411F" w:rsidP="00675240">
      <w:pPr>
        <w:pStyle w:val="wkit-indentation-level-0"/>
        <w:shd w:val="clear" w:color="auto" w:fill="FFFFFF"/>
        <w:spacing w:before="0" w:beforeAutospacing="0" w:after="0" w:afterAutospacing="0"/>
        <w:ind w:firstLine="426"/>
        <w:jc w:val="both"/>
      </w:pPr>
      <w:r w:rsidRPr="00675240">
        <w:rPr>
          <w:shd w:val="clear" w:color="auto" w:fill="FFFFFF"/>
        </w:rPr>
        <w:t>Ad oggi, le istanze di accesso avanzate dalle imprese interessate vengono riscontrate facendo rigorosa applicazione del decreto del Ministero dell’interno 10 maggio 1994, n. 415 (“Regolamento per la disciplina delle categorie di documenti sottratti al diritto di accesso ai documenti amministrativi, in attuazione dell’</w:t>
      </w:r>
      <w:r w:rsidRPr="00675240">
        <w:rPr>
          <w:rStyle w:val="wkit-internal-link"/>
          <w:shd w:val="clear" w:color="auto" w:fill="FFFFFF"/>
        </w:rPr>
        <w:t>art. 24</w:t>
      </w:r>
      <w:r w:rsidRPr="00675240">
        <w:rPr>
          <w:shd w:val="clear" w:color="auto" w:fill="FFFFFF"/>
        </w:rPr>
        <w:t xml:space="preserve">, comma 4, della legge 7 agosto 1990, n. 241, recante nuove norme  in materia di procedimento amministrativo e di diritto di accesso ai documenti amministrativi”), e in particolare del </w:t>
      </w:r>
      <w:r w:rsidR="00675240" w:rsidRPr="00675240">
        <w:rPr>
          <w:shd w:val="clear" w:color="auto" w:fill="FFFFFF"/>
        </w:rPr>
        <w:t>suo articolo 3, comma 1, secondo il quale: “</w:t>
      </w:r>
      <w:r w:rsidR="00675240" w:rsidRPr="00675240">
        <w:rPr>
          <w:i/>
        </w:rPr>
        <w:t>Ai sensi dell’</w:t>
      </w:r>
      <w:hyperlink r:id="rId12" w:history="1">
        <w:r w:rsidR="00675240" w:rsidRPr="00675240">
          <w:rPr>
            <w:i/>
          </w:rPr>
          <w:t>art. 8</w:t>
        </w:r>
      </w:hyperlink>
      <w:r w:rsidR="00675240" w:rsidRPr="00675240">
        <w:rPr>
          <w:i/>
        </w:rPr>
        <w:t xml:space="preserve">, comma 5, lettera </w:t>
      </w:r>
      <w:r w:rsidR="00675240" w:rsidRPr="00675240">
        <w:rPr>
          <w:i/>
          <w:iCs/>
        </w:rPr>
        <w:t>c</w:t>
      </w:r>
      <w:r w:rsidR="00675240" w:rsidRPr="00675240">
        <w:rPr>
          <w:i/>
        </w:rPr>
        <w:t xml:space="preserve">), del decreto del Presidente della Repubblica 27 giugno 1992, n. 352, ed in relazione all’esigenza di salvaguardare l’ordine pubblico e la prevenzione e repressione della criminalità, sono sottratte all’accesso le seguenti categorie di documenti: </w:t>
      </w:r>
      <w:r w:rsidR="00675240" w:rsidRPr="00675240">
        <w:rPr>
          <w:i/>
          <w:iCs/>
        </w:rPr>
        <w:t>a</w:t>
      </w:r>
      <w:r w:rsidR="00675240" w:rsidRPr="00675240">
        <w:rPr>
          <w:i/>
        </w:rPr>
        <w:t>) relazioni di servizio ed altri atti o documenti presupposto per l’adozione degli atti o provvedimenti dell’autorità nazionale e delle altre autorità di pubblica sicurezza, nonché degli ufficiali o agenti di pubblica sicurezza, ovvero inerenti all’attività di tutela dell’ordine e della sicurezza pubblica o di prevenzione e repressione della criminalità, salvo che si tratti di documentazione che, per disposizione di legge o di regolamento, debba essere unita a provvedimenti o atti soggetti a pubblicità</w:t>
      </w:r>
      <w:r w:rsidR="00675240">
        <w:t xml:space="preserve">”. La giurisprudenza precisa che non è necessaria un’indicazione analitica delle ragioni per le quali tali esigenze si ritengono sussistenti (essendo le stesse – in sostanza – </w:t>
      </w:r>
      <w:r w:rsidR="00675240">
        <w:rPr>
          <w:i/>
        </w:rPr>
        <w:t xml:space="preserve">in re </w:t>
      </w:r>
      <w:proofErr w:type="spellStart"/>
      <w:r w:rsidR="00675240">
        <w:rPr>
          <w:i/>
        </w:rPr>
        <w:t>ipsa</w:t>
      </w:r>
      <w:proofErr w:type="spellEnd"/>
      <w:r w:rsidR="00675240">
        <w:t>) e, con inversione del rapporto regola/eccezione, è piuttosto il richiedente l’accesso onerato di allegare e documentare la sussistenza di un proprio interesse destinato a prevalere o comunque tale da rendere l’accesso indispensabile</w:t>
      </w:r>
      <w:r w:rsidR="00675240">
        <w:rPr>
          <w:rStyle w:val="Rimandonotaapidipagina"/>
        </w:rPr>
        <w:footnoteReference w:id="110"/>
      </w:r>
      <w:r w:rsidR="00675240">
        <w:t>.</w:t>
      </w:r>
    </w:p>
    <w:p w:rsidR="0024411F" w:rsidRDefault="00675240" w:rsidP="00400167">
      <w:pPr>
        <w:ind w:firstLine="426"/>
        <w:jc w:val="both"/>
        <w:rPr>
          <w:i w:val="0"/>
          <w:smallCaps w:val="0"/>
          <w:shd w:val="clear" w:color="auto" w:fill="FFFFFF"/>
        </w:rPr>
      </w:pPr>
      <w:r>
        <w:rPr>
          <w:i w:val="0"/>
          <w:smallCaps w:val="0"/>
          <w:shd w:val="clear" w:color="auto" w:fill="FFFFFF"/>
        </w:rPr>
        <w:t>C’è da chiedersi come su questo panorama siano destinate a impattare le previsioni del nuovo comma 2-</w:t>
      </w:r>
      <w:r>
        <w:rPr>
          <w:smallCaps w:val="0"/>
          <w:shd w:val="clear" w:color="auto" w:fill="FFFFFF"/>
        </w:rPr>
        <w:t xml:space="preserve">bis </w:t>
      </w:r>
      <w:r>
        <w:rPr>
          <w:i w:val="0"/>
          <w:smallCaps w:val="0"/>
          <w:shd w:val="clear" w:color="auto" w:fill="FFFFFF"/>
        </w:rPr>
        <w:t xml:space="preserve">dell’articolo 92 del d.lgs. n. 159/2011, laddove stabiliscono che il Prefetto in sede di </w:t>
      </w:r>
      <w:r w:rsidR="005356DB">
        <w:rPr>
          <w:i w:val="0"/>
          <w:smallCaps w:val="0"/>
          <w:shd w:val="clear" w:color="auto" w:fill="FFFFFF"/>
        </w:rPr>
        <w:t xml:space="preserve">contraddittorio procedimentale, oltre a dare comunicazione all’impresa interessata della prossima adozione di un’informativa </w:t>
      </w:r>
      <w:proofErr w:type="spellStart"/>
      <w:r w:rsidR="005356DB">
        <w:rPr>
          <w:i w:val="0"/>
          <w:smallCaps w:val="0"/>
          <w:shd w:val="clear" w:color="auto" w:fill="FFFFFF"/>
        </w:rPr>
        <w:t>interdittiva</w:t>
      </w:r>
      <w:proofErr w:type="spellEnd"/>
      <w:r w:rsidR="005356DB">
        <w:rPr>
          <w:i w:val="0"/>
          <w:smallCaps w:val="0"/>
          <w:shd w:val="clear" w:color="auto" w:fill="FFFFFF"/>
        </w:rPr>
        <w:t>, debba anche indicare “</w:t>
      </w:r>
      <w:r w:rsidR="005356DB">
        <w:rPr>
          <w:smallCaps w:val="0"/>
          <w:shd w:val="clear" w:color="auto" w:fill="FFFFFF"/>
        </w:rPr>
        <w:t>gli elementi sintomatici dei tentativi di infiltrazione mafiosa</w:t>
      </w:r>
      <w:r w:rsidR="005356DB">
        <w:rPr>
          <w:i w:val="0"/>
          <w:smallCaps w:val="0"/>
          <w:shd w:val="clear" w:color="auto" w:fill="FFFFFF"/>
        </w:rPr>
        <w:t>”, e al tempo stesso aggiungono che “</w:t>
      </w:r>
      <w:r w:rsidR="005356DB" w:rsidRPr="0068401B">
        <w:rPr>
          <w:smallCaps w:val="0"/>
          <w:shd w:val="clear" w:color="auto" w:fill="FFFFFF"/>
        </w:rPr>
        <w:t>non possono formare oggetto della comunicazione di cui al presente comma elementi informativi il cui disvelamento sia idoneo a pregiudicare procedimenti amministrativi o attività processuali in corso, ovvero l</w:t>
      </w:r>
      <w:r w:rsidR="005356DB">
        <w:rPr>
          <w:smallCaps w:val="0"/>
          <w:shd w:val="clear" w:color="auto" w:fill="FFFFFF"/>
        </w:rPr>
        <w:t>’</w:t>
      </w:r>
      <w:r w:rsidR="005356DB" w:rsidRPr="0068401B">
        <w:rPr>
          <w:smallCaps w:val="0"/>
          <w:shd w:val="clear" w:color="auto" w:fill="FFFFFF"/>
        </w:rPr>
        <w:t>esito di altri accertamenti finalizzati alla prevenzione delle infiltrazioni mafiose</w:t>
      </w:r>
      <w:r w:rsidR="005356DB">
        <w:rPr>
          <w:i w:val="0"/>
          <w:smallCaps w:val="0"/>
          <w:shd w:val="clear" w:color="auto" w:fill="FFFFFF"/>
        </w:rPr>
        <w:t xml:space="preserve">”. Scontato che la selezione a monte di atti o informazioni da non disvelare all’interessato renda vincolato anche il diniego a </w:t>
      </w:r>
      <w:r w:rsidR="005356DB">
        <w:rPr>
          <w:i w:val="0"/>
          <w:smallCaps w:val="0"/>
          <w:shd w:val="clear" w:color="auto" w:fill="FFFFFF"/>
        </w:rPr>
        <w:lastRenderedPageBreak/>
        <w:t xml:space="preserve">un’eventuale successiva istanza di accesso agli stessi, potrebbe ritenersi che la nuova disciplina abbia reso di fatto non esperibile l’accesso “procedimentale” di cui all’articolo 25 della legge n. 241/1990, almeno nei casi (che dovrebbero, come si è visto, costituire la regola) in cui si sia proceduto al contraddittorio, essendo stati già comunicati all’interessato i documenti e le informazioni ritenute ostensibili e dovendo – semmai – la questione essere vagliata direttamente dal giudice, se del caso con istanza incidentale di accesso ai sensi dell’articolo 116, comma 2, del codice del processo amministrativo, in sede di giudizio di annullamento dell’informativa </w:t>
      </w:r>
      <w:proofErr w:type="spellStart"/>
      <w:r w:rsidR="005356DB">
        <w:rPr>
          <w:i w:val="0"/>
          <w:smallCaps w:val="0"/>
          <w:shd w:val="clear" w:color="auto" w:fill="FFFFFF"/>
        </w:rPr>
        <w:t>interdittiva</w:t>
      </w:r>
      <w:proofErr w:type="spellEnd"/>
      <w:r w:rsidR="005356DB">
        <w:rPr>
          <w:i w:val="0"/>
          <w:smallCaps w:val="0"/>
          <w:shd w:val="clear" w:color="auto" w:fill="FFFFFF"/>
        </w:rPr>
        <w:t xml:space="preserve"> successivamente adottata.</w:t>
      </w:r>
    </w:p>
    <w:p w:rsidR="005356DB" w:rsidRDefault="005356DB" w:rsidP="00400167">
      <w:pPr>
        <w:ind w:firstLine="426"/>
        <w:jc w:val="both"/>
        <w:rPr>
          <w:i w:val="0"/>
          <w:smallCaps w:val="0"/>
          <w:color w:val="000000"/>
        </w:rPr>
      </w:pPr>
      <w:r>
        <w:rPr>
          <w:i w:val="0"/>
          <w:smallCaps w:val="0"/>
          <w:shd w:val="clear" w:color="auto" w:fill="FFFFFF"/>
        </w:rPr>
        <w:t xml:space="preserve">Se così fosse, finirebbe per essere generalizzata la soluzione seguita dalla giurisprudenza – in via generale, e non solo per quanto riguarda i procedimenti antimafia – per l’accesso ai documenti coperti da classifica di riservatezza ai sensi dell’articolo 42 della legge </w:t>
      </w:r>
      <w:r>
        <w:rPr>
          <w:i w:val="0"/>
          <w:smallCaps w:val="0"/>
          <w:color w:val="000000"/>
        </w:rPr>
        <w:t>3 agosto 2007, n. 124: ritenendo che quest’ultima norma integri il parametro normativo di cui all’articolo 24 della legge n. 241/1990</w:t>
      </w:r>
      <w:r w:rsidR="006E4FB1">
        <w:rPr>
          <w:i w:val="0"/>
          <w:smallCaps w:val="0"/>
          <w:color w:val="000000"/>
        </w:rPr>
        <w:t>, si assume che gli atti soggetti a tale regime possano essere esaminati dal privato soltanto in sede giudiziaria, sede preposta dalla legge a garantire il corretto equilibrio tra i contrapposti interessi, e pertanto che anche in ipotesi di accesso c.d. difensivo l’ostensione dei documenti possa essere decisa unicamente dal giudice e non anche dall’amministrazione investita da un’istanza di accesso in sede “procedimentale”</w:t>
      </w:r>
      <w:r w:rsidR="006E4FB1">
        <w:rPr>
          <w:rStyle w:val="Rimandonotaapidipagina"/>
          <w:i w:val="0"/>
          <w:smallCaps w:val="0"/>
          <w:color w:val="000000"/>
        </w:rPr>
        <w:footnoteReference w:id="111"/>
      </w:r>
      <w:r w:rsidR="006E4FB1">
        <w:rPr>
          <w:i w:val="0"/>
          <w:smallCaps w:val="0"/>
          <w:color w:val="000000"/>
        </w:rPr>
        <w:t>.</w:t>
      </w:r>
    </w:p>
    <w:p w:rsidR="006E4FB1" w:rsidRDefault="006E4FB1" w:rsidP="00400167">
      <w:pPr>
        <w:ind w:firstLine="426"/>
        <w:jc w:val="both"/>
        <w:rPr>
          <w:i w:val="0"/>
          <w:smallCaps w:val="0"/>
          <w:color w:val="000000"/>
        </w:rPr>
      </w:pPr>
    </w:p>
    <w:p w:rsidR="00D668A4" w:rsidRDefault="00D668A4" w:rsidP="00400167">
      <w:pPr>
        <w:ind w:firstLine="426"/>
        <w:jc w:val="both"/>
        <w:rPr>
          <w:b/>
          <w:i w:val="0"/>
          <w:smallCaps w:val="0"/>
          <w:color w:val="000000"/>
        </w:rPr>
      </w:pPr>
    </w:p>
    <w:p w:rsidR="006E4FB1" w:rsidRDefault="006E4FB1" w:rsidP="00400167">
      <w:pPr>
        <w:ind w:firstLine="426"/>
        <w:jc w:val="both"/>
        <w:rPr>
          <w:b/>
          <w:i w:val="0"/>
          <w:smallCaps w:val="0"/>
          <w:color w:val="000000"/>
        </w:rPr>
      </w:pPr>
      <w:r>
        <w:rPr>
          <w:b/>
          <w:i w:val="0"/>
          <w:smallCaps w:val="0"/>
          <w:color w:val="000000"/>
        </w:rPr>
        <w:t>9. Le misure alternative e di mitigazione.</w:t>
      </w:r>
    </w:p>
    <w:p w:rsidR="009351F4" w:rsidRDefault="009351F4" w:rsidP="00400167">
      <w:pPr>
        <w:ind w:firstLine="426"/>
        <w:jc w:val="both"/>
        <w:rPr>
          <w:b/>
          <w:i w:val="0"/>
          <w:smallCaps w:val="0"/>
          <w:color w:val="000000"/>
        </w:rPr>
      </w:pPr>
    </w:p>
    <w:p w:rsidR="009351F4" w:rsidRDefault="009351F4" w:rsidP="00400167">
      <w:pPr>
        <w:ind w:firstLine="426"/>
        <w:jc w:val="both"/>
        <w:rPr>
          <w:i w:val="0"/>
          <w:smallCaps w:val="0"/>
          <w:color w:val="000000"/>
        </w:rPr>
      </w:pPr>
      <w:r>
        <w:rPr>
          <w:i w:val="0"/>
          <w:smallCaps w:val="0"/>
          <w:color w:val="000000"/>
        </w:rPr>
        <w:t>Si è detto di come nell’originario disegno del legislatore le misure prefettizie antimafia costituissero uno strumento amministrativo di prevenzione destinato ad affiancarsi alle “tradizionali” misure di prevenzione (personali e patrimoniali) irrogate dal giudice, e di come il sistema costituito dall’azione integrata di questo complesso di istituti si sia progressivamente affinato, attraverso l’introduzione di una pluralità di soluzioni alternative – culminato nella recente novella dell’articolo 94-</w:t>
      </w:r>
      <w:r>
        <w:rPr>
          <w:smallCaps w:val="0"/>
          <w:color w:val="000000"/>
        </w:rPr>
        <w:t xml:space="preserve">bis, </w:t>
      </w:r>
      <w:r>
        <w:rPr>
          <w:i w:val="0"/>
          <w:smallCaps w:val="0"/>
          <w:color w:val="000000"/>
        </w:rPr>
        <w:t>d.lgs. n. 159/2011 – in mod</w:t>
      </w:r>
      <w:r w:rsidR="00D668A4">
        <w:rPr>
          <w:i w:val="0"/>
          <w:smallCaps w:val="0"/>
          <w:color w:val="000000"/>
        </w:rPr>
        <w:t>o</w:t>
      </w:r>
      <w:r>
        <w:rPr>
          <w:i w:val="0"/>
          <w:smallCaps w:val="0"/>
          <w:color w:val="000000"/>
        </w:rPr>
        <w:t xml:space="preserve"> da creare un sistema “gradualistico”, nel quale la più grave misura </w:t>
      </w:r>
      <w:proofErr w:type="spellStart"/>
      <w:r>
        <w:rPr>
          <w:i w:val="0"/>
          <w:smallCaps w:val="0"/>
          <w:color w:val="000000"/>
        </w:rPr>
        <w:t>interdittiva</w:t>
      </w:r>
      <w:proofErr w:type="spellEnd"/>
      <w:r>
        <w:rPr>
          <w:i w:val="0"/>
          <w:smallCaps w:val="0"/>
          <w:color w:val="000000"/>
        </w:rPr>
        <w:t xml:space="preserve"> costituisca effettivamente l’</w:t>
      </w:r>
      <w:proofErr w:type="spellStart"/>
      <w:r>
        <w:rPr>
          <w:smallCaps w:val="0"/>
          <w:color w:val="000000"/>
        </w:rPr>
        <w:t>extrema</w:t>
      </w:r>
      <w:proofErr w:type="spellEnd"/>
      <w:r>
        <w:rPr>
          <w:smallCaps w:val="0"/>
          <w:color w:val="000000"/>
        </w:rPr>
        <w:t xml:space="preserve"> ratio </w:t>
      </w:r>
      <w:r>
        <w:rPr>
          <w:i w:val="0"/>
          <w:smallCaps w:val="0"/>
          <w:color w:val="000000"/>
        </w:rPr>
        <w:t xml:space="preserve">e le autorità preposte abbiano la possibilità di apprezzare e trattare diversamente i casi in cui il coinvolgimento dell’impresa con le consorterie criminali appaia meno intenso e strutturale, o comunque l’istruttoria lasci emergere concrete </w:t>
      </w:r>
      <w:r>
        <w:rPr>
          <w:smallCaps w:val="0"/>
          <w:color w:val="000000"/>
        </w:rPr>
        <w:t xml:space="preserve">chance </w:t>
      </w:r>
      <w:r>
        <w:rPr>
          <w:i w:val="0"/>
          <w:smallCaps w:val="0"/>
          <w:color w:val="000000"/>
        </w:rPr>
        <w:t>di recupero dell’attività imprenditoriale alla legalità o anche solo l’inopportunità, per le più varie ragioni, di attivare quel meccanismo di sostanziale blocco di ogni attività economica in cui oggi l’informativa antimafia si risolve.</w:t>
      </w:r>
    </w:p>
    <w:p w:rsidR="009351F4" w:rsidRDefault="009351F4" w:rsidP="00400167">
      <w:pPr>
        <w:ind w:firstLine="426"/>
        <w:jc w:val="both"/>
        <w:rPr>
          <w:i w:val="0"/>
          <w:smallCaps w:val="0"/>
          <w:color w:val="000000"/>
        </w:rPr>
      </w:pPr>
      <w:r>
        <w:rPr>
          <w:i w:val="0"/>
          <w:smallCaps w:val="0"/>
          <w:color w:val="000000"/>
        </w:rPr>
        <w:t>In questo paragrafo, saranno rapidamente passate in rassegna le diverse misure, alternative e mitigatrici del regime ordinario dell’</w:t>
      </w:r>
      <w:proofErr w:type="spellStart"/>
      <w:r>
        <w:rPr>
          <w:i w:val="0"/>
          <w:smallCaps w:val="0"/>
          <w:color w:val="000000"/>
        </w:rPr>
        <w:t>interdittiva</w:t>
      </w:r>
      <w:proofErr w:type="spellEnd"/>
      <w:r>
        <w:rPr>
          <w:i w:val="0"/>
          <w:smallCaps w:val="0"/>
          <w:color w:val="000000"/>
        </w:rPr>
        <w:t xml:space="preserve"> antimafia, che il legislatore ha introdotto nell’ultimo </w:t>
      </w:r>
      <w:r w:rsidR="001919CE">
        <w:rPr>
          <w:i w:val="0"/>
          <w:smallCaps w:val="0"/>
          <w:color w:val="000000"/>
        </w:rPr>
        <w:t>de</w:t>
      </w:r>
      <w:r>
        <w:rPr>
          <w:i w:val="0"/>
          <w:smallCaps w:val="0"/>
          <w:color w:val="000000"/>
        </w:rPr>
        <w:t>cennio, esaminandone i rapporti con le misure prefettizie alla luce dei principali approdi della giurisprudenza. Nel far ciò, non ci si potrà esimere da qualche “incursione” anche nel territorio delle misure di prevenzione giurisdizionale, con specifico riferimento all’istituto del controllo giudiziario (articolo 34-</w:t>
      </w:r>
      <w:r>
        <w:rPr>
          <w:smallCaps w:val="0"/>
          <w:color w:val="000000"/>
        </w:rPr>
        <w:t xml:space="preserve">bis, </w:t>
      </w:r>
      <w:r>
        <w:rPr>
          <w:i w:val="0"/>
          <w:smallCaps w:val="0"/>
          <w:color w:val="000000"/>
        </w:rPr>
        <w:t>d.lgs. n. 159/2011), le cui strette relazioni con l’informativa prefettizia – come è noto – hanno sollevato nella giurisprudenza, sia amministrativa che penale, una quantità di questioni ad oggi non pienamente risolte.</w:t>
      </w:r>
    </w:p>
    <w:p w:rsidR="001919CE" w:rsidRDefault="001919CE" w:rsidP="00400167">
      <w:pPr>
        <w:ind w:firstLine="426"/>
        <w:jc w:val="both"/>
        <w:rPr>
          <w:i w:val="0"/>
          <w:smallCaps w:val="0"/>
          <w:color w:val="000000"/>
        </w:rPr>
      </w:pPr>
    </w:p>
    <w:p w:rsidR="001919CE" w:rsidRDefault="001919CE" w:rsidP="00400167">
      <w:pPr>
        <w:ind w:firstLine="426"/>
        <w:jc w:val="both"/>
        <w:rPr>
          <w:b/>
          <w:i w:val="0"/>
          <w:smallCaps w:val="0"/>
        </w:rPr>
      </w:pPr>
      <w:r>
        <w:rPr>
          <w:b/>
          <w:i w:val="0"/>
          <w:smallCaps w:val="0"/>
          <w:color w:val="000000"/>
        </w:rPr>
        <w:t xml:space="preserve">9.1. </w:t>
      </w:r>
      <w:r w:rsidRPr="001919CE">
        <w:rPr>
          <w:b/>
          <w:i w:val="0"/>
          <w:smallCaps w:val="0"/>
        </w:rPr>
        <w:t xml:space="preserve">La straordinaria gestione del contratto </w:t>
      </w:r>
      <w:r w:rsidRPr="001919CE">
        <w:rPr>
          <w:b/>
          <w:smallCaps w:val="0"/>
        </w:rPr>
        <w:t xml:space="preserve">ex </w:t>
      </w:r>
      <w:r w:rsidRPr="001919CE">
        <w:rPr>
          <w:b/>
          <w:i w:val="0"/>
          <w:smallCaps w:val="0"/>
        </w:rPr>
        <w:t xml:space="preserve">articolo 32, </w:t>
      </w:r>
      <w:proofErr w:type="spellStart"/>
      <w:r w:rsidRPr="001919CE">
        <w:rPr>
          <w:b/>
          <w:i w:val="0"/>
          <w:smallCaps w:val="0"/>
        </w:rPr>
        <w:t>d.l.</w:t>
      </w:r>
      <w:proofErr w:type="spellEnd"/>
      <w:r w:rsidRPr="001919CE">
        <w:rPr>
          <w:b/>
          <w:i w:val="0"/>
          <w:smallCaps w:val="0"/>
        </w:rPr>
        <w:t xml:space="preserve"> n. 90/2014.</w:t>
      </w:r>
    </w:p>
    <w:p w:rsidR="003B4E2A" w:rsidRDefault="003B4E2A" w:rsidP="00400167">
      <w:pPr>
        <w:ind w:firstLine="426"/>
        <w:jc w:val="both"/>
        <w:rPr>
          <w:b/>
          <w:i w:val="0"/>
          <w:smallCaps w:val="0"/>
        </w:rPr>
      </w:pPr>
    </w:p>
    <w:p w:rsidR="003B4E2A" w:rsidRDefault="003B4E2A" w:rsidP="00400167">
      <w:pPr>
        <w:ind w:firstLine="426"/>
        <w:jc w:val="both"/>
        <w:rPr>
          <w:i w:val="0"/>
          <w:smallCaps w:val="0"/>
        </w:rPr>
      </w:pPr>
      <w:r>
        <w:rPr>
          <w:i w:val="0"/>
          <w:smallCaps w:val="0"/>
        </w:rPr>
        <w:t xml:space="preserve">Il </w:t>
      </w:r>
      <w:proofErr w:type="spellStart"/>
      <w:r>
        <w:rPr>
          <w:i w:val="0"/>
          <w:smallCaps w:val="0"/>
        </w:rPr>
        <w:t>d.l.</w:t>
      </w:r>
      <w:proofErr w:type="spellEnd"/>
      <w:r>
        <w:rPr>
          <w:i w:val="0"/>
          <w:smallCaps w:val="0"/>
        </w:rPr>
        <w:t xml:space="preserve"> 24 giugno 2014, n. 90 (“Misure urgenti per la semplificazione e la trasparenza amministrativa e per l’efficienza degli uffici giudiziari”), convertito, con modificazioni, dalla legge 11 agosto 2014, n. 114, ha previsto all’articolo 32 una serie di misure, affidate all’azione congiunta dei Prefetti e del Presidente dell’Autorità nazionale anticorruzione (ANAC), al fine di assicurare che </w:t>
      </w:r>
      <w:r w:rsidR="00835719">
        <w:rPr>
          <w:i w:val="0"/>
          <w:smallCaps w:val="0"/>
        </w:rPr>
        <w:lastRenderedPageBreak/>
        <w:t>il coinvolgimento di imprese affidatarie di contratti pubblici in vicende illecite e corruttive non sia di pregiudizio alla prosecuzione dell’esecuzione dei contratti medesimi, al tempo stesso garantendo che questa avvenga in condizioni di legalità e trasparenza nelle more dei definitivi accertamenti in sede penale sulle anzi dette vicende.</w:t>
      </w:r>
    </w:p>
    <w:p w:rsidR="00835719" w:rsidRDefault="0015695D" w:rsidP="00400167">
      <w:pPr>
        <w:ind w:firstLine="426"/>
        <w:jc w:val="both"/>
        <w:rPr>
          <w:i w:val="0"/>
          <w:smallCaps w:val="0"/>
          <w:shd w:val="clear" w:color="auto" w:fill="FFFFFF"/>
        </w:rPr>
      </w:pPr>
      <w:r>
        <w:rPr>
          <w:i w:val="0"/>
          <w:smallCaps w:val="0"/>
        </w:rPr>
        <w:t>Nella previsione-base</w:t>
      </w:r>
      <w:r w:rsidR="0057082F">
        <w:rPr>
          <w:i w:val="0"/>
          <w:smallCaps w:val="0"/>
        </w:rPr>
        <w:t xml:space="preserve"> (comma 1)</w:t>
      </w:r>
      <w:r>
        <w:rPr>
          <w:i w:val="0"/>
          <w:smallCaps w:val="0"/>
        </w:rPr>
        <w:t>, i</w:t>
      </w:r>
      <w:r w:rsidR="00835719">
        <w:rPr>
          <w:i w:val="0"/>
          <w:smallCaps w:val="0"/>
        </w:rPr>
        <w:t xml:space="preserve">l presupposto per l’attivazione delle misure </w:t>
      </w:r>
      <w:r w:rsidR="00835719">
        <w:rPr>
          <w:smallCaps w:val="0"/>
        </w:rPr>
        <w:t xml:space="preserve">de </w:t>
      </w:r>
      <w:proofErr w:type="spellStart"/>
      <w:r w:rsidR="00835719">
        <w:rPr>
          <w:smallCaps w:val="0"/>
        </w:rPr>
        <w:t>quibus</w:t>
      </w:r>
      <w:proofErr w:type="spellEnd"/>
      <w:r w:rsidR="00835719">
        <w:rPr>
          <w:smallCaps w:val="0"/>
        </w:rPr>
        <w:t xml:space="preserve"> </w:t>
      </w:r>
      <w:r w:rsidR="00835719">
        <w:rPr>
          <w:i w:val="0"/>
          <w:smallCaps w:val="0"/>
        </w:rPr>
        <w:t>è costituito dalla pendenza di procedimenti penali per una serie di delitti analiticamente indicati</w:t>
      </w:r>
      <w:r w:rsidR="00835719">
        <w:rPr>
          <w:rStyle w:val="Rimandonotaapidipagina"/>
          <w:i w:val="0"/>
          <w:smallCaps w:val="0"/>
        </w:rPr>
        <w:footnoteReference w:id="112"/>
      </w:r>
      <w:r w:rsidR="00835719">
        <w:rPr>
          <w:i w:val="0"/>
          <w:smallCaps w:val="0"/>
        </w:rPr>
        <w:t xml:space="preserve"> ovvero dalla “</w:t>
      </w:r>
      <w:r w:rsidR="00835719" w:rsidRPr="00835719">
        <w:rPr>
          <w:smallCaps w:val="0"/>
          <w:shd w:val="clear" w:color="auto" w:fill="FFFFFF"/>
        </w:rPr>
        <w:t>presenza di rilevate situazioni anomale e comunque sintomatiche di condotte illecite o even</w:t>
      </w:r>
      <w:r w:rsidR="00835719">
        <w:rPr>
          <w:smallCaps w:val="0"/>
          <w:shd w:val="clear" w:color="auto" w:fill="FFFFFF"/>
        </w:rPr>
        <w:t>ti criminali attribuibili ad un’</w:t>
      </w:r>
      <w:r w:rsidR="00835719" w:rsidRPr="00835719">
        <w:rPr>
          <w:smallCaps w:val="0"/>
          <w:shd w:val="clear" w:color="auto" w:fill="FFFFFF"/>
        </w:rPr>
        <w:t>impresa aggiudicataria di un appalto per la realizzazione di opere pubbliche, servizi o forniture</w:t>
      </w:r>
      <w:r w:rsidR="00835719">
        <w:rPr>
          <w:i w:val="0"/>
          <w:smallCaps w:val="0"/>
          <w:shd w:val="clear" w:color="auto" w:fill="FFFFFF"/>
        </w:rPr>
        <w:t>” (oltre che di un’impresa accreditata e contrattualizzata per attività sanitaria ai sensi delle norme del d.lgs. 30 dicembre 1992, n. 502)</w:t>
      </w:r>
      <w:r>
        <w:rPr>
          <w:i w:val="0"/>
          <w:smallCaps w:val="0"/>
          <w:shd w:val="clear" w:color="auto" w:fill="FFFFFF"/>
        </w:rPr>
        <w:t>. In tali ipotesi, il legislatore costruisce un procedimento bifasico</w:t>
      </w:r>
      <w:r>
        <w:rPr>
          <w:rStyle w:val="Rimandonotaapidipagina"/>
          <w:i w:val="0"/>
          <w:smallCaps w:val="0"/>
          <w:shd w:val="clear" w:color="auto" w:fill="FFFFFF"/>
        </w:rPr>
        <w:footnoteReference w:id="113"/>
      </w:r>
      <w:r>
        <w:rPr>
          <w:i w:val="0"/>
          <w:smallCaps w:val="0"/>
          <w:shd w:val="clear" w:color="auto" w:fill="FFFFFF"/>
        </w:rPr>
        <w:t>, incentrato sull’iniziativa del Presidente dell’ANAC e sulla successiva attività istruttoria e valutazione del Prefetto territorialmente competente: il primo, qualora i fatti siano “</w:t>
      </w:r>
      <w:r>
        <w:rPr>
          <w:smallCaps w:val="0"/>
          <w:shd w:val="clear" w:color="auto" w:fill="FFFFFF"/>
        </w:rPr>
        <w:t>gravi e accertati</w:t>
      </w:r>
      <w:r>
        <w:rPr>
          <w:i w:val="0"/>
          <w:smallCaps w:val="0"/>
          <w:shd w:val="clear" w:color="auto" w:fill="FFFFFF"/>
        </w:rPr>
        <w:t>”</w:t>
      </w:r>
      <w:r>
        <w:rPr>
          <w:rStyle w:val="Rimandonotaapidipagina"/>
          <w:i w:val="0"/>
          <w:smallCaps w:val="0"/>
          <w:shd w:val="clear" w:color="auto" w:fill="FFFFFF"/>
        </w:rPr>
        <w:footnoteReference w:id="114"/>
      </w:r>
      <w:r>
        <w:rPr>
          <w:i w:val="0"/>
          <w:smallCaps w:val="0"/>
          <w:shd w:val="clear" w:color="auto" w:fill="FFFFFF"/>
        </w:rPr>
        <w:t xml:space="preserve">, può proporre al Prefetto l’adozione di alcune misure straordinarie, tra le quali – oltre a quella più severa della rinnovazione degli organi sociali ed a quella più blanda </w:t>
      </w:r>
      <w:r w:rsidR="0057082F">
        <w:rPr>
          <w:i w:val="0"/>
          <w:smallCaps w:val="0"/>
          <w:shd w:val="clear" w:color="auto" w:fill="FFFFFF"/>
        </w:rPr>
        <w:t>della decurtazione degli utili di impresa dei pagamenti destinati all’operatore economico per l’esecuzione del contratto</w:t>
      </w:r>
      <w:r w:rsidR="0057082F">
        <w:rPr>
          <w:rStyle w:val="Rimandonotaapidipagina"/>
          <w:i w:val="0"/>
          <w:smallCaps w:val="0"/>
          <w:shd w:val="clear" w:color="auto" w:fill="FFFFFF"/>
        </w:rPr>
        <w:footnoteReference w:id="115"/>
      </w:r>
      <w:r w:rsidR="0057082F">
        <w:rPr>
          <w:i w:val="0"/>
          <w:smallCaps w:val="0"/>
          <w:shd w:val="clear" w:color="auto" w:fill="FFFFFF"/>
        </w:rPr>
        <w:t xml:space="preserve"> - la “</w:t>
      </w:r>
      <w:r w:rsidR="0057082F" w:rsidRPr="0057082F">
        <w:rPr>
          <w:smallCaps w:val="0"/>
          <w:shd w:val="clear" w:color="auto" w:fill="FFFFFF"/>
        </w:rPr>
        <w:t>straordinaria e temporanea gestione dell</w:t>
      </w:r>
      <w:r w:rsidR="0057082F">
        <w:rPr>
          <w:smallCaps w:val="0"/>
          <w:shd w:val="clear" w:color="auto" w:fill="FFFFFF"/>
        </w:rPr>
        <w:t>’</w:t>
      </w:r>
      <w:r w:rsidR="0057082F" w:rsidRPr="0057082F">
        <w:rPr>
          <w:smallCaps w:val="0"/>
          <w:shd w:val="clear" w:color="auto" w:fill="FFFFFF"/>
        </w:rPr>
        <w:t>impresa anche limitatamente alla completa esecuzione del contratto di appalto ovvero dell</w:t>
      </w:r>
      <w:r w:rsidR="0057082F">
        <w:rPr>
          <w:smallCaps w:val="0"/>
          <w:shd w:val="clear" w:color="auto" w:fill="FFFFFF"/>
        </w:rPr>
        <w:t>’</w:t>
      </w:r>
      <w:r w:rsidR="0057082F" w:rsidRPr="0057082F">
        <w:rPr>
          <w:smallCaps w:val="0"/>
          <w:shd w:val="clear" w:color="auto" w:fill="FFFFFF"/>
        </w:rPr>
        <w:t>accordo contrattuale o della concessione</w:t>
      </w:r>
      <w:r w:rsidR="0057082F">
        <w:rPr>
          <w:i w:val="0"/>
          <w:smallCaps w:val="0"/>
          <w:shd w:val="clear" w:color="auto" w:fill="FFFFFF"/>
        </w:rPr>
        <w:t>”. Ove tale misura sia disposta, ovvero l’impresa rifiuti di rinnovare gli organi sociali, il Prefetto procederà alla nomina di uno o più amministratori destinati a sostituirsi agli organi dell’impresa (comma 2).</w:t>
      </w:r>
    </w:p>
    <w:p w:rsidR="0057082F" w:rsidRDefault="0057082F" w:rsidP="00400167">
      <w:pPr>
        <w:ind w:firstLine="426"/>
        <w:jc w:val="both"/>
        <w:rPr>
          <w:i w:val="0"/>
          <w:smallCaps w:val="0"/>
          <w:shd w:val="clear" w:color="auto" w:fill="FFFFFF"/>
        </w:rPr>
      </w:pPr>
      <w:r>
        <w:rPr>
          <w:i w:val="0"/>
          <w:smallCaps w:val="0"/>
          <w:shd w:val="clear" w:color="auto" w:fill="FFFFFF"/>
        </w:rPr>
        <w:t>La valutazione del Prefetto assume in queste ipotesi marcati tratti di discrezionalità, avendo a oggetto, oltre che la sussistenza dei presupposti per l’adozione delle misure, anche “</w:t>
      </w:r>
      <w:r>
        <w:rPr>
          <w:smallCaps w:val="0"/>
          <w:shd w:val="clear" w:color="auto" w:fill="FFFFFF"/>
        </w:rPr>
        <w:t>la particolare gravità dei fatti oggetto delle indagini</w:t>
      </w:r>
      <w:r>
        <w:rPr>
          <w:i w:val="0"/>
          <w:smallCaps w:val="0"/>
          <w:shd w:val="clear" w:color="auto" w:fill="FFFFFF"/>
        </w:rPr>
        <w:t>”</w:t>
      </w:r>
      <w:r>
        <w:rPr>
          <w:rStyle w:val="Rimandonotaapidipagina"/>
          <w:i w:val="0"/>
          <w:smallCaps w:val="0"/>
          <w:shd w:val="clear" w:color="auto" w:fill="FFFFFF"/>
        </w:rPr>
        <w:footnoteReference w:id="116"/>
      </w:r>
      <w:r>
        <w:rPr>
          <w:i w:val="0"/>
          <w:smallCaps w:val="0"/>
          <w:shd w:val="clear" w:color="auto" w:fill="FFFFFF"/>
        </w:rPr>
        <w:t>. Per questo, l’ANAC è intervenuta con una pluralità di linee guida al fine di fornire indicazioni e criteri per un’uniforme ed equilibrata applicazione delle previsioni in esame</w:t>
      </w:r>
      <w:r>
        <w:rPr>
          <w:rStyle w:val="Rimandonotaapidipagina"/>
          <w:i w:val="0"/>
          <w:smallCaps w:val="0"/>
          <w:shd w:val="clear" w:color="auto" w:fill="FFFFFF"/>
        </w:rPr>
        <w:footnoteReference w:id="117"/>
      </w:r>
      <w:r>
        <w:rPr>
          <w:i w:val="0"/>
          <w:smallCaps w:val="0"/>
          <w:shd w:val="clear" w:color="auto" w:fill="FFFFFF"/>
        </w:rPr>
        <w:t>.</w:t>
      </w:r>
    </w:p>
    <w:p w:rsidR="00C0247C" w:rsidRDefault="00C0247C" w:rsidP="00400167">
      <w:pPr>
        <w:ind w:firstLine="426"/>
        <w:jc w:val="both"/>
        <w:rPr>
          <w:i w:val="0"/>
          <w:smallCaps w:val="0"/>
          <w:shd w:val="clear" w:color="auto" w:fill="FFFFFF"/>
        </w:rPr>
      </w:pPr>
      <w:r>
        <w:rPr>
          <w:i w:val="0"/>
          <w:smallCaps w:val="0"/>
          <w:shd w:val="clear" w:color="auto" w:fill="FFFFFF"/>
        </w:rPr>
        <w:t xml:space="preserve">Evidente dunque è la differenza tra le misure previste dal d.lgs. n. 159/2011 e quelle qui in </w:t>
      </w:r>
      <w:r w:rsidR="00D668A4">
        <w:rPr>
          <w:i w:val="0"/>
          <w:smallCaps w:val="0"/>
          <w:shd w:val="clear" w:color="auto" w:fill="FFFFFF"/>
        </w:rPr>
        <w:t>discussione</w:t>
      </w:r>
      <w:r>
        <w:rPr>
          <w:i w:val="0"/>
          <w:smallCaps w:val="0"/>
          <w:shd w:val="clear" w:color="auto" w:fill="FFFFFF"/>
        </w:rPr>
        <w:t>: queste ultime, come ben rilevato dalla giurisprudenza, si propongono l’ambizioso obiettivo di contemperare le due opposte esigenze di garantire la completa esecuzione degli appalti pubblici e di neutralizzare il rischio derivante dall’infiltrazione criminale delle imprese, introducendo un originale e innovativo meccanismo di commissariamento attraverso una gestione espressamente qualificata come di pubblica utilità (poiché essa risponde, primariamente, all’interesse generale di assicurare la realizzazione dell’opera)</w:t>
      </w:r>
      <w:r>
        <w:rPr>
          <w:rStyle w:val="Rimandonotaapidipagina"/>
          <w:i w:val="0"/>
          <w:smallCaps w:val="0"/>
          <w:shd w:val="clear" w:color="auto" w:fill="FFFFFF"/>
        </w:rPr>
        <w:footnoteReference w:id="118"/>
      </w:r>
      <w:r>
        <w:rPr>
          <w:i w:val="0"/>
          <w:smallCaps w:val="0"/>
          <w:shd w:val="clear" w:color="auto" w:fill="FFFFFF"/>
        </w:rPr>
        <w:t xml:space="preserve"> e volta non soltanto a garantire l’interesse pubblico alla </w:t>
      </w:r>
      <w:r>
        <w:rPr>
          <w:i w:val="0"/>
          <w:smallCaps w:val="0"/>
          <w:shd w:val="clear" w:color="auto" w:fill="FFFFFF"/>
        </w:rPr>
        <w:lastRenderedPageBreak/>
        <w:t>completa esecuzione dell’appalto, ma anche a sterilizzare la gestione del contratto, oggetto del procedimento penale, dal pericolo di acquisizione delle utilità illecitamente captate in danno dell’amministrazione</w:t>
      </w:r>
      <w:r>
        <w:rPr>
          <w:rStyle w:val="Rimandonotaapidipagina"/>
          <w:i w:val="0"/>
          <w:smallCaps w:val="0"/>
          <w:shd w:val="clear" w:color="auto" w:fill="FFFFFF"/>
        </w:rPr>
        <w:footnoteReference w:id="119"/>
      </w:r>
      <w:r w:rsidR="00A87A2B">
        <w:rPr>
          <w:i w:val="0"/>
          <w:smallCaps w:val="0"/>
          <w:shd w:val="clear" w:color="auto" w:fill="FFFFFF"/>
        </w:rPr>
        <w:t>. A tali obiettivi è strumentale il contestuale accantonamento delle somme di denaro corrisposte all’operatore economico per l’esecuzione dell’appalto, in vista di evidenti obiettivi cautelari e di autotutela contrattuale</w:t>
      </w:r>
      <w:r w:rsidR="00A87A2B">
        <w:rPr>
          <w:rStyle w:val="Rimandonotaapidipagina"/>
          <w:i w:val="0"/>
          <w:smallCaps w:val="0"/>
          <w:shd w:val="clear" w:color="auto" w:fill="FFFFFF"/>
        </w:rPr>
        <w:footnoteReference w:id="120"/>
      </w:r>
      <w:r w:rsidR="00A87A2B">
        <w:rPr>
          <w:i w:val="0"/>
          <w:smallCaps w:val="0"/>
          <w:shd w:val="clear" w:color="auto" w:fill="FFFFFF"/>
        </w:rPr>
        <w:t>, salve poi le determinazioni che verranno assunte a conclusione della misura ovvero al venir meno delle condizioni che ne hanno giustificato l’applicazione</w:t>
      </w:r>
      <w:r w:rsidR="00A87A2B">
        <w:rPr>
          <w:rStyle w:val="Rimandonotaapidipagina"/>
          <w:i w:val="0"/>
          <w:smallCaps w:val="0"/>
          <w:shd w:val="clear" w:color="auto" w:fill="FFFFFF"/>
        </w:rPr>
        <w:footnoteReference w:id="121"/>
      </w:r>
      <w:r w:rsidR="00A87A2B">
        <w:rPr>
          <w:i w:val="0"/>
          <w:smallCaps w:val="0"/>
          <w:shd w:val="clear" w:color="auto" w:fill="FFFFFF"/>
        </w:rPr>
        <w:t>.</w:t>
      </w:r>
    </w:p>
    <w:p w:rsidR="00A87A2B" w:rsidRDefault="00A87A2B" w:rsidP="00400167">
      <w:pPr>
        <w:ind w:firstLine="426"/>
        <w:jc w:val="both"/>
        <w:rPr>
          <w:i w:val="0"/>
          <w:smallCaps w:val="0"/>
          <w:shd w:val="clear" w:color="auto" w:fill="FFFFFF"/>
        </w:rPr>
      </w:pPr>
      <w:r>
        <w:rPr>
          <w:i w:val="0"/>
          <w:smallCaps w:val="0"/>
          <w:shd w:val="clear" w:color="auto" w:fill="FFFFFF"/>
        </w:rPr>
        <w:t>Il punto di contatto</w:t>
      </w:r>
      <w:r w:rsidR="00352F2A">
        <w:rPr>
          <w:i w:val="0"/>
          <w:smallCaps w:val="0"/>
          <w:shd w:val="clear" w:color="auto" w:fill="FFFFFF"/>
        </w:rPr>
        <w:t xml:space="preserve"> con la disciplina delle misure prefettizie antimafia è rappresentato dal comma 10 dell’articolo 32, </w:t>
      </w:r>
      <w:proofErr w:type="spellStart"/>
      <w:r w:rsidR="00352F2A">
        <w:rPr>
          <w:i w:val="0"/>
          <w:smallCaps w:val="0"/>
          <w:shd w:val="clear" w:color="auto" w:fill="FFFFFF"/>
        </w:rPr>
        <w:t>d.l.</w:t>
      </w:r>
      <w:proofErr w:type="spellEnd"/>
      <w:r w:rsidR="00352F2A">
        <w:rPr>
          <w:i w:val="0"/>
          <w:smallCaps w:val="0"/>
          <w:shd w:val="clear" w:color="auto" w:fill="FFFFFF"/>
        </w:rPr>
        <w:t xml:space="preserve"> n. 90/2014, secondo il quale il presupposto per disporre la straordinaria gestione può essere costituito anche dalla adozione di un’informativa antimafia </w:t>
      </w:r>
      <w:proofErr w:type="spellStart"/>
      <w:r w:rsidR="00352F2A">
        <w:rPr>
          <w:i w:val="0"/>
          <w:smallCaps w:val="0"/>
          <w:shd w:val="clear" w:color="auto" w:fill="FFFFFF"/>
        </w:rPr>
        <w:t>interdittiva</w:t>
      </w:r>
      <w:proofErr w:type="spellEnd"/>
      <w:r w:rsidR="00352F2A">
        <w:rPr>
          <w:i w:val="0"/>
          <w:smallCaps w:val="0"/>
          <w:shd w:val="clear" w:color="auto" w:fill="FFFFFF"/>
        </w:rPr>
        <w:t>, qualora “</w:t>
      </w:r>
      <w:r w:rsidR="00352F2A" w:rsidRPr="00352F2A">
        <w:rPr>
          <w:smallCaps w:val="0"/>
          <w:shd w:val="clear" w:color="auto" w:fill="FFFFFF"/>
        </w:rPr>
        <w:t>sussista l</w:t>
      </w:r>
      <w:r w:rsidR="00352F2A">
        <w:rPr>
          <w:smallCaps w:val="0"/>
          <w:shd w:val="clear" w:color="auto" w:fill="FFFFFF"/>
        </w:rPr>
        <w:t>’</w:t>
      </w:r>
      <w:r w:rsidR="00352F2A" w:rsidRPr="00352F2A">
        <w:rPr>
          <w:smallCaps w:val="0"/>
          <w:shd w:val="clear" w:color="auto" w:fill="FFFFFF"/>
        </w:rPr>
        <w:t>urgente necessità di assicurare il completamento dell</w:t>
      </w:r>
      <w:r w:rsidR="00352F2A">
        <w:rPr>
          <w:smallCaps w:val="0"/>
          <w:shd w:val="clear" w:color="auto" w:fill="FFFFFF"/>
        </w:rPr>
        <w:t>’</w:t>
      </w:r>
      <w:r w:rsidR="00352F2A" w:rsidRPr="00352F2A">
        <w:rPr>
          <w:smallCaps w:val="0"/>
          <w:shd w:val="clear" w:color="auto" w:fill="FFFFFF"/>
        </w:rPr>
        <w:t>esecuzione del contratto ovvero dell</w:t>
      </w:r>
      <w:r w:rsidR="00352F2A">
        <w:rPr>
          <w:smallCaps w:val="0"/>
          <w:shd w:val="clear" w:color="auto" w:fill="FFFFFF"/>
        </w:rPr>
        <w:t>’</w:t>
      </w:r>
      <w:r w:rsidR="00352F2A" w:rsidRPr="00352F2A">
        <w:rPr>
          <w:smallCaps w:val="0"/>
          <w:shd w:val="clear" w:color="auto" w:fill="FFFFFF"/>
        </w:rPr>
        <w:t>accordo contrattuale, ovvero la sua prosecuzione al fine di garantire la continuità di funzioni e servizi indifferibili per la tutela di diritti fondamentali, nonché per la salvaguardia dei livelli occupazionali o dell</w:t>
      </w:r>
      <w:r w:rsidR="00352F2A">
        <w:rPr>
          <w:smallCaps w:val="0"/>
          <w:shd w:val="clear" w:color="auto" w:fill="FFFFFF"/>
        </w:rPr>
        <w:t>’</w:t>
      </w:r>
      <w:r w:rsidR="00352F2A" w:rsidRPr="00352F2A">
        <w:rPr>
          <w:smallCaps w:val="0"/>
          <w:shd w:val="clear" w:color="auto" w:fill="FFFFFF"/>
        </w:rPr>
        <w:t>integrità dei bilanci pubblici</w:t>
      </w:r>
      <w:r w:rsidR="00352F2A">
        <w:rPr>
          <w:i w:val="0"/>
          <w:smallCaps w:val="0"/>
          <w:shd w:val="clear" w:color="auto" w:fill="FFFFFF"/>
        </w:rPr>
        <w:t>”. In queste ipotesi, la misura può essere adottata dal prefetto anche d’ufficio, dandone comunicazione al Presidente dell’ANAC, e le sue sorti rimangono strettamente legate a quella dell’informativa che vi è alla base, nel senso che essa cessa automaticamente qualora l’</w:t>
      </w:r>
      <w:proofErr w:type="spellStart"/>
      <w:r w:rsidR="00352F2A">
        <w:rPr>
          <w:i w:val="0"/>
          <w:smallCaps w:val="0"/>
          <w:shd w:val="clear" w:color="auto" w:fill="FFFFFF"/>
        </w:rPr>
        <w:t>interdittiva</w:t>
      </w:r>
      <w:proofErr w:type="spellEnd"/>
      <w:r w:rsidR="00352F2A">
        <w:rPr>
          <w:i w:val="0"/>
          <w:smallCaps w:val="0"/>
          <w:shd w:val="clear" w:color="auto" w:fill="FFFFFF"/>
        </w:rPr>
        <w:t xml:space="preserve"> sia annullata o sospesa cautelarmente in sede giurisdizionale, ovvero in caso di rilascio di informativa liberatoria in sede di aggiornamento.</w:t>
      </w:r>
    </w:p>
    <w:p w:rsidR="00352F2A" w:rsidRDefault="00352F2A" w:rsidP="00400167">
      <w:pPr>
        <w:ind w:firstLine="426"/>
        <w:jc w:val="both"/>
        <w:rPr>
          <w:i w:val="0"/>
          <w:smallCaps w:val="0"/>
          <w:shd w:val="clear" w:color="auto" w:fill="FFFFFF"/>
        </w:rPr>
      </w:pPr>
      <w:r>
        <w:rPr>
          <w:i w:val="0"/>
          <w:smallCaps w:val="0"/>
          <w:shd w:val="clear" w:color="auto" w:fill="FFFFFF"/>
        </w:rPr>
        <w:t>Come osservato dal Consiglio di Stato in sede consultiva</w:t>
      </w:r>
      <w:r>
        <w:rPr>
          <w:rStyle w:val="Rimandonotaapidipagina"/>
          <w:i w:val="0"/>
          <w:smallCaps w:val="0"/>
          <w:shd w:val="clear" w:color="auto" w:fill="FFFFFF"/>
        </w:rPr>
        <w:footnoteReference w:id="122"/>
      </w:r>
      <w:r>
        <w:rPr>
          <w:i w:val="0"/>
          <w:smallCaps w:val="0"/>
          <w:shd w:val="clear" w:color="auto" w:fill="FFFFFF"/>
        </w:rPr>
        <w:t xml:space="preserve">, poiché in questo caso la misura </w:t>
      </w:r>
      <w:r>
        <w:rPr>
          <w:smallCaps w:val="0"/>
          <w:shd w:val="clear" w:color="auto" w:fill="FFFFFF"/>
        </w:rPr>
        <w:t xml:space="preserve">de qua </w:t>
      </w:r>
      <w:r>
        <w:rPr>
          <w:i w:val="0"/>
          <w:smallCaps w:val="0"/>
          <w:shd w:val="clear" w:color="auto" w:fill="FFFFFF"/>
        </w:rPr>
        <w:t xml:space="preserve">si affianca all’informativa </w:t>
      </w:r>
      <w:proofErr w:type="spellStart"/>
      <w:r>
        <w:rPr>
          <w:i w:val="0"/>
          <w:smallCaps w:val="0"/>
          <w:shd w:val="clear" w:color="auto" w:fill="FFFFFF"/>
        </w:rPr>
        <w:t>interdittiva</w:t>
      </w:r>
      <w:proofErr w:type="spellEnd"/>
      <w:r>
        <w:rPr>
          <w:i w:val="0"/>
          <w:smallCaps w:val="0"/>
          <w:shd w:val="clear" w:color="auto" w:fill="FFFFFF"/>
        </w:rPr>
        <w:t xml:space="preserve"> anziché prenderne il posto, è evidente che l’unico suo fondamento è costituito dalle esigenze di matrice pubblicistica che rendono opportuna la prosecuzione dell’esecuzione del contratto, giustificando una deroga ai normali effetti </w:t>
      </w:r>
      <w:proofErr w:type="spellStart"/>
      <w:r>
        <w:rPr>
          <w:i w:val="0"/>
          <w:smallCaps w:val="0"/>
          <w:shd w:val="clear" w:color="auto" w:fill="FFFFFF"/>
        </w:rPr>
        <w:t>interdittivi</w:t>
      </w:r>
      <w:proofErr w:type="spellEnd"/>
      <w:r>
        <w:rPr>
          <w:i w:val="0"/>
          <w:smallCaps w:val="0"/>
          <w:shd w:val="clear" w:color="auto" w:fill="FFFFFF"/>
        </w:rPr>
        <w:t xml:space="preserve"> dell’informativa prefettizia, restando assente qualsiasi finalità di “risanamento” o salvaguardia degli interessi dell’impresa</w:t>
      </w:r>
      <w:r w:rsidR="004B7CE5">
        <w:rPr>
          <w:rStyle w:val="Rimandonotaapidipagina"/>
          <w:i w:val="0"/>
          <w:smallCaps w:val="0"/>
          <w:shd w:val="clear" w:color="auto" w:fill="FFFFFF"/>
        </w:rPr>
        <w:footnoteReference w:id="123"/>
      </w:r>
      <w:r>
        <w:rPr>
          <w:i w:val="0"/>
          <w:smallCaps w:val="0"/>
          <w:shd w:val="clear" w:color="auto" w:fill="FFFFFF"/>
        </w:rPr>
        <w:t xml:space="preserve">. </w:t>
      </w:r>
      <w:r w:rsidR="00DF2CFD">
        <w:rPr>
          <w:i w:val="0"/>
          <w:smallCaps w:val="0"/>
          <w:shd w:val="clear" w:color="auto" w:fill="FFFFFF"/>
        </w:rPr>
        <w:t>Peraltro, pur essendo evidente che la previsione in esame si risolve nel mettere a disposizione dell’autorità prefettizia un’ulteriore opzione all’esito delle verifiche istruttorie che abbiano portato a una prognosi di rischio infiltrativo a carico dell’impresa, non consta – forse per la specificità dei presupposti pubblicistici stabiliti dal legislatore – che di tale opzione si sia fino ad oggi fatto frequente uso nella pratica.</w:t>
      </w:r>
    </w:p>
    <w:p w:rsidR="00DF2CFD" w:rsidRDefault="00DF2CFD" w:rsidP="00400167">
      <w:pPr>
        <w:ind w:firstLine="426"/>
        <w:jc w:val="both"/>
        <w:rPr>
          <w:i w:val="0"/>
          <w:smallCaps w:val="0"/>
          <w:shd w:val="clear" w:color="auto" w:fill="FFFFFF"/>
        </w:rPr>
      </w:pPr>
    </w:p>
    <w:p w:rsidR="00DF2CFD" w:rsidRDefault="00DF2CFD" w:rsidP="00400167">
      <w:pPr>
        <w:ind w:firstLine="426"/>
        <w:jc w:val="both"/>
        <w:rPr>
          <w:b/>
          <w:i w:val="0"/>
          <w:smallCaps w:val="0"/>
          <w:shd w:val="clear" w:color="auto" w:fill="FFFFFF"/>
        </w:rPr>
      </w:pPr>
      <w:r>
        <w:rPr>
          <w:b/>
          <w:i w:val="0"/>
          <w:smallCaps w:val="0"/>
          <w:shd w:val="clear" w:color="auto" w:fill="FFFFFF"/>
        </w:rPr>
        <w:t>9.2. Il controllo giudiziario.</w:t>
      </w:r>
    </w:p>
    <w:p w:rsidR="003E7AE3" w:rsidRDefault="003E7AE3" w:rsidP="00400167">
      <w:pPr>
        <w:ind w:firstLine="426"/>
        <w:jc w:val="both"/>
        <w:rPr>
          <w:b/>
          <w:i w:val="0"/>
          <w:smallCaps w:val="0"/>
          <w:shd w:val="clear" w:color="auto" w:fill="FFFFFF"/>
        </w:rPr>
      </w:pPr>
    </w:p>
    <w:p w:rsidR="00C4598F" w:rsidRPr="00C4598F" w:rsidRDefault="003E7AE3" w:rsidP="00400167">
      <w:pPr>
        <w:ind w:firstLine="426"/>
        <w:jc w:val="both"/>
        <w:rPr>
          <w:i w:val="0"/>
          <w:smallCaps w:val="0"/>
          <w:shd w:val="clear" w:color="auto" w:fill="FFFFFF"/>
        </w:rPr>
      </w:pPr>
      <w:r>
        <w:rPr>
          <w:i w:val="0"/>
          <w:smallCaps w:val="0"/>
          <w:shd w:val="clear" w:color="auto" w:fill="FFFFFF"/>
        </w:rPr>
        <w:t xml:space="preserve">Come si è anticipato, il controllo giudiziario è quella tra le misure di prevenzione giurisdizionale che più di tutte pone problemi di interferenza con la disciplina delle informative antimafia </w:t>
      </w:r>
      <w:proofErr w:type="spellStart"/>
      <w:r>
        <w:rPr>
          <w:i w:val="0"/>
          <w:smallCaps w:val="0"/>
          <w:shd w:val="clear" w:color="auto" w:fill="FFFFFF"/>
        </w:rPr>
        <w:t>interdittive</w:t>
      </w:r>
      <w:proofErr w:type="spellEnd"/>
      <w:r>
        <w:rPr>
          <w:i w:val="0"/>
          <w:smallCaps w:val="0"/>
          <w:shd w:val="clear" w:color="auto" w:fill="FFFFFF"/>
        </w:rPr>
        <w:t xml:space="preserve">, ed anche con il contenzioso innescato dinanzi al giudice amministrativo dalla loro impugnazione. </w:t>
      </w:r>
      <w:r w:rsidR="00C4598F">
        <w:rPr>
          <w:i w:val="0"/>
          <w:smallCaps w:val="0"/>
          <w:shd w:val="clear" w:color="auto" w:fill="FFFFFF"/>
        </w:rPr>
        <w:t xml:space="preserve">Ciò è a dirsi soprattutto per la forma più frequente di controllo, quella prevista dalla lettera </w:t>
      </w:r>
      <w:r w:rsidR="00C4598F">
        <w:rPr>
          <w:smallCaps w:val="0"/>
          <w:shd w:val="clear" w:color="auto" w:fill="FFFFFF"/>
        </w:rPr>
        <w:t>b</w:t>
      </w:r>
      <w:r w:rsidR="00C4598F">
        <w:rPr>
          <w:i w:val="0"/>
          <w:smallCaps w:val="0"/>
          <w:shd w:val="clear" w:color="auto" w:fill="FFFFFF"/>
        </w:rPr>
        <w:t>) del comma 2 dell’articolo 34-</w:t>
      </w:r>
      <w:r w:rsidR="00C4598F">
        <w:rPr>
          <w:smallCaps w:val="0"/>
          <w:shd w:val="clear" w:color="auto" w:fill="FFFFFF"/>
        </w:rPr>
        <w:t xml:space="preserve">bis </w:t>
      </w:r>
      <w:r w:rsidR="00C4598F">
        <w:rPr>
          <w:i w:val="0"/>
          <w:smallCaps w:val="0"/>
          <w:shd w:val="clear" w:color="auto" w:fill="FFFFFF"/>
        </w:rPr>
        <w:t xml:space="preserve">del d.lgs. n. 159/2011, in cui l’attività dell’impresa – pur proseguendo regolarmente – è sottoposta al monitoraggio di un giudice delegato o di un amministratore giudiziario, il quale riferisce periodicamente gli esiti del controllo al giudice e al pubblico ministero (la diversa ipotesi, più blanda, prevista dalla precedente lettera </w:t>
      </w:r>
      <w:r w:rsidR="00C4598F">
        <w:rPr>
          <w:smallCaps w:val="0"/>
          <w:shd w:val="clear" w:color="auto" w:fill="FFFFFF"/>
        </w:rPr>
        <w:t>a</w:t>
      </w:r>
      <w:r w:rsidR="00C4598F">
        <w:rPr>
          <w:i w:val="0"/>
          <w:smallCaps w:val="0"/>
          <w:shd w:val="clear" w:color="auto" w:fill="FFFFFF"/>
        </w:rPr>
        <w:t>) consiste essenzialmente nella semplice imposizione di obblighi di comunicazione e tracciamento dei flussi finanziari dell’impresa).</w:t>
      </w:r>
    </w:p>
    <w:p w:rsidR="003E7AE3" w:rsidRDefault="003E7AE3" w:rsidP="00400167">
      <w:pPr>
        <w:ind w:firstLine="426"/>
        <w:jc w:val="both"/>
        <w:rPr>
          <w:i w:val="0"/>
          <w:smallCaps w:val="0"/>
          <w:shd w:val="clear" w:color="auto" w:fill="FFFFFF"/>
        </w:rPr>
      </w:pPr>
      <w:r>
        <w:rPr>
          <w:i w:val="0"/>
          <w:smallCaps w:val="0"/>
          <w:shd w:val="clear" w:color="auto" w:fill="FFFFFF"/>
        </w:rPr>
        <w:lastRenderedPageBreak/>
        <w:t>Introdotto nel Codice antimafia nel 2017</w:t>
      </w:r>
      <w:r w:rsidR="00EE2AEB">
        <w:rPr>
          <w:rStyle w:val="Rimandonotaapidipagina"/>
          <w:i w:val="0"/>
          <w:smallCaps w:val="0"/>
          <w:shd w:val="clear" w:color="auto" w:fill="FFFFFF"/>
        </w:rPr>
        <w:footnoteReference w:id="124"/>
      </w:r>
      <w:r>
        <w:rPr>
          <w:i w:val="0"/>
          <w:smallCaps w:val="0"/>
          <w:shd w:val="clear" w:color="auto" w:fill="FFFFFF"/>
        </w:rPr>
        <w:t xml:space="preserve"> in aggiunta alla misura, unica prevista nel previgente impianto normativo, dell’amministrazione giudiziaria </w:t>
      </w:r>
      <w:r w:rsidR="00EE2AEB">
        <w:rPr>
          <w:i w:val="0"/>
          <w:smallCaps w:val="0"/>
          <w:shd w:val="clear" w:color="auto" w:fill="FFFFFF"/>
        </w:rPr>
        <w:t xml:space="preserve">dei beni connessi alle attività economiche e delle aziende (articolo 34, d.lgs. n. 159/2011), </w:t>
      </w:r>
      <w:r w:rsidR="00C4598F">
        <w:rPr>
          <w:i w:val="0"/>
          <w:smallCaps w:val="0"/>
          <w:shd w:val="clear" w:color="auto" w:fill="FFFFFF"/>
        </w:rPr>
        <w:t xml:space="preserve">il controllo giudiziario </w:t>
      </w:r>
      <w:r w:rsidR="00EE2AEB">
        <w:rPr>
          <w:i w:val="0"/>
          <w:smallCaps w:val="0"/>
          <w:shd w:val="clear" w:color="auto" w:fill="FFFFFF"/>
        </w:rPr>
        <w:t xml:space="preserve">ne condivide le finalità di prevenzione e conservazione patrimoniale, ma a queste – come ormai unanimemente riconosciuto – si affiancano ulteriori obiettivi di mitigazione degli effetti della prognosi infiltrativa e di </w:t>
      </w:r>
      <w:proofErr w:type="spellStart"/>
      <w:r w:rsidR="00EE2AEB">
        <w:rPr>
          <w:i w:val="0"/>
          <w:smallCaps w:val="0"/>
          <w:shd w:val="clear" w:color="auto" w:fill="FFFFFF"/>
        </w:rPr>
        <w:t>possibile</w:t>
      </w:r>
      <w:proofErr w:type="spellEnd"/>
      <w:r w:rsidR="00EE2AEB">
        <w:rPr>
          <w:i w:val="0"/>
          <w:smallCaps w:val="0"/>
          <w:shd w:val="clear" w:color="auto" w:fill="FFFFFF"/>
        </w:rPr>
        <w:t xml:space="preserve"> “bonifica” dell’impresa in odore di mafia. La stessa Corte di cassazione ha riconosciuto che la misura </w:t>
      </w:r>
      <w:r w:rsidR="00EE2AEB">
        <w:rPr>
          <w:smallCaps w:val="0"/>
          <w:shd w:val="clear" w:color="auto" w:fill="FFFFFF"/>
        </w:rPr>
        <w:t xml:space="preserve">de qua </w:t>
      </w:r>
      <w:r w:rsidR="00EE2AEB">
        <w:rPr>
          <w:i w:val="0"/>
          <w:smallCaps w:val="0"/>
          <w:shd w:val="clear" w:color="auto" w:fill="FFFFFF"/>
        </w:rPr>
        <w:t>è stata introdotta dal legislatore allo specifico fine di predisporre un’alternativa al binomio sequestro/confisca dei beni del soggetto portatore di pericolosità, in attuazione del principio di proporzionalità e in vista di un possibile recupero dell’impresa alle regole fisiologiche del mercato</w:t>
      </w:r>
      <w:r w:rsidR="00EE2AEB">
        <w:rPr>
          <w:rStyle w:val="Rimandonotaapidipagina"/>
          <w:i w:val="0"/>
          <w:smallCaps w:val="0"/>
          <w:shd w:val="clear" w:color="auto" w:fill="FFFFFF"/>
        </w:rPr>
        <w:footnoteReference w:id="125"/>
      </w:r>
      <w:r w:rsidR="00EE2AEB">
        <w:rPr>
          <w:i w:val="0"/>
          <w:smallCaps w:val="0"/>
          <w:shd w:val="clear" w:color="auto" w:fill="FFFFFF"/>
        </w:rPr>
        <w:t>.</w:t>
      </w:r>
    </w:p>
    <w:p w:rsidR="007419F5" w:rsidRPr="007419F5" w:rsidRDefault="00016691" w:rsidP="00400167">
      <w:pPr>
        <w:ind w:firstLine="426"/>
        <w:jc w:val="both"/>
        <w:rPr>
          <w:i w:val="0"/>
          <w:smallCaps w:val="0"/>
          <w:shd w:val="clear" w:color="auto" w:fill="FFFFFF"/>
        </w:rPr>
      </w:pPr>
      <w:r>
        <w:rPr>
          <w:i w:val="0"/>
          <w:smallCaps w:val="0"/>
          <w:shd w:val="clear" w:color="auto" w:fill="FFFFFF"/>
        </w:rPr>
        <w:t>Ciò si evince dallo specifico presupposto cui l’articolo 34-</w:t>
      </w:r>
      <w:r>
        <w:rPr>
          <w:smallCaps w:val="0"/>
          <w:shd w:val="clear" w:color="auto" w:fill="FFFFFF"/>
        </w:rPr>
        <w:t xml:space="preserve">bis </w:t>
      </w:r>
      <w:r>
        <w:rPr>
          <w:i w:val="0"/>
          <w:smallCaps w:val="0"/>
          <w:shd w:val="clear" w:color="auto" w:fill="FFFFFF"/>
        </w:rPr>
        <w:t xml:space="preserve">del d.lgs. n. 159/2011 àncora la possibile ammissione dell’impresa al controllo giudiziario, che è costituito dalla “occasionalità” dell’agevolazione mafiosa, tale da connotarla di una minore gravità rispetto a quella che a mente del precedente articolo 34 potrebbe legittimare la più gravosa misura dell’amministrazione giudiziaria. </w:t>
      </w:r>
      <w:r w:rsidR="007419F5">
        <w:rPr>
          <w:i w:val="0"/>
          <w:smallCaps w:val="0"/>
          <w:shd w:val="clear" w:color="auto" w:fill="FFFFFF"/>
        </w:rPr>
        <w:t xml:space="preserve">Secondo la Corte di cassazione, attraverso tale concetto giuridico indeterminato il legislatore ha inteso chiamare il giudice a focalizzare la propria attenzione sulla realtà imprenditoriale nelle sue implicazioni gestionali e operative, che per essere colte nella loro essenza e nelle loro componenti non possono che essere considerate in una visione dinamica e non statica, in quanto è solo seguendone il divenire – dal passato e con proiezione verso il futuro – </w:t>
      </w:r>
      <w:r w:rsidR="00505E9B">
        <w:rPr>
          <w:i w:val="0"/>
          <w:smallCaps w:val="0"/>
          <w:shd w:val="clear" w:color="auto" w:fill="FFFFFF"/>
        </w:rPr>
        <w:t>n</w:t>
      </w:r>
      <w:r w:rsidR="007419F5">
        <w:rPr>
          <w:i w:val="0"/>
          <w:smallCaps w:val="0"/>
          <w:shd w:val="clear" w:color="auto" w:fill="FFFFFF"/>
        </w:rPr>
        <w:t>el contesto di riferimento che si può veramente cogliere l’entità del legame esistente tra l’impresa e i fattori inquinanti al fine di qualificarlo o meno come “</w:t>
      </w:r>
      <w:r w:rsidR="007419F5">
        <w:rPr>
          <w:smallCaps w:val="0"/>
          <w:shd w:val="clear" w:color="auto" w:fill="FFFFFF"/>
        </w:rPr>
        <w:t>occasionale</w:t>
      </w:r>
      <w:r w:rsidR="007419F5">
        <w:rPr>
          <w:i w:val="0"/>
          <w:smallCaps w:val="0"/>
          <w:shd w:val="clear" w:color="auto" w:fill="FFFFFF"/>
        </w:rPr>
        <w:t>”</w:t>
      </w:r>
      <w:r w:rsidR="007419F5">
        <w:rPr>
          <w:rStyle w:val="Rimandonotaapidipagina"/>
          <w:i w:val="0"/>
          <w:smallCaps w:val="0"/>
          <w:shd w:val="clear" w:color="auto" w:fill="FFFFFF"/>
        </w:rPr>
        <w:footnoteReference w:id="126"/>
      </w:r>
      <w:r w:rsidR="007419F5">
        <w:rPr>
          <w:i w:val="0"/>
          <w:smallCaps w:val="0"/>
          <w:shd w:val="clear" w:color="auto" w:fill="FFFFFF"/>
        </w:rPr>
        <w:t>.</w:t>
      </w:r>
    </w:p>
    <w:p w:rsidR="00016691" w:rsidRDefault="00016691" w:rsidP="00400167">
      <w:pPr>
        <w:ind w:firstLine="426"/>
        <w:jc w:val="both"/>
        <w:rPr>
          <w:i w:val="0"/>
          <w:smallCaps w:val="0"/>
          <w:shd w:val="clear" w:color="auto" w:fill="FFFFFF"/>
        </w:rPr>
      </w:pPr>
      <w:r>
        <w:rPr>
          <w:i w:val="0"/>
          <w:smallCaps w:val="0"/>
          <w:shd w:val="clear" w:color="auto" w:fill="FFFFFF"/>
        </w:rPr>
        <w:t>In questo presupposto, come si vedrà, si annidano i principali nodi problematici dell’istituto, specie alla luce del collegamento</w:t>
      </w:r>
      <w:r>
        <w:rPr>
          <w:rStyle w:val="Rimandonotaapidipagina"/>
          <w:i w:val="0"/>
          <w:smallCaps w:val="0"/>
          <w:shd w:val="clear" w:color="auto" w:fill="FFFFFF"/>
        </w:rPr>
        <w:footnoteReference w:id="127"/>
      </w:r>
      <w:r>
        <w:rPr>
          <w:i w:val="0"/>
          <w:smallCaps w:val="0"/>
          <w:shd w:val="clear" w:color="auto" w:fill="FFFFFF"/>
        </w:rPr>
        <w:t xml:space="preserve"> che il legislatore ha inteso istituire tra esso e le misure </w:t>
      </w:r>
      <w:proofErr w:type="spellStart"/>
      <w:r>
        <w:rPr>
          <w:i w:val="0"/>
          <w:smallCaps w:val="0"/>
          <w:shd w:val="clear" w:color="auto" w:fill="FFFFFF"/>
        </w:rPr>
        <w:t>interdittive</w:t>
      </w:r>
      <w:proofErr w:type="spellEnd"/>
      <w:r>
        <w:rPr>
          <w:i w:val="0"/>
          <w:smallCaps w:val="0"/>
          <w:shd w:val="clear" w:color="auto" w:fill="FFFFFF"/>
        </w:rPr>
        <w:t xml:space="preserve"> previste dall’articolo 94 (nonché, oggi, anche dall’articolo 94-</w:t>
      </w:r>
      <w:r>
        <w:rPr>
          <w:smallCaps w:val="0"/>
          <w:shd w:val="clear" w:color="auto" w:fill="FFFFFF"/>
        </w:rPr>
        <w:t>bis</w:t>
      </w:r>
      <w:r>
        <w:rPr>
          <w:i w:val="0"/>
          <w:smallCaps w:val="0"/>
          <w:shd w:val="clear" w:color="auto" w:fill="FFFFFF"/>
        </w:rPr>
        <w:t>) attraverso la previsione del controllo giudiziario c.d. a domanda dell’impresa (articolo 34-</w:t>
      </w:r>
      <w:r>
        <w:rPr>
          <w:smallCaps w:val="0"/>
          <w:shd w:val="clear" w:color="auto" w:fill="FFFFFF"/>
        </w:rPr>
        <w:t xml:space="preserve">bis, </w:t>
      </w:r>
      <w:r w:rsidR="00505E9B">
        <w:rPr>
          <w:i w:val="0"/>
          <w:smallCaps w:val="0"/>
          <w:shd w:val="clear" w:color="auto" w:fill="FFFFFF"/>
        </w:rPr>
        <w:t xml:space="preserve">comma 6, </w:t>
      </w:r>
      <w:r>
        <w:rPr>
          <w:i w:val="0"/>
          <w:smallCaps w:val="0"/>
          <w:shd w:val="clear" w:color="auto" w:fill="FFFFFF"/>
        </w:rPr>
        <w:t xml:space="preserve">d.lgs. n. 159/2011), il cui presupposto è costituito proprio dal fatto che, oltre a risultare a rischio di condizionamento mafioso, l’impresa sia stata anche raggiunta da un’informativa </w:t>
      </w:r>
      <w:proofErr w:type="spellStart"/>
      <w:r>
        <w:rPr>
          <w:i w:val="0"/>
          <w:smallCaps w:val="0"/>
          <w:shd w:val="clear" w:color="auto" w:fill="FFFFFF"/>
        </w:rPr>
        <w:t>interdittiva</w:t>
      </w:r>
      <w:proofErr w:type="spellEnd"/>
      <w:r>
        <w:rPr>
          <w:i w:val="0"/>
          <w:smallCaps w:val="0"/>
          <w:shd w:val="clear" w:color="auto" w:fill="FFFFFF"/>
        </w:rPr>
        <w:t xml:space="preserve"> ai sensi dell’articolo 84, comma 4, del Codice antimafia e abbia proposto impugnazione avverso di essa: è esattamente da queste previsioni che sono scaturite le questioni problematiche esaminate dalla giurisprudenza in ordine alla possibile interferenza tra i due procedimenti, quello avente a oggetto l’impugnazione dell’informativa dinanzi al giudice amministrativo e quello che si avvia dinanzi al giudice della prevenzione con l’ammissione dell’impresa al controllo giudiziario.</w:t>
      </w:r>
    </w:p>
    <w:p w:rsidR="00C4598F" w:rsidRDefault="00C4598F" w:rsidP="00400167">
      <w:pPr>
        <w:ind w:firstLine="426"/>
        <w:jc w:val="both"/>
        <w:rPr>
          <w:i w:val="0"/>
          <w:smallCaps w:val="0"/>
          <w:shd w:val="clear" w:color="auto" w:fill="FFFFFF"/>
        </w:rPr>
      </w:pPr>
      <w:r>
        <w:rPr>
          <w:i w:val="0"/>
          <w:smallCaps w:val="0"/>
          <w:shd w:val="clear" w:color="auto" w:fill="FFFFFF"/>
        </w:rPr>
        <w:t>La questione è stata risolta dalla giurisprudenza, sia penale che amministrativa, sottolineando la diversità di presupposti tra le misure del controllo giudiziario e dell’</w:t>
      </w:r>
      <w:proofErr w:type="spellStart"/>
      <w:r>
        <w:rPr>
          <w:i w:val="0"/>
          <w:smallCaps w:val="0"/>
          <w:shd w:val="clear" w:color="auto" w:fill="FFFFFF"/>
        </w:rPr>
        <w:t>interdittiva</w:t>
      </w:r>
      <w:proofErr w:type="spellEnd"/>
      <w:r>
        <w:rPr>
          <w:i w:val="0"/>
          <w:smallCaps w:val="0"/>
          <w:shd w:val="clear" w:color="auto" w:fill="FFFFFF"/>
        </w:rPr>
        <w:t xml:space="preserve"> e l’assenza di qualsiasi automatismo di implicazioni valutative tra gli scrutini svolti nelle due diverse sedi: nel senso che, mentre la valutazione del Prefetto esprime un giudizio “statico” (o retrospettivo) su un fenomeno infiltrativo già conclusosi, il giudice penale effettua invece una valutazione di natura “dinamica” sulle capacità dell’impresa di emendarsi e di reinserirsi nel circuito dell’economia legale</w:t>
      </w:r>
      <w:r>
        <w:rPr>
          <w:rStyle w:val="Rimandonotaapidipagina"/>
          <w:i w:val="0"/>
          <w:smallCaps w:val="0"/>
          <w:shd w:val="clear" w:color="auto" w:fill="FFFFFF"/>
        </w:rPr>
        <w:footnoteReference w:id="128"/>
      </w:r>
      <w:r>
        <w:rPr>
          <w:i w:val="0"/>
          <w:smallCaps w:val="0"/>
          <w:shd w:val="clear" w:color="auto" w:fill="FFFFFF"/>
        </w:rPr>
        <w:t>. Ne consegue</w:t>
      </w:r>
      <w:r w:rsidR="001D3D0C">
        <w:rPr>
          <w:i w:val="0"/>
          <w:smallCaps w:val="0"/>
          <w:shd w:val="clear" w:color="auto" w:fill="FFFFFF"/>
        </w:rPr>
        <w:t xml:space="preserve">, da un lato, che al giudice della prevenzione dovrebbe essere precluso un sindacato sulla legittimità dell’informativa </w:t>
      </w:r>
      <w:proofErr w:type="spellStart"/>
      <w:r w:rsidR="001D3D0C">
        <w:rPr>
          <w:i w:val="0"/>
          <w:smallCaps w:val="0"/>
          <w:shd w:val="clear" w:color="auto" w:fill="FFFFFF"/>
        </w:rPr>
        <w:t>interdittiva</w:t>
      </w:r>
      <w:proofErr w:type="spellEnd"/>
      <w:r w:rsidR="001D3D0C">
        <w:rPr>
          <w:i w:val="0"/>
          <w:smallCaps w:val="0"/>
          <w:shd w:val="clear" w:color="auto" w:fill="FFFFFF"/>
        </w:rPr>
        <w:t xml:space="preserve"> (la quale dal suo punto di vista costituisce un antefatto logico-giuridico oltre che una condizione di ammissibilità dell’istanza di parte)</w:t>
      </w:r>
      <w:r w:rsidR="00802A78">
        <w:rPr>
          <w:rStyle w:val="Rimandonotaapidipagina"/>
          <w:i w:val="0"/>
          <w:smallCaps w:val="0"/>
          <w:shd w:val="clear" w:color="auto" w:fill="FFFFFF"/>
        </w:rPr>
        <w:footnoteReference w:id="129"/>
      </w:r>
      <w:r w:rsidR="001D3D0C">
        <w:rPr>
          <w:i w:val="0"/>
          <w:smallCaps w:val="0"/>
          <w:shd w:val="clear" w:color="auto" w:fill="FFFFFF"/>
        </w:rPr>
        <w:t xml:space="preserve">, e per converso che ai fini delle valutazioni del giudice amministrativo dovrebbero essere irrilevanti sia la prognosi operata ai fini dell’ammissione al beneficio che l’eventuale esito favorevole del controllo (il quale, a sua volta, </w:t>
      </w:r>
      <w:r w:rsidR="001D3D0C">
        <w:rPr>
          <w:i w:val="0"/>
          <w:smallCaps w:val="0"/>
          <w:shd w:val="clear" w:color="auto" w:fill="FFFFFF"/>
        </w:rPr>
        <w:lastRenderedPageBreak/>
        <w:t xml:space="preserve">costituisce un </w:t>
      </w:r>
      <w:r w:rsidR="001D3D0C">
        <w:rPr>
          <w:smallCaps w:val="0"/>
          <w:shd w:val="clear" w:color="auto" w:fill="FFFFFF"/>
        </w:rPr>
        <w:t xml:space="preserve">post factum </w:t>
      </w:r>
      <w:r w:rsidR="001D3D0C">
        <w:rPr>
          <w:i w:val="0"/>
          <w:smallCaps w:val="0"/>
          <w:shd w:val="clear" w:color="auto" w:fill="FFFFFF"/>
        </w:rPr>
        <w:t>rispetto all’</w:t>
      </w:r>
      <w:proofErr w:type="spellStart"/>
      <w:r w:rsidR="001D3D0C">
        <w:rPr>
          <w:i w:val="0"/>
          <w:smallCaps w:val="0"/>
          <w:shd w:val="clear" w:color="auto" w:fill="FFFFFF"/>
        </w:rPr>
        <w:t>interdittiva</w:t>
      </w:r>
      <w:proofErr w:type="spellEnd"/>
      <w:r w:rsidR="001D3D0C">
        <w:rPr>
          <w:i w:val="0"/>
          <w:smallCaps w:val="0"/>
          <w:shd w:val="clear" w:color="auto" w:fill="FFFFFF"/>
        </w:rPr>
        <w:t>, la cui legittimità va ovviamente verificata tenendo conto delle condizioni di fatto e di diritto sussistenti al momento in cui è stata emessa)</w:t>
      </w:r>
      <w:r w:rsidR="00252252">
        <w:rPr>
          <w:rStyle w:val="Rimandonotaapidipagina"/>
          <w:i w:val="0"/>
          <w:smallCaps w:val="0"/>
          <w:shd w:val="clear" w:color="auto" w:fill="FFFFFF"/>
        </w:rPr>
        <w:footnoteReference w:id="130"/>
      </w:r>
      <w:r w:rsidR="001D3D0C">
        <w:rPr>
          <w:i w:val="0"/>
          <w:smallCaps w:val="0"/>
          <w:shd w:val="clear" w:color="auto" w:fill="FFFFFF"/>
        </w:rPr>
        <w:t>.</w:t>
      </w:r>
    </w:p>
    <w:p w:rsidR="00252252" w:rsidRDefault="00252252" w:rsidP="00400167">
      <w:pPr>
        <w:ind w:firstLine="426"/>
        <w:jc w:val="both"/>
        <w:rPr>
          <w:i w:val="0"/>
          <w:smallCaps w:val="0"/>
          <w:shd w:val="clear" w:color="auto" w:fill="FFFFFF"/>
        </w:rPr>
      </w:pPr>
      <w:r>
        <w:rPr>
          <w:i w:val="0"/>
          <w:smallCaps w:val="0"/>
          <w:shd w:val="clear" w:color="auto" w:fill="FFFFFF"/>
        </w:rPr>
        <w:t>L’uso del condizionale è però dov</w:t>
      </w:r>
      <w:r w:rsidR="00505E9B">
        <w:rPr>
          <w:i w:val="0"/>
          <w:smallCaps w:val="0"/>
          <w:shd w:val="clear" w:color="auto" w:fill="FFFFFF"/>
        </w:rPr>
        <w:t>eroso, in considerazione del</w:t>
      </w:r>
      <w:r>
        <w:rPr>
          <w:i w:val="0"/>
          <w:smallCaps w:val="0"/>
          <w:shd w:val="clear" w:color="auto" w:fill="FFFFFF"/>
        </w:rPr>
        <w:t xml:space="preserve">la estrema difficoltà che le “regole” appena enunciate trovino piena e reale applicazione nella pratica, laddove la complessità delle valutazioni rimesse alle diverse autorità e le inevitabili interferenze e sovrapposizioni tra di esse consegnano all’interprete un panorama molto meno semplice e lineare. Intanto, la S.C. – pur riconoscendo, in via di principio, l’estraneità ai compiti del giudice penale di ogni sindacato sulla legittimità della retrostante informativa </w:t>
      </w:r>
      <w:proofErr w:type="spellStart"/>
      <w:r>
        <w:rPr>
          <w:i w:val="0"/>
          <w:smallCaps w:val="0"/>
          <w:shd w:val="clear" w:color="auto" w:fill="FFFFFF"/>
        </w:rPr>
        <w:t>interdittiva</w:t>
      </w:r>
      <w:proofErr w:type="spellEnd"/>
      <w:r>
        <w:rPr>
          <w:i w:val="0"/>
          <w:smallCaps w:val="0"/>
          <w:shd w:val="clear" w:color="auto" w:fill="FFFFFF"/>
        </w:rPr>
        <w:t xml:space="preserve"> – ha più volte evidenziato </w:t>
      </w:r>
      <w:r w:rsidR="00802A78">
        <w:rPr>
          <w:i w:val="0"/>
          <w:smallCaps w:val="0"/>
          <w:shd w:val="clear" w:color="auto" w:fill="FFFFFF"/>
        </w:rPr>
        <w:t xml:space="preserve">come il necessario accertamento dei presupposti di ammissibilità dell’istanza di controllo giudiziario, per la sua natura intrinsecamente e pienamente giurisdizionale, non possa non comportare un apprezzamento, sia pure operato in via incidentale e in proiezione </w:t>
      </w:r>
      <w:r w:rsidR="00802A78">
        <w:rPr>
          <w:smallCaps w:val="0"/>
          <w:shd w:val="clear" w:color="auto" w:fill="FFFFFF"/>
        </w:rPr>
        <w:t xml:space="preserve">de futuro, </w:t>
      </w:r>
      <w:r w:rsidR="00802A78">
        <w:rPr>
          <w:i w:val="0"/>
          <w:smallCaps w:val="0"/>
          <w:shd w:val="clear" w:color="auto" w:fill="FFFFFF"/>
        </w:rPr>
        <w:t>di quegli stessi elementi indiziari sulla base dei quali il Prefetto ha formulato la propria prognosi di rischio infiltrativo</w:t>
      </w:r>
      <w:r w:rsidR="00802A78">
        <w:rPr>
          <w:rStyle w:val="Rimandonotaapidipagina"/>
          <w:i w:val="0"/>
          <w:smallCaps w:val="0"/>
          <w:shd w:val="clear" w:color="auto" w:fill="FFFFFF"/>
        </w:rPr>
        <w:footnoteReference w:id="131"/>
      </w:r>
      <w:r w:rsidR="00802A78">
        <w:rPr>
          <w:i w:val="0"/>
          <w:smallCaps w:val="0"/>
          <w:shd w:val="clear" w:color="auto" w:fill="FFFFFF"/>
        </w:rPr>
        <w:t>. In secondo luogo, mentre il problema dell’eventuale esito favorevole del controllo può rilevare esclusivamente ai fini delle valutazioni rimesse all’autorità amministrativa in sede di aggiornamento dell’informativa</w:t>
      </w:r>
      <w:r w:rsidR="00802A78">
        <w:rPr>
          <w:rStyle w:val="Rimandonotaapidipagina"/>
          <w:i w:val="0"/>
          <w:smallCaps w:val="0"/>
          <w:shd w:val="clear" w:color="auto" w:fill="FFFFFF"/>
        </w:rPr>
        <w:footnoteReference w:id="132"/>
      </w:r>
      <w:r w:rsidR="00802A78">
        <w:rPr>
          <w:i w:val="0"/>
          <w:smallCaps w:val="0"/>
          <w:shd w:val="clear" w:color="auto" w:fill="FFFFFF"/>
        </w:rPr>
        <w:t xml:space="preserve">, l’affermazione per cui il giudizio di “occasionalità” dell’agevolazione mafiosa su cui il giudice penale fonda la propria prognosi </w:t>
      </w:r>
      <w:r w:rsidR="00802A78">
        <w:rPr>
          <w:smallCaps w:val="0"/>
          <w:shd w:val="clear" w:color="auto" w:fill="FFFFFF"/>
        </w:rPr>
        <w:t xml:space="preserve">de futuro </w:t>
      </w:r>
      <w:r w:rsidR="00802A78">
        <w:rPr>
          <w:i w:val="0"/>
          <w:smallCaps w:val="0"/>
          <w:shd w:val="clear" w:color="auto" w:fill="FFFFFF"/>
        </w:rPr>
        <w:t>in ordine alla “</w:t>
      </w:r>
      <w:proofErr w:type="spellStart"/>
      <w:r w:rsidR="00802A78">
        <w:rPr>
          <w:i w:val="0"/>
          <w:smallCaps w:val="0"/>
          <w:shd w:val="clear" w:color="auto" w:fill="FFFFFF"/>
        </w:rPr>
        <w:t>bonificabilità</w:t>
      </w:r>
      <w:proofErr w:type="spellEnd"/>
      <w:r w:rsidR="00802A78">
        <w:rPr>
          <w:i w:val="0"/>
          <w:smallCaps w:val="0"/>
          <w:shd w:val="clear" w:color="auto" w:fill="FFFFFF"/>
        </w:rPr>
        <w:t xml:space="preserve">” dell’impresa sia un tema del quale il giudice amministrativo possa del tutto disinteressarsi è oggi molto meno scontata, dopo l’introduzione nel sistema della nuove misure di prevenzione collaborativa alternative all’informativa </w:t>
      </w:r>
      <w:proofErr w:type="spellStart"/>
      <w:r w:rsidR="00802A78">
        <w:rPr>
          <w:i w:val="0"/>
          <w:smallCaps w:val="0"/>
          <w:shd w:val="clear" w:color="auto" w:fill="FFFFFF"/>
        </w:rPr>
        <w:t>interdittiva</w:t>
      </w:r>
      <w:proofErr w:type="spellEnd"/>
      <w:r w:rsidR="00802A78">
        <w:rPr>
          <w:i w:val="0"/>
          <w:smallCaps w:val="0"/>
          <w:shd w:val="clear" w:color="auto" w:fill="FFFFFF"/>
        </w:rPr>
        <w:t>.</w:t>
      </w:r>
    </w:p>
    <w:p w:rsidR="00787677" w:rsidRDefault="00787677" w:rsidP="00400167">
      <w:pPr>
        <w:ind w:firstLine="426"/>
        <w:jc w:val="both"/>
        <w:rPr>
          <w:i w:val="0"/>
          <w:smallCaps w:val="0"/>
          <w:shd w:val="clear" w:color="auto" w:fill="FFFFFF"/>
        </w:rPr>
      </w:pPr>
      <w:r>
        <w:rPr>
          <w:i w:val="0"/>
          <w:smallCaps w:val="0"/>
          <w:shd w:val="clear" w:color="auto" w:fill="FFFFFF"/>
        </w:rPr>
        <w:t>In ogni caso, la più precisa definizione dell’autonomia e dei rapporti tra giudizio amministrativo e procedimento giurisdizionale di prevenzione ha comportato il superamento, sancito da un’importante decisione dell’Adunanza plenaria del Consiglio di Stato</w:t>
      </w:r>
      <w:r>
        <w:rPr>
          <w:rStyle w:val="Rimandonotaapidipagina"/>
          <w:i w:val="0"/>
          <w:smallCaps w:val="0"/>
          <w:shd w:val="clear" w:color="auto" w:fill="FFFFFF"/>
        </w:rPr>
        <w:footnoteReference w:id="133"/>
      </w:r>
      <w:r>
        <w:rPr>
          <w:i w:val="0"/>
          <w:smallCaps w:val="0"/>
          <w:shd w:val="clear" w:color="auto" w:fill="FFFFFF"/>
        </w:rPr>
        <w:t xml:space="preserve">, della prassi di sospendere i giudizi di impugnazione delle informative </w:t>
      </w:r>
      <w:proofErr w:type="spellStart"/>
      <w:r>
        <w:rPr>
          <w:i w:val="0"/>
          <w:smallCaps w:val="0"/>
          <w:shd w:val="clear" w:color="auto" w:fill="FFFFFF"/>
        </w:rPr>
        <w:t>interdittive</w:t>
      </w:r>
      <w:proofErr w:type="spellEnd"/>
      <w:r>
        <w:rPr>
          <w:i w:val="0"/>
          <w:smallCaps w:val="0"/>
          <w:shd w:val="clear" w:color="auto" w:fill="FFFFFF"/>
        </w:rPr>
        <w:t>, qualora l’impresa ricorrente fosse stata ammessa al controllo giudiziario, fino alla conclusione del controllo medesimo.</w:t>
      </w:r>
    </w:p>
    <w:p w:rsidR="00865255" w:rsidRPr="00862217" w:rsidRDefault="00862217" w:rsidP="00400167">
      <w:pPr>
        <w:ind w:firstLine="426"/>
        <w:jc w:val="both"/>
        <w:rPr>
          <w:i w:val="0"/>
          <w:smallCaps w:val="0"/>
          <w:shd w:val="clear" w:color="auto" w:fill="FFFFFF"/>
        </w:rPr>
      </w:pPr>
      <w:r>
        <w:rPr>
          <w:i w:val="0"/>
          <w:smallCaps w:val="0"/>
          <w:shd w:val="clear" w:color="auto" w:fill="FFFFFF"/>
        </w:rPr>
        <w:t>Infine, tenuto conto della previsione di cui al comma 7 dell’articolo 34-</w:t>
      </w:r>
      <w:r>
        <w:rPr>
          <w:smallCaps w:val="0"/>
          <w:shd w:val="clear" w:color="auto" w:fill="FFFFFF"/>
        </w:rPr>
        <w:t xml:space="preserve">bis, </w:t>
      </w:r>
      <w:r>
        <w:rPr>
          <w:i w:val="0"/>
          <w:smallCaps w:val="0"/>
          <w:shd w:val="clear" w:color="auto" w:fill="FFFFFF"/>
        </w:rPr>
        <w:t xml:space="preserve">secondo cui l’ammissione al controllo giudiziario sospende gli effetti </w:t>
      </w:r>
      <w:proofErr w:type="spellStart"/>
      <w:r w:rsidR="004C7ECC">
        <w:rPr>
          <w:i w:val="0"/>
          <w:smallCaps w:val="0"/>
          <w:shd w:val="clear" w:color="auto" w:fill="FFFFFF"/>
        </w:rPr>
        <w:t>interdittivi</w:t>
      </w:r>
      <w:proofErr w:type="spellEnd"/>
      <w:r w:rsidR="004C7ECC">
        <w:rPr>
          <w:i w:val="0"/>
          <w:smallCaps w:val="0"/>
          <w:shd w:val="clear" w:color="auto" w:fill="FFFFFF"/>
        </w:rPr>
        <w:t xml:space="preserve"> dell’informativa prefettizia, si è posto il problema di quale ne sia la sorte a conclusione del periodo di controllo: il tema è strettamente connesso a quello dell’aggiornamento dell’informativa</w:t>
      </w:r>
      <w:r w:rsidR="004C7ECC">
        <w:rPr>
          <w:rStyle w:val="Rimandonotaapidipagina"/>
          <w:i w:val="0"/>
          <w:smallCaps w:val="0"/>
          <w:shd w:val="clear" w:color="auto" w:fill="FFFFFF"/>
        </w:rPr>
        <w:footnoteReference w:id="134"/>
      </w:r>
      <w:r w:rsidR="004C7ECC">
        <w:rPr>
          <w:i w:val="0"/>
          <w:smallCaps w:val="0"/>
          <w:shd w:val="clear" w:color="auto" w:fill="FFFFFF"/>
        </w:rPr>
        <w:t>, ma può qui anticiparsi che, se il dato testuale deporrebbe nel senso di una mera ripresa di efficacia della misura, sembra però ragionevole, anche in considerazione della possibile lunga durata di tale periodo (fino a tre anni), l’opinione di chi ritiene che – anche indipendentemente dall’esito del controllo – i tempi trascorsi facciano in ogni caso sorgere a carico del Prefetto un obbligo di riesaminare il quadro indiziario, prima di un’eventuale conferma della misura</w:t>
      </w:r>
      <w:r w:rsidR="004C7ECC">
        <w:rPr>
          <w:rStyle w:val="Rimandonotaapidipagina"/>
          <w:i w:val="0"/>
          <w:smallCaps w:val="0"/>
          <w:shd w:val="clear" w:color="auto" w:fill="FFFFFF"/>
        </w:rPr>
        <w:footnoteReference w:id="135"/>
      </w:r>
      <w:r w:rsidR="004C7ECC">
        <w:rPr>
          <w:i w:val="0"/>
          <w:smallCaps w:val="0"/>
          <w:shd w:val="clear" w:color="auto" w:fill="FFFFFF"/>
        </w:rPr>
        <w:t>.</w:t>
      </w:r>
    </w:p>
    <w:p w:rsidR="00787677" w:rsidRDefault="00787677" w:rsidP="00400167">
      <w:pPr>
        <w:ind w:firstLine="426"/>
        <w:jc w:val="both"/>
        <w:rPr>
          <w:i w:val="0"/>
          <w:smallCaps w:val="0"/>
          <w:shd w:val="clear" w:color="auto" w:fill="FFFFFF"/>
        </w:rPr>
      </w:pPr>
    </w:p>
    <w:p w:rsidR="00787677" w:rsidRDefault="00787677" w:rsidP="00400167">
      <w:pPr>
        <w:ind w:firstLine="426"/>
        <w:jc w:val="both"/>
        <w:rPr>
          <w:b/>
          <w:i w:val="0"/>
          <w:smallCaps w:val="0"/>
          <w:shd w:val="clear" w:color="auto" w:fill="FFFFFF"/>
        </w:rPr>
      </w:pPr>
      <w:r>
        <w:rPr>
          <w:b/>
          <w:i w:val="0"/>
          <w:smallCaps w:val="0"/>
          <w:shd w:val="clear" w:color="auto" w:fill="FFFFFF"/>
        </w:rPr>
        <w:t>9.3. Le misure di prevenzione collaborativa.</w:t>
      </w:r>
    </w:p>
    <w:p w:rsidR="001B2CDA" w:rsidRDefault="001B2CDA" w:rsidP="00400167">
      <w:pPr>
        <w:ind w:firstLine="426"/>
        <w:jc w:val="both"/>
        <w:rPr>
          <w:b/>
          <w:i w:val="0"/>
          <w:smallCaps w:val="0"/>
          <w:shd w:val="clear" w:color="auto" w:fill="FFFFFF"/>
        </w:rPr>
      </w:pPr>
    </w:p>
    <w:p w:rsidR="001B2CDA" w:rsidRPr="00B1082A" w:rsidRDefault="001B2CDA" w:rsidP="00400167">
      <w:pPr>
        <w:ind w:firstLine="426"/>
        <w:jc w:val="both"/>
        <w:rPr>
          <w:i w:val="0"/>
          <w:smallCaps w:val="0"/>
          <w:shd w:val="clear" w:color="auto" w:fill="FFFFFF"/>
        </w:rPr>
      </w:pPr>
      <w:r>
        <w:rPr>
          <w:i w:val="0"/>
          <w:smallCaps w:val="0"/>
          <w:shd w:val="clear" w:color="auto" w:fill="FFFFFF"/>
        </w:rPr>
        <w:t>L’articolo 94-</w:t>
      </w:r>
      <w:r>
        <w:rPr>
          <w:smallCaps w:val="0"/>
          <w:shd w:val="clear" w:color="auto" w:fill="FFFFFF"/>
        </w:rPr>
        <w:t xml:space="preserve">bis, </w:t>
      </w:r>
      <w:r>
        <w:rPr>
          <w:i w:val="0"/>
          <w:smallCaps w:val="0"/>
          <w:shd w:val="clear" w:color="auto" w:fill="FFFFFF"/>
        </w:rPr>
        <w:t xml:space="preserve">inserito nel Codice antimafia dal </w:t>
      </w:r>
      <w:proofErr w:type="spellStart"/>
      <w:r>
        <w:rPr>
          <w:i w:val="0"/>
          <w:smallCaps w:val="0"/>
          <w:shd w:val="clear" w:color="auto" w:fill="FFFFFF"/>
        </w:rPr>
        <w:t>d.l.</w:t>
      </w:r>
      <w:proofErr w:type="spellEnd"/>
      <w:r>
        <w:rPr>
          <w:i w:val="0"/>
          <w:smallCaps w:val="0"/>
          <w:shd w:val="clear" w:color="auto" w:fill="FFFFFF"/>
        </w:rPr>
        <w:t xml:space="preserve"> n. 152/2021, costituisce l’ultimo tassello di quello sforzo del legislatore, cui si è accennato più volte nel corso del presente contributo, inteso a rendere effettivo il principio di proporzionalità all’interno del sistema delle misure di prevenzione antimafia, attraverso un affinamento e una graduazione delle misure irrogabili che ponga a disposizione anche dei Prefetti un “ventaglio” di possibili opzioni cui ricorrere in ragione della diversa intensità del pericolo di infiltrazione mafiosa accertato a carico dell’impresa. La norma prevede il potere del Prefetto, qualora accerti che “</w:t>
      </w:r>
      <w:r>
        <w:rPr>
          <w:smallCaps w:val="0"/>
          <w:shd w:val="clear" w:color="auto" w:fill="FFFFFF"/>
        </w:rPr>
        <w:t>i tentativi di infiltrazione mafiosa sono riconducibili a situazioni di agevolazione occasionale</w:t>
      </w:r>
      <w:r>
        <w:rPr>
          <w:i w:val="0"/>
          <w:smallCaps w:val="0"/>
          <w:shd w:val="clear" w:color="auto" w:fill="FFFFFF"/>
        </w:rPr>
        <w:t xml:space="preserve">”, di prescrivere all’impresa – in alternativa </w:t>
      </w:r>
      <w:r>
        <w:rPr>
          <w:i w:val="0"/>
          <w:smallCaps w:val="0"/>
          <w:shd w:val="clear" w:color="auto" w:fill="FFFFFF"/>
        </w:rPr>
        <w:lastRenderedPageBreak/>
        <w:t xml:space="preserve">all’adozione di una informativa </w:t>
      </w:r>
      <w:proofErr w:type="spellStart"/>
      <w:r>
        <w:rPr>
          <w:i w:val="0"/>
          <w:smallCaps w:val="0"/>
          <w:shd w:val="clear" w:color="auto" w:fill="FFFFFF"/>
        </w:rPr>
        <w:t>interdittiva</w:t>
      </w:r>
      <w:proofErr w:type="spellEnd"/>
      <w:r>
        <w:rPr>
          <w:i w:val="0"/>
          <w:smallCaps w:val="0"/>
          <w:shd w:val="clear" w:color="auto" w:fill="FFFFFF"/>
        </w:rPr>
        <w:t xml:space="preserve"> - una pluralità di misure fra le quali l’adozione di soluzioni organizzative di </w:t>
      </w:r>
      <w:r>
        <w:rPr>
          <w:smallCaps w:val="0"/>
          <w:shd w:val="clear" w:color="auto" w:fill="FFFFFF"/>
        </w:rPr>
        <w:t>self-</w:t>
      </w:r>
      <w:proofErr w:type="spellStart"/>
      <w:r>
        <w:rPr>
          <w:smallCaps w:val="0"/>
          <w:shd w:val="clear" w:color="auto" w:fill="FFFFFF"/>
        </w:rPr>
        <w:t>cleaning</w:t>
      </w:r>
      <w:proofErr w:type="spellEnd"/>
      <w:r>
        <w:rPr>
          <w:smallCaps w:val="0"/>
          <w:shd w:val="clear" w:color="auto" w:fill="FFFFFF"/>
        </w:rPr>
        <w:t xml:space="preserve"> </w:t>
      </w:r>
      <w:r>
        <w:rPr>
          <w:i w:val="0"/>
          <w:smallCaps w:val="0"/>
          <w:shd w:val="clear" w:color="auto" w:fill="FFFFFF"/>
        </w:rPr>
        <w:t>riconducibili alle previsioni del d.lgs. 8 giugno 2001, n. 231, l’uso di un conto corrente dedicato per i propri flussi finanziari nonché obblighi di comunicazione e tracciamento analoghi a quelli previsti per il controllo giudiziario</w:t>
      </w:r>
      <w:r>
        <w:rPr>
          <w:rStyle w:val="Rimandonotaapidipagina"/>
          <w:i w:val="0"/>
          <w:smallCaps w:val="0"/>
          <w:shd w:val="clear" w:color="auto" w:fill="FFFFFF"/>
        </w:rPr>
        <w:footnoteReference w:id="136"/>
      </w:r>
      <w:r>
        <w:rPr>
          <w:i w:val="0"/>
          <w:smallCaps w:val="0"/>
          <w:shd w:val="clear" w:color="auto" w:fill="FFFFFF"/>
        </w:rPr>
        <w:t>.</w:t>
      </w:r>
      <w:r w:rsidR="00B1082A">
        <w:rPr>
          <w:i w:val="0"/>
          <w:smallCaps w:val="0"/>
          <w:shd w:val="clear" w:color="auto" w:fill="FFFFFF"/>
        </w:rPr>
        <w:t xml:space="preserve"> </w:t>
      </w:r>
      <w:r w:rsidR="00B1082A">
        <w:rPr>
          <w:i w:val="0"/>
          <w:caps/>
          <w:smallCaps w:val="0"/>
          <w:shd w:val="clear" w:color="auto" w:fill="FFFFFF"/>
        </w:rPr>
        <w:t xml:space="preserve">è </w:t>
      </w:r>
      <w:r w:rsidR="00B1082A">
        <w:rPr>
          <w:i w:val="0"/>
          <w:smallCaps w:val="0"/>
          <w:shd w:val="clear" w:color="auto" w:fill="FFFFFF"/>
        </w:rPr>
        <w:t>altresì previsto che le misure in questione perdano efficacia qualora il Tribunale disponga il controllo giudiziario (comma 3) e che alla loro scadenza il Prefetto, ove accerti il venir meno dell’agevolazione occasionale e l’assenza di altri tentativi di infiltrazione mafiosa, rilasci un’informativa liberatoria (comma 4).</w:t>
      </w:r>
    </w:p>
    <w:p w:rsidR="00E51FCA" w:rsidRDefault="00E51FCA" w:rsidP="00400167">
      <w:pPr>
        <w:ind w:firstLine="426"/>
        <w:jc w:val="both"/>
        <w:rPr>
          <w:smallCaps w:val="0"/>
          <w:shd w:val="clear" w:color="auto" w:fill="FFFFFF"/>
        </w:rPr>
      </w:pPr>
      <w:r>
        <w:rPr>
          <w:i w:val="0"/>
          <w:smallCaps w:val="0"/>
          <w:shd w:val="clear" w:color="auto" w:fill="FFFFFF"/>
        </w:rPr>
        <w:t xml:space="preserve">Come immediatamente notato dai primi commentatori, le nuove misure si connotano per la loro funzione conservativa e riabilitativa, che le rende assimilabili a una sorta di controllo giudiziario senza giudice né amministratore, ma rimesso </w:t>
      </w:r>
      <w:r>
        <w:rPr>
          <w:smallCaps w:val="0"/>
          <w:shd w:val="clear" w:color="auto" w:fill="FFFFFF"/>
        </w:rPr>
        <w:t xml:space="preserve">in toto </w:t>
      </w:r>
      <w:r>
        <w:rPr>
          <w:i w:val="0"/>
          <w:smallCaps w:val="0"/>
          <w:shd w:val="clear" w:color="auto" w:fill="FFFFFF"/>
        </w:rPr>
        <w:t>e in via anticipata all’autorità prefettizia</w:t>
      </w:r>
      <w:r>
        <w:rPr>
          <w:rStyle w:val="Rimandonotaapidipagina"/>
          <w:i w:val="0"/>
          <w:smallCaps w:val="0"/>
          <w:shd w:val="clear" w:color="auto" w:fill="FFFFFF"/>
        </w:rPr>
        <w:footnoteReference w:id="137"/>
      </w:r>
      <w:r>
        <w:rPr>
          <w:i w:val="0"/>
          <w:smallCaps w:val="0"/>
          <w:shd w:val="clear" w:color="auto" w:fill="FFFFFF"/>
        </w:rPr>
        <w:t>. Non può dunque che ribadirsi</w:t>
      </w:r>
      <w:r>
        <w:rPr>
          <w:rStyle w:val="Rimandonotaapidipagina"/>
          <w:i w:val="0"/>
          <w:smallCaps w:val="0"/>
          <w:shd w:val="clear" w:color="auto" w:fill="FFFFFF"/>
        </w:rPr>
        <w:footnoteReference w:id="138"/>
      </w:r>
      <w:r>
        <w:rPr>
          <w:i w:val="0"/>
          <w:smallCaps w:val="0"/>
          <w:shd w:val="clear" w:color="auto" w:fill="FFFFFF"/>
        </w:rPr>
        <w:t xml:space="preserve"> che l’innovazione comporta a carico dei Prefetti un maggiore onere motivazionale, dovendo oggi la valutazione esternata nel provvedimento </w:t>
      </w:r>
      <w:proofErr w:type="spellStart"/>
      <w:r>
        <w:rPr>
          <w:i w:val="0"/>
          <w:smallCaps w:val="0"/>
          <w:shd w:val="clear" w:color="auto" w:fill="FFFFFF"/>
        </w:rPr>
        <w:t>interdittivo</w:t>
      </w:r>
      <w:proofErr w:type="spellEnd"/>
      <w:r>
        <w:rPr>
          <w:i w:val="0"/>
          <w:smallCaps w:val="0"/>
          <w:shd w:val="clear" w:color="auto" w:fill="FFFFFF"/>
        </w:rPr>
        <w:t xml:space="preserve"> non più risolversi nella semplice indicazione degli elementi indiziari raccolti e della loro idoneità a fondare la prognosi di infiltrazione mafiosa, ma includere anche l’indicazione degli elementi che inducono l’amministrazione a ritenere il rischio </w:t>
      </w:r>
      <w:r>
        <w:rPr>
          <w:smallCaps w:val="0"/>
          <w:shd w:val="clear" w:color="auto" w:fill="FFFFFF"/>
        </w:rPr>
        <w:t xml:space="preserve">de quo </w:t>
      </w:r>
      <w:r>
        <w:rPr>
          <w:i w:val="0"/>
          <w:smallCaps w:val="0"/>
          <w:shd w:val="clear" w:color="auto" w:fill="FFFFFF"/>
        </w:rPr>
        <w:t xml:space="preserve">di gravità tale da essere fronteggiabile unicamente attraverso la misura </w:t>
      </w:r>
      <w:proofErr w:type="spellStart"/>
      <w:r>
        <w:rPr>
          <w:i w:val="0"/>
          <w:smallCaps w:val="0"/>
          <w:shd w:val="clear" w:color="auto" w:fill="FFFFFF"/>
        </w:rPr>
        <w:t>interdittiva</w:t>
      </w:r>
      <w:proofErr w:type="spellEnd"/>
      <w:r>
        <w:rPr>
          <w:i w:val="0"/>
          <w:smallCaps w:val="0"/>
          <w:shd w:val="clear" w:color="auto" w:fill="FFFFFF"/>
        </w:rPr>
        <w:t>, appalesandosi insufficiente il ricorso alle meno afflittive misure di cui al ridetto articolo 94-</w:t>
      </w:r>
      <w:r>
        <w:rPr>
          <w:smallCaps w:val="0"/>
          <w:shd w:val="clear" w:color="auto" w:fill="FFFFFF"/>
        </w:rPr>
        <w:t>bis.</w:t>
      </w:r>
    </w:p>
    <w:p w:rsidR="00E51FCA" w:rsidRDefault="00E51FCA" w:rsidP="00400167">
      <w:pPr>
        <w:ind w:firstLine="426"/>
        <w:jc w:val="both"/>
        <w:rPr>
          <w:i w:val="0"/>
          <w:smallCaps w:val="0"/>
          <w:shd w:val="clear" w:color="auto" w:fill="FFFFFF"/>
        </w:rPr>
      </w:pPr>
      <w:r>
        <w:rPr>
          <w:i w:val="0"/>
          <w:caps/>
          <w:smallCaps w:val="0"/>
          <w:shd w:val="clear" w:color="auto" w:fill="FFFFFF"/>
        </w:rPr>
        <w:t xml:space="preserve">è </w:t>
      </w:r>
      <w:r>
        <w:rPr>
          <w:i w:val="0"/>
          <w:smallCaps w:val="0"/>
          <w:shd w:val="clear" w:color="auto" w:fill="FFFFFF"/>
        </w:rPr>
        <w:t>questo, al di là di alcune ulteriori e meno centrali novità (come ad esempio l’inedita attribuzione al Gruppo Interforze di poteri di monitoraggio e controllo, oltre a quelli investigativi e istruttori)</w:t>
      </w:r>
      <w:r>
        <w:rPr>
          <w:rStyle w:val="Rimandonotaapidipagina"/>
          <w:i w:val="0"/>
          <w:smallCaps w:val="0"/>
          <w:shd w:val="clear" w:color="auto" w:fill="FFFFFF"/>
        </w:rPr>
        <w:footnoteReference w:id="139"/>
      </w:r>
      <w:r>
        <w:rPr>
          <w:i w:val="0"/>
          <w:smallCaps w:val="0"/>
          <w:shd w:val="clear" w:color="auto" w:fill="FFFFFF"/>
        </w:rPr>
        <w:t>, il principale profilo su cui verosimilmente la giurisprudenza sarà chiamata a pronunciarsi: in particolare, oltre a</w:t>
      </w:r>
      <w:r w:rsidR="007419F5">
        <w:rPr>
          <w:i w:val="0"/>
          <w:smallCaps w:val="0"/>
          <w:shd w:val="clear" w:color="auto" w:fill="FFFFFF"/>
        </w:rPr>
        <w:t>lle evidenti ricadute sul sindacato giurisdizionale di tale nuovo atteggiarsi della valutazione discrezionale del Prefetto</w:t>
      </w:r>
      <w:r w:rsidR="007419F5">
        <w:rPr>
          <w:rStyle w:val="Rimandonotaapidipagina"/>
          <w:i w:val="0"/>
          <w:smallCaps w:val="0"/>
          <w:shd w:val="clear" w:color="auto" w:fill="FFFFFF"/>
        </w:rPr>
        <w:footnoteReference w:id="140"/>
      </w:r>
      <w:r w:rsidR="007419F5">
        <w:rPr>
          <w:i w:val="0"/>
          <w:smallCaps w:val="0"/>
          <w:shd w:val="clear" w:color="auto" w:fill="FFFFFF"/>
        </w:rPr>
        <w:t>, non può non sorgere la domanda in ordine al rapporto tra il concetto di “</w:t>
      </w:r>
      <w:r w:rsidR="007419F5">
        <w:rPr>
          <w:smallCaps w:val="0"/>
          <w:shd w:val="clear" w:color="auto" w:fill="FFFFFF"/>
        </w:rPr>
        <w:t>agevolazione occasionale</w:t>
      </w:r>
      <w:r w:rsidR="007419F5">
        <w:rPr>
          <w:i w:val="0"/>
          <w:smallCaps w:val="0"/>
          <w:shd w:val="clear" w:color="auto" w:fill="FFFFFF"/>
        </w:rPr>
        <w:t>” che secondo la norma deve costituirne l’oggetto e l’analoga nozione impiegata dall’articolo 34-</w:t>
      </w:r>
      <w:r w:rsidR="007419F5">
        <w:rPr>
          <w:smallCaps w:val="0"/>
          <w:shd w:val="clear" w:color="auto" w:fill="FFFFFF"/>
        </w:rPr>
        <w:t xml:space="preserve">bis </w:t>
      </w:r>
      <w:r w:rsidR="007419F5">
        <w:rPr>
          <w:i w:val="0"/>
          <w:smallCaps w:val="0"/>
          <w:shd w:val="clear" w:color="auto" w:fill="FFFFFF"/>
        </w:rPr>
        <w:t xml:space="preserve">nell’individuare i presupposti del controllo giudiziario. </w:t>
      </w:r>
      <w:r w:rsidR="00310F7D">
        <w:rPr>
          <w:i w:val="0"/>
          <w:smallCaps w:val="0"/>
          <w:shd w:val="clear" w:color="auto" w:fill="FFFFFF"/>
        </w:rPr>
        <w:t xml:space="preserve">Al riguardo, sembra abbastanza evidente come sia vano lo sforzo di sostenere – in spregio alla </w:t>
      </w:r>
      <w:proofErr w:type="spellStart"/>
      <w:r w:rsidR="00310F7D">
        <w:rPr>
          <w:smallCaps w:val="0"/>
          <w:shd w:val="clear" w:color="auto" w:fill="FFFFFF"/>
        </w:rPr>
        <w:t>littera</w:t>
      </w:r>
      <w:proofErr w:type="spellEnd"/>
      <w:r w:rsidR="00310F7D">
        <w:rPr>
          <w:smallCaps w:val="0"/>
          <w:shd w:val="clear" w:color="auto" w:fill="FFFFFF"/>
        </w:rPr>
        <w:t xml:space="preserve"> </w:t>
      </w:r>
      <w:proofErr w:type="spellStart"/>
      <w:r w:rsidR="00310F7D">
        <w:rPr>
          <w:smallCaps w:val="0"/>
          <w:shd w:val="clear" w:color="auto" w:fill="FFFFFF"/>
        </w:rPr>
        <w:t>legis</w:t>
      </w:r>
      <w:proofErr w:type="spellEnd"/>
      <w:r w:rsidR="00310F7D">
        <w:rPr>
          <w:smallCaps w:val="0"/>
          <w:shd w:val="clear" w:color="auto" w:fill="FFFFFF"/>
        </w:rPr>
        <w:t xml:space="preserve"> </w:t>
      </w:r>
      <w:r w:rsidR="00310F7D">
        <w:rPr>
          <w:i w:val="0"/>
          <w:smallCaps w:val="0"/>
          <w:shd w:val="clear" w:color="auto" w:fill="FFFFFF"/>
        </w:rPr>
        <w:t xml:space="preserve">– che si tratti di due concetti distinti, e non piuttosto che il legislatore abbia scientemente voluto richiamare la stessa nozione un tempo rimessa all’apprezzamento del (solo) giudice della prevenzione, e pertanto affidare anche all’autorità amministrativa una verifica che finora doveva essere condotta solo a valle dell’adozione di un’informativa </w:t>
      </w:r>
      <w:proofErr w:type="spellStart"/>
      <w:r w:rsidR="00310F7D">
        <w:rPr>
          <w:i w:val="0"/>
          <w:smallCaps w:val="0"/>
          <w:shd w:val="clear" w:color="auto" w:fill="FFFFFF"/>
        </w:rPr>
        <w:t>interdittiva</w:t>
      </w:r>
      <w:proofErr w:type="spellEnd"/>
      <w:r w:rsidR="00310F7D">
        <w:rPr>
          <w:rStyle w:val="Rimandonotaapidipagina"/>
          <w:i w:val="0"/>
          <w:smallCaps w:val="0"/>
          <w:shd w:val="clear" w:color="auto" w:fill="FFFFFF"/>
        </w:rPr>
        <w:footnoteReference w:id="141"/>
      </w:r>
      <w:r w:rsidR="00310F7D">
        <w:rPr>
          <w:i w:val="0"/>
          <w:smallCaps w:val="0"/>
          <w:shd w:val="clear" w:color="auto" w:fill="FFFFFF"/>
        </w:rPr>
        <w:t>.</w:t>
      </w:r>
    </w:p>
    <w:p w:rsidR="00310F7D" w:rsidRDefault="00310F7D" w:rsidP="00400167">
      <w:pPr>
        <w:ind w:firstLine="426"/>
        <w:jc w:val="both"/>
        <w:rPr>
          <w:i w:val="0"/>
          <w:smallCaps w:val="0"/>
          <w:shd w:val="clear" w:color="auto" w:fill="FFFFFF"/>
        </w:rPr>
      </w:pPr>
      <w:r>
        <w:rPr>
          <w:i w:val="0"/>
          <w:smallCaps w:val="0"/>
          <w:shd w:val="clear" w:color="auto" w:fill="FFFFFF"/>
        </w:rPr>
        <w:t>Ma, se così stanno le cose, è legittimo chiedersi se le nuove previsioni non siano destinate a mettere in crisi gli approdi con i quali finora è stato risolto il problema dei rapporti tra valutazioni prefettizie e verifica della “occasionalità” da parte del giudice della prevenzione</w:t>
      </w:r>
      <w:r>
        <w:rPr>
          <w:rStyle w:val="Rimandonotaapidipagina"/>
          <w:i w:val="0"/>
          <w:smallCaps w:val="0"/>
          <w:shd w:val="clear" w:color="auto" w:fill="FFFFFF"/>
        </w:rPr>
        <w:footnoteReference w:id="142"/>
      </w:r>
      <w:r>
        <w:rPr>
          <w:i w:val="0"/>
          <w:smallCaps w:val="0"/>
          <w:shd w:val="clear" w:color="auto" w:fill="FFFFFF"/>
        </w:rPr>
        <w:t>. Al di là di questioni di inquadramento teorico</w:t>
      </w:r>
      <w:r w:rsidR="00622920">
        <w:rPr>
          <w:rStyle w:val="Rimandonotaapidipagina"/>
          <w:i w:val="0"/>
          <w:smallCaps w:val="0"/>
          <w:shd w:val="clear" w:color="auto" w:fill="FFFFFF"/>
        </w:rPr>
        <w:footnoteReference w:id="143"/>
      </w:r>
      <w:r>
        <w:rPr>
          <w:i w:val="0"/>
          <w:smallCaps w:val="0"/>
          <w:shd w:val="clear" w:color="auto" w:fill="FFFFFF"/>
        </w:rPr>
        <w:t xml:space="preserve">, è verosimile attendersi </w:t>
      </w:r>
      <w:r w:rsidR="00622920">
        <w:rPr>
          <w:i w:val="0"/>
          <w:smallCaps w:val="0"/>
          <w:shd w:val="clear" w:color="auto" w:fill="FFFFFF"/>
        </w:rPr>
        <w:t xml:space="preserve">che la questione sia destinata ad emergere nella casistica giurisprudenziale – ad esempio – con riguardo a fattispecie in cui sia fatto valere il contrasto tra le diverse valutazioni compiute in punto di occasionalità dei tentativi di infiltrazione dal Prefetto e dal giudice che ha disposto il controllo giudiziario, ovvero in cui </w:t>
      </w:r>
      <w:r w:rsidR="00B1082A">
        <w:rPr>
          <w:i w:val="0"/>
          <w:smallCaps w:val="0"/>
          <w:shd w:val="clear" w:color="auto" w:fill="FFFFFF"/>
        </w:rPr>
        <w:t xml:space="preserve">direttamente al giudice della prevenzione sia sottoposto con maggiore incisività rispetto ad oggi un problema di insufficienza o inadeguatezza delle valutazioni compiute dal Prefetto nella originaria </w:t>
      </w:r>
      <w:proofErr w:type="spellStart"/>
      <w:r w:rsidR="00B1082A">
        <w:rPr>
          <w:i w:val="0"/>
          <w:smallCaps w:val="0"/>
          <w:shd w:val="clear" w:color="auto" w:fill="FFFFFF"/>
        </w:rPr>
        <w:t>interdittiva</w:t>
      </w:r>
      <w:proofErr w:type="spellEnd"/>
      <w:r w:rsidR="00B1082A">
        <w:rPr>
          <w:i w:val="0"/>
          <w:smallCaps w:val="0"/>
          <w:shd w:val="clear" w:color="auto" w:fill="FFFFFF"/>
        </w:rPr>
        <w:t>.</w:t>
      </w:r>
    </w:p>
    <w:p w:rsidR="00795A4E" w:rsidRDefault="00795A4E" w:rsidP="00400167">
      <w:pPr>
        <w:ind w:firstLine="426"/>
        <w:jc w:val="both"/>
        <w:rPr>
          <w:b/>
          <w:i w:val="0"/>
          <w:smallCaps w:val="0"/>
          <w:shd w:val="clear" w:color="auto" w:fill="FFFFFF"/>
        </w:rPr>
      </w:pPr>
    </w:p>
    <w:p w:rsidR="00795A4E" w:rsidRDefault="00795A4E" w:rsidP="00400167">
      <w:pPr>
        <w:ind w:firstLine="426"/>
        <w:jc w:val="both"/>
        <w:rPr>
          <w:b/>
          <w:i w:val="0"/>
          <w:smallCaps w:val="0"/>
          <w:shd w:val="clear" w:color="auto" w:fill="FFFFFF"/>
        </w:rPr>
      </w:pPr>
    </w:p>
    <w:p w:rsidR="00B1082A" w:rsidRDefault="00B1082A" w:rsidP="00400167">
      <w:pPr>
        <w:ind w:firstLine="426"/>
        <w:jc w:val="both"/>
        <w:rPr>
          <w:b/>
          <w:i w:val="0"/>
          <w:smallCaps w:val="0"/>
        </w:rPr>
      </w:pPr>
      <w:r>
        <w:rPr>
          <w:b/>
          <w:i w:val="0"/>
          <w:smallCaps w:val="0"/>
          <w:shd w:val="clear" w:color="auto" w:fill="FFFFFF"/>
        </w:rPr>
        <w:t xml:space="preserve">10. </w:t>
      </w:r>
      <w:r w:rsidRPr="00B1082A">
        <w:rPr>
          <w:b/>
          <w:i w:val="0"/>
          <w:smallCaps w:val="0"/>
        </w:rPr>
        <w:t xml:space="preserve">Gli effetti dell’informativa </w:t>
      </w:r>
      <w:proofErr w:type="spellStart"/>
      <w:r w:rsidRPr="00B1082A">
        <w:rPr>
          <w:b/>
          <w:i w:val="0"/>
          <w:smallCaps w:val="0"/>
        </w:rPr>
        <w:t>interdittiva</w:t>
      </w:r>
      <w:proofErr w:type="spellEnd"/>
      <w:r w:rsidRPr="00B1082A">
        <w:rPr>
          <w:b/>
          <w:i w:val="0"/>
          <w:smallCaps w:val="0"/>
        </w:rPr>
        <w:t>.</w:t>
      </w:r>
    </w:p>
    <w:p w:rsidR="00795A4E" w:rsidRDefault="00795A4E" w:rsidP="00400167">
      <w:pPr>
        <w:ind w:firstLine="426"/>
        <w:jc w:val="both"/>
        <w:rPr>
          <w:b/>
          <w:i w:val="0"/>
          <w:smallCaps w:val="0"/>
        </w:rPr>
      </w:pPr>
    </w:p>
    <w:p w:rsidR="00B1082A" w:rsidRDefault="00795A4E" w:rsidP="00400167">
      <w:pPr>
        <w:ind w:firstLine="426"/>
        <w:jc w:val="both"/>
        <w:rPr>
          <w:i w:val="0"/>
          <w:smallCaps w:val="0"/>
          <w:shd w:val="clear" w:color="auto" w:fill="FFFFFF"/>
        </w:rPr>
      </w:pPr>
      <w:r>
        <w:rPr>
          <w:i w:val="0"/>
          <w:smallCaps w:val="0"/>
          <w:shd w:val="clear" w:color="auto" w:fill="FFFFFF"/>
        </w:rPr>
        <w:t>Nel sistema originario del Codice antimafia, come si è già accennato</w:t>
      </w:r>
      <w:r>
        <w:rPr>
          <w:rStyle w:val="Rimandonotaapidipagina"/>
          <w:i w:val="0"/>
          <w:smallCaps w:val="0"/>
          <w:shd w:val="clear" w:color="auto" w:fill="FFFFFF"/>
        </w:rPr>
        <w:footnoteReference w:id="144"/>
      </w:r>
      <w:r>
        <w:rPr>
          <w:i w:val="0"/>
          <w:smallCaps w:val="0"/>
          <w:shd w:val="clear" w:color="auto" w:fill="FFFFFF"/>
        </w:rPr>
        <w:t>, era abbastanza chiara la distinzione tra gli effetti della comunicazione antimafia</w:t>
      </w:r>
      <w:r w:rsidR="00DF310A">
        <w:rPr>
          <w:i w:val="0"/>
          <w:smallCaps w:val="0"/>
          <w:shd w:val="clear" w:color="auto" w:fill="FFFFFF"/>
        </w:rPr>
        <w:t>, di fatto riconducibili a quelli individuati dall’articolo 67 del medesimo Codice come conseguenza dell’adozione di misure di prevenzione giurisdizionali (in quanto – come si è visto – la comunicazione antimafia altro non è che una “</w:t>
      </w:r>
      <w:r w:rsidR="00DF310A" w:rsidRPr="00DF310A">
        <w:rPr>
          <w:smallCaps w:val="0"/>
          <w:shd w:val="clear" w:color="auto" w:fill="FFFFFF"/>
        </w:rPr>
        <w:t>attestazione</w:t>
      </w:r>
      <w:r w:rsidR="00DF310A">
        <w:rPr>
          <w:i w:val="0"/>
          <w:smallCaps w:val="0"/>
          <w:shd w:val="clear" w:color="auto" w:fill="FFFFFF"/>
        </w:rPr>
        <w:t>” dell’esistenza o meno a carico dell’impresa di tali misure), e quelli dell’informazione antimafia, circoscritti all’ambito dei contratti pubblici di lavori, servizi e forniture, rispetto ai quali il provvedimento prefettizio costituisce un fattore ostativo alla partecipazione alle procedure selettive ovvero alla sottoscrizione del contratto</w:t>
      </w:r>
      <w:r w:rsidR="00DF310A">
        <w:rPr>
          <w:rStyle w:val="Rimandonotaapidipagina"/>
          <w:i w:val="0"/>
          <w:smallCaps w:val="0"/>
          <w:shd w:val="clear" w:color="auto" w:fill="FFFFFF"/>
        </w:rPr>
        <w:footnoteReference w:id="145"/>
      </w:r>
      <w:r w:rsidR="00DF310A">
        <w:rPr>
          <w:i w:val="0"/>
          <w:smallCaps w:val="0"/>
          <w:shd w:val="clear" w:color="auto" w:fill="FFFFFF"/>
        </w:rPr>
        <w:t>. Tale bipartizione, superata a seguito dell’introduzione nel d.lgs. n. 159/2011 dell’articolo 89-</w:t>
      </w:r>
      <w:r w:rsidR="00DF310A">
        <w:rPr>
          <w:smallCaps w:val="0"/>
          <w:shd w:val="clear" w:color="auto" w:fill="FFFFFF"/>
        </w:rPr>
        <w:t xml:space="preserve">bis, </w:t>
      </w:r>
      <w:r w:rsidR="00DF310A">
        <w:rPr>
          <w:i w:val="0"/>
          <w:smallCaps w:val="0"/>
          <w:shd w:val="clear" w:color="auto" w:fill="FFFFFF"/>
        </w:rPr>
        <w:t xml:space="preserve">lascia il posto oggi a un sistema omogeneo in cui anche l’informativa </w:t>
      </w:r>
      <w:proofErr w:type="spellStart"/>
      <w:r w:rsidR="00DF310A">
        <w:rPr>
          <w:i w:val="0"/>
          <w:smallCaps w:val="0"/>
          <w:shd w:val="clear" w:color="auto" w:fill="FFFFFF"/>
        </w:rPr>
        <w:t>interdittiva</w:t>
      </w:r>
      <w:proofErr w:type="spellEnd"/>
      <w:r w:rsidR="00DF310A">
        <w:rPr>
          <w:i w:val="0"/>
          <w:smallCaps w:val="0"/>
          <w:shd w:val="clear" w:color="auto" w:fill="FFFFFF"/>
        </w:rPr>
        <w:t xml:space="preserve"> produce effetti inibitori estesi a tutto lo spettro dei rapporti economici di rilevanza pubblicistica, e non più solo limitati al settore della contrattualistica pubblica</w:t>
      </w:r>
      <w:r w:rsidR="004225F2">
        <w:rPr>
          <w:rStyle w:val="Rimandonotaapidipagina"/>
          <w:i w:val="0"/>
          <w:smallCaps w:val="0"/>
          <w:shd w:val="clear" w:color="auto" w:fill="FFFFFF"/>
        </w:rPr>
        <w:footnoteReference w:id="146"/>
      </w:r>
      <w:r w:rsidR="00DF310A">
        <w:rPr>
          <w:i w:val="0"/>
          <w:smallCaps w:val="0"/>
          <w:shd w:val="clear" w:color="auto" w:fill="FFFFFF"/>
        </w:rPr>
        <w:t>.</w:t>
      </w:r>
    </w:p>
    <w:p w:rsidR="00CB3BFE" w:rsidRDefault="00CB3BFE" w:rsidP="00400167">
      <w:pPr>
        <w:ind w:firstLine="426"/>
        <w:jc w:val="both"/>
        <w:rPr>
          <w:i w:val="0"/>
          <w:smallCaps w:val="0"/>
          <w:shd w:val="clear" w:color="auto" w:fill="FFFFFF"/>
        </w:rPr>
      </w:pPr>
      <w:r>
        <w:rPr>
          <w:i w:val="0"/>
          <w:smallCaps w:val="0"/>
          <w:shd w:val="clear" w:color="auto" w:fill="FFFFFF"/>
        </w:rPr>
        <w:t xml:space="preserve">In linea generale, la giurisprudenza è ferma nell’individuare quale effetto tipico dell’informativa </w:t>
      </w:r>
      <w:proofErr w:type="spellStart"/>
      <w:r>
        <w:rPr>
          <w:i w:val="0"/>
          <w:smallCaps w:val="0"/>
          <w:shd w:val="clear" w:color="auto" w:fill="FFFFFF"/>
        </w:rPr>
        <w:t>interdittiva</w:t>
      </w:r>
      <w:proofErr w:type="spellEnd"/>
      <w:r>
        <w:rPr>
          <w:i w:val="0"/>
          <w:smallCaps w:val="0"/>
          <w:shd w:val="clear" w:color="auto" w:fill="FFFFFF"/>
        </w:rPr>
        <w:t xml:space="preserve"> una particolare forma di incapacità giuridica, parziale e relativa, in quanto limitata a specifici rapporti giuridici con la pubblica amministrazione, e tendenzialmente temporanea, che si traduce nella </w:t>
      </w:r>
      <w:proofErr w:type="spellStart"/>
      <w:r>
        <w:rPr>
          <w:i w:val="0"/>
          <w:smallCaps w:val="0"/>
          <w:shd w:val="clear" w:color="auto" w:fill="FFFFFF"/>
        </w:rPr>
        <w:t>insuscettività</w:t>
      </w:r>
      <w:proofErr w:type="spellEnd"/>
      <w:r>
        <w:rPr>
          <w:i w:val="0"/>
          <w:smallCaps w:val="0"/>
          <w:shd w:val="clear" w:color="auto" w:fill="FFFFFF"/>
        </w:rPr>
        <w:t xml:space="preserve"> del soggetto che del provvedimento è destinatario a essere titolare di quelle situazioni giuridiche soggettive che determinino sul proprio c.d. lato esterno rapporti giuridici </w:t>
      </w:r>
      <w:r w:rsidR="004225F2">
        <w:rPr>
          <w:i w:val="0"/>
          <w:smallCaps w:val="0"/>
          <w:shd w:val="clear" w:color="auto" w:fill="FFFFFF"/>
        </w:rPr>
        <w:t>con la p.a.</w:t>
      </w:r>
      <w:r w:rsidR="004225F2">
        <w:rPr>
          <w:rStyle w:val="Rimandonotaapidipagina"/>
          <w:i w:val="0"/>
          <w:smallCaps w:val="0"/>
          <w:shd w:val="clear" w:color="auto" w:fill="FFFFFF"/>
        </w:rPr>
        <w:footnoteReference w:id="147"/>
      </w:r>
      <w:r w:rsidR="004225F2">
        <w:rPr>
          <w:i w:val="0"/>
          <w:smallCaps w:val="0"/>
          <w:shd w:val="clear" w:color="auto" w:fill="FFFFFF"/>
        </w:rPr>
        <w:t>.</w:t>
      </w:r>
      <w:r w:rsidR="005E1DE5">
        <w:rPr>
          <w:i w:val="0"/>
          <w:smallCaps w:val="0"/>
          <w:shd w:val="clear" w:color="auto" w:fill="FFFFFF"/>
        </w:rPr>
        <w:t xml:space="preserve"> Si tratta di un’incapacità destinata ad assumere rilievo solo nei rapporti con le pubbliche amministrazioni, e non anche nei rapporti tra privati</w:t>
      </w:r>
      <w:r w:rsidR="005E1DE5">
        <w:rPr>
          <w:rStyle w:val="Rimandonotaapidipagina"/>
          <w:i w:val="0"/>
          <w:smallCaps w:val="0"/>
          <w:shd w:val="clear" w:color="auto" w:fill="FFFFFF"/>
        </w:rPr>
        <w:footnoteReference w:id="148"/>
      </w:r>
      <w:r w:rsidR="005E1DE5">
        <w:rPr>
          <w:i w:val="0"/>
          <w:smallCaps w:val="0"/>
          <w:shd w:val="clear" w:color="auto" w:fill="FFFFFF"/>
        </w:rPr>
        <w:t>, ancorché</w:t>
      </w:r>
      <w:r w:rsidR="00895085">
        <w:rPr>
          <w:i w:val="0"/>
          <w:smallCaps w:val="0"/>
          <w:shd w:val="clear" w:color="auto" w:fill="FFFFFF"/>
        </w:rPr>
        <w:t xml:space="preserve"> con l’articolo 83-</w:t>
      </w:r>
      <w:r w:rsidR="00895085">
        <w:rPr>
          <w:smallCaps w:val="0"/>
          <w:shd w:val="clear" w:color="auto" w:fill="FFFFFF"/>
        </w:rPr>
        <w:t xml:space="preserve">bis, </w:t>
      </w:r>
      <w:r w:rsidR="00895085">
        <w:rPr>
          <w:i w:val="0"/>
          <w:smallCaps w:val="0"/>
          <w:shd w:val="clear" w:color="auto" w:fill="FFFFFF"/>
        </w:rPr>
        <w:t xml:space="preserve">introdotto nel Codice antimafia dal </w:t>
      </w:r>
      <w:proofErr w:type="spellStart"/>
      <w:r w:rsidR="00895085">
        <w:rPr>
          <w:i w:val="0"/>
          <w:smallCaps w:val="0"/>
          <w:shd w:val="clear" w:color="auto" w:fill="FFFFFF"/>
        </w:rPr>
        <w:t>d.l.</w:t>
      </w:r>
      <w:proofErr w:type="spellEnd"/>
      <w:r w:rsidR="00895085">
        <w:rPr>
          <w:i w:val="0"/>
          <w:smallCaps w:val="0"/>
          <w:shd w:val="clear" w:color="auto" w:fill="FFFFFF"/>
        </w:rPr>
        <w:t xml:space="preserve"> n. 76/2020, si sia prevista la possibilità di estendere l’applicabilità delle disposizioni in materia di documentazione antimafia anche ai rapporti tra privati, sulla base di appositi protocolli di legalità sottoscritti dal Ministero dell’interno “</w:t>
      </w:r>
      <w:r w:rsidR="00895085" w:rsidRPr="00895085">
        <w:rPr>
          <w:smallCaps w:val="0"/>
          <w:shd w:val="clear" w:color="auto" w:fill="FFFFFF"/>
        </w:rPr>
        <w:t>con imprese di rilevanza strategica per l</w:t>
      </w:r>
      <w:r w:rsidR="00895085">
        <w:rPr>
          <w:smallCaps w:val="0"/>
          <w:shd w:val="clear" w:color="auto" w:fill="FFFFFF"/>
        </w:rPr>
        <w:t>’</w:t>
      </w:r>
      <w:r w:rsidR="00895085" w:rsidRPr="00895085">
        <w:rPr>
          <w:smallCaps w:val="0"/>
          <w:shd w:val="clear" w:color="auto" w:fill="FFFFFF"/>
        </w:rPr>
        <w:t>economia nazionale nonché con associazioni maggiormente rappresentative a livello nazionale di categorie produttive, economiche o imprenditoriali e con le organizzazioni sindacali</w:t>
      </w:r>
      <w:r w:rsidR="00895085">
        <w:rPr>
          <w:i w:val="0"/>
          <w:smallCaps w:val="0"/>
          <w:shd w:val="clear" w:color="auto" w:fill="FFFFFF"/>
        </w:rPr>
        <w:t>”</w:t>
      </w:r>
      <w:r w:rsidR="00895085">
        <w:rPr>
          <w:rStyle w:val="Rimandonotaapidipagina"/>
          <w:i w:val="0"/>
          <w:smallCaps w:val="0"/>
          <w:shd w:val="clear" w:color="auto" w:fill="FFFFFF"/>
        </w:rPr>
        <w:footnoteReference w:id="149"/>
      </w:r>
      <w:r w:rsidR="00895085">
        <w:rPr>
          <w:i w:val="0"/>
          <w:smallCaps w:val="0"/>
          <w:shd w:val="clear" w:color="auto" w:fill="FFFFFF"/>
        </w:rPr>
        <w:t>.</w:t>
      </w:r>
    </w:p>
    <w:p w:rsidR="0096632A" w:rsidRDefault="0096632A" w:rsidP="00400167">
      <w:pPr>
        <w:ind w:firstLine="426"/>
        <w:jc w:val="both"/>
        <w:rPr>
          <w:i w:val="0"/>
          <w:smallCaps w:val="0"/>
          <w:shd w:val="clear" w:color="auto" w:fill="FFFFFF"/>
        </w:rPr>
      </w:pPr>
      <w:r>
        <w:rPr>
          <w:i w:val="0"/>
          <w:smallCaps w:val="0"/>
          <w:shd w:val="clear" w:color="auto" w:fill="FFFFFF"/>
        </w:rPr>
        <w:t xml:space="preserve">L’effetto di incapacità speciale che consegue all’informativa </w:t>
      </w:r>
      <w:proofErr w:type="spellStart"/>
      <w:r>
        <w:rPr>
          <w:i w:val="0"/>
          <w:smallCaps w:val="0"/>
          <w:shd w:val="clear" w:color="auto" w:fill="FFFFFF"/>
        </w:rPr>
        <w:t>interdittiva</w:t>
      </w:r>
      <w:proofErr w:type="spellEnd"/>
      <w:r>
        <w:rPr>
          <w:i w:val="0"/>
          <w:smallCaps w:val="0"/>
          <w:shd w:val="clear" w:color="auto" w:fill="FFFFFF"/>
        </w:rPr>
        <w:t xml:space="preserve"> spiega il carattere vincolato e doveroso</w:t>
      </w:r>
      <w:r w:rsidR="00D44623">
        <w:rPr>
          <w:i w:val="0"/>
          <w:smallCaps w:val="0"/>
          <w:shd w:val="clear" w:color="auto" w:fill="FFFFFF"/>
        </w:rPr>
        <w:t xml:space="preserve"> ai sensi dell’articolo 92, comma 3, del d.lgs. n. 159/2011</w:t>
      </w:r>
      <w:r>
        <w:rPr>
          <w:i w:val="0"/>
          <w:smallCaps w:val="0"/>
          <w:shd w:val="clear" w:color="auto" w:fill="FFFFFF"/>
        </w:rPr>
        <w:t xml:space="preserve">, e il conseguente non assoggettamento agli obblighi di legge in materia di comunicazione di avvio del procedimento e partecipazione procedimentale, </w:t>
      </w:r>
      <w:r w:rsidR="009D76D2">
        <w:rPr>
          <w:i w:val="0"/>
          <w:smallCaps w:val="0"/>
          <w:shd w:val="clear" w:color="auto" w:fill="FFFFFF"/>
        </w:rPr>
        <w:t>della revoca dell’aggiudicazione di un contratto pubblico disposta nei confronti dell’impresa interessata ovvero del recesso dal contratto con essa eventualmente stipulato</w:t>
      </w:r>
      <w:r w:rsidR="009D76D2">
        <w:rPr>
          <w:rStyle w:val="Rimandonotaapidipagina"/>
          <w:i w:val="0"/>
          <w:smallCaps w:val="0"/>
          <w:shd w:val="clear" w:color="auto" w:fill="FFFFFF"/>
        </w:rPr>
        <w:footnoteReference w:id="150"/>
      </w:r>
      <w:r w:rsidR="009D76D2">
        <w:rPr>
          <w:i w:val="0"/>
          <w:smallCaps w:val="0"/>
          <w:shd w:val="clear" w:color="auto" w:fill="FFFFFF"/>
        </w:rPr>
        <w:t xml:space="preserve">, come pure della revoca dei contributi o finanziamenti pubblici concessi all’impresa con efficacia </w:t>
      </w:r>
      <w:r w:rsidR="009D76D2">
        <w:rPr>
          <w:smallCaps w:val="0"/>
          <w:shd w:val="clear" w:color="auto" w:fill="FFFFFF"/>
        </w:rPr>
        <w:t xml:space="preserve">ex </w:t>
      </w:r>
      <w:proofErr w:type="spellStart"/>
      <w:r w:rsidR="009D76D2">
        <w:rPr>
          <w:smallCaps w:val="0"/>
          <w:shd w:val="clear" w:color="auto" w:fill="FFFFFF"/>
        </w:rPr>
        <w:t>tunc</w:t>
      </w:r>
      <w:proofErr w:type="spellEnd"/>
      <w:r w:rsidR="009D76D2" w:rsidRPr="00D522B7">
        <w:rPr>
          <w:rStyle w:val="Rimandonotaapidipagina"/>
          <w:i w:val="0"/>
          <w:smallCaps w:val="0"/>
          <w:shd w:val="clear" w:color="auto" w:fill="FFFFFF"/>
        </w:rPr>
        <w:footnoteReference w:id="151"/>
      </w:r>
      <w:r w:rsidR="009D76D2" w:rsidRPr="00D522B7">
        <w:rPr>
          <w:i w:val="0"/>
          <w:smallCaps w:val="0"/>
          <w:shd w:val="clear" w:color="auto" w:fill="FFFFFF"/>
        </w:rPr>
        <w:t>.</w:t>
      </w:r>
      <w:r w:rsidR="00103904">
        <w:rPr>
          <w:i w:val="0"/>
          <w:smallCaps w:val="0"/>
          <w:shd w:val="clear" w:color="auto" w:fill="FFFFFF"/>
        </w:rPr>
        <w:t xml:space="preserve"> La giurisprudenza ha avuto modo di precisare che il riferimento normativo a </w:t>
      </w:r>
      <w:r w:rsidR="00103904">
        <w:rPr>
          <w:i w:val="0"/>
          <w:smallCaps w:val="0"/>
          <w:shd w:val="clear" w:color="auto" w:fill="FFFFFF"/>
        </w:rPr>
        <w:lastRenderedPageBreak/>
        <w:t>“</w:t>
      </w:r>
      <w:r w:rsidR="00103904">
        <w:rPr>
          <w:smallCaps w:val="0"/>
          <w:shd w:val="clear" w:color="auto" w:fill="FFFFFF"/>
        </w:rPr>
        <w:t>contributi, finanziamenti o mutui agevolati ed altre erogazioni dello stesso tipo, comunque denominati, concessi o erogati da parte dello Stato, di altri enti pubblici o delle Comunità europee, per lo svolgimento di attività imprenditoriali</w:t>
      </w:r>
      <w:r w:rsidR="00103904">
        <w:rPr>
          <w:i w:val="0"/>
          <w:smallCaps w:val="0"/>
          <w:shd w:val="clear" w:color="auto" w:fill="FFFFFF"/>
        </w:rPr>
        <w:t>” ha valenza onnicomprensiva, estendendosi a tutto lo spettro delle obbligazioni pubbliche, ivi compresi i crediti da risarcimento danni nei confronti delle pubbliche amministrazioni, finanche se accertati con sentenza definitiva</w:t>
      </w:r>
      <w:r w:rsidR="00103904">
        <w:rPr>
          <w:rStyle w:val="Rimandonotaapidipagina"/>
          <w:i w:val="0"/>
          <w:smallCaps w:val="0"/>
          <w:shd w:val="clear" w:color="auto" w:fill="FFFFFF"/>
        </w:rPr>
        <w:footnoteReference w:id="152"/>
      </w:r>
      <w:r w:rsidR="00103904">
        <w:rPr>
          <w:i w:val="0"/>
          <w:smallCaps w:val="0"/>
          <w:shd w:val="clear" w:color="auto" w:fill="FFFFFF"/>
        </w:rPr>
        <w:t>.</w:t>
      </w:r>
    </w:p>
    <w:p w:rsidR="002C5F64" w:rsidRDefault="002C5F64" w:rsidP="00400167">
      <w:pPr>
        <w:ind w:firstLine="426"/>
        <w:jc w:val="both"/>
        <w:rPr>
          <w:i w:val="0"/>
          <w:smallCaps w:val="0"/>
          <w:shd w:val="clear" w:color="auto" w:fill="FFFFFF"/>
        </w:rPr>
      </w:pPr>
      <w:r>
        <w:rPr>
          <w:i w:val="0"/>
          <w:smallCaps w:val="0"/>
          <w:shd w:val="clear" w:color="auto" w:fill="FFFFFF"/>
        </w:rPr>
        <w:t>L’unico temperamento della evidenziata doverosità e ineluttabilità delle conseguenze prodotte dall’</w:t>
      </w:r>
      <w:proofErr w:type="spellStart"/>
      <w:r>
        <w:rPr>
          <w:i w:val="0"/>
          <w:smallCaps w:val="0"/>
          <w:shd w:val="clear" w:color="auto" w:fill="FFFFFF"/>
        </w:rPr>
        <w:t>interdittiva</w:t>
      </w:r>
      <w:proofErr w:type="spellEnd"/>
      <w:r>
        <w:rPr>
          <w:i w:val="0"/>
          <w:smallCaps w:val="0"/>
          <w:shd w:val="clear" w:color="auto" w:fill="FFFFFF"/>
        </w:rPr>
        <w:t xml:space="preserve"> sui rapporti tra impresa interessata e pubbliche amministrazioni è data dal comma 3 dell’articolo 94 del d.lgs. n. 159/2011, secondo cui: “</w:t>
      </w:r>
      <w:r>
        <w:rPr>
          <w:smallCaps w:val="0"/>
          <w:shd w:val="clear" w:color="auto" w:fill="FFFFFF"/>
        </w:rPr>
        <w:t>I soggetti di cui all’</w:t>
      </w:r>
      <w:r w:rsidRPr="002C5F64">
        <w:rPr>
          <w:smallCaps w:val="0"/>
          <w:shd w:val="clear" w:color="auto" w:fill="FFFFFF"/>
        </w:rPr>
        <w:t>articolo 83, commi 1 e 2, non procedono alle revoche o ai recessi di cui al comma precedente nel caso in cui l</w:t>
      </w:r>
      <w:r>
        <w:rPr>
          <w:smallCaps w:val="0"/>
          <w:shd w:val="clear" w:color="auto" w:fill="FFFFFF"/>
        </w:rPr>
        <w:t>’</w:t>
      </w:r>
      <w:r w:rsidRPr="002C5F64">
        <w:rPr>
          <w:smallCaps w:val="0"/>
          <w:shd w:val="clear" w:color="auto" w:fill="FFFFFF"/>
        </w:rPr>
        <w:t>opera sia in corso di ultimazione ovvero, in caso di fornitura di beni e servizi ritenuta essenziale per il perseguimento dell</w:t>
      </w:r>
      <w:r>
        <w:rPr>
          <w:smallCaps w:val="0"/>
          <w:shd w:val="clear" w:color="auto" w:fill="FFFFFF"/>
        </w:rPr>
        <w:t>’</w:t>
      </w:r>
      <w:r w:rsidRPr="002C5F64">
        <w:rPr>
          <w:smallCaps w:val="0"/>
          <w:shd w:val="clear" w:color="auto" w:fill="FFFFFF"/>
        </w:rPr>
        <w:t>interesse pubblico, qualora il soggetto che la fornisce non sia sostituibile in tempi rapidi</w:t>
      </w:r>
      <w:r>
        <w:rPr>
          <w:i w:val="0"/>
          <w:smallCaps w:val="0"/>
          <w:shd w:val="clear" w:color="auto" w:fill="FFFFFF"/>
        </w:rPr>
        <w:t>”.</w:t>
      </w:r>
      <w:r w:rsidR="00B25E35">
        <w:rPr>
          <w:i w:val="0"/>
          <w:smallCaps w:val="0"/>
          <w:shd w:val="clear" w:color="auto" w:fill="FFFFFF"/>
        </w:rPr>
        <w:t xml:space="preserve"> Secondo la giurisprudenza, la disposizione ha natura eccezionale, derogando – oltre che ai normali effetti </w:t>
      </w:r>
      <w:proofErr w:type="spellStart"/>
      <w:r w:rsidR="00B25E35">
        <w:rPr>
          <w:i w:val="0"/>
          <w:smallCaps w:val="0"/>
          <w:shd w:val="clear" w:color="auto" w:fill="FFFFFF"/>
        </w:rPr>
        <w:t>interdittivi</w:t>
      </w:r>
      <w:proofErr w:type="spellEnd"/>
      <w:r w:rsidR="00B25E35">
        <w:rPr>
          <w:i w:val="0"/>
          <w:smallCaps w:val="0"/>
          <w:shd w:val="clear" w:color="auto" w:fill="FFFFFF"/>
        </w:rPr>
        <w:t xml:space="preserve"> dell’informativa prefettizia – anche al principio generale della disciplina in materia di contratti pubblici secondo cui i requisiti di capacità dell’impresa devono permanere per tutta la durata dell’appalto, e trova giustificazione in due esigenze fondamentali: quella di consentire alla stazione appaltante, allorché già ci si trovi nella fase esecutiva del contratto, di non dover necessariamente recedere dallo stesso, con conseguenti disservizi e maggiori oneri derivanti dallo scorrimento della graduatoria in favore di offerte meno vantaggiose, ed anche quella di permettere all’operatore economico di agire in giudizio per ottenere in tale sede, ove ve siano i presupposti, la rimozione con effetto </w:t>
      </w:r>
      <w:r w:rsidR="00B25E35">
        <w:rPr>
          <w:smallCaps w:val="0"/>
          <w:shd w:val="clear" w:color="auto" w:fill="FFFFFF"/>
        </w:rPr>
        <w:t xml:space="preserve">ex </w:t>
      </w:r>
      <w:proofErr w:type="spellStart"/>
      <w:r w:rsidR="00B25E35">
        <w:rPr>
          <w:smallCaps w:val="0"/>
          <w:shd w:val="clear" w:color="auto" w:fill="FFFFFF"/>
        </w:rPr>
        <w:t>tunc</w:t>
      </w:r>
      <w:proofErr w:type="spellEnd"/>
      <w:r w:rsidR="00B25E35">
        <w:rPr>
          <w:smallCaps w:val="0"/>
          <w:shd w:val="clear" w:color="auto" w:fill="FFFFFF"/>
        </w:rPr>
        <w:t xml:space="preserve"> </w:t>
      </w:r>
      <w:r w:rsidR="00B25E35">
        <w:rPr>
          <w:i w:val="0"/>
          <w:smallCaps w:val="0"/>
          <w:shd w:val="clear" w:color="auto" w:fill="FFFFFF"/>
        </w:rPr>
        <w:t xml:space="preserve">del provvedimento </w:t>
      </w:r>
      <w:proofErr w:type="spellStart"/>
      <w:r w:rsidR="00B25E35">
        <w:rPr>
          <w:i w:val="0"/>
          <w:smallCaps w:val="0"/>
          <w:shd w:val="clear" w:color="auto" w:fill="FFFFFF"/>
        </w:rPr>
        <w:t>interdittivo</w:t>
      </w:r>
      <w:proofErr w:type="spellEnd"/>
      <w:r w:rsidR="00B25E35">
        <w:rPr>
          <w:i w:val="0"/>
          <w:smallCaps w:val="0"/>
          <w:shd w:val="clear" w:color="auto" w:fill="FFFFFF"/>
        </w:rPr>
        <w:t>, e, dunque, l’integrale ripristino della sua capacità di contrattare con la p.a.</w:t>
      </w:r>
      <w:r w:rsidR="00B25E35">
        <w:rPr>
          <w:rStyle w:val="Rimandonotaapidipagina"/>
          <w:i w:val="0"/>
          <w:smallCaps w:val="0"/>
          <w:shd w:val="clear" w:color="auto" w:fill="FFFFFF"/>
        </w:rPr>
        <w:footnoteReference w:id="153"/>
      </w:r>
      <w:r w:rsidR="00B25E35">
        <w:rPr>
          <w:i w:val="0"/>
          <w:smallCaps w:val="0"/>
          <w:shd w:val="clear" w:color="auto" w:fill="FFFFFF"/>
        </w:rPr>
        <w:t>.</w:t>
      </w:r>
    </w:p>
    <w:p w:rsidR="002B5EC1" w:rsidRDefault="00B25E35" w:rsidP="002B5EC1">
      <w:pPr>
        <w:ind w:firstLine="426"/>
        <w:jc w:val="both"/>
        <w:rPr>
          <w:i w:val="0"/>
          <w:smallCaps w:val="0"/>
          <w:shd w:val="clear" w:color="auto" w:fill="FFFFFF"/>
        </w:rPr>
      </w:pPr>
      <w:r>
        <w:rPr>
          <w:i w:val="0"/>
          <w:smallCaps w:val="0"/>
          <w:shd w:val="clear" w:color="auto" w:fill="FFFFFF"/>
        </w:rPr>
        <w:t>Al di là di ciò, è comunque pacifico che le valutazioni che l’amministrazione è chiamata a compiere in questi casi hanno a oggetto unicamente interessi pubblicistici, a fronte di un generale dovere di non proseguire l’esecuzione del contratto</w:t>
      </w:r>
      <w:r w:rsidR="002B5EC1">
        <w:rPr>
          <w:i w:val="0"/>
          <w:smallCaps w:val="0"/>
          <w:shd w:val="clear" w:color="auto" w:fill="FFFFFF"/>
        </w:rPr>
        <w:t xml:space="preserve"> con un’impresa raggiunta da pregiudizi antimafia, con la conseguenza che a essere congruamente motivata dovrà essere l’eventuale scelta di non recedere dal contratto, e non certo quella di scindersi dal vincolo negoziale</w:t>
      </w:r>
      <w:r w:rsidR="002B5EC1">
        <w:rPr>
          <w:rStyle w:val="Rimandonotaapidipagina"/>
          <w:i w:val="0"/>
          <w:smallCaps w:val="0"/>
          <w:shd w:val="clear" w:color="auto" w:fill="FFFFFF"/>
        </w:rPr>
        <w:footnoteReference w:id="154"/>
      </w:r>
      <w:r w:rsidR="002B5EC1">
        <w:rPr>
          <w:i w:val="0"/>
          <w:smallCaps w:val="0"/>
          <w:shd w:val="clear" w:color="auto" w:fill="FFFFFF"/>
        </w:rPr>
        <w:t xml:space="preserve">. </w:t>
      </w:r>
    </w:p>
    <w:p w:rsidR="00B25E35" w:rsidRDefault="002B5EC1" w:rsidP="002B5EC1">
      <w:pPr>
        <w:ind w:firstLine="426"/>
        <w:jc w:val="both"/>
        <w:rPr>
          <w:rFonts w:eastAsia="Times New Roman"/>
          <w:i w:val="0"/>
          <w:smallCaps w:val="0"/>
          <w:lang w:eastAsia="it-IT"/>
        </w:rPr>
      </w:pPr>
      <w:r>
        <w:rPr>
          <w:i w:val="0"/>
          <w:smallCaps w:val="0"/>
          <w:shd w:val="clear" w:color="auto" w:fill="FFFFFF"/>
        </w:rPr>
        <w:t xml:space="preserve">Peraltro, </w:t>
      </w:r>
      <w:r w:rsidR="00B25E35" w:rsidRPr="00B25E35">
        <w:rPr>
          <w:i w:val="0"/>
          <w:smallCaps w:val="0"/>
          <w:shd w:val="clear" w:color="auto" w:fill="FFFFFF"/>
        </w:rPr>
        <w:t>in dottrina</w:t>
      </w:r>
      <w:r>
        <w:rPr>
          <w:rStyle w:val="Rimandonotaapidipagina"/>
          <w:i w:val="0"/>
          <w:smallCaps w:val="0"/>
          <w:shd w:val="clear" w:color="auto" w:fill="FFFFFF"/>
        </w:rPr>
        <w:footnoteReference w:id="155"/>
      </w:r>
      <w:r w:rsidR="00B25E35" w:rsidRPr="00B25E35">
        <w:rPr>
          <w:i w:val="0"/>
          <w:smallCaps w:val="0"/>
          <w:shd w:val="clear" w:color="auto" w:fill="FFFFFF"/>
        </w:rPr>
        <w:t xml:space="preserve"> </w:t>
      </w:r>
      <w:r>
        <w:rPr>
          <w:i w:val="0"/>
          <w:smallCaps w:val="0"/>
          <w:shd w:val="clear" w:color="auto" w:fill="FFFFFF"/>
        </w:rPr>
        <w:t xml:space="preserve">si è evidenziato come </w:t>
      </w:r>
      <w:r w:rsidR="00B25E35" w:rsidRPr="00B25E35">
        <w:rPr>
          <w:i w:val="0"/>
          <w:smallCaps w:val="0"/>
          <w:shd w:val="clear" w:color="auto" w:fill="FFFFFF"/>
        </w:rPr>
        <w:t xml:space="preserve">la norma in esame </w:t>
      </w:r>
      <w:r>
        <w:rPr>
          <w:i w:val="0"/>
          <w:smallCaps w:val="0"/>
          <w:shd w:val="clear" w:color="auto" w:fill="FFFFFF"/>
        </w:rPr>
        <w:t xml:space="preserve">conservi rilevanti </w:t>
      </w:r>
      <w:r w:rsidR="00B25E35" w:rsidRPr="00B25E35">
        <w:rPr>
          <w:i w:val="0"/>
          <w:smallCaps w:val="0"/>
          <w:shd w:val="clear" w:color="auto" w:fill="FFFFFF"/>
        </w:rPr>
        <w:t>criticità</w:t>
      </w:r>
      <w:r>
        <w:rPr>
          <w:i w:val="0"/>
          <w:smallCaps w:val="0"/>
          <w:shd w:val="clear" w:color="auto" w:fill="FFFFFF"/>
        </w:rPr>
        <w:t>, tali da farne auspicare una re</w:t>
      </w:r>
      <w:r w:rsidR="00B25E35" w:rsidRPr="00B25E35">
        <w:rPr>
          <w:i w:val="0"/>
          <w:smallCaps w:val="0"/>
          <w:shd w:val="clear" w:color="auto" w:fill="FFFFFF"/>
        </w:rPr>
        <w:t>visione</w:t>
      </w:r>
      <w:r>
        <w:rPr>
          <w:i w:val="0"/>
          <w:smallCaps w:val="0"/>
          <w:shd w:val="clear" w:color="auto" w:fill="FFFFFF"/>
        </w:rPr>
        <w:t xml:space="preserve">, laddove </w:t>
      </w:r>
      <w:r w:rsidR="00B25E35" w:rsidRPr="00B25E35">
        <w:rPr>
          <w:i w:val="0"/>
          <w:smallCaps w:val="0"/>
          <w:shd w:val="clear" w:color="auto" w:fill="FFFFFF"/>
        </w:rPr>
        <w:t>il legislatore</w:t>
      </w:r>
      <w:r>
        <w:rPr>
          <w:i w:val="0"/>
          <w:smallCaps w:val="0"/>
          <w:shd w:val="clear" w:color="auto" w:fill="FFFFFF"/>
        </w:rPr>
        <w:t>, pur avendo c</w:t>
      </w:r>
      <w:r w:rsidR="00B25E35" w:rsidRPr="00B25E35">
        <w:rPr>
          <w:i w:val="0"/>
          <w:smallCaps w:val="0"/>
          <w:shd w:val="clear" w:color="auto" w:fill="FFFFFF"/>
        </w:rPr>
        <w:t xml:space="preserve">hiarito, rispetto alla normativa anteriore </w:t>
      </w:r>
      <w:r>
        <w:rPr>
          <w:i w:val="0"/>
          <w:smallCaps w:val="0"/>
          <w:shd w:val="clear" w:color="auto" w:fill="FFFFFF"/>
        </w:rPr>
        <w:t xml:space="preserve">– la quale </w:t>
      </w:r>
      <w:r w:rsidR="00B25E35" w:rsidRPr="00B25E35">
        <w:rPr>
          <w:i w:val="0"/>
          <w:smallCaps w:val="0"/>
          <w:shd w:val="clear" w:color="auto" w:fill="FFFFFF"/>
        </w:rPr>
        <w:t>lasciava alla stazione appaltante una facoltà discrezionale in ordine a se risolvere o no il contratto di appalto (</w:t>
      </w:r>
      <w:r>
        <w:rPr>
          <w:i w:val="0"/>
          <w:smallCaps w:val="0"/>
          <w:shd w:val="clear" w:color="auto" w:fill="FFFFFF"/>
        </w:rPr>
        <w:t>peraltro interpretata dal</w:t>
      </w:r>
      <w:r w:rsidR="00B25E35" w:rsidRPr="00B25E35">
        <w:rPr>
          <w:i w:val="0"/>
          <w:smallCaps w:val="0"/>
          <w:shd w:val="clear" w:color="auto" w:fill="FFFFFF"/>
        </w:rPr>
        <w:t>la giurisprudenza in modo alquanto rigoroso, e non</w:t>
      </w:r>
      <w:r>
        <w:rPr>
          <w:i w:val="0"/>
          <w:smallCaps w:val="0"/>
          <w:shd w:val="clear" w:color="auto" w:fill="FFFFFF"/>
        </w:rPr>
        <w:t xml:space="preserve"> certo</w:t>
      </w:r>
      <w:r w:rsidR="00B25E35" w:rsidRPr="00B25E35">
        <w:rPr>
          <w:i w:val="0"/>
          <w:smallCaps w:val="0"/>
          <w:shd w:val="clear" w:color="auto" w:fill="FFFFFF"/>
        </w:rPr>
        <w:t xml:space="preserve"> come discrezionalità piena e incondizionata)</w:t>
      </w:r>
      <w:r>
        <w:rPr>
          <w:i w:val="0"/>
          <w:smallCaps w:val="0"/>
          <w:shd w:val="clear" w:color="auto" w:fill="FFFFFF"/>
        </w:rPr>
        <w:t xml:space="preserve"> -</w:t>
      </w:r>
      <w:r w:rsidR="00B25E35" w:rsidRPr="00B25E35">
        <w:rPr>
          <w:i w:val="0"/>
          <w:smallCaps w:val="0"/>
          <w:shd w:val="clear" w:color="auto" w:fill="FFFFFF"/>
        </w:rPr>
        <w:t xml:space="preserve">, che l’obbligo di recesso costituisce la regola e il mantenimento in essere del contratto l’eccezione, </w:t>
      </w:r>
      <w:r>
        <w:rPr>
          <w:i w:val="0"/>
          <w:smallCaps w:val="0"/>
          <w:shd w:val="clear" w:color="auto" w:fill="FFFFFF"/>
        </w:rPr>
        <w:t xml:space="preserve">tuttavia stabilisce che, </w:t>
      </w:r>
      <w:r w:rsidR="00B25E35" w:rsidRPr="00B25E35">
        <w:rPr>
          <w:rFonts w:eastAsia="Times New Roman"/>
          <w:i w:val="0"/>
          <w:smallCaps w:val="0"/>
          <w:lang w:eastAsia="it-IT"/>
        </w:rPr>
        <w:t>al ricorrere d</w:t>
      </w:r>
      <w:r>
        <w:rPr>
          <w:rFonts w:eastAsia="Times New Roman"/>
          <w:i w:val="0"/>
          <w:smallCaps w:val="0"/>
          <w:lang w:eastAsia="it-IT"/>
        </w:rPr>
        <w:t xml:space="preserve">elle </w:t>
      </w:r>
      <w:r w:rsidR="00B25E35" w:rsidRPr="00B25E35">
        <w:rPr>
          <w:rFonts w:eastAsia="Times New Roman"/>
          <w:i w:val="0"/>
          <w:smallCaps w:val="0"/>
          <w:lang w:eastAsia="it-IT"/>
        </w:rPr>
        <w:t>condizioni</w:t>
      </w:r>
      <w:r>
        <w:rPr>
          <w:rFonts w:eastAsia="Times New Roman"/>
          <w:i w:val="0"/>
          <w:smallCaps w:val="0"/>
          <w:lang w:eastAsia="it-IT"/>
        </w:rPr>
        <w:t xml:space="preserve"> indicate</w:t>
      </w:r>
      <w:r w:rsidR="00B25E35" w:rsidRPr="00B25E35">
        <w:rPr>
          <w:rFonts w:eastAsia="Times New Roman"/>
          <w:i w:val="0"/>
          <w:smallCaps w:val="0"/>
          <w:lang w:eastAsia="it-IT"/>
        </w:rPr>
        <w:t>, l’Amministrazione a</w:t>
      </w:r>
      <w:r>
        <w:rPr>
          <w:rFonts w:eastAsia="Times New Roman"/>
          <w:i w:val="0"/>
          <w:smallCaps w:val="0"/>
          <w:lang w:eastAsia="it-IT"/>
        </w:rPr>
        <w:t>vrebbe</w:t>
      </w:r>
      <w:r w:rsidR="00B25E35" w:rsidRPr="00B25E35">
        <w:rPr>
          <w:rFonts w:eastAsia="Times New Roman"/>
          <w:i w:val="0"/>
          <w:smallCaps w:val="0"/>
          <w:lang w:eastAsia="it-IT"/>
        </w:rPr>
        <w:t xml:space="preserve"> (non già la mera facoltà, bensì) </w:t>
      </w:r>
      <w:r w:rsidR="00B25E35" w:rsidRPr="00B25E35">
        <w:rPr>
          <w:rFonts w:eastAsia="Times New Roman"/>
          <w:i w:val="0"/>
          <w:iCs/>
          <w:smallCaps w:val="0"/>
          <w:lang w:eastAsia="it-IT"/>
        </w:rPr>
        <w:t>un vero e proprio obbligo</w:t>
      </w:r>
      <w:r w:rsidR="00B25E35" w:rsidRPr="00B25E35">
        <w:rPr>
          <w:rFonts w:eastAsia="Times New Roman"/>
          <w:iCs/>
          <w:smallCaps w:val="0"/>
          <w:lang w:eastAsia="it-IT"/>
        </w:rPr>
        <w:t xml:space="preserve"> </w:t>
      </w:r>
      <w:r w:rsidR="00B25E35" w:rsidRPr="00B25E35">
        <w:rPr>
          <w:rFonts w:eastAsia="Times New Roman"/>
          <w:i w:val="0"/>
          <w:smallCaps w:val="0"/>
          <w:lang w:eastAsia="it-IT"/>
        </w:rPr>
        <w:t>di proseguire il rapporto contrattuale con l’impresa interessata da tentativi di infiltrazione malavitosa, come evincibile dall’uso dell’indicativo (“</w:t>
      </w:r>
      <w:r w:rsidR="00B25E35" w:rsidRPr="00B25E35">
        <w:rPr>
          <w:rFonts w:eastAsia="Times New Roman"/>
          <w:smallCaps w:val="0"/>
          <w:lang w:eastAsia="it-IT"/>
        </w:rPr>
        <w:t>non procedono</w:t>
      </w:r>
      <w:r w:rsidR="00B25E35" w:rsidRPr="00B25E35">
        <w:rPr>
          <w:rFonts w:eastAsia="Times New Roman"/>
          <w:i w:val="0"/>
          <w:smallCaps w:val="0"/>
          <w:lang w:eastAsia="it-IT"/>
        </w:rPr>
        <w:t>”) da parte del legislatore.</w:t>
      </w:r>
      <w:r>
        <w:rPr>
          <w:rFonts w:eastAsia="Times New Roman"/>
          <w:i w:val="0"/>
          <w:smallCaps w:val="0"/>
          <w:lang w:eastAsia="it-IT"/>
        </w:rPr>
        <w:t xml:space="preserve"> Se è vero </w:t>
      </w:r>
      <w:r w:rsidR="00B25E35" w:rsidRPr="00B25E35">
        <w:rPr>
          <w:rFonts w:eastAsia="Times New Roman"/>
          <w:i w:val="0"/>
          <w:smallCaps w:val="0"/>
          <w:lang w:eastAsia="it-IT"/>
        </w:rPr>
        <w:t xml:space="preserve">che </w:t>
      </w:r>
      <w:r>
        <w:rPr>
          <w:rFonts w:eastAsia="Times New Roman"/>
          <w:i w:val="0"/>
          <w:smallCaps w:val="0"/>
          <w:lang w:eastAsia="it-IT"/>
        </w:rPr>
        <w:t xml:space="preserve">- </w:t>
      </w:r>
      <w:r w:rsidR="00B25E35" w:rsidRPr="00B25E35">
        <w:rPr>
          <w:rFonts w:eastAsia="Times New Roman"/>
          <w:i w:val="0"/>
          <w:smallCaps w:val="0"/>
          <w:lang w:eastAsia="it-IT"/>
        </w:rPr>
        <w:t xml:space="preserve">al di là della </w:t>
      </w:r>
      <w:proofErr w:type="spellStart"/>
      <w:r w:rsidR="00B25E35" w:rsidRPr="00B25E35">
        <w:rPr>
          <w:rFonts w:eastAsia="Times New Roman"/>
          <w:smallCaps w:val="0"/>
          <w:lang w:eastAsia="it-IT"/>
        </w:rPr>
        <w:t>l</w:t>
      </w:r>
      <w:r w:rsidR="00B25E35" w:rsidRPr="00B25E35">
        <w:rPr>
          <w:rFonts w:eastAsia="Times New Roman"/>
          <w:iCs/>
          <w:smallCaps w:val="0"/>
          <w:lang w:eastAsia="it-IT"/>
        </w:rPr>
        <w:t>it</w:t>
      </w:r>
      <w:r w:rsidR="00D44623">
        <w:rPr>
          <w:rFonts w:eastAsia="Times New Roman"/>
          <w:iCs/>
          <w:smallCaps w:val="0"/>
          <w:lang w:eastAsia="it-IT"/>
        </w:rPr>
        <w:t>t</w:t>
      </w:r>
      <w:r w:rsidR="00B25E35" w:rsidRPr="00B25E35">
        <w:rPr>
          <w:rFonts w:eastAsia="Times New Roman"/>
          <w:iCs/>
          <w:smallCaps w:val="0"/>
          <w:lang w:eastAsia="it-IT"/>
        </w:rPr>
        <w:t>era</w:t>
      </w:r>
      <w:proofErr w:type="spellEnd"/>
      <w:r w:rsidR="00B25E35" w:rsidRPr="00B25E35">
        <w:rPr>
          <w:rFonts w:eastAsia="Times New Roman"/>
          <w:iCs/>
          <w:smallCaps w:val="0"/>
          <w:lang w:eastAsia="it-IT"/>
        </w:rPr>
        <w:t xml:space="preserve"> </w:t>
      </w:r>
      <w:proofErr w:type="spellStart"/>
      <w:r w:rsidR="00B25E35" w:rsidRPr="00B25E35">
        <w:rPr>
          <w:rFonts w:eastAsia="Times New Roman"/>
          <w:iCs/>
          <w:smallCaps w:val="0"/>
          <w:lang w:eastAsia="it-IT"/>
        </w:rPr>
        <w:t>legis</w:t>
      </w:r>
      <w:proofErr w:type="spellEnd"/>
      <w:r>
        <w:rPr>
          <w:rFonts w:eastAsia="Times New Roman"/>
          <w:iCs/>
          <w:smallCaps w:val="0"/>
          <w:lang w:eastAsia="it-IT"/>
        </w:rPr>
        <w:t xml:space="preserve"> </w:t>
      </w:r>
      <w:r>
        <w:rPr>
          <w:rFonts w:eastAsia="Times New Roman"/>
          <w:i w:val="0"/>
          <w:iCs/>
          <w:smallCaps w:val="0"/>
          <w:lang w:eastAsia="it-IT"/>
        </w:rPr>
        <w:t>-</w:t>
      </w:r>
      <w:r w:rsidR="00B25E35" w:rsidRPr="00B25E35">
        <w:rPr>
          <w:rFonts w:eastAsia="Times New Roman"/>
          <w:i w:val="0"/>
          <w:smallCaps w:val="0"/>
          <w:lang w:eastAsia="it-IT"/>
        </w:rPr>
        <w:t xml:space="preserve"> il carattere apparentemente stringente di tale obbligo viene </w:t>
      </w:r>
      <w:r w:rsidR="00B25E35" w:rsidRPr="00B25E35">
        <w:rPr>
          <w:rFonts w:eastAsia="Times New Roman"/>
          <w:i w:val="0"/>
          <w:smallCaps w:val="0"/>
          <w:lang w:eastAsia="it-IT"/>
        </w:rPr>
        <w:lastRenderedPageBreak/>
        <w:t>temperato dalla previa valutazione (necessariamente caratterizzata da apprezzabili margini di discrezionalità) in ordine alla sussistenza di un prevalente interesse pubblico alla prosecuzione dell’erogazione, che il legislatore ha connesso al carattere di “</w:t>
      </w:r>
      <w:r w:rsidR="00B25E35" w:rsidRPr="00B25E35">
        <w:rPr>
          <w:rFonts w:eastAsia="Times New Roman"/>
          <w:i w:val="0"/>
          <w:iCs/>
          <w:smallCaps w:val="0"/>
          <w:lang w:eastAsia="it-IT"/>
        </w:rPr>
        <w:t>essenzialità”</w:t>
      </w:r>
      <w:r w:rsidR="00B25E35" w:rsidRPr="00B25E35">
        <w:rPr>
          <w:rFonts w:eastAsia="Times New Roman"/>
          <w:iCs/>
          <w:smallCaps w:val="0"/>
          <w:lang w:eastAsia="it-IT"/>
        </w:rPr>
        <w:t xml:space="preserve"> </w:t>
      </w:r>
      <w:r w:rsidR="00B25E35" w:rsidRPr="00B25E35">
        <w:rPr>
          <w:rFonts w:eastAsia="Times New Roman"/>
          <w:i w:val="0"/>
          <w:smallCaps w:val="0"/>
          <w:lang w:eastAsia="it-IT"/>
        </w:rPr>
        <w:t>della prestazione o dell’erogazione</w:t>
      </w:r>
      <w:r w:rsidR="00D44623">
        <w:rPr>
          <w:rFonts w:eastAsia="Times New Roman"/>
          <w:i w:val="0"/>
          <w:smallCaps w:val="0"/>
          <w:lang w:eastAsia="it-IT"/>
        </w:rPr>
        <w:t xml:space="preserve">, </w:t>
      </w:r>
      <w:r w:rsidR="00B25E35" w:rsidRPr="00B25E35">
        <w:rPr>
          <w:rFonts w:eastAsia="Times New Roman"/>
          <w:i w:val="0"/>
          <w:smallCaps w:val="0"/>
          <w:lang w:eastAsia="it-IT"/>
        </w:rPr>
        <w:t>non può</w:t>
      </w:r>
      <w:r w:rsidR="00D44623">
        <w:rPr>
          <w:rFonts w:eastAsia="Times New Roman"/>
          <w:i w:val="0"/>
          <w:smallCaps w:val="0"/>
          <w:lang w:eastAsia="it-IT"/>
        </w:rPr>
        <w:t xml:space="preserve"> però</w:t>
      </w:r>
      <w:r w:rsidR="00B25E35" w:rsidRPr="00B25E35">
        <w:rPr>
          <w:rFonts w:eastAsia="Times New Roman"/>
          <w:i w:val="0"/>
          <w:smallCaps w:val="0"/>
          <w:lang w:eastAsia="it-IT"/>
        </w:rPr>
        <w:t xml:space="preserve"> negarsi il carattere oggettivamente peculiare di una disposizione la quale, pure al ricorrere di talune stringenti ipotesi, sembra impedire in radice all’</w:t>
      </w:r>
      <w:r w:rsidR="00D44623">
        <w:rPr>
          <w:rFonts w:eastAsia="Times New Roman"/>
          <w:i w:val="0"/>
          <w:smallCaps w:val="0"/>
          <w:lang w:eastAsia="it-IT"/>
        </w:rPr>
        <w:t>a</w:t>
      </w:r>
      <w:r w:rsidR="00B25E35" w:rsidRPr="00B25E35">
        <w:rPr>
          <w:rFonts w:eastAsia="Times New Roman"/>
          <w:i w:val="0"/>
          <w:smallCaps w:val="0"/>
          <w:lang w:eastAsia="it-IT"/>
        </w:rPr>
        <w:t>mministrazione di apprezzare le concomitanti esigenze di interesse pubblico che potrebbero militare - al contrario - nel senso dell’esercizio del potere di recesso.</w:t>
      </w:r>
    </w:p>
    <w:p w:rsidR="00D44623" w:rsidRPr="00D44623" w:rsidRDefault="00D44623" w:rsidP="002B5EC1">
      <w:pPr>
        <w:ind w:firstLine="426"/>
        <w:jc w:val="both"/>
        <w:rPr>
          <w:rFonts w:eastAsia="Times New Roman"/>
          <w:i w:val="0"/>
          <w:smallCaps w:val="0"/>
          <w:lang w:eastAsia="it-IT"/>
        </w:rPr>
      </w:pPr>
      <w:r>
        <w:rPr>
          <w:rFonts w:eastAsia="Times New Roman"/>
          <w:i w:val="0"/>
          <w:smallCaps w:val="0"/>
          <w:lang w:eastAsia="it-IT"/>
        </w:rPr>
        <w:t>Un temperamento effettivamente previsto a favore dell’impresa, invece, è quello costituito dall’ultima parte del citato comma 3 dell’articolo 92, laddove prevede che in caso di recesso dai contratti pubblici per effetto dell’</w:t>
      </w:r>
      <w:proofErr w:type="spellStart"/>
      <w:r>
        <w:rPr>
          <w:rFonts w:eastAsia="Times New Roman"/>
          <w:i w:val="0"/>
          <w:smallCaps w:val="0"/>
          <w:lang w:eastAsia="it-IT"/>
        </w:rPr>
        <w:t>interdittiva</w:t>
      </w:r>
      <w:proofErr w:type="spellEnd"/>
      <w:r>
        <w:rPr>
          <w:rFonts w:eastAsia="Times New Roman"/>
          <w:i w:val="0"/>
          <w:smallCaps w:val="0"/>
          <w:lang w:eastAsia="it-IT"/>
        </w:rPr>
        <w:t xml:space="preserve"> sia “</w:t>
      </w:r>
      <w:r w:rsidRPr="00D44623">
        <w:rPr>
          <w:smallCaps w:val="0"/>
          <w:shd w:val="clear" w:color="auto" w:fill="FFFFFF"/>
        </w:rPr>
        <w:t>fatto salvo il pagamento del valore delle opere già eseguite e il rimbo</w:t>
      </w:r>
      <w:r>
        <w:rPr>
          <w:smallCaps w:val="0"/>
          <w:shd w:val="clear" w:color="auto" w:fill="FFFFFF"/>
        </w:rPr>
        <w:t>rso delle spese sostenute per l’</w:t>
      </w:r>
      <w:r w:rsidRPr="00D44623">
        <w:rPr>
          <w:smallCaps w:val="0"/>
          <w:shd w:val="clear" w:color="auto" w:fill="FFFFFF"/>
        </w:rPr>
        <w:t>esecuzione del rimanente, nei limiti delle utilità conseguite</w:t>
      </w:r>
      <w:r>
        <w:rPr>
          <w:i w:val="0"/>
          <w:smallCaps w:val="0"/>
          <w:shd w:val="clear" w:color="auto" w:fill="FFFFFF"/>
        </w:rPr>
        <w:t>”. L’Adunanza plenaria del Consiglio di Stato</w:t>
      </w:r>
      <w:r>
        <w:rPr>
          <w:rStyle w:val="Rimandonotaapidipagina"/>
          <w:i w:val="0"/>
          <w:smallCaps w:val="0"/>
          <w:shd w:val="clear" w:color="auto" w:fill="FFFFFF"/>
        </w:rPr>
        <w:footnoteReference w:id="156"/>
      </w:r>
      <w:r>
        <w:rPr>
          <w:i w:val="0"/>
          <w:smallCaps w:val="0"/>
          <w:shd w:val="clear" w:color="auto" w:fill="FFFFFF"/>
        </w:rPr>
        <w:t xml:space="preserve"> ha stabilito che questa disposizione è applicabile unicamente con riferimento ai contratti di appalto di lavori, servizi e forniture, e non anche a tutte le altre ipotesi di revoca di contributi, finanziamenti e altri benefici economici</w:t>
      </w:r>
      <w:r>
        <w:rPr>
          <w:rStyle w:val="Rimandonotaapidipagina"/>
          <w:i w:val="0"/>
          <w:smallCaps w:val="0"/>
          <w:shd w:val="clear" w:color="auto" w:fill="FFFFFF"/>
        </w:rPr>
        <w:footnoteReference w:id="157"/>
      </w:r>
      <w:r>
        <w:rPr>
          <w:i w:val="0"/>
          <w:smallCaps w:val="0"/>
          <w:shd w:val="clear" w:color="auto" w:fill="FFFFFF"/>
        </w:rPr>
        <w:t>.</w:t>
      </w:r>
    </w:p>
    <w:p w:rsidR="00B25E35" w:rsidRDefault="00D44623" w:rsidP="00400167">
      <w:pPr>
        <w:ind w:firstLine="426"/>
        <w:jc w:val="both"/>
        <w:rPr>
          <w:i w:val="0"/>
          <w:smallCaps w:val="0"/>
          <w:shd w:val="clear" w:color="auto" w:fill="FFFFFF"/>
        </w:rPr>
      </w:pPr>
      <w:r>
        <w:rPr>
          <w:i w:val="0"/>
          <w:smallCaps w:val="0"/>
          <w:shd w:val="clear" w:color="auto" w:fill="FFFFFF"/>
        </w:rPr>
        <w:t>Si è già detto, poi, di come per effetto dell’omologazione tra i due istituti della comunicazione antimafia e dell’informativa antimafia, operata per effetto dell’introduzione nel Codice dell’articolo 89-</w:t>
      </w:r>
      <w:r>
        <w:rPr>
          <w:smallCaps w:val="0"/>
          <w:shd w:val="clear" w:color="auto" w:fill="FFFFFF"/>
        </w:rPr>
        <w:t xml:space="preserve">bis, </w:t>
      </w:r>
      <w:r>
        <w:rPr>
          <w:i w:val="0"/>
          <w:smallCaps w:val="0"/>
          <w:shd w:val="clear" w:color="auto" w:fill="FFFFFF"/>
        </w:rPr>
        <w:t>anche l’informativa produca l’effetto di decadenza dell’impresa interessata da autorizzazioni, licenze e altri provvedimenti abilitativi</w:t>
      </w:r>
      <w:r>
        <w:rPr>
          <w:rStyle w:val="Rimandonotaapidipagina"/>
          <w:i w:val="0"/>
          <w:smallCaps w:val="0"/>
          <w:shd w:val="clear" w:color="auto" w:fill="FFFFFF"/>
        </w:rPr>
        <w:footnoteReference w:id="158"/>
      </w:r>
      <w:r w:rsidR="009A4134">
        <w:rPr>
          <w:i w:val="0"/>
          <w:smallCaps w:val="0"/>
          <w:shd w:val="clear" w:color="auto" w:fill="FFFFFF"/>
        </w:rPr>
        <w:t xml:space="preserve">. Deve anche ribadirsi come sia pacifica l’estensione degli effetti </w:t>
      </w:r>
      <w:proofErr w:type="spellStart"/>
      <w:r w:rsidR="009A4134">
        <w:rPr>
          <w:i w:val="0"/>
          <w:smallCaps w:val="0"/>
          <w:shd w:val="clear" w:color="auto" w:fill="FFFFFF"/>
        </w:rPr>
        <w:t>interdittivi</w:t>
      </w:r>
      <w:proofErr w:type="spellEnd"/>
      <w:r w:rsidR="009A4134">
        <w:rPr>
          <w:i w:val="0"/>
          <w:smallCaps w:val="0"/>
          <w:shd w:val="clear" w:color="auto" w:fill="FFFFFF"/>
        </w:rPr>
        <w:t xml:space="preserve"> alle attività soggette a segnalazione di inizio attività (SCIA), nonostante il carattere formalmente privatistico delle stesse</w:t>
      </w:r>
      <w:r w:rsidR="009A4134">
        <w:rPr>
          <w:rStyle w:val="Rimandonotaapidipagina"/>
          <w:i w:val="0"/>
          <w:smallCaps w:val="0"/>
          <w:shd w:val="clear" w:color="auto" w:fill="FFFFFF"/>
        </w:rPr>
        <w:footnoteReference w:id="159"/>
      </w:r>
      <w:r w:rsidR="009A4134">
        <w:rPr>
          <w:i w:val="0"/>
          <w:smallCaps w:val="0"/>
          <w:shd w:val="clear" w:color="auto" w:fill="FFFFFF"/>
        </w:rPr>
        <w:t xml:space="preserve">, in ragione del permanere di un dovere di controllo </w:t>
      </w:r>
      <w:r w:rsidR="009A4134">
        <w:rPr>
          <w:smallCaps w:val="0"/>
          <w:shd w:val="clear" w:color="auto" w:fill="FFFFFF"/>
        </w:rPr>
        <w:t xml:space="preserve">ex post </w:t>
      </w:r>
      <w:r w:rsidR="009A4134">
        <w:rPr>
          <w:i w:val="0"/>
          <w:smallCaps w:val="0"/>
          <w:shd w:val="clear" w:color="auto" w:fill="FFFFFF"/>
        </w:rPr>
        <w:t>dell’amministrazione che esprime un indubbio interesse produttivo connesso alla rilevanza economica di tali attività</w:t>
      </w:r>
      <w:r w:rsidR="009A4134">
        <w:rPr>
          <w:rStyle w:val="Rimandonotaapidipagina"/>
          <w:i w:val="0"/>
          <w:smallCaps w:val="0"/>
          <w:shd w:val="clear" w:color="auto" w:fill="FFFFFF"/>
        </w:rPr>
        <w:footnoteReference w:id="160"/>
      </w:r>
      <w:r w:rsidR="009A4134">
        <w:rPr>
          <w:i w:val="0"/>
          <w:smallCaps w:val="0"/>
          <w:shd w:val="clear" w:color="auto" w:fill="FFFFFF"/>
        </w:rPr>
        <w:t>.</w:t>
      </w:r>
    </w:p>
    <w:p w:rsidR="00865255" w:rsidRDefault="00865255" w:rsidP="00400167">
      <w:pPr>
        <w:ind w:firstLine="426"/>
        <w:jc w:val="both"/>
        <w:rPr>
          <w:i w:val="0"/>
          <w:smallCaps w:val="0"/>
          <w:shd w:val="clear" w:color="auto" w:fill="FFFFFF"/>
        </w:rPr>
      </w:pPr>
    </w:p>
    <w:p w:rsidR="00865255" w:rsidRDefault="00865255" w:rsidP="00400167">
      <w:pPr>
        <w:ind w:firstLine="426"/>
        <w:jc w:val="both"/>
        <w:rPr>
          <w:i w:val="0"/>
          <w:smallCaps w:val="0"/>
          <w:shd w:val="clear" w:color="auto" w:fill="FFFFFF"/>
        </w:rPr>
      </w:pPr>
    </w:p>
    <w:p w:rsidR="00865255" w:rsidRDefault="00865255" w:rsidP="00400167">
      <w:pPr>
        <w:ind w:firstLine="426"/>
        <w:jc w:val="both"/>
        <w:rPr>
          <w:b/>
          <w:i w:val="0"/>
          <w:smallCaps w:val="0"/>
        </w:rPr>
      </w:pPr>
      <w:r w:rsidRPr="00865255">
        <w:rPr>
          <w:b/>
          <w:i w:val="0"/>
          <w:smallCaps w:val="0"/>
        </w:rPr>
        <w:t>11. Validità e aggiornamento delle informative antimafia.</w:t>
      </w:r>
    </w:p>
    <w:p w:rsidR="004C7ECC" w:rsidRDefault="004C7ECC" w:rsidP="00400167">
      <w:pPr>
        <w:ind w:firstLine="426"/>
        <w:jc w:val="both"/>
        <w:rPr>
          <w:b/>
          <w:i w:val="0"/>
          <w:smallCaps w:val="0"/>
        </w:rPr>
      </w:pPr>
    </w:p>
    <w:p w:rsidR="004C7ECC" w:rsidRDefault="004C7ECC" w:rsidP="00400167">
      <w:pPr>
        <w:ind w:firstLine="426"/>
        <w:jc w:val="both"/>
        <w:rPr>
          <w:i w:val="0"/>
          <w:smallCaps w:val="0"/>
        </w:rPr>
      </w:pPr>
      <w:r>
        <w:rPr>
          <w:i w:val="0"/>
          <w:smallCaps w:val="0"/>
        </w:rPr>
        <w:t xml:space="preserve">Con riguardo ai termini temporali di validità della documentazione antimafia soccorre l’articolo 86 del d.lgs. n. 159/2011, il quale li fissa in sei mesi per la comunicazione antimafia (comma 1) e dodici mesi per l’informativa </w:t>
      </w:r>
      <w:proofErr w:type="spellStart"/>
      <w:r>
        <w:rPr>
          <w:i w:val="0"/>
          <w:smallCaps w:val="0"/>
        </w:rPr>
        <w:t>interdittiva</w:t>
      </w:r>
      <w:proofErr w:type="spellEnd"/>
      <w:r>
        <w:rPr>
          <w:i w:val="0"/>
          <w:smallCaps w:val="0"/>
        </w:rPr>
        <w:t xml:space="preserve"> (comma 2). Nonostante qualche incertezza indotta dal non perspicuo tenore testuale delle suddette previsioni, la giurisprudenza preval</w:t>
      </w:r>
      <w:r w:rsidR="005D45A4">
        <w:rPr>
          <w:i w:val="0"/>
          <w:smallCaps w:val="0"/>
        </w:rPr>
        <w:t xml:space="preserve">ente tende però a escludere, in particolare con riferimento alle informative </w:t>
      </w:r>
      <w:proofErr w:type="spellStart"/>
      <w:r w:rsidR="005D45A4">
        <w:rPr>
          <w:i w:val="0"/>
          <w:smallCaps w:val="0"/>
        </w:rPr>
        <w:t>interdittive</w:t>
      </w:r>
      <w:proofErr w:type="spellEnd"/>
      <w:r w:rsidR="005D45A4">
        <w:rPr>
          <w:i w:val="0"/>
          <w:smallCaps w:val="0"/>
        </w:rPr>
        <w:t>, che il semplice decorso dell’anno determini la perdita di efficacia di un provvedimento che ha rilevato il pericolo di condizionamento mafioso nell’attività dell’impresa: al contrario, in piena coerenza con gli indirizzi che reputano possibile l’adozione dell’</w:t>
      </w:r>
      <w:proofErr w:type="spellStart"/>
      <w:r w:rsidR="005D45A4">
        <w:rPr>
          <w:i w:val="0"/>
          <w:smallCaps w:val="0"/>
        </w:rPr>
        <w:t>interdittiva</w:t>
      </w:r>
      <w:proofErr w:type="spellEnd"/>
      <w:r w:rsidR="005D45A4">
        <w:rPr>
          <w:i w:val="0"/>
          <w:smallCaps w:val="0"/>
        </w:rPr>
        <w:t xml:space="preserve"> anche sulla base di elementi fattuali risalenti e che assumono il carattere neutro del semplice decorso del tempo rispetto al giudizio di attualità del pericolo di infiltrazione, si sostiene che il decorso del termine non faccia </w:t>
      </w:r>
      <w:r w:rsidR="005D45A4">
        <w:rPr>
          <w:smallCaps w:val="0"/>
        </w:rPr>
        <w:t>ex se</w:t>
      </w:r>
      <w:r w:rsidR="005D45A4">
        <w:rPr>
          <w:i w:val="0"/>
          <w:smallCaps w:val="0"/>
        </w:rPr>
        <w:t xml:space="preserve"> venire meno gli elementi indiziari sulla cui base è stata formulata la prognosi infiltrativa, producendo il solo effetto </w:t>
      </w:r>
      <w:r w:rsidR="005D45A4">
        <w:rPr>
          <w:i w:val="0"/>
          <w:smallCaps w:val="0"/>
        </w:rPr>
        <w:lastRenderedPageBreak/>
        <w:t>strumentale di onerare l’amministrazione dell’aggiornamento delle proprie verifiche (ovvero di legittimare l’impresa interdetta a chiederne il riesame)</w:t>
      </w:r>
      <w:r w:rsidR="005D45A4">
        <w:rPr>
          <w:rStyle w:val="Rimandonotaapidipagina"/>
          <w:i w:val="0"/>
          <w:smallCaps w:val="0"/>
        </w:rPr>
        <w:footnoteReference w:id="161"/>
      </w:r>
      <w:r w:rsidR="005D45A4">
        <w:rPr>
          <w:i w:val="0"/>
          <w:smallCaps w:val="0"/>
        </w:rPr>
        <w:t>.</w:t>
      </w:r>
    </w:p>
    <w:p w:rsidR="005D45A4" w:rsidRDefault="005D45A4" w:rsidP="00400167">
      <w:pPr>
        <w:ind w:firstLine="426"/>
        <w:jc w:val="both"/>
        <w:rPr>
          <w:i w:val="0"/>
          <w:smallCaps w:val="0"/>
        </w:rPr>
      </w:pPr>
      <w:r>
        <w:rPr>
          <w:i w:val="0"/>
          <w:smallCaps w:val="0"/>
        </w:rPr>
        <w:t xml:space="preserve">Questa conclusione, ricavata da plurimi indici testuali oltre che dalla stessa finalità preventiva </w:t>
      </w:r>
      <w:r w:rsidR="00F6191A">
        <w:rPr>
          <w:i w:val="0"/>
          <w:smallCaps w:val="0"/>
        </w:rPr>
        <w:t xml:space="preserve">delle misure prefettizie </w:t>
      </w:r>
      <w:r>
        <w:rPr>
          <w:i w:val="0"/>
          <w:smallCaps w:val="0"/>
        </w:rPr>
        <w:t>antimafia</w:t>
      </w:r>
      <w:r w:rsidR="00F6191A">
        <w:rPr>
          <w:rStyle w:val="Rimandonotaapidipagina"/>
          <w:i w:val="0"/>
          <w:smallCaps w:val="0"/>
        </w:rPr>
        <w:footnoteReference w:id="162"/>
      </w:r>
      <w:r w:rsidR="00F6191A">
        <w:rPr>
          <w:i w:val="0"/>
          <w:smallCaps w:val="0"/>
        </w:rPr>
        <w:t>, pur non andando esente da critiche</w:t>
      </w:r>
      <w:r w:rsidR="00F6191A">
        <w:rPr>
          <w:rStyle w:val="Rimandonotaapidipagina"/>
          <w:i w:val="0"/>
          <w:smallCaps w:val="0"/>
        </w:rPr>
        <w:footnoteReference w:id="163"/>
      </w:r>
      <w:r w:rsidR="00F6191A">
        <w:rPr>
          <w:i w:val="0"/>
          <w:smallCaps w:val="0"/>
        </w:rPr>
        <w:t>, ha trovato l’autorevole avallo della Corte costituzionale, la quale – come detto</w:t>
      </w:r>
      <w:r w:rsidR="00F6191A">
        <w:rPr>
          <w:rStyle w:val="Rimandonotaapidipagina"/>
          <w:i w:val="0"/>
          <w:smallCaps w:val="0"/>
        </w:rPr>
        <w:footnoteReference w:id="164"/>
      </w:r>
      <w:r w:rsidR="00F6191A">
        <w:rPr>
          <w:i w:val="0"/>
          <w:smallCaps w:val="0"/>
        </w:rPr>
        <w:t xml:space="preserve"> - ha individuato proprio nella “provvisorietà” dell’informativa </w:t>
      </w:r>
      <w:proofErr w:type="spellStart"/>
      <w:r w:rsidR="00F6191A">
        <w:rPr>
          <w:i w:val="0"/>
          <w:smallCaps w:val="0"/>
        </w:rPr>
        <w:t>interdittiva</w:t>
      </w:r>
      <w:proofErr w:type="spellEnd"/>
      <w:r w:rsidR="00F6191A">
        <w:rPr>
          <w:i w:val="0"/>
          <w:smallCaps w:val="0"/>
        </w:rPr>
        <w:t xml:space="preserve"> il punto di equilibrio tra gli opposti interessi e valori costituzionali implicati, ponendo l’accento sull’onere di accertamento a carico dell’amministrazione che scatta allo spirare del termine annuale di cui all’articolo 86. Pertanto, se si vuole parlare di una inefficacia in conseguenza della scadenza del termine </w:t>
      </w:r>
      <w:r w:rsidR="00F6191A">
        <w:rPr>
          <w:smallCaps w:val="0"/>
        </w:rPr>
        <w:t xml:space="preserve">de quo, </w:t>
      </w:r>
      <w:r w:rsidR="00F6191A">
        <w:rPr>
          <w:i w:val="0"/>
          <w:smallCaps w:val="0"/>
        </w:rPr>
        <w:t>resta confermato che questa può riguardare le sole informative a contenuto liberatorio (ossia, che accertano l’insussistenza di pregiudizi e tentativi di infiltrazione mafiosa), su cui i soggetti di cui all’articolo 83, comm</w:t>
      </w:r>
      <w:r w:rsidR="004C4CF7">
        <w:rPr>
          <w:i w:val="0"/>
          <w:smallCaps w:val="0"/>
        </w:rPr>
        <w:t>i</w:t>
      </w:r>
      <w:r w:rsidR="00F6191A">
        <w:rPr>
          <w:i w:val="0"/>
          <w:smallCaps w:val="0"/>
        </w:rPr>
        <w:t xml:space="preserve"> 1</w:t>
      </w:r>
      <w:r w:rsidR="004C4CF7">
        <w:rPr>
          <w:i w:val="0"/>
          <w:smallCaps w:val="0"/>
        </w:rPr>
        <w:t xml:space="preserve"> e 2</w:t>
      </w:r>
      <w:r w:rsidR="00F6191A">
        <w:rPr>
          <w:i w:val="0"/>
          <w:smallCaps w:val="0"/>
        </w:rPr>
        <w:t>, del d.lgs. n. 159/2011 non potranno più fare affidamento dopo lo spirare del termine annuale, dovendo invece richiedere alla competente Prefettura una nuova verifica</w:t>
      </w:r>
      <w:r w:rsidR="00F6191A">
        <w:rPr>
          <w:rStyle w:val="Rimandonotaapidipagina"/>
          <w:i w:val="0"/>
          <w:smallCaps w:val="0"/>
        </w:rPr>
        <w:footnoteReference w:id="165"/>
      </w:r>
      <w:r w:rsidR="00F6191A">
        <w:rPr>
          <w:i w:val="0"/>
          <w:smallCaps w:val="0"/>
        </w:rPr>
        <w:t>.</w:t>
      </w:r>
    </w:p>
    <w:p w:rsidR="004C4CF7" w:rsidRDefault="004C4CF7" w:rsidP="00400167">
      <w:pPr>
        <w:ind w:firstLine="426"/>
        <w:jc w:val="both"/>
        <w:rPr>
          <w:i w:val="0"/>
          <w:smallCaps w:val="0"/>
        </w:rPr>
      </w:pPr>
      <w:r>
        <w:rPr>
          <w:i w:val="0"/>
          <w:smallCaps w:val="0"/>
        </w:rPr>
        <w:t>Quanto sopra risulta confermato, sul piano testuale, dalla circostanza che il legislatore àncora il decorso del termine di validità alla “</w:t>
      </w:r>
      <w:r>
        <w:rPr>
          <w:smallCaps w:val="0"/>
        </w:rPr>
        <w:t>acquisizione</w:t>
      </w:r>
      <w:r>
        <w:rPr>
          <w:i w:val="0"/>
          <w:smallCaps w:val="0"/>
        </w:rPr>
        <w:t>” dell’informativa (articolo 86, comma 2, d.lgs. n. 159/2011), e quindi al momento del suo rilascio, indipendentemente dal momento storico a cui risalgono le circostanze fattuali di cui il Prefetto ha tenuto conto ai fini della propria prognosi infiltrativa, nonché dalla previsione di cui al comma 5 dello stesso articolo 86, secondo cui le amministrazioni e gli altri soggetti di cui all’articolo 83, commi 1 e 2, possono procedere a stipulare i contratti, a rilasciare le autorizzazioni o ad autorizzare le erogazioni dei contributi anche se il relativo provvedimento si perfeziona in un momento successivo alla scadenza del termine di validità della comunicazione o dell’informativa antimafia, qualora queste siano state acquisite in data non anteriore rispettivamente a sei e dodici mesi</w:t>
      </w:r>
      <w:r>
        <w:rPr>
          <w:rStyle w:val="Rimandonotaapidipagina"/>
          <w:i w:val="0"/>
          <w:smallCaps w:val="0"/>
        </w:rPr>
        <w:footnoteReference w:id="166"/>
      </w:r>
      <w:r>
        <w:rPr>
          <w:i w:val="0"/>
          <w:smallCaps w:val="0"/>
        </w:rPr>
        <w:t>.</w:t>
      </w:r>
    </w:p>
    <w:p w:rsidR="00E178F4" w:rsidRDefault="00E178F4" w:rsidP="00400167">
      <w:pPr>
        <w:ind w:firstLine="426"/>
        <w:jc w:val="both"/>
        <w:rPr>
          <w:i w:val="0"/>
          <w:smallCaps w:val="0"/>
        </w:rPr>
      </w:pPr>
      <w:r>
        <w:rPr>
          <w:i w:val="0"/>
          <w:smallCaps w:val="0"/>
        </w:rPr>
        <w:t xml:space="preserve">Tale essendo il quadro normativo di riferimento, un primo problema da porsi è se un siffatto onere di aggiornamento a carico dell’autorità prefettizia possa tradursi in un vero e proprio obbligo giuridico di provvedere, destinato a sorgere in conseguenza del semplice spirare del termine di cui all’articolo 86, comma 2, e giuridicamente coercibile dall’impresa interessata attraverso i rimedi processuali previsti avverso il silenzio-inadempimento della </w:t>
      </w:r>
      <w:proofErr w:type="gramStart"/>
      <w:r>
        <w:rPr>
          <w:i w:val="0"/>
          <w:smallCaps w:val="0"/>
        </w:rPr>
        <w:t>p.a..</w:t>
      </w:r>
      <w:proofErr w:type="gramEnd"/>
      <w:r>
        <w:rPr>
          <w:i w:val="0"/>
          <w:smallCaps w:val="0"/>
        </w:rPr>
        <w:t xml:space="preserve"> La risposta, se si vuole mantenere il sistema nel suo complesso nei binari della compatibilità costituzionale (nel solco dell’equilibrio individuato dalla Corte), non può che essere positiva; e, quanto al termine per la conclusione del procedimento, le posizioni sono divise tra chi ritiene di estendere per analogia al procedimento di aggiornamento anche la previsione dei termini stabiliti dall’articolo 92 per il rilascio dell’informativa</w:t>
      </w:r>
      <w:r>
        <w:rPr>
          <w:rStyle w:val="Rimandonotaapidipagina"/>
          <w:i w:val="0"/>
          <w:smallCaps w:val="0"/>
        </w:rPr>
        <w:footnoteReference w:id="167"/>
      </w:r>
      <w:r>
        <w:rPr>
          <w:i w:val="0"/>
          <w:smallCaps w:val="0"/>
        </w:rPr>
        <w:t xml:space="preserve">, chi </w:t>
      </w:r>
      <w:r w:rsidR="00C65775">
        <w:rPr>
          <w:i w:val="0"/>
          <w:smallCaps w:val="0"/>
        </w:rPr>
        <w:t xml:space="preserve">ritiene potersi applicare il termine di novanta giorni previsto per l’iscrizione nella </w:t>
      </w:r>
      <w:proofErr w:type="spellStart"/>
      <w:r w:rsidR="00C65775">
        <w:rPr>
          <w:smallCaps w:val="0"/>
        </w:rPr>
        <w:t>white</w:t>
      </w:r>
      <w:proofErr w:type="spellEnd"/>
      <w:r w:rsidR="00C65775">
        <w:rPr>
          <w:smallCaps w:val="0"/>
        </w:rPr>
        <w:t xml:space="preserve"> list</w:t>
      </w:r>
      <w:r w:rsidR="00C65775" w:rsidRPr="00C65775">
        <w:rPr>
          <w:rStyle w:val="Rimandonotaapidipagina"/>
          <w:i w:val="0"/>
          <w:smallCaps w:val="0"/>
        </w:rPr>
        <w:footnoteReference w:id="168"/>
      </w:r>
      <w:r w:rsidR="00C65775">
        <w:rPr>
          <w:smallCaps w:val="0"/>
        </w:rPr>
        <w:t xml:space="preserve"> </w:t>
      </w:r>
      <w:r w:rsidR="00C65775">
        <w:rPr>
          <w:i w:val="0"/>
          <w:smallCaps w:val="0"/>
        </w:rPr>
        <w:t>e che invece, in assenza di previsioni espresse, reputa doversi applicare il termine residuale di trenta giorni di cui all’articolo 2, comma 2, della legge n. 241/1990</w:t>
      </w:r>
      <w:r w:rsidR="00C65775">
        <w:rPr>
          <w:rStyle w:val="Rimandonotaapidipagina"/>
          <w:i w:val="0"/>
          <w:smallCaps w:val="0"/>
        </w:rPr>
        <w:footnoteReference w:id="169"/>
      </w:r>
      <w:r w:rsidR="00C65775">
        <w:rPr>
          <w:i w:val="0"/>
          <w:smallCaps w:val="0"/>
        </w:rPr>
        <w:t>.</w:t>
      </w:r>
    </w:p>
    <w:p w:rsidR="00C65775" w:rsidRDefault="00C65775" w:rsidP="00400167">
      <w:pPr>
        <w:ind w:firstLine="426"/>
        <w:jc w:val="both"/>
        <w:rPr>
          <w:i w:val="0"/>
          <w:smallCaps w:val="0"/>
        </w:rPr>
      </w:pPr>
      <w:r>
        <w:rPr>
          <w:i w:val="0"/>
          <w:smallCaps w:val="0"/>
        </w:rPr>
        <w:t xml:space="preserve">Più delicato è il problema dell’ambito e della portata dell’istruttoria cui è chiamato il Prefetto in sede di aggiornamento di una precedente informativa </w:t>
      </w:r>
      <w:proofErr w:type="spellStart"/>
      <w:r>
        <w:rPr>
          <w:i w:val="0"/>
          <w:smallCaps w:val="0"/>
        </w:rPr>
        <w:t>interdittiva</w:t>
      </w:r>
      <w:proofErr w:type="spellEnd"/>
      <w:r>
        <w:rPr>
          <w:i w:val="0"/>
          <w:smallCaps w:val="0"/>
        </w:rPr>
        <w:t>. A fronte di un orientamento minoritario, secondo cui in tale occasione occorre procedere a una nuova verifica globale delle circostanze poste a fondamento dell’</w:t>
      </w:r>
      <w:proofErr w:type="spellStart"/>
      <w:r>
        <w:rPr>
          <w:i w:val="0"/>
          <w:smallCaps w:val="0"/>
        </w:rPr>
        <w:t>interdittiva</w:t>
      </w:r>
      <w:proofErr w:type="spellEnd"/>
      <w:r>
        <w:rPr>
          <w:i w:val="0"/>
          <w:smallCaps w:val="0"/>
        </w:rPr>
        <w:t xml:space="preserve">, onde verificare la persistente attualità del pericolo </w:t>
      </w:r>
      <w:r>
        <w:rPr>
          <w:i w:val="0"/>
          <w:smallCaps w:val="0"/>
        </w:rPr>
        <w:lastRenderedPageBreak/>
        <w:t>di infiltrazione mafiosa</w:t>
      </w:r>
      <w:r>
        <w:rPr>
          <w:rStyle w:val="Rimandonotaapidipagina"/>
          <w:i w:val="0"/>
          <w:smallCaps w:val="0"/>
        </w:rPr>
        <w:footnoteReference w:id="170"/>
      </w:r>
      <w:r>
        <w:rPr>
          <w:i w:val="0"/>
          <w:smallCaps w:val="0"/>
        </w:rPr>
        <w:t xml:space="preserve">, appare più coerente con le premesse logiche dianzi enunciate </w:t>
      </w:r>
      <w:r w:rsidR="00333585">
        <w:rPr>
          <w:i w:val="0"/>
          <w:smallCaps w:val="0"/>
        </w:rPr>
        <w:t xml:space="preserve">- </w:t>
      </w:r>
      <w:r>
        <w:rPr>
          <w:i w:val="0"/>
          <w:smallCaps w:val="0"/>
        </w:rPr>
        <w:t xml:space="preserve">in ordine </w:t>
      </w:r>
      <w:r w:rsidR="00333585">
        <w:rPr>
          <w:i w:val="0"/>
          <w:smallCaps w:val="0"/>
        </w:rPr>
        <w:t xml:space="preserve">al perdurare della valenza indiziaria degli elementi raccolti e degli effetti solo “strumentali” del decorso del termine annuale - </w:t>
      </w:r>
      <w:r>
        <w:rPr>
          <w:i w:val="0"/>
          <w:smallCaps w:val="0"/>
        </w:rPr>
        <w:t xml:space="preserve">l’opposto e prevalente </w:t>
      </w:r>
      <w:r w:rsidR="00333585">
        <w:rPr>
          <w:i w:val="0"/>
          <w:smallCaps w:val="0"/>
        </w:rPr>
        <w:t>indirizzo secondo cui l’attenzione del Prefetto deve concentrarsi solo sui fatti nuovi e ulteriori, onde verificarne l’idoneità a far venire meno il pericolo di infiltrazione</w:t>
      </w:r>
      <w:r w:rsidR="00333585">
        <w:rPr>
          <w:rStyle w:val="Rimandonotaapidipagina"/>
          <w:i w:val="0"/>
          <w:smallCaps w:val="0"/>
        </w:rPr>
        <w:footnoteReference w:id="171"/>
      </w:r>
      <w:r w:rsidR="00333585">
        <w:rPr>
          <w:i w:val="0"/>
          <w:smallCaps w:val="0"/>
        </w:rPr>
        <w:t xml:space="preserve">. Si tratta di una conclusione di un certo rilievo, perché da essa potrebbe farsi discendere – fermo restando che, in ipotesi di conclusione dell’aggiornamento con nuova informativa </w:t>
      </w:r>
      <w:proofErr w:type="spellStart"/>
      <w:r w:rsidR="00333585">
        <w:rPr>
          <w:i w:val="0"/>
          <w:smallCaps w:val="0"/>
        </w:rPr>
        <w:t>interdittiva</w:t>
      </w:r>
      <w:proofErr w:type="spellEnd"/>
      <w:r w:rsidR="00333585">
        <w:rPr>
          <w:i w:val="0"/>
          <w:smallCaps w:val="0"/>
        </w:rPr>
        <w:t>, questa assumerà sempre i caratteri di un provvedimento di conferma e mai di un atto meramente confermativo</w:t>
      </w:r>
      <w:r w:rsidR="00333585">
        <w:rPr>
          <w:rStyle w:val="Rimandonotaapidipagina"/>
          <w:i w:val="0"/>
          <w:smallCaps w:val="0"/>
        </w:rPr>
        <w:footnoteReference w:id="172"/>
      </w:r>
      <w:r w:rsidR="00333585">
        <w:rPr>
          <w:i w:val="0"/>
          <w:smallCaps w:val="0"/>
        </w:rPr>
        <w:t xml:space="preserve"> - la sussistenza a carico dell’impresa che chieda l’aggiornamento di un’informativa </w:t>
      </w:r>
      <w:proofErr w:type="spellStart"/>
      <w:r w:rsidR="00333585">
        <w:rPr>
          <w:i w:val="0"/>
          <w:smallCaps w:val="0"/>
        </w:rPr>
        <w:t>interdittiva</w:t>
      </w:r>
      <w:proofErr w:type="spellEnd"/>
      <w:r w:rsidR="00333585">
        <w:rPr>
          <w:i w:val="0"/>
          <w:smallCaps w:val="0"/>
        </w:rPr>
        <w:t xml:space="preserve"> da cui è stata colpita di un onere di allegare (e documentare) i fatti nuovi e sopravvenuti a suo dire idonei a determinare il superamento dell’originaria prognosi di rischio infiltrativo, con la conseguente insussistenza a carico del Prefetto di un obbligo giuridico di provvedere qualora tale onere non sia assolto</w:t>
      </w:r>
      <w:r w:rsidR="00333585">
        <w:rPr>
          <w:rStyle w:val="Rimandonotaapidipagina"/>
          <w:i w:val="0"/>
          <w:smallCaps w:val="0"/>
        </w:rPr>
        <w:footnoteReference w:id="173"/>
      </w:r>
      <w:r w:rsidR="00333585">
        <w:rPr>
          <w:i w:val="0"/>
          <w:smallCaps w:val="0"/>
        </w:rPr>
        <w:t>.</w:t>
      </w:r>
    </w:p>
    <w:p w:rsidR="00154EF8" w:rsidRDefault="00154EF8" w:rsidP="00400167">
      <w:pPr>
        <w:ind w:firstLine="426"/>
        <w:jc w:val="both"/>
        <w:rPr>
          <w:i w:val="0"/>
          <w:smallCaps w:val="0"/>
        </w:rPr>
      </w:pPr>
      <w:r>
        <w:rPr>
          <w:i w:val="0"/>
          <w:smallCaps w:val="0"/>
        </w:rPr>
        <w:t xml:space="preserve">Tra le sopravvenienze di cui tenere conto in sede di riesame dell’informativa </w:t>
      </w:r>
      <w:proofErr w:type="spellStart"/>
      <w:r>
        <w:rPr>
          <w:i w:val="0"/>
          <w:smallCaps w:val="0"/>
        </w:rPr>
        <w:t>interdittiva</w:t>
      </w:r>
      <w:proofErr w:type="spellEnd"/>
      <w:r>
        <w:rPr>
          <w:i w:val="0"/>
          <w:smallCaps w:val="0"/>
        </w:rPr>
        <w:t xml:space="preserve">, una posizione peculiare non può che essere rivestita </w:t>
      </w:r>
      <w:r w:rsidR="00961F5E">
        <w:rPr>
          <w:i w:val="0"/>
          <w:smallCaps w:val="0"/>
        </w:rPr>
        <w:t xml:space="preserve">dall’eventuale esito favorevole del controllo giudiziario cui </w:t>
      </w:r>
      <w:r w:rsidR="00961F5E">
        <w:rPr>
          <w:smallCaps w:val="0"/>
        </w:rPr>
        <w:t xml:space="preserve">medio tempore </w:t>
      </w:r>
      <w:r w:rsidR="00961F5E">
        <w:rPr>
          <w:i w:val="0"/>
          <w:smallCaps w:val="0"/>
        </w:rPr>
        <w:t xml:space="preserve">l’impresa interdetta sia stata ammessa. Al riguardo, se resta fermo e pacifico l’indirizzo per cui le conclusioni così raggiunte dal giudice della prevenzione non vincolano le successive determinazioni del Prefetto, il quale ben può adottare una nuova informativa </w:t>
      </w:r>
      <w:proofErr w:type="spellStart"/>
      <w:r w:rsidR="00961F5E">
        <w:rPr>
          <w:i w:val="0"/>
          <w:smallCaps w:val="0"/>
        </w:rPr>
        <w:t>interdittiva</w:t>
      </w:r>
      <w:proofErr w:type="spellEnd"/>
      <w:r w:rsidR="00961F5E">
        <w:rPr>
          <w:rStyle w:val="Rimandonotaapidipagina"/>
          <w:i w:val="0"/>
          <w:smallCaps w:val="0"/>
        </w:rPr>
        <w:footnoteReference w:id="174"/>
      </w:r>
      <w:r w:rsidR="00961F5E">
        <w:rPr>
          <w:i w:val="0"/>
          <w:smallCaps w:val="0"/>
        </w:rPr>
        <w:t>, anche perché in sede di istruttoria prefettizia possono emergere circostanze ed elementi ulteriori difficilmente conoscibili dall’amministratore designato dal giudice</w:t>
      </w:r>
      <w:r w:rsidR="00961F5E">
        <w:rPr>
          <w:rStyle w:val="Rimandonotaapidipagina"/>
          <w:i w:val="0"/>
          <w:smallCaps w:val="0"/>
        </w:rPr>
        <w:footnoteReference w:id="175"/>
      </w:r>
      <w:r w:rsidR="00961F5E">
        <w:rPr>
          <w:i w:val="0"/>
          <w:smallCaps w:val="0"/>
        </w:rPr>
        <w:t xml:space="preserve">, tuttavia l’esistenza di una pronuncia giurisdizionale che abbia accertato il venir meno del pericolo di infiltrazione non può considerarsi </w:t>
      </w:r>
      <w:proofErr w:type="spellStart"/>
      <w:r w:rsidR="00961F5E">
        <w:rPr>
          <w:smallCaps w:val="0"/>
        </w:rPr>
        <w:t>tamquam</w:t>
      </w:r>
      <w:proofErr w:type="spellEnd"/>
      <w:r w:rsidR="00961F5E">
        <w:rPr>
          <w:smallCaps w:val="0"/>
        </w:rPr>
        <w:t xml:space="preserve"> non </w:t>
      </w:r>
      <w:proofErr w:type="spellStart"/>
      <w:r w:rsidR="00961F5E">
        <w:rPr>
          <w:smallCaps w:val="0"/>
        </w:rPr>
        <w:t>esset</w:t>
      </w:r>
      <w:proofErr w:type="spellEnd"/>
      <w:r w:rsidR="00961F5E">
        <w:rPr>
          <w:smallCaps w:val="0"/>
        </w:rPr>
        <w:t xml:space="preserve">, </w:t>
      </w:r>
      <w:r w:rsidR="00961F5E">
        <w:rPr>
          <w:i w:val="0"/>
          <w:smallCaps w:val="0"/>
        </w:rPr>
        <w:t xml:space="preserve">o comunque circostanza semplicemente qualificabile come irrilevante, in sede di nuova istruttoria prefettizia finalizzata alla revisione della misura, dovendo questa tradursi, qualora sfoci nell’adozione di un nuovo provvedimento </w:t>
      </w:r>
      <w:proofErr w:type="spellStart"/>
      <w:r w:rsidR="00961F5E">
        <w:rPr>
          <w:i w:val="0"/>
          <w:smallCaps w:val="0"/>
        </w:rPr>
        <w:t>interdittivo</w:t>
      </w:r>
      <w:proofErr w:type="spellEnd"/>
      <w:r w:rsidR="00961F5E">
        <w:rPr>
          <w:i w:val="0"/>
          <w:smallCaps w:val="0"/>
        </w:rPr>
        <w:t>, in una motivazione che evidenzi positivamente la perdurante attualità degli elementi indiziari a suo tempo posti a base dell’informativa</w:t>
      </w:r>
      <w:r w:rsidR="00961F5E">
        <w:rPr>
          <w:rStyle w:val="Rimandonotaapidipagina"/>
          <w:i w:val="0"/>
          <w:smallCaps w:val="0"/>
        </w:rPr>
        <w:footnoteReference w:id="176"/>
      </w:r>
      <w:r w:rsidR="00961F5E">
        <w:rPr>
          <w:i w:val="0"/>
          <w:smallCaps w:val="0"/>
        </w:rPr>
        <w:t>. Dal che potrebbe desumersi, specie nell’attuale assetto caratterizzato dal dovere del Prefetto di vagliare anche gli spazi di applicabilità delle meno afflittive misure di cui all’articolo 94-</w:t>
      </w:r>
      <w:r w:rsidR="00961F5E">
        <w:rPr>
          <w:smallCaps w:val="0"/>
        </w:rPr>
        <w:t xml:space="preserve">bis </w:t>
      </w:r>
      <w:r w:rsidR="00961F5E">
        <w:rPr>
          <w:i w:val="0"/>
          <w:smallCaps w:val="0"/>
        </w:rPr>
        <w:t>del d.lgs. n. 159/2011</w:t>
      </w:r>
      <w:r w:rsidR="0077069B">
        <w:rPr>
          <w:rStyle w:val="Rimandonotaapidipagina"/>
          <w:i w:val="0"/>
          <w:smallCaps w:val="0"/>
        </w:rPr>
        <w:footnoteReference w:id="177"/>
      </w:r>
      <w:r w:rsidR="00961F5E">
        <w:rPr>
          <w:i w:val="0"/>
          <w:smallCaps w:val="0"/>
        </w:rPr>
        <w:t xml:space="preserve">, la sussistenza in questi casi di un maggior onere motivazionale, </w:t>
      </w:r>
      <w:r w:rsidR="0077069B">
        <w:rPr>
          <w:i w:val="0"/>
          <w:smallCaps w:val="0"/>
        </w:rPr>
        <w:t>non essendo possibile richiamare la mera persistenza degli elementi indiziari posti a base dell’originaria informativa, ma dovendo anche evidenziarsi le ragioni che rendono le conclusioni raggiunte dal giudice della prevenzione non idonee ad autorizzare una prognosi di tipo diverso.</w:t>
      </w:r>
    </w:p>
    <w:p w:rsidR="0077069B" w:rsidRDefault="0077069B" w:rsidP="00400167">
      <w:pPr>
        <w:ind w:firstLine="426"/>
        <w:jc w:val="both"/>
        <w:rPr>
          <w:i w:val="0"/>
          <w:smallCaps w:val="0"/>
        </w:rPr>
      </w:pPr>
    </w:p>
    <w:p w:rsidR="0077069B" w:rsidRDefault="0077069B" w:rsidP="00400167">
      <w:pPr>
        <w:ind w:firstLine="426"/>
        <w:jc w:val="both"/>
        <w:rPr>
          <w:i w:val="0"/>
          <w:smallCaps w:val="0"/>
        </w:rPr>
      </w:pPr>
    </w:p>
    <w:p w:rsidR="0077069B" w:rsidRDefault="0077069B" w:rsidP="00400167">
      <w:pPr>
        <w:ind w:firstLine="426"/>
        <w:jc w:val="both"/>
        <w:rPr>
          <w:b/>
          <w:i w:val="0"/>
          <w:smallCaps w:val="0"/>
        </w:rPr>
      </w:pPr>
      <w:r>
        <w:rPr>
          <w:b/>
          <w:i w:val="0"/>
          <w:smallCaps w:val="0"/>
        </w:rPr>
        <w:t>12. Le misure antimafia dinanzi al giudice amministrativo.</w:t>
      </w:r>
    </w:p>
    <w:p w:rsidR="0077069B" w:rsidRDefault="0077069B" w:rsidP="00400167">
      <w:pPr>
        <w:ind w:firstLine="426"/>
        <w:jc w:val="both"/>
        <w:rPr>
          <w:b/>
          <w:i w:val="0"/>
          <w:smallCaps w:val="0"/>
        </w:rPr>
      </w:pPr>
    </w:p>
    <w:p w:rsidR="0077069B" w:rsidRDefault="0077069B" w:rsidP="00400167">
      <w:pPr>
        <w:ind w:firstLine="426"/>
        <w:jc w:val="both"/>
        <w:rPr>
          <w:i w:val="0"/>
          <w:smallCaps w:val="0"/>
        </w:rPr>
      </w:pPr>
      <w:r>
        <w:rPr>
          <w:i w:val="0"/>
          <w:smallCaps w:val="0"/>
        </w:rPr>
        <w:t xml:space="preserve">Le considerazioni fin qui svolte hanno anche in buona parte anticipato quelli che sono i principali approdi della giurisprudenza con riguardo alle questioni che possono porsi nei giudizi di impugnazione delle informative </w:t>
      </w:r>
      <w:proofErr w:type="spellStart"/>
      <w:r>
        <w:rPr>
          <w:i w:val="0"/>
          <w:smallCaps w:val="0"/>
        </w:rPr>
        <w:t>interdittive</w:t>
      </w:r>
      <w:proofErr w:type="spellEnd"/>
      <w:r>
        <w:rPr>
          <w:i w:val="0"/>
          <w:smallCaps w:val="0"/>
        </w:rPr>
        <w:t xml:space="preserve"> dinanzi al giudice amministrativo (in particolare, per quanto attiene all’ambito del sindacato del giudice in correlazione con l’ampia discrezionalità </w:t>
      </w:r>
      <w:r>
        <w:rPr>
          <w:i w:val="0"/>
          <w:smallCaps w:val="0"/>
        </w:rPr>
        <w:lastRenderedPageBreak/>
        <w:t>attribuita all’autorità prefettizia nelle proprie valutazioni). In questo paragrafo, ci si limiterà a richiamare in modo più organico e compiuto alcuni indirizzi formatisi in relazione alle questioni processuali già esaminate, nonché ad altre più strettamente afferenti alla disciplina del processo amministrativo.</w:t>
      </w:r>
    </w:p>
    <w:p w:rsidR="0077069B" w:rsidRDefault="0077069B" w:rsidP="00400167">
      <w:pPr>
        <w:ind w:firstLine="426"/>
        <w:jc w:val="both"/>
        <w:rPr>
          <w:i w:val="0"/>
          <w:smallCaps w:val="0"/>
        </w:rPr>
      </w:pPr>
      <w:r>
        <w:rPr>
          <w:i w:val="0"/>
          <w:smallCaps w:val="0"/>
        </w:rPr>
        <w:t xml:space="preserve">In linea generale, deve anticiparsi che – forse proprio in conseguenza dei delicati problemi connessi alla necessità di rispettare la sfera di valutazioni riservata </w:t>
      </w:r>
      <w:r>
        <w:rPr>
          <w:smallCaps w:val="0"/>
        </w:rPr>
        <w:t xml:space="preserve">ex </w:t>
      </w:r>
      <w:proofErr w:type="spellStart"/>
      <w:r>
        <w:rPr>
          <w:smallCaps w:val="0"/>
        </w:rPr>
        <w:t>lege</w:t>
      </w:r>
      <w:proofErr w:type="spellEnd"/>
      <w:r>
        <w:rPr>
          <w:smallCaps w:val="0"/>
        </w:rPr>
        <w:t xml:space="preserve"> </w:t>
      </w:r>
      <w:r>
        <w:rPr>
          <w:i w:val="0"/>
          <w:smallCaps w:val="0"/>
        </w:rPr>
        <w:t>all’amministrazione, nonché della rilevanza dei diversi interessi sostanziali che vengono in rilievo – la giurisprudenza tende sotto diversi profili a enfatizzare la natura di giudizio sull’atto, più che sul rapporto</w:t>
      </w:r>
      <w:r>
        <w:rPr>
          <w:rStyle w:val="Rimandonotaapidipagina"/>
          <w:i w:val="0"/>
          <w:smallCaps w:val="0"/>
        </w:rPr>
        <w:footnoteReference w:id="178"/>
      </w:r>
      <w:r>
        <w:rPr>
          <w:i w:val="0"/>
          <w:smallCaps w:val="0"/>
        </w:rPr>
        <w:t>, del giudizio di annullamento conseguente all’impugnativa delle informative prefettizie. Senza</w:t>
      </w:r>
      <w:r w:rsidR="00BE426C">
        <w:rPr>
          <w:i w:val="0"/>
          <w:smallCaps w:val="0"/>
        </w:rPr>
        <w:t xml:space="preserve"> esprimere giudizi su tale atteggiamento di evidente </w:t>
      </w:r>
      <w:r w:rsidR="00BE426C">
        <w:rPr>
          <w:smallCaps w:val="0"/>
        </w:rPr>
        <w:t>self-</w:t>
      </w:r>
      <w:proofErr w:type="spellStart"/>
      <w:r w:rsidR="00BE426C">
        <w:rPr>
          <w:smallCaps w:val="0"/>
        </w:rPr>
        <w:t>restraint</w:t>
      </w:r>
      <w:proofErr w:type="spellEnd"/>
      <w:r w:rsidR="00940059" w:rsidRPr="00940059">
        <w:rPr>
          <w:rStyle w:val="Rimandonotaapidipagina"/>
          <w:i w:val="0"/>
          <w:smallCaps w:val="0"/>
        </w:rPr>
        <w:footnoteReference w:id="179"/>
      </w:r>
      <w:r w:rsidR="00BE426C">
        <w:rPr>
          <w:smallCaps w:val="0"/>
        </w:rPr>
        <w:t xml:space="preserve">, </w:t>
      </w:r>
      <w:r w:rsidR="00BE426C">
        <w:rPr>
          <w:i w:val="0"/>
          <w:smallCaps w:val="0"/>
        </w:rPr>
        <w:t xml:space="preserve">appare </w:t>
      </w:r>
      <w:r w:rsidR="00940059">
        <w:rPr>
          <w:i w:val="0"/>
          <w:smallCaps w:val="0"/>
        </w:rPr>
        <w:t xml:space="preserve">evidente </w:t>
      </w:r>
      <w:r w:rsidR="00BE426C">
        <w:rPr>
          <w:i w:val="0"/>
          <w:smallCaps w:val="0"/>
        </w:rPr>
        <w:t xml:space="preserve">però che esso non può ripercuotersi sul diverso tema dell’intensità del sindacato giurisdizionale esperibile nei confronti dell’esercizio del potere discrezionale </w:t>
      </w:r>
      <w:r w:rsidR="00BE426C" w:rsidRPr="00BE426C">
        <w:rPr>
          <w:smallCaps w:val="0"/>
        </w:rPr>
        <w:t xml:space="preserve">in </w:t>
      </w:r>
      <w:proofErr w:type="spellStart"/>
      <w:r w:rsidR="00BE426C" w:rsidRPr="00BE426C">
        <w:rPr>
          <w:smallCaps w:val="0"/>
        </w:rPr>
        <w:t>subiecta</w:t>
      </w:r>
      <w:proofErr w:type="spellEnd"/>
      <w:r w:rsidR="00BE426C" w:rsidRPr="00BE426C">
        <w:rPr>
          <w:smallCaps w:val="0"/>
        </w:rPr>
        <w:t xml:space="preserve"> materia</w:t>
      </w:r>
      <w:r w:rsidR="00BE426C">
        <w:rPr>
          <w:i w:val="0"/>
          <w:smallCaps w:val="0"/>
        </w:rPr>
        <w:t xml:space="preserve"> e sull’applicabilità anche in questo settore dei più moderni approdi della giurisprudenza in tema di sindacato giudiziale sulla discrezionalità amministrativa</w:t>
      </w:r>
      <w:r w:rsidR="00BE426C">
        <w:rPr>
          <w:rStyle w:val="Rimandonotaapidipagina"/>
          <w:i w:val="0"/>
          <w:smallCaps w:val="0"/>
        </w:rPr>
        <w:footnoteReference w:id="180"/>
      </w:r>
      <w:r w:rsidR="00BE426C">
        <w:rPr>
          <w:i w:val="0"/>
          <w:smallCaps w:val="0"/>
        </w:rPr>
        <w:t>.</w:t>
      </w:r>
    </w:p>
    <w:p w:rsidR="00BE426C" w:rsidRDefault="00BE426C" w:rsidP="00400167">
      <w:pPr>
        <w:ind w:firstLine="426"/>
        <w:jc w:val="both"/>
        <w:rPr>
          <w:i w:val="0"/>
          <w:smallCaps w:val="0"/>
        </w:rPr>
      </w:pPr>
    </w:p>
    <w:p w:rsidR="00BE7D77" w:rsidRDefault="00BE7D77" w:rsidP="00400167">
      <w:pPr>
        <w:ind w:firstLine="426"/>
        <w:jc w:val="both"/>
        <w:rPr>
          <w:b/>
          <w:i w:val="0"/>
          <w:smallCaps w:val="0"/>
        </w:rPr>
      </w:pPr>
    </w:p>
    <w:p w:rsidR="00BE7D77" w:rsidRDefault="00BE7D77" w:rsidP="00400167">
      <w:pPr>
        <w:ind w:firstLine="426"/>
        <w:jc w:val="both"/>
        <w:rPr>
          <w:b/>
          <w:i w:val="0"/>
          <w:smallCaps w:val="0"/>
        </w:rPr>
      </w:pPr>
    </w:p>
    <w:p w:rsidR="0077069B" w:rsidRDefault="00BE426C" w:rsidP="00400167">
      <w:pPr>
        <w:ind w:firstLine="426"/>
        <w:jc w:val="both"/>
        <w:rPr>
          <w:b/>
          <w:i w:val="0"/>
          <w:smallCaps w:val="0"/>
        </w:rPr>
      </w:pPr>
      <w:r w:rsidRPr="00BE426C">
        <w:rPr>
          <w:b/>
          <w:i w:val="0"/>
          <w:smallCaps w:val="0"/>
        </w:rPr>
        <w:t>12.1. Giurisdizione e competenza.</w:t>
      </w:r>
    </w:p>
    <w:p w:rsidR="002E7E5F" w:rsidRDefault="002E7E5F" w:rsidP="00400167">
      <w:pPr>
        <w:ind w:firstLine="426"/>
        <w:jc w:val="both"/>
        <w:rPr>
          <w:b/>
          <w:i w:val="0"/>
          <w:smallCaps w:val="0"/>
        </w:rPr>
      </w:pPr>
    </w:p>
    <w:p w:rsidR="002E7E5F" w:rsidRDefault="002E7E5F" w:rsidP="00400167">
      <w:pPr>
        <w:ind w:firstLine="426"/>
        <w:jc w:val="both"/>
        <w:rPr>
          <w:i w:val="0"/>
          <w:smallCaps w:val="0"/>
        </w:rPr>
      </w:pPr>
      <w:r>
        <w:rPr>
          <w:i w:val="0"/>
          <w:smallCaps w:val="0"/>
        </w:rPr>
        <w:t xml:space="preserve">La riconosciuta natura amministrativa e </w:t>
      </w:r>
      <w:proofErr w:type="spellStart"/>
      <w:r>
        <w:rPr>
          <w:i w:val="0"/>
          <w:smallCaps w:val="0"/>
        </w:rPr>
        <w:t>provvedimentale</w:t>
      </w:r>
      <w:proofErr w:type="spellEnd"/>
      <w:r>
        <w:rPr>
          <w:i w:val="0"/>
          <w:smallCaps w:val="0"/>
        </w:rPr>
        <w:t xml:space="preserve"> delle informative </w:t>
      </w:r>
      <w:proofErr w:type="spellStart"/>
      <w:r>
        <w:rPr>
          <w:i w:val="0"/>
          <w:smallCaps w:val="0"/>
        </w:rPr>
        <w:t>interdittive</w:t>
      </w:r>
      <w:proofErr w:type="spellEnd"/>
      <w:r>
        <w:rPr>
          <w:i w:val="0"/>
          <w:smallCaps w:val="0"/>
        </w:rPr>
        <w:t xml:space="preserve"> antimafia comporta, pacificamente, l’assoggettamento alla giurisdizione generale di legittimità del giudice amministrativo delle controversie a queste afferenti</w:t>
      </w:r>
      <w:r w:rsidR="00146750">
        <w:rPr>
          <w:i w:val="0"/>
          <w:smallCaps w:val="0"/>
        </w:rPr>
        <w:t xml:space="preserve">, con conseguente applicabilità del regime </w:t>
      </w:r>
      <w:proofErr w:type="spellStart"/>
      <w:r w:rsidR="00146750">
        <w:rPr>
          <w:i w:val="0"/>
          <w:smallCaps w:val="0"/>
        </w:rPr>
        <w:t>impugnatorio</w:t>
      </w:r>
      <w:proofErr w:type="spellEnd"/>
      <w:r w:rsidR="00146750">
        <w:rPr>
          <w:i w:val="0"/>
          <w:smallCaps w:val="0"/>
        </w:rPr>
        <w:t xml:space="preserve"> proprio dell’azione di annullamento degli atti amministrativi (articolo 41 cod. </w:t>
      </w:r>
      <w:proofErr w:type="spellStart"/>
      <w:r w:rsidR="00146750">
        <w:rPr>
          <w:i w:val="0"/>
          <w:smallCaps w:val="0"/>
        </w:rPr>
        <w:t>proc</w:t>
      </w:r>
      <w:proofErr w:type="spellEnd"/>
      <w:r w:rsidR="00146750">
        <w:rPr>
          <w:i w:val="0"/>
          <w:smallCaps w:val="0"/>
        </w:rPr>
        <w:t xml:space="preserve">. </w:t>
      </w:r>
      <w:proofErr w:type="spellStart"/>
      <w:r w:rsidR="00146750">
        <w:rPr>
          <w:i w:val="0"/>
          <w:smallCaps w:val="0"/>
        </w:rPr>
        <w:t>amm</w:t>
      </w:r>
      <w:proofErr w:type="spellEnd"/>
      <w:r w:rsidR="00146750">
        <w:rPr>
          <w:i w:val="0"/>
          <w:smallCaps w:val="0"/>
        </w:rPr>
        <w:t xml:space="preserve">.). Tale giurisdizione palesa peraltro una </w:t>
      </w:r>
      <w:r w:rsidR="00146750">
        <w:rPr>
          <w:smallCaps w:val="0"/>
        </w:rPr>
        <w:t xml:space="preserve">vis espansiva, </w:t>
      </w:r>
      <w:r w:rsidR="00146750">
        <w:rPr>
          <w:i w:val="0"/>
          <w:smallCaps w:val="0"/>
        </w:rPr>
        <w:t>secondo taluno determinata dalla portata derogatoria degli istituti in esame</w:t>
      </w:r>
      <w:r w:rsidR="00146750">
        <w:rPr>
          <w:rStyle w:val="Rimandonotaapidipagina"/>
          <w:i w:val="0"/>
          <w:smallCaps w:val="0"/>
        </w:rPr>
        <w:footnoteReference w:id="181"/>
      </w:r>
      <w:r w:rsidR="00146750">
        <w:rPr>
          <w:i w:val="0"/>
          <w:smallCaps w:val="0"/>
        </w:rPr>
        <w:t>, più verosimilmente frutto di quel principio di concentrazione che nella giurisprudenza è un diretto precipitato del principio di effettività della tutela</w:t>
      </w:r>
      <w:r w:rsidR="00146750">
        <w:rPr>
          <w:rStyle w:val="Rimandonotaapidipagina"/>
          <w:i w:val="0"/>
          <w:smallCaps w:val="0"/>
        </w:rPr>
        <w:footnoteReference w:id="182"/>
      </w:r>
      <w:r w:rsidR="00146750">
        <w:rPr>
          <w:i w:val="0"/>
          <w:smallCaps w:val="0"/>
        </w:rPr>
        <w:t>.</w:t>
      </w:r>
      <w:r w:rsidR="00D03965">
        <w:rPr>
          <w:i w:val="0"/>
          <w:smallCaps w:val="0"/>
        </w:rPr>
        <w:t xml:space="preserve"> Così sia la Cassazione che il Consiglio di Stato precisano che spetta alla cognizione del giudice amministrativo non solo l’impugnazione dell’</w:t>
      </w:r>
      <w:proofErr w:type="spellStart"/>
      <w:r w:rsidR="00D03965">
        <w:rPr>
          <w:i w:val="0"/>
          <w:smallCaps w:val="0"/>
        </w:rPr>
        <w:t>interdittiva</w:t>
      </w:r>
      <w:proofErr w:type="spellEnd"/>
      <w:r w:rsidR="00D03965">
        <w:rPr>
          <w:i w:val="0"/>
          <w:smallCaps w:val="0"/>
        </w:rPr>
        <w:t xml:space="preserve">, ma anche quella dei consequenziali e vincolati provvedimenti presi da altre amministrazioni, quali revoche di contributi, autorizzazioni e licenze nonché revoche o risoluzioni di rapporti contrattuali, quale che ne sia la denominazione e ancorché intervenuti in una fase avanzata del rapporto contrattuale: ciò in quanto in questi casi la determinazione presa in conseguenza dell’accertato rischio di infiltrazione mafiosa nell’impresa è </w:t>
      </w:r>
      <w:r w:rsidR="00D03965">
        <w:rPr>
          <w:i w:val="0"/>
          <w:smallCaps w:val="0"/>
        </w:rPr>
        <w:lastRenderedPageBreak/>
        <w:t>espressione di un potere di valutazione di matrice pubblicistica, diretto a soddisfare primari interessi pubblici</w:t>
      </w:r>
      <w:r w:rsidR="00D03965">
        <w:rPr>
          <w:rStyle w:val="Rimandonotaapidipagina"/>
          <w:i w:val="0"/>
          <w:smallCaps w:val="0"/>
        </w:rPr>
        <w:footnoteReference w:id="183"/>
      </w:r>
      <w:r w:rsidR="00D03965">
        <w:rPr>
          <w:i w:val="0"/>
          <w:smallCaps w:val="0"/>
        </w:rPr>
        <w:t>.</w:t>
      </w:r>
    </w:p>
    <w:p w:rsidR="00D03965" w:rsidRDefault="00D03965" w:rsidP="00400167">
      <w:pPr>
        <w:ind w:firstLine="426"/>
        <w:jc w:val="both"/>
        <w:rPr>
          <w:i w:val="0"/>
          <w:smallCaps w:val="0"/>
        </w:rPr>
      </w:pPr>
      <w:r>
        <w:rPr>
          <w:i w:val="0"/>
          <w:smallCaps w:val="0"/>
        </w:rPr>
        <w:t xml:space="preserve">Analoghe esigenze di speditezza della tutela e di </w:t>
      </w:r>
      <w:proofErr w:type="spellStart"/>
      <w:r>
        <w:rPr>
          <w:smallCaps w:val="0"/>
        </w:rPr>
        <w:t>simultaneus</w:t>
      </w:r>
      <w:proofErr w:type="spellEnd"/>
      <w:r>
        <w:rPr>
          <w:smallCaps w:val="0"/>
        </w:rPr>
        <w:t xml:space="preserve"> </w:t>
      </w:r>
      <w:proofErr w:type="spellStart"/>
      <w:r>
        <w:rPr>
          <w:smallCaps w:val="0"/>
        </w:rPr>
        <w:t>processus</w:t>
      </w:r>
      <w:proofErr w:type="spellEnd"/>
      <w:r>
        <w:rPr>
          <w:smallCaps w:val="0"/>
        </w:rPr>
        <w:t xml:space="preserve"> </w:t>
      </w:r>
      <w:r>
        <w:rPr>
          <w:i w:val="0"/>
          <w:smallCaps w:val="0"/>
        </w:rPr>
        <w:t xml:space="preserve">operano in tema di competenza, laddove l’Adunanza plenaria del Consiglio di Stato ha precisato che la stessa resta radicata presso il Tribunale amministrativo regionale </w:t>
      </w:r>
      <w:r w:rsidR="00EB22EE">
        <w:rPr>
          <w:i w:val="0"/>
          <w:smallCaps w:val="0"/>
        </w:rPr>
        <w:t xml:space="preserve">ove ha sede la Prefettura che ha emesso il provvedimento </w:t>
      </w:r>
      <w:proofErr w:type="spellStart"/>
      <w:r w:rsidR="00EB22EE">
        <w:rPr>
          <w:i w:val="0"/>
          <w:smallCaps w:val="0"/>
        </w:rPr>
        <w:t>interdittivo</w:t>
      </w:r>
      <w:proofErr w:type="spellEnd"/>
      <w:r w:rsidR="00EB22EE">
        <w:rPr>
          <w:i w:val="0"/>
          <w:smallCaps w:val="0"/>
        </w:rPr>
        <w:t>, anche qualora siano impugnati contestualmente diversi atti di revoca, recesso o decadenza adottati da altre amministrazioni dislocate in parti diverse del territorio nazionale, operando in questa sede una particolare forma di “</w:t>
      </w:r>
      <w:r w:rsidR="00EB22EE">
        <w:rPr>
          <w:smallCaps w:val="0"/>
        </w:rPr>
        <w:t>connessione per accessorietà</w:t>
      </w:r>
      <w:r w:rsidR="00EB22EE">
        <w:rPr>
          <w:i w:val="0"/>
          <w:smallCaps w:val="0"/>
        </w:rPr>
        <w:t>”</w:t>
      </w:r>
      <w:r w:rsidR="00EB22EE">
        <w:rPr>
          <w:rStyle w:val="Rimandonotaapidipagina"/>
          <w:i w:val="0"/>
          <w:smallCaps w:val="0"/>
        </w:rPr>
        <w:footnoteReference w:id="184"/>
      </w:r>
      <w:r w:rsidR="00EB22EE">
        <w:rPr>
          <w:i w:val="0"/>
          <w:smallCaps w:val="0"/>
        </w:rPr>
        <w:t>.</w:t>
      </w:r>
    </w:p>
    <w:p w:rsidR="00EB22EE" w:rsidRDefault="00EB22EE" w:rsidP="00400167">
      <w:pPr>
        <w:ind w:firstLine="426"/>
        <w:jc w:val="both"/>
        <w:rPr>
          <w:i w:val="0"/>
          <w:smallCaps w:val="0"/>
        </w:rPr>
      </w:pPr>
    </w:p>
    <w:p w:rsidR="00EB22EE" w:rsidRDefault="00EB22EE" w:rsidP="00400167">
      <w:pPr>
        <w:ind w:firstLine="426"/>
        <w:jc w:val="both"/>
        <w:rPr>
          <w:b/>
          <w:i w:val="0"/>
          <w:smallCaps w:val="0"/>
        </w:rPr>
      </w:pPr>
      <w:r w:rsidRPr="00EB22EE">
        <w:rPr>
          <w:b/>
          <w:i w:val="0"/>
          <w:smallCaps w:val="0"/>
        </w:rPr>
        <w:t>12.2. Legittimazione e interesse a ricorrere.</w:t>
      </w:r>
    </w:p>
    <w:p w:rsidR="00EB22EE" w:rsidRDefault="00EB22EE" w:rsidP="00400167">
      <w:pPr>
        <w:ind w:firstLine="426"/>
        <w:jc w:val="both"/>
        <w:rPr>
          <w:b/>
          <w:i w:val="0"/>
          <w:smallCaps w:val="0"/>
        </w:rPr>
      </w:pPr>
    </w:p>
    <w:p w:rsidR="00EB22EE" w:rsidRDefault="00EB22EE" w:rsidP="00400167">
      <w:pPr>
        <w:ind w:firstLine="426"/>
        <w:jc w:val="both"/>
        <w:rPr>
          <w:i w:val="0"/>
          <w:smallCaps w:val="0"/>
        </w:rPr>
      </w:pPr>
      <w:r>
        <w:rPr>
          <w:i w:val="0"/>
          <w:smallCaps w:val="0"/>
        </w:rPr>
        <w:t>Con riguardo alla legittimazione a impugnare l’</w:t>
      </w:r>
      <w:proofErr w:type="spellStart"/>
      <w:r>
        <w:rPr>
          <w:i w:val="0"/>
          <w:smallCaps w:val="0"/>
        </w:rPr>
        <w:t>interdittiva</w:t>
      </w:r>
      <w:proofErr w:type="spellEnd"/>
      <w:r>
        <w:rPr>
          <w:i w:val="0"/>
          <w:smallCaps w:val="0"/>
        </w:rPr>
        <w:t xml:space="preserve"> antimafia, l’Adunanza plenaria ha di recente chiarito che questa spetta al solo soggetto che ne patisce gli effetti diretti, ossia all’impresa destinataria del provvedimento, in quanto solo quest’ultima subisce la lesione immediata e diretta alla sua posizione giuridica soggettiva di interesse legittimo che consente il ricorso dinanzi al giudice amministrativo</w:t>
      </w:r>
      <w:r>
        <w:rPr>
          <w:rStyle w:val="Rimandonotaapidipagina"/>
          <w:i w:val="0"/>
          <w:smallCaps w:val="0"/>
        </w:rPr>
        <w:footnoteReference w:id="185"/>
      </w:r>
      <w:r>
        <w:rPr>
          <w:i w:val="0"/>
          <w:smallCaps w:val="0"/>
        </w:rPr>
        <w:t xml:space="preserve">. Deve pertanto escludersi la legittimazione in capo ad altri soggetti, quali i soci e gli amministratori dell’impresa ovvero i dipendenti o terzi che con essa intrattengano rapporti contrattuali, i quali, se certamente </w:t>
      </w:r>
      <w:r w:rsidR="00F96607">
        <w:rPr>
          <w:i w:val="0"/>
          <w:smallCaps w:val="0"/>
        </w:rPr>
        <w:t>possono essere pregiudicati per effetto dell’incapacità legale determinata nell’impresa dalla misura prefettizia, lo sono solo di fatto e in via indiretta</w:t>
      </w:r>
      <w:r w:rsidR="00F96607">
        <w:rPr>
          <w:rStyle w:val="Rimandonotaapidipagina"/>
          <w:i w:val="0"/>
          <w:smallCaps w:val="0"/>
        </w:rPr>
        <w:footnoteReference w:id="186"/>
      </w:r>
      <w:r w:rsidR="00F96607">
        <w:rPr>
          <w:i w:val="0"/>
          <w:smallCaps w:val="0"/>
        </w:rPr>
        <w:t>.</w:t>
      </w:r>
    </w:p>
    <w:p w:rsidR="005C3009" w:rsidRDefault="005C3009" w:rsidP="00400167">
      <w:pPr>
        <w:ind w:firstLine="426"/>
        <w:jc w:val="both"/>
        <w:rPr>
          <w:i w:val="0"/>
          <w:smallCaps w:val="0"/>
        </w:rPr>
      </w:pPr>
      <w:r>
        <w:rPr>
          <w:i w:val="0"/>
          <w:smallCaps w:val="0"/>
        </w:rPr>
        <w:t>Per quanto concerne l’interesse a ricorrere, deve solo rimarcarsi che – nonostante qualche isolata pronuncia di segno contrario</w:t>
      </w:r>
      <w:r>
        <w:rPr>
          <w:rStyle w:val="Rimandonotaapidipagina"/>
          <w:i w:val="0"/>
          <w:smallCaps w:val="0"/>
        </w:rPr>
        <w:footnoteReference w:id="187"/>
      </w:r>
      <w:r>
        <w:rPr>
          <w:i w:val="0"/>
          <w:smallCaps w:val="0"/>
        </w:rPr>
        <w:t xml:space="preserve"> – </w:t>
      </w:r>
      <w:r w:rsidR="00CD0E84">
        <w:rPr>
          <w:i w:val="0"/>
          <w:smallCaps w:val="0"/>
        </w:rPr>
        <w:t xml:space="preserve">è abbastanza </w:t>
      </w:r>
      <w:r>
        <w:rPr>
          <w:i w:val="0"/>
          <w:smallCaps w:val="0"/>
        </w:rPr>
        <w:t>pacific</w:t>
      </w:r>
      <w:r w:rsidR="00CD0E84">
        <w:rPr>
          <w:i w:val="0"/>
          <w:smallCaps w:val="0"/>
        </w:rPr>
        <w:t>o</w:t>
      </w:r>
      <w:r>
        <w:rPr>
          <w:i w:val="0"/>
          <w:smallCaps w:val="0"/>
        </w:rPr>
        <w:t>, dopo il definitivo chiarimento giurisprudenziale sull’autonomia e separatezza dei due giudizi (amministrativo e di prevenzione)</w:t>
      </w:r>
      <w:r>
        <w:rPr>
          <w:rStyle w:val="Rimandonotaapidipagina"/>
          <w:i w:val="0"/>
          <w:smallCaps w:val="0"/>
        </w:rPr>
        <w:footnoteReference w:id="188"/>
      </w:r>
      <w:r>
        <w:rPr>
          <w:i w:val="0"/>
          <w:smallCaps w:val="0"/>
        </w:rPr>
        <w:t>, che l’ammissione dell’impresa interdetta</w:t>
      </w:r>
      <w:r w:rsidR="00CD0E84">
        <w:rPr>
          <w:i w:val="0"/>
          <w:smallCaps w:val="0"/>
        </w:rPr>
        <w:t xml:space="preserve"> al controllo giudiziario</w:t>
      </w:r>
      <w:r>
        <w:rPr>
          <w:i w:val="0"/>
          <w:smallCaps w:val="0"/>
        </w:rPr>
        <w:t xml:space="preserve"> non possa in alcun modo far venire meno l’interesse all’impugnazione dell’informativa prefettizia: e ciò – in disparte il possibile residuare di un interesse risarcitorio rilevante </w:t>
      </w:r>
      <w:r>
        <w:rPr>
          <w:smallCaps w:val="0"/>
        </w:rPr>
        <w:t xml:space="preserve">ex </w:t>
      </w:r>
      <w:r>
        <w:rPr>
          <w:i w:val="0"/>
          <w:smallCaps w:val="0"/>
        </w:rPr>
        <w:t>articolo 34, comma 3, del codice del processo amministrativo – in virtù sia del dato testuale dell’articolo 34-</w:t>
      </w:r>
      <w:r>
        <w:rPr>
          <w:smallCaps w:val="0"/>
        </w:rPr>
        <w:t xml:space="preserve">bis </w:t>
      </w:r>
      <w:r>
        <w:rPr>
          <w:i w:val="0"/>
          <w:smallCaps w:val="0"/>
        </w:rPr>
        <w:t xml:space="preserve">del d.lgs. n. 159/2011, secondo cui a seguito dell’ammissione al beneficio l’informativa è solo sospesa, sia dell’evidente incongruenza di una soluzione per cui l’impugnazione del provvedimento </w:t>
      </w:r>
      <w:proofErr w:type="spellStart"/>
      <w:r>
        <w:rPr>
          <w:i w:val="0"/>
          <w:smallCaps w:val="0"/>
        </w:rPr>
        <w:t>interdittivo</w:t>
      </w:r>
      <w:proofErr w:type="spellEnd"/>
      <w:r>
        <w:rPr>
          <w:i w:val="0"/>
          <w:smallCaps w:val="0"/>
        </w:rPr>
        <w:t xml:space="preserve">, che costituisce </w:t>
      </w:r>
      <w:r>
        <w:rPr>
          <w:smallCaps w:val="0"/>
        </w:rPr>
        <w:t xml:space="preserve">ex </w:t>
      </w:r>
      <w:proofErr w:type="spellStart"/>
      <w:r>
        <w:rPr>
          <w:smallCaps w:val="0"/>
        </w:rPr>
        <w:t>lege</w:t>
      </w:r>
      <w:proofErr w:type="spellEnd"/>
      <w:r>
        <w:rPr>
          <w:smallCaps w:val="0"/>
        </w:rPr>
        <w:t xml:space="preserve"> </w:t>
      </w:r>
      <w:r>
        <w:rPr>
          <w:i w:val="0"/>
          <w:smallCaps w:val="0"/>
        </w:rPr>
        <w:t>la condizione per l’ammissione al controllo, sia destinata a perdere</w:t>
      </w:r>
      <w:r w:rsidR="00802A29">
        <w:rPr>
          <w:i w:val="0"/>
          <w:smallCaps w:val="0"/>
        </w:rPr>
        <w:t xml:space="preserve"> automaticamente</w:t>
      </w:r>
      <w:r>
        <w:rPr>
          <w:i w:val="0"/>
          <w:smallCaps w:val="0"/>
        </w:rPr>
        <w:t xml:space="preserve"> utilità a seguito dell’ammissione stessa</w:t>
      </w:r>
      <w:r w:rsidR="00802A29">
        <w:rPr>
          <w:rStyle w:val="Rimandonotaapidipagina"/>
          <w:i w:val="0"/>
          <w:smallCaps w:val="0"/>
        </w:rPr>
        <w:footnoteReference w:id="189"/>
      </w:r>
      <w:r>
        <w:rPr>
          <w:i w:val="0"/>
          <w:smallCaps w:val="0"/>
        </w:rPr>
        <w:t>.</w:t>
      </w:r>
    </w:p>
    <w:p w:rsidR="00802A29" w:rsidRDefault="00802A29" w:rsidP="00400167">
      <w:pPr>
        <w:ind w:firstLine="426"/>
        <w:jc w:val="both"/>
        <w:rPr>
          <w:i w:val="0"/>
          <w:smallCaps w:val="0"/>
        </w:rPr>
      </w:pPr>
    </w:p>
    <w:p w:rsidR="00802A29" w:rsidRDefault="00802A29" w:rsidP="00400167">
      <w:pPr>
        <w:ind w:firstLine="426"/>
        <w:jc w:val="both"/>
        <w:rPr>
          <w:b/>
          <w:i w:val="0"/>
          <w:smallCaps w:val="0"/>
        </w:rPr>
      </w:pPr>
      <w:r>
        <w:rPr>
          <w:b/>
          <w:i w:val="0"/>
          <w:smallCaps w:val="0"/>
        </w:rPr>
        <w:t>12.3. Il sindacato del giudice.</w:t>
      </w:r>
    </w:p>
    <w:p w:rsidR="00802A29" w:rsidRDefault="00802A29" w:rsidP="00400167">
      <w:pPr>
        <w:ind w:firstLine="426"/>
        <w:jc w:val="both"/>
        <w:rPr>
          <w:b/>
          <w:i w:val="0"/>
          <w:smallCaps w:val="0"/>
        </w:rPr>
      </w:pPr>
    </w:p>
    <w:p w:rsidR="00802A29" w:rsidRDefault="00802A29" w:rsidP="00400167">
      <w:pPr>
        <w:ind w:firstLine="426"/>
        <w:jc w:val="both"/>
        <w:rPr>
          <w:i w:val="0"/>
          <w:smallCaps w:val="0"/>
        </w:rPr>
      </w:pPr>
      <w:r>
        <w:rPr>
          <w:i w:val="0"/>
          <w:smallCaps w:val="0"/>
        </w:rPr>
        <w:t>Quanto si è ripetutamente sottolineato in ordine all’alto tasso di tecnicismo e discrezionalità che connota le</w:t>
      </w:r>
      <w:r w:rsidR="00B47C97">
        <w:rPr>
          <w:i w:val="0"/>
          <w:smallCaps w:val="0"/>
        </w:rPr>
        <w:t xml:space="preserve"> valutazioni prefettizie </w:t>
      </w:r>
      <w:r w:rsidR="00CD0E84">
        <w:rPr>
          <w:i w:val="0"/>
          <w:smallCaps w:val="0"/>
        </w:rPr>
        <w:t>su</w:t>
      </w:r>
      <w:r w:rsidR="00B47C97">
        <w:rPr>
          <w:i w:val="0"/>
          <w:smallCaps w:val="0"/>
        </w:rPr>
        <w:t>l rischio infiltrativo ha le sue ovvie ricadute – come pure già osservato – sull’ambito e la portata del sindacato consentito al giudice investito dell’impugnazione de</w:t>
      </w:r>
      <w:r w:rsidR="00E46835">
        <w:rPr>
          <w:i w:val="0"/>
          <w:smallCaps w:val="0"/>
        </w:rPr>
        <w:t>i</w:t>
      </w:r>
      <w:r w:rsidR="00B47C97">
        <w:rPr>
          <w:i w:val="0"/>
          <w:smallCaps w:val="0"/>
        </w:rPr>
        <w:t xml:space="preserve"> provvedimenti </w:t>
      </w:r>
      <w:proofErr w:type="spellStart"/>
      <w:r w:rsidR="00B47C97">
        <w:rPr>
          <w:i w:val="0"/>
          <w:smallCaps w:val="0"/>
        </w:rPr>
        <w:t>interdittivi</w:t>
      </w:r>
      <w:proofErr w:type="spellEnd"/>
      <w:r w:rsidR="00B47C97">
        <w:rPr>
          <w:i w:val="0"/>
          <w:smallCaps w:val="0"/>
        </w:rPr>
        <w:t>, il quale soffre i limiti tradizionalmente individuati dalla giurisprudenza</w:t>
      </w:r>
      <w:r w:rsidR="00E46835">
        <w:rPr>
          <w:i w:val="0"/>
          <w:smallCaps w:val="0"/>
        </w:rPr>
        <w:t xml:space="preserve"> </w:t>
      </w:r>
      <w:r w:rsidR="00E46835">
        <w:rPr>
          <w:i w:val="0"/>
          <w:smallCaps w:val="0"/>
        </w:rPr>
        <w:lastRenderedPageBreak/>
        <w:t>quando si è occupata della sindacabilità della discrezionalità amministrativa. Al riguardo, autorevole dottrina</w:t>
      </w:r>
      <w:r w:rsidR="00E46835">
        <w:rPr>
          <w:rStyle w:val="Rimandonotaapidipagina"/>
          <w:i w:val="0"/>
          <w:smallCaps w:val="0"/>
        </w:rPr>
        <w:footnoteReference w:id="190"/>
      </w:r>
      <w:r w:rsidR="00E46835">
        <w:rPr>
          <w:i w:val="0"/>
          <w:smallCaps w:val="0"/>
        </w:rPr>
        <w:t xml:space="preserve"> ha criticato l’eccessivo </w:t>
      </w:r>
      <w:r w:rsidR="00E46835">
        <w:rPr>
          <w:smallCaps w:val="0"/>
        </w:rPr>
        <w:t>self-</w:t>
      </w:r>
      <w:proofErr w:type="spellStart"/>
      <w:r w:rsidR="00E46835">
        <w:rPr>
          <w:smallCaps w:val="0"/>
        </w:rPr>
        <w:t>restraint</w:t>
      </w:r>
      <w:proofErr w:type="spellEnd"/>
      <w:r w:rsidR="00E46835">
        <w:rPr>
          <w:smallCaps w:val="0"/>
        </w:rPr>
        <w:t xml:space="preserve"> </w:t>
      </w:r>
      <w:r w:rsidR="00E46835">
        <w:rPr>
          <w:i w:val="0"/>
          <w:smallCaps w:val="0"/>
        </w:rPr>
        <w:t>spesso mostrato dai Tribunali amministrativi e dallo stesso Consiglio di Stato nel verificare la consistenza e la solidità degli elementi indiziari su cui l’amministrazione fonda le proprie valutazioni, lamentando quasi un deliberato ripiegamento su un sindacato “debole”, in spregio ai più moderni e recenti approdi giurisprudenziali</w:t>
      </w:r>
      <w:r w:rsidR="00E46835">
        <w:rPr>
          <w:rStyle w:val="Rimandonotaapidipagina"/>
          <w:i w:val="0"/>
          <w:smallCaps w:val="0"/>
        </w:rPr>
        <w:footnoteReference w:id="191"/>
      </w:r>
      <w:r w:rsidR="00E46835">
        <w:rPr>
          <w:i w:val="0"/>
          <w:smallCaps w:val="0"/>
        </w:rPr>
        <w:t>.</w:t>
      </w:r>
    </w:p>
    <w:p w:rsidR="00E46835" w:rsidRDefault="00E46835" w:rsidP="00400167">
      <w:pPr>
        <w:ind w:firstLine="426"/>
        <w:jc w:val="both"/>
        <w:rPr>
          <w:i w:val="0"/>
          <w:smallCaps w:val="0"/>
        </w:rPr>
      </w:pPr>
      <w:r>
        <w:rPr>
          <w:i w:val="0"/>
          <w:smallCaps w:val="0"/>
        </w:rPr>
        <w:t xml:space="preserve">In effetti, si registrano ancora oggi pronunce che ripetono </w:t>
      </w:r>
      <w:r>
        <w:rPr>
          <w:smallCaps w:val="0"/>
        </w:rPr>
        <w:t xml:space="preserve">in </w:t>
      </w:r>
      <w:proofErr w:type="spellStart"/>
      <w:r>
        <w:rPr>
          <w:smallCaps w:val="0"/>
        </w:rPr>
        <w:t>subiecta</w:t>
      </w:r>
      <w:proofErr w:type="spellEnd"/>
      <w:r>
        <w:rPr>
          <w:smallCaps w:val="0"/>
        </w:rPr>
        <w:t xml:space="preserve"> materia </w:t>
      </w:r>
      <w:r>
        <w:rPr>
          <w:i w:val="0"/>
          <w:smallCaps w:val="0"/>
        </w:rPr>
        <w:t>la consolidata affermazione secondo cui, a fronte di un’ampia discrezionalità riconosciuta dalla legge all’amministrazione, i</w:t>
      </w:r>
      <w:r w:rsidR="00CD0E84">
        <w:rPr>
          <w:i w:val="0"/>
          <w:smallCaps w:val="0"/>
        </w:rPr>
        <w:t>l</w:t>
      </w:r>
      <w:r>
        <w:rPr>
          <w:i w:val="0"/>
          <w:smallCaps w:val="0"/>
        </w:rPr>
        <w:t xml:space="preserve"> sindacato giurisdizionale deve ritenersi consentito nei soli casi di manifesta illogicità, irragionevolezza e travisamento dei fatti, aggiungendosi che a tale sindacato rimane estraneo l’accertamento dei fatti, anche di rilievo penale, posti a base del provvedimento</w:t>
      </w:r>
      <w:r>
        <w:rPr>
          <w:rStyle w:val="Rimandonotaapidipagina"/>
          <w:i w:val="0"/>
          <w:smallCaps w:val="0"/>
        </w:rPr>
        <w:footnoteReference w:id="192"/>
      </w:r>
      <w:r>
        <w:rPr>
          <w:i w:val="0"/>
          <w:smallCaps w:val="0"/>
        </w:rPr>
        <w:t xml:space="preserve">. </w:t>
      </w:r>
      <w:r w:rsidR="0016526F">
        <w:rPr>
          <w:i w:val="0"/>
          <w:smallCaps w:val="0"/>
        </w:rPr>
        <w:t>Tale principio, formalmente ineccepibile, non deve però indurre ad una generalizzata abdicazione dal controllo sui fatti accertati dal Prefetto, che si tradurrebbe in un tradimento del ruolo essenziale che la stessa Corte costituzionale – come si è visto</w:t>
      </w:r>
      <w:r w:rsidR="0016526F">
        <w:rPr>
          <w:rStyle w:val="Rimandonotaapidipagina"/>
          <w:i w:val="0"/>
          <w:smallCaps w:val="0"/>
        </w:rPr>
        <w:footnoteReference w:id="193"/>
      </w:r>
      <w:r w:rsidR="0016526F">
        <w:rPr>
          <w:i w:val="0"/>
          <w:smallCaps w:val="0"/>
        </w:rPr>
        <w:t xml:space="preserve"> – ha assegnato proprio al giudice amministrativo nella delineazione di quella “tassatività sostanziale” che costituisce l’elemento essenziale per la compatibilità costituzionale dell’intero sistema delle misure di prevenzione antimafia: ciò che aprirebbe la via alla trasformazione delle dette misure in una sorta di “</w:t>
      </w:r>
      <w:r w:rsidR="0016526F">
        <w:rPr>
          <w:smallCaps w:val="0"/>
        </w:rPr>
        <w:t>pena del sospetto</w:t>
      </w:r>
      <w:r w:rsidR="0016526F">
        <w:rPr>
          <w:i w:val="0"/>
          <w:smallCaps w:val="0"/>
        </w:rPr>
        <w:t>”</w:t>
      </w:r>
      <w:r w:rsidR="0016526F">
        <w:rPr>
          <w:rStyle w:val="Rimandonotaapidipagina"/>
          <w:i w:val="0"/>
          <w:smallCaps w:val="0"/>
        </w:rPr>
        <w:footnoteReference w:id="194"/>
      </w:r>
      <w:r w:rsidR="0016526F">
        <w:rPr>
          <w:i w:val="0"/>
          <w:smallCaps w:val="0"/>
        </w:rPr>
        <w:t>, che è proprio ciò che la Corte ha inteso scongiurare.</w:t>
      </w:r>
    </w:p>
    <w:p w:rsidR="0016526F" w:rsidRDefault="0016526F" w:rsidP="00400167">
      <w:pPr>
        <w:ind w:firstLine="426"/>
        <w:jc w:val="both"/>
        <w:rPr>
          <w:i w:val="0"/>
          <w:smallCaps w:val="0"/>
        </w:rPr>
      </w:pPr>
      <w:r>
        <w:rPr>
          <w:i w:val="0"/>
          <w:smallCaps w:val="0"/>
        </w:rPr>
        <w:t>Ecco perché appare del tutto condivisibile quell’indirizzo il quale, pur tenendo fermi i limiti tradizionali al sindacato giudiziale sulla discrezionalità amministrativa, puntualizza che la verifica della legittimità del potere prefettizio implica un pi</w:t>
      </w:r>
      <w:r w:rsidR="00CD0E84">
        <w:rPr>
          <w:i w:val="0"/>
          <w:smallCaps w:val="0"/>
        </w:rPr>
        <w:t>e</w:t>
      </w:r>
      <w:r>
        <w:rPr>
          <w:i w:val="0"/>
          <w:smallCaps w:val="0"/>
        </w:rPr>
        <w:t>no accesso ai fatti rivelatori del pericolo di infiltrazione mafiosa, il che consente non solo di sindacare l’esistenza o meno di questi fatti, ma anche di apprezzare la ragionevolezza e la proporzionalità della prognosi inferenziale che l’autorità amministrativa ne trae</w:t>
      </w:r>
      <w:r>
        <w:rPr>
          <w:rStyle w:val="Rimandonotaapidipagina"/>
          <w:i w:val="0"/>
          <w:smallCaps w:val="0"/>
        </w:rPr>
        <w:footnoteReference w:id="195"/>
      </w:r>
      <w:r>
        <w:rPr>
          <w:i w:val="0"/>
          <w:smallCaps w:val="0"/>
        </w:rPr>
        <w:t>.</w:t>
      </w:r>
    </w:p>
    <w:p w:rsidR="0016526F" w:rsidRDefault="0016526F" w:rsidP="00400167">
      <w:pPr>
        <w:ind w:firstLine="426"/>
        <w:jc w:val="both"/>
        <w:rPr>
          <w:i w:val="0"/>
          <w:smallCaps w:val="0"/>
        </w:rPr>
      </w:pPr>
      <w:r>
        <w:rPr>
          <w:i w:val="0"/>
          <w:smallCaps w:val="0"/>
        </w:rPr>
        <w:t xml:space="preserve">In tale verifica peraltro, trattandosi di giudizio non sul rapporto ma sull’atto, la legittimità dei provvedimenti impugnati va scrutinata alla stregua del canone </w:t>
      </w:r>
      <w:proofErr w:type="spellStart"/>
      <w:r>
        <w:rPr>
          <w:smallCaps w:val="0"/>
        </w:rPr>
        <w:t>tempus</w:t>
      </w:r>
      <w:proofErr w:type="spellEnd"/>
      <w:r>
        <w:rPr>
          <w:smallCaps w:val="0"/>
        </w:rPr>
        <w:t xml:space="preserve"> </w:t>
      </w:r>
      <w:proofErr w:type="spellStart"/>
      <w:r>
        <w:rPr>
          <w:smallCaps w:val="0"/>
        </w:rPr>
        <w:t>regit</w:t>
      </w:r>
      <w:proofErr w:type="spellEnd"/>
      <w:r>
        <w:rPr>
          <w:smallCaps w:val="0"/>
        </w:rPr>
        <w:t xml:space="preserve"> </w:t>
      </w:r>
      <w:proofErr w:type="spellStart"/>
      <w:r>
        <w:rPr>
          <w:smallCaps w:val="0"/>
        </w:rPr>
        <w:t>actum</w:t>
      </w:r>
      <w:proofErr w:type="spellEnd"/>
      <w:r>
        <w:rPr>
          <w:smallCaps w:val="0"/>
        </w:rPr>
        <w:t xml:space="preserve">, </w:t>
      </w:r>
      <w:r>
        <w:rPr>
          <w:i w:val="0"/>
          <w:smallCaps w:val="0"/>
        </w:rPr>
        <w:t xml:space="preserve">e quindi sulla base dello stato di fatto e di diritto sussistente al momento della loro adozione, restando tendenzialmente irrilevanti le vicende successive (p.es. quelle dei procedimenti penali che coinvolgono l’impresa), fatta salva la facoltà per la parte interessata di avanzare, sulla base delle stesse sopravvenienze, una motivata istanza di riesame della misura </w:t>
      </w:r>
      <w:proofErr w:type="spellStart"/>
      <w:r>
        <w:rPr>
          <w:i w:val="0"/>
          <w:smallCaps w:val="0"/>
        </w:rPr>
        <w:t>interdittiva</w:t>
      </w:r>
      <w:proofErr w:type="spellEnd"/>
      <w:r>
        <w:rPr>
          <w:rStyle w:val="Rimandonotaapidipagina"/>
          <w:i w:val="0"/>
          <w:smallCaps w:val="0"/>
        </w:rPr>
        <w:footnoteReference w:id="196"/>
      </w:r>
      <w:r>
        <w:rPr>
          <w:i w:val="0"/>
          <w:smallCaps w:val="0"/>
        </w:rPr>
        <w:t>.</w:t>
      </w:r>
    </w:p>
    <w:p w:rsidR="009457BE" w:rsidRDefault="009457BE" w:rsidP="00400167">
      <w:pPr>
        <w:ind w:firstLine="426"/>
        <w:jc w:val="both"/>
        <w:rPr>
          <w:i w:val="0"/>
          <w:smallCaps w:val="0"/>
        </w:rPr>
      </w:pPr>
      <w:r>
        <w:rPr>
          <w:i w:val="0"/>
          <w:smallCaps w:val="0"/>
        </w:rPr>
        <w:t xml:space="preserve">In definitiva, il vero limite all’apprezzamento giurisdizionale è in questo caso costituito dall’impossibilità, peraltro comune a tutti i settori in cui il sindacato giudiziale si esercita sulla discrezionalità amministrativa, che il giudice sovrapponga una propria valutazione a quella dell’amministrazione, ancorché ritenuta illegittima. Ciò è dimostrato dal dato esperienziale per cui, anche laddove l’impugnativa avverso il provvedimento </w:t>
      </w:r>
      <w:proofErr w:type="spellStart"/>
      <w:r>
        <w:rPr>
          <w:i w:val="0"/>
          <w:smallCaps w:val="0"/>
        </w:rPr>
        <w:t>interdittivo</w:t>
      </w:r>
      <w:proofErr w:type="spellEnd"/>
      <w:r>
        <w:rPr>
          <w:i w:val="0"/>
          <w:smallCaps w:val="0"/>
        </w:rPr>
        <w:t xml:space="preserve"> viene accolta e lo stesso annullato, ciò avviene di regola, oltre che per vizi procedimentali, per la ritenuta inadeguatezza o insufficienza del quadro indiziario e/o della motivazione che lo ricostruisce, con la conseguenza che l’amministrazione, la quale in sede conformativa è tenuta a </w:t>
      </w:r>
      <w:proofErr w:type="spellStart"/>
      <w:r>
        <w:rPr>
          <w:i w:val="0"/>
          <w:smallCaps w:val="0"/>
        </w:rPr>
        <w:t>ripronunciarsi</w:t>
      </w:r>
      <w:proofErr w:type="spellEnd"/>
      <w:r>
        <w:rPr>
          <w:i w:val="0"/>
          <w:smallCaps w:val="0"/>
        </w:rPr>
        <w:t xml:space="preserve"> sull’istanza di verifica antimafia (ovvero di aggiornamento di una precedente </w:t>
      </w:r>
      <w:proofErr w:type="spellStart"/>
      <w:r>
        <w:rPr>
          <w:i w:val="0"/>
          <w:smallCaps w:val="0"/>
        </w:rPr>
        <w:t>interdittiva</w:t>
      </w:r>
      <w:proofErr w:type="spellEnd"/>
      <w:r>
        <w:rPr>
          <w:i w:val="0"/>
          <w:smallCaps w:val="0"/>
        </w:rPr>
        <w:t>), ben difficilmente sarà astretta da una decisione “a rime obbligate” che ne renda di fatto vincolata l’attività</w:t>
      </w:r>
      <w:r>
        <w:rPr>
          <w:rStyle w:val="Rimandonotaapidipagina"/>
          <w:i w:val="0"/>
          <w:smallCaps w:val="0"/>
        </w:rPr>
        <w:footnoteReference w:id="197"/>
      </w:r>
      <w:r>
        <w:rPr>
          <w:i w:val="0"/>
          <w:smallCaps w:val="0"/>
        </w:rPr>
        <w:t>.</w:t>
      </w:r>
    </w:p>
    <w:p w:rsidR="009457BE" w:rsidRDefault="009457BE" w:rsidP="00400167">
      <w:pPr>
        <w:ind w:firstLine="426"/>
        <w:jc w:val="both"/>
        <w:rPr>
          <w:i w:val="0"/>
          <w:smallCaps w:val="0"/>
        </w:rPr>
      </w:pPr>
    </w:p>
    <w:p w:rsidR="009457BE" w:rsidRDefault="009457BE" w:rsidP="00400167">
      <w:pPr>
        <w:ind w:firstLine="426"/>
        <w:jc w:val="both"/>
        <w:rPr>
          <w:i w:val="0"/>
          <w:smallCaps w:val="0"/>
        </w:rPr>
      </w:pPr>
    </w:p>
    <w:p w:rsidR="009457BE" w:rsidRDefault="009457BE" w:rsidP="00400167">
      <w:pPr>
        <w:ind w:firstLine="426"/>
        <w:jc w:val="both"/>
        <w:rPr>
          <w:b/>
          <w:i w:val="0"/>
          <w:smallCaps w:val="0"/>
        </w:rPr>
      </w:pPr>
      <w:r>
        <w:rPr>
          <w:b/>
          <w:i w:val="0"/>
          <w:smallCaps w:val="0"/>
        </w:rPr>
        <w:lastRenderedPageBreak/>
        <w:t>13. Conclusioni.</w:t>
      </w:r>
    </w:p>
    <w:p w:rsidR="009457BE" w:rsidRDefault="009457BE" w:rsidP="00400167">
      <w:pPr>
        <w:ind w:firstLine="426"/>
        <w:jc w:val="both"/>
        <w:rPr>
          <w:b/>
          <w:i w:val="0"/>
          <w:smallCaps w:val="0"/>
        </w:rPr>
      </w:pPr>
    </w:p>
    <w:p w:rsidR="00940059" w:rsidRDefault="00940059" w:rsidP="00400167">
      <w:pPr>
        <w:ind w:firstLine="426"/>
        <w:jc w:val="both"/>
        <w:rPr>
          <w:i w:val="0"/>
          <w:smallCaps w:val="0"/>
        </w:rPr>
      </w:pPr>
      <w:r>
        <w:rPr>
          <w:i w:val="0"/>
          <w:smallCaps w:val="0"/>
        </w:rPr>
        <w:t>I rilievi che si sono fin qui svolti dovrebbero aver reso evidente come la disciplina delle misure prefettizie antimafia fin dalla sua origine non abbia cessato di muoversi, sia nell’applicazione giurisprudenziale che nella considerazione del legislatore che è più volte intervenuto su di esse, nella continua ricerca del miglior equilibrio possibile tra interessi e valori opposti e in perenne tensione su di essi: da un lato, le esigenze di tutela dell’ordine pubblico e di prevenzione della perniciosa infiltrazione criminale nell’economia e nella fruizione e gestione di risorse pubbliche; dall’altro, le libertà economiche ma anche, come subito si dirà, i diritti e gli interessi di natura personale che si ricollegano all’esercizio dell’attività di impresa. Forse un equilibrio definitivo fra tali interessi e valori non sarà mai raggiunto, ma certamente – come si è visto</w:t>
      </w:r>
      <w:r w:rsidR="00A75218">
        <w:rPr>
          <w:rStyle w:val="Rimandonotaapidipagina"/>
          <w:i w:val="0"/>
          <w:smallCaps w:val="0"/>
        </w:rPr>
        <w:footnoteReference w:id="198"/>
      </w:r>
      <w:r>
        <w:rPr>
          <w:i w:val="0"/>
          <w:smallCaps w:val="0"/>
        </w:rPr>
        <w:t xml:space="preserve"> – evidente e apprezzabile è stato lo sforzo del legislatore, specialmente negli ultimi anni, di costruire un sistema più articolato e “gradualistico”, in cui l’amministrazione e la giurisprudenza possano maggiormente tenere conto del principio di proporzionalità</w:t>
      </w:r>
      <w:r w:rsidR="00A75218">
        <w:rPr>
          <w:i w:val="0"/>
          <w:smallCaps w:val="0"/>
        </w:rPr>
        <w:t>, in modo da consentire una reale ed effettiva ponderazione degli interessi e diritti in gioco.</w:t>
      </w:r>
    </w:p>
    <w:p w:rsidR="00A75218" w:rsidRDefault="00A75218" w:rsidP="00400167">
      <w:pPr>
        <w:ind w:firstLine="426"/>
        <w:jc w:val="both"/>
        <w:rPr>
          <w:i w:val="0"/>
          <w:smallCaps w:val="0"/>
        </w:rPr>
      </w:pPr>
      <w:r>
        <w:rPr>
          <w:i w:val="0"/>
          <w:smallCaps w:val="0"/>
        </w:rPr>
        <w:t>Molto c’è ancora da fare sotto questo profilo, innanzitutto – e questo dovrà essere l’impegno della giurisprudenza nell’immediato – per ricostruire in modo sistematico i rapporti tra i diversi istituti, i quali spesso non “dialogano” fra di essi siccome introdotti in tempi diversi e in modo disorganico</w:t>
      </w:r>
      <w:r>
        <w:rPr>
          <w:rStyle w:val="Rimandonotaapidipagina"/>
          <w:i w:val="0"/>
          <w:smallCaps w:val="0"/>
        </w:rPr>
        <w:footnoteReference w:id="199"/>
      </w:r>
      <w:r>
        <w:rPr>
          <w:i w:val="0"/>
          <w:smallCaps w:val="0"/>
        </w:rPr>
        <w:t>. Ma altre rilevanti questioni restano ancora aperte, al punto che non è azzardato ipotizzare un nuovo, ulteriore intervento legislativo a breve.</w:t>
      </w:r>
    </w:p>
    <w:p w:rsidR="00A75218" w:rsidRDefault="00A75218" w:rsidP="00400167">
      <w:pPr>
        <w:ind w:firstLine="426"/>
        <w:jc w:val="both"/>
        <w:rPr>
          <w:i w:val="0"/>
          <w:smallCaps w:val="0"/>
        </w:rPr>
      </w:pPr>
      <w:r>
        <w:rPr>
          <w:i w:val="0"/>
          <w:smallCaps w:val="0"/>
        </w:rPr>
        <w:t xml:space="preserve">La più importante di tali questioni attiene alla circostanza che ancora oggi, dopo le pur rilevanti riforme che hanno interessato il Codice antimafia </w:t>
      </w:r>
      <w:r>
        <w:rPr>
          <w:smallCaps w:val="0"/>
        </w:rPr>
        <w:t xml:space="preserve">in parte qua, </w:t>
      </w:r>
      <w:r>
        <w:rPr>
          <w:i w:val="0"/>
          <w:smallCaps w:val="0"/>
        </w:rPr>
        <w:t>nessuna disposizione obbliga il Prefetto a tenere conto, tra i diversi elementi considerati ai fini delle proprie determinazioni, anche dell’eventuale incidenza determinante che l’attività imprenditoriale svolge nel consentire al soggetto colpito dall’</w:t>
      </w:r>
      <w:proofErr w:type="spellStart"/>
      <w:r>
        <w:rPr>
          <w:i w:val="0"/>
          <w:smallCaps w:val="0"/>
        </w:rPr>
        <w:t>interdittiva</w:t>
      </w:r>
      <w:proofErr w:type="spellEnd"/>
      <w:r>
        <w:rPr>
          <w:i w:val="0"/>
          <w:smallCaps w:val="0"/>
        </w:rPr>
        <w:t xml:space="preserve"> di procacciarsi i propri mezzi di sostentamento: ciò a differenza di quanto previsto per le misure di prevenzione irrogate dal giudice (articolo 67, comma </w:t>
      </w:r>
      <w:r w:rsidR="00806D48">
        <w:rPr>
          <w:i w:val="0"/>
          <w:smallCaps w:val="0"/>
        </w:rPr>
        <w:t>5</w:t>
      </w:r>
      <w:r>
        <w:rPr>
          <w:i w:val="0"/>
          <w:smallCaps w:val="0"/>
        </w:rPr>
        <w:t xml:space="preserve">, </w:t>
      </w:r>
      <w:r w:rsidR="00806D48">
        <w:rPr>
          <w:i w:val="0"/>
          <w:smallCaps w:val="0"/>
        </w:rPr>
        <w:t>d.lgs. n. 159/2011)</w:t>
      </w:r>
      <w:r w:rsidR="00806D48">
        <w:rPr>
          <w:rStyle w:val="Rimandonotaapidipagina"/>
          <w:i w:val="0"/>
          <w:smallCaps w:val="0"/>
        </w:rPr>
        <w:footnoteReference w:id="200"/>
      </w:r>
      <w:r w:rsidR="00806D48">
        <w:rPr>
          <w:i w:val="0"/>
          <w:smallCaps w:val="0"/>
        </w:rPr>
        <w:t xml:space="preserve">. Si tratta di una questione di estrema rilevanza, in considerazione dell’ormai onnicomprensiva portata degli effetti </w:t>
      </w:r>
      <w:proofErr w:type="spellStart"/>
      <w:r w:rsidR="00806D48">
        <w:rPr>
          <w:i w:val="0"/>
          <w:smallCaps w:val="0"/>
        </w:rPr>
        <w:t>interdittivi</w:t>
      </w:r>
      <w:proofErr w:type="spellEnd"/>
      <w:r w:rsidR="00806D48">
        <w:rPr>
          <w:i w:val="0"/>
          <w:smallCaps w:val="0"/>
        </w:rPr>
        <w:t xml:space="preserve"> che scaturiscono dall’informativa prefettizia, e forse ormai resa indifferibile dal fatto che il legislatore abbia ampliato lo spettro dei poteri valutativi del Prefetto, consentendogli di valutare la maggiore o minore gravità del pericolo di condizionamento anche ai fini dell’applicazione di diverse misure.</w:t>
      </w:r>
    </w:p>
    <w:p w:rsidR="00806D48" w:rsidRDefault="00806D48" w:rsidP="00400167">
      <w:pPr>
        <w:ind w:firstLine="426"/>
        <w:jc w:val="both"/>
        <w:rPr>
          <w:i w:val="0"/>
          <w:smallCaps w:val="0"/>
        </w:rPr>
      </w:pPr>
      <w:r>
        <w:rPr>
          <w:i w:val="0"/>
          <w:smallCaps w:val="0"/>
        </w:rPr>
        <w:t>Il tema è stato sottoposto anche alla Corte costituzionale</w:t>
      </w:r>
      <w:r>
        <w:rPr>
          <w:rStyle w:val="Rimandonotaapidipagina"/>
          <w:i w:val="0"/>
          <w:smallCaps w:val="0"/>
        </w:rPr>
        <w:footnoteReference w:id="201"/>
      </w:r>
      <w:r>
        <w:rPr>
          <w:i w:val="0"/>
          <w:smallCaps w:val="0"/>
        </w:rPr>
        <w:t>, la quale, pur dichiarando inammissibile la questione di legittimità costituzionale nei termini in cui le era stata sottoposta, ne ha chiaramente affermato la serietà e fondatezza, riconoscendo l’esistenza di un’incongruenza nel sistema normativo e auspicando che il legislatore vi ponga rilievo</w:t>
      </w:r>
      <w:r>
        <w:rPr>
          <w:rStyle w:val="Rimandonotaapidipagina"/>
          <w:i w:val="0"/>
          <w:smallCaps w:val="0"/>
        </w:rPr>
        <w:footnoteReference w:id="202"/>
      </w:r>
      <w:r>
        <w:rPr>
          <w:i w:val="0"/>
          <w:smallCaps w:val="0"/>
        </w:rPr>
        <w:t>. In effetti, si apprende oggi di una proposta emendativa a un disegno di legge</w:t>
      </w:r>
      <w:r w:rsidR="003F55AD">
        <w:rPr>
          <w:i w:val="0"/>
          <w:smallCaps w:val="0"/>
        </w:rPr>
        <w:t xml:space="preserve"> all’esame della Camera in materia di ordine pubblico e sicurezza urbana,</w:t>
      </w:r>
      <w:r w:rsidR="003F55AD">
        <w:rPr>
          <w:rStyle w:val="Rimandonotaapidipagina"/>
          <w:i w:val="0"/>
          <w:smallCaps w:val="0"/>
        </w:rPr>
        <w:footnoteReference w:id="203"/>
      </w:r>
      <w:r w:rsidR="003F55AD">
        <w:rPr>
          <w:i w:val="0"/>
          <w:smallCaps w:val="0"/>
        </w:rPr>
        <w:t xml:space="preserve"> attraverso la quale si intenderebbe introdurre, sia pure limitatamente alle imprese individuali, un potere valutativo del Prefetto analogo a quello attribuito al giudice dall’articolo 67, comma 5, del Codice.</w:t>
      </w:r>
    </w:p>
    <w:p w:rsidR="003F55AD" w:rsidRPr="003F55AD" w:rsidRDefault="003F55AD" w:rsidP="00400167">
      <w:pPr>
        <w:ind w:firstLine="426"/>
        <w:jc w:val="both"/>
        <w:rPr>
          <w:i w:val="0"/>
          <w:smallCaps w:val="0"/>
        </w:rPr>
      </w:pPr>
      <w:r>
        <w:rPr>
          <w:i w:val="0"/>
          <w:smallCaps w:val="0"/>
        </w:rPr>
        <w:lastRenderedPageBreak/>
        <w:t>Non è noto quali siano i tempi della proposta legislativa</w:t>
      </w:r>
      <w:r w:rsidR="00CD0E84">
        <w:rPr>
          <w:i w:val="0"/>
          <w:smallCaps w:val="0"/>
        </w:rPr>
        <w:t xml:space="preserve"> in questione</w:t>
      </w:r>
      <w:r>
        <w:rPr>
          <w:i w:val="0"/>
          <w:smallCaps w:val="0"/>
        </w:rPr>
        <w:t xml:space="preserve"> ovvero le probabilità di un suo proficuo </w:t>
      </w:r>
      <w:r>
        <w:rPr>
          <w:smallCaps w:val="0"/>
        </w:rPr>
        <w:t>iter</w:t>
      </w:r>
      <w:r>
        <w:rPr>
          <w:i w:val="0"/>
          <w:smallCaps w:val="0"/>
        </w:rPr>
        <w:t>;</w:t>
      </w:r>
      <w:r>
        <w:rPr>
          <w:smallCaps w:val="0"/>
        </w:rPr>
        <w:t xml:space="preserve"> </w:t>
      </w:r>
      <w:r>
        <w:rPr>
          <w:i w:val="0"/>
          <w:smallCaps w:val="0"/>
        </w:rPr>
        <w:t>né sembra appagante, in considerazione delle ragioni su cui la Corte costituzionale ha fondato la declaratoria di inammissibilità da ultimo richiamata</w:t>
      </w:r>
      <w:r>
        <w:rPr>
          <w:rStyle w:val="Rimandonotaapidipagina"/>
          <w:i w:val="0"/>
          <w:smallCaps w:val="0"/>
        </w:rPr>
        <w:footnoteReference w:id="204"/>
      </w:r>
      <w:r>
        <w:rPr>
          <w:i w:val="0"/>
          <w:smallCaps w:val="0"/>
        </w:rPr>
        <w:t>, l’invito della dottrina a sottoporre nuovamente la questione al giudice delle leggi</w:t>
      </w:r>
      <w:r>
        <w:rPr>
          <w:rStyle w:val="Rimandonotaapidipagina"/>
          <w:i w:val="0"/>
          <w:smallCaps w:val="0"/>
        </w:rPr>
        <w:footnoteReference w:id="205"/>
      </w:r>
      <w:r>
        <w:rPr>
          <w:i w:val="0"/>
          <w:smallCaps w:val="0"/>
        </w:rPr>
        <w:t xml:space="preserve">. Certo è che, se il legislatore deciderà di intervenire nuovamente sulla materia, </w:t>
      </w:r>
      <w:r w:rsidR="00CD0E84">
        <w:rPr>
          <w:i w:val="0"/>
          <w:smallCaps w:val="0"/>
        </w:rPr>
        <w:t>sarebbe auspicabile che lo facesse non</w:t>
      </w:r>
      <w:r>
        <w:rPr>
          <w:i w:val="0"/>
          <w:smallCaps w:val="0"/>
        </w:rPr>
        <w:t xml:space="preserve"> con un’ennesima novella-</w:t>
      </w:r>
      <w:r>
        <w:rPr>
          <w:smallCaps w:val="0"/>
        </w:rPr>
        <w:t xml:space="preserve">spot, </w:t>
      </w:r>
      <w:r>
        <w:rPr>
          <w:i w:val="0"/>
          <w:smallCaps w:val="0"/>
        </w:rPr>
        <w:t>ma cogliendo l’occasione per quella revisione complessiva del sistema delle misure di prevenzione antimafia e delle loro interrelazioni che appare ormai indifferibile.</w:t>
      </w:r>
    </w:p>
    <w:sectPr w:rsidR="003F55AD" w:rsidRPr="003F55AD">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D77" w:rsidRDefault="00BE7D77" w:rsidP="00303ED1">
      <w:r>
        <w:separator/>
      </w:r>
    </w:p>
  </w:endnote>
  <w:endnote w:type="continuationSeparator" w:id="0">
    <w:p w:rsidR="00BE7D77" w:rsidRDefault="00BE7D77" w:rsidP="0030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AF4" w:rsidRDefault="00FD7AF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09887"/>
      <w:docPartObj>
        <w:docPartGallery w:val="Page Numbers (Bottom of Page)"/>
        <w:docPartUnique/>
      </w:docPartObj>
    </w:sdtPr>
    <w:sdtEndPr>
      <w:rPr>
        <w:i w:val="0"/>
      </w:rPr>
    </w:sdtEndPr>
    <w:sdtContent>
      <w:bookmarkStart w:id="0" w:name="_GoBack" w:displacedByCustomXml="prev"/>
      <w:p w:rsidR="00FD7AF4" w:rsidRPr="00FD7AF4" w:rsidRDefault="00FD7AF4">
        <w:pPr>
          <w:pStyle w:val="Pidipagina"/>
          <w:rPr>
            <w:i w:val="0"/>
          </w:rPr>
        </w:pPr>
        <w:r w:rsidRPr="00FD7AF4">
          <w:rPr>
            <w:i w:val="0"/>
          </w:rPr>
          <w:fldChar w:fldCharType="begin"/>
        </w:r>
        <w:r w:rsidRPr="00FD7AF4">
          <w:rPr>
            <w:i w:val="0"/>
          </w:rPr>
          <w:instrText>PAGE   \* MERGEFORMAT</w:instrText>
        </w:r>
        <w:r w:rsidRPr="00FD7AF4">
          <w:rPr>
            <w:i w:val="0"/>
          </w:rPr>
          <w:fldChar w:fldCharType="separate"/>
        </w:r>
        <w:r>
          <w:rPr>
            <w:i w:val="0"/>
            <w:noProof/>
          </w:rPr>
          <w:t>1</w:t>
        </w:r>
        <w:r w:rsidRPr="00FD7AF4">
          <w:rPr>
            <w:i w:val="0"/>
          </w:rPr>
          <w:fldChar w:fldCharType="end"/>
        </w:r>
      </w:p>
    </w:sdtContent>
  </w:sdt>
  <w:bookmarkEnd w:id="0"/>
  <w:p w:rsidR="00FD7AF4" w:rsidRDefault="00FD7AF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AF4" w:rsidRDefault="00FD7A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D77" w:rsidRDefault="00BE7D77" w:rsidP="00303ED1">
      <w:r>
        <w:separator/>
      </w:r>
    </w:p>
  </w:footnote>
  <w:footnote w:type="continuationSeparator" w:id="0">
    <w:p w:rsidR="00BE7D77" w:rsidRDefault="00BE7D77" w:rsidP="00303ED1">
      <w:r>
        <w:continuationSeparator/>
      </w:r>
    </w:p>
  </w:footnote>
  <w:footnote w:id="1">
    <w:p w:rsidR="00BE7D77" w:rsidRPr="00303ED1" w:rsidRDefault="00BE7D77" w:rsidP="00303ED1">
      <w:pPr>
        <w:pStyle w:val="Testonotaapidipagina"/>
        <w:jc w:val="both"/>
        <w:rPr>
          <w:i w:val="0"/>
          <w:smallCaps w:val="0"/>
        </w:rPr>
      </w:pPr>
      <w:r w:rsidRPr="00303ED1">
        <w:rPr>
          <w:rStyle w:val="Rimandonotaapidipagina"/>
        </w:rPr>
        <w:sym w:font="Symbol" w:char="F02A"/>
      </w:r>
      <w:r>
        <w:t xml:space="preserve"> </w:t>
      </w:r>
      <w:r>
        <w:rPr>
          <w:i w:val="0"/>
          <w:smallCaps w:val="0"/>
        </w:rPr>
        <w:t>Il presente contributo sviluppa, ampliandoli, i temi trattati nel corso dei seminari in materia di misure antimafia e scioglimento degli organi elettivi degli Enti locali per infiltrazioni mafiose, rivolti ai neo-Consiglieri di Prefettura, che si sono tenuti presso il Consiglio di Stato nei giorni 15 dicembre 2023 e 14 giugno 2024.</w:t>
      </w:r>
    </w:p>
  </w:footnote>
  <w:footnote w:id="2">
    <w:p w:rsidR="00BE7D77" w:rsidRPr="00FB18CE" w:rsidRDefault="00BE7D77" w:rsidP="00B621B0">
      <w:pPr>
        <w:pStyle w:val="Testonotaapidipagina"/>
        <w:jc w:val="both"/>
        <w:rPr>
          <w:i w:val="0"/>
          <w:smallCaps w:val="0"/>
        </w:rPr>
      </w:pPr>
      <w:r w:rsidRPr="00B621B0">
        <w:rPr>
          <w:rStyle w:val="Rimandonotaapidipagina"/>
          <w:i w:val="0"/>
          <w:smallCaps w:val="0"/>
        </w:rPr>
        <w:footnoteRef/>
      </w:r>
      <w:r w:rsidRPr="00B621B0">
        <w:rPr>
          <w:i w:val="0"/>
          <w:smallCaps w:val="0"/>
        </w:rPr>
        <w:t xml:space="preserve"> </w:t>
      </w:r>
      <w:r>
        <w:rPr>
          <w:i w:val="0"/>
          <w:smallCaps w:val="0"/>
        </w:rPr>
        <w:t xml:space="preserve">Vastissima è la letteratura in tema di misure e documentazione antimafia: in questa sede, senza pretese di esaustività e rinviando al prosieguo l’indicazione di contributi più specifici, si segnalano A. POLICE, </w:t>
      </w:r>
      <w:r>
        <w:rPr>
          <w:smallCaps w:val="0"/>
        </w:rPr>
        <w:t xml:space="preserve">La disciplina antimafia tra tutela dell’ordine pubblico e diritto al sostentamento, </w:t>
      </w:r>
      <w:r>
        <w:rPr>
          <w:i w:val="0"/>
          <w:smallCaps w:val="0"/>
        </w:rPr>
        <w:t xml:space="preserve">in </w:t>
      </w:r>
      <w:r>
        <w:rPr>
          <w:smallCaps w:val="0"/>
        </w:rPr>
        <w:t xml:space="preserve">www.amministrazioneincammino.it, </w:t>
      </w:r>
      <w:r>
        <w:rPr>
          <w:i w:val="0"/>
          <w:smallCaps w:val="0"/>
        </w:rPr>
        <w:t xml:space="preserve">19 dicembre 2023; R. ROLLI – M. MAGGIOLINI, </w:t>
      </w:r>
      <w:proofErr w:type="spellStart"/>
      <w:r>
        <w:rPr>
          <w:smallCaps w:val="0"/>
        </w:rPr>
        <w:t>Interdittiva</w:t>
      </w:r>
      <w:proofErr w:type="spellEnd"/>
      <w:r>
        <w:rPr>
          <w:smallCaps w:val="0"/>
        </w:rPr>
        <w:t xml:space="preserve"> antimafia e “occasionale occasionalità” della permeabilità mafiosa, </w:t>
      </w:r>
      <w:r>
        <w:rPr>
          <w:i w:val="0"/>
          <w:smallCaps w:val="0"/>
        </w:rPr>
        <w:t xml:space="preserve">in </w:t>
      </w:r>
      <w:r>
        <w:rPr>
          <w:smallCaps w:val="0"/>
        </w:rPr>
        <w:t xml:space="preserve">www.giustiziainsieme.it, </w:t>
      </w:r>
      <w:r>
        <w:rPr>
          <w:i w:val="0"/>
          <w:smallCaps w:val="0"/>
        </w:rPr>
        <w:t xml:space="preserve">ottobre 2023; F. FIGORILLI – W. GIULIETTI, </w:t>
      </w:r>
      <w:r>
        <w:rPr>
          <w:smallCaps w:val="0"/>
        </w:rPr>
        <w:t xml:space="preserve">Contributo allo studio della documentazione antimafia: aspetti sostanziali, procedurali e di tutela giurisdizionale, </w:t>
      </w:r>
      <w:r>
        <w:rPr>
          <w:i w:val="0"/>
          <w:smallCaps w:val="0"/>
        </w:rPr>
        <w:t xml:space="preserve">in </w:t>
      </w:r>
      <w:r>
        <w:rPr>
          <w:smallCaps w:val="0"/>
        </w:rPr>
        <w:t xml:space="preserve">www.federalismi.it, </w:t>
      </w:r>
      <w:r>
        <w:rPr>
          <w:i w:val="0"/>
          <w:smallCaps w:val="0"/>
        </w:rPr>
        <w:t xml:space="preserve">n. 14/2021 (2 giugno 2021); A. CARIOLA, </w:t>
      </w:r>
      <w:r>
        <w:rPr>
          <w:smallCaps w:val="0"/>
        </w:rPr>
        <w:t xml:space="preserve">Che contenuto ha la libertà personale? </w:t>
      </w:r>
      <w:proofErr w:type="spellStart"/>
      <w:r>
        <w:rPr>
          <w:smallCaps w:val="0"/>
        </w:rPr>
        <w:t>Interdittive</w:t>
      </w:r>
      <w:proofErr w:type="spellEnd"/>
      <w:r>
        <w:rPr>
          <w:smallCaps w:val="0"/>
        </w:rPr>
        <w:t xml:space="preserve"> antimafia, sindacato sull’esercizio del potere amministrativo e problemi di giurisdizione, </w:t>
      </w:r>
      <w:r>
        <w:rPr>
          <w:i w:val="0"/>
          <w:smallCaps w:val="0"/>
        </w:rPr>
        <w:t xml:space="preserve">in </w:t>
      </w:r>
      <w:r>
        <w:rPr>
          <w:smallCaps w:val="0"/>
        </w:rPr>
        <w:t xml:space="preserve">www.dirittifondamentali.it, </w:t>
      </w:r>
      <w:r>
        <w:rPr>
          <w:i w:val="0"/>
          <w:smallCaps w:val="0"/>
        </w:rPr>
        <w:t xml:space="preserve">marzo 2021; A.M. SPECIALE, </w:t>
      </w:r>
      <w:proofErr w:type="spellStart"/>
      <w:r>
        <w:rPr>
          <w:smallCaps w:val="0"/>
        </w:rPr>
        <w:t>Interdittive</w:t>
      </w:r>
      <w:proofErr w:type="spellEnd"/>
      <w:r>
        <w:rPr>
          <w:smallCaps w:val="0"/>
        </w:rPr>
        <w:t xml:space="preserve"> antimafia tra vecchi confini e nuovi speciali, </w:t>
      </w:r>
      <w:r>
        <w:rPr>
          <w:i w:val="0"/>
          <w:smallCaps w:val="0"/>
        </w:rPr>
        <w:t xml:space="preserve">in </w:t>
      </w:r>
      <w:r>
        <w:rPr>
          <w:smallCaps w:val="0"/>
        </w:rPr>
        <w:t xml:space="preserve">www.giustizia-amministrativa.it, </w:t>
      </w:r>
      <w:r>
        <w:rPr>
          <w:i w:val="0"/>
          <w:smallCaps w:val="0"/>
        </w:rPr>
        <w:t xml:space="preserve">26 ottobre 2020; G. AMARELLI, </w:t>
      </w:r>
      <w:proofErr w:type="spellStart"/>
      <w:r>
        <w:rPr>
          <w:smallCaps w:val="0"/>
        </w:rPr>
        <w:t>Interdittive</w:t>
      </w:r>
      <w:proofErr w:type="spellEnd"/>
      <w:r>
        <w:rPr>
          <w:smallCaps w:val="0"/>
        </w:rPr>
        <w:t xml:space="preserve"> antimafia e “valori fondanti della democrazia”: il pericoloso equivoco da evitare, </w:t>
      </w:r>
      <w:r>
        <w:rPr>
          <w:i w:val="0"/>
          <w:smallCaps w:val="0"/>
        </w:rPr>
        <w:t xml:space="preserve">in </w:t>
      </w:r>
      <w:r>
        <w:rPr>
          <w:smallCaps w:val="0"/>
        </w:rPr>
        <w:t xml:space="preserve">www.giustiziainsieme.it, </w:t>
      </w:r>
      <w:r>
        <w:rPr>
          <w:i w:val="0"/>
          <w:smallCaps w:val="0"/>
        </w:rPr>
        <w:t xml:space="preserve">17 luglio 2020; R. ROLLI, </w:t>
      </w:r>
      <w:r>
        <w:rPr>
          <w:smallCaps w:val="0"/>
        </w:rPr>
        <w:t xml:space="preserve">L’informazione antimafia come “frontiera avanzata” (nota a sentenza Consiglio di Stato Sez. III n. 3641 dell’08.06.2020), </w:t>
      </w:r>
      <w:r>
        <w:rPr>
          <w:i w:val="0"/>
          <w:smallCaps w:val="0"/>
        </w:rPr>
        <w:t xml:space="preserve">in </w:t>
      </w:r>
      <w:r w:rsidRPr="00FB18CE">
        <w:rPr>
          <w:smallCaps w:val="0"/>
        </w:rPr>
        <w:t>www.giustiziainsieme.it</w:t>
      </w:r>
      <w:r>
        <w:rPr>
          <w:i w:val="0"/>
          <w:smallCaps w:val="0"/>
        </w:rPr>
        <w:t xml:space="preserve">, 3 luglio 2020; N. DURANTE, </w:t>
      </w:r>
      <w:r>
        <w:rPr>
          <w:smallCaps w:val="0"/>
        </w:rPr>
        <w:t>L’</w:t>
      </w:r>
      <w:proofErr w:type="spellStart"/>
      <w:r>
        <w:rPr>
          <w:smallCaps w:val="0"/>
        </w:rPr>
        <w:t>interdittiva</w:t>
      </w:r>
      <w:proofErr w:type="spellEnd"/>
      <w:r>
        <w:rPr>
          <w:smallCaps w:val="0"/>
        </w:rPr>
        <w:t xml:space="preserve"> antimafia, tra tutela anticipatoria ed eterogenesi dei fini, </w:t>
      </w:r>
      <w:r>
        <w:rPr>
          <w:i w:val="0"/>
          <w:smallCaps w:val="0"/>
        </w:rPr>
        <w:t xml:space="preserve">in </w:t>
      </w:r>
      <w:proofErr w:type="spellStart"/>
      <w:r>
        <w:rPr>
          <w:smallCaps w:val="0"/>
        </w:rPr>
        <w:t>Riv</w:t>
      </w:r>
      <w:proofErr w:type="spellEnd"/>
      <w:r>
        <w:rPr>
          <w:smallCaps w:val="0"/>
        </w:rPr>
        <w:t xml:space="preserve">. trim. appalti, </w:t>
      </w:r>
      <w:r>
        <w:rPr>
          <w:i w:val="0"/>
          <w:smallCaps w:val="0"/>
        </w:rPr>
        <w:t xml:space="preserve">2020, 4, pp. 1693 ss.; R. GAROFOLI – G. FERRARI, </w:t>
      </w:r>
      <w:r>
        <w:rPr>
          <w:smallCaps w:val="0"/>
        </w:rPr>
        <w:t xml:space="preserve">Manuale di diritto amministrativo. Parte generale e speciale, </w:t>
      </w:r>
      <w:r>
        <w:rPr>
          <w:i w:val="0"/>
          <w:smallCaps w:val="0"/>
        </w:rPr>
        <w:t>Roma</w:t>
      </w:r>
      <w:r w:rsidRPr="0015214A">
        <w:rPr>
          <w:i w:val="0"/>
          <w:smallCaps w:val="0"/>
        </w:rPr>
        <w:t>, 2020, pp. 1333</w:t>
      </w:r>
      <w:r>
        <w:rPr>
          <w:i w:val="0"/>
          <w:smallCaps w:val="0"/>
        </w:rPr>
        <w:t xml:space="preserve"> ss.; J.P. DE JORIO, </w:t>
      </w:r>
      <w:r>
        <w:rPr>
          <w:smallCaps w:val="0"/>
        </w:rPr>
        <w:t xml:space="preserve">Le </w:t>
      </w:r>
      <w:proofErr w:type="spellStart"/>
      <w:r>
        <w:rPr>
          <w:smallCaps w:val="0"/>
        </w:rPr>
        <w:t>interdittive</w:t>
      </w:r>
      <w:proofErr w:type="spellEnd"/>
      <w:r>
        <w:rPr>
          <w:smallCaps w:val="0"/>
        </w:rPr>
        <w:t xml:space="preserve"> antimafia e il difficile bilanciamento con i diritti fondamentali, </w:t>
      </w:r>
      <w:r>
        <w:rPr>
          <w:i w:val="0"/>
          <w:smallCaps w:val="0"/>
        </w:rPr>
        <w:t xml:space="preserve">Napoli, 2019; A. LONGO, </w:t>
      </w:r>
      <w:r>
        <w:rPr>
          <w:smallCaps w:val="0"/>
        </w:rPr>
        <w:t xml:space="preserve">La “massima anticipazione di tutela”. </w:t>
      </w:r>
      <w:proofErr w:type="spellStart"/>
      <w:r>
        <w:rPr>
          <w:smallCaps w:val="0"/>
        </w:rPr>
        <w:t>Interdittive</w:t>
      </w:r>
      <w:proofErr w:type="spellEnd"/>
      <w:r>
        <w:rPr>
          <w:smallCaps w:val="0"/>
        </w:rPr>
        <w:t xml:space="preserve"> antimafia e sofferenze costituzionali, </w:t>
      </w:r>
      <w:r>
        <w:rPr>
          <w:i w:val="0"/>
          <w:smallCaps w:val="0"/>
        </w:rPr>
        <w:t xml:space="preserve">in </w:t>
      </w:r>
      <w:r w:rsidRPr="00AD16B2">
        <w:rPr>
          <w:smallCaps w:val="0"/>
        </w:rPr>
        <w:t>www.federalismi.it</w:t>
      </w:r>
      <w:r>
        <w:rPr>
          <w:smallCaps w:val="0"/>
        </w:rPr>
        <w:t xml:space="preserve">, </w:t>
      </w:r>
      <w:r>
        <w:rPr>
          <w:i w:val="0"/>
          <w:smallCaps w:val="0"/>
        </w:rPr>
        <w:t xml:space="preserve">n. 19/2019 (16 ottobre 2019); V. SALAMONE, </w:t>
      </w:r>
      <w:r>
        <w:rPr>
          <w:smallCaps w:val="0"/>
        </w:rPr>
        <w:t xml:space="preserve">la documentazione antimafia nella normativa e nella giurisprudenza, </w:t>
      </w:r>
      <w:r>
        <w:rPr>
          <w:i w:val="0"/>
          <w:smallCaps w:val="0"/>
        </w:rPr>
        <w:t xml:space="preserve">Napoli, 2019; G. AMARELLI – S. STICCHI DAMIANI (a cura di), </w:t>
      </w:r>
      <w:r>
        <w:rPr>
          <w:smallCaps w:val="0"/>
        </w:rPr>
        <w:t xml:space="preserve">Le </w:t>
      </w:r>
      <w:proofErr w:type="spellStart"/>
      <w:r>
        <w:rPr>
          <w:smallCaps w:val="0"/>
        </w:rPr>
        <w:t>interdittive</w:t>
      </w:r>
      <w:proofErr w:type="spellEnd"/>
      <w:r>
        <w:rPr>
          <w:smallCaps w:val="0"/>
        </w:rPr>
        <w:t xml:space="preserve"> antimafia e le altre misure di contrasto all’infiltrazione mafiosa negli appalti pubblici, </w:t>
      </w:r>
      <w:r>
        <w:rPr>
          <w:i w:val="0"/>
          <w:smallCaps w:val="0"/>
        </w:rPr>
        <w:t xml:space="preserve">Torino, 2019; F.G. SCOCA, </w:t>
      </w:r>
      <w:r>
        <w:rPr>
          <w:smallCaps w:val="0"/>
        </w:rPr>
        <w:t xml:space="preserve">Le </w:t>
      </w:r>
      <w:proofErr w:type="spellStart"/>
      <w:r>
        <w:rPr>
          <w:smallCaps w:val="0"/>
        </w:rPr>
        <w:t>interdittive</w:t>
      </w:r>
      <w:proofErr w:type="spellEnd"/>
      <w:r>
        <w:rPr>
          <w:smallCaps w:val="0"/>
        </w:rPr>
        <w:t xml:space="preserve"> antimafia e la razionalità, la ragionevolezza e la costituzionalità della lotta “anticipata” alla criminalità organizzata, </w:t>
      </w:r>
      <w:r>
        <w:rPr>
          <w:i w:val="0"/>
          <w:smallCaps w:val="0"/>
        </w:rPr>
        <w:t xml:space="preserve">in </w:t>
      </w:r>
      <w:r w:rsidRPr="00687D85">
        <w:rPr>
          <w:smallCaps w:val="0"/>
        </w:rPr>
        <w:t>www.giustamm.it</w:t>
      </w:r>
      <w:r>
        <w:rPr>
          <w:smallCaps w:val="0"/>
        </w:rPr>
        <w:t xml:space="preserve">, </w:t>
      </w:r>
      <w:r>
        <w:rPr>
          <w:i w:val="0"/>
          <w:smallCaps w:val="0"/>
        </w:rPr>
        <w:t xml:space="preserve">30 giugno 2018; A. BONGARZONE, </w:t>
      </w:r>
      <w:r>
        <w:rPr>
          <w:smallCaps w:val="0"/>
        </w:rPr>
        <w:t xml:space="preserve">L’informativa antimafia nelle dinamiche negoziali tra privati e pubbliche amministrazioni, </w:t>
      </w:r>
      <w:r>
        <w:rPr>
          <w:i w:val="0"/>
          <w:smallCaps w:val="0"/>
        </w:rPr>
        <w:t xml:space="preserve">Napoli, 2018; M. NOCCELLI, </w:t>
      </w:r>
      <w:r>
        <w:rPr>
          <w:smallCaps w:val="0"/>
        </w:rPr>
        <w:t xml:space="preserve">I più recenti orientamenti della giurisprudenza amministrativa sul complesso sistema antimafia, </w:t>
      </w:r>
      <w:r>
        <w:rPr>
          <w:i w:val="0"/>
          <w:smallCaps w:val="0"/>
        </w:rPr>
        <w:t xml:space="preserve">in </w:t>
      </w:r>
      <w:r>
        <w:rPr>
          <w:smallCaps w:val="0"/>
        </w:rPr>
        <w:t xml:space="preserve">Foro </w:t>
      </w:r>
      <w:proofErr w:type="spellStart"/>
      <w:r>
        <w:rPr>
          <w:smallCaps w:val="0"/>
        </w:rPr>
        <w:t>amm</w:t>
      </w:r>
      <w:proofErr w:type="spellEnd"/>
      <w:r>
        <w:rPr>
          <w:smallCaps w:val="0"/>
        </w:rPr>
        <w:t xml:space="preserve">., </w:t>
      </w:r>
      <w:r>
        <w:rPr>
          <w:i w:val="0"/>
          <w:smallCaps w:val="0"/>
        </w:rPr>
        <w:t xml:space="preserve">2017, pp. 2524 ss.; S. MAZZAMUTO, </w:t>
      </w:r>
      <w:r>
        <w:rPr>
          <w:smallCaps w:val="0"/>
        </w:rPr>
        <w:t xml:space="preserve">Profili di documentazione antimafia, </w:t>
      </w:r>
      <w:r>
        <w:rPr>
          <w:i w:val="0"/>
          <w:smallCaps w:val="0"/>
        </w:rPr>
        <w:t xml:space="preserve">in </w:t>
      </w:r>
      <w:r>
        <w:rPr>
          <w:smallCaps w:val="0"/>
        </w:rPr>
        <w:t xml:space="preserve">www.giustamm.it, </w:t>
      </w:r>
      <w:r>
        <w:rPr>
          <w:i w:val="0"/>
          <w:smallCaps w:val="0"/>
        </w:rPr>
        <w:t xml:space="preserve">n. 3/2016; G. D’ANGELO, </w:t>
      </w:r>
      <w:r>
        <w:rPr>
          <w:smallCaps w:val="0"/>
        </w:rPr>
        <w:t xml:space="preserve">La documentazione antimafia nel D. </w:t>
      </w:r>
      <w:proofErr w:type="spellStart"/>
      <w:r>
        <w:rPr>
          <w:smallCaps w:val="0"/>
        </w:rPr>
        <w:t>Lgs</w:t>
      </w:r>
      <w:proofErr w:type="spellEnd"/>
      <w:r>
        <w:rPr>
          <w:smallCaps w:val="0"/>
        </w:rPr>
        <w:t xml:space="preserve">. 6 settembre 2011, n. 159: profili critici, </w:t>
      </w:r>
      <w:r>
        <w:rPr>
          <w:i w:val="0"/>
          <w:smallCaps w:val="0"/>
        </w:rPr>
        <w:t xml:space="preserve">in </w:t>
      </w:r>
      <w:proofErr w:type="spellStart"/>
      <w:r>
        <w:rPr>
          <w:smallCaps w:val="0"/>
        </w:rPr>
        <w:t>Urb</w:t>
      </w:r>
      <w:proofErr w:type="spellEnd"/>
      <w:r>
        <w:rPr>
          <w:smallCaps w:val="0"/>
        </w:rPr>
        <w:t xml:space="preserve">. e </w:t>
      </w:r>
      <w:proofErr w:type="spellStart"/>
      <w:r>
        <w:rPr>
          <w:smallCaps w:val="0"/>
        </w:rPr>
        <w:t>app</w:t>
      </w:r>
      <w:proofErr w:type="spellEnd"/>
      <w:r>
        <w:rPr>
          <w:smallCaps w:val="0"/>
        </w:rPr>
        <w:t xml:space="preserve">., </w:t>
      </w:r>
      <w:r>
        <w:rPr>
          <w:i w:val="0"/>
          <w:smallCaps w:val="0"/>
        </w:rPr>
        <w:t xml:space="preserve">2013, 3, pp. 256 ss.; N. DURANTE, </w:t>
      </w:r>
      <w:r>
        <w:rPr>
          <w:smallCaps w:val="0"/>
        </w:rPr>
        <w:t xml:space="preserve">Ambiti di discrezionalità in materia di documentazione antimafia per le imprese, </w:t>
      </w:r>
      <w:r>
        <w:rPr>
          <w:i w:val="0"/>
          <w:smallCaps w:val="0"/>
        </w:rPr>
        <w:t xml:space="preserve">in </w:t>
      </w:r>
      <w:proofErr w:type="spellStart"/>
      <w:r>
        <w:rPr>
          <w:smallCaps w:val="0"/>
        </w:rPr>
        <w:t>Giurisdiz</w:t>
      </w:r>
      <w:proofErr w:type="spellEnd"/>
      <w:r>
        <w:rPr>
          <w:smallCaps w:val="0"/>
        </w:rPr>
        <w:t xml:space="preserve">. </w:t>
      </w:r>
      <w:proofErr w:type="spellStart"/>
      <w:r>
        <w:rPr>
          <w:smallCaps w:val="0"/>
        </w:rPr>
        <w:t>amm</w:t>
      </w:r>
      <w:proofErr w:type="spellEnd"/>
      <w:r>
        <w:rPr>
          <w:smallCaps w:val="0"/>
        </w:rPr>
        <w:t xml:space="preserve">., </w:t>
      </w:r>
      <w:r>
        <w:rPr>
          <w:i w:val="0"/>
          <w:smallCaps w:val="0"/>
        </w:rPr>
        <w:t xml:space="preserve">2013, IV, pp. 151 ss.; V. NERI, </w:t>
      </w:r>
      <w:r>
        <w:rPr>
          <w:smallCaps w:val="0"/>
        </w:rPr>
        <w:t xml:space="preserve">Informativa antimafia e contrasto alla criminalità organizzata, </w:t>
      </w:r>
      <w:r>
        <w:rPr>
          <w:i w:val="0"/>
          <w:smallCaps w:val="0"/>
        </w:rPr>
        <w:t xml:space="preserve">in </w:t>
      </w:r>
      <w:proofErr w:type="spellStart"/>
      <w:r>
        <w:rPr>
          <w:smallCaps w:val="0"/>
        </w:rPr>
        <w:t>Corr</w:t>
      </w:r>
      <w:proofErr w:type="spellEnd"/>
      <w:r>
        <w:rPr>
          <w:smallCaps w:val="0"/>
        </w:rPr>
        <w:t xml:space="preserve">. Merito, </w:t>
      </w:r>
      <w:r>
        <w:rPr>
          <w:i w:val="0"/>
          <w:smallCaps w:val="0"/>
        </w:rPr>
        <w:t>2010, pp. 810 ss.</w:t>
      </w:r>
    </w:p>
  </w:footnote>
  <w:footnote w:id="3">
    <w:p w:rsidR="00BE7D77" w:rsidRPr="00112508" w:rsidRDefault="00BE7D77" w:rsidP="006B6257">
      <w:pPr>
        <w:pStyle w:val="Testonotaapidipagina"/>
        <w:jc w:val="both"/>
        <w:rPr>
          <w:i w:val="0"/>
          <w:smallCaps w:val="0"/>
        </w:rPr>
      </w:pPr>
      <w:r w:rsidRPr="006B6257">
        <w:rPr>
          <w:rStyle w:val="Rimandonotaapidipagina"/>
          <w:i w:val="0"/>
          <w:smallCaps w:val="0"/>
        </w:rPr>
        <w:footnoteRef/>
      </w:r>
      <w:r w:rsidRPr="006B6257">
        <w:rPr>
          <w:i w:val="0"/>
          <w:smallCaps w:val="0"/>
        </w:rPr>
        <w:t xml:space="preserve"> </w:t>
      </w:r>
      <w:r>
        <w:rPr>
          <w:i w:val="0"/>
          <w:smallCaps w:val="0"/>
        </w:rPr>
        <w:t xml:space="preserve">Cfr. M.A. SANDULLI, </w:t>
      </w:r>
      <w:r>
        <w:rPr>
          <w:smallCaps w:val="0"/>
        </w:rPr>
        <w:t xml:space="preserve">rapporti tra il giudizio sulla legittimità dell’informativa antimafia e l’istituto del controllo giudiziario, </w:t>
      </w:r>
      <w:r>
        <w:rPr>
          <w:i w:val="0"/>
          <w:smallCaps w:val="0"/>
        </w:rPr>
        <w:t xml:space="preserve">in </w:t>
      </w:r>
      <w:r>
        <w:rPr>
          <w:smallCaps w:val="0"/>
        </w:rPr>
        <w:t xml:space="preserve">www.giustizia-amministrativa.it, </w:t>
      </w:r>
      <w:r>
        <w:rPr>
          <w:i w:val="0"/>
          <w:smallCaps w:val="0"/>
        </w:rPr>
        <w:t xml:space="preserve">24 maggio 2022. Secondo G. VELTRI, </w:t>
      </w:r>
      <w:r>
        <w:rPr>
          <w:smallCaps w:val="0"/>
        </w:rPr>
        <w:t xml:space="preserve">La prevenzione antimafia collaborativa: un primo commento, </w:t>
      </w:r>
      <w:r>
        <w:rPr>
          <w:i w:val="0"/>
          <w:smallCaps w:val="0"/>
        </w:rPr>
        <w:t xml:space="preserve">in </w:t>
      </w:r>
      <w:r>
        <w:rPr>
          <w:smallCaps w:val="0"/>
        </w:rPr>
        <w:t xml:space="preserve">www.giustizia-amministrativa.it, </w:t>
      </w:r>
      <w:r>
        <w:rPr>
          <w:i w:val="0"/>
          <w:smallCaps w:val="0"/>
        </w:rPr>
        <w:t>13 maggio 2022, già con le riforme degli anni 2014/2018 l’informativa antimafia ha assunto i caratteri di una vera e propria “</w:t>
      </w:r>
      <w:r>
        <w:rPr>
          <w:smallCaps w:val="0"/>
        </w:rPr>
        <w:t>condizione per l’esercizio di attività economiche</w:t>
      </w:r>
      <w:r>
        <w:rPr>
          <w:i w:val="0"/>
          <w:smallCaps w:val="0"/>
        </w:rPr>
        <w:t>”.</w:t>
      </w:r>
    </w:p>
  </w:footnote>
  <w:footnote w:id="4">
    <w:p w:rsidR="00BE7D77" w:rsidRPr="00236CE1" w:rsidRDefault="00BE7D77" w:rsidP="00236CE1">
      <w:pPr>
        <w:pStyle w:val="Testonotaapidipagina"/>
        <w:jc w:val="both"/>
        <w:rPr>
          <w:i w:val="0"/>
          <w:smallCaps w:val="0"/>
        </w:rPr>
      </w:pPr>
      <w:r w:rsidRPr="00236CE1">
        <w:rPr>
          <w:rStyle w:val="Rimandonotaapidipagina"/>
          <w:i w:val="0"/>
          <w:smallCaps w:val="0"/>
        </w:rPr>
        <w:footnoteRef/>
      </w:r>
      <w:r w:rsidRPr="00236CE1">
        <w:rPr>
          <w:i w:val="0"/>
          <w:smallCaps w:val="0"/>
        </w:rPr>
        <w:t xml:space="preserve"> </w:t>
      </w:r>
      <w:r>
        <w:rPr>
          <w:i w:val="0"/>
          <w:smallCaps w:val="0"/>
        </w:rPr>
        <w:t xml:space="preserve">Cfr. V. BISBIGLIA – N. RONCHETTI, </w:t>
      </w:r>
      <w:r>
        <w:rPr>
          <w:smallCaps w:val="0"/>
        </w:rPr>
        <w:t>Boom d’</w:t>
      </w:r>
      <w:proofErr w:type="spellStart"/>
      <w:r>
        <w:rPr>
          <w:smallCaps w:val="0"/>
        </w:rPr>
        <w:t>interdittive</w:t>
      </w:r>
      <w:proofErr w:type="spellEnd"/>
      <w:r>
        <w:rPr>
          <w:smallCaps w:val="0"/>
        </w:rPr>
        <w:t xml:space="preserve"> antimafia: 8 su 10 per appalti pubblici, </w:t>
      </w:r>
      <w:r>
        <w:rPr>
          <w:i w:val="0"/>
          <w:smallCaps w:val="0"/>
        </w:rPr>
        <w:t xml:space="preserve">in </w:t>
      </w:r>
      <w:r>
        <w:rPr>
          <w:smallCaps w:val="0"/>
        </w:rPr>
        <w:t xml:space="preserve">Il Fatto Quotidiano, </w:t>
      </w:r>
      <w:r>
        <w:rPr>
          <w:i w:val="0"/>
          <w:smallCaps w:val="0"/>
        </w:rPr>
        <w:t>18 gennaio 2024.</w:t>
      </w:r>
    </w:p>
  </w:footnote>
  <w:footnote w:id="5">
    <w:p w:rsidR="00BE7D77" w:rsidRPr="00236CE1" w:rsidRDefault="00BE7D77" w:rsidP="00236CE1">
      <w:pPr>
        <w:pStyle w:val="Testonotaapidipagina"/>
        <w:jc w:val="both"/>
        <w:rPr>
          <w:i w:val="0"/>
          <w:smallCaps w:val="0"/>
        </w:rPr>
      </w:pPr>
      <w:r w:rsidRPr="00236CE1">
        <w:rPr>
          <w:rStyle w:val="Rimandonotaapidipagina"/>
          <w:i w:val="0"/>
          <w:smallCaps w:val="0"/>
        </w:rPr>
        <w:footnoteRef/>
      </w:r>
      <w:r w:rsidRPr="00236CE1">
        <w:rPr>
          <w:i w:val="0"/>
          <w:smallCaps w:val="0"/>
        </w:rPr>
        <w:t xml:space="preserve"> </w:t>
      </w:r>
      <w:r>
        <w:rPr>
          <w:i w:val="0"/>
          <w:smallCaps w:val="0"/>
        </w:rPr>
        <w:t xml:space="preserve">Così F. GATTO, </w:t>
      </w:r>
      <w:r>
        <w:rPr>
          <w:smallCaps w:val="0"/>
        </w:rPr>
        <w:t xml:space="preserve">Le nuove frontiere della Legislazione Antimafia alla luce del D.L. 6 novembre 2021, n. 152, </w:t>
      </w:r>
      <w:r>
        <w:rPr>
          <w:i w:val="0"/>
          <w:smallCaps w:val="0"/>
        </w:rPr>
        <w:t xml:space="preserve">in </w:t>
      </w:r>
      <w:r>
        <w:rPr>
          <w:smallCaps w:val="0"/>
        </w:rPr>
        <w:t xml:space="preserve">www.giustizia-amministrativa.it, </w:t>
      </w:r>
      <w:r>
        <w:rPr>
          <w:i w:val="0"/>
          <w:smallCaps w:val="0"/>
        </w:rPr>
        <w:t>2021.</w:t>
      </w:r>
    </w:p>
  </w:footnote>
  <w:footnote w:id="6">
    <w:p w:rsidR="00BE7D77" w:rsidRPr="00CE55C6" w:rsidRDefault="00BE7D77" w:rsidP="00B07DFB">
      <w:pPr>
        <w:pStyle w:val="Testonotaapidipagina"/>
        <w:jc w:val="both"/>
        <w:rPr>
          <w:i w:val="0"/>
          <w:smallCaps w:val="0"/>
        </w:rPr>
      </w:pPr>
      <w:r w:rsidRPr="00B07DFB">
        <w:rPr>
          <w:rStyle w:val="Rimandonotaapidipagina"/>
          <w:i w:val="0"/>
          <w:smallCaps w:val="0"/>
        </w:rPr>
        <w:footnoteRef/>
      </w:r>
      <w:r w:rsidRPr="00B07DFB">
        <w:rPr>
          <w:i w:val="0"/>
          <w:smallCaps w:val="0"/>
        </w:rPr>
        <w:t xml:space="preserve"> </w:t>
      </w:r>
      <w:r>
        <w:rPr>
          <w:i w:val="0"/>
          <w:smallCaps w:val="0"/>
        </w:rPr>
        <w:t xml:space="preserve">In questo senso, M.A. SANDULLI, </w:t>
      </w:r>
      <w:r>
        <w:rPr>
          <w:smallCaps w:val="0"/>
        </w:rPr>
        <w:t xml:space="preserve">op. cit. </w:t>
      </w:r>
      <w:r>
        <w:rPr>
          <w:i w:val="0"/>
          <w:smallCaps w:val="0"/>
        </w:rPr>
        <w:t>(che cita un’opera in corso di stampa di R. Rolli).</w:t>
      </w:r>
    </w:p>
  </w:footnote>
  <w:footnote w:id="7">
    <w:p w:rsidR="00BE7D77" w:rsidRPr="0015214A" w:rsidRDefault="00BE7D77" w:rsidP="00CE55C6">
      <w:pPr>
        <w:pStyle w:val="Testonotaapidipagina"/>
        <w:jc w:val="both"/>
        <w:rPr>
          <w:i w:val="0"/>
          <w:smallCaps w:val="0"/>
        </w:rPr>
      </w:pPr>
      <w:r w:rsidRPr="00CE55C6">
        <w:rPr>
          <w:rStyle w:val="Rimandonotaapidipagina"/>
          <w:i w:val="0"/>
        </w:rPr>
        <w:footnoteRef/>
      </w:r>
      <w:r w:rsidRPr="00CE55C6">
        <w:rPr>
          <w:i w:val="0"/>
        </w:rPr>
        <w:t xml:space="preserve"> </w:t>
      </w:r>
      <w:r>
        <w:rPr>
          <w:i w:val="0"/>
        </w:rPr>
        <w:t>C</w:t>
      </w:r>
      <w:r w:rsidRPr="00AA0556">
        <w:rPr>
          <w:i w:val="0"/>
          <w:smallCaps w:val="0"/>
        </w:rPr>
        <w:t>fr</w:t>
      </w:r>
      <w:r>
        <w:rPr>
          <w:i w:val="0"/>
        </w:rPr>
        <w:t xml:space="preserve">. R. GAROFOLI – G. FERRARI, </w:t>
      </w:r>
      <w:r w:rsidRPr="0015214A">
        <w:rPr>
          <w:smallCaps w:val="0"/>
        </w:rPr>
        <w:t xml:space="preserve">op. cit., </w:t>
      </w:r>
      <w:r w:rsidRPr="0015214A">
        <w:rPr>
          <w:i w:val="0"/>
          <w:smallCaps w:val="0"/>
        </w:rPr>
        <w:t>p. 1334.</w:t>
      </w:r>
    </w:p>
  </w:footnote>
  <w:footnote w:id="8">
    <w:p w:rsidR="00BE7D77" w:rsidRPr="005372E6" w:rsidRDefault="00BE7D77" w:rsidP="00CE55C6">
      <w:pPr>
        <w:pStyle w:val="Testonotaapidipagina"/>
        <w:jc w:val="both"/>
        <w:rPr>
          <w:i w:val="0"/>
          <w:smallCaps w:val="0"/>
        </w:rPr>
      </w:pPr>
      <w:r w:rsidRPr="0015214A">
        <w:rPr>
          <w:rStyle w:val="Rimandonotaapidipagina"/>
          <w:i w:val="0"/>
          <w:smallCaps w:val="0"/>
        </w:rPr>
        <w:footnoteRef/>
      </w:r>
      <w:r w:rsidRPr="0015214A">
        <w:rPr>
          <w:i w:val="0"/>
          <w:smallCaps w:val="0"/>
        </w:rPr>
        <w:t xml:space="preserve"> Cfr. M. NOCCELLI, </w:t>
      </w:r>
      <w:r w:rsidRPr="0015214A">
        <w:rPr>
          <w:smallCaps w:val="0"/>
        </w:rPr>
        <w:t>I più recenti orientamenti della</w:t>
      </w:r>
      <w:r>
        <w:rPr>
          <w:smallCaps w:val="0"/>
        </w:rPr>
        <w:t xml:space="preserve"> giurisprudenza amministrativa sul complesso sistema antimafia, </w:t>
      </w:r>
      <w:r>
        <w:rPr>
          <w:i w:val="0"/>
          <w:smallCaps w:val="0"/>
        </w:rPr>
        <w:t>cit., p. 2524.</w:t>
      </w:r>
    </w:p>
  </w:footnote>
  <w:footnote w:id="9">
    <w:p w:rsidR="00BE7D77" w:rsidRPr="005372E6" w:rsidRDefault="00BE7D77" w:rsidP="005372E6">
      <w:pPr>
        <w:pStyle w:val="Testonotaapidipagina"/>
        <w:jc w:val="both"/>
        <w:rPr>
          <w:i w:val="0"/>
          <w:smallCaps w:val="0"/>
        </w:rPr>
      </w:pPr>
      <w:r w:rsidRPr="005372E6">
        <w:rPr>
          <w:rStyle w:val="Rimandonotaapidipagina"/>
          <w:i w:val="0"/>
          <w:smallCaps w:val="0"/>
        </w:rPr>
        <w:footnoteRef/>
      </w:r>
      <w:r w:rsidRPr="005372E6">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Ad. </w:t>
      </w:r>
      <w:proofErr w:type="spellStart"/>
      <w:r>
        <w:rPr>
          <w:i w:val="0"/>
          <w:smallCaps w:val="0"/>
        </w:rPr>
        <w:t>pl</w:t>
      </w:r>
      <w:proofErr w:type="spellEnd"/>
      <w:r>
        <w:rPr>
          <w:i w:val="0"/>
          <w:smallCaps w:val="0"/>
        </w:rPr>
        <w:t>., 6 aprile 2018, n. 3; id., sez. III, 21 gennaio 2019, n. 515.</w:t>
      </w:r>
    </w:p>
  </w:footnote>
  <w:footnote w:id="10">
    <w:p w:rsidR="00BE7D77" w:rsidRPr="005372E6" w:rsidRDefault="00BE7D77" w:rsidP="005372E6">
      <w:pPr>
        <w:pStyle w:val="Testonotaapidipagina"/>
        <w:jc w:val="both"/>
        <w:rPr>
          <w:i w:val="0"/>
          <w:smallCaps w:val="0"/>
        </w:rPr>
      </w:pPr>
      <w:r w:rsidRPr="005372E6">
        <w:rPr>
          <w:rStyle w:val="Rimandonotaapidipagina"/>
          <w:i w:val="0"/>
          <w:smallCaps w:val="0"/>
        </w:rPr>
        <w:footnoteRef/>
      </w:r>
      <w:r w:rsidRPr="005372E6">
        <w:rPr>
          <w:i w:val="0"/>
          <w:smallCaps w:val="0"/>
        </w:rPr>
        <w:t xml:space="preserve"> </w:t>
      </w:r>
      <w:r>
        <w:rPr>
          <w:i w:val="0"/>
          <w:smallCaps w:val="0"/>
        </w:rPr>
        <w:t xml:space="preserve">Cfr. </w:t>
      </w:r>
      <w:r>
        <w:rPr>
          <w:smallCaps w:val="0"/>
        </w:rPr>
        <w:t xml:space="preserve">ex </w:t>
      </w:r>
      <w:proofErr w:type="spellStart"/>
      <w:r>
        <w:rPr>
          <w:smallCaps w:val="0"/>
        </w:rPr>
        <w:t>plurimis</w:t>
      </w:r>
      <w:proofErr w:type="spellEnd"/>
      <w:r>
        <w:rPr>
          <w:smallCaps w:val="0"/>
        </w:rPr>
        <w:t xml:space="preserve"> </w:t>
      </w:r>
      <w:proofErr w:type="spellStart"/>
      <w:r>
        <w:rPr>
          <w:i w:val="0"/>
          <w:smallCaps w:val="0"/>
        </w:rPr>
        <w:t>Cons</w:t>
      </w:r>
      <w:proofErr w:type="spellEnd"/>
      <w:r>
        <w:rPr>
          <w:i w:val="0"/>
          <w:smallCaps w:val="0"/>
        </w:rPr>
        <w:t xml:space="preserve">. Stato, sez. VI, 26 luglio 2023, n. 7317; id., sez. III, 10 aprile 2017, n. 1657; </w:t>
      </w:r>
      <w:proofErr w:type="spellStart"/>
      <w:r>
        <w:rPr>
          <w:i w:val="0"/>
          <w:smallCaps w:val="0"/>
        </w:rPr>
        <w:t>C.g.a.r.s</w:t>
      </w:r>
      <w:proofErr w:type="spellEnd"/>
      <w:r>
        <w:rPr>
          <w:i w:val="0"/>
          <w:smallCaps w:val="0"/>
        </w:rPr>
        <w:t>., 4 luglio 2022, n. 793.</w:t>
      </w:r>
    </w:p>
  </w:footnote>
  <w:footnote w:id="11">
    <w:p w:rsidR="00BE7D77" w:rsidRPr="009C4ABA" w:rsidRDefault="00BE7D77" w:rsidP="009C4ABA">
      <w:pPr>
        <w:pStyle w:val="Testonotaapidipagina"/>
        <w:jc w:val="both"/>
        <w:rPr>
          <w:i w:val="0"/>
          <w:smallCaps w:val="0"/>
        </w:rPr>
      </w:pPr>
      <w:r w:rsidRPr="009C4ABA">
        <w:rPr>
          <w:rStyle w:val="Rimandonotaapidipagina"/>
          <w:i w:val="0"/>
          <w:smallCaps w:val="0"/>
        </w:rPr>
        <w:footnoteRef/>
      </w:r>
      <w:r w:rsidRPr="009C4ABA">
        <w:rPr>
          <w:i w:val="0"/>
          <w:smallCaps w:val="0"/>
        </w:rPr>
        <w:t xml:space="preserve"> </w:t>
      </w:r>
      <w:r>
        <w:rPr>
          <w:i w:val="0"/>
          <w:smallCaps w:val="0"/>
        </w:rPr>
        <w:t xml:space="preserve">Cfr. F. FRATTINI, </w:t>
      </w:r>
      <w:r>
        <w:rPr>
          <w:smallCaps w:val="0"/>
        </w:rPr>
        <w:t xml:space="preserve">Caratteri salienti e criticità recenti delle informative antimafia, </w:t>
      </w:r>
      <w:r>
        <w:rPr>
          <w:i w:val="0"/>
          <w:smallCaps w:val="0"/>
        </w:rPr>
        <w:t xml:space="preserve">in </w:t>
      </w:r>
      <w:r>
        <w:rPr>
          <w:smallCaps w:val="0"/>
        </w:rPr>
        <w:t xml:space="preserve">www.giustizia-amministrativa.it, </w:t>
      </w:r>
      <w:r>
        <w:rPr>
          <w:i w:val="0"/>
          <w:smallCaps w:val="0"/>
        </w:rPr>
        <w:t>13 marzo 2020.</w:t>
      </w:r>
    </w:p>
  </w:footnote>
  <w:footnote w:id="12">
    <w:p w:rsidR="00BE7D77" w:rsidRPr="00475E4A" w:rsidRDefault="00BE7D77" w:rsidP="00475E4A">
      <w:pPr>
        <w:pStyle w:val="Testonotaapidipagina"/>
        <w:jc w:val="both"/>
        <w:rPr>
          <w:i w:val="0"/>
          <w:smallCaps w:val="0"/>
        </w:rPr>
      </w:pPr>
      <w:r w:rsidRPr="00475E4A">
        <w:rPr>
          <w:rStyle w:val="Rimandonotaapidipagina"/>
          <w:i w:val="0"/>
          <w:smallCaps w:val="0"/>
        </w:rPr>
        <w:footnoteRef/>
      </w:r>
      <w:r w:rsidRPr="00475E4A">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9 febbraio 2017, n. 565.</w:t>
      </w:r>
    </w:p>
  </w:footnote>
  <w:footnote w:id="13">
    <w:p w:rsidR="00BE7D77" w:rsidRPr="00C14A73" w:rsidRDefault="00BE7D77" w:rsidP="00C14A73">
      <w:pPr>
        <w:pStyle w:val="Testonotaapidipagina"/>
        <w:jc w:val="both"/>
        <w:rPr>
          <w:smallCaps w:val="0"/>
        </w:rPr>
      </w:pPr>
      <w:r w:rsidRPr="00C14A73">
        <w:rPr>
          <w:rStyle w:val="Rimandonotaapidipagina"/>
          <w:i w:val="0"/>
          <w:smallCaps w:val="0"/>
        </w:rPr>
        <w:footnoteRef/>
      </w:r>
      <w:r w:rsidRPr="00C14A73">
        <w:rPr>
          <w:i w:val="0"/>
          <w:smallCaps w:val="0"/>
        </w:rPr>
        <w:t xml:space="preserve"> </w:t>
      </w:r>
      <w:r>
        <w:rPr>
          <w:i w:val="0"/>
          <w:smallCaps w:val="0"/>
        </w:rPr>
        <w:t xml:space="preserve">Cfr. F.G: SCOCA, </w:t>
      </w:r>
      <w:r>
        <w:rPr>
          <w:smallCaps w:val="0"/>
        </w:rPr>
        <w:t>op. cit.</w:t>
      </w:r>
    </w:p>
  </w:footnote>
  <w:footnote w:id="14">
    <w:p w:rsidR="00BE7D77" w:rsidRPr="00C14A73" w:rsidRDefault="00BE7D77" w:rsidP="00C14A73">
      <w:pPr>
        <w:pStyle w:val="Testonotaapidipagina"/>
        <w:jc w:val="both"/>
        <w:rPr>
          <w:i w:val="0"/>
          <w:smallCaps w:val="0"/>
        </w:rPr>
      </w:pPr>
      <w:r w:rsidRPr="00C14A73">
        <w:rPr>
          <w:rStyle w:val="Rimandonotaapidipagina"/>
          <w:i w:val="0"/>
          <w:smallCaps w:val="0"/>
        </w:rPr>
        <w:footnoteRef/>
      </w:r>
      <w:r w:rsidRPr="00C14A73">
        <w:rPr>
          <w:i w:val="0"/>
          <w:smallCaps w:val="0"/>
        </w:rPr>
        <w:t xml:space="preserve"> </w:t>
      </w:r>
      <w:r>
        <w:rPr>
          <w:i w:val="0"/>
          <w:smallCaps w:val="0"/>
        </w:rPr>
        <w:t xml:space="preserve">Cfr. N. DURANTE, </w:t>
      </w:r>
      <w:r>
        <w:rPr>
          <w:smallCaps w:val="0"/>
        </w:rPr>
        <w:t>L’</w:t>
      </w:r>
      <w:proofErr w:type="spellStart"/>
      <w:r>
        <w:rPr>
          <w:smallCaps w:val="0"/>
        </w:rPr>
        <w:t>interdittiva</w:t>
      </w:r>
      <w:proofErr w:type="spellEnd"/>
      <w:r>
        <w:rPr>
          <w:smallCaps w:val="0"/>
        </w:rPr>
        <w:t xml:space="preserve"> antimafia, tra tutela anticipatoria ed eterogenesi dei fini</w:t>
      </w:r>
      <w:r w:rsidRPr="00EE2AEB">
        <w:rPr>
          <w:smallCaps w:val="0"/>
        </w:rPr>
        <w:t xml:space="preserve">, </w:t>
      </w:r>
      <w:r w:rsidRPr="00EE2AEB">
        <w:rPr>
          <w:i w:val="0"/>
          <w:smallCaps w:val="0"/>
        </w:rPr>
        <w:t>cit., pp. 1696</w:t>
      </w:r>
      <w:r>
        <w:rPr>
          <w:i w:val="0"/>
          <w:smallCaps w:val="0"/>
        </w:rPr>
        <w:t xml:space="preserve">-1697. </w:t>
      </w:r>
    </w:p>
  </w:footnote>
  <w:footnote w:id="15">
    <w:p w:rsidR="00BE7D77" w:rsidRPr="00D34401" w:rsidRDefault="00BE7D77" w:rsidP="00D34401">
      <w:pPr>
        <w:pStyle w:val="Testonotaapidipagina"/>
        <w:jc w:val="both"/>
        <w:rPr>
          <w:smallCaps w:val="0"/>
        </w:rPr>
      </w:pPr>
      <w:r w:rsidRPr="00D34401">
        <w:rPr>
          <w:rStyle w:val="Rimandonotaapidipagina"/>
          <w:i w:val="0"/>
          <w:smallCaps w:val="0"/>
        </w:rPr>
        <w:footnoteRef/>
      </w:r>
      <w:r w:rsidRPr="00D34401">
        <w:rPr>
          <w:i w:val="0"/>
          <w:smallCaps w:val="0"/>
        </w:rPr>
        <w:t xml:space="preserve"> </w:t>
      </w:r>
      <w:r>
        <w:rPr>
          <w:i w:val="0"/>
          <w:smallCaps w:val="0"/>
        </w:rPr>
        <w:t xml:space="preserve">S. MAZZAMUTO, </w:t>
      </w:r>
      <w:r>
        <w:rPr>
          <w:smallCaps w:val="0"/>
        </w:rPr>
        <w:t>op. cit.</w:t>
      </w:r>
    </w:p>
  </w:footnote>
  <w:footnote w:id="16">
    <w:p w:rsidR="00BE7D77" w:rsidRPr="00475E4A" w:rsidRDefault="00BE7D77" w:rsidP="00475E4A">
      <w:pPr>
        <w:pStyle w:val="Testonotaapidipagina"/>
        <w:jc w:val="both"/>
        <w:rPr>
          <w:rStyle w:val="Rimandonotaapidipagina"/>
          <w:i w:val="0"/>
          <w:smallCaps w:val="0"/>
        </w:rPr>
      </w:pPr>
      <w:r w:rsidRPr="00475E4A">
        <w:rPr>
          <w:rStyle w:val="Rimandonotaapidipagina"/>
          <w:i w:val="0"/>
          <w:smallCaps w:val="0"/>
        </w:rPr>
        <w:footnoteRef/>
      </w:r>
      <w:r w:rsidRPr="00475E4A">
        <w:rPr>
          <w:rStyle w:val="Rimandonotaapidipagina"/>
        </w:rPr>
        <w:t xml:space="preserve"> </w:t>
      </w:r>
      <w:r>
        <w:rPr>
          <w:i w:val="0"/>
          <w:smallCaps w:val="0"/>
        </w:rPr>
        <w:t xml:space="preserve">Cfr. </w:t>
      </w:r>
      <w:proofErr w:type="spellStart"/>
      <w:r>
        <w:rPr>
          <w:i w:val="0"/>
          <w:smallCaps w:val="0"/>
        </w:rPr>
        <w:t>Cons</w:t>
      </w:r>
      <w:proofErr w:type="spellEnd"/>
      <w:r>
        <w:rPr>
          <w:i w:val="0"/>
          <w:smallCaps w:val="0"/>
        </w:rPr>
        <w:t>. Stato, sez. III, 18 settembre 2023, n. 8395; id., 16 maggio 2022, n. 3831.</w:t>
      </w:r>
    </w:p>
  </w:footnote>
  <w:footnote w:id="17">
    <w:p w:rsidR="00BE7D77" w:rsidRPr="00D34401" w:rsidRDefault="00BE7D77" w:rsidP="00D34401">
      <w:pPr>
        <w:pStyle w:val="Testonotaapidipagina"/>
        <w:jc w:val="both"/>
        <w:rPr>
          <w:i w:val="0"/>
          <w:smallCaps w:val="0"/>
        </w:rPr>
      </w:pPr>
      <w:r w:rsidRPr="00D34401">
        <w:rPr>
          <w:rStyle w:val="Rimandonotaapidipagina"/>
          <w:i w:val="0"/>
          <w:smallCaps w:val="0"/>
        </w:rPr>
        <w:footnoteRef/>
      </w:r>
      <w:r w:rsidRPr="00D34401">
        <w:rPr>
          <w:i w:val="0"/>
          <w:smallCaps w:val="0"/>
        </w:rPr>
        <w:t xml:space="preserve"> </w:t>
      </w:r>
      <w:r>
        <w:rPr>
          <w:i w:val="0"/>
          <w:smallCaps w:val="0"/>
        </w:rPr>
        <w:t xml:space="preserve">Cfr. V. SALAMONE, </w:t>
      </w:r>
      <w:r>
        <w:rPr>
          <w:smallCaps w:val="0"/>
        </w:rPr>
        <w:t xml:space="preserve">L’efficacia temporale delle </w:t>
      </w:r>
      <w:proofErr w:type="spellStart"/>
      <w:r>
        <w:rPr>
          <w:smallCaps w:val="0"/>
        </w:rPr>
        <w:t>interdittive</w:t>
      </w:r>
      <w:proofErr w:type="spellEnd"/>
      <w:r>
        <w:rPr>
          <w:smallCaps w:val="0"/>
        </w:rPr>
        <w:t xml:space="preserve"> antimafia e le procedure di revisione. Si tratta veramente di un “ergastolo imprenditoriale</w:t>
      </w:r>
      <w:proofErr w:type="gramStart"/>
      <w:r>
        <w:rPr>
          <w:smallCaps w:val="0"/>
        </w:rPr>
        <w:t>”?,</w:t>
      </w:r>
      <w:proofErr w:type="gramEnd"/>
      <w:r>
        <w:rPr>
          <w:smallCaps w:val="0"/>
        </w:rPr>
        <w:t xml:space="preserve"> </w:t>
      </w:r>
      <w:r>
        <w:rPr>
          <w:i w:val="0"/>
          <w:smallCaps w:val="0"/>
        </w:rPr>
        <w:t xml:space="preserve">in </w:t>
      </w:r>
      <w:r>
        <w:rPr>
          <w:smallCaps w:val="0"/>
        </w:rPr>
        <w:t xml:space="preserve">www.giustizia-amministrativa.it, </w:t>
      </w:r>
      <w:r>
        <w:rPr>
          <w:i w:val="0"/>
          <w:smallCaps w:val="0"/>
        </w:rPr>
        <w:t>3 maggio 2023.</w:t>
      </w:r>
    </w:p>
  </w:footnote>
  <w:footnote w:id="18">
    <w:p w:rsidR="00BE7D77" w:rsidRPr="007D314E" w:rsidRDefault="00BE7D77" w:rsidP="007D314E">
      <w:pPr>
        <w:pStyle w:val="Testonotaapidipagina"/>
        <w:jc w:val="both"/>
        <w:rPr>
          <w:smallCaps w:val="0"/>
        </w:rPr>
      </w:pPr>
      <w:r w:rsidRPr="007D314E">
        <w:rPr>
          <w:rStyle w:val="Rimandonotaapidipagina"/>
          <w:i w:val="0"/>
        </w:rPr>
        <w:footnoteRef/>
      </w:r>
      <w:r w:rsidRPr="007D314E">
        <w:rPr>
          <w:i w:val="0"/>
        </w:rPr>
        <w:t xml:space="preserve"> </w:t>
      </w:r>
      <w:r>
        <w:rPr>
          <w:i w:val="0"/>
          <w:smallCaps w:val="0"/>
        </w:rPr>
        <w:t>Di “</w:t>
      </w:r>
      <w:r>
        <w:rPr>
          <w:smallCaps w:val="0"/>
        </w:rPr>
        <w:t>dualità</w:t>
      </w:r>
      <w:r>
        <w:rPr>
          <w:i w:val="0"/>
          <w:smallCaps w:val="0"/>
        </w:rPr>
        <w:t xml:space="preserve">” della documentazione antimafia parla V. SALAMONE, </w:t>
      </w:r>
      <w:r>
        <w:rPr>
          <w:smallCaps w:val="0"/>
        </w:rPr>
        <w:t xml:space="preserve">op. </w:t>
      </w:r>
      <w:proofErr w:type="spellStart"/>
      <w:r>
        <w:rPr>
          <w:smallCaps w:val="0"/>
        </w:rPr>
        <w:t>ult</w:t>
      </w:r>
      <w:proofErr w:type="spellEnd"/>
      <w:r>
        <w:rPr>
          <w:smallCaps w:val="0"/>
        </w:rPr>
        <w:t>. cit.</w:t>
      </w:r>
    </w:p>
  </w:footnote>
  <w:footnote w:id="19">
    <w:p w:rsidR="00BE7D77" w:rsidRPr="007D314E" w:rsidRDefault="00BE7D77" w:rsidP="007D314E">
      <w:pPr>
        <w:pStyle w:val="Testonotaapidipagina"/>
        <w:jc w:val="both"/>
        <w:rPr>
          <w:i w:val="0"/>
          <w:smallCaps w:val="0"/>
        </w:rPr>
      </w:pPr>
      <w:r w:rsidRPr="007D314E">
        <w:rPr>
          <w:rStyle w:val="Rimandonotaapidipagina"/>
          <w:i w:val="0"/>
          <w:smallCaps w:val="0"/>
        </w:rPr>
        <w:footnoteRef/>
      </w:r>
      <w:r w:rsidRPr="007D314E">
        <w:rPr>
          <w:i w:val="0"/>
          <w:smallCaps w:val="0"/>
        </w:rPr>
        <w:t xml:space="preserve"> </w:t>
      </w:r>
      <w:r>
        <w:rPr>
          <w:i w:val="0"/>
          <w:smallCaps w:val="0"/>
        </w:rPr>
        <w:t>Per “</w:t>
      </w:r>
      <w:r>
        <w:rPr>
          <w:smallCaps w:val="0"/>
        </w:rPr>
        <w:t>provvedimento definitivo</w:t>
      </w:r>
      <w:r>
        <w:rPr>
          <w:i w:val="0"/>
          <w:smallCaps w:val="0"/>
        </w:rPr>
        <w:t>”, secondo il Consiglio di Stato, deve intendersi il provvedimento non impugnato o non più impugnabile, che abbia acquisito quindi la stabilità connessa o, comunque, equivalente al giudicato (</w:t>
      </w:r>
      <w:proofErr w:type="spellStart"/>
      <w:r>
        <w:rPr>
          <w:i w:val="0"/>
          <w:smallCaps w:val="0"/>
        </w:rPr>
        <w:t>Cons</w:t>
      </w:r>
      <w:proofErr w:type="spellEnd"/>
      <w:r>
        <w:rPr>
          <w:i w:val="0"/>
          <w:smallCaps w:val="0"/>
        </w:rPr>
        <w:t>. Stato, sez. III, 1 aprile 2016, n. 1234).</w:t>
      </w:r>
    </w:p>
  </w:footnote>
  <w:footnote w:id="20">
    <w:p w:rsidR="00BE7D77" w:rsidRPr="009466A3" w:rsidRDefault="00BE7D77" w:rsidP="009466A3">
      <w:pPr>
        <w:pStyle w:val="Testonotaapidipagina"/>
        <w:jc w:val="both"/>
        <w:rPr>
          <w:i w:val="0"/>
          <w:smallCaps w:val="0"/>
        </w:rPr>
      </w:pPr>
      <w:r w:rsidRPr="009466A3">
        <w:rPr>
          <w:rStyle w:val="Rimandonotaapidipagina"/>
          <w:i w:val="0"/>
          <w:smallCaps w:val="0"/>
        </w:rPr>
        <w:footnoteRef/>
      </w:r>
      <w:r w:rsidRPr="009466A3">
        <w:rPr>
          <w:i w:val="0"/>
          <w:smallCaps w:val="0"/>
        </w:rPr>
        <w:t xml:space="preserve"> </w:t>
      </w:r>
      <w:r>
        <w:rPr>
          <w:i w:val="0"/>
          <w:smallCaps w:val="0"/>
        </w:rPr>
        <w:t xml:space="preserve">Si tratta di una disposizione che specifica la facoltà del Prefetto di desumere gli elementi indiziari del pericolo di condizionamento mafioso anche </w:t>
      </w:r>
      <w:r w:rsidRPr="009466A3">
        <w:rPr>
          <w:i w:val="0"/>
          <w:smallCaps w:val="0"/>
          <w:shd w:val="clear" w:color="auto" w:fill="FFFFFF"/>
        </w:rPr>
        <w:t>da provvedimenti di condanna anche non definitiva per reati strumentali all</w:t>
      </w:r>
      <w:r>
        <w:rPr>
          <w:i w:val="0"/>
          <w:smallCaps w:val="0"/>
          <w:shd w:val="clear" w:color="auto" w:fill="FFFFFF"/>
        </w:rPr>
        <w:t>’</w:t>
      </w:r>
      <w:r w:rsidRPr="009466A3">
        <w:rPr>
          <w:i w:val="0"/>
          <w:smallCaps w:val="0"/>
          <w:shd w:val="clear" w:color="auto" w:fill="FFFFFF"/>
        </w:rPr>
        <w:t>attività delle organizzazioni criminali unitamente a concreti elementi da cui risulti che l</w:t>
      </w:r>
      <w:r>
        <w:rPr>
          <w:i w:val="0"/>
          <w:smallCaps w:val="0"/>
          <w:shd w:val="clear" w:color="auto" w:fill="FFFFFF"/>
        </w:rPr>
        <w:t>’</w:t>
      </w:r>
      <w:r w:rsidRPr="009466A3">
        <w:rPr>
          <w:i w:val="0"/>
          <w:smallCaps w:val="0"/>
          <w:shd w:val="clear" w:color="auto" w:fill="FFFFFF"/>
        </w:rPr>
        <w:t>attività d</w:t>
      </w:r>
      <w:r>
        <w:rPr>
          <w:i w:val="0"/>
          <w:smallCaps w:val="0"/>
          <w:shd w:val="clear" w:color="auto" w:fill="FFFFFF"/>
        </w:rPr>
        <w:t>’</w:t>
      </w:r>
      <w:r w:rsidRPr="009466A3">
        <w:rPr>
          <w:i w:val="0"/>
          <w:smallCaps w:val="0"/>
          <w:shd w:val="clear" w:color="auto" w:fill="FFFFFF"/>
        </w:rPr>
        <w:t>impresa possa, anche in modo indiretto, agevolare le attività criminose o esserne in qualche modo condizionata, nonché dall</w:t>
      </w:r>
      <w:r>
        <w:rPr>
          <w:i w:val="0"/>
          <w:smallCaps w:val="0"/>
          <w:shd w:val="clear" w:color="auto" w:fill="FFFFFF"/>
        </w:rPr>
        <w:t>’</w:t>
      </w:r>
      <w:r w:rsidRPr="009466A3">
        <w:rPr>
          <w:i w:val="0"/>
          <w:smallCaps w:val="0"/>
          <w:shd w:val="clear" w:color="auto" w:fill="FFFFFF"/>
        </w:rPr>
        <w:t>accertamento delle violazioni degli obblighi di tracciabilità dei flussi finanziari di cui all</w:t>
      </w:r>
      <w:r>
        <w:rPr>
          <w:i w:val="0"/>
          <w:smallCaps w:val="0"/>
          <w:shd w:val="clear" w:color="auto" w:fill="FFFFFF"/>
        </w:rPr>
        <w:t>’</w:t>
      </w:r>
      <w:hyperlink r:id="rId1" w:history="1">
        <w:r w:rsidRPr="009466A3">
          <w:rPr>
            <w:i w:val="0"/>
            <w:smallCaps w:val="0"/>
          </w:rPr>
          <w:t>articolo 3 della legge 13 agosto 2010, n. 136</w:t>
        </w:r>
      </w:hyperlink>
      <w:r w:rsidRPr="009466A3">
        <w:rPr>
          <w:i w:val="0"/>
          <w:smallCaps w:val="0"/>
          <w:shd w:val="clear" w:color="auto" w:fill="FFFFFF"/>
        </w:rPr>
        <w:t>, commesse con la condizione della reiterazione prevista dall</w:t>
      </w:r>
      <w:r>
        <w:rPr>
          <w:i w:val="0"/>
          <w:smallCaps w:val="0"/>
          <w:shd w:val="clear" w:color="auto" w:fill="FFFFFF"/>
        </w:rPr>
        <w:t>’</w:t>
      </w:r>
      <w:hyperlink r:id="rId2" w:history="1">
        <w:r w:rsidRPr="009466A3">
          <w:rPr>
            <w:i w:val="0"/>
            <w:smallCaps w:val="0"/>
          </w:rPr>
          <w:t>articolo 8-</w:t>
        </w:r>
        <w:r w:rsidRPr="009466A3">
          <w:rPr>
            <w:smallCaps w:val="0"/>
          </w:rPr>
          <w:t>bis</w:t>
        </w:r>
        <w:r w:rsidRPr="009466A3">
          <w:rPr>
            <w:i w:val="0"/>
            <w:smallCaps w:val="0"/>
          </w:rPr>
          <w:t xml:space="preserve"> della legge 24 novembre 1981, n. 689</w:t>
        </w:r>
      </w:hyperlink>
      <w:r>
        <w:rPr>
          <w:i w:val="0"/>
          <w:smallCaps w:val="0"/>
          <w:shd w:val="clear" w:color="auto" w:fill="FFFFFF"/>
        </w:rPr>
        <w:t xml:space="preserve"> (v. </w:t>
      </w:r>
      <w:r>
        <w:rPr>
          <w:smallCaps w:val="0"/>
          <w:shd w:val="clear" w:color="auto" w:fill="FFFFFF"/>
        </w:rPr>
        <w:t xml:space="preserve">infra, </w:t>
      </w:r>
      <w:r>
        <w:rPr>
          <w:i w:val="0"/>
          <w:smallCaps w:val="0"/>
          <w:shd w:val="clear" w:color="auto" w:fill="FFFFFF"/>
        </w:rPr>
        <w:t>§ 5).</w:t>
      </w:r>
    </w:p>
  </w:footnote>
  <w:footnote w:id="21">
    <w:p w:rsidR="00BE7D77" w:rsidRPr="0008226B" w:rsidRDefault="00BE7D77" w:rsidP="0008226B">
      <w:pPr>
        <w:pStyle w:val="Testonotaapidipagina"/>
        <w:jc w:val="both"/>
        <w:rPr>
          <w:smallCaps w:val="0"/>
        </w:rPr>
      </w:pPr>
      <w:r w:rsidRPr="0008226B">
        <w:rPr>
          <w:rStyle w:val="Rimandonotaapidipagina"/>
          <w:i w:val="0"/>
          <w:smallCaps w:val="0"/>
        </w:rPr>
        <w:footnoteRef/>
      </w:r>
      <w:r w:rsidRPr="0008226B">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sez. III, 20 giugno 2024, n. 5854; id., 26 settembre 2023, n. 8507; id., 3 aprile 2019, n. 2211; 30 gennaio 2019, n. 758; id., 2 marzo 2017, n. 892; Tar Toscana, sez. II, 6 giugno 2018, n. 910. Per la precisione, il contenuto dell’informazione antimafia è vincolato, laddove attesti l’esistenza o meno di un provvedimento definitivo di prevenzione (per il che, peraltro, sarebbe sufficiente la mera comunicazione antimafia), e discrezionale, laddove il Prefetto accerti la sussistenza o meno di tentativi di infiltrazione mafiosa: cfr. V. SALAMONE, </w:t>
      </w:r>
      <w:r>
        <w:rPr>
          <w:smallCaps w:val="0"/>
        </w:rPr>
        <w:t xml:space="preserve">op. </w:t>
      </w:r>
      <w:proofErr w:type="spellStart"/>
      <w:r>
        <w:rPr>
          <w:smallCaps w:val="0"/>
        </w:rPr>
        <w:t>ult</w:t>
      </w:r>
      <w:proofErr w:type="spellEnd"/>
      <w:r>
        <w:rPr>
          <w:smallCaps w:val="0"/>
        </w:rPr>
        <w:t>. cit.</w:t>
      </w:r>
    </w:p>
  </w:footnote>
  <w:footnote w:id="22">
    <w:p w:rsidR="00BE7D77" w:rsidRPr="00A14DE8" w:rsidRDefault="00BE7D77" w:rsidP="00A14DE8">
      <w:pPr>
        <w:pStyle w:val="Testonotaapidipagina"/>
        <w:jc w:val="both"/>
        <w:rPr>
          <w:i w:val="0"/>
          <w:smallCaps w:val="0"/>
        </w:rPr>
      </w:pPr>
      <w:r w:rsidRPr="00A14DE8">
        <w:rPr>
          <w:rStyle w:val="Rimandonotaapidipagina"/>
          <w:i w:val="0"/>
          <w:smallCaps w:val="0"/>
        </w:rPr>
        <w:footnoteRef/>
      </w:r>
      <w:r w:rsidRPr="00A14DE8">
        <w:rPr>
          <w:i w:val="0"/>
          <w:smallCaps w:val="0"/>
        </w:rPr>
        <w:t xml:space="preserve"> </w:t>
      </w:r>
      <w:r>
        <w:rPr>
          <w:i w:val="0"/>
          <w:smallCaps w:val="0"/>
        </w:rPr>
        <w:t xml:space="preserve">Secondo la giurisprudenza, tale effetto </w:t>
      </w:r>
      <w:proofErr w:type="spellStart"/>
      <w:r>
        <w:rPr>
          <w:i w:val="0"/>
          <w:smallCaps w:val="0"/>
        </w:rPr>
        <w:t>interdittivo</w:t>
      </w:r>
      <w:proofErr w:type="spellEnd"/>
      <w:r>
        <w:rPr>
          <w:i w:val="0"/>
          <w:smallCaps w:val="0"/>
        </w:rPr>
        <w:t xml:space="preserve"> “atipico”, che nella sostanza rimetteva alle stazioni appaltanti la facoltà di soprassedere dalla sottoscrizione dei contratti con le imprese interessate, si giustificava in virtù </w:t>
      </w:r>
      <w:r w:rsidRPr="00A14DE8">
        <w:rPr>
          <w:i w:val="0"/>
          <w:smallCaps w:val="0"/>
        </w:rPr>
        <w:t>di un principio generale di collaborazione fra pubbliche amministrazioni, che viene in rilievo soprattutto quando siano in gioco interessi delicati alla tutela della sicurezza, dell’ordine pubblico e dello svolgimento legale delle attività economiche, assolve</w:t>
      </w:r>
      <w:r>
        <w:rPr>
          <w:i w:val="0"/>
          <w:smallCaps w:val="0"/>
        </w:rPr>
        <w:t>ndo</w:t>
      </w:r>
      <w:r w:rsidRPr="00A14DE8">
        <w:rPr>
          <w:i w:val="0"/>
          <w:smallCaps w:val="0"/>
        </w:rPr>
        <w:t xml:space="preserve"> la funzione di arricchire la conoscenza dell’amministrazione circa la posizione ed i collegamenti dell’impresa senza arrecare a quest’ultima alcun nocumento immancabile</w:t>
      </w:r>
      <w:r>
        <w:rPr>
          <w:i w:val="0"/>
          <w:smallCaps w:val="0"/>
        </w:rPr>
        <w:t xml:space="preserve">: cfr. </w:t>
      </w:r>
      <w:proofErr w:type="spellStart"/>
      <w:r>
        <w:rPr>
          <w:i w:val="0"/>
          <w:smallCaps w:val="0"/>
        </w:rPr>
        <w:t>Cons</w:t>
      </w:r>
      <w:proofErr w:type="spellEnd"/>
      <w:r>
        <w:rPr>
          <w:i w:val="0"/>
          <w:smallCaps w:val="0"/>
        </w:rPr>
        <w:t>. Stato, sez. VI, 16 aprile 2003, n. 1979; id., 14 gennaio 2002, n. 149.</w:t>
      </w:r>
    </w:p>
  </w:footnote>
  <w:footnote w:id="23">
    <w:p w:rsidR="00BE7D77" w:rsidRPr="003B5842" w:rsidRDefault="00BE7D77" w:rsidP="006764DA">
      <w:pPr>
        <w:pStyle w:val="Testonotaapidipagina"/>
        <w:jc w:val="both"/>
        <w:rPr>
          <w:i w:val="0"/>
          <w:smallCaps w:val="0"/>
        </w:rPr>
      </w:pPr>
      <w:r w:rsidRPr="006764DA">
        <w:rPr>
          <w:rStyle w:val="Rimandonotaapidipagina"/>
          <w:i w:val="0"/>
          <w:smallCaps w:val="0"/>
        </w:rPr>
        <w:footnoteRef/>
      </w:r>
      <w:r w:rsidRPr="006764DA">
        <w:rPr>
          <w:i w:val="0"/>
          <w:smallCaps w:val="0"/>
        </w:rPr>
        <w:t xml:space="preserve"> </w:t>
      </w:r>
      <w:r>
        <w:rPr>
          <w:i w:val="0"/>
          <w:smallCaps w:val="0"/>
        </w:rPr>
        <w:t xml:space="preserve">Cfr. </w:t>
      </w:r>
      <w:r>
        <w:rPr>
          <w:i w:val="0"/>
          <w:caps/>
          <w:smallCaps w:val="0"/>
        </w:rPr>
        <w:t xml:space="preserve">b. macrillò, </w:t>
      </w:r>
      <w:r>
        <w:rPr>
          <w:smallCaps w:val="0"/>
        </w:rPr>
        <w:t xml:space="preserve">La sopravvivenza della informativa atipica dopo il “correttivo” del Codice antimafia, </w:t>
      </w:r>
      <w:r>
        <w:rPr>
          <w:i w:val="0"/>
          <w:smallCaps w:val="0"/>
        </w:rPr>
        <w:t xml:space="preserve">in </w:t>
      </w:r>
      <w:r w:rsidRPr="006764DA">
        <w:rPr>
          <w:smallCaps w:val="0"/>
        </w:rPr>
        <w:t>www.giustamm.it</w:t>
      </w:r>
      <w:r>
        <w:rPr>
          <w:smallCaps w:val="0"/>
        </w:rPr>
        <w:t xml:space="preserve">, </w:t>
      </w:r>
      <w:r>
        <w:rPr>
          <w:i w:val="0"/>
          <w:smallCaps w:val="0"/>
        </w:rPr>
        <w:t xml:space="preserve">n. 1/2014 (30 gennaio 2014); R. CANTONE, </w:t>
      </w:r>
      <w:r>
        <w:rPr>
          <w:smallCaps w:val="0"/>
        </w:rPr>
        <w:t xml:space="preserve">La riforma della documentazione antimafia: davvero solo un </w:t>
      </w:r>
      <w:proofErr w:type="gramStart"/>
      <w:r>
        <w:rPr>
          <w:i w:val="0"/>
          <w:smallCaps w:val="0"/>
        </w:rPr>
        <w:t>restyling</w:t>
      </w:r>
      <w:r>
        <w:rPr>
          <w:smallCaps w:val="0"/>
        </w:rPr>
        <w:t>?,</w:t>
      </w:r>
      <w:proofErr w:type="gramEnd"/>
      <w:r>
        <w:rPr>
          <w:smallCaps w:val="0"/>
        </w:rPr>
        <w:t xml:space="preserve"> </w:t>
      </w:r>
      <w:r>
        <w:rPr>
          <w:i w:val="0"/>
          <w:smallCaps w:val="0"/>
        </w:rPr>
        <w:t xml:space="preserve">in </w:t>
      </w:r>
      <w:proofErr w:type="spellStart"/>
      <w:r>
        <w:rPr>
          <w:smallCaps w:val="0"/>
        </w:rPr>
        <w:t>Giorn</w:t>
      </w:r>
      <w:proofErr w:type="spellEnd"/>
      <w:r>
        <w:rPr>
          <w:smallCaps w:val="0"/>
        </w:rPr>
        <w:t xml:space="preserve">. dir. </w:t>
      </w:r>
      <w:proofErr w:type="spellStart"/>
      <w:r>
        <w:rPr>
          <w:smallCaps w:val="0"/>
        </w:rPr>
        <w:t>amm</w:t>
      </w:r>
      <w:proofErr w:type="spellEnd"/>
      <w:r>
        <w:rPr>
          <w:smallCaps w:val="0"/>
        </w:rPr>
        <w:t xml:space="preserve">., </w:t>
      </w:r>
      <w:r>
        <w:rPr>
          <w:i w:val="0"/>
          <w:smallCaps w:val="0"/>
        </w:rPr>
        <w:t>2013, 8-9, p. 899.</w:t>
      </w:r>
    </w:p>
  </w:footnote>
  <w:footnote w:id="24">
    <w:p w:rsidR="00BE7D77" w:rsidRPr="003B5842" w:rsidRDefault="00BE7D77" w:rsidP="003B5842">
      <w:pPr>
        <w:pStyle w:val="Testonotaapidipagina"/>
        <w:jc w:val="both"/>
        <w:rPr>
          <w:i w:val="0"/>
          <w:smallCaps w:val="0"/>
        </w:rPr>
      </w:pPr>
      <w:r w:rsidRPr="003B5842">
        <w:rPr>
          <w:rStyle w:val="Rimandonotaapidipagina"/>
          <w:i w:val="0"/>
          <w:smallCaps w:val="0"/>
        </w:rPr>
        <w:footnoteRef/>
      </w:r>
      <w:r w:rsidRPr="003B5842">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13 maggio 2015, n. 2410, che richiama sul punto la sentenza dell’Adunanza plenaria n. 34 del 19 dicembre 2012.</w:t>
      </w:r>
    </w:p>
  </w:footnote>
  <w:footnote w:id="25">
    <w:p w:rsidR="00BE7D77" w:rsidRPr="00206C7E" w:rsidRDefault="00BE7D77" w:rsidP="00206C7E">
      <w:pPr>
        <w:pStyle w:val="Testonotaapidipagina"/>
        <w:jc w:val="both"/>
        <w:rPr>
          <w:i w:val="0"/>
          <w:smallCaps w:val="0"/>
        </w:rPr>
      </w:pPr>
      <w:r w:rsidRPr="00206C7E">
        <w:rPr>
          <w:rStyle w:val="Rimandonotaapidipagina"/>
          <w:i w:val="0"/>
          <w:smallCaps w:val="0"/>
        </w:rPr>
        <w:footnoteRef/>
      </w:r>
      <w:r w:rsidRPr="00206C7E">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 parere 17 novembre 2015, n. 3088.</w:t>
      </w:r>
    </w:p>
  </w:footnote>
  <w:footnote w:id="26">
    <w:p w:rsidR="00BE7D77" w:rsidRPr="00206C7E" w:rsidRDefault="00BE7D77" w:rsidP="00206C7E">
      <w:pPr>
        <w:pStyle w:val="Testonotaapidipagina"/>
        <w:jc w:val="both"/>
        <w:rPr>
          <w:i w:val="0"/>
          <w:smallCaps w:val="0"/>
        </w:rPr>
      </w:pPr>
      <w:r w:rsidRPr="00206C7E">
        <w:rPr>
          <w:rStyle w:val="Rimandonotaapidipagina"/>
          <w:i w:val="0"/>
          <w:smallCaps w:val="0"/>
        </w:rPr>
        <w:footnoteRef/>
      </w:r>
      <w:r w:rsidRPr="00206C7E">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 parere n. 3088/2015, cit.</w:t>
      </w:r>
    </w:p>
  </w:footnote>
  <w:footnote w:id="27">
    <w:p w:rsidR="00BE7D77" w:rsidRPr="00410050" w:rsidRDefault="00BE7D77" w:rsidP="00410050">
      <w:pPr>
        <w:pStyle w:val="Testonotaapidipagina"/>
        <w:jc w:val="both"/>
        <w:rPr>
          <w:i w:val="0"/>
          <w:smallCaps w:val="0"/>
        </w:rPr>
      </w:pPr>
      <w:r w:rsidRPr="00410050">
        <w:rPr>
          <w:rStyle w:val="Rimandonotaapidipagina"/>
          <w:i w:val="0"/>
          <w:smallCaps w:val="0"/>
        </w:rPr>
        <w:footnoteRef/>
      </w:r>
      <w:r w:rsidRPr="00410050">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8 marzo 2017, n. 1109; id., 9 febbraio 2017, n. 565.</w:t>
      </w:r>
    </w:p>
  </w:footnote>
  <w:footnote w:id="28">
    <w:p w:rsidR="00BE7D77" w:rsidRPr="00C21C7A" w:rsidRDefault="00BE7D77" w:rsidP="00C21C7A">
      <w:pPr>
        <w:pStyle w:val="Testonotaapidipagina"/>
        <w:jc w:val="both"/>
        <w:rPr>
          <w:i w:val="0"/>
          <w:smallCaps w:val="0"/>
        </w:rPr>
      </w:pPr>
      <w:r w:rsidRPr="00C21C7A">
        <w:rPr>
          <w:rStyle w:val="Rimandonotaapidipagina"/>
          <w:i w:val="0"/>
          <w:smallCaps w:val="0"/>
        </w:rPr>
        <w:footnoteRef/>
      </w:r>
      <w:r w:rsidRPr="00C21C7A">
        <w:rPr>
          <w:i w:val="0"/>
          <w:smallCaps w:val="0"/>
        </w:rPr>
        <w:t xml:space="preserve"> </w:t>
      </w:r>
      <w:r>
        <w:rPr>
          <w:i w:val="0"/>
          <w:smallCaps w:val="0"/>
        </w:rPr>
        <w:t xml:space="preserve">Cfr. A.M. SPECIALE, </w:t>
      </w:r>
      <w:r>
        <w:rPr>
          <w:smallCaps w:val="0"/>
        </w:rPr>
        <w:t xml:space="preserve">op. cit. </w:t>
      </w:r>
      <w:r>
        <w:rPr>
          <w:i w:val="0"/>
          <w:smallCaps w:val="0"/>
        </w:rPr>
        <w:t xml:space="preserve">(che evidenzia le rilevantissime conseguenze per gli operatori economici dell’ampliamento dei settori di attività cui può estendersi l’effetto inibitorio), nonché F.G. SCOCA, </w:t>
      </w:r>
      <w:r>
        <w:rPr>
          <w:smallCaps w:val="0"/>
        </w:rPr>
        <w:t xml:space="preserve">op. cit. </w:t>
      </w:r>
      <w:r>
        <w:rPr>
          <w:i w:val="0"/>
          <w:smallCaps w:val="0"/>
        </w:rPr>
        <w:t>(il quale dubita della conformità di tale opzione ai criteri direttivi della delega legislativa attuata con il Codice antimafia, cui devono attenersi anche i “correttivi” allo stesso).</w:t>
      </w:r>
    </w:p>
  </w:footnote>
  <w:footnote w:id="29">
    <w:p w:rsidR="00BE7D77" w:rsidRPr="00410050" w:rsidRDefault="00BE7D77" w:rsidP="00410050">
      <w:pPr>
        <w:pStyle w:val="Testonotaapidipagina"/>
        <w:jc w:val="both"/>
        <w:rPr>
          <w:i w:val="0"/>
          <w:smallCaps w:val="0"/>
        </w:rPr>
      </w:pPr>
      <w:r w:rsidRPr="00410050">
        <w:rPr>
          <w:rStyle w:val="Rimandonotaapidipagina"/>
          <w:i w:val="0"/>
          <w:smallCaps w:val="0"/>
        </w:rPr>
        <w:footnoteRef/>
      </w:r>
      <w:r w:rsidRPr="00410050">
        <w:rPr>
          <w:i w:val="0"/>
          <w:smallCaps w:val="0"/>
        </w:rPr>
        <w:t xml:space="preserve"> </w:t>
      </w:r>
      <w:r>
        <w:rPr>
          <w:i w:val="0"/>
          <w:smallCaps w:val="0"/>
        </w:rPr>
        <w:t xml:space="preserve">Cfr. Corte </w:t>
      </w:r>
      <w:proofErr w:type="spellStart"/>
      <w:r>
        <w:rPr>
          <w:i w:val="0"/>
          <w:smallCaps w:val="0"/>
        </w:rPr>
        <w:t>cost</w:t>
      </w:r>
      <w:proofErr w:type="spellEnd"/>
      <w:r>
        <w:rPr>
          <w:i w:val="0"/>
          <w:smallCaps w:val="0"/>
        </w:rPr>
        <w:t>., 18 gennaio 2018, n. 4 (considerazioni poi riprese dalla Corte nella successiva sentenza n. 57 del 26 marzo 2020).</w:t>
      </w:r>
    </w:p>
  </w:footnote>
  <w:footnote w:id="30">
    <w:p w:rsidR="00BE7D77" w:rsidRPr="001D4ADD" w:rsidRDefault="00BE7D77" w:rsidP="001D4ADD">
      <w:pPr>
        <w:pStyle w:val="Testonotaapidipagina"/>
        <w:jc w:val="both"/>
        <w:rPr>
          <w:i w:val="0"/>
          <w:smallCaps w:val="0"/>
        </w:rPr>
      </w:pPr>
      <w:r w:rsidRPr="001D4ADD">
        <w:rPr>
          <w:rStyle w:val="Rimandonotaapidipagina"/>
          <w:i w:val="0"/>
          <w:smallCaps w:val="0"/>
        </w:rPr>
        <w:footnoteRef/>
      </w:r>
      <w:r w:rsidRPr="001D4ADD">
        <w:rPr>
          <w:i w:val="0"/>
          <w:smallCaps w:val="0"/>
        </w:rPr>
        <w:t xml:space="preserve"> </w:t>
      </w:r>
      <w:r>
        <w:rPr>
          <w:i w:val="0"/>
          <w:smallCaps w:val="0"/>
        </w:rPr>
        <w:t xml:space="preserve">Il </w:t>
      </w:r>
      <w:proofErr w:type="spellStart"/>
      <w:r>
        <w:rPr>
          <w:i w:val="0"/>
          <w:smallCaps w:val="0"/>
        </w:rPr>
        <w:t>d.P.C.M</w:t>
      </w:r>
      <w:proofErr w:type="spellEnd"/>
      <w:r>
        <w:rPr>
          <w:i w:val="0"/>
          <w:smallCaps w:val="0"/>
        </w:rPr>
        <w:t>. 18 aprile 2013 ha disciplinato le condizioni e il procedimento per l’iscrizione all’elenco, prevedendone altresì l’aggiornamento da parte delle Prefetture sulla base di verifiche periodiche circa la perdurante insussistenza dei tentativi di infiltrazione mafiosa.</w:t>
      </w:r>
    </w:p>
  </w:footnote>
  <w:footnote w:id="31">
    <w:p w:rsidR="00BE7D77" w:rsidRPr="00A60C17" w:rsidRDefault="00BE7D77" w:rsidP="00A60C17">
      <w:pPr>
        <w:pStyle w:val="Testonotaapidipagina"/>
        <w:jc w:val="both"/>
        <w:rPr>
          <w:i w:val="0"/>
          <w:smallCaps w:val="0"/>
        </w:rPr>
      </w:pPr>
      <w:r w:rsidRPr="00A60C17">
        <w:rPr>
          <w:rStyle w:val="Rimandonotaapidipagina"/>
          <w:i w:val="0"/>
          <w:smallCaps w:val="0"/>
        </w:rPr>
        <w:footnoteRef/>
      </w:r>
      <w:r w:rsidRPr="00A60C17">
        <w:rPr>
          <w:i w:val="0"/>
          <w:smallCaps w:val="0"/>
        </w:rPr>
        <w:t xml:space="preserve"> </w:t>
      </w:r>
      <w:r>
        <w:rPr>
          <w:i w:val="0"/>
          <w:smallCaps w:val="0"/>
        </w:rPr>
        <w:t>Rispettivamente: articolo 5-</w:t>
      </w:r>
      <w:r>
        <w:rPr>
          <w:smallCaps w:val="0"/>
        </w:rPr>
        <w:t xml:space="preserve">bis, </w:t>
      </w:r>
      <w:proofErr w:type="spellStart"/>
      <w:r>
        <w:rPr>
          <w:i w:val="0"/>
          <w:smallCaps w:val="0"/>
        </w:rPr>
        <w:t>d.l.</w:t>
      </w:r>
      <w:proofErr w:type="spellEnd"/>
      <w:r>
        <w:rPr>
          <w:i w:val="0"/>
          <w:smallCaps w:val="0"/>
        </w:rPr>
        <w:t xml:space="preserve"> 6 giugno 2012, n. 74, convertito, con modificazioni, dalla legge 1 agosto 2012, n. 122, e articolo 30, comma 6, </w:t>
      </w:r>
      <w:proofErr w:type="spellStart"/>
      <w:r>
        <w:rPr>
          <w:i w:val="0"/>
          <w:smallCaps w:val="0"/>
        </w:rPr>
        <w:t>d.l.</w:t>
      </w:r>
      <w:proofErr w:type="spellEnd"/>
      <w:r>
        <w:rPr>
          <w:i w:val="0"/>
          <w:smallCaps w:val="0"/>
        </w:rPr>
        <w:t xml:space="preserve"> 17 ottobre 2016, n. 189, convertito, con modificazioni, dalla legge 15 dicembre 2016, n. 229.</w:t>
      </w:r>
    </w:p>
  </w:footnote>
  <w:footnote w:id="32">
    <w:p w:rsidR="00BE7D77" w:rsidRPr="00A60C17" w:rsidRDefault="00BE7D77" w:rsidP="00A60C17">
      <w:pPr>
        <w:pStyle w:val="Testonotaapidipagina"/>
        <w:jc w:val="both"/>
        <w:rPr>
          <w:smallCaps w:val="0"/>
        </w:rPr>
      </w:pPr>
      <w:r w:rsidRPr="00A60C17">
        <w:rPr>
          <w:rStyle w:val="Rimandonotaapidipagina"/>
          <w:i w:val="0"/>
          <w:smallCaps w:val="0"/>
        </w:rPr>
        <w:footnoteRef/>
      </w:r>
      <w:r w:rsidRPr="00A60C17">
        <w:rPr>
          <w:i w:val="0"/>
          <w:smallCaps w:val="0"/>
        </w:rPr>
        <w:t xml:space="preserve"> </w:t>
      </w:r>
      <w:r>
        <w:rPr>
          <w:i w:val="0"/>
          <w:smallCaps w:val="0"/>
        </w:rPr>
        <w:t xml:space="preserve">Sul punto, cfr. V. SALAMONE, </w:t>
      </w:r>
      <w:r>
        <w:rPr>
          <w:smallCaps w:val="0"/>
        </w:rPr>
        <w:t xml:space="preserve">op. </w:t>
      </w:r>
      <w:proofErr w:type="spellStart"/>
      <w:r>
        <w:rPr>
          <w:smallCaps w:val="0"/>
        </w:rPr>
        <w:t>ult</w:t>
      </w:r>
      <w:proofErr w:type="spellEnd"/>
      <w:r>
        <w:rPr>
          <w:smallCaps w:val="0"/>
        </w:rPr>
        <w:t>. cit.</w:t>
      </w:r>
    </w:p>
  </w:footnote>
  <w:footnote w:id="33">
    <w:p w:rsidR="00BE7D77" w:rsidRPr="00895085" w:rsidRDefault="00BE7D77" w:rsidP="005E1DE5">
      <w:pPr>
        <w:pStyle w:val="Testonotaapidipagina"/>
        <w:jc w:val="both"/>
        <w:rPr>
          <w:i w:val="0"/>
          <w:smallCaps w:val="0"/>
        </w:rPr>
      </w:pPr>
      <w:r w:rsidRPr="005E1DE5">
        <w:rPr>
          <w:rStyle w:val="Rimandonotaapidipagina"/>
          <w:i w:val="0"/>
          <w:smallCaps w:val="0"/>
        </w:rPr>
        <w:footnoteRef/>
      </w:r>
      <w:r w:rsidRPr="005E1DE5">
        <w:rPr>
          <w:i w:val="0"/>
          <w:smallCaps w:val="0"/>
        </w:rPr>
        <w:t xml:space="preserve"> </w:t>
      </w:r>
      <w:r>
        <w:rPr>
          <w:i w:val="0"/>
          <w:smallCaps w:val="0"/>
        </w:rPr>
        <w:t>Ove ne fosse bisogno, anche l’articolo 83-</w:t>
      </w:r>
      <w:r>
        <w:rPr>
          <w:smallCaps w:val="0"/>
        </w:rPr>
        <w:t xml:space="preserve">bis, </w:t>
      </w:r>
      <w:r>
        <w:rPr>
          <w:i w:val="0"/>
          <w:smallCaps w:val="0"/>
        </w:rPr>
        <w:t xml:space="preserve">introdotto nel d.lgs. n. 159/2011 dal </w:t>
      </w:r>
      <w:proofErr w:type="spellStart"/>
      <w:r>
        <w:rPr>
          <w:i w:val="0"/>
          <w:smallCaps w:val="0"/>
        </w:rPr>
        <w:t>d.l.</w:t>
      </w:r>
      <w:proofErr w:type="spellEnd"/>
      <w:r>
        <w:rPr>
          <w:i w:val="0"/>
          <w:smallCaps w:val="0"/>
        </w:rPr>
        <w:t xml:space="preserve"> 16 luglio 2020, n. 76, convertito, con modificazioni, dalla legge 11 settembre 2020, n. 120, al comma 2 ha ribadito che: “</w:t>
      </w:r>
      <w:r w:rsidRPr="00895085">
        <w:rPr>
          <w:smallCaps w:val="0"/>
          <w:shd w:val="clear" w:color="auto" w:fill="FFFFFF"/>
        </w:rPr>
        <w:t>L</w:t>
      </w:r>
      <w:r>
        <w:rPr>
          <w:smallCaps w:val="0"/>
          <w:shd w:val="clear" w:color="auto" w:fill="FFFFFF"/>
        </w:rPr>
        <w:t>’</w:t>
      </w:r>
      <w:r w:rsidRPr="00895085">
        <w:rPr>
          <w:smallCaps w:val="0"/>
          <w:shd w:val="clear" w:color="auto" w:fill="FFFFFF"/>
        </w:rPr>
        <w:t>iscrizione nell</w:t>
      </w:r>
      <w:r>
        <w:rPr>
          <w:smallCaps w:val="0"/>
          <w:shd w:val="clear" w:color="auto" w:fill="FFFFFF"/>
        </w:rPr>
        <w:t>’</w:t>
      </w:r>
      <w:r w:rsidRPr="00895085">
        <w:rPr>
          <w:smallCaps w:val="0"/>
          <w:shd w:val="clear" w:color="auto" w:fill="FFFFFF"/>
        </w:rPr>
        <w:t>elenco dei fornitori, prestatori di servizi ed esecutori di lavori di cui all</w:t>
      </w:r>
      <w:r>
        <w:rPr>
          <w:smallCaps w:val="0"/>
          <w:shd w:val="clear" w:color="auto" w:fill="FFFFFF"/>
        </w:rPr>
        <w:t>’</w:t>
      </w:r>
      <w:hyperlink r:id="rId3" w:history="1">
        <w:r w:rsidRPr="00895085">
          <w:rPr>
            <w:smallCaps w:val="0"/>
          </w:rPr>
          <w:t>articolo 1, commi 52 e seguenti, della legge 6 novembre 2012, n. 190</w:t>
        </w:r>
      </w:hyperlink>
      <w:r w:rsidRPr="00895085">
        <w:rPr>
          <w:smallCaps w:val="0"/>
          <w:shd w:val="clear" w:color="auto" w:fill="FFFFFF"/>
        </w:rPr>
        <w:t>, nonché l</w:t>
      </w:r>
      <w:r>
        <w:rPr>
          <w:smallCaps w:val="0"/>
          <w:shd w:val="clear" w:color="auto" w:fill="FFFFFF"/>
        </w:rPr>
        <w:t>’</w:t>
      </w:r>
      <w:r w:rsidRPr="00895085">
        <w:rPr>
          <w:smallCaps w:val="0"/>
          <w:shd w:val="clear" w:color="auto" w:fill="FFFFFF"/>
        </w:rPr>
        <w:t>iscrizione nell</w:t>
      </w:r>
      <w:r>
        <w:rPr>
          <w:smallCaps w:val="0"/>
          <w:shd w:val="clear" w:color="auto" w:fill="FFFFFF"/>
        </w:rPr>
        <w:t>’</w:t>
      </w:r>
      <w:r w:rsidRPr="00895085">
        <w:rPr>
          <w:smallCaps w:val="0"/>
          <w:shd w:val="clear" w:color="auto" w:fill="FFFFFF"/>
        </w:rPr>
        <w:t>anagrafe antimafia degli esecutori istituita dall</w:t>
      </w:r>
      <w:r>
        <w:rPr>
          <w:smallCaps w:val="0"/>
          <w:shd w:val="clear" w:color="auto" w:fill="FFFFFF"/>
        </w:rPr>
        <w:t>’</w:t>
      </w:r>
      <w:hyperlink r:id="rId4" w:history="1">
        <w:r w:rsidRPr="00895085">
          <w:rPr>
            <w:smallCaps w:val="0"/>
          </w:rPr>
          <w:t>articolo 30 del decreto-legge 17 ottobre 2016, n. 189</w:t>
        </w:r>
      </w:hyperlink>
      <w:r w:rsidRPr="00895085">
        <w:rPr>
          <w:smallCaps w:val="0"/>
          <w:shd w:val="clear" w:color="auto" w:fill="FFFFFF"/>
        </w:rPr>
        <w:t>, convertito, con modificazioni, dalla</w:t>
      </w:r>
      <w:r>
        <w:rPr>
          <w:smallCaps w:val="0"/>
          <w:shd w:val="clear" w:color="auto" w:fill="FFFFFF"/>
        </w:rPr>
        <w:t xml:space="preserve"> </w:t>
      </w:r>
      <w:hyperlink r:id="rId5" w:history="1">
        <w:r w:rsidRPr="00895085">
          <w:rPr>
            <w:smallCaps w:val="0"/>
          </w:rPr>
          <w:t>legge 15 dicembre 2016, n. 229</w:t>
        </w:r>
      </w:hyperlink>
      <w:r w:rsidRPr="00895085">
        <w:rPr>
          <w:smallCaps w:val="0"/>
          <w:shd w:val="clear" w:color="auto" w:fill="FFFFFF"/>
        </w:rPr>
        <w:t>, equivale al rilascio dell</w:t>
      </w:r>
      <w:r>
        <w:rPr>
          <w:smallCaps w:val="0"/>
          <w:shd w:val="clear" w:color="auto" w:fill="FFFFFF"/>
        </w:rPr>
        <w:t>’</w:t>
      </w:r>
      <w:r w:rsidRPr="00895085">
        <w:rPr>
          <w:smallCaps w:val="0"/>
          <w:shd w:val="clear" w:color="auto" w:fill="FFFFFF"/>
        </w:rPr>
        <w:t>informazione antimafia</w:t>
      </w:r>
      <w:r>
        <w:rPr>
          <w:i w:val="0"/>
          <w:smallCaps w:val="0"/>
          <w:shd w:val="clear" w:color="auto" w:fill="FFFFFF"/>
        </w:rPr>
        <w:t>”.</w:t>
      </w:r>
    </w:p>
  </w:footnote>
  <w:footnote w:id="34">
    <w:p w:rsidR="00BE7D77" w:rsidRPr="002602A6" w:rsidRDefault="00BE7D77" w:rsidP="002602A6">
      <w:pPr>
        <w:pStyle w:val="Testonotaapidipagina"/>
        <w:jc w:val="both"/>
        <w:rPr>
          <w:i w:val="0"/>
          <w:smallCaps w:val="0"/>
        </w:rPr>
      </w:pPr>
      <w:r w:rsidRPr="002602A6">
        <w:rPr>
          <w:rStyle w:val="Rimandonotaapidipagina"/>
          <w:i w:val="0"/>
          <w:smallCaps w:val="0"/>
        </w:rPr>
        <w:footnoteRef/>
      </w:r>
      <w:r w:rsidRPr="002602A6">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10 aprile 2024, n. 3265; id., 2 febbraio 2024, n. 1068; id., 26 settembre 2022, n. 8304; id., 3 aprile 2019, n. 2211; id., 20 febbraio 2019, n. 1182.</w:t>
      </w:r>
    </w:p>
  </w:footnote>
  <w:footnote w:id="35">
    <w:p w:rsidR="00BE7D77" w:rsidRPr="002602A6" w:rsidRDefault="00BE7D77" w:rsidP="002602A6">
      <w:pPr>
        <w:pStyle w:val="Testonotaapidipagina"/>
        <w:jc w:val="both"/>
        <w:rPr>
          <w:i w:val="0"/>
          <w:smallCaps w:val="0"/>
        </w:rPr>
      </w:pPr>
      <w:r w:rsidRPr="002602A6">
        <w:rPr>
          <w:rStyle w:val="Rimandonotaapidipagina"/>
          <w:i w:val="0"/>
          <w:smallCaps w:val="0"/>
        </w:rPr>
        <w:footnoteRef/>
      </w:r>
      <w:r w:rsidRPr="002602A6">
        <w:rPr>
          <w:i w:val="0"/>
          <w:smallCaps w:val="0"/>
        </w:rPr>
        <w:t xml:space="preserve"> </w:t>
      </w:r>
      <w:r>
        <w:rPr>
          <w:i w:val="0"/>
          <w:smallCaps w:val="0"/>
        </w:rPr>
        <w:t xml:space="preserve">Si vedano, in particolare, </w:t>
      </w:r>
      <w:proofErr w:type="spellStart"/>
      <w:r>
        <w:rPr>
          <w:i w:val="0"/>
          <w:smallCaps w:val="0"/>
        </w:rPr>
        <w:t>Cons</w:t>
      </w:r>
      <w:proofErr w:type="spellEnd"/>
      <w:r>
        <w:rPr>
          <w:i w:val="0"/>
          <w:smallCaps w:val="0"/>
        </w:rPr>
        <w:t>. Stato, sez. I, parere 18 giugno 2021, n. 1021, quanto all’inapplicabilità dell’articolo 10-</w:t>
      </w:r>
      <w:r>
        <w:rPr>
          <w:smallCaps w:val="0"/>
        </w:rPr>
        <w:t xml:space="preserve">bis </w:t>
      </w:r>
      <w:r>
        <w:rPr>
          <w:i w:val="0"/>
          <w:smallCaps w:val="0"/>
        </w:rPr>
        <w:t xml:space="preserve">della legge 7 agosto 1990, n. 241, e </w:t>
      </w:r>
      <w:proofErr w:type="spellStart"/>
      <w:r>
        <w:rPr>
          <w:i w:val="0"/>
          <w:smallCaps w:val="0"/>
        </w:rPr>
        <w:t>Cons</w:t>
      </w:r>
      <w:proofErr w:type="spellEnd"/>
      <w:r>
        <w:rPr>
          <w:i w:val="0"/>
          <w:smallCaps w:val="0"/>
        </w:rPr>
        <w:t xml:space="preserve">. Stato, sez. VI, 26 settembre 2018, n. 5547, quanto all’operatività della regola di </w:t>
      </w:r>
      <w:proofErr w:type="spellStart"/>
      <w:r>
        <w:rPr>
          <w:i w:val="0"/>
          <w:smallCaps w:val="0"/>
        </w:rPr>
        <w:t>dequotazione</w:t>
      </w:r>
      <w:proofErr w:type="spellEnd"/>
      <w:r>
        <w:rPr>
          <w:i w:val="0"/>
          <w:smallCaps w:val="0"/>
        </w:rPr>
        <w:t xml:space="preserve"> dei vizi formali di cui all’articolo 21-</w:t>
      </w:r>
      <w:r>
        <w:rPr>
          <w:smallCaps w:val="0"/>
        </w:rPr>
        <w:t xml:space="preserve">octies </w:t>
      </w:r>
      <w:r>
        <w:rPr>
          <w:i w:val="0"/>
          <w:smallCaps w:val="0"/>
        </w:rPr>
        <w:t>della stessa legge.</w:t>
      </w:r>
    </w:p>
  </w:footnote>
  <w:footnote w:id="36">
    <w:p w:rsidR="00BE7D77" w:rsidRPr="00C2152C" w:rsidRDefault="00BE7D77" w:rsidP="00280EE2">
      <w:pPr>
        <w:pStyle w:val="Testonotaapidipagina"/>
        <w:jc w:val="both"/>
        <w:rPr>
          <w:i w:val="0"/>
          <w:smallCaps w:val="0"/>
        </w:rPr>
      </w:pPr>
      <w:r w:rsidRPr="00280EE2">
        <w:rPr>
          <w:rStyle w:val="Rimandonotaapidipagina"/>
          <w:i w:val="0"/>
          <w:smallCaps w:val="0"/>
        </w:rPr>
        <w:footnoteRef/>
      </w:r>
      <w:r w:rsidRPr="00280EE2">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sez. III, 31 gennaio 2024, n. 998, nella quale si soggiunge che, a fronte di eventuali pregiudizi alla </w:t>
      </w:r>
      <w:r>
        <w:rPr>
          <w:smallCaps w:val="0"/>
        </w:rPr>
        <w:t xml:space="preserve">privacy </w:t>
      </w:r>
      <w:r>
        <w:rPr>
          <w:i w:val="0"/>
          <w:smallCaps w:val="0"/>
        </w:rPr>
        <w:t xml:space="preserve">e alla reputazione rivenienti dalle predette annotazioni, l’interessato non risulta sfornito di tutela, potendo attivare i rimedi all’uopo previsti dal Regolamento 2016/679/UE e dal d.lgs. 30 giugno 2003, n. 196, essendo – in definitiva – le operazioni in discorso riconducibili all’ampia nozione di trattamento di dati personali oggi dettata dall’articolo 4, n. 2, del Regolamento testé citato. Cfr. anche </w:t>
      </w:r>
      <w:proofErr w:type="spellStart"/>
      <w:r>
        <w:rPr>
          <w:i w:val="0"/>
          <w:smallCaps w:val="0"/>
        </w:rPr>
        <w:t>Cons</w:t>
      </w:r>
      <w:proofErr w:type="spellEnd"/>
      <w:r>
        <w:rPr>
          <w:i w:val="0"/>
          <w:smallCaps w:val="0"/>
        </w:rPr>
        <w:t>. Stato, sez. III, n. 5854/2024, cit., laddove si esclude che possa assimilarsi a una comunicazione antimafia con esito positivo una mera “</w:t>
      </w:r>
      <w:r>
        <w:rPr>
          <w:smallCaps w:val="0"/>
        </w:rPr>
        <w:t>schermata web</w:t>
      </w:r>
      <w:r>
        <w:rPr>
          <w:i w:val="0"/>
          <w:smallCaps w:val="0"/>
        </w:rPr>
        <w:t>” della Banca dati nazionale antimafia.</w:t>
      </w:r>
    </w:p>
  </w:footnote>
  <w:footnote w:id="37">
    <w:p w:rsidR="00BE7D77" w:rsidRPr="00E50730" w:rsidRDefault="00BE7D77" w:rsidP="00E50730">
      <w:pPr>
        <w:pStyle w:val="Testonotaapidipagina"/>
        <w:jc w:val="both"/>
        <w:rPr>
          <w:i w:val="0"/>
          <w:smallCaps w:val="0"/>
        </w:rPr>
      </w:pPr>
      <w:r w:rsidRPr="00E50730">
        <w:rPr>
          <w:rStyle w:val="Rimandonotaapidipagina"/>
          <w:i w:val="0"/>
          <w:smallCaps w:val="0"/>
        </w:rPr>
        <w:footnoteRef/>
      </w:r>
      <w:r w:rsidRPr="00E50730">
        <w:rPr>
          <w:i w:val="0"/>
          <w:smallCaps w:val="0"/>
        </w:rPr>
        <w:t xml:space="preserve"> </w:t>
      </w:r>
      <w:r>
        <w:rPr>
          <w:i w:val="0"/>
          <w:smallCaps w:val="0"/>
        </w:rPr>
        <w:t xml:space="preserve">In termini, </w:t>
      </w:r>
      <w:proofErr w:type="spellStart"/>
      <w:r>
        <w:rPr>
          <w:i w:val="0"/>
          <w:smallCaps w:val="0"/>
        </w:rPr>
        <w:t>Cons</w:t>
      </w:r>
      <w:proofErr w:type="spellEnd"/>
      <w:r>
        <w:rPr>
          <w:i w:val="0"/>
          <w:smallCaps w:val="0"/>
        </w:rPr>
        <w:t>. Stato, sez. III, 14 giugno 2024, n. 5350; id., 2 marzo 2023, n. 2212; id., 6 dicembre 2022, n. 284.</w:t>
      </w:r>
    </w:p>
  </w:footnote>
  <w:footnote w:id="38">
    <w:p w:rsidR="00BE7D77" w:rsidRPr="00C31464" w:rsidRDefault="00BE7D77" w:rsidP="00C31464">
      <w:pPr>
        <w:pStyle w:val="popolo"/>
        <w:spacing w:before="0" w:beforeAutospacing="0" w:after="0" w:afterAutospacing="0"/>
        <w:jc w:val="both"/>
        <w:rPr>
          <w:sz w:val="20"/>
          <w:szCs w:val="20"/>
        </w:rPr>
      </w:pPr>
      <w:r w:rsidRPr="00537C70">
        <w:rPr>
          <w:rStyle w:val="Rimandonotaapidipagina"/>
        </w:rPr>
        <w:footnoteRef/>
      </w:r>
      <w:r w:rsidRPr="00537C70">
        <w:t xml:space="preserve"> </w:t>
      </w:r>
      <w:r w:rsidRPr="00C31464">
        <w:rPr>
          <w:sz w:val="20"/>
          <w:szCs w:val="20"/>
        </w:rPr>
        <w:t xml:space="preserve">Cfr. </w:t>
      </w:r>
      <w:proofErr w:type="spellStart"/>
      <w:r w:rsidRPr="00C31464">
        <w:rPr>
          <w:sz w:val="20"/>
          <w:szCs w:val="20"/>
        </w:rPr>
        <w:t>Cons</w:t>
      </w:r>
      <w:proofErr w:type="spellEnd"/>
      <w:r w:rsidRPr="00C31464">
        <w:rPr>
          <w:sz w:val="20"/>
          <w:szCs w:val="20"/>
        </w:rPr>
        <w:t>. Stato, sez. III, n. 5350/2024, cit., ove si aggiunge poi che inconferente è anche l’assimilabilità dei liveri professionisti a un’ampia nozione di “</w:t>
      </w:r>
      <w:r w:rsidRPr="00C31464">
        <w:rPr>
          <w:i/>
          <w:sz w:val="20"/>
          <w:szCs w:val="20"/>
        </w:rPr>
        <w:t>operatore economico</w:t>
      </w:r>
      <w:r w:rsidRPr="00C31464">
        <w:rPr>
          <w:sz w:val="20"/>
          <w:szCs w:val="20"/>
        </w:rPr>
        <w:t xml:space="preserve">”, </w:t>
      </w:r>
      <w:r w:rsidRPr="00C31464">
        <w:rPr>
          <w:color w:val="000000"/>
          <w:sz w:val="20"/>
          <w:szCs w:val="20"/>
        </w:rPr>
        <w:t xml:space="preserve">dovendo ritenersi che ai fini della disciplina in materia di certificazioni e informazioni antimafia, in ragione della sua rilevanza esclusivamente nazionale, non rilevi l’ampia nozione </w:t>
      </w:r>
      <w:proofErr w:type="spellStart"/>
      <w:r w:rsidRPr="00C31464">
        <w:rPr>
          <w:color w:val="000000"/>
          <w:sz w:val="20"/>
          <w:szCs w:val="20"/>
        </w:rPr>
        <w:t>eurounitaria</w:t>
      </w:r>
      <w:proofErr w:type="spellEnd"/>
      <w:r w:rsidRPr="00C31464">
        <w:rPr>
          <w:color w:val="000000"/>
          <w:sz w:val="20"/>
          <w:szCs w:val="20"/>
        </w:rPr>
        <w:t xml:space="preserve"> di operatore economico (elaborata in relazione alle disposizioni relative alle procedure di evidenza pubblica), ma debba piuttosto farsi riferimento alla nozione di imprenditore ricavabile dal codice civile.</w:t>
      </w:r>
    </w:p>
  </w:footnote>
  <w:footnote w:id="39">
    <w:p w:rsidR="00BE7D77" w:rsidRPr="003E290E" w:rsidRDefault="00BE7D77" w:rsidP="00B75128">
      <w:pPr>
        <w:jc w:val="both"/>
        <w:rPr>
          <w:i w:val="0"/>
          <w:smallCaps w:val="0"/>
          <w:sz w:val="20"/>
          <w:szCs w:val="20"/>
        </w:rPr>
      </w:pPr>
      <w:r w:rsidRPr="003E290E">
        <w:rPr>
          <w:rStyle w:val="Rimandonotaapidipagina"/>
          <w:i w:val="0"/>
          <w:smallCaps w:val="0"/>
          <w:sz w:val="20"/>
          <w:szCs w:val="20"/>
        </w:rPr>
        <w:footnoteRef/>
      </w:r>
      <w:r w:rsidRPr="003E290E">
        <w:rPr>
          <w:i w:val="0"/>
          <w:smallCaps w:val="0"/>
          <w:sz w:val="20"/>
          <w:szCs w:val="20"/>
        </w:rPr>
        <w:t xml:space="preserve"> Per la precisione, per le imprese individuali occorre avere riguardo al titolare e al direttore tecnico, ove previsto (comma 1), mentre negli altri casi, oltre che al direttore tecnico ove previsto, le verifiche vanno riferite: </w:t>
      </w:r>
      <w:r w:rsidRPr="003E290E">
        <w:rPr>
          <w:rFonts w:ascii="Fira Sans" w:hAnsi="Fira Sans"/>
          <w:i w:val="0"/>
          <w:smallCaps w:val="0"/>
          <w:sz w:val="20"/>
          <w:szCs w:val="20"/>
          <w:shd w:val="clear" w:color="auto" w:fill="FFFFFF"/>
        </w:rPr>
        <w:t>per le associazioni, a chi ne ha la legale rappresentanza</w:t>
      </w:r>
      <w:r w:rsidRPr="003E290E">
        <w:rPr>
          <w:i w:val="0"/>
          <w:smallCaps w:val="0"/>
          <w:sz w:val="20"/>
          <w:szCs w:val="20"/>
          <w:shd w:val="clear" w:color="auto" w:fill="FFFFFF"/>
        </w:rPr>
        <w:t>;</w:t>
      </w:r>
      <w:r w:rsidRPr="003E290E">
        <w:rPr>
          <w:i w:val="0"/>
          <w:smallCaps w:val="0"/>
          <w:shd w:val="clear" w:color="auto" w:fill="FFFFFF"/>
        </w:rPr>
        <w:t xml:space="preserve"> </w:t>
      </w:r>
      <w:r w:rsidRPr="003E290E">
        <w:rPr>
          <w:color w:val="474747"/>
          <w:shd w:val="clear" w:color="auto" w:fill="FFFFFF"/>
        </w:rPr>
        <w:t> </w:t>
      </w:r>
      <w:r w:rsidRPr="003E290E">
        <w:rPr>
          <w:i w:val="0"/>
          <w:smallCaps w:val="0"/>
          <w:sz w:val="20"/>
          <w:szCs w:val="20"/>
          <w:shd w:val="clear" w:color="auto" w:fill="FFFFFF"/>
        </w:rPr>
        <w:t>per le società di capitali, anche consortili ai sensi dell</w:t>
      </w:r>
      <w:r w:rsidRPr="003E290E">
        <w:rPr>
          <w:i w:val="0"/>
          <w:smallCaps w:val="0"/>
          <w:shd w:val="clear" w:color="auto" w:fill="FFFFFF"/>
        </w:rPr>
        <w:t>’</w:t>
      </w:r>
      <w:hyperlink r:id="rId6" w:history="1">
        <w:r w:rsidRPr="003E290E">
          <w:rPr>
            <w:i w:val="0"/>
            <w:smallCaps w:val="0"/>
            <w:sz w:val="20"/>
            <w:szCs w:val="20"/>
          </w:rPr>
          <w:t>articolo 2615-</w:t>
        </w:r>
        <w:r w:rsidRPr="003E290E">
          <w:rPr>
            <w:smallCaps w:val="0"/>
            <w:sz w:val="20"/>
            <w:szCs w:val="20"/>
          </w:rPr>
          <w:t>ter</w:t>
        </w:r>
        <w:r w:rsidRPr="003E290E">
          <w:rPr>
            <w:i w:val="0"/>
            <w:smallCaps w:val="0"/>
            <w:sz w:val="20"/>
            <w:szCs w:val="20"/>
          </w:rPr>
          <w:t xml:space="preserve"> del codice civile</w:t>
        </w:r>
      </w:hyperlink>
      <w:r w:rsidRPr="003E290E">
        <w:rPr>
          <w:i w:val="0"/>
          <w:smallCaps w:val="0"/>
          <w:sz w:val="20"/>
          <w:szCs w:val="20"/>
          <w:shd w:val="clear" w:color="auto" w:fill="FFFFFF"/>
        </w:rPr>
        <w:t>, per le società cooperative, per i consorzi di cooperative, per i consorzi di cui al libro quinto, titolo X, capo II, sezione II, del codice civile, al legale rappresentante e agli eventuali altri componenti l</w:t>
      </w:r>
      <w:r>
        <w:rPr>
          <w:i w:val="0"/>
          <w:smallCaps w:val="0"/>
          <w:shd w:val="clear" w:color="auto" w:fill="FFFFFF"/>
        </w:rPr>
        <w:t>’</w:t>
      </w:r>
      <w:r w:rsidRPr="003E290E">
        <w:rPr>
          <w:i w:val="0"/>
          <w:smallCaps w:val="0"/>
          <w:sz w:val="20"/>
          <w:szCs w:val="20"/>
          <w:shd w:val="clear" w:color="auto" w:fill="FFFFFF"/>
        </w:rPr>
        <w:t>organo di amministrazione nonché a ciascuno dei consorziati che nei consorzi e nelle società consortili detenga, anche indirettamente, una partecipazione pari almeno al 5%; per le società di capitali, inoltre, anche al socio di maggioranza in caso di società con un numero di soci pari o inferiore a quattro, ovvero al socio in caso di società con socio unico; per i consorzi di cui all’</w:t>
      </w:r>
      <w:hyperlink r:id="rId7" w:history="1">
        <w:r w:rsidRPr="003E290E">
          <w:rPr>
            <w:i w:val="0"/>
            <w:smallCaps w:val="0"/>
            <w:sz w:val="20"/>
            <w:szCs w:val="20"/>
          </w:rPr>
          <w:t>articolo 2602 del codice civile</w:t>
        </w:r>
      </w:hyperlink>
      <w:r w:rsidRPr="003E290E">
        <w:rPr>
          <w:i w:val="0"/>
          <w:smallCaps w:val="0"/>
          <w:sz w:val="20"/>
          <w:szCs w:val="20"/>
          <w:shd w:val="clear" w:color="auto" w:fill="FFFFFF"/>
        </w:rPr>
        <w:t> e per i gruppi europei di interesse economico (GEIE), a chi ne ha la rappresentanza e agli imprenditori o società consorziate; per le società semplice e in nome collettivo, a tutti i soci; per le società in accomandita semplice, ai soci accomandatari; per le società di cui all</w:t>
      </w:r>
      <w:r>
        <w:rPr>
          <w:i w:val="0"/>
          <w:smallCaps w:val="0"/>
          <w:shd w:val="clear" w:color="auto" w:fill="FFFFFF"/>
        </w:rPr>
        <w:t>’</w:t>
      </w:r>
      <w:hyperlink r:id="rId8" w:history="1">
        <w:r w:rsidRPr="003E290E">
          <w:rPr>
            <w:i w:val="0"/>
            <w:smallCaps w:val="0"/>
            <w:sz w:val="20"/>
            <w:szCs w:val="20"/>
          </w:rPr>
          <w:t>articolo 2508 del codice civile</w:t>
        </w:r>
      </w:hyperlink>
      <w:r w:rsidRPr="003E290E">
        <w:rPr>
          <w:i w:val="0"/>
          <w:smallCaps w:val="0"/>
          <w:sz w:val="20"/>
          <w:szCs w:val="20"/>
          <w:shd w:val="clear" w:color="auto" w:fill="FFFFFF"/>
        </w:rPr>
        <w:t>, a coloro che le rappresentano stabilmente nel territorio dello Stato;</w:t>
      </w:r>
      <w:r>
        <w:rPr>
          <w:i w:val="0"/>
          <w:smallCaps w:val="0"/>
          <w:shd w:val="clear" w:color="auto" w:fill="FFFFFF"/>
        </w:rPr>
        <w:t xml:space="preserve"> </w:t>
      </w:r>
      <w:r w:rsidRPr="003E290E">
        <w:rPr>
          <w:i w:val="0"/>
          <w:smallCaps w:val="0"/>
          <w:sz w:val="20"/>
          <w:szCs w:val="20"/>
          <w:shd w:val="clear" w:color="auto" w:fill="FFFFFF"/>
        </w:rPr>
        <w:t xml:space="preserve">per i raggruppamenti temporanei di imprese, alle imprese costituenti il raggruppamento anche se aventi sede all’estero, secondo le modalità indicate per le relative tipologie; per le società personali ai soci persone fisiche delle società personali o di capitali che ne siano socie (comma 2). </w:t>
      </w:r>
      <w:r>
        <w:rPr>
          <w:i w:val="0"/>
          <w:smallCaps w:val="0"/>
          <w:sz w:val="20"/>
          <w:szCs w:val="20"/>
          <w:shd w:val="clear" w:color="auto" w:fill="FFFFFF"/>
        </w:rPr>
        <w:t xml:space="preserve">I </w:t>
      </w:r>
      <w:r w:rsidRPr="003E290E">
        <w:rPr>
          <w:i w:val="0"/>
          <w:smallCaps w:val="0"/>
          <w:color w:val="000000"/>
          <w:sz w:val="20"/>
          <w:szCs w:val="20"/>
        </w:rPr>
        <w:t>controlli</w:t>
      </w:r>
      <w:r>
        <w:rPr>
          <w:i w:val="0"/>
          <w:smallCaps w:val="0"/>
          <w:color w:val="000000"/>
          <w:sz w:val="20"/>
          <w:szCs w:val="20"/>
        </w:rPr>
        <w:t xml:space="preserve"> sono poi estesi</w:t>
      </w:r>
      <w:r w:rsidRPr="003E290E">
        <w:rPr>
          <w:i w:val="0"/>
          <w:smallCaps w:val="0"/>
          <w:color w:val="000000"/>
          <w:sz w:val="20"/>
          <w:szCs w:val="20"/>
        </w:rPr>
        <w:t>, per le società e associazioni, anche ai componenti dei collegi sindacali e ai soggetti a qualunque titolo investiti di compiti di vigilanza</w:t>
      </w:r>
      <w:r>
        <w:rPr>
          <w:i w:val="0"/>
          <w:smallCaps w:val="0"/>
          <w:color w:val="000000"/>
          <w:sz w:val="20"/>
          <w:szCs w:val="20"/>
        </w:rPr>
        <w:t xml:space="preserve"> (comma 2-</w:t>
      </w:r>
      <w:r>
        <w:rPr>
          <w:smallCaps w:val="0"/>
          <w:color w:val="000000"/>
          <w:sz w:val="20"/>
          <w:szCs w:val="20"/>
        </w:rPr>
        <w:t>bis</w:t>
      </w:r>
      <w:r>
        <w:rPr>
          <w:i w:val="0"/>
          <w:smallCaps w:val="0"/>
          <w:color w:val="000000"/>
          <w:sz w:val="20"/>
          <w:szCs w:val="20"/>
        </w:rPr>
        <w:t>).</w:t>
      </w:r>
    </w:p>
  </w:footnote>
  <w:footnote w:id="40">
    <w:p w:rsidR="00BE7D77" w:rsidRPr="00B75128" w:rsidRDefault="00BE7D77" w:rsidP="00B75128">
      <w:pPr>
        <w:pStyle w:val="Testonotaapidipagina"/>
        <w:jc w:val="both"/>
        <w:rPr>
          <w:i w:val="0"/>
          <w:smallCaps w:val="0"/>
        </w:rPr>
      </w:pPr>
      <w:r w:rsidRPr="00B75128">
        <w:rPr>
          <w:rStyle w:val="Rimandonotaapidipagina"/>
          <w:i w:val="0"/>
          <w:smallCaps w:val="0"/>
        </w:rPr>
        <w:footnoteRef/>
      </w:r>
      <w:r w:rsidRPr="00B75128">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9 ottobre 2023, n. 2771; id., 10 maggio 2021, n. 3654; id., 10 aprile 2017, n. 1657.</w:t>
      </w:r>
    </w:p>
  </w:footnote>
  <w:footnote w:id="41">
    <w:p w:rsidR="00BE7D77" w:rsidRPr="000E4250" w:rsidRDefault="00BE7D77" w:rsidP="000E4250">
      <w:pPr>
        <w:pStyle w:val="Testonotaapidipagina"/>
        <w:jc w:val="both"/>
        <w:rPr>
          <w:smallCaps w:val="0"/>
        </w:rPr>
      </w:pPr>
      <w:r w:rsidRPr="000E4250">
        <w:rPr>
          <w:rStyle w:val="Rimandonotaapidipagina"/>
          <w:i w:val="0"/>
          <w:smallCaps w:val="0"/>
        </w:rPr>
        <w:footnoteRef/>
      </w:r>
      <w:r w:rsidRPr="000E4250">
        <w:rPr>
          <w:i w:val="0"/>
          <w:smallCaps w:val="0"/>
        </w:rPr>
        <w:t xml:space="preserve"> </w:t>
      </w:r>
      <w:r>
        <w:rPr>
          <w:i w:val="0"/>
          <w:smallCaps w:val="0"/>
        </w:rPr>
        <w:t xml:space="preserve">Cfr. F.G. SCOCA, </w:t>
      </w:r>
      <w:r>
        <w:rPr>
          <w:smallCaps w:val="0"/>
        </w:rPr>
        <w:t>op. cit.</w:t>
      </w:r>
    </w:p>
  </w:footnote>
  <w:footnote w:id="42">
    <w:p w:rsidR="00BE7D77" w:rsidRPr="005A3921" w:rsidRDefault="00BE7D77" w:rsidP="005A3921">
      <w:pPr>
        <w:pStyle w:val="Testonotaapidipagina"/>
        <w:jc w:val="both"/>
        <w:rPr>
          <w:i w:val="0"/>
          <w:smallCaps w:val="0"/>
        </w:rPr>
      </w:pPr>
      <w:r w:rsidRPr="005A3921">
        <w:rPr>
          <w:rStyle w:val="Rimandonotaapidipagina"/>
          <w:i w:val="0"/>
          <w:smallCaps w:val="0"/>
        </w:rPr>
        <w:footnoteRef/>
      </w:r>
      <w:r w:rsidRPr="005A3921">
        <w:rPr>
          <w:i w:val="0"/>
          <w:smallCaps w:val="0"/>
        </w:rPr>
        <w:t xml:space="preserve"> </w:t>
      </w:r>
      <w:r>
        <w:rPr>
          <w:i w:val="0"/>
          <w:smallCaps w:val="0"/>
        </w:rPr>
        <w:t xml:space="preserve">In tema, cfr. D. CASTRONUOVO, </w:t>
      </w:r>
      <w:r>
        <w:rPr>
          <w:smallCaps w:val="0"/>
        </w:rPr>
        <w:t xml:space="preserve">Clausole generali e diritto penale, </w:t>
      </w:r>
      <w:r>
        <w:rPr>
          <w:i w:val="0"/>
          <w:smallCaps w:val="0"/>
        </w:rPr>
        <w:t xml:space="preserve">in AA.VV., </w:t>
      </w:r>
      <w:r>
        <w:rPr>
          <w:smallCaps w:val="0"/>
        </w:rPr>
        <w:t xml:space="preserve">Scritti in onore di A.M. Stile, </w:t>
      </w:r>
      <w:r>
        <w:rPr>
          <w:i w:val="0"/>
          <w:smallCaps w:val="0"/>
        </w:rPr>
        <w:t>Napoli, 2013, pp. 477 ss., con ampi richiami di dottrina.</w:t>
      </w:r>
    </w:p>
  </w:footnote>
  <w:footnote w:id="43">
    <w:p w:rsidR="00BE7D77" w:rsidRPr="00815A53" w:rsidRDefault="00BE7D77" w:rsidP="00815A53">
      <w:pPr>
        <w:pStyle w:val="Testonotaapidipagina"/>
        <w:jc w:val="both"/>
        <w:rPr>
          <w:i w:val="0"/>
          <w:smallCaps w:val="0"/>
        </w:rPr>
      </w:pPr>
      <w:r w:rsidRPr="00815A53">
        <w:rPr>
          <w:rStyle w:val="Rimandonotaapidipagina"/>
          <w:i w:val="0"/>
          <w:smallCaps w:val="0"/>
        </w:rPr>
        <w:footnoteRef/>
      </w:r>
      <w:r w:rsidRPr="00815A53">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30 ottobre 2023, n. 9343; id., 3 marzo 2021, n. 1825; id., 20 gennaio 2020, n. 452; id., 3 aprile 2019, n. 2211.</w:t>
      </w:r>
    </w:p>
  </w:footnote>
  <w:footnote w:id="44">
    <w:p w:rsidR="00BE7D77" w:rsidRPr="00815A53" w:rsidRDefault="00BE7D77" w:rsidP="00815A53">
      <w:pPr>
        <w:pStyle w:val="Testonotaapidipagina"/>
        <w:jc w:val="both"/>
        <w:rPr>
          <w:i w:val="0"/>
          <w:smallCaps w:val="0"/>
        </w:rPr>
      </w:pPr>
      <w:r w:rsidRPr="00815A53">
        <w:rPr>
          <w:rStyle w:val="Rimandonotaapidipagina"/>
          <w:i w:val="0"/>
          <w:smallCaps w:val="0"/>
        </w:rPr>
        <w:footnoteRef/>
      </w:r>
      <w:r w:rsidRPr="00815A53">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31 gennaio 2024, n. 999; id., 18 settembre 2023, n. 8395.</w:t>
      </w:r>
    </w:p>
  </w:footnote>
  <w:footnote w:id="45">
    <w:p w:rsidR="00BE7D77" w:rsidRPr="0077051C" w:rsidRDefault="00BE7D77" w:rsidP="0077051C">
      <w:pPr>
        <w:pStyle w:val="Testonotaapidipagina"/>
        <w:jc w:val="both"/>
        <w:rPr>
          <w:i w:val="0"/>
          <w:smallCaps w:val="0"/>
        </w:rPr>
      </w:pPr>
      <w:r w:rsidRPr="0077051C">
        <w:rPr>
          <w:rStyle w:val="Rimandonotaapidipagina"/>
          <w:i w:val="0"/>
          <w:smallCaps w:val="0"/>
        </w:rPr>
        <w:footnoteRef/>
      </w:r>
      <w:r w:rsidRPr="0077051C">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4 febbraio 2021, n. 1049; id., 5 settembre 2019, n. 6105; id., 3 maggio 2016, n. 1743.</w:t>
      </w:r>
    </w:p>
  </w:footnote>
  <w:footnote w:id="46">
    <w:p w:rsidR="00BE7D77" w:rsidRPr="0077051C" w:rsidRDefault="00BE7D77" w:rsidP="0077051C">
      <w:pPr>
        <w:pStyle w:val="Testonotaapidipagina"/>
        <w:jc w:val="both"/>
        <w:rPr>
          <w:i w:val="0"/>
          <w:smallCaps w:val="0"/>
        </w:rPr>
      </w:pPr>
      <w:r w:rsidRPr="0077051C">
        <w:rPr>
          <w:rStyle w:val="Rimandonotaapidipagina"/>
          <w:i w:val="0"/>
          <w:smallCaps w:val="0"/>
        </w:rPr>
        <w:footnoteRef/>
      </w:r>
      <w:r w:rsidRPr="0077051C">
        <w:rPr>
          <w:i w:val="0"/>
          <w:smallCaps w:val="0"/>
        </w:rPr>
        <w:t xml:space="preserve"> </w:t>
      </w:r>
      <w:proofErr w:type="spellStart"/>
      <w:r>
        <w:rPr>
          <w:i w:val="0"/>
          <w:smallCaps w:val="0"/>
        </w:rPr>
        <w:t>Sent</w:t>
      </w:r>
      <w:proofErr w:type="spellEnd"/>
      <w:r>
        <w:rPr>
          <w:i w:val="0"/>
          <w:smallCaps w:val="0"/>
        </w:rPr>
        <w:t>. 26 marzo 2020, n. 57.</w:t>
      </w:r>
    </w:p>
  </w:footnote>
  <w:footnote w:id="47">
    <w:p w:rsidR="00BE7D77" w:rsidRPr="00AE3EC6" w:rsidRDefault="00BE7D77" w:rsidP="00AE3EC6">
      <w:pPr>
        <w:pStyle w:val="Testonotaapidipagina"/>
        <w:jc w:val="both"/>
        <w:rPr>
          <w:i w:val="0"/>
          <w:smallCaps w:val="0"/>
        </w:rPr>
      </w:pPr>
      <w:r w:rsidRPr="00AE3EC6">
        <w:rPr>
          <w:rStyle w:val="Rimandonotaapidipagina"/>
          <w:i w:val="0"/>
          <w:smallCaps w:val="0"/>
        </w:rPr>
        <w:footnoteRef/>
      </w:r>
      <w:r w:rsidRPr="00AE3EC6">
        <w:rPr>
          <w:i w:val="0"/>
          <w:smallCaps w:val="0"/>
        </w:rPr>
        <w:t xml:space="preserve"> </w:t>
      </w:r>
      <w:r>
        <w:rPr>
          <w:i w:val="0"/>
          <w:smallCaps w:val="0"/>
        </w:rPr>
        <w:t xml:space="preserve">Sull’efficacia temporale limitata delle informative </w:t>
      </w:r>
      <w:proofErr w:type="spellStart"/>
      <w:r>
        <w:rPr>
          <w:i w:val="0"/>
          <w:smallCaps w:val="0"/>
        </w:rPr>
        <w:t>interdittive</w:t>
      </w:r>
      <w:proofErr w:type="spellEnd"/>
      <w:r>
        <w:rPr>
          <w:i w:val="0"/>
          <w:smallCaps w:val="0"/>
        </w:rPr>
        <w:t xml:space="preserve"> e sulle sue conseguenze si tornerà </w:t>
      </w:r>
      <w:r>
        <w:rPr>
          <w:smallCaps w:val="0"/>
        </w:rPr>
        <w:t xml:space="preserve">infra, </w:t>
      </w:r>
      <w:r>
        <w:rPr>
          <w:i w:val="0"/>
          <w:smallCaps w:val="0"/>
        </w:rPr>
        <w:t>al § 11.</w:t>
      </w:r>
    </w:p>
  </w:footnote>
  <w:footnote w:id="48">
    <w:p w:rsidR="00BE7D77" w:rsidRPr="00BD6861" w:rsidRDefault="00BE7D77" w:rsidP="00BD6861">
      <w:pPr>
        <w:pStyle w:val="Testonotaapidipagina"/>
        <w:jc w:val="both"/>
        <w:rPr>
          <w:i w:val="0"/>
          <w:smallCaps w:val="0"/>
        </w:rPr>
      </w:pPr>
      <w:r w:rsidRPr="00BD6861">
        <w:rPr>
          <w:rStyle w:val="Rimandonotaapidipagina"/>
          <w:i w:val="0"/>
          <w:smallCaps w:val="0"/>
        </w:rPr>
        <w:footnoteRef/>
      </w:r>
      <w:r w:rsidRPr="00BD6861">
        <w:rPr>
          <w:i w:val="0"/>
          <w:smallCaps w:val="0"/>
        </w:rPr>
        <w:t xml:space="preserve"> </w:t>
      </w:r>
      <w:r>
        <w:rPr>
          <w:i w:val="0"/>
          <w:smallCaps w:val="0"/>
        </w:rPr>
        <w:t xml:space="preserve">Cfr. </w:t>
      </w:r>
      <w:proofErr w:type="spellStart"/>
      <w:r>
        <w:rPr>
          <w:i w:val="0"/>
          <w:smallCaps w:val="0"/>
        </w:rPr>
        <w:t>C.g.a.r.s</w:t>
      </w:r>
      <w:proofErr w:type="spellEnd"/>
      <w:r>
        <w:rPr>
          <w:i w:val="0"/>
          <w:smallCaps w:val="0"/>
        </w:rPr>
        <w:t>., 4 luglio 2022, n. 793. Di “</w:t>
      </w:r>
      <w:r>
        <w:rPr>
          <w:smallCaps w:val="0"/>
        </w:rPr>
        <w:t>paradosso di una legislazione preventiva costretta a rincorrere e non ad anticipare la minaccia mafiosa</w:t>
      </w:r>
      <w:r>
        <w:rPr>
          <w:i w:val="0"/>
          <w:smallCaps w:val="0"/>
        </w:rPr>
        <w:t xml:space="preserve">” parla M. NOCCELLI, </w:t>
      </w:r>
      <w:r>
        <w:rPr>
          <w:smallCaps w:val="0"/>
        </w:rPr>
        <w:t xml:space="preserve">Le informazioni antimafia tra tassatività sostanziale e tassatività processuale, </w:t>
      </w:r>
      <w:r>
        <w:rPr>
          <w:i w:val="0"/>
          <w:smallCaps w:val="0"/>
        </w:rPr>
        <w:t xml:space="preserve">in </w:t>
      </w:r>
      <w:r>
        <w:rPr>
          <w:smallCaps w:val="0"/>
        </w:rPr>
        <w:t xml:space="preserve">www.giustizia-amministrativa.it, </w:t>
      </w:r>
      <w:r>
        <w:rPr>
          <w:i w:val="0"/>
          <w:smallCaps w:val="0"/>
        </w:rPr>
        <w:t>2 dicembre 2020.</w:t>
      </w:r>
    </w:p>
  </w:footnote>
  <w:footnote w:id="49">
    <w:p w:rsidR="00BE7D77" w:rsidRPr="00F84874" w:rsidRDefault="00BE7D77" w:rsidP="006C03B1">
      <w:pPr>
        <w:pStyle w:val="Testonotaapidipagina"/>
        <w:jc w:val="both"/>
        <w:rPr>
          <w:i w:val="0"/>
          <w:smallCaps w:val="0"/>
        </w:rPr>
      </w:pPr>
      <w:r w:rsidRPr="006C03B1">
        <w:rPr>
          <w:rStyle w:val="Rimandonotaapidipagina"/>
          <w:i w:val="0"/>
          <w:smallCaps w:val="0"/>
        </w:rPr>
        <w:footnoteRef/>
      </w:r>
      <w:r w:rsidRPr="006C03B1">
        <w:rPr>
          <w:i w:val="0"/>
          <w:smallCaps w:val="0"/>
        </w:rPr>
        <w:t xml:space="preserve"> </w:t>
      </w:r>
      <w:r>
        <w:rPr>
          <w:i w:val="0"/>
          <w:smallCaps w:val="0"/>
        </w:rPr>
        <w:t xml:space="preserve">Cfr. G. AMARELLI, </w:t>
      </w:r>
      <w:proofErr w:type="spellStart"/>
      <w:r>
        <w:rPr>
          <w:smallCaps w:val="0"/>
        </w:rPr>
        <w:t>Interdittive</w:t>
      </w:r>
      <w:proofErr w:type="spellEnd"/>
      <w:r>
        <w:rPr>
          <w:smallCaps w:val="0"/>
        </w:rPr>
        <w:t xml:space="preserve"> antimafia </w:t>
      </w:r>
      <w:proofErr w:type="gramStart"/>
      <w:r>
        <w:rPr>
          <w:smallCaps w:val="0"/>
        </w:rPr>
        <w:t>e “</w:t>
      </w:r>
      <w:proofErr w:type="gramEnd"/>
      <w:r>
        <w:rPr>
          <w:smallCaps w:val="0"/>
        </w:rPr>
        <w:t xml:space="preserve">valori fondanti della democrazia”: il pericoloso equivoco da evitare, </w:t>
      </w:r>
      <w:r>
        <w:rPr>
          <w:i w:val="0"/>
          <w:smallCaps w:val="0"/>
        </w:rPr>
        <w:t xml:space="preserve">cit.; A. LONGO, </w:t>
      </w:r>
      <w:r>
        <w:rPr>
          <w:smallCaps w:val="0"/>
        </w:rPr>
        <w:t xml:space="preserve">La Corte costituzionale e le informative antimafia. Minime riflessioni a partire dalla sentenza n. 57 del 2020, </w:t>
      </w:r>
      <w:r>
        <w:rPr>
          <w:i w:val="0"/>
          <w:smallCaps w:val="0"/>
        </w:rPr>
        <w:t xml:space="preserve">in </w:t>
      </w:r>
      <w:r>
        <w:rPr>
          <w:smallCaps w:val="0"/>
        </w:rPr>
        <w:t xml:space="preserve">eee.nomos-leattualitaneldiritto.it, </w:t>
      </w:r>
      <w:r>
        <w:rPr>
          <w:i w:val="0"/>
          <w:smallCaps w:val="0"/>
        </w:rPr>
        <w:t>n. 2/2020.</w:t>
      </w:r>
    </w:p>
  </w:footnote>
  <w:footnote w:id="50">
    <w:p w:rsidR="00BE7D77" w:rsidRPr="006C03B1" w:rsidRDefault="00BE7D77" w:rsidP="006C03B1">
      <w:pPr>
        <w:pStyle w:val="Testonotaapidipagina"/>
        <w:jc w:val="both"/>
        <w:rPr>
          <w:smallCaps w:val="0"/>
        </w:rPr>
      </w:pPr>
      <w:r w:rsidRPr="006C03B1">
        <w:rPr>
          <w:rStyle w:val="Rimandonotaapidipagina"/>
          <w:i w:val="0"/>
        </w:rPr>
        <w:footnoteRef/>
      </w:r>
      <w:r w:rsidRPr="006C03B1">
        <w:rPr>
          <w:i w:val="0"/>
        </w:rPr>
        <w:t xml:space="preserve"> </w:t>
      </w:r>
      <w:r>
        <w:rPr>
          <w:i w:val="0"/>
          <w:smallCaps w:val="0"/>
        </w:rPr>
        <w:t xml:space="preserve">CEDU, 23 febbraio 2017, ric. n. 43395/09, </w:t>
      </w:r>
      <w:r>
        <w:rPr>
          <w:smallCaps w:val="0"/>
        </w:rPr>
        <w:t>De Tommaso c/ Italia.</w:t>
      </w:r>
    </w:p>
  </w:footnote>
  <w:footnote w:id="51">
    <w:p w:rsidR="00BE7D77" w:rsidRPr="00887686" w:rsidRDefault="00BE7D77" w:rsidP="00887686">
      <w:pPr>
        <w:pStyle w:val="Testonotaapidipagina"/>
        <w:jc w:val="both"/>
        <w:rPr>
          <w:i w:val="0"/>
          <w:smallCaps w:val="0"/>
        </w:rPr>
      </w:pPr>
      <w:r w:rsidRPr="00887686">
        <w:rPr>
          <w:rStyle w:val="Rimandonotaapidipagina"/>
          <w:i w:val="0"/>
        </w:rPr>
        <w:footnoteRef/>
      </w:r>
      <w:r w:rsidRPr="00887686">
        <w:rPr>
          <w:i w:val="0"/>
        </w:rPr>
        <w:t xml:space="preserve"> </w:t>
      </w:r>
      <w:r>
        <w:rPr>
          <w:i w:val="0"/>
          <w:smallCaps w:val="0"/>
        </w:rPr>
        <w:t xml:space="preserve">Fra i primi commenti alla sentenza della CEDU, si vedano G. AMARELLI, </w:t>
      </w:r>
      <w:r>
        <w:rPr>
          <w:smallCaps w:val="0"/>
        </w:rPr>
        <w:t>L’onda lunga della sentenza De Tommaso: ore contate per l’</w:t>
      </w:r>
      <w:proofErr w:type="spellStart"/>
      <w:r>
        <w:rPr>
          <w:smallCaps w:val="0"/>
        </w:rPr>
        <w:t>interdittiva</w:t>
      </w:r>
      <w:proofErr w:type="spellEnd"/>
      <w:r>
        <w:rPr>
          <w:smallCaps w:val="0"/>
        </w:rPr>
        <w:t xml:space="preserve"> antimafia ‘generica’ ex artt. 84, co. 4, </w:t>
      </w:r>
      <w:proofErr w:type="spellStart"/>
      <w:r>
        <w:rPr>
          <w:smallCaps w:val="0"/>
        </w:rPr>
        <w:t>lett</w:t>
      </w:r>
      <w:proofErr w:type="spellEnd"/>
      <w:r>
        <w:rPr>
          <w:smallCaps w:val="0"/>
        </w:rPr>
        <w:t xml:space="preserve">. d) ed e) d. </w:t>
      </w:r>
      <w:proofErr w:type="spellStart"/>
      <w:r>
        <w:rPr>
          <w:smallCaps w:val="0"/>
        </w:rPr>
        <w:t>lgs</w:t>
      </w:r>
      <w:proofErr w:type="spellEnd"/>
      <w:r>
        <w:rPr>
          <w:smallCaps w:val="0"/>
        </w:rPr>
        <w:t>. n. 159/</w:t>
      </w:r>
      <w:proofErr w:type="gramStart"/>
      <w:r>
        <w:rPr>
          <w:smallCaps w:val="0"/>
        </w:rPr>
        <w:t>2011?,</w:t>
      </w:r>
      <w:proofErr w:type="gramEnd"/>
      <w:r>
        <w:rPr>
          <w:smallCaps w:val="0"/>
        </w:rPr>
        <w:t xml:space="preserve"> </w:t>
      </w:r>
      <w:r>
        <w:rPr>
          <w:i w:val="0"/>
          <w:smallCaps w:val="0"/>
        </w:rPr>
        <w:t xml:space="preserve">in </w:t>
      </w:r>
      <w:r>
        <w:rPr>
          <w:smallCaps w:val="0"/>
        </w:rPr>
        <w:t xml:space="preserve">www.dirittopenalecontemporaneo.it, </w:t>
      </w:r>
      <w:r>
        <w:rPr>
          <w:i w:val="0"/>
          <w:smallCaps w:val="0"/>
        </w:rPr>
        <w:t xml:space="preserve">n. 4/2017, e </w:t>
      </w:r>
      <w:r>
        <w:rPr>
          <w:i w:val="0"/>
          <w:caps/>
          <w:smallCaps w:val="0"/>
        </w:rPr>
        <w:t xml:space="preserve">f. viganò, </w:t>
      </w:r>
      <w:r>
        <w:rPr>
          <w:smallCaps w:val="0"/>
        </w:rPr>
        <w:t xml:space="preserve">La Corte di Strasburgo assesta un duro colpo alla disciplina italiana delle misure di prevenzione personali, ivi, </w:t>
      </w:r>
      <w:r>
        <w:rPr>
          <w:i w:val="0"/>
          <w:smallCaps w:val="0"/>
        </w:rPr>
        <w:t>n. 3/2017.</w:t>
      </w:r>
    </w:p>
  </w:footnote>
  <w:footnote w:id="52">
    <w:p w:rsidR="00BE7D77" w:rsidRPr="00887686" w:rsidRDefault="00BE7D77" w:rsidP="00887686">
      <w:pPr>
        <w:pStyle w:val="Testonotaapidipagina"/>
        <w:jc w:val="both"/>
        <w:rPr>
          <w:smallCaps w:val="0"/>
        </w:rPr>
      </w:pPr>
      <w:r w:rsidRPr="00887686">
        <w:rPr>
          <w:rStyle w:val="Rimandonotaapidipagina"/>
          <w:i w:val="0"/>
          <w:smallCaps w:val="0"/>
        </w:rPr>
        <w:footnoteRef/>
      </w:r>
      <w:r w:rsidRPr="00887686">
        <w:rPr>
          <w:i w:val="0"/>
          <w:smallCaps w:val="0"/>
        </w:rPr>
        <w:t xml:space="preserve"> </w:t>
      </w:r>
      <w:r>
        <w:rPr>
          <w:i w:val="0"/>
          <w:smallCaps w:val="0"/>
        </w:rPr>
        <w:t xml:space="preserve">Cfr. A. CARIOLA, </w:t>
      </w:r>
      <w:r>
        <w:rPr>
          <w:smallCaps w:val="0"/>
        </w:rPr>
        <w:t>op. cit.</w:t>
      </w:r>
    </w:p>
  </w:footnote>
  <w:footnote w:id="53">
    <w:p w:rsidR="00BE7D77" w:rsidRPr="006C5A92" w:rsidRDefault="00BE7D77" w:rsidP="006C5A92">
      <w:pPr>
        <w:pStyle w:val="Testonotaapidipagina"/>
        <w:jc w:val="both"/>
        <w:rPr>
          <w:i w:val="0"/>
          <w:smallCaps w:val="0"/>
        </w:rPr>
      </w:pPr>
      <w:r w:rsidRPr="006C5A92">
        <w:rPr>
          <w:rStyle w:val="Rimandonotaapidipagina"/>
          <w:i w:val="0"/>
          <w:smallCaps w:val="0"/>
        </w:rPr>
        <w:footnoteRef/>
      </w:r>
      <w:r w:rsidRPr="006C5A92">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sez. III, 8 febbraio 2024, n. 1282; id., 18 luglio 2023, n. 7049; id., 20 aprile 2021, n. 3182; id., 5 settembre 2019, n. 6105; </w:t>
      </w:r>
      <w:proofErr w:type="spellStart"/>
      <w:r>
        <w:rPr>
          <w:i w:val="0"/>
          <w:smallCaps w:val="0"/>
        </w:rPr>
        <w:t>C.g.a.r.s</w:t>
      </w:r>
      <w:proofErr w:type="spellEnd"/>
      <w:r>
        <w:rPr>
          <w:i w:val="0"/>
          <w:smallCaps w:val="0"/>
        </w:rPr>
        <w:t xml:space="preserve">., 3 agosto 2016, n. 257. Cfr. però anche </w:t>
      </w:r>
      <w:proofErr w:type="spellStart"/>
      <w:r>
        <w:rPr>
          <w:i w:val="0"/>
          <w:smallCaps w:val="0"/>
        </w:rPr>
        <w:t>Cons</w:t>
      </w:r>
      <w:proofErr w:type="spellEnd"/>
      <w:r>
        <w:rPr>
          <w:i w:val="0"/>
          <w:smallCaps w:val="0"/>
        </w:rPr>
        <w:t>. Stato, sez. III, 7 giugno 2023, n. 5601, laddove si sottolinea come la peculiare modalità adottata dal legislatore nel ponderare gli interessi pubblici e privati in campo si giustifica anche in ragione del fatto che l’interesse privato al libero esercizio dell’attività imprenditoriale non è specificamente tutelato dalla Convenzione EDU né riconducibile alla sfera dei diritti costituzionali inviolabili.</w:t>
      </w:r>
    </w:p>
  </w:footnote>
  <w:footnote w:id="54">
    <w:p w:rsidR="00BE7D77" w:rsidRPr="001D5F7D" w:rsidRDefault="00BE7D77" w:rsidP="001D5F7D">
      <w:pPr>
        <w:pStyle w:val="Testonotaapidipagina"/>
        <w:jc w:val="both"/>
        <w:rPr>
          <w:i w:val="0"/>
          <w:smallCaps w:val="0"/>
        </w:rPr>
      </w:pPr>
      <w:r w:rsidRPr="001D5F7D">
        <w:rPr>
          <w:rStyle w:val="Rimandonotaapidipagina"/>
          <w:i w:val="0"/>
        </w:rPr>
        <w:footnoteRef/>
      </w:r>
      <w:r w:rsidRPr="001D5F7D">
        <w:rPr>
          <w:i w:val="0"/>
        </w:rPr>
        <w:t xml:space="preserve"> </w:t>
      </w:r>
      <w:r>
        <w:rPr>
          <w:i w:val="0"/>
          <w:smallCaps w:val="0"/>
          <w:color w:val="000000"/>
        </w:rPr>
        <w:t xml:space="preserve">Cfr. </w:t>
      </w:r>
      <w:proofErr w:type="spellStart"/>
      <w:r>
        <w:rPr>
          <w:i w:val="0"/>
          <w:smallCaps w:val="0"/>
          <w:color w:val="000000"/>
        </w:rPr>
        <w:t>Cons</w:t>
      </w:r>
      <w:proofErr w:type="spellEnd"/>
      <w:r>
        <w:rPr>
          <w:i w:val="0"/>
          <w:smallCaps w:val="0"/>
          <w:color w:val="000000"/>
        </w:rPr>
        <w:t>. Stato, s</w:t>
      </w:r>
      <w:r w:rsidRPr="001D5F7D">
        <w:rPr>
          <w:i w:val="0"/>
          <w:smallCaps w:val="0"/>
          <w:color w:val="000000"/>
        </w:rPr>
        <w:t xml:space="preserve">ez. III, </w:t>
      </w:r>
      <w:r>
        <w:rPr>
          <w:i w:val="0"/>
          <w:smallCaps w:val="0"/>
          <w:color w:val="000000"/>
        </w:rPr>
        <w:t xml:space="preserve">22 febbraio 2018, n. 1112; id., </w:t>
      </w:r>
      <w:r w:rsidRPr="001D5F7D">
        <w:rPr>
          <w:i w:val="0"/>
          <w:smallCaps w:val="0"/>
          <w:color w:val="000000"/>
        </w:rPr>
        <w:t>22 marzo 2017, n. 1312</w:t>
      </w:r>
      <w:r>
        <w:rPr>
          <w:i w:val="0"/>
          <w:smallCaps w:val="0"/>
          <w:color w:val="000000"/>
        </w:rPr>
        <w:t>.</w:t>
      </w:r>
    </w:p>
  </w:footnote>
  <w:footnote w:id="55">
    <w:p w:rsidR="00BE7D77" w:rsidRPr="001D5F7D" w:rsidRDefault="00BE7D77" w:rsidP="001D5F7D">
      <w:pPr>
        <w:pStyle w:val="Testonotaapidipagina"/>
        <w:jc w:val="both"/>
        <w:rPr>
          <w:i w:val="0"/>
          <w:smallCaps w:val="0"/>
        </w:rPr>
      </w:pPr>
      <w:r w:rsidRPr="001D5F7D">
        <w:rPr>
          <w:rStyle w:val="Rimandonotaapidipagina"/>
          <w:i w:val="0"/>
          <w:smallCaps w:val="0"/>
        </w:rPr>
        <w:footnoteRef/>
      </w:r>
      <w:r w:rsidRPr="001D5F7D">
        <w:rPr>
          <w:i w:val="0"/>
          <w:smallCaps w:val="0"/>
        </w:rPr>
        <w:t xml:space="preserve"> </w:t>
      </w:r>
      <w:r>
        <w:rPr>
          <w:i w:val="0"/>
          <w:smallCaps w:val="0"/>
        </w:rPr>
        <w:t xml:space="preserve">Cfr. </w:t>
      </w:r>
      <w:r>
        <w:rPr>
          <w:smallCaps w:val="0"/>
        </w:rPr>
        <w:t xml:space="preserve">ex </w:t>
      </w:r>
      <w:proofErr w:type="spellStart"/>
      <w:r>
        <w:rPr>
          <w:smallCaps w:val="0"/>
        </w:rPr>
        <w:t>plurimis</w:t>
      </w:r>
      <w:proofErr w:type="spellEnd"/>
      <w:r>
        <w:rPr>
          <w:i w:val="0"/>
          <w:smallCaps w:val="0"/>
        </w:rPr>
        <w:t xml:space="preserve"> </w:t>
      </w:r>
      <w:proofErr w:type="spellStart"/>
      <w:r>
        <w:rPr>
          <w:i w:val="0"/>
          <w:smallCaps w:val="0"/>
        </w:rPr>
        <w:t>Cons</w:t>
      </w:r>
      <w:proofErr w:type="spellEnd"/>
      <w:r>
        <w:rPr>
          <w:i w:val="0"/>
          <w:smallCaps w:val="0"/>
        </w:rPr>
        <w:t>. Stato, sez. III, 5 gennaio 2024, n. 193; id., 4 gennaio 2024, n. 142; id., 1 dicembre 2023, n. 10427; id., 17 ottobre 2023, n. 9016; id., 9 ottobre 2023, n. 8736; id., 27 settembre 2023, n. 8560; id., 7 agosto 2023, n. 7625; id., 21 luglio 2023, n. 7141; id., 19 luglio 2023, n. 7073; id., 16 giugno 2023, n. 5964; id., 4 aprile 2022, n. 2468; id., 3 marzo 2021, n. 1825.</w:t>
      </w:r>
    </w:p>
  </w:footnote>
  <w:footnote w:id="56">
    <w:p w:rsidR="00BE7D77" w:rsidRPr="00FA32C8" w:rsidRDefault="00BE7D77" w:rsidP="00FA32C8">
      <w:pPr>
        <w:pStyle w:val="Testonotaapidipagina"/>
        <w:jc w:val="both"/>
        <w:rPr>
          <w:i w:val="0"/>
          <w:smallCaps w:val="0"/>
        </w:rPr>
      </w:pPr>
      <w:r w:rsidRPr="00FA32C8">
        <w:rPr>
          <w:rStyle w:val="Rimandonotaapidipagina"/>
          <w:i w:val="0"/>
          <w:smallCaps w:val="0"/>
        </w:rPr>
        <w:footnoteRef/>
      </w:r>
      <w:r w:rsidRPr="00FA32C8">
        <w:rPr>
          <w:i w:val="0"/>
          <w:smallCaps w:val="0"/>
        </w:rPr>
        <w:t xml:space="preserve"> </w:t>
      </w:r>
      <w:r>
        <w:rPr>
          <w:i w:val="0"/>
          <w:smallCaps w:val="0"/>
        </w:rPr>
        <w:t>Non è ancora molto sviluppata la riflessione sulle regole e i criteri con i quali la pubblica amministrazione raccoglie e valuta gli “</w:t>
      </w:r>
      <w:r w:rsidRPr="00FA32C8">
        <w:rPr>
          <w:smallCaps w:val="0"/>
        </w:rPr>
        <w:t>indizi</w:t>
      </w:r>
      <w:r>
        <w:rPr>
          <w:i w:val="0"/>
          <w:smallCaps w:val="0"/>
        </w:rPr>
        <w:t xml:space="preserve">” quando ciò le è imposto dal legislatore: sul punto, di estremo interesse è il contributo di G. TERRACCIANO – A.M. COLARUSSO, </w:t>
      </w:r>
      <w:r>
        <w:rPr>
          <w:smallCaps w:val="0"/>
        </w:rPr>
        <w:t xml:space="preserve">L’indizio nella decisione amministrativa. Teoria e prassi dell’inferenza probatoria nell’esercizio della funzione amministrativa e del potere giurisdizionale, </w:t>
      </w:r>
      <w:r>
        <w:rPr>
          <w:i w:val="0"/>
          <w:smallCaps w:val="0"/>
        </w:rPr>
        <w:t>Napoli, 2021.</w:t>
      </w:r>
    </w:p>
  </w:footnote>
  <w:footnote w:id="57">
    <w:p w:rsidR="00BE7D77" w:rsidRPr="00CF0AA9" w:rsidRDefault="00BE7D77" w:rsidP="00CF0AA9">
      <w:pPr>
        <w:pStyle w:val="Testonotaapidipagina"/>
        <w:jc w:val="both"/>
        <w:rPr>
          <w:i w:val="0"/>
          <w:smallCaps w:val="0"/>
        </w:rPr>
      </w:pPr>
      <w:r w:rsidRPr="00CF0AA9">
        <w:rPr>
          <w:rStyle w:val="Rimandonotaapidipagina"/>
          <w:i w:val="0"/>
          <w:smallCaps w:val="0"/>
        </w:rPr>
        <w:footnoteRef/>
      </w:r>
      <w:r w:rsidRPr="00CF0AA9">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sez. III, 31 gennaio 2024, n. 999; id., 19 gennaio 2024, n. 614; id., 4 gennaio 2024, n. 142; id., 3 ottobre 2023, n. 8644; id., 18 settembre 2023, n. 8395; id., 16 giugno 2023, n. 5976; id., n. 2468/2022, cit.; id., n. 1825/2021, cit.; id., 4 febbraio 2021, n. 1069; id., 20 gennaio 2020, n. 452; id., 30 gennaio 2019, n. 758; id., 11 giugno 2018, n. 3496; </w:t>
      </w:r>
      <w:proofErr w:type="spellStart"/>
      <w:r>
        <w:rPr>
          <w:i w:val="0"/>
          <w:smallCaps w:val="0"/>
        </w:rPr>
        <w:t>C.g.a.r.s</w:t>
      </w:r>
      <w:proofErr w:type="spellEnd"/>
      <w:r>
        <w:rPr>
          <w:i w:val="0"/>
          <w:smallCaps w:val="0"/>
        </w:rPr>
        <w:t>., 4 luglio 2022, n. 793; id., 10 settembre 2019, n. 792.</w:t>
      </w:r>
    </w:p>
  </w:footnote>
  <w:footnote w:id="58">
    <w:p w:rsidR="00BE7D77" w:rsidRPr="00F75ADD" w:rsidRDefault="00BE7D77" w:rsidP="00F75ADD">
      <w:pPr>
        <w:pStyle w:val="Testonotaapidipagina"/>
        <w:jc w:val="both"/>
        <w:rPr>
          <w:i w:val="0"/>
          <w:smallCaps w:val="0"/>
        </w:rPr>
      </w:pPr>
      <w:r w:rsidRPr="00F75ADD">
        <w:rPr>
          <w:rStyle w:val="Rimandonotaapidipagina"/>
          <w:i w:val="0"/>
          <w:smallCaps w:val="0"/>
        </w:rPr>
        <w:footnoteRef/>
      </w:r>
      <w:r w:rsidRPr="00F75ADD">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8 febbraio 2024, n. 1282; id., 5 febbraio 2024, n. 1142; id., n. 8736/2023, cit.; id., 7 agosto 2023, n. 7625; id., 14 settembre 2018, n. 5410; id., 14 febbraio 2017, n. 670.</w:t>
      </w:r>
    </w:p>
  </w:footnote>
  <w:footnote w:id="59">
    <w:p w:rsidR="00BE7D77" w:rsidRPr="004F42C8" w:rsidRDefault="00BE7D77" w:rsidP="004F42C8">
      <w:pPr>
        <w:pStyle w:val="Testonotaapidipagina"/>
        <w:jc w:val="both"/>
        <w:rPr>
          <w:i w:val="0"/>
          <w:smallCaps w:val="0"/>
        </w:rPr>
      </w:pPr>
      <w:r w:rsidRPr="004F42C8">
        <w:rPr>
          <w:rStyle w:val="Rimandonotaapidipagina"/>
          <w:i w:val="0"/>
        </w:rPr>
        <w:footnoteRef/>
      </w:r>
      <w:r w:rsidRPr="004F42C8">
        <w:rPr>
          <w:i w:val="0"/>
        </w:rPr>
        <w:t xml:space="preserve"> </w:t>
      </w:r>
      <w:r>
        <w:rPr>
          <w:i w:val="0"/>
          <w:smallCaps w:val="0"/>
        </w:rPr>
        <w:t xml:space="preserve">Cfr. </w:t>
      </w:r>
      <w:proofErr w:type="spellStart"/>
      <w:r>
        <w:rPr>
          <w:i w:val="0"/>
          <w:smallCaps w:val="0"/>
        </w:rPr>
        <w:t>Cons</w:t>
      </w:r>
      <w:proofErr w:type="spellEnd"/>
      <w:r>
        <w:rPr>
          <w:i w:val="0"/>
          <w:smallCaps w:val="0"/>
        </w:rPr>
        <w:t>. Stato, sez. III, 3 ottobre 2023, n. 8644; id.,</w:t>
      </w:r>
      <w:r w:rsidRPr="004F42C8">
        <w:rPr>
          <w:rFonts w:ascii="Garamond" w:hAnsi="Garamond"/>
          <w:color w:val="000000"/>
          <w:sz w:val="30"/>
          <w:szCs w:val="30"/>
        </w:rPr>
        <w:t xml:space="preserve"> </w:t>
      </w:r>
      <w:r w:rsidRPr="004F42C8">
        <w:rPr>
          <w:i w:val="0"/>
          <w:smallCaps w:val="0"/>
          <w:color w:val="000000"/>
        </w:rPr>
        <w:t>18 settembre 2023, n. 8395</w:t>
      </w:r>
      <w:r>
        <w:rPr>
          <w:i w:val="0"/>
          <w:smallCaps w:val="0"/>
        </w:rPr>
        <w:t>; id., 25 novembre 2021, n. 7890.</w:t>
      </w:r>
    </w:p>
  </w:footnote>
  <w:footnote w:id="60">
    <w:p w:rsidR="00BE7D77" w:rsidRPr="004F42C8" w:rsidRDefault="00BE7D77" w:rsidP="004F42C8">
      <w:pPr>
        <w:pStyle w:val="Testonotaapidipagina"/>
        <w:jc w:val="both"/>
        <w:rPr>
          <w:i w:val="0"/>
          <w:smallCaps w:val="0"/>
        </w:rPr>
      </w:pPr>
      <w:r w:rsidRPr="004F42C8">
        <w:rPr>
          <w:rStyle w:val="Rimandonotaapidipagina"/>
          <w:i w:val="0"/>
        </w:rPr>
        <w:footnoteRef/>
      </w:r>
      <w:r w:rsidRPr="004F42C8">
        <w:rPr>
          <w:i w:val="0"/>
        </w:rPr>
        <w:t xml:space="preserve"> </w:t>
      </w:r>
      <w:r>
        <w:rPr>
          <w:i w:val="0"/>
          <w:smallCaps w:val="0"/>
        </w:rPr>
        <w:t xml:space="preserve">Cfr. </w:t>
      </w:r>
      <w:proofErr w:type="spellStart"/>
      <w:r>
        <w:rPr>
          <w:i w:val="0"/>
          <w:smallCaps w:val="0"/>
        </w:rPr>
        <w:t>Cons</w:t>
      </w:r>
      <w:proofErr w:type="spellEnd"/>
      <w:r>
        <w:rPr>
          <w:i w:val="0"/>
          <w:smallCaps w:val="0"/>
        </w:rPr>
        <w:t>. Stato, sez. III, n. 1282/2024, cit.; id., 25 gennaio 2022, n. 488; id., n. 1825/2021, cit.</w:t>
      </w:r>
    </w:p>
  </w:footnote>
  <w:footnote w:id="61">
    <w:p w:rsidR="00BE7D77" w:rsidRPr="00AA264A" w:rsidRDefault="00BE7D77" w:rsidP="00AA264A">
      <w:pPr>
        <w:pStyle w:val="Testonotaapidipagina"/>
        <w:jc w:val="both"/>
        <w:rPr>
          <w:i w:val="0"/>
          <w:smallCaps w:val="0"/>
        </w:rPr>
      </w:pPr>
      <w:r w:rsidRPr="00AA264A">
        <w:rPr>
          <w:rStyle w:val="Rimandonotaapidipagina"/>
          <w:i w:val="0"/>
        </w:rPr>
        <w:footnoteRef/>
      </w:r>
      <w:r w:rsidRPr="00AA264A">
        <w:rPr>
          <w:i w:val="0"/>
        </w:rPr>
        <w:t xml:space="preserve"> </w:t>
      </w:r>
      <w:r>
        <w:rPr>
          <w:i w:val="0"/>
          <w:smallCaps w:val="0"/>
        </w:rPr>
        <w:t>Cfr. 3 giugno 2024, n. 4945; id., 27 febbraio 2024, n. 1925; id., 5 gennaio 2024, n. 193.</w:t>
      </w:r>
    </w:p>
  </w:footnote>
  <w:footnote w:id="62">
    <w:p w:rsidR="00BE7D77" w:rsidRPr="00DC2919" w:rsidRDefault="00BE7D77" w:rsidP="00DC2919">
      <w:pPr>
        <w:pStyle w:val="Testonotaapidipagina"/>
        <w:jc w:val="both"/>
        <w:rPr>
          <w:i w:val="0"/>
          <w:smallCaps w:val="0"/>
        </w:rPr>
      </w:pPr>
      <w:r w:rsidRPr="00DC2919">
        <w:rPr>
          <w:rStyle w:val="Rimandonotaapidipagina"/>
          <w:i w:val="0"/>
          <w:smallCaps w:val="0"/>
        </w:rPr>
        <w:footnoteRef/>
      </w:r>
      <w:r w:rsidRPr="00DC2919">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30 gennaio 2019, n. 758.</w:t>
      </w:r>
    </w:p>
  </w:footnote>
  <w:footnote w:id="63">
    <w:p w:rsidR="00BE7D77" w:rsidRPr="00DC2919" w:rsidRDefault="00BE7D77" w:rsidP="00DC2919">
      <w:pPr>
        <w:pStyle w:val="Testonotaapidipagina"/>
        <w:jc w:val="both"/>
        <w:rPr>
          <w:i w:val="0"/>
          <w:smallCaps w:val="0"/>
        </w:rPr>
      </w:pPr>
      <w:r w:rsidRPr="00DC2919">
        <w:rPr>
          <w:rStyle w:val="Rimandonotaapidipagina"/>
          <w:i w:val="0"/>
          <w:smallCaps w:val="0"/>
        </w:rPr>
        <w:footnoteRef/>
      </w:r>
      <w:r w:rsidRPr="00DC2919">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5 settembre 2019, n. 6105; id., 3 maggio 2016, n. 1743.</w:t>
      </w:r>
    </w:p>
  </w:footnote>
  <w:footnote w:id="64">
    <w:p w:rsidR="00BE7D77" w:rsidRPr="00DC2919" w:rsidRDefault="00BE7D77" w:rsidP="00DC2919">
      <w:pPr>
        <w:pStyle w:val="Testonotaapidipagina"/>
        <w:jc w:val="both"/>
        <w:rPr>
          <w:i w:val="0"/>
          <w:smallCaps w:val="0"/>
        </w:rPr>
      </w:pPr>
      <w:r w:rsidRPr="00DC2919">
        <w:rPr>
          <w:rStyle w:val="Rimandonotaapidipagina"/>
          <w:i w:val="0"/>
          <w:smallCaps w:val="0"/>
        </w:rPr>
        <w:footnoteRef/>
      </w:r>
      <w:r w:rsidRPr="00DC2919">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14 febbraio 2018, n. 965.</w:t>
      </w:r>
    </w:p>
  </w:footnote>
  <w:footnote w:id="65">
    <w:p w:rsidR="00BE7D77" w:rsidRPr="00DC2919" w:rsidRDefault="00BE7D77" w:rsidP="00DC2919">
      <w:pPr>
        <w:pStyle w:val="Testonotaapidipagina"/>
        <w:jc w:val="both"/>
        <w:rPr>
          <w:i w:val="0"/>
          <w:smallCaps w:val="0"/>
        </w:rPr>
      </w:pPr>
      <w:r w:rsidRPr="00DC2919">
        <w:rPr>
          <w:rStyle w:val="Rimandonotaapidipagina"/>
          <w:i w:val="0"/>
          <w:smallCaps w:val="0"/>
        </w:rPr>
        <w:footnoteRef/>
      </w:r>
      <w:r w:rsidRPr="00DC2919">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n. 1925/2024, cit.</w:t>
      </w:r>
    </w:p>
  </w:footnote>
  <w:footnote w:id="66">
    <w:p w:rsidR="00BE7D77" w:rsidRPr="00FC7975" w:rsidRDefault="00BE7D77" w:rsidP="00FC7975">
      <w:pPr>
        <w:pStyle w:val="Testonotaapidipagina"/>
        <w:jc w:val="both"/>
        <w:rPr>
          <w:i w:val="0"/>
          <w:smallCaps w:val="0"/>
        </w:rPr>
      </w:pPr>
      <w:r w:rsidRPr="00FC7975">
        <w:rPr>
          <w:rStyle w:val="Rimandonotaapidipagina"/>
          <w:i w:val="0"/>
          <w:smallCaps w:val="0"/>
        </w:rPr>
        <w:footnoteRef/>
      </w:r>
      <w:r w:rsidRPr="00FC7975">
        <w:rPr>
          <w:i w:val="0"/>
          <w:smallCaps w:val="0"/>
        </w:rPr>
        <w:t xml:space="preserve"> </w:t>
      </w:r>
      <w:r>
        <w:rPr>
          <w:i w:val="0"/>
          <w:smallCaps w:val="0"/>
        </w:rPr>
        <w:t>Ci si riferisce soprattutto alla “</w:t>
      </w:r>
      <w:r>
        <w:rPr>
          <w:smallCaps w:val="0"/>
        </w:rPr>
        <w:t>diversa sensibilità</w:t>
      </w:r>
      <w:r>
        <w:rPr>
          <w:i w:val="0"/>
          <w:smallCaps w:val="0"/>
        </w:rPr>
        <w:t xml:space="preserve">”, evidenziata da F.G. SCOCA, </w:t>
      </w:r>
      <w:r>
        <w:rPr>
          <w:smallCaps w:val="0"/>
        </w:rPr>
        <w:t xml:space="preserve">op. cit., </w:t>
      </w:r>
      <w:r>
        <w:rPr>
          <w:i w:val="0"/>
          <w:smallCaps w:val="0"/>
        </w:rPr>
        <w:t xml:space="preserve">tra il Consiglio di Stato e il Consiglio di giustizia amministrativa per la Regione Siciliana, la quale, in realtà, salvo che per alcune effettive divergenze relative a specifici istituti (quali il “contagio” da un’impresa a rischio di infiltrazione ad altra formalmente “sana” e gli oneri istruttori e procedimentali a carico del Prefetto in occasione dell’aggiornamento delle informative </w:t>
      </w:r>
      <w:proofErr w:type="spellStart"/>
      <w:r>
        <w:rPr>
          <w:i w:val="0"/>
          <w:smallCaps w:val="0"/>
        </w:rPr>
        <w:t>interdittive</w:t>
      </w:r>
      <w:proofErr w:type="spellEnd"/>
      <w:r>
        <w:rPr>
          <w:i w:val="0"/>
          <w:smallCaps w:val="0"/>
        </w:rPr>
        <w:t>), va ricondotta a un più o meno intenso rigore nell’individuazione della soglia di rilevanza del compendio indiziario piuttosto che a una reale difformità di visioni dell’istituto.</w:t>
      </w:r>
    </w:p>
  </w:footnote>
  <w:footnote w:id="67">
    <w:p w:rsidR="00BE7D77" w:rsidRPr="009B7AE7" w:rsidRDefault="00BE7D77" w:rsidP="009B7AE7">
      <w:pPr>
        <w:pStyle w:val="Testonotaapidipagina"/>
        <w:jc w:val="both"/>
        <w:rPr>
          <w:i w:val="0"/>
          <w:smallCaps w:val="0"/>
        </w:rPr>
      </w:pPr>
      <w:r w:rsidRPr="009B7AE7">
        <w:rPr>
          <w:rStyle w:val="Rimandonotaapidipagina"/>
          <w:i w:val="0"/>
        </w:rPr>
        <w:footnoteRef/>
      </w:r>
      <w:r w:rsidRPr="009B7AE7">
        <w:rPr>
          <w:i w:val="0"/>
        </w:rPr>
        <w:t xml:space="preserve"> </w:t>
      </w:r>
      <w:r>
        <w:rPr>
          <w:i w:val="0"/>
          <w:smallCaps w:val="0"/>
        </w:rPr>
        <w:t xml:space="preserve">Si vedano i dati comunicati dal Ministero dell’interno per il periodo 2016-2019, da cui risulta una percentuale del 27% di impugnazioni rispetto al totale delle </w:t>
      </w:r>
      <w:proofErr w:type="spellStart"/>
      <w:r>
        <w:rPr>
          <w:i w:val="0"/>
          <w:smallCaps w:val="0"/>
        </w:rPr>
        <w:t>interdittive</w:t>
      </w:r>
      <w:proofErr w:type="spellEnd"/>
      <w:r>
        <w:rPr>
          <w:i w:val="0"/>
          <w:smallCaps w:val="0"/>
        </w:rPr>
        <w:t xml:space="preserve"> emesse, con una percentuale di accoglimenti dei ricorsi del 36% dinanzi al Tar e solo del 5% dinanzi al Consiglio di Stato (V. MAGLIONE – B.L. MAZZEI, </w:t>
      </w:r>
      <w:r>
        <w:rPr>
          <w:smallCaps w:val="0"/>
        </w:rPr>
        <w:t xml:space="preserve">Dai Prefetti in quattro anni stop a più di 3700 imprese a rischio mafia, </w:t>
      </w:r>
      <w:r>
        <w:rPr>
          <w:i w:val="0"/>
          <w:smallCaps w:val="0"/>
        </w:rPr>
        <w:t xml:space="preserve">in </w:t>
      </w:r>
      <w:r>
        <w:rPr>
          <w:smallCaps w:val="0"/>
        </w:rPr>
        <w:t xml:space="preserve">Il Sole24Ore, </w:t>
      </w:r>
      <w:r>
        <w:rPr>
          <w:i w:val="0"/>
          <w:smallCaps w:val="0"/>
        </w:rPr>
        <w:t>29 settembre 2019).</w:t>
      </w:r>
    </w:p>
  </w:footnote>
  <w:footnote w:id="68">
    <w:p w:rsidR="00BE7D77" w:rsidRPr="008D7AB5" w:rsidRDefault="00BE7D77" w:rsidP="008D7AB5">
      <w:pPr>
        <w:pStyle w:val="Testonotaapidipagina"/>
        <w:jc w:val="both"/>
        <w:rPr>
          <w:i w:val="0"/>
          <w:smallCaps w:val="0"/>
        </w:rPr>
      </w:pPr>
      <w:r w:rsidRPr="008D7AB5">
        <w:rPr>
          <w:rStyle w:val="Rimandonotaapidipagina"/>
          <w:i w:val="0"/>
          <w:smallCaps w:val="0"/>
        </w:rPr>
        <w:footnoteRef/>
      </w:r>
      <w:r w:rsidRPr="008D7AB5">
        <w:rPr>
          <w:i w:val="0"/>
          <w:smallCaps w:val="0"/>
        </w:rPr>
        <w:t xml:space="preserve"> </w:t>
      </w:r>
      <w:r>
        <w:rPr>
          <w:i w:val="0"/>
          <w:smallCaps w:val="0"/>
        </w:rPr>
        <w:t>Cfr. R. GAROFOLI – G. FERRARI</w:t>
      </w:r>
      <w:r w:rsidRPr="0015214A">
        <w:rPr>
          <w:i w:val="0"/>
          <w:smallCaps w:val="0"/>
        </w:rPr>
        <w:t xml:space="preserve">, </w:t>
      </w:r>
      <w:r w:rsidRPr="0015214A">
        <w:rPr>
          <w:smallCaps w:val="0"/>
        </w:rPr>
        <w:t xml:space="preserve">op. cit., </w:t>
      </w:r>
      <w:r w:rsidRPr="0015214A">
        <w:rPr>
          <w:i w:val="0"/>
          <w:smallCaps w:val="0"/>
        </w:rPr>
        <w:t>p. 1337</w:t>
      </w:r>
      <w:r>
        <w:rPr>
          <w:i w:val="0"/>
          <w:smallCaps w:val="0"/>
        </w:rPr>
        <w:t>.</w:t>
      </w:r>
    </w:p>
  </w:footnote>
  <w:footnote w:id="69">
    <w:p w:rsidR="00BE7D77" w:rsidRPr="000029FE" w:rsidRDefault="00BE7D77" w:rsidP="000029FE">
      <w:pPr>
        <w:pStyle w:val="Testonotaapidipagina"/>
        <w:jc w:val="both"/>
        <w:rPr>
          <w:i w:val="0"/>
          <w:smallCaps w:val="0"/>
        </w:rPr>
      </w:pPr>
      <w:r w:rsidRPr="000029FE">
        <w:rPr>
          <w:rStyle w:val="Rimandonotaapidipagina"/>
          <w:i w:val="0"/>
          <w:smallCaps w:val="0"/>
        </w:rPr>
        <w:footnoteRef/>
      </w:r>
      <w:r w:rsidRPr="000029FE">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18 luglio 2023, n. 7049.</w:t>
      </w:r>
    </w:p>
  </w:footnote>
  <w:footnote w:id="70">
    <w:p w:rsidR="00BE7D77" w:rsidRPr="000029FE" w:rsidRDefault="00BE7D77" w:rsidP="000029FE">
      <w:pPr>
        <w:pStyle w:val="Testonotaapidipagina"/>
        <w:jc w:val="both"/>
        <w:rPr>
          <w:i w:val="0"/>
          <w:smallCaps w:val="0"/>
        </w:rPr>
      </w:pPr>
      <w:r w:rsidRPr="000029FE">
        <w:rPr>
          <w:rStyle w:val="Rimandonotaapidipagina"/>
          <w:i w:val="0"/>
          <w:smallCaps w:val="0"/>
        </w:rPr>
        <w:footnoteRef/>
      </w:r>
      <w:r w:rsidRPr="000029FE">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14 luglio 2023, n. 6896; id., 28 febbraio 2019, n. 1408; id., 21 febbraio 2019, n. 1214.</w:t>
      </w:r>
    </w:p>
  </w:footnote>
  <w:footnote w:id="71">
    <w:p w:rsidR="00BE7D77" w:rsidRPr="000029FE" w:rsidRDefault="00BE7D77" w:rsidP="000029FE">
      <w:pPr>
        <w:pStyle w:val="Testonotaapidipagina"/>
        <w:jc w:val="both"/>
        <w:rPr>
          <w:i w:val="0"/>
          <w:smallCaps w:val="0"/>
        </w:rPr>
      </w:pPr>
      <w:r w:rsidRPr="000029FE">
        <w:rPr>
          <w:rStyle w:val="Rimandonotaapidipagina"/>
          <w:i w:val="0"/>
          <w:smallCaps w:val="0"/>
        </w:rPr>
        <w:footnoteRef/>
      </w:r>
      <w:r w:rsidRPr="000029FE">
        <w:rPr>
          <w:i w:val="0"/>
          <w:smallCaps w:val="0"/>
        </w:rPr>
        <w:t xml:space="preserve"> </w:t>
      </w:r>
      <w:r>
        <w:rPr>
          <w:i w:val="0"/>
          <w:smallCaps w:val="0"/>
        </w:rPr>
        <w:t xml:space="preserve">La lettera </w:t>
      </w:r>
      <w:r>
        <w:rPr>
          <w:smallCaps w:val="0"/>
        </w:rPr>
        <w:t>a</w:t>
      </w:r>
      <w:r>
        <w:rPr>
          <w:i w:val="0"/>
          <w:smallCaps w:val="0"/>
        </w:rPr>
        <w:t>) del comma 4 dell’articolo 84 indica i delitti di cui agli articoli 353 (turbata libertà degli incanti), 353-</w:t>
      </w:r>
      <w:r>
        <w:rPr>
          <w:smallCaps w:val="0"/>
        </w:rPr>
        <w:t xml:space="preserve">bis </w:t>
      </w:r>
      <w:r>
        <w:rPr>
          <w:i w:val="0"/>
          <w:smallCaps w:val="0"/>
        </w:rPr>
        <w:t>(turbata libertà del procedimento di scelta del contraente), 603-</w:t>
      </w:r>
      <w:r>
        <w:rPr>
          <w:smallCaps w:val="0"/>
        </w:rPr>
        <w:t xml:space="preserve">bis </w:t>
      </w:r>
      <w:r>
        <w:rPr>
          <w:i w:val="0"/>
          <w:smallCaps w:val="0"/>
        </w:rPr>
        <w:t>(intermediazione illecita e sfruttamento del lavoro), 629 (estorsione), 640-</w:t>
      </w:r>
      <w:r>
        <w:rPr>
          <w:smallCaps w:val="0"/>
        </w:rPr>
        <w:t xml:space="preserve">bis </w:t>
      </w:r>
      <w:r>
        <w:rPr>
          <w:i w:val="0"/>
          <w:smallCaps w:val="0"/>
        </w:rPr>
        <w:t>(truffa aggravata per il conseguimento di erogazioni pubbliche), 644 (usura), 648-</w:t>
      </w:r>
      <w:r>
        <w:rPr>
          <w:smallCaps w:val="0"/>
        </w:rPr>
        <w:t xml:space="preserve">bis </w:t>
      </w:r>
      <w:r>
        <w:rPr>
          <w:i w:val="0"/>
          <w:smallCaps w:val="0"/>
        </w:rPr>
        <w:t>(riciclaggio) e 648-</w:t>
      </w:r>
      <w:r>
        <w:rPr>
          <w:smallCaps w:val="0"/>
        </w:rPr>
        <w:t xml:space="preserve">ter </w:t>
      </w:r>
      <w:r>
        <w:rPr>
          <w:i w:val="0"/>
          <w:smallCaps w:val="0"/>
        </w:rPr>
        <w:t>(impiego di denaro, beni o utilità di provenienza illecita) del codice penale, nonché i delitti di cui all’articolo 51, comma 3-</w:t>
      </w:r>
      <w:r>
        <w:rPr>
          <w:smallCaps w:val="0"/>
        </w:rPr>
        <w:t xml:space="preserve">bis, </w:t>
      </w:r>
      <w:r>
        <w:rPr>
          <w:i w:val="0"/>
          <w:smallCaps w:val="0"/>
        </w:rPr>
        <w:t>del codice di procedura penale (ossia non solo l’associazione per delinquere di stampo mafioso, ma anche l’associazione a delinquere semplice e di tutti i delitti attribuiti alla competenza delle direzioni distrettuali e nazionale antimafia in quanto riconducibili alla criminalità mafiosa) e i delitti di cui agli articoli 2 (dichiarazione fraudolenta mediante uso di fatture o altri documenti per operazioni inesistenti), 3 (dichiarazione fraudolenta mediante altri artifici) e 8 (emissione di fatture o altri documenti per operazioni inesistenti) del d.lgs. 18 marzo 2000, n. 74 (“</w:t>
      </w:r>
      <w:r w:rsidRPr="002E5A95">
        <w:rPr>
          <w:i w:val="0"/>
          <w:smallCaps w:val="0"/>
          <w:shd w:val="clear" w:color="auto" w:fill="EDEDED"/>
        </w:rPr>
        <w:t>Nuova disciplina dei reati in materia di imposte sui redditi e sul valore aggiunto, a norma dell</w:t>
      </w:r>
      <w:r>
        <w:rPr>
          <w:i w:val="0"/>
          <w:smallCaps w:val="0"/>
          <w:shd w:val="clear" w:color="auto" w:fill="EDEDED"/>
        </w:rPr>
        <w:t>’</w:t>
      </w:r>
      <w:r w:rsidRPr="002E5A95">
        <w:rPr>
          <w:rStyle w:val="wkit-internal-link"/>
          <w:i w:val="0"/>
          <w:smallCaps w:val="0"/>
          <w:shd w:val="clear" w:color="auto" w:fill="EDEDED"/>
        </w:rPr>
        <w:t>articolo 9 della legge 25 giugno 1999, n. 20</w:t>
      </w:r>
      <w:r>
        <w:rPr>
          <w:rStyle w:val="wkit-internal-link"/>
          <w:i w:val="0"/>
          <w:smallCaps w:val="0"/>
          <w:shd w:val="clear" w:color="auto" w:fill="EDEDED"/>
        </w:rPr>
        <w:t>”).</w:t>
      </w:r>
    </w:p>
  </w:footnote>
  <w:footnote w:id="72">
    <w:p w:rsidR="00BE7D77" w:rsidRPr="0016581E" w:rsidRDefault="00BE7D77" w:rsidP="0016581E">
      <w:pPr>
        <w:pStyle w:val="Testonotaapidipagina"/>
        <w:jc w:val="both"/>
        <w:rPr>
          <w:i w:val="0"/>
          <w:smallCaps w:val="0"/>
        </w:rPr>
      </w:pPr>
      <w:r w:rsidRPr="0016581E">
        <w:rPr>
          <w:rStyle w:val="Rimandonotaapidipagina"/>
          <w:i w:val="0"/>
          <w:smallCaps w:val="0"/>
        </w:rPr>
        <w:footnoteRef/>
      </w:r>
      <w:r w:rsidRPr="0016581E">
        <w:rPr>
          <w:i w:val="0"/>
          <w:smallCaps w:val="0"/>
        </w:rPr>
        <w:t xml:space="preserve"> </w:t>
      </w:r>
      <w:r>
        <w:rPr>
          <w:i w:val="0"/>
          <w:smallCaps w:val="0"/>
        </w:rPr>
        <w:t xml:space="preserve">Cfr. </w:t>
      </w:r>
      <w:proofErr w:type="spellStart"/>
      <w:r w:rsidRPr="0016581E">
        <w:rPr>
          <w:i w:val="0"/>
          <w:smallCaps w:val="0"/>
        </w:rPr>
        <w:t>Cons</w:t>
      </w:r>
      <w:proofErr w:type="spellEnd"/>
      <w:r w:rsidRPr="0016581E">
        <w:rPr>
          <w:i w:val="0"/>
          <w:smallCaps w:val="0"/>
        </w:rPr>
        <w:t>. Stato, sez. III, 27 novembre 2018, n. 6707, id., 28 ottobre 2016, n. 4555</w:t>
      </w:r>
      <w:r>
        <w:rPr>
          <w:i w:val="0"/>
          <w:smallCaps w:val="0"/>
        </w:rPr>
        <w:t>.</w:t>
      </w:r>
    </w:p>
  </w:footnote>
  <w:footnote w:id="73">
    <w:p w:rsidR="00BE7D77" w:rsidRPr="0016581E" w:rsidRDefault="00BE7D77" w:rsidP="0016581E">
      <w:pPr>
        <w:pStyle w:val="Testonotaapidipagina"/>
        <w:jc w:val="both"/>
        <w:rPr>
          <w:i w:val="0"/>
          <w:smallCaps w:val="0"/>
        </w:rPr>
      </w:pPr>
      <w:r w:rsidRPr="0016581E">
        <w:rPr>
          <w:rStyle w:val="Rimandonotaapidipagina"/>
          <w:i w:val="0"/>
        </w:rPr>
        <w:footnoteRef/>
      </w:r>
      <w:r w:rsidRPr="0016581E">
        <w:rPr>
          <w:i w:val="0"/>
        </w:rPr>
        <w:t xml:space="preserve"> </w:t>
      </w:r>
      <w:r>
        <w:rPr>
          <w:i w:val="0"/>
        </w:rPr>
        <w:t>C</w:t>
      </w:r>
      <w:r w:rsidRPr="0016581E">
        <w:rPr>
          <w:i w:val="0"/>
          <w:smallCaps w:val="0"/>
        </w:rPr>
        <w:t xml:space="preserve">fr. </w:t>
      </w:r>
      <w:proofErr w:type="spellStart"/>
      <w:r w:rsidRPr="0016581E">
        <w:rPr>
          <w:i w:val="0"/>
          <w:smallCaps w:val="0"/>
        </w:rPr>
        <w:t>Cons</w:t>
      </w:r>
      <w:proofErr w:type="spellEnd"/>
      <w:r w:rsidRPr="0016581E">
        <w:rPr>
          <w:i w:val="0"/>
          <w:smallCaps w:val="0"/>
        </w:rPr>
        <w:t xml:space="preserve">. Stato, sez. III, </w:t>
      </w:r>
      <w:r>
        <w:rPr>
          <w:i w:val="0"/>
          <w:smallCaps w:val="0"/>
        </w:rPr>
        <w:t xml:space="preserve">17 gennaio 2024, n. 552; id., </w:t>
      </w:r>
      <w:r w:rsidRPr="0016581E">
        <w:rPr>
          <w:i w:val="0"/>
          <w:smallCaps w:val="0"/>
        </w:rPr>
        <w:t>2 luglio 2021, n. 5043</w:t>
      </w:r>
      <w:r>
        <w:rPr>
          <w:i w:val="0"/>
          <w:smallCaps w:val="0"/>
        </w:rPr>
        <w:t>.</w:t>
      </w:r>
    </w:p>
  </w:footnote>
  <w:footnote w:id="74">
    <w:p w:rsidR="00BE7D77" w:rsidRPr="00952F6E" w:rsidRDefault="00BE7D77" w:rsidP="00952F6E">
      <w:pPr>
        <w:pStyle w:val="Testonotaapidipagina"/>
        <w:jc w:val="both"/>
        <w:rPr>
          <w:i w:val="0"/>
          <w:smallCaps w:val="0"/>
        </w:rPr>
      </w:pPr>
      <w:r w:rsidRPr="00952F6E">
        <w:rPr>
          <w:rStyle w:val="Rimandonotaapidipagina"/>
          <w:i w:val="0"/>
          <w:smallCaps w:val="0"/>
        </w:rPr>
        <w:footnoteRef/>
      </w:r>
      <w:r w:rsidRPr="00952F6E">
        <w:rPr>
          <w:i w:val="0"/>
          <w:smallCaps w:val="0"/>
        </w:rPr>
        <w:t xml:space="preserve"> </w:t>
      </w:r>
      <w:r>
        <w:rPr>
          <w:i w:val="0"/>
          <w:smallCaps w:val="0"/>
        </w:rPr>
        <w:t>Si tratta dell’aggravante del c.d. metodo mafioso: il riferimento deve intendersi operato all’articolo 416-</w:t>
      </w:r>
      <w:r>
        <w:rPr>
          <w:smallCaps w:val="0"/>
        </w:rPr>
        <w:t>bis.</w:t>
      </w:r>
      <w:r>
        <w:rPr>
          <w:i w:val="0"/>
          <w:smallCaps w:val="0"/>
        </w:rPr>
        <w:t xml:space="preserve">1 del codice penale, introdotto dal d.lgs. 1 marzo 2018, n. 21, che ha sostituito l’articolo 7, </w:t>
      </w:r>
      <w:proofErr w:type="spellStart"/>
      <w:r>
        <w:rPr>
          <w:i w:val="0"/>
          <w:smallCaps w:val="0"/>
        </w:rPr>
        <w:t>d.l.</w:t>
      </w:r>
      <w:proofErr w:type="spellEnd"/>
      <w:r>
        <w:rPr>
          <w:i w:val="0"/>
          <w:smallCaps w:val="0"/>
        </w:rPr>
        <w:t xml:space="preserve"> n. 152/1991.</w:t>
      </w:r>
    </w:p>
  </w:footnote>
  <w:footnote w:id="75">
    <w:p w:rsidR="00BE7D77" w:rsidRPr="0015214A" w:rsidRDefault="00BE7D77" w:rsidP="00232512">
      <w:pPr>
        <w:pStyle w:val="Testonotaapidipagina"/>
        <w:jc w:val="both"/>
        <w:rPr>
          <w:i w:val="0"/>
          <w:smallCaps w:val="0"/>
        </w:rPr>
      </w:pPr>
      <w:r w:rsidRPr="00232512">
        <w:rPr>
          <w:rStyle w:val="Rimandonotaapidipagina"/>
          <w:i w:val="0"/>
          <w:smallCaps w:val="0"/>
        </w:rPr>
        <w:footnoteRef/>
      </w:r>
      <w:r w:rsidRPr="00232512">
        <w:rPr>
          <w:i w:val="0"/>
          <w:smallCaps w:val="0"/>
        </w:rPr>
        <w:t xml:space="preserve"> </w:t>
      </w:r>
      <w:r>
        <w:rPr>
          <w:i w:val="0"/>
          <w:smallCaps w:val="0"/>
        </w:rPr>
        <w:t xml:space="preserve">Su questa causa di esclusione, introdotta nell’articolo 38 del d.lgs. 12 aprile 2006, n. 163, dalla legge 15 luglio 2009, n. 94, e successivamente transitata nell’articolo 80, comma 5, lettera </w:t>
      </w:r>
      <w:r>
        <w:rPr>
          <w:smallCaps w:val="0"/>
        </w:rPr>
        <w:t>l</w:t>
      </w:r>
      <w:r>
        <w:rPr>
          <w:i w:val="0"/>
          <w:smallCaps w:val="0"/>
        </w:rPr>
        <w:t>), del d.lgs. 18 aprile 2016, n. 50</w:t>
      </w:r>
      <w:r w:rsidRPr="0015214A">
        <w:rPr>
          <w:i w:val="0"/>
          <w:smallCaps w:val="0"/>
        </w:rPr>
        <w:t>, cfr.</w:t>
      </w:r>
      <w:r>
        <w:rPr>
          <w:i w:val="0"/>
          <w:smallCaps w:val="0"/>
        </w:rPr>
        <w:t xml:space="preserve"> V. DI IORIO, </w:t>
      </w:r>
      <w:r>
        <w:rPr>
          <w:smallCaps w:val="0"/>
        </w:rPr>
        <w:t xml:space="preserve">Requisiti generali, </w:t>
      </w:r>
      <w:r>
        <w:rPr>
          <w:i w:val="0"/>
          <w:smallCaps w:val="0"/>
        </w:rPr>
        <w:t xml:space="preserve">in M.A. SANDULLI – R. DE NICTOLIS (a cura di), </w:t>
      </w:r>
      <w:r>
        <w:rPr>
          <w:smallCaps w:val="0"/>
        </w:rPr>
        <w:t xml:space="preserve">Trattato sui contratti pubblici, </w:t>
      </w:r>
      <w:r>
        <w:rPr>
          <w:i w:val="0"/>
          <w:smallCaps w:val="0"/>
        </w:rPr>
        <w:t>vol. II, Milano, 2019, pp. 891 ss.</w:t>
      </w:r>
    </w:p>
  </w:footnote>
  <w:footnote w:id="76">
    <w:p w:rsidR="00BE7D77" w:rsidRPr="00E3247D" w:rsidRDefault="00BE7D77" w:rsidP="00E3247D">
      <w:pPr>
        <w:pStyle w:val="Testonotaapidipagina"/>
        <w:jc w:val="both"/>
        <w:rPr>
          <w:i w:val="0"/>
          <w:smallCaps w:val="0"/>
        </w:rPr>
      </w:pPr>
      <w:r w:rsidRPr="00E3247D">
        <w:rPr>
          <w:rStyle w:val="Rimandonotaapidipagina"/>
          <w:i w:val="0"/>
          <w:smallCaps w:val="0"/>
        </w:rPr>
        <w:footnoteRef/>
      </w:r>
      <w:r w:rsidRPr="00E3247D">
        <w:rPr>
          <w:i w:val="0"/>
          <w:smallCaps w:val="0"/>
        </w:rPr>
        <w:t xml:space="preserve"> </w:t>
      </w:r>
      <w:r>
        <w:rPr>
          <w:i w:val="0"/>
          <w:smallCaps w:val="0"/>
        </w:rPr>
        <w:t xml:space="preserve">Si tratta di comitati istituiti presso ciascun Ufficio Territoriale del Governo, coordinati da un funzionario del medesimo Ufficio </w:t>
      </w:r>
      <w:r w:rsidRPr="00E3247D">
        <w:rPr>
          <w:i w:val="0"/>
          <w:smallCaps w:val="0"/>
        </w:rPr>
        <w:t xml:space="preserve">e </w:t>
      </w:r>
      <w:r w:rsidRPr="00E3247D">
        <w:rPr>
          <w:i w:val="0"/>
          <w:smallCaps w:val="0"/>
          <w:shd w:val="clear" w:color="auto" w:fill="FFFFFF"/>
        </w:rPr>
        <w:t>composti da un funzionario della Polizia di Stato, da un ufficiale dell</w:t>
      </w:r>
      <w:r>
        <w:rPr>
          <w:i w:val="0"/>
          <w:smallCaps w:val="0"/>
          <w:shd w:val="clear" w:color="auto" w:fill="FFFFFF"/>
        </w:rPr>
        <w:t>’</w:t>
      </w:r>
      <w:r w:rsidRPr="00E3247D">
        <w:rPr>
          <w:i w:val="0"/>
          <w:smallCaps w:val="0"/>
          <w:shd w:val="clear" w:color="auto" w:fill="FFFFFF"/>
        </w:rPr>
        <w:t xml:space="preserve">Arma dei </w:t>
      </w:r>
      <w:r>
        <w:rPr>
          <w:i w:val="0"/>
          <w:smallCaps w:val="0"/>
          <w:shd w:val="clear" w:color="auto" w:fill="FFFFFF"/>
        </w:rPr>
        <w:t>C</w:t>
      </w:r>
      <w:r w:rsidRPr="00E3247D">
        <w:rPr>
          <w:i w:val="0"/>
          <w:smallCaps w:val="0"/>
          <w:shd w:val="clear" w:color="auto" w:fill="FFFFFF"/>
        </w:rPr>
        <w:t xml:space="preserve">arabinieri, da un ufficiale della Guardia di finanza, da un rappresentante del </w:t>
      </w:r>
      <w:r>
        <w:rPr>
          <w:i w:val="0"/>
          <w:smallCaps w:val="0"/>
          <w:shd w:val="clear" w:color="auto" w:fill="FFFFFF"/>
        </w:rPr>
        <w:t>P</w:t>
      </w:r>
      <w:r w:rsidRPr="00E3247D">
        <w:rPr>
          <w:i w:val="0"/>
          <w:smallCaps w:val="0"/>
          <w:shd w:val="clear" w:color="auto" w:fill="FFFFFF"/>
        </w:rPr>
        <w:t>rovveditorato alle opere pubbliche, da un rappresentante dell</w:t>
      </w:r>
      <w:r>
        <w:rPr>
          <w:i w:val="0"/>
          <w:smallCaps w:val="0"/>
          <w:shd w:val="clear" w:color="auto" w:fill="FFFFFF"/>
        </w:rPr>
        <w:t>’</w:t>
      </w:r>
      <w:r w:rsidRPr="00E3247D">
        <w:rPr>
          <w:i w:val="0"/>
          <w:smallCaps w:val="0"/>
          <w:shd w:val="clear" w:color="auto" w:fill="FFFFFF"/>
        </w:rPr>
        <w:t>Ispettorato del lavoro, nonché da un funzionario delle articolazioni periferiche della Direzione investigativa antimafia</w:t>
      </w:r>
      <w:r>
        <w:rPr>
          <w:i w:val="0"/>
          <w:smallCaps w:val="0"/>
          <w:shd w:val="clear" w:color="auto" w:fill="FFFFFF"/>
        </w:rPr>
        <w:t xml:space="preserve">. I Gruppi Interforze operano in raccordo con le Direzioni Investigative Antimafia nonché, ove necessario, con il Comitato di coordinamento per l’Alta sorveglianza sulle grandi opere, istituito dallo stesso </w:t>
      </w:r>
      <w:proofErr w:type="spellStart"/>
      <w:r>
        <w:rPr>
          <w:i w:val="0"/>
          <w:smallCaps w:val="0"/>
          <w:shd w:val="clear" w:color="auto" w:fill="FFFFFF"/>
        </w:rPr>
        <w:t>d.m.</w:t>
      </w:r>
      <w:proofErr w:type="spellEnd"/>
      <w:r>
        <w:rPr>
          <w:i w:val="0"/>
          <w:smallCaps w:val="0"/>
          <w:shd w:val="clear" w:color="auto" w:fill="FFFFFF"/>
        </w:rPr>
        <w:t xml:space="preserve"> 14 marzo 2003.</w:t>
      </w:r>
    </w:p>
  </w:footnote>
  <w:footnote w:id="77">
    <w:p w:rsidR="00BE7D77" w:rsidRPr="008D39C0" w:rsidRDefault="00BE7D77" w:rsidP="008D39C0">
      <w:pPr>
        <w:pStyle w:val="Testonotaapidipagina"/>
        <w:jc w:val="both"/>
        <w:rPr>
          <w:i w:val="0"/>
          <w:smallCaps w:val="0"/>
        </w:rPr>
      </w:pPr>
      <w:r w:rsidRPr="008D39C0">
        <w:rPr>
          <w:rStyle w:val="Rimandonotaapidipagina"/>
          <w:i w:val="0"/>
          <w:smallCaps w:val="0"/>
        </w:rPr>
        <w:footnoteRef/>
      </w:r>
      <w:r w:rsidRPr="008D39C0">
        <w:rPr>
          <w:i w:val="0"/>
          <w:smallCaps w:val="0"/>
        </w:rPr>
        <w:t xml:space="preserve"> Cfr. </w:t>
      </w:r>
      <w:proofErr w:type="spellStart"/>
      <w:r w:rsidRPr="008D39C0">
        <w:rPr>
          <w:i w:val="0"/>
          <w:smallCaps w:val="0"/>
        </w:rPr>
        <w:t>C.g.a.r.s</w:t>
      </w:r>
      <w:proofErr w:type="spellEnd"/>
      <w:r w:rsidRPr="008D39C0">
        <w:rPr>
          <w:i w:val="0"/>
          <w:smallCaps w:val="0"/>
        </w:rPr>
        <w:t>., 8 marzo 2022</w:t>
      </w:r>
      <w:r>
        <w:rPr>
          <w:i w:val="0"/>
          <w:smallCaps w:val="0"/>
        </w:rPr>
        <w:t>, n. 294.</w:t>
      </w:r>
    </w:p>
  </w:footnote>
  <w:footnote w:id="78">
    <w:p w:rsidR="00BE7D77" w:rsidRPr="00076D3F" w:rsidRDefault="00BE7D77" w:rsidP="00076D3F">
      <w:pPr>
        <w:pStyle w:val="Testonotaapidipagina"/>
        <w:jc w:val="both"/>
        <w:rPr>
          <w:i w:val="0"/>
          <w:smallCaps w:val="0"/>
        </w:rPr>
      </w:pPr>
      <w:r w:rsidRPr="00076D3F">
        <w:rPr>
          <w:rStyle w:val="Rimandonotaapidipagina"/>
          <w:i w:val="0"/>
        </w:rPr>
        <w:footnoteRef/>
      </w:r>
      <w:r w:rsidRPr="00B348A0">
        <w:rPr>
          <w:i w:val="0"/>
        </w:rPr>
        <w:t xml:space="preserve"> </w:t>
      </w:r>
      <w:r w:rsidRPr="00B348A0">
        <w:rPr>
          <w:i w:val="0"/>
          <w:smallCaps w:val="0"/>
        </w:rPr>
        <w:t xml:space="preserve">Cfr. </w:t>
      </w:r>
      <w:proofErr w:type="spellStart"/>
      <w:r w:rsidRPr="00B348A0">
        <w:rPr>
          <w:i w:val="0"/>
          <w:smallCaps w:val="0"/>
        </w:rPr>
        <w:t>Cons</w:t>
      </w:r>
      <w:proofErr w:type="spellEnd"/>
      <w:r w:rsidRPr="00B348A0">
        <w:rPr>
          <w:i w:val="0"/>
          <w:smallCaps w:val="0"/>
        </w:rPr>
        <w:t xml:space="preserve">. </w:t>
      </w:r>
      <w:r>
        <w:rPr>
          <w:i w:val="0"/>
          <w:smallCaps w:val="0"/>
        </w:rPr>
        <w:t xml:space="preserve">Stato, sez. III, 15 febbraio 2024, n. 1517; id., 31 gennaio 2024, n. 952; id., 7 agosto 2023, n. 7625; id., 21 luglio 2023, n. 7156; id., 18 luglio 2023, n. 7045; id., 16 maggio 2023, n. 4856; id., 4 aprile 2022, n. 2465; id., 21 gennaio 2022, n. 424; id., 6 settembre 2021, n. 6225; id., 4 giugno 2021, n. 4293; id., 17 febbraio 2021, n. 1447; id., 8 luglio 2020, n. 4372; </w:t>
      </w:r>
      <w:proofErr w:type="spellStart"/>
      <w:r>
        <w:rPr>
          <w:i w:val="0"/>
          <w:smallCaps w:val="0"/>
        </w:rPr>
        <w:t>C.g.a.r.s</w:t>
      </w:r>
      <w:proofErr w:type="spellEnd"/>
      <w:r>
        <w:rPr>
          <w:i w:val="0"/>
          <w:smallCaps w:val="0"/>
        </w:rPr>
        <w:t>., 3 marzo 2021, n. 171.</w:t>
      </w:r>
    </w:p>
  </w:footnote>
  <w:footnote w:id="79">
    <w:p w:rsidR="00BE7D77" w:rsidRPr="00FE1D5F" w:rsidRDefault="00BE7D77" w:rsidP="008D39C0">
      <w:pPr>
        <w:pStyle w:val="Testonotaapidipagina"/>
        <w:jc w:val="both"/>
        <w:rPr>
          <w:i w:val="0"/>
          <w:smallCaps w:val="0"/>
        </w:rPr>
      </w:pPr>
      <w:r w:rsidRPr="008D39C0">
        <w:rPr>
          <w:rStyle w:val="Rimandonotaapidipagina"/>
          <w:i w:val="0"/>
          <w:smallCaps w:val="0"/>
        </w:rPr>
        <w:footnoteRef/>
      </w:r>
      <w:r w:rsidRPr="008D39C0">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sez. III, 27 febbraio 2024, n. 1925; id., 19 gennaio 2024, n. 614; id., 17 ottobre 2023, n. 9016; id., 27 settembre 2023, n. 8395; id., n. 4856/2023, cit.; id., 3 novembre 2022, n. 9558; id., 7 giugno 2021, n. 4300; id., 14 ottobre 2020, n. 6204. In particolare, sebbene di regola si escluda che il semplice rapporto di parentela possa </w:t>
      </w:r>
      <w:r>
        <w:rPr>
          <w:smallCaps w:val="0"/>
        </w:rPr>
        <w:t xml:space="preserve">ex se </w:t>
      </w:r>
      <w:r>
        <w:rPr>
          <w:i w:val="0"/>
          <w:smallCaps w:val="0"/>
        </w:rPr>
        <w:t xml:space="preserve">costituire un sintomo di condizionamento mafioso (non essendo accettabile un’inferenza logica basata sul presupposto che il parente di un mafioso sia necessariamente anch’egli un mafioso: cfr. </w:t>
      </w:r>
      <w:proofErr w:type="spellStart"/>
      <w:r>
        <w:rPr>
          <w:i w:val="0"/>
          <w:smallCaps w:val="0"/>
        </w:rPr>
        <w:t>Cons</w:t>
      </w:r>
      <w:proofErr w:type="spellEnd"/>
      <w:r>
        <w:rPr>
          <w:i w:val="0"/>
          <w:smallCaps w:val="0"/>
        </w:rPr>
        <w:t xml:space="preserve">. Stato, sez. III, 9 ottobre 2023, n. 8781), tuttavia esso può anche da solo fondare la prognosi infiltrativa, </w:t>
      </w:r>
      <w:r w:rsidRPr="00FE1D5F">
        <w:rPr>
          <w:i w:val="0"/>
          <w:smallCaps w:val="0"/>
          <w:shd w:val="clear" w:color="auto" w:fill="FFFFFF"/>
        </w:rPr>
        <w:t xml:space="preserve">laddove assuma una intensità tale da far ritenere una conduzione familiare e una </w:t>
      </w:r>
      <w:r>
        <w:rPr>
          <w:i w:val="0"/>
          <w:smallCaps w:val="0"/>
          <w:shd w:val="clear" w:color="auto" w:fill="FFFFFF"/>
        </w:rPr>
        <w:t>“</w:t>
      </w:r>
      <w:r w:rsidRPr="00FE1D5F">
        <w:rPr>
          <w:i w:val="0"/>
          <w:smallCaps w:val="0"/>
          <w:shd w:val="clear" w:color="auto" w:fill="FFFFFF"/>
        </w:rPr>
        <w:t>regia collettiva</w:t>
      </w:r>
      <w:r>
        <w:rPr>
          <w:i w:val="0"/>
          <w:smallCaps w:val="0"/>
          <w:shd w:val="clear" w:color="auto" w:fill="FFFFFF"/>
        </w:rPr>
        <w:t>”</w:t>
      </w:r>
      <w:r w:rsidRPr="00FE1D5F">
        <w:rPr>
          <w:i w:val="0"/>
          <w:smallCaps w:val="0"/>
          <w:shd w:val="clear" w:color="auto" w:fill="FFFFFF"/>
        </w:rPr>
        <w:t xml:space="preserve"> dell</w:t>
      </w:r>
      <w:r>
        <w:rPr>
          <w:i w:val="0"/>
          <w:smallCaps w:val="0"/>
          <w:shd w:val="clear" w:color="auto" w:fill="FFFFFF"/>
        </w:rPr>
        <w:t>’</w:t>
      </w:r>
      <w:r w:rsidRPr="00FE1D5F">
        <w:rPr>
          <w:i w:val="0"/>
          <w:smallCaps w:val="0"/>
          <w:shd w:val="clear" w:color="auto" w:fill="FFFFFF"/>
        </w:rPr>
        <w:t xml:space="preserve">impresa, nel quadro di usuali metodi mafiosi fondati sulla regia </w:t>
      </w:r>
      <w:r>
        <w:rPr>
          <w:i w:val="0"/>
          <w:smallCaps w:val="0"/>
          <w:shd w:val="clear" w:color="auto" w:fill="FFFFFF"/>
        </w:rPr>
        <w:t>“</w:t>
      </w:r>
      <w:r w:rsidRPr="00FE1D5F">
        <w:rPr>
          <w:i w:val="0"/>
          <w:smallCaps w:val="0"/>
          <w:shd w:val="clear" w:color="auto" w:fill="FFFFFF"/>
        </w:rPr>
        <w:t>clanica</w:t>
      </w:r>
      <w:r>
        <w:rPr>
          <w:i w:val="0"/>
          <w:smallCaps w:val="0"/>
          <w:shd w:val="clear" w:color="auto" w:fill="FFFFFF"/>
        </w:rPr>
        <w:t xml:space="preserve">”, specie in alcune aree territoriali ed economiche: cfr. </w:t>
      </w:r>
      <w:proofErr w:type="spellStart"/>
      <w:r>
        <w:rPr>
          <w:i w:val="0"/>
          <w:smallCaps w:val="0"/>
          <w:shd w:val="clear" w:color="auto" w:fill="FFFFFF"/>
        </w:rPr>
        <w:t>Cons</w:t>
      </w:r>
      <w:proofErr w:type="spellEnd"/>
      <w:r>
        <w:rPr>
          <w:i w:val="0"/>
          <w:smallCaps w:val="0"/>
          <w:shd w:val="clear" w:color="auto" w:fill="FFFFFF"/>
        </w:rPr>
        <w:t xml:space="preserve">. Stato, sez. III, </w:t>
      </w:r>
      <w:r>
        <w:rPr>
          <w:i w:val="0"/>
          <w:smallCaps w:val="0"/>
        </w:rPr>
        <w:t>8 gennaio 2024, n. 248; id., 7 agosto 2023, n. 7625; id., 7 agosto 2023, n. 7599; id., 21 giugno 2022, n. 5086.</w:t>
      </w:r>
    </w:p>
  </w:footnote>
  <w:footnote w:id="80">
    <w:p w:rsidR="00BE7D77" w:rsidRPr="005139B3" w:rsidRDefault="00BE7D77" w:rsidP="005139B3">
      <w:pPr>
        <w:pStyle w:val="Testonotaapidipagina"/>
        <w:jc w:val="both"/>
        <w:rPr>
          <w:i w:val="0"/>
          <w:smallCaps w:val="0"/>
        </w:rPr>
      </w:pPr>
      <w:r w:rsidRPr="005139B3">
        <w:rPr>
          <w:rStyle w:val="Rimandonotaapidipagina"/>
          <w:i w:val="0"/>
          <w:smallCaps w:val="0"/>
        </w:rPr>
        <w:footnoteRef/>
      </w:r>
      <w:r w:rsidRPr="005139B3">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sez. III, 25 gennaio 2022, n. 488; </w:t>
      </w:r>
      <w:proofErr w:type="spellStart"/>
      <w:r>
        <w:rPr>
          <w:i w:val="0"/>
          <w:smallCaps w:val="0"/>
        </w:rPr>
        <w:t>C.g.a.r.s</w:t>
      </w:r>
      <w:proofErr w:type="spellEnd"/>
      <w:r>
        <w:rPr>
          <w:i w:val="0"/>
          <w:smallCaps w:val="0"/>
        </w:rPr>
        <w:t>., 2 maggio 2022, n. 531.</w:t>
      </w:r>
    </w:p>
  </w:footnote>
  <w:footnote w:id="81">
    <w:p w:rsidR="00BE7D77" w:rsidRPr="005139B3" w:rsidRDefault="00BE7D77" w:rsidP="005139B3">
      <w:pPr>
        <w:pStyle w:val="Testonotaapidipagina"/>
        <w:jc w:val="both"/>
        <w:rPr>
          <w:i w:val="0"/>
          <w:smallCaps w:val="0"/>
        </w:rPr>
      </w:pPr>
      <w:r w:rsidRPr="005139B3">
        <w:rPr>
          <w:rStyle w:val="Rimandonotaapidipagina"/>
          <w:i w:val="0"/>
          <w:smallCaps w:val="0"/>
        </w:rPr>
        <w:footnoteRef/>
      </w:r>
      <w:r w:rsidRPr="005139B3">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19 luglio 2023, n. 7081; id., 25 maggio 2023, n. 5163; id., 8 luglio 2020, n. 4372; id., 11 giugno 2018, n. 3496.</w:t>
      </w:r>
    </w:p>
  </w:footnote>
  <w:footnote w:id="82">
    <w:p w:rsidR="00BE7D77" w:rsidRPr="006C6058" w:rsidRDefault="00BE7D77" w:rsidP="006C6058">
      <w:pPr>
        <w:pStyle w:val="Testonotaapidipagina"/>
        <w:jc w:val="both"/>
        <w:rPr>
          <w:i w:val="0"/>
          <w:smallCaps w:val="0"/>
        </w:rPr>
      </w:pPr>
      <w:r w:rsidRPr="006C6058">
        <w:rPr>
          <w:rStyle w:val="Rimandonotaapidipagina"/>
          <w:i w:val="0"/>
          <w:smallCaps w:val="0"/>
        </w:rPr>
        <w:footnoteRef/>
      </w:r>
      <w:r w:rsidRPr="006C6058">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8 luglio 2020, n. 4391; id., n. 4372/2020, cit.; id., 14 settembre 2018, n. 5410.</w:t>
      </w:r>
    </w:p>
  </w:footnote>
  <w:footnote w:id="83">
    <w:p w:rsidR="00BE7D77" w:rsidRPr="006C6058" w:rsidRDefault="00BE7D77" w:rsidP="006C6058">
      <w:pPr>
        <w:pStyle w:val="Testonotaapidipagina"/>
        <w:jc w:val="both"/>
        <w:rPr>
          <w:i w:val="0"/>
          <w:smallCaps w:val="0"/>
        </w:rPr>
      </w:pPr>
      <w:r w:rsidRPr="006C6058">
        <w:rPr>
          <w:rStyle w:val="Rimandonotaapidipagina"/>
          <w:i w:val="0"/>
          <w:smallCaps w:val="0"/>
        </w:rPr>
        <w:footnoteRef/>
      </w:r>
      <w:r w:rsidRPr="006C6058">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5 febbraio 2024, n. 1142; id., 31 gennaio 2024, n. 964; id., n. 8781/2023, cit.; id., n. 7045/2023, cit.; id., 22 giugno 2023, n. 6164; id., 30 marzo 2023, n. 3285; id., 3 novembre 2022, n. 9558; id., 21 gennaio 2022, n. 424; id., 5 agosto 2021, n. 5770; id., 4 giugno 2021, n. 4293; id., 14 luglio 2020, n. 4542; id., 2 gennaio 2020, n. 2.</w:t>
      </w:r>
    </w:p>
  </w:footnote>
  <w:footnote w:id="84">
    <w:p w:rsidR="00BE7D77" w:rsidRPr="00E075BF" w:rsidRDefault="00BE7D77" w:rsidP="00E075BF">
      <w:pPr>
        <w:pStyle w:val="Testonotaapidipagina"/>
        <w:jc w:val="both"/>
        <w:rPr>
          <w:i w:val="0"/>
          <w:smallCaps w:val="0"/>
        </w:rPr>
      </w:pPr>
      <w:r w:rsidRPr="00E075BF">
        <w:rPr>
          <w:rStyle w:val="Rimandonotaapidipagina"/>
          <w:i w:val="0"/>
        </w:rPr>
        <w:footnoteRef/>
      </w:r>
      <w:r w:rsidRPr="00E075BF">
        <w:rPr>
          <w:i w:val="0"/>
        </w:rPr>
        <w:t xml:space="preserve"> </w:t>
      </w:r>
      <w:r>
        <w:rPr>
          <w:i w:val="0"/>
          <w:smallCaps w:val="0"/>
        </w:rPr>
        <w:t xml:space="preserve">Cfr. </w:t>
      </w:r>
      <w:proofErr w:type="spellStart"/>
      <w:r>
        <w:rPr>
          <w:i w:val="0"/>
          <w:smallCaps w:val="0"/>
        </w:rPr>
        <w:t>Cons</w:t>
      </w:r>
      <w:proofErr w:type="spellEnd"/>
      <w:r>
        <w:rPr>
          <w:i w:val="0"/>
          <w:smallCaps w:val="0"/>
        </w:rPr>
        <w:t>. Stato, sez. III, 19 luglio 2023, n. 7081; id., 26 febbraio 2019, n. 1359; id., 26 luglio 2018, n. 4588.</w:t>
      </w:r>
    </w:p>
  </w:footnote>
  <w:footnote w:id="85">
    <w:p w:rsidR="00BE7D77" w:rsidRPr="00B348A0" w:rsidRDefault="00BE7D77" w:rsidP="00B348A0">
      <w:pPr>
        <w:pStyle w:val="Testonotaapidipagina"/>
        <w:jc w:val="both"/>
        <w:rPr>
          <w:i w:val="0"/>
          <w:smallCaps w:val="0"/>
        </w:rPr>
      </w:pPr>
      <w:r w:rsidRPr="00B348A0">
        <w:rPr>
          <w:rStyle w:val="Rimandonotaapidipagina"/>
          <w:i w:val="0"/>
          <w:smallCaps w:val="0"/>
        </w:rPr>
        <w:footnoteRef/>
      </w:r>
      <w:r w:rsidRPr="00B348A0">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sez. III, 3 gennaio 2024, n. 132; id., 8 agosto 2023, n. 7674; id., 23 marzo 2023, n. 2953; id., 26 maggio 2016, n. 2232; </w:t>
      </w:r>
      <w:proofErr w:type="spellStart"/>
      <w:r>
        <w:rPr>
          <w:i w:val="0"/>
          <w:smallCaps w:val="0"/>
        </w:rPr>
        <w:t>C.g.a.r.s</w:t>
      </w:r>
      <w:proofErr w:type="spellEnd"/>
      <w:r>
        <w:rPr>
          <w:i w:val="0"/>
          <w:smallCaps w:val="0"/>
        </w:rPr>
        <w:t>., 15 aprile 2022, n. 484.</w:t>
      </w:r>
    </w:p>
  </w:footnote>
  <w:footnote w:id="86">
    <w:p w:rsidR="00BE7D77" w:rsidRPr="00F44E64" w:rsidRDefault="00BE7D77" w:rsidP="00F44E64">
      <w:pPr>
        <w:pStyle w:val="Testonotaapidipagina"/>
        <w:jc w:val="both"/>
        <w:rPr>
          <w:i w:val="0"/>
          <w:smallCaps w:val="0"/>
        </w:rPr>
      </w:pPr>
      <w:r w:rsidRPr="00F44E64">
        <w:rPr>
          <w:rStyle w:val="Rimandonotaapidipagina"/>
          <w:i w:val="0"/>
        </w:rPr>
        <w:footnoteRef/>
      </w:r>
      <w:r w:rsidRPr="00F44E64">
        <w:rPr>
          <w:i w:val="0"/>
        </w:rPr>
        <w:t xml:space="preserve"> </w:t>
      </w:r>
      <w:r>
        <w:rPr>
          <w:i w:val="0"/>
          <w:smallCaps w:val="0"/>
        </w:rPr>
        <w:t xml:space="preserve">Cfr. </w:t>
      </w:r>
      <w:proofErr w:type="spellStart"/>
      <w:r>
        <w:rPr>
          <w:i w:val="0"/>
          <w:smallCaps w:val="0"/>
        </w:rPr>
        <w:t>Cons</w:t>
      </w:r>
      <w:proofErr w:type="spellEnd"/>
      <w:r>
        <w:rPr>
          <w:i w:val="0"/>
          <w:smallCaps w:val="0"/>
        </w:rPr>
        <w:t>. Stato, sez. III, 4 aprile 2022, n. 2468; id., 31 gennaio 2020, n. 820; id., 30 gennaio 2019, n. 758; id., 28 giugno 2017, n. 3170; id., 9 febbraio 2017, n. 565; id., 15 marzo 2016, n. 1038.</w:t>
      </w:r>
    </w:p>
  </w:footnote>
  <w:footnote w:id="87">
    <w:p w:rsidR="00BE7D77" w:rsidRPr="00F44E64" w:rsidRDefault="00BE7D77" w:rsidP="00F44E64">
      <w:pPr>
        <w:pStyle w:val="Testonotaapidipagina"/>
        <w:jc w:val="both"/>
        <w:rPr>
          <w:i w:val="0"/>
          <w:smallCaps w:val="0"/>
        </w:rPr>
      </w:pPr>
      <w:r w:rsidRPr="00F44E64">
        <w:rPr>
          <w:rStyle w:val="Rimandonotaapidipagina"/>
          <w:i w:val="0"/>
          <w:smallCaps w:val="0"/>
        </w:rPr>
        <w:footnoteRef/>
      </w:r>
      <w:r w:rsidRPr="00F44E64">
        <w:rPr>
          <w:i w:val="0"/>
          <w:smallCaps w:val="0"/>
        </w:rPr>
        <w:t xml:space="preserve"> </w:t>
      </w:r>
      <w:proofErr w:type="spellStart"/>
      <w:r>
        <w:rPr>
          <w:i w:val="0"/>
          <w:smallCaps w:val="0"/>
        </w:rPr>
        <w:t>Sent</w:t>
      </w:r>
      <w:proofErr w:type="spellEnd"/>
      <w:r>
        <w:rPr>
          <w:i w:val="0"/>
          <w:smallCaps w:val="0"/>
        </w:rPr>
        <w:t xml:space="preserve">. 19 marzo 1993, n. 309. </w:t>
      </w:r>
    </w:p>
  </w:footnote>
  <w:footnote w:id="88">
    <w:p w:rsidR="00BE7D77" w:rsidRPr="00E71719" w:rsidRDefault="00BE7D77" w:rsidP="00E71719">
      <w:pPr>
        <w:pStyle w:val="Testonotaapidipagina"/>
        <w:jc w:val="both"/>
        <w:rPr>
          <w:i w:val="0"/>
          <w:smallCaps w:val="0"/>
        </w:rPr>
      </w:pPr>
      <w:r w:rsidRPr="00E71719">
        <w:rPr>
          <w:rStyle w:val="Rimandonotaapidipagina"/>
          <w:i w:val="0"/>
          <w:smallCaps w:val="0"/>
        </w:rPr>
        <w:footnoteRef/>
      </w:r>
      <w:r w:rsidRPr="00E71719">
        <w:rPr>
          <w:i w:val="0"/>
          <w:smallCaps w:val="0"/>
        </w:rPr>
        <w:t xml:space="preserve"> </w:t>
      </w:r>
      <w:r>
        <w:rPr>
          <w:i w:val="0"/>
          <w:smallCaps w:val="0"/>
        </w:rPr>
        <w:t>Alcuni principi e concetti enunciati dalla Corte nella sentenza n. 309/1993 sono stati poi ripresi e sviluppati nelle successive sentenze 26 giugno 2007, n. 237, 23 giugno 2014, n. 182, e 30 aprile 2015, n. 125.</w:t>
      </w:r>
    </w:p>
  </w:footnote>
  <w:footnote w:id="89">
    <w:p w:rsidR="00BE7D77" w:rsidRPr="00E71719" w:rsidRDefault="00BE7D77" w:rsidP="00E71719">
      <w:pPr>
        <w:pStyle w:val="Testonotaapidipagina"/>
        <w:jc w:val="both"/>
        <w:rPr>
          <w:i w:val="0"/>
          <w:smallCaps w:val="0"/>
        </w:rPr>
      </w:pPr>
      <w:r w:rsidRPr="00E71719">
        <w:rPr>
          <w:rStyle w:val="Rimandonotaapidipagina"/>
          <w:i w:val="0"/>
          <w:smallCaps w:val="0"/>
        </w:rPr>
        <w:footnoteRef/>
      </w:r>
      <w:r w:rsidRPr="00013A01">
        <w:rPr>
          <w:i w:val="0"/>
          <w:smallCaps w:val="0"/>
          <w:lang w:val="en-US"/>
        </w:rPr>
        <w:t xml:space="preserve"> Corte </w:t>
      </w:r>
      <w:proofErr w:type="gramStart"/>
      <w:r w:rsidRPr="00013A01">
        <w:rPr>
          <w:i w:val="0"/>
          <w:smallCaps w:val="0"/>
          <w:lang w:val="en-US"/>
        </w:rPr>
        <w:t>cost.,</w:t>
      </w:r>
      <w:proofErr w:type="gramEnd"/>
      <w:r w:rsidRPr="00013A01">
        <w:rPr>
          <w:i w:val="0"/>
          <w:smallCaps w:val="0"/>
          <w:lang w:val="en-US"/>
        </w:rPr>
        <w:t xml:space="preserve"> sent. </w:t>
      </w:r>
      <w:proofErr w:type="gramStart"/>
      <w:r w:rsidRPr="00013A01">
        <w:rPr>
          <w:i w:val="0"/>
          <w:smallCaps w:val="0"/>
          <w:lang w:val="en-US"/>
        </w:rPr>
        <w:t>n. 309/1993</w:t>
      </w:r>
      <w:proofErr w:type="gramEnd"/>
      <w:r w:rsidRPr="00013A01">
        <w:rPr>
          <w:i w:val="0"/>
          <w:smallCaps w:val="0"/>
          <w:lang w:val="en-US"/>
        </w:rPr>
        <w:t xml:space="preserve">, cit. </w:t>
      </w:r>
      <w:r>
        <w:rPr>
          <w:i w:val="0"/>
          <w:smallCaps w:val="0"/>
        </w:rPr>
        <w:t xml:space="preserve">In realtà, fin dall’entrata in vigore della legge n. 241/1990, il dibattito sulla natura e consistenza delle cc.dd. pretese procedimentali è stato estremamente vivace: sul punto, sia consentito rinviare a R. GRECO, </w:t>
      </w:r>
      <w:r>
        <w:rPr>
          <w:smallCaps w:val="0"/>
        </w:rPr>
        <w:t xml:space="preserve">Le situazioni giuridiche soggettive e il rapporto procedimentale, </w:t>
      </w:r>
      <w:r>
        <w:rPr>
          <w:i w:val="0"/>
          <w:smallCaps w:val="0"/>
        </w:rPr>
        <w:t xml:space="preserve">in C. CONTESSA – R. GRECO (a cura di), </w:t>
      </w:r>
      <w:r>
        <w:rPr>
          <w:smallCaps w:val="0"/>
        </w:rPr>
        <w:t xml:space="preserve">L’attività amministrativa e le sue regole, </w:t>
      </w:r>
      <w:r>
        <w:rPr>
          <w:i w:val="0"/>
          <w:smallCaps w:val="0"/>
        </w:rPr>
        <w:t>Roma, 2020, pp. 123 ss.</w:t>
      </w:r>
    </w:p>
  </w:footnote>
  <w:footnote w:id="90">
    <w:p w:rsidR="00BE7D77" w:rsidRPr="00F37E6B" w:rsidRDefault="00BE7D77" w:rsidP="00F37E6B">
      <w:pPr>
        <w:pStyle w:val="Testonotaapidipagina"/>
        <w:jc w:val="both"/>
        <w:rPr>
          <w:i w:val="0"/>
          <w:smallCaps w:val="0"/>
        </w:rPr>
      </w:pPr>
      <w:r w:rsidRPr="00F37E6B">
        <w:rPr>
          <w:rStyle w:val="Rimandonotaapidipagina"/>
          <w:i w:val="0"/>
          <w:smallCaps w:val="0"/>
        </w:rPr>
        <w:footnoteRef/>
      </w:r>
      <w:r w:rsidRPr="00F37E6B">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3 ottobre 2023, n. 8637; id., 20 aprile 2021, n. 3182; id., 6 maggio 2020, n. 2854; id., 3 marzo 2020, n. 1576; id., 28 ottobre 2016, n. 4555.</w:t>
      </w:r>
    </w:p>
  </w:footnote>
  <w:footnote w:id="91">
    <w:p w:rsidR="00BE7D77" w:rsidRPr="00F37E6B" w:rsidRDefault="00BE7D77" w:rsidP="00F37E6B">
      <w:pPr>
        <w:pStyle w:val="Testonotaapidipagina"/>
        <w:jc w:val="both"/>
        <w:rPr>
          <w:i w:val="0"/>
          <w:smallCaps w:val="0"/>
        </w:rPr>
      </w:pPr>
      <w:r w:rsidRPr="00F37E6B">
        <w:rPr>
          <w:rStyle w:val="Rimandonotaapidipagina"/>
          <w:i w:val="0"/>
        </w:rPr>
        <w:footnoteRef/>
      </w:r>
      <w:r w:rsidRPr="00F37E6B">
        <w:rPr>
          <w:i w:val="0"/>
        </w:rPr>
        <w:t xml:space="preserve"> </w:t>
      </w:r>
      <w:r>
        <w:rPr>
          <w:i w:val="0"/>
          <w:smallCaps w:val="0"/>
        </w:rPr>
        <w:t>“</w:t>
      </w:r>
      <w:r w:rsidRPr="00F37E6B">
        <w:rPr>
          <w:smallCaps w:val="0"/>
          <w:shd w:val="clear" w:color="auto" w:fill="F6F6F6"/>
        </w:rPr>
        <w:t>Il prefe</w:t>
      </w:r>
      <w:r>
        <w:rPr>
          <w:smallCaps w:val="0"/>
          <w:shd w:val="clear" w:color="auto" w:fill="F6F6F6"/>
        </w:rPr>
        <w:t>tto competente al rilascio dell’</w:t>
      </w:r>
      <w:r w:rsidRPr="00F37E6B">
        <w:rPr>
          <w:smallCaps w:val="0"/>
          <w:shd w:val="clear" w:color="auto" w:fill="F6F6F6"/>
        </w:rPr>
        <w:t>informazione, ove lo ritenga utile, sulla base della documentazione e delle informazioni acquisite invita, in sede di audizione personale, i soggetti interessati a produrre, anche allegando elementi documentali, ogni informazione ritenuta utile</w:t>
      </w:r>
      <w:r>
        <w:rPr>
          <w:i w:val="0"/>
          <w:smallCaps w:val="0"/>
          <w:shd w:val="clear" w:color="auto" w:fill="F6F6F6"/>
        </w:rPr>
        <w:t>”.</w:t>
      </w:r>
    </w:p>
  </w:footnote>
  <w:footnote w:id="92">
    <w:p w:rsidR="00BE7D77" w:rsidRPr="00FD6197" w:rsidRDefault="00BE7D77" w:rsidP="00FD6197">
      <w:pPr>
        <w:pStyle w:val="Testonotaapidipagina"/>
        <w:jc w:val="both"/>
        <w:rPr>
          <w:i w:val="0"/>
          <w:smallCaps w:val="0"/>
        </w:rPr>
      </w:pPr>
      <w:r w:rsidRPr="00FD6197">
        <w:rPr>
          <w:rStyle w:val="Rimandonotaapidipagina"/>
          <w:i w:val="0"/>
          <w:smallCaps w:val="0"/>
        </w:rPr>
        <w:footnoteRef/>
      </w:r>
      <w:r w:rsidRPr="00FD6197">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31 ottobre 2023, n. 9357; id., n. 2854/2020, cit.; id., n. 1576/2020, cit.; id., n. 820/2020, cit.</w:t>
      </w:r>
    </w:p>
  </w:footnote>
  <w:footnote w:id="93">
    <w:p w:rsidR="00BE7D77" w:rsidRPr="00FD6197" w:rsidRDefault="00BE7D77" w:rsidP="00FD6197">
      <w:pPr>
        <w:pStyle w:val="Testonotaapidipagina"/>
        <w:jc w:val="both"/>
        <w:rPr>
          <w:i w:val="0"/>
          <w:smallCaps w:val="0"/>
        </w:rPr>
      </w:pPr>
      <w:r w:rsidRPr="00FD6197">
        <w:rPr>
          <w:rStyle w:val="Rimandonotaapidipagina"/>
          <w:i w:val="0"/>
          <w:smallCaps w:val="0"/>
        </w:rPr>
        <w:footnoteRef/>
      </w:r>
      <w:r w:rsidRPr="00FD6197">
        <w:rPr>
          <w:i w:val="0"/>
          <w:smallCaps w:val="0"/>
        </w:rPr>
        <w:t xml:space="preserve"> </w:t>
      </w:r>
      <w:r>
        <w:rPr>
          <w:i w:val="0"/>
          <w:smallCaps w:val="0"/>
        </w:rPr>
        <w:t xml:space="preserve">V. </w:t>
      </w:r>
      <w:proofErr w:type="spellStart"/>
      <w:r>
        <w:rPr>
          <w:smallCaps w:val="0"/>
        </w:rPr>
        <w:t>supra</w:t>
      </w:r>
      <w:proofErr w:type="spellEnd"/>
      <w:r>
        <w:rPr>
          <w:smallCaps w:val="0"/>
        </w:rPr>
        <w:t xml:space="preserve">, </w:t>
      </w:r>
      <w:r>
        <w:rPr>
          <w:i w:val="0"/>
          <w:smallCaps w:val="0"/>
        </w:rPr>
        <w:t>§ 3.</w:t>
      </w:r>
    </w:p>
  </w:footnote>
  <w:footnote w:id="94">
    <w:p w:rsidR="00BE7D77" w:rsidRPr="00653CF7" w:rsidRDefault="00BE7D77" w:rsidP="00653CF7">
      <w:pPr>
        <w:pStyle w:val="Testonotaapidipagina"/>
        <w:jc w:val="both"/>
        <w:rPr>
          <w:i w:val="0"/>
          <w:smallCaps w:val="0"/>
        </w:rPr>
      </w:pPr>
      <w:r w:rsidRPr="00653CF7">
        <w:rPr>
          <w:rStyle w:val="Rimandonotaapidipagina"/>
          <w:i w:val="0"/>
          <w:smallCaps w:val="0"/>
        </w:rPr>
        <w:footnoteRef/>
      </w:r>
      <w:r w:rsidRPr="00653CF7">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n. 820/2020, cit.</w:t>
      </w:r>
    </w:p>
  </w:footnote>
  <w:footnote w:id="95">
    <w:p w:rsidR="00BE7D77" w:rsidRPr="00653CF7" w:rsidRDefault="00BE7D77" w:rsidP="00653CF7">
      <w:pPr>
        <w:pStyle w:val="Testonotaapidipagina"/>
        <w:jc w:val="both"/>
        <w:rPr>
          <w:i w:val="0"/>
          <w:smallCaps w:val="0"/>
        </w:rPr>
      </w:pPr>
      <w:r w:rsidRPr="00653CF7">
        <w:rPr>
          <w:rStyle w:val="Rimandonotaapidipagina"/>
          <w:i w:val="0"/>
        </w:rPr>
        <w:footnoteRef/>
      </w:r>
      <w:r w:rsidRPr="00653CF7">
        <w:rPr>
          <w:i w:val="0"/>
        </w:rPr>
        <w:t xml:space="preserve"> </w:t>
      </w:r>
      <w:r>
        <w:rPr>
          <w:i w:val="0"/>
          <w:smallCaps w:val="0"/>
        </w:rPr>
        <w:t xml:space="preserve">In questo senso, </w:t>
      </w:r>
      <w:proofErr w:type="spellStart"/>
      <w:r>
        <w:rPr>
          <w:i w:val="0"/>
          <w:smallCaps w:val="0"/>
        </w:rPr>
        <w:t>C.g.a.r.s</w:t>
      </w:r>
      <w:proofErr w:type="spellEnd"/>
      <w:r>
        <w:rPr>
          <w:i w:val="0"/>
          <w:smallCaps w:val="0"/>
        </w:rPr>
        <w:t xml:space="preserve">., 31 gennaio 2022, n. 152, secondo cui con la richiesta di riesame del precedente provvedimento </w:t>
      </w:r>
      <w:proofErr w:type="spellStart"/>
      <w:r>
        <w:rPr>
          <w:i w:val="0"/>
          <w:smallCaps w:val="0"/>
        </w:rPr>
        <w:t>interdittivo</w:t>
      </w:r>
      <w:proofErr w:type="spellEnd"/>
      <w:r>
        <w:rPr>
          <w:i w:val="0"/>
          <w:smallCaps w:val="0"/>
        </w:rPr>
        <w:t xml:space="preserve"> l’interesse legittimo dell’impresa, originariamente oppositivo, si converte in </w:t>
      </w:r>
      <w:proofErr w:type="spellStart"/>
      <w:r>
        <w:rPr>
          <w:i w:val="0"/>
          <w:smallCaps w:val="0"/>
        </w:rPr>
        <w:t>pretensivo</w:t>
      </w:r>
      <w:proofErr w:type="spellEnd"/>
      <w:r>
        <w:rPr>
          <w:i w:val="0"/>
          <w:smallCaps w:val="0"/>
        </w:rPr>
        <w:t>, con conseguente “</w:t>
      </w:r>
      <w:proofErr w:type="spellStart"/>
      <w:r>
        <w:rPr>
          <w:i w:val="0"/>
          <w:smallCaps w:val="0"/>
        </w:rPr>
        <w:t>riespansione</w:t>
      </w:r>
      <w:proofErr w:type="spellEnd"/>
      <w:r>
        <w:rPr>
          <w:i w:val="0"/>
          <w:smallCaps w:val="0"/>
        </w:rPr>
        <w:t>” dell’applicabilità delle norme della legge n. 241/1990 sulla partecipazione del privato.</w:t>
      </w:r>
    </w:p>
  </w:footnote>
  <w:footnote w:id="96">
    <w:p w:rsidR="00BE7D77" w:rsidRPr="00904533" w:rsidRDefault="00BE7D77" w:rsidP="00904533">
      <w:pPr>
        <w:pStyle w:val="Testonotaapidipagina"/>
        <w:jc w:val="both"/>
        <w:rPr>
          <w:i w:val="0"/>
          <w:smallCaps w:val="0"/>
        </w:rPr>
      </w:pPr>
      <w:r w:rsidRPr="00904533">
        <w:rPr>
          <w:rStyle w:val="Rimandonotaapidipagina"/>
          <w:i w:val="0"/>
          <w:smallCaps w:val="0"/>
        </w:rPr>
        <w:footnoteRef/>
      </w:r>
      <w:r w:rsidRPr="00904533">
        <w:rPr>
          <w:i w:val="0"/>
          <w:smallCaps w:val="0"/>
        </w:rPr>
        <w:t xml:space="preserve"> </w:t>
      </w:r>
      <w:r>
        <w:rPr>
          <w:i w:val="0"/>
          <w:smallCaps w:val="0"/>
        </w:rPr>
        <w:t xml:space="preserve">Sez. IX, </w:t>
      </w:r>
      <w:proofErr w:type="spellStart"/>
      <w:r>
        <w:rPr>
          <w:i w:val="0"/>
          <w:smallCaps w:val="0"/>
        </w:rPr>
        <w:t>ord</w:t>
      </w:r>
      <w:proofErr w:type="spellEnd"/>
      <w:r>
        <w:rPr>
          <w:i w:val="0"/>
          <w:smallCaps w:val="0"/>
        </w:rPr>
        <w:t>. 28 maggio 2020, in C-17/20.</w:t>
      </w:r>
    </w:p>
  </w:footnote>
  <w:footnote w:id="97">
    <w:p w:rsidR="00BE7D77" w:rsidRPr="00904533" w:rsidRDefault="00BE7D77" w:rsidP="00904533">
      <w:pPr>
        <w:pStyle w:val="Testonotaapidipagina"/>
        <w:jc w:val="both"/>
        <w:rPr>
          <w:i w:val="0"/>
          <w:smallCaps w:val="0"/>
        </w:rPr>
      </w:pPr>
      <w:r w:rsidRPr="00904533">
        <w:rPr>
          <w:rStyle w:val="Rimandonotaapidipagina"/>
          <w:i w:val="0"/>
          <w:smallCaps w:val="0"/>
        </w:rPr>
        <w:footnoteRef/>
      </w:r>
      <w:r w:rsidRPr="00904533">
        <w:rPr>
          <w:i w:val="0"/>
          <w:smallCaps w:val="0"/>
        </w:rPr>
        <w:t xml:space="preserve"> </w:t>
      </w:r>
      <w:r>
        <w:rPr>
          <w:i w:val="0"/>
          <w:smallCaps w:val="0"/>
        </w:rPr>
        <w:t xml:space="preserve">Corte </w:t>
      </w:r>
      <w:proofErr w:type="spellStart"/>
      <w:r>
        <w:rPr>
          <w:i w:val="0"/>
          <w:smallCaps w:val="0"/>
        </w:rPr>
        <w:t>giust</w:t>
      </w:r>
      <w:proofErr w:type="spellEnd"/>
      <w:r>
        <w:rPr>
          <w:i w:val="0"/>
          <w:smallCaps w:val="0"/>
        </w:rPr>
        <w:t xml:space="preserve">. UE, sez. III, </w:t>
      </w:r>
      <w:proofErr w:type="spellStart"/>
      <w:r>
        <w:rPr>
          <w:i w:val="0"/>
          <w:smallCaps w:val="0"/>
        </w:rPr>
        <w:t>sent</w:t>
      </w:r>
      <w:proofErr w:type="spellEnd"/>
      <w:r>
        <w:rPr>
          <w:i w:val="0"/>
          <w:smallCaps w:val="0"/>
        </w:rPr>
        <w:t>. 9 novembre 2017, in C-298/16.</w:t>
      </w:r>
    </w:p>
  </w:footnote>
  <w:footnote w:id="98">
    <w:p w:rsidR="00BE7D77" w:rsidRPr="00625C1D" w:rsidRDefault="00BE7D77" w:rsidP="00625C1D">
      <w:pPr>
        <w:pStyle w:val="Testonotaapidipagina"/>
        <w:jc w:val="both"/>
        <w:rPr>
          <w:i w:val="0"/>
          <w:smallCaps w:val="0"/>
        </w:rPr>
      </w:pPr>
      <w:r w:rsidRPr="00625C1D">
        <w:rPr>
          <w:rStyle w:val="Rimandonotaapidipagina"/>
          <w:i w:val="0"/>
          <w:smallCaps w:val="0"/>
        </w:rPr>
        <w:footnoteRef/>
      </w:r>
      <w:r w:rsidRPr="00625C1D">
        <w:rPr>
          <w:i w:val="0"/>
          <w:smallCaps w:val="0"/>
        </w:rPr>
        <w:t>Cfr</w:t>
      </w:r>
      <w:r>
        <w:rPr>
          <w:i w:val="0"/>
        </w:rPr>
        <w:t xml:space="preserve">. </w:t>
      </w:r>
      <w:r>
        <w:rPr>
          <w:i w:val="0"/>
          <w:smallCaps w:val="0"/>
        </w:rPr>
        <w:t xml:space="preserve">Corte </w:t>
      </w:r>
      <w:proofErr w:type="spellStart"/>
      <w:r>
        <w:rPr>
          <w:i w:val="0"/>
          <w:smallCaps w:val="0"/>
        </w:rPr>
        <w:t>giust</w:t>
      </w:r>
      <w:proofErr w:type="spellEnd"/>
      <w:r>
        <w:rPr>
          <w:i w:val="0"/>
          <w:smallCaps w:val="0"/>
        </w:rPr>
        <w:t xml:space="preserve">. UE, sez. V, </w:t>
      </w:r>
      <w:proofErr w:type="spellStart"/>
      <w:r>
        <w:rPr>
          <w:i w:val="0"/>
          <w:smallCaps w:val="0"/>
        </w:rPr>
        <w:t>sent</w:t>
      </w:r>
      <w:proofErr w:type="spellEnd"/>
      <w:r>
        <w:rPr>
          <w:i w:val="0"/>
          <w:smallCaps w:val="0"/>
        </w:rPr>
        <w:t>. 26 settembre 2019, in C-63/18.</w:t>
      </w:r>
    </w:p>
  </w:footnote>
  <w:footnote w:id="99">
    <w:p w:rsidR="00BE7D77" w:rsidRPr="0068401B" w:rsidRDefault="00BE7D77" w:rsidP="0068401B">
      <w:pPr>
        <w:pStyle w:val="Testonotaapidipagina"/>
        <w:jc w:val="both"/>
        <w:rPr>
          <w:i w:val="0"/>
          <w:smallCaps w:val="0"/>
        </w:rPr>
      </w:pPr>
      <w:r w:rsidRPr="0068401B">
        <w:rPr>
          <w:rStyle w:val="Rimandonotaapidipagina"/>
          <w:i w:val="0"/>
        </w:rPr>
        <w:footnoteRef/>
      </w:r>
      <w:r w:rsidRPr="0068401B">
        <w:rPr>
          <w:i w:val="0"/>
        </w:rPr>
        <w:t xml:space="preserve"> </w:t>
      </w:r>
      <w:r>
        <w:rPr>
          <w:i w:val="0"/>
          <w:smallCaps w:val="0"/>
        </w:rPr>
        <w:t xml:space="preserve">Cfr. </w:t>
      </w:r>
      <w:proofErr w:type="spellStart"/>
      <w:r>
        <w:rPr>
          <w:i w:val="0"/>
          <w:smallCaps w:val="0"/>
        </w:rPr>
        <w:t>Cons</w:t>
      </w:r>
      <w:proofErr w:type="spellEnd"/>
      <w:r>
        <w:rPr>
          <w:i w:val="0"/>
          <w:smallCaps w:val="0"/>
        </w:rPr>
        <w:t>. Stato, sez. III, 10 agosto 2020, n. 4979.</w:t>
      </w:r>
    </w:p>
  </w:footnote>
  <w:footnote w:id="100">
    <w:p w:rsidR="00BE7D77" w:rsidRPr="0068401B" w:rsidRDefault="00BE7D77" w:rsidP="0068401B">
      <w:pPr>
        <w:pStyle w:val="Testonotaapidipagina"/>
        <w:jc w:val="both"/>
        <w:rPr>
          <w:smallCaps w:val="0"/>
        </w:rPr>
      </w:pPr>
      <w:r w:rsidRPr="0068401B">
        <w:rPr>
          <w:rStyle w:val="Rimandonotaapidipagina"/>
          <w:i w:val="0"/>
          <w:smallCaps w:val="0"/>
        </w:rPr>
        <w:footnoteRef/>
      </w:r>
      <w:r w:rsidRPr="0068401B">
        <w:rPr>
          <w:i w:val="0"/>
          <w:smallCaps w:val="0"/>
        </w:rPr>
        <w:t xml:space="preserve"> </w:t>
      </w:r>
      <w:r>
        <w:rPr>
          <w:i w:val="0"/>
          <w:smallCaps w:val="0"/>
        </w:rPr>
        <w:t xml:space="preserve">Cfr. A. CARIOLA, </w:t>
      </w:r>
      <w:r>
        <w:rPr>
          <w:smallCaps w:val="0"/>
        </w:rPr>
        <w:t>op. cit.</w:t>
      </w:r>
    </w:p>
  </w:footnote>
  <w:footnote w:id="101">
    <w:p w:rsidR="00BE7D77" w:rsidRPr="00940059" w:rsidRDefault="00BE7D77" w:rsidP="004F6F04">
      <w:pPr>
        <w:pStyle w:val="Testonotaapidipagina"/>
        <w:jc w:val="both"/>
        <w:rPr>
          <w:smallCaps w:val="0"/>
        </w:rPr>
      </w:pPr>
      <w:r w:rsidRPr="004F6F04">
        <w:rPr>
          <w:rStyle w:val="Rimandonotaapidipagina"/>
          <w:i w:val="0"/>
        </w:rPr>
        <w:footnoteRef/>
      </w:r>
      <w:r w:rsidRPr="004F6F04">
        <w:rPr>
          <w:i w:val="0"/>
        </w:rPr>
        <w:t xml:space="preserve"> </w:t>
      </w:r>
      <w:r>
        <w:rPr>
          <w:i w:val="0"/>
          <w:smallCaps w:val="0"/>
        </w:rPr>
        <w:t xml:space="preserve">Resta aperta la questione se, anche dopo le modifiche del 2021, il contraddittorio nell’ambito del procedimento volto all’adozione dell’informativa antimafia conservi la sua natura meramente “collaborativa” (cioè intesa soltanto ad arricchire il quadro istruttorio costruito dall’amministrazione) ovvero assume anche carattere “difensivo”: sul punto cfr. A. POLICE, </w:t>
      </w:r>
      <w:r>
        <w:rPr>
          <w:smallCaps w:val="0"/>
        </w:rPr>
        <w:t>op. cit.</w:t>
      </w:r>
    </w:p>
  </w:footnote>
  <w:footnote w:id="102">
    <w:p w:rsidR="00BE7D77" w:rsidRPr="0004464D" w:rsidRDefault="00BE7D77" w:rsidP="0004464D">
      <w:pPr>
        <w:pStyle w:val="Testonotaapidipagina"/>
        <w:jc w:val="both"/>
        <w:rPr>
          <w:i w:val="0"/>
          <w:smallCaps w:val="0"/>
        </w:rPr>
      </w:pPr>
      <w:r w:rsidRPr="0004464D">
        <w:rPr>
          <w:rStyle w:val="Rimandonotaapidipagina"/>
          <w:i w:val="0"/>
        </w:rPr>
        <w:footnoteRef/>
      </w:r>
      <w:r w:rsidRPr="0004464D">
        <w:rPr>
          <w:i w:val="0"/>
        </w:rPr>
        <w:t xml:space="preserve"> </w:t>
      </w:r>
      <w:r>
        <w:rPr>
          <w:i w:val="0"/>
          <w:smallCaps w:val="0"/>
        </w:rPr>
        <w:t xml:space="preserve">Su cui v. </w:t>
      </w:r>
      <w:r>
        <w:rPr>
          <w:smallCaps w:val="0"/>
        </w:rPr>
        <w:t xml:space="preserve">infra, </w:t>
      </w:r>
      <w:r>
        <w:rPr>
          <w:i w:val="0"/>
          <w:smallCaps w:val="0"/>
        </w:rPr>
        <w:t>§ 9.3.</w:t>
      </w:r>
    </w:p>
  </w:footnote>
  <w:footnote w:id="103">
    <w:p w:rsidR="00BE7D77" w:rsidRPr="0004464D" w:rsidRDefault="00BE7D77" w:rsidP="0004464D">
      <w:pPr>
        <w:pStyle w:val="Testonotaapidipagina"/>
        <w:jc w:val="both"/>
        <w:rPr>
          <w:i w:val="0"/>
          <w:smallCaps w:val="0"/>
        </w:rPr>
      </w:pPr>
      <w:r w:rsidRPr="0004464D">
        <w:rPr>
          <w:rStyle w:val="Rimandonotaapidipagina"/>
          <w:i w:val="0"/>
          <w:smallCaps w:val="0"/>
        </w:rPr>
        <w:footnoteRef/>
      </w:r>
      <w:r w:rsidRPr="0004464D">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28 maggio 2024, n. 4716; id., 20 febbraio 2024, n. 1700.</w:t>
      </w:r>
    </w:p>
  </w:footnote>
  <w:footnote w:id="104">
    <w:p w:rsidR="00BE7D77" w:rsidRPr="00EC1A7B" w:rsidRDefault="00BE7D77" w:rsidP="00EC1A7B">
      <w:pPr>
        <w:pStyle w:val="Testonotaapidipagina"/>
        <w:jc w:val="both"/>
        <w:rPr>
          <w:i w:val="0"/>
          <w:smallCaps w:val="0"/>
        </w:rPr>
      </w:pPr>
      <w:r w:rsidRPr="00EC1A7B">
        <w:rPr>
          <w:rStyle w:val="Rimandonotaapidipagina"/>
          <w:i w:val="0"/>
          <w:smallCaps w:val="0"/>
        </w:rPr>
        <w:footnoteRef/>
      </w:r>
      <w:r w:rsidRPr="00EC1A7B">
        <w:rPr>
          <w:i w:val="0"/>
          <w:smallCaps w:val="0"/>
        </w:rPr>
        <w:t xml:space="preserve"> </w:t>
      </w:r>
      <w:r>
        <w:rPr>
          <w:i w:val="0"/>
          <w:smallCaps w:val="0"/>
        </w:rPr>
        <w:t>Cfr. Tar Campania, Salerno, sez. I, 12 giugno 2023, n. 1370.</w:t>
      </w:r>
    </w:p>
  </w:footnote>
  <w:footnote w:id="105">
    <w:p w:rsidR="00BE7D77" w:rsidRPr="00AA4981" w:rsidRDefault="00BE7D77" w:rsidP="00AA4981">
      <w:pPr>
        <w:pStyle w:val="Testonotaapidipagina"/>
        <w:jc w:val="both"/>
        <w:rPr>
          <w:i w:val="0"/>
          <w:smallCaps w:val="0"/>
        </w:rPr>
      </w:pPr>
      <w:r w:rsidRPr="00AA4981">
        <w:rPr>
          <w:rStyle w:val="Rimandonotaapidipagina"/>
          <w:i w:val="0"/>
          <w:smallCaps w:val="0"/>
        </w:rPr>
        <w:footnoteRef/>
      </w:r>
      <w:r w:rsidRPr="00AA4981">
        <w:rPr>
          <w:i w:val="0"/>
          <w:smallCaps w:val="0"/>
        </w:rPr>
        <w:t xml:space="preserve"> </w:t>
      </w:r>
      <w:r>
        <w:rPr>
          <w:i w:val="0"/>
          <w:smallCaps w:val="0"/>
        </w:rPr>
        <w:t xml:space="preserve">In questo senso, cfr. </w:t>
      </w:r>
      <w:proofErr w:type="spellStart"/>
      <w:r>
        <w:rPr>
          <w:i w:val="0"/>
          <w:smallCaps w:val="0"/>
        </w:rPr>
        <w:t>Cons</w:t>
      </w:r>
      <w:proofErr w:type="spellEnd"/>
      <w:r>
        <w:rPr>
          <w:i w:val="0"/>
          <w:smallCaps w:val="0"/>
        </w:rPr>
        <w:t>. Stato, sez. III, n. 4716/2024, cit.</w:t>
      </w:r>
    </w:p>
  </w:footnote>
  <w:footnote w:id="106">
    <w:p w:rsidR="00BE7D77" w:rsidRPr="00543C3A" w:rsidRDefault="00BE7D77" w:rsidP="00543C3A">
      <w:pPr>
        <w:pStyle w:val="Testonotaapidipagina"/>
        <w:jc w:val="both"/>
        <w:rPr>
          <w:i w:val="0"/>
          <w:smallCaps w:val="0"/>
        </w:rPr>
      </w:pPr>
      <w:r w:rsidRPr="00543C3A">
        <w:rPr>
          <w:rStyle w:val="Rimandonotaapidipagina"/>
          <w:i w:val="0"/>
          <w:smallCaps w:val="0"/>
        </w:rPr>
        <w:footnoteRef/>
      </w:r>
      <w:r w:rsidRPr="00543C3A">
        <w:rPr>
          <w:i w:val="0"/>
          <w:smallCaps w:val="0"/>
        </w:rPr>
        <w:t xml:space="preserve"> </w:t>
      </w:r>
      <w:r>
        <w:rPr>
          <w:i w:val="0"/>
          <w:smallCaps w:val="0"/>
        </w:rPr>
        <w:t xml:space="preserve">In tema, cfr. B.G. MATTARELLA, </w:t>
      </w:r>
      <w:r>
        <w:rPr>
          <w:smallCaps w:val="0"/>
        </w:rPr>
        <w:t xml:space="preserve">Il provvedimento amministrativo, </w:t>
      </w:r>
      <w:r>
        <w:rPr>
          <w:i w:val="0"/>
          <w:smallCaps w:val="0"/>
        </w:rPr>
        <w:t xml:space="preserve">in C. CONTESSA – R. GRECO (a cura di), </w:t>
      </w:r>
      <w:r>
        <w:rPr>
          <w:smallCaps w:val="0"/>
        </w:rPr>
        <w:t xml:space="preserve">L’attività amministrativa e le sue regole, </w:t>
      </w:r>
      <w:r>
        <w:rPr>
          <w:i w:val="0"/>
          <w:smallCaps w:val="0"/>
        </w:rPr>
        <w:t>cit., pp. 354 ss.</w:t>
      </w:r>
    </w:p>
  </w:footnote>
  <w:footnote w:id="107">
    <w:p w:rsidR="00BE7D77" w:rsidRPr="00C031BB" w:rsidRDefault="00BE7D77" w:rsidP="00C031BB">
      <w:pPr>
        <w:pStyle w:val="Testonotaapidipagina"/>
        <w:jc w:val="both"/>
        <w:rPr>
          <w:i w:val="0"/>
          <w:smallCaps w:val="0"/>
        </w:rPr>
      </w:pPr>
      <w:r w:rsidRPr="00C031BB">
        <w:rPr>
          <w:rStyle w:val="Rimandonotaapidipagina"/>
          <w:i w:val="0"/>
          <w:smallCaps w:val="0"/>
        </w:rPr>
        <w:footnoteRef/>
      </w:r>
      <w:r w:rsidRPr="00C031BB">
        <w:rPr>
          <w:i w:val="0"/>
          <w:smallCaps w:val="0"/>
        </w:rPr>
        <w:t xml:space="preserve"> </w:t>
      </w:r>
      <w:r>
        <w:rPr>
          <w:i w:val="0"/>
          <w:smallCaps w:val="0"/>
        </w:rPr>
        <w:t xml:space="preserve">V. </w:t>
      </w:r>
      <w:proofErr w:type="spellStart"/>
      <w:r>
        <w:rPr>
          <w:smallCaps w:val="0"/>
        </w:rPr>
        <w:t>supra</w:t>
      </w:r>
      <w:proofErr w:type="spellEnd"/>
      <w:r>
        <w:rPr>
          <w:smallCaps w:val="0"/>
        </w:rPr>
        <w:t xml:space="preserve">, </w:t>
      </w:r>
      <w:r>
        <w:rPr>
          <w:i w:val="0"/>
          <w:smallCaps w:val="0"/>
        </w:rPr>
        <w:t>§ 5.</w:t>
      </w:r>
    </w:p>
  </w:footnote>
  <w:footnote w:id="108">
    <w:p w:rsidR="00BE7D77" w:rsidRPr="00C031BB" w:rsidRDefault="00BE7D77" w:rsidP="00C031BB">
      <w:pPr>
        <w:pStyle w:val="Testonotaapidipagina"/>
        <w:jc w:val="both"/>
        <w:rPr>
          <w:i w:val="0"/>
          <w:smallCaps w:val="0"/>
        </w:rPr>
      </w:pPr>
      <w:r w:rsidRPr="00C031BB">
        <w:rPr>
          <w:rStyle w:val="Rimandonotaapidipagina"/>
          <w:i w:val="0"/>
          <w:smallCaps w:val="0"/>
        </w:rPr>
        <w:footnoteRef/>
      </w:r>
      <w:r w:rsidRPr="00C031BB">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4 marzo 2024, n. 2062; id., 19 gennaio 2024, n. 614; id., 22 maggio 2023, n. 5024; id., 16 maggio 2022, n. 3831; id., 2 luglio 2021, n. 5043.</w:t>
      </w:r>
    </w:p>
  </w:footnote>
  <w:footnote w:id="109">
    <w:p w:rsidR="00BE7D77" w:rsidRPr="00940059" w:rsidRDefault="00BE7D77" w:rsidP="00E229D2">
      <w:pPr>
        <w:pStyle w:val="Testonotaapidipagina"/>
        <w:jc w:val="both"/>
        <w:rPr>
          <w:smallCaps w:val="0"/>
        </w:rPr>
      </w:pPr>
      <w:r w:rsidRPr="00E229D2">
        <w:rPr>
          <w:rStyle w:val="Rimandonotaapidipagina"/>
          <w:i w:val="0"/>
          <w:smallCaps w:val="0"/>
        </w:rPr>
        <w:footnoteRef/>
      </w:r>
      <w:r w:rsidRPr="00E229D2">
        <w:rPr>
          <w:i w:val="0"/>
          <w:smallCaps w:val="0"/>
        </w:rPr>
        <w:t xml:space="preserve"> </w:t>
      </w:r>
      <w:r>
        <w:rPr>
          <w:i w:val="0"/>
          <w:smallCaps w:val="0"/>
        </w:rPr>
        <w:t xml:space="preserve">Cfr. G. VELTRI, </w:t>
      </w:r>
      <w:r>
        <w:rPr>
          <w:smallCaps w:val="0"/>
        </w:rPr>
        <w:t xml:space="preserve">op. cit. </w:t>
      </w:r>
      <w:r>
        <w:rPr>
          <w:i w:val="0"/>
          <w:smallCaps w:val="0"/>
        </w:rPr>
        <w:t xml:space="preserve">Sulla scarsa dimestichezza che ancora oggi le Prefetture palesano con l’applicazione del principio di proporzionalità, cfr. A. POLICE, </w:t>
      </w:r>
      <w:r>
        <w:rPr>
          <w:smallCaps w:val="0"/>
        </w:rPr>
        <w:t>op. cit.</w:t>
      </w:r>
    </w:p>
  </w:footnote>
  <w:footnote w:id="110">
    <w:p w:rsidR="00BE7D77" w:rsidRPr="00675240" w:rsidRDefault="00BE7D77" w:rsidP="00675240">
      <w:pPr>
        <w:pStyle w:val="Testonotaapidipagina"/>
        <w:jc w:val="both"/>
        <w:rPr>
          <w:i w:val="0"/>
          <w:smallCaps w:val="0"/>
        </w:rPr>
      </w:pPr>
      <w:r w:rsidRPr="00675240">
        <w:rPr>
          <w:rStyle w:val="Rimandonotaapidipagina"/>
          <w:i w:val="0"/>
          <w:smallCaps w:val="0"/>
        </w:rPr>
        <w:footnoteRef/>
      </w:r>
      <w:r w:rsidRPr="00675240">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sez. III, 30 giugno 2023, n. 6360; in termini, </w:t>
      </w:r>
      <w:proofErr w:type="spellStart"/>
      <w:r>
        <w:rPr>
          <w:i w:val="0"/>
          <w:smallCaps w:val="0"/>
        </w:rPr>
        <w:t>Cons</w:t>
      </w:r>
      <w:proofErr w:type="spellEnd"/>
      <w:r>
        <w:rPr>
          <w:i w:val="0"/>
          <w:smallCaps w:val="0"/>
        </w:rPr>
        <w:t>. Stato, sez. III, 3 maggio 2023, n. 4465.</w:t>
      </w:r>
    </w:p>
  </w:footnote>
  <w:footnote w:id="111">
    <w:p w:rsidR="00BE7D77" w:rsidRPr="006E4FB1" w:rsidRDefault="00BE7D77" w:rsidP="006E4FB1">
      <w:pPr>
        <w:pStyle w:val="Testonotaapidipagina"/>
        <w:jc w:val="both"/>
        <w:rPr>
          <w:i w:val="0"/>
          <w:smallCaps w:val="0"/>
        </w:rPr>
      </w:pPr>
      <w:r w:rsidRPr="006E4FB1">
        <w:rPr>
          <w:rStyle w:val="Rimandonotaapidipagina"/>
          <w:i w:val="0"/>
          <w:smallCaps w:val="0"/>
        </w:rPr>
        <w:footnoteRef/>
      </w:r>
      <w:r w:rsidRPr="006E4FB1">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12 giugno 2023, n. 5753; id., sez. I, parere 30 marzo 2021, n. 545; id., parere 1 luglio 2014, n. 2226.</w:t>
      </w:r>
    </w:p>
  </w:footnote>
  <w:footnote w:id="112">
    <w:p w:rsidR="00BE7D77" w:rsidRPr="00835719" w:rsidRDefault="00BE7D77" w:rsidP="00835719">
      <w:pPr>
        <w:pStyle w:val="Testonotaapidipagina"/>
        <w:jc w:val="both"/>
        <w:rPr>
          <w:i w:val="0"/>
          <w:smallCaps w:val="0"/>
        </w:rPr>
      </w:pPr>
      <w:r w:rsidRPr="00835719">
        <w:rPr>
          <w:rStyle w:val="Rimandonotaapidipagina"/>
          <w:i w:val="0"/>
          <w:smallCaps w:val="0"/>
        </w:rPr>
        <w:footnoteRef/>
      </w:r>
      <w:r w:rsidRPr="00835719">
        <w:rPr>
          <w:i w:val="0"/>
          <w:smallCaps w:val="0"/>
        </w:rPr>
        <w:t xml:space="preserve"> </w:t>
      </w:r>
      <w:r>
        <w:rPr>
          <w:i w:val="0"/>
          <w:smallCaps w:val="0"/>
        </w:rPr>
        <w:t>Si tratta dei delitti di cui agli articoli 317 (concussione), 318 (corruzione impropria), 319 (corruzione propria), 319-</w:t>
      </w:r>
      <w:r>
        <w:rPr>
          <w:smallCaps w:val="0"/>
        </w:rPr>
        <w:t xml:space="preserve">bis </w:t>
      </w:r>
      <w:r>
        <w:rPr>
          <w:i w:val="0"/>
          <w:smallCaps w:val="0"/>
        </w:rPr>
        <w:t>(corruzione propria aggravata), 319-</w:t>
      </w:r>
      <w:r>
        <w:rPr>
          <w:smallCaps w:val="0"/>
        </w:rPr>
        <w:t xml:space="preserve">ter </w:t>
      </w:r>
      <w:r>
        <w:rPr>
          <w:i w:val="0"/>
          <w:smallCaps w:val="0"/>
        </w:rPr>
        <w:t>(corruzione in atti giudiziari), 319-</w:t>
      </w:r>
      <w:r>
        <w:rPr>
          <w:smallCaps w:val="0"/>
        </w:rPr>
        <w:t xml:space="preserve">quater </w:t>
      </w:r>
      <w:r>
        <w:rPr>
          <w:i w:val="0"/>
          <w:smallCaps w:val="0"/>
        </w:rPr>
        <w:t>(induzione indebita a dare o promettere utilità), 320 (corruzione di persona incaricata di pubblico servizio), 322 (istigazione alla corruzione), 322-</w:t>
      </w:r>
      <w:r>
        <w:rPr>
          <w:smallCaps w:val="0"/>
        </w:rPr>
        <w:t xml:space="preserve">bis </w:t>
      </w:r>
      <w:r>
        <w:rPr>
          <w:i w:val="0"/>
          <w:smallCaps w:val="0"/>
        </w:rPr>
        <w:t>(peculato, concussione, induzione indebita a dare o promettere utilità, corruzione, istigazione alla corruzione, abuso d’ufficio di membri delle Corti internazionali o degli organi delle Comunità europee o di assemblee parlamentari internazionali o di organizzazioni internazionali e di funzionari delle Comunità europee e di Stati esteri), 346-</w:t>
      </w:r>
      <w:r>
        <w:rPr>
          <w:smallCaps w:val="0"/>
        </w:rPr>
        <w:t xml:space="preserve">bis </w:t>
      </w:r>
      <w:r>
        <w:rPr>
          <w:i w:val="0"/>
          <w:smallCaps w:val="0"/>
        </w:rPr>
        <w:t>(traffico di influenze illecite), 353 (turbata libertà degli incanti) e 353-</w:t>
      </w:r>
      <w:r>
        <w:rPr>
          <w:smallCaps w:val="0"/>
        </w:rPr>
        <w:t xml:space="preserve">bis </w:t>
      </w:r>
      <w:r>
        <w:rPr>
          <w:i w:val="0"/>
          <w:smallCaps w:val="0"/>
        </w:rPr>
        <w:t>(turbata libertà del procedimento di scelta del contraente).</w:t>
      </w:r>
    </w:p>
  </w:footnote>
  <w:footnote w:id="113">
    <w:p w:rsidR="00BE7D77" w:rsidRPr="0015695D" w:rsidRDefault="00BE7D77" w:rsidP="0015695D">
      <w:pPr>
        <w:pStyle w:val="Testonotaapidipagina"/>
        <w:jc w:val="both"/>
        <w:rPr>
          <w:i w:val="0"/>
          <w:smallCaps w:val="0"/>
        </w:rPr>
      </w:pPr>
      <w:r w:rsidRPr="0015695D">
        <w:rPr>
          <w:rStyle w:val="Rimandonotaapidipagina"/>
          <w:i w:val="0"/>
          <w:smallCaps w:val="0"/>
        </w:rPr>
        <w:footnoteRef/>
      </w:r>
      <w:r w:rsidRPr="0015695D">
        <w:rPr>
          <w:i w:val="0"/>
          <w:smallCaps w:val="0"/>
        </w:rPr>
        <w:t xml:space="preserve"> </w:t>
      </w:r>
      <w:r>
        <w:rPr>
          <w:i w:val="0"/>
          <w:smallCaps w:val="0"/>
        </w:rPr>
        <w:t>Di procedimento “</w:t>
      </w:r>
      <w:r>
        <w:rPr>
          <w:smallCaps w:val="0"/>
        </w:rPr>
        <w:t>a formazione progressiva</w:t>
      </w:r>
      <w:r>
        <w:rPr>
          <w:i w:val="0"/>
          <w:smallCaps w:val="0"/>
        </w:rPr>
        <w:t xml:space="preserve">” parla C. CHINNICI, </w:t>
      </w:r>
      <w:r>
        <w:rPr>
          <w:smallCaps w:val="0"/>
        </w:rPr>
        <w:t>L’</w:t>
      </w:r>
      <w:proofErr w:type="spellStart"/>
      <w:r>
        <w:rPr>
          <w:smallCaps w:val="0"/>
        </w:rPr>
        <w:t>interdittiva</w:t>
      </w:r>
      <w:proofErr w:type="spellEnd"/>
      <w:r>
        <w:rPr>
          <w:smallCaps w:val="0"/>
        </w:rPr>
        <w:t xml:space="preserve"> antimafia e i rapporti con le altre misure di tipo terapeutico, </w:t>
      </w:r>
      <w:r>
        <w:rPr>
          <w:i w:val="0"/>
          <w:smallCaps w:val="0"/>
        </w:rPr>
        <w:t xml:space="preserve">in </w:t>
      </w:r>
      <w:r>
        <w:rPr>
          <w:smallCaps w:val="0"/>
        </w:rPr>
        <w:t xml:space="preserve">www.giustizia-amministrativa.it, </w:t>
      </w:r>
      <w:r>
        <w:rPr>
          <w:i w:val="0"/>
          <w:smallCaps w:val="0"/>
        </w:rPr>
        <w:t>3 dicembre 2020.</w:t>
      </w:r>
    </w:p>
  </w:footnote>
  <w:footnote w:id="114">
    <w:p w:rsidR="00BE7D77" w:rsidRPr="0015695D" w:rsidRDefault="00BE7D77" w:rsidP="0015695D">
      <w:pPr>
        <w:pStyle w:val="Testonotaapidipagina"/>
        <w:jc w:val="both"/>
        <w:rPr>
          <w:i w:val="0"/>
          <w:smallCaps w:val="0"/>
        </w:rPr>
      </w:pPr>
      <w:r w:rsidRPr="0015695D">
        <w:rPr>
          <w:rStyle w:val="Rimandonotaapidipagina"/>
          <w:i w:val="0"/>
          <w:smallCaps w:val="0"/>
        </w:rPr>
        <w:footnoteRef/>
      </w:r>
      <w:r w:rsidRPr="0015695D">
        <w:rPr>
          <w:i w:val="0"/>
          <w:smallCaps w:val="0"/>
        </w:rPr>
        <w:t xml:space="preserve"> </w:t>
      </w:r>
      <w:r>
        <w:rPr>
          <w:i w:val="0"/>
          <w:smallCaps w:val="0"/>
        </w:rPr>
        <w:t xml:space="preserve">Non c’è dubbio che i fatti possano considerarsi accertati anche in assenza di un giudicato penale: la disposizione richiama il precedente articolo 19, comma 5, lettera </w:t>
      </w:r>
      <w:r>
        <w:rPr>
          <w:smallCaps w:val="0"/>
        </w:rPr>
        <w:t>a</w:t>
      </w:r>
      <w:r>
        <w:rPr>
          <w:i w:val="0"/>
          <w:smallCaps w:val="0"/>
        </w:rPr>
        <w:t xml:space="preserve">), del medesimo </w:t>
      </w:r>
      <w:proofErr w:type="spellStart"/>
      <w:r>
        <w:rPr>
          <w:i w:val="0"/>
          <w:smallCaps w:val="0"/>
        </w:rPr>
        <w:t>d.l.</w:t>
      </w:r>
      <w:proofErr w:type="spellEnd"/>
      <w:r>
        <w:rPr>
          <w:i w:val="0"/>
          <w:smallCaps w:val="0"/>
        </w:rPr>
        <w:t xml:space="preserve"> n. 90/2014, il quale disciplina le segnalazioni di illeciti che l’ANAC può ricevere ai sensi dell’articolo 54-</w:t>
      </w:r>
      <w:r>
        <w:rPr>
          <w:smallCaps w:val="0"/>
        </w:rPr>
        <w:t xml:space="preserve">bis </w:t>
      </w:r>
      <w:r>
        <w:rPr>
          <w:i w:val="0"/>
          <w:smallCaps w:val="0"/>
        </w:rPr>
        <w:t>del d.lgs. 30 marzo 2001, n. 165.</w:t>
      </w:r>
    </w:p>
  </w:footnote>
  <w:footnote w:id="115">
    <w:p w:rsidR="00BE7D77" w:rsidRPr="0057082F" w:rsidRDefault="00BE7D77" w:rsidP="0057082F">
      <w:pPr>
        <w:pStyle w:val="Testonotaapidipagina"/>
        <w:jc w:val="both"/>
        <w:rPr>
          <w:i w:val="0"/>
          <w:smallCaps w:val="0"/>
        </w:rPr>
      </w:pPr>
      <w:r w:rsidRPr="0057082F">
        <w:rPr>
          <w:rStyle w:val="Rimandonotaapidipagina"/>
          <w:i w:val="0"/>
          <w:smallCaps w:val="0"/>
        </w:rPr>
        <w:footnoteRef/>
      </w:r>
      <w:r w:rsidRPr="0057082F">
        <w:rPr>
          <w:i w:val="0"/>
          <w:smallCaps w:val="0"/>
        </w:rPr>
        <w:t xml:space="preserve"> </w:t>
      </w:r>
      <w:r>
        <w:rPr>
          <w:i w:val="0"/>
          <w:smallCaps w:val="0"/>
        </w:rPr>
        <w:t xml:space="preserve">Previsione, quest’ultima, assente nella formulazione originaria della norma e introdotta dal </w:t>
      </w:r>
      <w:proofErr w:type="spellStart"/>
      <w:r>
        <w:rPr>
          <w:i w:val="0"/>
          <w:smallCaps w:val="0"/>
        </w:rPr>
        <w:t>d.l.</w:t>
      </w:r>
      <w:proofErr w:type="spellEnd"/>
      <w:r>
        <w:rPr>
          <w:i w:val="0"/>
          <w:smallCaps w:val="0"/>
        </w:rPr>
        <w:t xml:space="preserve"> 20 giugno 2017, n. 91, convertito, con modificazioni, dalla legge 3 agosto 2017, n. 123.</w:t>
      </w:r>
    </w:p>
  </w:footnote>
  <w:footnote w:id="116">
    <w:p w:rsidR="00BE7D77" w:rsidRPr="0057082F" w:rsidRDefault="00BE7D77" w:rsidP="0057082F">
      <w:pPr>
        <w:pStyle w:val="Testonotaapidipagina"/>
        <w:jc w:val="both"/>
        <w:rPr>
          <w:smallCaps w:val="0"/>
        </w:rPr>
      </w:pPr>
      <w:r w:rsidRPr="0057082F">
        <w:rPr>
          <w:rStyle w:val="Rimandonotaapidipagina"/>
          <w:i w:val="0"/>
          <w:smallCaps w:val="0"/>
        </w:rPr>
        <w:footnoteRef/>
      </w:r>
      <w:r w:rsidRPr="0057082F">
        <w:rPr>
          <w:i w:val="0"/>
          <w:smallCaps w:val="0"/>
        </w:rPr>
        <w:t xml:space="preserve"> </w:t>
      </w:r>
      <w:r>
        <w:rPr>
          <w:i w:val="0"/>
          <w:smallCaps w:val="0"/>
        </w:rPr>
        <w:t xml:space="preserve">Cfr. C. CHINNICI, </w:t>
      </w:r>
      <w:r>
        <w:rPr>
          <w:smallCaps w:val="0"/>
        </w:rPr>
        <w:t>op. cit.</w:t>
      </w:r>
    </w:p>
  </w:footnote>
  <w:footnote w:id="117">
    <w:p w:rsidR="00BE7D77" w:rsidRPr="0057082F" w:rsidRDefault="00BE7D77" w:rsidP="0057082F">
      <w:pPr>
        <w:pStyle w:val="Testonotaapidipagina"/>
        <w:jc w:val="both"/>
        <w:rPr>
          <w:i w:val="0"/>
          <w:smallCaps w:val="0"/>
        </w:rPr>
      </w:pPr>
      <w:r w:rsidRPr="0057082F">
        <w:rPr>
          <w:rStyle w:val="Rimandonotaapidipagina"/>
          <w:i w:val="0"/>
          <w:smallCaps w:val="0"/>
        </w:rPr>
        <w:footnoteRef/>
      </w:r>
      <w:r w:rsidRPr="0057082F">
        <w:rPr>
          <w:i w:val="0"/>
          <w:smallCaps w:val="0"/>
        </w:rPr>
        <w:t xml:space="preserve"> </w:t>
      </w:r>
      <w:r>
        <w:rPr>
          <w:i w:val="0"/>
          <w:smallCaps w:val="0"/>
        </w:rPr>
        <w:t>Tali linee guida sono state adottate, rispettivamente, con Protocollo del Presidente dell’ANAC e del Ministro dell’interno del 15 luglio 2014, con Atto del 27 gennaio 2015, con Comunicati del 19 gennaio e del 4 agosto 2016 e con Provvedimento congiunto del Ministro dell’interno e del Presidente dell’ANAC del 16 ottobre 2018.</w:t>
      </w:r>
    </w:p>
  </w:footnote>
  <w:footnote w:id="118">
    <w:p w:rsidR="00BE7D77" w:rsidRPr="00C0247C" w:rsidRDefault="00BE7D77" w:rsidP="00C0247C">
      <w:pPr>
        <w:pStyle w:val="Testonotaapidipagina"/>
        <w:jc w:val="both"/>
        <w:rPr>
          <w:i w:val="0"/>
          <w:smallCaps w:val="0"/>
        </w:rPr>
      </w:pPr>
      <w:r w:rsidRPr="00C0247C">
        <w:rPr>
          <w:rStyle w:val="Rimandonotaapidipagina"/>
          <w:i w:val="0"/>
          <w:smallCaps w:val="0"/>
        </w:rPr>
        <w:footnoteRef/>
      </w:r>
      <w:r w:rsidRPr="00C0247C">
        <w:rPr>
          <w:i w:val="0"/>
          <w:smallCaps w:val="0"/>
        </w:rPr>
        <w:t xml:space="preserve"> </w:t>
      </w:r>
      <w:r>
        <w:rPr>
          <w:i w:val="0"/>
          <w:smallCaps w:val="0"/>
        </w:rPr>
        <w:t xml:space="preserve">In questa chiave si spiega l’affermazione secondo cui la decisione del Prefetto di adottare la misura della straordinaria gestione è suscettibile perfino di travolgere, rendendola inefficace, la determinazione della stazione appaltante di recedere dal rapporto contrattuale: cfr. </w:t>
      </w:r>
      <w:proofErr w:type="spellStart"/>
      <w:r>
        <w:rPr>
          <w:i w:val="0"/>
          <w:smallCaps w:val="0"/>
        </w:rPr>
        <w:t>Cons</w:t>
      </w:r>
      <w:proofErr w:type="spellEnd"/>
      <w:r>
        <w:rPr>
          <w:i w:val="0"/>
          <w:smallCaps w:val="0"/>
        </w:rPr>
        <w:t>. Stato, sez. III, 28 aprile 2016, n. 163.</w:t>
      </w:r>
    </w:p>
  </w:footnote>
  <w:footnote w:id="119">
    <w:p w:rsidR="00BE7D77" w:rsidRPr="00C0247C" w:rsidRDefault="00BE7D77" w:rsidP="00C0247C">
      <w:pPr>
        <w:pStyle w:val="Testonotaapidipagina"/>
        <w:jc w:val="both"/>
        <w:rPr>
          <w:i w:val="0"/>
          <w:smallCaps w:val="0"/>
        </w:rPr>
      </w:pPr>
      <w:r w:rsidRPr="00C0247C">
        <w:rPr>
          <w:rStyle w:val="Rimandonotaapidipagina"/>
          <w:i w:val="0"/>
          <w:smallCaps w:val="0"/>
        </w:rPr>
        <w:footnoteRef/>
      </w:r>
      <w:r w:rsidRPr="00C0247C">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19 luglio 2021, n. 5383; id., 27 luglio 2018, n. 4620; id., 10 gennaio 2018, n. 93; id., 27 novembre 2017, n. 5568; id., 24 luglio 2015, n. 3653.</w:t>
      </w:r>
    </w:p>
  </w:footnote>
  <w:footnote w:id="120">
    <w:p w:rsidR="00BE7D77" w:rsidRPr="00A87A2B" w:rsidRDefault="00BE7D77" w:rsidP="00A87A2B">
      <w:pPr>
        <w:pStyle w:val="Testonotaapidipagina"/>
        <w:jc w:val="both"/>
        <w:rPr>
          <w:i w:val="0"/>
          <w:smallCaps w:val="0"/>
        </w:rPr>
      </w:pPr>
      <w:r w:rsidRPr="00A87A2B">
        <w:rPr>
          <w:rStyle w:val="Rimandonotaapidipagina"/>
          <w:i w:val="0"/>
          <w:smallCaps w:val="0"/>
        </w:rPr>
        <w:footnoteRef/>
      </w:r>
      <w:r w:rsidRPr="00A87A2B">
        <w:rPr>
          <w:i w:val="0"/>
          <w:smallCaps w:val="0"/>
        </w:rPr>
        <w:t xml:space="preserve"> </w:t>
      </w:r>
      <w:r>
        <w:rPr>
          <w:i w:val="0"/>
          <w:smallCaps w:val="0"/>
        </w:rPr>
        <w:t xml:space="preserve">Cfr. </w:t>
      </w:r>
      <w:proofErr w:type="spellStart"/>
      <w:r>
        <w:rPr>
          <w:i w:val="0"/>
          <w:smallCaps w:val="0"/>
        </w:rPr>
        <w:t>Cass</w:t>
      </w:r>
      <w:proofErr w:type="spellEnd"/>
      <w:r>
        <w:rPr>
          <w:i w:val="0"/>
          <w:smallCaps w:val="0"/>
        </w:rPr>
        <w:t xml:space="preserve">. </w:t>
      </w:r>
      <w:proofErr w:type="spellStart"/>
      <w:r>
        <w:rPr>
          <w:i w:val="0"/>
          <w:smallCaps w:val="0"/>
        </w:rPr>
        <w:t>pen</w:t>
      </w:r>
      <w:proofErr w:type="spellEnd"/>
      <w:r>
        <w:rPr>
          <w:i w:val="0"/>
          <w:smallCaps w:val="0"/>
        </w:rPr>
        <w:t xml:space="preserve">., sez. II, 9 novembre 2017, n. 51085; </w:t>
      </w:r>
      <w:proofErr w:type="spellStart"/>
      <w:r>
        <w:rPr>
          <w:i w:val="0"/>
          <w:smallCaps w:val="0"/>
        </w:rPr>
        <w:t>Cons</w:t>
      </w:r>
      <w:proofErr w:type="spellEnd"/>
      <w:r>
        <w:rPr>
          <w:i w:val="0"/>
          <w:smallCaps w:val="0"/>
        </w:rPr>
        <w:t>. Stato, Sez. III, n. 93/2018, cit.</w:t>
      </w:r>
    </w:p>
  </w:footnote>
  <w:footnote w:id="121">
    <w:p w:rsidR="00BE7D77" w:rsidRPr="00A87A2B" w:rsidRDefault="00BE7D77" w:rsidP="00A87A2B">
      <w:pPr>
        <w:pStyle w:val="Testonotaapidipagina"/>
        <w:jc w:val="both"/>
        <w:rPr>
          <w:smallCaps w:val="0"/>
        </w:rPr>
      </w:pPr>
      <w:r w:rsidRPr="00A87A2B">
        <w:rPr>
          <w:rStyle w:val="Rimandonotaapidipagina"/>
          <w:i w:val="0"/>
          <w:smallCaps w:val="0"/>
        </w:rPr>
        <w:footnoteRef/>
      </w:r>
      <w:r w:rsidRPr="00A87A2B">
        <w:rPr>
          <w:i w:val="0"/>
          <w:smallCaps w:val="0"/>
        </w:rPr>
        <w:t xml:space="preserve"> </w:t>
      </w:r>
      <w:r>
        <w:rPr>
          <w:i w:val="0"/>
          <w:smallCaps w:val="0"/>
        </w:rPr>
        <w:t xml:space="preserve">Su questi aspetti, diffusamente, C. CHINNICI, </w:t>
      </w:r>
      <w:r>
        <w:rPr>
          <w:smallCaps w:val="0"/>
        </w:rPr>
        <w:t>op. cit.</w:t>
      </w:r>
    </w:p>
  </w:footnote>
  <w:footnote w:id="122">
    <w:p w:rsidR="00BE7D77" w:rsidRPr="00352F2A" w:rsidRDefault="00BE7D77" w:rsidP="00352F2A">
      <w:pPr>
        <w:pStyle w:val="Testonotaapidipagina"/>
        <w:jc w:val="both"/>
        <w:rPr>
          <w:i w:val="0"/>
          <w:smallCaps w:val="0"/>
        </w:rPr>
      </w:pPr>
      <w:r w:rsidRPr="00352F2A">
        <w:rPr>
          <w:rStyle w:val="Rimandonotaapidipagina"/>
          <w:i w:val="0"/>
          <w:smallCaps w:val="0"/>
        </w:rPr>
        <w:footnoteRef/>
      </w:r>
      <w:r w:rsidRPr="00352F2A">
        <w:rPr>
          <w:i w:val="0"/>
          <w:smallCaps w:val="0"/>
        </w:rPr>
        <w:t xml:space="preserve"> </w:t>
      </w:r>
      <w:proofErr w:type="spellStart"/>
      <w:r>
        <w:rPr>
          <w:i w:val="0"/>
          <w:smallCaps w:val="0"/>
        </w:rPr>
        <w:t>Cons</w:t>
      </w:r>
      <w:proofErr w:type="spellEnd"/>
      <w:r>
        <w:rPr>
          <w:i w:val="0"/>
          <w:smallCaps w:val="0"/>
        </w:rPr>
        <w:t>. Stato, comm. spec., parere 11 maggio 2018, n. 1567.</w:t>
      </w:r>
    </w:p>
  </w:footnote>
  <w:footnote w:id="123">
    <w:p w:rsidR="00BE7D77" w:rsidRPr="004B7CE5" w:rsidRDefault="00BE7D77" w:rsidP="004B7CE5">
      <w:pPr>
        <w:pStyle w:val="Testonotaapidipagina"/>
        <w:jc w:val="both"/>
        <w:rPr>
          <w:i w:val="0"/>
          <w:smallCaps w:val="0"/>
        </w:rPr>
      </w:pPr>
      <w:r w:rsidRPr="004B7CE5">
        <w:rPr>
          <w:rStyle w:val="Rimandonotaapidipagina"/>
          <w:i w:val="0"/>
          <w:smallCaps w:val="0"/>
        </w:rPr>
        <w:footnoteRef/>
      </w:r>
      <w:r w:rsidRPr="004B7CE5">
        <w:rPr>
          <w:i w:val="0"/>
          <w:smallCaps w:val="0"/>
        </w:rPr>
        <w:t xml:space="preserve"> </w:t>
      </w:r>
      <w:r>
        <w:rPr>
          <w:i w:val="0"/>
          <w:smallCaps w:val="0"/>
        </w:rPr>
        <w:t xml:space="preserve">Per vero, la giurisprudenza è per lo più dell’avviso che le finalità di salvaguardia e risanamento dell’impresa siano in ogni caso estranee alla logica delle misure di cui all’articolo 32, </w:t>
      </w:r>
      <w:proofErr w:type="spellStart"/>
      <w:r>
        <w:rPr>
          <w:i w:val="0"/>
          <w:smallCaps w:val="0"/>
        </w:rPr>
        <w:t>d.l.</w:t>
      </w:r>
      <w:proofErr w:type="spellEnd"/>
      <w:r>
        <w:rPr>
          <w:i w:val="0"/>
          <w:smallCaps w:val="0"/>
        </w:rPr>
        <w:t xml:space="preserve"> n. 90/2014, ai fini delle quali il legislatore avrebbe operato un bilanciamento unicamente tra le due esigenze di rilievo pubblicistico di continuità nell’esecuzione del contratto di appalto e di scongiurare il percepimento di utilità illecite da parte dell’impresa oggetto di procedimento penale: cfr. </w:t>
      </w:r>
      <w:proofErr w:type="spellStart"/>
      <w:r>
        <w:rPr>
          <w:i w:val="0"/>
          <w:smallCaps w:val="0"/>
        </w:rPr>
        <w:t>Cons</w:t>
      </w:r>
      <w:proofErr w:type="spellEnd"/>
      <w:r>
        <w:rPr>
          <w:i w:val="0"/>
          <w:smallCaps w:val="0"/>
        </w:rPr>
        <w:t>. Stato, sez. IV, 20 gennaio 2015, n. 143.</w:t>
      </w:r>
    </w:p>
  </w:footnote>
  <w:footnote w:id="124">
    <w:p w:rsidR="00BE7D77" w:rsidRPr="00EE2AEB" w:rsidRDefault="00BE7D77" w:rsidP="00EE2AEB">
      <w:pPr>
        <w:pStyle w:val="Testonotaapidipagina"/>
        <w:jc w:val="both"/>
        <w:rPr>
          <w:i w:val="0"/>
          <w:smallCaps w:val="0"/>
        </w:rPr>
      </w:pPr>
      <w:r w:rsidRPr="00EE2AEB">
        <w:rPr>
          <w:rStyle w:val="Rimandonotaapidipagina"/>
          <w:i w:val="0"/>
          <w:smallCaps w:val="0"/>
        </w:rPr>
        <w:footnoteRef/>
      </w:r>
      <w:r w:rsidRPr="00EE2AEB">
        <w:rPr>
          <w:i w:val="0"/>
          <w:smallCaps w:val="0"/>
        </w:rPr>
        <w:t xml:space="preserve"> </w:t>
      </w:r>
      <w:r>
        <w:rPr>
          <w:i w:val="0"/>
          <w:smallCaps w:val="0"/>
        </w:rPr>
        <w:t>Per l’esattezza, con la legge 17 ottobre 2017, n. 161.</w:t>
      </w:r>
    </w:p>
  </w:footnote>
  <w:footnote w:id="125">
    <w:p w:rsidR="00BE7D77" w:rsidRPr="00EE2AEB" w:rsidRDefault="00BE7D77" w:rsidP="00EE2AEB">
      <w:pPr>
        <w:pStyle w:val="Testonotaapidipagina"/>
        <w:jc w:val="both"/>
        <w:rPr>
          <w:i w:val="0"/>
          <w:smallCaps w:val="0"/>
        </w:rPr>
      </w:pPr>
      <w:r w:rsidRPr="00EE2AEB">
        <w:rPr>
          <w:rStyle w:val="Rimandonotaapidipagina"/>
          <w:i w:val="0"/>
          <w:smallCaps w:val="0"/>
        </w:rPr>
        <w:footnoteRef/>
      </w:r>
      <w:r w:rsidRPr="00EE2AEB">
        <w:rPr>
          <w:i w:val="0"/>
          <w:smallCaps w:val="0"/>
        </w:rPr>
        <w:t xml:space="preserve"> </w:t>
      </w:r>
      <w:r>
        <w:rPr>
          <w:i w:val="0"/>
          <w:smallCaps w:val="0"/>
        </w:rPr>
        <w:t xml:space="preserve">Cfr. </w:t>
      </w:r>
      <w:proofErr w:type="spellStart"/>
      <w:r>
        <w:rPr>
          <w:i w:val="0"/>
          <w:smallCaps w:val="0"/>
        </w:rPr>
        <w:t>Cass</w:t>
      </w:r>
      <w:proofErr w:type="spellEnd"/>
      <w:r>
        <w:rPr>
          <w:i w:val="0"/>
          <w:smallCaps w:val="0"/>
        </w:rPr>
        <w:t xml:space="preserve">. </w:t>
      </w:r>
      <w:proofErr w:type="spellStart"/>
      <w:r>
        <w:rPr>
          <w:i w:val="0"/>
          <w:smallCaps w:val="0"/>
        </w:rPr>
        <w:t>pen</w:t>
      </w:r>
      <w:proofErr w:type="spellEnd"/>
      <w:r>
        <w:rPr>
          <w:i w:val="0"/>
          <w:smallCaps w:val="0"/>
        </w:rPr>
        <w:t xml:space="preserve">., sez. I, 28 gennaio 2021, n. 24678; id., sez. II. 31 maggio 2021, n. 21412. Nello stesso senso è anche la giurisprudenza amministrativa: cfr. </w:t>
      </w:r>
      <w:proofErr w:type="spellStart"/>
      <w:r>
        <w:rPr>
          <w:i w:val="0"/>
          <w:smallCaps w:val="0"/>
        </w:rPr>
        <w:t>Cons</w:t>
      </w:r>
      <w:proofErr w:type="spellEnd"/>
      <w:r>
        <w:rPr>
          <w:i w:val="0"/>
          <w:smallCaps w:val="0"/>
        </w:rPr>
        <w:t>. Stato, sez. V, 10 aprile 2024, n. 3266; id., sez. III, 25 luglio 2022, n. 6566.</w:t>
      </w:r>
    </w:p>
  </w:footnote>
  <w:footnote w:id="126">
    <w:p w:rsidR="00BE7D77" w:rsidRPr="00310F7D" w:rsidRDefault="00BE7D77" w:rsidP="00310F7D">
      <w:pPr>
        <w:pStyle w:val="Testonotaapidipagina"/>
        <w:jc w:val="both"/>
        <w:rPr>
          <w:i w:val="0"/>
          <w:smallCaps w:val="0"/>
        </w:rPr>
      </w:pPr>
      <w:r w:rsidRPr="00310F7D">
        <w:rPr>
          <w:rStyle w:val="Rimandonotaapidipagina"/>
          <w:i w:val="0"/>
          <w:smallCaps w:val="0"/>
        </w:rPr>
        <w:footnoteRef/>
      </w:r>
      <w:r w:rsidRPr="00310F7D">
        <w:rPr>
          <w:i w:val="0"/>
          <w:smallCaps w:val="0"/>
        </w:rPr>
        <w:t xml:space="preserve"> </w:t>
      </w:r>
      <w:r>
        <w:rPr>
          <w:i w:val="0"/>
          <w:smallCaps w:val="0"/>
        </w:rPr>
        <w:t xml:space="preserve">Cfr. </w:t>
      </w:r>
      <w:proofErr w:type="spellStart"/>
      <w:r>
        <w:rPr>
          <w:i w:val="0"/>
          <w:smallCaps w:val="0"/>
        </w:rPr>
        <w:t>Cass</w:t>
      </w:r>
      <w:proofErr w:type="spellEnd"/>
      <w:r>
        <w:rPr>
          <w:i w:val="0"/>
          <w:smallCaps w:val="0"/>
        </w:rPr>
        <w:t xml:space="preserve">. </w:t>
      </w:r>
      <w:proofErr w:type="spellStart"/>
      <w:r>
        <w:rPr>
          <w:i w:val="0"/>
          <w:smallCaps w:val="0"/>
        </w:rPr>
        <w:t>pen</w:t>
      </w:r>
      <w:proofErr w:type="spellEnd"/>
      <w:r>
        <w:rPr>
          <w:i w:val="0"/>
          <w:smallCaps w:val="0"/>
        </w:rPr>
        <w:t>., sez. V, 22 dicembre 2021, n. 46799.</w:t>
      </w:r>
    </w:p>
  </w:footnote>
  <w:footnote w:id="127">
    <w:p w:rsidR="00BE7D77" w:rsidRPr="00016691" w:rsidRDefault="00BE7D77" w:rsidP="00016691">
      <w:pPr>
        <w:pStyle w:val="Testonotaapidipagina"/>
        <w:jc w:val="both"/>
        <w:rPr>
          <w:smallCaps w:val="0"/>
        </w:rPr>
      </w:pPr>
      <w:r w:rsidRPr="00016691">
        <w:rPr>
          <w:rStyle w:val="Rimandonotaapidipagina"/>
          <w:i w:val="0"/>
          <w:smallCaps w:val="0"/>
        </w:rPr>
        <w:footnoteRef/>
      </w:r>
      <w:r w:rsidRPr="00016691">
        <w:rPr>
          <w:i w:val="0"/>
          <w:smallCaps w:val="0"/>
        </w:rPr>
        <w:t xml:space="preserve"> </w:t>
      </w:r>
      <w:r>
        <w:rPr>
          <w:i w:val="0"/>
          <w:smallCaps w:val="0"/>
        </w:rPr>
        <w:t>Parla di un “</w:t>
      </w:r>
      <w:r>
        <w:rPr>
          <w:smallCaps w:val="0"/>
        </w:rPr>
        <w:t>ponte</w:t>
      </w:r>
      <w:r>
        <w:rPr>
          <w:i w:val="0"/>
          <w:smallCaps w:val="0"/>
        </w:rPr>
        <w:t xml:space="preserve">” tra i due istituti (peraltro incompleto) M.A. SANDULLI, </w:t>
      </w:r>
      <w:r>
        <w:rPr>
          <w:smallCaps w:val="0"/>
        </w:rPr>
        <w:t>op. cit.</w:t>
      </w:r>
    </w:p>
  </w:footnote>
  <w:footnote w:id="128">
    <w:p w:rsidR="00BE7D77" w:rsidRPr="00C4598F" w:rsidRDefault="00BE7D77" w:rsidP="00C4598F">
      <w:pPr>
        <w:pStyle w:val="Testonotaapidipagina"/>
        <w:jc w:val="both"/>
        <w:rPr>
          <w:i w:val="0"/>
          <w:smallCaps w:val="0"/>
        </w:rPr>
      </w:pPr>
      <w:r w:rsidRPr="00C4598F">
        <w:rPr>
          <w:rStyle w:val="Rimandonotaapidipagina"/>
          <w:i w:val="0"/>
          <w:smallCaps w:val="0"/>
        </w:rPr>
        <w:footnoteRef/>
      </w:r>
      <w:r w:rsidRPr="00C4598F">
        <w:rPr>
          <w:i w:val="0"/>
          <w:smallCaps w:val="0"/>
        </w:rPr>
        <w:t xml:space="preserve"> </w:t>
      </w:r>
      <w:r>
        <w:rPr>
          <w:i w:val="0"/>
          <w:smallCaps w:val="0"/>
        </w:rPr>
        <w:t xml:space="preserve">Cfr. </w:t>
      </w:r>
      <w:proofErr w:type="spellStart"/>
      <w:r>
        <w:rPr>
          <w:i w:val="0"/>
          <w:smallCaps w:val="0"/>
        </w:rPr>
        <w:t>Cass</w:t>
      </w:r>
      <w:proofErr w:type="spellEnd"/>
      <w:r>
        <w:rPr>
          <w:i w:val="0"/>
          <w:smallCaps w:val="0"/>
        </w:rPr>
        <w:t xml:space="preserve">. </w:t>
      </w:r>
      <w:proofErr w:type="spellStart"/>
      <w:r>
        <w:rPr>
          <w:i w:val="0"/>
          <w:smallCaps w:val="0"/>
        </w:rPr>
        <w:t>pen</w:t>
      </w:r>
      <w:proofErr w:type="spellEnd"/>
      <w:r>
        <w:rPr>
          <w:i w:val="0"/>
          <w:smallCaps w:val="0"/>
        </w:rPr>
        <w:t xml:space="preserve">., sez. II, 2 febbraio 2023, n. 11326; id., sez. VI, 7 luglio 2021, n. 30168; id., 14 ottobre 2020, n. 1590; </w:t>
      </w:r>
      <w:proofErr w:type="spellStart"/>
      <w:r>
        <w:rPr>
          <w:i w:val="0"/>
          <w:smallCaps w:val="0"/>
        </w:rPr>
        <w:t>Cons</w:t>
      </w:r>
      <w:proofErr w:type="spellEnd"/>
      <w:r>
        <w:rPr>
          <w:i w:val="0"/>
          <w:smallCaps w:val="0"/>
        </w:rPr>
        <w:t xml:space="preserve">. Stato, ad. </w:t>
      </w:r>
      <w:proofErr w:type="spellStart"/>
      <w:r>
        <w:rPr>
          <w:i w:val="0"/>
          <w:smallCaps w:val="0"/>
        </w:rPr>
        <w:t>pl</w:t>
      </w:r>
      <w:proofErr w:type="spellEnd"/>
      <w:r>
        <w:rPr>
          <w:i w:val="0"/>
          <w:smallCaps w:val="0"/>
        </w:rPr>
        <w:t>., 13 febbraio 2023, n. 6; id., sez. III, 21 ottobre 2022, n. 9021.</w:t>
      </w:r>
    </w:p>
  </w:footnote>
  <w:footnote w:id="129">
    <w:p w:rsidR="00BE7D77" w:rsidRPr="00802A78" w:rsidRDefault="00BE7D77" w:rsidP="00802A78">
      <w:pPr>
        <w:pStyle w:val="Testonotaapidipagina"/>
        <w:jc w:val="both"/>
        <w:rPr>
          <w:i w:val="0"/>
          <w:smallCaps w:val="0"/>
        </w:rPr>
      </w:pPr>
      <w:r w:rsidRPr="00802A78">
        <w:rPr>
          <w:rStyle w:val="Rimandonotaapidipagina"/>
          <w:i w:val="0"/>
          <w:smallCaps w:val="0"/>
        </w:rPr>
        <w:footnoteRef/>
      </w:r>
      <w:r w:rsidRPr="00802A78">
        <w:rPr>
          <w:i w:val="0"/>
          <w:smallCaps w:val="0"/>
        </w:rPr>
        <w:t xml:space="preserve"> </w:t>
      </w:r>
      <w:r>
        <w:rPr>
          <w:i w:val="0"/>
          <w:smallCaps w:val="0"/>
        </w:rPr>
        <w:t xml:space="preserve">Cfr. </w:t>
      </w:r>
      <w:proofErr w:type="spellStart"/>
      <w:r>
        <w:rPr>
          <w:i w:val="0"/>
          <w:smallCaps w:val="0"/>
        </w:rPr>
        <w:t>Cass</w:t>
      </w:r>
      <w:proofErr w:type="spellEnd"/>
      <w:r>
        <w:rPr>
          <w:i w:val="0"/>
          <w:smallCaps w:val="0"/>
        </w:rPr>
        <w:t xml:space="preserve">. </w:t>
      </w:r>
      <w:proofErr w:type="spellStart"/>
      <w:r>
        <w:rPr>
          <w:i w:val="0"/>
          <w:smallCaps w:val="0"/>
        </w:rPr>
        <w:t>pen</w:t>
      </w:r>
      <w:proofErr w:type="spellEnd"/>
      <w:r>
        <w:rPr>
          <w:i w:val="0"/>
          <w:smallCaps w:val="0"/>
        </w:rPr>
        <w:t>., sez. VI, 7 luglio 2021, n. 30168; id., sez. II, 28 gennaio 2021, n. 9122.</w:t>
      </w:r>
    </w:p>
  </w:footnote>
  <w:footnote w:id="130">
    <w:p w:rsidR="00BE7D77" w:rsidRPr="00252252" w:rsidRDefault="00BE7D77" w:rsidP="00252252">
      <w:pPr>
        <w:pStyle w:val="Testonotaapidipagina"/>
        <w:jc w:val="both"/>
        <w:rPr>
          <w:i w:val="0"/>
          <w:smallCaps w:val="0"/>
        </w:rPr>
      </w:pPr>
      <w:r w:rsidRPr="00252252">
        <w:rPr>
          <w:rStyle w:val="Rimandonotaapidipagina"/>
          <w:i w:val="0"/>
          <w:smallCaps w:val="0"/>
        </w:rPr>
        <w:footnoteRef/>
      </w:r>
      <w:r w:rsidRPr="00252252">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V, n. 3266/2024, cit.; id., sez. III, 3 novembre 2022, n. 9575; id., n. 9021/2021, cit.</w:t>
      </w:r>
    </w:p>
  </w:footnote>
  <w:footnote w:id="131">
    <w:p w:rsidR="00BE7D77" w:rsidRPr="00802A78" w:rsidRDefault="00BE7D77" w:rsidP="00802A78">
      <w:pPr>
        <w:pStyle w:val="Testonotaapidipagina"/>
        <w:jc w:val="both"/>
        <w:rPr>
          <w:i w:val="0"/>
          <w:smallCaps w:val="0"/>
        </w:rPr>
      </w:pPr>
      <w:r w:rsidRPr="00802A78">
        <w:rPr>
          <w:rStyle w:val="Rimandonotaapidipagina"/>
          <w:i w:val="0"/>
          <w:smallCaps w:val="0"/>
        </w:rPr>
        <w:footnoteRef/>
      </w:r>
      <w:r w:rsidRPr="00802A78">
        <w:rPr>
          <w:i w:val="0"/>
          <w:smallCaps w:val="0"/>
        </w:rPr>
        <w:t xml:space="preserve"> </w:t>
      </w:r>
      <w:r>
        <w:rPr>
          <w:i w:val="0"/>
          <w:smallCaps w:val="0"/>
        </w:rPr>
        <w:t xml:space="preserve">Cfr. </w:t>
      </w:r>
      <w:proofErr w:type="spellStart"/>
      <w:r>
        <w:rPr>
          <w:i w:val="0"/>
          <w:smallCaps w:val="0"/>
        </w:rPr>
        <w:t>Cass</w:t>
      </w:r>
      <w:proofErr w:type="spellEnd"/>
      <w:r>
        <w:rPr>
          <w:i w:val="0"/>
          <w:smallCaps w:val="0"/>
        </w:rPr>
        <w:t xml:space="preserve">. </w:t>
      </w:r>
      <w:proofErr w:type="spellStart"/>
      <w:r>
        <w:rPr>
          <w:i w:val="0"/>
          <w:smallCaps w:val="0"/>
        </w:rPr>
        <w:t>pen</w:t>
      </w:r>
      <w:proofErr w:type="spellEnd"/>
      <w:r>
        <w:rPr>
          <w:i w:val="0"/>
          <w:smallCaps w:val="0"/>
        </w:rPr>
        <w:t>., sez. I, 23 novembre 2022, n. 15156; id., sez. II, 17 novembre 2022, n. 2156.</w:t>
      </w:r>
    </w:p>
  </w:footnote>
  <w:footnote w:id="132">
    <w:p w:rsidR="00BE7D77" w:rsidRPr="00802A78" w:rsidRDefault="00BE7D77" w:rsidP="00802A78">
      <w:pPr>
        <w:pStyle w:val="Testonotaapidipagina"/>
        <w:jc w:val="both"/>
        <w:rPr>
          <w:i w:val="0"/>
          <w:smallCaps w:val="0"/>
        </w:rPr>
      </w:pPr>
      <w:r w:rsidRPr="00802A78">
        <w:rPr>
          <w:rStyle w:val="Rimandonotaapidipagina"/>
          <w:i w:val="0"/>
          <w:smallCaps w:val="0"/>
        </w:rPr>
        <w:footnoteRef/>
      </w:r>
      <w:r w:rsidRPr="00802A78">
        <w:rPr>
          <w:i w:val="0"/>
          <w:smallCaps w:val="0"/>
        </w:rPr>
        <w:t xml:space="preserve"> </w:t>
      </w:r>
      <w:r>
        <w:rPr>
          <w:i w:val="0"/>
          <w:smallCaps w:val="0"/>
        </w:rPr>
        <w:t xml:space="preserve">V. </w:t>
      </w:r>
      <w:r>
        <w:rPr>
          <w:smallCaps w:val="0"/>
        </w:rPr>
        <w:t xml:space="preserve">infra, </w:t>
      </w:r>
      <w:r>
        <w:rPr>
          <w:i w:val="0"/>
          <w:smallCaps w:val="0"/>
        </w:rPr>
        <w:t>§ 11.</w:t>
      </w:r>
    </w:p>
  </w:footnote>
  <w:footnote w:id="133">
    <w:p w:rsidR="00BE7D77" w:rsidRPr="00787677" w:rsidRDefault="00BE7D77" w:rsidP="00787677">
      <w:pPr>
        <w:pStyle w:val="Testonotaapidipagina"/>
        <w:jc w:val="both"/>
        <w:rPr>
          <w:i w:val="0"/>
          <w:smallCaps w:val="0"/>
        </w:rPr>
      </w:pPr>
      <w:r w:rsidRPr="00787677">
        <w:rPr>
          <w:rStyle w:val="Rimandonotaapidipagina"/>
          <w:i w:val="0"/>
          <w:smallCaps w:val="0"/>
        </w:rPr>
        <w:footnoteRef/>
      </w:r>
      <w:r w:rsidRPr="00787677">
        <w:rPr>
          <w:i w:val="0"/>
          <w:smallCaps w:val="0"/>
        </w:rPr>
        <w:t xml:space="preserve"> </w:t>
      </w:r>
      <w:proofErr w:type="spellStart"/>
      <w:r>
        <w:rPr>
          <w:i w:val="0"/>
          <w:smallCaps w:val="0"/>
        </w:rPr>
        <w:t>Sent</w:t>
      </w:r>
      <w:proofErr w:type="spellEnd"/>
      <w:r>
        <w:rPr>
          <w:i w:val="0"/>
          <w:smallCaps w:val="0"/>
        </w:rPr>
        <w:t>. 13 febbraio 2023, n. 7.</w:t>
      </w:r>
    </w:p>
  </w:footnote>
  <w:footnote w:id="134">
    <w:p w:rsidR="00BE7D77" w:rsidRPr="004C7ECC" w:rsidRDefault="00BE7D77" w:rsidP="004C7ECC">
      <w:pPr>
        <w:pStyle w:val="Testonotaapidipagina"/>
        <w:jc w:val="both"/>
        <w:rPr>
          <w:i w:val="0"/>
          <w:smallCaps w:val="0"/>
        </w:rPr>
      </w:pPr>
      <w:r w:rsidRPr="004C7ECC">
        <w:rPr>
          <w:rStyle w:val="Rimandonotaapidipagina"/>
          <w:i w:val="0"/>
          <w:smallCaps w:val="0"/>
        </w:rPr>
        <w:footnoteRef/>
      </w:r>
      <w:r w:rsidRPr="004C7ECC">
        <w:rPr>
          <w:i w:val="0"/>
          <w:smallCaps w:val="0"/>
        </w:rPr>
        <w:t xml:space="preserve"> </w:t>
      </w:r>
      <w:r>
        <w:rPr>
          <w:i w:val="0"/>
          <w:smallCaps w:val="0"/>
        </w:rPr>
        <w:t xml:space="preserve">Su cui v. </w:t>
      </w:r>
      <w:r>
        <w:rPr>
          <w:smallCaps w:val="0"/>
        </w:rPr>
        <w:t xml:space="preserve">infra, </w:t>
      </w:r>
      <w:r>
        <w:rPr>
          <w:i w:val="0"/>
          <w:smallCaps w:val="0"/>
        </w:rPr>
        <w:t>§ 11.</w:t>
      </w:r>
    </w:p>
  </w:footnote>
  <w:footnote w:id="135">
    <w:p w:rsidR="00BE7D77" w:rsidRPr="004C7ECC" w:rsidRDefault="00BE7D77" w:rsidP="004C7ECC">
      <w:pPr>
        <w:pStyle w:val="Testonotaapidipagina"/>
        <w:jc w:val="both"/>
        <w:rPr>
          <w:i w:val="0"/>
          <w:smallCaps w:val="0"/>
        </w:rPr>
      </w:pPr>
      <w:r w:rsidRPr="004C7ECC">
        <w:rPr>
          <w:rStyle w:val="Rimandonotaapidipagina"/>
          <w:i w:val="0"/>
          <w:smallCaps w:val="0"/>
        </w:rPr>
        <w:footnoteRef/>
      </w:r>
      <w:r w:rsidRPr="004C7ECC">
        <w:rPr>
          <w:i w:val="0"/>
          <w:smallCaps w:val="0"/>
        </w:rPr>
        <w:t xml:space="preserve"> </w:t>
      </w:r>
      <w:r>
        <w:rPr>
          <w:i w:val="0"/>
          <w:smallCaps w:val="0"/>
        </w:rPr>
        <w:t xml:space="preserve">Cfr. V. MAMELI, </w:t>
      </w:r>
      <w:r>
        <w:rPr>
          <w:smallCaps w:val="0"/>
        </w:rPr>
        <w:t>Gli effetti nel tempo dell’</w:t>
      </w:r>
      <w:proofErr w:type="spellStart"/>
      <w:r>
        <w:rPr>
          <w:smallCaps w:val="0"/>
        </w:rPr>
        <w:t>interdittiva</w:t>
      </w:r>
      <w:proofErr w:type="spellEnd"/>
      <w:r>
        <w:rPr>
          <w:smallCaps w:val="0"/>
        </w:rPr>
        <w:t xml:space="preserve"> e il potere di riesame, </w:t>
      </w:r>
      <w:r>
        <w:rPr>
          <w:i w:val="0"/>
          <w:smallCaps w:val="0"/>
        </w:rPr>
        <w:t xml:space="preserve">in </w:t>
      </w:r>
      <w:r>
        <w:rPr>
          <w:smallCaps w:val="0"/>
        </w:rPr>
        <w:t xml:space="preserve">www.giustizia-amministrativa.it, </w:t>
      </w:r>
      <w:r>
        <w:rPr>
          <w:i w:val="0"/>
          <w:smallCaps w:val="0"/>
        </w:rPr>
        <w:t>16 aprile 2022.</w:t>
      </w:r>
    </w:p>
  </w:footnote>
  <w:footnote w:id="136">
    <w:p w:rsidR="00BE7D77" w:rsidRPr="001B2CDA" w:rsidRDefault="00BE7D77" w:rsidP="001B2CDA">
      <w:pPr>
        <w:pStyle w:val="Testonotaapidipagina"/>
        <w:jc w:val="both"/>
        <w:rPr>
          <w:i w:val="0"/>
          <w:smallCaps w:val="0"/>
        </w:rPr>
      </w:pPr>
      <w:r w:rsidRPr="001B2CDA">
        <w:rPr>
          <w:rStyle w:val="Rimandonotaapidipagina"/>
          <w:i w:val="0"/>
        </w:rPr>
        <w:footnoteRef/>
      </w:r>
      <w:r w:rsidRPr="001B2CDA">
        <w:rPr>
          <w:i w:val="0"/>
        </w:rPr>
        <w:t xml:space="preserve"> </w:t>
      </w:r>
      <w:r>
        <w:rPr>
          <w:i w:val="0"/>
          <w:smallCaps w:val="0"/>
        </w:rPr>
        <w:t>Con una differente soglia minima, essendo in questo caso stabilito che gli obblighi investano tutti i pagamenti di importo superiore ai 5.000,00 euro, in luogo dei 7.000,00 previsti dall’articolo 34-</w:t>
      </w:r>
      <w:r>
        <w:rPr>
          <w:smallCaps w:val="0"/>
        </w:rPr>
        <w:t xml:space="preserve">bis </w:t>
      </w:r>
      <w:r>
        <w:rPr>
          <w:i w:val="0"/>
          <w:smallCaps w:val="0"/>
        </w:rPr>
        <w:t>per il controllo giudiziario.</w:t>
      </w:r>
    </w:p>
  </w:footnote>
  <w:footnote w:id="137">
    <w:p w:rsidR="00BE7D77" w:rsidRPr="00E51FCA" w:rsidRDefault="00BE7D77" w:rsidP="00E51FCA">
      <w:pPr>
        <w:pStyle w:val="Testonotaapidipagina"/>
        <w:jc w:val="both"/>
        <w:rPr>
          <w:smallCaps w:val="0"/>
        </w:rPr>
      </w:pPr>
      <w:r w:rsidRPr="00E51FCA">
        <w:rPr>
          <w:rStyle w:val="Rimandonotaapidipagina"/>
          <w:i w:val="0"/>
          <w:smallCaps w:val="0"/>
        </w:rPr>
        <w:footnoteRef/>
      </w:r>
      <w:r w:rsidRPr="00E51FCA">
        <w:rPr>
          <w:i w:val="0"/>
          <w:smallCaps w:val="0"/>
        </w:rPr>
        <w:t xml:space="preserve"> </w:t>
      </w:r>
      <w:r>
        <w:rPr>
          <w:i w:val="0"/>
          <w:smallCaps w:val="0"/>
        </w:rPr>
        <w:t xml:space="preserve">Così G. VELTRI, </w:t>
      </w:r>
      <w:r>
        <w:rPr>
          <w:smallCaps w:val="0"/>
        </w:rPr>
        <w:t>op. cit.</w:t>
      </w:r>
    </w:p>
  </w:footnote>
  <w:footnote w:id="138">
    <w:p w:rsidR="00BE7D77" w:rsidRPr="00E51FCA" w:rsidRDefault="00BE7D77" w:rsidP="00E51FCA">
      <w:pPr>
        <w:pStyle w:val="Testonotaapidipagina"/>
        <w:jc w:val="both"/>
        <w:rPr>
          <w:i w:val="0"/>
          <w:smallCaps w:val="0"/>
        </w:rPr>
      </w:pPr>
      <w:r w:rsidRPr="00E51FCA">
        <w:rPr>
          <w:rStyle w:val="Rimandonotaapidipagina"/>
          <w:i w:val="0"/>
          <w:smallCaps w:val="0"/>
        </w:rPr>
        <w:footnoteRef/>
      </w:r>
      <w:r w:rsidRPr="00E51FCA">
        <w:rPr>
          <w:i w:val="0"/>
          <w:smallCaps w:val="0"/>
        </w:rPr>
        <w:t xml:space="preserve"> </w:t>
      </w:r>
      <w:r>
        <w:rPr>
          <w:i w:val="0"/>
          <w:smallCaps w:val="0"/>
        </w:rPr>
        <w:t xml:space="preserve">V. </w:t>
      </w:r>
      <w:proofErr w:type="spellStart"/>
      <w:r>
        <w:rPr>
          <w:smallCaps w:val="0"/>
        </w:rPr>
        <w:t>supra</w:t>
      </w:r>
      <w:proofErr w:type="spellEnd"/>
      <w:r>
        <w:rPr>
          <w:smallCaps w:val="0"/>
        </w:rPr>
        <w:t xml:space="preserve">, </w:t>
      </w:r>
      <w:r>
        <w:rPr>
          <w:i w:val="0"/>
          <w:smallCaps w:val="0"/>
        </w:rPr>
        <w:t>§ 8.2.</w:t>
      </w:r>
    </w:p>
  </w:footnote>
  <w:footnote w:id="139">
    <w:p w:rsidR="00BE7D77" w:rsidRPr="00E51FCA" w:rsidRDefault="00BE7D77" w:rsidP="00E51FCA">
      <w:pPr>
        <w:pStyle w:val="Testonotaapidipagina"/>
        <w:jc w:val="both"/>
        <w:rPr>
          <w:smallCaps w:val="0"/>
        </w:rPr>
      </w:pPr>
      <w:r w:rsidRPr="00E51FCA">
        <w:rPr>
          <w:rStyle w:val="Rimandonotaapidipagina"/>
          <w:i w:val="0"/>
          <w:smallCaps w:val="0"/>
        </w:rPr>
        <w:footnoteRef/>
      </w:r>
      <w:r w:rsidRPr="00E51FCA">
        <w:rPr>
          <w:i w:val="0"/>
          <w:smallCaps w:val="0"/>
        </w:rPr>
        <w:t xml:space="preserve"> </w:t>
      </w:r>
      <w:r>
        <w:rPr>
          <w:i w:val="0"/>
          <w:smallCaps w:val="0"/>
        </w:rPr>
        <w:t xml:space="preserve">Sul punto, cfr. F. GATTO, </w:t>
      </w:r>
      <w:r>
        <w:rPr>
          <w:smallCaps w:val="0"/>
        </w:rPr>
        <w:t>op. cit.</w:t>
      </w:r>
    </w:p>
  </w:footnote>
  <w:footnote w:id="140">
    <w:p w:rsidR="00BE7D77" w:rsidRPr="007419F5" w:rsidRDefault="00BE7D77" w:rsidP="007419F5">
      <w:pPr>
        <w:pStyle w:val="Testonotaapidipagina"/>
        <w:jc w:val="both"/>
        <w:rPr>
          <w:i w:val="0"/>
          <w:smallCaps w:val="0"/>
        </w:rPr>
      </w:pPr>
      <w:r w:rsidRPr="007419F5">
        <w:rPr>
          <w:rStyle w:val="Rimandonotaapidipagina"/>
          <w:i w:val="0"/>
          <w:smallCaps w:val="0"/>
        </w:rPr>
        <w:footnoteRef/>
      </w:r>
      <w:r w:rsidRPr="007419F5">
        <w:rPr>
          <w:i w:val="0"/>
          <w:smallCaps w:val="0"/>
        </w:rPr>
        <w:t xml:space="preserve"> </w:t>
      </w:r>
      <w:r>
        <w:rPr>
          <w:i w:val="0"/>
          <w:smallCaps w:val="0"/>
        </w:rPr>
        <w:t xml:space="preserve">Per un primo esempio, cfr. </w:t>
      </w:r>
      <w:proofErr w:type="spellStart"/>
      <w:r>
        <w:rPr>
          <w:i w:val="0"/>
          <w:smallCaps w:val="0"/>
        </w:rPr>
        <w:t>Cons</w:t>
      </w:r>
      <w:proofErr w:type="spellEnd"/>
      <w:r>
        <w:rPr>
          <w:i w:val="0"/>
          <w:smallCaps w:val="0"/>
        </w:rPr>
        <w:t>. Stato, sez. III, 25 luglio 2023, n. 7279.</w:t>
      </w:r>
    </w:p>
  </w:footnote>
  <w:footnote w:id="141">
    <w:p w:rsidR="00BE7D77" w:rsidRPr="00310F7D" w:rsidRDefault="00BE7D77" w:rsidP="00310F7D">
      <w:pPr>
        <w:pStyle w:val="Testonotaapidipagina"/>
        <w:jc w:val="both"/>
        <w:rPr>
          <w:i w:val="0"/>
          <w:smallCaps w:val="0"/>
        </w:rPr>
      </w:pPr>
      <w:r w:rsidRPr="00310F7D">
        <w:rPr>
          <w:rStyle w:val="Rimandonotaapidipagina"/>
          <w:i w:val="0"/>
          <w:smallCaps w:val="0"/>
        </w:rPr>
        <w:footnoteRef/>
      </w:r>
      <w:r w:rsidRPr="00310F7D">
        <w:rPr>
          <w:i w:val="0"/>
          <w:smallCaps w:val="0"/>
        </w:rPr>
        <w:t xml:space="preserve"> </w:t>
      </w:r>
      <w:r>
        <w:rPr>
          <w:i w:val="0"/>
          <w:smallCaps w:val="0"/>
        </w:rPr>
        <w:t xml:space="preserve">In questo senso sono orientate le prime pronunce che si sono occupate </w:t>
      </w:r>
      <w:proofErr w:type="spellStart"/>
      <w:r>
        <w:rPr>
          <w:smallCaps w:val="0"/>
        </w:rPr>
        <w:t>funditus</w:t>
      </w:r>
      <w:proofErr w:type="spellEnd"/>
      <w:r>
        <w:rPr>
          <w:smallCaps w:val="0"/>
        </w:rPr>
        <w:t xml:space="preserve"> </w:t>
      </w:r>
      <w:r>
        <w:rPr>
          <w:i w:val="0"/>
          <w:smallCaps w:val="0"/>
        </w:rPr>
        <w:t>della questione: cfr. Tar Campania, Napoli, sez. I, 20 settembre 2023, n. 5152; id., 23 maggio 2023, n. 3125.</w:t>
      </w:r>
    </w:p>
  </w:footnote>
  <w:footnote w:id="142">
    <w:p w:rsidR="00BE7D77" w:rsidRPr="00310F7D" w:rsidRDefault="00BE7D77" w:rsidP="00310F7D">
      <w:pPr>
        <w:pStyle w:val="Testonotaapidipagina"/>
        <w:jc w:val="both"/>
        <w:rPr>
          <w:i w:val="0"/>
          <w:smallCaps w:val="0"/>
        </w:rPr>
      </w:pPr>
      <w:r w:rsidRPr="00310F7D">
        <w:rPr>
          <w:rStyle w:val="Rimandonotaapidipagina"/>
          <w:i w:val="0"/>
          <w:smallCaps w:val="0"/>
        </w:rPr>
        <w:footnoteRef/>
      </w:r>
      <w:r w:rsidRPr="00310F7D">
        <w:rPr>
          <w:i w:val="0"/>
          <w:smallCaps w:val="0"/>
        </w:rPr>
        <w:t xml:space="preserve"> </w:t>
      </w:r>
      <w:r>
        <w:rPr>
          <w:i w:val="0"/>
          <w:smallCaps w:val="0"/>
        </w:rPr>
        <w:t xml:space="preserve">V. </w:t>
      </w:r>
      <w:proofErr w:type="spellStart"/>
      <w:r>
        <w:rPr>
          <w:smallCaps w:val="0"/>
        </w:rPr>
        <w:t>supra</w:t>
      </w:r>
      <w:proofErr w:type="spellEnd"/>
      <w:r>
        <w:rPr>
          <w:smallCaps w:val="0"/>
        </w:rPr>
        <w:t xml:space="preserve">, </w:t>
      </w:r>
      <w:r>
        <w:rPr>
          <w:i w:val="0"/>
          <w:smallCaps w:val="0"/>
        </w:rPr>
        <w:t>§ 9.2.</w:t>
      </w:r>
    </w:p>
  </w:footnote>
  <w:footnote w:id="143">
    <w:p w:rsidR="00BE7D77" w:rsidRPr="00622920" w:rsidRDefault="00BE7D77" w:rsidP="00622920">
      <w:pPr>
        <w:pStyle w:val="Testonotaapidipagina"/>
        <w:jc w:val="both"/>
        <w:rPr>
          <w:i w:val="0"/>
          <w:smallCaps w:val="0"/>
        </w:rPr>
      </w:pPr>
      <w:r w:rsidRPr="00622920">
        <w:rPr>
          <w:rStyle w:val="Rimandonotaapidipagina"/>
          <w:i w:val="0"/>
          <w:smallCaps w:val="0"/>
        </w:rPr>
        <w:footnoteRef/>
      </w:r>
      <w:r w:rsidRPr="00622920">
        <w:rPr>
          <w:i w:val="0"/>
          <w:smallCaps w:val="0"/>
        </w:rPr>
        <w:t xml:space="preserve"> </w:t>
      </w:r>
      <w:r>
        <w:rPr>
          <w:i w:val="0"/>
          <w:smallCaps w:val="0"/>
        </w:rPr>
        <w:t xml:space="preserve">Cfr. G. VELTRI, </w:t>
      </w:r>
      <w:r>
        <w:rPr>
          <w:smallCaps w:val="0"/>
        </w:rPr>
        <w:t xml:space="preserve">op. cit., </w:t>
      </w:r>
      <w:r>
        <w:rPr>
          <w:i w:val="0"/>
          <w:smallCaps w:val="0"/>
        </w:rPr>
        <w:t>il quale ipotizza, al fine di una razionalizzazione del sistema, l’eliminazione del “</w:t>
      </w:r>
      <w:r>
        <w:rPr>
          <w:smallCaps w:val="0"/>
        </w:rPr>
        <w:t>ponte</w:t>
      </w:r>
      <w:r>
        <w:rPr>
          <w:i w:val="0"/>
          <w:smallCaps w:val="0"/>
        </w:rPr>
        <w:t>” che finora ha collegato i due diversi istituti di prevenzione (senza peraltro chiarire se ciò dovrebbe comportare una revisione delle competenze giudiziarie/amministrative ovvero del riparto della giurisdizione in materia).</w:t>
      </w:r>
    </w:p>
  </w:footnote>
  <w:footnote w:id="144">
    <w:p w:rsidR="00BE7D77" w:rsidRPr="00795A4E" w:rsidRDefault="00BE7D77" w:rsidP="00795A4E">
      <w:pPr>
        <w:pStyle w:val="Testonotaapidipagina"/>
        <w:jc w:val="both"/>
        <w:rPr>
          <w:i w:val="0"/>
          <w:smallCaps w:val="0"/>
        </w:rPr>
      </w:pPr>
      <w:r w:rsidRPr="00795A4E">
        <w:rPr>
          <w:rStyle w:val="Rimandonotaapidipagina"/>
          <w:i w:val="0"/>
          <w:smallCaps w:val="0"/>
        </w:rPr>
        <w:footnoteRef/>
      </w:r>
      <w:r w:rsidRPr="00795A4E">
        <w:rPr>
          <w:i w:val="0"/>
          <w:smallCaps w:val="0"/>
        </w:rPr>
        <w:t xml:space="preserve"> </w:t>
      </w:r>
      <w:r>
        <w:rPr>
          <w:i w:val="0"/>
          <w:smallCaps w:val="0"/>
        </w:rPr>
        <w:t xml:space="preserve">V. </w:t>
      </w:r>
      <w:proofErr w:type="spellStart"/>
      <w:r>
        <w:rPr>
          <w:smallCaps w:val="0"/>
        </w:rPr>
        <w:t>supra</w:t>
      </w:r>
      <w:proofErr w:type="spellEnd"/>
      <w:r>
        <w:rPr>
          <w:smallCaps w:val="0"/>
        </w:rPr>
        <w:t xml:space="preserve">, </w:t>
      </w:r>
      <w:r>
        <w:rPr>
          <w:i w:val="0"/>
          <w:smallCaps w:val="0"/>
        </w:rPr>
        <w:t>§ 3.</w:t>
      </w:r>
    </w:p>
  </w:footnote>
  <w:footnote w:id="145">
    <w:p w:rsidR="00BE7D77" w:rsidRPr="00DF310A" w:rsidRDefault="00BE7D77" w:rsidP="00DF310A">
      <w:pPr>
        <w:pStyle w:val="Testonotaapidipagina"/>
        <w:jc w:val="both"/>
        <w:rPr>
          <w:i w:val="0"/>
          <w:smallCaps w:val="0"/>
        </w:rPr>
      </w:pPr>
      <w:r w:rsidRPr="00DF310A">
        <w:rPr>
          <w:rStyle w:val="Rimandonotaapidipagina"/>
          <w:i w:val="0"/>
          <w:smallCaps w:val="0"/>
        </w:rPr>
        <w:footnoteRef/>
      </w:r>
      <w:r w:rsidRPr="00DF310A">
        <w:rPr>
          <w:i w:val="0"/>
          <w:smallCaps w:val="0"/>
        </w:rPr>
        <w:t xml:space="preserve"> </w:t>
      </w:r>
      <w:r>
        <w:rPr>
          <w:i w:val="0"/>
          <w:smallCaps w:val="0"/>
        </w:rPr>
        <w:t xml:space="preserve">In generale, sulle misure antimafia come causa di esclusione dalle procedure di evidenza pubblica, cfr. G. CORSO – G. PESCE, </w:t>
      </w:r>
      <w:r>
        <w:rPr>
          <w:smallCaps w:val="0"/>
        </w:rPr>
        <w:t xml:space="preserve">Requisiti generali: in particolare la normativa antimafia, </w:t>
      </w:r>
      <w:r>
        <w:rPr>
          <w:i w:val="0"/>
          <w:smallCaps w:val="0"/>
        </w:rPr>
        <w:t xml:space="preserve">in M.A. SANDULLI- R. DE NICTOLIS, </w:t>
      </w:r>
      <w:r>
        <w:rPr>
          <w:smallCaps w:val="0"/>
        </w:rPr>
        <w:t xml:space="preserve">Trattato sui contratti pubblici, </w:t>
      </w:r>
      <w:r>
        <w:rPr>
          <w:i w:val="0"/>
          <w:smallCaps w:val="0"/>
        </w:rPr>
        <w:t>vol. II, cit., pp. 913 ss.</w:t>
      </w:r>
    </w:p>
  </w:footnote>
  <w:footnote w:id="146">
    <w:p w:rsidR="00BE7D77" w:rsidRPr="004225F2" w:rsidRDefault="00BE7D77" w:rsidP="004225F2">
      <w:pPr>
        <w:pStyle w:val="Testonotaapidipagina"/>
        <w:jc w:val="both"/>
        <w:rPr>
          <w:i w:val="0"/>
          <w:smallCaps w:val="0"/>
        </w:rPr>
      </w:pPr>
      <w:r w:rsidRPr="004225F2">
        <w:rPr>
          <w:rStyle w:val="Rimandonotaapidipagina"/>
          <w:i w:val="0"/>
          <w:smallCaps w:val="0"/>
        </w:rPr>
        <w:footnoteRef/>
      </w:r>
      <w:r w:rsidRPr="004225F2">
        <w:rPr>
          <w:i w:val="0"/>
          <w:smallCaps w:val="0"/>
        </w:rPr>
        <w:t xml:space="preserve"> </w:t>
      </w:r>
      <w:r>
        <w:rPr>
          <w:i w:val="0"/>
          <w:smallCaps w:val="0"/>
        </w:rPr>
        <w:t xml:space="preserve">Cfr. C. VILLANACCI, </w:t>
      </w:r>
      <w:r>
        <w:rPr>
          <w:smallCaps w:val="0"/>
        </w:rPr>
        <w:t>Gli effetti civilistici dell’</w:t>
      </w:r>
      <w:proofErr w:type="spellStart"/>
      <w:r>
        <w:rPr>
          <w:smallCaps w:val="0"/>
        </w:rPr>
        <w:t>interdittiva</w:t>
      </w:r>
      <w:proofErr w:type="spellEnd"/>
      <w:r>
        <w:rPr>
          <w:smallCaps w:val="0"/>
        </w:rPr>
        <w:t xml:space="preserve"> antimafia, </w:t>
      </w:r>
      <w:r>
        <w:rPr>
          <w:i w:val="0"/>
          <w:smallCaps w:val="0"/>
        </w:rPr>
        <w:t xml:space="preserve">in </w:t>
      </w:r>
      <w:r>
        <w:rPr>
          <w:smallCaps w:val="0"/>
        </w:rPr>
        <w:t xml:space="preserve">www.giustizia-amministrativa.it, </w:t>
      </w:r>
      <w:r>
        <w:rPr>
          <w:i w:val="0"/>
          <w:smallCaps w:val="0"/>
        </w:rPr>
        <w:t xml:space="preserve">3 dicembre 2020. In giurisprudenza: </w:t>
      </w:r>
      <w:proofErr w:type="spellStart"/>
      <w:r>
        <w:rPr>
          <w:i w:val="0"/>
          <w:smallCaps w:val="0"/>
        </w:rPr>
        <w:t>Cons</w:t>
      </w:r>
      <w:proofErr w:type="spellEnd"/>
      <w:r>
        <w:rPr>
          <w:i w:val="0"/>
          <w:smallCaps w:val="0"/>
        </w:rPr>
        <w:t>. Stato, sez. III, 3 marzo 2021, n. 1827.</w:t>
      </w:r>
    </w:p>
  </w:footnote>
  <w:footnote w:id="147">
    <w:p w:rsidR="00BE7D77" w:rsidRPr="005E1DE5" w:rsidRDefault="00BE7D77" w:rsidP="004225F2">
      <w:pPr>
        <w:pStyle w:val="Testonotaapidipagina"/>
        <w:jc w:val="both"/>
        <w:rPr>
          <w:i w:val="0"/>
          <w:smallCaps w:val="0"/>
        </w:rPr>
      </w:pPr>
      <w:r w:rsidRPr="004225F2">
        <w:rPr>
          <w:rStyle w:val="Rimandonotaapidipagina"/>
          <w:i w:val="0"/>
          <w:smallCaps w:val="0"/>
        </w:rPr>
        <w:footnoteRef/>
      </w:r>
      <w:r w:rsidRPr="004225F2">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ad. </w:t>
      </w:r>
      <w:proofErr w:type="spellStart"/>
      <w:r>
        <w:rPr>
          <w:i w:val="0"/>
          <w:smallCaps w:val="0"/>
        </w:rPr>
        <w:t>pl</w:t>
      </w:r>
      <w:proofErr w:type="spellEnd"/>
      <w:r>
        <w:rPr>
          <w:i w:val="0"/>
          <w:smallCaps w:val="0"/>
        </w:rPr>
        <w:t xml:space="preserve">., 6 aprile 2018, n. 3; id., sez. VI, 26 luglio 2023, n. 7317; id., sez. V, 16 giugno 2023, n. 5968; id., sez. III, 30 giugno 2022, n. 5462; id., 6 giugno 2022, n. 4616; id., sez. V, 20 agosto 2017, n. 4680; id., sez. IV, 20 luglio 2016, n. 3247; </w:t>
      </w:r>
      <w:proofErr w:type="spellStart"/>
      <w:r>
        <w:rPr>
          <w:i w:val="0"/>
          <w:smallCaps w:val="0"/>
        </w:rPr>
        <w:t>C.g.a.r.s</w:t>
      </w:r>
      <w:proofErr w:type="spellEnd"/>
      <w:r>
        <w:rPr>
          <w:i w:val="0"/>
          <w:smallCaps w:val="0"/>
        </w:rPr>
        <w:t xml:space="preserve">., 8 febbraio 2016, n. 34. La dottrina civilistica è divisa sulla possibilità di configurare un’incapacità giuridica speciale: in tema, con ulteriori richiami, cfr. C. VILLANACCI, </w:t>
      </w:r>
      <w:r>
        <w:rPr>
          <w:smallCaps w:val="0"/>
        </w:rPr>
        <w:t>op. cit.</w:t>
      </w:r>
    </w:p>
  </w:footnote>
  <w:footnote w:id="148">
    <w:p w:rsidR="00BE7D77" w:rsidRPr="005E1DE5" w:rsidRDefault="00BE7D77" w:rsidP="005E1DE5">
      <w:pPr>
        <w:pStyle w:val="Testonotaapidipagina"/>
        <w:jc w:val="both"/>
        <w:rPr>
          <w:i w:val="0"/>
          <w:smallCaps w:val="0"/>
        </w:rPr>
      </w:pPr>
      <w:r w:rsidRPr="005E1DE5">
        <w:rPr>
          <w:rStyle w:val="Rimandonotaapidipagina"/>
          <w:i w:val="0"/>
        </w:rPr>
        <w:footnoteRef/>
      </w:r>
      <w:r w:rsidRPr="005E1DE5">
        <w:rPr>
          <w:i w:val="0"/>
        </w:rPr>
        <w:t xml:space="preserve"> </w:t>
      </w:r>
      <w:r>
        <w:rPr>
          <w:i w:val="0"/>
          <w:smallCaps w:val="0"/>
        </w:rPr>
        <w:t xml:space="preserve">Cfr. </w:t>
      </w:r>
      <w:proofErr w:type="spellStart"/>
      <w:r>
        <w:rPr>
          <w:i w:val="0"/>
          <w:smallCaps w:val="0"/>
        </w:rPr>
        <w:t>Cons</w:t>
      </w:r>
      <w:proofErr w:type="spellEnd"/>
      <w:r>
        <w:rPr>
          <w:i w:val="0"/>
          <w:smallCaps w:val="0"/>
        </w:rPr>
        <w:t>. Stato, sez. III, 20 gennaio 2020, n. 452.</w:t>
      </w:r>
    </w:p>
  </w:footnote>
  <w:footnote w:id="149">
    <w:p w:rsidR="00BE7D77" w:rsidRPr="00895085" w:rsidRDefault="00BE7D77" w:rsidP="00895085">
      <w:pPr>
        <w:pStyle w:val="Testonotaapidipagina"/>
        <w:jc w:val="both"/>
        <w:rPr>
          <w:i w:val="0"/>
          <w:smallCaps w:val="0"/>
        </w:rPr>
      </w:pPr>
      <w:r w:rsidRPr="00895085">
        <w:rPr>
          <w:rStyle w:val="Rimandonotaapidipagina"/>
          <w:i w:val="0"/>
          <w:smallCaps w:val="0"/>
        </w:rPr>
        <w:footnoteRef/>
      </w:r>
      <w:r w:rsidRPr="00895085">
        <w:rPr>
          <w:i w:val="0"/>
          <w:smallCaps w:val="0"/>
        </w:rPr>
        <w:t xml:space="preserve"> </w:t>
      </w:r>
      <w:r>
        <w:rPr>
          <w:i w:val="0"/>
          <w:smallCaps w:val="0"/>
        </w:rPr>
        <w:t xml:space="preserve">La disposizione richiamata nel testo ha dato copertura a una prassi da tempo varata dal Ministero dell’interno, in relazione alla quale però la giurisprudenza ne ha affermato l’inidoneità a consentire il rilascio di un’informativa antimafia su richiesta di un soggetto privato, in contrasto con quanto all’epoca tassativamente stabilito dall’articolo 83 del Codice antimafia: cfr. </w:t>
      </w:r>
      <w:proofErr w:type="spellStart"/>
      <w:r>
        <w:rPr>
          <w:i w:val="0"/>
          <w:smallCaps w:val="0"/>
        </w:rPr>
        <w:t>Cons</w:t>
      </w:r>
      <w:proofErr w:type="spellEnd"/>
      <w:r>
        <w:rPr>
          <w:i w:val="0"/>
          <w:smallCaps w:val="0"/>
        </w:rPr>
        <w:t>. Stato, sez. III, 20 gennaio 2020, n. 452.</w:t>
      </w:r>
    </w:p>
  </w:footnote>
  <w:footnote w:id="150">
    <w:p w:rsidR="00BE7D77" w:rsidRPr="009D76D2" w:rsidRDefault="00BE7D77" w:rsidP="009D76D2">
      <w:pPr>
        <w:pStyle w:val="Testonotaapidipagina"/>
        <w:jc w:val="both"/>
        <w:rPr>
          <w:i w:val="0"/>
          <w:smallCaps w:val="0"/>
        </w:rPr>
      </w:pPr>
      <w:r w:rsidRPr="009D76D2">
        <w:rPr>
          <w:rStyle w:val="Rimandonotaapidipagina"/>
          <w:i w:val="0"/>
          <w:smallCaps w:val="0"/>
        </w:rPr>
        <w:footnoteRef/>
      </w:r>
      <w:r w:rsidRPr="009D76D2">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sez. V, 16 giugno 2023, n. 5968; id., sez. III, 30 settembre 2022, n. 8432; id., 2 febbraio 2021, n. 957; id., 24 marzo 2020, n. 2064; </w:t>
      </w:r>
      <w:proofErr w:type="spellStart"/>
      <w:r>
        <w:rPr>
          <w:i w:val="0"/>
          <w:smallCaps w:val="0"/>
        </w:rPr>
        <w:t>C.g.a.r.s</w:t>
      </w:r>
      <w:proofErr w:type="spellEnd"/>
      <w:r>
        <w:rPr>
          <w:i w:val="0"/>
          <w:smallCaps w:val="0"/>
        </w:rPr>
        <w:t>., 25 maggio 2023, n. 368.</w:t>
      </w:r>
    </w:p>
  </w:footnote>
  <w:footnote w:id="151">
    <w:p w:rsidR="00BE7D77" w:rsidRPr="00103904" w:rsidRDefault="00BE7D77" w:rsidP="009D76D2">
      <w:pPr>
        <w:pStyle w:val="Testonotaapidipagina"/>
        <w:jc w:val="both"/>
        <w:rPr>
          <w:i w:val="0"/>
          <w:smallCaps w:val="0"/>
        </w:rPr>
      </w:pPr>
      <w:r w:rsidRPr="009D76D2">
        <w:rPr>
          <w:rStyle w:val="Rimandonotaapidipagina"/>
          <w:i w:val="0"/>
        </w:rPr>
        <w:footnoteRef/>
      </w:r>
      <w:r w:rsidRPr="009D76D2">
        <w:rPr>
          <w:i w:val="0"/>
        </w:rPr>
        <w:t xml:space="preserve"> </w:t>
      </w:r>
      <w:r>
        <w:rPr>
          <w:i w:val="0"/>
          <w:smallCaps w:val="0"/>
        </w:rPr>
        <w:t xml:space="preserve">Cfr. </w:t>
      </w:r>
      <w:proofErr w:type="spellStart"/>
      <w:r>
        <w:rPr>
          <w:i w:val="0"/>
          <w:smallCaps w:val="0"/>
        </w:rPr>
        <w:t>Cons</w:t>
      </w:r>
      <w:proofErr w:type="spellEnd"/>
      <w:r>
        <w:rPr>
          <w:i w:val="0"/>
          <w:smallCaps w:val="0"/>
        </w:rPr>
        <w:t xml:space="preserve">. Stato, sez. V, 6 ottobre 2022, n. 8558; id., 4 giugno 2021, n. 4293; id., 4 marzo 2019, n. 1500; id., 3 marzo 2018, n. 4807; </w:t>
      </w:r>
      <w:proofErr w:type="spellStart"/>
      <w:r>
        <w:rPr>
          <w:i w:val="0"/>
          <w:smallCaps w:val="0"/>
        </w:rPr>
        <w:t>C.g.a.r.s</w:t>
      </w:r>
      <w:proofErr w:type="spellEnd"/>
      <w:r>
        <w:rPr>
          <w:i w:val="0"/>
          <w:smallCaps w:val="0"/>
        </w:rPr>
        <w:t xml:space="preserve">., 8 marzo 2022, n. 294; id., 30 marzo 2020, n. 223. Con riferimento al recupero (ritenuto doveroso) dei contributi erogati a favore di un’impresa che successivamente risulti raggiunta da </w:t>
      </w:r>
      <w:proofErr w:type="spellStart"/>
      <w:r>
        <w:rPr>
          <w:i w:val="0"/>
          <w:smallCaps w:val="0"/>
        </w:rPr>
        <w:t>interdittiva</w:t>
      </w:r>
      <w:proofErr w:type="spellEnd"/>
      <w:r>
        <w:rPr>
          <w:i w:val="0"/>
          <w:smallCaps w:val="0"/>
        </w:rPr>
        <w:t xml:space="preserve"> antimafia, esula dai limiti della presente trattazione l’approfondimento delle questioni problematiche connesse all’inquadramento di tale potere nell’ambito dell’autotutela ed alla conseguente applicabilità dei limiti e delle condizioni al riguardo previsti dall’attuale legislazione: sul punto, in via generale, cfr. M. SINISI, </w:t>
      </w:r>
      <w:r>
        <w:rPr>
          <w:smallCaps w:val="0"/>
        </w:rPr>
        <w:t xml:space="preserve">Il potere di autotutela </w:t>
      </w:r>
      <w:proofErr w:type="spellStart"/>
      <w:r>
        <w:rPr>
          <w:smallCaps w:val="0"/>
        </w:rPr>
        <w:t>caducatoria</w:t>
      </w:r>
      <w:proofErr w:type="spellEnd"/>
      <w:r>
        <w:rPr>
          <w:smallCaps w:val="0"/>
        </w:rPr>
        <w:t xml:space="preserve">, </w:t>
      </w:r>
      <w:r>
        <w:rPr>
          <w:i w:val="0"/>
          <w:smallCaps w:val="0"/>
        </w:rPr>
        <w:t xml:space="preserve">in M.A. SANDULLI (a cura di), </w:t>
      </w:r>
      <w:r>
        <w:rPr>
          <w:smallCaps w:val="0"/>
        </w:rPr>
        <w:t xml:space="preserve">Principi e regole dell’azione amministrativa, </w:t>
      </w:r>
      <w:r>
        <w:rPr>
          <w:i w:val="0"/>
          <w:smallCaps w:val="0"/>
        </w:rPr>
        <w:t>Milano, 2023, pp. 564-565.</w:t>
      </w:r>
    </w:p>
  </w:footnote>
  <w:footnote w:id="152">
    <w:p w:rsidR="00BE7D77" w:rsidRPr="003441AB" w:rsidRDefault="00BE7D77" w:rsidP="00103904">
      <w:pPr>
        <w:pStyle w:val="Testonotaapidipagina"/>
        <w:jc w:val="both"/>
        <w:rPr>
          <w:i w:val="0"/>
          <w:smallCaps w:val="0"/>
        </w:rPr>
      </w:pPr>
      <w:r w:rsidRPr="00103904">
        <w:rPr>
          <w:rStyle w:val="Rimandonotaapidipagina"/>
          <w:i w:val="0"/>
          <w:smallCaps w:val="0"/>
        </w:rPr>
        <w:footnoteRef/>
      </w:r>
      <w:r w:rsidRPr="00103904">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ad. </w:t>
      </w:r>
      <w:proofErr w:type="spellStart"/>
      <w:r>
        <w:rPr>
          <w:i w:val="0"/>
          <w:smallCaps w:val="0"/>
        </w:rPr>
        <w:t>pl</w:t>
      </w:r>
      <w:proofErr w:type="spellEnd"/>
      <w:r>
        <w:rPr>
          <w:i w:val="0"/>
          <w:smallCaps w:val="0"/>
        </w:rPr>
        <w:t xml:space="preserve">., 6 aprile 2018, n. 3, in cui il problema dell’intangibilità del giudicato (nella specie, formatosi in epoca anteriore al sopravvenire della misura </w:t>
      </w:r>
      <w:proofErr w:type="spellStart"/>
      <w:r>
        <w:rPr>
          <w:i w:val="0"/>
          <w:smallCaps w:val="0"/>
        </w:rPr>
        <w:t>interdittiva</w:t>
      </w:r>
      <w:proofErr w:type="spellEnd"/>
      <w:r>
        <w:rPr>
          <w:i w:val="0"/>
          <w:smallCaps w:val="0"/>
        </w:rPr>
        <w:t xml:space="preserve">) è stato ritenuto inconferente, proprio in ragione dell’impedimento determinato da una sopravvenuta incapacità del beneficiario di riscuotere il credito. Per le critiche della dottrina civilistica alla soluzione della Plenaria, cfr. C. VILLANACCI, </w:t>
      </w:r>
      <w:r>
        <w:rPr>
          <w:smallCaps w:val="0"/>
        </w:rPr>
        <w:t xml:space="preserve">op. cit. </w:t>
      </w:r>
      <w:r>
        <w:rPr>
          <w:i w:val="0"/>
          <w:smallCaps w:val="0"/>
        </w:rPr>
        <w:t xml:space="preserve">Cfr. anche </w:t>
      </w:r>
      <w:proofErr w:type="spellStart"/>
      <w:r>
        <w:rPr>
          <w:i w:val="0"/>
          <w:smallCaps w:val="0"/>
        </w:rPr>
        <w:t>Cons</w:t>
      </w:r>
      <w:proofErr w:type="spellEnd"/>
      <w:r>
        <w:rPr>
          <w:i w:val="0"/>
          <w:smallCaps w:val="0"/>
        </w:rPr>
        <w:t>. Stato, sez. II, 22 novembre 2021, n. 7810, in cui invece è stato escluso che l’</w:t>
      </w:r>
      <w:proofErr w:type="spellStart"/>
      <w:r>
        <w:rPr>
          <w:i w:val="0"/>
          <w:smallCaps w:val="0"/>
        </w:rPr>
        <w:t>interdittiva</w:t>
      </w:r>
      <w:proofErr w:type="spellEnd"/>
      <w:r>
        <w:rPr>
          <w:i w:val="0"/>
          <w:smallCaps w:val="0"/>
        </w:rPr>
        <w:t xml:space="preserve"> sopravvenuta dopo l’integrale esecuzione del </w:t>
      </w:r>
      <w:proofErr w:type="spellStart"/>
      <w:r>
        <w:rPr>
          <w:i w:val="0"/>
          <w:smallCaps w:val="0"/>
        </w:rPr>
        <w:t>contrtto</w:t>
      </w:r>
      <w:proofErr w:type="spellEnd"/>
      <w:r>
        <w:rPr>
          <w:i w:val="0"/>
          <w:smallCaps w:val="0"/>
        </w:rPr>
        <w:t xml:space="preserve"> di appalto possa precludere all’impresa di esigere il pagamento del corrispettivo e opporsi all’incameramento della cauzione definitiva, essendo la misura prefettizia comunque inidonea a sovvertire il principio di causalità immanente nel sistema, ciò che la farebbe assurgere a unica ipotesi legale di arricchimento senza causa, trasformandone la natura da meramente preventiva in sanzionatoria e repressiva.</w:t>
      </w:r>
    </w:p>
  </w:footnote>
  <w:footnote w:id="153">
    <w:p w:rsidR="00BE7D77" w:rsidRPr="00B25E35" w:rsidRDefault="00BE7D77" w:rsidP="00B25E35">
      <w:pPr>
        <w:pStyle w:val="Testonotaapidipagina"/>
        <w:jc w:val="both"/>
        <w:rPr>
          <w:i w:val="0"/>
          <w:smallCaps w:val="0"/>
        </w:rPr>
      </w:pPr>
      <w:r w:rsidRPr="00B25E35">
        <w:rPr>
          <w:rStyle w:val="Rimandonotaapidipagina"/>
          <w:i w:val="0"/>
          <w:smallCaps w:val="0"/>
        </w:rPr>
        <w:footnoteRef/>
      </w:r>
      <w:r w:rsidRPr="00B25E35">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V, 14 aprile 2022, n. 2847.</w:t>
      </w:r>
    </w:p>
  </w:footnote>
  <w:footnote w:id="154">
    <w:p w:rsidR="00BE7D77" w:rsidRPr="002B5EC1" w:rsidRDefault="00BE7D77" w:rsidP="002B5EC1">
      <w:pPr>
        <w:pStyle w:val="Testonotaapidipagina"/>
        <w:jc w:val="both"/>
        <w:rPr>
          <w:i w:val="0"/>
          <w:smallCaps w:val="0"/>
        </w:rPr>
      </w:pPr>
      <w:r w:rsidRPr="002B5EC1">
        <w:rPr>
          <w:rStyle w:val="Rimandonotaapidipagina"/>
          <w:i w:val="0"/>
          <w:smallCaps w:val="0"/>
        </w:rPr>
        <w:footnoteRef/>
      </w:r>
      <w:r w:rsidRPr="002B5EC1">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 febbraio 2023, n. 1125.</w:t>
      </w:r>
    </w:p>
  </w:footnote>
  <w:footnote w:id="155">
    <w:p w:rsidR="00BE7D77" w:rsidRPr="002B5EC1" w:rsidRDefault="00BE7D77" w:rsidP="002B5EC1">
      <w:pPr>
        <w:pStyle w:val="Testonotaapidipagina"/>
        <w:jc w:val="both"/>
        <w:rPr>
          <w:i w:val="0"/>
          <w:smallCaps w:val="0"/>
        </w:rPr>
      </w:pPr>
      <w:r w:rsidRPr="002B5EC1">
        <w:rPr>
          <w:rStyle w:val="Rimandonotaapidipagina"/>
          <w:i w:val="0"/>
          <w:smallCaps w:val="0"/>
        </w:rPr>
        <w:footnoteRef/>
      </w:r>
      <w:r w:rsidRPr="002B5EC1">
        <w:rPr>
          <w:i w:val="0"/>
          <w:smallCaps w:val="0"/>
        </w:rPr>
        <w:t xml:space="preserve"> </w:t>
      </w:r>
      <w:r>
        <w:rPr>
          <w:i w:val="0"/>
          <w:smallCaps w:val="0"/>
        </w:rPr>
        <w:t xml:space="preserve">Cfr. C. CONTESSA, </w:t>
      </w:r>
      <w:r>
        <w:rPr>
          <w:smallCaps w:val="0"/>
        </w:rPr>
        <w:t xml:space="preserve">La mancata revoca dell’affidamento ad impresa colpita da informativa antimafia, </w:t>
      </w:r>
      <w:r>
        <w:rPr>
          <w:i w:val="0"/>
          <w:smallCaps w:val="0"/>
        </w:rPr>
        <w:t xml:space="preserve">in </w:t>
      </w:r>
      <w:proofErr w:type="spellStart"/>
      <w:r>
        <w:rPr>
          <w:smallCaps w:val="0"/>
        </w:rPr>
        <w:t>Urb</w:t>
      </w:r>
      <w:proofErr w:type="spellEnd"/>
      <w:r>
        <w:rPr>
          <w:smallCaps w:val="0"/>
        </w:rPr>
        <w:t xml:space="preserve">. e </w:t>
      </w:r>
      <w:proofErr w:type="spellStart"/>
      <w:r>
        <w:rPr>
          <w:smallCaps w:val="0"/>
        </w:rPr>
        <w:t>app</w:t>
      </w:r>
      <w:proofErr w:type="spellEnd"/>
      <w:r>
        <w:rPr>
          <w:smallCaps w:val="0"/>
        </w:rPr>
        <w:t xml:space="preserve">., </w:t>
      </w:r>
      <w:r>
        <w:rPr>
          <w:i w:val="0"/>
          <w:smallCaps w:val="0"/>
        </w:rPr>
        <w:t>2015, 2, pp. 203 ss.</w:t>
      </w:r>
    </w:p>
  </w:footnote>
  <w:footnote w:id="156">
    <w:p w:rsidR="00BE7D77" w:rsidRPr="00D44623" w:rsidRDefault="00BE7D77" w:rsidP="00D44623">
      <w:pPr>
        <w:pStyle w:val="Testonotaapidipagina"/>
        <w:jc w:val="both"/>
        <w:rPr>
          <w:i w:val="0"/>
          <w:smallCaps w:val="0"/>
        </w:rPr>
      </w:pPr>
      <w:r w:rsidRPr="00D44623">
        <w:rPr>
          <w:rStyle w:val="Rimandonotaapidipagina"/>
          <w:i w:val="0"/>
          <w:smallCaps w:val="0"/>
        </w:rPr>
        <w:footnoteRef/>
      </w:r>
      <w:r w:rsidRPr="00D44623">
        <w:rPr>
          <w:i w:val="0"/>
          <w:smallCaps w:val="0"/>
        </w:rPr>
        <w:t xml:space="preserve"> </w:t>
      </w:r>
      <w:proofErr w:type="spellStart"/>
      <w:r>
        <w:rPr>
          <w:i w:val="0"/>
          <w:smallCaps w:val="0"/>
        </w:rPr>
        <w:t>Sent</w:t>
      </w:r>
      <w:proofErr w:type="spellEnd"/>
      <w:r>
        <w:rPr>
          <w:i w:val="0"/>
          <w:smallCaps w:val="0"/>
        </w:rPr>
        <w:t>. 26 novembre 2020, n. 23.</w:t>
      </w:r>
    </w:p>
  </w:footnote>
  <w:footnote w:id="157">
    <w:p w:rsidR="00BE7D77" w:rsidRPr="009A4134" w:rsidRDefault="00BE7D77" w:rsidP="00D44623">
      <w:pPr>
        <w:pStyle w:val="Testonotaapidipagina"/>
        <w:jc w:val="both"/>
        <w:rPr>
          <w:i w:val="0"/>
          <w:smallCaps w:val="0"/>
        </w:rPr>
      </w:pPr>
      <w:r w:rsidRPr="00D44623">
        <w:rPr>
          <w:rStyle w:val="Rimandonotaapidipagina"/>
          <w:i w:val="0"/>
          <w:smallCaps w:val="0"/>
        </w:rPr>
        <w:footnoteRef/>
      </w:r>
      <w:r w:rsidRPr="00D44623">
        <w:rPr>
          <w:i w:val="0"/>
          <w:smallCaps w:val="0"/>
        </w:rPr>
        <w:t xml:space="preserve"> </w:t>
      </w:r>
      <w:r>
        <w:rPr>
          <w:i w:val="0"/>
          <w:smallCaps w:val="0"/>
        </w:rPr>
        <w:t xml:space="preserve">In tema, cfr. F. VALENTINI, </w:t>
      </w:r>
      <w:r>
        <w:rPr>
          <w:smallCaps w:val="0"/>
        </w:rPr>
        <w:t xml:space="preserve">Controllo giudiziario e revoca di contributi e finanziamenti in caso di </w:t>
      </w:r>
      <w:proofErr w:type="spellStart"/>
      <w:r>
        <w:rPr>
          <w:smallCaps w:val="0"/>
        </w:rPr>
        <w:t>interdittiva</w:t>
      </w:r>
      <w:proofErr w:type="spellEnd"/>
      <w:r>
        <w:rPr>
          <w:smallCaps w:val="0"/>
        </w:rPr>
        <w:t xml:space="preserve"> antimafia. Nota a Tar Catanzaro 14 giugno 2021, n. 1203, </w:t>
      </w:r>
      <w:r>
        <w:rPr>
          <w:i w:val="0"/>
          <w:smallCaps w:val="0"/>
        </w:rPr>
        <w:t xml:space="preserve">in </w:t>
      </w:r>
      <w:r>
        <w:rPr>
          <w:smallCaps w:val="0"/>
        </w:rPr>
        <w:t xml:space="preserve">www.giustizia-amministrativa.it, </w:t>
      </w:r>
      <w:r>
        <w:rPr>
          <w:i w:val="0"/>
          <w:smallCaps w:val="0"/>
        </w:rPr>
        <w:t>3 agosto 2021.</w:t>
      </w:r>
    </w:p>
  </w:footnote>
  <w:footnote w:id="158">
    <w:p w:rsidR="00BE7D77" w:rsidRPr="00D44623" w:rsidRDefault="00BE7D77" w:rsidP="00D44623">
      <w:pPr>
        <w:pStyle w:val="Testonotaapidipagina"/>
        <w:jc w:val="both"/>
        <w:rPr>
          <w:i w:val="0"/>
          <w:smallCaps w:val="0"/>
        </w:rPr>
      </w:pPr>
      <w:r w:rsidRPr="00D44623">
        <w:rPr>
          <w:rStyle w:val="Rimandonotaapidipagina"/>
          <w:i w:val="0"/>
          <w:smallCaps w:val="0"/>
        </w:rPr>
        <w:footnoteRef/>
      </w:r>
      <w:r w:rsidRPr="00D44623">
        <w:rPr>
          <w:i w:val="0"/>
          <w:smallCaps w:val="0"/>
        </w:rPr>
        <w:t xml:space="preserve"> </w:t>
      </w:r>
      <w:r>
        <w:rPr>
          <w:i w:val="0"/>
          <w:smallCaps w:val="0"/>
        </w:rPr>
        <w:t xml:space="preserve">V. </w:t>
      </w:r>
      <w:proofErr w:type="spellStart"/>
      <w:r>
        <w:rPr>
          <w:smallCaps w:val="0"/>
        </w:rPr>
        <w:t>supra</w:t>
      </w:r>
      <w:proofErr w:type="spellEnd"/>
      <w:r>
        <w:rPr>
          <w:smallCaps w:val="0"/>
        </w:rPr>
        <w:t xml:space="preserve">, </w:t>
      </w:r>
      <w:r>
        <w:rPr>
          <w:i w:val="0"/>
          <w:smallCaps w:val="0"/>
        </w:rPr>
        <w:t xml:space="preserve">§ 3. In giurisprudenza: </w:t>
      </w:r>
      <w:proofErr w:type="spellStart"/>
      <w:r>
        <w:rPr>
          <w:i w:val="0"/>
          <w:smallCaps w:val="0"/>
        </w:rPr>
        <w:t>Cons</w:t>
      </w:r>
      <w:proofErr w:type="spellEnd"/>
      <w:r>
        <w:rPr>
          <w:i w:val="0"/>
          <w:smallCaps w:val="0"/>
        </w:rPr>
        <w:t>. Stato, sez. III, 4 marzo 2024, n. 2062; id., 22 giugno 2023, n. 6164; id., 3 marzo 2021, n. 1827; id., 26 gennaio 2018, n. 544.</w:t>
      </w:r>
    </w:p>
  </w:footnote>
  <w:footnote w:id="159">
    <w:p w:rsidR="00BE7D77" w:rsidRPr="009A4134" w:rsidRDefault="00BE7D77" w:rsidP="009A4134">
      <w:pPr>
        <w:pStyle w:val="Testonotaapidipagina"/>
        <w:jc w:val="both"/>
        <w:rPr>
          <w:i w:val="0"/>
          <w:smallCaps w:val="0"/>
        </w:rPr>
      </w:pPr>
      <w:r w:rsidRPr="009A4134">
        <w:rPr>
          <w:rStyle w:val="Rimandonotaapidipagina"/>
          <w:i w:val="0"/>
          <w:smallCaps w:val="0"/>
        </w:rPr>
        <w:footnoteRef/>
      </w:r>
      <w:r w:rsidRPr="009A4134">
        <w:rPr>
          <w:i w:val="0"/>
          <w:smallCaps w:val="0"/>
        </w:rPr>
        <w:t xml:space="preserve"> </w:t>
      </w:r>
      <w:r>
        <w:rPr>
          <w:i w:val="0"/>
          <w:smallCaps w:val="0"/>
        </w:rPr>
        <w:t xml:space="preserve">Naturalmente, non è questa la sede per approfondire il tema della natura giuridica della SCIA e le problematiche connesse: su questi, in generale, cfr. M.A. SANDULLI, </w:t>
      </w:r>
      <w:r>
        <w:rPr>
          <w:smallCaps w:val="0"/>
        </w:rPr>
        <w:t xml:space="preserve">La segnalazione certificata di inizio attività, </w:t>
      </w:r>
      <w:r>
        <w:rPr>
          <w:i w:val="0"/>
          <w:smallCaps w:val="0"/>
        </w:rPr>
        <w:t xml:space="preserve">in M.A. SANDULLI (a cura di), </w:t>
      </w:r>
      <w:r>
        <w:rPr>
          <w:smallCaps w:val="0"/>
        </w:rPr>
        <w:t xml:space="preserve">Principi e regole dell’azione amministrativa, </w:t>
      </w:r>
      <w:r>
        <w:rPr>
          <w:i w:val="0"/>
          <w:smallCaps w:val="0"/>
        </w:rPr>
        <w:t xml:space="preserve">cit., pp. 363 ss., e F.M. TROPIANO, </w:t>
      </w:r>
      <w:r>
        <w:rPr>
          <w:smallCaps w:val="0"/>
        </w:rPr>
        <w:t xml:space="preserve">Semplificazione e liberalizzazione nella legge sul procedimento amministrativo. La SCIA e le attività liberalizzate. Natura giuridica, tutela e riflessi processuali, </w:t>
      </w:r>
      <w:r>
        <w:rPr>
          <w:i w:val="0"/>
          <w:smallCaps w:val="0"/>
        </w:rPr>
        <w:t xml:space="preserve">in C. CONTESSA – R. GRECO (a cura di), </w:t>
      </w:r>
      <w:r>
        <w:rPr>
          <w:smallCaps w:val="0"/>
        </w:rPr>
        <w:t xml:space="preserve">L’attività amministrativa e le sue regole, </w:t>
      </w:r>
      <w:r>
        <w:rPr>
          <w:i w:val="0"/>
          <w:smallCaps w:val="0"/>
        </w:rPr>
        <w:t>cit., pp. 413 ss.</w:t>
      </w:r>
    </w:p>
  </w:footnote>
  <w:footnote w:id="160">
    <w:p w:rsidR="00BE7D77" w:rsidRPr="009A4134" w:rsidRDefault="00BE7D77" w:rsidP="009A4134">
      <w:pPr>
        <w:pStyle w:val="Testonotaapidipagina"/>
        <w:jc w:val="both"/>
        <w:rPr>
          <w:i w:val="0"/>
          <w:smallCaps w:val="0"/>
        </w:rPr>
      </w:pPr>
      <w:r w:rsidRPr="009A4134">
        <w:rPr>
          <w:rStyle w:val="Rimandonotaapidipagina"/>
          <w:i w:val="0"/>
          <w:smallCaps w:val="0"/>
        </w:rPr>
        <w:footnoteRef/>
      </w:r>
      <w:r w:rsidRPr="009A4134">
        <w:rPr>
          <w:i w:val="0"/>
          <w:smallCaps w:val="0"/>
        </w:rPr>
        <w:t xml:space="preserve"> </w:t>
      </w:r>
      <w:r>
        <w:rPr>
          <w:i w:val="0"/>
          <w:smallCaps w:val="0"/>
        </w:rPr>
        <w:t xml:space="preserve">Cfr. B. DESANTIS, </w:t>
      </w:r>
      <w:r>
        <w:rPr>
          <w:smallCaps w:val="0"/>
        </w:rPr>
        <w:t xml:space="preserve">L’applicazione della normativa antimafia ai provvedimenti </w:t>
      </w:r>
      <w:proofErr w:type="spellStart"/>
      <w:r>
        <w:rPr>
          <w:smallCaps w:val="0"/>
        </w:rPr>
        <w:t>autorizzatori</w:t>
      </w:r>
      <w:proofErr w:type="spellEnd"/>
      <w:r>
        <w:rPr>
          <w:smallCaps w:val="0"/>
        </w:rPr>
        <w:t xml:space="preserve"> e alle attività soggette a </w:t>
      </w:r>
      <w:proofErr w:type="spellStart"/>
      <w:r>
        <w:rPr>
          <w:smallCaps w:val="0"/>
        </w:rPr>
        <w:t>s.c.i.a</w:t>
      </w:r>
      <w:proofErr w:type="spellEnd"/>
      <w:r>
        <w:rPr>
          <w:smallCaps w:val="0"/>
        </w:rPr>
        <w:t xml:space="preserve">., </w:t>
      </w:r>
      <w:r>
        <w:rPr>
          <w:i w:val="0"/>
          <w:smallCaps w:val="0"/>
        </w:rPr>
        <w:t xml:space="preserve">in </w:t>
      </w:r>
      <w:r>
        <w:rPr>
          <w:smallCaps w:val="0"/>
        </w:rPr>
        <w:t xml:space="preserve">www.giustizia-amministrativa.it, </w:t>
      </w:r>
      <w:r>
        <w:rPr>
          <w:i w:val="0"/>
          <w:smallCaps w:val="0"/>
        </w:rPr>
        <w:t xml:space="preserve">3 dicembre 2020. In giurisprudenza, cfr. </w:t>
      </w:r>
      <w:proofErr w:type="spellStart"/>
      <w:r>
        <w:rPr>
          <w:i w:val="0"/>
          <w:smallCaps w:val="0"/>
        </w:rPr>
        <w:t>Cons</w:t>
      </w:r>
      <w:proofErr w:type="spellEnd"/>
      <w:r>
        <w:rPr>
          <w:i w:val="0"/>
          <w:smallCaps w:val="0"/>
        </w:rPr>
        <w:t>. Stato, sez. III, 2 settembre 2019, n. 6057.</w:t>
      </w:r>
    </w:p>
  </w:footnote>
  <w:footnote w:id="161">
    <w:p w:rsidR="00BE7D77" w:rsidRPr="005D45A4" w:rsidRDefault="00BE7D77" w:rsidP="005D45A4">
      <w:pPr>
        <w:pStyle w:val="Testonotaapidipagina"/>
        <w:jc w:val="both"/>
        <w:rPr>
          <w:i w:val="0"/>
          <w:smallCaps w:val="0"/>
        </w:rPr>
      </w:pPr>
      <w:r w:rsidRPr="005D45A4">
        <w:rPr>
          <w:rStyle w:val="Rimandonotaapidipagina"/>
          <w:i w:val="0"/>
          <w:smallCaps w:val="0"/>
        </w:rPr>
        <w:footnoteRef/>
      </w:r>
      <w:r w:rsidRPr="005D45A4">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13 dicembre 2021, n. 8309; id., 3 marzo 2021, n. 1838; id., 11 maggio 2020, n. 2962.</w:t>
      </w:r>
    </w:p>
  </w:footnote>
  <w:footnote w:id="162">
    <w:p w:rsidR="00BE7D77" w:rsidRPr="00F6191A" w:rsidRDefault="00BE7D77" w:rsidP="00F6191A">
      <w:pPr>
        <w:pStyle w:val="Testonotaapidipagina"/>
        <w:jc w:val="both"/>
        <w:rPr>
          <w:smallCaps w:val="0"/>
        </w:rPr>
      </w:pPr>
      <w:r w:rsidRPr="00F6191A">
        <w:rPr>
          <w:rStyle w:val="Rimandonotaapidipagina"/>
          <w:i w:val="0"/>
          <w:smallCaps w:val="0"/>
        </w:rPr>
        <w:footnoteRef/>
      </w:r>
      <w:r w:rsidRPr="00F6191A">
        <w:rPr>
          <w:i w:val="0"/>
          <w:smallCaps w:val="0"/>
        </w:rPr>
        <w:t xml:space="preserve"> </w:t>
      </w:r>
      <w:r>
        <w:rPr>
          <w:i w:val="0"/>
          <w:smallCaps w:val="0"/>
        </w:rPr>
        <w:t xml:space="preserve">Cfr. V. SALAMONE, </w:t>
      </w:r>
      <w:r>
        <w:rPr>
          <w:smallCaps w:val="0"/>
        </w:rPr>
        <w:t xml:space="preserve">op. </w:t>
      </w:r>
      <w:proofErr w:type="spellStart"/>
      <w:r>
        <w:rPr>
          <w:smallCaps w:val="0"/>
        </w:rPr>
        <w:t>ult</w:t>
      </w:r>
      <w:proofErr w:type="spellEnd"/>
      <w:r>
        <w:rPr>
          <w:smallCaps w:val="0"/>
        </w:rPr>
        <w:t>. cit.</w:t>
      </w:r>
    </w:p>
  </w:footnote>
  <w:footnote w:id="163">
    <w:p w:rsidR="00BE7D77" w:rsidRPr="00F6191A" w:rsidRDefault="00BE7D77" w:rsidP="00F6191A">
      <w:pPr>
        <w:pStyle w:val="Testonotaapidipagina"/>
        <w:jc w:val="both"/>
        <w:rPr>
          <w:smallCaps w:val="0"/>
        </w:rPr>
      </w:pPr>
      <w:r w:rsidRPr="00F6191A">
        <w:rPr>
          <w:rStyle w:val="Rimandonotaapidipagina"/>
          <w:i w:val="0"/>
          <w:smallCaps w:val="0"/>
        </w:rPr>
        <w:footnoteRef/>
      </w:r>
      <w:r w:rsidRPr="00F6191A">
        <w:rPr>
          <w:i w:val="0"/>
          <w:smallCaps w:val="0"/>
        </w:rPr>
        <w:t xml:space="preserve"> </w:t>
      </w:r>
      <w:r>
        <w:rPr>
          <w:i w:val="0"/>
          <w:smallCaps w:val="0"/>
        </w:rPr>
        <w:t xml:space="preserve">Cfr. sul punto V. MAMELI, </w:t>
      </w:r>
      <w:r>
        <w:rPr>
          <w:smallCaps w:val="0"/>
        </w:rPr>
        <w:t>op. cit.</w:t>
      </w:r>
    </w:p>
  </w:footnote>
  <w:footnote w:id="164">
    <w:p w:rsidR="00BE7D77" w:rsidRPr="00F6191A" w:rsidRDefault="00BE7D77" w:rsidP="00F6191A">
      <w:pPr>
        <w:pStyle w:val="Testonotaapidipagina"/>
        <w:jc w:val="both"/>
        <w:rPr>
          <w:i w:val="0"/>
          <w:smallCaps w:val="0"/>
        </w:rPr>
      </w:pPr>
      <w:r w:rsidRPr="00F6191A">
        <w:rPr>
          <w:rStyle w:val="Rimandonotaapidipagina"/>
          <w:i w:val="0"/>
          <w:smallCaps w:val="0"/>
        </w:rPr>
        <w:footnoteRef/>
      </w:r>
      <w:r w:rsidRPr="00F6191A">
        <w:rPr>
          <w:i w:val="0"/>
          <w:smallCaps w:val="0"/>
        </w:rPr>
        <w:t xml:space="preserve"> </w:t>
      </w:r>
      <w:r>
        <w:rPr>
          <w:i w:val="0"/>
          <w:smallCaps w:val="0"/>
        </w:rPr>
        <w:t xml:space="preserve">V. </w:t>
      </w:r>
      <w:r>
        <w:rPr>
          <w:smallCaps w:val="0"/>
        </w:rPr>
        <w:t xml:space="preserve">infra, </w:t>
      </w:r>
      <w:r>
        <w:rPr>
          <w:i w:val="0"/>
          <w:smallCaps w:val="0"/>
        </w:rPr>
        <w:t>§ 5.</w:t>
      </w:r>
    </w:p>
  </w:footnote>
  <w:footnote w:id="165">
    <w:p w:rsidR="00BE7D77" w:rsidRPr="00F6191A" w:rsidRDefault="00BE7D77" w:rsidP="00F6191A">
      <w:pPr>
        <w:pStyle w:val="Testonotaapidipagina"/>
        <w:jc w:val="both"/>
        <w:rPr>
          <w:i w:val="0"/>
          <w:smallCaps w:val="0"/>
        </w:rPr>
      </w:pPr>
      <w:r w:rsidRPr="00F6191A">
        <w:rPr>
          <w:rStyle w:val="Rimandonotaapidipagina"/>
          <w:i w:val="0"/>
          <w:smallCaps w:val="0"/>
        </w:rPr>
        <w:footnoteRef/>
      </w:r>
      <w:r w:rsidRPr="00F6191A">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5 ottobre 2016, n. 4121; id., sez. V, 1 ottobre 2015, n. 4602; id., sez. III, 22 gennaio 2012, n. 292; id., sez. VI, 30 dicembre 2011, n. 7002.</w:t>
      </w:r>
    </w:p>
  </w:footnote>
  <w:footnote w:id="166">
    <w:p w:rsidR="00BE7D77" w:rsidRPr="004C4CF7" w:rsidRDefault="00BE7D77" w:rsidP="004C4CF7">
      <w:pPr>
        <w:pStyle w:val="Testonotaapidipagina"/>
        <w:jc w:val="both"/>
        <w:rPr>
          <w:smallCaps w:val="0"/>
        </w:rPr>
      </w:pPr>
      <w:r w:rsidRPr="004C4CF7">
        <w:rPr>
          <w:rStyle w:val="Rimandonotaapidipagina"/>
          <w:i w:val="0"/>
          <w:smallCaps w:val="0"/>
        </w:rPr>
        <w:footnoteRef/>
      </w:r>
      <w:r w:rsidRPr="004C4CF7">
        <w:rPr>
          <w:i w:val="0"/>
          <w:smallCaps w:val="0"/>
        </w:rPr>
        <w:t xml:space="preserve"> </w:t>
      </w:r>
      <w:r>
        <w:rPr>
          <w:i w:val="0"/>
          <w:smallCaps w:val="0"/>
        </w:rPr>
        <w:t xml:space="preserve">Sulla possibilità di considerare questa previsione di ultrattività, evidentemente dettata per le informative liberatorie, estensibile anche a quelle </w:t>
      </w:r>
      <w:proofErr w:type="spellStart"/>
      <w:r>
        <w:rPr>
          <w:i w:val="0"/>
          <w:smallCaps w:val="0"/>
        </w:rPr>
        <w:t>interdittive</w:t>
      </w:r>
      <w:proofErr w:type="spellEnd"/>
      <w:r>
        <w:rPr>
          <w:i w:val="0"/>
          <w:smallCaps w:val="0"/>
        </w:rPr>
        <w:t xml:space="preserve">, cfr. V. MAMELI, </w:t>
      </w:r>
      <w:r>
        <w:rPr>
          <w:smallCaps w:val="0"/>
        </w:rPr>
        <w:t>op. cit.</w:t>
      </w:r>
    </w:p>
  </w:footnote>
  <w:footnote w:id="167">
    <w:p w:rsidR="00BE7D77" w:rsidRPr="00E178F4" w:rsidRDefault="00BE7D77" w:rsidP="00E178F4">
      <w:pPr>
        <w:pStyle w:val="Testonotaapidipagina"/>
        <w:jc w:val="both"/>
        <w:rPr>
          <w:i w:val="0"/>
          <w:smallCaps w:val="0"/>
        </w:rPr>
      </w:pPr>
      <w:r w:rsidRPr="00E178F4">
        <w:rPr>
          <w:rStyle w:val="Rimandonotaapidipagina"/>
          <w:i w:val="0"/>
        </w:rPr>
        <w:footnoteRef/>
      </w:r>
      <w:r w:rsidRPr="00E178F4">
        <w:rPr>
          <w:i w:val="0"/>
        </w:rPr>
        <w:t xml:space="preserve"> </w:t>
      </w:r>
      <w:r>
        <w:rPr>
          <w:i w:val="0"/>
          <w:smallCaps w:val="0"/>
        </w:rPr>
        <w:t>Tar Emilia-Romagna, Bologna, sez. I, 28 febbraio 2023, n. 103, Tar Calabria, Catanzaro, sez. I, 27 luglio 2020, n. 1372; Tar Lazio, sez. I-</w:t>
      </w:r>
      <w:r>
        <w:rPr>
          <w:smallCaps w:val="0"/>
        </w:rPr>
        <w:t xml:space="preserve">ter, </w:t>
      </w:r>
      <w:r>
        <w:rPr>
          <w:i w:val="0"/>
          <w:smallCaps w:val="0"/>
        </w:rPr>
        <w:t>3 luglio 2017, n. 7646.</w:t>
      </w:r>
    </w:p>
  </w:footnote>
  <w:footnote w:id="168">
    <w:p w:rsidR="00BE7D77" w:rsidRPr="00C65775" w:rsidRDefault="00BE7D77" w:rsidP="00C65775">
      <w:pPr>
        <w:pStyle w:val="Testonotaapidipagina"/>
        <w:jc w:val="both"/>
        <w:rPr>
          <w:smallCaps w:val="0"/>
        </w:rPr>
      </w:pPr>
      <w:r w:rsidRPr="00C65775">
        <w:rPr>
          <w:rStyle w:val="Rimandonotaapidipagina"/>
          <w:i w:val="0"/>
          <w:smallCaps w:val="0"/>
        </w:rPr>
        <w:footnoteRef/>
      </w:r>
      <w:r w:rsidRPr="00C65775">
        <w:rPr>
          <w:i w:val="0"/>
          <w:smallCaps w:val="0"/>
        </w:rPr>
        <w:t xml:space="preserve"> </w:t>
      </w:r>
      <w:r>
        <w:rPr>
          <w:i w:val="0"/>
          <w:smallCaps w:val="0"/>
        </w:rPr>
        <w:t xml:space="preserve">Tale sembra essere la posizione di V. SALAMONE, </w:t>
      </w:r>
      <w:r>
        <w:rPr>
          <w:smallCaps w:val="0"/>
        </w:rPr>
        <w:t xml:space="preserve">op. </w:t>
      </w:r>
      <w:proofErr w:type="spellStart"/>
      <w:r>
        <w:rPr>
          <w:smallCaps w:val="0"/>
        </w:rPr>
        <w:t>ult</w:t>
      </w:r>
      <w:proofErr w:type="spellEnd"/>
      <w:r>
        <w:rPr>
          <w:smallCaps w:val="0"/>
        </w:rPr>
        <w:t>. cit.</w:t>
      </w:r>
    </w:p>
  </w:footnote>
  <w:footnote w:id="169">
    <w:p w:rsidR="00BE7D77" w:rsidRPr="00C65775" w:rsidRDefault="00BE7D77" w:rsidP="00C65775">
      <w:pPr>
        <w:pStyle w:val="Testonotaapidipagina"/>
        <w:jc w:val="both"/>
        <w:rPr>
          <w:i w:val="0"/>
          <w:smallCaps w:val="0"/>
        </w:rPr>
      </w:pPr>
      <w:r w:rsidRPr="00C65775">
        <w:rPr>
          <w:rStyle w:val="Rimandonotaapidipagina"/>
          <w:i w:val="0"/>
          <w:smallCaps w:val="0"/>
        </w:rPr>
        <w:footnoteRef/>
      </w:r>
      <w:r w:rsidRPr="00C65775">
        <w:rPr>
          <w:i w:val="0"/>
          <w:smallCaps w:val="0"/>
        </w:rPr>
        <w:t xml:space="preserve"> </w:t>
      </w:r>
      <w:r>
        <w:rPr>
          <w:i w:val="0"/>
          <w:smallCaps w:val="0"/>
        </w:rPr>
        <w:t>Cfr. Tar Campania, Napoli, sez. I, 10 marzo 2023, n. 1552; Tar Calabria, Reggio Calabria, sez. I, 23 settembre 2022, n. 633.</w:t>
      </w:r>
    </w:p>
  </w:footnote>
  <w:footnote w:id="170">
    <w:p w:rsidR="00BE7D77" w:rsidRPr="00C65775" w:rsidRDefault="00BE7D77" w:rsidP="00C65775">
      <w:pPr>
        <w:pStyle w:val="Testonotaapidipagina"/>
        <w:jc w:val="both"/>
        <w:rPr>
          <w:i w:val="0"/>
          <w:smallCaps w:val="0"/>
        </w:rPr>
      </w:pPr>
      <w:r w:rsidRPr="00C65775">
        <w:rPr>
          <w:rStyle w:val="Rimandonotaapidipagina"/>
          <w:i w:val="0"/>
          <w:smallCaps w:val="0"/>
        </w:rPr>
        <w:footnoteRef/>
      </w:r>
      <w:r w:rsidRPr="00C65775">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sez. III, 3 marzo 2021, n. 1838; </w:t>
      </w:r>
      <w:proofErr w:type="spellStart"/>
      <w:r>
        <w:rPr>
          <w:i w:val="0"/>
          <w:smallCaps w:val="0"/>
        </w:rPr>
        <w:t>C.g.a.r.s</w:t>
      </w:r>
      <w:proofErr w:type="spellEnd"/>
      <w:r>
        <w:rPr>
          <w:i w:val="0"/>
          <w:smallCaps w:val="0"/>
        </w:rPr>
        <w:t>., 18 luglio 2022, n. 847.</w:t>
      </w:r>
    </w:p>
  </w:footnote>
  <w:footnote w:id="171">
    <w:p w:rsidR="00BE7D77" w:rsidRPr="00333585" w:rsidRDefault="00BE7D77" w:rsidP="00333585">
      <w:pPr>
        <w:pStyle w:val="Testonotaapidipagina"/>
        <w:jc w:val="both"/>
        <w:rPr>
          <w:i w:val="0"/>
          <w:smallCaps w:val="0"/>
        </w:rPr>
      </w:pPr>
      <w:r w:rsidRPr="00333585">
        <w:rPr>
          <w:rStyle w:val="Rimandonotaapidipagina"/>
          <w:i w:val="0"/>
          <w:smallCaps w:val="0"/>
        </w:rPr>
        <w:footnoteRef/>
      </w:r>
      <w:r w:rsidRPr="00333585">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28 luglio 2021, n. 5592; id., 21 maggio 2021, n. 3915; id., 21 novembre 2019, n. 7947; id., 9 aprile 2019, n. 2324; id., 22 luglio 2018, n. 4620; id., 12 marzo 2018, n. 1562; id., 7 marzo 2017, n. 1084.</w:t>
      </w:r>
    </w:p>
  </w:footnote>
  <w:footnote w:id="172">
    <w:p w:rsidR="00BE7D77" w:rsidRPr="00333585" w:rsidRDefault="00BE7D77" w:rsidP="00333585">
      <w:pPr>
        <w:pStyle w:val="Testonotaapidipagina"/>
        <w:jc w:val="both"/>
        <w:rPr>
          <w:smallCaps w:val="0"/>
        </w:rPr>
      </w:pPr>
      <w:r w:rsidRPr="00333585">
        <w:rPr>
          <w:rStyle w:val="Rimandonotaapidipagina"/>
          <w:i w:val="0"/>
          <w:smallCaps w:val="0"/>
        </w:rPr>
        <w:footnoteRef/>
      </w:r>
      <w:r w:rsidRPr="00333585">
        <w:rPr>
          <w:i w:val="0"/>
          <w:smallCaps w:val="0"/>
        </w:rPr>
        <w:t xml:space="preserve"> </w:t>
      </w:r>
      <w:r>
        <w:rPr>
          <w:i w:val="0"/>
          <w:smallCaps w:val="0"/>
        </w:rPr>
        <w:t xml:space="preserve">In questo senso, V. SALAMONE, </w:t>
      </w:r>
      <w:r>
        <w:rPr>
          <w:smallCaps w:val="0"/>
        </w:rPr>
        <w:t xml:space="preserve">op. </w:t>
      </w:r>
      <w:proofErr w:type="spellStart"/>
      <w:r>
        <w:rPr>
          <w:smallCaps w:val="0"/>
        </w:rPr>
        <w:t>ult</w:t>
      </w:r>
      <w:proofErr w:type="spellEnd"/>
      <w:r>
        <w:rPr>
          <w:smallCaps w:val="0"/>
        </w:rPr>
        <w:t>. cit.</w:t>
      </w:r>
    </w:p>
  </w:footnote>
  <w:footnote w:id="173">
    <w:p w:rsidR="00BE7D77" w:rsidRPr="00154EF8" w:rsidRDefault="00BE7D77" w:rsidP="00333585">
      <w:pPr>
        <w:pStyle w:val="Testonotaapidipagina"/>
        <w:jc w:val="both"/>
        <w:rPr>
          <w:i w:val="0"/>
          <w:smallCaps w:val="0"/>
        </w:rPr>
      </w:pPr>
      <w:r w:rsidRPr="00333585">
        <w:rPr>
          <w:rStyle w:val="Rimandonotaapidipagina"/>
          <w:i w:val="0"/>
          <w:smallCaps w:val="0"/>
        </w:rPr>
        <w:footnoteRef/>
      </w:r>
      <w:r w:rsidRPr="00333585">
        <w:rPr>
          <w:i w:val="0"/>
          <w:smallCaps w:val="0"/>
        </w:rPr>
        <w:t xml:space="preserve"> </w:t>
      </w:r>
      <w:r>
        <w:rPr>
          <w:i w:val="0"/>
          <w:smallCaps w:val="0"/>
        </w:rPr>
        <w:t xml:space="preserve">Il tema, poco esplorato dalla giurisprudenza, assume rilevanza al fine di prevenire una proliferazione di istanze di aggiornamento infondate o pretestuose, ed è solo lontanamente connesso – stanti le peculiarità delle procedure qui in esame – al più generale dibattito circa la configurabilità, e in quali casi, di un obbligo a carico della p.a. di riscontrare le istanze con cui le si chieda il riesame di provvedimenti definitivi: sul punto, cfr. N. POSTERARO, </w:t>
      </w:r>
      <w:r>
        <w:rPr>
          <w:smallCaps w:val="0"/>
        </w:rPr>
        <w:t xml:space="preserve">Sulla possibile configurazione di un’autotutela doverosa, </w:t>
      </w:r>
      <w:r>
        <w:rPr>
          <w:i w:val="0"/>
          <w:smallCaps w:val="0"/>
        </w:rPr>
        <w:t xml:space="preserve">in </w:t>
      </w:r>
      <w:r>
        <w:rPr>
          <w:smallCaps w:val="0"/>
        </w:rPr>
        <w:t xml:space="preserve">www.federalismi.it, </w:t>
      </w:r>
      <w:r>
        <w:rPr>
          <w:i w:val="0"/>
          <w:smallCaps w:val="0"/>
        </w:rPr>
        <w:t>n. 20/2017 (25 ottobre 2017).</w:t>
      </w:r>
    </w:p>
  </w:footnote>
  <w:footnote w:id="174">
    <w:p w:rsidR="00BE7D77" w:rsidRPr="00961F5E" w:rsidRDefault="00BE7D77" w:rsidP="00961F5E">
      <w:pPr>
        <w:pStyle w:val="Testonotaapidipagina"/>
        <w:jc w:val="both"/>
        <w:rPr>
          <w:i w:val="0"/>
          <w:smallCaps w:val="0"/>
        </w:rPr>
      </w:pPr>
      <w:r w:rsidRPr="00961F5E">
        <w:rPr>
          <w:rStyle w:val="Rimandonotaapidipagina"/>
          <w:i w:val="0"/>
          <w:smallCaps w:val="0"/>
        </w:rPr>
        <w:footnoteRef/>
      </w:r>
      <w:r w:rsidRPr="00961F5E">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sez. III, 8 maggio 2023, n. 4587; id., </w:t>
      </w:r>
      <w:r w:rsidRPr="00961F5E">
        <w:rPr>
          <w:i w:val="0"/>
          <w:smallCaps w:val="0"/>
        </w:rPr>
        <w:t>23 novembre 2021, n. 7855; id.</w:t>
      </w:r>
      <w:r>
        <w:rPr>
          <w:i w:val="0"/>
          <w:smallCaps w:val="0"/>
        </w:rPr>
        <w:t>,</w:t>
      </w:r>
      <w:r w:rsidRPr="00961F5E">
        <w:rPr>
          <w:i w:val="0"/>
          <w:smallCaps w:val="0"/>
        </w:rPr>
        <w:t xml:space="preserve"> 4 febbraio 2021, n. 1049; </w:t>
      </w:r>
      <w:r>
        <w:rPr>
          <w:i w:val="0"/>
          <w:smallCaps w:val="0"/>
        </w:rPr>
        <w:t xml:space="preserve">id., </w:t>
      </w:r>
      <w:r w:rsidRPr="00961F5E">
        <w:rPr>
          <w:i w:val="0"/>
          <w:smallCaps w:val="0"/>
        </w:rPr>
        <w:t>11 gennaio 2021, n. 338</w:t>
      </w:r>
      <w:r>
        <w:rPr>
          <w:i w:val="0"/>
          <w:smallCaps w:val="0"/>
        </w:rPr>
        <w:t>.</w:t>
      </w:r>
    </w:p>
  </w:footnote>
  <w:footnote w:id="175">
    <w:p w:rsidR="00BE7D77" w:rsidRPr="00961F5E" w:rsidRDefault="00BE7D77" w:rsidP="00961F5E">
      <w:pPr>
        <w:pStyle w:val="Testonotaapidipagina"/>
        <w:jc w:val="both"/>
        <w:rPr>
          <w:i w:val="0"/>
          <w:smallCaps w:val="0"/>
        </w:rPr>
      </w:pPr>
      <w:r w:rsidRPr="00961F5E">
        <w:rPr>
          <w:rStyle w:val="Rimandonotaapidipagina"/>
          <w:i w:val="0"/>
          <w:smallCaps w:val="0"/>
        </w:rPr>
        <w:footnoteRef/>
      </w:r>
      <w:r w:rsidRPr="00961F5E">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16 giugno 2022, n. 4912.</w:t>
      </w:r>
    </w:p>
  </w:footnote>
  <w:footnote w:id="176">
    <w:p w:rsidR="00BE7D77" w:rsidRPr="00961F5E" w:rsidRDefault="00BE7D77" w:rsidP="00961F5E">
      <w:pPr>
        <w:pStyle w:val="Testonotaapidipagina"/>
        <w:jc w:val="both"/>
        <w:rPr>
          <w:i w:val="0"/>
          <w:smallCaps w:val="0"/>
        </w:rPr>
      </w:pPr>
      <w:r w:rsidRPr="00961F5E">
        <w:rPr>
          <w:rStyle w:val="Rimandonotaapidipagina"/>
          <w:i w:val="0"/>
          <w:smallCaps w:val="0"/>
        </w:rPr>
        <w:footnoteRef/>
      </w:r>
      <w:r w:rsidRPr="00961F5E">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n. 4912/2022, cit.; n. 1049/2021; id., 11 gennaio 2021, n. 319.</w:t>
      </w:r>
    </w:p>
  </w:footnote>
  <w:footnote w:id="177">
    <w:p w:rsidR="00BE7D77" w:rsidRPr="0077069B" w:rsidRDefault="00BE7D77" w:rsidP="0077069B">
      <w:pPr>
        <w:pStyle w:val="Testonotaapidipagina"/>
        <w:jc w:val="both"/>
        <w:rPr>
          <w:i w:val="0"/>
          <w:smallCaps w:val="0"/>
        </w:rPr>
      </w:pPr>
      <w:r w:rsidRPr="0077069B">
        <w:rPr>
          <w:rStyle w:val="Rimandonotaapidipagina"/>
          <w:i w:val="0"/>
          <w:smallCaps w:val="0"/>
        </w:rPr>
        <w:footnoteRef/>
      </w:r>
      <w:r w:rsidRPr="0077069B">
        <w:rPr>
          <w:i w:val="0"/>
          <w:smallCaps w:val="0"/>
        </w:rPr>
        <w:t xml:space="preserve"> </w:t>
      </w:r>
      <w:r>
        <w:rPr>
          <w:i w:val="0"/>
          <w:smallCaps w:val="0"/>
        </w:rPr>
        <w:t xml:space="preserve">V. </w:t>
      </w:r>
      <w:proofErr w:type="spellStart"/>
      <w:r>
        <w:rPr>
          <w:smallCaps w:val="0"/>
        </w:rPr>
        <w:t>supra</w:t>
      </w:r>
      <w:proofErr w:type="spellEnd"/>
      <w:r>
        <w:rPr>
          <w:smallCaps w:val="0"/>
        </w:rPr>
        <w:t xml:space="preserve">, </w:t>
      </w:r>
      <w:r>
        <w:rPr>
          <w:i w:val="0"/>
          <w:smallCaps w:val="0"/>
        </w:rPr>
        <w:t>§ 8.2.</w:t>
      </w:r>
    </w:p>
  </w:footnote>
  <w:footnote w:id="178">
    <w:p w:rsidR="00BE7D77" w:rsidRPr="00BE426C" w:rsidRDefault="00BE7D77" w:rsidP="0077069B">
      <w:pPr>
        <w:pStyle w:val="Testonotaapidipagina"/>
        <w:jc w:val="both"/>
        <w:rPr>
          <w:i w:val="0"/>
          <w:smallCaps w:val="0"/>
        </w:rPr>
      </w:pPr>
      <w:r w:rsidRPr="0077069B">
        <w:rPr>
          <w:rStyle w:val="Rimandonotaapidipagina"/>
          <w:i w:val="0"/>
          <w:smallCaps w:val="0"/>
        </w:rPr>
        <w:footnoteRef/>
      </w:r>
      <w:r w:rsidRPr="0077069B">
        <w:rPr>
          <w:i w:val="0"/>
          <w:smallCaps w:val="0"/>
        </w:rPr>
        <w:t xml:space="preserve"> </w:t>
      </w:r>
      <w:r>
        <w:rPr>
          <w:i w:val="0"/>
          <w:smallCaps w:val="0"/>
        </w:rPr>
        <w:t xml:space="preserve">Non è certo questa la sede per richiamare l’amplissimo dibattito sviluppatosi negli ultimi decenni in ordine alla trasformazione del processo amministrativo da giudizio sull’atto a giudizio sul rapporto: in via generale, ci si permette di rinviare a R. GRECO, </w:t>
      </w:r>
      <w:r>
        <w:rPr>
          <w:smallCaps w:val="0"/>
        </w:rPr>
        <w:t xml:space="preserve">op. cit., </w:t>
      </w:r>
      <w:r>
        <w:rPr>
          <w:i w:val="0"/>
          <w:smallCaps w:val="0"/>
        </w:rPr>
        <w:t>pp. 112-113 (con richiami di dottrina e giurisprudenza).</w:t>
      </w:r>
    </w:p>
  </w:footnote>
  <w:footnote w:id="179">
    <w:p w:rsidR="00BE7D77" w:rsidRPr="00940059" w:rsidRDefault="00BE7D77" w:rsidP="00940059">
      <w:pPr>
        <w:pStyle w:val="Testonotaapidipagina"/>
        <w:jc w:val="both"/>
        <w:rPr>
          <w:smallCaps w:val="0"/>
        </w:rPr>
      </w:pPr>
      <w:r w:rsidRPr="00940059">
        <w:rPr>
          <w:rStyle w:val="Rimandonotaapidipagina"/>
          <w:i w:val="0"/>
        </w:rPr>
        <w:footnoteRef/>
      </w:r>
      <w:r w:rsidRPr="00940059">
        <w:rPr>
          <w:i w:val="0"/>
        </w:rPr>
        <w:t xml:space="preserve"> </w:t>
      </w:r>
      <w:r>
        <w:rPr>
          <w:i w:val="0"/>
        </w:rPr>
        <w:t>L’</w:t>
      </w:r>
      <w:r>
        <w:rPr>
          <w:i w:val="0"/>
          <w:smallCaps w:val="0"/>
        </w:rPr>
        <w:t xml:space="preserve">espressione è di A. POLICE, </w:t>
      </w:r>
      <w:r>
        <w:rPr>
          <w:smallCaps w:val="0"/>
        </w:rPr>
        <w:t>op. cit.</w:t>
      </w:r>
    </w:p>
  </w:footnote>
  <w:footnote w:id="180">
    <w:p w:rsidR="00BE7D77" w:rsidRPr="00BE426C" w:rsidRDefault="00BE7D77" w:rsidP="00BE426C">
      <w:pPr>
        <w:pStyle w:val="Testonotaapidipagina"/>
        <w:jc w:val="both"/>
        <w:rPr>
          <w:i w:val="0"/>
          <w:smallCaps w:val="0"/>
        </w:rPr>
      </w:pPr>
      <w:r w:rsidRPr="00BE426C">
        <w:rPr>
          <w:rStyle w:val="Rimandonotaapidipagina"/>
          <w:i w:val="0"/>
          <w:smallCaps w:val="0"/>
        </w:rPr>
        <w:footnoteRef/>
      </w:r>
      <w:r w:rsidRPr="00BE426C">
        <w:rPr>
          <w:i w:val="0"/>
          <w:smallCaps w:val="0"/>
        </w:rPr>
        <w:t xml:space="preserve"> </w:t>
      </w:r>
      <w:r>
        <w:rPr>
          <w:i w:val="0"/>
          <w:smallCaps w:val="0"/>
        </w:rPr>
        <w:t xml:space="preserve">Sul punto, cfr. A. CARIOLA, </w:t>
      </w:r>
      <w:r>
        <w:rPr>
          <w:smallCaps w:val="0"/>
        </w:rPr>
        <w:t xml:space="preserve">op. cit. </w:t>
      </w:r>
      <w:r>
        <w:rPr>
          <w:i w:val="0"/>
          <w:smallCaps w:val="0"/>
        </w:rPr>
        <w:t>(nell’ambito però di un’impostazione che qualifica espressamente come “</w:t>
      </w:r>
      <w:r>
        <w:rPr>
          <w:smallCaps w:val="0"/>
        </w:rPr>
        <w:t>debole</w:t>
      </w:r>
      <w:r>
        <w:rPr>
          <w:i w:val="0"/>
          <w:smallCaps w:val="0"/>
        </w:rPr>
        <w:t xml:space="preserve">” il sindacato di fatto esercitato dai Tar e dal Consiglio di Stato sulle informative </w:t>
      </w:r>
      <w:proofErr w:type="spellStart"/>
      <w:r>
        <w:rPr>
          <w:i w:val="0"/>
          <w:smallCaps w:val="0"/>
        </w:rPr>
        <w:t>interdittive</w:t>
      </w:r>
      <w:proofErr w:type="spellEnd"/>
      <w:r>
        <w:rPr>
          <w:i w:val="0"/>
          <w:smallCaps w:val="0"/>
        </w:rPr>
        <w:t>).</w:t>
      </w:r>
    </w:p>
  </w:footnote>
  <w:footnote w:id="181">
    <w:p w:rsidR="00BE7D77" w:rsidRPr="00146750" w:rsidRDefault="00BE7D77" w:rsidP="00146750">
      <w:pPr>
        <w:pStyle w:val="Testonotaapidipagina"/>
        <w:jc w:val="both"/>
        <w:rPr>
          <w:i w:val="0"/>
          <w:smallCaps w:val="0"/>
        </w:rPr>
      </w:pPr>
      <w:r w:rsidRPr="00146750">
        <w:rPr>
          <w:rStyle w:val="Rimandonotaapidipagina"/>
          <w:i w:val="0"/>
          <w:smallCaps w:val="0"/>
        </w:rPr>
        <w:footnoteRef/>
      </w:r>
      <w:r w:rsidRPr="00146750">
        <w:rPr>
          <w:i w:val="0"/>
          <w:smallCaps w:val="0"/>
        </w:rPr>
        <w:t xml:space="preserve"> </w:t>
      </w:r>
      <w:r>
        <w:rPr>
          <w:i w:val="0"/>
          <w:smallCaps w:val="0"/>
        </w:rPr>
        <w:t xml:space="preserve">Così M. NOCCELLI, </w:t>
      </w:r>
      <w:r w:rsidRPr="0015214A">
        <w:rPr>
          <w:smallCaps w:val="0"/>
        </w:rPr>
        <w:t>I più recenti orientamenti della</w:t>
      </w:r>
      <w:r>
        <w:rPr>
          <w:smallCaps w:val="0"/>
        </w:rPr>
        <w:t xml:space="preserve"> giurisprudenza amministrativa sul complesso sistema antimafia, </w:t>
      </w:r>
      <w:r>
        <w:rPr>
          <w:i w:val="0"/>
          <w:smallCaps w:val="0"/>
        </w:rPr>
        <w:t>cit., p. 2526.</w:t>
      </w:r>
    </w:p>
  </w:footnote>
  <w:footnote w:id="182">
    <w:p w:rsidR="00BE7D77" w:rsidRPr="009B5956" w:rsidRDefault="00BE7D77" w:rsidP="00146750">
      <w:pPr>
        <w:pStyle w:val="Testonotaapidipagina"/>
        <w:jc w:val="both"/>
        <w:rPr>
          <w:i w:val="0"/>
          <w:smallCaps w:val="0"/>
        </w:rPr>
      </w:pPr>
      <w:r w:rsidRPr="00146750">
        <w:rPr>
          <w:rStyle w:val="Rimandonotaapidipagina"/>
          <w:i w:val="0"/>
          <w:smallCaps w:val="0"/>
        </w:rPr>
        <w:footnoteRef/>
      </w:r>
      <w:r w:rsidRPr="00146750">
        <w:rPr>
          <w:i w:val="0"/>
          <w:smallCaps w:val="0"/>
        </w:rPr>
        <w:t xml:space="preserve"> </w:t>
      </w:r>
      <w:r>
        <w:rPr>
          <w:i w:val="0"/>
          <w:smallCaps w:val="0"/>
        </w:rPr>
        <w:t xml:space="preserve">Il principio di concentrazione delle tutele, introdotto dalle Sezioni unite della Corte di cassazione nella sentenza n. 4636 del 28 febbraio 2007 per legittimare, con il richiamo alle esigenze di ragionevole durata del processo </w:t>
      </w:r>
      <w:r>
        <w:rPr>
          <w:smallCaps w:val="0"/>
        </w:rPr>
        <w:t xml:space="preserve">ex </w:t>
      </w:r>
      <w:r>
        <w:rPr>
          <w:i w:val="0"/>
          <w:smallCaps w:val="0"/>
        </w:rPr>
        <w:t xml:space="preserve">articolo 111, secondo comma, </w:t>
      </w:r>
      <w:proofErr w:type="spellStart"/>
      <w:r>
        <w:rPr>
          <w:i w:val="0"/>
          <w:smallCaps w:val="0"/>
        </w:rPr>
        <w:t>Cost</w:t>
      </w:r>
      <w:proofErr w:type="spellEnd"/>
      <w:r>
        <w:rPr>
          <w:i w:val="0"/>
          <w:smallCaps w:val="0"/>
        </w:rPr>
        <w:t xml:space="preserve">., l’introduzione nel sistema della </w:t>
      </w:r>
      <w:proofErr w:type="spellStart"/>
      <w:r>
        <w:rPr>
          <w:smallCaps w:val="0"/>
        </w:rPr>
        <w:t>translatio</w:t>
      </w:r>
      <w:proofErr w:type="spellEnd"/>
      <w:r>
        <w:rPr>
          <w:smallCaps w:val="0"/>
        </w:rPr>
        <w:t xml:space="preserve"> </w:t>
      </w:r>
      <w:proofErr w:type="spellStart"/>
      <w:r>
        <w:rPr>
          <w:smallCaps w:val="0"/>
        </w:rPr>
        <w:t>iudicii</w:t>
      </w:r>
      <w:proofErr w:type="spellEnd"/>
      <w:r>
        <w:rPr>
          <w:smallCaps w:val="0"/>
        </w:rPr>
        <w:t xml:space="preserve"> </w:t>
      </w:r>
      <w:r>
        <w:rPr>
          <w:i w:val="0"/>
          <w:smallCaps w:val="0"/>
        </w:rPr>
        <w:t>intesa come “</w:t>
      </w:r>
      <w:r>
        <w:rPr>
          <w:smallCaps w:val="0"/>
        </w:rPr>
        <w:t>comunicabilità</w:t>
      </w:r>
      <w:r>
        <w:rPr>
          <w:i w:val="0"/>
          <w:smallCaps w:val="0"/>
        </w:rPr>
        <w:t xml:space="preserve">” tra giudici appartenenti a giurisdizioni diverse, è stato poi recepito e regolato dal legislatore con successivi interventi normativi (e, da ultimo, con l’articolo 7, comma 7, del codice del processo amministrativo), e successivamente impiegato anche in funzione di semplificazione della tutela stessa, p.es. con riferimento alle vicende del contratto di appalto conseguenti all’esercizio del potere di autotutela da parte della stazione appaltante: sul punto cfr. V. FANTI, </w:t>
      </w:r>
      <w:r>
        <w:rPr>
          <w:smallCaps w:val="0"/>
        </w:rPr>
        <w:t xml:space="preserve">La giurisdizione sugli atti prodromici e successivi alla sottoscrizione del contratto, </w:t>
      </w:r>
      <w:r>
        <w:rPr>
          <w:i w:val="0"/>
          <w:smallCaps w:val="0"/>
        </w:rPr>
        <w:t xml:space="preserve">in E. FOLLIERI – A. BARONE (a cura di), </w:t>
      </w:r>
      <w:r>
        <w:rPr>
          <w:smallCaps w:val="0"/>
        </w:rPr>
        <w:t xml:space="preserve">I principi vincolanti dell’Adunanza plenaria del Consiglio di Stato sul codice del processo amministrativo (2010-2015), </w:t>
      </w:r>
      <w:r>
        <w:rPr>
          <w:i w:val="0"/>
          <w:smallCaps w:val="0"/>
        </w:rPr>
        <w:t>Padova, 2015, pp. 108 ss.</w:t>
      </w:r>
    </w:p>
  </w:footnote>
  <w:footnote w:id="183">
    <w:p w:rsidR="00BE7D77" w:rsidRPr="00D03965" w:rsidRDefault="00BE7D77" w:rsidP="00D03965">
      <w:pPr>
        <w:pStyle w:val="Testonotaapidipagina"/>
        <w:jc w:val="both"/>
        <w:rPr>
          <w:i w:val="0"/>
          <w:smallCaps w:val="0"/>
        </w:rPr>
      </w:pPr>
      <w:r w:rsidRPr="00D03965">
        <w:rPr>
          <w:rStyle w:val="Rimandonotaapidipagina"/>
          <w:i w:val="0"/>
          <w:smallCaps w:val="0"/>
        </w:rPr>
        <w:footnoteRef/>
      </w:r>
      <w:r w:rsidRPr="00D03965">
        <w:rPr>
          <w:i w:val="0"/>
          <w:smallCaps w:val="0"/>
        </w:rPr>
        <w:t xml:space="preserve"> </w:t>
      </w:r>
      <w:r>
        <w:rPr>
          <w:i w:val="0"/>
          <w:smallCaps w:val="0"/>
        </w:rPr>
        <w:t xml:space="preserve">Cfr. </w:t>
      </w:r>
      <w:proofErr w:type="spellStart"/>
      <w:r>
        <w:rPr>
          <w:i w:val="0"/>
          <w:smallCaps w:val="0"/>
        </w:rPr>
        <w:t>Cass</w:t>
      </w:r>
      <w:proofErr w:type="spellEnd"/>
      <w:r>
        <w:rPr>
          <w:i w:val="0"/>
          <w:smallCaps w:val="0"/>
        </w:rPr>
        <w:t xml:space="preserve">. civ., sez. un., </w:t>
      </w:r>
      <w:proofErr w:type="spellStart"/>
      <w:r>
        <w:rPr>
          <w:i w:val="0"/>
          <w:smallCaps w:val="0"/>
        </w:rPr>
        <w:t>ord</w:t>
      </w:r>
      <w:proofErr w:type="spellEnd"/>
      <w:r>
        <w:rPr>
          <w:i w:val="0"/>
          <w:smallCaps w:val="0"/>
        </w:rPr>
        <w:t xml:space="preserve">. 18 novembre 2016, n. 23468; id., </w:t>
      </w:r>
      <w:proofErr w:type="spellStart"/>
      <w:r>
        <w:rPr>
          <w:i w:val="0"/>
          <w:smallCaps w:val="0"/>
        </w:rPr>
        <w:t>ord</w:t>
      </w:r>
      <w:proofErr w:type="spellEnd"/>
      <w:r>
        <w:rPr>
          <w:i w:val="0"/>
          <w:smallCaps w:val="0"/>
        </w:rPr>
        <w:t xml:space="preserve">. 29 agosto 2008, n. 21928; </w:t>
      </w:r>
      <w:proofErr w:type="spellStart"/>
      <w:r>
        <w:rPr>
          <w:i w:val="0"/>
          <w:smallCaps w:val="0"/>
        </w:rPr>
        <w:t>Cons</w:t>
      </w:r>
      <w:proofErr w:type="spellEnd"/>
      <w:r>
        <w:rPr>
          <w:i w:val="0"/>
          <w:smallCaps w:val="0"/>
        </w:rPr>
        <w:t xml:space="preserve">. Stato, ad. </w:t>
      </w:r>
      <w:proofErr w:type="spellStart"/>
      <w:r>
        <w:rPr>
          <w:i w:val="0"/>
          <w:smallCaps w:val="0"/>
        </w:rPr>
        <w:t>pl</w:t>
      </w:r>
      <w:proofErr w:type="spellEnd"/>
      <w:r>
        <w:rPr>
          <w:i w:val="0"/>
          <w:smallCaps w:val="0"/>
        </w:rPr>
        <w:t>., 6 aprile 2018, n. 3; id., sez. III, 26 gennaio 2017, n. 319; id., 20 luglio 2016, n. 3247.</w:t>
      </w:r>
    </w:p>
  </w:footnote>
  <w:footnote w:id="184">
    <w:p w:rsidR="00BE7D77" w:rsidRPr="00EB22EE" w:rsidRDefault="00BE7D77" w:rsidP="00EB22EE">
      <w:pPr>
        <w:pStyle w:val="Testonotaapidipagina"/>
        <w:jc w:val="both"/>
        <w:rPr>
          <w:i w:val="0"/>
          <w:smallCaps w:val="0"/>
        </w:rPr>
      </w:pPr>
      <w:r w:rsidRPr="00EB22EE">
        <w:rPr>
          <w:rStyle w:val="Rimandonotaapidipagina"/>
          <w:i w:val="0"/>
          <w:smallCaps w:val="0"/>
        </w:rPr>
        <w:footnoteRef/>
      </w:r>
      <w:r w:rsidRPr="00EB22EE">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ad. </w:t>
      </w:r>
      <w:proofErr w:type="spellStart"/>
      <w:r>
        <w:rPr>
          <w:i w:val="0"/>
          <w:smallCaps w:val="0"/>
        </w:rPr>
        <w:t>pl</w:t>
      </w:r>
      <w:proofErr w:type="spellEnd"/>
      <w:r>
        <w:rPr>
          <w:i w:val="0"/>
          <w:smallCaps w:val="0"/>
        </w:rPr>
        <w:t>., 7 novembre 2014, n. 29.</w:t>
      </w:r>
    </w:p>
  </w:footnote>
  <w:footnote w:id="185">
    <w:p w:rsidR="00BE7D77" w:rsidRPr="00EB22EE" w:rsidRDefault="00BE7D77" w:rsidP="00EB22EE">
      <w:pPr>
        <w:pStyle w:val="Testonotaapidipagina"/>
        <w:jc w:val="both"/>
        <w:rPr>
          <w:i w:val="0"/>
          <w:smallCaps w:val="0"/>
        </w:rPr>
      </w:pPr>
      <w:r w:rsidRPr="00EB22EE">
        <w:rPr>
          <w:rStyle w:val="Rimandonotaapidipagina"/>
          <w:i w:val="0"/>
          <w:smallCaps w:val="0"/>
        </w:rPr>
        <w:footnoteRef/>
      </w:r>
      <w:r w:rsidRPr="00EB22EE">
        <w:rPr>
          <w:i w:val="0"/>
          <w:smallCaps w:val="0"/>
        </w:rPr>
        <w:t xml:space="preserve"> </w:t>
      </w:r>
      <w:r>
        <w:rPr>
          <w:i w:val="0"/>
          <w:smallCaps w:val="0"/>
        </w:rPr>
        <w:t xml:space="preserve">Cfr. </w:t>
      </w:r>
      <w:proofErr w:type="spellStart"/>
      <w:r>
        <w:rPr>
          <w:i w:val="0"/>
          <w:smallCaps w:val="0"/>
        </w:rPr>
        <w:t>Cons</w:t>
      </w:r>
      <w:proofErr w:type="spellEnd"/>
      <w:r>
        <w:rPr>
          <w:i w:val="0"/>
          <w:smallCaps w:val="0"/>
        </w:rPr>
        <w:t xml:space="preserve">. Stato, ad. </w:t>
      </w:r>
      <w:proofErr w:type="spellStart"/>
      <w:r>
        <w:rPr>
          <w:i w:val="0"/>
          <w:smallCaps w:val="0"/>
        </w:rPr>
        <w:t>pl</w:t>
      </w:r>
      <w:proofErr w:type="spellEnd"/>
      <w:r>
        <w:rPr>
          <w:i w:val="0"/>
          <w:smallCaps w:val="0"/>
        </w:rPr>
        <w:t>., 28 gennaio 2022, n. 3.</w:t>
      </w:r>
    </w:p>
  </w:footnote>
  <w:footnote w:id="186">
    <w:p w:rsidR="00BE7D77" w:rsidRPr="00F96607" w:rsidRDefault="00BE7D77" w:rsidP="00F96607">
      <w:pPr>
        <w:pStyle w:val="Testonotaapidipagina"/>
        <w:jc w:val="both"/>
        <w:rPr>
          <w:i w:val="0"/>
          <w:smallCaps w:val="0"/>
        </w:rPr>
      </w:pPr>
      <w:r w:rsidRPr="00F96607">
        <w:rPr>
          <w:rStyle w:val="Rimandonotaapidipagina"/>
          <w:i w:val="0"/>
          <w:smallCaps w:val="0"/>
        </w:rPr>
        <w:footnoteRef/>
      </w:r>
      <w:r w:rsidRPr="00F96607">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3 ottobre 2023, n. 8643; id.</w:t>
      </w:r>
      <w:r w:rsidRPr="00F96607">
        <w:rPr>
          <w:i w:val="0"/>
          <w:smallCaps w:val="0"/>
        </w:rPr>
        <w:t>, 14 ottobre 2020</w:t>
      </w:r>
      <w:r>
        <w:rPr>
          <w:i w:val="0"/>
          <w:smallCaps w:val="0"/>
        </w:rPr>
        <w:t>,</w:t>
      </w:r>
      <w:r w:rsidRPr="00F96607">
        <w:rPr>
          <w:i w:val="0"/>
          <w:smallCaps w:val="0"/>
        </w:rPr>
        <w:t xml:space="preserve"> n. 6205</w:t>
      </w:r>
      <w:r>
        <w:rPr>
          <w:i w:val="0"/>
          <w:smallCaps w:val="0"/>
        </w:rPr>
        <w:t>; id.,</w:t>
      </w:r>
      <w:r w:rsidRPr="00F96607">
        <w:rPr>
          <w:i w:val="0"/>
          <w:smallCaps w:val="0"/>
        </w:rPr>
        <w:t xml:space="preserve"> 22 gennaio 2019</w:t>
      </w:r>
      <w:r>
        <w:rPr>
          <w:i w:val="0"/>
          <w:smallCaps w:val="0"/>
        </w:rPr>
        <w:t>,</w:t>
      </w:r>
      <w:r w:rsidRPr="00F96607">
        <w:rPr>
          <w:i w:val="0"/>
          <w:smallCaps w:val="0"/>
        </w:rPr>
        <w:t xml:space="preserve"> n. 539</w:t>
      </w:r>
      <w:r>
        <w:rPr>
          <w:i w:val="0"/>
          <w:smallCaps w:val="0"/>
        </w:rPr>
        <w:t>; id.,</w:t>
      </w:r>
      <w:r w:rsidRPr="00F96607">
        <w:rPr>
          <w:i w:val="0"/>
          <w:smallCaps w:val="0"/>
        </w:rPr>
        <w:t xml:space="preserve"> 16 maggio 2018</w:t>
      </w:r>
      <w:r>
        <w:rPr>
          <w:i w:val="0"/>
          <w:smallCaps w:val="0"/>
        </w:rPr>
        <w:t>,</w:t>
      </w:r>
      <w:r w:rsidRPr="00F96607">
        <w:rPr>
          <w:i w:val="0"/>
          <w:smallCaps w:val="0"/>
        </w:rPr>
        <w:t xml:space="preserve"> n. 2895</w:t>
      </w:r>
      <w:r>
        <w:rPr>
          <w:i w:val="0"/>
          <w:smallCaps w:val="0"/>
        </w:rPr>
        <w:t xml:space="preserve">; id., </w:t>
      </w:r>
      <w:r w:rsidRPr="00F96607">
        <w:rPr>
          <w:i w:val="0"/>
          <w:smallCaps w:val="0"/>
        </w:rPr>
        <w:t xml:space="preserve">11 maggio 2018 </w:t>
      </w:r>
      <w:proofErr w:type="spellStart"/>
      <w:r w:rsidRPr="00F96607">
        <w:rPr>
          <w:i w:val="0"/>
          <w:smallCaps w:val="0"/>
        </w:rPr>
        <w:t>nn</w:t>
      </w:r>
      <w:proofErr w:type="spellEnd"/>
      <w:r w:rsidRPr="00F96607">
        <w:rPr>
          <w:i w:val="0"/>
          <w:smallCaps w:val="0"/>
        </w:rPr>
        <w:t>. 2824 e 2829</w:t>
      </w:r>
      <w:r>
        <w:rPr>
          <w:i w:val="0"/>
          <w:smallCaps w:val="0"/>
        </w:rPr>
        <w:t>.</w:t>
      </w:r>
    </w:p>
  </w:footnote>
  <w:footnote w:id="187">
    <w:p w:rsidR="00BE7D77" w:rsidRPr="005C3009" w:rsidRDefault="00BE7D77" w:rsidP="005C3009">
      <w:pPr>
        <w:pStyle w:val="Testonotaapidipagina"/>
        <w:jc w:val="both"/>
        <w:rPr>
          <w:i w:val="0"/>
          <w:smallCaps w:val="0"/>
        </w:rPr>
      </w:pPr>
      <w:r w:rsidRPr="005C3009">
        <w:rPr>
          <w:rStyle w:val="Rimandonotaapidipagina"/>
          <w:i w:val="0"/>
          <w:smallCaps w:val="0"/>
        </w:rPr>
        <w:footnoteRef/>
      </w:r>
      <w:r w:rsidRPr="005C3009">
        <w:rPr>
          <w:i w:val="0"/>
          <w:smallCaps w:val="0"/>
        </w:rPr>
        <w:t xml:space="preserve"> </w:t>
      </w:r>
      <w:r>
        <w:rPr>
          <w:i w:val="0"/>
          <w:smallCaps w:val="0"/>
        </w:rPr>
        <w:t xml:space="preserve">Cfr. Tar Sicilia, Catania, sez. IV, 1 maggio 2022, n. 1219, secondo cui, poiché alla conclusione del controllo giudiziario, anche in caso di esito negativo dello stesso, la Prefettura dovrà necessariamente emettere un nuovo provvedimento </w:t>
      </w:r>
      <w:proofErr w:type="spellStart"/>
      <w:r>
        <w:rPr>
          <w:i w:val="0"/>
          <w:smallCaps w:val="0"/>
        </w:rPr>
        <w:t>interdittivo</w:t>
      </w:r>
      <w:proofErr w:type="spellEnd"/>
      <w:r>
        <w:rPr>
          <w:i w:val="0"/>
          <w:smallCaps w:val="0"/>
        </w:rPr>
        <w:t xml:space="preserve">, la semplice ammissione dell’impresa al controllo giudiziario produce l’effetto di far venir meno l’interesse all’impugnazione dell’originaria </w:t>
      </w:r>
      <w:proofErr w:type="spellStart"/>
      <w:r>
        <w:rPr>
          <w:i w:val="0"/>
          <w:smallCaps w:val="0"/>
        </w:rPr>
        <w:t>interdittiva</w:t>
      </w:r>
      <w:proofErr w:type="spellEnd"/>
      <w:r>
        <w:rPr>
          <w:i w:val="0"/>
          <w:smallCaps w:val="0"/>
        </w:rPr>
        <w:t>, rendendo il relativo ricorso improcedibile.</w:t>
      </w:r>
    </w:p>
  </w:footnote>
  <w:footnote w:id="188">
    <w:p w:rsidR="00BE7D77" w:rsidRPr="005C3009" w:rsidRDefault="00BE7D77" w:rsidP="005C3009">
      <w:pPr>
        <w:pStyle w:val="Testonotaapidipagina"/>
        <w:jc w:val="both"/>
        <w:rPr>
          <w:i w:val="0"/>
          <w:smallCaps w:val="0"/>
        </w:rPr>
      </w:pPr>
      <w:r w:rsidRPr="005C3009">
        <w:rPr>
          <w:rStyle w:val="Rimandonotaapidipagina"/>
          <w:i w:val="0"/>
          <w:smallCaps w:val="0"/>
        </w:rPr>
        <w:footnoteRef/>
      </w:r>
      <w:r w:rsidRPr="005C3009">
        <w:rPr>
          <w:i w:val="0"/>
          <w:smallCaps w:val="0"/>
        </w:rPr>
        <w:t xml:space="preserve"> </w:t>
      </w:r>
      <w:r>
        <w:rPr>
          <w:i w:val="0"/>
          <w:smallCaps w:val="0"/>
        </w:rPr>
        <w:t xml:space="preserve">V. </w:t>
      </w:r>
      <w:proofErr w:type="spellStart"/>
      <w:r>
        <w:rPr>
          <w:smallCaps w:val="0"/>
        </w:rPr>
        <w:t>supra</w:t>
      </w:r>
      <w:proofErr w:type="spellEnd"/>
      <w:r>
        <w:rPr>
          <w:smallCaps w:val="0"/>
        </w:rPr>
        <w:t xml:space="preserve">, </w:t>
      </w:r>
      <w:r>
        <w:rPr>
          <w:i w:val="0"/>
          <w:smallCaps w:val="0"/>
        </w:rPr>
        <w:t>§ 9.2.</w:t>
      </w:r>
    </w:p>
  </w:footnote>
  <w:footnote w:id="189">
    <w:p w:rsidR="00BE7D77" w:rsidRPr="00802A29" w:rsidRDefault="00BE7D77" w:rsidP="00802A29">
      <w:pPr>
        <w:pStyle w:val="Testonotaapidipagina"/>
        <w:jc w:val="both"/>
        <w:rPr>
          <w:i w:val="0"/>
          <w:smallCaps w:val="0"/>
        </w:rPr>
      </w:pPr>
      <w:r w:rsidRPr="00802A29">
        <w:rPr>
          <w:rStyle w:val="Rimandonotaapidipagina"/>
          <w:i w:val="0"/>
          <w:smallCaps w:val="0"/>
        </w:rPr>
        <w:footnoteRef/>
      </w:r>
      <w:r w:rsidRPr="00802A29">
        <w:rPr>
          <w:i w:val="0"/>
          <w:smallCaps w:val="0"/>
        </w:rPr>
        <w:t xml:space="preserve"> </w:t>
      </w:r>
      <w:r>
        <w:rPr>
          <w:i w:val="0"/>
          <w:smallCaps w:val="0"/>
        </w:rPr>
        <w:t xml:space="preserve">Si noti però che l’Adunanza plenaria del Consiglio di Stato ha ritenuto destituita di fondatezza, per carenza di base testuale, la tesi </w:t>
      </w:r>
      <w:r w:rsidR="00CD0E84">
        <w:rPr>
          <w:i w:val="0"/>
          <w:smallCaps w:val="0"/>
        </w:rPr>
        <w:t xml:space="preserve">opposta </w:t>
      </w:r>
      <w:r>
        <w:rPr>
          <w:i w:val="0"/>
          <w:smallCaps w:val="0"/>
        </w:rPr>
        <w:t xml:space="preserve">secondo cui l’impugnazione giudiziale, la quale costituisce condizione per l’ammissione al controllo giudiziale, debba necessariamente sussistere per tutto il periodo di durata dello stesso: cfr. </w:t>
      </w:r>
      <w:proofErr w:type="spellStart"/>
      <w:r>
        <w:rPr>
          <w:i w:val="0"/>
          <w:smallCaps w:val="0"/>
        </w:rPr>
        <w:t>Cons</w:t>
      </w:r>
      <w:proofErr w:type="spellEnd"/>
      <w:r>
        <w:rPr>
          <w:i w:val="0"/>
          <w:smallCaps w:val="0"/>
        </w:rPr>
        <w:t xml:space="preserve">. Stato, ad. </w:t>
      </w:r>
      <w:proofErr w:type="spellStart"/>
      <w:r>
        <w:rPr>
          <w:i w:val="0"/>
          <w:smallCaps w:val="0"/>
        </w:rPr>
        <w:t>pl</w:t>
      </w:r>
      <w:proofErr w:type="spellEnd"/>
      <w:r>
        <w:rPr>
          <w:i w:val="0"/>
          <w:smallCaps w:val="0"/>
        </w:rPr>
        <w:t>., 13 febbraio 2023, n. 8.</w:t>
      </w:r>
    </w:p>
  </w:footnote>
  <w:footnote w:id="190">
    <w:p w:rsidR="00BE7D77" w:rsidRPr="00E46835" w:rsidRDefault="00BE7D77" w:rsidP="00E46835">
      <w:pPr>
        <w:pStyle w:val="Testonotaapidipagina"/>
        <w:jc w:val="both"/>
        <w:rPr>
          <w:smallCaps w:val="0"/>
        </w:rPr>
      </w:pPr>
      <w:r w:rsidRPr="00E46835">
        <w:rPr>
          <w:rStyle w:val="Rimandonotaapidipagina"/>
          <w:i w:val="0"/>
          <w:smallCaps w:val="0"/>
        </w:rPr>
        <w:footnoteRef/>
      </w:r>
      <w:r w:rsidRPr="00E46835">
        <w:rPr>
          <w:i w:val="0"/>
          <w:smallCaps w:val="0"/>
        </w:rPr>
        <w:t xml:space="preserve"> </w:t>
      </w:r>
      <w:r>
        <w:rPr>
          <w:i w:val="0"/>
          <w:smallCaps w:val="0"/>
        </w:rPr>
        <w:t xml:space="preserve">Cfr. A. POLICE, </w:t>
      </w:r>
      <w:r>
        <w:rPr>
          <w:smallCaps w:val="0"/>
        </w:rPr>
        <w:t>op. cit.</w:t>
      </w:r>
      <w:r>
        <w:rPr>
          <w:i w:val="0"/>
          <w:smallCaps w:val="0"/>
        </w:rPr>
        <w:t xml:space="preserve">; A. CARIOLA, </w:t>
      </w:r>
      <w:r>
        <w:rPr>
          <w:smallCaps w:val="0"/>
        </w:rPr>
        <w:t>op. cit.</w:t>
      </w:r>
      <w:r>
        <w:rPr>
          <w:i w:val="0"/>
          <w:smallCaps w:val="0"/>
        </w:rPr>
        <w:t xml:space="preserve">; F.G. SCOCA, </w:t>
      </w:r>
      <w:r>
        <w:rPr>
          <w:smallCaps w:val="0"/>
        </w:rPr>
        <w:t>op. cit.</w:t>
      </w:r>
    </w:p>
  </w:footnote>
  <w:footnote w:id="191">
    <w:p w:rsidR="00BE7D77" w:rsidRPr="00E46835" w:rsidRDefault="00BE7D77" w:rsidP="00E46835">
      <w:pPr>
        <w:pStyle w:val="Testonotaapidipagina"/>
        <w:jc w:val="both"/>
        <w:rPr>
          <w:i w:val="0"/>
          <w:smallCaps w:val="0"/>
        </w:rPr>
      </w:pPr>
      <w:r w:rsidRPr="00E46835">
        <w:rPr>
          <w:rStyle w:val="Rimandonotaapidipagina"/>
          <w:i w:val="0"/>
          <w:smallCaps w:val="0"/>
        </w:rPr>
        <w:footnoteRef/>
      </w:r>
      <w:r w:rsidRPr="00E46835">
        <w:rPr>
          <w:i w:val="0"/>
          <w:smallCaps w:val="0"/>
        </w:rPr>
        <w:t xml:space="preserve"> </w:t>
      </w:r>
      <w:r>
        <w:rPr>
          <w:i w:val="0"/>
          <w:smallCaps w:val="0"/>
        </w:rPr>
        <w:t xml:space="preserve">In tema, cfr. R. GAROFOLI – G. FERRARI, </w:t>
      </w:r>
      <w:r>
        <w:rPr>
          <w:smallCaps w:val="0"/>
        </w:rPr>
        <w:t xml:space="preserve">op. cit., </w:t>
      </w:r>
      <w:r>
        <w:rPr>
          <w:i w:val="0"/>
          <w:smallCaps w:val="0"/>
        </w:rPr>
        <w:t>pp. 779 ss.</w:t>
      </w:r>
    </w:p>
  </w:footnote>
  <w:footnote w:id="192">
    <w:p w:rsidR="00BE7D77" w:rsidRPr="00E46835" w:rsidRDefault="00BE7D77" w:rsidP="00E46835">
      <w:pPr>
        <w:pStyle w:val="Testonotaapidipagina"/>
        <w:jc w:val="both"/>
        <w:rPr>
          <w:i w:val="0"/>
          <w:smallCaps w:val="0"/>
        </w:rPr>
      </w:pPr>
      <w:r w:rsidRPr="00E46835">
        <w:rPr>
          <w:rStyle w:val="Rimandonotaapidipagina"/>
          <w:i w:val="0"/>
          <w:smallCaps w:val="0"/>
        </w:rPr>
        <w:footnoteRef/>
      </w:r>
      <w:r w:rsidRPr="00E46835">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19 gennaio 2024, n. 614; id., 22 maggio 2023, n. 5024.</w:t>
      </w:r>
    </w:p>
  </w:footnote>
  <w:footnote w:id="193">
    <w:p w:rsidR="00BE7D77" w:rsidRPr="0016526F" w:rsidRDefault="00BE7D77" w:rsidP="0016526F">
      <w:pPr>
        <w:pStyle w:val="Testonotaapidipagina"/>
        <w:jc w:val="both"/>
        <w:rPr>
          <w:i w:val="0"/>
          <w:smallCaps w:val="0"/>
        </w:rPr>
      </w:pPr>
      <w:r w:rsidRPr="0016526F">
        <w:rPr>
          <w:rStyle w:val="Rimandonotaapidipagina"/>
          <w:i w:val="0"/>
          <w:smallCaps w:val="0"/>
        </w:rPr>
        <w:footnoteRef/>
      </w:r>
      <w:r w:rsidRPr="0016526F">
        <w:rPr>
          <w:i w:val="0"/>
          <w:smallCaps w:val="0"/>
        </w:rPr>
        <w:t xml:space="preserve"> </w:t>
      </w:r>
      <w:r>
        <w:rPr>
          <w:i w:val="0"/>
          <w:smallCaps w:val="0"/>
        </w:rPr>
        <w:t xml:space="preserve">V. </w:t>
      </w:r>
      <w:proofErr w:type="spellStart"/>
      <w:r>
        <w:rPr>
          <w:smallCaps w:val="0"/>
        </w:rPr>
        <w:t>supra</w:t>
      </w:r>
      <w:proofErr w:type="spellEnd"/>
      <w:r>
        <w:rPr>
          <w:smallCaps w:val="0"/>
        </w:rPr>
        <w:t xml:space="preserve">, </w:t>
      </w:r>
      <w:r>
        <w:rPr>
          <w:i w:val="0"/>
          <w:smallCaps w:val="0"/>
        </w:rPr>
        <w:t>§ 5.</w:t>
      </w:r>
    </w:p>
  </w:footnote>
  <w:footnote w:id="194">
    <w:p w:rsidR="00BE7D77" w:rsidRPr="0016526F" w:rsidRDefault="00BE7D77" w:rsidP="0016526F">
      <w:pPr>
        <w:pStyle w:val="Testonotaapidipagina"/>
        <w:jc w:val="both"/>
        <w:rPr>
          <w:i w:val="0"/>
          <w:smallCaps w:val="0"/>
        </w:rPr>
      </w:pPr>
      <w:r w:rsidRPr="0016526F">
        <w:rPr>
          <w:rStyle w:val="Rimandonotaapidipagina"/>
          <w:i w:val="0"/>
          <w:smallCaps w:val="0"/>
        </w:rPr>
        <w:footnoteRef/>
      </w:r>
      <w:r w:rsidRPr="0016526F">
        <w:rPr>
          <w:i w:val="0"/>
          <w:smallCaps w:val="0"/>
        </w:rPr>
        <w:t xml:space="preserve"> </w:t>
      </w:r>
      <w:r>
        <w:rPr>
          <w:i w:val="0"/>
          <w:smallCaps w:val="0"/>
        </w:rPr>
        <w:t xml:space="preserve">Così </w:t>
      </w:r>
      <w:proofErr w:type="spellStart"/>
      <w:r>
        <w:rPr>
          <w:i w:val="0"/>
          <w:smallCaps w:val="0"/>
        </w:rPr>
        <w:t>Cons</w:t>
      </w:r>
      <w:proofErr w:type="spellEnd"/>
      <w:r>
        <w:rPr>
          <w:i w:val="0"/>
          <w:smallCaps w:val="0"/>
        </w:rPr>
        <w:t>. Stato, sez. III, 4 marzo 2024, n. 2062.</w:t>
      </w:r>
    </w:p>
  </w:footnote>
  <w:footnote w:id="195">
    <w:p w:rsidR="00BE7D77" w:rsidRPr="0016526F" w:rsidRDefault="00BE7D77" w:rsidP="0016526F">
      <w:pPr>
        <w:pStyle w:val="Testonotaapidipagina"/>
        <w:jc w:val="both"/>
        <w:rPr>
          <w:i w:val="0"/>
          <w:smallCaps w:val="0"/>
        </w:rPr>
      </w:pPr>
      <w:r w:rsidRPr="0016526F">
        <w:rPr>
          <w:rStyle w:val="Rimandonotaapidipagina"/>
          <w:i w:val="0"/>
          <w:smallCaps w:val="0"/>
        </w:rPr>
        <w:footnoteRef/>
      </w:r>
      <w:r w:rsidRPr="0016526F">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28 febbraio 2024, n. 1941; id., 8 gennaio 2024, n. 1941; id., 17 ottobre 2023, n. 9016; id., 30 giugno 2022, n. 5462.</w:t>
      </w:r>
    </w:p>
  </w:footnote>
  <w:footnote w:id="196">
    <w:p w:rsidR="00BE7D77" w:rsidRPr="009457BE" w:rsidRDefault="00BE7D77" w:rsidP="009457BE">
      <w:pPr>
        <w:pStyle w:val="Testonotaapidipagina"/>
        <w:jc w:val="both"/>
        <w:rPr>
          <w:i w:val="0"/>
          <w:smallCaps w:val="0"/>
        </w:rPr>
      </w:pPr>
      <w:r w:rsidRPr="009457BE">
        <w:rPr>
          <w:rStyle w:val="Rimandonotaapidipagina"/>
          <w:i w:val="0"/>
          <w:smallCaps w:val="0"/>
        </w:rPr>
        <w:footnoteRef/>
      </w:r>
      <w:r w:rsidRPr="009457BE">
        <w:rPr>
          <w:i w:val="0"/>
          <w:smallCaps w:val="0"/>
        </w:rPr>
        <w:t xml:space="preserve"> </w:t>
      </w:r>
      <w:r>
        <w:rPr>
          <w:i w:val="0"/>
          <w:smallCaps w:val="0"/>
        </w:rPr>
        <w:t xml:space="preserve">Cfr. </w:t>
      </w:r>
      <w:proofErr w:type="spellStart"/>
      <w:r>
        <w:rPr>
          <w:i w:val="0"/>
          <w:smallCaps w:val="0"/>
        </w:rPr>
        <w:t>Cons</w:t>
      </w:r>
      <w:proofErr w:type="spellEnd"/>
      <w:r>
        <w:rPr>
          <w:i w:val="0"/>
          <w:smallCaps w:val="0"/>
        </w:rPr>
        <w:t>. Stato, sez. III; 28 febbraio 2024, n. 1941; id., 15 febbraio 2024, n. 1517; id., 31 gennaio 2024, n. 964; id., 12 settembre 2023, n. 8269.</w:t>
      </w:r>
    </w:p>
  </w:footnote>
  <w:footnote w:id="197">
    <w:p w:rsidR="00BE7D77" w:rsidRPr="009457BE" w:rsidRDefault="00BE7D77" w:rsidP="009457BE">
      <w:pPr>
        <w:pStyle w:val="Testonotaapidipagina"/>
        <w:jc w:val="both"/>
        <w:rPr>
          <w:i w:val="0"/>
          <w:smallCaps w:val="0"/>
        </w:rPr>
      </w:pPr>
      <w:r w:rsidRPr="009457BE">
        <w:rPr>
          <w:rStyle w:val="Rimandonotaapidipagina"/>
          <w:i w:val="0"/>
          <w:smallCaps w:val="0"/>
        </w:rPr>
        <w:footnoteRef/>
      </w:r>
      <w:r w:rsidRPr="009457BE">
        <w:rPr>
          <w:i w:val="0"/>
          <w:smallCaps w:val="0"/>
        </w:rPr>
        <w:t xml:space="preserve"> </w:t>
      </w:r>
      <w:r>
        <w:rPr>
          <w:i w:val="0"/>
          <w:smallCaps w:val="0"/>
        </w:rPr>
        <w:t xml:space="preserve">In generale, sull’effetto conformativo delle decisioni di annullamento del giudice amministrativo e sui rapporti tra giudicato amministrativo e riedizione del potere, cfr. R. GAROFOLI – G. FERRARI, </w:t>
      </w:r>
      <w:r>
        <w:rPr>
          <w:smallCaps w:val="0"/>
        </w:rPr>
        <w:t xml:space="preserve">op. cit., </w:t>
      </w:r>
      <w:r>
        <w:rPr>
          <w:i w:val="0"/>
          <w:smallCaps w:val="0"/>
        </w:rPr>
        <w:t>pp. 2166 ss.</w:t>
      </w:r>
    </w:p>
  </w:footnote>
  <w:footnote w:id="198">
    <w:p w:rsidR="00BE7D77" w:rsidRPr="00A75218" w:rsidRDefault="00BE7D77" w:rsidP="00A75218">
      <w:pPr>
        <w:pStyle w:val="Testonotaapidipagina"/>
        <w:jc w:val="both"/>
        <w:rPr>
          <w:i w:val="0"/>
          <w:smallCaps w:val="0"/>
        </w:rPr>
      </w:pPr>
      <w:r w:rsidRPr="00A75218">
        <w:rPr>
          <w:rStyle w:val="Rimandonotaapidipagina"/>
          <w:i w:val="0"/>
          <w:smallCaps w:val="0"/>
        </w:rPr>
        <w:footnoteRef/>
      </w:r>
      <w:r w:rsidRPr="00A75218">
        <w:rPr>
          <w:i w:val="0"/>
          <w:smallCaps w:val="0"/>
        </w:rPr>
        <w:t xml:space="preserve"> </w:t>
      </w:r>
      <w:r>
        <w:rPr>
          <w:i w:val="0"/>
          <w:smallCaps w:val="0"/>
        </w:rPr>
        <w:t xml:space="preserve">V. </w:t>
      </w:r>
      <w:proofErr w:type="spellStart"/>
      <w:r>
        <w:rPr>
          <w:smallCaps w:val="0"/>
        </w:rPr>
        <w:t>supra</w:t>
      </w:r>
      <w:proofErr w:type="spellEnd"/>
      <w:r>
        <w:rPr>
          <w:smallCaps w:val="0"/>
        </w:rPr>
        <w:t xml:space="preserve">, </w:t>
      </w:r>
      <w:r>
        <w:rPr>
          <w:i w:val="0"/>
          <w:smallCaps w:val="0"/>
        </w:rPr>
        <w:t>§ 1.</w:t>
      </w:r>
    </w:p>
  </w:footnote>
  <w:footnote w:id="199">
    <w:p w:rsidR="00BE7D77" w:rsidRPr="00A75218" w:rsidRDefault="00BE7D77" w:rsidP="00A75218">
      <w:pPr>
        <w:pStyle w:val="Testonotaapidipagina"/>
        <w:jc w:val="both"/>
        <w:rPr>
          <w:smallCaps w:val="0"/>
        </w:rPr>
      </w:pPr>
      <w:r w:rsidRPr="00A75218">
        <w:rPr>
          <w:rStyle w:val="Rimandonotaapidipagina"/>
          <w:i w:val="0"/>
          <w:smallCaps w:val="0"/>
        </w:rPr>
        <w:footnoteRef/>
      </w:r>
      <w:r w:rsidRPr="00A75218">
        <w:rPr>
          <w:i w:val="0"/>
          <w:smallCaps w:val="0"/>
        </w:rPr>
        <w:t xml:space="preserve"> </w:t>
      </w:r>
      <w:r>
        <w:rPr>
          <w:i w:val="0"/>
          <w:smallCaps w:val="0"/>
        </w:rPr>
        <w:t xml:space="preserve">Cfr. A. POLICE, </w:t>
      </w:r>
      <w:r>
        <w:rPr>
          <w:smallCaps w:val="0"/>
        </w:rPr>
        <w:t>op. cit.</w:t>
      </w:r>
    </w:p>
  </w:footnote>
  <w:footnote w:id="200">
    <w:p w:rsidR="00BE7D77" w:rsidRPr="00806D48" w:rsidRDefault="00BE7D77" w:rsidP="00806D48">
      <w:pPr>
        <w:pStyle w:val="Testonotaapidipagina"/>
        <w:jc w:val="both"/>
        <w:rPr>
          <w:i w:val="0"/>
          <w:smallCaps w:val="0"/>
        </w:rPr>
      </w:pPr>
      <w:r w:rsidRPr="00806D48">
        <w:rPr>
          <w:rStyle w:val="Rimandonotaapidipagina"/>
          <w:i w:val="0"/>
          <w:smallCaps w:val="0"/>
        </w:rPr>
        <w:footnoteRef/>
      </w:r>
      <w:r w:rsidRPr="00806D48">
        <w:rPr>
          <w:i w:val="0"/>
          <w:smallCaps w:val="0"/>
        </w:rPr>
        <w:t xml:space="preserve"> </w:t>
      </w:r>
      <w:r>
        <w:rPr>
          <w:i w:val="0"/>
          <w:smallCaps w:val="0"/>
        </w:rPr>
        <w:t>“</w:t>
      </w:r>
      <w:r w:rsidRPr="00806D48">
        <w:rPr>
          <w:smallCaps w:val="0"/>
          <w:shd w:val="clear" w:color="auto" w:fill="FFFFFF"/>
        </w:rPr>
        <w:t>Per le licenze ed autorizzazioni di polizia, ad eccezione di quelle relative alle armi, munizioni ed esplosivi, e per gli altri provvedimenti di cui al comma 1 le decadenze e i divieti previsti dal presente articolo possono essere esclusi dal giudice nel caso in cui per effetto degli stessi verrebbero a mancare i mezzi di sostentamento all</w:t>
      </w:r>
      <w:r>
        <w:rPr>
          <w:smallCaps w:val="0"/>
          <w:shd w:val="clear" w:color="auto" w:fill="FFFFFF"/>
        </w:rPr>
        <w:t>’</w:t>
      </w:r>
      <w:r w:rsidRPr="00806D48">
        <w:rPr>
          <w:smallCaps w:val="0"/>
          <w:shd w:val="clear" w:color="auto" w:fill="FFFFFF"/>
        </w:rPr>
        <w:t>interessato e alla famiglia</w:t>
      </w:r>
      <w:r>
        <w:rPr>
          <w:i w:val="0"/>
          <w:smallCaps w:val="0"/>
          <w:shd w:val="clear" w:color="auto" w:fill="FFFFFF"/>
        </w:rPr>
        <w:t>”.</w:t>
      </w:r>
    </w:p>
  </w:footnote>
  <w:footnote w:id="201">
    <w:p w:rsidR="00BE7D77" w:rsidRPr="00806D48" w:rsidRDefault="00BE7D77" w:rsidP="00806D48">
      <w:pPr>
        <w:pStyle w:val="Testonotaapidipagina"/>
        <w:jc w:val="both"/>
        <w:rPr>
          <w:i w:val="0"/>
          <w:smallCaps w:val="0"/>
        </w:rPr>
      </w:pPr>
      <w:r w:rsidRPr="00806D48">
        <w:rPr>
          <w:rStyle w:val="Rimandonotaapidipagina"/>
          <w:i w:val="0"/>
          <w:smallCaps w:val="0"/>
        </w:rPr>
        <w:footnoteRef/>
      </w:r>
      <w:r w:rsidRPr="00806D48">
        <w:rPr>
          <w:i w:val="0"/>
          <w:smallCaps w:val="0"/>
        </w:rPr>
        <w:t xml:space="preserve"> </w:t>
      </w:r>
      <w:r>
        <w:rPr>
          <w:i w:val="0"/>
          <w:smallCaps w:val="0"/>
        </w:rPr>
        <w:t xml:space="preserve">Cfr. Tar Calabria, Reggio Calabria, </w:t>
      </w:r>
      <w:proofErr w:type="spellStart"/>
      <w:r>
        <w:rPr>
          <w:i w:val="0"/>
          <w:smallCaps w:val="0"/>
        </w:rPr>
        <w:t>ord</w:t>
      </w:r>
      <w:proofErr w:type="spellEnd"/>
      <w:r>
        <w:rPr>
          <w:i w:val="0"/>
          <w:smallCaps w:val="0"/>
        </w:rPr>
        <w:t xml:space="preserve">. 11 dicembre 2020, n. 732, con cui è stata sollevata </w:t>
      </w:r>
      <w:r w:rsidRPr="00806D48">
        <w:rPr>
          <w:i w:val="0"/>
          <w:smallCaps w:val="0"/>
        </w:rPr>
        <w:t>questione di legittimità costituzionale dell’art</w:t>
      </w:r>
      <w:r>
        <w:rPr>
          <w:i w:val="0"/>
          <w:smallCaps w:val="0"/>
        </w:rPr>
        <w:t>icolo</w:t>
      </w:r>
      <w:r w:rsidRPr="00806D48">
        <w:rPr>
          <w:i w:val="0"/>
          <w:smallCaps w:val="0"/>
        </w:rPr>
        <w:t xml:space="preserve"> 92 del Codice antimafia, per violazione degli art</w:t>
      </w:r>
      <w:r>
        <w:rPr>
          <w:i w:val="0"/>
          <w:smallCaps w:val="0"/>
        </w:rPr>
        <w:t>icoli</w:t>
      </w:r>
      <w:r w:rsidRPr="00806D48">
        <w:rPr>
          <w:i w:val="0"/>
          <w:smallCaps w:val="0"/>
        </w:rPr>
        <w:t xml:space="preserve"> 3, 4 e 24 </w:t>
      </w:r>
      <w:r>
        <w:rPr>
          <w:i w:val="0"/>
          <w:smallCaps w:val="0"/>
        </w:rPr>
        <w:t xml:space="preserve">della </w:t>
      </w:r>
      <w:r w:rsidRPr="00806D48">
        <w:rPr>
          <w:i w:val="0"/>
          <w:smallCaps w:val="0"/>
        </w:rPr>
        <w:t>Cost</w:t>
      </w:r>
      <w:r>
        <w:rPr>
          <w:i w:val="0"/>
          <w:smallCaps w:val="0"/>
        </w:rPr>
        <w:t>ituzione</w:t>
      </w:r>
      <w:r w:rsidRPr="00806D48">
        <w:rPr>
          <w:i w:val="0"/>
          <w:smallCaps w:val="0"/>
        </w:rPr>
        <w:t xml:space="preserve">, nella parte in cui non prevede la possibilità per il Prefetto di modulare gli effetti </w:t>
      </w:r>
      <w:proofErr w:type="spellStart"/>
      <w:r w:rsidRPr="00806D48">
        <w:rPr>
          <w:i w:val="0"/>
          <w:smallCaps w:val="0"/>
        </w:rPr>
        <w:t>interdittivi</w:t>
      </w:r>
      <w:proofErr w:type="spellEnd"/>
      <w:r w:rsidRPr="00806D48">
        <w:rPr>
          <w:i w:val="0"/>
          <w:smallCaps w:val="0"/>
        </w:rPr>
        <w:t xml:space="preserve"> di cui all’art</w:t>
      </w:r>
      <w:r>
        <w:rPr>
          <w:i w:val="0"/>
          <w:smallCaps w:val="0"/>
        </w:rPr>
        <w:t>icolo</w:t>
      </w:r>
      <w:r w:rsidRPr="00806D48">
        <w:rPr>
          <w:i w:val="0"/>
          <w:smallCaps w:val="0"/>
        </w:rPr>
        <w:t xml:space="preserve"> 67 del medesimo Codice, analogamente a quanto consentito al </w:t>
      </w:r>
      <w:r>
        <w:rPr>
          <w:i w:val="0"/>
          <w:smallCaps w:val="0"/>
        </w:rPr>
        <w:t>g</w:t>
      </w:r>
      <w:r w:rsidRPr="00806D48">
        <w:rPr>
          <w:i w:val="0"/>
          <w:smallCaps w:val="0"/>
        </w:rPr>
        <w:t>iudice ai sensi del co</w:t>
      </w:r>
      <w:r>
        <w:rPr>
          <w:i w:val="0"/>
          <w:smallCaps w:val="0"/>
        </w:rPr>
        <w:t>mma</w:t>
      </w:r>
      <w:r w:rsidRPr="00806D48">
        <w:rPr>
          <w:i w:val="0"/>
          <w:smallCaps w:val="0"/>
        </w:rPr>
        <w:t xml:space="preserve"> 5 della medesima disposizione.</w:t>
      </w:r>
    </w:p>
  </w:footnote>
  <w:footnote w:id="202">
    <w:p w:rsidR="00BE7D77" w:rsidRPr="00806D48" w:rsidRDefault="00BE7D77" w:rsidP="00806D48">
      <w:pPr>
        <w:pStyle w:val="Testonotaapidipagina"/>
        <w:jc w:val="both"/>
        <w:rPr>
          <w:i w:val="0"/>
          <w:smallCaps w:val="0"/>
        </w:rPr>
      </w:pPr>
      <w:r w:rsidRPr="00806D48">
        <w:rPr>
          <w:rStyle w:val="Rimandonotaapidipagina"/>
          <w:i w:val="0"/>
          <w:smallCaps w:val="0"/>
        </w:rPr>
        <w:footnoteRef/>
      </w:r>
      <w:r w:rsidRPr="00806D48">
        <w:rPr>
          <w:i w:val="0"/>
          <w:smallCaps w:val="0"/>
        </w:rPr>
        <w:t xml:space="preserve"> </w:t>
      </w:r>
      <w:proofErr w:type="spellStart"/>
      <w:r>
        <w:rPr>
          <w:i w:val="0"/>
          <w:smallCaps w:val="0"/>
        </w:rPr>
        <w:t>Sent</w:t>
      </w:r>
      <w:proofErr w:type="spellEnd"/>
      <w:r>
        <w:rPr>
          <w:i w:val="0"/>
          <w:smallCaps w:val="0"/>
        </w:rPr>
        <w:t xml:space="preserve">. 19 luglio 2022, n. 180 (in cui sono ripresi alcuni spunti già contenuti nella sentenza n. 57/2020, nella quale la questione era emersa pur senza essere delibata </w:t>
      </w:r>
      <w:proofErr w:type="spellStart"/>
      <w:r>
        <w:rPr>
          <w:smallCaps w:val="0"/>
        </w:rPr>
        <w:t>funditus</w:t>
      </w:r>
      <w:proofErr w:type="spellEnd"/>
      <w:r>
        <w:rPr>
          <w:i w:val="0"/>
          <w:smallCaps w:val="0"/>
        </w:rPr>
        <w:t>).</w:t>
      </w:r>
    </w:p>
  </w:footnote>
  <w:footnote w:id="203">
    <w:p w:rsidR="00BE7D77" w:rsidRPr="003F55AD" w:rsidRDefault="00BE7D77" w:rsidP="003F55AD">
      <w:pPr>
        <w:pStyle w:val="Testonotaapidipagina"/>
        <w:jc w:val="both"/>
        <w:rPr>
          <w:i w:val="0"/>
          <w:smallCaps w:val="0"/>
        </w:rPr>
      </w:pPr>
      <w:r w:rsidRPr="003F55AD">
        <w:rPr>
          <w:rStyle w:val="Rimandonotaapidipagina"/>
          <w:i w:val="0"/>
          <w:smallCaps w:val="0"/>
        </w:rPr>
        <w:footnoteRef/>
      </w:r>
      <w:r w:rsidRPr="003F55AD">
        <w:rPr>
          <w:i w:val="0"/>
          <w:smallCaps w:val="0"/>
        </w:rPr>
        <w:t xml:space="preserve"> </w:t>
      </w:r>
      <w:r>
        <w:rPr>
          <w:i w:val="0"/>
          <w:smallCaps w:val="0"/>
        </w:rPr>
        <w:t>Si tratta del disegno di legge di cui all’Atto Camera n. 1660, depositato in data 22 gennaio 2024.</w:t>
      </w:r>
    </w:p>
  </w:footnote>
  <w:footnote w:id="204">
    <w:p w:rsidR="00BE7D77" w:rsidRPr="003F55AD" w:rsidRDefault="00BE7D77" w:rsidP="003F55AD">
      <w:pPr>
        <w:pStyle w:val="Testonotaapidipagina"/>
        <w:jc w:val="both"/>
        <w:rPr>
          <w:i w:val="0"/>
          <w:smallCaps w:val="0"/>
        </w:rPr>
      </w:pPr>
      <w:r w:rsidRPr="003F55AD">
        <w:rPr>
          <w:rStyle w:val="Rimandonotaapidipagina"/>
          <w:i w:val="0"/>
          <w:smallCaps w:val="0"/>
        </w:rPr>
        <w:footnoteRef/>
      </w:r>
      <w:r w:rsidRPr="003F55AD">
        <w:rPr>
          <w:i w:val="0"/>
          <w:smallCaps w:val="0"/>
        </w:rPr>
        <w:t xml:space="preserve"> </w:t>
      </w:r>
      <w:r>
        <w:rPr>
          <w:i w:val="0"/>
          <w:smallCaps w:val="0"/>
        </w:rPr>
        <w:t>In sostanza, alla Corte è apparsa difficilmente praticabile la via di una declaratoria di illegittimità costituzionale della norma che producesse l’effetto non solo di “</w:t>
      </w:r>
      <w:r w:rsidRPr="003F55AD">
        <w:rPr>
          <w:smallCaps w:val="0"/>
        </w:rPr>
        <w:t>estendere la disciplina derogatoria in questione dal settore delle misure di prevenzione a quello dell’informazione antimafia, ma, altresì, di attribuirne l’applicazione ad un’autorità diversa, trasferendola dall’Autorità giudiziaria a quella amministrativa</w:t>
      </w:r>
      <w:r>
        <w:rPr>
          <w:i w:val="0"/>
          <w:smallCaps w:val="0"/>
        </w:rPr>
        <w:t xml:space="preserve">”, operando una scelta che, sia per </w:t>
      </w:r>
      <w:proofErr w:type="spellStart"/>
      <w:r>
        <w:rPr>
          <w:i w:val="0"/>
          <w:smallCaps w:val="0"/>
        </w:rPr>
        <w:t>l’</w:t>
      </w:r>
      <w:r>
        <w:rPr>
          <w:smallCaps w:val="0"/>
        </w:rPr>
        <w:t>an</w:t>
      </w:r>
      <w:proofErr w:type="spellEnd"/>
      <w:r>
        <w:rPr>
          <w:smallCaps w:val="0"/>
        </w:rPr>
        <w:t xml:space="preserve"> </w:t>
      </w:r>
      <w:r>
        <w:rPr>
          <w:i w:val="0"/>
          <w:smallCaps w:val="0"/>
        </w:rPr>
        <w:t>che per le modalità e i limiti dell’estensione, rientra palesemente nella discrezionalità del legislatore.</w:t>
      </w:r>
    </w:p>
  </w:footnote>
  <w:footnote w:id="205">
    <w:p w:rsidR="00BE7D77" w:rsidRPr="003F55AD" w:rsidRDefault="00BE7D77" w:rsidP="003F55AD">
      <w:pPr>
        <w:pStyle w:val="Testonotaapidipagina"/>
        <w:jc w:val="both"/>
        <w:rPr>
          <w:smallCaps w:val="0"/>
        </w:rPr>
      </w:pPr>
      <w:r w:rsidRPr="003F55AD">
        <w:rPr>
          <w:rStyle w:val="Rimandonotaapidipagina"/>
          <w:i w:val="0"/>
          <w:smallCaps w:val="0"/>
        </w:rPr>
        <w:footnoteRef/>
      </w:r>
      <w:r w:rsidRPr="003F55AD">
        <w:rPr>
          <w:i w:val="0"/>
          <w:smallCaps w:val="0"/>
        </w:rPr>
        <w:t xml:space="preserve"> </w:t>
      </w:r>
      <w:r>
        <w:rPr>
          <w:i w:val="0"/>
          <w:smallCaps w:val="0"/>
        </w:rPr>
        <w:t xml:space="preserve">Così conclude il proprio intervento A. POLICE, </w:t>
      </w:r>
      <w:r>
        <w:rPr>
          <w:smallCaps w:val="0"/>
        </w:rPr>
        <w:t>op. cit.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AF4" w:rsidRDefault="00FD7A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AF4" w:rsidRDefault="00FD7AF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AF4" w:rsidRDefault="00FD7A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60B1"/>
    <w:multiLevelType w:val="hybridMultilevel"/>
    <w:tmpl w:val="F8DEF12A"/>
    <w:lvl w:ilvl="0" w:tplc="A216A3AE">
      <w:start w:val="1"/>
      <w:numFmt w:val="lowerLetter"/>
      <w:lvlText w:val="%1)"/>
      <w:lvlJc w:val="left"/>
      <w:pPr>
        <w:ind w:left="786" w:hanging="360"/>
      </w:pPr>
      <w:rPr>
        <w:rFonts w:hint="default"/>
        <w:i/>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AE27E64"/>
    <w:multiLevelType w:val="hybridMultilevel"/>
    <w:tmpl w:val="7F64C708"/>
    <w:lvl w:ilvl="0" w:tplc="2694492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2D0609AC"/>
    <w:multiLevelType w:val="hybridMultilevel"/>
    <w:tmpl w:val="D8B06936"/>
    <w:lvl w:ilvl="0" w:tplc="9DEE1C52">
      <w:start w:val="5"/>
      <w:numFmt w:val="bullet"/>
      <w:lvlText w:val="-"/>
      <w:lvlJc w:val="left"/>
      <w:pPr>
        <w:ind w:left="786" w:hanging="360"/>
      </w:pPr>
      <w:rPr>
        <w:rFonts w:ascii="Times New Roman" w:eastAsiaTheme="minorHAnsi"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4D0B62EE"/>
    <w:multiLevelType w:val="hybridMultilevel"/>
    <w:tmpl w:val="0E82CBC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5A"/>
    <w:rsid w:val="000029FE"/>
    <w:rsid w:val="00003E60"/>
    <w:rsid w:val="00013A01"/>
    <w:rsid w:val="00016691"/>
    <w:rsid w:val="0003514F"/>
    <w:rsid w:val="0004464D"/>
    <w:rsid w:val="00076D3F"/>
    <w:rsid w:val="0008226B"/>
    <w:rsid w:val="00087E51"/>
    <w:rsid w:val="00090B39"/>
    <w:rsid w:val="000D17F2"/>
    <w:rsid w:val="000E4250"/>
    <w:rsid w:val="00103904"/>
    <w:rsid w:val="00112508"/>
    <w:rsid w:val="00146750"/>
    <w:rsid w:val="0015214A"/>
    <w:rsid w:val="00154EF8"/>
    <w:rsid w:val="0015695D"/>
    <w:rsid w:val="0016526F"/>
    <w:rsid w:val="0016581E"/>
    <w:rsid w:val="0016596E"/>
    <w:rsid w:val="001919CE"/>
    <w:rsid w:val="001B2CDA"/>
    <w:rsid w:val="001D3D0C"/>
    <w:rsid w:val="001D4ADD"/>
    <w:rsid w:val="001D5F7D"/>
    <w:rsid w:val="00206C7E"/>
    <w:rsid w:val="00232512"/>
    <w:rsid w:val="00236CE1"/>
    <w:rsid w:val="0024411F"/>
    <w:rsid w:val="00252252"/>
    <w:rsid w:val="002602A6"/>
    <w:rsid w:val="00280EE2"/>
    <w:rsid w:val="002B5EC1"/>
    <w:rsid w:val="002C5F64"/>
    <w:rsid w:val="002E5A95"/>
    <w:rsid w:val="002E7E5F"/>
    <w:rsid w:val="00303ED1"/>
    <w:rsid w:val="00310F7D"/>
    <w:rsid w:val="0032275F"/>
    <w:rsid w:val="00333585"/>
    <w:rsid w:val="003441AB"/>
    <w:rsid w:val="00352F2A"/>
    <w:rsid w:val="003B4E2A"/>
    <w:rsid w:val="003B5842"/>
    <w:rsid w:val="003E290E"/>
    <w:rsid w:val="003E7AE3"/>
    <w:rsid w:val="003F2665"/>
    <w:rsid w:val="003F55AD"/>
    <w:rsid w:val="00400167"/>
    <w:rsid w:val="00410050"/>
    <w:rsid w:val="004225F2"/>
    <w:rsid w:val="0045389B"/>
    <w:rsid w:val="00475E4A"/>
    <w:rsid w:val="004B7CE5"/>
    <w:rsid w:val="004C4CF7"/>
    <w:rsid w:val="004C7ECC"/>
    <w:rsid w:val="004F42C8"/>
    <w:rsid w:val="004F6F04"/>
    <w:rsid w:val="00502ADF"/>
    <w:rsid w:val="00505E9B"/>
    <w:rsid w:val="005139B3"/>
    <w:rsid w:val="005356DB"/>
    <w:rsid w:val="005372E6"/>
    <w:rsid w:val="00537C70"/>
    <w:rsid w:val="00543C3A"/>
    <w:rsid w:val="0057082F"/>
    <w:rsid w:val="005A3921"/>
    <w:rsid w:val="005C3009"/>
    <w:rsid w:val="005D454F"/>
    <w:rsid w:val="005D45A4"/>
    <w:rsid w:val="005E1DE5"/>
    <w:rsid w:val="00622920"/>
    <w:rsid w:val="00625C1D"/>
    <w:rsid w:val="00653CF7"/>
    <w:rsid w:val="00675240"/>
    <w:rsid w:val="006764DA"/>
    <w:rsid w:val="0068401B"/>
    <w:rsid w:val="00687D85"/>
    <w:rsid w:val="006B6257"/>
    <w:rsid w:val="006C03B1"/>
    <w:rsid w:val="006C5A92"/>
    <w:rsid w:val="006C6058"/>
    <w:rsid w:val="006E4FB1"/>
    <w:rsid w:val="007419F5"/>
    <w:rsid w:val="00745CD7"/>
    <w:rsid w:val="0077051C"/>
    <w:rsid w:val="0077069B"/>
    <w:rsid w:val="00787677"/>
    <w:rsid w:val="00795A4E"/>
    <w:rsid w:val="007D314E"/>
    <w:rsid w:val="00802A29"/>
    <w:rsid w:val="00802A78"/>
    <w:rsid w:val="00806D48"/>
    <w:rsid w:val="00815A53"/>
    <w:rsid w:val="00835719"/>
    <w:rsid w:val="00835D2F"/>
    <w:rsid w:val="00862217"/>
    <w:rsid w:val="00865255"/>
    <w:rsid w:val="00887686"/>
    <w:rsid w:val="00895085"/>
    <w:rsid w:val="008C6FDD"/>
    <w:rsid w:val="008D30A0"/>
    <w:rsid w:val="008D39C0"/>
    <w:rsid w:val="008D7AB5"/>
    <w:rsid w:val="00904533"/>
    <w:rsid w:val="009351F4"/>
    <w:rsid w:val="00940059"/>
    <w:rsid w:val="009457BE"/>
    <w:rsid w:val="009466A3"/>
    <w:rsid w:val="00952F6E"/>
    <w:rsid w:val="00961F5E"/>
    <w:rsid w:val="0096632A"/>
    <w:rsid w:val="009A4134"/>
    <w:rsid w:val="009A72A6"/>
    <w:rsid w:val="009B5956"/>
    <w:rsid w:val="009B7AE7"/>
    <w:rsid w:val="009C4ABA"/>
    <w:rsid w:val="009D76D2"/>
    <w:rsid w:val="009E2A99"/>
    <w:rsid w:val="00A14DE8"/>
    <w:rsid w:val="00A60C17"/>
    <w:rsid w:val="00A75218"/>
    <w:rsid w:val="00A87A2B"/>
    <w:rsid w:val="00AA0556"/>
    <w:rsid w:val="00AA264A"/>
    <w:rsid w:val="00AA4981"/>
    <w:rsid w:val="00AD16B2"/>
    <w:rsid w:val="00AE3EC6"/>
    <w:rsid w:val="00B07DFB"/>
    <w:rsid w:val="00B1082A"/>
    <w:rsid w:val="00B25E35"/>
    <w:rsid w:val="00B348A0"/>
    <w:rsid w:val="00B47C97"/>
    <w:rsid w:val="00B5280B"/>
    <w:rsid w:val="00B621B0"/>
    <w:rsid w:val="00B75128"/>
    <w:rsid w:val="00B93853"/>
    <w:rsid w:val="00BD6861"/>
    <w:rsid w:val="00BE426C"/>
    <w:rsid w:val="00BE7D77"/>
    <w:rsid w:val="00C0247C"/>
    <w:rsid w:val="00C031BB"/>
    <w:rsid w:val="00C14A73"/>
    <w:rsid w:val="00C2152C"/>
    <w:rsid w:val="00C21C7A"/>
    <w:rsid w:val="00C31464"/>
    <w:rsid w:val="00C4238E"/>
    <w:rsid w:val="00C4598F"/>
    <w:rsid w:val="00C551FA"/>
    <w:rsid w:val="00C65775"/>
    <w:rsid w:val="00CA364A"/>
    <w:rsid w:val="00CB3BFE"/>
    <w:rsid w:val="00CD0E84"/>
    <w:rsid w:val="00CE1455"/>
    <w:rsid w:val="00CE55C6"/>
    <w:rsid w:val="00CF02F0"/>
    <w:rsid w:val="00CF0AA9"/>
    <w:rsid w:val="00D03965"/>
    <w:rsid w:val="00D34401"/>
    <w:rsid w:val="00D44623"/>
    <w:rsid w:val="00D522B7"/>
    <w:rsid w:val="00D668A4"/>
    <w:rsid w:val="00D86B1D"/>
    <w:rsid w:val="00D97815"/>
    <w:rsid w:val="00DC2919"/>
    <w:rsid w:val="00DF2CFD"/>
    <w:rsid w:val="00DF310A"/>
    <w:rsid w:val="00E0504C"/>
    <w:rsid w:val="00E075BF"/>
    <w:rsid w:val="00E178F4"/>
    <w:rsid w:val="00E229D2"/>
    <w:rsid w:val="00E3247D"/>
    <w:rsid w:val="00E46835"/>
    <w:rsid w:val="00E50730"/>
    <w:rsid w:val="00E512E2"/>
    <w:rsid w:val="00E51FCA"/>
    <w:rsid w:val="00E71719"/>
    <w:rsid w:val="00EB22EE"/>
    <w:rsid w:val="00EC1A7B"/>
    <w:rsid w:val="00EE2AEB"/>
    <w:rsid w:val="00F018AB"/>
    <w:rsid w:val="00F37E6B"/>
    <w:rsid w:val="00F44E64"/>
    <w:rsid w:val="00F6191A"/>
    <w:rsid w:val="00F75ADD"/>
    <w:rsid w:val="00F84874"/>
    <w:rsid w:val="00F96607"/>
    <w:rsid w:val="00FA32C8"/>
    <w:rsid w:val="00FA4F5A"/>
    <w:rsid w:val="00FA5DA7"/>
    <w:rsid w:val="00FB18CE"/>
    <w:rsid w:val="00FC7975"/>
    <w:rsid w:val="00FD6197"/>
    <w:rsid w:val="00FD7AF4"/>
    <w:rsid w:val="00FE1D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C48AD-8F95-495E-A575-F1674A05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
        <w:smallCaps/>
        <w:sz w:val="24"/>
        <w:szCs w:val="24"/>
        <w:lang w:val="it-I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F2665"/>
    <w:pPr>
      <w:ind w:left="720"/>
      <w:contextualSpacing/>
    </w:pPr>
  </w:style>
  <w:style w:type="paragraph" w:styleId="Testonotaapidipagina">
    <w:name w:val="footnote text"/>
    <w:basedOn w:val="Normale"/>
    <w:link w:val="TestonotaapidipaginaCarattere"/>
    <w:uiPriority w:val="99"/>
    <w:semiHidden/>
    <w:unhideWhenUsed/>
    <w:rsid w:val="00303ED1"/>
    <w:rPr>
      <w:sz w:val="20"/>
      <w:szCs w:val="20"/>
    </w:rPr>
  </w:style>
  <w:style w:type="character" w:customStyle="1" w:styleId="TestonotaapidipaginaCarattere">
    <w:name w:val="Testo nota a piè di pagina Carattere"/>
    <w:basedOn w:val="Carpredefinitoparagrafo"/>
    <w:link w:val="Testonotaapidipagina"/>
    <w:uiPriority w:val="99"/>
    <w:semiHidden/>
    <w:rsid w:val="00303ED1"/>
    <w:rPr>
      <w:sz w:val="20"/>
      <w:szCs w:val="20"/>
    </w:rPr>
  </w:style>
  <w:style w:type="character" w:styleId="Rimandonotaapidipagina">
    <w:name w:val="footnote reference"/>
    <w:basedOn w:val="Carpredefinitoparagrafo"/>
    <w:uiPriority w:val="99"/>
    <w:semiHidden/>
    <w:unhideWhenUsed/>
    <w:rsid w:val="00303ED1"/>
    <w:rPr>
      <w:vertAlign w:val="superscript"/>
    </w:rPr>
  </w:style>
  <w:style w:type="character" w:styleId="Collegamentoipertestuale">
    <w:name w:val="Hyperlink"/>
    <w:basedOn w:val="Carpredefinitoparagrafo"/>
    <w:uiPriority w:val="99"/>
    <w:unhideWhenUsed/>
    <w:rsid w:val="00AD16B2"/>
    <w:rPr>
      <w:color w:val="0563C1" w:themeColor="hyperlink"/>
      <w:u w:val="single"/>
    </w:rPr>
  </w:style>
  <w:style w:type="paragraph" w:customStyle="1" w:styleId="popolo">
    <w:name w:val="popolo"/>
    <w:basedOn w:val="Normale"/>
    <w:rsid w:val="00D86B1D"/>
    <w:pPr>
      <w:spacing w:before="100" w:beforeAutospacing="1" w:after="100" w:afterAutospacing="1"/>
      <w:jc w:val="left"/>
    </w:pPr>
    <w:rPr>
      <w:rFonts w:eastAsia="Times New Roman"/>
      <w:i w:val="0"/>
      <w:smallCaps w:val="0"/>
      <w:lang w:eastAsia="it-IT"/>
    </w:rPr>
  </w:style>
  <w:style w:type="character" w:customStyle="1" w:styleId="wk-highlight">
    <w:name w:val="wk-highlight"/>
    <w:basedOn w:val="Carpredefinitoparagrafo"/>
    <w:rsid w:val="000029FE"/>
  </w:style>
  <w:style w:type="character" w:customStyle="1" w:styleId="wkit-internal-link">
    <w:name w:val="wkit-internal-link"/>
    <w:basedOn w:val="Carpredefinitoparagrafo"/>
    <w:rsid w:val="002E5A95"/>
  </w:style>
  <w:style w:type="paragraph" w:customStyle="1" w:styleId="wkit-indentation-level-0">
    <w:name w:val="wkit-indentation-level-0"/>
    <w:basedOn w:val="Normale"/>
    <w:rsid w:val="00675240"/>
    <w:pPr>
      <w:spacing w:before="100" w:beforeAutospacing="1" w:after="100" w:afterAutospacing="1"/>
      <w:jc w:val="left"/>
    </w:pPr>
    <w:rPr>
      <w:rFonts w:eastAsia="Times New Roman"/>
      <w:i w:val="0"/>
      <w:smallCaps w:val="0"/>
      <w:lang w:eastAsia="it-IT"/>
    </w:rPr>
  </w:style>
  <w:style w:type="paragraph" w:styleId="Intestazione">
    <w:name w:val="header"/>
    <w:basedOn w:val="Normale"/>
    <w:link w:val="IntestazioneCarattere"/>
    <w:uiPriority w:val="99"/>
    <w:unhideWhenUsed/>
    <w:rsid w:val="00FD7AF4"/>
    <w:pPr>
      <w:tabs>
        <w:tab w:val="center" w:pos="4819"/>
        <w:tab w:val="right" w:pos="9638"/>
      </w:tabs>
    </w:pPr>
  </w:style>
  <w:style w:type="character" w:customStyle="1" w:styleId="IntestazioneCarattere">
    <w:name w:val="Intestazione Carattere"/>
    <w:basedOn w:val="Carpredefinitoparagrafo"/>
    <w:link w:val="Intestazione"/>
    <w:uiPriority w:val="99"/>
    <w:rsid w:val="00FD7AF4"/>
  </w:style>
  <w:style w:type="paragraph" w:styleId="Pidipagina">
    <w:name w:val="footer"/>
    <w:basedOn w:val="Normale"/>
    <w:link w:val="PidipaginaCarattere"/>
    <w:uiPriority w:val="99"/>
    <w:unhideWhenUsed/>
    <w:rsid w:val="00FD7AF4"/>
    <w:pPr>
      <w:tabs>
        <w:tab w:val="center" w:pos="4819"/>
        <w:tab w:val="right" w:pos="9638"/>
      </w:tabs>
    </w:pPr>
  </w:style>
  <w:style w:type="character" w:customStyle="1" w:styleId="PidipaginaCarattere">
    <w:name w:val="Piè di pagina Carattere"/>
    <w:basedOn w:val="Carpredefinitoparagrafo"/>
    <w:link w:val="Pidipagina"/>
    <w:uiPriority w:val="99"/>
    <w:rsid w:val="00FD7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742518">
      <w:bodyDiv w:val="1"/>
      <w:marLeft w:val="0"/>
      <w:marRight w:val="0"/>
      <w:marTop w:val="0"/>
      <w:marBottom w:val="0"/>
      <w:divBdr>
        <w:top w:val="none" w:sz="0" w:space="0" w:color="auto"/>
        <w:left w:val="none" w:sz="0" w:space="0" w:color="auto"/>
        <w:bottom w:val="none" w:sz="0" w:space="0" w:color="auto"/>
        <w:right w:val="none" w:sz="0" w:space="0" w:color="auto"/>
      </w:divBdr>
    </w:div>
    <w:div w:id="1969361062">
      <w:bodyDiv w:val="1"/>
      <w:marLeft w:val="0"/>
      <w:marRight w:val="0"/>
      <w:marTop w:val="0"/>
      <w:marBottom w:val="0"/>
      <w:divBdr>
        <w:top w:val="none" w:sz="0" w:space="0" w:color="auto"/>
        <w:left w:val="none" w:sz="0" w:space="0" w:color="auto"/>
        <w:bottom w:val="none" w:sz="0" w:space="0" w:color="auto"/>
        <w:right w:val="none" w:sz="0" w:space="0" w:color="auto"/>
      </w:divBdr>
    </w:div>
    <w:div w:id="211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pa.wolterskluwer.it/normativa/10LX0000679368ART15?pathId=e7fba5cdcf15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epa.wolterskluwer.it/normativa/10LX0000110182ART9?pathId=5655b9f9514d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pa.wolterskluwer.it/normativa/10LX0000758639SOMM?pathId=fedf118e6da8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nepa.wolterskluwer.it/normativa/10LX0000758639ART162?pathId=fedf118e6da8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epa.wolterskluwer.it/normativa/10LX0000110082ART9?pathId=e7fba5cdcf151"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onepa.wolterskluwer.it/document/05AC00001580?pathId=3664eb0584e16" TargetMode="External"/><Relationship Id="rId3" Type="http://schemas.openxmlformats.org/officeDocument/2006/relationships/hyperlink" Target="https://onepa.wolterskluwer.it/normativa/10LX0000776418ART13?pathId=cf77d3842692e" TargetMode="External"/><Relationship Id="rId7" Type="http://schemas.openxmlformats.org/officeDocument/2006/relationships/hyperlink" Target="https://onepa.wolterskluwer.it/document/05AC00001475?pathId=3664eb0584e16" TargetMode="External"/><Relationship Id="rId2" Type="http://schemas.openxmlformats.org/officeDocument/2006/relationships/hyperlink" Target="https://onepa.wolterskluwer.it/normativa/10LX0000110082ART9?pathId=4c24eb617e745" TargetMode="External"/><Relationship Id="rId1" Type="http://schemas.openxmlformats.org/officeDocument/2006/relationships/hyperlink" Target="https://onepa.wolterskluwer.it/normativa/10LX0000679368ART15?pathId=4c24eb617e745" TargetMode="External"/><Relationship Id="rId6" Type="http://schemas.openxmlformats.org/officeDocument/2006/relationships/hyperlink" Target="https://onepa.wolterskluwer.it/document/05AC00010234?pathId=3664eb0584e16" TargetMode="External"/><Relationship Id="rId5" Type="http://schemas.openxmlformats.org/officeDocument/2006/relationships/hyperlink" Target="https://onepa.wolterskluwer.it/normativa/10LX0000842219SOMM?pathId=cf77d3842692e" TargetMode="External"/><Relationship Id="rId4" Type="http://schemas.openxmlformats.org/officeDocument/2006/relationships/hyperlink" Target="https://onepa.wolterskluwer.it/normativa/10LX0000839032ART63?pathId=cf77d3842692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01D2-FBCC-471F-9D1C-50F28CD0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1373</TotalTime>
  <Pages>37</Pages>
  <Words>18641</Words>
  <Characters>106255</Characters>
  <Application>Microsoft Office Word</Application>
  <DocSecurity>0</DocSecurity>
  <Lines>885</Lines>
  <Paragraphs>249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Raffaele</dc:creator>
  <cp:keywords/>
  <dc:description/>
  <cp:lastModifiedBy>GRECO Raffaele</cp:lastModifiedBy>
  <cp:revision>12</cp:revision>
  <dcterms:created xsi:type="dcterms:W3CDTF">2024-07-01T08:29:00Z</dcterms:created>
  <dcterms:modified xsi:type="dcterms:W3CDTF">2024-07-08T14:46:00Z</dcterms:modified>
</cp:coreProperties>
</file>