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CC" w:rsidRDefault="009C1BCC" w:rsidP="009C1BCC">
      <w:pPr>
        <w:rPr>
          <w:rFonts w:ascii="Times New Roman" w:hAnsi="Times New Roman"/>
          <w:b/>
          <w:iCs/>
          <w:color w:val="212121"/>
          <w:sz w:val="28"/>
          <w:szCs w:val="28"/>
        </w:rPr>
      </w:pPr>
      <w:r>
        <w:rPr>
          <w:b/>
          <w:noProof/>
          <w:lang w:eastAsia="it-IT"/>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2390140" cy="1664335"/>
            <wp:effectExtent l="0" t="0" r="0" b="0"/>
            <wp:wrapThrough wrapText="bothSides">
              <wp:wrapPolygon edited="0">
                <wp:start x="0" y="0"/>
                <wp:lineTo x="0" y="21262"/>
                <wp:lineTo x="21348" y="21262"/>
                <wp:lineTo x="21348"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1664335"/>
                    </a:xfrm>
                    <a:prstGeom prst="rect">
                      <a:avLst/>
                    </a:prstGeom>
                    <a:noFill/>
                  </pic:spPr>
                </pic:pic>
              </a:graphicData>
            </a:graphic>
          </wp:anchor>
        </w:drawing>
      </w:r>
      <w:r w:rsidRPr="009C1BCC">
        <w:rPr>
          <w:rFonts w:ascii="Palace Script MT" w:hAnsi="Palace Script MT" w:cs="Palace Script MT"/>
          <w:i/>
          <w:iCs/>
          <w:color w:val="000000"/>
          <w:sz w:val="90"/>
          <w:szCs w:val="90"/>
        </w:rPr>
        <w:t xml:space="preserve"> </w:t>
      </w:r>
    </w:p>
    <w:p w:rsidR="009C1BCC" w:rsidRDefault="009C1BCC" w:rsidP="009C1BCC">
      <w:pPr>
        <w:rPr>
          <w:rFonts w:ascii="Times New Roman" w:hAnsi="Times New Roman"/>
          <w:b/>
          <w:iCs/>
          <w:color w:val="212121"/>
          <w:sz w:val="28"/>
          <w:szCs w:val="28"/>
        </w:rPr>
      </w:pPr>
      <w:r>
        <w:rPr>
          <w:rFonts w:ascii="Palace Script MT" w:hAnsi="Palace Script MT" w:cs="Palace Script MT"/>
          <w:i/>
          <w:iCs/>
          <w:color w:val="000000"/>
          <w:sz w:val="90"/>
          <w:szCs w:val="90"/>
        </w:rPr>
        <w:t xml:space="preserve">      </w:t>
      </w:r>
      <w:r w:rsidRPr="00B322DE">
        <w:rPr>
          <w:rFonts w:ascii="Palace Script MT" w:hAnsi="Palace Script MT" w:cs="Palace Script MT"/>
          <w:i/>
          <w:iCs/>
          <w:color w:val="000000"/>
          <w:sz w:val="90"/>
          <w:szCs w:val="90"/>
        </w:rPr>
        <w:t>Consiglio di Stato</w:t>
      </w:r>
    </w:p>
    <w:p w:rsidR="009C1BCC" w:rsidRPr="00133343" w:rsidRDefault="009C1BCC" w:rsidP="009C1BCC">
      <w:pPr>
        <w:rPr>
          <w:rFonts w:ascii="Times New Roman" w:hAnsi="Times New Roman"/>
          <w:b/>
          <w:iCs/>
          <w:color w:val="212121"/>
          <w:sz w:val="28"/>
          <w:szCs w:val="28"/>
        </w:rPr>
      </w:pPr>
    </w:p>
    <w:p w:rsidR="009C1BCC" w:rsidRDefault="009C1BCC" w:rsidP="002F063E">
      <w:pPr>
        <w:jc w:val="both"/>
        <w:rPr>
          <w:b/>
        </w:rPr>
      </w:pPr>
    </w:p>
    <w:p w:rsidR="009C1BCC" w:rsidRDefault="009C1BCC" w:rsidP="009C1BCC">
      <w:pPr>
        <w:tabs>
          <w:tab w:val="left" w:pos="930"/>
        </w:tabs>
        <w:rPr>
          <w:rFonts w:ascii="Agency FB" w:hAnsi="Agency FB"/>
          <w:b/>
          <w:iCs/>
          <w:color w:val="212121"/>
          <w:sz w:val="32"/>
          <w:szCs w:val="32"/>
        </w:rPr>
      </w:pPr>
    </w:p>
    <w:p w:rsidR="009C1BCC" w:rsidRPr="00133343" w:rsidRDefault="009C1BCC" w:rsidP="009C1BCC">
      <w:pPr>
        <w:tabs>
          <w:tab w:val="left" w:pos="930"/>
        </w:tabs>
        <w:rPr>
          <w:rFonts w:ascii="Agency FB" w:hAnsi="Agency FB"/>
          <w:b/>
          <w:iCs/>
          <w:color w:val="212121"/>
          <w:sz w:val="32"/>
          <w:szCs w:val="32"/>
        </w:rPr>
      </w:pPr>
      <w:r w:rsidRPr="00133343">
        <w:rPr>
          <w:rFonts w:ascii="Agency FB" w:hAnsi="Agency FB"/>
          <w:b/>
          <w:iCs/>
          <w:color w:val="212121"/>
          <w:sz w:val="32"/>
          <w:szCs w:val="32"/>
        </w:rPr>
        <w:t>-Ufficio Stampa e Comunicazione -</w:t>
      </w:r>
    </w:p>
    <w:p w:rsidR="009C1BCC" w:rsidRDefault="009C1BCC" w:rsidP="009C1BCC">
      <w:pPr>
        <w:jc w:val="both"/>
        <w:rPr>
          <w:b/>
        </w:rPr>
      </w:pPr>
      <w:r w:rsidRPr="00133343">
        <w:rPr>
          <w:rFonts w:ascii="Agency FB" w:hAnsi="Agency FB"/>
          <w:b/>
          <w:iCs/>
          <w:color w:val="212121"/>
          <w:sz w:val="32"/>
          <w:szCs w:val="32"/>
        </w:rPr>
        <w:t>-Ufficio Studi, Massimario e Formazione</w:t>
      </w:r>
    </w:p>
    <w:p w:rsidR="009C1BCC" w:rsidRDefault="009C1BCC" w:rsidP="002F063E">
      <w:pPr>
        <w:jc w:val="both"/>
        <w:rPr>
          <w:b/>
        </w:rPr>
      </w:pPr>
    </w:p>
    <w:p w:rsidR="00C2364D" w:rsidRPr="00C2364D" w:rsidRDefault="00C2364D" w:rsidP="0056213E">
      <w:pPr>
        <w:jc w:val="center"/>
        <w:rPr>
          <w:rFonts w:ascii="Agency FB" w:hAnsi="Agency FB"/>
          <w:b/>
          <w:sz w:val="32"/>
          <w:szCs w:val="32"/>
        </w:rPr>
      </w:pPr>
      <w:r w:rsidRPr="00C2364D">
        <w:rPr>
          <w:rFonts w:ascii="Agency FB" w:hAnsi="Agency FB"/>
          <w:b/>
          <w:sz w:val="32"/>
          <w:szCs w:val="32"/>
        </w:rPr>
        <w:t>ANALISI DEL RAPPORTO TRA GIUSTIZIA AMMINISTRATIVA ED ECONOMIA</w:t>
      </w:r>
    </w:p>
    <w:p w:rsidR="00AB0B66" w:rsidRPr="0056213E" w:rsidRDefault="00AB0B66" w:rsidP="002F063E">
      <w:pPr>
        <w:pStyle w:val="Paragrafoelenco"/>
        <w:numPr>
          <w:ilvl w:val="0"/>
          <w:numId w:val="2"/>
        </w:numPr>
        <w:jc w:val="both"/>
        <w:rPr>
          <w:b/>
          <w:sz w:val="24"/>
          <w:szCs w:val="24"/>
        </w:rPr>
      </w:pPr>
      <w:r w:rsidRPr="0056213E">
        <w:rPr>
          <w:b/>
          <w:sz w:val="24"/>
          <w:szCs w:val="24"/>
        </w:rPr>
        <w:t>Premessa</w:t>
      </w:r>
    </w:p>
    <w:p w:rsidR="00AB0B66" w:rsidRPr="0056213E" w:rsidRDefault="00AB0B66" w:rsidP="00386E9D">
      <w:pPr>
        <w:jc w:val="both"/>
        <w:rPr>
          <w:sz w:val="24"/>
          <w:szCs w:val="24"/>
        </w:rPr>
      </w:pPr>
      <w:r w:rsidRPr="0056213E">
        <w:rPr>
          <w:sz w:val="24"/>
          <w:szCs w:val="24"/>
        </w:rPr>
        <w:t xml:space="preserve">L’Ufficio studi della Giustizia amministrativa ha realizzato, grazie anche all’ausilio di autorevoli professori, una serie di analisi del rapporto tra giustizia amministrativa ed economia, poi raccolte nel volume </w:t>
      </w:r>
      <w:r w:rsidRPr="0056213E">
        <w:rPr>
          <w:i/>
          <w:sz w:val="24"/>
          <w:szCs w:val="24"/>
        </w:rPr>
        <w:t>“Giustizia amministrativa ed economia: efficienza del sistema e soddisfazione dei cittadini</w:t>
      </w:r>
      <w:r w:rsidRPr="0056213E">
        <w:rPr>
          <w:sz w:val="24"/>
          <w:szCs w:val="24"/>
        </w:rPr>
        <w:t>” edito dal Gruppo 24 Ore.</w:t>
      </w:r>
    </w:p>
    <w:p w:rsidR="00AB0B66" w:rsidRPr="0056213E" w:rsidRDefault="00AB0B66" w:rsidP="00386E9D">
      <w:pPr>
        <w:jc w:val="both"/>
        <w:rPr>
          <w:sz w:val="24"/>
          <w:szCs w:val="24"/>
        </w:rPr>
      </w:pPr>
      <w:r w:rsidRPr="0056213E">
        <w:rPr>
          <w:sz w:val="24"/>
          <w:szCs w:val="24"/>
        </w:rPr>
        <w:t>Il volume contiene analisi, approfondimenti e considerazioni, svolte anche in chiave comparativa sul sistema di giustizia amministrativa ed in particolare sul suo livello di efficienza, ricavato da fattori quali la durata dei procedimenti, la prevedibilità delle decisioni, l’immediatezza della tutela cautelare, la celerità del rito nei settori economicamente più sensibili.</w:t>
      </w:r>
    </w:p>
    <w:p w:rsidR="009B6B29" w:rsidRPr="0056213E" w:rsidRDefault="009B6B29" w:rsidP="00386E9D">
      <w:pPr>
        <w:jc w:val="both"/>
        <w:rPr>
          <w:sz w:val="24"/>
          <w:szCs w:val="24"/>
        </w:rPr>
      </w:pPr>
      <w:r w:rsidRPr="0056213E">
        <w:rPr>
          <w:sz w:val="24"/>
          <w:szCs w:val="24"/>
        </w:rPr>
        <w:t>In questo documento si aggiornano alcuni dei dati contenuti in quel volume.</w:t>
      </w:r>
    </w:p>
    <w:p w:rsidR="00AB0B66" w:rsidRPr="0056213E" w:rsidRDefault="00AB0B66" w:rsidP="00386E9D">
      <w:pPr>
        <w:jc w:val="both"/>
        <w:rPr>
          <w:sz w:val="24"/>
          <w:szCs w:val="24"/>
        </w:rPr>
      </w:pPr>
    </w:p>
    <w:p w:rsidR="009C1BCC" w:rsidRPr="0056213E" w:rsidRDefault="009C1BCC" w:rsidP="00386E9D">
      <w:pPr>
        <w:jc w:val="both"/>
        <w:rPr>
          <w:sz w:val="24"/>
          <w:szCs w:val="24"/>
        </w:rPr>
      </w:pPr>
    </w:p>
    <w:p w:rsidR="00AB0B66" w:rsidRPr="0056213E" w:rsidRDefault="00AB0B66" w:rsidP="00386E9D">
      <w:pPr>
        <w:jc w:val="both"/>
        <w:rPr>
          <w:b/>
          <w:sz w:val="24"/>
          <w:szCs w:val="24"/>
        </w:rPr>
      </w:pPr>
      <w:r w:rsidRPr="0056213E">
        <w:rPr>
          <w:b/>
          <w:sz w:val="24"/>
          <w:szCs w:val="24"/>
        </w:rPr>
        <w:t>2. Il progressivo, costante smaltimento dello stock di arretrato</w:t>
      </w:r>
    </w:p>
    <w:p w:rsidR="00AB0B66" w:rsidRPr="0056213E" w:rsidRDefault="00AB0B66" w:rsidP="00386E9D">
      <w:pPr>
        <w:jc w:val="both"/>
        <w:rPr>
          <w:sz w:val="24"/>
          <w:szCs w:val="24"/>
        </w:rPr>
      </w:pPr>
      <w:r w:rsidRPr="0056213E">
        <w:rPr>
          <w:sz w:val="24"/>
          <w:szCs w:val="24"/>
        </w:rPr>
        <w:t>Dalla lettura del testo (</w:t>
      </w:r>
      <w:r w:rsidR="009B6B29" w:rsidRPr="0056213E">
        <w:rPr>
          <w:sz w:val="24"/>
          <w:szCs w:val="24"/>
        </w:rPr>
        <w:t xml:space="preserve">che analizza fino all’anno </w:t>
      </w:r>
      <w:r w:rsidRPr="0056213E">
        <w:rPr>
          <w:sz w:val="24"/>
          <w:szCs w:val="24"/>
        </w:rPr>
        <w:t>2015) emerge un quadro in cui l’opera di abbattimento dell’arretrato indica un progresso costante. Il dato si conferma anche per il 2016 e per il primo semestre del 2017.</w:t>
      </w:r>
    </w:p>
    <w:p w:rsidR="00AB0B66" w:rsidRPr="0056213E" w:rsidRDefault="00AB0B66" w:rsidP="00386E9D">
      <w:pPr>
        <w:jc w:val="both"/>
        <w:rPr>
          <w:sz w:val="24"/>
          <w:szCs w:val="24"/>
        </w:rPr>
      </w:pPr>
      <w:r w:rsidRPr="0056213E">
        <w:rPr>
          <w:sz w:val="24"/>
          <w:szCs w:val="24"/>
        </w:rPr>
        <w:t>Ciò per i TAR è chiaramente dimostrato dal grafico che segue</w:t>
      </w:r>
      <w:r w:rsidR="009C1BCC" w:rsidRPr="0056213E">
        <w:rPr>
          <w:sz w:val="24"/>
          <w:szCs w:val="24"/>
        </w:rPr>
        <w:t>:</w:t>
      </w:r>
    </w:p>
    <w:p w:rsidR="0056213E" w:rsidRDefault="0056213E">
      <w:pPr>
        <w:spacing w:after="0" w:line="240" w:lineRule="auto"/>
        <w:rPr>
          <w:i/>
          <w:sz w:val="24"/>
          <w:szCs w:val="24"/>
        </w:rPr>
      </w:pPr>
      <w:r>
        <w:rPr>
          <w:i/>
          <w:sz w:val="24"/>
          <w:szCs w:val="24"/>
        </w:rPr>
        <w:br w:type="page"/>
      </w:r>
    </w:p>
    <w:p w:rsidR="009C1BCC" w:rsidRPr="0056213E" w:rsidRDefault="009C1BCC" w:rsidP="00386E9D">
      <w:pPr>
        <w:jc w:val="both"/>
        <w:rPr>
          <w:i/>
          <w:sz w:val="24"/>
          <w:szCs w:val="24"/>
        </w:rPr>
      </w:pPr>
    </w:p>
    <w:p w:rsidR="00AB0B66" w:rsidRPr="0056213E" w:rsidRDefault="00AB0B66" w:rsidP="00386E9D">
      <w:pPr>
        <w:jc w:val="both"/>
        <w:rPr>
          <w:i/>
          <w:sz w:val="24"/>
          <w:szCs w:val="24"/>
        </w:rPr>
      </w:pPr>
      <w:r w:rsidRPr="0056213E">
        <w:rPr>
          <w:i/>
          <w:sz w:val="24"/>
          <w:szCs w:val="24"/>
        </w:rPr>
        <w:t>Tab. 1 (stock arretrato TAR periodo 2013 – giugno 2017)</w:t>
      </w:r>
    </w:p>
    <w:p w:rsidR="00AB0B66" w:rsidRDefault="0007621A" w:rsidP="00E03326">
      <w:pPr>
        <w:ind w:left="284"/>
        <w:rPr>
          <w:noProof/>
          <w:lang w:eastAsia="it-IT"/>
        </w:rPr>
      </w:pPr>
      <w:r>
        <w:rPr>
          <w:noProof/>
          <w:lang w:eastAsia="it-IT"/>
        </w:rPr>
        <w:drawing>
          <wp:inline distT="0" distB="0" distL="0" distR="0">
            <wp:extent cx="5728335" cy="2780665"/>
            <wp:effectExtent l="0" t="0" r="5715" b="63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335" cy="2780665"/>
                    </a:xfrm>
                    <a:prstGeom prst="rect">
                      <a:avLst/>
                    </a:prstGeom>
                    <a:noFill/>
                    <a:ln>
                      <a:noFill/>
                    </a:ln>
                  </pic:spPr>
                </pic:pic>
              </a:graphicData>
            </a:graphic>
          </wp:inline>
        </w:drawing>
      </w:r>
    </w:p>
    <w:p w:rsidR="00D103E9" w:rsidRDefault="00D103E9" w:rsidP="00D84E06">
      <w:pPr>
        <w:jc w:val="both"/>
      </w:pPr>
    </w:p>
    <w:p w:rsidR="00AB0B66" w:rsidRPr="0056213E" w:rsidRDefault="00AB0B66" w:rsidP="00D84E06">
      <w:pPr>
        <w:jc w:val="both"/>
        <w:rPr>
          <w:sz w:val="24"/>
          <w:szCs w:val="24"/>
        </w:rPr>
      </w:pPr>
      <w:r w:rsidRPr="0056213E">
        <w:rPr>
          <w:sz w:val="24"/>
          <w:szCs w:val="24"/>
        </w:rPr>
        <w:t>Per il Consiglio di Stato, il dato mostra una ripresa d’efficienza nel 2016 e nel primo semestre 2017, dopo un biennio in cui il rapporto tra ricorsi pervenuti e definiti è stato tenuto quasi sempre alla pari, nonostante questi anni siano stati caratterizzati – ancor più che per i TAR – da fortissime scoperture d’organico</w:t>
      </w:r>
      <w:r w:rsidR="009B6B29" w:rsidRPr="0056213E">
        <w:rPr>
          <w:sz w:val="24"/>
          <w:szCs w:val="24"/>
        </w:rPr>
        <w:t xml:space="preserve"> (che ha</w:t>
      </w:r>
      <w:r w:rsidR="00532B64" w:rsidRPr="0056213E">
        <w:rPr>
          <w:sz w:val="24"/>
          <w:szCs w:val="24"/>
        </w:rPr>
        <w:t xml:space="preserve"> sfiorato punte del </w:t>
      </w:r>
      <w:r w:rsidR="009B6B29" w:rsidRPr="0056213E">
        <w:rPr>
          <w:sz w:val="24"/>
          <w:szCs w:val="24"/>
        </w:rPr>
        <w:t>40%)</w:t>
      </w:r>
      <w:r w:rsidRPr="0056213E">
        <w:rPr>
          <w:sz w:val="24"/>
          <w:szCs w:val="24"/>
        </w:rPr>
        <w:t>.</w:t>
      </w:r>
    </w:p>
    <w:p w:rsidR="00AB0B66" w:rsidRPr="0056213E" w:rsidRDefault="00AB0B66" w:rsidP="0056536E">
      <w:pPr>
        <w:jc w:val="both"/>
        <w:rPr>
          <w:sz w:val="24"/>
          <w:szCs w:val="24"/>
        </w:rPr>
      </w:pPr>
      <w:r w:rsidRPr="0056213E">
        <w:rPr>
          <w:sz w:val="24"/>
          <w:szCs w:val="24"/>
        </w:rPr>
        <w:t>I dati sullo stock delle pendenze del Consiglio di Stato sono rappresentati nel grafico che segue.</w:t>
      </w:r>
    </w:p>
    <w:p w:rsidR="00D103E9" w:rsidRDefault="00D103E9">
      <w:pPr>
        <w:spacing w:after="0" w:line="240" w:lineRule="auto"/>
        <w:rPr>
          <w:i/>
        </w:rPr>
      </w:pPr>
    </w:p>
    <w:p w:rsidR="00AB0B66" w:rsidRPr="008B3ED7" w:rsidRDefault="00AB0B66" w:rsidP="00245EEB">
      <w:pPr>
        <w:jc w:val="both"/>
        <w:rPr>
          <w:i/>
        </w:rPr>
      </w:pPr>
      <w:r w:rsidRPr="008B3ED7">
        <w:rPr>
          <w:i/>
        </w:rPr>
        <w:t>Tab. 2 (stock arretrato CDS periodo 2013 – giugno 2017)</w:t>
      </w:r>
    </w:p>
    <w:p w:rsidR="00AB0B66" w:rsidRPr="00A57810" w:rsidRDefault="00AB0B66" w:rsidP="0056536E">
      <w:pPr>
        <w:jc w:val="both"/>
      </w:pPr>
      <w:r w:rsidRPr="00A57810">
        <w:t xml:space="preserve"> </w:t>
      </w:r>
      <w:r w:rsidR="0007621A">
        <w:rPr>
          <w:noProof/>
          <w:lang w:eastAsia="it-IT"/>
        </w:rPr>
        <w:drawing>
          <wp:inline distT="0" distB="0" distL="0" distR="0">
            <wp:extent cx="5690870" cy="2981325"/>
            <wp:effectExtent l="0" t="0" r="5080" b="9525"/>
            <wp:docPr id="2"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0870" cy="2981325"/>
                    </a:xfrm>
                    <a:prstGeom prst="rect">
                      <a:avLst/>
                    </a:prstGeom>
                    <a:noFill/>
                    <a:ln>
                      <a:noFill/>
                    </a:ln>
                  </pic:spPr>
                </pic:pic>
              </a:graphicData>
            </a:graphic>
          </wp:inline>
        </w:drawing>
      </w:r>
    </w:p>
    <w:p w:rsidR="00AB0B66" w:rsidRPr="0056213E" w:rsidRDefault="00AB0B66" w:rsidP="00D84E06">
      <w:pPr>
        <w:jc w:val="both"/>
        <w:rPr>
          <w:sz w:val="24"/>
          <w:szCs w:val="24"/>
        </w:rPr>
      </w:pPr>
      <w:r w:rsidRPr="0056213E">
        <w:rPr>
          <w:sz w:val="24"/>
          <w:szCs w:val="24"/>
        </w:rPr>
        <w:t xml:space="preserve">Tali pendenze sono oggetto di costante monitoraggio e progressivo smaltimento attraverso un duplice binario: a) uno ordinario, con la trattazione, in ciascuna di udienza, anche dei ricorsi più datati; b) l’altro straordinario e che è caratterizzato da un programma </w:t>
      </w:r>
      <w:r w:rsidRPr="0056213E">
        <w:rPr>
          <w:i/>
          <w:sz w:val="24"/>
          <w:szCs w:val="24"/>
        </w:rPr>
        <w:t>ad hoc</w:t>
      </w:r>
      <w:r w:rsidRPr="0056213E">
        <w:rPr>
          <w:sz w:val="24"/>
          <w:szCs w:val="24"/>
        </w:rPr>
        <w:t xml:space="preserve"> cui collaborano volontariamente molti magistrati. Questo programma, che partirà a breve, dovrebbe condurre, grazie a numerose udienze supplementari, al progressivo abbattimento dello stock (in particolare, nel </w:t>
      </w:r>
      <w:r w:rsidR="00B97EDC" w:rsidRPr="0056213E">
        <w:rPr>
          <w:sz w:val="24"/>
          <w:szCs w:val="24"/>
        </w:rPr>
        <w:t xml:space="preserve">primo anno </w:t>
      </w:r>
      <w:r w:rsidRPr="0056213E">
        <w:rPr>
          <w:sz w:val="24"/>
          <w:szCs w:val="24"/>
        </w:rPr>
        <w:t>esso dovrebbe condure allo smaltimento di 408 cause fra quelle più datate).</w:t>
      </w:r>
    </w:p>
    <w:p w:rsidR="00AB0B66" w:rsidRPr="0056213E" w:rsidRDefault="00AB0B66" w:rsidP="00C85016">
      <w:pPr>
        <w:jc w:val="both"/>
        <w:rPr>
          <w:sz w:val="24"/>
          <w:szCs w:val="24"/>
        </w:rPr>
      </w:pPr>
      <w:r w:rsidRPr="0056213E">
        <w:rPr>
          <w:sz w:val="24"/>
          <w:szCs w:val="24"/>
        </w:rPr>
        <w:t xml:space="preserve">Il programma di smaltimento è operante anche presso i Tar. Gli uffici coinvolti sono 19 ed i ricorsi arretrati che si ipotizza di riuscire a smaltire nel </w:t>
      </w:r>
      <w:r w:rsidR="00B97EDC" w:rsidRPr="0056213E">
        <w:rPr>
          <w:sz w:val="24"/>
          <w:szCs w:val="24"/>
        </w:rPr>
        <w:t xml:space="preserve">primo anno </w:t>
      </w:r>
      <w:r w:rsidRPr="0056213E">
        <w:rPr>
          <w:sz w:val="24"/>
          <w:szCs w:val="24"/>
        </w:rPr>
        <w:t>sono 5392.</w:t>
      </w:r>
    </w:p>
    <w:p w:rsidR="00AB0B66" w:rsidRPr="0056213E" w:rsidRDefault="00AB0B66" w:rsidP="00C85016">
      <w:pPr>
        <w:jc w:val="both"/>
        <w:rPr>
          <w:sz w:val="24"/>
          <w:szCs w:val="24"/>
        </w:rPr>
      </w:pPr>
      <w:r w:rsidRPr="0056213E">
        <w:rPr>
          <w:sz w:val="24"/>
          <w:szCs w:val="24"/>
        </w:rPr>
        <w:t>Sul tema è opportuno chiarire che nella giustizia amministrativa la decisione è subordinata ad un impulso di parte, ulteriore rispetto alla proposizione del ricorso, che si sostanzia nella domanda di fissazione dell’udienza di discussione e, ove vi sia urgenza nella decisione, nella successiva domanda di “prelievo” (si vedano gli artt. 71 e 71 bis c.p.a.).</w:t>
      </w:r>
    </w:p>
    <w:p w:rsidR="00AB0B66" w:rsidRPr="0056213E" w:rsidRDefault="00AB0B66" w:rsidP="00C85016">
      <w:pPr>
        <w:jc w:val="both"/>
        <w:rPr>
          <w:sz w:val="24"/>
          <w:szCs w:val="24"/>
        </w:rPr>
      </w:pPr>
      <w:r w:rsidRPr="0056213E">
        <w:rPr>
          <w:sz w:val="24"/>
          <w:szCs w:val="24"/>
        </w:rPr>
        <w:t xml:space="preserve">Se </w:t>
      </w:r>
      <w:r w:rsidR="00664650" w:rsidRPr="0056213E">
        <w:rPr>
          <w:sz w:val="24"/>
          <w:szCs w:val="24"/>
        </w:rPr>
        <w:t>le parti non forniscono tale impulso</w:t>
      </w:r>
      <w:r w:rsidRPr="0056213E">
        <w:rPr>
          <w:sz w:val="24"/>
          <w:szCs w:val="24"/>
        </w:rPr>
        <w:t xml:space="preserve"> - perché ad es. l’interesse viene meno, ovvero è in corso un componimento bonario con l’amministrazione - il ricorso “giace”. Tale giacenza è tecnicamente considerata a fini statistici una pendenza. E’ evidente tuttavia che nella sostanza, tale non è.</w:t>
      </w:r>
    </w:p>
    <w:p w:rsidR="00AB0B66" w:rsidRPr="0056213E" w:rsidRDefault="00AB0B66" w:rsidP="00C85016">
      <w:pPr>
        <w:jc w:val="both"/>
        <w:rPr>
          <w:sz w:val="24"/>
          <w:szCs w:val="24"/>
        </w:rPr>
      </w:pPr>
      <w:r w:rsidRPr="0056213E">
        <w:rPr>
          <w:sz w:val="24"/>
          <w:szCs w:val="24"/>
        </w:rPr>
        <w:t xml:space="preserve">Nell’ambito dei ricorsi pendenti sopra considerati, ve ne sono </w:t>
      </w:r>
      <w:r w:rsidR="00664650" w:rsidRPr="0056213E">
        <w:rPr>
          <w:sz w:val="24"/>
          <w:szCs w:val="24"/>
        </w:rPr>
        <w:t xml:space="preserve">quindi </w:t>
      </w:r>
      <w:r w:rsidRPr="0056213E">
        <w:rPr>
          <w:sz w:val="24"/>
          <w:szCs w:val="24"/>
        </w:rPr>
        <w:t>molti in cui le stesse parti ritengono la decisione non urgente o addirittura non utile (essi non sono quantificabili se non in sede di smaltimento dell’arretrato, pertanto il numero delle pendenze indicate va considerato arrotondato per eccesso).</w:t>
      </w:r>
    </w:p>
    <w:p w:rsidR="00D103E9" w:rsidRDefault="00D103E9">
      <w:pPr>
        <w:spacing w:after="0" w:line="240" w:lineRule="auto"/>
        <w:rPr>
          <w:b/>
          <w:sz w:val="24"/>
          <w:szCs w:val="24"/>
        </w:rPr>
      </w:pPr>
    </w:p>
    <w:p w:rsidR="0056213E" w:rsidRPr="0056213E" w:rsidRDefault="0056213E">
      <w:pPr>
        <w:spacing w:after="0" w:line="240" w:lineRule="auto"/>
        <w:rPr>
          <w:b/>
          <w:sz w:val="24"/>
          <w:szCs w:val="24"/>
        </w:rPr>
      </w:pPr>
    </w:p>
    <w:p w:rsidR="00AB0B66" w:rsidRPr="0056213E" w:rsidRDefault="00AB0B66" w:rsidP="00E56314">
      <w:pPr>
        <w:jc w:val="both"/>
        <w:rPr>
          <w:b/>
          <w:sz w:val="24"/>
          <w:szCs w:val="24"/>
        </w:rPr>
      </w:pPr>
      <w:r w:rsidRPr="0056213E">
        <w:rPr>
          <w:b/>
          <w:sz w:val="24"/>
          <w:szCs w:val="24"/>
        </w:rPr>
        <w:t xml:space="preserve">3. L’attenzione ai ricorsi recenti con il nuovo c.p.a. del 2010 e la costante diminuzione dei tempi di </w:t>
      </w:r>
      <w:r w:rsidR="007C3746" w:rsidRPr="0056213E">
        <w:rPr>
          <w:b/>
          <w:sz w:val="24"/>
          <w:szCs w:val="24"/>
        </w:rPr>
        <w:t>definizione</w:t>
      </w:r>
    </w:p>
    <w:p w:rsidR="00AB0B66" w:rsidRPr="0056213E" w:rsidRDefault="00AB0B66" w:rsidP="005F400B">
      <w:pPr>
        <w:jc w:val="both"/>
        <w:rPr>
          <w:sz w:val="24"/>
          <w:szCs w:val="24"/>
        </w:rPr>
      </w:pPr>
      <w:r w:rsidRPr="0056213E">
        <w:rPr>
          <w:sz w:val="24"/>
          <w:szCs w:val="24"/>
        </w:rPr>
        <w:t>Mentre l’arretrato è, come visto, oggetto di una specifica linea d’azione basata su interventi straordinari, l’ordinario, costituito dai nuovi ricorsi, è invece affrontato – a partire dall’entrata in vigore del codice del processo amministrativo del 2010</w:t>
      </w:r>
      <w:r w:rsidR="00C70D41" w:rsidRPr="0056213E">
        <w:rPr>
          <w:sz w:val="24"/>
          <w:szCs w:val="24"/>
        </w:rPr>
        <w:t xml:space="preserve"> -</w:t>
      </w:r>
      <w:r w:rsidRPr="0056213E">
        <w:rPr>
          <w:sz w:val="24"/>
          <w:szCs w:val="24"/>
        </w:rPr>
        <w:t xml:space="preserve"> con celerità ormai “strutturale”, grazie dalle innovazioni processuali ed organizzative introdotte proprio da questa riforma. </w:t>
      </w:r>
    </w:p>
    <w:p w:rsidR="0007621A" w:rsidRPr="0056213E" w:rsidRDefault="00AB0B66" w:rsidP="005C2C4B">
      <w:pPr>
        <w:jc w:val="both"/>
        <w:rPr>
          <w:sz w:val="24"/>
          <w:szCs w:val="24"/>
        </w:rPr>
      </w:pPr>
      <w:r w:rsidRPr="0056213E">
        <w:rPr>
          <w:sz w:val="24"/>
          <w:szCs w:val="24"/>
        </w:rPr>
        <w:t xml:space="preserve">Dal </w:t>
      </w:r>
      <w:smartTag w:uri="urn:schemas-microsoft-com:office:smarttags" w:element="metricconverter">
        <w:smartTagPr>
          <w:attr w:name="ProductID" w:val="2011 in"/>
        </w:smartTagPr>
        <w:r w:rsidRPr="0056213E">
          <w:rPr>
            <w:sz w:val="24"/>
            <w:szCs w:val="24"/>
          </w:rPr>
          <w:t>2011 in</w:t>
        </w:r>
      </w:smartTag>
      <w:r w:rsidRPr="0056213E">
        <w:rPr>
          <w:sz w:val="24"/>
          <w:szCs w:val="24"/>
        </w:rPr>
        <w:t xml:space="preserve"> poi, infatti, i tempi di definizione delle cause introdotte</w:t>
      </w:r>
      <w:r w:rsidR="00664650" w:rsidRPr="0056213E">
        <w:rPr>
          <w:sz w:val="24"/>
          <w:szCs w:val="24"/>
        </w:rPr>
        <w:t xml:space="preserve"> si stanno riducendo progressivamente.</w:t>
      </w:r>
      <w:r w:rsidRPr="0056213E">
        <w:rPr>
          <w:sz w:val="24"/>
          <w:szCs w:val="24"/>
        </w:rPr>
        <w:t xml:space="preserve"> Nell’ambito </w:t>
      </w:r>
      <w:r w:rsidR="0007621A" w:rsidRPr="0056213E">
        <w:rPr>
          <w:sz w:val="24"/>
          <w:szCs w:val="24"/>
        </w:rPr>
        <w:t>d</w:t>
      </w:r>
      <w:r w:rsidRPr="0056213E">
        <w:rPr>
          <w:sz w:val="24"/>
          <w:szCs w:val="24"/>
        </w:rPr>
        <w:t>i</w:t>
      </w:r>
      <w:r w:rsidR="0007621A" w:rsidRPr="0056213E">
        <w:rPr>
          <w:sz w:val="24"/>
          <w:szCs w:val="24"/>
        </w:rPr>
        <w:t xml:space="preserve"> tali</w:t>
      </w:r>
      <w:r w:rsidRPr="0056213E">
        <w:rPr>
          <w:sz w:val="24"/>
          <w:szCs w:val="24"/>
        </w:rPr>
        <w:t xml:space="preserve"> tempi medi di decisione occorre evidenziare i tempi</w:t>
      </w:r>
      <w:r w:rsidR="0007621A" w:rsidRPr="0056213E">
        <w:rPr>
          <w:sz w:val="24"/>
          <w:szCs w:val="24"/>
        </w:rPr>
        <w:t>,</w:t>
      </w:r>
      <w:r w:rsidRPr="0056213E">
        <w:rPr>
          <w:sz w:val="24"/>
          <w:szCs w:val="24"/>
        </w:rPr>
        <w:t xml:space="preserve"> ancora più celeri</w:t>
      </w:r>
      <w:r w:rsidR="0007621A" w:rsidRPr="0056213E">
        <w:rPr>
          <w:sz w:val="24"/>
          <w:szCs w:val="24"/>
        </w:rPr>
        <w:t>,</w:t>
      </w:r>
      <w:r w:rsidRPr="0056213E">
        <w:rPr>
          <w:sz w:val="24"/>
          <w:szCs w:val="24"/>
        </w:rPr>
        <w:t xml:space="preserve"> di definizione delle cause relative a questioni economicamente e socialmente più sensibili, quali quelle in materia di procedimenti elettorali, appalti, immigrazione. In questi settori, caratterizzati da esigenze di tutela urgente</w:t>
      </w:r>
      <w:r w:rsidR="0007621A" w:rsidRPr="0056213E">
        <w:rPr>
          <w:sz w:val="24"/>
          <w:szCs w:val="24"/>
        </w:rPr>
        <w:t>,</w:t>
      </w:r>
      <w:r w:rsidRPr="0056213E">
        <w:rPr>
          <w:sz w:val="24"/>
          <w:szCs w:val="24"/>
        </w:rPr>
        <w:t xml:space="preserve"> connesse alla delicatezza degli interessi incisi, i tempi sono più bassi in virtù dei riti speciali</w:t>
      </w:r>
      <w:r w:rsidR="0007621A" w:rsidRPr="0056213E">
        <w:rPr>
          <w:sz w:val="24"/>
          <w:szCs w:val="24"/>
        </w:rPr>
        <w:t xml:space="preserve"> ed abbreviati</w:t>
      </w:r>
      <w:r w:rsidR="00C70D41" w:rsidRPr="0056213E">
        <w:rPr>
          <w:sz w:val="24"/>
          <w:szCs w:val="24"/>
        </w:rPr>
        <w:t xml:space="preserve"> previsti dallo stesso codice</w:t>
      </w:r>
      <w:r w:rsidR="0007621A" w:rsidRPr="0056213E">
        <w:rPr>
          <w:sz w:val="24"/>
          <w:szCs w:val="24"/>
        </w:rPr>
        <w:t>,</w:t>
      </w:r>
      <w:r w:rsidR="00C70D41" w:rsidRPr="0056213E">
        <w:rPr>
          <w:sz w:val="24"/>
          <w:szCs w:val="24"/>
        </w:rPr>
        <w:t xml:space="preserve"> </w:t>
      </w:r>
      <w:r w:rsidR="0007621A" w:rsidRPr="0056213E">
        <w:rPr>
          <w:sz w:val="24"/>
          <w:szCs w:val="24"/>
        </w:rPr>
        <w:t xml:space="preserve">e si riducono progressivamente man mano che l’indagine interessa le annualità più recenti </w:t>
      </w:r>
      <w:r w:rsidR="0032232F" w:rsidRPr="0056213E">
        <w:rPr>
          <w:sz w:val="24"/>
          <w:szCs w:val="24"/>
        </w:rPr>
        <w:t>(tab. 3</w:t>
      </w:r>
      <w:r w:rsidR="0007621A" w:rsidRPr="0056213E">
        <w:rPr>
          <w:sz w:val="24"/>
          <w:szCs w:val="24"/>
        </w:rPr>
        <w:t xml:space="preserve">  e </w:t>
      </w:r>
      <w:r w:rsidR="0032232F" w:rsidRPr="0056213E">
        <w:rPr>
          <w:sz w:val="24"/>
          <w:szCs w:val="24"/>
        </w:rPr>
        <w:t>4</w:t>
      </w:r>
      <w:r w:rsidR="0007621A" w:rsidRPr="0056213E">
        <w:rPr>
          <w:sz w:val="24"/>
          <w:szCs w:val="24"/>
        </w:rPr>
        <w:t>), sino  a fermarsi a tre giorni per i giudizi</w:t>
      </w:r>
      <w:r w:rsidR="0007621A" w:rsidRPr="0056213E">
        <w:rPr>
          <w:b/>
          <w:sz w:val="24"/>
          <w:szCs w:val="24"/>
        </w:rPr>
        <w:t xml:space="preserve"> </w:t>
      </w:r>
      <w:r w:rsidR="00E44C3B" w:rsidRPr="0056213E">
        <w:rPr>
          <w:sz w:val="24"/>
          <w:szCs w:val="24"/>
        </w:rPr>
        <w:t>concernenti</w:t>
      </w:r>
      <w:r w:rsidR="0007621A" w:rsidRPr="0056213E">
        <w:rPr>
          <w:sz w:val="24"/>
          <w:szCs w:val="24"/>
        </w:rPr>
        <w:t xml:space="preserve">  provvedimenti di esclusione di liste o candidati in occasione delle competizioni elettorali comunali, pro</w:t>
      </w:r>
      <w:r w:rsidR="001A1677" w:rsidRPr="0056213E">
        <w:rPr>
          <w:sz w:val="24"/>
          <w:szCs w:val="24"/>
        </w:rPr>
        <w:t>vinciali,</w:t>
      </w:r>
      <w:r w:rsidR="0007621A" w:rsidRPr="0056213E">
        <w:rPr>
          <w:sz w:val="24"/>
          <w:szCs w:val="24"/>
        </w:rPr>
        <w:t xml:space="preserve"> regionali ed europee.</w:t>
      </w:r>
    </w:p>
    <w:p w:rsidR="00AB0B66" w:rsidRPr="0056213E" w:rsidRDefault="002C6073" w:rsidP="005C2C4B">
      <w:pPr>
        <w:jc w:val="both"/>
        <w:rPr>
          <w:sz w:val="24"/>
          <w:szCs w:val="24"/>
        </w:rPr>
      </w:pPr>
      <w:r w:rsidRPr="0056213E">
        <w:rPr>
          <w:sz w:val="24"/>
          <w:szCs w:val="24"/>
        </w:rPr>
        <w:t xml:space="preserve">E’ </w:t>
      </w:r>
      <w:r w:rsidR="0007621A" w:rsidRPr="0056213E">
        <w:rPr>
          <w:sz w:val="24"/>
          <w:szCs w:val="24"/>
        </w:rPr>
        <w:t xml:space="preserve">altresì </w:t>
      </w:r>
      <w:r w:rsidRPr="0056213E">
        <w:rPr>
          <w:sz w:val="24"/>
          <w:szCs w:val="24"/>
        </w:rPr>
        <w:t>da precisare che in materia di immigrazione non è previsto un rito speciale, ma la pregnanza degli interessi in gioco (si pensi ai provvedimenti in materia di permesso di soggiorno dai quali discende l’espulsione) ha di fatto creato una corsia accelerata, tale da equipararne i tempi.</w:t>
      </w:r>
    </w:p>
    <w:p w:rsidR="0056213E" w:rsidRPr="0056213E" w:rsidRDefault="00F11F33" w:rsidP="005C2C4B">
      <w:pPr>
        <w:jc w:val="both"/>
        <w:rPr>
          <w:sz w:val="24"/>
          <w:szCs w:val="24"/>
        </w:rPr>
      </w:pPr>
      <w:r w:rsidRPr="0056213E">
        <w:rPr>
          <w:sz w:val="24"/>
          <w:szCs w:val="24"/>
        </w:rPr>
        <w:t xml:space="preserve">Il dato illustrato </w:t>
      </w:r>
      <w:r w:rsidR="00664650" w:rsidRPr="0056213E">
        <w:rPr>
          <w:sz w:val="24"/>
          <w:szCs w:val="24"/>
        </w:rPr>
        <w:t xml:space="preserve">in Tab. 3 e 4 </w:t>
      </w:r>
      <w:r w:rsidRPr="0056213E">
        <w:rPr>
          <w:sz w:val="24"/>
          <w:szCs w:val="24"/>
        </w:rPr>
        <w:t xml:space="preserve">aggrega le decisioni sinora intervenute in relazione all’anno di deposito del relativo ricorso. </w:t>
      </w:r>
    </w:p>
    <w:p w:rsidR="0056213E" w:rsidRDefault="0056213E">
      <w:pPr>
        <w:spacing w:after="0" w:line="240" w:lineRule="auto"/>
      </w:pPr>
      <w:r>
        <w:br w:type="page"/>
      </w:r>
    </w:p>
    <w:p w:rsidR="00F11F33" w:rsidRDefault="00F11F33" w:rsidP="005C2C4B">
      <w:pPr>
        <w:jc w:val="both"/>
      </w:pPr>
    </w:p>
    <w:p w:rsidR="00AB0B66" w:rsidRPr="008B3ED7" w:rsidRDefault="0032232F" w:rsidP="00245EEB">
      <w:pPr>
        <w:jc w:val="both"/>
        <w:rPr>
          <w:i/>
        </w:rPr>
      </w:pPr>
      <w:r>
        <w:rPr>
          <w:i/>
        </w:rPr>
        <w:t>Tab. 3</w:t>
      </w:r>
      <w:r w:rsidR="00AB0B66" w:rsidRPr="008B3ED7">
        <w:rPr>
          <w:i/>
        </w:rPr>
        <w:t xml:space="preserve"> (tempi medi di </w:t>
      </w:r>
      <w:r w:rsidR="0007621A">
        <w:rPr>
          <w:i/>
        </w:rPr>
        <w:t>definizione</w:t>
      </w:r>
      <w:r w:rsidR="00AB0B66" w:rsidRPr="008B3ED7">
        <w:rPr>
          <w:i/>
        </w:rPr>
        <w:t xml:space="preserve"> TAR rilevati per anno di deposito su materie sensibili- periodo 2013/ giugno 2017)</w:t>
      </w:r>
    </w:p>
    <w:tbl>
      <w:tblPr>
        <w:tblW w:w="8842" w:type="dxa"/>
        <w:tblInd w:w="-5" w:type="dxa"/>
        <w:tblCellMar>
          <w:left w:w="70" w:type="dxa"/>
          <w:right w:w="70" w:type="dxa"/>
        </w:tblCellMar>
        <w:tblLook w:val="00A0" w:firstRow="1" w:lastRow="0" w:firstColumn="1" w:lastColumn="0" w:noHBand="0" w:noVBand="0"/>
      </w:tblPr>
      <w:tblGrid>
        <w:gridCol w:w="5907"/>
        <w:gridCol w:w="587"/>
        <w:gridCol w:w="587"/>
        <w:gridCol w:w="587"/>
        <w:gridCol w:w="587"/>
        <w:gridCol w:w="588"/>
      </w:tblGrid>
      <w:tr w:rsidR="002F063E" w:rsidRPr="00292575" w:rsidTr="007470F5">
        <w:trPr>
          <w:trHeight w:val="300"/>
        </w:trPr>
        <w:tc>
          <w:tcPr>
            <w:tcW w:w="590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2F063E" w:rsidRPr="00292575" w:rsidRDefault="002F063E" w:rsidP="005C2C4B">
            <w:pPr>
              <w:jc w:val="both"/>
              <w:rPr>
                <w:b/>
                <w:bCs/>
              </w:rPr>
            </w:pPr>
          </w:p>
        </w:tc>
        <w:tc>
          <w:tcPr>
            <w:tcW w:w="2935" w:type="dxa"/>
            <w:gridSpan w:val="5"/>
            <w:tcBorders>
              <w:top w:val="single" w:sz="4" w:space="0" w:color="auto"/>
              <w:left w:val="nil"/>
              <w:bottom w:val="single" w:sz="4" w:space="0" w:color="auto"/>
              <w:right w:val="single" w:sz="4" w:space="0" w:color="auto"/>
            </w:tcBorders>
            <w:shd w:val="clear" w:color="000000" w:fill="F2F2F2"/>
            <w:noWrap/>
            <w:vAlign w:val="bottom"/>
          </w:tcPr>
          <w:p w:rsidR="002F063E" w:rsidRPr="00292575" w:rsidRDefault="002F063E" w:rsidP="002F063E">
            <w:pPr>
              <w:jc w:val="center"/>
              <w:rPr>
                <w:b/>
                <w:bCs/>
              </w:rPr>
            </w:pPr>
            <w:r w:rsidRPr="002F063E">
              <w:rPr>
                <w:b/>
                <w:bCs/>
              </w:rPr>
              <w:t>Anno di deposito del ricorso definito</w:t>
            </w:r>
          </w:p>
        </w:tc>
      </w:tr>
      <w:tr w:rsidR="00AB0B66" w:rsidRPr="00292575" w:rsidTr="003A04BA">
        <w:trPr>
          <w:trHeight w:val="300"/>
        </w:trPr>
        <w:tc>
          <w:tcPr>
            <w:tcW w:w="590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Primo Grado</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2013</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2014</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2015</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2016</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Default="00AB0B66" w:rsidP="00F222AD">
            <w:pPr>
              <w:spacing w:after="0"/>
              <w:jc w:val="both"/>
              <w:rPr>
                <w:b/>
                <w:bCs/>
              </w:rPr>
            </w:pPr>
            <w:r w:rsidRPr="00292575">
              <w:rPr>
                <w:b/>
                <w:bCs/>
              </w:rPr>
              <w:t>2017</w:t>
            </w:r>
          </w:p>
          <w:p w:rsidR="00F222AD" w:rsidRPr="00292575" w:rsidRDefault="00F222AD" w:rsidP="00F222AD">
            <w:pPr>
              <w:spacing w:after="0"/>
              <w:jc w:val="center"/>
              <w:rPr>
                <w:b/>
                <w:bCs/>
              </w:rPr>
            </w:pPr>
            <w:r w:rsidRPr="00F222AD">
              <w:rPr>
                <w:b/>
                <w:bCs/>
                <w:sz w:val="18"/>
              </w:rPr>
              <w:t>Primo sem.</w:t>
            </w:r>
          </w:p>
        </w:tc>
      </w:tr>
      <w:tr w:rsidR="00AB0B6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APPALTI PUBBLICI DI LAVORI, SERVIZI E FORNITURE</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331</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223</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193</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149</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78</w:t>
            </w:r>
          </w:p>
        </w:tc>
      </w:tr>
      <w:tr w:rsidR="00AB0B6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AUTORITA' INDIPENDENTI (ATTIVITA', ORGANIZZAZIONE)</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549</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439</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309</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263</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80</w:t>
            </w:r>
          </w:p>
        </w:tc>
      </w:tr>
      <w:tr w:rsidR="00AB0B6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ELEZIONI</w:t>
            </w:r>
            <w:r w:rsidR="0007621A">
              <w:t xml:space="preserve"> (provvedimenti successivi alla proclamazione eletti)</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142</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94</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113</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66</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21</w:t>
            </w:r>
          </w:p>
        </w:tc>
      </w:tr>
      <w:tr w:rsidR="0007621A"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07621A" w:rsidRPr="00292575" w:rsidRDefault="0007621A" w:rsidP="005C2C4B">
            <w:pPr>
              <w:jc w:val="both"/>
            </w:pPr>
            <w:r>
              <w:t>ELEZIONI (provvedimenti di esclusione)</w:t>
            </w:r>
          </w:p>
        </w:tc>
        <w:tc>
          <w:tcPr>
            <w:tcW w:w="587" w:type="dxa"/>
            <w:tcBorders>
              <w:top w:val="nil"/>
              <w:left w:val="nil"/>
              <w:bottom w:val="single" w:sz="4" w:space="0" w:color="auto"/>
              <w:right w:val="single" w:sz="4" w:space="0" w:color="auto"/>
            </w:tcBorders>
            <w:noWrap/>
            <w:vAlign w:val="bottom"/>
          </w:tcPr>
          <w:p w:rsidR="0007621A" w:rsidRPr="00292575" w:rsidRDefault="002B7052" w:rsidP="005C2C4B">
            <w:pPr>
              <w:jc w:val="both"/>
            </w:pPr>
            <w:r>
              <w:t>3</w:t>
            </w:r>
          </w:p>
        </w:tc>
        <w:tc>
          <w:tcPr>
            <w:tcW w:w="587" w:type="dxa"/>
            <w:tcBorders>
              <w:top w:val="nil"/>
              <w:left w:val="nil"/>
              <w:bottom w:val="single" w:sz="4" w:space="0" w:color="auto"/>
              <w:right w:val="single" w:sz="4" w:space="0" w:color="auto"/>
            </w:tcBorders>
            <w:noWrap/>
            <w:vAlign w:val="bottom"/>
          </w:tcPr>
          <w:p w:rsidR="002B7052" w:rsidRPr="00292575" w:rsidRDefault="002B7052" w:rsidP="005C2C4B">
            <w:pPr>
              <w:jc w:val="both"/>
            </w:pPr>
            <w:r>
              <w:t>3</w:t>
            </w:r>
          </w:p>
        </w:tc>
        <w:tc>
          <w:tcPr>
            <w:tcW w:w="587" w:type="dxa"/>
            <w:tcBorders>
              <w:top w:val="nil"/>
              <w:left w:val="nil"/>
              <w:bottom w:val="single" w:sz="4" w:space="0" w:color="auto"/>
              <w:right w:val="single" w:sz="4" w:space="0" w:color="auto"/>
            </w:tcBorders>
            <w:noWrap/>
            <w:vAlign w:val="bottom"/>
          </w:tcPr>
          <w:p w:rsidR="0007621A" w:rsidRPr="00292575" w:rsidRDefault="002B7052" w:rsidP="005C2C4B">
            <w:pPr>
              <w:jc w:val="both"/>
            </w:pPr>
            <w:r>
              <w:t>2</w:t>
            </w:r>
          </w:p>
        </w:tc>
        <w:tc>
          <w:tcPr>
            <w:tcW w:w="587" w:type="dxa"/>
            <w:tcBorders>
              <w:top w:val="nil"/>
              <w:left w:val="nil"/>
              <w:bottom w:val="single" w:sz="4" w:space="0" w:color="auto"/>
              <w:right w:val="single" w:sz="4" w:space="0" w:color="auto"/>
            </w:tcBorders>
            <w:noWrap/>
            <w:vAlign w:val="bottom"/>
          </w:tcPr>
          <w:p w:rsidR="0007621A" w:rsidRPr="00292575" w:rsidRDefault="002B7052" w:rsidP="005C2C4B">
            <w:pPr>
              <w:jc w:val="both"/>
            </w:pPr>
            <w:r>
              <w:t>2</w:t>
            </w:r>
          </w:p>
        </w:tc>
        <w:tc>
          <w:tcPr>
            <w:tcW w:w="587" w:type="dxa"/>
            <w:tcBorders>
              <w:top w:val="nil"/>
              <w:left w:val="nil"/>
              <w:bottom w:val="single" w:sz="4" w:space="0" w:color="auto"/>
              <w:right w:val="single" w:sz="4" w:space="0" w:color="auto"/>
            </w:tcBorders>
            <w:noWrap/>
            <w:vAlign w:val="bottom"/>
          </w:tcPr>
          <w:p w:rsidR="0007621A" w:rsidRPr="00292575" w:rsidRDefault="002B7052" w:rsidP="005C2C4B">
            <w:pPr>
              <w:jc w:val="both"/>
            </w:pPr>
            <w:r>
              <w:t>3</w:t>
            </w:r>
          </w:p>
        </w:tc>
      </w:tr>
      <w:tr w:rsidR="00AB0B66" w:rsidRPr="00292575" w:rsidTr="003A04BA">
        <w:trPr>
          <w:trHeight w:val="300"/>
        </w:trPr>
        <w:tc>
          <w:tcPr>
            <w:tcW w:w="5907" w:type="dxa"/>
            <w:tcBorders>
              <w:top w:val="single" w:sz="4" w:space="0" w:color="auto"/>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STRANIERI</w:t>
            </w:r>
          </w:p>
        </w:tc>
        <w:tc>
          <w:tcPr>
            <w:tcW w:w="587" w:type="dxa"/>
            <w:tcBorders>
              <w:top w:val="single" w:sz="4" w:space="0" w:color="auto"/>
              <w:left w:val="nil"/>
              <w:bottom w:val="single" w:sz="4" w:space="0" w:color="auto"/>
              <w:right w:val="single" w:sz="4" w:space="0" w:color="auto"/>
            </w:tcBorders>
            <w:noWrap/>
            <w:vAlign w:val="bottom"/>
          </w:tcPr>
          <w:p w:rsidR="00AB0B66" w:rsidRPr="00292575" w:rsidRDefault="00AB0B66" w:rsidP="005C2C4B">
            <w:pPr>
              <w:jc w:val="both"/>
            </w:pPr>
            <w:r w:rsidRPr="00292575">
              <w:t>289</w:t>
            </w:r>
          </w:p>
        </w:tc>
        <w:tc>
          <w:tcPr>
            <w:tcW w:w="587" w:type="dxa"/>
            <w:tcBorders>
              <w:top w:val="single" w:sz="4" w:space="0" w:color="auto"/>
              <w:left w:val="nil"/>
              <w:bottom w:val="single" w:sz="4" w:space="0" w:color="auto"/>
              <w:right w:val="single" w:sz="4" w:space="0" w:color="auto"/>
            </w:tcBorders>
            <w:noWrap/>
            <w:vAlign w:val="bottom"/>
          </w:tcPr>
          <w:p w:rsidR="00AB0B66" w:rsidRPr="00292575" w:rsidRDefault="00AB0B66" w:rsidP="005C2C4B">
            <w:pPr>
              <w:jc w:val="both"/>
            </w:pPr>
            <w:r w:rsidRPr="00292575">
              <w:t>261</w:t>
            </w:r>
          </w:p>
        </w:tc>
        <w:tc>
          <w:tcPr>
            <w:tcW w:w="587" w:type="dxa"/>
            <w:tcBorders>
              <w:top w:val="single" w:sz="4" w:space="0" w:color="auto"/>
              <w:left w:val="nil"/>
              <w:bottom w:val="single" w:sz="4" w:space="0" w:color="auto"/>
              <w:right w:val="single" w:sz="4" w:space="0" w:color="auto"/>
            </w:tcBorders>
            <w:noWrap/>
            <w:vAlign w:val="bottom"/>
          </w:tcPr>
          <w:p w:rsidR="00AB0B66" w:rsidRPr="00292575" w:rsidRDefault="00AB0B66" w:rsidP="005C2C4B">
            <w:pPr>
              <w:jc w:val="both"/>
            </w:pPr>
            <w:r w:rsidRPr="00292575">
              <w:t>242</w:t>
            </w:r>
          </w:p>
        </w:tc>
        <w:tc>
          <w:tcPr>
            <w:tcW w:w="587" w:type="dxa"/>
            <w:tcBorders>
              <w:top w:val="single" w:sz="4" w:space="0" w:color="auto"/>
              <w:left w:val="nil"/>
              <w:bottom w:val="single" w:sz="4" w:space="0" w:color="auto"/>
              <w:right w:val="single" w:sz="4" w:space="0" w:color="auto"/>
            </w:tcBorders>
            <w:noWrap/>
            <w:vAlign w:val="bottom"/>
          </w:tcPr>
          <w:p w:rsidR="00AB0B66" w:rsidRPr="00292575" w:rsidRDefault="00AB0B66" w:rsidP="005C2C4B">
            <w:pPr>
              <w:jc w:val="both"/>
            </w:pPr>
            <w:r w:rsidRPr="00292575">
              <w:t>150</w:t>
            </w:r>
          </w:p>
        </w:tc>
        <w:tc>
          <w:tcPr>
            <w:tcW w:w="587" w:type="dxa"/>
            <w:tcBorders>
              <w:top w:val="single" w:sz="4" w:space="0" w:color="auto"/>
              <w:left w:val="nil"/>
              <w:bottom w:val="single" w:sz="4" w:space="0" w:color="auto"/>
              <w:right w:val="single" w:sz="4" w:space="0" w:color="auto"/>
            </w:tcBorders>
            <w:noWrap/>
            <w:vAlign w:val="bottom"/>
          </w:tcPr>
          <w:p w:rsidR="00AB0B66" w:rsidRPr="00292575" w:rsidRDefault="00AB0B66" w:rsidP="005C2C4B">
            <w:pPr>
              <w:jc w:val="both"/>
            </w:pPr>
            <w:r w:rsidRPr="00292575">
              <w:t>55</w:t>
            </w:r>
          </w:p>
        </w:tc>
      </w:tr>
    </w:tbl>
    <w:p w:rsidR="00AB0B66" w:rsidRDefault="00AB0B66" w:rsidP="005C2C4B">
      <w:pPr>
        <w:jc w:val="both"/>
      </w:pPr>
    </w:p>
    <w:p w:rsidR="002B7052" w:rsidRPr="005C2C4B" w:rsidRDefault="002B7052" w:rsidP="005C2C4B">
      <w:pPr>
        <w:jc w:val="both"/>
      </w:pPr>
      <w:r>
        <w:rPr>
          <w:noProof/>
          <w:lang w:eastAsia="it-IT"/>
        </w:rPr>
        <w:drawing>
          <wp:inline distT="0" distB="0" distL="0" distR="0" wp14:anchorId="04AA3B06" wp14:editId="1AA155DA">
            <wp:extent cx="5800725" cy="4349750"/>
            <wp:effectExtent l="0" t="0" r="9525" b="1270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03E9" w:rsidRDefault="00D103E9">
      <w:pPr>
        <w:spacing w:after="0" w:line="240" w:lineRule="auto"/>
        <w:rPr>
          <w:i/>
        </w:rPr>
      </w:pPr>
      <w:r>
        <w:rPr>
          <w:i/>
        </w:rPr>
        <w:br w:type="page"/>
      </w:r>
    </w:p>
    <w:p w:rsidR="00AB0B66" w:rsidRPr="008B3ED7" w:rsidRDefault="0032232F" w:rsidP="00D84AF5">
      <w:pPr>
        <w:jc w:val="both"/>
        <w:rPr>
          <w:i/>
        </w:rPr>
      </w:pPr>
      <w:r>
        <w:rPr>
          <w:i/>
        </w:rPr>
        <w:t>Tab. 4</w:t>
      </w:r>
      <w:r w:rsidR="00AB0B66" w:rsidRPr="008B3ED7">
        <w:rPr>
          <w:i/>
        </w:rPr>
        <w:t xml:space="preserve"> </w:t>
      </w:r>
      <w:r w:rsidR="0007621A">
        <w:rPr>
          <w:i/>
        </w:rPr>
        <w:t>(tempi medi di definizione</w:t>
      </w:r>
      <w:r w:rsidR="00AB0B66" w:rsidRPr="008B3ED7">
        <w:rPr>
          <w:i/>
        </w:rPr>
        <w:t xml:space="preserve"> CDS rilevati per anno di deposito su materie sensibili</w:t>
      </w:r>
      <w:r w:rsidR="006E234D">
        <w:rPr>
          <w:i/>
        </w:rPr>
        <w:t xml:space="preserve"> </w:t>
      </w:r>
      <w:r w:rsidR="00AB0B66" w:rsidRPr="008B3ED7">
        <w:rPr>
          <w:i/>
        </w:rPr>
        <w:t>- periodo 2013/ giugno 2017)</w:t>
      </w:r>
    </w:p>
    <w:tbl>
      <w:tblPr>
        <w:tblW w:w="8842" w:type="dxa"/>
        <w:tblInd w:w="-5" w:type="dxa"/>
        <w:tblCellMar>
          <w:left w:w="70" w:type="dxa"/>
          <w:right w:w="70" w:type="dxa"/>
        </w:tblCellMar>
        <w:tblLook w:val="00A0" w:firstRow="1" w:lastRow="0" w:firstColumn="1" w:lastColumn="0" w:noHBand="0" w:noVBand="0"/>
      </w:tblPr>
      <w:tblGrid>
        <w:gridCol w:w="5907"/>
        <w:gridCol w:w="587"/>
        <w:gridCol w:w="587"/>
        <w:gridCol w:w="587"/>
        <w:gridCol w:w="587"/>
        <w:gridCol w:w="588"/>
      </w:tblGrid>
      <w:tr w:rsidR="002F063E" w:rsidRPr="00292575" w:rsidTr="005B5089">
        <w:trPr>
          <w:trHeight w:val="300"/>
        </w:trPr>
        <w:tc>
          <w:tcPr>
            <w:tcW w:w="590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2F063E" w:rsidRPr="00292575" w:rsidRDefault="002F063E" w:rsidP="005C2C4B">
            <w:pPr>
              <w:jc w:val="both"/>
              <w:rPr>
                <w:b/>
                <w:bCs/>
              </w:rPr>
            </w:pPr>
          </w:p>
        </w:tc>
        <w:tc>
          <w:tcPr>
            <w:tcW w:w="2935" w:type="dxa"/>
            <w:gridSpan w:val="5"/>
            <w:tcBorders>
              <w:top w:val="single" w:sz="4" w:space="0" w:color="auto"/>
              <w:left w:val="nil"/>
              <w:bottom w:val="single" w:sz="4" w:space="0" w:color="auto"/>
              <w:right w:val="single" w:sz="4" w:space="0" w:color="auto"/>
            </w:tcBorders>
            <w:shd w:val="clear" w:color="000000" w:fill="F2F2F2"/>
            <w:noWrap/>
            <w:vAlign w:val="bottom"/>
          </w:tcPr>
          <w:p w:rsidR="002F063E" w:rsidRPr="00292575" w:rsidRDefault="002F063E" w:rsidP="002F063E">
            <w:pPr>
              <w:jc w:val="center"/>
              <w:rPr>
                <w:b/>
                <w:bCs/>
              </w:rPr>
            </w:pPr>
            <w:r w:rsidRPr="002F063E">
              <w:rPr>
                <w:b/>
                <w:bCs/>
              </w:rPr>
              <w:t>Anno di deposito del ricorso definito</w:t>
            </w:r>
          </w:p>
        </w:tc>
      </w:tr>
      <w:tr w:rsidR="00AB0B66" w:rsidRPr="00292575" w:rsidTr="003A04BA">
        <w:trPr>
          <w:trHeight w:val="300"/>
        </w:trPr>
        <w:tc>
          <w:tcPr>
            <w:tcW w:w="590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Secondo Grado</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2013</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2014</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2015</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Pr="00292575" w:rsidRDefault="00AB0B66" w:rsidP="005C2C4B">
            <w:pPr>
              <w:jc w:val="both"/>
              <w:rPr>
                <w:b/>
                <w:bCs/>
              </w:rPr>
            </w:pPr>
            <w:r w:rsidRPr="00292575">
              <w:rPr>
                <w:b/>
                <w:bCs/>
              </w:rPr>
              <w:t>2016</w:t>
            </w:r>
          </w:p>
        </w:tc>
        <w:tc>
          <w:tcPr>
            <w:tcW w:w="587" w:type="dxa"/>
            <w:tcBorders>
              <w:top w:val="single" w:sz="4" w:space="0" w:color="auto"/>
              <w:left w:val="nil"/>
              <w:bottom w:val="single" w:sz="4" w:space="0" w:color="auto"/>
              <w:right w:val="single" w:sz="4" w:space="0" w:color="auto"/>
            </w:tcBorders>
            <w:shd w:val="clear" w:color="000000" w:fill="F2F2F2"/>
            <w:noWrap/>
            <w:vAlign w:val="bottom"/>
          </w:tcPr>
          <w:p w:rsidR="00AB0B66" w:rsidRDefault="00AB0B66" w:rsidP="00D103E9">
            <w:pPr>
              <w:spacing w:after="0"/>
              <w:jc w:val="center"/>
              <w:rPr>
                <w:b/>
                <w:bCs/>
              </w:rPr>
            </w:pPr>
            <w:r w:rsidRPr="00292575">
              <w:rPr>
                <w:b/>
                <w:bCs/>
              </w:rPr>
              <w:t>2017</w:t>
            </w:r>
          </w:p>
          <w:p w:rsidR="00D103E9" w:rsidRPr="00292575" w:rsidRDefault="00D103E9" w:rsidP="00D103E9">
            <w:pPr>
              <w:spacing w:after="0"/>
              <w:jc w:val="center"/>
              <w:rPr>
                <w:b/>
                <w:bCs/>
              </w:rPr>
            </w:pPr>
            <w:r w:rsidRPr="00F222AD">
              <w:rPr>
                <w:b/>
                <w:bCs/>
                <w:sz w:val="18"/>
              </w:rPr>
              <w:t>Primo sem.</w:t>
            </w:r>
          </w:p>
        </w:tc>
      </w:tr>
      <w:tr w:rsidR="00AB0B6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APPALTI PUBBLICI DI LAVORI, SERVIZI E FORNITURE</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469</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248</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209</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225</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125</w:t>
            </w:r>
          </w:p>
        </w:tc>
      </w:tr>
      <w:tr w:rsidR="00AB0B6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AUTORITA' INDIPENDENTI (ATTIVITA', ORGANIZZAZIONE)</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480</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386</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348</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232</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106</w:t>
            </w:r>
          </w:p>
        </w:tc>
      </w:tr>
      <w:tr w:rsidR="00AB0B6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ELEZIONI</w:t>
            </w:r>
            <w:r w:rsidR="007C3746">
              <w:t xml:space="preserve"> (provvedimenti successivi alla proclamazione eletti)</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112</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113</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167</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38</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60</w:t>
            </w:r>
          </w:p>
        </w:tc>
      </w:tr>
      <w:tr w:rsidR="007C3746" w:rsidRPr="00292575" w:rsidTr="003A04BA">
        <w:trPr>
          <w:trHeight w:val="300"/>
        </w:trPr>
        <w:tc>
          <w:tcPr>
            <w:tcW w:w="5907" w:type="dxa"/>
            <w:tcBorders>
              <w:top w:val="nil"/>
              <w:left w:val="single" w:sz="4" w:space="0" w:color="auto"/>
              <w:bottom w:val="single" w:sz="4" w:space="0" w:color="auto"/>
              <w:right w:val="single" w:sz="4" w:space="0" w:color="auto"/>
            </w:tcBorders>
            <w:noWrap/>
            <w:vAlign w:val="bottom"/>
          </w:tcPr>
          <w:p w:rsidR="007C3746" w:rsidRPr="00292575" w:rsidRDefault="007C3746" w:rsidP="005C2C4B">
            <w:pPr>
              <w:jc w:val="both"/>
            </w:pPr>
            <w:r>
              <w:t>ELEZIONI (provvedimenti di esclusione)</w:t>
            </w:r>
          </w:p>
        </w:tc>
        <w:tc>
          <w:tcPr>
            <w:tcW w:w="587" w:type="dxa"/>
            <w:tcBorders>
              <w:top w:val="nil"/>
              <w:left w:val="nil"/>
              <w:bottom w:val="single" w:sz="4" w:space="0" w:color="auto"/>
              <w:right w:val="single" w:sz="4" w:space="0" w:color="auto"/>
            </w:tcBorders>
            <w:noWrap/>
            <w:vAlign w:val="bottom"/>
          </w:tcPr>
          <w:p w:rsidR="007C3746" w:rsidRPr="00292575" w:rsidRDefault="002B7052" w:rsidP="005C2C4B">
            <w:pPr>
              <w:jc w:val="both"/>
            </w:pPr>
            <w:r>
              <w:t>3</w:t>
            </w:r>
          </w:p>
        </w:tc>
        <w:tc>
          <w:tcPr>
            <w:tcW w:w="587" w:type="dxa"/>
            <w:tcBorders>
              <w:top w:val="nil"/>
              <w:left w:val="nil"/>
              <w:bottom w:val="single" w:sz="4" w:space="0" w:color="auto"/>
              <w:right w:val="single" w:sz="4" w:space="0" w:color="auto"/>
            </w:tcBorders>
            <w:noWrap/>
            <w:vAlign w:val="bottom"/>
          </w:tcPr>
          <w:p w:rsidR="007C3746" w:rsidRPr="00292575" w:rsidRDefault="002B7052" w:rsidP="005C2C4B">
            <w:pPr>
              <w:jc w:val="both"/>
            </w:pPr>
            <w:r>
              <w:t>2</w:t>
            </w:r>
          </w:p>
        </w:tc>
        <w:tc>
          <w:tcPr>
            <w:tcW w:w="587" w:type="dxa"/>
            <w:tcBorders>
              <w:top w:val="nil"/>
              <w:left w:val="nil"/>
              <w:bottom w:val="single" w:sz="4" w:space="0" w:color="auto"/>
              <w:right w:val="single" w:sz="4" w:space="0" w:color="auto"/>
            </w:tcBorders>
            <w:noWrap/>
            <w:vAlign w:val="bottom"/>
          </w:tcPr>
          <w:p w:rsidR="007C3746" w:rsidRPr="00292575" w:rsidRDefault="002B7052" w:rsidP="005C2C4B">
            <w:pPr>
              <w:jc w:val="both"/>
            </w:pPr>
            <w:r>
              <w:t>2</w:t>
            </w:r>
          </w:p>
        </w:tc>
        <w:tc>
          <w:tcPr>
            <w:tcW w:w="587" w:type="dxa"/>
            <w:tcBorders>
              <w:top w:val="nil"/>
              <w:left w:val="nil"/>
              <w:bottom w:val="single" w:sz="4" w:space="0" w:color="auto"/>
              <w:right w:val="single" w:sz="4" w:space="0" w:color="auto"/>
            </w:tcBorders>
            <w:noWrap/>
            <w:vAlign w:val="bottom"/>
          </w:tcPr>
          <w:p w:rsidR="007C3746" w:rsidRPr="00292575" w:rsidRDefault="002B7052" w:rsidP="005C2C4B">
            <w:pPr>
              <w:jc w:val="both"/>
            </w:pPr>
            <w:r>
              <w:t>3</w:t>
            </w:r>
          </w:p>
        </w:tc>
        <w:tc>
          <w:tcPr>
            <w:tcW w:w="587" w:type="dxa"/>
            <w:tcBorders>
              <w:top w:val="nil"/>
              <w:left w:val="nil"/>
              <w:bottom w:val="single" w:sz="4" w:space="0" w:color="auto"/>
              <w:right w:val="single" w:sz="4" w:space="0" w:color="auto"/>
            </w:tcBorders>
            <w:noWrap/>
            <w:vAlign w:val="bottom"/>
          </w:tcPr>
          <w:p w:rsidR="007C3746" w:rsidRPr="00292575" w:rsidRDefault="002B7052" w:rsidP="005C2C4B">
            <w:pPr>
              <w:jc w:val="both"/>
            </w:pPr>
            <w:r>
              <w:t>7</w:t>
            </w:r>
          </w:p>
        </w:tc>
      </w:tr>
      <w:tr w:rsidR="00AB0B66" w:rsidRPr="00292575" w:rsidTr="003A04BA">
        <w:trPr>
          <w:trHeight w:val="315"/>
        </w:trPr>
        <w:tc>
          <w:tcPr>
            <w:tcW w:w="5907" w:type="dxa"/>
            <w:tcBorders>
              <w:top w:val="nil"/>
              <w:left w:val="single" w:sz="4" w:space="0" w:color="auto"/>
              <w:bottom w:val="single" w:sz="4" w:space="0" w:color="auto"/>
              <w:right w:val="single" w:sz="4" w:space="0" w:color="auto"/>
            </w:tcBorders>
            <w:noWrap/>
            <w:vAlign w:val="bottom"/>
          </w:tcPr>
          <w:p w:rsidR="00AB0B66" w:rsidRPr="00292575" w:rsidRDefault="00AB0B66" w:rsidP="005C2C4B">
            <w:pPr>
              <w:jc w:val="both"/>
            </w:pPr>
            <w:r w:rsidRPr="00292575">
              <w:t>STRANIERI</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246</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237</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221</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168</w:t>
            </w:r>
          </w:p>
        </w:tc>
        <w:tc>
          <w:tcPr>
            <w:tcW w:w="587" w:type="dxa"/>
            <w:tcBorders>
              <w:top w:val="nil"/>
              <w:left w:val="nil"/>
              <w:bottom w:val="single" w:sz="4" w:space="0" w:color="auto"/>
              <w:right w:val="single" w:sz="4" w:space="0" w:color="auto"/>
            </w:tcBorders>
            <w:noWrap/>
            <w:vAlign w:val="bottom"/>
          </w:tcPr>
          <w:p w:rsidR="00AB0B66" w:rsidRPr="00292575" w:rsidRDefault="00AB0B66" w:rsidP="005C2C4B">
            <w:pPr>
              <w:jc w:val="both"/>
            </w:pPr>
            <w:r w:rsidRPr="00292575">
              <w:t>79</w:t>
            </w:r>
          </w:p>
        </w:tc>
      </w:tr>
    </w:tbl>
    <w:p w:rsidR="00AB0B66" w:rsidRDefault="00AB0B66" w:rsidP="005C2C4B">
      <w:pPr>
        <w:jc w:val="both"/>
        <w:rPr>
          <w:noProof/>
          <w:lang w:eastAsia="it-IT"/>
        </w:rPr>
      </w:pPr>
    </w:p>
    <w:p w:rsidR="00507AE9" w:rsidRPr="005C2C4B" w:rsidRDefault="00507AE9" w:rsidP="005C2C4B">
      <w:pPr>
        <w:jc w:val="both"/>
      </w:pPr>
      <w:r>
        <w:rPr>
          <w:noProof/>
          <w:lang w:eastAsia="it-IT"/>
        </w:rPr>
        <w:drawing>
          <wp:inline distT="0" distB="0" distL="0" distR="0" wp14:anchorId="152E0D43" wp14:editId="7B09975B">
            <wp:extent cx="6120130" cy="3752850"/>
            <wp:effectExtent l="0" t="0" r="13970" b="0"/>
            <wp:docPr id="10" name="Gra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0B66" w:rsidRDefault="00AB0B66">
      <w:pPr>
        <w:spacing w:after="0" w:line="240" w:lineRule="auto"/>
        <w:rPr>
          <w:b/>
        </w:rPr>
      </w:pPr>
    </w:p>
    <w:p w:rsidR="00D103E9" w:rsidRDefault="00D103E9">
      <w:pPr>
        <w:spacing w:after="0" w:line="240" w:lineRule="auto"/>
        <w:rPr>
          <w:b/>
        </w:rPr>
      </w:pPr>
      <w:r>
        <w:rPr>
          <w:b/>
        </w:rPr>
        <w:br w:type="page"/>
      </w:r>
    </w:p>
    <w:p w:rsidR="00AB0B66" w:rsidRPr="0056213E" w:rsidRDefault="0032232F" w:rsidP="005C2C4B">
      <w:pPr>
        <w:jc w:val="both"/>
        <w:rPr>
          <w:b/>
          <w:sz w:val="24"/>
          <w:szCs w:val="24"/>
        </w:rPr>
      </w:pPr>
      <w:r w:rsidRPr="0056213E">
        <w:rPr>
          <w:b/>
          <w:sz w:val="24"/>
          <w:szCs w:val="24"/>
        </w:rPr>
        <w:t>4</w:t>
      </w:r>
      <w:r w:rsidR="00AB0B66" w:rsidRPr="0056213E">
        <w:rPr>
          <w:b/>
          <w:sz w:val="24"/>
          <w:szCs w:val="24"/>
        </w:rPr>
        <w:t>. I tempi rapidi della fase cautelare</w:t>
      </w:r>
    </w:p>
    <w:p w:rsidR="00AB0B66" w:rsidRPr="0056213E" w:rsidRDefault="00AB0B66" w:rsidP="005C2C4B">
      <w:pPr>
        <w:jc w:val="both"/>
        <w:rPr>
          <w:sz w:val="24"/>
          <w:szCs w:val="24"/>
        </w:rPr>
      </w:pPr>
      <w:r w:rsidRPr="0056213E">
        <w:rPr>
          <w:sz w:val="24"/>
          <w:szCs w:val="24"/>
        </w:rPr>
        <w:t>Nei giudizi cautelari la tempestività di risposta alla domanda di giustizia amministrativa costituisce ormai una consolidata peculiarità.</w:t>
      </w:r>
    </w:p>
    <w:p w:rsidR="00AB0B66" w:rsidRPr="0056213E" w:rsidRDefault="00AB0B66" w:rsidP="005C2C4B">
      <w:pPr>
        <w:jc w:val="both"/>
        <w:rPr>
          <w:sz w:val="24"/>
          <w:szCs w:val="24"/>
        </w:rPr>
      </w:pPr>
      <w:r w:rsidRPr="0056213E">
        <w:rPr>
          <w:sz w:val="24"/>
          <w:szCs w:val="24"/>
        </w:rPr>
        <w:t xml:space="preserve">Grazie alle riforme degli ultimi anni (su tutte, il codice del processo amministrativo) e agli sforzi organizzativi per garantirne una piena e puntuale applicazione, nel 2016 </w:t>
      </w:r>
      <w:r w:rsidR="00047C59" w:rsidRPr="0056213E">
        <w:rPr>
          <w:sz w:val="24"/>
          <w:szCs w:val="24"/>
        </w:rPr>
        <w:t xml:space="preserve">(anno in cui hanno inciso le forti scoperture di organico) </w:t>
      </w:r>
      <w:r w:rsidRPr="0056213E">
        <w:rPr>
          <w:sz w:val="24"/>
          <w:szCs w:val="24"/>
        </w:rPr>
        <w:t>e nel 2017 (dato parziale), la durata del giudizio cautelare si è attestata su una media di 38 e 33 giorni presso le Sedi TAR e di 65 e 49 giorni presso il Consiglio di Stato.</w:t>
      </w:r>
    </w:p>
    <w:p w:rsidR="00AB0B66" w:rsidRPr="003A04BA" w:rsidRDefault="00AB0B66" w:rsidP="003A04BA">
      <w:pPr>
        <w:jc w:val="both"/>
      </w:pPr>
      <w:r w:rsidRPr="008B3ED7">
        <w:rPr>
          <w:i/>
        </w:rPr>
        <w:t xml:space="preserve">Tab. 6 (tempi medi di </w:t>
      </w:r>
      <w:r w:rsidR="00E44C3B">
        <w:rPr>
          <w:i/>
        </w:rPr>
        <w:t>definizione</w:t>
      </w:r>
      <w:r w:rsidRPr="008B3ED7">
        <w:rPr>
          <w:i/>
        </w:rPr>
        <w:t xml:space="preserve"> delle domande cautelari TAR e CDS- periodo 2013/ giugno 2017)</w:t>
      </w:r>
      <w:r w:rsidR="0007621A">
        <w:rPr>
          <w:noProof/>
          <w:lang w:eastAsia="it-IT"/>
        </w:rPr>
        <w:drawing>
          <wp:inline distT="0" distB="0" distL="0" distR="0">
            <wp:extent cx="5478145" cy="3544570"/>
            <wp:effectExtent l="19050" t="19050" r="27305" b="17780"/>
            <wp:docPr id="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145" cy="3544570"/>
                    </a:xfrm>
                    <a:prstGeom prst="rect">
                      <a:avLst/>
                    </a:prstGeom>
                    <a:noFill/>
                    <a:ln w="3175" cmpd="sng">
                      <a:solidFill>
                        <a:srgbClr val="000000"/>
                      </a:solidFill>
                      <a:miter lim="800000"/>
                      <a:headEnd/>
                      <a:tailEnd/>
                    </a:ln>
                    <a:effectLst/>
                  </pic:spPr>
                </pic:pic>
              </a:graphicData>
            </a:graphic>
          </wp:inline>
        </w:drawing>
      </w:r>
    </w:p>
    <w:p w:rsidR="00AB0B66" w:rsidRPr="0056213E" w:rsidRDefault="00AB0B66" w:rsidP="003A04BA">
      <w:pPr>
        <w:jc w:val="both"/>
        <w:rPr>
          <w:sz w:val="24"/>
          <w:szCs w:val="24"/>
        </w:rPr>
      </w:pPr>
      <w:r w:rsidRPr="0056213E">
        <w:rPr>
          <w:sz w:val="24"/>
          <w:szCs w:val="24"/>
        </w:rPr>
        <w:t>Una sensibile riduzione rispetto ai tempi medi della tutela cautelare si registra nel giudizio in materia di appalti. Nel volume è analizzato il dato sino al 2015: esso fa registrare un trend estremamente positivo, posto che si passa, presso i TAR, dai 34 giorni del 2010 ai 30 giorni del 2015 (tab, 42 pag. 234), mentre presso il Consiglio di Stato dai 42 giorni del 2010 ai 29 giorni del 2015.</w:t>
      </w:r>
    </w:p>
    <w:p w:rsidR="00AB0B66" w:rsidRPr="0056213E" w:rsidRDefault="00AB0B66" w:rsidP="003A04BA">
      <w:pPr>
        <w:jc w:val="both"/>
        <w:rPr>
          <w:sz w:val="24"/>
          <w:szCs w:val="24"/>
        </w:rPr>
      </w:pPr>
      <w:r w:rsidRPr="0056213E">
        <w:rPr>
          <w:sz w:val="24"/>
          <w:szCs w:val="24"/>
        </w:rPr>
        <w:t>La significatività del dato si conferma, in termini d’efficienza, per il 2016</w:t>
      </w:r>
      <w:r w:rsidR="00E44C3B" w:rsidRPr="0056213E">
        <w:rPr>
          <w:sz w:val="24"/>
          <w:szCs w:val="24"/>
        </w:rPr>
        <w:t xml:space="preserve"> (anno in cui </w:t>
      </w:r>
      <w:r w:rsidR="00D103E9" w:rsidRPr="0056213E">
        <w:rPr>
          <w:sz w:val="24"/>
          <w:szCs w:val="24"/>
        </w:rPr>
        <w:t xml:space="preserve">hanno inciso </w:t>
      </w:r>
      <w:r w:rsidR="00E44C3B" w:rsidRPr="0056213E">
        <w:rPr>
          <w:sz w:val="24"/>
          <w:szCs w:val="24"/>
        </w:rPr>
        <w:t>le forti scoperture di organico</w:t>
      </w:r>
      <w:r w:rsidR="00D103E9" w:rsidRPr="0056213E">
        <w:rPr>
          <w:sz w:val="24"/>
          <w:szCs w:val="24"/>
        </w:rPr>
        <w:t>)</w:t>
      </w:r>
      <w:r w:rsidR="00E44C3B" w:rsidRPr="0056213E">
        <w:rPr>
          <w:sz w:val="24"/>
          <w:szCs w:val="24"/>
        </w:rPr>
        <w:t xml:space="preserve"> </w:t>
      </w:r>
      <w:r w:rsidRPr="0056213E">
        <w:rPr>
          <w:sz w:val="24"/>
          <w:szCs w:val="24"/>
        </w:rPr>
        <w:t xml:space="preserve">e </w:t>
      </w:r>
      <w:r w:rsidR="00D103E9" w:rsidRPr="0056213E">
        <w:rPr>
          <w:sz w:val="24"/>
          <w:szCs w:val="24"/>
        </w:rPr>
        <w:t xml:space="preserve">il </w:t>
      </w:r>
      <w:r w:rsidRPr="0056213E">
        <w:rPr>
          <w:sz w:val="24"/>
          <w:szCs w:val="24"/>
        </w:rPr>
        <w:t xml:space="preserve">2017 (dato parziale). </w:t>
      </w:r>
    </w:p>
    <w:p w:rsidR="00F11F33" w:rsidRDefault="00F11F33">
      <w:pPr>
        <w:spacing w:after="0" w:line="240" w:lineRule="auto"/>
        <w:rPr>
          <w:i/>
        </w:rPr>
      </w:pPr>
      <w:r>
        <w:rPr>
          <w:i/>
        </w:rPr>
        <w:br w:type="page"/>
      </w:r>
    </w:p>
    <w:p w:rsidR="00AB0B66" w:rsidRPr="008B3ED7" w:rsidRDefault="00AB0B66" w:rsidP="00D84AF5">
      <w:pPr>
        <w:jc w:val="both"/>
        <w:rPr>
          <w:i/>
        </w:rPr>
      </w:pPr>
      <w:r w:rsidRPr="008B3ED7">
        <w:rPr>
          <w:i/>
        </w:rPr>
        <w:t xml:space="preserve">Tab. 7 (tempi medi di </w:t>
      </w:r>
      <w:r w:rsidR="009B04C0">
        <w:rPr>
          <w:i/>
        </w:rPr>
        <w:t>definizione</w:t>
      </w:r>
      <w:r w:rsidRPr="008B3ED7">
        <w:rPr>
          <w:i/>
        </w:rPr>
        <w:t xml:space="preserve"> delle domande cautelari in materia di appalti TAR e CDS- periodo 2013/ giugno 2017)</w:t>
      </w:r>
    </w:p>
    <w:p w:rsidR="00AB0B66" w:rsidRPr="003A04BA" w:rsidRDefault="0007621A" w:rsidP="003A04BA">
      <w:pPr>
        <w:jc w:val="both"/>
      </w:pPr>
      <w:r>
        <w:rPr>
          <w:noProof/>
          <w:lang w:eastAsia="it-IT"/>
        </w:rPr>
        <w:drawing>
          <wp:inline distT="0" distB="0" distL="0" distR="0">
            <wp:extent cx="5419725" cy="3361055"/>
            <wp:effectExtent l="19050" t="19050" r="28575" b="1079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725" cy="3361055"/>
                    </a:xfrm>
                    <a:prstGeom prst="rect">
                      <a:avLst/>
                    </a:prstGeom>
                    <a:noFill/>
                    <a:ln w="3175" cmpd="sng">
                      <a:solidFill>
                        <a:srgbClr val="000000"/>
                      </a:solidFill>
                      <a:miter lim="800000"/>
                      <a:headEnd/>
                      <a:tailEnd/>
                    </a:ln>
                    <a:effectLst/>
                  </pic:spPr>
                </pic:pic>
              </a:graphicData>
            </a:graphic>
          </wp:inline>
        </w:drawing>
      </w:r>
    </w:p>
    <w:p w:rsidR="00AB0B66" w:rsidRDefault="00AB0B66" w:rsidP="003A04BA">
      <w:pPr>
        <w:jc w:val="both"/>
      </w:pPr>
    </w:p>
    <w:p w:rsidR="0056213E" w:rsidRDefault="0056213E">
      <w:pPr>
        <w:spacing w:after="0" w:line="240" w:lineRule="auto"/>
        <w:rPr>
          <w:b/>
        </w:rPr>
      </w:pPr>
      <w:r>
        <w:rPr>
          <w:b/>
        </w:rPr>
        <w:br w:type="page"/>
      </w:r>
    </w:p>
    <w:p w:rsidR="00AB0B66" w:rsidRDefault="00AB0B66">
      <w:pPr>
        <w:spacing w:after="0" w:line="240" w:lineRule="auto"/>
        <w:rPr>
          <w:b/>
        </w:rPr>
      </w:pPr>
    </w:p>
    <w:p w:rsidR="00AB0B66" w:rsidRPr="0056213E" w:rsidRDefault="0032232F" w:rsidP="003A04BA">
      <w:pPr>
        <w:jc w:val="both"/>
        <w:rPr>
          <w:b/>
          <w:sz w:val="24"/>
          <w:szCs w:val="24"/>
        </w:rPr>
      </w:pPr>
      <w:r w:rsidRPr="0056213E">
        <w:rPr>
          <w:b/>
          <w:sz w:val="24"/>
          <w:szCs w:val="24"/>
        </w:rPr>
        <w:t>5</w:t>
      </w:r>
      <w:r w:rsidR="00AB0B66" w:rsidRPr="0056213E">
        <w:rPr>
          <w:b/>
          <w:sz w:val="24"/>
          <w:szCs w:val="24"/>
        </w:rPr>
        <w:t>. L’utilizzo della sentenza semplificata quale ulteriore strumento di accelerazione</w:t>
      </w:r>
    </w:p>
    <w:p w:rsidR="00AB0B66" w:rsidRPr="0056213E" w:rsidRDefault="00AB0B66" w:rsidP="003A04BA">
      <w:pPr>
        <w:jc w:val="both"/>
        <w:rPr>
          <w:sz w:val="24"/>
          <w:szCs w:val="24"/>
        </w:rPr>
      </w:pPr>
      <w:r w:rsidRPr="0056213E">
        <w:rPr>
          <w:sz w:val="24"/>
          <w:szCs w:val="24"/>
        </w:rPr>
        <w:t xml:space="preserve">Parimenti interessanti sono i dati relativi all’utilizzo della sentenza semplificata, istituto processuale che consente al giudice di decidere </w:t>
      </w:r>
      <w:r w:rsidRPr="0056213E">
        <w:rPr>
          <w:sz w:val="24"/>
          <w:szCs w:val="24"/>
          <w:u w:val="single"/>
        </w:rPr>
        <w:t>definitivamente</w:t>
      </w:r>
      <w:r w:rsidRPr="0056213E">
        <w:rPr>
          <w:sz w:val="24"/>
          <w:szCs w:val="24"/>
        </w:rPr>
        <w:t xml:space="preserve"> all’udienza fissata per l’esame cautelare, di fatto sostituendo alla tutela cautelare quella definitiva, senza aggravio per i tempi.</w:t>
      </w:r>
    </w:p>
    <w:p w:rsidR="00AB0B66" w:rsidRPr="0056213E" w:rsidRDefault="00AB0B66" w:rsidP="00D84AF5">
      <w:pPr>
        <w:jc w:val="both"/>
        <w:rPr>
          <w:sz w:val="24"/>
          <w:szCs w:val="24"/>
        </w:rPr>
      </w:pPr>
      <w:r w:rsidRPr="0056213E">
        <w:rPr>
          <w:sz w:val="24"/>
          <w:szCs w:val="24"/>
        </w:rPr>
        <w:t>Per il 2016 e fino al primo semestre 2017 è rappresentato dal grafico che segue:</w:t>
      </w:r>
    </w:p>
    <w:p w:rsidR="00AB0B66" w:rsidRPr="008B3ED7" w:rsidRDefault="00AB0B66" w:rsidP="00D84AF5">
      <w:pPr>
        <w:jc w:val="both"/>
        <w:rPr>
          <w:i/>
        </w:rPr>
      </w:pPr>
      <w:r w:rsidRPr="008B3ED7">
        <w:rPr>
          <w:i/>
        </w:rPr>
        <w:t xml:space="preserve">Tab. </w:t>
      </w:r>
      <w:r>
        <w:rPr>
          <w:i/>
        </w:rPr>
        <w:t>8</w:t>
      </w:r>
      <w:r w:rsidRPr="008B3ED7">
        <w:rPr>
          <w:i/>
        </w:rPr>
        <w:t xml:space="preserve"> (utilizzo della sentenze breve TAR e CDS- periodo 2013/ giugno 2017)</w:t>
      </w:r>
    </w:p>
    <w:p w:rsidR="00AB0B66" w:rsidRPr="003A04BA" w:rsidRDefault="0007621A" w:rsidP="003A04BA">
      <w:pPr>
        <w:jc w:val="both"/>
      </w:pPr>
      <w:r>
        <w:rPr>
          <w:noProof/>
          <w:lang w:eastAsia="it-IT"/>
        </w:rPr>
        <w:drawing>
          <wp:inline distT="0" distB="0" distL="0" distR="0">
            <wp:extent cx="5536565" cy="3695065"/>
            <wp:effectExtent l="19050" t="19050" r="26035" b="1968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6565" cy="3695065"/>
                    </a:xfrm>
                    <a:prstGeom prst="rect">
                      <a:avLst/>
                    </a:prstGeom>
                    <a:noFill/>
                    <a:ln w="3175" cmpd="sng">
                      <a:solidFill>
                        <a:srgbClr val="000000"/>
                      </a:solidFill>
                      <a:miter lim="800000"/>
                      <a:headEnd/>
                      <a:tailEnd/>
                    </a:ln>
                    <a:effectLst/>
                  </pic:spPr>
                </pic:pic>
              </a:graphicData>
            </a:graphic>
          </wp:inline>
        </w:drawing>
      </w:r>
    </w:p>
    <w:p w:rsidR="00AB0B66" w:rsidRPr="005C2C4B" w:rsidRDefault="00AB0B66" w:rsidP="005C2C4B">
      <w:pPr>
        <w:jc w:val="both"/>
      </w:pPr>
    </w:p>
    <w:p w:rsidR="00AB0B66" w:rsidRPr="0056213E" w:rsidRDefault="00AB0B66" w:rsidP="00785732">
      <w:pPr>
        <w:rPr>
          <w:sz w:val="24"/>
          <w:szCs w:val="24"/>
        </w:rPr>
      </w:pPr>
      <w:r w:rsidRPr="0056213E">
        <w:rPr>
          <w:sz w:val="24"/>
          <w:szCs w:val="24"/>
        </w:rPr>
        <w:t>I numeri sono rilevanti se confrontati con le sopravvenienze annuali, e restituiscono un quadro in cui circa il 15% dei ricorsi è deciso presso i Tar con sentenza breve. Ne consegue che - come sopra accennato - la durata del processo è in questi casi pressoché coincidente con quella della tutela cautelare, cui si aggiunge qualche settimana per la concreta redazione ed il deposito della sentenza.</w:t>
      </w:r>
    </w:p>
    <w:p w:rsidR="00AB0B66" w:rsidRPr="0056213E" w:rsidRDefault="00AB0B66" w:rsidP="00785732">
      <w:pPr>
        <w:jc w:val="both"/>
        <w:rPr>
          <w:sz w:val="24"/>
          <w:szCs w:val="24"/>
        </w:rPr>
      </w:pPr>
      <w:r w:rsidRPr="0056213E">
        <w:rPr>
          <w:sz w:val="24"/>
          <w:szCs w:val="24"/>
        </w:rPr>
        <w:t xml:space="preserve">Il dato è meno consistente in termini percentuali per il Consiglio di Stato, ma ciò è giustificato dalla maggiore complessità </w:t>
      </w:r>
      <w:r w:rsidR="00FB62F1" w:rsidRPr="0056213E">
        <w:rPr>
          <w:sz w:val="24"/>
          <w:szCs w:val="24"/>
        </w:rPr>
        <w:t xml:space="preserve">delle sentenze impugnate e di cui si chiede anche la sospensiva </w:t>
      </w:r>
      <w:r w:rsidRPr="0056213E">
        <w:rPr>
          <w:sz w:val="24"/>
          <w:szCs w:val="24"/>
        </w:rPr>
        <w:t>in appello. Parimenti efficienti sono invece i tempi della decisione che si aggirano intorno ai 70 giorni, comprensivi del deposito (si veda pag. 297 del volume citato).</w:t>
      </w:r>
    </w:p>
    <w:p w:rsidR="00AB0B66" w:rsidRPr="0056213E" w:rsidRDefault="00AB0B66" w:rsidP="00E21518">
      <w:pPr>
        <w:jc w:val="both"/>
        <w:rPr>
          <w:sz w:val="24"/>
          <w:szCs w:val="24"/>
        </w:rPr>
      </w:pPr>
      <w:r w:rsidRPr="0056213E">
        <w:rPr>
          <w:sz w:val="24"/>
          <w:szCs w:val="24"/>
        </w:rPr>
        <w:t>Se a ciò si aggiunge che il tasso di conferma delle sentenze brevi in appello è intorno al 55%, risulta evidente che esiste un canale, necessariamente riservato al contenzioso meno complesso, che consente oggi di arrivare ad un “giudicato” in tempi veramente strettissimi.</w:t>
      </w:r>
    </w:p>
    <w:sectPr w:rsidR="00AB0B66" w:rsidRPr="0056213E" w:rsidSect="00F11F33">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664" w:rsidRDefault="00551664" w:rsidP="00E21518">
      <w:pPr>
        <w:spacing w:after="0" w:line="240" w:lineRule="auto"/>
      </w:pPr>
      <w:r>
        <w:separator/>
      </w:r>
    </w:p>
  </w:endnote>
  <w:endnote w:type="continuationSeparator" w:id="0">
    <w:p w:rsidR="00551664" w:rsidRDefault="00551664" w:rsidP="00E2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ce Script MT">
    <w:altName w:val="Palace Script"/>
    <w:panose1 w:val="030303020206070C0B05"/>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6" w:rsidRDefault="00FD404D">
    <w:pPr>
      <w:pStyle w:val="Pidipagina"/>
      <w:jc w:val="center"/>
    </w:pPr>
    <w:r>
      <w:fldChar w:fldCharType="begin"/>
    </w:r>
    <w:r>
      <w:instrText>PAGE   \* MERGEFORMAT</w:instrText>
    </w:r>
    <w:r>
      <w:fldChar w:fldCharType="separate"/>
    </w:r>
    <w:r w:rsidR="00DE4B4D">
      <w:rPr>
        <w:noProof/>
      </w:rPr>
      <w:t>2</w:t>
    </w:r>
    <w:r>
      <w:rPr>
        <w:noProof/>
      </w:rPr>
      <w:fldChar w:fldCharType="end"/>
    </w:r>
  </w:p>
  <w:p w:rsidR="00AB0B66" w:rsidRDefault="00AB0B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664" w:rsidRDefault="00551664" w:rsidP="00E21518">
      <w:pPr>
        <w:spacing w:after="0" w:line="240" w:lineRule="auto"/>
      </w:pPr>
      <w:r>
        <w:separator/>
      </w:r>
    </w:p>
  </w:footnote>
  <w:footnote w:type="continuationSeparator" w:id="0">
    <w:p w:rsidR="00551664" w:rsidRDefault="00551664" w:rsidP="00E21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64B30"/>
    <w:multiLevelType w:val="hybridMultilevel"/>
    <w:tmpl w:val="146AAA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DD2C42"/>
    <w:multiLevelType w:val="hybridMultilevel"/>
    <w:tmpl w:val="E4C0524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B"/>
    <w:rsid w:val="00007807"/>
    <w:rsid w:val="00015D65"/>
    <w:rsid w:val="00027982"/>
    <w:rsid w:val="000314DB"/>
    <w:rsid w:val="00047C59"/>
    <w:rsid w:val="0005131B"/>
    <w:rsid w:val="00066B38"/>
    <w:rsid w:val="0007621A"/>
    <w:rsid w:val="0011028E"/>
    <w:rsid w:val="00117ED9"/>
    <w:rsid w:val="001268D7"/>
    <w:rsid w:val="00137F6E"/>
    <w:rsid w:val="0014793B"/>
    <w:rsid w:val="001A09B6"/>
    <w:rsid w:val="001A1677"/>
    <w:rsid w:val="001D6546"/>
    <w:rsid w:val="001E19A2"/>
    <w:rsid w:val="001E20DF"/>
    <w:rsid w:val="001E3BBF"/>
    <w:rsid w:val="00203CA8"/>
    <w:rsid w:val="00245EEB"/>
    <w:rsid w:val="002913FF"/>
    <w:rsid w:val="00292575"/>
    <w:rsid w:val="002B7052"/>
    <w:rsid w:val="002C29EB"/>
    <w:rsid w:val="002C6073"/>
    <w:rsid w:val="002E08A1"/>
    <w:rsid w:val="002E0EA3"/>
    <w:rsid w:val="002E548C"/>
    <w:rsid w:val="002F063E"/>
    <w:rsid w:val="00322317"/>
    <w:rsid w:val="0032232F"/>
    <w:rsid w:val="00324708"/>
    <w:rsid w:val="00333DE1"/>
    <w:rsid w:val="00336FAB"/>
    <w:rsid w:val="00350001"/>
    <w:rsid w:val="00386E9D"/>
    <w:rsid w:val="00394499"/>
    <w:rsid w:val="003A04BA"/>
    <w:rsid w:val="004139A7"/>
    <w:rsid w:val="00435FEE"/>
    <w:rsid w:val="0045663C"/>
    <w:rsid w:val="00485EDD"/>
    <w:rsid w:val="00497E45"/>
    <w:rsid w:val="004A1F3A"/>
    <w:rsid w:val="004D18EB"/>
    <w:rsid w:val="004E72B6"/>
    <w:rsid w:val="00507AE9"/>
    <w:rsid w:val="005125C1"/>
    <w:rsid w:val="00512830"/>
    <w:rsid w:val="00532B64"/>
    <w:rsid w:val="00540D56"/>
    <w:rsid w:val="00541808"/>
    <w:rsid w:val="00551664"/>
    <w:rsid w:val="0056213E"/>
    <w:rsid w:val="0056536E"/>
    <w:rsid w:val="00576D4B"/>
    <w:rsid w:val="005968AF"/>
    <w:rsid w:val="005B1D9A"/>
    <w:rsid w:val="005C2C4B"/>
    <w:rsid w:val="005D1080"/>
    <w:rsid w:val="005D4938"/>
    <w:rsid w:val="005F400B"/>
    <w:rsid w:val="005F5BB3"/>
    <w:rsid w:val="00617858"/>
    <w:rsid w:val="00630BF7"/>
    <w:rsid w:val="00654B04"/>
    <w:rsid w:val="00661679"/>
    <w:rsid w:val="00664650"/>
    <w:rsid w:val="00671DE7"/>
    <w:rsid w:val="006C0862"/>
    <w:rsid w:val="006C463C"/>
    <w:rsid w:val="006D7850"/>
    <w:rsid w:val="006E234D"/>
    <w:rsid w:val="006F44A4"/>
    <w:rsid w:val="00747FDB"/>
    <w:rsid w:val="00777737"/>
    <w:rsid w:val="00785732"/>
    <w:rsid w:val="007C1A4B"/>
    <w:rsid w:val="007C3746"/>
    <w:rsid w:val="007D6886"/>
    <w:rsid w:val="007D7D7E"/>
    <w:rsid w:val="0081198F"/>
    <w:rsid w:val="00853929"/>
    <w:rsid w:val="008570F2"/>
    <w:rsid w:val="00893882"/>
    <w:rsid w:val="00893DA3"/>
    <w:rsid w:val="008B1E6C"/>
    <w:rsid w:val="008B3ED7"/>
    <w:rsid w:val="008C16C7"/>
    <w:rsid w:val="008E05E1"/>
    <w:rsid w:val="008E0E2A"/>
    <w:rsid w:val="0091133C"/>
    <w:rsid w:val="00941BEF"/>
    <w:rsid w:val="0095586C"/>
    <w:rsid w:val="00992D73"/>
    <w:rsid w:val="009A5134"/>
    <w:rsid w:val="009B04C0"/>
    <w:rsid w:val="009B6B29"/>
    <w:rsid w:val="009C1781"/>
    <w:rsid w:val="009C1BCC"/>
    <w:rsid w:val="009E76E0"/>
    <w:rsid w:val="009F4E0E"/>
    <w:rsid w:val="00A10D0E"/>
    <w:rsid w:val="00A14C38"/>
    <w:rsid w:val="00A26852"/>
    <w:rsid w:val="00A52B64"/>
    <w:rsid w:val="00A55B74"/>
    <w:rsid w:val="00A57810"/>
    <w:rsid w:val="00AB03A0"/>
    <w:rsid w:val="00AB0B66"/>
    <w:rsid w:val="00AB766C"/>
    <w:rsid w:val="00AF26DA"/>
    <w:rsid w:val="00B00D0C"/>
    <w:rsid w:val="00B400CD"/>
    <w:rsid w:val="00B4655D"/>
    <w:rsid w:val="00B5505F"/>
    <w:rsid w:val="00B657DF"/>
    <w:rsid w:val="00B747F8"/>
    <w:rsid w:val="00B9274E"/>
    <w:rsid w:val="00B97EDC"/>
    <w:rsid w:val="00C17C55"/>
    <w:rsid w:val="00C2364D"/>
    <w:rsid w:val="00C4375A"/>
    <w:rsid w:val="00C6010F"/>
    <w:rsid w:val="00C60ACA"/>
    <w:rsid w:val="00C70D41"/>
    <w:rsid w:val="00C85016"/>
    <w:rsid w:val="00C94E0D"/>
    <w:rsid w:val="00CB34F6"/>
    <w:rsid w:val="00CB4A7B"/>
    <w:rsid w:val="00CD2516"/>
    <w:rsid w:val="00CF32E5"/>
    <w:rsid w:val="00D103E9"/>
    <w:rsid w:val="00D11348"/>
    <w:rsid w:val="00D35DE6"/>
    <w:rsid w:val="00D37EA6"/>
    <w:rsid w:val="00D75529"/>
    <w:rsid w:val="00D84AF5"/>
    <w:rsid w:val="00D84E06"/>
    <w:rsid w:val="00DA6ABA"/>
    <w:rsid w:val="00DD2056"/>
    <w:rsid w:val="00DD2BEE"/>
    <w:rsid w:val="00DE0871"/>
    <w:rsid w:val="00DE4B4D"/>
    <w:rsid w:val="00E03326"/>
    <w:rsid w:val="00E16449"/>
    <w:rsid w:val="00E21518"/>
    <w:rsid w:val="00E25274"/>
    <w:rsid w:val="00E26A83"/>
    <w:rsid w:val="00E356B4"/>
    <w:rsid w:val="00E43EAE"/>
    <w:rsid w:val="00E44C3B"/>
    <w:rsid w:val="00E56314"/>
    <w:rsid w:val="00E7121D"/>
    <w:rsid w:val="00E7333C"/>
    <w:rsid w:val="00EB0385"/>
    <w:rsid w:val="00EF17AB"/>
    <w:rsid w:val="00EF281B"/>
    <w:rsid w:val="00F11F33"/>
    <w:rsid w:val="00F222AD"/>
    <w:rsid w:val="00F55E18"/>
    <w:rsid w:val="00FA5A66"/>
    <w:rsid w:val="00FB62F1"/>
    <w:rsid w:val="00FD18ED"/>
    <w:rsid w:val="00FD40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DE1DC97-01C5-4A5E-B99A-A42C48A0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5BB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rsid w:val="00C85016"/>
    <w:pPr>
      <w:spacing w:line="240" w:lineRule="auto"/>
    </w:pPr>
    <w:rPr>
      <w:sz w:val="20"/>
      <w:szCs w:val="20"/>
    </w:rPr>
  </w:style>
  <w:style w:type="character" w:customStyle="1" w:styleId="TestocommentoCarattere">
    <w:name w:val="Testo commento Carattere"/>
    <w:link w:val="Testocommento"/>
    <w:uiPriority w:val="99"/>
    <w:semiHidden/>
    <w:locked/>
    <w:rsid w:val="00C85016"/>
    <w:rPr>
      <w:rFonts w:cs="Times New Roman"/>
      <w:sz w:val="20"/>
      <w:szCs w:val="20"/>
    </w:rPr>
  </w:style>
  <w:style w:type="character" w:styleId="Rimandocommento">
    <w:name w:val="annotation reference"/>
    <w:uiPriority w:val="99"/>
    <w:semiHidden/>
    <w:rsid w:val="00C85016"/>
    <w:rPr>
      <w:rFonts w:cs="Times New Roman"/>
      <w:sz w:val="16"/>
      <w:szCs w:val="16"/>
    </w:rPr>
  </w:style>
  <w:style w:type="paragraph" w:styleId="Testofumetto">
    <w:name w:val="Balloon Text"/>
    <w:basedOn w:val="Normale"/>
    <w:link w:val="TestofumettoCarattere"/>
    <w:uiPriority w:val="99"/>
    <w:semiHidden/>
    <w:rsid w:val="00C85016"/>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C85016"/>
    <w:rPr>
      <w:rFonts w:ascii="Segoe UI" w:hAnsi="Segoe UI" w:cs="Segoe UI"/>
      <w:sz w:val="18"/>
      <w:szCs w:val="18"/>
    </w:rPr>
  </w:style>
  <w:style w:type="paragraph" w:styleId="Paragrafoelenco">
    <w:name w:val="List Paragraph"/>
    <w:basedOn w:val="Normale"/>
    <w:uiPriority w:val="99"/>
    <w:qFormat/>
    <w:rsid w:val="00E56314"/>
    <w:pPr>
      <w:ind w:left="720"/>
      <w:contextualSpacing/>
    </w:pPr>
  </w:style>
  <w:style w:type="paragraph" w:styleId="Intestazione">
    <w:name w:val="header"/>
    <w:basedOn w:val="Normale"/>
    <w:link w:val="IntestazioneCarattere"/>
    <w:uiPriority w:val="99"/>
    <w:rsid w:val="00E21518"/>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E21518"/>
    <w:rPr>
      <w:rFonts w:cs="Times New Roman"/>
      <w:lang w:eastAsia="en-US"/>
    </w:rPr>
  </w:style>
  <w:style w:type="paragraph" w:styleId="Pidipagina">
    <w:name w:val="footer"/>
    <w:basedOn w:val="Normale"/>
    <w:link w:val="PidipaginaCarattere"/>
    <w:uiPriority w:val="99"/>
    <w:rsid w:val="00E21518"/>
    <w:pPr>
      <w:tabs>
        <w:tab w:val="center" w:pos="4819"/>
        <w:tab w:val="right" w:pos="9638"/>
      </w:tabs>
      <w:spacing w:after="0" w:line="240" w:lineRule="auto"/>
    </w:pPr>
  </w:style>
  <w:style w:type="character" w:customStyle="1" w:styleId="PidipaginaCarattere">
    <w:name w:val="Piè di pagina Carattere"/>
    <w:link w:val="Pidipagina"/>
    <w:uiPriority w:val="99"/>
    <w:locked/>
    <w:rsid w:val="00E21518"/>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97714">
      <w:marLeft w:val="0"/>
      <w:marRight w:val="0"/>
      <w:marTop w:val="0"/>
      <w:marBottom w:val="0"/>
      <w:divBdr>
        <w:top w:val="none" w:sz="0" w:space="0" w:color="auto"/>
        <w:left w:val="none" w:sz="0" w:space="0" w:color="auto"/>
        <w:bottom w:val="none" w:sz="0" w:space="0" w:color="auto"/>
        <w:right w:val="none" w:sz="0" w:space="0" w:color="auto"/>
      </w:divBdr>
    </w:div>
    <w:div w:id="1843397715">
      <w:marLeft w:val="0"/>
      <w:marRight w:val="0"/>
      <w:marTop w:val="0"/>
      <w:marBottom w:val="0"/>
      <w:divBdr>
        <w:top w:val="none" w:sz="0" w:space="0" w:color="auto"/>
        <w:left w:val="none" w:sz="0" w:space="0" w:color="auto"/>
        <w:bottom w:val="none" w:sz="0" w:space="0" w:color="auto"/>
        <w:right w:val="none" w:sz="0" w:space="0" w:color="auto"/>
      </w:divBdr>
    </w:div>
    <w:div w:id="1843397716">
      <w:marLeft w:val="0"/>
      <w:marRight w:val="0"/>
      <w:marTop w:val="0"/>
      <w:marBottom w:val="0"/>
      <w:divBdr>
        <w:top w:val="none" w:sz="0" w:space="0" w:color="auto"/>
        <w:left w:val="none" w:sz="0" w:space="0" w:color="auto"/>
        <w:bottom w:val="none" w:sz="0" w:space="0" w:color="auto"/>
        <w:right w:val="none" w:sz="0" w:space="0" w:color="auto"/>
      </w:divBdr>
    </w:div>
    <w:div w:id="1843397717">
      <w:marLeft w:val="0"/>
      <w:marRight w:val="0"/>
      <w:marTop w:val="0"/>
      <w:marBottom w:val="0"/>
      <w:divBdr>
        <w:top w:val="none" w:sz="0" w:space="0" w:color="auto"/>
        <w:left w:val="none" w:sz="0" w:space="0" w:color="auto"/>
        <w:bottom w:val="none" w:sz="0" w:space="0" w:color="auto"/>
        <w:right w:val="none" w:sz="0" w:space="0" w:color="auto"/>
      </w:divBdr>
    </w:div>
    <w:div w:id="1843397718">
      <w:marLeft w:val="0"/>
      <w:marRight w:val="0"/>
      <w:marTop w:val="0"/>
      <w:marBottom w:val="0"/>
      <w:divBdr>
        <w:top w:val="none" w:sz="0" w:space="0" w:color="auto"/>
        <w:left w:val="none" w:sz="0" w:space="0" w:color="auto"/>
        <w:bottom w:val="none" w:sz="0" w:space="0" w:color="auto"/>
        <w:right w:val="none" w:sz="0" w:space="0" w:color="auto"/>
      </w:divBdr>
    </w:div>
    <w:div w:id="1843397719">
      <w:marLeft w:val="0"/>
      <w:marRight w:val="0"/>
      <w:marTop w:val="0"/>
      <w:marBottom w:val="0"/>
      <w:divBdr>
        <w:top w:val="none" w:sz="0" w:space="0" w:color="auto"/>
        <w:left w:val="none" w:sz="0" w:space="0" w:color="auto"/>
        <w:bottom w:val="none" w:sz="0" w:space="0" w:color="auto"/>
        <w:right w:val="none" w:sz="0" w:space="0" w:color="auto"/>
      </w:divBdr>
    </w:div>
    <w:div w:id="1843397721">
      <w:marLeft w:val="0"/>
      <w:marRight w:val="0"/>
      <w:marTop w:val="0"/>
      <w:marBottom w:val="0"/>
      <w:divBdr>
        <w:top w:val="none" w:sz="0" w:space="0" w:color="auto"/>
        <w:left w:val="none" w:sz="0" w:space="0" w:color="auto"/>
        <w:bottom w:val="none" w:sz="0" w:space="0" w:color="auto"/>
        <w:right w:val="none" w:sz="0" w:space="0" w:color="auto"/>
      </w:divBdr>
    </w:div>
    <w:div w:id="1843397722">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sChild>
            <w:div w:id="18433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7723">
      <w:marLeft w:val="0"/>
      <w:marRight w:val="0"/>
      <w:marTop w:val="0"/>
      <w:marBottom w:val="0"/>
      <w:divBdr>
        <w:top w:val="none" w:sz="0" w:space="0" w:color="auto"/>
        <w:left w:val="none" w:sz="0" w:space="0" w:color="auto"/>
        <w:bottom w:val="none" w:sz="0" w:space="0" w:color="auto"/>
        <w:right w:val="none" w:sz="0" w:space="0" w:color="auto"/>
      </w:divBdr>
    </w:div>
    <w:div w:id="1843397724">
      <w:marLeft w:val="0"/>
      <w:marRight w:val="0"/>
      <w:marTop w:val="0"/>
      <w:marBottom w:val="0"/>
      <w:divBdr>
        <w:top w:val="none" w:sz="0" w:space="0" w:color="auto"/>
        <w:left w:val="none" w:sz="0" w:space="0" w:color="auto"/>
        <w:bottom w:val="none" w:sz="0" w:space="0" w:color="auto"/>
        <w:right w:val="none" w:sz="0" w:space="0" w:color="auto"/>
      </w:divBdr>
      <w:divsChild>
        <w:div w:id="1843397720">
          <w:marLeft w:val="0"/>
          <w:marRight w:val="0"/>
          <w:marTop w:val="0"/>
          <w:marBottom w:val="0"/>
          <w:divBdr>
            <w:top w:val="none" w:sz="0" w:space="0" w:color="auto"/>
            <w:left w:val="none" w:sz="0" w:space="0" w:color="auto"/>
            <w:bottom w:val="none" w:sz="0" w:space="0" w:color="auto"/>
            <w:right w:val="none" w:sz="0" w:space="0" w:color="auto"/>
          </w:divBdr>
          <w:divsChild>
            <w:div w:id="18433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7725">
      <w:marLeft w:val="0"/>
      <w:marRight w:val="0"/>
      <w:marTop w:val="0"/>
      <w:marBottom w:val="0"/>
      <w:divBdr>
        <w:top w:val="none" w:sz="0" w:space="0" w:color="auto"/>
        <w:left w:val="none" w:sz="0" w:space="0" w:color="auto"/>
        <w:bottom w:val="none" w:sz="0" w:space="0" w:color="auto"/>
        <w:right w:val="none" w:sz="0" w:space="0" w:color="auto"/>
      </w:divBdr>
    </w:div>
    <w:div w:id="1843397726">
      <w:marLeft w:val="0"/>
      <w:marRight w:val="0"/>
      <w:marTop w:val="0"/>
      <w:marBottom w:val="0"/>
      <w:divBdr>
        <w:top w:val="none" w:sz="0" w:space="0" w:color="auto"/>
        <w:left w:val="none" w:sz="0" w:space="0" w:color="auto"/>
        <w:bottom w:val="none" w:sz="0" w:space="0" w:color="auto"/>
        <w:right w:val="none" w:sz="0" w:space="0" w:color="auto"/>
      </w:divBdr>
    </w:div>
    <w:div w:id="1843397727">
      <w:marLeft w:val="0"/>
      <w:marRight w:val="0"/>
      <w:marTop w:val="0"/>
      <w:marBottom w:val="0"/>
      <w:divBdr>
        <w:top w:val="none" w:sz="0" w:space="0" w:color="auto"/>
        <w:left w:val="none" w:sz="0" w:space="0" w:color="auto"/>
        <w:bottom w:val="none" w:sz="0" w:space="0" w:color="auto"/>
        <w:right w:val="none" w:sz="0" w:space="0" w:color="auto"/>
      </w:divBdr>
    </w:div>
    <w:div w:id="1843397728">
      <w:marLeft w:val="0"/>
      <w:marRight w:val="0"/>
      <w:marTop w:val="0"/>
      <w:marBottom w:val="0"/>
      <w:divBdr>
        <w:top w:val="none" w:sz="0" w:space="0" w:color="auto"/>
        <w:left w:val="none" w:sz="0" w:space="0" w:color="auto"/>
        <w:bottom w:val="none" w:sz="0" w:space="0" w:color="auto"/>
        <w:right w:val="none" w:sz="0" w:space="0" w:color="auto"/>
      </w:divBdr>
    </w:div>
    <w:div w:id="1843397729">
      <w:marLeft w:val="0"/>
      <w:marRight w:val="0"/>
      <w:marTop w:val="0"/>
      <w:marBottom w:val="0"/>
      <w:divBdr>
        <w:top w:val="none" w:sz="0" w:space="0" w:color="auto"/>
        <w:left w:val="none" w:sz="0" w:space="0" w:color="auto"/>
        <w:bottom w:val="none" w:sz="0" w:space="0" w:color="auto"/>
        <w:right w:val="none" w:sz="0" w:space="0" w:color="auto"/>
      </w:divBdr>
    </w:div>
    <w:div w:id="1843397731">
      <w:marLeft w:val="0"/>
      <w:marRight w:val="0"/>
      <w:marTop w:val="0"/>
      <w:marBottom w:val="0"/>
      <w:divBdr>
        <w:top w:val="none" w:sz="0" w:space="0" w:color="auto"/>
        <w:left w:val="none" w:sz="0" w:space="0" w:color="auto"/>
        <w:bottom w:val="none" w:sz="0" w:space="0" w:color="auto"/>
        <w:right w:val="none" w:sz="0" w:space="0" w:color="auto"/>
      </w:divBdr>
    </w:div>
    <w:div w:id="1843397732">
      <w:marLeft w:val="0"/>
      <w:marRight w:val="0"/>
      <w:marTop w:val="0"/>
      <w:marBottom w:val="0"/>
      <w:divBdr>
        <w:top w:val="none" w:sz="0" w:space="0" w:color="auto"/>
        <w:left w:val="none" w:sz="0" w:space="0" w:color="auto"/>
        <w:bottom w:val="none" w:sz="0" w:space="0" w:color="auto"/>
        <w:right w:val="none" w:sz="0" w:space="0" w:color="auto"/>
      </w:divBdr>
    </w:div>
    <w:div w:id="1843397733">
      <w:marLeft w:val="0"/>
      <w:marRight w:val="0"/>
      <w:marTop w:val="0"/>
      <w:marBottom w:val="0"/>
      <w:divBdr>
        <w:top w:val="none" w:sz="0" w:space="0" w:color="auto"/>
        <w:left w:val="none" w:sz="0" w:space="0" w:color="auto"/>
        <w:bottom w:val="none" w:sz="0" w:space="0" w:color="auto"/>
        <w:right w:val="none" w:sz="0" w:space="0" w:color="auto"/>
      </w:divBdr>
    </w:div>
    <w:div w:id="1843397734">
      <w:marLeft w:val="0"/>
      <w:marRight w:val="0"/>
      <w:marTop w:val="0"/>
      <w:marBottom w:val="0"/>
      <w:divBdr>
        <w:top w:val="none" w:sz="0" w:space="0" w:color="auto"/>
        <w:left w:val="none" w:sz="0" w:space="0" w:color="auto"/>
        <w:bottom w:val="none" w:sz="0" w:space="0" w:color="auto"/>
        <w:right w:val="none" w:sz="0" w:space="0" w:color="auto"/>
      </w:divBdr>
    </w:div>
    <w:div w:id="1843397735">
      <w:marLeft w:val="0"/>
      <w:marRight w:val="0"/>
      <w:marTop w:val="0"/>
      <w:marBottom w:val="0"/>
      <w:divBdr>
        <w:top w:val="none" w:sz="0" w:space="0" w:color="auto"/>
        <w:left w:val="none" w:sz="0" w:space="0" w:color="auto"/>
        <w:bottom w:val="none" w:sz="0" w:space="0" w:color="auto"/>
        <w:right w:val="none" w:sz="0" w:space="0" w:color="auto"/>
      </w:divBdr>
    </w:div>
    <w:div w:id="1843397736">
      <w:marLeft w:val="0"/>
      <w:marRight w:val="0"/>
      <w:marTop w:val="0"/>
      <w:marBottom w:val="0"/>
      <w:divBdr>
        <w:top w:val="none" w:sz="0" w:space="0" w:color="auto"/>
        <w:left w:val="none" w:sz="0" w:space="0" w:color="auto"/>
        <w:bottom w:val="none" w:sz="0" w:space="0" w:color="auto"/>
        <w:right w:val="none" w:sz="0" w:space="0" w:color="auto"/>
      </w:divBdr>
    </w:div>
    <w:div w:id="1843397738">
      <w:marLeft w:val="0"/>
      <w:marRight w:val="0"/>
      <w:marTop w:val="0"/>
      <w:marBottom w:val="0"/>
      <w:divBdr>
        <w:top w:val="none" w:sz="0" w:space="0" w:color="auto"/>
        <w:left w:val="none" w:sz="0" w:space="0" w:color="auto"/>
        <w:bottom w:val="none" w:sz="0" w:space="0" w:color="auto"/>
        <w:right w:val="none" w:sz="0" w:space="0" w:color="auto"/>
      </w:divBdr>
    </w:div>
    <w:div w:id="1843397739">
      <w:marLeft w:val="0"/>
      <w:marRight w:val="0"/>
      <w:marTop w:val="0"/>
      <w:marBottom w:val="0"/>
      <w:divBdr>
        <w:top w:val="none" w:sz="0" w:space="0" w:color="auto"/>
        <w:left w:val="none" w:sz="0" w:space="0" w:color="auto"/>
        <w:bottom w:val="none" w:sz="0" w:space="0" w:color="auto"/>
        <w:right w:val="none" w:sz="0" w:space="0" w:color="auto"/>
      </w:divBdr>
    </w:div>
    <w:div w:id="1843397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Foglio_di_lavoro_di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Foglio_di_lavoro_di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1°</a:t>
            </a:r>
            <a:r>
              <a:rPr lang="en-US" baseline="0"/>
              <a:t> Grado di giudizio - Tempi medi di definizione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t-IT"/>
        </a:p>
      </c:txPr>
    </c:title>
    <c:autoTitleDeleted val="0"/>
    <c:plotArea>
      <c:layout/>
      <c:barChart>
        <c:barDir val="col"/>
        <c:grouping val="clustered"/>
        <c:varyColors val="0"/>
        <c:ser>
          <c:idx val="0"/>
          <c:order val="0"/>
          <c:tx>
            <c:strRef>
              <c:f>Foglio1!$G$7</c:f>
              <c:strCache>
                <c:ptCount val="1"/>
                <c:pt idx="0">
                  <c:v>APPALTI PUBBLICI DI LAVORI, SERVIZI E FORNITURE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Foglio1!$H$7:$L$7</c:f>
              <c:numCache>
                <c:formatCode>General</c:formatCode>
                <c:ptCount val="5"/>
                <c:pt idx="0">
                  <c:v>331</c:v>
                </c:pt>
                <c:pt idx="1">
                  <c:v>223</c:v>
                </c:pt>
                <c:pt idx="2">
                  <c:v>193</c:v>
                </c:pt>
                <c:pt idx="3">
                  <c:v>149</c:v>
                </c:pt>
                <c:pt idx="4">
                  <c:v>78</c:v>
                </c:pt>
              </c:numCache>
            </c:numRef>
          </c:val>
        </c:ser>
        <c:ser>
          <c:idx val="1"/>
          <c:order val="1"/>
          <c:tx>
            <c:strRef>
              <c:f>Foglio1!$G$8</c:f>
              <c:strCache>
                <c:ptCount val="1"/>
                <c:pt idx="0">
                  <c:v>AUTORITA' INDIPENDENTI (ATTIVITA', ORGANIZZAZIONE)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Foglio1!$H$8:$L$8</c:f>
              <c:numCache>
                <c:formatCode>General</c:formatCode>
                <c:ptCount val="5"/>
                <c:pt idx="0">
                  <c:v>549</c:v>
                </c:pt>
                <c:pt idx="1">
                  <c:v>439</c:v>
                </c:pt>
                <c:pt idx="2">
                  <c:v>309</c:v>
                </c:pt>
                <c:pt idx="3">
                  <c:v>263</c:v>
                </c:pt>
                <c:pt idx="4">
                  <c:v>80</c:v>
                </c:pt>
              </c:numCache>
            </c:numRef>
          </c:val>
        </c:ser>
        <c:ser>
          <c:idx val="2"/>
          <c:order val="2"/>
          <c:tx>
            <c:strRef>
              <c:f>Foglio1!$G$9</c:f>
              <c:strCache>
                <c:ptCount val="1"/>
                <c:pt idx="0">
                  <c:v>ELEZIONI (provvedimenti successivi alla proclamazione eletti)</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Foglio1!$H$9:$L$9</c:f>
              <c:numCache>
                <c:formatCode>General</c:formatCode>
                <c:ptCount val="5"/>
                <c:pt idx="0">
                  <c:v>142</c:v>
                </c:pt>
                <c:pt idx="1">
                  <c:v>94</c:v>
                </c:pt>
                <c:pt idx="2">
                  <c:v>113</c:v>
                </c:pt>
                <c:pt idx="3">
                  <c:v>66</c:v>
                </c:pt>
                <c:pt idx="4">
                  <c:v>21</c:v>
                </c:pt>
              </c:numCache>
            </c:numRef>
          </c:val>
        </c:ser>
        <c:ser>
          <c:idx val="3"/>
          <c:order val="3"/>
          <c:tx>
            <c:strRef>
              <c:f>Foglio1!$G$10</c:f>
              <c:strCache>
                <c:ptCount val="1"/>
                <c:pt idx="0">
                  <c:v>ELEZIONI (provvedimenti di esclusione)</c:v>
                </c:pt>
              </c:strCache>
            </c:strRef>
          </c:tx>
          <c:spPr>
            <a:solidFill>
              <a:srgbClr val="92D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Foglio1!$H$10:$L$10</c:f>
              <c:numCache>
                <c:formatCode>General</c:formatCode>
                <c:ptCount val="5"/>
                <c:pt idx="0">
                  <c:v>3</c:v>
                </c:pt>
                <c:pt idx="1">
                  <c:v>3</c:v>
                </c:pt>
                <c:pt idx="2">
                  <c:v>2</c:v>
                </c:pt>
                <c:pt idx="3">
                  <c:v>2</c:v>
                </c:pt>
                <c:pt idx="4">
                  <c:v>3</c:v>
                </c:pt>
              </c:numCache>
            </c:numRef>
          </c:val>
        </c:ser>
        <c:ser>
          <c:idx val="4"/>
          <c:order val="4"/>
          <c:tx>
            <c:strRef>
              <c:f>Foglio1!$G$11</c:f>
              <c:strCache>
                <c:ptCount val="1"/>
                <c:pt idx="0">
                  <c:v>STRANIERI</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Foglio1!$H$11:$L$11</c:f>
              <c:numCache>
                <c:formatCode>General</c:formatCode>
                <c:ptCount val="5"/>
                <c:pt idx="0">
                  <c:v>289</c:v>
                </c:pt>
                <c:pt idx="1">
                  <c:v>261</c:v>
                </c:pt>
                <c:pt idx="2">
                  <c:v>242</c:v>
                </c:pt>
                <c:pt idx="3">
                  <c:v>150</c:v>
                </c:pt>
                <c:pt idx="4">
                  <c:v>55</c:v>
                </c:pt>
              </c:numCache>
            </c:numRef>
          </c:val>
        </c:ser>
        <c:dLbls>
          <c:dLblPos val="inEnd"/>
          <c:showLegendKey val="0"/>
          <c:showVal val="1"/>
          <c:showCatName val="0"/>
          <c:showSerName val="0"/>
          <c:showPercent val="0"/>
          <c:showBubbleSize val="0"/>
        </c:dLbls>
        <c:gapWidth val="65"/>
        <c:axId val="316957488"/>
        <c:axId val="316954744"/>
      </c:barChart>
      <c:catAx>
        <c:axId val="3169574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t-IT"/>
          </a:p>
        </c:txPr>
        <c:crossAx val="316954744"/>
        <c:crosses val="autoZero"/>
        <c:auto val="1"/>
        <c:lblAlgn val="ctr"/>
        <c:lblOffset val="100"/>
        <c:noMultiLvlLbl val="0"/>
      </c:catAx>
      <c:valAx>
        <c:axId val="316954744"/>
        <c:scaling>
          <c:orientation val="minMax"/>
        </c:scaling>
        <c:delete val="1"/>
        <c:axPos val="l"/>
        <c:numFmt formatCode="General" sourceLinked="1"/>
        <c:majorTickMark val="none"/>
        <c:minorTickMark val="none"/>
        <c:tickLblPos val="nextTo"/>
        <c:crossAx val="3169574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a:t>
            </a:r>
            <a:r>
              <a:rPr lang="en-US" baseline="0"/>
              <a:t> Grado di giudizio - Tempi medi di definizione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t-IT"/>
        </a:p>
      </c:txPr>
    </c:title>
    <c:autoTitleDeleted val="0"/>
    <c:plotArea>
      <c:layout/>
      <c:barChart>
        <c:barDir val="col"/>
        <c:grouping val="clustered"/>
        <c:varyColors val="0"/>
        <c:ser>
          <c:idx val="0"/>
          <c:order val="0"/>
          <c:tx>
            <c:strRef>
              <c:f>Foglio1!$G$7</c:f>
              <c:strCache>
                <c:ptCount val="1"/>
                <c:pt idx="0">
                  <c:v>APPALTI PUBBLICI DI LAVORI, SERVIZI E FORNITURE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Foglio1!$H$7:$L$7</c:f>
              <c:numCache>
                <c:formatCode>General</c:formatCode>
                <c:ptCount val="5"/>
                <c:pt idx="0">
                  <c:v>469</c:v>
                </c:pt>
                <c:pt idx="1">
                  <c:v>248</c:v>
                </c:pt>
                <c:pt idx="2">
                  <c:v>209</c:v>
                </c:pt>
                <c:pt idx="3">
                  <c:v>225</c:v>
                </c:pt>
                <c:pt idx="4">
                  <c:v>125</c:v>
                </c:pt>
              </c:numCache>
            </c:numRef>
          </c:val>
        </c:ser>
        <c:ser>
          <c:idx val="1"/>
          <c:order val="1"/>
          <c:tx>
            <c:strRef>
              <c:f>Foglio1!$G$8</c:f>
              <c:strCache>
                <c:ptCount val="1"/>
                <c:pt idx="0">
                  <c:v>AUTORITA' INDIPENDENTI (ATTIVITA', ORGANIZZAZIONE)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Foglio1!$H$8:$L$8</c:f>
              <c:numCache>
                <c:formatCode>General</c:formatCode>
                <c:ptCount val="5"/>
                <c:pt idx="0">
                  <c:v>480</c:v>
                </c:pt>
                <c:pt idx="1">
                  <c:v>386</c:v>
                </c:pt>
                <c:pt idx="2">
                  <c:v>348</c:v>
                </c:pt>
                <c:pt idx="3">
                  <c:v>232</c:v>
                </c:pt>
                <c:pt idx="4">
                  <c:v>106</c:v>
                </c:pt>
              </c:numCache>
            </c:numRef>
          </c:val>
        </c:ser>
        <c:ser>
          <c:idx val="2"/>
          <c:order val="2"/>
          <c:tx>
            <c:strRef>
              <c:f>Foglio1!$G$9</c:f>
              <c:strCache>
                <c:ptCount val="1"/>
                <c:pt idx="0">
                  <c:v>ELEZIONI (provvedimenti successivi alla proclamazione eletti)</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Foglio1!$H$9:$L$9</c:f>
              <c:numCache>
                <c:formatCode>General</c:formatCode>
                <c:ptCount val="5"/>
                <c:pt idx="0">
                  <c:v>112</c:v>
                </c:pt>
                <c:pt idx="1">
                  <c:v>113</c:v>
                </c:pt>
                <c:pt idx="2">
                  <c:v>167</c:v>
                </c:pt>
                <c:pt idx="3">
                  <c:v>38</c:v>
                </c:pt>
                <c:pt idx="4">
                  <c:v>60</c:v>
                </c:pt>
              </c:numCache>
            </c:numRef>
          </c:val>
        </c:ser>
        <c:ser>
          <c:idx val="3"/>
          <c:order val="3"/>
          <c:tx>
            <c:strRef>
              <c:f>Foglio1!$G$10</c:f>
              <c:strCache>
                <c:ptCount val="1"/>
                <c:pt idx="0">
                  <c:v>ELEZIONI (provvedimenti di esclusione)</c:v>
                </c:pt>
              </c:strCache>
            </c:strRef>
          </c:tx>
          <c:spPr>
            <a:solidFill>
              <a:srgbClr val="92D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Foglio1!$H$10:$L$10</c:f>
              <c:numCache>
                <c:formatCode>General</c:formatCode>
                <c:ptCount val="5"/>
                <c:pt idx="0">
                  <c:v>3</c:v>
                </c:pt>
                <c:pt idx="1">
                  <c:v>2</c:v>
                </c:pt>
                <c:pt idx="2">
                  <c:v>2</c:v>
                </c:pt>
                <c:pt idx="3">
                  <c:v>3</c:v>
                </c:pt>
                <c:pt idx="4">
                  <c:v>7</c:v>
                </c:pt>
              </c:numCache>
            </c:numRef>
          </c:val>
        </c:ser>
        <c:ser>
          <c:idx val="4"/>
          <c:order val="4"/>
          <c:tx>
            <c:strRef>
              <c:f>Foglio1!$G$11</c:f>
              <c:strCache>
                <c:ptCount val="1"/>
                <c:pt idx="0">
                  <c:v>STRANIERI</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Foglio1!$H$6:$L$6</c:f>
              <c:numCache>
                <c:formatCode>General</c:formatCode>
                <c:ptCount val="5"/>
                <c:pt idx="0">
                  <c:v>2013</c:v>
                </c:pt>
                <c:pt idx="1">
                  <c:v>2014</c:v>
                </c:pt>
                <c:pt idx="2">
                  <c:v>2015</c:v>
                </c:pt>
                <c:pt idx="3">
                  <c:v>2016</c:v>
                </c:pt>
                <c:pt idx="4">
                  <c:v>2017</c:v>
                </c:pt>
              </c:numCache>
            </c:numRef>
          </c:cat>
          <c:val>
            <c:numRef>
              <c:f>Foglio1!$H$11:$L$11</c:f>
              <c:numCache>
                <c:formatCode>General</c:formatCode>
                <c:ptCount val="5"/>
                <c:pt idx="0">
                  <c:v>246</c:v>
                </c:pt>
                <c:pt idx="1">
                  <c:v>237</c:v>
                </c:pt>
                <c:pt idx="2">
                  <c:v>221</c:v>
                </c:pt>
                <c:pt idx="3">
                  <c:v>168</c:v>
                </c:pt>
                <c:pt idx="4">
                  <c:v>79</c:v>
                </c:pt>
              </c:numCache>
            </c:numRef>
          </c:val>
        </c:ser>
        <c:dLbls>
          <c:dLblPos val="inEnd"/>
          <c:showLegendKey val="0"/>
          <c:showVal val="1"/>
          <c:showCatName val="0"/>
          <c:showSerName val="0"/>
          <c:showPercent val="0"/>
          <c:showBubbleSize val="0"/>
        </c:dLbls>
        <c:gapWidth val="65"/>
        <c:axId val="316955528"/>
        <c:axId val="316953960"/>
      </c:barChart>
      <c:catAx>
        <c:axId val="316955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t-IT"/>
          </a:p>
        </c:txPr>
        <c:crossAx val="316953960"/>
        <c:crosses val="autoZero"/>
        <c:auto val="1"/>
        <c:lblAlgn val="ctr"/>
        <c:lblOffset val="100"/>
        <c:noMultiLvlLbl val="0"/>
      </c:catAx>
      <c:valAx>
        <c:axId val="316953960"/>
        <c:scaling>
          <c:orientation val="minMax"/>
        </c:scaling>
        <c:delete val="1"/>
        <c:axPos val="l"/>
        <c:numFmt formatCode="General" sourceLinked="1"/>
        <c:majorTickMark val="none"/>
        <c:minorTickMark val="none"/>
        <c:tickLblPos val="nextTo"/>
        <c:crossAx val="3169555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184A-8376-4ECA-A499-0FE0D4E9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1399</Words>
  <Characters>7979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VELTRI Giulio</dc:creator>
  <cp:keywords/>
  <dc:description/>
  <cp:lastModifiedBy>VOLPE Nicola</cp:lastModifiedBy>
  <cp:revision>3</cp:revision>
  <dcterms:created xsi:type="dcterms:W3CDTF">2018-02-15T11:33:00Z</dcterms:created>
  <dcterms:modified xsi:type="dcterms:W3CDTF">2018-02-15T12:22:00Z</dcterms:modified>
</cp:coreProperties>
</file>