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6CA47" w14:textId="77777777" w:rsidR="006F0F80" w:rsidRDefault="006F0F80" w:rsidP="006F0F80"/>
    <w:p w14:paraId="147AB753" w14:textId="77777777" w:rsidR="006F0F80" w:rsidRDefault="006F0F80" w:rsidP="006F0F80"/>
    <w:p w14:paraId="42D7A11A" w14:textId="77777777" w:rsidR="006F0F80" w:rsidRDefault="006F0F80" w:rsidP="006F0F80"/>
    <w:p w14:paraId="654C33E4" w14:textId="77777777" w:rsidR="00034EA7" w:rsidRDefault="00034EA7" w:rsidP="00034EA7">
      <w:pPr>
        <w:ind w:left="360"/>
        <w:jc w:val="center"/>
        <w:rPr>
          <w:rFonts w:ascii="Arial" w:hAnsi="Arial" w:cs="Arial"/>
          <w:sz w:val="22"/>
          <w:szCs w:val="22"/>
        </w:rPr>
      </w:pPr>
    </w:p>
    <w:p w14:paraId="376F9CAD" w14:textId="77777777" w:rsidR="00034EA7" w:rsidRDefault="00034EA7" w:rsidP="00034EA7">
      <w:pPr>
        <w:ind w:left="360"/>
        <w:jc w:val="center"/>
        <w:rPr>
          <w:rFonts w:ascii="Arial" w:hAnsi="Arial" w:cs="Arial"/>
          <w:i/>
          <w:sz w:val="22"/>
          <w:szCs w:val="22"/>
        </w:rPr>
      </w:pPr>
      <w:r>
        <w:rPr>
          <w:rFonts w:ascii="Arial" w:eastAsia="Times New Roman" w:hAnsi="Arial" w:cs="Arial"/>
          <w:i/>
          <w:sz w:val="22"/>
          <w:szCs w:val="22"/>
        </w:rPr>
        <w:object w:dxaOrig="990" w:dyaOrig="1050" w14:anchorId="099AC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2.8pt" o:ole="" fillcolor="window">
            <v:imagedata r:id="rId4" o:title=""/>
          </v:shape>
          <o:OLEObject Type="Embed" ProgID="PBrush" ShapeID="_x0000_i1025" DrawAspect="Content" ObjectID="_1681989143" r:id="rId5">
            <o:FieldCodes>\s \* unisciformato</o:FieldCodes>
          </o:OLEObject>
        </w:object>
      </w:r>
    </w:p>
    <w:p w14:paraId="4FDA736F" w14:textId="77777777" w:rsidR="00034EA7" w:rsidRDefault="00034EA7" w:rsidP="00034EA7">
      <w:pPr>
        <w:ind w:left="360"/>
        <w:jc w:val="center"/>
        <w:rPr>
          <w:rFonts w:ascii="Arial" w:hAnsi="Arial" w:cs="Arial"/>
          <w:i/>
          <w:sz w:val="22"/>
          <w:szCs w:val="22"/>
        </w:rPr>
      </w:pPr>
    </w:p>
    <w:p w14:paraId="0A8B5A52" w14:textId="77777777" w:rsidR="00034EA7" w:rsidRDefault="00034EA7" w:rsidP="00034EA7">
      <w:pPr>
        <w:ind w:left="360"/>
        <w:jc w:val="center"/>
        <w:rPr>
          <w:rFonts w:ascii="Arial" w:hAnsi="Arial" w:cs="Arial"/>
          <w:i/>
          <w:sz w:val="36"/>
          <w:szCs w:val="36"/>
        </w:rPr>
      </w:pPr>
    </w:p>
    <w:p w14:paraId="1F14ABF8" w14:textId="77777777" w:rsidR="00034EA7" w:rsidRDefault="00034EA7" w:rsidP="00034EA7">
      <w:pPr>
        <w:ind w:left="360"/>
        <w:jc w:val="center"/>
        <w:rPr>
          <w:i/>
          <w:sz w:val="36"/>
          <w:szCs w:val="36"/>
        </w:rPr>
      </w:pPr>
      <w:r>
        <w:rPr>
          <w:rFonts w:ascii="Arial" w:hAnsi="Arial" w:cs="Arial"/>
          <w:b/>
          <w:i/>
          <w:sz w:val="36"/>
          <w:szCs w:val="36"/>
        </w:rPr>
        <w:t xml:space="preserve">  </w:t>
      </w:r>
      <w:r>
        <w:rPr>
          <w:i/>
          <w:sz w:val="36"/>
          <w:szCs w:val="36"/>
        </w:rPr>
        <w:t>GIUSTIZIA   AMMINISTRATIVA</w:t>
      </w:r>
    </w:p>
    <w:p w14:paraId="77161B10" w14:textId="77777777" w:rsidR="00034EA7" w:rsidRDefault="00034EA7" w:rsidP="00034EA7">
      <w:pPr>
        <w:ind w:left="360"/>
        <w:jc w:val="center"/>
        <w:rPr>
          <w:i/>
          <w:sz w:val="36"/>
          <w:szCs w:val="36"/>
        </w:rPr>
      </w:pPr>
    </w:p>
    <w:p w14:paraId="26192A14" w14:textId="77777777" w:rsidR="00034EA7" w:rsidRDefault="00034EA7" w:rsidP="00034EA7">
      <w:pPr>
        <w:ind w:left="360"/>
        <w:jc w:val="center"/>
        <w:rPr>
          <w:i/>
          <w:sz w:val="36"/>
          <w:szCs w:val="36"/>
        </w:rPr>
      </w:pPr>
      <w:r>
        <w:rPr>
          <w:i/>
          <w:sz w:val="36"/>
          <w:szCs w:val="36"/>
        </w:rPr>
        <w:t xml:space="preserve"> UFFICIO STAMPA E COMUNICAZIONE ISTITUZIONALE</w:t>
      </w:r>
    </w:p>
    <w:p w14:paraId="2E6FFF15" w14:textId="77777777" w:rsidR="00034EA7" w:rsidRDefault="00034EA7" w:rsidP="00034EA7">
      <w:pPr>
        <w:ind w:left="360"/>
        <w:jc w:val="center"/>
        <w:rPr>
          <w:sz w:val="36"/>
          <w:szCs w:val="36"/>
        </w:rPr>
      </w:pPr>
    </w:p>
    <w:p w14:paraId="19999CDA" w14:textId="77777777" w:rsidR="00034EA7" w:rsidRDefault="00034EA7" w:rsidP="00034EA7">
      <w:pPr>
        <w:ind w:left="360"/>
        <w:jc w:val="center"/>
        <w:rPr>
          <w:b/>
          <w:i/>
          <w:sz w:val="36"/>
          <w:szCs w:val="36"/>
        </w:rPr>
      </w:pPr>
      <w:r>
        <w:rPr>
          <w:b/>
          <w:i/>
          <w:sz w:val="36"/>
          <w:szCs w:val="36"/>
        </w:rPr>
        <w:t>COMUNICATO STAMPA</w:t>
      </w:r>
    </w:p>
    <w:p w14:paraId="352310F7" w14:textId="2E443612" w:rsidR="00034EA7" w:rsidRDefault="00034EA7" w:rsidP="00034EA7">
      <w:pPr>
        <w:tabs>
          <w:tab w:val="left" w:pos="6525"/>
        </w:tabs>
        <w:ind w:left="360"/>
        <w:rPr>
          <w:i/>
          <w:sz w:val="36"/>
          <w:szCs w:val="36"/>
        </w:rPr>
      </w:pPr>
      <w:r>
        <w:rPr>
          <w:i/>
          <w:sz w:val="36"/>
          <w:szCs w:val="36"/>
        </w:rPr>
        <w:tab/>
      </w:r>
    </w:p>
    <w:p w14:paraId="05DC5A1E" w14:textId="10B01747" w:rsidR="007A3769" w:rsidRDefault="007A3769" w:rsidP="007A3769">
      <w:pPr>
        <w:jc w:val="both"/>
      </w:pPr>
      <w:r>
        <w:t>CGARS: RIPRISTINATO FERMO AMMINISTRATIVO SEA WATCH4</w:t>
      </w:r>
    </w:p>
    <w:p w14:paraId="7179E1F9" w14:textId="77777777" w:rsidR="007A3769" w:rsidRDefault="007A3769" w:rsidP="007A3769">
      <w:pPr>
        <w:jc w:val="both"/>
      </w:pPr>
    </w:p>
    <w:p w14:paraId="6BDF0CAF" w14:textId="77777777" w:rsidR="007A3769" w:rsidRDefault="007A3769" w:rsidP="007A3769">
      <w:pPr>
        <w:jc w:val="both"/>
      </w:pPr>
      <w:r>
        <w:t>SE NAVE RIMUOVE CARENZE (IN MATERIA DI SICUREZZA E AMBIENTE) POSSIBILE REVOCA FERMO</w:t>
      </w:r>
    </w:p>
    <w:p w14:paraId="66F67FE5" w14:textId="77777777" w:rsidR="007A3769" w:rsidRDefault="007A3769" w:rsidP="007A3769">
      <w:pPr>
        <w:jc w:val="both"/>
      </w:pPr>
    </w:p>
    <w:p w14:paraId="19956ACE" w14:textId="77777777" w:rsidR="007A3769" w:rsidRDefault="007A3769" w:rsidP="007A3769">
      <w:pPr>
        <w:jc w:val="both"/>
      </w:pPr>
      <w:r>
        <w:t>Il Consiglio di Giustizia Amministrativa per la Regione Siciliana (CGARS), con l’ordinanza cautelare n. 322/2021 depositata oggi, ha riformato la decisione del TAR per la Sicilia (Palermo) che aveva esaminato ed accolto la domanda di sospensione del provvedimento di fermo della Sea Watch, nelle more della decisione da parte della Corte di Giustizia U.E., adita in sede di rinvio pregiudiziale dal TAR.</w:t>
      </w:r>
    </w:p>
    <w:p w14:paraId="142F28EC" w14:textId="77777777" w:rsidR="007A3769" w:rsidRDefault="007A3769" w:rsidP="007A3769">
      <w:pPr>
        <w:jc w:val="both"/>
      </w:pPr>
    </w:p>
    <w:p w14:paraId="70418F2B" w14:textId="53AD50CD" w:rsidR="007A3769" w:rsidRDefault="007A3769" w:rsidP="007A3769">
      <w:pPr>
        <w:jc w:val="both"/>
      </w:pPr>
      <w:r>
        <w:t xml:space="preserve">Nell’ordinanza collegiale del CGARS si afferma che in assenza di specifiche prescrizioni sulle caratteristiche tecniche delle unità di salvataggio, il servizio di pattugliamento, ricerca e soccorso in mare deve avvenire in condizioni di sicurezza per le stesse persone soccorse, per l’equipaggio (riguardo, tra l’altro, alla sufficienza dei servizi igienici e </w:t>
      </w:r>
      <w:proofErr w:type="gramStart"/>
      <w:r>
        <w:t>ad</w:t>
      </w:r>
      <w:proofErr w:type="gramEnd"/>
      <w:r>
        <w:t xml:space="preserve"> adeguate turnazioni del personale), per la navigazione, per l’ambiente, condizioni che allo stato non sono riscontrabili a bordo</w:t>
      </w:r>
    </w:p>
    <w:p w14:paraId="1E1E4F9F" w14:textId="77777777" w:rsidR="007A3769" w:rsidRDefault="007A3769" w:rsidP="007A3769">
      <w:pPr>
        <w:jc w:val="both"/>
      </w:pPr>
    </w:p>
    <w:p w14:paraId="1D4EAF4C" w14:textId="3B01A8AE" w:rsidR="006F0F80" w:rsidRDefault="007A3769" w:rsidP="007A3769">
      <w:pPr>
        <w:jc w:val="both"/>
      </w:pPr>
      <w:r>
        <w:t>Per altro verso, nell’ordinanza cautelare si rileva che tale pregiudizio ben potrebbe essere rimosso mediante l’adeguamento alle prescrizioni dettate dall’amministrazione o modulando il servizio alle condizioni strutturali della nave.</w:t>
      </w:r>
    </w:p>
    <w:p w14:paraId="49B0FDBE" w14:textId="26033665" w:rsidR="007A3769" w:rsidRDefault="007A3769" w:rsidP="007A3769">
      <w:pPr>
        <w:jc w:val="both"/>
      </w:pPr>
    </w:p>
    <w:p w14:paraId="644A8865" w14:textId="56EE24AA" w:rsidR="007A3769" w:rsidRDefault="00AD63B4" w:rsidP="007A3769">
      <w:pPr>
        <w:jc w:val="both"/>
      </w:pPr>
      <w:r>
        <w:t>Roma, 8 maggio 2021</w:t>
      </w:r>
    </w:p>
    <w:p w14:paraId="0901637B" w14:textId="77777777" w:rsidR="00AD63B4" w:rsidRDefault="00AD63B4" w:rsidP="007A3769">
      <w:pPr>
        <w:jc w:val="both"/>
      </w:pPr>
    </w:p>
    <w:sectPr w:rsidR="00AD63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5D"/>
    <w:rsid w:val="00034EA7"/>
    <w:rsid w:val="00077E83"/>
    <w:rsid w:val="006F0F80"/>
    <w:rsid w:val="007A3769"/>
    <w:rsid w:val="007C765D"/>
    <w:rsid w:val="007F7F9A"/>
    <w:rsid w:val="00926273"/>
    <w:rsid w:val="00AB3A0D"/>
    <w:rsid w:val="00AD63B4"/>
    <w:rsid w:val="00B77DBC"/>
    <w:rsid w:val="00BE3C4B"/>
    <w:rsid w:val="00C51C8D"/>
    <w:rsid w:val="00E613AA"/>
    <w:rsid w:val="00E644FC"/>
    <w:rsid w:val="00F140E8"/>
    <w:rsid w:val="00F41743"/>
    <w:rsid w:val="00F439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832D"/>
  <w15:chartTrackingRefBased/>
  <w15:docId w15:val="{86773A4A-DAA4-461A-B4CB-5755121B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0F80"/>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363746">
      <w:bodyDiv w:val="1"/>
      <w:marLeft w:val="0"/>
      <w:marRight w:val="0"/>
      <w:marTop w:val="0"/>
      <w:marBottom w:val="0"/>
      <w:divBdr>
        <w:top w:val="none" w:sz="0" w:space="0" w:color="auto"/>
        <w:left w:val="none" w:sz="0" w:space="0" w:color="auto"/>
        <w:bottom w:val="none" w:sz="0" w:space="0" w:color="auto"/>
        <w:right w:val="none" w:sz="0" w:space="0" w:color="auto"/>
      </w:divBdr>
    </w:div>
    <w:div w:id="18054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214</Words>
  <Characters>1221</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TOMMASINI Tiziana</dc:creator>
  <cp:keywords/>
  <dc:description/>
  <cp:lastModifiedBy>Stefano Santilli</cp:lastModifiedBy>
  <cp:revision>3</cp:revision>
  <dcterms:created xsi:type="dcterms:W3CDTF">2021-05-08T12:25:00Z</dcterms:created>
  <dcterms:modified xsi:type="dcterms:W3CDTF">2021-05-08T12:26:00Z</dcterms:modified>
</cp:coreProperties>
</file>