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9AE0E" w14:textId="75A2BCBB" w:rsidR="009B523F" w:rsidRPr="00606BBC" w:rsidRDefault="00606BBC" w:rsidP="00606BBC">
      <w:pPr>
        <w:spacing w:after="0" w:line="520" w:lineRule="atLeast"/>
        <w:jc w:val="center"/>
        <w:rPr>
          <w:rFonts w:ascii="Garamond" w:eastAsia="Times New Roman" w:hAnsi="Garamond" w:cs="Times New Roman"/>
          <w:b/>
          <w:color w:val="000000"/>
          <w:sz w:val="40"/>
          <w:szCs w:val="40"/>
          <w:lang w:eastAsia="it-IT"/>
        </w:rPr>
      </w:pPr>
      <w:r w:rsidRPr="00606BBC">
        <w:rPr>
          <w:rFonts w:ascii="Garamond" w:eastAsia="Times New Roman" w:hAnsi="Garamond" w:cs="Times New Roman"/>
          <w:b/>
          <w:color w:val="000000"/>
          <w:sz w:val="40"/>
          <w:szCs w:val="40"/>
          <w:lang w:eastAsia="it-IT"/>
        </w:rPr>
        <w:t>L</w:t>
      </w:r>
      <w:r w:rsidRPr="00606BBC">
        <w:rPr>
          <w:rFonts w:ascii="Garamond" w:eastAsia="Times New Roman" w:hAnsi="Garamond" w:cs="Times New Roman"/>
          <w:b/>
          <w:color w:val="000000"/>
          <w:sz w:val="40"/>
          <w:szCs w:val="40"/>
          <w:lang w:eastAsia="it-IT"/>
        </w:rPr>
        <w:t>egittimazione del consorzio stabile a partecipare alla gara in base all’inscrizione all’ANGA da parte della consorziata esecutrice</w:t>
      </w:r>
    </w:p>
    <w:p w14:paraId="1D175DAD" w14:textId="3AADE6A5" w:rsidR="009B523F" w:rsidRDefault="00606BBC" w:rsidP="00606BBC">
      <w:pPr>
        <w:spacing w:after="0" w:line="520" w:lineRule="atLeast"/>
        <w:jc w:val="center"/>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Nota a </w:t>
      </w:r>
      <w:proofErr w:type="spellStart"/>
      <w:r>
        <w:rPr>
          <w:rFonts w:ascii="Garamond" w:eastAsia="Times New Roman" w:hAnsi="Garamond" w:cs="Times New Roman"/>
          <w:color w:val="000000"/>
          <w:sz w:val="30"/>
          <w:szCs w:val="30"/>
          <w:lang w:eastAsia="it-IT"/>
        </w:rPr>
        <w:t>C.g.a</w:t>
      </w:r>
      <w:proofErr w:type="spellEnd"/>
      <w:r>
        <w:rPr>
          <w:rFonts w:ascii="Garamond" w:eastAsia="Times New Roman" w:hAnsi="Garamond" w:cs="Times New Roman"/>
          <w:color w:val="000000"/>
          <w:sz w:val="30"/>
          <w:szCs w:val="30"/>
          <w:lang w:eastAsia="it-IT"/>
        </w:rPr>
        <w:t>.</w:t>
      </w:r>
      <w:r w:rsidR="009B523F">
        <w:rPr>
          <w:rFonts w:ascii="Garamond" w:eastAsia="Times New Roman" w:hAnsi="Garamond" w:cs="Times New Roman"/>
          <w:color w:val="000000"/>
          <w:sz w:val="30"/>
          <w:szCs w:val="30"/>
          <w:lang w:eastAsia="it-IT"/>
        </w:rPr>
        <w:t xml:space="preserve"> 4 ottobre 2021</w:t>
      </w:r>
      <w:r>
        <w:rPr>
          <w:rFonts w:ascii="Garamond" w:eastAsia="Times New Roman" w:hAnsi="Garamond" w:cs="Times New Roman"/>
          <w:color w:val="000000"/>
          <w:sz w:val="30"/>
          <w:szCs w:val="30"/>
          <w:lang w:eastAsia="it-IT"/>
        </w:rPr>
        <w:t>,</w:t>
      </w:r>
      <w:r w:rsidR="009B523F">
        <w:rPr>
          <w:rFonts w:ascii="Garamond" w:eastAsia="Times New Roman" w:hAnsi="Garamond" w:cs="Times New Roman"/>
          <w:color w:val="000000"/>
          <w:sz w:val="30"/>
          <w:szCs w:val="30"/>
          <w:lang w:eastAsia="it-IT"/>
        </w:rPr>
        <w:t xml:space="preserve"> n. 831</w:t>
      </w:r>
      <w:r>
        <w:rPr>
          <w:rFonts w:ascii="Garamond" w:eastAsia="Times New Roman" w:hAnsi="Garamond" w:cs="Times New Roman"/>
          <w:color w:val="000000"/>
          <w:sz w:val="30"/>
          <w:szCs w:val="30"/>
          <w:lang w:eastAsia="it-IT"/>
        </w:rPr>
        <w:t xml:space="preserve">   </w:t>
      </w:r>
    </w:p>
    <w:p w14:paraId="247182CD" w14:textId="77777777" w:rsidR="009B523F" w:rsidRDefault="009B523F" w:rsidP="00DB40BA">
      <w:pPr>
        <w:spacing w:after="0" w:line="520" w:lineRule="atLeast"/>
        <w:jc w:val="both"/>
        <w:rPr>
          <w:rFonts w:ascii="Garamond" w:eastAsia="Times New Roman" w:hAnsi="Garamond" w:cs="Times New Roman"/>
          <w:color w:val="000000"/>
          <w:sz w:val="30"/>
          <w:szCs w:val="30"/>
          <w:lang w:eastAsia="it-IT"/>
        </w:rPr>
      </w:pPr>
    </w:p>
    <w:p w14:paraId="31B3BADB"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La questione giuridica sottesa alla controversia ha riguardato la questione della </w:t>
      </w:r>
      <w:proofErr w:type="spellStart"/>
      <w:r>
        <w:rPr>
          <w:rFonts w:ascii="Garamond" w:eastAsia="Times New Roman" w:hAnsi="Garamond" w:cs="Times New Roman"/>
          <w:color w:val="000000"/>
          <w:sz w:val="30"/>
          <w:szCs w:val="30"/>
          <w:lang w:eastAsia="it-IT"/>
        </w:rPr>
        <w:t>sussitenza</w:t>
      </w:r>
      <w:proofErr w:type="spellEnd"/>
      <w:r>
        <w:rPr>
          <w:rFonts w:ascii="Garamond" w:eastAsia="Times New Roman" w:hAnsi="Garamond" w:cs="Times New Roman"/>
          <w:color w:val="000000"/>
          <w:sz w:val="30"/>
          <w:szCs w:val="30"/>
          <w:lang w:eastAsia="it-IT"/>
        </w:rPr>
        <w:t xml:space="preserve">, o meno, della legittimazione di </w:t>
      </w:r>
      <w:r w:rsidRPr="005A2202">
        <w:rPr>
          <w:rFonts w:ascii="Garamond" w:eastAsia="Times New Roman" w:hAnsi="Garamond" w:cs="Times New Roman"/>
          <w:color w:val="000000"/>
          <w:sz w:val="30"/>
          <w:szCs w:val="30"/>
          <w:lang w:eastAsia="it-IT"/>
        </w:rPr>
        <w:t xml:space="preserve">un consorzio stabile alla partecipazione alla gara </w:t>
      </w:r>
      <w:r>
        <w:rPr>
          <w:rFonts w:ascii="Garamond" w:eastAsia="Times New Roman" w:hAnsi="Garamond" w:cs="Times New Roman"/>
          <w:color w:val="000000"/>
          <w:sz w:val="30"/>
          <w:szCs w:val="30"/>
          <w:lang w:eastAsia="it-IT"/>
        </w:rPr>
        <w:t xml:space="preserve">nel caso in cui </w:t>
      </w:r>
      <w:r w:rsidRPr="005A2202">
        <w:rPr>
          <w:rFonts w:ascii="Garamond" w:eastAsia="Times New Roman" w:hAnsi="Garamond" w:cs="Times New Roman"/>
          <w:color w:val="000000"/>
          <w:sz w:val="30"/>
          <w:szCs w:val="30"/>
          <w:lang w:eastAsia="it-IT"/>
        </w:rPr>
        <w:t>il requisito dell’iscrizione alla ANGA sia posseduto dalla consorziata esecutrice dei lavori (e non dal consorzio stabile che ha presentato l’offerta).</w:t>
      </w:r>
    </w:p>
    <w:p w14:paraId="571428DE" w14:textId="77777777" w:rsidR="00DB40BA" w:rsidRPr="005A2202"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Il CGARS ha affermato che:</w:t>
      </w:r>
    </w:p>
    <w:p w14:paraId="3B70A72A"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 in termini generali, </w:t>
      </w:r>
      <w:r w:rsidRPr="005A2202">
        <w:rPr>
          <w:rFonts w:ascii="Garamond" w:eastAsia="Times New Roman" w:hAnsi="Garamond" w:cs="Times New Roman"/>
          <w:color w:val="000000"/>
          <w:sz w:val="30"/>
          <w:szCs w:val="30"/>
          <w:lang w:eastAsia="it-IT"/>
        </w:rPr>
        <w:t>partecipa alla gara colui che eseguirà i lavori: “</w:t>
      </w:r>
      <w:r w:rsidRPr="005A2202">
        <w:rPr>
          <w:rFonts w:ascii="Garamond" w:eastAsia="Times New Roman" w:hAnsi="Garamond" w:cs="Times New Roman"/>
          <w:i/>
          <w:iCs/>
          <w:color w:val="000000"/>
          <w:sz w:val="30"/>
          <w:szCs w:val="30"/>
          <w:lang w:eastAsia="it-IT"/>
        </w:rPr>
        <w:t>I soggetti affidatari dei contratti di cui al presente codice eseguono in proprio le opere o i lavori, i servizi, le forniture compresi nel contratto</w:t>
      </w:r>
      <w:r w:rsidRPr="005A2202">
        <w:rPr>
          <w:rFonts w:ascii="Garamond" w:eastAsia="Times New Roman" w:hAnsi="Garamond" w:cs="Times New Roman"/>
          <w:color w:val="000000"/>
          <w:sz w:val="30"/>
          <w:szCs w:val="30"/>
          <w:lang w:eastAsia="it-IT"/>
        </w:rPr>
        <w:t xml:space="preserve">” (art. 105 </w:t>
      </w:r>
      <w:r>
        <w:rPr>
          <w:rFonts w:ascii="Garamond" w:eastAsia="Times New Roman" w:hAnsi="Garamond" w:cs="Times New Roman"/>
          <w:color w:val="000000"/>
          <w:sz w:val="30"/>
          <w:szCs w:val="30"/>
          <w:lang w:eastAsia="it-IT"/>
        </w:rPr>
        <w:t xml:space="preserve">comma 1 d. </w:t>
      </w:r>
      <w:proofErr w:type="spellStart"/>
      <w:r>
        <w:rPr>
          <w:rFonts w:ascii="Garamond" w:eastAsia="Times New Roman" w:hAnsi="Garamond" w:cs="Times New Roman"/>
          <w:color w:val="000000"/>
          <w:sz w:val="30"/>
          <w:szCs w:val="30"/>
          <w:lang w:eastAsia="it-IT"/>
        </w:rPr>
        <w:t>lgs</w:t>
      </w:r>
      <w:proofErr w:type="spellEnd"/>
      <w:r>
        <w:rPr>
          <w:rFonts w:ascii="Garamond" w:eastAsia="Times New Roman" w:hAnsi="Garamond" w:cs="Times New Roman"/>
          <w:color w:val="000000"/>
          <w:sz w:val="30"/>
          <w:szCs w:val="30"/>
          <w:lang w:eastAsia="it-IT"/>
        </w:rPr>
        <w:t>. n. 50 del 2016); a</w:t>
      </w:r>
      <w:r w:rsidRPr="005A2202">
        <w:rPr>
          <w:rFonts w:ascii="Garamond" w:eastAsia="Times New Roman" w:hAnsi="Garamond" w:cs="Times New Roman"/>
          <w:color w:val="000000"/>
          <w:sz w:val="30"/>
          <w:szCs w:val="30"/>
          <w:lang w:eastAsia="it-IT"/>
        </w:rPr>
        <w:t xml:space="preserve"> tal fine esso deve essere in possesso dei requisiti necessari per presentare l’offerta e ottenerne l’aggiudicazione: ordinariamente pertanto si verifica un’identità soggettiva fra l’impresa concorrente, titolare dei requisiti di partecipazione alla gara, e l’esecutrice dei lavori (che deve continuare, senza soluzione di continuità, ad essere titolare dei requisiti di partecipazione alla gara)</w:t>
      </w:r>
      <w:r>
        <w:rPr>
          <w:rFonts w:ascii="Garamond" w:eastAsia="Times New Roman" w:hAnsi="Garamond" w:cs="Times New Roman"/>
          <w:color w:val="000000"/>
          <w:sz w:val="30"/>
          <w:szCs w:val="30"/>
          <w:lang w:eastAsia="it-IT"/>
        </w:rPr>
        <w:t>:</w:t>
      </w:r>
      <w:r w:rsidRPr="005A2202">
        <w:rPr>
          <w:rFonts w:ascii="Garamond" w:eastAsia="Times New Roman" w:hAnsi="Garamond" w:cs="Times New Roman"/>
          <w:color w:val="000000"/>
          <w:sz w:val="30"/>
          <w:szCs w:val="30"/>
          <w:lang w:eastAsia="it-IT"/>
        </w:rPr>
        <w:t xml:space="preserve"> la gara serve proprio a verificare che chi si offre di eseguire i la</w:t>
      </w:r>
      <w:r>
        <w:rPr>
          <w:rFonts w:ascii="Garamond" w:eastAsia="Times New Roman" w:hAnsi="Garamond" w:cs="Times New Roman"/>
          <w:color w:val="000000"/>
          <w:sz w:val="30"/>
          <w:szCs w:val="30"/>
          <w:lang w:eastAsia="it-IT"/>
        </w:rPr>
        <w:t>vori sia adeguatamente titolato;</w:t>
      </w:r>
    </w:p>
    <w:p w14:paraId="6BC9B9EA"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 </w:t>
      </w:r>
      <w:r w:rsidRPr="005A2202">
        <w:rPr>
          <w:rFonts w:ascii="Garamond" w:eastAsia="Times New Roman" w:hAnsi="Garamond" w:cs="Times New Roman"/>
          <w:color w:val="000000"/>
          <w:sz w:val="30"/>
          <w:szCs w:val="30"/>
          <w:lang w:eastAsia="it-IT"/>
        </w:rPr>
        <w:t xml:space="preserve">i requisiti di partecipazione, fra i quali quelli di cui all’art. 83 del d. </w:t>
      </w:r>
      <w:proofErr w:type="spellStart"/>
      <w:r w:rsidRPr="005A2202">
        <w:rPr>
          <w:rFonts w:ascii="Garamond" w:eastAsia="Times New Roman" w:hAnsi="Garamond" w:cs="Times New Roman"/>
          <w:color w:val="000000"/>
          <w:sz w:val="30"/>
          <w:szCs w:val="30"/>
          <w:lang w:eastAsia="it-IT"/>
        </w:rPr>
        <w:t>lgs</w:t>
      </w:r>
      <w:proofErr w:type="spellEnd"/>
      <w:r w:rsidRPr="005A2202">
        <w:rPr>
          <w:rFonts w:ascii="Garamond" w:eastAsia="Times New Roman" w:hAnsi="Garamond" w:cs="Times New Roman"/>
          <w:color w:val="000000"/>
          <w:sz w:val="30"/>
          <w:szCs w:val="30"/>
          <w:lang w:eastAsia="it-IT"/>
        </w:rPr>
        <w:t>. n. 50 del 2016, assolvono pienamente al compito di assicurare la competenza e l’affidabilità del soggetto esecutore dell’appalto, anticipando la valutazione dei relativi presupposti soggettivi alla fase della gara</w:t>
      </w:r>
      <w:r>
        <w:rPr>
          <w:rFonts w:ascii="Garamond" w:eastAsia="Times New Roman" w:hAnsi="Garamond" w:cs="Times New Roman"/>
          <w:color w:val="000000"/>
          <w:sz w:val="30"/>
          <w:szCs w:val="30"/>
          <w:lang w:eastAsia="it-IT"/>
        </w:rPr>
        <w:t>, l</w:t>
      </w:r>
      <w:r w:rsidRPr="005A2202">
        <w:rPr>
          <w:rFonts w:ascii="Garamond" w:eastAsia="Times New Roman" w:hAnsi="Garamond" w:cs="Times New Roman"/>
          <w:color w:val="000000"/>
          <w:sz w:val="30"/>
          <w:szCs w:val="30"/>
          <w:lang w:eastAsia="it-IT"/>
        </w:rPr>
        <w:t xml:space="preserve">’art. 84 comma 1 del d. </w:t>
      </w:r>
      <w:proofErr w:type="spellStart"/>
      <w:r w:rsidRPr="005A2202">
        <w:rPr>
          <w:rFonts w:ascii="Garamond" w:eastAsia="Times New Roman" w:hAnsi="Garamond" w:cs="Times New Roman"/>
          <w:color w:val="000000"/>
          <w:sz w:val="30"/>
          <w:szCs w:val="30"/>
          <w:lang w:eastAsia="it-IT"/>
        </w:rPr>
        <w:t>lgs</w:t>
      </w:r>
      <w:proofErr w:type="spellEnd"/>
      <w:r w:rsidRPr="005A2202">
        <w:rPr>
          <w:rFonts w:ascii="Garamond" w:eastAsia="Times New Roman" w:hAnsi="Garamond" w:cs="Times New Roman"/>
          <w:color w:val="000000"/>
          <w:sz w:val="30"/>
          <w:szCs w:val="30"/>
          <w:lang w:eastAsia="it-IT"/>
        </w:rPr>
        <w:t>. n. 50 del 2016 richiede infatti che siano i soggetti “</w:t>
      </w:r>
      <w:r w:rsidRPr="005A2202">
        <w:rPr>
          <w:rFonts w:ascii="Garamond" w:eastAsia="Times New Roman" w:hAnsi="Garamond" w:cs="Times New Roman"/>
          <w:i/>
          <w:iCs/>
          <w:color w:val="000000"/>
          <w:sz w:val="30"/>
          <w:szCs w:val="30"/>
          <w:lang w:eastAsia="it-IT"/>
        </w:rPr>
        <w:t>esecutori</w:t>
      </w:r>
      <w:r w:rsidRPr="005A2202">
        <w:rPr>
          <w:rFonts w:ascii="Garamond" w:eastAsia="Times New Roman" w:hAnsi="Garamond" w:cs="Times New Roman"/>
          <w:color w:val="000000"/>
          <w:sz w:val="30"/>
          <w:szCs w:val="30"/>
          <w:lang w:eastAsia="it-IT"/>
        </w:rPr>
        <w:t xml:space="preserve">” a comprovare il possesso </w:t>
      </w:r>
      <w:r>
        <w:rPr>
          <w:rFonts w:ascii="Garamond" w:eastAsia="Times New Roman" w:hAnsi="Garamond" w:cs="Times New Roman"/>
          <w:color w:val="000000"/>
          <w:sz w:val="30"/>
          <w:szCs w:val="30"/>
          <w:lang w:eastAsia="it-IT"/>
        </w:rPr>
        <w:t>dei requisiti di qualificazione;</w:t>
      </w:r>
    </w:p>
    <w:p w14:paraId="34EE4709"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c</w:t>
      </w:r>
      <w:r w:rsidRPr="005A2202">
        <w:rPr>
          <w:rFonts w:ascii="Garamond" w:eastAsia="Times New Roman" w:hAnsi="Garamond" w:cs="Times New Roman"/>
          <w:color w:val="000000"/>
          <w:sz w:val="30"/>
          <w:szCs w:val="30"/>
          <w:lang w:eastAsia="it-IT"/>
        </w:rPr>
        <w:t>iò appare in linea con il consolidato orientamento della giurisprudenza in base al quale “</w:t>
      </w:r>
      <w:r w:rsidRPr="005A2202">
        <w:rPr>
          <w:rFonts w:ascii="Garamond" w:eastAsia="Times New Roman" w:hAnsi="Garamond" w:cs="Times New Roman"/>
          <w:i/>
          <w:iCs/>
          <w:color w:val="000000"/>
          <w:sz w:val="30"/>
          <w:szCs w:val="30"/>
          <w:lang w:eastAsia="it-IT"/>
        </w:rPr>
        <w:t xml:space="preserve">i requisiti generali e speciali devono essere posseduti dai candidati non solo alla data di scadenza del termine per la presentazione della richiesta di partecipazione alla procedura di </w:t>
      </w:r>
      <w:r w:rsidRPr="005A2202">
        <w:rPr>
          <w:rFonts w:ascii="Garamond" w:eastAsia="Times New Roman" w:hAnsi="Garamond" w:cs="Times New Roman"/>
          <w:i/>
          <w:iCs/>
          <w:color w:val="000000"/>
          <w:sz w:val="30"/>
          <w:szCs w:val="30"/>
          <w:lang w:eastAsia="it-IT"/>
        </w:rPr>
        <w:lastRenderedPageBreak/>
        <w:t>affidamento, ma anche per tutta la durata della procedura stessa fino all’aggiudicazione definitiva ed alla stipula del contratto, nonché per tutto il periodo dell’esecuzione dello stesso, senza soluzione di continuità”</w:t>
      </w:r>
      <w:r w:rsidRPr="005A2202">
        <w:rPr>
          <w:rFonts w:ascii="Garamond" w:eastAsia="Times New Roman" w:hAnsi="Garamond" w:cs="Times New Roman"/>
          <w:color w:val="000000"/>
          <w:sz w:val="30"/>
          <w:szCs w:val="30"/>
          <w:lang w:eastAsia="it-IT"/>
        </w:rPr>
        <w:t xml:space="preserve"> (Ad. </w:t>
      </w:r>
      <w:proofErr w:type="spellStart"/>
      <w:r w:rsidRPr="005A2202">
        <w:rPr>
          <w:rFonts w:ascii="Garamond" w:eastAsia="Times New Roman" w:hAnsi="Garamond" w:cs="Times New Roman"/>
          <w:color w:val="000000"/>
          <w:sz w:val="30"/>
          <w:szCs w:val="30"/>
          <w:lang w:eastAsia="it-IT"/>
        </w:rPr>
        <w:t>plen</w:t>
      </w:r>
      <w:proofErr w:type="spellEnd"/>
      <w:r w:rsidRPr="005A2202">
        <w:rPr>
          <w:rFonts w:ascii="Garamond" w:eastAsia="Times New Roman" w:hAnsi="Garamond" w:cs="Times New Roman"/>
          <w:color w:val="000000"/>
          <w:sz w:val="30"/>
          <w:szCs w:val="30"/>
          <w:lang w:eastAsia="it-IT"/>
        </w:rPr>
        <w:t>., 20 luglio 2015 n. 8)</w:t>
      </w:r>
      <w:r>
        <w:rPr>
          <w:rFonts w:ascii="Garamond" w:eastAsia="Times New Roman" w:hAnsi="Garamond" w:cs="Times New Roman"/>
          <w:color w:val="000000"/>
          <w:sz w:val="30"/>
          <w:szCs w:val="30"/>
          <w:lang w:eastAsia="it-IT"/>
        </w:rPr>
        <w:t xml:space="preserve"> ed è conforme </w:t>
      </w:r>
      <w:r w:rsidRPr="005A2202">
        <w:rPr>
          <w:rFonts w:ascii="Garamond" w:eastAsia="Times New Roman" w:hAnsi="Garamond" w:cs="Times New Roman"/>
          <w:color w:val="000000"/>
          <w:sz w:val="30"/>
          <w:szCs w:val="30"/>
          <w:lang w:eastAsia="it-IT"/>
        </w:rPr>
        <w:t xml:space="preserve">alla disciplina </w:t>
      </w:r>
      <w:proofErr w:type="spellStart"/>
      <w:r w:rsidRPr="005A2202">
        <w:rPr>
          <w:rFonts w:ascii="Garamond" w:eastAsia="Times New Roman" w:hAnsi="Garamond" w:cs="Times New Roman"/>
          <w:color w:val="000000"/>
          <w:sz w:val="30"/>
          <w:szCs w:val="30"/>
          <w:lang w:eastAsia="it-IT"/>
        </w:rPr>
        <w:t>eurounitaria</w:t>
      </w:r>
      <w:proofErr w:type="spellEnd"/>
      <w:r w:rsidRPr="005A2202">
        <w:rPr>
          <w:rFonts w:ascii="Garamond" w:eastAsia="Times New Roman" w:hAnsi="Garamond" w:cs="Times New Roman"/>
          <w:color w:val="000000"/>
          <w:sz w:val="30"/>
          <w:szCs w:val="30"/>
          <w:lang w:eastAsia="it-IT"/>
        </w:rPr>
        <w:t>, in forza della quale il DGUE attesta congiuntamente i criteri di selezione fra i quali sono ricompresi i requisiti di abilitazione all’esercizio dell’attività professionale (art. 58 dir. 2014/24/UE)</w:t>
      </w:r>
      <w:r>
        <w:rPr>
          <w:rFonts w:ascii="Garamond" w:eastAsia="Times New Roman" w:hAnsi="Garamond" w:cs="Times New Roman"/>
          <w:color w:val="000000"/>
          <w:sz w:val="30"/>
          <w:szCs w:val="30"/>
          <w:lang w:eastAsia="it-IT"/>
        </w:rPr>
        <w:t>;</w:t>
      </w:r>
    </w:p>
    <w:p w14:paraId="3427F604"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r</w:t>
      </w:r>
      <w:r w:rsidRPr="005A2202">
        <w:rPr>
          <w:rFonts w:ascii="Garamond" w:eastAsia="Times New Roman" w:hAnsi="Garamond" w:cs="Times New Roman"/>
          <w:color w:val="000000"/>
          <w:sz w:val="30"/>
          <w:szCs w:val="30"/>
          <w:lang w:eastAsia="it-IT"/>
        </w:rPr>
        <w:t xml:space="preserve">ispetto allo schema ordinario sotteso alla gara (identità fra l’impresa concorrente, titolare dei requisiti di partecipazione alla gara, e l’esecutrice dei lavori) sono stati apportati dei correttivi volti ad ampliare, in funzione </w:t>
      </w:r>
      <w:proofErr w:type="spellStart"/>
      <w:r w:rsidRPr="005A2202">
        <w:rPr>
          <w:rFonts w:ascii="Garamond" w:eastAsia="Times New Roman" w:hAnsi="Garamond" w:cs="Times New Roman"/>
          <w:color w:val="000000"/>
          <w:sz w:val="30"/>
          <w:szCs w:val="30"/>
          <w:lang w:eastAsia="it-IT"/>
        </w:rPr>
        <w:t>proconcorrenziale</w:t>
      </w:r>
      <w:proofErr w:type="spellEnd"/>
      <w:r w:rsidRPr="005A2202">
        <w:rPr>
          <w:rFonts w:ascii="Garamond" w:eastAsia="Times New Roman" w:hAnsi="Garamond" w:cs="Times New Roman"/>
          <w:color w:val="000000"/>
          <w:sz w:val="30"/>
          <w:szCs w:val="30"/>
          <w:lang w:eastAsia="it-IT"/>
        </w:rPr>
        <w:t>, la platea dei soggetti in condizioni di partecipare alla gara e di eseguire i lavori</w:t>
      </w:r>
      <w:r>
        <w:rPr>
          <w:rFonts w:ascii="Garamond" w:eastAsia="Times New Roman" w:hAnsi="Garamond" w:cs="Times New Roman"/>
          <w:color w:val="000000"/>
          <w:sz w:val="30"/>
          <w:szCs w:val="30"/>
          <w:lang w:eastAsia="it-IT"/>
        </w:rPr>
        <w:t xml:space="preserve"> (avvalimento, subappalto)</w:t>
      </w:r>
      <w:r w:rsidRPr="005A2202">
        <w:rPr>
          <w:rFonts w:ascii="Garamond" w:eastAsia="Times New Roman" w:hAnsi="Garamond" w:cs="Times New Roman"/>
          <w:color w:val="000000"/>
          <w:sz w:val="30"/>
          <w:szCs w:val="30"/>
          <w:lang w:eastAsia="it-IT"/>
        </w:rPr>
        <w:t>, peraltro comunque tesi ad assicurare il rispetto del principio per cui l’esecutore del servizio deve essere a tal fine titolato</w:t>
      </w:r>
      <w:r>
        <w:rPr>
          <w:rFonts w:ascii="Garamond" w:eastAsia="Times New Roman" w:hAnsi="Garamond" w:cs="Times New Roman"/>
          <w:color w:val="000000"/>
          <w:sz w:val="30"/>
          <w:szCs w:val="30"/>
          <w:lang w:eastAsia="it-IT"/>
        </w:rPr>
        <w:t>;</w:t>
      </w:r>
    </w:p>
    <w:p w14:paraId="7C15D7CF"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 anche in tali casi è assicurato, in termini generali, </w:t>
      </w:r>
      <w:r w:rsidRPr="005A2202">
        <w:rPr>
          <w:rFonts w:ascii="Garamond" w:eastAsia="Times New Roman" w:hAnsi="Garamond" w:cs="Times New Roman"/>
          <w:color w:val="000000"/>
          <w:sz w:val="30"/>
          <w:szCs w:val="30"/>
          <w:lang w:eastAsia="it-IT"/>
        </w:rPr>
        <w:t xml:space="preserve">il principio per cui l’esecutore del contratto da affidare </w:t>
      </w:r>
      <w:r>
        <w:rPr>
          <w:rFonts w:ascii="Garamond" w:eastAsia="Times New Roman" w:hAnsi="Garamond" w:cs="Times New Roman"/>
          <w:color w:val="000000"/>
          <w:sz w:val="30"/>
          <w:szCs w:val="30"/>
          <w:lang w:eastAsia="it-IT"/>
        </w:rPr>
        <w:t>deve essere</w:t>
      </w:r>
      <w:r w:rsidRPr="005A2202">
        <w:rPr>
          <w:rFonts w:ascii="Garamond" w:eastAsia="Times New Roman" w:hAnsi="Garamond" w:cs="Times New Roman"/>
          <w:color w:val="000000"/>
          <w:sz w:val="30"/>
          <w:szCs w:val="30"/>
          <w:lang w:eastAsia="it-IT"/>
        </w:rPr>
        <w:t xml:space="preserve"> titolare dei requisiti necessari a garantire l’affidabilità e la perizia nell’esecuzione dell’appalto</w:t>
      </w:r>
      <w:r>
        <w:rPr>
          <w:rFonts w:ascii="Garamond" w:eastAsia="Times New Roman" w:hAnsi="Garamond" w:cs="Times New Roman"/>
          <w:color w:val="000000"/>
          <w:sz w:val="30"/>
          <w:szCs w:val="30"/>
          <w:lang w:eastAsia="it-IT"/>
        </w:rPr>
        <w:t>, nondimeno detto principio</w:t>
      </w:r>
      <w:r w:rsidRPr="005A2202">
        <w:rPr>
          <w:rFonts w:ascii="Garamond" w:eastAsia="Times New Roman" w:hAnsi="Garamond" w:cs="Times New Roman"/>
          <w:color w:val="000000"/>
          <w:sz w:val="30"/>
          <w:szCs w:val="30"/>
          <w:lang w:eastAsia="it-IT"/>
        </w:rPr>
        <w:t xml:space="preserve"> è passibile di soffrire un </w:t>
      </w:r>
      <w:r w:rsidRPr="005A2202">
        <w:rPr>
          <w:rFonts w:ascii="Garamond" w:eastAsia="Times New Roman" w:hAnsi="Garamond" w:cs="Times New Roman"/>
          <w:i/>
          <w:iCs/>
          <w:color w:val="000000"/>
          <w:sz w:val="30"/>
          <w:szCs w:val="30"/>
          <w:lang w:eastAsia="it-IT"/>
        </w:rPr>
        <w:t>vulnus</w:t>
      </w:r>
      <w:r w:rsidRPr="005A2202">
        <w:rPr>
          <w:rFonts w:ascii="Garamond" w:eastAsia="Times New Roman" w:hAnsi="Garamond" w:cs="Times New Roman"/>
          <w:color w:val="000000"/>
          <w:sz w:val="30"/>
          <w:szCs w:val="30"/>
          <w:lang w:eastAsia="it-IT"/>
        </w:rPr>
        <w:t xml:space="preserve"> nel caso di avvalimento di requisiti per i quali l’art. 89 comma 1 del d. </w:t>
      </w:r>
      <w:proofErr w:type="spellStart"/>
      <w:r w:rsidRPr="005A2202">
        <w:rPr>
          <w:rFonts w:ascii="Garamond" w:eastAsia="Times New Roman" w:hAnsi="Garamond" w:cs="Times New Roman"/>
          <w:color w:val="000000"/>
          <w:sz w:val="30"/>
          <w:szCs w:val="30"/>
          <w:lang w:eastAsia="it-IT"/>
        </w:rPr>
        <w:t>lgs</w:t>
      </w:r>
      <w:proofErr w:type="spellEnd"/>
      <w:r w:rsidRPr="005A2202">
        <w:rPr>
          <w:rFonts w:ascii="Garamond" w:eastAsia="Times New Roman" w:hAnsi="Garamond" w:cs="Times New Roman"/>
          <w:color w:val="000000"/>
          <w:sz w:val="30"/>
          <w:szCs w:val="30"/>
          <w:lang w:eastAsia="it-IT"/>
        </w:rPr>
        <w:t xml:space="preserve">. n. 50 del 2016 non impone l’esecuzione all’impresa ausiliaria, ma in ogni caso esso non può interessare il requisito di idoneità professionale dell’iscrizione all’ANGA per espressa previsione normativa (art. 89 comma 10 del d. </w:t>
      </w:r>
      <w:proofErr w:type="spellStart"/>
      <w:r w:rsidRPr="005A2202">
        <w:rPr>
          <w:rFonts w:ascii="Garamond" w:eastAsia="Times New Roman" w:hAnsi="Garamond" w:cs="Times New Roman"/>
          <w:color w:val="000000"/>
          <w:sz w:val="30"/>
          <w:szCs w:val="30"/>
          <w:lang w:eastAsia="it-IT"/>
        </w:rPr>
        <w:t>lgs</w:t>
      </w:r>
      <w:proofErr w:type="spellEnd"/>
      <w:r w:rsidRPr="005A2202">
        <w:rPr>
          <w:rFonts w:ascii="Garamond" w:eastAsia="Times New Roman" w:hAnsi="Garamond" w:cs="Times New Roman"/>
          <w:color w:val="000000"/>
          <w:sz w:val="30"/>
          <w:szCs w:val="30"/>
          <w:lang w:eastAsia="it-IT"/>
        </w:rPr>
        <w:t xml:space="preserve">. n. 50 del 2016), né, più in generale, i requisiti di idoneità professionale di cui all’art. 83 comma 1 </w:t>
      </w:r>
      <w:proofErr w:type="spellStart"/>
      <w:r w:rsidRPr="005A2202">
        <w:rPr>
          <w:rFonts w:ascii="Garamond" w:eastAsia="Times New Roman" w:hAnsi="Garamond" w:cs="Times New Roman"/>
          <w:color w:val="000000"/>
          <w:sz w:val="30"/>
          <w:szCs w:val="30"/>
          <w:lang w:eastAsia="it-IT"/>
        </w:rPr>
        <w:t>lett</w:t>
      </w:r>
      <w:proofErr w:type="spellEnd"/>
      <w:r w:rsidRPr="005A2202">
        <w:rPr>
          <w:rFonts w:ascii="Garamond" w:eastAsia="Times New Roman" w:hAnsi="Garamond" w:cs="Times New Roman"/>
          <w:color w:val="000000"/>
          <w:sz w:val="30"/>
          <w:szCs w:val="30"/>
          <w:lang w:eastAsia="it-IT"/>
        </w:rPr>
        <w:t xml:space="preserve">. a) del d. </w:t>
      </w:r>
      <w:proofErr w:type="spellStart"/>
      <w:r w:rsidRPr="005A2202">
        <w:rPr>
          <w:rFonts w:ascii="Garamond" w:eastAsia="Times New Roman" w:hAnsi="Garamond" w:cs="Times New Roman"/>
          <w:color w:val="000000"/>
          <w:sz w:val="30"/>
          <w:szCs w:val="30"/>
          <w:lang w:eastAsia="it-IT"/>
        </w:rPr>
        <w:t>lgs</w:t>
      </w:r>
      <w:proofErr w:type="spellEnd"/>
      <w:r w:rsidRPr="005A2202">
        <w:rPr>
          <w:rFonts w:ascii="Garamond" w:eastAsia="Times New Roman" w:hAnsi="Garamond" w:cs="Times New Roman"/>
          <w:color w:val="000000"/>
          <w:sz w:val="30"/>
          <w:szCs w:val="30"/>
          <w:lang w:eastAsia="it-IT"/>
        </w:rPr>
        <w:t>. n. 50 del 2016 per il richiamato orientamento giurisprudenziale</w:t>
      </w:r>
      <w:r>
        <w:rPr>
          <w:rFonts w:ascii="Garamond" w:eastAsia="Times New Roman" w:hAnsi="Garamond" w:cs="Times New Roman"/>
          <w:color w:val="000000"/>
          <w:sz w:val="30"/>
          <w:szCs w:val="30"/>
          <w:lang w:eastAsia="it-IT"/>
        </w:rPr>
        <w:t>;</w:t>
      </w:r>
    </w:p>
    <w:p w14:paraId="6D0510AA"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 </w:t>
      </w:r>
      <w:r w:rsidRPr="005A2202">
        <w:rPr>
          <w:rFonts w:ascii="Garamond" w:eastAsia="Times New Roman" w:hAnsi="Garamond" w:cs="Times New Roman"/>
          <w:color w:val="000000"/>
          <w:sz w:val="30"/>
          <w:szCs w:val="30"/>
          <w:lang w:eastAsia="it-IT"/>
        </w:rPr>
        <w:t>si aggiungono, sempre al fine di ampliare la platea dei partecipanti alla gara (in una prospettiva di concorrenza per il mercato), ulteriori disposizioni che</w:t>
      </w:r>
      <w:r>
        <w:rPr>
          <w:rFonts w:ascii="Garamond" w:eastAsia="Times New Roman" w:hAnsi="Garamond" w:cs="Times New Roman"/>
          <w:color w:val="000000"/>
          <w:sz w:val="30"/>
          <w:szCs w:val="30"/>
          <w:lang w:eastAsia="it-IT"/>
        </w:rPr>
        <w:t xml:space="preserve"> </w:t>
      </w:r>
      <w:r w:rsidRPr="005A2202">
        <w:rPr>
          <w:rFonts w:ascii="Garamond" w:eastAsia="Times New Roman" w:hAnsi="Garamond" w:cs="Times New Roman"/>
          <w:color w:val="000000"/>
          <w:sz w:val="30"/>
          <w:szCs w:val="30"/>
          <w:lang w:eastAsia="it-IT"/>
        </w:rPr>
        <w:t xml:space="preserve">intervengono in ordine ai soggetti che possono prendervi parte, legittimando alla presentazione delle offerte anche enti non rientranti nelle fattispecie caratterizzate dall’attribuzione della personalità giuridica quale centro di imputazione di interessi e rapporti giuridici: </w:t>
      </w:r>
      <w:r w:rsidRPr="005A2202">
        <w:rPr>
          <w:rFonts w:ascii="Garamond" w:eastAsia="Times New Roman" w:hAnsi="Garamond" w:cs="Times New Roman"/>
          <w:color w:val="000000"/>
          <w:sz w:val="30"/>
          <w:szCs w:val="30"/>
          <w:lang w:eastAsia="it-IT"/>
        </w:rPr>
        <w:lastRenderedPageBreak/>
        <w:t xml:space="preserve">il riferimento è, in primo luogo, al raggruppamento temporaneo d’impresa e ai consorzi ordinari (art. 48 del d. </w:t>
      </w:r>
      <w:proofErr w:type="spellStart"/>
      <w:r w:rsidRPr="005A2202">
        <w:rPr>
          <w:rFonts w:ascii="Garamond" w:eastAsia="Times New Roman" w:hAnsi="Garamond" w:cs="Times New Roman"/>
          <w:color w:val="000000"/>
          <w:sz w:val="30"/>
          <w:szCs w:val="30"/>
          <w:lang w:eastAsia="it-IT"/>
        </w:rPr>
        <w:t>lgs</w:t>
      </w:r>
      <w:proofErr w:type="spellEnd"/>
      <w:r w:rsidRPr="005A2202">
        <w:rPr>
          <w:rFonts w:ascii="Garamond" w:eastAsia="Times New Roman" w:hAnsi="Garamond" w:cs="Times New Roman"/>
          <w:color w:val="000000"/>
          <w:sz w:val="30"/>
          <w:szCs w:val="30"/>
          <w:lang w:eastAsia="it-IT"/>
        </w:rPr>
        <w:t>. n. 50 del 2016)</w:t>
      </w:r>
      <w:r>
        <w:rPr>
          <w:rFonts w:ascii="Garamond" w:eastAsia="Times New Roman" w:hAnsi="Garamond" w:cs="Times New Roman"/>
          <w:color w:val="000000"/>
          <w:sz w:val="30"/>
          <w:szCs w:val="30"/>
          <w:lang w:eastAsia="it-IT"/>
        </w:rPr>
        <w:t>;</w:t>
      </w:r>
    </w:p>
    <w:p w14:paraId="765D3C52"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entrambi detti ultimi istituti</w:t>
      </w:r>
      <w:r w:rsidRPr="005A2202">
        <w:rPr>
          <w:rFonts w:ascii="Garamond" w:eastAsia="Times New Roman" w:hAnsi="Garamond" w:cs="Times New Roman"/>
          <w:color w:val="000000"/>
          <w:sz w:val="30"/>
          <w:szCs w:val="30"/>
          <w:lang w:eastAsia="it-IT"/>
        </w:rPr>
        <w:t xml:space="preserve"> assicurano il rispetto del principio per cui la gara è volta a verificare che l’esecutore della prestazione contrattuale sia adeguatamente titolato, sicché, in caso di lavori, i partecipanti devono essere in possesso dei requisiti di qualificazione (art. 48 del d. </w:t>
      </w:r>
      <w:proofErr w:type="spellStart"/>
      <w:r w:rsidRPr="005A2202">
        <w:rPr>
          <w:rFonts w:ascii="Garamond" w:eastAsia="Times New Roman" w:hAnsi="Garamond" w:cs="Times New Roman"/>
          <w:color w:val="000000"/>
          <w:sz w:val="30"/>
          <w:szCs w:val="30"/>
          <w:lang w:eastAsia="it-IT"/>
        </w:rPr>
        <w:t>lgs</w:t>
      </w:r>
      <w:proofErr w:type="spellEnd"/>
      <w:r w:rsidRPr="005A2202">
        <w:rPr>
          <w:rFonts w:ascii="Garamond" w:eastAsia="Times New Roman" w:hAnsi="Garamond" w:cs="Times New Roman"/>
          <w:color w:val="000000"/>
          <w:sz w:val="30"/>
          <w:szCs w:val="30"/>
          <w:lang w:eastAsia="it-IT"/>
        </w:rPr>
        <w:t>. n. 50 del 2016)</w:t>
      </w:r>
      <w:r>
        <w:rPr>
          <w:rFonts w:ascii="Garamond" w:eastAsia="Times New Roman" w:hAnsi="Garamond" w:cs="Times New Roman"/>
          <w:color w:val="000000"/>
          <w:sz w:val="30"/>
          <w:szCs w:val="30"/>
          <w:lang w:eastAsia="it-IT"/>
        </w:rPr>
        <w:t>;</w:t>
      </w:r>
    </w:p>
    <w:p w14:paraId="71E00BA6"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n</w:t>
      </w:r>
      <w:r w:rsidRPr="005A2202">
        <w:rPr>
          <w:rFonts w:ascii="Garamond" w:eastAsia="Times New Roman" w:hAnsi="Garamond" w:cs="Times New Roman"/>
          <w:color w:val="000000"/>
          <w:sz w:val="30"/>
          <w:szCs w:val="30"/>
          <w:lang w:eastAsia="it-IT"/>
        </w:rPr>
        <w:t>é si dubita che gli esecutori dei lavori, in base alla ripartizione esposta in sede di offerta, siano tenuti altresì ad avere il possesso dei requisiti di idoneità professionale (“</w:t>
      </w:r>
      <w:r w:rsidRPr="005A2202">
        <w:rPr>
          <w:rFonts w:ascii="Garamond" w:eastAsia="Times New Roman" w:hAnsi="Garamond" w:cs="Times New Roman"/>
          <w:i/>
          <w:iCs/>
          <w:color w:val="000000"/>
          <w:sz w:val="30"/>
          <w:szCs w:val="30"/>
          <w:lang w:eastAsia="it-IT"/>
        </w:rPr>
        <w:t>essendo nel caso di specie tutte le imprese facenti parte del raggruppamento tenute ad eseguire pro quota le prestazioni oggetto dell’appalto – le stesse dovevano conseguentemente essere in possesso dei requisiti soggettivi di idoneità professionale richiesti e necessari a tal fine</w:t>
      </w:r>
      <w:r w:rsidRPr="005A2202">
        <w:rPr>
          <w:rFonts w:ascii="Garamond" w:eastAsia="Times New Roman" w:hAnsi="Garamond" w:cs="Times New Roman"/>
          <w:color w:val="000000"/>
          <w:sz w:val="30"/>
          <w:szCs w:val="30"/>
          <w:lang w:eastAsia="it-IT"/>
        </w:rPr>
        <w:t xml:space="preserve">”, </w:t>
      </w:r>
      <w:proofErr w:type="spellStart"/>
      <w:r w:rsidRPr="005A2202">
        <w:rPr>
          <w:rFonts w:ascii="Garamond" w:eastAsia="Times New Roman" w:hAnsi="Garamond" w:cs="Times New Roman"/>
          <w:color w:val="000000"/>
          <w:sz w:val="30"/>
          <w:szCs w:val="30"/>
          <w:lang w:eastAsia="it-IT"/>
        </w:rPr>
        <w:t>Cons</w:t>
      </w:r>
      <w:proofErr w:type="spellEnd"/>
      <w:r w:rsidRPr="005A2202">
        <w:rPr>
          <w:rFonts w:ascii="Garamond" w:eastAsia="Times New Roman" w:hAnsi="Garamond" w:cs="Times New Roman"/>
          <w:color w:val="000000"/>
          <w:sz w:val="30"/>
          <w:szCs w:val="30"/>
          <w:lang w:eastAsia="it-IT"/>
        </w:rPr>
        <w:t>. St., s</w:t>
      </w:r>
      <w:r>
        <w:rPr>
          <w:rFonts w:ascii="Garamond" w:eastAsia="Times New Roman" w:hAnsi="Garamond" w:cs="Times New Roman"/>
          <w:color w:val="000000"/>
          <w:sz w:val="30"/>
          <w:szCs w:val="30"/>
          <w:lang w:eastAsia="it-IT"/>
        </w:rPr>
        <w:t>ez. V, 7 dicembre 2017 n. 5772);</w:t>
      </w:r>
    </w:p>
    <w:p w14:paraId="3B2BD4DE"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i</w:t>
      </w:r>
      <w:r w:rsidRPr="005A2202">
        <w:rPr>
          <w:rFonts w:ascii="Garamond" w:eastAsia="Times New Roman" w:hAnsi="Garamond" w:cs="Times New Roman"/>
          <w:color w:val="000000"/>
          <w:sz w:val="30"/>
          <w:szCs w:val="30"/>
          <w:lang w:eastAsia="it-IT"/>
        </w:rPr>
        <w:t>n tale contesto si inquadra l’istituto del consorzio stabile</w:t>
      </w:r>
      <w:r>
        <w:rPr>
          <w:rFonts w:ascii="Garamond" w:eastAsia="Times New Roman" w:hAnsi="Garamond" w:cs="Times New Roman"/>
          <w:color w:val="000000"/>
          <w:sz w:val="30"/>
          <w:szCs w:val="30"/>
          <w:lang w:eastAsia="it-IT"/>
        </w:rPr>
        <w:t>;</w:t>
      </w:r>
    </w:p>
    <w:p w14:paraId="1B922257"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 </w:t>
      </w:r>
      <w:r w:rsidRPr="005A2202">
        <w:rPr>
          <w:rFonts w:ascii="Garamond" w:eastAsia="Times New Roman" w:hAnsi="Garamond" w:cs="Times New Roman"/>
          <w:color w:val="000000"/>
          <w:sz w:val="30"/>
          <w:szCs w:val="30"/>
          <w:lang w:eastAsia="it-IT"/>
        </w:rPr>
        <w:t>l’istituto presenta una connotazione cangiante a seconda che l’astratta idoneità del consorzio ad operare con un’autonoma struttura d’impresa si concretizzi nell’impegno del consorzio a eseguire in proprio le prestazioni, oppure che il consorzio, potenzialmente dotato di una struttura di impresa, manifesti sin dalla partecipazione alla gara l’intenzione di non eseguire l’appalto, demandando il compito ad una consorziata</w:t>
      </w:r>
      <w:r>
        <w:rPr>
          <w:rFonts w:ascii="Garamond" w:eastAsia="Times New Roman" w:hAnsi="Garamond" w:cs="Times New Roman"/>
          <w:color w:val="000000"/>
          <w:sz w:val="30"/>
          <w:szCs w:val="30"/>
          <w:lang w:eastAsia="it-IT"/>
        </w:rPr>
        <w:t>;</w:t>
      </w:r>
    </w:p>
    <w:p w14:paraId="503C2757"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a</w:t>
      </w:r>
      <w:r w:rsidRPr="005A2202">
        <w:rPr>
          <w:rFonts w:ascii="Garamond" w:eastAsia="Times New Roman" w:hAnsi="Garamond" w:cs="Times New Roman"/>
          <w:color w:val="000000"/>
          <w:sz w:val="30"/>
          <w:szCs w:val="30"/>
          <w:lang w:eastAsia="it-IT"/>
        </w:rPr>
        <w:t>llorquando il consorzio stabile si impegna ad adempiere in proprio le prestazioni la </w:t>
      </w:r>
      <w:r w:rsidRPr="005A2202">
        <w:rPr>
          <w:rFonts w:ascii="Garamond" w:eastAsia="Times New Roman" w:hAnsi="Garamond" w:cs="Times New Roman"/>
          <w:i/>
          <w:iCs/>
          <w:color w:val="000000"/>
          <w:sz w:val="30"/>
          <w:szCs w:val="30"/>
          <w:lang w:eastAsia="it-IT"/>
        </w:rPr>
        <w:t>ratio</w:t>
      </w:r>
      <w:r w:rsidRPr="005A2202">
        <w:rPr>
          <w:rFonts w:ascii="Garamond" w:eastAsia="Times New Roman" w:hAnsi="Garamond" w:cs="Times New Roman"/>
          <w:color w:val="000000"/>
          <w:sz w:val="30"/>
          <w:szCs w:val="30"/>
          <w:lang w:eastAsia="it-IT"/>
        </w:rPr>
        <w:t> dell’istituto si rinviene nella possibilità di far partecipare lo stesso consorzio alla gara ed eventualmente di consentire a quest’ultimo di avvalersi (appunto tramite il vincolo consortile) dei requisiti di partecipazione di cui sono titolari le società consorziate</w:t>
      </w:r>
      <w:r>
        <w:rPr>
          <w:rFonts w:ascii="Garamond" w:eastAsia="Times New Roman" w:hAnsi="Garamond" w:cs="Times New Roman"/>
          <w:color w:val="000000"/>
          <w:sz w:val="30"/>
          <w:szCs w:val="30"/>
          <w:lang w:eastAsia="it-IT"/>
        </w:rPr>
        <w:t>;</w:t>
      </w:r>
    </w:p>
    <w:p w14:paraId="2EBE163D"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c</w:t>
      </w:r>
      <w:r w:rsidRPr="005A2202">
        <w:rPr>
          <w:rFonts w:ascii="Garamond" w:eastAsia="Times New Roman" w:hAnsi="Garamond" w:cs="Times New Roman"/>
          <w:color w:val="000000"/>
          <w:sz w:val="30"/>
          <w:szCs w:val="30"/>
          <w:lang w:eastAsia="it-IT"/>
        </w:rPr>
        <w:t>on finalità diverse opera il vincolo consortile allorquando</w:t>
      </w:r>
      <w:r>
        <w:rPr>
          <w:rFonts w:ascii="Garamond" w:eastAsia="Times New Roman" w:hAnsi="Garamond" w:cs="Times New Roman"/>
          <w:color w:val="000000"/>
          <w:sz w:val="30"/>
          <w:szCs w:val="30"/>
          <w:lang w:eastAsia="it-IT"/>
        </w:rPr>
        <w:t>, come nel caso di specie,</w:t>
      </w:r>
      <w:r w:rsidRPr="005A2202">
        <w:rPr>
          <w:rFonts w:ascii="Garamond" w:eastAsia="Times New Roman" w:hAnsi="Garamond" w:cs="Times New Roman"/>
          <w:color w:val="000000"/>
          <w:sz w:val="30"/>
          <w:szCs w:val="30"/>
          <w:lang w:eastAsia="it-IT"/>
        </w:rPr>
        <w:t xml:space="preserve"> la partecipazione alla gara del consorzio stabile veicola l’impegno esecutivo della consorziata: chi ha partecipato al procedimento (il consorzio stabile) non è il portatore dell’interesse sostanziale all’esecuzione dell’appalto (intestato invece alla consorziata esecutrice</w:t>
      </w:r>
      <w:r>
        <w:rPr>
          <w:rFonts w:ascii="Garamond" w:eastAsia="Times New Roman" w:hAnsi="Garamond" w:cs="Times New Roman"/>
          <w:color w:val="000000"/>
          <w:sz w:val="30"/>
          <w:szCs w:val="30"/>
          <w:lang w:eastAsia="it-IT"/>
        </w:rPr>
        <w:t>;</w:t>
      </w:r>
    </w:p>
    <w:p w14:paraId="4D67EFA3" w14:textId="77777777" w:rsidR="00DB40BA" w:rsidRPr="005A2202"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a</w:t>
      </w:r>
      <w:r w:rsidR="00DB40BA" w:rsidRPr="005A2202">
        <w:rPr>
          <w:rFonts w:ascii="Garamond" w:eastAsia="Times New Roman" w:hAnsi="Garamond" w:cs="Times New Roman"/>
          <w:color w:val="000000"/>
          <w:sz w:val="30"/>
          <w:szCs w:val="30"/>
          <w:lang w:eastAsia="it-IT"/>
        </w:rPr>
        <w:t xml:space="preserve">i sensi dell’art. 47 comma 1 del d. </w:t>
      </w:r>
      <w:proofErr w:type="spellStart"/>
      <w:r w:rsidR="00DB40BA" w:rsidRPr="005A2202">
        <w:rPr>
          <w:rFonts w:ascii="Garamond" w:eastAsia="Times New Roman" w:hAnsi="Garamond" w:cs="Times New Roman"/>
          <w:color w:val="000000"/>
          <w:sz w:val="30"/>
          <w:szCs w:val="30"/>
          <w:lang w:eastAsia="it-IT"/>
        </w:rPr>
        <w:t>lgs</w:t>
      </w:r>
      <w:proofErr w:type="spellEnd"/>
      <w:r w:rsidR="00DB40BA" w:rsidRPr="005A2202">
        <w:rPr>
          <w:rFonts w:ascii="Garamond" w:eastAsia="Times New Roman" w:hAnsi="Garamond" w:cs="Times New Roman"/>
          <w:color w:val="000000"/>
          <w:sz w:val="30"/>
          <w:szCs w:val="30"/>
          <w:lang w:eastAsia="it-IT"/>
        </w:rPr>
        <w:t>. n. 50 del 2016 i consorzi stabili devono comprovare i requisiti di idoneità tecnica e finanziaria “</w:t>
      </w:r>
      <w:r w:rsidR="00DB40BA" w:rsidRPr="005A2202">
        <w:rPr>
          <w:rFonts w:ascii="Garamond" w:eastAsia="Times New Roman" w:hAnsi="Garamond" w:cs="Times New Roman"/>
          <w:i/>
          <w:iCs/>
          <w:color w:val="000000"/>
          <w:sz w:val="30"/>
          <w:szCs w:val="30"/>
          <w:lang w:eastAsia="it-IT"/>
        </w:rPr>
        <w:t>con le modalità previste dal presente codice</w:t>
      </w:r>
      <w:r w:rsidR="00DB40BA" w:rsidRPr="005A2202">
        <w:rPr>
          <w:rFonts w:ascii="Garamond" w:eastAsia="Times New Roman" w:hAnsi="Garamond" w:cs="Times New Roman"/>
          <w:color w:val="000000"/>
          <w:sz w:val="30"/>
          <w:szCs w:val="30"/>
          <w:lang w:eastAsia="it-IT"/>
        </w:rPr>
        <w:t xml:space="preserve">”, fatta salva la facoltà di computare cumulativamente in capo al consorzio ancorché posseduti dalle singole imprese consorziate quelli relativi alla disponibilità delle attrezzature e dei mezzi d'opera, </w:t>
      </w:r>
      <w:r>
        <w:rPr>
          <w:rFonts w:ascii="Garamond" w:eastAsia="Times New Roman" w:hAnsi="Garamond" w:cs="Times New Roman"/>
          <w:color w:val="000000"/>
          <w:sz w:val="30"/>
          <w:szCs w:val="30"/>
          <w:lang w:eastAsia="it-IT"/>
        </w:rPr>
        <w:t>nonché all'organico medio annuo: l</w:t>
      </w:r>
      <w:r w:rsidR="00DB40BA" w:rsidRPr="005A2202">
        <w:rPr>
          <w:rFonts w:ascii="Garamond" w:eastAsia="Times New Roman" w:hAnsi="Garamond" w:cs="Times New Roman"/>
          <w:color w:val="000000"/>
          <w:sz w:val="30"/>
          <w:szCs w:val="30"/>
          <w:lang w:eastAsia="it-IT"/>
        </w:rPr>
        <w:t>a disposizione reca una regola generale e una ipotesi derogatoria.</w:t>
      </w:r>
    </w:p>
    <w:p w14:paraId="27611303" w14:textId="77777777" w:rsidR="009B523F"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n</w:t>
      </w:r>
      <w:r w:rsidR="00DB40BA" w:rsidRPr="005A2202">
        <w:rPr>
          <w:rFonts w:ascii="Garamond" w:eastAsia="Times New Roman" w:hAnsi="Garamond" w:cs="Times New Roman"/>
          <w:color w:val="000000"/>
          <w:sz w:val="30"/>
          <w:szCs w:val="30"/>
          <w:lang w:eastAsia="it-IT"/>
        </w:rPr>
        <w:t xml:space="preserve">el caso di specie viene in evidenza la regola generale, che demanda appunto l’attestazione del possesso dei requisiti al regime ordinariamente prescritto dal codice e </w:t>
      </w:r>
      <w:r>
        <w:rPr>
          <w:rFonts w:ascii="Garamond" w:eastAsia="Times New Roman" w:hAnsi="Garamond" w:cs="Times New Roman"/>
          <w:color w:val="000000"/>
          <w:sz w:val="30"/>
          <w:szCs w:val="30"/>
          <w:lang w:eastAsia="it-IT"/>
        </w:rPr>
        <w:t>la cui</w:t>
      </w:r>
      <w:r w:rsidR="00DB40BA" w:rsidRPr="005A2202">
        <w:rPr>
          <w:rFonts w:ascii="Garamond" w:eastAsia="Times New Roman" w:hAnsi="Garamond" w:cs="Times New Roman"/>
          <w:color w:val="000000"/>
          <w:sz w:val="30"/>
          <w:szCs w:val="30"/>
          <w:lang w:eastAsia="it-IT"/>
        </w:rPr>
        <w:t xml:space="preserve"> </w:t>
      </w:r>
      <w:r w:rsidR="00DB40BA" w:rsidRPr="005A2202">
        <w:rPr>
          <w:rFonts w:ascii="Garamond" w:eastAsia="Times New Roman" w:hAnsi="Garamond" w:cs="Times New Roman"/>
          <w:i/>
          <w:color w:val="000000"/>
          <w:sz w:val="30"/>
          <w:szCs w:val="30"/>
          <w:lang w:eastAsia="it-IT"/>
        </w:rPr>
        <w:t>ratio</w:t>
      </w:r>
      <w:r>
        <w:rPr>
          <w:rFonts w:ascii="Garamond" w:eastAsia="Times New Roman" w:hAnsi="Garamond" w:cs="Times New Roman"/>
          <w:color w:val="000000"/>
          <w:sz w:val="30"/>
          <w:szCs w:val="30"/>
          <w:lang w:eastAsia="it-IT"/>
        </w:rPr>
        <w:t xml:space="preserve"> è</w:t>
      </w:r>
      <w:r w:rsidR="00DB40BA" w:rsidRPr="005A2202">
        <w:rPr>
          <w:rFonts w:ascii="Garamond" w:eastAsia="Times New Roman" w:hAnsi="Garamond" w:cs="Times New Roman"/>
          <w:color w:val="000000"/>
          <w:sz w:val="30"/>
          <w:szCs w:val="30"/>
          <w:lang w:eastAsia="it-IT"/>
        </w:rPr>
        <w:t xml:space="preserve"> preordinata ad assicurare che il soggetto che realizzerà i lavori sia munito delle idonee abilitazioni e competenze</w:t>
      </w:r>
      <w:r>
        <w:rPr>
          <w:rFonts w:ascii="Garamond" w:eastAsia="Times New Roman" w:hAnsi="Garamond" w:cs="Times New Roman"/>
          <w:color w:val="000000"/>
          <w:sz w:val="30"/>
          <w:szCs w:val="30"/>
          <w:lang w:eastAsia="it-IT"/>
        </w:rPr>
        <w:t>;</w:t>
      </w:r>
    </w:p>
    <w:p w14:paraId="522328EA" w14:textId="77777777" w:rsidR="00DB40BA" w:rsidRPr="005A2202"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d</w:t>
      </w:r>
      <w:r w:rsidR="00DB40BA" w:rsidRPr="005A2202">
        <w:rPr>
          <w:rFonts w:ascii="Garamond" w:eastAsia="Times New Roman" w:hAnsi="Garamond" w:cs="Times New Roman"/>
          <w:color w:val="000000"/>
          <w:sz w:val="30"/>
          <w:szCs w:val="30"/>
          <w:lang w:eastAsia="it-IT"/>
        </w:rPr>
        <w:t>el resto, nel caso della fattispecie consortile nella quale riveste un ruolo preminente una determinata consorziata, la situazione della consorziata esecutrice presenta profili di analogia con la condizione del mandante in un raggruppamento di tipo verticale, in materia di lavori, laddove</w:t>
      </w:r>
      <w:r>
        <w:rPr>
          <w:rFonts w:ascii="Garamond" w:eastAsia="Times New Roman" w:hAnsi="Garamond" w:cs="Times New Roman"/>
          <w:color w:val="000000"/>
          <w:sz w:val="30"/>
          <w:szCs w:val="30"/>
          <w:lang w:eastAsia="it-IT"/>
        </w:rPr>
        <w:t xml:space="preserve"> </w:t>
      </w:r>
      <w:r w:rsidR="00DB40BA" w:rsidRPr="005A2202">
        <w:rPr>
          <w:rFonts w:ascii="Garamond" w:eastAsia="Times New Roman" w:hAnsi="Garamond" w:cs="Times New Roman"/>
          <w:color w:val="000000"/>
          <w:sz w:val="30"/>
          <w:szCs w:val="30"/>
          <w:lang w:eastAsia="it-IT"/>
        </w:rPr>
        <w:t>esso (e solo esso) è tenuto a possedere i requisiti necessari per svo</w:t>
      </w:r>
      <w:r>
        <w:rPr>
          <w:rFonts w:ascii="Garamond" w:eastAsia="Times New Roman" w:hAnsi="Garamond" w:cs="Times New Roman"/>
          <w:color w:val="000000"/>
          <w:sz w:val="30"/>
          <w:szCs w:val="30"/>
          <w:lang w:eastAsia="it-IT"/>
        </w:rPr>
        <w:t>lgere le prestazioni scorporate;</w:t>
      </w:r>
    </w:p>
    <w:p w14:paraId="29E57625" w14:textId="77777777" w:rsidR="00DB40BA" w:rsidRPr="005A2202"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è</w:t>
      </w:r>
      <w:r w:rsidR="00DB40BA" w:rsidRPr="005A2202">
        <w:rPr>
          <w:rFonts w:ascii="Garamond" w:eastAsia="Times New Roman" w:hAnsi="Garamond" w:cs="Times New Roman"/>
          <w:color w:val="000000"/>
          <w:sz w:val="30"/>
          <w:szCs w:val="30"/>
          <w:lang w:eastAsia="it-IT"/>
        </w:rPr>
        <w:t xml:space="preserve"> peraltro lo stesso legislatore ad intestare la titolarità dei requisiti di partecipazione al soggetto che svolge le prestazioni contrattuali, laddove afferma che “</w:t>
      </w:r>
      <w:r w:rsidR="00DB40BA" w:rsidRPr="005A2202">
        <w:rPr>
          <w:rFonts w:ascii="Garamond" w:eastAsia="Times New Roman" w:hAnsi="Garamond" w:cs="Times New Roman"/>
          <w:i/>
          <w:iCs/>
          <w:color w:val="000000"/>
          <w:sz w:val="30"/>
          <w:szCs w:val="30"/>
          <w:lang w:eastAsia="it-IT"/>
        </w:rPr>
        <w:t>è consentito, per le ragioni indicate ai successivi commi 17, 18 e 19 o per fatti o atti sopravvenuti, ai soggetti di cui all'articolo 45, comma 2, lettere b) e c), designare ai fini dell'esecuzione dei lavori o dei servizi, un'impresa consorziata diversa da quella indicata in sede di gara, a condizione che la modifica soggettiva non sia finalizzata ad eludere in tale sede la mancanza di un requisito di partecipazione in capo all'impresa consorziata</w:t>
      </w:r>
      <w:r w:rsidR="00DB40BA" w:rsidRPr="005A2202">
        <w:rPr>
          <w:rFonts w:ascii="Garamond" w:eastAsia="Times New Roman" w:hAnsi="Garamond" w:cs="Times New Roman"/>
          <w:color w:val="000000"/>
          <w:sz w:val="30"/>
          <w:szCs w:val="30"/>
          <w:lang w:eastAsia="it-IT"/>
        </w:rPr>
        <w:t>” (art. 48 comma 7-</w:t>
      </w:r>
      <w:r w:rsidR="00DB40BA" w:rsidRPr="005A2202">
        <w:rPr>
          <w:rFonts w:ascii="Garamond" w:eastAsia="Times New Roman" w:hAnsi="Garamond" w:cs="Times New Roman"/>
          <w:i/>
          <w:iCs/>
          <w:color w:val="000000"/>
          <w:sz w:val="30"/>
          <w:szCs w:val="30"/>
          <w:lang w:eastAsia="it-IT"/>
        </w:rPr>
        <w:t>bis</w:t>
      </w:r>
      <w:r w:rsidR="00DB40BA" w:rsidRPr="005A2202">
        <w:rPr>
          <w:rFonts w:ascii="Garamond" w:eastAsia="Times New Roman" w:hAnsi="Garamond" w:cs="Times New Roman"/>
          <w:color w:val="000000"/>
          <w:sz w:val="30"/>
          <w:szCs w:val="30"/>
          <w:lang w:eastAsia="it-IT"/>
        </w:rPr>
        <w:t xml:space="preserve"> del d. </w:t>
      </w:r>
      <w:proofErr w:type="spellStart"/>
      <w:r w:rsidR="00DB40BA" w:rsidRPr="005A2202">
        <w:rPr>
          <w:rFonts w:ascii="Garamond" w:eastAsia="Times New Roman" w:hAnsi="Garamond" w:cs="Times New Roman"/>
          <w:color w:val="000000"/>
          <w:sz w:val="30"/>
          <w:szCs w:val="30"/>
          <w:lang w:eastAsia="it-IT"/>
        </w:rPr>
        <w:t>lgs</w:t>
      </w:r>
      <w:proofErr w:type="spellEnd"/>
      <w:r w:rsidR="00DB40BA" w:rsidRPr="005A2202">
        <w:rPr>
          <w:rFonts w:ascii="Garamond" w:eastAsia="Times New Roman" w:hAnsi="Garamond" w:cs="Times New Roman"/>
          <w:color w:val="000000"/>
          <w:sz w:val="30"/>
          <w:szCs w:val="30"/>
          <w:lang w:eastAsia="it-IT"/>
        </w:rPr>
        <w:t>. n. 50 dl 2016): nell’indicare le opzioni di sostituzione dell’impresa consorziata esecutrice è riferito espressamente a quest’ultima il requisito di partecipazione, che è indicato essere “</w:t>
      </w:r>
      <w:r w:rsidR="00DB40BA" w:rsidRPr="005A2202">
        <w:rPr>
          <w:rFonts w:ascii="Garamond" w:eastAsia="Times New Roman" w:hAnsi="Garamond" w:cs="Times New Roman"/>
          <w:i/>
          <w:iCs/>
          <w:color w:val="000000"/>
          <w:sz w:val="30"/>
          <w:szCs w:val="30"/>
          <w:lang w:eastAsia="it-IT"/>
        </w:rPr>
        <w:t>in capo all’impresa consorziata</w:t>
      </w:r>
      <w:r>
        <w:rPr>
          <w:rFonts w:ascii="Garamond" w:eastAsia="Times New Roman" w:hAnsi="Garamond" w:cs="Times New Roman"/>
          <w:color w:val="000000"/>
          <w:sz w:val="30"/>
          <w:szCs w:val="30"/>
          <w:lang w:eastAsia="it-IT"/>
        </w:rPr>
        <w:t>”;</w:t>
      </w:r>
    </w:p>
    <w:p w14:paraId="62F23AD0" w14:textId="77777777" w:rsidR="00DB40BA" w:rsidRPr="005A2202"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l</w:t>
      </w:r>
      <w:r w:rsidR="00DB40BA" w:rsidRPr="005A2202">
        <w:rPr>
          <w:rFonts w:ascii="Garamond" w:eastAsia="Times New Roman" w:hAnsi="Garamond" w:cs="Times New Roman"/>
          <w:color w:val="000000"/>
          <w:sz w:val="30"/>
          <w:szCs w:val="30"/>
          <w:lang w:eastAsia="it-IT"/>
        </w:rPr>
        <w:t xml:space="preserve">a sufficienza dell’intestazione in capo al soggetto esecutore del requisito di partecipazione è infatti sostenibile in particolare se si tratta di requisito di idoneità professionale di cui all’art. 83 comma 1 </w:t>
      </w:r>
      <w:proofErr w:type="spellStart"/>
      <w:r w:rsidR="00DB40BA" w:rsidRPr="005A2202">
        <w:rPr>
          <w:rFonts w:ascii="Garamond" w:eastAsia="Times New Roman" w:hAnsi="Garamond" w:cs="Times New Roman"/>
          <w:color w:val="000000"/>
          <w:sz w:val="30"/>
          <w:szCs w:val="30"/>
          <w:lang w:eastAsia="it-IT"/>
        </w:rPr>
        <w:t>lett</w:t>
      </w:r>
      <w:proofErr w:type="spellEnd"/>
      <w:r w:rsidR="00DB40BA" w:rsidRPr="005A2202">
        <w:rPr>
          <w:rFonts w:ascii="Garamond" w:eastAsia="Times New Roman" w:hAnsi="Garamond" w:cs="Times New Roman"/>
          <w:color w:val="000000"/>
          <w:sz w:val="30"/>
          <w:szCs w:val="30"/>
          <w:lang w:eastAsia="it-IT"/>
        </w:rPr>
        <w:t xml:space="preserve">. a del d. </w:t>
      </w:r>
      <w:proofErr w:type="spellStart"/>
      <w:r w:rsidR="00DB40BA" w:rsidRPr="005A2202">
        <w:rPr>
          <w:rFonts w:ascii="Garamond" w:eastAsia="Times New Roman" w:hAnsi="Garamond" w:cs="Times New Roman"/>
          <w:color w:val="000000"/>
          <w:sz w:val="30"/>
          <w:szCs w:val="30"/>
          <w:lang w:eastAsia="it-IT"/>
        </w:rPr>
        <w:t>lgs</w:t>
      </w:r>
      <w:proofErr w:type="spellEnd"/>
      <w:r w:rsidR="00DB40BA" w:rsidRPr="005A2202">
        <w:rPr>
          <w:rFonts w:ascii="Garamond" w:eastAsia="Times New Roman" w:hAnsi="Garamond" w:cs="Times New Roman"/>
          <w:color w:val="000000"/>
          <w:sz w:val="30"/>
          <w:szCs w:val="30"/>
          <w:lang w:eastAsia="it-IT"/>
        </w:rPr>
        <w:t>. n. 50 del 2016, che</w:t>
      </w:r>
      <w:r>
        <w:rPr>
          <w:rFonts w:ascii="Garamond" w:eastAsia="Times New Roman" w:hAnsi="Garamond" w:cs="Times New Roman"/>
          <w:color w:val="000000"/>
          <w:sz w:val="30"/>
          <w:szCs w:val="30"/>
          <w:lang w:eastAsia="it-IT"/>
        </w:rPr>
        <w:t xml:space="preserve"> </w:t>
      </w:r>
      <w:r w:rsidR="00DB40BA" w:rsidRPr="005A2202">
        <w:rPr>
          <w:rFonts w:ascii="Garamond" w:eastAsia="Times New Roman" w:hAnsi="Garamond" w:cs="Times New Roman"/>
          <w:color w:val="000000"/>
          <w:sz w:val="30"/>
          <w:szCs w:val="30"/>
          <w:lang w:eastAsia="it-IT"/>
        </w:rPr>
        <w:t>non è passibile di avvalimento, e ciò non solo per via dell’orientamento della giurisprudenza sull’avvalimento in generale dei requisiti di idoneità professionale (</w:t>
      </w:r>
      <w:proofErr w:type="spellStart"/>
      <w:r w:rsidR="00DB40BA" w:rsidRPr="005A2202">
        <w:rPr>
          <w:rFonts w:ascii="Garamond" w:eastAsia="Times New Roman" w:hAnsi="Garamond" w:cs="Times New Roman"/>
          <w:color w:val="000000"/>
          <w:sz w:val="30"/>
          <w:szCs w:val="30"/>
          <w:lang w:eastAsia="it-IT"/>
        </w:rPr>
        <w:t>Cons</w:t>
      </w:r>
      <w:proofErr w:type="spellEnd"/>
      <w:r w:rsidR="00DB40BA" w:rsidRPr="005A2202">
        <w:rPr>
          <w:rFonts w:ascii="Garamond" w:eastAsia="Times New Roman" w:hAnsi="Garamond" w:cs="Times New Roman"/>
          <w:color w:val="000000"/>
          <w:sz w:val="30"/>
          <w:szCs w:val="30"/>
          <w:lang w:eastAsia="it-IT"/>
        </w:rPr>
        <w:t>. St., sez. V, 9 marzo 2020 n. 1667) ma anche in ragione della specifica previsione contenuta nel richiamato art. 89 comm</w:t>
      </w:r>
      <w:r>
        <w:rPr>
          <w:rFonts w:ascii="Garamond" w:eastAsia="Times New Roman" w:hAnsi="Garamond" w:cs="Times New Roman"/>
          <w:color w:val="000000"/>
          <w:sz w:val="30"/>
          <w:szCs w:val="30"/>
          <w:lang w:eastAsia="it-IT"/>
        </w:rPr>
        <w:t xml:space="preserve">a 10 del d. </w:t>
      </w:r>
      <w:proofErr w:type="spellStart"/>
      <w:r>
        <w:rPr>
          <w:rFonts w:ascii="Garamond" w:eastAsia="Times New Roman" w:hAnsi="Garamond" w:cs="Times New Roman"/>
          <w:color w:val="000000"/>
          <w:sz w:val="30"/>
          <w:szCs w:val="30"/>
          <w:lang w:eastAsia="it-IT"/>
        </w:rPr>
        <w:t>lgs</w:t>
      </w:r>
      <w:proofErr w:type="spellEnd"/>
      <w:r>
        <w:rPr>
          <w:rFonts w:ascii="Garamond" w:eastAsia="Times New Roman" w:hAnsi="Garamond" w:cs="Times New Roman"/>
          <w:color w:val="000000"/>
          <w:sz w:val="30"/>
          <w:szCs w:val="30"/>
          <w:lang w:eastAsia="it-IT"/>
        </w:rPr>
        <w:t>. n. 50 del 2016;</w:t>
      </w:r>
    </w:p>
    <w:p w14:paraId="01C72172" w14:textId="77777777" w:rsidR="00DB40BA" w:rsidRPr="005A2202"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l</w:t>
      </w:r>
      <w:r w:rsidR="00DB40BA" w:rsidRPr="005A2202">
        <w:rPr>
          <w:rFonts w:ascii="Garamond" w:eastAsia="Times New Roman" w:hAnsi="Garamond" w:cs="Times New Roman"/>
          <w:color w:val="000000"/>
          <w:sz w:val="30"/>
          <w:szCs w:val="30"/>
          <w:lang w:eastAsia="it-IT"/>
        </w:rPr>
        <w:t>a non ambulatorietà del titolo di idoneità professionale (che si desume appu</w:t>
      </w:r>
      <w:r>
        <w:rPr>
          <w:rFonts w:ascii="Garamond" w:eastAsia="Times New Roman" w:hAnsi="Garamond" w:cs="Times New Roman"/>
          <w:color w:val="000000"/>
          <w:sz w:val="30"/>
          <w:szCs w:val="30"/>
          <w:lang w:eastAsia="it-IT"/>
        </w:rPr>
        <w:t>nto dal divieto di avvalimento)</w:t>
      </w:r>
      <w:r w:rsidR="00DB40BA" w:rsidRPr="005A2202">
        <w:rPr>
          <w:rFonts w:ascii="Garamond" w:eastAsia="Times New Roman" w:hAnsi="Garamond" w:cs="Times New Roman"/>
          <w:color w:val="000000"/>
          <w:sz w:val="30"/>
          <w:szCs w:val="30"/>
          <w:lang w:eastAsia="it-IT"/>
        </w:rPr>
        <w:t xml:space="preserve"> consente di non censurare la circostanza che sia la consorziata esecutrice, e non il consorzio stabile, ad essere iscritta all’ANGA</w:t>
      </w:r>
      <w:r>
        <w:rPr>
          <w:rFonts w:ascii="Garamond" w:eastAsia="Times New Roman" w:hAnsi="Garamond" w:cs="Times New Roman"/>
          <w:color w:val="000000"/>
          <w:sz w:val="30"/>
          <w:szCs w:val="30"/>
          <w:lang w:eastAsia="it-IT"/>
        </w:rPr>
        <w:t>;</w:t>
      </w:r>
    </w:p>
    <w:p w14:paraId="4F5ACAC2" w14:textId="77777777" w:rsidR="009B523F"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d</w:t>
      </w:r>
      <w:r w:rsidR="00DB40BA" w:rsidRPr="005A2202">
        <w:rPr>
          <w:rFonts w:ascii="Garamond" w:eastAsia="Times New Roman" w:hAnsi="Garamond" w:cs="Times New Roman"/>
          <w:color w:val="000000"/>
          <w:sz w:val="30"/>
          <w:szCs w:val="30"/>
          <w:lang w:eastAsia="it-IT"/>
        </w:rPr>
        <w:t xml:space="preserve">el resto, considerando una diversa prospettiva pubblicistica, quella sottesa all’art. 212 comma 5 del d. </w:t>
      </w:r>
      <w:proofErr w:type="spellStart"/>
      <w:r w:rsidR="00DB40BA" w:rsidRPr="005A2202">
        <w:rPr>
          <w:rFonts w:ascii="Garamond" w:eastAsia="Times New Roman" w:hAnsi="Garamond" w:cs="Times New Roman"/>
          <w:color w:val="000000"/>
          <w:sz w:val="30"/>
          <w:szCs w:val="30"/>
          <w:lang w:eastAsia="it-IT"/>
        </w:rPr>
        <w:t>lgs</w:t>
      </w:r>
      <w:proofErr w:type="spellEnd"/>
      <w:r w:rsidR="00DB40BA" w:rsidRPr="005A2202">
        <w:rPr>
          <w:rFonts w:ascii="Garamond" w:eastAsia="Times New Roman" w:hAnsi="Garamond" w:cs="Times New Roman"/>
          <w:color w:val="000000"/>
          <w:sz w:val="30"/>
          <w:szCs w:val="30"/>
          <w:lang w:eastAsia="it-IT"/>
        </w:rPr>
        <w:t>. n. 152 del 2016, che richiede l’iscrizione per “</w:t>
      </w:r>
      <w:r w:rsidR="00DB40BA" w:rsidRPr="005A2202">
        <w:rPr>
          <w:rFonts w:ascii="Garamond" w:eastAsia="Times New Roman" w:hAnsi="Garamond" w:cs="Times New Roman"/>
          <w:i/>
          <w:iCs/>
          <w:color w:val="000000"/>
          <w:sz w:val="30"/>
          <w:szCs w:val="30"/>
          <w:lang w:eastAsia="it-IT"/>
        </w:rPr>
        <w:t>l’esercizio dell’attività</w:t>
      </w:r>
      <w:r w:rsidR="00DB40BA" w:rsidRPr="005A2202">
        <w:rPr>
          <w:rFonts w:ascii="Garamond" w:eastAsia="Times New Roman" w:hAnsi="Garamond" w:cs="Times New Roman"/>
          <w:color w:val="000000"/>
          <w:sz w:val="30"/>
          <w:szCs w:val="30"/>
          <w:lang w:eastAsia="it-IT"/>
        </w:rPr>
        <w:t>” di bonifica, e ciò indipendentemente dal fatto che la prestazione sia resa a favore di ente pubblico, essa risulta rispettata allorquando il contratto è adempiuto da soggetto qualificato</w:t>
      </w:r>
      <w:r>
        <w:rPr>
          <w:rFonts w:ascii="Garamond" w:eastAsia="Times New Roman" w:hAnsi="Garamond" w:cs="Times New Roman"/>
          <w:color w:val="000000"/>
          <w:sz w:val="30"/>
          <w:szCs w:val="30"/>
          <w:lang w:eastAsia="it-IT"/>
        </w:rPr>
        <w:t>;</w:t>
      </w:r>
    </w:p>
    <w:p w14:paraId="69216518" w14:textId="77777777" w:rsidR="00DB40BA"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r</w:t>
      </w:r>
      <w:r w:rsidR="00DB40BA" w:rsidRPr="005A2202">
        <w:rPr>
          <w:rFonts w:ascii="Garamond" w:eastAsia="Times New Roman" w:hAnsi="Garamond" w:cs="Times New Roman"/>
          <w:color w:val="000000"/>
          <w:sz w:val="30"/>
          <w:szCs w:val="30"/>
          <w:lang w:eastAsia="it-IT"/>
        </w:rPr>
        <w:t xml:space="preserve">isulterebbe infatti inspiegabile che non si ammetta l’avvalimento dell’iscrizione all’ANGA, così assicurando, nei termini sopra illustrati, che l’esecutore della prestazione sia munito del titolo di idoneità professionale e si consideri non sufficiente che chi realizza l’attività di bonifica sia iscritto nell’albo (richiedendo l’iscrizione anche al consorzio stabile che non realizzerà l’intervento ambientale), allorquando vi è un soggetto (la consorziata esecutrice) che non solo assume l’impegno di svolgere l’attività ma concorda altresì l’offerta (così </w:t>
      </w:r>
      <w:proofErr w:type="spellStart"/>
      <w:r>
        <w:rPr>
          <w:rFonts w:ascii="Garamond" w:eastAsia="Times New Roman" w:hAnsi="Garamond" w:cs="Times New Roman"/>
          <w:color w:val="000000"/>
          <w:sz w:val="30"/>
          <w:szCs w:val="30"/>
          <w:lang w:eastAsia="it-IT"/>
        </w:rPr>
        <w:t>l’Ad</w:t>
      </w:r>
      <w:proofErr w:type="spellEnd"/>
      <w:r>
        <w:rPr>
          <w:rFonts w:ascii="Garamond" w:eastAsia="Times New Roman" w:hAnsi="Garamond" w:cs="Times New Roman"/>
          <w:color w:val="000000"/>
          <w:sz w:val="30"/>
          <w:szCs w:val="30"/>
          <w:lang w:eastAsia="it-IT"/>
        </w:rPr>
        <w:t xml:space="preserve">. </w:t>
      </w:r>
      <w:proofErr w:type="spellStart"/>
      <w:r>
        <w:rPr>
          <w:rFonts w:ascii="Garamond" w:eastAsia="Times New Roman" w:hAnsi="Garamond" w:cs="Times New Roman"/>
          <w:color w:val="000000"/>
          <w:sz w:val="30"/>
          <w:szCs w:val="30"/>
          <w:lang w:eastAsia="it-IT"/>
        </w:rPr>
        <w:t>plen</w:t>
      </w:r>
      <w:proofErr w:type="spellEnd"/>
      <w:r>
        <w:rPr>
          <w:rFonts w:ascii="Garamond" w:eastAsia="Times New Roman" w:hAnsi="Garamond" w:cs="Times New Roman"/>
          <w:color w:val="000000"/>
          <w:sz w:val="30"/>
          <w:szCs w:val="30"/>
          <w:lang w:eastAsia="it-IT"/>
        </w:rPr>
        <w:t>. 18 marzo 2021 n. 5);</w:t>
      </w:r>
    </w:p>
    <w:p w14:paraId="41303AC9" w14:textId="77777777" w:rsidR="00DB40BA" w:rsidRPr="005A2202"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a</w:t>
      </w:r>
      <w:r w:rsidR="00DB40BA" w:rsidRPr="005A2202">
        <w:rPr>
          <w:rFonts w:ascii="Garamond" w:eastAsia="Times New Roman" w:hAnsi="Garamond" w:cs="Times New Roman"/>
          <w:color w:val="000000"/>
          <w:sz w:val="30"/>
          <w:szCs w:val="30"/>
          <w:lang w:eastAsia="it-IT"/>
        </w:rPr>
        <w:t>nche l’ANAC, distinguendo le due fattispecie di consorzio stabile, ha affermato che ”</w:t>
      </w:r>
      <w:r w:rsidR="00DB40BA" w:rsidRPr="005A2202">
        <w:rPr>
          <w:rFonts w:ascii="Garamond" w:eastAsia="Times New Roman" w:hAnsi="Garamond" w:cs="Times New Roman"/>
          <w:i/>
          <w:iCs/>
          <w:color w:val="000000"/>
          <w:sz w:val="30"/>
          <w:szCs w:val="30"/>
          <w:lang w:eastAsia="it-IT"/>
        </w:rPr>
        <w:t>qualora il Consorzio abbia partecipato per conto di due consorziate, il requisito dell’iscrizione all’Albo Nazionale Gestori Ambientali debba essere dimostrato in capo alle stesse, pena l’esclusione (cfr. ANAC, Delibera n. 787 del 7 ottobre 2020) e che qualora invece il Consorzio abbia invece partecipato con la propria struttura d’impresa, lo stesso debba dimostrare, nel rispetto della normativa sopra richiamata e dei principi ermeneutici esplorati, il requisito dell’iscrizione all’Albo Nazionale Gestori Ambientali</w:t>
      </w:r>
      <w:r w:rsidR="00DB40BA" w:rsidRPr="005A2202">
        <w:rPr>
          <w:rFonts w:ascii="Garamond" w:eastAsia="Times New Roman" w:hAnsi="Garamond" w:cs="Times New Roman"/>
          <w:color w:val="000000"/>
          <w:sz w:val="30"/>
          <w:szCs w:val="30"/>
          <w:lang w:eastAsia="it-IT"/>
        </w:rPr>
        <w:t>” (delibera 23 aprile 2021 n. 315).</w:t>
      </w:r>
    </w:p>
    <w:p w14:paraId="724C0E87" w14:textId="77777777" w:rsidR="00DB40BA" w:rsidRPr="005A2202" w:rsidRDefault="009B523F" w:rsidP="009B523F">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 </w:t>
      </w:r>
      <w:r w:rsidR="00DB40BA" w:rsidRPr="005A2202">
        <w:rPr>
          <w:rFonts w:ascii="Garamond" w:eastAsia="Times New Roman" w:hAnsi="Garamond" w:cs="Times New Roman"/>
          <w:color w:val="000000"/>
          <w:sz w:val="30"/>
          <w:szCs w:val="30"/>
          <w:lang w:eastAsia="it-IT"/>
        </w:rPr>
        <w:t>l’opzione di ritenere integrato il presupposto della necessaria idoneità professionale del soggetto esecutore dell’appalto, pur in costanza della presentazione dell’offerta da parte di altra sogge</w:t>
      </w:r>
      <w:r>
        <w:rPr>
          <w:rFonts w:ascii="Garamond" w:eastAsia="Times New Roman" w:hAnsi="Garamond" w:cs="Times New Roman"/>
          <w:color w:val="000000"/>
          <w:sz w:val="30"/>
          <w:szCs w:val="30"/>
          <w:lang w:eastAsia="it-IT"/>
        </w:rPr>
        <w:t xml:space="preserve">ttività (il consorzio stabile) </w:t>
      </w:r>
      <w:r w:rsidR="00DB40BA" w:rsidRPr="005A2202">
        <w:rPr>
          <w:rFonts w:ascii="Garamond" w:eastAsia="Times New Roman" w:hAnsi="Garamond" w:cs="Times New Roman"/>
          <w:color w:val="000000"/>
          <w:sz w:val="30"/>
          <w:szCs w:val="30"/>
          <w:lang w:eastAsia="it-IT"/>
        </w:rPr>
        <w:t xml:space="preserve">risponde alla funzione </w:t>
      </w:r>
      <w:proofErr w:type="spellStart"/>
      <w:r>
        <w:rPr>
          <w:rFonts w:ascii="Garamond" w:eastAsia="Times New Roman" w:hAnsi="Garamond" w:cs="Times New Roman"/>
          <w:color w:val="000000"/>
          <w:sz w:val="30"/>
          <w:szCs w:val="30"/>
          <w:lang w:eastAsia="it-IT"/>
        </w:rPr>
        <w:t>proconcorrenziale</w:t>
      </w:r>
      <w:proofErr w:type="spellEnd"/>
      <w:r>
        <w:rPr>
          <w:rFonts w:ascii="Garamond" w:eastAsia="Times New Roman" w:hAnsi="Garamond" w:cs="Times New Roman"/>
          <w:color w:val="000000"/>
          <w:sz w:val="30"/>
          <w:szCs w:val="30"/>
          <w:lang w:eastAsia="it-IT"/>
        </w:rPr>
        <w:t xml:space="preserve"> dell’istituto, evitando </w:t>
      </w:r>
      <w:r w:rsidR="00DB40BA" w:rsidRPr="005A2202">
        <w:rPr>
          <w:rFonts w:ascii="Garamond" w:eastAsia="Times New Roman" w:hAnsi="Garamond" w:cs="Times New Roman"/>
          <w:color w:val="000000"/>
          <w:sz w:val="30"/>
          <w:szCs w:val="30"/>
          <w:lang w:eastAsia="it-IT"/>
        </w:rPr>
        <w:t>di richiedere u</w:t>
      </w:r>
      <w:r>
        <w:rPr>
          <w:rFonts w:ascii="Garamond" w:eastAsia="Times New Roman" w:hAnsi="Garamond" w:cs="Times New Roman"/>
          <w:color w:val="000000"/>
          <w:sz w:val="30"/>
          <w:szCs w:val="30"/>
          <w:lang w:eastAsia="it-IT"/>
        </w:rPr>
        <w:t>na duplicazione dei requisiti (</w:t>
      </w:r>
      <w:r w:rsidR="00DB40BA" w:rsidRPr="005A2202">
        <w:rPr>
          <w:rFonts w:ascii="Garamond" w:eastAsia="Times New Roman" w:hAnsi="Garamond" w:cs="Times New Roman"/>
          <w:color w:val="000000"/>
          <w:sz w:val="30"/>
          <w:szCs w:val="30"/>
          <w:lang w:eastAsia="it-IT"/>
        </w:rPr>
        <w:t>in tesi in capo al consorzio stabile oltre che alla consorziata esecutrice</w:t>
      </w:r>
      <w:r>
        <w:rPr>
          <w:rFonts w:ascii="Garamond" w:eastAsia="Times New Roman" w:hAnsi="Garamond" w:cs="Times New Roman"/>
          <w:color w:val="000000"/>
          <w:sz w:val="30"/>
          <w:szCs w:val="30"/>
          <w:lang w:eastAsia="it-IT"/>
        </w:rPr>
        <w:t>);</w:t>
      </w:r>
    </w:p>
    <w:p w14:paraId="6AD64541" w14:textId="77777777" w:rsidR="00DB40BA"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t</w:t>
      </w:r>
      <w:r w:rsidR="00DB40BA" w:rsidRPr="005A2202">
        <w:rPr>
          <w:rFonts w:ascii="Garamond" w:eastAsia="Times New Roman" w:hAnsi="Garamond" w:cs="Times New Roman"/>
          <w:color w:val="000000"/>
          <w:sz w:val="30"/>
          <w:szCs w:val="30"/>
          <w:lang w:eastAsia="it-IT"/>
        </w:rPr>
        <w:t>utto quanto sopra depone nel senso di ritenere che, nel caso in cui il consorzio stabile che ha presentato l’offerta indichi come esecutrice un’impresa consorziata, il possesso del requisito di idoneità professi</w:t>
      </w:r>
      <w:r>
        <w:rPr>
          <w:rFonts w:ascii="Garamond" w:eastAsia="Times New Roman" w:hAnsi="Garamond" w:cs="Times New Roman"/>
          <w:color w:val="000000"/>
          <w:sz w:val="30"/>
          <w:szCs w:val="30"/>
          <w:lang w:eastAsia="it-IT"/>
        </w:rPr>
        <w:t>onale da parte di quest’ultima sia</w:t>
      </w:r>
      <w:r w:rsidR="00DB40BA" w:rsidRPr="005A2202">
        <w:rPr>
          <w:rFonts w:ascii="Garamond" w:eastAsia="Times New Roman" w:hAnsi="Garamond" w:cs="Times New Roman"/>
          <w:color w:val="000000"/>
          <w:sz w:val="30"/>
          <w:szCs w:val="30"/>
          <w:lang w:eastAsia="it-IT"/>
        </w:rPr>
        <w:t xml:space="preserve"> idoneo a legittimare la partec</w:t>
      </w:r>
      <w:r>
        <w:rPr>
          <w:rFonts w:ascii="Garamond" w:eastAsia="Times New Roman" w:hAnsi="Garamond" w:cs="Times New Roman"/>
          <w:color w:val="000000"/>
          <w:sz w:val="30"/>
          <w:szCs w:val="30"/>
          <w:lang w:eastAsia="it-IT"/>
        </w:rPr>
        <w:t>ipazione del consorzio medesimo;</w:t>
      </w:r>
    </w:p>
    <w:p w14:paraId="392BC454" w14:textId="77777777" w:rsidR="00DB40BA" w:rsidRPr="005A2202"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xml:space="preserve">- </w:t>
      </w:r>
      <w:r w:rsidR="00DB40BA" w:rsidRPr="005A2202">
        <w:rPr>
          <w:rFonts w:ascii="Garamond" w:eastAsia="Times New Roman" w:hAnsi="Garamond" w:cs="Times New Roman"/>
          <w:color w:val="000000"/>
          <w:sz w:val="30"/>
          <w:szCs w:val="30"/>
          <w:lang w:eastAsia="it-IT"/>
        </w:rPr>
        <w:t>la valutazione di sufficienza dell’iscrizione all’ANGA da parte della consorziata esecutrice non richiede di chiamare in causa gli istituti, come l’avvalimento o il cumulo alla rinfusa, che sopperiscono alla carenza della qualificazione necessaria per partecipare alla gara e eseguire l’appalto. Ciò in quanto non si pone una questione di traslazione (e quindi di cumulo) delle qualificazioni da un soggetto (la consorziata esecutrice) a un altro (il consorzio stabile partecipante alla gara), logicamente e giuridicamente successiva ai casi in cui il requisito di partecipazione è integra</w:t>
      </w:r>
      <w:r>
        <w:rPr>
          <w:rFonts w:ascii="Garamond" w:eastAsia="Times New Roman" w:hAnsi="Garamond" w:cs="Times New Roman"/>
          <w:color w:val="000000"/>
          <w:sz w:val="30"/>
          <w:szCs w:val="30"/>
          <w:lang w:eastAsia="it-IT"/>
        </w:rPr>
        <w:t>to dalla consorziata esecutrice;</w:t>
      </w:r>
    </w:p>
    <w:p w14:paraId="5F178BC7" w14:textId="77777777" w:rsidR="00DB40BA" w:rsidRDefault="009B523F" w:rsidP="00DB40BA">
      <w:pPr>
        <w:spacing w:after="0" w:line="520" w:lineRule="atLeast"/>
        <w:jc w:val="both"/>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 n</w:t>
      </w:r>
      <w:r w:rsidR="00DB40BA" w:rsidRPr="005A2202">
        <w:rPr>
          <w:rFonts w:ascii="Garamond" w:eastAsia="Times New Roman" w:hAnsi="Garamond" w:cs="Times New Roman"/>
          <w:color w:val="000000"/>
          <w:sz w:val="30"/>
          <w:szCs w:val="30"/>
          <w:lang w:eastAsia="it-IT"/>
        </w:rPr>
        <w:t xml:space="preserve">el caso qui controverso quindi non risulta conferente la disciplina del cumulo alla rinfusa oggetto dell’ipotesi derogatoria di cui all’art. 47 comma 1 del d. </w:t>
      </w:r>
      <w:proofErr w:type="spellStart"/>
      <w:r w:rsidR="00DB40BA" w:rsidRPr="005A2202">
        <w:rPr>
          <w:rFonts w:ascii="Garamond" w:eastAsia="Times New Roman" w:hAnsi="Garamond" w:cs="Times New Roman"/>
          <w:color w:val="000000"/>
          <w:sz w:val="30"/>
          <w:szCs w:val="30"/>
          <w:lang w:eastAsia="it-IT"/>
        </w:rPr>
        <w:t>lgs</w:t>
      </w:r>
      <w:proofErr w:type="spellEnd"/>
      <w:r w:rsidR="00DB40BA" w:rsidRPr="005A2202">
        <w:rPr>
          <w:rFonts w:ascii="Garamond" w:eastAsia="Times New Roman" w:hAnsi="Garamond" w:cs="Times New Roman"/>
          <w:color w:val="000000"/>
          <w:sz w:val="30"/>
          <w:szCs w:val="30"/>
          <w:lang w:eastAsia="it-IT"/>
        </w:rPr>
        <w:t>. n. 50 del 2016, richiamata dall’Adunanza plenaria nella sentenza n. 5 del 2021 al fine di illustrare la normativa applicabile ai consorzi stabili, nell’ambito di una pronuncia tesa a scrutinare una specifica questione, vale a dire se la “</w:t>
      </w:r>
      <w:r w:rsidR="00DB40BA" w:rsidRPr="005A2202">
        <w:rPr>
          <w:rFonts w:ascii="Garamond" w:eastAsia="Times New Roman" w:hAnsi="Garamond" w:cs="Times New Roman"/>
          <w:i/>
          <w:iCs/>
          <w:color w:val="000000"/>
          <w:sz w:val="30"/>
          <w:szCs w:val="30"/>
          <w:lang w:eastAsia="it-IT"/>
        </w:rPr>
        <w:t>la consorziata di un consorzio stabile, non designata ai fini dell’esecuzione dei lavori [… sia o meno…] equiparabile, ai fini dell’applicazione dell’art. 63 della direttiva 24/2014/UE e dell’art. 89 co. 3 del d.lgs. n. 50/2016, all’impresa ausiliaria nell’avvalimento</w:t>
      </w:r>
      <w:r>
        <w:rPr>
          <w:rFonts w:ascii="Garamond" w:eastAsia="Times New Roman" w:hAnsi="Garamond" w:cs="Times New Roman"/>
          <w:color w:val="000000"/>
          <w:sz w:val="30"/>
          <w:szCs w:val="30"/>
          <w:lang w:eastAsia="it-IT"/>
        </w:rPr>
        <w:t>”: d</w:t>
      </w:r>
      <w:r w:rsidR="00DB40BA" w:rsidRPr="005A2202">
        <w:rPr>
          <w:rFonts w:ascii="Garamond" w:eastAsia="Times New Roman" w:hAnsi="Garamond" w:cs="Times New Roman"/>
          <w:color w:val="000000"/>
          <w:sz w:val="30"/>
          <w:szCs w:val="30"/>
          <w:lang w:eastAsia="it-IT"/>
        </w:rPr>
        <w:t>etta ultima prospettiva assolve il compito di consentire, alle condizioni ivi previste, che, allorquando l’offerta è presentata in carenza delle condizioni di legittimazione dettate dalla legge (ma non è questo il caso, come visto, nel quale il requisito è posseduto dal soggetto esecutore, conformemente alle regole di settore), il consorzio stabile si possa avvalere, sulla base del vincolo consortile, di qualificazioni possedute dalle consorziate. Essa presenta la peculiarità di far venir meno la continuità fra interesse procedimentale (all’intervento nella procedura) e interesse sostanziale (all’esecuzione dell’appalto), allo stesso modo di quanto avviene tramite l’avvalimento, che infatti è accompagnato da una serie di cautele in funzione di tutela dell’interesse sostanziale cui è preordinata tutta l</w:t>
      </w:r>
      <w:r>
        <w:rPr>
          <w:rFonts w:ascii="Garamond" w:eastAsia="Times New Roman" w:hAnsi="Garamond" w:cs="Times New Roman"/>
          <w:color w:val="000000"/>
          <w:sz w:val="30"/>
          <w:szCs w:val="30"/>
          <w:lang w:eastAsia="it-IT"/>
        </w:rPr>
        <w:t>a procedura a evidenza pubblica.</w:t>
      </w:r>
    </w:p>
    <w:p w14:paraId="255A3327" w14:textId="77777777" w:rsidR="009B523F" w:rsidRDefault="009B523F" w:rsidP="00DB40BA">
      <w:pPr>
        <w:spacing w:after="0" w:line="520" w:lineRule="atLeast"/>
        <w:jc w:val="both"/>
        <w:rPr>
          <w:rFonts w:ascii="Garamond" w:eastAsia="Times New Roman" w:hAnsi="Garamond" w:cs="Times New Roman"/>
          <w:color w:val="000000"/>
          <w:sz w:val="30"/>
          <w:szCs w:val="30"/>
          <w:lang w:eastAsia="it-IT"/>
        </w:rPr>
      </w:pPr>
    </w:p>
    <w:p w14:paraId="10691B30" w14:textId="77777777" w:rsidR="009B523F" w:rsidRDefault="009B523F" w:rsidP="00DB40BA">
      <w:pPr>
        <w:spacing w:after="0" w:line="520" w:lineRule="atLeast"/>
        <w:jc w:val="both"/>
        <w:rPr>
          <w:rFonts w:ascii="Garamond" w:eastAsia="Times New Roman" w:hAnsi="Garamond" w:cs="Times New Roman"/>
          <w:color w:val="000000"/>
          <w:sz w:val="30"/>
          <w:szCs w:val="30"/>
          <w:lang w:eastAsia="it-IT"/>
        </w:rPr>
      </w:pPr>
    </w:p>
    <w:p w14:paraId="2B44C6DF" w14:textId="1A45AF7A" w:rsidR="00DB40BA" w:rsidRPr="00606BBC" w:rsidRDefault="00606BBC" w:rsidP="00606BBC">
      <w:pPr>
        <w:spacing w:after="0" w:line="520" w:lineRule="atLeast"/>
        <w:jc w:val="right"/>
        <w:rPr>
          <w:rFonts w:ascii="Garamond" w:eastAsia="Times New Roman" w:hAnsi="Garamond" w:cs="Times New Roman"/>
          <w:b/>
          <w:color w:val="000000"/>
          <w:sz w:val="30"/>
          <w:szCs w:val="30"/>
          <w:lang w:eastAsia="it-IT"/>
        </w:rPr>
      </w:pPr>
      <w:r w:rsidRPr="00606BBC">
        <w:rPr>
          <w:rFonts w:ascii="Garamond" w:eastAsia="Times New Roman" w:hAnsi="Garamond" w:cs="Times New Roman"/>
          <w:b/>
          <w:color w:val="000000"/>
          <w:sz w:val="30"/>
          <w:szCs w:val="30"/>
          <w:lang w:eastAsia="it-IT"/>
        </w:rPr>
        <w:t xml:space="preserve">Sara </w:t>
      </w:r>
      <w:proofErr w:type="spellStart"/>
      <w:r w:rsidRPr="00606BBC">
        <w:rPr>
          <w:rFonts w:ascii="Garamond" w:eastAsia="Times New Roman" w:hAnsi="Garamond" w:cs="Times New Roman"/>
          <w:b/>
          <w:color w:val="000000"/>
          <w:sz w:val="30"/>
          <w:szCs w:val="30"/>
          <w:lang w:eastAsia="it-IT"/>
        </w:rPr>
        <w:t>Molinaro</w:t>
      </w:r>
      <w:proofErr w:type="spellEnd"/>
    </w:p>
    <w:p w14:paraId="3C761D0F" w14:textId="3FC85ACF" w:rsidR="00606BBC" w:rsidRDefault="00606BBC" w:rsidP="00606BBC">
      <w:pPr>
        <w:spacing w:after="0" w:line="520" w:lineRule="atLeast"/>
        <w:jc w:val="right"/>
        <w:rPr>
          <w:rFonts w:ascii="Garamond" w:eastAsia="Times New Roman" w:hAnsi="Garamond" w:cs="Times New Roman"/>
          <w:b/>
          <w:color w:val="000000"/>
          <w:sz w:val="30"/>
          <w:szCs w:val="30"/>
          <w:lang w:eastAsia="it-IT"/>
        </w:rPr>
      </w:pPr>
      <w:r w:rsidRPr="00606BBC">
        <w:rPr>
          <w:rFonts w:ascii="Garamond" w:eastAsia="Times New Roman" w:hAnsi="Garamond" w:cs="Times New Roman"/>
          <w:b/>
          <w:color w:val="000000"/>
          <w:sz w:val="30"/>
          <w:szCs w:val="30"/>
          <w:lang w:eastAsia="it-IT"/>
        </w:rPr>
        <w:t xml:space="preserve">Consigliere al </w:t>
      </w:r>
      <w:proofErr w:type="spellStart"/>
      <w:r w:rsidRPr="00606BBC">
        <w:rPr>
          <w:rFonts w:ascii="Garamond" w:eastAsia="Times New Roman" w:hAnsi="Garamond" w:cs="Times New Roman"/>
          <w:b/>
          <w:color w:val="000000"/>
          <w:sz w:val="30"/>
          <w:szCs w:val="30"/>
          <w:lang w:eastAsia="it-IT"/>
        </w:rPr>
        <w:t>C.g.a</w:t>
      </w:r>
      <w:proofErr w:type="spellEnd"/>
      <w:r w:rsidRPr="00606BBC">
        <w:rPr>
          <w:rFonts w:ascii="Garamond" w:eastAsia="Times New Roman" w:hAnsi="Garamond" w:cs="Times New Roman"/>
          <w:b/>
          <w:color w:val="000000"/>
          <w:sz w:val="30"/>
          <w:szCs w:val="30"/>
          <w:lang w:eastAsia="it-IT"/>
        </w:rPr>
        <w:t>.</w:t>
      </w:r>
    </w:p>
    <w:p w14:paraId="045083EE" w14:textId="1EC2844A" w:rsidR="00606BBC" w:rsidRPr="00606BBC" w:rsidRDefault="00606BBC" w:rsidP="00606BBC">
      <w:pPr>
        <w:spacing w:after="0" w:line="520" w:lineRule="atLeast"/>
        <w:jc w:val="right"/>
        <w:rPr>
          <w:rFonts w:ascii="Garamond" w:eastAsia="Times New Roman" w:hAnsi="Garamond" w:cs="Times New Roman"/>
          <w:color w:val="000000"/>
          <w:sz w:val="30"/>
          <w:szCs w:val="30"/>
          <w:lang w:eastAsia="it-IT"/>
        </w:rPr>
      </w:pPr>
      <w:r>
        <w:rPr>
          <w:rFonts w:ascii="Garamond" w:eastAsia="Times New Roman" w:hAnsi="Garamond" w:cs="Times New Roman"/>
          <w:color w:val="000000"/>
          <w:sz w:val="30"/>
          <w:szCs w:val="30"/>
          <w:lang w:eastAsia="it-IT"/>
        </w:rPr>
        <w:t>Pubblicato il 7 ottobre 2021</w:t>
      </w:r>
      <w:bookmarkStart w:id="0" w:name="_GoBack"/>
      <w:bookmarkEnd w:id="0"/>
    </w:p>
    <w:p w14:paraId="088E28F7" w14:textId="77777777" w:rsidR="00DB40BA" w:rsidRDefault="00DB40BA" w:rsidP="00DB40BA">
      <w:pPr>
        <w:spacing w:after="0" w:line="520" w:lineRule="atLeast"/>
        <w:jc w:val="both"/>
        <w:rPr>
          <w:rFonts w:ascii="Garamond" w:eastAsia="Times New Roman" w:hAnsi="Garamond" w:cs="Times New Roman"/>
          <w:color w:val="000000"/>
          <w:sz w:val="30"/>
          <w:szCs w:val="30"/>
          <w:lang w:eastAsia="it-IT"/>
        </w:rPr>
      </w:pPr>
    </w:p>
    <w:p w14:paraId="50C637F0" w14:textId="77777777" w:rsidR="00DB40BA" w:rsidRPr="005A2202" w:rsidRDefault="00DB40BA" w:rsidP="00DB40BA">
      <w:pPr>
        <w:spacing w:after="0" w:line="520" w:lineRule="atLeast"/>
        <w:jc w:val="both"/>
        <w:rPr>
          <w:rFonts w:ascii="Garamond" w:eastAsia="Times New Roman" w:hAnsi="Garamond" w:cs="Times New Roman"/>
          <w:color w:val="000000"/>
          <w:sz w:val="30"/>
          <w:szCs w:val="30"/>
          <w:lang w:eastAsia="it-IT"/>
        </w:rPr>
      </w:pPr>
    </w:p>
    <w:p w14:paraId="5F5CD278" w14:textId="77777777" w:rsidR="00DB40BA" w:rsidRPr="005A2202" w:rsidRDefault="00DB40BA" w:rsidP="00DB40BA">
      <w:pPr>
        <w:spacing w:after="0" w:line="520" w:lineRule="atLeast"/>
        <w:jc w:val="both"/>
        <w:rPr>
          <w:rFonts w:ascii="Garamond" w:eastAsia="Times New Roman" w:hAnsi="Garamond" w:cs="Times New Roman"/>
          <w:color w:val="000000"/>
          <w:sz w:val="30"/>
          <w:szCs w:val="30"/>
          <w:lang w:eastAsia="it-IT"/>
        </w:rPr>
      </w:pPr>
    </w:p>
    <w:p w14:paraId="07032F19" w14:textId="77777777" w:rsidR="00A66178" w:rsidRDefault="00A66178"/>
    <w:sectPr w:rsidR="00A661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BA"/>
    <w:rsid w:val="00606BBC"/>
    <w:rsid w:val="009B523F"/>
    <w:rsid w:val="00A66178"/>
    <w:rsid w:val="00DB40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55D8"/>
  <w15:chartTrackingRefBased/>
  <w15:docId w15:val="{64DC6003-15AE-403E-9DED-1083E33B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40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4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4692036C76CF249809EA61C738A8A10" ma:contentTypeVersion="12" ma:contentTypeDescription="Creare un nuovo documento." ma:contentTypeScope="" ma:versionID="715f1930279781d2f95d7055ceb801d8">
  <xsd:schema xmlns:xsd="http://www.w3.org/2001/XMLSchema" xmlns:xs="http://www.w3.org/2001/XMLSchema" xmlns:p="http://schemas.microsoft.com/office/2006/metadata/properties" xmlns:ns3="25897ca3-444a-4ccc-adce-36b594abbace" xmlns:ns4="21f56bea-7474-487d-851c-f3cde3b57acd" targetNamespace="http://schemas.microsoft.com/office/2006/metadata/properties" ma:root="true" ma:fieldsID="843ad8fd3f9bf85213cc2146704857a0" ns3:_="" ns4:_="">
    <xsd:import namespace="25897ca3-444a-4ccc-adce-36b594abbace"/>
    <xsd:import namespace="21f56bea-7474-487d-851c-f3cde3b57a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7ca3-444a-4ccc-adce-36b594abb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56bea-7474-487d-851c-f3cde3b57acd"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5A081-9BD9-45E3-BDB3-96B11339A585}">
  <ds:schemaRefs>
    <ds:schemaRef ds:uri="http://schemas.microsoft.com/sharepoint/v3/contenttype/forms"/>
  </ds:schemaRefs>
</ds:datastoreItem>
</file>

<file path=customXml/itemProps2.xml><?xml version="1.0" encoding="utf-8"?>
<ds:datastoreItem xmlns:ds="http://schemas.openxmlformats.org/officeDocument/2006/customXml" ds:itemID="{9AEADF0B-3052-4F87-8C2C-5FE362368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7ca3-444a-4ccc-adce-36b594abbace"/>
    <ds:schemaRef ds:uri="21f56bea-7474-487d-851c-f3cde3b5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3CE52-1800-47B5-B0D5-405C9B7F3730}">
  <ds:schemaRefs>
    <ds:schemaRef ds:uri="http://purl.org/dc/terms/"/>
    <ds:schemaRef ds:uri="25897ca3-444a-4ccc-adce-36b594abbace"/>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1f56bea-7474-487d-851c-f3cde3b57ac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2074</Words>
  <Characters>11822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MOLINARO Sara Raffaella</dc:creator>
  <cp:keywords/>
  <dc:description/>
  <cp:lastModifiedBy>FERRARI Giulia</cp:lastModifiedBy>
  <cp:revision>2</cp:revision>
  <dcterms:created xsi:type="dcterms:W3CDTF">2021-10-06T21:48:00Z</dcterms:created>
  <dcterms:modified xsi:type="dcterms:W3CDTF">2021-10-06T21:48:00Z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0x01010014692036C76CF249809EA61C738A8A10</vt:lpwstr>
  </property>
</Properties>
</file>