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EC4E2" w14:textId="0E0E9B7C" w:rsidR="001B0B69" w:rsidRPr="00C3200D" w:rsidRDefault="00F57348" w:rsidP="00007685">
      <w:pPr>
        <w:spacing w:line="276" w:lineRule="auto"/>
        <w:jc w:val="center"/>
        <w:rPr>
          <w:rFonts w:ascii="Times New Roman" w:hAnsi="Times New Roman" w:cs="Times New Roman"/>
          <w:b/>
          <w:caps/>
          <w:lang w:val="it-IT"/>
        </w:rPr>
      </w:pPr>
      <w:bookmarkStart w:id="0" w:name="_GoBack"/>
      <w:r>
        <w:rPr>
          <w:rFonts w:ascii="Times New Roman" w:hAnsi="Times New Roman" w:cs="Times New Roman"/>
          <w:b/>
          <w:sz w:val="36"/>
          <w:szCs w:val="36"/>
          <w:lang w:val="it-IT"/>
        </w:rPr>
        <w:t>I</w:t>
      </w:r>
      <w:r w:rsidRPr="00F57348">
        <w:rPr>
          <w:rFonts w:ascii="Times New Roman" w:hAnsi="Times New Roman" w:cs="Times New Roman"/>
          <w:b/>
          <w:sz w:val="36"/>
          <w:szCs w:val="36"/>
          <w:lang w:val="it-IT"/>
        </w:rPr>
        <w:t>nnovazione negli appalti pubblici attraverso la professionalizzazione della committenza</w:t>
      </w:r>
      <w:bookmarkEnd w:id="0"/>
      <w:r w:rsidR="002864B0">
        <w:rPr>
          <w:rStyle w:val="Rimandonotaapidipagina"/>
          <w:rFonts w:ascii="Times New Roman" w:hAnsi="Times New Roman" w:cs="Times New Roman"/>
          <w:b/>
          <w:caps/>
          <w:lang w:val="it-IT"/>
        </w:rPr>
        <w:footnoteReference w:id="1"/>
      </w:r>
    </w:p>
    <w:p w14:paraId="4B988CE0" w14:textId="36614C89" w:rsidR="001C5D2D" w:rsidRPr="00F76362" w:rsidRDefault="001C5D2D" w:rsidP="00007685">
      <w:pPr>
        <w:spacing w:line="276" w:lineRule="auto"/>
        <w:jc w:val="center"/>
        <w:rPr>
          <w:rFonts w:ascii="Times New Roman" w:hAnsi="Times New Roman" w:cs="Times New Roman"/>
          <w:lang w:val="it-IT"/>
        </w:rPr>
      </w:pPr>
    </w:p>
    <w:p w14:paraId="5CD41D7C" w14:textId="6726D684" w:rsidR="001C5D2D" w:rsidRPr="00F76362" w:rsidRDefault="001C5D2D" w:rsidP="00007685">
      <w:pPr>
        <w:spacing w:line="276" w:lineRule="auto"/>
        <w:rPr>
          <w:rFonts w:ascii="Times New Roman" w:hAnsi="Times New Roman" w:cs="Times New Roman"/>
          <w:lang w:val="it-IT"/>
        </w:rPr>
      </w:pPr>
    </w:p>
    <w:p w14:paraId="580064E3" w14:textId="0C744D47" w:rsidR="001C5D2D" w:rsidRPr="00F76362" w:rsidRDefault="001C5D2D" w:rsidP="00007685">
      <w:pPr>
        <w:spacing w:line="276" w:lineRule="auto"/>
        <w:rPr>
          <w:rFonts w:ascii="Times New Roman" w:hAnsi="Times New Roman" w:cs="Times New Roman"/>
          <w:lang w:val="it-IT"/>
        </w:rPr>
      </w:pPr>
    </w:p>
    <w:p w14:paraId="644E5604" w14:textId="681C11CA" w:rsidR="00994A59" w:rsidRPr="00007685" w:rsidRDefault="00994A59" w:rsidP="00007685">
      <w:pPr>
        <w:spacing w:line="276" w:lineRule="auto"/>
        <w:ind w:left="567" w:right="567"/>
        <w:jc w:val="both"/>
        <w:rPr>
          <w:rFonts w:ascii="Times New Roman" w:hAnsi="Times New Roman" w:cs="Times New Roman"/>
          <w:sz w:val="20"/>
          <w:szCs w:val="20"/>
          <w:lang w:val="it-IT"/>
        </w:rPr>
      </w:pPr>
      <w:r w:rsidRPr="00007685">
        <w:rPr>
          <w:rFonts w:ascii="Times New Roman" w:hAnsi="Times New Roman" w:cs="Times New Roman"/>
          <w:bCs/>
          <w:smallCaps/>
          <w:sz w:val="20"/>
          <w:szCs w:val="20"/>
          <w:lang w:val="it-IT"/>
        </w:rPr>
        <w:t>Sommario</w:t>
      </w:r>
      <w:r w:rsidRPr="00007685">
        <w:rPr>
          <w:rFonts w:ascii="Times New Roman" w:hAnsi="Times New Roman" w:cs="Times New Roman"/>
          <w:sz w:val="20"/>
          <w:szCs w:val="20"/>
          <w:lang w:val="it-IT"/>
        </w:rPr>
        <w:t>: 1</w:t>
      </w:r>
      <w:r w:rsidR="00C3200D" w:rsidRPr="00007685">
        <w:rPr>
          <w:rFonts w:ascii="Times New Roman" w:hAnsi="Times New Roman" w:cs="Times New Roman"/>
          <w:sz w:val="20"/>
          <w:szCs w:val="20"/>
          <w:lang w:val="it-IT"/>
        </w:rPr>
        <w:t>.</w:t>
      </w:r>
      <w:r w:rsidRPr="00007685">
        <w:rPr>
          <w:rFonts w:ascii="Times New Roman" w:hAnsi="Times New Roman" w:cs="Times New Roman"/>
          <w:sz w:val="20"/>
          <w:szCs w:val="20"/>
          <w:lang w:val="it-IT"/>
        </w:rPr>
        <w:t xml:space="preserve"> </w:t>
      </w:r>
      <w:r w:rsidR="00274474" w:rsidRPr="00007685">
        <w:rPr>
          <w:rFonts w:ascii="Times New Roman" w:hAnsi="Times New Roman" w:cs="Times New Roman"/>
          <w:sz w:val="20"/>
          <w:szCs w:val="20"/>
          <w:lang w:val="it-IT"/>
        </w:rPr>
        <w:t>Perché</w:t>
      </w:r>
      <w:r w:rsidRPr="00007685">
        <w:rPr>
          <w:rFonts w:ascii="Times New Roman" w:hAnsi="Times New Roman" w:cs="Times New Roman"/>
          <w:sz w:val="20"/>
          <w:szCs w:val="20"/>
          <w:lang w:val="it-IT"/>
        </w:rPr>
        <w:t xml:space="preserve"> </w:t>
      </w:r>
      <w:r w:rsidR="00C3200D" w:rsidRPr="00007685">
        <w:rPr>
          <w:rFonts w:ascii="Times New Roman" w:hAnsi="Times New Roman" w:cs="Times New Roman"/>
          <w:sz w:val="20"/>
          <w:szCs w:val="20"/>
          <w:lang w:val="it-IT"/>
        </w:rPr>
        <w:t xml:space="preserve">la </w:t>
      </w:r>
      <w:r w:rsidRPr="00007685">
        <w:rPr>
          <w:rFonts w:ascii="Times New Roman" w:hAnsi="Times New Roman" w:cs="Times New Roman"/>
          <w:sz w:val="20"/>
          <w:szCs w:val="20"/>
          <w:lang w:val="it-IT"/>
        </w:rPr>
        <w:t>professionalizza</w:t>
      </w:r>
      <w:r w:rsidR="00C3200D" w:rsidRPr="00007685">
        <w:rPr>
          <w:rFonts w:ascii="Times New Roman" w:hAnsi="Times New Roman" w:cs="Times New Roman"/>
          <w:sz w:val="20"/>
          <w:szCs w:val="20"/>
          <w:lang w:val="it-IT"/>
        </w:rPr>
        <w:t>zione della</w:t>
      </w:r>
      <w:r w:rsidRPr="00007685">
        <w:rPr>
          <w:rFonts w:ascii="Times New Roman" w:hAnsi="Times New Roman" w:cs="Times New Roman"/>
          <w:sz w:val="20"/>
          <w:szCs w:val="20"/>
          <w:lang w:val="it-IT"/>
        </w:rPr>
        <w:t xml:space="preserve"> committen</w:t>
      </w:r>
      <w:r w:rsidR="00C3200D" w:rsidRPr="00007685">
        <w:rPr>
          <w:rFonts w:ascii="Times New Roman" w:hAnsi="Times New Roman" w:cs="Times New Roman"/>
          <w:sz w:val="20"/>
          <w:szCs w:val="20"/>
          <w:lang w:val="it-IT"/>
        </w:rPr>
        <w:t>za pubblica</w:t>
      </w:r>
      <w:r w:rsidRPr="00007685">
        <w:rPr>
          <w:rFonts w:ascii="Times New Roman" w:hAnsi="Times New Roman" w:cs="Times New Roman"/>
          <w:sz w:val="20"/>
          <w:szCs w:val="20"/>
          <w:lang w:val="it-IT"/>
        </w:rPr>
        <w:t xml:space="preserve"> è innovazione? </w:t>
      </w:r>
      <w:r w:rsidR="00C3200D" w:rsidRPr="00007685">
        <w:rPr>
          <w:rFonts w:ascii="Times New Roman" w:hAnsi="Times New Roman" w:cs="Times New Roman"/>
          <w:sz w:val="20"/>
          <w:szCs w:val="20"/>
          <w:lang w:val="it-IT"/>
        </w:rPr>
        <w:t xml:space="preserve">– </w:t>
      </w:r>
      <w:r w:rsidRPr="00007685">
        <w:rPr>
          <w:rFonts w:ascii="Times New Roman" w:hAnsi="Times New Roman" w:cs="Times New Roman"/>
          <w:sz w:val="20"/>
          <w:szCs w:val="20"/>
          <w:lang w:val="it-IT"/>
        </w:rPr>
        <w:t>2</w:t>
      </w:r>
      <w:r w:rsidR="00C3200D" w:rsidRPr="00007685">
        <w:rPr>
          <w:rFonts w:ascii="Times New Roman" w:hAnsi="Times New Roman" w:cs="Times New Roman"/>
          <w:sz w:val="20"/>
          <w:szCs w:val="20"/>
          <w:lang w:val="it-IT"/>
        </w:rPr>
        <w:t>.</w:t>
      </w:r>
      <w:r w:rsidRPr="00007685">
        <w:rPr>
          <w:rFonts w:ascii="Times New Roman" w:hAnsi="Times New Roman" w:cs="Times New Roman"/>
          <w:sz w:val="20"/>
          <w:szCs w:val="20"/>
          <w:lang w:val="it-IT"/>
        </w:rPr>
        <w:t xml:space="preserve"> Il quadro internazionale ed </w:t>
      </w:r>
      <w:r w:rsidR="00274474" w:rsidRPr="00007685">
        <w:rPr>
          <w:rFonts w:ascii="Times New Roman" w:hAnsi="Times New Roman" w:cs="Times New Roman"/>
          <w:sz w:val="20"/>
          <w:szCs w:val="20"/>
          <w:lang w:val="it-IT"/>
        </w:rPr>
        <w:t>euro</w:t>
      </w:r>
      <w:r w:rsidR="00484249" w:rsidRPr="00007685">
        <w:rPr>
          <w:rFonts w:ascii="Times New Roman" w:hAnsi="Times New Roman" w:cs="Times New Roman"/>
          <w:sz w:val="20"/>
          <w:szCs w:val="20"/>
          <w:lang w:val="it-IT"/>
        </w:rPr>
        <w:t>pe</w:t>
      </w:r>
      <w:r w:rsidR="00274474" w:rsidRPr="00007685">
        <w:rPr>
          <w:rFonts w:ascii="Times New Roman" w:hAnsi="Times New Roman" w:cs="Times New Roman"/>
          <w:sz w:val="20"/>
          <w:szCs w:val="20"/>
          <w:lang w:val="it-IT"/>
        </w:rPr>
        <w:t>o</w:t>
      </w:r>
      <w:r w:rsidRP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w:t>
      </w:r>
      <w:r w:rsidR="00007685" w:rsidRP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2.1. La professionalizzazione a livello internazionale</w:t>
      </w:r>
      <w:r w:rsidR="00007685">
        <w:rPr>
          <w:rFonts w:ascii="Times New Roman" w:hAnsi="Times New Roman" w:cs="Times New Roman"/>
          <w:sz w:val="20"/>
          <w:szCs w:val="20"/>
          <w:lang w:val="it-IT"/>
        </w:rPr>
        <w:t xml:space="preserve">. </w:t>
      </w:r>
      <w:r w:rsidR="00007685" w:rsidRP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2.2</w:t>
      </w:r>
      <w:r w:rsid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Le azioni nell’Unione Europea</w:t>
      </w:r>
      <w:r w:rsidR="00007685">
        <w:rPr>
          <w:rFonts w:ascii="Times New Roman" w:hAnsi="Times New Roman" w:cs="Times New Roman"/>
          <w:sz w:val="20"/>
          <w:szCs w:val="20"/>
          <w:lang w:val="it-IT"/>
        </w:rPr>
        <w:t xml:space="preserve">. </w:t>
      </w:r>
      <w:r w:rsidR="00007685" w:rsidRP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w:t>
      </w:r>
      <w:r w:rsidRPr="00007685">
        <w:rPr>
          <w:rFonts w:ascii="Times New Roman" w:hAnsi="Times New Roman" w:cs="Times New Roman"/>
          <w:sz w:val="20"/>
          <w:szCs w:val="20"/>
          <w:lang w:val="it-IT"/>
        </w:rPr>
        <w:t>3</w:t>
      </w:r>
      <w:r w:rsidR="00007685">
        <w:rPr>
          <w:rFonts w:ascii="Times New Roman" w:hAnsi="Times New Roman" w:cs="Times New Roman"/>
          <w:sz w:val="20"/>
          <w:szCs w:val="20"/>
          <w:lang w:val="it-IT"/>
        </w:rPr>
        <w:t>.</w:t>
      </w:r>
      <w:r w:rsidR="00C3200D" w:rsidRPr="00007685">
        <w:rPr>
          <w:rFonts w:ascii="Times New Roman" w:hAnsi="Times New Roman" w:cs="Times New Roman"/>
          <w:sz w:val="20"/>
          <w:szCs w:val="20"/>
          <w:lang w:val="it-IT"/>
        </w:rPr>
        <w:t xml:space="preserve"> Professionalizzare l’acquirente pubblico</w:t>
      </w:r>
      <w:r w:rsidRPr="00007685">
        <w:rPr>
          <w:rFonts w:ascii="Times New Roman" w:hAnsi="Times New Roman" w:cs="Times New Roman"/>
          <w:sz w:val="20"/>
          <w:szCs w:val="20"/>
          <w:lang w:val="it-IT"/>
        </w:rPr>
        <w:t xml:space="preserve"> in Italia</w:t>
      </w:r>
      <w:r w:rsidR="00007685">
        <w:rPr>
          <w:rFonts w:ascii="Times New Roman" w:hAnsi="Times New Roman" w:cs="Times New Roman"/>
          <w:sz w:val="20"/>
          <w:szCs w:val="20"/>
          <w:lang w:val="it-IT"/>
        </w:rPr>
        <w:t xml:space="preserve">. </w:t>
      </w:r>
      <w:r w:rsidR="00007685" w:rsidRPr="00007685">
        <w:rPr>
          <w:rFonts w:ascii="Times New Roman" w:hAnsi="Times New Roman" w:cs="Times New Roman"/>
          <w:sz w:val="20"/>
          <w:szCs w:val="20"/>
          <w:lang w:val="it-IT"/>
        </w:rPr>
        <w:t>–</w:t>
      </w:r>
      <w:r w:rsidRPr="00007685">
        <w:rPr>
          <w:rFonts w:ascii="Times New Roman" w:hAnsi="Times New Roman" w:cs="Times New Roman"/>
          <w:sz w:val="20"/>
          <w:szCs w:val="20"/>
          <w:lang w:val="it-IT"/>
        </w:rPr>
        <w:t xml:space="preserve"> 4</w:t>
      </w:r>
      <w:r w:rsidR="00007685">
        <w:rPr>
          <w:rFonts w:ascii="Times New Roman" w:hAnsi="Times New Roman" w:cs="Times New Roman"/>
          <w:sz w:val="20"/>
          <w:szCs w:val="20"/>
          <w:lang w:val="it-IT"/>
        </w:rPr>
        <w:t>.</w:t>
      </w:r>
      <w:r w:rsidRPr="00007685">
        <w:rPr>
          <w:rFonts w:ascii="Times New Roman" w:hAnsi="Times New Roman" w:cs="Times New Roman"/>
          <w:sz w:val="20"/>
          <w:szCs w:val="20"/>
          <w:lang w:val="it-IT"/>
        </w:rPr>
        <w:t xml:space="preserve"> </w:t>
      </w:r>
      <w:r w:rsidR="00C3200D" w:rsidRPr="00007685">
        <w:rPr>
          <w:rFonts w:ascii="Times New Roman" w:hAnsi="Times New Roman" w:cs="Times New Roman"/>
          <w:sz w:val="20"/>
          <w:szCs w:val="20"/>
          <w:lang w:val="it-IT"/>
        </w:rPr>
        <w:t>La soluzione</w:t>
      </w:r>
      <w:r w:rsidRPr="00007685">
        <w:rPr>
          <w:rFonts w:ascii="Times New Roman" w:hAnsi="Times New Roman" w:cs="Times New Roman"/>
          <w:sz w:val="20"/>
          <w:szCs w:val="20"/>
          <w:lang w:val="it-IT"/>
        </w:rPr>
        <w:t xml:space="preserve"> della Provincia Autonoma di Bolzano. </w:t>
      </w:r>
      <w:r w:rsidR="00007685" w:rsidRPr="00007685">
        <w:rPr>
          <w:rFonts w:ascii="Times New Roman" w:hAnsi="Times New Roman" w:cs="Times New Roman"/>
          <w:sz w:val="20"/>
          <w:szCs w:val="20"/>
          <w:lang w:val="it-IT"/>
        </w:rPr>
        <w:t>–</w:t>
      </w:r>
      <w:r w:rsidR="00007685">
        <w:rPr>
          <w:rFonts w:ascii="Times New Roman" w:hAnsi="Times New Roman" w:cs="Times New Roman"/>
          <w:sz w:val="20"/>
          <w:szCs w:val="20"/>
          <w:lang w:val="it-IT"/>
        </w:rPr>
        <w:t xml:space="preserve"> </w:t>
      </w:r>
      <w:r w:rsidR="0011170C" w:rsidRPr="00007685">
        <w:rPr>
          <w:rFonts w:ascii="Times New Roman" w:hAnsi="Times New Roman" w:cs="Times New Roman"/>
          <w:sz w:val="20"/>
          <w:szCs w:val="20"/>
          <w:lang w:val="it-IT"/>
        </w:rPr>
        <w:t>5</w:t>
      </w:r>
      <w:r w:rsidR="00007685">
        <w:rPr>
          <w:rFonts w:ascii="Times New Roman" w:hAnsi="Times New Roman" w:cs="Times New Roman"/>
          <w:sz w:val="20"/>
          <w:szCs w:val="20"/>
          <w:lang w:val="it-IT"/>
        </w:rPr>
        <w:t>.</w:t>
      </w:r>
      <w:r w:rsidRPr="00007685">
        <w:rPr>
          <w:rFonts w:ascii="Times New Roman" w:hAnsi="Times New Roman" w:cs="Times New Roman"/>
          <w:sz w:val="20"/>
          <w:szCs w:val="20"/>
          <w:lang w:val="it-IT"/>
        </w:rPr>
        <w:t xml:space="preserve"> Conclusioni.</w:t>
      </w:r>
    </w:p>
    <w:p w14:paraId="0B4B8DDF" w14:textId="77777777" w:rsidR="00994A59" w:rsidRPr="00F76362" w:rsidRDefault="00994A59" w:rsidP="00007685">
      <w:pPr>
        <w:spacing w:line="276" w:lineRule="auto"/>
        <w:rPr>
          <w:rFonts w:ascii="Times New Roman" w:hAnsi="Times New Roman" w:cs="Times New Roman"/>
          <w:lang w:val="it-IT"/>
        </w:rPr>
      </w:pPr>
    </w:p>
    <w:p w14:paraId="6F01C2D3" w14:textId="77777777" w:rsidR="001C5D2D" w:rsidRPr="00F76362" w:rsidRDefault="001C5D2D" w:rsidP="00007685">
      <w:pPr>
        <w:spacing w:line="276" w:lineRule="auto"/>
        <w:rPr>
          <w:rFonts w:ascii="Times New Roman" w:hAnsi="Times New Roman" w:cs="Times New Roman"/>
          <w:lang w:val="it-IT"/>
        </w:rPr>
      </w:pPr>
    </w:p>
    <w:p w14:paraId="420F0C8A" w14:textId="18A08656" w:rsidR="001C5D2D" w:rsidRPr="00F76362" w:rsidRDefault="00274474" w:rsidP="00007685">
      <w:pPr>
        <w:spacing w:line="276" w:lineRule="auto"/>
        <w:rPr>
          <w:rFonts w:ascii="Times New Roman" w:hAnsi="Times New Roman" w:cs="Times New Roman"/>
          <w:b/>
          <w:bCs/>
          <w:lang w:val="it-IT"/>
        </w:rPr>
      </w:pPr>
      <w:r w:rsidRPr="00F76362">
        <w:rPr>
          <w:rFonts w:ascii="Times New Roman" w:hAnsi="Times New Roman" w:cs="Times New Roman"/>
          <w:b/>
          <w:bCs/>
          <w:lang w:val="it-IT"/>
        </w:rPr>
        <w:t>1</w:t>
      </w:r>
      <w:r w:rsidR="00BC3533">
        <w:rPr>
          <w:rFonts w:ascii="Times New Roman" w:hAnsi="Times New Roman" w:cs="Times New Roman"/>
          <w:b/>
          <w:bCs/>
          <w:lang w:val="it-IT"/>
        </w:rPr>
        <w:t>.</w:t>
      </w:r>
      <w:r w:rsidRPr="00F76362">
        <w:rPr>
          <w:rFonts w:ascii="Times New Roman" w:hAnsi="Times New Roman" w:cs="Times New Roman"/>
          <w:b/>
          <w:bCs/>
          <w:lang w:val="it-IT"/>
        </w:rPr>
        <w:t xml:space="preserve"> Perché </w:t>
      </w:r>
      <w:r w:rsidR="00C3200D">
        <w:rPr>
          <w:rFonts w:ascii="Times New Roman" w:hAnsi="Times New Roman" w:cs="Times New Roman"/>
          <w:b/>
          <w:bCs/>
          <w:lang w:val="it-IT"/>
        </w:rPr>
        <w:t xml:space="preserve">la </w:t>
      </w:r>
      <w:r w:rsidRPr="00F76362">
        <w:rPr>
          <w:rFonts w:ascii="Times New Roman" w:hAnsi="Times New Roman" w:cs="Times New Roman"/>
          <w:b/>
          <w:bCs/>
          <w:lang w:val="it-IT"/>
        </w:rPr>
        <w:t>professionalizza</w:t>
      </w:r>
      <w:r w:rsidR="00C3200D">
        <w:rPr>
          <w:rFonts w:ascii="Times New Roman" w:hAnsi="Times New Roman" w:cs="Times New Roman"/>
          <w:b/>
          <w:bCs/>
          <w:lang w:val="it-IT"/>
        </w:rPr>
        <w:t>zione</w:t>
      </w:r>
      <w:r w:rsidRPr="00F76362">
        <w:rPr>
          <w:rFonts w:ascii="Times New Roman" w:hAnsi="Times New Roman" w:cs="Times New Roman"/>
          <w:b/>
          <w:bCs/>
          <w:lang w:val="it-IT"/>
        </w:rPr>
        <w:t xml:space="preserve"> </w:t>
      </w:r>
      <w:r w:rsidR="00C3200D">
        <w:rPr>
          <w:rFonts w:ascii="Times New Roman" w:hAnsi="Times New Roman" w:cs="Times New Roman"/>
          <w:b/>
          <w:bCs/>
          <w:lang w:val="it-IT"/>
        </w:rPr>
        <w:t>della</w:t>
      </w:r>
      <w:r w:rsidRPr="00F76362">
        <w:rPr>
          <w:rFonts w:ascii="Times New Roman" w:hAnsi="Times New Roman" w:cs="Times New Roman"/>
          <w:b/>
          <w:bCs/>
          <w:lang w:val="it-IT"/>
        </w:rPr>
        <w:t xml:space="preserve"> committen</w:t>
      </w:r>
      <w:r w:rsidR="00C3200D">
        <w:rPr>
          <w:rFonts w:ascii="Times New Roman" w:hAnsi="Times New Roman" w:cs="Times New Roman"/>
          <w:b/>
          <w:bCs/>
          <w:lang w:val="it-IT"/>
        </w:rPr>
        <w:t xml:space="preserve">za pubblica </w:t>
      </w:r>
      <w:r w:rsidRPr="00F76362">
        <w:rPr>
          <w:rFonts w:ascii="Times New Roman" w:hAnsi="Times New Roman" w:cs="Times New Roman"/>
          <w:b/>
          <w:bCs/>
          <w:lang w:val="it-IT"/>
        </w:rPr>
        <w:t>è innovazione?</w:t>
      </w:r>
    </w:p>
    <w:p w14:paraId="4D1C3764" w14:textId="77777777" w:rsidR="004A7925" w:rsidRDefault="004A7925" w:rsidP="00007685">
      <w:pPr>
        <w:spacing w:line="276" w:lineRule="auto"/>
        <w:jc w:val="both"/>
        <w:rPr>
          <w:rFonts w:ascii="Times New Roman" w:hAnsi="Times New Roman" w:cs="Times New Roman"/>
          <w:lang w:val="it-IT"/>
        </w:rPr>
      </w:pPr>
    </w:p>
    <w:p w14:paraId="29FC2D5E" w14:textId="396B1EB1" w:rsidR="004A7925" w:rsidRDefault="006A10D7" w:rsidP="00007685">
      <w:pPr>
        <w:spacing w:line="276" w:lineRule="auto"/>
        <w:ind w:firstLine="708"/>
        <w:jc w:val="both"/>
        <w:rPr>
          <w:rFonts w:ascii="Times New Roman" w:hAnsi="Times New Roman" w:cs="Times New Roman"/>
          <w:lang w:val="it-IT"/>
        </w:rPr>
      </w:pPr>
      <w:r w:rsidRPr="00F76362">
        <w:rPr>
          <w:rFonts w:ascii="Times New Roman" w:hAnsi="Times New Roman" w:cs="Times New Roman"/>
          <w:lang w:val="it-IT"/>
        </w:rPr>
        <w:t xml:space="preserve">Cercare l'innovazione degli appalti pubblici nella professionalizzazione della committenza </w:t>
      </w:r>
      <w:r w:rsidR="00855203" w:rsidRPr="00F76362">
        <w:rPr>
          <w:rFonts w:ascii="Times New Roman" w:hAnsi="Times New Roman" w:cs="Times New Roman"/>
          <w:lang w:val="it-IT"/>
        </w:rPr>
        <w:t xml:space="preserve">può </w:t>
      </w:r>
      <w:r w:rsidR="002A0609" w:rsidRPr="00F76362">
        <w:rPr>
          <w:rFonts w:ascii="Times New Roman" w:hAnsi="Times New Roman" w:cs="Times New Roman"/>
          <w:lang w:val="it-IT"/>
        </w:rPr>
        <w:t xml:space="preserve">a prima vista </w:t>
      </w:r>
      <w:r w:rsidRPr="00F76362">
        <w:rPr>
          <w:rFonts w:ascii="Times New Roman" w:hAnsi="Times New Roman" w:cs="Times New Roman"/>
          <w:lang w:val="it-IT"/>
        </w:rPr>
        <w:t xml:space="preserve">sembrare </w:t>
      </w:r>
      <w:r w:rsidR="00855203">
        <w:rPr>
          <w:rFonts w:ascii="Times New Roman" w:hAnsi="Times New Roman" w:cs="Times New Roman"/>
          <w:lang w:val="it-IT"/>
        </w:rPr>
        <w:t>strano</w:t>
      </w:r>
      <w:r w:rsidRPr="00F76362">
        <w:rPr>
          <w:rFonts w:ascii="Times New Roman" w:hAnsi="Times New Roman" w:cs="Times New Roman"/>
          <w:lang w:val="it-IT"/>
        </w:rPr>
        <w:t>, ma in verità non è così: innovazione è </w:t>
      </w:r>
      <w:r w:rsidRPr="00F76362">
        <w:rPr>
          <w:rFonts w:ascii="Times New Roman" w:hAnsi="Times New Roman" w:cs="Times New Roman"/>
          <w:i/>
          <w:iCs/>
          <w:lang w:val="it-IT"/>
        </w:rPr>
        <w:t>l’atto, l’opera di innovare, cioè di introdurre nuovi sistemi, nuovi ordinamenti, nuovi metodi di produzione. In senso concreto, ogni novità, mutamento, trasformazione che modifichi radicalmente o provochi comunque un efficace svecchiamento in un ordinamento politico o sociale, in un metodo di produzione, in una tecnica</w:t>
      </w:r>
      <w:r w:rsidRPr="00F76362">
        <w:rPr>
          <w:rFonts w:ascii="Times New Roman" w:hAnsi="Times New Roman" w:cs="Times New Roman"/>
          <w:lang w:val="it-IT"/>
        </w:rPr>
        <w:t>.</w:t>
      </w:r>
      <w:r w:rsidRPr="00F76362">
        <w:rPr>
          <w:rStyle w:val="Rimandonotaapidipagina"/>
          <w:rFonts w:ascii="Times New Roman" w:hAnsi="Times New Roman" w:cs="Times New Roman"/>
          <w:lang w:val="it-IT"/>
        </w:rPr>
        <w:footnoteReference w:id="2"/>
      </w:r>
      <w:r w:rsidR="00766571">
        <w:rPr>
          <w:rFonts w:ascii="Times New Roman" w:hAnsi="Times New Roman" w:cs="Times New Roman"/>
          <w:lang w:val="it-IT"/>
        </w:rPr>
        <w:t xml:space="preserve"> </w:t>
      </w:r>
    </w:p>
    <w:p w14:paraId="015F71A6" w14:textId="77777777" w:rsidR="004A7925" w:rsidRDefault="004A7925" w:rsidP="00007685">
      <w:pPr>
        <w:spacing w:line="276" w:lineRule="auto"/>
        <w:jc w:val="both"/>
        <w:rPr>
          <w:rFonts w:ascii="Times New Roman" w:hAnsi="Times New Roman" w:cs="Times New Roman"/>
          <w:lang w:val="it-IT"/>
        </w:rPr>
      </w:pPr>
    </w:p>
    <w:p w14:paraId="5BB8146A" w14:textId="108EE4B2" w:rsidR="001C5D2D" w:rsidRPr="00F76362" w:rsidRDefault="006A10D7" w:rsidP="00007685">
      <w:pPr>
        <w:spacing w:line="276" w:lineRule="auto"/>
        <w:ind w:firstLine="708"/>
        <w:jc w:val="both"/>
        <w:rPr>
          <w:rFonts w:ascii="Times New Roman" w:hAnsi="Times New Roman" w:cs="Times New Roman"/>
          <w:lang w:val="it-IT"/>
        </w:rPr>
      </w:pPr>
      <w:r w:rsidRPr="00F76362">
        <w:rPr>
          <w:rFonts w:ascii="Times New Roman" w:hAnsi="Times New Roman" w:cs="Times New Roman"/>
          <w:lang w:val="it-IT"/>
        </w:rPr>
        <w:t xml:space="preserve">Professionalizzare una struttura </w:t>
      </w:r>
      <w:r w:rsidR="00B7728A" w:rsidRPr="00F76362">
        <w:rPr>
          <w:rFonts w:ascii="Times New Roman" w:hAnsi="Times New Roman" w:cs="Times New Roman"/>
          <w:lang w:val="it-IT"/>
        </w:rPr>
        <w:t xml:space="preserve">significa </w:t>
      </w:r>
      <w:r w:rsidRPr="00F76362">
        <w:rPr>
          <w:rFonts w:ascii="Times New Roman" w:hAnsi="Times New Roman" w:cs="Times New Roman"/>
          <w:lang w:val="it-IT"/>
        </w:rPr>
        <w:t>renderla più efficiente e</w:t>
      </w:r>
      <w:r w:rsidR="00B7728A">
        <w:rPr>
          <w:rFonts w:ascii="Times New Roman" w:hAnsi="Times New Roman" w:cs="Times New Roman"/>
          <w:lang w:val="it-IT"/>
        </w:rPr>
        <w:t>d</w:t>
      </w:r>
      <w:r w:rsidRPr="00F76362">
        <w:rPr>
          <w:rFonts w:ascii="Times New Roman" w:hAnsi="Times New Roman" w:cs="Times New Roman"/>
          <w:lang w:val="it-IT"/>
        </w:rPr>
        <w:t xml:space="preserve"> </w:t>
      </w:r>
      <w:r w:rsidR="00392B76">
        <w:rPr>
          <w:rFonts w:ascii="Times New Roman" w:hAnsi="Times New Roman" w:cs="Times New Roman"/>
          <w:lang w:val="it-IT"/>
        </w:rPr>
        <w:t>apportare</w:t>
      </w:r>
      <w:r w:rsidRPr="00F76362">
        <w:rPr>
          <w:rFonts w:ascii="Times New Roman" w:hAnsi="Times New Roman" w:cs="Times New Roman"/>
          <w:lang w:val="it-IT"/>
        </w:rPr>
        <w:t xml:space="preserve"> un cambiamento </w:t>
      </w:r>
      <w:r w:rsidR="00274474" w:rsidRPr="00F76362">
        <w:rPr>
          <w:rFonts w:ascii="Times New Roman" w:hAnsi="Times New Roman" w:cs="Times New Roman"/>
          <w:lang w:val="it-IT"/>
        </w:rPr>
        <w:t xml:space="preserve">sostenibile della prassi amministrativa dell’ente. Non </w:t>
      </w:r>
      <w:r w:rsidR="00855203">
        <w:rPr>
          <w:rFonts w:ascii="Times New Roman" w:hAnsi="Times New Roman" w:cs="Times New Roman"/>
          <w:lang w:val="it-IT"/>
        </w:rPr>
        <w:t xml:space="preserve">è la sola </w:t>
      </w:r>
      <w:r w:rsidR="00274474" w:rsidRPr="00F76362">
        <w:rPr>
          <w:rFonts w:ascii="Times New Roman" w:hAnsi="Times New Roman" w:cs="Times New Roman"/>
          <w:lang w:val="it-IT"/>
        </w:rPr>
        <w:t xml:space="preserve">innovazione tecnologica, che negli appalti pubblici è </w:t>
      </w:r>
      <w:r w:rsidR="00855203">
        <w:rPr>
          <w:rFonts w:ascii="Times New Roman" w:hAnsi="Times New Roman" w:cs="Times New Roman"/>
          <w:lang w:val="it-IT"/>
        </w:rPr>
        <w:t>rappresentata dal</w:t>
      </w:r>
      <w:r w:rsidR="00274474" w:rsidRPr="00F76362">
        <w:rPr>
          <w:rFonts w:ascii="Times New Roman" w:hAnsi="Times New Roman" w:cs="Times New Roman"/>
          <w:lang w:val="it-IT"/>
        </w:rPr>
        <w:t xml:space="preserve">la pubblicità e </w:t>
      </w:r>
      <w:r w:rsidR="00855203">
        <w:rPr>
          <w:rFonts w:ascii="Times New Roman" w:hAnsi="Times New Roman" w:cs="Times New Roman"/>
          <w:lang w:val="it-IT"/>
        </w:rPr>
        <w:t>dal</w:t>
      </w:r>
      <w:r w:rsidR="00274474" w:rsidRPr="00F76362">
        <w:rPr>
          <w:rFonts w:ascii="Times New Roman" w:hAnsi="Times New Roman" w:cs="Times New Roman"/>
          <w:lang w:val="it-IT"/>
        </w:rPr>
        <w:t xml:space="preserve">la trasparenza dei </w:t>
      </w:r>
      <w:r w:rsidR="00274474" w:rsidRPr="00B7728A">
        <w:rPr>
          <w:rFonts w:ascii="Times New Roman" w:hAnsi="Times New Roman" w:cs="Times New Roman"/>
          <w:lang w:val="it-IT"/>
        </w:rPr>
        <w:t xml:space="preserve">processi attraverso la digitalizzazione, ma anche l’innovazione tramite un approccio diverso della </w:t>
      </w:r>
      <w:r w:rsidR="004A7925" w:rsidRPr="00B7728A">
        <w:rPr>
          <w:rFonts w:ascii="Times New Roman" w:hAnsi="Times New Roman" w:cs="Times New Roman"/>
          <w:lang w:val="it-IT"/>
        </w:rPr>
        <w:t>tradizionale</w:t>
      </w:r>
      <w:r w:rsidR="004A7925">
        <w:rPr>
          <w:rFonts w:ascii="Times New Roman" w:hAnsi="Times New Roman" w:cs="Times New Roman"/>
          <w:lang w:val="it-IT"/>
        </w:rPr>
        <w:t xml:space="preserve"> </w:t>
      </w:r>
      <w:r w:rsidR="00274474" w:rsidRPr="00F76362">
        <w:rPr>
          <w:rFonts w:ascii="Times New Roman" w:hAnsi="Times New Roman" w:cs="Times New Roman"/>
          <w:lang w:val="it-IT"/>
        </w:rPr>
        <w:t xml:space="preserve">prassi amministrativa. </w:t>
      </w:r>
      <w:r w:rsidR="00A01C66" w:rsidRPr="00F76362">
        <w:rPr>
          <w:rFonts w:ascii="Times New Roman" w:hAnsi="Times New Roman" w:cs="Times New Roman"/>
          <w:lang w:val="it-IT"/>
        </w:rPr>
        <w:t xml:space="preserve">Quasi ogni struttura pubblica è anche un ente committente, sono pochissimi i casi dove organizzazioni </w:t>
      </w:r>
      <w:r w:rsidR="00A01C66" w:rsidRPr="00B7728A">
        <w:rPr>
          <w:rFonts w:ascii="Times New Roman" w:hAnsi="Times New Roman" w:cs="Times New Roman"/>
          <w:lang w:val="it-IT"/>
        </w:rPr>
        <w:t>della Pubblica Amministrazione non affidano delle commesse a terzi. Con la crescente armonizzazione</w:t>
      </w:r>
      <w:r w:rsidR="00A01C66" w:rsidRPr="00F76362">
        <w:rPr>
          <w:rFonts w:ascii="Times New Roman" w:hAnsi="Times New Roman" w:cs="Times New Roman"/>
          <w:lang w:val="it-IT"/>
        </w:rPr>
        <w:t xml:space="preserve"> </w:t>
      </w:r>
      <w:r w:rsidR="004A7925">
        <w:rPr>
          <w:rFonts w:ascii="Times New Roman" w:hAnsi="Times New Roman" w:cs="Times New Roman"/>
          <w:lang w:val="it-IT"/>
        </w:rPr>
        <w:t xml:space="preserve">europea </w:t>
      </w:r>
      <w:r w:rsidR="00A01C66" w:rsidRPr="00F76362">
        <w:rPr>
          <w:rFonts w:ascii="Times New Roman" w:hAnsi="Times New Roman" w:cs="Times New Roman"/>
          <w:lang w:val="it-IT"/>
        </w:rPr>
        <w:t xml:space="preserve">del diritto degli appalti si </w:t>
      </w:r>
      <w:r w:rsidR="00833D3C">
        <w:rPr>
          <w:rFonts w:ascii="Times New Roman" w:hAnsi="Times New Roman" w:cs="Times New Roman"/>
          <w:lang w:val="it-IT"/>
        </w:rPr>
        <w:t>può</w:t>
      </w:r>
      <w:r w:rsidR="00A01C66" w:rsidRPr="00F76362">
        <w:rPr>
          <w:rFonts w:ascii="Times New Roman" w:hAnsi="Times New Roman" w:cs="Times New Roman"/>
          <w:lang w:val="it-IT"/>
        </w:rPr>
        <w:t xml:space="preserve"> osservare anche una crescente specializzazione della materia</w:t>
      </w:r>
      <w:r w:rsidR="00833D3C">
        <w:rPr>
          <w:rFonts w:ascii="Times New Roman" w:hAnsi="Times New Roman" w:cs="Times New Roman"/>
          <w:lang w:val="it-IT"/>
        </w:rPr>
        <w:t>.</w:t>
      </w:r>
      <w:r w:rsidR="00A01C66" w:rsidRPr="00F76362">
        <w:rPr>
          <w:rFonts w:ascii="Times New Roman" w:hAnsi="Times New Roman" w:cs="Times New Roman"/>
          <w:lang w:val="it-IT"/>
        </w:rPr>
        <w:t xml:space="preserve"> </w:t>
      </w:r>
      <w:r w:rsidR="00833D3C">
        <w:rPr>
          <w:rFonts w:ascii="Times New Roman" w:hAnsi="Times New Roman" w:cs="Times New Roman"/>
          <w:lang w:val="it-IT"/>
        </w:rPr>
        <w:t>S</w:t>
      </w:r>
      <w:r w:rsidR="00A01C66" w:rsidRPr="00F76362">
        <w:rPr>
          <w:rFonts w:ascii="Times New Roman" w:hAnsi="Times New Roman" w:cs="Times New Roman"/>
          <w:lang w:val="it-IT"/>
        </w:rPr>
        <w:t xml:space="preserve">e anni fa </w:t>
      </w:r>
      <w:r w:rsidR="008C6CE5" w:rsidRPr="00F76362">
        <w:rPr>
          <w:rFonts w:ascii="Times New Roman" w:hAnsi="Times New Roman" w:cs="Times New Roman"/>
          <w:lang w:val="it-IT"/>
        </w:rPr>
        <w:t xml:space="preserve">in una struttura pubblica </w:t>
      </w:r>
      <w:r w:rsidR="00B7728A" w:rsidRPr="00F76362">
        <w:rPr>
          <w:rFonts w:ascii="Times New Roman" w:hAnsi="Times New Roman" w:cs="Times New Roman"/>
          <w:lang w:val="it-IT"/>
        </w:rPr>
        <w:t xml:space="preserve">media </w:t>
      </w:r>
      <w:r w:rsidR="008C6CE5" w:rsidRPr="00F76362">
        <w:rPr>
          <w:rFonts w:ascii="Times New Roman" w:hAnsi="Times New Roman" w:cs="Times New Roman"/>
          <w:lang w:val="it-IT"/>
        </w:rPr>
        <w:t xml:space="preserve">un collaboratore poteva gestire procedure d’appalto con un carico normale, oggi non è più così: tra digitalizzazione, effetti di trasparenza ed anticorruzione, ma anche regole più dettagliate e contestualmente più complesse, </w:t>
      </w:r>
      <w:r w:rsidR="00B7728A">
        <w:rPr>
          <w:rFonts w:ascii="Times New Roman" w:hAnsi="Times New Roman" w:cs="Times New Roman"/>
          <w:lang w:val="it-IT"/>
        </w:rPr>
        <w:t>occuparsi di</w:t>
      </w:r>
      <w:r w:rsidR="008C6CE5" w:rsidRPr="00F76362">
        <w:rPr>
          <w:rFonts w:ascii="Times New Roman" w:hAnsi="Times New Roman" w:cs="Times New Roman"/>
          <w:lang w:val="it-IT"/>
        </w:rPr>
        <w:t xml:space="preserve"> questo settore è diventato molto più impegnativo. Da qui nasce la duplice necessità di rendere più efficiente la struttura attraverso nuovi sistemi di organizzazione e mettere le persone nelle condizioni di crescere professionalmente. </w:t>
      </w:r>
    </w:p>
    <w:p w14:paraId="624B297F" w14:textId="77777777" w:rsidR="004A7925" w:rsidRDefault="004A7925" w:rsidP="00007685">
      <w:pPr>
        <w:spacing w:line="276" w:lineRule="auto"/>
        <w:jc w:val="both"/>
        <w:rPr>
          <w:rFonts w:ascii="Times New Roman" w:hAnsi="Times New Roman" w:cs="Times New Roman"/>
          <w:lang w:val="it-IT"/>
        </w:rPr>
      </w:pPr>
    </w:p>
    <w:p w14:paraId="629711B7" w14:textId="7BD4628D" w:rsidR="00DD2E1D" w:rsidRPr="00F76362" w:rsidRDefault="00DD2E1D" w:rsidP="00007685">
      <w:pPr>
        <w:spacing w:line="276" w:lineRule="auto"/>
        <w:ind w:firstLine="708"/>
        <w:jc w:val="both"/>
        <w:rPr>
          <w:rFonts w:ascii="Times New Roman" w:hAnsi="Times New Roman" w:cs="Times New Roman"/>
          <w:lang w:val="it-IT"/>
        </w:rPr>
      </w:pPr>
      <w:r w:rsidRPr="00F76362">
        <w:rPr>
          <w:rFonts w:ascii="Times New Roman" w:hAnsi="Times New Roman" w:cs="Times New Roman"/>
          <w:lang w:val="it-IT"/>
        </w:rPr>
        <w:t xml:space="preserve">Il tema della professionalizzazione è incardinato in un </w:t>
      </w:r>
      <w:r w:rsidR="004A7925">
        <w:rPr>
          <w:rFonts w:ascii="Times New Roman" w:hAnsi="Times New Roman" w:cs="Times New Roman"/>
          <w:lang w:val="it-IT"/>
        </w:rPr>
        <w:t>contesto</w:t>
      </w:r>
      <w:r w:rsidRPr="00F76362">
        <w:rPr>
          <w:rFonts w:ascii="Times New Roman" w:hAnsi="Times New Roman" w:cs="Times New Roman"/>
          <w:lang w:val="it-IT"/>
        </w:rPr>
        <w:t xml:space="preserve"> più ampio, che definisce la riorganizzazione delle stazioni appaltanti attraverso una standardizzazione, aggregazione e qualificazione. A questi fini interessa principalmente la professionalizzazione delle persone che compongono stazioni appaltanti ed enti aggiudicatori. </w:t>
      </w:r>
      <w:r w:rsidR="00B7728A">
        <w:rPr>
          <w:rFonts w:ascii="Times New Roman" w:hAnsi="Times New Roman" w:cs="Times New Roman"/>
          <w:lang w:val="it-IT"/>
        </w:rPr>
        <w:t>D</w:t>
      </w:r>
      <w:r w:rsidRPr="00F76362">
        <w:rPr>
          <w:rFonts w:ascii="Times New Roman" w:hAnsi="Times New Roman" w:cs="Times New Roman"/>
          <w:lang w:val="it-IT"/>
        </w:rPr>
        <w:t>a molto tempo</w:t>
      </w:r>
      <w:r w:rsidR="00B7728A">
        <w:rPr>
          <w:rFonts w:ascii="Times New Roman" w:hAnsi="Times New Roman" w:cs="Times New Roman"/>
          <w:lang w:val="it-IT"/>
        </w:rPr>
        <w:t>,</w:t>
      </w:r>
      <w:r w:rsidRPr="00F76362">
        <w:rPr>
          <w:rFonts w:ascii="Times New Roman" w:hAnsi="Times New Roman" w:cs="Times New Roman"/>
          <w:lang w:val="it-IT"/>
        </w:rPr>
        <w:t xml:space="preserve"> </w:t>
      </w:r>
      <w:r w:rsidR="00B7728A">
        <w:rPr>
          <w:rFonts w:ascii="Times New Roman" w:hAnsi="Times New Roman" w:cs="Times New Roman"/>
          <w:lang w:val="it-IT"/>
        </w:rPr>
        <w:t>i</w:t>
      </w:r>
      <w:r w:rsidR="00B7728A" w:rsidRPr="00F76362">
        <w:rPr>
          <w:rFonts w:ascii="Times New Roman" w:hAnsi="Times New Roman" w:cs="Times New Roman"/>
          <w:lang w:val="it-IT"/>
        </w:rPr>
        <w:t>nfatti</w:t>
      </w:r>
      <w:r w:rsidR="00B7728A">
        <w:rPr>
          <w:rFonts w:ascii="Times New Roman" w:hAnsi="Times New Roman" w:cs="Times New Roman"/>
          <w:lang w:val="it-IT"/>
        </w:rPr>
        <w:t>,</w:t>
      </w:r>
      <w:r w:rsidR="00B7728A" w:rsidRPr="00F76362">
        <w:rPr>
          <w:rFonts w:ascii="Times New Roman" w:hAnsi="Times New Roman" w:cs="Times New Roman"/>
          <w:lang w:val="it-IT"/>
        </w:rPr>
        <w:t xml:space="preserve"> </w:t>
      </w:r>
      <w:r w:rsidRPr="00F76362">
        <w:rPr>
          <w:rFonts w:ascii="Times New Roman" w:hAnsi="Times New Roman" w:cs="Times New Roman"/>
          <w:lang w:val="it-IT"/>
        </w:rPr>
        <w:t xml:space="preserve">si cerca di </w:t>
      </w:r>
      <w:r w:rsidRPr="00F76362">
        <w:rPr>
          <w:rFonts w:ascii="Times New Roman" w:hAnsi="Times New Roman" w:cs="Times New Roman"/>
          <w:lang w:val="it-IT"/>
        </w:rPr>
        <w:lastRenderedPageBreak/>
        <w:t>trovare modelli organizzativi</w:t>
      </w:r>
      <w:r w:rsidRPr="00F76362">
        <w:rPr>
          <w:rStyle w:val="Rimandonotaapidipagina"/>
          <w:rFonts w:ascii="Times New Roman" w:hAnsi="Times New Roman" w:cs="Times New Roman"/>
          <w:lang w:val="it-IT"/>
        </w:rPr>
        <w:footnoteReference w:id="3"/>
      </w:r>
      <w:r w:rsidRPr="00F76362">
        <w:rPr>
          <w:rFonts w:ascii="Times New Roman" w:hAnsi="Times New Roman" w:cs="Times New Roman"/>
          <w:lang w:val="it-IT"/>
        </w:rPr>
        <w:t xml:space="preserve"> che possano migliorare la performance negli appalti, ma a partire dalle direttive del 2014 e dal nuovo Codice 2016 si vedono chiari segn</w:t>
      </w:r>
      <w:r w:rsidR="00253B87">
        <w:rPr>
          <w:rFonts w:ascii="Times New Roman" w:hAnsi="Times New Roman" w:cs="Times New Roman"/>
          <w:lang w:val="it-IT"/>
        </w:rPr>
        <w:t>al</w:t>
      </w:r>
      <w:r w:rsidRPr="00F76362">
        <w:rPr>
          <w:rFonts w:ascii="Times New Roman" w:hAnsi="Times New Roman" w:cs="Times New Roman"/>
          <w:lang w:val="it-IT"/>
        </w:rPr>
        <w:t xml:space="preserve">i </w:t>
      </w:r>
      <w:r w:rsidR="00253B87">
        <w:rPr>
          <w:rFonts w:ascii="Times New Roman" w:hAnsi="Times New Roman" w:cs="Times New Roman"/>
          <w:lang w:val="it-IT"/>
        </w:rPr>
        <w:t xml:space="preserve">della volontà </w:t>
      </w:r>
      <w:r w:rsidRPr="00F76362">
        <w:rPr>
          <w:rFonts w:ascii="Times New Roman" w:hAnsi="Times New Roman" w:cs="Times New Roman"/>
          <w:lang w:val="it-IT"/>
        </w:rPr>
        <w:t xml:space="preserve">di introdurre nella </w:t>
      </w:r>
      <w:r w:rsidR="00833D3C">
        <w:rPr>
          <w:rFonts w:ascii="Times New Roman" w:hAnsi="Times New Roman" w:cs="Times New Roman"/>
          <w:lang w:val="it-IT"/>
        </w:rPr>
        <w:t>Pubblica Amministrazione</w:t>
      </w:r>
      <w:r w:rsidRPr="00F76362">
        <w:rPr>
          <w:rFonts w:ascii="Times New Roman" w:hAnsi="Times New Roman" w:cs="Times New Roman"/>
          <w:lang w:val="it-IT"/>
        </w:rPr>
        <w:t xml:space="preserve"> anche la componente qualitativa nelle risorse umane che gestiscono affidamenti pubblici.</w:t>
      </w:r>
      <w:r w:rsidR="002A3AC7">
        <w:rPr>
          <w:rStyle w:val="Rimandonotaapidipagina"/>
          <w:rFonts w:ascii="Times New Roman" w:hAnsi="Times New Roman" w:cs="Times New Roman"/>
          <w:lang w:val="it-IT"/>
        </w:rPr>
        <w:footnoteReference w:id="4"/>
      </w:r>
      <w:r w:rsidRPr="00F76362">
        <w:rPr>
          <w:rFonts w:ascii="Times New Roman" w:hAnsi="Times New Roman" w:cs="Times New Roman"/>
          <w:lang w:val="it-IT"/>
        </w:rPr>
        <w:t xml:space="preserve"> Che sia la chiave di vera innovazione in questo processo di modernizzazione degli appalti pubblici?</w:t>
      </w:r>
    </w:p>
    <w:p w14:paraId="3CA3A1ED" w14:textId="4EA44E05" w:rsidR="00484249" w:rsidRPr="00F76362" w:rsidRDefault="00484249" w:rsidP="00007685">
      <w:pPr>
        <w:spacing w:line="276" w:lineRule="auto"/>
        <w:rPr>
          <w:rFonts w:ascii="Times New Roman" w:hAnsi="Times New Roman" w:cs="Times New Roman"/>
          <w:lang w:val="it-IT"/>
        </w:rPr>
      </w:pPr>
    </w:p>
    <w:p w14:paraId="105201B7" w14:textId="77777777" w:rsidR="00DD2E1D" w:rsidRPr="00F76362" w:rsidRDefault="00DD2E1D" w:rsidP="00007685">
      <w:pPr>
        <w:spacing w:line="276" w:lineRule="auto"/>
        <w:rPr>
          <w:rFonts w:ascii="Times New Roman" w:hAnsi="Times New Roman" w:cs="Times New Roman"/>
          <w:lang w:val="it-IT"/>
        </w:rPr>
      </w:pPr>
    </w:p>
    <w:p w14:paraId="75EEBC5D" w14:textId="1416685A" w:rsidR="00274474" w:rsidRPr="00F76362" w:rsidRDefault="00274474" w:rsidP="00007685">
      <w:pPr>
        <w:spacing w:line="276" w:lineRule="auto"/>
        <w:rPr>
          <w:rFonts w:ascii="Times New Roman" w:hAnsi="Times New Roman" w:cs="Times New Roman"/>
          <w:b/>
          <w:bCs/>
          <w:lang w:val="it-IT"/>
        </w:rPr>
      </w:pPr>
      <w:r w:rsidRPr="00F76362">
        <w:rPr>
          <w:rFonts w:ascii="Times New Roman" w:hAnsi="Times New Roman" w:cs="Times New Roman"/>
          <w:b/>
          <w:bCs/>
          <w:lang w:val="it-IT"/>
        </w:rPr>
        <w:t>2</w:t>
      </w:r>
      <w:r w:rsidR="00BC3533">
        <w:rPr>
          <w:rFonts w:ascii="Times New Roman" w:hAnsi="Times New Roman" w:cs="Times New Roman"/>
          <w:b/>
          <w:bCs/>
          <w:lang w:val="it-IT"/>
        </w:rPr>
        <w:t>.</w:t>
      </w:r>
      <w:r w:rsidRPr="00F76362">
        <w:rPr>
          <w:rFonts w:ascii="Times New Roman" w:hAnsi="Times New Roman" w:cs="Times New Roman"/>
          <w:b/>
          <w:bCs/>
          <w:lang w:val="it-IT"/>
        </w:rPr>
        <w:t xml:space="preserve"> Il quadro internazionale ed </w:t>
      </w:r>
      <w:r w:rsidR="00484249" w:rsidRPr="00F76362">
        <w:rPr>
          <w:rFonts w:ascii="Times New Roman" w:hAnsi="Times New Roman" w:cs="Times New Roman"/>
          <w:b/>
          <w:bCs/>
          <w:lang w:val="it-IT"/>
        </w:rPr>
        <w:t>europeo</w:t>
      </w:r>
      <w:r w:rsidR="00BC3533">
        <w:rPr>
          <w:rFonts w:ascii="Times New Roman" w:hAnsi="Times New Roman" w:cs="Times New Roman"/>
          <w:b/>
          <w:bCs/>
          <w:lang w:val="it-IT"/>
        </w:rPr>
        <w:t>.</w:t>
      </w:r>
    </w:p>
    <w:p w14:paraId="1AF927CC" w14:textId="0B2E5950" w:rsidR="00274474" w:rsidRPr="00F76362" w:rsidRDefault="00274474" w:rsidP="00007685">
      <w:pPr>
        <w:spacing w:line="276" w:lineRule="auto"/>
        <w:rPr>
          <w:rFonts w:ascii="Times New Roman" w:hAnsi="Times New Roman" w:cs="Times New Roman"/>
          <w:lang w:val="it-IT"/>
        </w:rPr>
      </w:pPr>
    </w:p>
    <w:p w14:paraId="0C251B1F" w14:textId="3AAE0DAD" w:rsidR="00774AB9" w:rsidRPr="004A7925" w:rsidRDefault="00774AB9" w:rsidP="00007685">
      <w:pPr>
        <w:spacing w:line="276" w:lineRule="auto"/>
        <w:rPr>
          <w:rFonts w:ascii="Times New Roman" w:hAnsi="Times New Roman" w:cs="Times New Roman"/>
          <w:b/>
          <w:bCs/>
          <w:lang w:val="it-IT"/>
        </w:rPr>
      </w:pPr>
      <w:r w:rsidRPr="004A7925">
        <w:rPr>
          <w:rFonts w:ascii="Times New Roman" w:hAnsi="Times New Roman" w:cs="Times New Roman"/>
          <w:b/>
          <w:bCs/>
          <w:lang w:val="it-IT"/>
        </w:rPr>
        <w:t>2.1</w:t>
      </w:r>
      <w:r w:rsidR="00BC3533">
        <w:rPr>
          <w:rFonts w:ascii="Times New Roman" w:hAnsi="Times New Roman" w:cs="Times New Roman"/>
          <w:b/>
          <w:bCs/>
          <w:lang w:val="it-IT"/>
        </w:rPr>
        <w:t>.</w:t>
      </w:r>
      <w:r w:rsidRPr="004A7925">
        <w:rPr>
          <w:rFonts w:ascii="Times New Roman" w:hAnsi="Times New Roman" w:cs="Times New Roman"/>
          <w:b/>
          <w:bCs/>
          <w:lang w:val="it-IT"/>
        </w:rPr>
        <w:t xml:space="preserve"> La professionalizzazione a livello internazionale</w:t>
      </w:r>
      <w:r w:rsidR="00BC3533">
        <w:rPr>
          <w:rFonts w:ascii="Times New Roman" w:hAnsi="Times New Roman" w:cs="Times New Roman"/>
          <w:b/>
          <w:bCs/>
          <w:lang w:val="it-IT"/>
        </w:rPr>
        <w:t>.</w:t>
      </w:r>
    </w:p>
    <w:p w14:paraId="1729E8BD" w14:textId="77777777" w:rsidR="00774AB9" w:rsidRPr="00F76362" w:rsidRDefault="00774AB9" w:rsidP="00007685">
      <w:pPr>
        <w:spacing w:line="276" w:lineRule="auto"/>
        <w:rPr>
          <w:rFonts w:ascii="Times New Roman" w:hAnsi="Times New Roman" w:cs="Times New Roman"/>
          <w:lang w:val="it-IT"/>
        </w:rPr>
      </w:pPr>
    </w:p>
    <w:p w14:paraId="4AC1BC5F" w14:textId="1E7029B3" w:rsidR="00484249" w:rsidRPr="00F76362" w:rsidRDefault="00535270"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L’OCSE</w:t>
      </w:r>
      <w:r w:rsidR="00B26CA5" w:rsidRPr="00F76362">
        <w:rPr>
          <w:rStyle w:val="Rimandonotaapidipagina"/>
          <w:rFonts w:ascii="Times New Roman" w:hAnsi="Times New Roman" w:cs="Times New Roman"/>
          <w:lang w:val="it-IT"/>
        </w:rPr>
        <w:footnoteReference w:id="5"/>
      </w:r>
      <w:r w:rsidRPr="00F76362">
        <w:rPr>
          <w:rFonts w:ascii="Times New Roman" w:hAnsi="Times New Roman" w:cs="Times New Roman"/>
          <w:lang w:val="it-IT"/>
        </w:rPr>
        <w:t>, che tra le sue attività ha anche la diffus</w:t>
      </w:r>
      <w:r w:rsidR="00B7728A">
        <w:rPr>
          <w:rFonts w:ascii="Times New Roman" w:hAnsi="Times New Roman" w:cs="Times New Roman"/>
          <w:lang w:val="it-IT"/>
        </w:rPr>
        <w:t>i</w:t>
      </w:r>
      <w:r w:rsidRPr="00F76362">
        <w:rPr>
          <w:rFonts w:ascii="Times New Roman" w:hAnsi="Times New Roman" w:cs="Times New Roman"/>
          <w:lang w:val="it-IT"/>
        </w:rPr>
        <w:t xml:space="preserve">one e lo scambio di dati, analisi, esperienze, buone pratiche e suggerimenti per le politiche pubbliche e per la definizione di norme internazionali, ha pubblicato nel 2015 </w:t>
      </w:r>
      <w:r w:rsidR="00913BD7">
        <w:rPr>
          <w:rFonts w:ascii="Times New Roman" w:hAnsi="Times New Roman" w:cs="Times New Roman"/>
          <w:lang w:val="it-IT"/>
        </w:rPr>
        <w:t>del</w:t>
      </w:r>
      <w:r w:rsidR="00443C69">
        <w:rPr>
          <w:rFonts w:ascii="Times New Roman" w:hAnsi="Times New Roman" w:cs="Times New Roman"/>
          <w:lang w:val="it-IT"/>
        </w:rPr>
        <w:t xml:space="preserve">le </w:t>
      </w:r>
      <w:r w:rsidRPr="00F76362">
        <w:rPr>
          <w:rFonts w:ascii="Times New Roman" w:hAnsi="Times New Roman" w:cs="Times New Roman"/>
          <w:lang w:val="it-IT"/>
        </w:rPr>
        <w:t>raccomandazioni del Consiglio sugli appalti pubblici.</w:t>
      </w:r>
      <w:r w:rsidRPr="004A7925">
        <w:rPr>
          <w:rFonts w:ascii="Times New Roman" w:hAnsi="Times New Roman" w:cs="Times New Roman"/>
          <w:vertAlign w:val="superscript"/>
          <w:lang w:val="it-IT"/>
        </w:rPr>
        <w:footnoteReference w:id="6"/>
      </w:r>
      <w:r w:rsidRPr="00F76362">
        <w:rPr>
          <w:rFonts w:ascii="Times New Roman" w:hAnsi="Times New Roman" w:cs="Times New Roman"/>
          <w:lang w:val="it-IT"/>
        </w:rPr>
        <w:t xml:space="preserve"> Nel capo IX delle raccomandazioni </w:t>
      </w:r>
      <w:r w:rsidR="004A7925">
        <w:rPr>
          <w:rFonts w:ascii="Times New Roman" w:hAnsi="Times New Roman" w:cs="Times New Roman"/>
          <w:lang w:val="it-IT"/>
        </w:rPr>
        <w:t>si trovano</w:t>
      </w:r>
      <w:r w:rsidR="00A01C66" w:rsidRPr="00F76362">
        <w:rPr>
          <w:rFonts w:ascii="Times New Roman" w:hAnsi="Times New Roman" w:cs="Times New Roman"/>
          <w:lang w:val="it-IT"/>
        </w:rPr>
        <w:t xml:space="preserve"> </w:t>
      </w:r>
      <w:r w:rsidR="008C6CE5" w:rsidRPr="00F76362">
        <w:rPr>
          <w:rFonts w:ascii="Times New Roman" w:hAnsi="Times New Roman" w:cs="Times New Roman"/>
          <w:lang w:val="it-IT"/>
        </w:rPr>
        <w:t>riferimenti che alludono alla professionalizzazione.</w:t>
      </w:r>
    </w:p>
    <w:p w14:paraId="2AB7A855" w14:textId="77777777" w:rsidR="00A01C66" w:rsidRPr="00F76362" w:rsidRDefault="00A01C66" w:rsidP="00007685">
      <w:pPr>
        <w:spacing w:line="276" w:lineRule="auto"/>
        <w:rPr>
          <w:rFonts w:ascii="Times New Roman" w:hAnsi="Times New Roman" w:cs="Times New Roman"/>
          <w:lang w:val="it-IT"/>
        </w:rPr>
      </w:pPr>
    </w:p>
    <w:p w14:paraId="38BF5277" w14:textId="01B792A4" w:rsidR="008C6CE5" w:rsidRPr="00F76362" w:rsidRDefault="00A01C66" w:rsidP="00007685">
      <w:pPr>
        <w:spacing w:line="276" w:lineRule="auto"/>
        <w:ind w:left="426"/>
        <w:rPr>
          <w:rFonts w:ascii="Times New Roman" w:hAnsi="Times New Roman" w:cs="Times New Roman"/>
          <w:sz w:val="20"/>
          <w:szCs w:val="20"/>
          <w:lang w:val="it-IT"/>
        </w:rPr>
      </w:pPr>
      <w:r w:rsidRPr="00F76362">
        <w:rPr>
          <w:rFonts w:ascii="Times New Roman" w:hAnsi="Times New Roman" w:cs="Times New Roman"/>
          <w:sz w:val="20"/>
          <w:szCs w:val="20"/>
          <w:lang w:val="it-IT"/>
        </w:rPr>
        <w:t xml:space="preserve">IX. RACCOMANDA che gli </w:t>
      </w:r>
      <w:r w:rsidR="008C6CE5" w:rsidRPr="00F76362">
        <w:rPr>
          <w:rFonts w:ascii="Times New Roman" w:hAnsi="Times New Roman" w:cs="Times New Roman"/>
          <w:sz w:val="20"/>
          <w:szCs w:val="20"/>
          <w:lang w:val="it-IT"/>
        </w:rPr>
        <w:t>a</w:t>
      </w:r>
      <w:r w:rsidRPr="00F76362">
        <w:rPr>
          <w:rFonts w:ascii="Times New Roman" w:hAnsi="Times New Roman" w:cs="Times New Roman"/>
          <w:sz w:val="20"/>
          <w:szCs w:val="20"/>
          <w:lang w:val="it-IT"/>
        </w:rPr>
        <w:t xml:space="preserve">derenti sviluppino una forza lavoro nel settore degli appalti con la capacità di fornire continuamente valore al denaro in modo efficiente ed efficace. </w:t>
      </w:r>
    </w:p>
    <w:p w14:paraId="08326F09" w14:textId="11DA6093" w:rsidR="008C6CE5" w:rsidRPr="00F76362" w:rsidRDefault="00A01C66" w:rsidP="00007685">
      <w:pPr>
        <w:spacing w:line="276" w:lineRule="auto"/>
        <w:ind w:left="426"/>
        <w:rPr>
          <w:rFonts w:ascii="Times New Roman" w:hAnsi="Times New Roman" w:cs="Times New Roman"/>
          <w:sz w:val="20"/>
          <w:szCs w:val="20"/>
          <w:lang w:val="it-IT"/>
        </w:rPr>
      </w:pPr>
      <w:r w:rsidRPr="00F76362">
        <w:rPr>
          <w:rFonts w:ascii="Times New Roman" w:hAnsi="Times New Roman" w:cs="Times New Roman"/>
          <w:sz w:val="20"/>
          <w:szCs w:val="20"/>
          <w:lang w:val="it-IT"/>
        </w:rPr>
        <w:t>A tal fine, gli aderenti dovrebbero:</w:t>
      </w:r>
    </w:p>
    <w:p w14:paraId="443355AA" w14:textId="3D330B41" w:rsidR="00484249" w:rsidRPr="00F76362" w:rsidRDefault="00A01C66" w:rsidP="00007685">
      <w:pPr>
        <w:pStyle w:val="Paragrafoelenco"/>
        <w:numPr>
          <w:ilvl w:val="0"/>
          <w:numId w:val="1"/>
        </w:numPr>
        <w:spacing w:line="276" w:lineRule="auto"/>
        <w:ind w:left="709" w:hanging="283"/>
        <w:rPr>
          <w:rFonts w:ascii="Times New Roman" w:hAnsi="Times New Roman" w:cs="Times New Roman"/>
          <w:sz w:val="20"/>
          <w:szCs w:val="20"/>
          <w:lang w:val="it-IT"/>
        </w:rPr>
      </w:pPr>
      <w:r w:rsidRPr="00F76362">
        <w:rPr>
          <w:rFonts w:ascii="Times New Roman" w:hAnsi="Times New Roman" w:cs="Times New Roman"/>
          <w:sz w:val="20"/>
          <w:szCs w:val="20"/>
          <w:lang w:val="it-IT"/>
        </w:rPr>
        <w:t xml:space="preserve">Garantire che i funzionari addetti agli appalti soddisfino </w:t>
      </w:r>
      <w:r w:rsidRPr="00007685">
        <w:rPr>
          <w:rFonts w:ascii="Times New Roman" w:hAnsi="Times New Roman" w:cs="Times New Roman"/>
          <w:b/>
          <w:bCs/>
          <w:sz w:val="20"/>
          <w:szCs w:val="20"/>
          <w:lang w:val="it-IT"/>
        </w:rPr>
        <w:t>elevati standard professionali</w:t>
      </w:r>
      <w:r w:rsidRPr="00F76362">
        <w:rPr>
          <w:rFonts w:ascii="Times New Roman" w:hAnsi="Times New Roman" w:cs="Times New Roman"/>
          <w:sz w:val="20"/>
          <w:szCs w:val="20"/>
          <w:lang w:val="it-IT"/>
        </w:rPr>
        <w:t xml:space="preserve"> per quanto riguarda la conoscenza, l'attuazione pratica e l'integrità, fornendo una serie di strumenti dedicati e regolarmente aggiornati, ad esempio, personale sufficiente in termini di numero e competenze, riconoscimento degli appalti pubblici come professione specifica, certificazione e formazione regolare, standard di integrità per i funzionari addetti agli appalti pubblici e l'esistenza di un'unità o squadra che analizzi le informazioni sugli appalti pubblici e controlli la performance del sistema degli appalti pubblici. </w:t>
      </w:r>
    </w:p>
    <w:p w14:paraId="75269DB4" w14:textId="77777777" w:rsidR="008C6CE5" w:rsidRPr="00F76362" w:rsidRDefault="00A01C66" w:rsidP="00007685">
      <w:pPr>
        <w:pStyle w:val="Paragrafoelenco"/>
        <w:numPr>
          <w:ilvl w:val="0"/>
          <w:numId w:val="1"/>
        </w:numPr>
        <w:spacing w:line="276" w:lineRule="auto"/>
        <w:ind w:left="709" w:hanging="283"/>
        <w:rPr>
          <w:rFonts w:ascii="Times New Roman" w:hAnsi="Times New Roman" w:cs="Times New Roman"/>
          <w:sz w:val="20"/>
          <w:szCs w:val="20"/>
          <w:lang w:val="it-IT"/>
        </w:rPr>
      </w:pPr>
      <w:r w:rsidRPr="00F76362">
        <w:rPr>
          <w:rFonts w:ascii="Times New Roman" w:hAnsi="Times New Roman" w:cs="Times New Roman"/>
          <w:sz w:val="20"/>
          <w:szCs w:val="20"/>
          <w:lang w:val="it-IT"/>
        </w:rPr>
        <w:t xml:space="preserve">Fornire opzioni di </w:t>
      </w:r>
      <w:r w:rsidRPr="00007685">
        <w:rPr>
          <w:rFonts w:ascii="Times New Roman" w:hAnsi="Times New Roman" w:cs="Times New Roman"/>
          <w:b/>
          <w:bCs/>
          <w:sz w:val="20"/>
          <w:szCs w:val="20"/>
          <w:lang w:val="it-IT"/>
        </w:rPr>
        <w:t>carriera attraenti</w:t>
      </w:r>
      <w:r w:rsidRPr="00F76362">
        <w:rPr>
          <w:rFonts w:ascii="Times New Roman" w:hAnsi="Times New Roman" w:cs="Times New Roman"/>
          <w:sz w:val="20"/>
          <w:szCs w:val="20"/>
          <w:lang w:val="it-IT"/>
        </w:rPr>
        <w:t xml:space="preserve">, competitive e basate sul merito per i funzionari degli appalti, attraverso la fornitura di mezzi chiari di avanzamento, la protezione da interferenze politiche nel processo degli appalti e la promozione di buone pratiche nazionali e internazionali nello sviluppo della carriera per migliorare le prestazioni della forza lavoro degli appalti. </w:t>
      </w:r>
    </w:p>
    <w:p w14:paraId="133AF079" w14:textId="410A28FF" w:rsidR="00A01C66" w:rsidRPr="00F76362" w:rsidRDefault="00A01C66" w:rsidP="00007685">
      <w:pPr>
        <w:pStyle w:val="Paragrafoelenco"/>
        <w:numPr>
          <w:ilvl w:val="0"/>
          <w:numId w:val="1"/>
        </w:numPr>
        <w:spacing w:line="276" w:lineRule="auto"/>
        <w:ind w:left="709" w:hanging="283"/>
        <w:rPr>
          <w:rFonts w:ascii="Times New Roman" w:hAnsi="Times New Roman" w:cs="Times New Roman"/>
          <w:sz w:val="20"/>
          <w:szCs w:val="20"/>
          <w:lang w:val="it-IT"/>
        </w:rPr>
      </w:pPr>
      <w:r w:rsidRPr="00F76362">
        <w:rPr>
          <w:rFonts w:ascii="Times New Roman" w:hAnsi="Times New Roman" w:cs="Times New Roman"/>
          <w:sz w:val="20"/>
          <w:szCs w:val="20"/>
          <w:lang w:val="it-IT"/>
        </w:rPr>
        <w:t xml:space="preserve">Promuovere </w:t>
      </w:r>
      <w:r w:rsidRPr="00007685">
        <w:rPr>
          <w:rFonts w:ascii="Times New Roman" w:hAnsi="Times New Roman" w:cs="Times New Roman"/>
          <w:b/>
          <w:bCs/>
          <w:sz w:val="20"/>
          <w:szCs w:val="20"/>
          <w:lang w:val="it-IT"/>
        </w:rPr>
        <w:t>approcci collaborativi</w:t>
      </w:r>
      <w:r w:rsidRPr="00F76362">
        <w:rPr>
          <w:rFonts w:ascii="Times New Roman" w:hAnsi="Times New Roman" w:cs="Times New Roman"/>
          <w:sz w:val="20"/>
          <w:szCs w:val="20"/>
          <w:lang w:val="it-IT"/>
        </w:rPr>
        <w:t xml:space="preserve"> con centri di conoscenza come università, </w:t>
      </w:r>
      <w:proofErr w:type="spellStart"/>
      <w:r w:rsidRPr="00F76362">
        <w:rPr>
          <w:rFonts w:ascii="Times New Roman" w:hAnsi="Times New Roman" w:cs="Times New Roman"/>
          <w:sz w:val="20"/>
          <w:szCs w:val="20"/>
          <w:lang w:val="it-IT"/>
        </w:rPr>
        <w:t>think</w:t>
      </w:r>
      <w:proofErr w:type="spellEnd"/>
      <w:r w:rsidRPr="00F76362">
        <w:rPr>
          <w:rFonts w:ascii="Times New Roman" w:hAnsi="Times New Roman" w:cs="Times New Roman"/>
          <w:sz w:val="20"/>
          <w:szCs w:val="20"/>
          <w:lang w:val="it-IT"/>
        </w:rPr>
        <w:t xml:space="preserve"> tank o centri politici per migliorare le capacità e le competenze della forza lavoro nel settore degli appalti. La competenza e l'esperienza pedagogica dei centri di conoscenza dovrebbero essere arruolati come un mezzo prezioso per espandere la conoscenza degli appalti e sostenere un canale bidirezionale tra la teoria e la pratica, in grado di promuovere l'applicazione dell'innovazione ai sistemi di appalti pubblici. </w:t>
      </w:r>
    </w:p>
    <w:p w14:paraId="75803518" w14:textId="5281D008" w:rsidR="008C6CE5" w:rsidRPr="00F76362" w:rsidRDefault="008C6CE5" w:rsidP="00007685">
      <w:pPr>
        <w:spacing w:line="276" w:lineRule="auto"/>
        <w:rPr>
          <w:rFonts w:ascii="Times New Roman" w:hAnsi="Times New Roman" w:cs="Times New Roman"/>
          <w:lang w:val="it-IT"/>
        </w:rPr>
      </w:pPr>
    </w:p>
    <w:p w14:paraId="23114918" w14:textId="2571BA5B" w:rsidR="00774AB9" w:rsidRPr="00F76362" w:rsidRDefault="008C6CE5" w:rsidP="00833D3C">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lastRenderedPageBreak/>
        <w:t>Mentre in altre parti delle raccomandazioni sono stat</w:t>
      </w:r>
      <w:r w:rsidR="00443C69">
        <w:rPr>
          <w:rFonts w:ascii="Times New Roman" w:hAnsi="Times New Roman" w:cs="Times New Roman"/>
          <w:lang w:val="it-IT"/>
        </w:rPr>
        <w:t>e</w:t>
      </w:r>
      <w:r w:rsidRPr="00F76362">
        <w:rPr>
          <w:rFonts w:ascii="Times New Roman" w:hAnsi="Times New Roman" w:cs="Times New Roman"/>
          <w:lang w:val="it-IT"/>
        </w:rPr>
        <w:t xml:space="preserve"> evidenziat</w:t>
      </w:r>
      <w:r w:rsidR="00443C69">
        <w:rPr>
          <w:rFonts w:ascii="Times New Roman" w:hAnsi="Times New Roman" w:cs="Times New Roman"/>
          <w:lang w:val="it-IT"/>
        </w:rPr>
        <w:t>e</w:t>
      </w:r>
      <w:r w:rsidRPr="00F76362">
        <w:rPr>
          <w:rFonts w:ascii="Times New Roman" w:hAnsi="Times New Roman" w:cs="Times New Roman"/>
          <w:lang w:val="it-IT"/>
        </w:rPr>
        <w:t xml:space="preserve"> possibili soluzioni organizzative per le procedure d’appalto, questo </w:t>
      </w:r>
      <w:r w:rsidR="00101C11" w:rsidRPr="00F76362">
        <w:rPr>
          <w:rFonts w:ascii="Times New Roman" w:hAnsi="Times New Roman" w:cs="Times New Roman"/>
          <w:lang w:val="it-IT"/>
        </w:rPr>
        <w:t xml:space="preserve">capo si concentra dunque sulla persona. In altre parole è il funzionario </w:t>
      </w:r>
      <w:r w:rsidR="00833D3C">
        <w:rPr>
          <w:rFonts w:ascii="Times New Roman" w:hAnsi="Times New Roman" w:cs="Times New Roman"/>
          <w:lang w:val="it-IT"/>
        </w:rPr>
        <w:t>gestore del</w:t>
      </w:r>
      <w:r w:rsidR="00101C11" w:rsidRPr="00F76362">
        <w:rPr>
          <w:rFonts w:ascii="Times New Roman" w:hAnsi="Times New Roman" w:cs="Times New Roman"/>
          <w:lang w:val="it-IT"/>
        </w:rPr>
        <w:t xml:space="preserve">la procedura che deve attirare l’attenzione del Governo e attorno a questa figura ruota il concetto di innovazione. Nella prima parte si fa riferimento alla formazione </w:t>
      </w:r>
      <w:r w:rsidR="00DC43CF" w:rsidRPr="00F76362">
        <w:rPr>
          <w:rFonts w:ascii="Times New Roman" w:hAnsi="Times New Roman" w:cs="Times New Roman"/>
          <w:lang w:val="it-IT"/>
        </w:rPr>
        <w:t>dei funzionari (non distinguendo tra funzionari semplici o dirigenti), agli strumenti per la loro crescita, ad un organico corrispondente alle necessità della struttura, evocando che diventi una professione specifica</w:t>
      </w:r>
      <w:r w:rsidR="00DC43CF" w:rsidRPr="00F76362">
        <w:rPr>
          <w:rStyle w:val="Rimandonotaapidipagina"/>
          <w:rFonts w:ascii="Times New Roman" w:hAnsi="Times New Roman" w:cs="Times New Roman"/>
          <w:lang w:val="it-IT"/>
        </w:rPr>
        <w:footnoteReference w:id="7"/>
      </w:r>
      <w:r w:rsidR="00DC43CF" w:rsidRPr="00F76362">
        <w:rPr>
          <w:rFonts w:ascii="Times New Roman" w:hAnsi="Times New Roman" w:cs="Times New Roman"/>
          <w:lang w:val="it-IT"/>
        </w:rPr>
        <w:t xml:space="preserve">. La seconda parte invece </w:t>
      </w:r>
      <w:r w:rsidR="00B26CA5" w:rsidRPr="00F76362">
        <w:rPr>
          <w:rFonts w:ascii="Times New Roman" w:hAnsi="Times New Roman" w:cs="Times New Roman"/>
          <w:lang w:val="it-IT"/>
        </w:rPr>
        <w:t xml:space="preserve">enfatizza la necessità di prevedere sviluppi professionali per i </w:t>
      </w:r>
      <w:r w:rsidR="00B26CA5" w:rsidRPr="00F76362">
        <w:rPr>
          <w:rFonts w:ascii="Times New Roman" w:hAnsi="Times New Roman" w:cs="Times New Roman"/>
          <w:i/>
          <w:iCs/>
          <w:lang w:val="it-IT"/>
        </w:rPr>
        <w:t>public buyer</w:t>
      </w:r>
      <w:r w:rsidR="00B26CA5" w:rsidRPr="00F76362">
        <w:rPr>
          <w:rFonts w:ascii="Times New Roman" w:hAnsi="Times New Roman" w:cs="Times New Roman"/>
          <w:lang w:val="it-IT"/>
        </w:rPr>
        <w:t>, attraverso carrier</w:t>
      </w:r>
      <w:r w:rsidR="004A7925">
        <w:rPr>
          <w:rFonts w:ascii="Times New Roman" w:hAnsi="Times New Roman" w:cs="Times New Roman"/>
          <w:lang w:val="it-IT"/>
        </w:rPr>
        <w:t>e</w:t>
      </w:r>
      <w:r w:rsidR="00B26CA5" w:rsidRPr="00F76362">
        <w:rPr>
          <w:rFonts w:ascii="Times New Roman" w:hAnsi="Times New Roman" w:cs="Times New Roman"/>
          <w:lang w:val="it-IT"/>
        </w:rPr>
        <w:t xml:space="preserve"> programmate, scambi internazionali e sistemi che riescano a tutelare i funzionari da </w:t>
      </w:r>
      <w:r w:rsidR="00E22C5E" w:rsidRPr="00F76362">
        <w:rPr>
          <w:rFonts w:ascii="Times New Roman" w:hAnsi="Times New Roman" w:cs="Times New Roman"/>
          <w:lang w:val="it-IT"/>
        </w:rPr>
        <w:t>interferenze politiche. Infine il terzo punto è l’ipotesi di collocare il funzionario in una rete più ampia di cono</w:t>
      </w:r>
      <w:r w:rsidR="004A7925">
        <w:rPr>
          <w:rFonts w:ascii="Times New Roman" w:hAnsi="Times New Roman" w:cs="Times New Roman"/>
          <w:lang w:val="it-IT"/>
        </w:rPr>
        <w:t>s</w:t>
      </w:r>
      <w:r w:rsidR="00E22C5E" w:rsidRPr="00F76362">
        <w:rPr>
          <w:rFonts w:ascii="Times New Roman" w:hAnsi="Times New Roman" w:cs="Times New Roman"/>
          <w:lang w:val="it-IT"/>
        </w:rPr>
        <w:t xml:space="preserve">cenza universitaria e </w:t>
      </w:r>
      <w:r w:rsidR="00913BD7">
        <w:rPr>
          <w:rFonts w:ascii="Times New Roman" w:hAnsi="Times New Roman" w:cs="Times New Roman"/>
          <w:lang w:val="it-IT"/>
        </w:rPr>
        <w:t xml:space="preserve">di </w:t>
      </w:r>
      <w:r w:rsidR="00E22C5E" w:rsidRPr="00F76362">
        <w:rPr>
          <w:rFonts w:ascii="Times New Roman" w:hAnsi="Times New Roman" w:cs="Times New Roman"/>
          <w:lang w:val="it-IT"/>
        </w:rPr>
        <w:t>promuovere la formazione teorico-pratica dei funzionari dedicati agli appalti pubblici a tutti i livelli.</w:t>
      </w:r>
    </w:p>
    <w:p w14:paraId="46D80F0D" w14:textId="77777777" w:rsidR="00007685" w:rsidRDefault="00007685" w:rsidP="00007685">
      <w:pPr>
        <w:spacing w:line="276" w:lineRule="auto"/>
        <w:rPr>
          <w:rFonts w:ascii="Times New Roman" w:hAnsi="Times New Roman" w:cs="Times New Roman"/>
          <w:b/>
          <w:bCs/>
          <w:lang w:val="it-IT"/>
        </w:rPr>
      </w:pPr>
    </w:p>
    <w:p w14:paraId="73DABBFE" w14:textId="77777777" w:rsidR="00007685" w:rsidRDefault="00007685" w:rsidP="00007685">
      <w:pPr>
        <w:spacing w:line="276" w:lineRule="auto"/>
        <w:rPr>
          <w:rFonts w:ascii="Times New Roman" w:hAnsi="Times New Roman" w:cs="Times New Roman"/>
          <w:b/>
          <w:bCs/>
          <w:lang w:val="it-IT"/>
        </w:rPr>
      </w:pPr>
    </w:p>
    <w:p w14:paraId="6D485694" w14:textId="424F7C8A" w:rsidR="00774AB9" w:rsidRPr="004A7925" w:rsidRDefault="00774AB9" w:rsidP="00007685">
      <w:pPr>
        <w:spacing w:line="276" w:lineRule="auto"/>
        <w:rPr>
          <w:rFonts w:ascii="Times New Roman" w:hAnsi="Times New Roman" w:cs="Times New Roman"/>
          <w:b/>
          <w:bCs/>
          <w:lang w:val="it-IT"/>
        </w:rPr>
      </w:pPr>
      <w:r w:rsidRPr="004A7925">
        <w:rPr>
          <w:rFonts w:ascii="Times New Roman" w:hAnsi="Times New Roman" w:cs="Times New Roman"/>
          <w:b/>
          <w:bCs/>
          <w:lang w:val="it-IT"/>
        </w:rPr>
        <w:t>2.2</w:t>
      </w:r>
      <w:r w:rsidR="00BC3533">
        <w:rPr>
          <w:rFonts w:ascii="Times New Roman" w:hAnsi="Times New Roman" w:cs="Times New Roman"/>
          <w:b/>
          <w:bCs/>
          <w:lang w:val="it-IT"/>
        </w:rPr>
        <w:t>.</w:t>
      </w:r>
      <w:r w:rsidRPr="004A7925">
        <w:rPr>
          <w:rFonts w:ascii="Times New Roman" w:hAnsi="Times New Roman" w:cs="Times New Roman"/>
          <w:b/>
          <w:bCs/>
          <w:lang w:val="it-IT"/>
        </w:rPr>
        <w:t xml:space="preserve"> Le azioni </w:t>
      </w:r>
      <w:r w:rsidR="00C3200D">
        <w:rPr>
          <w:rFonts w:ascii="Times New Roman" w:hAnsi="Times New Roman" w:cs="Times New Roman"/>
          <w:b/>
          <w:bCs/>
          <w:lang w:val="it-IT"/>
        </w:rPr>
        <w:t>n</w:t>
      </w:r>
      <w:r w:rsidRPr="004A7925">
        <w:rPr>
          <w:rFonts w:ascii="Times New Roman" w:hAnsi="Times New Roman" w:cs="Times New Roman"/>
          <w:b/>
          <w:bCs/>
          <w:lang w:val="it-IT"/>
        </w:rPr>
        <w:t>ell’Unione Europea</w:t>
      </w:r>
      <w:r w:rsidR="00BC3533">
        <w:rPr>
          <w:rFonts w:ascii="Times New Roman" w:hAnsi="Times New Roman" w:cs="Times New Roman"/>
          <w:b/>
          <w:bCs/>
          <w:lang w:val="it-IT"/>
        </w:rPr>
        <w:t>.</w:t>
      </w:r>
    </w:p>
    <w:p w14:paraId="00C3E14C" w14:textId="75A6D8E1" w:rsidR="00774AB9" w:rsidRPr="00F76362" w:rsidRDefault="00774AB9" w:rsidP="00007685">
      <w:pPr>
        <w:spacing w:line="276" w:lineRule="auto"/>
        <w:rPr>
          <w:rFonts w:ascii="Times New Roman" w:hAnsi="Times New Roman" w:cs="Times New Roman"/>
          <w:lang w:val="it-IT"/>
        </w:rPr>
      </w:pPr>
    </w:p>
    <w:p w14:paraId="73DDF449" w14:textId="37C28F8D" w:rsidR="002A231E" w:rsidRPr="00F76362" w:rsidRDefault="002A231E"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Prima di adottare l’ultima generazione delle direttive eurounitarie nel settore degli appalti pubblici, la Commissione Europea aveva già delineata la sua strategia, evidenziando la necessità di gestire gli appalti con maggiori competenze e conoscenze.</w:t>
      </w:r>
      <w:r w:rsidRPr="00F76362">
        <w:rPr>
          <w:rStyle w:val="Rimandonotaapidipagina"/>
          <w:rFonts w:ascii="Times New Roman" w:hAnsi="Times New Roman" w:cs="Times New Roman"/>
          <w:lang w:val="it-IT"/>
        </w:rPr>
        <w:footnoteReference w:id="8"/>
      </w:r>
      <w:r w:rsidR="00833D3C">
        <w:rPr>
          <w:rFonts w:ascii="Times New Roman" w:hAnsi="Times New Roman" w:cs="Times New Roman"/>
          <w:lang w:val="it-IT"/>
        </w:rPr>
        <w:t xml:space="preserve"> </w:t>
      </w:r>
      <w:r w:rsidR="0050263E">
        <w:rPr>
          <w:rFonts w:ascii="Times New Roman" w:hAnsi="Times New Roman" w:cs="Times New Roman"/>
          <w:lang w:val="it-IT"/>
        </w:rPr>
        <w:t>In seguito</w:t>
      </w:r>
      <w:r w:rsidR="00833D3C">
        <w:rPr>
          <w:rFonts w:ascii="Times New Roman" w:hAnsi="Times New Roman" w:cs="Times New Roman"/>
          <w:lang w:val="it-IT"/>
        </w:rPr>
        <w:t xml:space="preserve"> anche il Parlamento Europeo ha approvato una </w:t>
      </w:r>
      <w:r w:rsidR="00833D3C" w:rsidRPr="00913BD7">
        <w:rPr>
          <w:rFonts w:ascii="Times New Roman" w:hAnsi="Times New Roman" w:cs="Times New Roman"/>
          <w:lang w:val="it-IT"/>
        </w:rPr>
        <w:t xml:space="preserve">risoluzione </w:t>
      </w:r>
      <w:r w:rsidR="00913BD7" w:rsidRPr="00913BD7">
        <w:rPr>
          <w:rFonts w:ascii="Times New Roman" w:hAnsi="Times New Roman" w:cs="Times New Roman"/>
          <w:lang w:val="it-IT"/>
        </w:rPr>
        <w:t>riguardante il</w:t>
      </w:r>
      <w:r w:rsidR="00833D3C" w:rsidRPr="00913BD7">
        <w:rPr>
          <w:rFonts w:ascii="Times New Roman" w:hAnsi="Times New Roman" w:cs="Times New Roman"/>
          <w:lang w:val="it-IT"/>
        </w:rPr>
        <w:t xml:space="preserve"> pacchetto sulla strategia in materia di appalti pubblici</w:t>
      </w:r>
      <w:r w:rsidR="0050263E" w:rsidRPr="00913BD7">
        <w:rPr>
          <w:rFonts w:ascii="Times New Roman" w:hAnsi="Times New Roman" w:cs="Times New Roman"/>
          <w:lang w:val="it-IT"/>
        </w:rPr>
        <w:t>,</w:t>
      </w:r>
      <w:r w:rsidR="00833D3C" w:rsidRPr="00913BD7">
        <w:rPr>
          <w:rFonts w:ascii="Times New Roman" w:hAnsi="Times New Roman" w:cs="Times New Roman"/>
          <w:lang w:val="it-IT"/>
        </w:rPr>
        <w:t xml:space="preserve"> esprimendo</w:t>
      </w:r>
      <w:r w:rsidR="00833D3C">
        <w:rPr>
          <w:rFonts w:ascii="Times New Roman" w:hAnsi="Times New Roman" w:cs="Times New Roman"/>
          <w:lang w:val="it-IT"/>
        </w:rPr>
        <w:t>si chiaramente sull’importanza della professionalizzazione delle stazioni appaltanti in Europa.</w:t>
      </w:r>
      <w:r w:rsidR="00833D3C">
        <w:rPr>
          <w:rStyle w:val="Rimandonotaapidipagina"/>
          <w:rFonts w:ascii="Times New Roman" w:hAnsi="Times New Roman" w:cs="Times New Roman"/>
          <w:lang w:val="it-IT"/>
        </w:rPr>
        <w:footnoteReference w:id="9"/>
      </w:r>
    </w:p>
    <w:p w14:paraId="7332ABE1" w14:textId="77777777" w:rsidR="002A231E" w:rsidRPr="00F76362" w:rsidRDefault="002A231E" w:rsidP="00007685">
      <w:pPr>
        <w:spacing w:line="276" w:lineRule="auto"/>
        <w:jc w:val="both"/>
        <w:rPr>
          <w:rFonts w:ascii="Times New Roman" w:hAnsi="Times New Roman" w:cs="Times New Roman"/>
          <w:lang w:val="it-IT"/>
        </w:rPr>
      </w:pPr>
    </w:p>
    <w:p w14:paraId="1949E67F" w14:textId="19961820" w:rsidR="00B94D58" w:rsidRPr="00F76362" w:rsidRDefault="00913BD7" w:rsidP="00007685">
      <w:pPr>
        <w:spacing w:line="276" w:lineRule="auto"/>
        <w:ind w:firstLine="426"/>
        <w:jc w:val="both"/>
        <w:rPr>
          <w:rFonts w:ascii="Times New Roman" w:hAnsi="Times New Roman" w:cs="Times New Roman"/>
          <w:lang w:val="it-IT"/>
        </w:rPr>
      </w:pPr>
      <w:r>
        <w:rPr>
          <w:rFonts w:ascii="Times New Roman" w:hAnsi="Times New Roman" w:cs="Times New Roman"/>
          <w:lang w:val="it-IT"/>
        </w:rPr>
        <w:t>L</w:t>
      </w:r>
      <w:r w:rsidR="00774AB9" w:rsidRPr="00F76362">
        <w:rPr>
          <w:rFonts w:ascii="Times New Roman" w:hAnsi="Times New Roman" w:cs="Times New Roman"/>
          <w:lang w:val="it-IT"/>
        </w:rPr>
        <w:t>e più recenti direttive dell’Unione Europea</w:t>
      </w:r>
      <w:r w:rsidR="00774AB9" w:rsidRPr="00F76362">
        <w:rPr>
          <w:rFonts w:ascii="Times New Roman" w:hAnsi="Times New Roman" w:cs="Times New Roman"/>
          <w:vertAlign w:val="superscript"/>
          <w:lang w:val="it-IT"/>
        </w:rPr>
        <w:footnoteReference w:id="10"/>
      </w:r>
      <w:r w:rsidR="00774AB9" w:rsidRPr="00F76362">
        <w:rPr>
          <w:rFonts w:ascii="Times New Roman" w:hAnsi="Times New Roman" w:cs="Times New Roman"/>
          <w:lang w:val="it-IT"/>
        </w:rPr>
        <w:t xml:space="preserve"> non dedicano moltissimo spazio a questo dettaglio. </w:t>
      </w:r>
      <w:r w:rsidR="00DC4E4F">
        <w:rPr>
          <w:rFonts w:ascii="Times New Roman" w:hAnsi="Times New Roman" w:cs="Times New Roman"/>
          <w:lang w:val="it-IT"/>
        </w:rPr>
        <w:t>I</w:t>
      </w:r>
      <w:r w:rsidR="00774AB9" w:rsidRPr="00F76362">
        <w:rPr>
          <w:rFonts w:ascii="Times New Roman" w:hAnsi="Times New Roman" w:cs="Times New Roman"/>
          <w:lang w:val="it-IT"/>
        </w:rPr>
        <w:t xml:space="preserve"> </w:t>
      </w:r>
      <w:r w:rsidR="00DC4E4F" w:rsidRPr="00DC4E4F">
        <w:rPr>
          <w:rFonts w:ascii="Times New Roman" w:hAnsi="Times New Roman" w:cs="Times New Roman"/>
          <w:i/>
          <w:iCs/>
          <w:lang w:val="it-IT"/>
        </w:rPr>
        <w:t>considerand</w:t>
      </w:r>
      <w:r w:rsidR="00DC4E4F">
        <w:rPr>
          <w:rFonts w:ascii="Times New Roman" w:hAnsi="Times New Roman" w:cs="Times New Roman"/>
          <w:i/>
          <w:iCs/>
          <w:lang w:val="it-IT"/>
        </w:rPr>
        <w:t>o</w:t>
      </w:r>
      <w:r w:rsidR="00774AB9" w:rsidRPr="00F76362">
        <w:rPr>
          <w:rFonts w:ascii="Times New Roman" w:hAnsi="Times New Roman" w:cs="Times New Roman"/>
          <w:lang w:val="it-IT"/>
        </w:rPr>
        <w:t xml:space="preserve">, utili riferimenti per </w:t>
      </w:r>
      <w:r w:rsidR="00DC4E4F">
        <w:rPr>
          <w:rFonts w:ascii="Times New Roman" w:hAnsi="Times New Roman" w:cs="Times New Roman"/>
          <w:lang w:val="it-IT"/>
        </w:rPr>
        <w:t>interpretare</w:t>
      </w:r>
      <w:r w:rsidR="00774AB9" w:rsidRPr="00F76362">
        <w:rPr>
          <w:rFonts w:ascii="Times New Roman" w:hAnsi="Times New Roman" w:cs="Times New Roman"/>
          <w:lang w:val="it-IT"/>
        </w:rPr>
        <w:t xml:space="preserve"> </w:t>
      </w:r>
      <w:r w:rsidR="00DC4E4F">
        <w:rPr>
          <w:rFonts w:ascii="Times New Roman" w:hAnsi="Times New Roman" w:cs="Times New Roman"/>
          <w:lang w:val="it-IT"/>
        </w:rPr>
        <w:t xml:space="preserve">meglio </w:t>
      </w:r>
      <w:r w:rsidR="00833D3C">
        <w:rPr>
          <w:rFonts w:ascii="Times New Roman" w:hAnsi="Times New Roman" w:cs="Times New Roman"/>
          <w:lang w:val="it-IT"/>
        </w:rPr>
        <w:t xml:space="preserve">la </w:t>
      </w:r>
      <w:r w:rsidR="00774AB9" w:rsidRPr="00833D3C">
        <w:rPr>
          <w:rFonts w:ascii="Times New Roman" w:hAnsi="Times New Roman" w:cs="Times New Roman"/>
          <w:i/>
          <w:iCs/>
          <w:lang w:val="it-IT"/>
        </w:rPr>
        <w:t>ratio</w:t>
      </w:r>
      <w:r w:rsidR="00774AB9" w:rsidRPr="00F76362">
        <w:rPr>
          <w:rFonts w:ascii="Times New Roman" w:hAnsi="Times New Roman" w:cs="Times New Roman"/>
          <w:lang w:val="it-IT"/>
        </w:rPr>
        <w:t xml:space="preserve"> e</w:t>
      </w:r>
      <w:r w:rsidR="00833D3C">
        <w:rPr>
          <w:rFonts w:ascii="Times New Roman" w:hAnsi="Times New Roman" w:cs="Times New Roman"/>
          <w:lang w:val="it-IT"/>
        </w:rPr>
        <w:t xml:space="preserve"> gli</w:t>
      </w:r>
      <w:r w:rsidR="00774AB9" w:rsidRPr="00F76362">
        <w:rPr>
          <w:rFonts w:ascii="Times New Roman" w:hAnsi="Times New Roman" w:cs="Times New Roman"/>
          <w:lang w:val="it-IT"/>
        </w:rPr>
        <w:t xml:space="preserve"> obiettivi degli istituti, non ne parlano.</w:t>
      </w:r>
      <w:r w:rsidR="00DC4E4F">
        <w:rPr>
          <w:rStyle w:val="Rimandonotaapidipagina"/>
          <w:rFonts w:ascii="Times New Roman" w:hAnsi="Times New Roman" w:cs="Times New Roman"/>
          <w:lang w:val="it-IT"/>
        </w:rPr>
        <w:footnoteReference w:id="11"/>
      </w:r>
      <w:r w:rsidR="00774AB9" w:rsidRPr="00F76362">
        <w:rPr>
          <w:rFonts w:ascii="Times New Roman" w:hAnsi="Times New Roman" w:cs="Times New Roman"/>
          <w:lang w:val="it-IT"/>
        </w:rPr>
        <w:t xml:space="preserve"> L’unico riferimento </w:t>
      </w:r>
      <w:r w:rsidR="00E845FD">
        <w:rPr>
          <w:rFonts w:ascii="Times New Roman" w:hAnsi="Times New Roman" w:cs="Times New Roman"/>
          <w:lang w:val="it-IT"/>
        </w:rPr>
        <w:t>si</w:t>
      </w:r>
      <w:r w:rsidR="00774AB9" w:rsidRPr="00F76362">
        <w:rPr>
          <w:rFonts w:ascii="Times New Roman" w:hAnsi="Times New Roman" w:cs="Times New Roman"/>
          <w:lang w:val="it-IT"/>
        </w:rPr>
        <w:t xml:space="preserve"> trova nel titolo IV della direttiva 2014/24/UE sulla </w:t>
      </w:r>
      <w:r w:rsidR="00774AB9" w:rsidRPr="004A7925">
        <w:rPr>
          <w:rFonts w:ascii="Times New Roman" w:hAnsi="Times New Roman" w:cs="Times New Roman"/>
          <w:i/>
          <w:iCs/>
          <w:lang w:val="it-IT"/>
        </w:rPr>
        <w:t>governance</w:t>
      </w:r>
      <w:r w:rsidR="00774AB9" w:rsidRPr="00F76362">
        <w:rPr>
          <w:rFonts w:ascii="Times New Roman" w:hAnsi="Times New Roman" w:cs="Times New Roman"/>
          <w:lang w:val="it-IT"/>
        </w:rPr>
        <w:t xml:space="preserve">. Il comma 4 dell’articolo 83 dispone che gli stati membri </w:t>
      </w:r>
      <w:r w:rsidR="00B94D58" w:rsidRPr="00F76362">
        <w:rPr>
          <w:rFonts w:ascii="Times New Roman" w:hAnsi="Times New Roman" w:cs="Times New Roman"/>
          <w:lang w:val="it-IT"/>
        </w:rPr>
        <w:t xml:space="preserve">mettano a disposizione gratuitamente orientamenti e informazioni per l’interpretazione e l’applicazione del diritto dell’Unione sugli appalti pubblici, al fine di assistere le amministrazioni aggiudicatrici e gli operatori economici, in particolare le </w:t>
      </w:r>
      <w:r w:rsidR="00D50690">
        <w:rPr>
          <w:rFonts w:ascii="Times New Roman" w:hAnsi="Times New Roman" w:cs="Times New Roman"/>
          <w:lang w:val="it-IT"/>
        </w:rPr>
        <w:t>piccole e medie imprese (</w:t>
      </w:r>
      <w:r w:rsidR="00B94D58" w:rsidRPr="00F76362">
        <w:rPr>
          <w:rFonts w:ascii="Times New Roman" w:hAnsi="Times New Roman" w:cs="Times New Roman"/>
          <w:lang w:val="it-IT"/>
        </w:rPr>
        <w:t>PMI</w:t>
      </w:r>
      <w:r w:rsidR="00D50690">
        <w:rPr>
          <w:rFonts w:ascii="Times New Roman" w:hAnsi="Times New Roman" w:cs="Times New Roman"/>
          <w:lang w:val="it-IT"/>
        </w:rPr>
        <w:t>)</w:t>
      </w:r>
      <w:r w:rsidR="00B94D58" w:rsidRPr="00F76362">
        <w:rPr>
          <w:rFonts w:ascii="Times New Roman" w:hAnsi="Times New Roman" w:cs="Times New Roman"/>
          <w:lang w:val="it-IT"/>
        </w:rPr>
        <w:t>, nella corretta applicazione della normativa dell’Unione in materia, e che sia disponibile il sostegno alle amministrazioni aggiudicatrici per quanto riguarda la pianificazione e la conduzione delle procedure d’appalto. Sembrerebbe però più un</w:t>
      </w:r>
      <w:r w:rsidR="00007685">
        <w:rPr>
          <w:rFonts w:ascii="Times New Roman" w:hAnsi="Times New Roman" w:cs="Times New Roman"/>
          <w:lang w:val="it-IT"/>
        </w:rPr>
        <w:t xml:space="preserve"> </w:t>
      </w:r>
      <w:r w:rsidR="00B94D58" w:rsidRPr="00F76362">
        <w:rPr>
          <w:rFonts w:ascii="Times New Roman" w:hAnsi="Times New Roman" w:cs="Times New Roman"/>
          <w:lang w:val="it-IT"/>
        </w:rPr>
        <w:t>aiuto pianificato e centralizzato delle stazioni appaltanti che un’indicazione sulla professionalizzazione, sia in forma di pareri, o di linee guida (</w:t>
      </w:r>
      <w:r w:rsidR="00B94D58" w:rsidRPr="00833D3C">
        <w:rPr>
          <w:rFonts w:ascii="Times New Roman" w:hAnsi="Times New Roman" w:cs="Times New Roman"/>
          <w:i/>
          <w:iCs/>
          <w:lang w:val="it-IT"/>
        </w:rPr>
        <w:t>soft law</w:t>
      </w:r>
      <w:r w:rsidR="00B94D58" w:rsidRPr="00F76362">
        <w:rPr>
          <w:rFonts w:ascii="Times New Roman" w:hAnsi="Times New Roman" w:cs="Times New Roman"/>
          <w:lang w:val="it-IT"/>
        </w:rPr>
        <w:t>).</w:t>
      </w:r>
    </w:p>
    <w:p w14:paraId="6DDFE433" w14:textId="41427B21" w:rsidR="00B94D58" w:rsidRPr="00F76362" w:rsidRDefault="00B94D58" w:rsidP="00007685">
      <w:pPr>
        <w:spacing w:line="276" w:lineRule="auto"/>
        <w:jc w:val="both"/>
        <w:rPr>
          <w:rFonts w:ascii="Times New Roman" w:hAnsi="Times New Roman" w:cs="Times New Roman"/>
          <w:lang w:val="it-IT"/>
        </w:rPr>
      </w:pPr>
    </w:p>
    <w:p w14:paraId="2E7A6B8B" w14:textId="17821414" w:rsidR="00B94D58" w:rsidRPr="00F76362" w:rsidRDefault="00B94D58"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Tre anni dopo</w:t>
      </w:r>
      <w:r w:rsidR="00913BD7">
        <w:rPr>
          <w:rFonts w:ascii="Times New Roman" w:hAnsi="Times New Roman" w:cs="Times New Roman"/>
          <w:lang w:val="it-IT"/>
        </w:rPr>
        <w:t>,</w:t>
      </w:r>
      <w:r w:rsidRPr="00F76362">
        <w:rPr>
          <w:rFonts w:ascii="Times New Roman" w:hAnsi="Times New Roman" w:cs="Times New Roman"/>
          <w:lang w:val="it-IT"/>
        </w:rPr>
        <w:t xml:space="preserve"> </w:t>
      </w:r>
      <w:r w:rsidR="002A231E" w:rsidRPr="00F76362">
        <w:rPr>
          <w:rFonts w:ascii="Times New Roman" w:hAnsi="Times New Roman" w:cs="Times New Roman"/>
          <w:lang w:val="it-IT"/>
        </w:rPr>
        <w:t>ed a sostegno de</w:t>
      </w:r>
      <w:r w:rsidR="00E91836" w:rsidRPr="00F76362">
        <w:rPr>
          <w:rFonts w:ascii="Times New Roman" w:hAnsi="Times New Roman" w:cs="Times New Roman"/>
          <w:lang w:val="it-IT"/>
        </w:rPr>
        <w:t xml:space="preserve">lle nuove direttive del 2014, </w:t>
      </w:r>
      <w:r w:rsidRPr="00F76362">
        <w:rPr>
          <w:rFonts w:ascii="Times New Roman" w:hAnsi="Times New Roman" w:cs="Times New Roman"/>
          <w:lang w:val="it-IT"/>
        </w:rPr>
        <w:t xml:space="preserve">la Commissione Europea </w:t>
      </w:r>
      <w:r w:rsidR="002A231E" w:rsidRPr="00F76362">
        <w:rPr>
          <w:rFonts w:ascii="Times New Roman" w:hAnsi="Times New Roman" w:cs="Times New Roman"/>
          <w:lang w:val="it-IT"/>
        </w:rPr>
        <w:t xml:space="preserve">adottò </w:t>
      </w:r>
      <w:r w:rsidR="00E91836" w:rsidRPr="00F76362">
        <w:rPr>
          <w:rFonts w:ascii="Times New Roman" w:hAnsi="Times New Roman" w:cs="Times New Roman"/>
          <w:lang w:val="it-IT"/>
        </w:rPr>
        <w:t>diversi</w:t>
      </w:r>
      <w:r w:rsidR="002A231E" w:rsidRPr="00F76362">
        <w:rPr>
          <w:rFonts w:ascii="Times New Roman" w:hAnsi="Times New Roman" w:cs="Times New Roman"/>
          <w:lang w:val="it-IT"/>
        </w:rPr>
        <w:t xml:space="preserve"> strumenti di </w:t>
      </w:r>
      <w:r w:rsidR="002A231E" w:rsidRPr="00833D3C">
        <w:rPr>
          <w:rFonts w:ascii="Times New Roman" w:hAnsi="Times New Roman" w:cs="Times New Roman"/>
          <w:i/>
          <w:iCs/>
          <w:lang w:val="it-IT"/>
        </w:rPr>
        <w:t>soft law</w:t>
      </w:r>
      <w:r w:rsidR="00E91836" w:rsidRPr="00F76362">
        <w:rPr>
          <w:rFonts w:ascii="Times New Roman" w:hAnsi="Times New Roman" w:cs="Times New Roman"/>
          <w:lang w:val="it-IT"/>
        </w:rPr>
        <w:t xml:space="preserve"> sugli appalti pubblici: “Appalti pubblici efficaci in Europa e per l’Europa”</w:t>
      </w:r>
      <w:r w:rsidR="00E91836" w:rsidRPr="00F76362">
        <w:rPr>
          <w:rStyle w:val="Rimandonotaapidipagina"/>
          <w:rFonts w:ascii="Times New Roman" w:hAnsi="Times New Roman" w:cs="Times New Roman"/>
          <w:lang w:val="it-IT"/>
        </w:rPr>
        <w:footnoteReference w:id="12"/>
      </w:r>
      <w:r w:rsidR="00E91836" w:rsidRPr="00F76362">
        <w:rPr>
          <w:rFonts w:ascii="Times New Roman" w:hAnsi="Times New Roman" w:cs="Times New Roman"/>
          <w:lang w:val="it-IT"/>
        </w:rPr>
        <w:t>, “Comunicazione per le procedure di valutazione ex ante”</w:t>
      </w:r>
      <w:r w:rsidR="00E91836" w:rsidRPr="00F76362">
        <w:rPr>
          <w:rStyle w:val="Rimandonotaapidipagina"/>
          <w:rFonts w:ascii="Times New Roman" w:hAnsi="Times New Roman" w:cs="Times New Roman"/>
          <w:lang w:val="it-IT"/>
        </w:rPr>
        <w:footnoteReference w:id="13"/>
      </w:r>
      <w:r w:rsidR="00E91836" w:rsidRPr="00F76362">
        <w:rPr>
          <w:rFonts w:ascii="Times New Roman" w:hAnsi="Times New Roman" w:cs="Times New Roman"/>
          <w:lang w:val="it-IT"/>
        </w:rPr>
        <w:t xml:space="preserve"> e “Repertorio delle buone pratiche”</w:t>
      </w:r>
      <w:r w:rsidR="00E91836" w:rsidRPr="00F76362">
        <w:rPr>
          <w:rStyle w:val="Rimandonotaapidipagina"/>
          <w:rFonts w:ascii="Times New Roman" w:hAnsi="Times New Roman" w:cs="Times New Roman"/>
          <w:lang w:val="it-IT"/>
        </w:rPr>
        <w:footnoteReference w:id="14"/>
      </w:r>
      <w:r w:rsidR="004A7925">
        <w:rPr>
          <w:rFonts w:ascii="Times New Roman" w:hAnsi="Times New Roman" w:cs="Times New Roman"/>
          <w:lang w:val="it-IT"/>
        </w:rPr>
        <w:t>.</w:t>
      </w:r>
      <w:r w:rsidR="00E91836" w:rsidRPr="00F76362">
        <w:rPr>
          <w:rFonts w:ascii="Times New Roman" w:hAnsi="Times New Roman" w:cs="Times New Roman"/>
          <w:lang w:val="it-IT"/>
        </w:rPr>
        <w:t xml:space="preserve"> </w:t>
      </w:r>
      <w:r w:rsidR="004A7925">
        <w:rPr>
          <w:rFonts w:ascii="Times New Roman" w:hAnsi="Times New Roman" w:cs="Times New Roman"/>
          <w:lang w:val="it-IT"/>
        </w:rPr>
        <w:t xml:space="preserve">Questi </w:t>
      </w:r>
      <w:r w:rsidR="00913BD7">
        <w:rPr>
          <w:rFonts w:ascii="Times New Roman" w:hAnsi="Times New Roman" w:cs="Times New Roman"/>
          <w:lang w:val="it-IT"/>
        </w:rPr>
        <w:t xml:space="preserve">strumenti </w:t>
      </w:r>
      <w:r w:rsidR="004A7925">
        <w:rPr>
          <w:rFonts w:ascii="Times New Roman" w:hAnsi="Times New Roman" w:cs="Times New Roman"/>
          <w:lang w:val="it-IT"/>
        </w:rPr>
        <w:t>fo</w:t>
      </w:r>
      <w:r w:rsidR="00E91836" w:rsidRPr="00F76362">
        <w:rPr>
          <w:rFonts w:ascii="Times New Roman" w:hAnsi="Times New Roman" w:cs="Times New Roman"/>
          <w:lang w:val="it-IT"/>
        </w:rPr>
        <w:t>rnisc</w:t>
      </w:r>
      <w:r w:rsidR="004A7925">
        <w:rPr>
          <w:rFonts w:ascii="Times New Roman" w:hAnsi="Times New Roman" w:cs="Times New Roman"/>
          <w:lang w:val="it-IT"/>
        </w:rPr>
        <w:t>ono</w:t>
      </w:r>
      <w:r w:rsidR="00E91836" w:rsidRPr="00F76362">
        <w:rPr>
          <w:rFonts w:ascii="Times New Roman" w:hAnsi="Times New Roman" w:cs="Times New Roman"/>
          <w:lang w:val="it-IT"/>
        </w:rPr>
        <w:t xml:space="preserve"> indicazioni complementari e definisc</w:t>
      </w:r>
      <w:r w:rsidR="004A7925">
        <w:rPr>
          <w:rFonts w:ascii="Times New Roman" w:hAnsi="Times New Roman" w:cs="Times New Roman"/>
          <w:lang w:val="it-IT"/>
        </w:rPr>
        <w:t>ono</w:t>
      </w:r>
      <w:r w:rsidR="00E91836" w:rsidRPr="00F76362">
        <w:rPr>
          <w:rFonts w:ascii="Times New Roman" w:hAnsi="Times New Roman" w:cs="Times New Roman"/>
          <w:lang w:val="it-IT"/>
        </w:rPr>
        <w:t xml:space="preserve"> priorità e misure della nuova strategia europea; più precisamente nel settore della professionalizzazione</w:t>
      </w:r>
      <w:r w:rsidRPr="00F76362">
        <w:rPr>
          <w:rFonts w:ascii="Times New Roman" w:hAnsi="Times New Roman" w:cs="Times New Roman"/>
          <w:lang w:val="it-IT"/>
        </w:rPr>
        <w:t xml:space="preserve"> </w:t>
      </w:r>
      <w:r w:rsidR="004A7925">
        <w:rPr>
          <w:rFonts w:ascii="Times New Roman" w:hAnsi="Times New Roman" w:cs="Times New Roman"/>
          <w:lang w:val="it-IT"/>
        </w:rPr>
        <w:t xml:space="preserve">è stata </w:t>
      </w:r>
      <w:r w:rsidRPr="00F76362">
        <w:rPr>
          <w:rFonts w:ascii="Times New Roman" w:hAnsi="Times New Roman" w:cs="Times New Roman"/>
          <w:lang w:val="it-IT"/>
        </w:rPr>
        <w:t>indirizzat</w:t>
      </w:r>
      <w:r w:rsidR="004A7925">
        <w:rPr>
          <w:rFonts w:ascii="Times New Roman" w:hAnsi="Times New Roman" w:cs="Times New Roman"/>
          <w:lang w:val="it-IT"/>
        </w:rPr>
        <w:t>a</w:t>
      </w:r>
      <w:r w:rsidRPr="00F76362">
        <w:rPr>
          <w:rFonts w:ascii="Times New Roman" w:hAnsi="Times New Roman" w:cs="Times New Roman"/>
          <w:lang w:val="it-IT"/>
        </w:rPr>
        <w:t xml:space="preserve"> una propria raccomandazione dedicata agli stati membri, che ha l’obiettivo, oltre alla professionalizzazione degli appalti pubblici in generale, di costruire un’architettura per la professionalizzazione degli appalti pubblici vera e propria.</w:t>
      </w:r>
      <w:r w:rsidRPr="00F76362">
        <w:rPr>
          <w:rStyle w:val="Rimandonotaapidipagina"/>
          <w:rFonts w:ascii="Times New Roman" w:hAnsi="Times New Roman" w:cs="Times New Roman"/>
          <w:lang w:val="it-IT"/>
        </w:rPr>
        <w:footnoteReference w:id="15"/>
      </w:r>
      <w:r w:rsidRPr="00F76362">
        <w:rPr>
          <w:rFonts w:ascii="Times New Roman" w:hAnsi="Times New Roman" w:cs="Times New Roman"/>
          <w:lang w:val="it-IT"/>
        </w:rPr>
        <w:t xml:space="preserve"> </w:t>
      </w:r>
    </w:p>
    <w:p w14:paraId="69000E27" w14:textId="422BE754" w:rsidR="00E91836" w:rsidRPr="00F76362" w:rsidRDefault="00E91836" w:rsidP="00007685">
      <w:pPr>
        <w:spacing w:line="276" w:lineRule="auto"/>
        <w:jc w:val="both"/>
        <w:rPr>
          <w:rFonts w:ascii="Times New Roman" w:hAnsi="Times New Roman" w:cs="Times New Roman"/>
          <w:lang w:val="it-IT"/>
        </w:rPr>
      </w:pPr>
    </w:p>
    <w:p w14:paraId="12546213" w14:textId="7261043D" w:rsidR="00E5798B" w:rsidRPr="00F76362" w:rsidRDefault="00E91836"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Nell’ambito della strategia è particolarmente rilevante il punto 2: professionalizzare le stazioni appaltanti. La Commissione è dell’avviso che questa politica è di particolare importanza per gli Stati membri, e individua come obiettivo di formare </w:t>
      </w:r>
      <w:r w:rsidR="00E5798B" w:rsidRPr="00F76362">
        <w:rPr>
          <w:rFonts w:ascii="Times New Roman" w:hAnsi="Times New Roman" w:cs="Times New Roman"/>
          <w:lang w:val="it-IT"/>
        </w:rPr>
        <w:t>personale qualificato, con competenze e strumenti adeguati.</w:t>
      </w:r>
      <w:r w:rsidR="00E5798B" w:rsidRPr="00F76362">
        <w:rPr>
          <w:rStyle w:val="Rimandonotaapidipagina"/>
          <w:rFonts w:ascii="Times New Roman" w:hAnsi="Times New Roman" w:cs="Times New Roman"/>
          <w:lang w:val="it-IT"/>
        </w:rPr>
        <w:footnoteReference w:id="16"/>
      </w:r>
      <w:r w:rsidR="004A7925">
        <w:rPr>
          <w:rFonts w:ascii="Times New Roman" w:hAnsi="Times New Roman" w:cs="Times New Roman"/>
          <w:lang w:val="it-IT"/>
        </w:rPr>
        <w:t xml:space="preserve"> </w:t>
      </w:r>
      <w:r w:rsidR="00E5798B" w:rsidRPr="00F76362">
        <w:rPr>
          <w:rFonts w:ascii="Times New Roman" w:hAnsi="Times New Roman" w:cs="Times New Roman"/>
          <w:lang w:val="it-IT"/>
        </w:rPr>
        <w:t>La raccomandazione del 2017 elenca sei aree d’intervento, definendo un quadro comune di riferimento per armonizzare a livello europeo la formazione (precisando qual</w:t>
      </w:r>
      <w:r w:rsidR="00E845FD">
        <w:rPr>
          <w:rFonts w:ascii="Times New Roman" w:hAnsi="Times New Roman" w:cs="Times New Roman"/>
          <w:lang w:val="it-IT"/>
        </w:rPr>
        <w:t>i</w:t>
      </w:r>
      <w:r w:rsidR="00E5798B" w:rsidRPr="00F76362">
        <w:rPr>
          <w:rFonts w:ascii="Times New Roman" w:hAnsi="Times New Roman" w:cs="Times New Roman"/>
          <w:lang w:val="it-IT"/>
        </w:rPr>
        <w:t xml:space="preserve"> siano le politiche, l’adeguamento degli strumenti e la formazione stessa). </w:t>
      </w:r>
      <w:r w:rsidR="00E845FD">
        <w:rPr>
          <w:rFonts w:ascii="Times New Roman" w:hAnsi="Times New Roman" w:cs="Times New Roman"/>
          <w:lang w:val="it-IT"/>
        </w:rPr>
        <w:t>V</w:t>
      </w:r>
      <w:r w:rsidR="00E5798B" w:rsidRPr="00F76362">
        <w:rPr>
          <w:rFonts w:ascii="Times New Roman" w:hAnsi="Times New Roman" w:cs="Times New Roman"/>
          <w:lang w:val="it-IT"/>
        </w:rPr>
        <w:t xml:space="preserve">iene </w:t>
      </w:r>
      <w:r w:rsidR="00E845FD">
        <w:rPr>
          <w:rFonts w:ascii="Times New Roman" w:hAnsi="Times New Roman" w:cs="Times New Roman"/>
          <w:lang w:val="it-IT"/>
        </w:rPr>
        <w:t xml:space="preserve">inoltre </w:t>
      </w:r>
      <w:r w:rsidR="00E5798B" w:rsidRPr="00F76362">
        <w:rPr>
          <w:rFonts w:ascii="Times New Roman" w:hAnsi="Times New Roman" w:cs="Times New Roman"/>
          <w:lang w:val="it-IT"/>
        </w:rPr>
        <w:t>fornit</w:t>
      </w:r>
      <w:r w:rsidR="00E845FD">
        <w:rPr>
          <w:rFonts w:ascii="Times New Roman" w:hAnsi="Times New Roman" w:cs="Times New Roman"/>
          <w:lang w:val="it-IT"/>
        </w:rPr>
        <w:t>a</w:t>
      </w:r>
      <w:r w:rsidR="00E5798B" w:rsidRPr="00F76362">
        <w:rPr>
          <w:rFonts w:ascii="Times New Roman" w:hAnsi="Times New Roman" w:cs="Times New Roman"/>
          <w:lang w:val="it-IT"/>
        </w:rPr>
        <w:t xml:space="preserve"> una raccolta di buone pratiche da altri Stati membri ed organizzazioni internazionali (OCSE, UNCITRAL, WB, BERS, BEI ecc.).</w:t>
      </w:r>
    </w:p>
    <w:p w14:paraId="25CB28DF" w14:textId="77777777" w:rsidR="004A7925" w:rsidRDefault="004A7925" w:rsidP="00007685">
      <w:pPr>
        <w:spacing w:line="276" w:lineRule="auto"/>
        <w:rPr>
          <w:rFonts w:ascii="Times New Roman" w:eastAsia="Times New Roman" w:hAnsi="Times New Roman" w:cs="Times New Roman"/>
          <w:lang w:val="it-IT" w:eastAsia="de-DE"/>
        </w:rPr>
      </w:pPr>
    </w:p>
    <w:p w14:paraId="79EA7333" w14:textId="2F367CA9" w:rsidR="00414325" w:rsidRPr="004A7925" w:rsidRDefault="00E5798B" w:rsidP="00007685">
      <w:pPr>
        <w:spacing w:line="276" w:lineRule="auto"/>
        <w:rPr>
          <w:rFonts w:ascii="Times New Roman" w:eastAsia="Times New Roman" w:hAnsi="Times New Roman" w:cs="Times New Roman"/>
          <w:lang w:val="it-IT" w:eastAsia="de-DE"/>
        </w:rPr>
      </w:pPr>
      <w:r w:rsidRPr="004A7925">
        <w:rPr>
          <w:rFonts w:ascii="Times New Roman" w:eastAsia="Times New Roman" w:hAnsi="Times New Roman" w:cs="Times New Roman"/>
          <w:lang w:val="it-IT" w:eastAsia="de-DE"/>
        </w:rPr>
        <w:t xml:space="preserve">La Commissione Europea </w:t>
      </w:r>
      <w:r w:rsidR="00414325" w:rsidRPr="004A7925">
        <w:rPr>
          <w:rFonts w:ascii="Times New Roman" w:eastAsia="Times New Roman" w:hAnsi="Times New Roman" w:cs="Times New Roman"/>
          <w:lang w:val="it-IT" w:eastAsia="de-DE"/>
        </w:rPr>
        <w:t>raccomanda</w:t>
      </w:r>
      <w:r w:rsidR="00E845FD">
        <w:rPr>
          <w:rFonts w:ascii="Times New Roman" w:eastAsia="Times New Roman" w:hAnsi="Times New Roman" w:cs="Times New Roman"/>
          <w:lang w:val="it-IT" w:eastAsia="de-DE"/>
        </w:rPr>
        <w:t xml:space="preserve"> di</w:t>
      </w:r>
      <w:r w:rsidR="00414325" w:rsidRPr="004A7925">
        <w:rPr>
          <w:rFonts w:ascii="Times New Roman" w:eastAsia="Times New Roman" w:hAnsi="Times New Roman" w:cs="Times New Roman"/>
          <w:lang w:val="it-IT" w:eastAsia="de-DE"/>
        </w:rPr>
        <w:t>:</w:t>
      </w:r>
    </w:p>
    <w:p w14:paraId="54327F2F" w14:textId="58592873" w:rsidR="00414325" w:rsidRPr="004A7925" w:rsidRDefault="00E5798B" w:rsidP="00007685">
      <w:pPr>
        <w:pStyle w:val="Paragrafoelenco"/>
        <w:numPr>
          <w:ilvl w:val="0"/>
          <w:numId w:val="2"/>
        </w:numPr>
        <w:spacing w:line="276" w:lineRule="auto"/>
        <w:rPr>
          <w:rFonts w:ascii="Times New Roman" w:eastAsia="Times New Roman" w:hAnsi="Times New Roman" w:cs="Times New Roman"/>
          <w:lang w:val="it-IT" w:eastAsia="de-DE"/>
        </w:rPr>
      </w:pPr>
      <w:r w:rsidRPr="004A7925">
        <w:rPr>
          <w:rFonts w:ascii="Times New Roman" w:eastAsia="Times New Roman" w:hAnsi="Times New Roman" w:cs="Times New Roman"/>
          <w:lang w:val="it-IT" w:eastAsia="de-DE"/>
        </w:rPr>
        <w:t>disporre di personale esperto, qualificato e motivato;</w:t>
      </w:r>
    </w:p>
    <w:p w14:paraId="039953B2" w14:textId="77777777" w:rsidR="00414325" w:rsidRPr="004A7925" w:rsidRDefault="00E5798B" w:rsidP="00007685">
      <w:pPr>
        <w:pStyle w:val="Paragrafoelenco"/>
        <w:numPr>
          <w:ilvl w:val="0"/>
          <w:numId w:val="2"/>
        </w:numPr>
        <w:spacing w:line="276" w:lineRule="auto"/>
        <w:rPr>
          <w:rFonts w:ascii="Times New Roman" w:eastAsia="Times New Roman" w:hAnsi="Times New Roman" w:cs="Times New Roman"/>
          <w:lang w:val="it-IT" w:eastAsia="de-DE"/>
        </w:rPr>
      </w:pPr>
      <w:r w:rsidRPr="004A7925">
        <w:rPr>
          <w:rFonts w:ascii="Times New Roman" w:eastAsia="Times New Roman" w:hAnsi="Times New Roman" w:cs="Times New Roman"/>
          <w:lang w:val="it-IT" w:eastAsia="de-DE"/>
        </w:rPr>
        <w:t>offrire formazione e sviluppo professionale continuo</w:t>
      </w:r>
      <w:r w:rsidR="00414325" w:rsidRPr="004A7925">
        <w:rPr>
          <w:rFonts w:ascii="Times New Roman" w:eastAsia="Times New Roman" w:hAnsi="Times New Roman" w:cs="Times New Roman"/>
          <w:lang w:val="it-IT" w:eastAsia="de-DE"/>
        </w:rPr>
        <w:t>;</w:t>
      </w:r>
    </w:p>
    <w:p w14:paraId="0D8B3596" w14:textId="77777777" w:rsidR="00007685" w:rsidRDefault="00E5798B" w:rsidP="00007685">
      <w:pPr>
        <w:pStyle w:val="Paragrafoelenco"/>
        <w:numPr>
          <w:ilvl w:val="0"/>
          <w:numId w:val="2"/>
        </w:numPr>
        <w:spacing w:line="276" w:lineRule="auto"/>
        <w:rPr>
          <w:rFonts w:ascii="Times New Roman" w:eastAsia="Times New Roman" w:hAnsi="Times New Roman" w:cs="Times New Roman"/>
          <w:lang w:val="it-IT" w:eastAsia="de-DE"/>
        </w:rPr>
      </w:pPr>
      <w:r w:rsidRPr="004A7925">
        <w:rPr>
          <w:rFonts w:ascii="Times New Roman" w:eastAsia="Times New Roman" w:hAnsi="Times New Roman" w:cs="Times New Roman"/>
          <w:lang w:val="it-IT" w:eastAsia="de-DE"/>
        </w:rPr>
        <w:t>sviluppare strutture di carriera e incentivi per aumentare l'attrattiva della funzione e motivare i funzionari</w:t>
      </w:r>
      <w:r w:rsidR="00414325" w:rsidRPr="004A7925">
        <w:rPr>
          <w:rFonts w:ascii="Times New Roman" w:eastAsia="Times New Roman" w:hAnsi="Times New Roman" w:cs="Times New Roman"/>
          <w:lang w:val="it-IT" w:eastAsia="de-DE"/>
        </w:rPr>
        <w:t>.</w:t>
      </w:r>
      <w:r w:rsidR="00007685">
        <w:rPr>
          <w:rFonts w:ascii="Times New Roman" w:eastAsia="Times New Roman" w:hAnsi="Times New Roman" w:cs="Times New Roman"/>
          <w:lang w:val="it-IT" w:eastAsia="de-DE"/>
        </w:rPr>
        <w:t xml:space="preserve"> </w:t>
      </w:r>
    </w:p>
    <w:p w14:paraId="48A1C514" w14:textId="5151E32D" w:rsidR="004A7925" w:rsidRPr="00007685" w:rsidRDefault="004A7925" w:rsidP="00007685">
      <w:pPr>
        <w:spacing w:line="276" w:lineRule="auto"/>
        <w:rPr>
          <w:rFonts w:ascii="Times New Roman" w:eastAsia="Times New Roman" w:hAnsi="Times New Roman" w:cs="Times New Roman"/>
          <w:lang w:val="it-IT" w:eastAsia="de-DE"/>
        </w:rPr>
      </w:pPr>
      <w:r w:rsidRPr="00007685">
        <w:rPr>
          <w:rFonts w:ascii="Times New Roman" w:hAnsi="Times New Roman" w:cs="Times New Roman"/>
          <w:lang w:val="it-IT"/>
        </w:rPr>
        <w:t xml:space="preserve">Sono questi dunque i </w:t>
      </w:r>
      <w:r w:rsidR="002637AC" w:rsidRPr="00007685">
        <w:rPr>
          <w:rFonts w:ascii="Times New Roman" w:hAnsi="Times New Roman" w:cs="Times New Roman"/>
          <w:lang w:val="it-IT"/>
        </w:rPr>
        <w:t xml:space="preserve">tre </w:t>
      </w:r>
      <w:r w:rsidRPr="00007685">
        <w:rPr>
          <w:rFonts w:ascii="Times New Roman" w:hAnsi="Times New Roman" w:cs="Times New Roman"/>
          <w:lang w:val="it-IT"/>
        </w:rPr>
        <w:t>pilastri dell’innovazione di sistema.</w:t>
      </w:r>
      <w:r w:rsidR="00C53AD8">
        <w:rPr>
          <w:rStyle w:val="Rimandonotaapidipagina"/>
          <w:rFonts w:ascii="Times New Roman" w:hAnsi="Times New Roman" w:cs="Times New Roman"/>
          <w:lang w:val="it-IT"/>
        </w:rPr>
        <w:footnoteReference w:id="17"/>
      </w:r>
    </w:p>
    <w:p w14:paraId="62BD71C0" w14:textId="72ADC387" w:rsidR="004A7925" w:rsidRDefault="004A7925" w:rsidP="00007685">
      <w:pPr>
        <w:spacing w:line="276" w:lineRule="auto"/>
        <w:jc w:val="both"/>
        <w:rPr>
          <w:rFonts w:ascii="Times New Roman" w:hAnsi="Times New Roman" w:cs="Times New Roman"/>
          <w:lang w:val="it-IT"/>
        </w:rPr>
      </w:pPr>
    </w:p>
    <w:p w14:paraId="3D014283" w14:textId="3269487C" w:rsidR="004A7925" w:rsidRPr="00F76362" w:rsidRDefault="00C3200D" w:rsidP="0003225A">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Secondo uno studio della Commissione Europea nell’ambito del sistema </w:t>
      </w:r>
      <w:proofErr w:type="spellStart"/>
      <w:r w:rsidRPr="00007685">
        <w:rPr>
          <w:rFonts w:ascii="Times New Roman" w:hAnsi="Times New Roman" w:cs="Times New Roman"/>
          <w:i/>
          <w:iCs/>
          <w:lang w:val="it-IT"/>
        </w:rPr>
        <w:t>ProcurComp</w:t>
      </w:r>
      <w:r w:rsidRPr="00007685">
        <w:rPr>
          <w:rFonts w:ascii="Times New Roman" w:hAnsi="Times New Roman" w:cs="Times New Roman"/>
          <w:i/>
          <w:iCs/>
          <w:vertAlign w:val="superscript"/>
          <w:lang w:val="it-IT"/>
        </w:rPr>
        <w:t>EU</w:t>
      </w:r>
      <w:proofErr w:type="spellEnd"/>
      <w:r w:rsidRPr="00007685">
        <w:rPr>
          <w:rFonts w:ascii="Times New Roman" w:hAnsi="Times New Roman" w:cs="Times New Roman"/>
          <w:i/>
          <w:iCs/>
          <w:lang w:val="it-IT"/>
        </w:rPr>
        <w:t xml:space="preserve"> </w:t>
      </w:r>
      <w:r w:rsidRPr="00F76362">
        <w:rPr>
          <w:rFonts w:ascii="Times New Roman" w:hAnsi="Times New Roman" w:cs="Times New Roman"/>
          <w:lang w:val="it-IT"/>
        </w:rPr>
        <w:t>pubblicata a giugno 2020</w:t>
      </w:r>
      <w:r w:rsidRPr="00F76362">
        <w:rPr>
          <w:rStyle w:val="Rimandonotaapidipagina"/>
          <w:rFonts w:ascii="Times New Roman" w:hAnsi="Times New Roman" w:cs="Times New Roman"/>
          <w:lang w:val="it-IT"/>
        </w:rPr>
        <w:footnoteReference w:id="18"/>
      </w:r>
      <w:r w:rsidR="00A941CC">
        <w:rPr>
          <w:rFonts w:ascii="Times New Roman" w:hAnsi="Times New Roman" w:cs="Times New Roman"/>
          <w:lang w:val="it-IT"/>
        </w:rPr>
        <w:t>,</w:t>
      </w:r>
      <w:r w:rsidRPr="00F76362">
        <w:rPr>
          <w:rFonts w:ascii="Times New Roman" w:hAnsi="Times New Roman" w:cs="Times New Roman"/>
          <w:lang w:val="it-IT"/>
        </w:rPr>
        <w:t xml:space="preserve"> la professionalizzazione del </w:t>
      </w:r>
      <w:r w:rsidRPr="00A941CC">
        <w:rPr>
          <w:rFonts w:ascii="Times New Roman" w:hAnsi="Times New Roman" w:cs="Times New Roman"/>
          <w:i/>
          <w:iCs/>
          <w:lang w:val="it-IT"/>
        </w:rPr>
        <w:t>public procurement</w:t>
      </w:r>
      <w:r w:rsidRPr="00F76362">
        <w:rPr>
          <w:rFonts w:ascii="Times New Roman" w:hAnsi="Times New Roman" w:cs="Times New Roman"/>
          <w:lang w:val="it-IT"/>
        </w:rPr>
        <w:t xml:space="preserve"> negli Stati membri è ancora molto lontana da una</w:t>
      </w:r>
      <w:r w:rsidR="00A941CC">
        <w:rPr>
          <w:rFonts w:ascii="Times New Roman" w:hAnsi="Times New Roman" w:cs="Times New Roman"/>
          <w:lang w:val="it-IT"/>
        </w:rPr>
        <w:t xml:space="preserve"> reale </w:t>
      </w:r>
      <w:r w:rsidRPr="00F76362">
        <w:rPr>
          <w:rFonts w:ascii="Times New Roman" w:hAnsi="Times New Roman" w:cs="Times New Roman"/>
          <w:lang w:val="it-IT"/>
        </w:rPr>
        <w:t xml:space="preserve">armonizzazione. Manca infatti ancora un quadro comune di riferimento, soprattutto per le competenze, la formazione ed i relativi strumenti. La Commissione ha creato </w:t>
      </w:r>
      <w:proofErr w:type="spellStart"/>
      <w:r w:rsidR="00501B1D">
        <w:rPr>
          <w:rFonts w:ascii="Times New Roman" w:hAnsi="Times New Roman" w:cs="Times New Roman"/>
          <w:i/>
          <w:iCs/>
          <w:lang w:val="it-IT"/>
        </w:rPr>
        <w:t>f</w:t>
      </w:r>
      <w:r w:rsidRPr="00007685">
        <w:rPr>
          <w:rFonts w:ascii="Times New Roman" w:hAnsi="Times New Roman" w:cs="Times New Roman"/>
          <w:i/>
          <w:iCs/>
          <w:lang w:val="it-IT"/>
        </w:rPr>
        <w:t>actsheets</w:t>
      </w:r>
      <w:proofErr w:type="spellEnd"/>
      <w:r w:rsidRPr="00F76362">
        <w:rPr>
          <w:rFonts w:ascii="Times New Roman" w:hAnsi="Times New Roman" w:cs="Times New Roman"/>
          <w:lang w:val="it-IT"/>
        </w:rPr>
        <w:t xml:space="preserve"> per gli Stati membri dove vengono analizzati</w:t>
      </w:r>
      <w:r w:rsidR="00A941CC">
        <w:rPr>
          <w:rFonts w:ascii="Times New Roman" w:hAnsi="Times New Roman" w:cs="Times New Roman"/>
          <w:lang w:val="it-IT"/>
        </w:rPr>
        <w:t xml:space="preserve"> il</w:t>
      </w:r>
      <w:r w:rsidRPr="00F76362">
        <w:rPr>
          <w:rFonts w:ascii="Times New Roman" w:hAnsi="Times New Roman" w:cs="Times New Roman"/>
          <w:lang w:val="it-IT"/>
        </w:rPr>
        <w:t xml:space="preserve"> quadro normativo ed organizzativo, la capacità dell’amministrazione, riferita alla gestione delle risorse uman</w:t>
      </w:r>
      <w:r w:rsidR="00E845FD">
        <w:rPr>
          <w:rFonts w:ascii="Times New Roman" w:hAnsi="Times New Roman" w:cs="Times New Roman"/>
          <w:lang w:val="it-IT"/>
        </w:rPr>
        <w:t>e</w:t>
      </w:r>
      <w:r w:rsidRPr="00F76362">
        <w:rPr>
          <w:rFonts w:ascii="Times New Roman" w:hAnsi="Times New Roman" w:cs="Times New Roman"/>
          <w:lang w:val="it-IT"/>
        </w:rPr>
        <w:t xml:space="preserve"> nel settore degli appalti pubblici e l’esperienza con quadri di riferimento di competenza e relative strategie. Vengono poi osservati sistemi di formazione ed aggiornamento e gli obiettivi futuri e le priorità degli Stati membri. È molto difficile delineare una sintesi dalla descrizione delle singole situazioni, tra l’altro molto diverse in base al singolo quadro costituzionale</w:t>
      </w:r>
      <w:r w:rsidR="00A941CC">
        <w:rPr>
          <w:rFonts w:ascii="Times New Roman" w:hAnsi="Times New Roman" w:cs="Times New Roman"/>
          <w:lang w:val="it-IT"/>
        </w:rPr>
        <w:t xml:space="preserve"> e la prassi amministrativa</w:t>
      </w:r>
      <w:r w:rsidRPr="00F76362">
        <w:rPr>
          <w:rFonts w:ascii="Times New Roman" w:hAnsi="Times New Roman" w:cs="Times New Roman"/>
          <w:lang w:val="it-IT"/>
        </w:rPr>
        <w:t xml:space="preserve">, che vede centralizzazione o decentralizzazione e federalismo amministrativo nel settore degli appalti disciplinato in maniera molto eterogenea. Per quanto riguarda concreti profili professionali e relativi sistemi di carriera, formazione, aggiornamento ecc. lo </w:t>
      </w:r>
      <w:r w:rsidR="00E845FD">
        <w:rPr>
          <w:rFonts w:ascii="Times New Roman" w:hAnsi="Times New Roman" w:cs="Times New Roman"/>
          <w:lang w:val="it-IT"/>
        </w:rPr>
        <w:t>S</w:t>
      </w:r>
      <w:r w:rsidRPr="00F76362">
        <w:rPr>
          <w:rFonts w:ascii="Times New Roman" w:hAnsi="Times New Roman" w:cs="Times New Roman"/>
          <w:lang w:val="it-IT"/>
        </w:rPr>
        <w:t xml:space="preserve">tato più avanzato sembrerebbe il Regno Unito, recentemente uscito dall’Unione Europea. Dal 2012 </w:t>
      </w:r>
      <w:r w:rsidR="00A941CC">
        <w:rPr>
          <w:rFonts w:ascii="Times New Roman" w:hAnsi="Times New Roman" w:cs="Times New Roman"/>
          <w:lang w:val="it-IT"/>
        </w:rPr>
        <w:t xml:space="preserve">in Gran Bretagna </w:t>
      </w:r>
      <w:r w:rsidRPr="00F76362">
        <w:rPr>
          <w:rFonts w:ascii="Times New Roman" w:hAnsi="Times New Roman" w:cs="Times New Roman"/>
          <w:lang w:val="it-IT"/>
        </w:rPr>
        <w:t xml:space="preserve">esiste un quadro normativo di riferimento chiaro per la pubblica amministrazione, con enfasi specifiche per gli appalti pubblici che conoscono </w:t>
      </w:r>
      <w:r w:rsidRPr="00007685">
        <w:rPr>
          <w:rFonts w:ascii="Times New Roman" w:hAnsi="Times New Roman" w:cs="Times New Roman"/>
          <w:i/>
          <w:iCs/>
          <w:lang w:val="it-IT"/>
        </w:rPr>
        <w:t>junior</w:t>
      </w:r>
      <w:r w:rsidRPr="00F76362">
        <w:rPr>
          <w:rFonts w:ascii="Times New Roman" w:hAnsi="Times New Roman" w:cs="Times New Roman"/>
          <w:lang w:val="it-IT"/>
        </w:rPr>
        <w:t xml:space="preserve"> e </w:t>
      </w:r>
      <w:r w:rsidRPr="00007685">
        <w:rPr>
          <w:rFonts w:ascii="Times New Roman" w:hAnsi="Times New Roman" w:cs="Times New Roman"/>
          <w:i/>
          <w:iCs/>
          <w:lang w:val="it-IT"/>
        </w:rPr>
        <w:t xml:space="preserve">senior </w:t>
      </w:r>
      <w:proofErr w:type="spellStart"/>
      <w:r w:rsidRPr="00007685">
        <w:rPr>
          <w:rFonts w:ascii="Times New Roman" w:hAnsi="Times New Roman" w:cs="Times New Roman"/>
          <w:i/>
          <w:iCs/>
          <w:lang w:val="it-IT"/>
        </w:rPr>
        <w:t>procurement</w:t>
      </w:r>
      <w:proofErr w:type="spellEnd"/>
      <w:r w:rsidRPr="00007685">
        <w:rPr>
          <w:rFonts w:ascii="Times New Roman" w:hAnsi="Times New Roman" w:cs="Times New Roman"/>
          <w:i/>
          <w:iCs/>
          <w:lang w:val="it-IT"/>
        </w:rPr>
        <w:t xml:space="preserve"> </w:t>
      </w:r>
      <w:proofErr w:type="spellStart"/>
      <w:r w:rsidRPr="00007685">
        <w:rPr>
          <w:rFonts w:ascii="Times New Roman" w:hAnsi="Times New Roman" w:cs="Times New Roman"/>
          <w:i/>
          <w:iCs/>
          <w:lang w:val="it-IT"/>
        </w:rPr>
        <w:t>professionals</w:t>
      </w:r>
      <w:proofErr w:type="spellEnd"/>
      <w:r w:rsidRPr="00F76362">
        <w:rPr>
          <w:rFonts w:ascii="Times New Roman" w:hAnsi="Times New Roman" w:cs="Times New Roman"/>
          <w:lang w:val="it-IT"/>
        </w:rPr>
        <w:t>.</w:t>
      </w:r>
    </w:p>
    <w:p w14:paraId="1667B4BD" w14:textId="77777777" w:rsidR="00833D3C" w:rsidRDefault="00833D3C" w:rsidP="00007685">
      <w:pPr>
        <w:spacing w:line="276" w:lineRule="auto"/>
        <w:jc w:val="both"/>
        <w:rPr>
          <w:rFonts w:ascii="Times New Roman" w:hAnsi="Times New Roman" w:cs="Times New Roman"/>
          <w:b/>
          <w:bCs/>
          <w:lang w:val="it-IT"/>
        </w:rPr>
      </w:pPr>
    </w:p>
    <w:p w14:paraId="0480C321" w14:textId="77777777" w:rsidR="00833D3C" w:rsidRDefault="00833D3C" w:rsidP="00007685">
      <w:pPr>
        <w:spacing w:line="276" w:lineRule="auto"/>
        <w:jc w:val="both"/>
        <w:rPr>
          <w:rFonts w:ascii="Times New Roman" w:hAnsi="Times New Roman" w:cs="Times New Roman"/>
          <w:b/>
          <w:bCs/>
          <w:lang w:val="it-IT"/>
        </w:rPr>
      </w:pPr>
    </w:p>
    <w:p w14:paraId="4493D27D" w14:textId="238D72FB" w:rsidR="00E5798B" w:rsidRPr="00F76362" w:rsidRDefault="00E5798B" w:rsidP="00007685">
      <w:pPr>
        <w:spacing w:line="276" w:lineRule="auto"/>
        <w:jc w:val="both"/>
        <w:rPr>
          <w:rFonts w:ascii="Times New Roman" w:hAnsi="Times New Roman" w:cs="Times New Roman"/>
          <w:b/>
          <w:bCs/>
          <w:lang w:val="it-IT"/>
        </w:rPr>
      </w:pPr>
      <w:r w:rsidRPr="00F76362">
        <w:rPr>
          <w:rFonts w:ascii="Times New Roman" w:hAnsi="Times New Roman" w:cs="Times New Roman"/>
          <w:b/>
          <w:bCs/>
          <w:lang w:val="it-IT"/>
        </w:rPr>
        <w:t>3</w:t>
      </w:r>
      <w:r w:rsidR="00BC3533">
        <w:rPr>
          <w:rFonts w:ascii="Times New Roman" w:hAnsi="Times New Roman" w:cs="Times New Roman"/>
          <w:b/>
          <w:bCs/>
          <w:lang w:val="it-IT"/>
        </w:rPr>
        <w:t>.</w:t>
      </w:r>
      <w:r w:rsidRPr="00F76362">
        <w:rPr>
          <w:rFonts w:ascii="Times New Roman" w:hAnsi="Times New Roman" w:cs="Times New Roman"/>
          <w:b/>
          <w:bCs/>
          <w:lang w:val="it-IT"/>
        </w:rPr>
        <w:t xml:space="preserve"> </w:t>
      </w:r>
      <w:r w:rsidR="00C3200D">
        <w:rPr>
          <w:rFonts w:ascii="Times New Roman" w:hAnsi="Times New Roman" w:cs="Times New Roman"/>
          <w:b/>
          <w:bCs/>
          <w:lang w:val="it-IT"/>
        </w:rPr>
        <w:t>Professionalizzare l’acquirente pubblico in Italia</w:t>
      </w:r>
      <w:r w:rsidR="00BC3533">
        <w:rPr>
          <w:rFonts w:ascii="Times New Roman" w:hAnsi="Times New Roman" w:cs="Times New Roman"/>
          <w:b/>
          <w:bCs/>
          <w:lang w:val="it-IT"/>
        </w:rPr>
        <w:t>.</w:t>
      </w:r>
    </w:p>
    <w:p w14:paraId="2D01C22F" w14:textId="77777777" w:rsidR="0024091C" w:rsidRPr="00F76362" w:rsidRDefault="0024091C" w:rsidP="00007685">
      <w:pPr>
        <w:spacing w:line="276" w:lineRule="auto"/>
        <w:jc w:val="both"/>
        <w:rPr>
          <w:rFonts w:ascii="Times New Roman" w:hAnsi="Times New Roman" w:cs="Times New Roman"/>
          <w:lang w:val="it-IT"/>
        </w:rPr>
      </w:pPr>
    </w:p>
    <w:p w14:paraId="6090BAD7" w14:textId="7CBEBF44" w:rsidR="007622A3" w:rsidRPr="00F76362" w:rsidRDefault="00414325"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Nell’ambito del recepimento nazionale </w:t>
      </w:r>
      <w:r w:rsidR="004A7925">
        <w:rPr>
          <w:rFonts w:ascii="Times New Roman" w:hAnsi="Times New Roman" w:cs="Times New Roman"/>
          <w:lang w:val="it-IT"/>
        </w:rPr>
        <w:t>con</w:t>
      </w:r>
      <w:r w:rsidRPr="00F76362">
        <w:rPr>
          <w:rFonts w:ascii="Times New Roman" w:hAnsi="Times New Roman" w:cs="Times New Roman"/>
          <w:lang w:val="it-IT"/>
        </w:rPr>
        <w:t xml:space="preserve"> il Codice </w:t>
      </w:r>
      <w:r w:rsidR="007622A3" w:rsidRPr="00F76362">
        <w:rPr>
          <w:rFonts w:ascii="Times New Roman" w:hAnsi="Times New Roman" w:cs="Times New Roman"/>
          <w:lang w:val="it-IT"/>
        </w:rPr>
        <w:t>dei contratti pubblici del 2016</w:t>
      </w:r>
      <w:r w:rsidR="007622A3" w:rsidRPr="00F76362">
        <w:rPr>
          <w:rStyle w:val="Rimandonotaapidipagina"/>
          <w:rFonts w:ascii="Times New Roman" w:hAnsi="Times New Roman" w:cs="Times New Roman"/>
          <w:lang w:val="it-IT"/>
        </w:rPr>
        <w:footnoteReference w:id="19"/>
      </w:r>
      <w:r w:rsidR="007622A3" w:rsidRPr="00F76362">
        <w:rPr>
          <w:rFonts w:ascii="Times New Roman" w:hAnsi="Times New Roman" w:cs="Times New Roman"/>
          <w:lang w:val="it-IT"/>
        </w:rPr>
        <w:t xml:space="preserve"> si dev</w:t>
      </w:r>
      <w:r w:rsidR="002A4ADE">
        <w:rPr>
          <w:rFonts w:ascii="Times New Roman" w:hAnsi="Times New Roman" w:cs="Times New Roman"/>
          <w:lang w:val="it-IT"/>
        </w:rPr>
        <w:t>e</w:t>
      </w:r>
      <w:r w:rsidR="007622A3" w:rsidRPr="00F76362">
        <w:rPr>
          <w:rFonts w:ascii="Times New Roman" w:hAnsi="Times New Roman" w:cs="Times New Roman"/>
          <w:lang w:val="it-IT"/>
        </w:rPr>
        <w:t xml:space="preserve"> inquadrare </w:t>
      </w:r>
      <w:r w:rsidR="007622A3" w:rsidRPr="00913BD7">
        <w:rPr>
          <w:rFonts w:ascii="Times New Roman" w:hAnsi="Times New Roman" w:cs="Times New Roman"/>
          <w:lang w:val="it-IT"/>
        </w:rPr>
        <w:t xml:space="preserve">principalmente il Titolo </w:t>
      </w:r>
      <w:r w:rsidR="004A7925" w:rsidRPr="00913BD7">
        <w:rPr>
          <w:rFonts w:ascii="Times New Roman" w:hAnsi="Times New Roman" w:cs="Times New Roman"/>
          <w:lang w:val="it-IT"/>
        </w:rPr>
        <w:t xml:space="preserve">II </w:t>
      </w:r>
      <w:r w:rsidR="007622A3" w:rsidRPr="00913BD7">
        <w:rPr>
          <w:rFonts w:ascii="Times New Roman" w:hAnsi="Times New Roman" w:cs="Times New Roman"/>
          <w:lang w:val="it-IT"/>
        </w:rPr>
        <w:t>“</w:t>
      </w:r>
      <w:r w:rsidR="007622A3" w:rsidRPr="00913BD7">
        <w:rPr>
          <w:rFonts w:ascii="Times New Roman" w:hAnsi="Times New Roman" w:cs="Times New Roman"/>
          <w:i/>
          <w:iCs/>
          <w:lang w:val="it-IT"/>
        </w:rPr>
        <w:t>Qualificazione delle stazioni appaltanti</w:t>
      </w:r>
      <w:r w:rsidR="007622A3" w:rsidRPr="00913BD7">
        <w:rPr>
          <w:rFonts w:ascii="Times New Roman" w:hAnsi="Times New Roman" w:cs="Times New Roman"/>
          <w:lang w:val="it-IT"/>
        </w:rPr>
        <w:t xml:space="preserve">”. Il tema </w:t>
      </w:r>
      <w:r w:rsidR="00913BD7" w:rsidRPr="00913BD7">
        <w:rPr>
          <w:rFonts w:ascii="Times New Roman" w:hAnsi="Times New Roman" w:cs="Times New Roman"/>
          <w:lang w:val="it-IT"/>
        </w:rPr>
        <w:t>dell’</w:t>
      </w:r>
      <w:r w:rsidR="007622A3" w:rsidRPr="00913BD7">
        <w:rPr>
          <w:rFonts w:ascii="Times New Roman" w:hAnsi="Times New Roman" w:cs="Times New Roman"/>
          <w:lang w:val="it-IT"/>
        </w:rPr>
        <w:t>organizza</w:t>
      </w:r>
      <w:r w:rsidR="00913BD7" w:rsidRPr="00913BD7">
        <w:rPr>
          <w:rFonts w:ascii="Times New Roman" w:hAnsi="Times New Roman" w:cs="Times New Roman"/>
          <w:lang w:val="it-IT"/>
        </w:rPr>
        <w:t>zione</w:t>
      </w:r>
      <w:r w:rsidR="007622A3" w:rsidRPr="00913BD7">
        <w:rPr>
          <w:rFonts w:ascii="Times New Roman" w:hAnsi="Times New Roman" w:cs="Times New Roman"/>
          <w:lang w:val="it-IT"/>
        </w:rPr>
        <w:t xml:space="preserve"> viene</w:t>
      </w:r>
      <w:r w:rsidR="007622A3" w:rsidRPr="00F76362">
        <w:rPr>
          <w:rFonts w:ascii="Times New Roman" w:hAnsi="Times New Roman" w:cs="Times New Roman"/>
          <w:lang w:val="it-IT"/>
        </w:rPr>
        <w:t xml:space="preserve"> affrontato dagli articoli 37 (aggregazioni e centralizzazione delle committenze), 39 (attività di committenza ausiliarie), 40 (mezzi di comunicazione elettronici obbligatori) e 41 (semplificazione delle procedure svolte da centrali di committenza), mentre le basi normative per la professionalizzazione sono contenute nell’articolo 38. </w:t>
      </w:r>
      <w:r w:rsidR="0062452D" w:rsidRPr="00F76362">
        <w:rPr>
          <w:rFonts w:ascii="Times New Roman" w:hAnsi="Times New Roman" w:cs="Times New Roman"/>
          <w:lang w:val="it-IT"/>
        </w:rPr>
        <w:t xml:space="preserve">Con queste misure il legislatore delegato si è inserito in una lunga serie di tentativi per ridurre la </w:t>
      </w:r>
      <w:r w:rsidR="00A941CC">
        <w:rPr>
          <w:rFonts w:ascii="Times New Roman" w:hAnsi="Times New Roman" w:cs="Times New Roman"/>
          <w:lang w:val="it-IT"/>
        </w:rPr>
        <w:t>“</w:t>
      </w:r>
      <w:r w:rsidR="0062452D" w:rsidRPr="00F76362">
        <w:rPr>
          <w:rFonts w:ascii="Times New Roman" w:hAnsi="Times New Roman" w:cs="Times New Roman"/>
          <w:lang w:val="it-IT"/>
        </w:rPr>
        <w:t>giungla</w:t>
      </w:r>
      <w:r w:rsidR="00A941CC">
        <w:rPr>
          <w:rFonts w:ascii="Times New Roman" w:hAnsi="Times New Roman" w:cs="Times New Roman"/>
          <w:lang w:val="it-IT"/>
        </w:rPr>
        <w:t>”</w:t>
      </w:r>
      <w:r w:rsidR="0062452D" w:rsidRPr="00F76362">
        <w:rPr>
          <w:rFonts w:ascii="Times New Roman" w:hAnsi="Times New Roman" w:cs="Times New Roman"/>
          <w:lang w:val="it-IT"/>
        </w:rPr>
        <w:t xml:space="preserve"> degli enti che aggiudicano contratti pubblici, dando la priorità a stazioni appaltanti virtuose, sia per efficienza procedurale che per professionalizzare i propri collaboratori.</w:t>
      </w:r>
      <w:r w:rsidR="002637AC">
        <w:rPr>
          <w:rStyle w:val="Rimandonotaapidipagina"/>
          <w:rFonts w:ascii="Times New Roman" w:hAnsi="Times New Roman" w:cs="Times New Roman"/>
          <w:lang w:val="it-IT"/>
        </w:rPr>
        <w:footnoteReference w:id="20"/>
      </w:r>
    </w:p>
    <w:p w14:paraId="26581AF2" w14:textId="1D0E83B1" w:rsidR="007622A3" w:rsidRPr="00F76362" w:rsidRDefault="007622A3" w:rsidP="00007685">
      <w:pPr>
        <w:spacing w:line="276" w:lineRule="auto"/>
        <w:jc w:val="both"/>
        <w:rPr>
          <w:rFonts w:ascii="Times New Roman" w:hAnsi="Times New Roman" w:cs="Times New Roman"/>
          <w:lang w:val="it-IT"/>
        </w:rPr>
      </w:pPr>
    </w:p>
    <w:p w14:paraId="16DB011C" w14:textId="0F59E036" w:rsidR="007622A3" w:rsidRPr="00F76362" w:rsidRDefault="007622A3" w:rsidP="00007685">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La rubrica dell’articolo 38 “</w:t>
      </w:r>
      <w:r w:rsidRPr="002637AC">
        <w:rPr>
          <w:rFonts w:ascii="Times New Roman" w:hAnsi="Times New Roman" w:cs="Times New Roman"/>
          <w:i/>
          <w:iCs/>
          <w:lang w:val="it-IT"/>
        </w:rPr>
        <w:t>Qualificazione delle stazioni appaltanti e centrali di committenza</w:t>
      </w:r>
      <w:r w:rsidRPr="00F76362">
        <w:rPr>
          <w:rFonts w:ascii="Times New Roman" w:hAnsi="Times New Roman" w:cs="Times New Roman"/>
          <w:lang w:val="it-IT"/>
        </w:rPr>
        <w:t>” delinea già la principale strategia, infatti un</w:t>
      </w:r>
      <w:r w:rsidR="00C17A14">
        <w:rPr>
          <w:rFonts w:ascii="Times New Roman" w:hAnsi="Times New Roman" w:cs="Times New Roman"/>
          <w:lang w:val="it-IT"/>
        </w:rPr>
        <w:t>o</w:t>
      </w:r>
      <w:r w:rsidRPr="00F76362">
        <w:rPr>
          <w:rFonts w:ascii="Times New Roman" w:hAnsi="Times New Roman" w:cs="Times New Roman"/>
          <w:lang w:val="it-IT"/>
        </w:rPr>
        <w:t xml:space="preserve"> dei punti essenziali per poter essere una stazione appaltante qualificata è la professionalizzazione del personale impiegato. Ma andiamo per grado. </w:t>
      </w:r>
      <w:r w:rsidR="0062452D" w:rsidRPr="00F76362">
        <w:rPr>
          <w:rFonts w:ascii="Times New Roman" w:hAnsi="Times New Roman" w:cs="Times New Roman"/>
          <w:lang w:val="it-IT"/>
        </w:rPr>
        <w:t xml:space="preserve">Si affida ad ANAC </w:t>
      </w:r>
      <w:r w:rsidR="002637AC">
        <w:rPr>
          <w:rFonts w:ascii="Times New Roman" w:hAnsi="Times New Roman" w:cs="Times New Roman"/>
          <w:lang w:val="it-IT"/>
        </w:rPr>
        <w:t xml:space="preserve">(Autorità Nazionale Anticorruzione) </w:t>
      </w:r>
      <w:r w:rsidR="0062452D" w:rsidRPr="00F76362">
        <w:rPr>
          <w:rFonts w:ascii="Times New Roman" w:hAnsi="Times New Roman" w:cs="Times New Roman"/>
          <w:lang w:val="it-IT"/>
        </w:rPr>
        <w:t>l’istituzione di un elenco delle stazioni appaltanti qualificate, incluse le centrali di committenza. L’ambito di applicazione della qualificazione è determinato in questo modo:</w:t>
      </w:r>
    </w:p>
    <w:p w14:paraId="25559BEE" w14:textId="40F1E639" w:rsidR="0062452D" w:rsidRPr="00F76362" w:rsidRDefault="0062452D"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ambito di attività</w:t>
      </w:r>
    </w:p>
    <w:p w14:paraId="24F2DEEC" w14:textId="60E860A0" w:rsidR="0062452D" w:rsidRPr="00F76362" w:rsidRDefault="0062452D"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bacino territoriale</w:t>
      </w:r>
    </w:p>
    <w:p w14:paraId="4DCFC87E" w14:textId="6F40D3CD" w:rsidR="0062452D" w:rsidRPr="00F76362" w:rsidRDefault="0062452D"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tipologia e complessità del contratto</w:t>
      </w:r>
    </w:p>
    <w:p w14:paraId="06698EE6" w14:textId="3AC4D008" w:rsidR="0062452D" w:rsidRPr="00F76362" w:rsidRDefault="0062452D"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fascia d’importo.</w:t>
      </w:r>
    </w:p>
    <w:p w14:paraId="49059917" w14:textId="3E1DB9F2" w:rsidR="004470A3" w:rsidRPr="00F76362" w:rsidRDefault="0062452D" w:rsidP="00007685">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Il comma 2 prevede l’attuazione di questa riforma tramite un decreto del Presidente del Consiglio dei Ministri, su proposta d</w:t>
      </w:r>
      <w:r w:rsidR="00A941CC">
        <w:rPr>
          <w:rFonts w:ascii="Times New Roman" w:hAnsi="Times New Roman" w:cs="Times New Roman"/>
          <w:lang w:val="it-IT"/>
        </w:rPr>
        <w:t>el</w:t>
      </w:r>
      <w:r w:rsidRPr="00F76362">
        <w:rPr>
          <w:rFonts w:ascii="Times New Roman" w:hAnsi="Times New Roman" w:cs="Times New Roman"/>
          <w:lang w:val="it-IT"/>
        </w:rPr>
        <w:t xml:space="preserve"> M</w:t>
      </w:r>
      <w:r w:rsidR="00A941CC">
        <w:rPr>
          <w:rFonts w:ascii="Times New Roman" w:hAnsi="Times New Roman" w:cs="Times New Roman"/>
          <w:lang w:val="it-IT"/>
        </w:rPr>
        <w:t xml:space="preserve">inistero delle Infrastrutture e </w:t>
      </w:r>
      <w:r w:rsidR="00C17A14">
        <w:rPr>
          <w:rFonts w:ascii="Times New Roman" w:hAnsi="Times New Roman" w:cs="Times New Roman"/>
          <w:lang w:val="it-IT"/>
        </w:rPr>
        <w:t xml:space="preserve">dei </w:t>
      </w:r>
      <w:r w:rsidR="00A941CC">
        <w:rPr>
          <w:rFonts w:ascii="Times New Roman" w:hAnsi="Times New Roman" w:cs="Times New Roman"/>
          <w:lang w:val="it-IT"/>
        </w:rPr>
        <w:t>Trasporti</w:t>
      </w:r>
      <w:r w:rsidRPr="00F76362">
        <w:rPr>
          <w:rFonts w:ascii="Times New Roman" w:hAnsi="Times New Roman" w:cs="Times New Roman"/>
          <w:lang w:val="it-IT"/>
        </w:rPr>
        <w:t xml:space="preserve"> e </w:t>
      </w:r>
      <w:r w:rsidR="00A941CC">
        <w:rPr>
          <w:rFonts w:ascii="Times New Roman" w:hAnsi="Times New Roman" w:cs="Times New Roman"/>
          <w:lang w:val="it-IT"/>
        </w:rPr>
        <w:t xml:space="preserve">del </w:t>
      </w:r>
      <w:r w:rsidRPr="00F76362">
        <w:rPr>
          <w:rFonts w:ascii="Times New Roman" w:hAnsi="Times New Roman" w:cs="Times New Roman"/>
          <w:lang w:val="it-IT"/>
        </w:rPr>
        <w:t>M</w:t>
      </w:r>
      <w:r w:rsidR="00A941CC">
        <w:rPr>
          <w:rFonts w:ascii="Times New Roman" w:hAnsi="Times New Roman" w:cs="Times New Roman"/>
          <w:lang w:val="it-IT"/>
        </w:rPr>
        <w:t>inistero per l’</w:t>
      </w:r>
      <w:r w:rsidRPr="00F76362">
        <w:rPr>
          <w:rFonts w:ascii="Times New Roman" w:hAnsi="Times New Roman" w:cs="Times New Roman"/>
          <w:lang w:val="it-IT"/>
        </w:rPr>
        <w:t>E</w:t>
      </w:r>
      <w:r w:rsidR="00A941CC">
        <w:rPr>
          <w:rFonts w:ascii="Times New Roman" w:hAnsi="Times New Roman" w:cs="Times New Roman"/>
          <w:lang w:val="it-IT"/>
        </w:rPr>
        <w:t xml:space="preserve">conomia e la </w:t>
      </w:r>
      <w:r w:rsidRPr="00F76362">
        <w:rPr>
          <w:rFonts w:ascii="Times New Roman" w:hAnsi="Times New Roman" w:cs="Times New Roman"/>
          <w:lang w:val="it-IT"/>
        </w:rPr>
        <w:t>F</w:t>
      </w:r>
      <w:r w:rsidR="00A941CC">
        <w:rPr>
          <w:rFonts w:ascii="Times New Roman" w:hAnsi="Times New Roman" w:cs="Times New Roman"/>
          <w:lang w:val="it-IT"/>
        </w:rPr>
        <w:t>inanza</w:t>
      </w:r>
      <w:r w:rsidRPr="00F76362">
        <w:rPr>
          <w:rFonts w:ascii="Times New Roman" w:hAnsi="Times New Roman" w:cs="Times New Roman"/>
          <w:lang w:val="it-IT"/>
        </w:rPr>
        <w:t xml:space="preserve">, di concerto </w:t>
      </w:r>
      <w:r w:rsidR="00A941CC">
        <w:rPr>
          <w:rFonts w:ascii="Times New Roman" w:hAnsi="Times New Roman" w:cs="Times New Roman"/>
          <w:lang w:val="it-IT"/>
        </w:rPr>
        <w:t>con i</w:t>
      </w:r>
      <w:r w:rsidRPr="00F76362">
        <w:rPr>
          <w:rFonts w:ascii="Times New Roman" w:hAnsi="Times New Roman" w:cs="Times New Roman"/>
          <w:lang w:val="it-IT"/>
        </w:rPr>
        <w:t>l Ministero per la semplificazione della P</w:t>
      </w:r>
      <w:r w:rsidR="00D50690">
        <w:rPr>
          <w:rFonts w:ascii="Times New Roman" w:hAnsi="Times New Roman" w:cs="Times New Roman"/>
          <w:lang w:val="it-IT"/>
        </w:rPr>
        <w:t xml:space="preserve">ubblica </w:t>
      </w:r>
      <w:r w:rsidRPr="00F76362">
        <w:rPr>
          <w:rFonts w:ascii="Times New Roman" w:hAnsi="Times New Roman" w:cs="Times New Roman"/>
          <w:lang w:val="it-IT"/>
        </w:rPr>
        <w:t>A</w:t>
      </w:r>
      <w:r w:rsidR="00D50690">
        <w:rPr>
          <w:rFonts w:ascii="Times New Roman" w:hAnsi="Times New Roman" w:cs="Times New Roman"/>
          <w:lang w:val="it-IT"/>
        </w:rPr>
        <w:t>mministrazione</w:t>
      </w:r>
      <w:r w:rsidRPr="00F76362">
        <w:rPr>
          <w:rFonts w:ascii="Times New Roman" w:hAnsi="Times New Roman" w:cs="Times New Roman"/>
          <w:lang w:val="it-IT"/>
        </w:rPr>
        <w:t xml:space="preserve">, e sentita ANAC e la Conferenza Unificata. I </w:t>
      </w:r>
      <w:r w:rsidR="004470A3" w:rsidRPr="00F76362">
        <w:rPr>
          <w:rFonts w:ascii="Times New Roman" w:hAnsi="Times New Roman" w:cs="Times New Roman"/>
          <w:lang w:val="it-IT"/>
        </w:rPr>
        <w:t>criteri</w:t>
      </w:r>
      <w:r w:rsidRPr="00F76362">
        <w:rPr>
          <w:rFonts w:ascii="Times New Roman" w:hAnsi="Times New Roman" w:cs="Times New Roman"/>
          <w:lang w:val="it-IT"/>
        </w:rPr>
        <w:t xml:space="preserve"> normativi per questi requisiti tecnico-organizzativi sono la qualità, </w:t>
      </w:r>
      <w:r w:rsidR="00A941CC">
        <w:rPr>
          <w:rFonts w:ascii="Times New Roman" w:hAnsi="Times New Roman" w:cs="Times New Roman"/>
          <w:lang w:val="it-IT"/>
        </w:rPr>
        <w:t>l’</w:t>
      </w:r>
      <w:r w:rsidRPr="00F76362">
        <w:rPr>
          <w:rFonts w:ascii="Times New Roman" w:hAnsi="Times New Roman" w:cs="Times New Roman"/>
          <w:lang w:val="it-IT"/>
        </w:rPr>
        <w:t xml:space="preserve">efficienza e </w:t>
      </w:r>
      <w:r w:rsidR="00A941CC">
        <w:rPr>
          <w:rFonts w:ascii="Times New Roman" w:hAnsi="Times New Roman" w:cs="Times New Roman"/>
          <w:lang w:val="it-IT"/>
        </w:rPr>
        <w:t xml:space="preserve">la </w:t>
      </w:r>
      <w:r w:rsidRPr="00F76362">
        <w:rPr>
          <w:rFonts w:ascii="Times New Roman" w:hAnsi="Times New Roman" w:cs="Times New Roman"/>
          <w:lang w:val="it-IT"/>
        </w:rPr>
        <w:t xml:space="preserve">professionalizzazione (e per le centrali di committenza la stabilità delle rispettive attività). La professionalizzazione è quindi uno dei tre temi </w:t>
      </w:r>
      <w:r w:rsidR="004470A3" w:rsidRPr="00F76362">
        <w:rPr>
          <w:rFonts w:ascii="Times New Roman" w:hAnsi="Times New Roman" w:cs="Times New Roman"/>
          <w:lang w:val="it-IT"/>
        </w:rPr>
        <w:t xml:space="preserve">essenziali del nuovo quadro di qualificazione. Il comma 4 elenca di seguito ulteriori parametri che il decreto di implementazione </w:t>
      </w:r>
      <w:r w:rsidR="00A941CC">
        <w:rPr>
          <w:rFonts w:ascii="Times New Roman" w:hAnsi="Times New Roman" w:cs="Times New Roman"/>
          <w:lang w:val="it-IT"/>
        </w:rPr>
        <w:t>dovrà</w:t>
      </w:r>
      <w:r w:rsidR="004470A3" w:rsidRPr="00F76362">
        <w:rPr>
          <w:rFonts w:ascii="Times New Roman" w:hAnsi="Times New Roman" w:cs="Times New Roman"/>
          <w:lang w:val="it-IT"/>
        </w:rPr>
        <w:t xml:space="preserve"> considerare, distinguendo requisiti base (obbligatori) e premianti.</w:t>
      </w:r>
    </w:p>
    <w:p w14:paraId="791C6B0E" w14:textId="35165196" w:rsidR="004470A3" w:rsidRPr="00F76362" w:rsidRDefault="004470A3" w:rsidP="00007685">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Tralasciando aspetti diversi dalla mera professionalizzazione, si notano:</w:t>
      </w:r>
    </w:p>
    <w:p w14:paraId="3444AB4E" w14:textId="3CBC9721" w:rsidR="004470A3" w:rsidRPr="00F76362" w:rsidRDefault="004470A3"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al punto a) 2: la necessaria presenza di dipendenti aventi specifiche competenze</w:t>
      </w:r>
      <w:r w:rsidR="00A941CC">
        <w:rPr>
          <w:rFonts w:ascii="Times New Roman" w:hAnsi="Times New Roman" w:cs="Times New Roman"/>
          <w:lang w:val="it-IT"/>
        </w:rPr>
        <w:t>;</w:t>
      </w:r>
    </w:p>
    <w:p w14:paraId="2B62FD6A" w14:textId="33483B9C" w:rsidR="004470A3" w:rsidRPr="00F76362" w:rsidRDefault="004470A3" w:rsidP="00007685">
      <w:pPr>
        <w:pStyle w:val="Paragrafoelenco"/>
        <w:numPr>
          <w:ilvl w:val="0"/>
          <w:numId w:val="2"/>
        </w:numPr>
        <w:spacing w:line="276" w:lineRule="auto"/>
        <w:jc w:val="both"/>
        <w:rPr>
          <w:rFonts w:ascii="Times New Roman" w:hAnsi="Times New Roman" w:cs="Times New Roman"/>
          <w:lang w:val="it-IT"/>
        </w:rPr>
      </w:pPr>
      <w:r w:rsidRPr="00F76362">
        <w:rPr>
          <w:rFonts w:ascii="Times New Roman" w:hAnsi="Times New Roman" w:cs="Times New Roman"/>
          <w:lang w:val="it-IT"/>
        </w:rPr>
        <w:t xml:space="preserve">al </w:t>
      </w:r>
      <w:r w:rsidRPr="00913BD7">
        <w:rPr>
          <w:rFonts w:ascii="Times New Roman" w:hAnsi="Times New Roman" w:cs="Times New Roman"/>
          <w:lang w:val="it-IT"/>
        </w:rPr>
        <w:t>punto a) 3: un sistema</w:t>
      </w:r>
      <w:r w:rsidRPr="00F76362">
        <w:rPr>
          <w:rFonts w:ascii="Times New Roman" w:hAnsi="Times New Roman" w:cs="Times New Roman"/>
          <w:lang w:val="it-IT"/>
        </w:rPr>
        <w:t xml:space="preserve"> di formazione ed aggiornamento del personale.</w:t>
      </w:r>
    </w:p>
    <w:p w14:paraId="7D59D3C5" w14:textId="77777777" w:rsidR="002637AC" w:rsidRDefault="002637AC" w:rsidP="00007685">
      <w:pPr>
        <w:spacing w:line="276" w:lineRule="auto"/>
        <w:jc w:val="both"/>
        <w:rPr>
          <w:rFonts w:ascii="Times New Roman" w:hAnsi="Times New Roman" w:cs="Times New Roman"/>
          <w:lang w:val="it-IT"/>
        </w:rPr>
      </w:pPr>
    </w:p>
    <w:p w14:paraId="75239A73" w14:textId="2CC78584" w:rsidR="004470A3" w:rsidRPr="00F76362" w:rsidRDefault="004470A3" w:rsidP="00007685">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Nei requisiti premianti al punto b) 2 si fa riferimento alla presenza di sistemi di gestione della qualità conformi alle norme UNI EN ISO 9001 degli uffici.</w:t>
      </w:r>
    </w:p>
    <w:p w14:paraId="5874F3C7" w14:textId="4C7A306B" w:rsidR="004470A3" w:rsidRPr="00F76362" w:rsidRDefault="004470A3" w:rsidP="00A941CC">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Tra gli obblig</w:t>
      </w:r>
      <w:r w:rsidR="002637AC">
        <w:rPr>
          <w:rFonts w:ascii="Times New Roman" w:hAnsi="Times New Roman" w:cs="Times New Roman"/>
          <w:lang w:val="it-IT"/>
        </w:rPr>
        <w:t>h</w:t>
      </w:r>
      <w:r w:rsidRPr="00F76362">
        <w:rPr>
          <w:rFonts w:ascii="Times New Roman" w:hAnsi="Times New Roman" w:cs="Times New Roman"/>
          <w:lang w:val="it-IT"/>
        </w:rPr>
        <w:t xml:space="preserve">i di ANAC secondo il comma 6 e 7 dell’articolo 38 </w:t>
      </w:r>
      <w:r w:rsidR="002637AC">
        <w:rPr>
          <w:rFonts w:ascii="Times New Roman" w:hAnsi="Times New Roman" w:cs="Times New Roman"/>
          <w:lang w:val="it-IT"/>
        </w:rPr>
        <w:t>c’è</w:t>
      </w:r>
      <w:r w:rsidRPr="00F76362">
        <w:rPr>
          <w:rFonts w:ascii="Times New Roman" w:hAnsi="Times New Roman" w:cs="Times New Roman"/>
          <w:lang w:val="it-IT"/>
        </w:rPr>
        <w:t xml:space="preserve"> anche</w:t>
      </w:r>
      <w:r w:rsidR="002637AC">
        <w:rPr>
          <w:rFonts w:ascii="Times New Roman" w:hAnsi="Times New Roman" w:cs="Times New Roman"/>
          <w:lang w:val="it-IT"/>
        </w:rPr>
        <w:t xml:space="preserve"> </w:t>
      </w:r>
      <w:r w:rsidR="00C17A14">
        <w:rPr>
          <w:rFonts w:ascii="Times New Roman" w:hAnsi="Times New Roman" w:cs="Times New Roman"/>
          <w:lang w:val="it-IT"/>
        </w:rPr>
        <w:t xml:space="preserve">quello </w:t>
      </w:r>
      <w:r w:rsidR="002637AC">
        <w:rPr>
          <w:rFonts w:ascii="Times New Roman" w:hAnsi="Times New Roman" w:cs="Times New Roman"/>
          <w:lang w:val="it-IT"/>
        </w:rPr>
        <w:t>d</w:t>
      </w:r>
      <w:r w:rsidRPr="00F76362">
        <w:rPr>
          <w:rFonts w:ascii="Times New Roman" w:hAnsi="Times New Roman" w:cs="Times New Roman"/>
          <w:lang w:val="it-IT"/>
        </w:rPr>
        <w:t>i stabilire la modalità attuativa del sistema di qualificazione</w:t>
      </w:r>
      <w:r w:rsidR="008A4416" w:rsidRPr="00F76362">
        <w:rPr>
          <w:rFonts w:ascii="Times New Roman" w:hAnsi="Times New Roman" w:cs="Times New Roman"/>
          <w:lang w:val="it-IT"/>
        </w:rPr>
        <w:t>, potendo assegnare termini congrui alle amministrazioni per dotarsi dei requisiti necessari alla qualificazione e consentire agli enti pubblici di qualificarsi con riserva.</w:t>
      </w:r>
      <w:r w:rsidR="008447C2">
        <w:rPr>
          <w:rStyle w:val="Rimandonotaapidipagina"/>
          <w:rFonts w:ascii="Times New Roman" w:hAnsi="Times New Roman" w:cs="Times New Roman"/>
          <w:lang w:val="it-IT"/>
        </w:rPr>
        <w:footnoteReference w:id="21"/>
      </w:r>
      <w:r w:rsidR="008A4416" w:rsidRPr="00F76362">
        <w:rPr>
          <w:rFonts w:ascii="Times New Roman" w:hAnsi="Times New Roman" w:cs="Times New Roman"/>
          <w:lang w:val="it-IT"/>
        </w:rPr>
        <w:t xml:space="preserve"> </w:t>
      </w:r>
    </w:p>
    <w:p w14:paraId="00C4988B" w14:textId="2721E341" w:rsidR="008A4416" w:rsidRPr="00F76362" w:rsidRDefault="008A4416"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Di sicura importanza è la possibilità per le stazioni appaltanti di poter utilizzare una parte del fondo di cui all’articolo 213 comma 14 del Codice (</w:t>
      </w:r>
      <w:r w:rsidR="002637AC" w:rsidRPr="00F76362">
        <w:rPr>
          <w:rFonts w:ascii="Times New Roman" w:hAnsi="Times New Roman" w:cs="Times New Roman"/>
          <w:lang w:val="it-IT"/>
        </w:rPr>
        <w:t>introiti</w:t>
      </w:r>
      <w:r w:rsidRPr="00F76362">
        <w:rPr>
          <w:rFonts w:ascii="Times New Roman" w:hAnsi="Times New Roman" w:cs="Times New Roman"/>
          <w:lang w:val="it-IT"/>
        </w:rPr>
        <w:t xml:space="preserve"> derivanti dalle sanzioni applicate da parte di ANAC) per il fondo per la remunerazione del risultato dei dirigenti e dei dipendenti. </w:t>
      </w:r>
    </w:p>
    <w:p w14:paraId="55644DD0" w14:textId="040A10D6" w:rsidR="008A4416" w:rsidRPr="00F76362" w:rsidRDefault="008A4416" w:rsidP="00007685">
      <w:pPr>
        <w:spacing w:line="276" w:lineRule="auto"/>
        <w:jc w:val="both"/>
        <w:rPr>
          <w:rFonts w:ascii="Times New Roman" w:hAnsi="Times New Roman" w:cs="Times New Roman"/>
          <w:lang w:val="it-IT"/>
        </w:rPr>
      </w:pPr>
    </w:p>
    <w:p w14:paraId="1134A747" w14:textId="529399B6" w:rsidR="008A4416" w:rsidRPr="00F76362" w:rsidRDefault="008A4416"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Nella riunione del Consiglio dei Ministri del 15 aprile 2018 è stato approvato lo schema di D</w:t>
      </w:r>
      <w:r w:rsidR="00D50690">
        <w:rPr>
          <w:rFonts w:ascii="Times New Roman" w:hAnsi="Times New Roman" w:cs="Times New Roman"/>
          <w:lang w:val="it-IT"/>
        </w:rPr>
        <w:t>ecreto</w:t>
      </w:r>
      <w:r w:rsidRPr="00F76362">
        <w:rPr>
          <w:rFonts w:ascii="Times New Roman" w:hAnsi="Times New Roman" w:cs="Times New Roman"/>
          <w:lang w:val="it-IT"/>
        </w:rPr>
        <w:t xml:space="preserve"> attuativo del sistema di qualificazione</w:t>
      </w:r>
      <w:r w:rsidR="00060549" w:rsidRPr="00F76362">
        <w:rPr>
          <w:rFonts w:ascii="Times New Roman" w:hAnsi="Times New Roman" w:cs="Times New Roman"/>
          <w:lang w:val="it-IT"/>
        </w:rPr>
        <w:t>, ma il Decreto non è finora stato emesso ed entrato in vigore.</w:t>
      </w:r>
      <w:r w:rsidR="00060549" w:rsidRPr="00F76362">
        <w:rPr>
          <w:rStyle w:val="Rimandonotaapidipagina"/>
          <w:rFonts w:ascii="Times New Roman" w:hAnsi="Times New Roman" w:cs="Times New Roman"/>
          <w:lang w:val="it-IT"/>
        </w:rPr>
        <w:footnoteReference w:id="22"/>
      </w:r>
      <w:r w:rsidR="002637AC">
        <w:rPr>
          <w:rFonts w:ascii="Times New Roman" w:hAnsi="Times New Roman" w:cs="Times New Roman"/>
          <w:lang w:val="it-IT"/>
        </w:rPr>
        <w:t xml:space="preserve"> Alcuni autori hanno ritenuto che una concentrazione massiccia del potere d’acquisto incontra principalmente la resistenza da parte dei comuni, e gli enti locali non gradirebbero una riduzione dei loro poteri.</w:t>
      </w:r>
      <w:r w:rsidR="002637AC">
        <w:rPr>
          <w:rStyle w:val="Rimandonotaapidipagina"/>
          <w:rFonts w:ascii="Times New Roman" w:hAnsi="Times New Roman" w:cs="Times New Roman"/>
          <w:lang w:val="it-IT"/>
        </w:rPr>
        <w:footnoteReference w:id="23"/>
      </w:r>
    </w:p>
    <w:p w14:paraId="4B203E0B" w14:textId="1AC4570C" w:rsidR="00060549" w:rsidRPr="00F76362" w:rsidRDefault="00060549" w:rsidP="00007685">
      <w:pPr>
        <w:spacing w:line="276" w:lineRule="auto"/>
        <w:jc w:val="both"/>
        <w:rPr>
          <w:rFonts w:ascii="Times New Roman" w:hAnsi="Times New Roman" w:cs="Times New Roman"/>
          <w:lang w:val="it-IT"/>
        </w:rPr>
      </w:pPr>
    </w:p>
    <w:p w14:paraId="73D3EF3A" w14:textId="17BDD53B" w:rsidR="008F50FF" w:rsidRPr="00F76362" w:rsidRDefault="002637AC" w:rsidP="00007685">
      <w:pPr>
        <w:spacing w:line="276" w:lineRule="auto"/>
        <w:ind w:firstLine="426"/>
        <w:jc w:val="both"/>
        <w:rPr>
          <w:rFonts w:ascii="Times New Roman" w:hAnsi="Times New Roman" w:cs="Times New Roman"/>
          <w:lang w:val="it-IT"/>
        </w:rPr>
      </w:pPr>
      <w:r>
        <w:rPr>
          <w:rFonts w:ascii="Times New Roman" w:hAnsi="Times New Roman" w:cs="Times New Roman"/>
          <w:lang w:val="it-IT"/>
        </w:rPr>
        <w:t>Giova ora illustra</w:t>
      </w:r>
      <w:r w:rsidR="00A941CC">
        <w:rPr>
          <w:rFonts w:ascii="Times New Roman" w:hAnsi="Times New Roman" w:cs="Times New Roman"/>
          <w:lang w:val="it-IT"/>
        </w:rPr>
        <w:t>r</w:t>
      </w:r>
      <w:r>
        <w:rPr>
          <w:rFonts w:ascii="Times New Roman" w:hAnsi="Times New Roman" w:cs="Times New Roman"/>
          <w:lang w:val="it-IT"/>
        </w:rPr>
        <w:t>e meglio alcuni</w:t>
      </w:r>
      <w:r w:rsidR="00060549" w:rsidRPr="00F76362">
        <w:rPr>
          <w:rFonts w:ascii="Times New Roman" w:hAnsi="Times New Roman" w:cs="Times New Roman"/>
          <w:lang w:val="it-IT"/>
        </w:rPr>
        <w:t xml:space="preserve"> aspetti </w:t>
      </w:r>
      <w:r>
        <w:rPr>
          <w:rFonts w:ascii="Times New Roman" w:hAnsi="Times New Roman" w:cs="Times New Roman"/>
          <w:lang w:val="it-IT"/>
        </w:rPr>
        <w:t>del</w:t>
      </w:r>
      <w:r w:rsidR="00060549" w:rsidRPr="00F76362">
        <w:rPr>
          <w:rFonts w:ascii="Times New Roman" w:hAnsi="Times New Roman" w:cs="Times New Roman"/>
          <w:lang w:val="it-IT"/>
        </w:rPr>
        <w:t>la professionalizzazione della committenza pubblica</w:t>
      </w:r>
      <w:r>
        <w:rPr>
          <w:rFonts w:ascii="Times New Roman" w:hAnsi="Times New Roman" w:cs="Times New Roman"/>
          <w:lang w:val="it-IT"/>
        </w:rPr>
        <w:t xml:space="preserve">, tenuto conto che </w:t>
      </w:r>
      <w:r w:rsidR="00C17A14">
        <w:rPr>
          <w:rFonts w:ascii="Times New Roman" w:hAnsi="Times New Roman" w:cs="Times New Roman"/>
          <w:lang w:val="it-IT"/>
        </w:rPr>
        <w:t>per</w:t>
      </w:r>
      <w:r>
        <w:rPr>
          <w:rFonts w:ascii="Times New Roman" w:hAnsi="Times New Roman" w:cs="Times New Roman"/>
          <w:lang w:val="it-IT"/>
        </w:rPr>
        <w:t xml:space="preserve"> “committenza pubblica” si intende quella </w:t>
      </w:r>
      <w:r w:rsidR="00060549" w:rsidRPr="00F76362">
        <w:rPr>
          <w:rFonts w:ascii="Times New Roman" w:hAnsi="Times New Roman" w:cs="Times New Roman"/>
          <w:lang w:val="it-IT"/>
        </w:rPr>
        <w:t>in senso stretto, in quanto ai sensi dell’art. 1</w:t>
      </w:r>
      <w:r w:rsidR="00C17A14">
        <w:rPr>
          <w:rFonts w:ascii="Times New Roman" w:hAnsi="Times New Roman" w:cs="Times New Roman"/>
          <w:lang w:val="it-IT"/>
        </w:rPr>
        <w:t>,</w:t>
      </w:r>
      <w:r w:rsidR="00060549" w:rsidRPr="00F76362">
        <w:rPr>
          <w:rFonts w:ascii="Times New Roman" w:hAnsi="Times New Roman" w:cs="Times New Roman"/>
          <w:lang w:val="it-IT"/>
        </w:rPr>
        <w:t xml:space="preserve"> comma 3 </w:t>
      </w:r>
      <w:r>
        <w:rPr>
          <w:rFonts w:ascii="Times New Roman" w:hAnsi="Times New Roman" w:cs="Times New Roman"/>
          <w:lang w:val="it-IT"/>
        </w:rPr>
        <w:t>dello schema di</w:t>
      </w:r>
      <w:r w:rsidR="00060549" w:rsidRPr="00F76362">
        <w:rPr>
          <w:rFonts w:ascii="Times New Roman" w:hAnsi="Times New Roman" w:cs="Times New Roman"/>
          <w:lang w:val="it-IT"/>
        </w:rPr>
        <w:t xml:space="preserve"> regolamento</w:t>
      </w:r>
      <w:r w:rsidR="00C17A14">
        <w:rPr>
          <w:rFonts w:ascii="Times New Roman" w:hAnsi="Times New Roman" w:cs="Times New Roman"/>
          <w:lang w:val="it-IT"/>
        </w:rPr>
        <w:t>,</w:t>
      </w:r>
      <w:r w:rsidR="00060549" w:rsidRPr="00F76362">
        <w:rPr>
          <w:rFonts w:ascii="Times New Roman" w:hAnsi="Times New Roman" w:cs="Times New Roman"/>
          <w:lang w:val="it-IT"/>
        </w:rPr>
        <w:t xml:space="preserve"> </w:t>
      </w:r>
      <w:r>
        <w:rPr>
          <w:rFonts w:ascii="Times New Roman" w:hAnsi="Times New Roman" w:cs="Times New Roman"/>
          <w:lang w:val="it-IT"/>
        </w:rPr>
        <w:t xml:space="preserve">lo stesso </w:t>
      </w:r>
      <w:r w:rsidR="00060549" w:rsidRPr="00F76362">
        <w:rPr>
          <w:rFonts w:ascii="Times New Roman" w:hAnsi="Times New Roman" w:cs="Times New Roman"/>
          <w:lang w:val="it-IT"/>
        </w:rPr>
        <w:t>non si applic</w:t>
      </w:r>
      <w:r>
        <w:rPr>
          <w:rFonts w:ascii="Times New Roman" w:hAnsi="Times New Roman" w:cs="Times New Roman"/>
          <w:lang w:val="it-IT"/>
        </w:rPr>
        <w:t>herà</w:t>
      </w:r>
      <w:r w:rsidR="00060549" w:rsidRPr="00F76362">
        <w:rPr>
          <w:rFonts w:ascii="Times New Roman" w:hAnsi="Times New Roman" w:cs="Times New Roman"/>
          <w:lang w:val="it-IT"/>
        </w:rPr>
        <w:t xml:space="preserve"> agli enti aggiudicatori che non sono amministrazioni aggiudicatrici </w:t>
      </w:r>
      <w:r w:rsidR="00060549" w:rsidRPr="00B51F47">
        <w:rPr>
          <w:rFonts w:ascii="Times New Roman" w:hAnsi="Times New Roman" w:cs="Times New Roman"/>
          <w:lang w:val="it-IT"/>
        </w:rPr>
        <w:t xml:space="preserve">e </w:t>
      </w:r>
      <w:r w:rsidR="00B51F47" w:rsidRPr="00B51F47">
        <w:rPr>
          <w:rFonts w:ascii="Times New Roman" w:hAnsi="Times New Roman" w:cs="Times New Roman"/>
          <w:lang w:val="it-IT"/>
        </w:rPr>
        <w:t>a</w:t>
      </w:r>
      <w:r w:rsidR="00060549" w:rsidRPr="00B51F47">
        <w:rPr>
          <w:rFonts w:ascii="Times New Roman" w:hAnsi="Times New Roman" w:cs="Times New Roman"/>
          <w:lang w:val="it-IT"/>
        </w:rPr>
        <w:t>gli altri</w:t>
      </w:r>
      <w:r w:rsidR="00060549" w:rsidRPr="00F76362">
        <w:rPr>
          <w:rFonts w:ascii="Times New Roman" w:hAnsi="Times New Roman" w:cs="Times New Roman"/>
          <w:lang w:val="it-IT"/>
        </w:rPr>
        <w:t xml:space="preserve"> soggetti aggiudicatori ai sensi dell’art. 3, comma 1 lettera g) del Codice). </w:t>
      </w:r>
      <w:r w:rsidR="008F50FF" w:rsidRPr="00F76362">
        <w:rPr>
          <w:rFonts w:ascii="Times New Roman" w:hAnsi="Times New Roman" w:cs="Times New Roman"/>
          <w:lang w:val="it-IT"/>
        </w:rPr>
        <w:t xml:space="preserve">I tre </w:t>
      </w:r>
      <w:r w:rsidR="00060549" w:rsidRPr="00F76362">
        <w:rPr>
          <w:rFonts w:ascii="Times New Roman" w:hAnsi="Times New Roman" w:cs="Times New Roman"/>
          <w:lang w:val="it-IT"/>
        </w:rPr>
        <w:t xml:space="preserve">ambiti definiti (art. 2 comma 1) sono </w:t>
      </w:r>
      <w:r w:rsidR="008F50FF" w:rsidRPr="00F76362">
        <w:rPr>
          <w:rFonts w:ascii="Times New Roman" w:hAnsi="Times New Roman" w:cs="Times New Roman"/>
          <w:lang w:val="it-IT"/>
        </w:rPr>
        <w:t xml:space="preserve">quelli classici, ovvero </w:t>
      </w:r>
      <w:r w:rsidR="007A4F44">
        <w:rPr>
          <w:rFonts w:ascii="Times New Roman" w:hAnsi="Times New Roman" w:cs="Times New Roman"/>
          <w:lang w:val="it-IT"/>
        </w:rPr>
        <w:t xml:space="preserve">1) </w:t>
      </w:r>
      <w:r w:rsidR="008F50FF" w:rsidRPr="00F76362">
        <w:rPr>
          <w:rFonts w:ascii="Times New Roman" w:hAnsi="Times New Roman" w:cs="Times New Roman"/>
          <w:lang w:val="it-IT"/>
        </w:rPr>
        <w:t xml:space="preserve">programmazione e progettazione, </w:t>
      </w:r>
      <w:r w:rsidR="007A4F44">
        <w:rPr>
          <w:rFonts w:ascii="Times New Roman" w:hAnsi="Times New Roman" w:cs="Times New Roman"/>
          <w:lang w:val="it-IT"/>
        </w:rPr>
        <w:t xml:space="preserve">2) </w:t>
      </w:r>
      <w:r w:rsidR="008F50FF" w:rsidRPr="00F76362">
        <w:rPr>
          <w:rFonts w:ascii="Times New Roman" w:hAnsi="Times New Roman" w:cs="Times New Roman"/>
          <w:lang w:val="it-IT"/>
        </w:rPr>
        <w:t xml:space="preserve">gestione e controllo della fase di affidamento e gestione e </w:t>
      </w:r>
      <w:r w:rsidR="007A4F44">
        <w:rPr>
          <w:rFonts w:ascii="Times New Roman" w:hAnsi="Times New Roman" w:cs="Times New Roman"/>
          <w:lang w:val="it-IT"/>
        </w:rPr>
        <w:t xml:space="preserve">3) </w:t>
      </w:r>
      <w:r w:rsidR="008F50FF" w:rsidRPr="00F76362">
        <w:rPr>
          <w:rFonts w:ascii="Times New Roman" w:hAnsi="Times New Roman" w:cs="Times New Roman"/>
          <w:lang w:val="it-IT"/>
        </w:rPr>
        <w:t>controllo di esecuzione, collaudo e messa in opera. La definizione degli ambiti è importante in quanto anche le successive regole sulla professionalizzazione delle persone devono considerare tutti questi settori.</w:t>
      </w:r>
      <w:r>
        <w:rPr>
          <w:rFonts w:ascii="Times New Roman" w:hAnsi="Times New Roman" w:cs="Times New Roman"/>
          <w:lang w:val="it-IT"/>
        </w:rPr>
        <w:t xml:space="preserve"> Lo schema</w:t>
      </w:r>
      <w:r w:rsidR="008F50FF" w:rsidRPr="00F76362">
        <w:rPr>
          <w:rFonts w:ascii="Times New Roman" w:hAnsi="Times New Roman" w:cs="Times New Roman"/>
          <w:lang w:val="it-IT"/>
        </w:rPr>
        <w:t xml:space="preserve"> </w:t>
      </w:r>
      <w:r w:rsidR="008D248D" w:rsidRPr="00F76362">
        <w:rPr>
          <w:rFonts w:ascii="Times New Roman" w:hAnsi="Times New Roman" w:cs="Times New Roman"/>
          <w:lang w:val="it-IT"/>
        </w:rPr>
        <w:t xml:space="preserve">(art. 4 e 5) </w:t>
      </w:r>
      <w:r w:rsidR="008F50FF" w:rsidRPr="00F76362">
        <w:rPr>
          <w:rFonts w:ascii="Times New Roman" w:hAnsi="Times New Roman" w:cs="Times New Roman"/>
          <w:lang w:val="it-IT"/>
        </w:rPr>
        <w:t>distingue successivamente diversi livelli di qualificazione (definiti per fasci</w:t>
      </w:r>
      <w:r>
        <w:rPr>
          <w:rFonts w:ascii="Times New Roman" w:hAnsi="Times New Roman" w:cs="Times New Roman"/>
          <w:lang w:val="it-IT"/>
        </w:rPr>
        <w:t>a</w:t>
      </w:r>
      <w:r w:rsidR="008F50FF" w:rsidRPr="00F76362">
        <w:rPr>
          <w:rFonts w:ascii="Times New Roman" w:hAnsi="Times New Roman" w:cs="Times New Roman"/>
          <w:lang w:val="it-IT"/>
        </w:rPr>
        <w:t xml:space="preserve"> d’importo espresso in €) e li inserisce in due categorie: lavori e servizi tecnici (architettura/ingegneria) e servizi (diversi da quelli tecnici) e forniture di beni.</w:t>
      </w:r>
    </w:p>
    <w:p w14:paraId="593202A0" w14:textId="6E9B8E56" w:rsidR="008F50FF" w:rsidRPr="00F76362" w:rsidRDefault="008F50FF" w:rsidP="00007685">
      <w:pPr>
        <w:spacing w:line="276" w:lineRule="auto"/>
        <w:jc w:val="both"/>
        <w:rPr>
          <w:rFonts w:ascii="Times New Roman" w:hAnsi="Times New Roman" w:cs="Times New Roman"/>
          <w:lang w:val="it-IT"/>
        </w:rPr>
      </w:pPr>
    </w:p>
    <w:p w14:paraId="055F1885" w14:textId="7D50AA69" w:rsidR="008D248D" w:rsidRPr="00F76362" w:rsidRDefault="008D248D"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I requisiti che interessano </w:t>
      </w:r>
      <w:r w:rsidR="002637AC">
        <w:rPr>
          <w:rFonts w:ascii="Times New Roman" w:hAnsi="Times New Roman" w:cs="Times New Roman"/>
          <w:lang w:val="it-IT"/>
        </w:rPr>
        <w:t xml:space="preserve">più specificamente </w:t>
      </w:r>
      <w:r w:rsidRPr="00F76362">
        <w:rPr>
          <w:rFonts w:ascii="Times New Roman" w:hAnsi="Times New Roman" w:cs="Times New Roman"/>
          <w:lang w:val="it-IT"/>
        </w:rPr>
        <w:t xml:space="preserve">la professionalizzazione (art. 38, comma 4, lettera a) numero 2 del Codice) sono disciplinati nel comma 4 dell’articolo 6 dello </w:t>
      </w:r>
      <w:r w:rsidR="00707B67">
        <w:rPr>
          <w:rFonts w:ascii="Times New Roman" w:hAnsi="Times New Roman" w:cs="Times New Roman"/>
          <w:lang w:val="it-IT"/>
        </w:rPr>
        <w:t>s</w:t>
      </w:r>
      <w:r w:rsidRPr="00F76362">
        <w:rPr>
          <w:rFonts w:ascii="Times New Roman" w:hAnsi="Times New Roman" w:cs="Times New Roman"/>
          <w:lang w:val="it-IT"/>
        </w:rPr>
        <w:t xml:space="preserve">chema </w:t>
      </w:r>
      <w:r w:rsidR="00707B67">
        <w:rPr>
          <w:rFonts w:ascii="Times New Roman" w:hAnsi="Times New Roman" w:cs="Times New Roman"/>
          <w:lang w:val="it-IT"/>
        </w:rPr>
        <w:t xml:space="preserve">del </w:t>
      </w:r>
      <w:r w:rsidRPr="00F76362">
        <w:rPr>
          <w:rFonts w:ascii="Times New Roman" w:hAnsi="Times New Roman" w:cs="Times New Roman"/>
          <w:lang w:val="it-IT"/>
        </w:rPr>
        <w:t>DPCM.</w:t>
      </w:r>
      <w:r w:rsidR="003D5637">
        <w:rPr>
          <w:rStyle w:val="Rimandonotaapidipagina"/>
          <w:rFonts w:ascii="Times New Roman" w:hAnsi="Times New Roman" w:cs="Times New Roman"/>
          <w:lang w:val="it-IT"/>
        </w:rPr>
        <w:footnoteReference w:id="24"/>
      </w:r>
      <w:r w:rsidRPr="00F76362">
        <w:rPr>
          <w:rFonts w:ascii="Times New Roman" w:hAnsi="Times New Roman" w:cs="Times New Roman"/>
          <w:lang w:val="it-IT"/>
        </w:rPr>
        <w:t xml:space="preserve"> Si prevede dunque </w:t>
      </w:r>
      <w:r w:rsidR="00D75CD2" w:rsidRPr="00F76362">
        <w:rPr>
          <w:rFonts w:ascii="Times New Roman" w:hAnsi="Times New Roman" w:cs="Times New Roman"/>
          <w:lang w:val="it-IT"/>
        </w:rPr>
        <w:t xml:space="preserve">la presenza (quindi posti in organico, cfr. art. 6 comma 3) di personale dipendente con diverse professionalità: amministrativo e tecnico abilitato alla professione. Nelle lettere a) e b) del comma 4 </w:t>
      </w:r>
      <w:r w:rsidR="00751F40">
        <w:rPr>
          <w:rFonts w:ascii="Times New Roman" w:hAnsi="Times New Roman" w:cs="Times New Roman"/>
          <w:lang w:val="it-IT"/>
        </w:rPr>
        <w:t>si</w:t>
      </w:r>
      <w:r w:rsidR="00D75CD2" w:rsidRPr="00F76362">
        <w:rPr>
          <w:rFonts w:ascii="Times New Roman" w:hAnsi="Times New Roman" w:cs="Times New Roman"/>
          <w:lang w:val="it-IT"/>
        </w:rPr>
        <w:t xml:space="preserve"> trova un articolato sistema per lavori/servizi tecnici e forniture e servizi, che </w:t>
      </w:r>
      <w:r w:rsidR="00C17A14">
        <w:rPr>
          <w:rFonts w:ascii="Times New Roman" w:hAnsi="Times New Roman" w:cs="Times New Roman"/>
          <w:lang w:val="it-IT"/>
        </w:rPr>
        <w:t>–</w:t>
      </w:r>
      <w:r w:rsidR="00D75CD2" w:rsidRPr="00F76362">
        <w:rPr>
          <w:rFonts w:ascii="Times New Roman" w:hAnsi="Times New Roman" w:cs="Times New Roman"/>
          <w:lang w:val="it-IT"/>
        </w:rPr>
        <w:t xml:space="preserve"> sempre</w:t>
      </w:r>
      <w:r w:rsidR="00C17A14">
        <w:rPr>
          <w:rFonts w:ascii="Times New Roman" w:hAnsi="Times New Roman" w:cs="Times New Roman"/>
          <w:lang w:val="it-IT"/>
        </w:rPr>
        <w:t xml:space="preserve"> </w:t>
      </w:r>
      <w:r w:rsidR="00D75CD2" w:rsidRPr="00F76362">
        <w:rPr>
          <w:rFonts w:ascii="Times New Roman" w:hAnsi="Times New Roman" w:cs="Times New Roman"/>
          <w:lang w:val="it-IT"/>
        </w:rPr>
        <w:t>in funzione all</w:t>
      </w:r>
      <w:r w:rsidR="00707B67">
        <w:rPr>
          <w:rFonts w:ascii="Times New Roman" w:hAnsi="Times New Roman" w:cs="Times New Roman"/>
          <w:lang w:val="it-IT"/>
        </w:rPr>
        <w:t>a</w:t>
      </w:r>
      <w:r w:rsidR="00D75CD2" w:rsidRPr="00F76362">
        <w:rPr>
          <w:rFonts w:ascii="Times New Roman" w:hAnsi="Times New Roman" w:cs="Times New Roman"/>
          <w:lang w:val="it-IT"/>
        </w:rPr>
        <w:t xml:space="preserve"> fasci</w:t>
      </w:r>
      <w:r w:rsidR="00707B67">
        <w:rPr>
          <w:rFonts w:ascii="Times New Roman" w:hAnsi="Times New Roman" w:cs="Times New Roman"/>
          <w:lang w:val="it-IT"/>
        </w:rPr>
        <w:t>a</w:t>
      </w:r>
      <w:r w:rsidR="00D75CD2" w:rsidRPr="00F76362">
        <w:rPr>
          <w:rFonts w:ascii="Times New Roman" w:hAnsi="Times New Roman" w:cs="Times New Roman"/>
          <w:lang w:val="it-IT"/>
        </w:rPr>
        <w:t xml:space="preserve"> di importo di cui agli art. 4 e 5 – rende obbligatori</w:t>
      </w:r>
      <w:r w:rsidR="00707B67">
        <w:rPr>
          <w:rFonts w:ascii="Times New Roman" w:hAnsi="Times New Roman" w:cs="Times New Roman"/>
          <w:lang w:val="it-IT"/>
        </w:rPr>
        <w:t xml:space="preserve"> i</w:t>
      </w:r>
      <w:r w:rsidR="00D75CD2" w:rsidRPr="00F76362">
        <w:rPr>
          <w:rFonts w:ascii="Times New Roman" w:hAnsi="Times New Roman" w:cs="Times New Roman"/>
          <w:lang w:val="it-IT"/>
        </w:rPr>
        <w:t xml:space="preserve"> diversi titoli di studio e</w:t>
      </w:r>
      <w:r w:rsidR="00707B67">
        <w:rPr>
          <w:rFonts w:ascii="Times New Roman" w:hAnsi="Times New Roman" w:cs="Times New Roman"/>
          <w:lang w:val="it-IT"/>
        </w:rPr>
        <w:t xml:space="preserve"> l’</w:t>
      </w:r>
      <w:r w:rsidR="00D75CD2" w:rsidRPr="00F76362">
        <w:rPr>
          <w:rFonts w:ascii="Times New Roman" w:hAnsi="Times New Roman" w:cs="Times New Roman"/>
          <w:lang w:val="it-IT"/>
        </w:rPr>
        <w:t xml:space="preserve">esperienza professionale maturata. </w:t>
      </w:r>
    </w:p>
    <w:p w14:paraId="3DA857C4" w14:textId="40594988" w:rsidR="00D75CD2" w:rsidRPr="00F76362" w:rsidRDefault="00D75CD2" w:rsidP="00007685">
      <w:pPr>
        <w:spacing w:line="276" w:lineRule="auto"/>
        <w:jc w:val="both"/>
        <w:rPr>
          <w:rFonts w:ascii="Times New Roman" w:hAnsi="Times New Roman" w:cs="Times New Roman"/>
          <w:lang w:val="it-IT"/>
        </w:rPr>
      </w:pPr>
    </w:p>
    <w:p w14:paraId="3C66CD95" w14:textId="72E1BDB4" w:rsidR="00D75CD2" w:rsidRPr="00F76362" w:rsidRDefault="00D75CD2"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Di grande importanza è il comma 7</w:t>
      </w:r>
      <w:r w:rsidR="00C17A14">
        <w:rPr>
          <w:rFonts w:ascii="Times New Roman" w:hAnsi="Times New Roman" w:cs="Times New Roman"/>
          <w:lang w:val="it-IT"/>
        </w:rPr>
        <w:t>,</w:t>
      </w:r>
      <w:r w:rsidRPr="00F76362">
        <w:rPr>
          <w:rFonts w:ascii="Times New Roman" w:hAnsi="Times New Roman" w:cs="Times New Roman"/>
          <w:lang w:val="it-IT"/>
        </w:rPr>
        <w:t xml:space="preserve"> </w:t>
      </w:r>
      <w:r w:rsidR="00707B67" w:rsidRPr="00F76362">
        <w:rPr>
          <w:rFonts w:ascii="Times New Roman" w:hAnsi="Times New Roman" w:cs="Times New Roman"/>
          <w:lang w:val="it-IT"/>
        </w:rPr>
        <w:t>perché</w:t>
      </w:r>
      <w:r w:rsidRPr="00F76362">
        <w:rPr>
          <w:rFonts w:ascii="Times New Roman" w:hAnsi="Times New Roman" w:cs="Times New Roman"/>
          <w:lang w:val="it-IT"/>
        </w:rPr>
        <w:t xml:space="preserve"> attua la formazione e l’aggiornamento del personale e quindi il </w:t>
      </w:r>
      <w:r w:rsidR="007A4F44">
        <w:rPr>
          <w:rFonts w:ascii="Times New Roman" w:hAnsi="Times New Roman" w:cs="Times New Roman"/>
          <w:lang w:val="it-IT"/>
        </w:rPr>
        <w:t>“</w:t>
      </w:r>
      <w:r w:rsidRPr="00F76362">
        <w:rPr>
          <w:rFonts w:ascii="Times New Roman" w:hAnsi="Times New Roman" w:cs="Times New Roman"/>
          <w:lang w:val="it-IT"/>
        </w:rPr>
        <w:t>cuore</w:t>
      </w:r>
      <w:r w:rsidR="007A4F44">
        <w:rPr>
          <w:rFonts w:ascii="Times New Roman" w:hAnsi="Times New Roman" w:cs="Times New Roman"/>
          <w:lang w:val="it-IT"/>
        </w:rPr>
        <w:t>”</w:t>
      </w:r>
      <w:r w:rsidRPr="00F76362">
        <w:rPr>
          <w:rFonts w:ascii="Times New Roman" w:hAnsi="Times New Roman" w:cs="Times New Roman"/>
          <w:lang w:val="it-IT"/>
        </w:rPr>
        <w:t xml:space="preserve"> della professionalizzazione di una stazione appaltante. </w:t>
      </w:r>
      <w:r w:rsidR="00707B67">
        <w:rPr>
          <w:rFonts w:ascii="Times New Roman" w:hAnsi="Times New Roman" w:cs="Times New Roman"/>
          <w:lang w:val="it-IT"/>
        </w:rPr>
        <w:t>Lo schema</w:t>
      </w:r>
      <w:r w:rsidRPr="00F76362">
        <w:rPr>
          <w:rFonts w:ascii="Times New Roman" w:hAnsi="Times New Roman" w:cs="Times New Roman"/>
          <w:lang w:val="it-IT"/>
        </w:rPr>
        <w:t xml:space="preserve"> introduce </w:t>
      </w:r>
      <w:r w:rsidR="007A4F44">
        <w:rPr>
          <w:rFonts w:ascii="Times New Roman" w:hAnsi="Times New Roman" w:cs="Times New Roman"/>
          <w:lang w:val="it-IT"/>
        </w:rPr>
        <w:t xml:space="preserve">per la stazione qualificata </w:t>
      </w:r>
      <w:r w:rsidRPr="00F76362">
        <w:rPr>
          <w:rFonts w:ascii="Times New Roman" w:hAnsi="Times New Roman" w:cs="Times New Roman"/>
          <w:lang w:val="it-IT"/>
        </w:rPr>
        <w:t>l’obbligo di attiva</w:t>
      </w:r>
      <w:r w:rsidR="00751F40">
        <w:rPr>
          <w:rFonts w:ascii="Times New Roman" w:hAnsi="Times New Roman" w:cs="Times New Roman"/>
          <w:lang w:val="it-IT"/>
        </w:rPr>
        <w:t>re</w:t>
      </w:r>
      <w:r w:rsidRPr="00F76362">
        <w:rPr>
          <w:rFonts w:ascii="Times New Roman" w:hAnsi="Times New Roman" w:cs="Times New Roman"/>
          <w:lang w:val="it-IT"/>
        </w:rPr>
        <w:t xml:space="preserve"> un sistema di formazione ed aggiornamento del personale</w:t>
      </w:r>
      <w:r w:rsidR="00C17A14">
        <w:rPr>
          <w:rFonts w:ascii="Times New Roman" w:hAnsi="Times New Roman" w:cs="Times New Roman"/>
          <w:lang w:val="it-IT"/>
        </w:rPr>
        <w:t>,</w:t>
      </w:r>
      <w:r w:rsidRPr="00F76362">
        <w:rPr>
          <w:rFonts w:ascii="Times New Roman" w:hAnsi="Times New Roman" w:cs="Times New Roman"/>
          <w:lang w:val="it-IT"/>
        </w:rPr>
        <w:t xml:space="preserve"> con l’obiettivo di curare e migliorare le conoscenze professionali specifiche in relazione alle funzioni svolte (contratti di lavori, servizi e forniture) e in tema di anticorruzione e trasparenza</w:t>
      </w:r>
      <w:r w:rsidR="00CD416F" w:rsidRPr="00F76362">
        <w:rPr>
          <w:rFonts w:ascii="Times New Roman" w:hAnsi="Times New Roman" w:cs="Times New Roman"/>
          <w:lang w:val="it-IT"/>
        </w:rPr>
        <w:t>. Viene lasciat</w:t>
      </w:r>
      <w:r w:rsidR="00C17A14">
        <w:rPr>
          <w:rFonts w:ascii="Times New Roman" w:hAnsi="Times New Roman" w:cs="Times New Roman"/>
          <w:lang w:val="it-IT"/>
        </w:rPr>
        <w:t>o</w:t>
      </w:r>
      <w:r w:rsidR="00CD416F" w:rsidRPr="00F76362">
        <w:rPr>
          <w:rFonts w:ascii="Times New Roman" w:hAnsi="Times New Roman" w:cs="Times New Roman"/>
          <w:lang w:val="it-IT"/>
        </w:rPr>
        <w:t xml:space="preserve"> alla discrezione della stazione appaltante o alla centrale di committenza di disciplinare le </w:t>
      </w:r>
      <w:r w:rsidR="007A4F44">
        <w:rPr>
          <w:rFonts w:ascii="Times New Roman" w:hAnsi="Times New Roman" w:cs="Times New Roman"/>
          <w:lang w:val="it-IT"/>
        </w:rPr>
        <w:t xml:space="preserve">rispettive </w:t>
      </w:r>
      <w:r w:rsidR="00CD416F" w:rsidRPr="00F76362">
        <w:rPr>
          <w:rFonts w:ascii="Times New Roman" w:hAnsi="Times New Roman" w:cs="Times New Roman"/>
          <w:lang w:val="it-IT"/>
        </w:rPr>
        <w:t>modalità, qualora sia stato adottato un programma di formazione per il personale dipendente che contempli l’effettiva partecipazione ad almeno 30 ore di formazione annual</w:t>
      </w:r>
      <w:r w:rsidR="00707B67">
        <w:rPr>
          <w:rFonts w:ascii="Times New Roman" w:hAnsi="Times New Roman" w:cs="Times New Roman"/>
          <w:lang w:val="it-IT"/>
        </w:rPr>
        <w:t>i</w:t>
      </w:r>
      <w:r w:rsidR="00CD416F" w:rsidRPr="00F76362">
        <w:rPr>
          <w:rFonts w:ascii="Times New Roman" w:hAnsi="Times New Roman" w:cs="Times New Roman"/>
          <w:lang w:val="it-IT"/>
        </w:rPr>
        <w:t xml:space="preserve"> nelle materie pertinenti. </w:t>
      </w:r>
      <w:r w:rsidR="00707B67">
        <w:rPr>
          <w:rFonts w:ascii="Times New Roman" w:hAnsi="Times New Roman" w:cs="Times New Roman"/>
          <w:lang w:val="it-IT"/>
        </w:rPr>
        <w:t>La bozza del</w:t>
      </w:r>
      <w:r w:rsidR="00CD416F" w:rsidRPr="00F76362">
        <w:rPr>
          <w:rFonts w:ascii="Times New Roman" w:hAnsi="Times New Roman" w:cs="Times New Roman"/>
          <w:lang w:val="it-IT"/>
        </w:rPr>
        <w:t xml:space="preserve"> regolamento indica che</w:t>
      </w:r>
      <w:r w:rsidR="00C17A14">
        <w:rPr>
          <w:rFonts w:ascii="Times New Roman" w:hAnsi="Times New Roman" w:cs="Times New Roman"/>
          <w:lang w:val="it-IT"/>
        </w:rPr>
        <w:t>,</w:t>
      </w:r>
      <w:r w:rsidR="00CD416F" w:rsidRPr="00F76362">
        <w:rPr>
          <w:rFonts w:ascii="Times New Roman" w:hAnsi="Times New Roman" w:cs="Times New Roman"/>
          <w:lang w:val="it-IT"/>
        </w:rPr>
        <w:t xml:space="preserve"> </w:t>
      </w:r>
      <w:r w:rsidR="00C17A14">
        <w:rPr>
          <w:rFonts w:ascii="Times New Roman" w:hAnsi="Times New Roman" w:cs="Times New Roman"/>
          <w:lang w:val="it-IT"/>
        </w:rPr>
        <w:t xml:space="preserve">per </w:t>
      </w:r>
      <w:r w:rsidR="00CD416F" w:rsidRPr="00F76362">
        <w:rPr>
          <w:rFonts w:ascii="Times New Roman" w:hAnsi="Times New Roman" w:cs="Times New Roman"/>
          <w:lang w:val="it-IT"/>
        </w:rPr>
        <w:t>l’attività di formazione ed aggiornamento</w:t>
      </w:r>
      <w:r w:rsidR="00C17A14">
        <w:rPr>
          <w:rFonts w:ascii="Times New Roman" w:hAnsi="Times New Roman" w:cs="Times New Roman"/>
          <w:lang w:val="it-IT"/>
        </w:rPr>
        <w:t>,</w:t>
      </w:r>
      <w:r w:rsidR="00CD416F" w:rsidRPr="00F76362">
        <w:rPr>
          <w:rFonts w:ascii="Times New Roman" w:hAnsi="Times New Roman" w:cs="Times New Roman"/>
          <w:lang w:val="it-IT"/>
        </w:rPr>
        <w:t xml:space="preserve"> gli enti possono avvalersi, oltre </w:t>
      </w:r>
      <w:r w:rsidR="00C17A14">
        <w:rPr>
          <w:rFonts w:ascii="Times New Roman" w:hAnsi="Times New Roman" w:cs="Times New Roman"/>
          <w:lang w:val="it-IT"/>
        </w:rPr>
        <w:t>che di</w:t>
      </w:r>
      <w:r w:rsidR="00CD416F" w:rsidRPr="00F76362">
        <w:rPr>
          <w:rFonts w:ascii="Times New Roman" w:hAnsi="Times New Roman" w:cs="Times New Roman"/>
          <w:lang w:val="it-IT"/>
        </w:rPr>
        <w:t xml:space="preserve"> strutture pubbliche e organismi di diritto pubblico di formazione</w:t>
      </w:r>
      <w:r w:rsidR="00C17A14">
        <w:rPr>
          <w:rFonts w:ascii="Times New Roman" w:hAnsi="Times New Roman" w:cs="Times New Roman"/>
          <w:lang w:val="it-IT"/>
        </w:rPr>
        <w:t>,</w:t>
      </w:r>
      <w:r w:rsidR="00CD416F" w:rsidRPr="00F76362">
        <w:rPr>
          <w:rFonts w:ascii="Times New Roman" w:hAnsi="Times New Roman" w:cs="Times New Roman"/>
          <w:lang w:val="it-IT"/>
        </w:rPr>
        <w:t xml:space="preserve"> anche </w:t>
      </w:r>
      <w:r w:rsidR="00C17A14">
        <w:rPr>
          <w:rFonts w:ascii="Times New Roman" w:hAnsi="Times New Roman" w:cs="Times New Roman"/>
          <w:lang w:val="it-IT"/>
        </w:rPr>
        <w:t xml:space="preserve">di </w:t>
      </w:r>
      <w:r w:rsidR="00CD416F" w:rsidRPr="00F76362">
        <w:rPr>
          <w:rFonts w:ascii="Times New Roman" w:hAnsi="Times New Roman" w:cs="Times New Roman"/>
          <w:lang w:val="it-IT"/>
        </w:rPr>
        <w:t>quelle private con specifica esperienz</w:t>
      </w:r>
      <w:r w:rsidR="00C17A14">
        <w:rPr>
          <w:rFonts w:ascii="Times New Roman" w:hAnsi="Times New Roman" w:cs="Times New Roman"/>
          <w:lang w:val="it-IT"/>
        </w:rPr>
        <w:t>a</w:t>
      </w:r>
      <w:r w:rsidR="00CD416F" w:rsidRPr="00F76362">
        <w:rPr>
          <w:rFonts w:ascii="Times New Roman" w:hAnsi="Times New Roman" w:cs="Times New Roman"/>
          <w:lang w:val="it-IT"/>
        </w:rPr>
        <w:t xml:space="preserve"> e specializzazione, accreditate dalla SNA (Scuola Nazionale dell’Amministrazione). </w:t>
      </w:r>
      <w:r w:rsidR="00707B67">
        <w:rPr>
          <w:rFonts w:ascii="Times New Roman" w:hAnsi="Times New Roman" w:cs="Times New Roman"/>
          <w:lang w:val="it-IT"/>
        </w:rPr>
        <w:t>L</w:t>
      </w:r>
      <w:r w:rsidR="00CD416F" w:rsidRPr="00F76362">
        <w:rPr>
          <w:rFonts w:ascii="Times New Roman" w:hAnsi="Times New Roman" w:cs="Times New Roman"/>
          <w:lang w:val="it-IT"/>
        </w:rPr>
        <w:t>o schema del DPCM</w:t>
      </w:r>
      <w:r w:rsidR="00707B67">
        <w:rPr>
          <w:rFonts w:ascii="Times New Roman" w:hAnsi="Times New Roman" w:cs="Times New Roman"/>
          <w:lang w:val="it-IT"/>
        </w:rPr>
        <w:t xml:space="preserve"> dispone in chiusura che finché </w:t>
      </w:r>
      <w:r w:rsidR="00CD416F" w:rsidRPr="00F76362">
        <w:rPr>
          <w:rFonts w:ascii="Times New Roman" w:hAnsi="Times New Roman" w:cs="Times New Roman"/>
          <w:lang w:val="it-IT"/>
        </w:rPr>
        <w:t xml:space="preserve">non saranno accreditate queste strutture di formazione nel </w:t>
      </w:r>
      <w:r w:rsidR="00DF6913">
        <w:rPr>
          <w:rFonts w:ascii="Times New Roman" w:hAnsi="Times New Roman" w:cs="Times New Roman"/>
          <w:lang w:val="it-IT"/>
        </w:rPr>
        <w:t>P</w:t>
      </w:r>
      <w:r w:rsidR="00CD416F" w:rsidRPr="00F76362">
        <w:rPr>
          <w:rFonts w:ascii="Times New Roman" w:hAnsi="Times New Roman" w:cs="Times New Roman"/>
          <w:lang w:val="it-IT"/>
        </w:rPr>
        <w:t>aese, possono essere considerate anche le ore di formazione “effettivamente svolte e dimostrate” dall</w:t>
      </w:r>
      <w:r w:rsidR="00D47E1C">
        <w:rPr>
          <w:rFonts w:ascii="Times New Roman" w:hAnsi="Times New Roman" w:cs="Times New Roman"/>
          <w:lang w:val="it-IT"/>
        </w:rPr>
        <w:t>e</w:t>
      </w:r>
      <w:r w:rsidR="00CD416F" w:rsidRPr="00F76362">
        <w:rPr>
          <w:rFonts w:ascii="Times New Roman" w:hAnsi="Times New Roman" w:cs="Times New Roman"/>
          <w:lang w:val="it-IT"/>
        </w:rPr>
        <w:t xml:space="preserve"> stazioni appaltanti e </w:t>
      </w:r>
      <w:r w:rsidR="00DF6913">
        <w:rPr>
          <w:rFonts w:ascii="Times New Roman" w:hAnsi="Times New Roman" w:cs="Times New Roman"/>
          <w:lang w:val="it-IT"/>
        </w:rPr>
        <w:t xml:space="preserve">dalle </w:t>
      </w:r>
      <w:r w:rsidR="00CD416F" w:rsidRPr="00F76362">
        <w:rPr>
          <w:rFonts w:ascii="Times New Roman" w:hAnsi="Times New Roman" w:cs="Times New Roman"/>
          <w:lang w:val="it-IT"/>
        </w:rPr>
        <w:t>centrali di committenza.</w:t>
      </w:r>
    </w:p>
    <w:p w14:paraId="00BDE442" w14:textId="0FEA5A86" w:rsidR="00CD416F" w:rsidRPr="00F76362" w:rsidRDefault="00CD416F" w:rsidP="00007685">
      <w:pPr>
        <w:spacing w:line="276" w:lineRule="auto"/>
        <w:jc w:val="both"/>
        <w:rPr>
          <w:rFonts w:ascii="Times New Roman" w:hAnsi="Times New Roman" w:cs="Times New Roman"/>
          <w:lang w:val="it-IT"/>
        </w:rPr>
      </w:pPr>
    </w:p>
    <w:p w14:paraId="2C9F700B" w14:textId="67436222" w:rsidR="00CD416F" w:rsidRDefault="00CD416F"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Rimangono da </w:t>
      </w:r>
      <w:r w:rsidRPr="00DF6287">
        <w:rPr>
          <w:rFonts w:ascii="Times New Roman" w:hAnsi="Times New Roman" w:cs="Times New Roman"/>
          <w:lang w:val="it-IT"/>
        </w:rPr>
        <w:t>analizzare i criteri premianti (art. 7), che in tema di professionalizzazione</w:t>
      </w:r>
      <w:r w:rsidR="005605D9">
        <w:rPr>
          <w:rFonts w:ascii="Times New Roman" w:hAnsi="Times New Roman" w:cs="Times New Roman"/>
          <w:lang w:val="it-IT"/>
        </w:rPr>
        <w:t>,</w:t>
      </w:r>
      <w:r w:rsidRPr="00DF6287">
        <w:rPr>
          <w:rFonts w:ascii="Times New Roman" w:hAnsi="Times New Roman" w:cs="Times New Roman"/>
          <w:lang w:val="it-IT"/>
        </w:rPr>
        <w:t xml:space="preserve"> </w:t>
      </w:r>
      <w:r w:rsidR="00DF6287" w:rsidRPr="00DF6287">
        <w:rPr>
          <w:rFonts w:ascii="Times New Roman" w:hAnsi="Times New Roman" w:cs="Times New Roman"/>
          <w:lang w:val="it-IT"/>
        </w:rPr>
        <w:t>tuttavia</w:t>
      </w:r>
      <w:r w:rsidR="005605D9">
        <w:rPr>
          <w:rFonts w:ascii="Times New Roman" w:hAnsi="Times New Roman" w:cs="Times New Roman"/>
          <w:lang w:val="it-IT"/>
        </w:rPr>
        <w:t>,</w:t>
      </w:r>
      <w:r w:rsidR="00DF6287" w:rsidRPr="00DF6287">
        <w:rPr>
          <w:rFonts w:ascii="Times New Roman" w:hAnsi="Times New Roman" w:cs="Times New Roman"/>
          <w:lang w:val="it-IT"/>
        </w:rPr>
        <w:t xml:space="preserve"> </w:t>
      </w:r>
      <w:r w:rsidRPr="00DF6287">
        <w:rPr>
          <w:rFonts w:ascii="Times New Roman" w:hAnsi="Times New Roman" w:cs="Times New Roman"/>
          <w:lang w:val="it-IT"/>
        </w:rPr>
        <w:t xml:space="preserve">non definiscono oltre </w:t>
      </w:r>
      <w:r w:rsidR="0041603A" w:rsidRPr="00DF6287">
        <w:rPr>
          <w:rFonts w:ascii="Times New Roman" w:hAnsi="Times New Roman" w:cs="Times New Roman"/>
          <w:lang w:val="it-IT"/>
        </w:rPr>
        <w:t>quanto</w:t>
      </w:r>
      <w:r w:rsidRPr="00F76362">
        <w:rPr>
          <w:rFonts w:ascii="Times New Roman" w:hAnsi="Times New Roman" w:cs="Times New Roman"/>
          <w:lang w:val="it-IT"/>
        </w:rPr>
        <w:t xml:space="preserve"> già </w:t>
      </w:r>
      <w:r w:rsidR="00BF594B" w:rsidRPr="00F76362">
        <w:rPr>
          <w:rFonts w:ascii="Times New Roman" w:hAnsi="Times New Roman" w:cs="Times New Roman"/>
          <w:lang w:val="it-IT"/>
        </w:rPr>
        <w:t xml:space="preserve">previsto </w:t>
      </w:r>
      <w:r w:rsidR="00BF594B">
        <w:rPr>
          <w:rFonts w:ascii="Times New Roman" w:hAnsi="Times New Roman" w:cs="Times New Roman"/>
          <w:lang w:val="it-IT"/>
        </w:rPr>
        <w:t>dal</w:t>
      </w:r>
      <w:r w:rsidRPr="00F76362">
        <w:rPr>
          <w:rFonts w:ascii="Times New Roman" w:hAnsi="Times New Roman" w:cs="Times New Roman"/>
          <w:lang w:val="it-IT"/>
        </w:rPr>
        <w:t xml:space="preserve">l’art. 38 comma 4, lettera b) numero </w:t>
      </w:r>
      <w:r w:rsidR="00A63C3A" w:rsidRPr="00F76362">
        <w:rPr>
          <w:rFonts w:ascii="Times New Roman" w:hAnsi="Times New Roman" w:cs="Times New Roman"/>
          <w:lang w:val="it-IT"/>
        </w:rPr>
        <w:t xml:space="preserve">2 (sistema di gestione della qualità). </w:t>
      </w:r>
    </w:p>
    <w:p w14:paraId="4451B3E7" w14:textId="0D6F6FA0" w:rsidR="00D50690" w:rsidRDefault="00D50690" w:rsidP="00007685">
      <w:pPr>
        <w:spacing w:line="276" w:lineRule="auto"/>
        <w:ind w:firstLine="426"/>
        <w:jc w:val="both"/>
        <w:rPr>
          <w:rFonts w:ascii="Times New Roman" w:hAnsi="Times New Roman" w:cs="Times New Roman"/>
          <w:lang w:val="it-IT"/>
        </w:rPr>
      </w:pPr>
    </w:p>
    <w:p w14:paraId="071A0FBD" w14:textId="26BF5441" w:rsidR="00D50690" w:rsidRPr="00F76362" w:rsidRDefault="00D50690" w:rsidP="00007685">
      <w:pPr>
        <w:spacing w:line="276" w:lineRule="auto"/>
        <w:ind w:firstLine="426"/>
        <w:jc w:val="both"/>
        <w:rPr>
          <w:rFonts w:ascii="Times New Roman" w:hAnsi="Times New Roman" w:cs="Times New Roman"/>
          <w:lang w:val="it-IT"/>
        </w:rPr>
      </w:pPr>
      <w:r>
        <w:rPr>
          <w:rFonts w:ascii="Times New Roman" w:hAnsi="Times New Roman" w:cs="Times New Roman"/>
          <w:lang w:val="it-IT"/>
        </w:rPr>
        <w:t xml:space="preserve">Fino all’implementazione del sistema di qualificazione si applica l’art. 216 comma 10 e i requisiti di qualificazione sono soddisfatti mediante l’iscrizione all’anagrafe di cui all’art. 33-ter del </w:t>
      </w:r>
      <w:proofErr w:type="spellStart"/>
      <w:r>
        <w:rPr>
          <w:rFonts w:ascii="Times New Roman" w:hAnsi="Times New Roman" w:cs="Times New Roman"/>
          <w:lang w:val="it-IT"/>
        </w:rPr>
        <w:t>d.l.</w:t>
      </w:r>
      <w:proofErr w:type="spellEnd"/>
      <w:r>
        <w:rPr>
          <w:rFonts w:ascii="Times New Roman" w:hAnsi="Times New Roman" w:cs="Times New Roman"/>
          <w:lang w:val="it-IT"/>
        </w:rPr>
        <w:t xml:space="preserve"> 18 ottobre 2012, n. 179, convertito, con modificazioni, dalla l. 17 dicembre 2012, n. 221 (AUSA, Anagrafe Unica delle Stazioni Appaltanti).</w:t>
      </w:r>
      <w:r>
        <w:rPr>
          <w:rStyle w:val="Rimandonotaapidipagina"/>
          <w:rFonts w:ascii="Times New Roman" w:hAnsi="Times New Roman" w:cs="Times New Roman"/>
          <w:lang w:val="it-IT"/>
        </w:rPr>
        <w:footnoteReference w:id="25"/>
      </w:r>
    </w:p>
    <w:p w14:paraId="46A75277" w14:textId="77777777" w:rsidR="00A63C3A" w:rsidRPr="00F76362" w:rsidRDefault="00A63C3A" w:rsidP="00007685">
      <w:pPr>
        <w:spacing w:line="276" w:lineRule="auto"/>
        <w:jc w:val="both"/>
        <w:rPr>
          <w:rFonts w:ascii="Times New Roman" w:hAnsi="Times New Roman" w:cs="Times New Roman"/>
          <w:lang w:val="it-IT"/>
        </w:rPr>
      </w:pPr>
    </w:p>
    <w:p w14:paraId="56765265" w14:textId="0414977D" w:rsidR="008F50FF" w:rsidRDefault="008F50FF" w:rsidP="00007685">
      <w:pPr>
        <w:spacing w:line="276" w:lineRule="auto"/>
        <w:jc w:val="both"/>
        <w:rPr>
          <w:rFonts w:ascii="Times New Roman" w:hAnsi="Times New Roman" w:cs="Times New Roman"/>
          <w:lang w:val="it-IT"/>
        </w:rPr>
      </w:pPr>
    </w:p>
    <w:p w14:paraId="25045940" w14:textId="002B5B1D" w:rsidR="00DC4E4F" w:rsidRDefault="00DC4E4F" w:rsidP="00007685">
      <w:pPr>
        <w:spacing w:line="276" w:lineRule="auto"/>
        <w:jc w:val="both"/>
        <w:rPr>
          <w:rFonts w:ascii="Times New Roman" w:hAnsi="Times New Roman" w:cs="Times New Roman"/>
          <w:lang w:val="it-IT"/>
        </w:rPr>
      </w:pPr>
    </w:p>
    <w:p w14:paraId="1A53195D" w14:textId="77777777" w:rsidR="004D2C3B" w:rsidRDefault="004D2C3B" w:rsidP="00007685">
      <w:pPr>
        <w:spacing w:line="276" w:lineRule="auto"/>
        <w:jc w:val="both"/>
        <w:rPr>
          <w:rFonts w:ascii="Times New Roman" w:hAnsi="Times New Roman" w:cs="Times New Roman"/>
          <w:lang w:val="it-IT"/>
        </w:rPr>
      </w:pPr>
    </w:p>
    <w:p w14:paraId="703800D5" w14:textId="2F84CC3A" w:rsidR="00DC4E4F" w:rsidRDefault="00DC4E4F" w:rsidP="00007685">
      <w:pPr>
        <w:spacing w:line="276" w:lineRule="auto"/>
        <w:jc w:val="both"/>
        <w:rPr>
          <w:rFonts w:ascii="Times New Roman" w:hAnsi="Times New Roman" w:cs="Times New Roman"/>
          <w:lang w:val="it-IT"/>
        </w:rPr>
      </w:pPr>
    </w:p>
    <w:p w14:paraId="149B8B0A" w14:textId="1C5542E3" w:rsidR="00DC4E4F" w:rsidRDefault="00DC4E4F" w:rsidP="00007685">
      <w:pPr>
        <w:spacing w:line="276" w:lineRule="auto"/>
        <w:jc w:val="both"/>
        <w:rPr>
          <w:rFonts w:ascii="Times New Roman" w:hAnsi="Times New Roman" w:cs="Times New Roman"/>
          <w:lang w:val="it-IT"/>
        </w:rPr>
      </w:pPr>
    </w:p>
    <w:p w14:paraId="0DF3CC2B" w14:textId="77777777" w:rsidR="00F86FE4" w:rsidRDefault="00F86FE4" w:rsidP="00007685">
      <w:pPr>
        <w:spacing w:line="276" w:lineRule="auto"/>
        <w:jc w:val="both"/>
        <w:rPr>
          <w:rFonts w:ascii="Times New Roman" w:hAnsi="Times New Roman" w:cs="Times New Roman"/>
          <w:lang w:val="it-IT"/>
        </w:rPr>
      </w:pPr>
    </w:p>
    <w:p w14:paraId="44C9BF7D" w14:textId="0AC3FABA" w:rsidR="00DC4E4F" w:rsidRDefault="00DC4E4F" w:rsidP="00007685">
      <w:pPr>
        <w:spacing w:line="276" w:lineRule="auto"/>
        <w:jc w:val="both"/>
        <w:rPr>
          <w:rFonts w:ascii="Times New Roman" w:hAnsi="Times New Roman" w:cs="Times New Roman"/>
          <w:lang w:val="it-IT"/>
        </w:rPr>
      </w:pPr>
    </w:p>
    <w:p w14:paraId="1B765CA8" w14:textId="77777777" w:rsidR="00DC4E4F" w:rsidRPr="00F76362" w:rsidRDefault="00DC4E4F" w:rsidP="00007685">
      <w:pPr>
        <w:spacing w:line="276" w:lineRule="auto"/>
        <w:jc w:val="both"/>
        <w:rPr>
          <w:rFonts w:ascii="Times New Roman" w:hAnsi="Times New Roman" w:cs="Times New Roman"/>
          <w:lang w:val="it-IT"/>
        </w:rPr>
      </w:pPr>
    </w:p>
    <w:p w14:paraId="7128B6FA" w14:textId="34475EA8" w:rsidR="00492673" w:rsidRPr="00C3200D" w:rsidRDefault="00492673" w:rsidP="00007685">
      <w:pPr>
        <w:spacing w:line="276" w:lineRule="auto"/>
        <w:jc w:val="both"/>
        <w:rPr>
          <w:rFonts w:ascii="Times New Roman" w:hAnsi="Times New Roman" w:cs="Times New Roman"/>
          <w:b/>
          <w:bCs/>
          <w:lang w:val="it-IT"/>
        </w:rPr>
      </w:pPr>
      <w:r w:rsidRPr="00C3200D">
        <w:rPr>
          <w:rFonts w:ascii="Times New Roman" w:hAnsi="Times New Roman" w:cs="Times New Roman"/>
          <w:b/>
          <w:bCs/>
          <w:lang w:val="it-IT"/>
        </w:rPr>
        <w:t>4</w:t>
      </w:r>
      <w:r w:rsidR="00BC3533">
        <w:rPr>
          <w:rFonts w:ascii="Times New Roman" w:hAnsi="Times New Roman" w:cs="Times New Roman"/>
          <w:b/>
          <w:bCs/>
          <w:lang w:val="it-IT"/>
        </w:rPr>
        <w:t>.</w:t>
      </w:r>
      <w:r w:rsidRPr="00C3200D">
        <w:rPr>
          <w:rFonts w:ascii="Times New Roman" w:hAnsi="Times New Roman" w:cs="Times New Roman"/>
          <w:b/>
          <w:bCs/>
          <w:lang w:val="it-IT"/>
        </w:rPr>
        <w:t xml:space="preserve"> </w:t>
      </w:r>
      <w:r w:rsidR="00C3200D">
        <w:rPr>
          <w:rFonts w:ascii="Times New Roman" w:hAnsi="Times New Roman" w:cs="Times New Roman"/>
          <w:b/>
          <w:bCs/>
          <w:lang w:val="it-IT"/>
        </w:rPr>
        <w:t>La soluzione</w:t>
      </w:r>
      <w:r w:rsidRPr="00C3200D">
        <w:rPr>
          <w:rFonts w:ascii="Times New Roman" w:hAnsi="Times New Roman" w:cs="Times New Roman"/>
          <w:b/>
          <w:bCs/>
          <w:lang w:val="it-IT"/>
        </w:rPr>
        <w:t xml:space="preserve"> della Provincia Autonoma di Bolzano-Alto Adige</w:t>
      </w:r>
      <w:r w:rsidR="00BC3533">
        <w:rPr>
          <w:rFonts w:ascii="Times New Roman" w:hAnsi="Times New Roman" w:cs="Times New Roman"/>
          <w:b/>
          <w:bCs/>
          <w:lang w:val="it-IT"/>
        </w:rPr>
        <w:t>.</w:t>
      </w:r>
    </w:p>
    <w:p w14:paraId="7142EB69" w14:textId="2F4E16A1" w:rsidR="00492673" w:rsidRPr="00F76362" w:rsidRDefault="00492673" w:rsidP="00007685">
      <w:pPr>
        <w:spacing w:line="276" w:lineRule="auto"/>
        <w:jc w:val="both"/>
        <w:rPr>
          <w:rFonts w:ascii="Times New Roman" w:hAnsi="Times New Roman" w:cs="Times New Roman"/>
          <w:lang w:val="it-IT"/>
        </w:rPr>
      </w:pPr>
    </w:p>
    <w:p w14:paraId="63073D72" w14:textId="772AE4CA" w:rsidR="00787488" w:rsidRPr="00F76362" w:rsidRDefault="00787488"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La Provincia Autonoma di Bolzano-Alto Adige è una delle due realtà regionali italiane che ha</w:t>
      </w:r>
      <w:r w:rsidR="004D2C3B">
        <w:rPr>
          <w:rFonts w:ascii="Times New Roman" w:hAnsi="Times New Roman" w:cs="Times New Roman"/>
          <w:lang w:val="it-IT"/>
        </w:rPr>
        <w:t>nno</w:t>
      </w:r>
      <w:r w:rsidRPr="00F76362">
        <w:rPr>
          <w:rFonts w:ascii="Times New Roman" w:hAnsi="Times New Roman" w:cs="Times New Roman"/>
          <w:lang w:val="it-IT"/>
        </w:rPr>
        <w:t xml:space="preserve"> recepito autonomamente, sebbene solo in maniera parziale, le direttive europee del 2014 in materia di contratti pubblici.</w:t>
      </w:r>
      <w:r w:rsidRPr="00F76362">
        <w:rPr>
          <w:rStyle w:val="Rimandonotaapidipagina"/>
          <w:rFonts w:ascii="Times New Roman" w:hAnsi="Times New Roman" w:cs="Times New Roman"/>
          <w:lang w:val="it-IT"/>
        </w:rPr>
        <w:footnoteReference w:id="26"/>
      </w:r>
      <w:r w:rsidRPr="00F76362">
        <w:rPr>
          <w:rFonts w:ascii="Times New Roman" w:hAnsi="Times New Roman" w:cs="Times New Roman"/>
          <w:lang w:val="it-IT"/>
        </w:rPr>
        <w:t xml:space="preserve"> Fedele alle finalità di cui all’articolo 1 della legge provincial</w:t>
      </w:r>
      <w:r w:rsidR="00BC3533">
        <w:rPr>
          <w:rFonts w:ascii="Times New Roman" w:hAnsi="Times New Roman" w:cs="Times New Roman"/>
          <w:lang w:val="it-IT"/>
        </w:rPr>
        <w:t>e</w:t>
      </w:r>
      <w:r w:rsidRPr="00F76362">
        <w:rPr>
          <w:rFonts w:ascii="Times New Roman" w:hAnsi="Times New Roman" w:cs="Times New Roman"/>
          <w:lang w:val="it-IT"/>
        </w:rPr>
        <w:t xml:space="preserve"> 17 dicembre 2015, n. 16, </w:t>
      </w:r>
      <w:r w:rsidR="001D40AE" w:rsidRPr="001D40AE">
        <w:rPr>
          <w:rFonts w:ascii="Times New Roman" w:hAnsi="Times New Roman" w:cs="Times New Roman"/>
          <w:i/>
          <w:iCs/>
          <w:lang w:val="it-IT"/>
        </w:rPr>
        <w:t>D</w:t>
      </w:r>
      <w:r w:rsidRPr="001D40AE">
        <w:rPr>
          <w:rFonts w:ascii="Times New Roman" w:hAnsi="Times New Roman" w:cs="Times New Roman"/>
          <w:i/>
          <w:iCs/>
          <w:lang w:val="it-IT"/>
        </w:rPr>
        <w:t>isposizioni sugli appalti pubblici</w:t>
      </w:r>
      <w:r w:rsidRPr="00F76362">
        <w:rPr>
          <w:rFonts w:ascii="Times New Roman" w:hAnsi="Times New Roman" w:cs="Times New Roman"/>
          <w:lang w:val="it-IT"/>
        </w:rPr>
        <w:t>, la normativa recepisce la direttiva 2014/24/UE</w:t>
      </w:r>
      <w:r w:rsidRPr="00F76362">
        <w:rPr>
          <w:rStyle w:val="Rimandonotaapidipagina"/>
          <w:rFonts w:ascii="Times New Roman" w:hAnsi="Times New Roman" w:cs="Times New Roman"/>
          <w:lang w:val="it-IT"/>
        </w:rPr>
        <w:footnoteReference w:id="27"/>
      </w:r>
      <w:r w:rsidRPr="00F76362">
        <w:rPr>
          <w:rFonts w:ascii="Times New Roman" w:hAnsi="Times New Roman" w:cs="Times New Roman"/>
          <w:lang w:val="it-IT"/>
        </w:rPr>
        <w:t xml:space="preserve"> </w:t>
      </w:r>
      <w:r w:rsidR="007A4F44">
        <w:rPr>
          <w:rFonts w:ascii="Times New Roman" w:hAnsi="Times New Roman" w:cs="Times New Roman"/>
          <w:lang w:val="it-IT"/>
        </w:rPr>
        <w:t xml:space="preserve">ed </w:t>
      </w:r>
      <w:r w:rsidRPr="00F76362">
        <w:rPr>
          <w:rFonts w:ascii="Times New Roman" w:hAnsi="Times New Roman" w:cs="Times New Roman"/>
          <w:lang w:val="it-IT"/>
        </w:rPr>
        <w:t>introduce nuove disposizioni</w:t>
      </w:r>
      <w:r w:rsidR="004D2C3B">
        <w:rPr>
          <w:rFonts w:ascii="Times New Roman" w:hAnsi="Times New Roman" w:cs="Times New Roman"/>
          <w:lang w:val="it-IT"/>
        </w:rPr>
        <w:t xml:space="preserve"> atte</w:t>
      </w:r>
      <w:r w:rsidRPr="00F76362">
        <w:rPr>
          <w:rFonts w:ascii="Times New Roman" w:hAnsi="Times New Roman" w:cs="Times New Roman"/>
          <w:lang w:val="it-IT"/>
        </w:rPr>
        <w:t xml:space="preserve">, tra l’altro, </w:t>
      </w:r>
      <w:r w:rsidR="004D2C3B">
        <w:rPr>
          <w:rFonts w:ascii="Times New Roman" w:hAnsi="Times New Roman" w:cs="Times New Roman"/>
          <w:lang w:val="it-IT"/>
        </w:rPr>
        <w:t>a</w:t>
      </w:r>
      <w:r w:rsidRPr="00F76362">
        <w:rPr>
          <w:rFonts w:ascii="Times New Roman" w:hAnsi="Times New Roman" w:cs="Times New Roman"/>
          <w:lang w:val="it-IT"/>
        </w:rPr>
        <w:t xml:space="preserve"> semplificare e rendere più flessibili le procedure di aggiudicazione. Ed in virtù dell’autonomia organizzativa</w:t>
      </w:r>
      <w:r w:rsidR="004D2C3B">
        <w:rPr>
          <w:rFonts w:ascii="Times New Roman" w:hAnsi="Times New Roman" w:cs="Times New Roman"/>
          <w:lang w:val="it-IT"/>
        </w:rPr>
        <w:t>,</w:t>
      </w:r>
      <w:r w:rsidRPr="00F76362">
        <w:rPr>
          <w:rFonts w:ascii="Times New Roman" w:hAnsi="Times New Roman" w:cs="Times New Roman"/>
          <w:lang w:val="it-IT"/>
        </w:rPr>
        <w:t xml:space="preserve"> </w:t>
      </w:r>
      <w:r w:rsidR="007A4F44" w:rsidRPr="00F76362">
        <w:rPr>
          <w:rFonts w:ascii="Times New Roman" w:hAnsi="Times New Roman" w:cs="Times New Roman"/>
          <w:lang w:val="it-IT"/>
        </w:rPr>
        <w:t>con l’articolo 6-bis della predetta normativa</w:t>
      </w:r>
      <w:r w:rsidR="004D2C3B">
        <w:rPr>
          <w:rFonts w:ascii="Times New Roman" w:hAnsi="Times New Roman" w:cs="Times New Roman"/>
          <w:lang w:val="it-IT"/>
        </w:rPr>
        <w:t>,</w:t>
      </w:r>
      <w:r w:rsidR="007A4F44" w:rsidRPr="00F76362">
        <w:rPr>
          <w:rFonts w:ascii="Times New Roman" w:hAnsi="Times New Roman" w:cs="Times New Roman"/>
          <w:lang w:val="it-IT"/>
        </w:rPr>
        <w:t xml:space="preserve"> </w:t>
      </w:r>
      <w:r w:rsidR="007A4F44">
        <w:rPr>
          <w:rFonts w:ascii="Times New Roman" w:hAnsi="Times New Roman" w:cs="Times New Roman"/>
          <w:lang w:val="it-IT"/>
        </w:rPr>
        <w:t xml:space="preserve">la Provincia </w:t>
      </w:r>
      <w:r w:rsidRPr="00F76362">
        <w:rPr>
          <w:rFonts w:ascii="Times New Roman" w:hAnsi="Times New Roman" w:cs="Times New Roman"/>
          <w:lang w:val="it-IT"/>
        </w:rPr>
        <w:t>ha quindi autonomamente disciplinato anche la qualifica delle stazioni appaltanti.</w:t>
      </w:r>
      <w:r w:rsidRPr="00F76362">
        <w:rPr>
          <w:rStyle w:val="Rimandonotaapidipagina"/>
          <w:rFonts w:ascii="Times New Roman" w:hAnsi="Times New Roman" w:cs="Times New Roman"/>
          <w:lang w:val="it-IT"/>
        </w:rPr>
        <w:footnoteReference w:id="28"/>
      </w:r>
      <w:r w:rsidRPr="00F76362">
        <w:rPr>
          <w:rFonts w:ascii="Times New Roman" w:hAnsi="Times New Roman" w:cs="Times New Roman"/>
          <w:lang w:val="it-IT"/>
        </w:rPr>
        <w:t xml:space="preserve"> Il testo dispone che “</w:t>
      </w:r>
      <w:r w:rsidRPr="00F76362">
        <w:rPr>
          <w:rFonts w:ascii="Times New Roman" w:hAnsi="Times New Roman" w:cs="Times New Roman"/>
          <w:i/>
          <w:iCs/>
          <w:lang w:val="it-IT"/>
        </w:rPr>
        <w:t>Fermo restando quanto stabilito ai sensi dell’articolo 38 in tema di semplificazione ed organizzazione delle procedure di affidamento, la Giunta Provinciale ai fini della qualificazione delle stazioni appaltanti definisce i requisiti necessari sulla base dei criteri di qualità, efficienza e professionalizzazione, tra cui, per le centrali di committenza il carattere di stabilità delle attività e il relativo ambito territoriale, tenendo conto dei principi previsti dalla normativa statale vigente.</w:t>
      </w:r>
      <w:r w:rsidRPr="00F76362">
        <w:rPr>
          <w:rFonts w:ascii="Times New Roman" w:hAnsi="Times New Roman" w:cs="Times New Roman"/>
          <w:lang w:val="it-IT"/>
        </w:rPr>
        <w:t>”</w:t>
      </w:r>
    </w:p>
    <w:p w14:paraId="61C6DF26" w14:textId="5EA18B61" w:rsidR="00492673" w:rsidRPr="00F76362" w:rsidRDefault="00492673" w:rsidP="00007685">
      <w:pPr>
        <w:spacing w:line="276" w:lineRule="auto"/>
        <w:jc w:val="both"/>
        <w:rPr>
          <w:rFonts w:ascii="Times New Roman" w:hAnsi="Times New Roman" w:cs="Times New Roman"/>
          <w:lang w:val="it-IT"/>
        </w:rPr>
      </w:pPr>
    </w:p>
    <w:p w14:paraId="766CEA64" w14:textId="3CD9048B" w:rsidR="00787488" w:rsidRPr="00F76362" w:rsidRDefault="008218B2" w:rsidP="00007685">
      <w:pPr>
        <w:spacing w:line="276" w:lineRule="auto"/>
        <w:ind w:firstLine="426"/>
        <w:jc w:val="both"/>
        <w:rPr>
          <w:rFonts w:ascii="Times New Roman" w:hAnsi="Times New Roman" w:cs="Times New Roman"/>
          <w:lang w:val="it-IT"/>
        </w:rPr>
      </w:pPr>
      <w:r w:rsidRPr="00F76362">
        <w:rPr>
          <w:rFonts w:ascii="Times New Roman" w:hAnsi="Times New Roman" w:cs="Times New Roman"/>
          <w:lang w:val="it-IT"/>
        </w:rPr>
        <w:t xml:space="preserve">Per comprendere meglio come la Provincia </w:t>
      </w:r>
      <w:r w:rsidR="00096F51">
        <w:rPr>
          <w:rFonts w:ascii="Times New Roman" w:hAnsi="Times New Roman" w:cs="Times New Roman"/>
          <w:lang w:val="it-IT"/>
        </w:rPr>
        <w:t>sia</w:t>
      </w:r>
      <w:r w:rsidRPr="00F76362">
        <w:rPr>
          <w:rFonts w:ascii="Times New Roman" w:hAnsi="Times New Roman" w:cs="Times New Roman"/>
          <w:lang w:val="it-IT"/>
        </w:rPr>
        <w:t xml:space="preserve"> giunta a tale disposizione</w:t>
      </w:r>
      <w:r w:rsidR="00096F51">
        <w:rPr>
          <w:rFonts w:ascii="Times New Roman" w:hAnsi="Times New Roman" w:cs="Times New Roman"/>
          <w:lang w:val="it-IT"/>
        </w:rPr>
        <w:t>,</w:t>
      </w:r>
      <w:r w:rsidRPr="00F76362">
        <w:rPr>
          <w:rFonts w:ascii="Times New Roman" w:hAnsi="Times New Roman" w:cs="Times New Roman"/>
          <w:lang w:val="it-IT"/>
        </w:rPr>
        <w:t xml:space="preserve"> bisogna partire da alcune premesse. Il tema della qualificazione delle stazioni appaltanti non era originariamente presente nel testo adottato</w:t>
      </w:r>
      <w:r w:rsidR="001D40AE">
        <w:rPr>
          <w:rStyle w:val="Rimandonotaapidipagina"/>
          <w:rFonts w:ascii="Times New Roman" w:hAnsi="Times New Roman" w:cs="Times New Roman"/>
          <w:lang w:val="it-IT"/>
        </w:rPr>
        <w:footnoteReference w:id="29"/>
      </w:r>
      <w:r w:rsidRPr="00F76362">
        <w:rPr>
          <w:rFonts w:ascii="Times New Roman" w:hAnsi="Times New Roman" w:cs="Times New Roman"/>
          <w:lang w:val="it-IT"/>
        </w:rPr>
        <w:t xml:space="preserve">, </w:t>
      </w:r>
      <w:r w:rsidR="001D40AE" w:rsidRPr="00F76362">
        <w:rPr>
          <w:rFonts w:ascii="Times New Roman" w:hAnsi="Times New Roman" w:cs="Times New Roman"/>
          <w:lang w:val="it-IT"/>
        </w:rPr>
        <w:t>perché</w:t>
      </w:r>
      <w:r w:rsidRPr="00F76362">
        <w:rPr>
          <w:rFonts w:ascii="Times New Roman" w:hAnsi="Times New Roman" w:cs="Times New Roman"/>
          <w:lang w:val="it-IT"/>
        </w:rPr>
        <w:t xml:space="preserve"> </w:t>
      </w:r>
      <w:r w:rsidR="00AF4E8A">
        <w:rPr>
          <w:rFonts w:ascii="Times New Roman" w:hAnsi="Times New Roman" w:cs="Times New Roman"/>
          <w:lang w:val="it-IT"/>
        </w:rPr>
        <w:t xml:space="preserve">la Provincia </w:t>
      </w:r>
      <w:r w:rsidRPr="00F76362">
        <w:rPr>
          <w:rFonts w:ascii="Times New Roman" w:hAnsi="Times New Roman" w:cs="Times New Roman"/>
          <w:lang w:val="it-IT"/>
        </w:rPr>
        <w:t xml:space="preserve">ha recepito </w:t>
      </w:r>
      <w:r w:rsidR="00AF4E8A" w:rsidRPr="00F76362">
        <w:rPr>
          <w:rFonts w:ascii="Times New Roman" w:hAnsi="Times New Roman" w:cs="Times New Roman"/>
          <w:lang w:val="it-IT"/>
        </w:rPr>
        <w:t xml:space="preserve">le direttive </w:t>
      </w:r>
      <w:r w:rsidRPr="00F76362">
        <w:rPr>
          <w:rFonts w:ascii="Times New Roman" w:hAnsi="Times New Roman" w:cs="Times New Roman"/>
          <w:lang w:val="it-IT"/>
        </w:rPr>
        <w:t>prima dello Stato</w:t>
      </w:r>
      <w:r w:rsidR="001D40AE">
        <w:rPr>
          <w:rStyle w:val="Rimandonotaapidipagina"/>
          <w:rFonts w:ascii="Times New Roman" w:hAnsi="Times New Roman" w:cs="Times New Roman"/>
          <w:lang w:val="it-IT"/>
        </w:rPr>
        <w:footnoteReference w:id="30"/>
      </w:r>
      <w:r w:rsidR="007A4F44">
        <w:rPr>
          <w:rFonts w:ascii="Times New Roman" w:hAnsi="Times New Roman" w:cs="Times New Roman"/>
          <w:lang w:val="it-IT"/>
        </w:rPr>
        <w:t>;</w:t>
      </w:r>
      <w:r w:rsidRPr="00F76362">
        <w:rPr>
          <w:rFonts w:ascii="Times New Roman" w:hAnsi="Times New Roman" w:cs="Times New Roman"/>
          <w:lang w:val="it-IT"/>
        </w:rPr>
        <w:t xml:space="preserve"> ed anche la legge delega</w:t>
      </w:r>
      <w:r w:rsidR="007A4F44">
        <w:rPr>
          <w:rStyle w:val="Rimandonotaapidipagina"/>
          <w:rFonts w:ascii="Times New Roman" w:hAnsi="Times New Roman" w:cs="Times New Roman"/>
          <w:lang w:val="it-IT"/>
        </w:rPr>
        <w:footnoteReference w:id="31"/>
      </w:r>
      <w:r w:rsidRPr="00F76362">
        <w:rPr>
          <w:rFonts w:ascii="Times New Roman" w:hAnsi="Times New Roman" w:cs="Times New Roman"/>
          <w:lang w:val="it-IT"/>
        </w:rPr>
        <w:t xml:space="preserve"> è successiva alla disciplina provincial</w:t>
      </w:r>
      <w:r w:rsidR="00F76362" w:rsidRPr="00F76362">
        <w:rPr>
          <w:rFonts w:ascii="Times New Roman" w:hAnsi="Times New Roman" w:cs="Times New Roman"/>
          <w:lang w:val="it-IT"/>
        </w:rPr>
        <w:t>e</w:t>
      </w:r>
      <w:r w:rsidRPr="00F76362">
        <w:rPr>
          <w:rFonts w:ascii="Times New Roman" w:hAnsi="Times New Roman" w:cs="Times New Roman"/>
          <w:lang w:val="it-IT"/>
        </w:rPr>
        <w:t xml:space="preserve"> altoatesina</w:t>
      </w:r>
      <w:r w:rsidR="007A4F44">
        <w:rPr>
          <w:rFonts w:ascii="Times New Roman" w:hAnsi="Times New Roman" w:cs="Times New Roman"/>
          <w:lang w:val="it-IT"/>
        </w:rPr>
        <w:t>.</w:t>
      </w:r>
    </w:p>
    <w:p w14:paraId="5E129B29" w14:textId="40989413" w:rsidR="008218B2" w:rsidRPr="007A4F44" w:rsidRDefault="008218B2" w:rsidP="007A4F44">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 xml:space="preserve">Ma le principali basi </w:t>
      </w:r>
      <w:r w:rsidRPr="007A4F44">
        <w:rPr>
          <w:rFonts w:ascii="Times New Roman" w:hAnsi="Times New Roman" w:cs="Times New Roman"/>
          <w:lang w:val="it-IT"/>
        </w:rPr>
        <w:t xml:space="preserve">organizzative, funzionali e propedeutiche </w:t>
      </w:r>
      <w:r w:rsidR="007A4F44" w:rsidRPr="007A4F44">
        <w:rPr>
          <w:rFonts w:ascii="Times New Roman" w:hAnsi="Times New Roman" w:cs="Times New Roman"/>
          <w:lang w:val="it-IT"/>
        </w:rPr>
        <w:t>per la</w:t>
      </w:r>
      <w:r w:rsidRPr="007A4F44">
        <w:rPr>
          <w:rFonts w:ascii="Times New Roman" w:hAnsi="Times New Roman" w:cs="Times New Roman"/>
          <w:lang w:val="it-IT"/>
        </w:rPr>
        <w:t xml:space="preserve"> disciplina erano già originariamente present</w:t>
      </w:r>
      <w:r w:rsidR="00AC336D">
        <w:rPr>
          <w:rFonts w:ascii="Times New Roman" w:hAnsi="Times New Roman" w:cs="Times New Roman"/>
          <w:lang w:val="it-IT"/>
        </w:rPr>
        <w:t>i</w:t>
      </w:r>
      <w:r w:rsidRPr="007A4F44">
        <w:rPr>
          <w:rFonts w:ascii="Times New Roman" w:hAnsi="Times New Roman" w:cs="Times New Roman"/>
          <w:lang w:val="it-IT"/>
        </w:rPr>
        <w:t xml:space="preserve"> nella legge provinciale</w:t>
      </w:r>
      <w:r w:rsidR="007A4F44" w:rsidRPr="007A4F44">
        <w:rPr>
          <w:rFonts w:ascii="Times New Roman" w:hAnsi="Times New Roman" w:cs="Times New Roman"/>
          <w:lang w:val="it-IT"/>
        </w:rPr>
        <w:t xml:space="preserve"> 16/2015</w:t>
      </w:r>
      <w:r w:rsidRPr="007A4F44">
        <w:rPr>
          <w:rFonts w:ascii="Times New Roman" w:hAnsi="Times New Roman" w:cs="Times New Roman"/>
          <w:lang w:val="it-IT"/>
        </w:rPr>
        <w:t>:</w:t>
      </w:r>
    </w:p>
    <w:p w14:paraId="262D23ED" w14:textId="086EEAC3" w:rsidR="008218B2" w:rsidRPr="00F76362" w:rsidRDefault="008218B2" w:rsidP="00007685">
      <w:pPr>
        <w:pStyle w:val="Paragrafoelenco"/>
        <w:numPr>
          <w:ilvl w:val="0"/>
          <w:numId w:val="3"/>
        </w:numPr>
        <w:spacing w:line="276" w:lineRule="auto"/>
        <w:jc w:val="both"/>
        <w:rPr>
          <w:rFonts w:ascii="Times New Roman" w:hAnsi="Times New Roman" w:cs="Times New Roman"/>
          <w:lang w:val="it-IT"/>
        </w:rPr>
      </w:pPr>
      <w:r w:rsidRPr="007A4F44">
        <w:rPr>
          <w:rFonts w:ascii="Times New Roman" w:hAnsi="Times New Roman" w:cs="Times New Roman"/>
          <w:lang w:val="it-IT"/>
        </w:rPr>
        <w:t xml:space="preserve">nell’articolo 5, definendo </w:t>
      </w:r>
      <w:r w:rsidR="007A4F44" w:rsidRPr="007A4F44">
        <w:rPr>
          <w:rFonts w:ascii="Times New Roman" w:hAnsi="Times New Roman" w:cs="Times New Roman"/>
          <w:lang w:val="it-IT"/>
        </w:rPr>
        <w:t xml:space="preserve">l'Agenzia per i procedimenti e la vigilanza in materia di contratti pubblici di lavori, servizi e forniture (ACP) </w:t>
      </w:r>
      <w:r w:rsidRPr="007A4F44">
        <w:rPr>
          <w:rFonts w:ascii="Times New Roman" w:hAnsi="Times New Roman" w:cs="Times New Roman"/>
          <w:lang w:val="it-IT"/>
        </w:rPr>
        <w:t>un centro di competenza per tutto il territorio provinciale con una articolata</w:t>
      </w:r>
      <w:r w:rsidRPr="00F76362">
        <w:rPr>
          <w:rFonts w:ascii="Times New Roman" w:hAnsi="Times New Roman" w:cs="Times New Roman"/>
          <w:lang w:val="it-IT"/>
        </w:rPr>
        <w:t xml:space="preserve"> serie di competenze di centralizzazione, standardizzazione</w:t>
      </w:r>
      <w:r w:rsidR="00F60906" w:rsidRPr="00F76362">
        <w:rPr>
          <w:rFonts w:ascii="Times New Roman" w:hAnsi="Times New Roman" w:cs="Times New Roman"/>
          <w:lang w:val="it-IT"/>
        </w:rPr>
        <w:t>, controllo nonché aggregazione; inoltre con uno dei più avanzati sistemi di e-procurement e digitalizzazione degli appalti e concessioni pubbliche in Italia;</w:t>
      </w:r>
    </w:p>
    <w:p w14:paraId="1A0A36F7" w14:textId="31A78D0D" w:rsidR="00F60906" w:rsidRPr="00F76362" w:rsidRDefault="00F60906" w:rsidP="00007685">
      <w:pPr>
        <w:pStyle w:val="Paragrafoelenco"/>
        <w:numPr>
          <w:ilvl w:val="0"/>
          <w:numId w:val="3"/>
        </w:numPr>
        <w:spacing w:line="276" w:lineRule="auto"/>
        <w:jc w:val="both"/>
        <w:rPr>
          <w:rFonts w:ascii="Times New Roman" w:hAnsi="Times New Roman" w:cs="Times New Roman"/>
          <w:lang w:val="it-IT"/>
        </w:rPr>
      </w:pPr>
      <w:r w:rsidRPr="00F76362">
        <w:rPr>
          <w:rFonts w:ascii="Times New Roman" w:hAnsi="Times New Roman" w:cs="Times New Roman"/>
          <w:lang w:val="it-IT"/>
        </w:rPr>
        <w:t xml:space="preserve">nell’articolo 6, con ulteriori </w:t>
      </w:r>
      <w:r w:rsidR="007A4F44">
        <w:rPr>
          <w:rFonts w:ascii="Times New Roman" w:hAnsi="Times New Roman" w:cs="Times New Roman"/>
          <w:lang w:val="it-IT"/>
        </w:rPr>
        <w:t>discipline</w:t>
      </w:r>
      <w:r w:rsidRPr="00F76362">
        <w:rPr>
          <w:rFonts w:ascii="Times New Roman" w:hAnsi="Times New Roman" w:cs="Times New Roman"/>
          <w:lang w:val="it-IT"/>
        </w:rPr>
        <w:t xml:space="preserve"> organizzative;</w:t>
      </w:r>
    </w:p>
    <w:p w14:paraId="319668D6" w14:textId="7A0DE59E" w:rsidR="00F60906" w:rsidRPr="00F76362" w:rsidRDefault="00F60906" w:rsidP="00007685">
      <w:pPr>
        <w:pStyle w:val="Paragrafoelenco"/>
        <w:numPr>
          <w:ilvl w:val="0"/>
          <w:numId w:val="3"/>
        </w:numPr>
        <w:spacing w:line="276" w:lineRule="auto"/>
        <w:jc w:val="both"/>
        <w:rPr>
          <w:rFonts w:ascii="Times New Roman" w:hAnsi="Times New Roman" w:cs="Times New Roman"/>
          <w:lang w:val="it-IT"/>
        </w:rPr>
      </w:pPr>
      <w:r w:rsidRPr="00F76362">
        <w:rPr>
          <w:rFonts w:ascii="Times New Roman" w:hAnsi="Times New Roman" w:cs="Times New Roman"/>
          <w:lang w:val="it-IT"/>
        </w:rPr>
        <w:t xml:space="preserve">nell’articolo 38, che </w:t>
      </w:r>
      <w:r w:rsidR="007A4F44">
        <w:rPr>
          <w:rFonts w:ascii="Times New Roman" w:hAnsi="Times New Roman" w:cs="Times New Roman"/>
          <w:lang w:val="it-IT"/>
        </w:rPr>
        <w:t>introduceva</w:t>
      </w:r>
      <w:r w:rsidRPr="00F76362">
        <w:rPr>
          <w:rFonts w:ascii="Times New Roman" w:hAnsi="Times New Roman" w:cs="Times New Roman"/>
          <w:lang w:val="it-IT"/>
        </w:rPr>
        <w:t xml:space="preserve"> misure di semplificazione organizzative per gli enti locali.</w:t>
      </w:r>
    </w:p>
    <w:p w14:paraId="1E048539" w14:textId="60996E8D" w:rsidR="00F60906" w:rsidRPr="00F76362" w:rsidRDefault="00F60906" w:rsidP="00007685">
      <w:pPr>
        <w:spacing w:line="276" w:lineRule="auto"/>
        <w:jc w:val="both"/>
        <w:rPr>
          <w:rFonts w:ascii="Times New Roman" w:hAnsi="Times New Roman" w:cs="Times New Roman"/>
          <w:lang w:val="it-IT"/>
        </w:rPr>
      </w:pPr>
    </w:p>
    <w:p w14:paraId="0AE71872" w14:textId="055CA0DC" w:rsidR="00787488" w:rsidRPr="00F76362" w:rsidRDefault="00F60906" w:rsidP="00007685">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Il modello di qualificazione altoatesino, che enumera 5</w:t>
      </w:r>
      <w:r w:rsidR="001D40AE">
        <w:rPr>
          <w:rFonts w:ascii="Times New Roman" w:hAnsi="Times New Roman" w:cs="Times New Roman"/>
          <w:lang w:val="it-IT"/>
        </w:rPr>
        <w:t>75</w:t>
      </w:r>
      <w:r w:rsidRPr="00F76362">
        <w:rPr>
          <w:rFonts w:ascii="Times New Roman" w:hAnsi="Times New Roman" w:cs="Times New Roman"/>
          <w:lang w:val="it-IT"/>
        </w:rPr>
        <w:t xml:space="preserve"> stazioni appaltanti</w:t>
      </w:r>
      <w:r w:rsidR="001D40AE">
        <w:rPr>
          <w:rFonts w:ascii="Times New Roman" w:hAnsi="Times New Roman" w:cs="Times New Roman"/>
          <w:lang w:val="it-IT"/>
        </w:rPr>
        <w:t xml:space="preserve"> e 3.879 utenti</w:t>
      </w:r>
      <w:r w:rsidRPr="00F76362">
        <w:rPr>
          <w:rStyle w:val="Rimandonotaapidipagina"/>
          <w:rFonts w:ascii="Times New Roman" w:hAnsi="Times New Roman" w:cs="Times New Roman"/>
          <w:lang w:val="it-IT"/>
        </w:rPr>
        <w:footnoteReference w:id="32"/>
      </w:r>
      <w:r w:rsidRPr="00F76362">
        <w:rPr>
          <w:rFonts w:ascii="Times New Roman" w:hAnsi="Times New Roman" w:cs="Times New Roman"/>
          <w:lang w:val="it-IT"/>
        </w:rPr>
        <w:t xml:space="preserve">, è dunque improntato </w:t>
      </w:r>
      <w:r w:rsidR="00AF4E8A">
        <w:rPr>
          <w:rFonts w:ascii="Times New Roman" w:hAnsi="Times New Roman" w:cs="Times New Roman"/>
          <w:lang w:val="it-IT"/>
        </w:rPr>
        <w:t>a</w:t>
      </w:r>
      <w:r w:rsidRPr="00F76362">
        <w:rPr>
          <w:rFonts w:ascii="Times New Roman" w:hAnsi="Times New Roman" w:cs="Times New Roman"/>
          <w:lang w:val="it-IT"/>
        </w:rPr>
        <w:t xml:space="preserve">lla stretta collaborazione tra </w:t>
      </w:r>
      <w:r w:rsidR="00096F51">
        <w:rPr>
          <w:rFonts w:ascii="Times New Roman" w:hAnsi="Times New Roman" w:cs="Times New Roman"/>
          <w:lang w:val="it-IT"/>
        </w:rPr>
        <w:t xml:space="preserve">le </w:t>
      </w:r>
      <w:r w:rsidR="00096F51" w:rsidRPr="00F76362">
        <w:rPr>
          <w:rFonts w:ascii="Times New Roman" w:hAnsi="Times New Roman" w:cs="Times New Roman"/>
          <w:lang w:val="it-IT"/>
        </w:rPr>
        <w:t>stazioni appaltanti</w:t>
      </w:r>
      <w:r w:rsidR="00096F51">
        <w:rPr>
          <w:rFonts w:ascii="Times New Roman" w:hAnsi="Times New Roman" w:cs="Times New Roman"/>
          <w:lang w:val="it-IT"/>
        </w:rPr>
        <w:t xml:space="preserve"> </w:t>
      </w:r>
      <w:r w:rsidR="007A4F44">
        <w:rPr>
          <w:rFonts w:ascii="Times New Roman" w:hAnsi="Times New Roman" w:cs="Times New Roman"/>
          <w:lang w:val="it-IT"/>
        </w:rPr>
        <w:t>e</w:t>
      </w:r>
      <w:r w:rsidRPr="00F76362">
        <w:rPr>
          <w:rFonts w:ascii="Times New Roman" w:hAnsi="Times New Roman" w:cs="Times New Roman"/>
          <w:lang w:val="it-IT"/>
        </w:rPr>
        <w:t xml:space="preserve"> l’Agenzia provinciale attraverso diversi strumenti</w:t>
      </w:r>
      <w:r w:rsidR="007A4F44">
        <w:rPr>
          <w:rFonts w:ascii="Times New Roman" w:hAnsi="Times New Roman" w:cs="Times New Roman"/>
          <w:lang w:val="it-IT"/>
        </w:rPr>
        <w:t>.</w:t>
      </w:r>
      <w:r w:rsidRPr="00F76362">
        <w:rPr>
          <w:rFonts w:ascii="Times New Roman" w:hAnsi="Times New Roman" w:cs="Times New Roman"/>
          <w:lang w:val="it-IT"/>
        </w:rPr>
        <w:t xml:space="preserve"> </w:t>
      </w:r>
      <w:r w:rsidR="007A4F44">
        <w:rPr>
          <w:rFonts w:ascii="Times New Roman" w:hAnsi="Times New Roman" w:cs="Times New Roman"/>
          <w:lang w:val="it-IT"/>
        </w:rPr>
        <w:t>L</w:t>
      </w:r>
      <w:r w:rsidRPr="00F76362">
        <w:rPr>
          <w:rFonts w:ascii="Times New Roman" w:hAnsi="Times New Roman" w:cs="Times New Roman"/>
          <w:lang w:val="it-IT"/>
        </w:rPr>
        <w:t xml:space="preserve">a </w:t>
      </w:r>
      <w:r w:rsidR="007A4F44">
        <w:rPr>
          <w:rFonts w:ascii="Times New Roman" w:hAnsi="Times New Roman" w:cs="Times New Roman"/>
          <w:lang w:val="it-IT"/>
        </w:rPr>
        <w:t>g</w:t>
      </w:r>
      <w:r w:rsidRPr="00F76362">
        <w:rPr>
          <w:rFonts w:ascii="Times New Roman" w:hAnsi="Times New Roman" w:cs="Times New Roman"/>
          <w:lang w:val="it-IT"/>
        </w:rPr>
        <w:t xml:space="preserve">rande maggioranza degli enti non può autonomamente svolgere gare di complessità ed importi maggiori, </w:t>
      </w:r>
      <w:r w:rsidR="00B46EAD" w:rsidRPr="00F76362">
        <w:rPr>
          <w:rFonts w:ascii="Times New Roman" w:hAnsi="Times New Roman" w:cs="Times New Roman"/>
          <w:lang w:val="it-IT"/>
        </w:rPr>
        <w:t>che</w:t>
      </w:r>
      <w:r w:rsidRPr="00F76362">
        <w:rPr>
          <w:rFonts w:ascii="Times New Roman" w:hAnsi="Times New Roman" w:cs="Times New Roman"/>
          <w:lang w:val="it-IT"/>
        </w:rPr>
        <w:t xml:space="preserve"> vengono</w:t>
      </w:r>
      <w:r w:rsidR="00B46EAD" w:rsidRPr="00F76362">
        <w:rPr>
          <w:rFonts w:ascii="Times New Roman" w:hAnsi="Times New Roman" w:cs="Times New Roman"/>
          <w:lang w:val="it-IT"/>
        </w:rPr>
        <w:t xml:space="preserve"> </w:t>
      </w:r>
      <w:r w:rsidR="00AF4E8A">
        <w:rPr>
          <w:rFonts w:ascii="Times New Roman" w:hAnsi="Times New Roman" w:cs="Times New Roman"/>
          <w:lang w:val="it-IT"/>
        </w:rPr>
        <w:t xml:space="preserve">invece </w:t>
      </w:r>
      <w:r w:rsidR="00B46EAD" w:rsidRPr="00F76362">
        <w:rPr>
          <w:rFonts w:ascii="Times New Roman" w:hAnsi="Times New Roman" w:cs="Times New Roman"/>
          <w:lang w:val="it-IT"/>
        </w:rPr>
        <w:t>esercitat</w:t>
      </w:r>
      <w:r w:rsidR="00D16955">
        <w:rPr>
          <w:rFonts w:ascii="Times New Roman" w:hAnsi="Times New Roman" w:cs="Times New Roman"/>
          <w:lang w:val="it-IT"/>
        </w:rPr>
        <w:t>e</w:t>
      </w:r>
      <w:r w:rsidR="00B46EAD" w:rsidRPr="00F76362">
        <w:rPr>
          <w:rFonts w:ascii="Times New Roman" w:hAnsi="Times New Roman" w:cs="Times New Roman"/>
          <w:lang w:val="it-IT"/>
        </w:rPr>
        <w:t xml:space="preserve"> da parte dell’Agenzia</w:t>
      </w:r>
      <w:r w:rsidR="00800F12" w:rsidRPr="00800F12">
        <w:rPr>
          <w:rFonts w:ascii="Times New Roman" w:hAnsi="Times New Roman" w:cs="Times New Roman"/>
          <w:lang w:val="it-IT"/>
        </w:rPr>
        <w:t xml:space="preserve"> </w:t>
      </w:r>
      <w:r w:rsidR="00800F12">
        <w:rPr>
          <w:rFonts w:ascii="Times New Roman" w:hAnsi="Times New Roman" w:cs="Times New Roman"/>
          <w:lang w:val="it-IT"/>
        </w:rPr>
        <w:t>su</w:t>
      </w:r>
      <w:r w:rsidR="00800F12" w:rsidRPr="00F76362">
        <w:rPr>
          <w:rFonts w:ascii="Times New Roman" w:hAnsi="Times New Roman" w:cs="Times New Roman"/>
          <w:lang w:val="it-IT"/>
        </w:rPr>
        <w:t xml:space="preserve"> delega</w:t>
      </w:r>
      <w:r w:rsidR="00800F12">
        <w:rPr>
          <w:rFonts w:ascii="Times New Roman" w:hAnsi="Times New Roman" w:cs="Times New Roman"/>
          <w:lang w:val="it-IT"/>
        </w:rPr>
        <w:t xml:space="preserve"> degli enti</w:t>
      </w:r>
      <w:r w:rsidR="00B46EAD" w:rsidRPr="00F76362">
        <w:rPr>
          <w:rFonts w:ascii="Times New Roman" w:hAnsi="Times New Roman" w:cs="Times New Roman"/>
          <w:lang w:val="it-IT"/>
        </w:rPr>
        <w:t>.</w:t>
      </w:r>
      <w:r w:rsidR="00B46EAD" w:rsidRPr="00F76362">
        <w:rPr>
          <w:rStyle w:val="Rimandonotaapidipagina"/>
          <w:rFonts w:ascii="Times New Roman" w:hAnsi="Times New Roman" w:cs="Times New Roman"/>
          <w:lang w:val="it-IT"/>
        </w:rPr>
        <w:footnoteReference w:id="33"/>
      </w:r>
      <w:r w:rsidR="00B46EAD" w:rsidRPr="00F76362">
        <w:rPr>
          <w:rFonts w:ascii="Times New Roman" w:hAnsi="Times New Roman" w:cs="Times New Roman"/>
          <w:lang w:val="it-IT"/>
        </w:rPr>
        <w:t xml:space="preserve"> </w:t>
      </w:r>
      <w:r w:rsidR="00AF4E8A">
        <w:rPr>
          <w:rFonts w:ascii="Times New Roman" w:hAnsi="Times New Roman" w:cs="Times New Roman"/>
          <w:lang w:val="it-IT"/>
        </w:rPr>
        <w:t>L</w:t>
      </w:r>
      <w:r w:rsidR="00B46EAD" w:rsidRPr="00F76362">
        <w:rPr>
          <w:rFonts w:ascii="Times New Roman" w:hAnsi="Times New Roman" w:cs="Times New Roman"/>
          <w:lang w:val="it-IT"/>
        </w:rPr>
        <w:t>e stazioni appaltanti</w:t>
      </w:r>
      <w:r w:rsidR="00AF4E8A">
        <w:rPr>
          <w:rFonts w:ascii="Times New Roman" w:hAnsi="Times New Roman" w:cs="Times New Roman"/>
          <w:lang w:val="it-IT"/>
        </w:rPr>
        <w:t>,</w:t>
      </w:r>
      <w:r w:rsidR="00B46EAD" w:rsidRPr="00F76362">
        <w:rPr>
          <w:rFonts w:ascii="Times New Roman" w:hAnsi="Times New Roman" w:cs="Times New Roman"/>
          <w:lang w:val="it-IT"/>
        </w:rPr>
        <w:t xml:space="preserve"> </w:t>
      </w:r>
      <w:r w:rsidR="00AF4E8A">
        <w:rPr>
          <w:rFonts w:ascii="Times New Roman" w:hAnsi="Times New Roman" w:cs="Times New Roman"/>
          <w:lang w:val="it-IT"/>
        </w:rPr>
        <w:t>i</w:t>
      </w:r>
      <w:r w:rsidR="00AF4E8A" w:rsidRPr="00F76362">
        <w:rPr>
          <w:rFonts w:ascii="Times New Roman" w:hAnsi="Times New Roman" w:cs="Times New Roman"/>
          <w:lang w:val="it-IT"/>
        </w:rPr>
        <w:t>noltre</w:t>
      </w:r>
      <w:r w:rsidR="00AF4E8A">
        <w:rPr>
          <w:rFonts w:ascii="Times New Roman" w:hAnsi="Times New Roman" w:cs="Times New Roman"/>
          <w:lang w:val="it-IT"/>
        </w:rPr>
        <w:t>,</w:t>
      </w:r>
      <w:r w:rsidR="00AF4E8A" w:rsidRPr="00F76362">
        <w:rPr>
          <w:rFonts w:ascii="Times New Roman" w:hAnsi="Times New Roman" w:cs="Times New Roman"/>
          <w:lang w:val="it-IT"/>
        </w:rPr>
        <w:t xml:space="preserve"> </w:t>
      </w:r>
      <w:r w:rsidR="00B46EAD" w:rsidRPr="00F76362">
        <w:rPr>
          <w:rFonts w:ascii="Times New Roman" w:hAnsi="Times New Roman" w:cs="Times New Roman"/>
          <w:lang w:val="it-IT"/>
        </w:rPr>
        <w:t xml:space="preserve">ai sensi del citato art. 5 della </w:t>
      </w:r>
      <w:r w:rsidR="007A4F44">
        <w:rPr>
          <w:rFonts w:ascii="Times New Roman" w:hAnsi="Times New Roman" w:cs="Times New Roman"/>
          <w:lang w:val="it-IT"/>
        </w:rPr>
        <w:t>legge provinciale 16/2015</w:t>
      </w:r>
      <w:r w:rsidR="00AF4E8A">
        <w:rPr>
          <w:rFonts w:ascii="Times New Roman" w:hAnsi="Times New Roman" w:cs="Times New Roman"/>
          <w:lang w:val="it-IT"/>
        </w:rPr>
        <w:t>,</w:t>
      </w:r>
      <w:r w:rsidR="00B46EAD" w:rsidRPr="00F76362">
        <w:rPr>
          <w:rFonts w:ascii="Times New Roman" w:hAnsi="Times New Roman" w:cs="Times New Roman"/>
          <w:lang w:val="it-IT"/>
        </w:rPr>
        <w:t xml:space="preserve"> devono obbligatoriamente utilizzare la piattaforma digitale per l’</w:t>
      </w:r>
      <w:r w:rsidR="00F76362" w:rsidRPr="00F76362">
        <w:rPr>
          <w:rFonts w:ascii="Times New Roman" w:hAnsi="Times New Roman" w:cs="Times New Roman"/>
          <w:lang w:val="it-IT"/>
        </w:rPr>
        <w:t>approvvigionamento</w:t>
      </w:r>
      <w:r w:rsidR="00B46EAD" w:rsidRPr="00F76362">
        <w:rPr>
          <w:rFonts w:ascii="Times New Roman" w:hAnsi="Times New Roman" w:cs="Times New Roman"/>
          <w:lang w:val="it-IT"/>
        </w:rPr>
        <w:t xml:space="preserve"> di beni, servizi e forniture e rispettare la documentazione standardizzata dell’Agenzia. Chiude questa disciplina “canalizzante” una attività di audit, e quindi </w:t>
      </w:r>
      <w:r w:rsidR="00AF4E8A">
        <w:rPr>
          <w:rFonts w:ascii="Times New Roman" w:hAnsi="Times New Roman" w:cs="Times New Roman"/>
          <w:lang w:val="it-IT"/>
        </w:rPr>
        <w:t xml:space="preserve">di </w:t>
      </w:r>
      <w:r w:rsidR="00B46EAD" w:rsidRPr="00F76362">
        <w:rPr>
          <w:rFonts w:ascii="Times New Roman" w:hAnsi="Times New Roman" w:cs="Times New Roman"/>
          <w:lang w:val="it-IT"/>
        </w:rPr>
        <w:t xml:space="preserve">controllo della qualità </w:t>
      </w:r>
      <w:r w:rsidR="00B46EAD" w:rsidRPr="007A4F44">
        <w:rPr>
          <w:rFonts w:ascii="Times New Roman" w:hAnsi="Times New Roman" w:cs="Times New Roman"/>
          <w:i/>
          <w:iCs/>
          <w:lang w:val="it-IT"/>
        </w:rPr>
        <w:t>ex post</w:t>
      </w:r>
      <w:r w:rsidR="00B46EAD" w:rsidRPr="00F76362">
        <w:rPr>
          <w:rFonts w:ascii="Times New Roman" w:hAnsi="Times New Roman" w:cs="Times New Roman"/>
          <w:lang w:val="it-IT"/>
        </w:rPr>
        <w:t xml:space="preserve"> dell’operato delle stazioni appaltanti, che in questa forma sembra </w:t>
      </w:r>
      <w:r w:rsidR="00800F12">
        <w:rPr>
          <w:rFonts w:ascii="Times New Roman" w:hAnsi="Times New Roman" w:cs="Times New Roman"/>
          <w:lang w:val="it-IT"/>
        </w:rPr>
        <w:t xml:space="preserve">essere </w:t>
      </w:r>
      <w:r w:rsidR="00B46EAD" w:rsidRPr="00F76362">
        <w:rPr>
          <w:rFonts w:ascii="Times New Roman" w:hAnsi="Times New Roman" w:cs="Times New Roman"/>
          <w:lang w:val="it-IT"/>
        </w:rPr>
        <w:t>unica in Italia.</w:t>
      </w:r>
      <w:r w:rsidR="00B46EAD" w:rsidRPr="00F76362">
        <w:rPr>
          <w:rStyle w:val="Rimandonotaapidipagina"/>
          <w:rFonts w:ascii="Times New Roman" w:hAnsi="Times New Roman" w:cs="Times New Roman"/>
          <w:lang w:val="it-IT"/>
        </w:rPr>
        <w:footnoteReference w:id="34"/>
      </w:r>
      <w:r w:rsidR="00B46EAD" w:rsidRPr="00F76362">
        <w:rPr>
          <w:rFonts w:ascii="Times New Roman" w:hAnsi="Times New Roman" w:cs="Times New Roman"/>
          <w:lang w:val="it-IT"/>
        </w:rPr>
        <w:t xml:space="preserve"> </w:t>
      </w:r>
    </w:p>
    <w:p w14:paraId="0FFBD477" w14:textId="4B129852" w:rsidR="00B46EAD" w:rsidRPr="00F76362" w:rsidRDefault="00B46EAD" w:rsidP="00007685">
      <w:pPr>
        <w:spacing w:line="276" w:lineRule="auto"/>
        <w:jc w:val="both"/>
        <w:rPr>
          <w:rFonts w:ascii="Times New Roman" w:hAnsi="Times New Roman" w:cs="Times New Roman"/>
          <w:lang w:val="it-IT"/>
        </w:rPr>
      </w:pPr>
    </w:p>
    <w:p w14:paraId="236A5962" w14:textId="0E926C6A" w:rsidR="00B46EAD" w:rsidRPr="00F76362" w:rsidRDefault="00B46EAD" w:rsidP="00BC3533">
      <w:pPr>
        <w:spacing w:line="276" w:lineRule="auto"/>
        <w:ind w:firstLine="360"/>
        <w:jc w:val="both"/>
        <w:rPr>
          <w:rFonts w:ascii="Times New Roman" w:hAnsi="Times New Roman" w:cs="Times New Roman"/>
          <w:lang w:val="it-IT"/>
        </w:rPr>
      </w:pPr>
      <w:r w:rsidRPr="00F76362">
        <w:rPr>
          <w:rFonts w:ascii="Times New Roman" w:hAnsi="Times New Roman" w:cs="Times New Roman"/>
          <w:lang w:val="it-IT"/>
        </w:rPr>
        <w:t xml:space="preserve">Questa </w:t>
      </w:r>
      <w:r w:rsidRPr="00007685">
        <w:rPr>
          <w:rFonts w:ascii="Times New Roman" w:hAnsi="Times New Roman" w:cs="Times New Roman"/>
          <w:i/>
          <w:iCs/>
          <w:lang w:val="it-IT"/>
        </w:rPr>
        <w:t>governance</w:t>
      </w:r>
      <w:r w:rsidRPr="00F76362">
        <w:rPr>
          <w:rFonts w:ascii="Times New Roman" w:hAnsi="Times New Roman" w:cs="Times New Roman"/>
          <w:lang w:val="it-IT"/>
        </w:rPr>
        <w:t xml:space="preserve"> è stata successivamente implementata dalla </w:t>
      </w:r>
      <w:r w:rsidR="00B207BF" w:rsidRPr="00F76362">
        <w:rPr>
          <w:rFonts w:ascii="Times New Roman" w:hAnsi="Times New Roman" w:cs="Times New Roman"/>
          <w:lang w:val="it-IT"/>
        </w:rPr>
        <w:t>deliberazione della Giunta provinciale 22 ottobre 2019, n. 850, che attua il predetto art. 6-bis sulla qualificazione delle stazioni appaltanti.</w:t>
      </w:r>
    </w:p>
    <w:p w14:paraId="2960FEDE" w14:textId="4BB361AD" w:rsidR="00B207BF" w:rsidRPr="00F76362" w:rsidRDefault="00B207BF" w:rsidP="00BC3533">
      <w:pPr>
        <w:pStyle w:val="NormaleWeb"/>
        <w:spacing w:before="0" w:beforeAutospacing="0" w:after="0" w:afterAutospacing="0" w:line="276" w:lineRule="auto"/>
        <w:ind w:firstLine="360"/>
        <w:jc w:val="both"/>
        <w:rPr>
          <w:lang w:val="it-IT"/>
        </w:rPr>
      </w:pPr>
      <w:r w:rsidRPr="00F76362">
        <w:rPr>
          <w:lang w:val="it-IT"/>
        </w:rPr>
        <w:t xml:space="preserve">La Giunta provinciale ha quindi perseguito il principio di </w:t>
      </w:r>
      <w:r w:rsidR="00F76362" w:rsidRPr="00F76362">
        <w:rPr>
          <w:lang w:val="it-IT"/>
        </w:rPr>
        <w:t>sussidiarietà</w:t>
      </w:r>
      <w:r w:rsidRPr="00F76362">
        <w:rPr>
          <w:lang w:val="it-IT"/>
        </w:rPr>
        <w:t xml:space="preserve"> nel settore della governance degli appalti pubblici, decentrando il </w:t>
      </w:r>
      <w:r w:rsidR="00501B1D">
        <w:rPr>
          <w:lang w:val="it-IT"/>
        </w:rPr>
        <w:t>più</w:t>
      </w:r>
      <w:r w:rsidRPr="00F76362">
        <w:rPr>
          <w:lang w:val="it-IT"/>
        </w:rPr>
        <w:t xml:space="preserve"> possibile a livello di singola stazione appaltante, mantenendo </w:t>
      </w:r>
      <w:r w:rsidR="00F76362">
        <w:rPr>
          <w:lang w:val="it-IT"/>
        </w:rPr>
        <w:t xml:space="preserve">però </w:t>
      </w:r>
      <w:r w:rsidRPr="00F76362">
        <w:rPr>
          <w:lang w:val="it-IT"/>
        </w:rPr>
        <w:t xml:space="preserve">la competenza e il controllo a livello centrale. A tale scopo, nel 2013 è stata istituita l'Agenzia per i procedimenti e la vigilanza in materia di contratti pubblici di lavori, servizi e forniture (ACP), i cui compiti e obblighi </w:t>
      </w:r>
      <w:r w:rsidR="00D748FB">
        <w:rPr>
          <w:lang w:val="it-IT"/>
        </w:rPr>
        <w:t>sono stati</w:t>
      </w:r>
      <w:r w:rsidRPr="00F76362">
        <w:rPr>
          <w:lang w:val="it-IT"/>
        </w:rPr>
        <w:t xml:space="preserve"> costantemente ampliati. Sulla base delle disposizioni della </w:t>
      </w:r>
      <w:proofErr w:type="spellStart"/>
      <w:r w:rsidR="00D9240E">
        <w:rPr>
          <w:lang w:val="it-IT"/>
        </w:rPr>
        <w:t>l</w:t>
      </w:r>
      <w:r w:rsidRPr="00F76362">
        <w:rPr>
          <w:lang w:val="it-IT"/>
        </w:rPr>
        <w:t>.</w:t>
      </w:r>
      <w:r w:rsidR="00D9240E">
        <w:rPr>
          <w:lang w:val="it-IT"/>
        </w:rPr>
        <w:t>p</w:t>
      </w:r>
      <w:proofErr w:type="spellEnd"/>
      <w:r w:rsidRPr="00F76362">
        <w:rPr>
          <w:lang w:val="it-IT"/>
        </w:rPr>
        <w:t xml:space="preserve">. 15/2011 e della </w:t>
      </w:r>
      <w:proofErr w:type="spellStart"/>
      <w:r w:rsidR="00D9240E">
        <w:rPr>
          <w:lang w:val="it-IT"/>
        </w:rPr>
        <w:t>l</w:t>
      </w:r>
      <w:r w:rsidRPr="00F76362">
        <w:rPr>
          <w:lang w:val="it-IT"/>
        </w:rPr>
        <w:t>.</w:t>
      </w:r>
      <w:r w:rsidR="00D9240E">
        <w:rPr>
          <w:lang w:val="it-IT"/>
        </w:rPr>
        <w:t>p</w:t>
      </w:r>
      <w:proofErr w:type="spellEnd"/>
      <w:r w:rsidRPr="00F76362">
        <w:rPr>
          <w:lang w:val="it-IT"/>
        </w:rPr>
        <w:t>. 16/2015</w:t>
      </w:r>
      <w:r w:rsidR="00D9240E">
        <w:rPr>
          <w:lang w:val="it-IT"/>
        </w:rPr>
        <w:t>,</w:t>
      </w:r>
      <w:r w:rsidRPr="00F76362">
        <w:rPr>
          <w:lang w:val="it-IT"/>
        </w:rPr>
        <w:t xml:space="preserve"> l’ACP svolge le funzioni di soggetto aggregatore provinciale di cui all’art. 38 del d.lgs. 50/2016. Le stazioni appaltanti </w:t>
      </w:r>
      <w:r w:rsidR="00D9240E">
        <w:rPr>
          <w:lang w:val="it-IT"/>
        </w:rPr>
        <w:t>nella</w:t>
      </w:r>
      <w:r w:rsidRPr="00F76362">
        <w:rPr>
          <w:lang w:val="it-IT"/>
        </w:rPr>
        <w:t xml:space="preserve"> Provincia di Bolzano dispongono quindi </w:t>
      </w:r>
      <w:r w:rsidR="00D9240E">
        <w:rPr>
          <w:lang w:val="it-IT"/>
        </w:rPr>
        <w:t>d</w:t>
      </w:r>
      <w:r w:rsidRPr="00F76362">
        <w:rPr>
          <w:lang w:val="it-IT"/>
        </w:rPr>
        <w:t xml:space="preserve">ell’ACP quale centro di riferimento e di competenza, che sovraintende le </w:t>
      </w:r>
      <w:r w:rsidR="00F76362" w:rsidRPr="00F76362">
        <w:rPr>
          <w:lang w:val="it-IT"/>
        </w:rPr>
        <w:t>attivit</w:t>
      </w:r>
      <w:r w:rsidR="00F76362">
        <w:rPr>
          <w:lang w:val="it-IT"/>
        </w:rPr>
        <w:t>à</w:t>
      </w:r>
      <w:r w:rsidRPr="00F76362">
        <w:rPr>
          <w:lang w:val="it-IT"/>
        </w:rPr>
        <w:t xml:space="preserve"> in materia di appalti e contratti pubblici, in particolare: </w:t>
      </w:r>
    </w:p>
    <w:p w14:paraId="723CE423" w14:textId="47119180" w:rsid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attuazione delle procedure di appalto a partire da un determinato valore contrattuale o grado di </w:t>
      </w:r>
      <w:r w:rsidR="00F76362" w:rsidRPr="00F76362">
        <w:rPr>
          <w:lang w:val="it-IT"/>
        </w:rPr>
        <w:t>complessità</w:t>
      </w:r>
      <w:r w:rsidRPr="00F76362">
        <w:rPr>
          <w:lang w:val="it-IT"/>
        </w:rPr>
        <w:t xml:space="preserve">̀, al fine di assistere le stazioni appaltanti di piccole e medie dimensioni prive di personale adeguatamente qualificato e di esperienza in materia di procedure di gara; </w:t>
      </w:r>
    </w:p>
    <w:p w14:paraId="69E010AC" w14:textId="18EBF61A"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attuazione di proprie procedure di gara a livello di acquisto c</w:t>
      </w:r>
      <w:r w:rsidR="00815D80" w:rsidRPr="00F76362">
        <w:rPr>
          <w:lang w:val="it-IT"/>
        </w:rPr>
        <w:t>en</w:t>
      </w:r>
      <w:r w:rsidRPr="00F76362">
        <w:rPr>
          <w:lang w:val="it-IT"/>
        </w:rPr>
        <w:t>tral</w:t>
      </w:r>
      <w:r w:rsidR="00815D80" w:rsidRPr="00F76362">
        <w:rPr>
          <w:lang w:val="it-IT"/>
        </w:rPr>
        <w:t>iz</w:t>
      </w:r>
      <w:r w:rsidRPr="00F76362">
        <w:rPr>
          <w:lang w:val="it-IT"/>
        </w:rPr>
        <w:t>zato</w:t>
      </w:r>
      <w:r w:rsidR="00815D80" w:rsidRPr="00F76362">
        <w:rPr>
          <w:lang w:val="it-IT"/>
        </w:rPr>
        <w:t xml:space="preserve"> </w:t>
      </w:r>
      <w:r w:rsidRPr="00F76362">
        <w:rPr>
          <w:lang w:val="it-IT"/>
        </w:rPr>
        <w:t>at</w:t>
      </w:r>
      <w:r w:rsidR="00815D80" w:rsidRPr="00F76362">
        <w:rPr>
          <w:lang w:val="it-IT"/>
        </w:rPr>
        <w:t>t</w:t>
      </w:r>
      <w:r w:rsidRPr="00F76362">
        <w:rPr>
          <w:lang w:val="it-IT"/>
        </w:rPr>
        <w:t xml:space="preserve">raverso accordi-quadro, convenzioni e il mercato elettronico della Provincia, al fine di agevolare le singole stazioni appaltanti e promuovere l’approvvigionamento centralizzato di beni e servizi standardizzati; </w:t>
      </w:r>
    </w:p>
    <w:p w14:paraId="53EC8441" w14:textId="1B672930"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gestione delle procedure di gara attraverso un sistema informativo per gli appalti pubblici; </w:t>
      </w:r>
    </w:p>
    <w:p w14:paraId="339A8F6D" w14:textId="0143258F"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messa a disposizione e costante aggiornamento dell'intera documentazione standard nel settore degli appalti pubblici, per semplificare e standardizzare, ove possibile, l'onere a carico delle singole amministrazioni aggiudicatrici; </w:t>
      </w:r>
    </w:p>
    <w:p w14:paraId="4B7D0BF5" w14:textId="4E1971AD"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elaborazione degli elenchi prezzo per tutte le amministrazioni aggiudicatrici; </w:t>
      </w:r>
    </w:p>
    <w:p w14:paraId="17409B29" w14:textId="0E720E4D"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consulenza alle amministrazioni aggiudicatrici (consulenze telefoniche e pareri) </w:t>
      </w:r>
    </w:p>
    <w:p w14:paraId="248D2F9D" w14:textId="13DF8CF0"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 xml:space="preserve">servizio di informazione e aggiornamento a favore dei funzionari pubblici; </w:t>
      </w:r>
    </w:p>
    <w:p w14:paraId="57686AF5" w14:textId="305F9024" w:rsidR="00B207BF" w:rsidRPr="00F76362" w:rsidRDefault="00B207BF" w:rsidP="00BC3533">
      <w:pPr>
        <w:pStyle w:val="NormaleWeb"/>
        <w:numPr>
          <w:ilvl w:val="0"/>
          <w:numId w:val="8"/>
        </w:numPr>
        <w:spacing w:before="0" w:beforeAutospacing="0" w:after="0" w:afterAutospacing="0" w:line="276" w:lineRule="auto"/>
        <w:jc w:val="both"/>
        <w:rPr>
          <w:lang w:val="it-IT"/>
        </w:rPr>
      </w:pPr>
      <w:r w:rsidRPr="00F76362">
        <w:rPr>
          <w:lang w:val="it-IT"/>
        </w:rPr>
        <w:t>controllo delle procedure di appalto attraverso un audit annuale su almeno il 20% delle amministrazioni aggiudicatrici</w:t>
      </w:r>
      <w:r w:rsidR="00815D80" w:rsidRPr="00F76362">
        <w:rPr>
          <w:lang w:val="it-IT"/>
        </w:rPr>
        <w:t>.</w:t>
      </w:r>
    </w:p>
    <w:p w14:paraId="5BDC196F" w14:textId="3704B76A" w:rsidR="00B207BF" w:rsidRPr="00F76362" w:rsidRDefault="00B207BF" w:rsidP="00BC3533">
      <w:pPr>
        <w:pStyle w:val="NormaleWeb"/>
        <w:spacing w:before="0" w:beforeAutospacing="0" w:after="0" w:afterAutospacing="0" w:line="276" w:lineRule="auto"/>
        <w:ind w:firstLine="360"/>
        <w:jc w:val="both"/>
        <w:rPr>
          <w:lang w:val="it-IT"/>
        </w:rPr>
      </w:pPr>
      <w:r w:rsidRPr="00F76362">
        <w:rPr>
          <w:lang w:val="it-IT"/>
        </w:rPr>
        <w:t xml:space="preserve">Attraverso </w:t>
      </w:r>
      <w:r w:rsidR="00815D80" w:rsidRPr="00F76362">
        <w:rPr>
          <w:lang w:val="it-IT"/>
        </w:rPr>
        <w:t xml:space="preserve">questa </w:t>
      </w:r>
      <w:r w:rsidRPr="00F76362">
        <w:rPr>
          <w:lang w:val="it-IT"/>
        </w:rPr>
        <w:t xml:space="preserve">ampia </w:t>
      </w:r>
      <w:r w:rsidR="00F76362" w:rsidRPr="00F76362">
        <w:rPr>
          <w:lang w:val="it-IT"/>
        </w:rPr>
        <w:t>attività</w:t>
      </w:r>
      <w:r w:rsidRPr="00F76362">
        <w:rPr>
          <w:lang w:val="it-IT"/>
        </w:rPr>
        <w:t xml:space="preserve"> svolta dall’ACP, in tutti i settori (standardizzazione dei documenti e dei processi, assistenza in fase di aggiudicazione degli appalti, controlli, aggiornamento)</w:t>
      </w:r>
      <w:r w:rsidR="00815D80" w:rsidRPr="00F76362">
        <w:rPr>
          <w:lang w:val="it-IT"/>
        </w:rPr>
        <w:t xml:space="preserve"> e tutte le fasi (programmazione, affidamento, esecuzione)</w:t>
      </w:r>
      <w:r w:rsidRPr="00F76362">
        <w:rPr>
          <w:lang w:val="it-IT"/>
        </w:rPr>
        <w:t xml:space="preserve"> viene garantito che la singola stazione appaltante sia in grado di svolgere i propri compiti e disponga di condizioni procedurali standardizzate, che assicur</w:t>
      </w:r>
      <w:r w:rsidR="00AF4E8A">
        <w:rPr>
          <w:lang w:val="it-IT"/>
        </w:rPr>
        <w:t>i</w:t>
      </w:r>
      <w:r w:rsidRPr="00F76362">
        <w:rPr>
          <w:lang w:val="it-IT"/>
        </w:rPr>
        <w:t xml:space="preserve">no l'applicazione uniforme del diritto nel territorio provinciale. Il fatto che oltre </w:t>
      </w:r>
      <w:r w:rsidR="00DC4E4F">
        <w:rPr>
          <w:lang w:val="it-IT"/>
        </w:rPr>
        <w:t>l’</w:t>
      </w:r>
      <w:r w:rsidR="00D9240E">
        <w:rPr>
          <w:lang w:val="it-IT"/>
        </w:rPr>
        <w:t>85</w:t>
      </w:r>
      <w:r w:rsidRPr="00F76362">
        <w:rPr>
          <w:lang w:val="it-IT"/>
        </w:rPr>
        <w:t>% delle procedure di aggiudicazione s</w:t>
      </w:r>
      <w:r w:rsidR="00AF4E8A">
        <w:rPr>
          <w:lang w:val="it-IT"/>
        </w:rPr>
        <w:t>ia</w:t>
      </w:r>
      <w:r w:rsidRPr="00F76362">
        <w:rPr>
          <w:lang w:val="it-IT"/>
        </w:rPr>
        <w:t>no digitali</w:t>
      </w:r>
      <w:r w:rsidR="00D9240E">
        <w:rPr>
          <w:rStyle w:val="Rimandonotaapidipagina"/>
          <w:lang w:val="it-IT"/>
        </w:rPr>
        <w:footnoteReference w:id="35"/>
      </w:r>
      <w:r w:rsidRPr="00F76362">
        <w:rPr>
          <w:lang w:val="it-IT"/>
        </w:rPr>
        <w:t xml:space="preserve"> aumenta la trasparenza e la certezza del diritto. </w:t>
      </w:r>
    </w:p>
    <w:p w14:paraId="3651D7A8" w14:textId="5255E1CD" w:rsidR="00B207BF" w:rsidRPr="00F76362" w:rsidRDefault="007153F9"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L</w:t>
      </w:r>
      <w:r w:rsidR="00F76362">
        <w:rPr>
          <w:rFonts w:ascii="Times New Roman" w:eastAsia="Times New Roman" w:hAnsi="Times New Roman" w:cs="Times New Roman"/>
          <w:lang w:val="it-IT" w:eastAsia="de-DE"/>
        </w:rPr>
        <w:t xml:space="preserve">a Giunta </w:t>
      </w:r>
      <w:r w:rsidR="00F76362" w:rsidRPr="00B108ED">
        <w:rPr>
          <w:rFonts w:ascii="Times New Roman" w:eastAsia="Times New Roman" w:hAnsi="Times New Roman" w:cs="Times New Roman"/>
          <w:lang w:val="it-IT" w:eastAsia="de-DE"/>
        </w:rPr>
        <w:t>provinciale ha sostenuto che l</w:t>
      </w:r>
      <w:r w:rsidR="00B207BF" w:rsidRPr="00B108ED">
        <w:rPr>
          <w:rFonts w:ascii="Times New Roman" w:eastAsia="Times New Roman" w:hAnsi="Times New Roman" w:cs="Times New Roman"/>
          <w:lang w:val="it-IT" w:eastAsia="de-DE"/>
        </w:rPr>
        <w:t xml:space="preserve">a legislazione sia provinciale che nazionale individua nel responsabile unico del procedimento (RUP) la figura centrale della procedura di appalto. Si </w:t>
      </w:r>
      <w:r w:rsidR="00F32C71" w:rsidRPr="00B108ED">
        <w:rPr>
          <w:rFonts w:ascii="Times New Roman" w:eastAsia="Times New Roman" w:hAnsi="Times New Roman" w:cs="Times New Roman"/>
          <w:lang w:val="it-IT" w:eastAsia="de-DE"/>
        </w:rPr>
        <w:t xml:space="preserve">è </w:t>
      </w:r>
      <w:r w:rsidR="00F76362" w:rsidRPr="00B108ED">
        <w:rPr>
          <w:rFonts w:ascii="Times New Roman" w:eastAsia="Times New Roman" w:hAnsi="Times New Roman" w:cs="Times New Roman"/>
          <w:lang w:val="it-IT" w:eastAsia="de-DE"/>
        </w:rPr>
        <w:t>riten</w:t>
      </w:r>
      <w:r w:rsidR="00F32C71" w:rsidRPr="00B108ED">
        <w:rPr>
          <w:rFonts w:ascii="Times New Roman" w:eastAsia="Times New Roman" w:hAnsi="Times New Roman" w:cs="Times New Roman"/>
          <w:lang w:val="it-IT" w:eastAsia="de-DE"/>
        </w:rPr>
        <w:t>uto</w:t>
      </w:r>
      <w:r w:rsidR="00B207BF" w:rsidRPr="00B108ED">
        <w:rPr>
          <w:rFonts w:ascii="Times New Roman" w:eastAsia="Times New Roman" w:hAnsi="Times New Roman" w:cs="Times New Roman"/>
          <w:lang w:val="it-IT" w:eastAsia="de-DE"/>
        </w:rPr>
        <w:t xml:space="preserve"> pertanto che la professionalizzazione del personale dipendente rappresent</w:t>
      </w:r>
      <w:r w:rsidR="00B108ED" w:rsidRPr="00B108ED">
        <w:rPr>
          <w:rFonts w:ascii="Times New Roman" w:eastAsia="Times New Roman" w:hAnsi="Times New Roman" w:cs="Times New Roman"/>
          <w:lang w:val="it-IT" w:eastAsia="de-DE"/>
        </w:rPr>
        <w:t>asse</w:t>
      </w:r>
      <w:r w:rsidR="00B207BF" w:rsidRPr="00B108ED">
        <w:rPr>
          <w:rFonts w:ascii="Times New Roman" w:eastAsia="Times New Roman" w:hAnsi="Times New Roman" w:cs="Times New Roman"/>
          <w:lang w:val="it-IT" w:eastAsia="de-DE"/>
        </w:rPr>
        <w:t xml:space="preserve"> l’elemento decisivo per la qualificazione delle stazioni appaltanti in Provincia di Bolzano e che la presenza di almeno un RUP qualificato in ogni stazione appaltante </w:t>
      </w:r>
      <w:r w:rsidR="00B108ED" w:rsidRPr="00B108ED">
        <w:rPr>
          <w:rFonts w:ascii="Times New Roman" w:eastAsia="Times New Roman" w:hAnsi="Times New Roman" w:cs="Times New Roman"/>
          <w:lang w:val="it-IT" w:eastAsia="de-DE"/>
        </w:rPr>
        <w:t>fosse</w:t>
      </w:r>
      <w:r w:rsidR="00B207BF" w:rsidRPr="00B108ED">
        <w:rPr>
          <w:rFonts w:ascii="Times New Roman" w:eastAsia="Times New Roman" w:hAnsi="Times New Roman" w:cs="Times New Roman"/>
          <w:lang w:val="it-IT" w:eastAsia="de-DE"/>
        </w:rPr>
        <w:t xml:space="preserve"> </w:t>
      </w:r>
      <w:r w:rsidR="00B108ED" w:rsidRPr="00B108ED">
        <w:rPr>
          <w:rFonts w:ascii="Times New Roman" w:eastAsia="Times New Roman" w:hAnsi="Times New Roman" w:cs="Times New Roman"/>
          <w:lang w:val="it-IT" w:eastAsia="de-DE"/>
        </w:rPr>
        <w:t xml:space="preserve">quindi </w:t>
      </w:r>
      <w:r w:rsidR="00B207BF" w:rsidRPr="00B108ED">
        <w:rPr>
          <w:rFonts w:ascii="Times New Roman" w:eastAsia="Times New Roman" w:hAnsi="Times New Roman" w:cs="Times New Roman"/>
          <w:lang w:val="it-IT" w:eastAsia="de-DE"/>
        </w:rPr>
        <w:t>necessaria per</w:t>
      </w:r>
      <w:r w:rsidR="00B207BF" w:rsidRPr="00F76362">
        <w:rPr>
          <w:rFonts w:ascii="Times New Roman" w:eastAsia="Times New Roman" w:hAnsi="Times New Roman" w:cs="Times New Roman"/>
          <w:lang w:val="it-IT" w:eastAsia="de-DE"/>
        </w:rPr>
        <w:t xml:space="preserve"> la qualificazione della stazione appaltante di appartenenza.</w:t>
      </w:r>
    </w:p>
    <w:p w14:paraId="168C08F2" w14:textId="394B474C" w:rsidR="00B207BF" w:rsidRPr="00F76362" w:rsidRDefault="00B207BF" w:rsidP="00BC3533">
      <w:pPr>
        <w:spacing w:line="276" w:lineRule="auto"/>
        <w:ind w:firstLine="360"/>
        <w:jc w:val="both"/>
        <w:rPr>
          <w:rFonts w:ascii="Times New Roman" w:eastAsia="Times New Roman" w:hAnsi="Times New Roman" w:cs="Times New Roman"/>
          <w:lang w:val="it-IT" w:eastAsia="de-DE"/>
        </w:rPr>
      </w:pPr>
      <w:r w:rsidRPr="00F76362">
        <w:rPr>
          <w:rFonts w:ascii="Times New Roman" w:eastAsia="Times New Roman" w:hAnsi="Times New Roman" w:cs="Times New Roman"/>
          <w:lang w:val="it-IT" w:eastAsia="de-DE"/>
        </w:rPr>
        <w:t xml:space="preserve">Al fine di garantire </w:t>
      </w:r>
      <w:r w:rsidR="00F76362" w:rsidRPr="00F76362">
        <w:rPr>
          <w:rFonts w:ascii="Times New Roman" w:eastAsia="Times New Roman" w:hAnsi="Times New Roman" w:cs="Times New Roman"/>
          <w:lang w:val="it-IT" w:eastAsia="de-DE"/>
        </w:rPr>
        <w:t>qualità</w:t>
      </w:r>
      <w:r w:rsidRPr="00F76362">
        <w:rPr>
          <w:rFonts w:ascii="Times New Roman" w:eastAsia="Times New Roman" w:hAnsi="Times New Roman" w:cs="Times New Roman"/>
          <w:lang w:val="it-IT" w:eastAsia="de-DE"/>
        </w:rPr>
        <w:t xml:space="preserve">, </w:t>
      </w:r>
      <w:r w:rsidR="00F76362" w:rsidRPr="00F76362">
        <w:rPr>
          <w:rFonts w:ascii="Times New Roman" w:eastAsia="Times New Roman" w:hAnsi="Times New Roman" w:cs="Times New Roman"/>
          <w:lang w:val="it-IT" w:eastAsia="de-DE"/>
        </w:rPr>
        <w:t>professionalit</w:t>
      </w:r>
      <w:r w:rsidR="00F76362">
        <w:rPr>
          <w:rFonts w:ascii="Times New Roman" w:eastAsia="Times New Roman" w:hAnsi="Times New Roman" w:cs="Times New Roman"/>
          <w:lang w:val="it-IT" w:eastAsia="de-DE"/>
        </w:rPr>
        <w:t>à</w:t>
      </w:r>
      <w:r w:rsidRPr="00F76362">
        <w:rPr>
          <w:rFonts w:ascii="Times New Roman" w:eastAsia="Times New Roman" w:hAnsi="Times New Roman" w:cs="Times New Roman"/>
          <w:lang w:val="it-IT" w:eastAsia="de-DE"/>
        </w:rPr>
        <w:t xml:space="preserve"> ed efficienza in modo adeguato, è </w:t>
      </w:r>
      <w:r w:rsidR="00F76362">
        <w:rPr>
          <w:rFonts w:ascii="Times New Roman" w:eastAsia="Times New Roman" w:hAnsi="Times New Roman" w:cs="Times New Roman"/>
          <w:lang w:val="it-IT" w:eastAsia="de-DE"/>
        </w:rPr>
        <w:t xml:space="preserve">stato quindi ritenuto </w:t>
      </w:r>
      <w:r w:rsidRPr="00F76362">
        <w:rPr>
          <w:rFonts w:ascii="Times New Roman" w:eastAsia="Times New Roman" w:hAnsi="Times New Roman" w:cs="Times New Roman"/>
          <w:lang w:val="it-IT" w:eastAsia="de-DE"/>
        </w:rPr>
        <w:t>necessario fornire al RUP formazione e aggiornamento adeguati. Con delibera del 12.02.2019</w:t>
      </w:r>
      <w:r w:rsidR="00501B1D">
        <w:rPr>
          <w:rFonts w:ascii="Times New Roman" w:eastAsia="Times New Roman" w:hAnsi="Times New Roman" w:cs="Times New Roman"/>
          <w:lang w:val="it-IT" w:eastAsia="de-DE"/>
        </w:rPr>
        <w:t>,</w:t>
      </w:r>
      <w:r w:rsidR="00501B1D" w:rsidRPr="00501B1D">
        <w:rPr>
          <w:rFonts w:ascii="Times New Roman" w:eastAsia="Times New Roman" w:hAnsi="Times New Roman" w:cs="Times New Roman"/>
          <w:lang w:val="it-IT" w:eastAsia="de-DE"/>
        </w:rPr>
        <w:t xml:space="preserve"> </w:t>
      </w:r>
      <w:r w:rsidR="00501B1D" w:rsidRPr="00F76362">
        <w:rPr>
          <w:rFonts w:ascii="Times New Roman" w:eastAsia="Times New Roman" w:hAnsi="Times New Roman" w:cs="Times New Roman"/>
          <w:lang w:val="it-IT" w:eastAsia="de-DE"/>
        </w:rPr>
        <w:t>n. 64</w:t>
      </w:r>
      <w:r w:rsidRPr="00F76362">
        <w:rPr>
          <w:rFonts w:ascii="Times New Roman" w:eastAsia="Times New Roman" w:hAnsi="Times New Roman" w:cs="Times New Roman"/>
          <w:lang w:val="it-IT" w:eastAsia="de-DE"/>
        </w:rPr>
        <w:t xml:space="preserve">, la Giunta provinciale </w:t>
      </w:r>
      <w:r w:rsidR="008E680F">
        <w:rPr>
          <w:rFonts w:ascii="Times New Roman" w:eastAsia="Times New Roman" w:hAnsi="Times New Roman" w:cs="Times New Roman"/>
          <w:lang w:val="it-IT" w:eastAsia="de-DE"/>
        </w:rPr>
        <w:t>ha</w:t>
      </w:r>
      <w:r w:rsidRPr="00F76362">
        <w:rPr>
          <w:rFonts w:ascii="Times New Roman" w:eastAsia="Times New Roman" w:hAnsi="Times New Roman" w:cs="Times New Roman"/>
          <w:lang w:val="it-IT" w:eastAsia="de-DE"/>
        </w:rPr>
        <w:t xml:space="preserve"> affidato a</w:t>
      </w:r>
      <w:r w:rsidR="00501B1D">
        <w:rPr>
          <w:rFonts w:ascii="Times New Roman" w:eastAsia="Times New Roman" w:hAnsi="Times New Roman" w:cs="Times New Roman"/>
          <w:lang w:val="it-IT" w:eastAsia="de-DE"/>
        </w:rPr>
        <w:t>ll’</w:t>
      </w:r>
      <w:r w:rsidRPr="00F76362">
        <w:rPr>
          <w:rFonts w:ascii="Times New Roman" w:eastAsia="Times New Roman" w:hAnsi="Times New Roman" w:cs="Times New Roman"/>
          <w:lang w:val="it-IT" w:eastAsia="de-DE"/>
        </w:rPr>
        <w:t>ACP, nell’ambito della convenzione con questa stipulata, il compito di predisporre le misure per l'attuazione dell'articolo 6</w:t>
      </w:r>
      <w:r w:rsidR="00501B1D">
        <w:rPr>
          <w:rFonts w:ascii="Times New Roman" w:eastAsia="Times New Roman" w:hAnsi="Times New Roman" w:cs="Times New Roman"/>
          <w:lang w:val="it-IT" w:eastAsia="de-DE"/>
        </w:rPr>
        <w:t>-</w:t>
      </w:r>
      <w:r w:rsidRPr="00F76362">
        <w:rPr>
          <w:rFonts w:ascii="Times New Roman" w:eastAsia="Times New Roman" w:hAnsi="Times New Roman" w:cs="Times New Roman"/>
          <w:lang w:val="it-IT" w:eastAsia="de-DE"/>
        </w:rPr>
        <w:t xml:space="preserve">bis della legge provinciale n. 16/2015. </w:t>
      </w:r>
    </w:p>
    <w:p w14:paraId="153FF8DE" w14:textId="192AA376" w:rsidR="00B207BF" w:rsidRPr="00F76362" w:rsidRDefault="00B207BF" w:rsidP="00BC3533">
      <w:pPr>
        <w:spacing w:line="276" w:lineRule="auto"/>
        <w:ind w:firstLine="360"/>
        <w:jc w:val="both"/>
        <w:rPr>
          <w:rFonts w:ascii="Times New Roman" w:eastAsia="Times New Roman" w:hAnsi="Times New Roman" w:cs="Times New Roman"/>
          <w:lang w:val="it-IT" w:eastAsia="de-DE"/>
        </w:rPr>
      </w:pPr>
      <w:r w:rsidRPr="00F76362">
        <w:rPr>
          <w:rFonts w:ascii="Times New Roman" w:eastAsia="Times New Roman" w:hAnsi="Times New Roman" w:cs="Times New Roman"/>
          <w:lang w:val="it-IT" w:eastAsia="de-DE"/>
        </w:rPr>
        <w:t>A tale scopo l'ACP ha concluso protocolli d’intesa con istituzioni scientifiche e</w:t>
      </w:r>
      <w:r w:rsidR="00F76362">
        <w:rPr>
          <w:rFonts w:ascii="Times New Roman" w:eastAsia="Times New Roman" w:hAnsi="Times New Roman" w:cs="Times New Roman"/>
          <w:lang w:val="it-IT" w:eastAsia="de-DE"/>
        </w:rPr>
        <w:t>d</w:t>
      </w:r>
      <w:r w:rsidRPr="00F76362">
        <w:rPr>
          <w:rFonts w:ascii="Times New Roman" w:eastAsia="Times New Roman" w:hAnsi="Times New Roman" w:cs="Times New Roman"/>
          <w:lang w:val="it-IT" w:eastAsia="de-DE"/>
        </w:rPr>
        <w:t xml:space="preserve"> </w:t>
      </w:r>
      <w:r w:rsidR="00F76362" w:rsidRPr="00F76362">
        <w:rPr>
          <w:rFonts w:ascii="Times New Roman" w:eastAsia="Times New Roman" w:hAnsi="Times New Roman" w:cs="Times New Roman"/>
          <w:lang w:val="it-IT" w:eastAsia="de-DE"/>
        </w:rPr>
        <w:t>università</w:t>
      </w:r>
      <w:r w:rsidRPr="00F76362">
        <w:rPr>
          <w:rFonts w:ascii="Times New Roman" w:eastAsia="Times New Roman" w:hAnsi="Times New Roman" w:cs="Times New Roman"/>
          <w:lang w:val="it-IT" w:eastAsia="de-DE"/>
        </w:rPr>
        <w:t xml:space="preserve"> per garantire la formazione e l’aggiornamento mirato ai RUP in Provincia di Bolzano, nel rispetto dell’autonomia e del bilinguismo. </w:t>
      </w:r>
      <w:r w:rsidR="00F76362">
        <w:rPr>
          <w:rFonts w:ascii="Times New Roman" w:eastAsia="Times New Roman" w:hAnsi="Times New Roman" w:cs="Times New Roman"/>
          <w:lang w:val="it-IT" w:eastAsia="de-DE"/>
        </w:rPr>
        <w:t xml:space="preserve">Non bisogna infatti trascurare </w:t>
      </w:r>
      <w:r w:rsidR="00B108ED">
        <w:rPr>
          <w:rFonts w:ascii="Times New Roman" w:eastAsia="Times New Roman" w:hAnsi="Times New Roman" w:cs="Times New Roman"/>
          <w:lang w:val="it-IT" w:eastAsia="de-DE"/>
        </w:rPr>
        <w:t xml:space="preserve">il fatto </w:t>
      </w:r>
      <w:r w:rsidR="00F76362">
        <w:rPr>
          <w:rFonts w:ascii="Times New Roman" w:eastAsia="Times New Roman" w:hAnsi="Times New Roman" w:cs="Times New Roman"/>
          <w:lang w:val="it-IT" w:eastAsia="de-DE"/>
        </w:rPr>
        <w:t xml:space="preserve">che il mercato del lavoro, anche nella pubblica amministrazione, è caratterizzato dalla necessità che i funzionari pubblici siano bilingui e </w:t>
      </w:r>
      <w:r w:rsidR="00B108ED">
        <w:rPr>
          <w:rFonts w:ascii="Times New Roman" w:eastAsia="Times New Roman" w:hAnsi="Times New Roman" w:cs="Times New Roman"/>
          <w:lang w:val="it-IT" w:eastAsia="de-DE"/>
        </w:rPr>
        <w:t xml:space="preserve">che </w:t>
      </w:r>
      <w:r w:rsidR="00F76362">
        <w:rPr>
          <w:rFonts w:ascii="Times New Roman" w:eastAsia="Times New Roman" w:hAnsi="Times New Roman" w:cs="Times New Roman"/>
          <w:lang w:val="it-IT" w:eastAsia="de-DE"/>
        </w:rPr>
        <w:t xml:space="preserve">quindi un reclutamento da altre regioni italiane è molto difficile. </w:t>
      </w:r>
    </w:p>
    <w:p w14:paraId="72EF8855" w14:textId="2231F094" w:rsidR="00B207BF" w:rsidRDefault="00B207BF" w:rsidP="00BC3533">
      <w:pPr>
        <w:spacing w:line="276" w:lineRule="auto"/>
        <w:ind w:firstLine="360"/>
        <w:jc w:val="both"/>
        <w:rPr>
          <w:rFonts w:ascii="Times New Roman" w:eastAsia="Times New Roman" w:hAnsi="Times New Roman" w:cs="Times New Roman"/>
          <w:lang w:val="it-IT" w:eastAsia="de-DE"/>
        </w:rPr>
      </w:pPr>
      <w:r w:rsidRPr="00F76362">
        <w:rPr>
          <w:rFonts w:ascii="Times New Roman" w:eastAsia="Times New Roman" w:hAnsi="Times New Roman" w:cs="Times New Roman"/>
          <w:lang w:val="it-IT" w:eastAsia="de-DE"/>
        </w:rPr>
        <w:t>La formazione ai RUP</w:t>
      </w:r>
      <w:r w:rsidR="00F76362">
        <w:rPr>
          <w:rFonts w:ascii="Times New Roman" w:eastAsia="Times New Roman" w:hAnsi="Times New Roman" w:cs="Times New Roman"/>
          <w:lang w:val="it-IT" w:eastAsia="de-DE"/>
        </w:rPr>
        <w:t>, voluta dalla Giunta provinciale,</w:t>
      </w:r>
      <w:r w:rsidRPr="00F76362">
        <w:rPr>
          <w:rFonts w:ascii="Times New Roman" w:eastAsia="Times New Roman" w:hAnsi="Times New Roman" w:cs="Times New Roman"/>
          <w:lang w:val="it-IT" w:eastAsia="de-DE"/>
        </w:rPr>
        <w:t xml:space="preserve"> deve essere </w:t>
      </w:r>
      <w:r w:rsidR="00F76362">
        <w:rPr>
          <w:rFonts w:ascii="Times New Roman" w:eastAsia="Times New Roman" w:hAnsi="Times New Roman" w:cs="Times New Roman"/>
          <w:lang w:val="it-IT" w:eastAsia="de-DE"/>
        </w:rPr>
        <w:t xml:space="preserve">di livello certificato e quindi </w:t>
      </w:r>
      <w:r w:rsidRPr="00F76362">
        <w:rPr>
          <w:rFonts w:ascii="Times New Roman" w:eastAsia="Times New Roman" w:hAnsi="Times New Roman" w:cs="Times New Roman"/>
          <w:lang w:val="it-IT" w:eastAsia="de-DE"/>
        </w:rPr>
        <w:t xml:space="preserve">offerta da </w:t>
      </w:r>
      <w:r w:rsidR="00F76362" w:rsidRPr="00F76362">
        <w:rPr>
          <w:rFonts w:ascii="Times New Roman" w:eastAsia="Times New Roman" w:hAnsi="Times New Roman" w:cs="Times New Roman"/>
          <w:lang w:val="it-IT" w:eastAsia="de-DE"/>
        </w:rPr>
        <w:t>università</w:t>
      </w:r>
      <w:r w:rsidRPr="00F76362">
        <w:rPr>
          <w:rFonts w:ascii="Times New Roman" w:eastAsia="Times New Roman" w:hAnsi="Times New Roman" w:cs="Times New Roman"/>
          <w:lang w:val="it-IT" w:eastAsia="de-DE"/>
        </w:rPr>
        <w:t xml:space="preserve">, istituti superiori o istituti di istruzione equivalenti; deve comprendere tutti gli aspetti degli appalti pubblici (programmazione, aggiudicazione, esecuzione dei contratti di lavori, forniture e servizi, </w:t>
      </w:r>
      <w:r w:rsidR="00F76362" w:rsidRPr="00F76362">
        <w:rPr>
          <w:rFonts w:ascii="Times New Roman" w:eastAsia="Times New Roman" w:hAnsi="Times New Roman" w:cs="Times New Roman"/>
          <w:lang w:val="it-IT" w:eastAsia="de-DE"/>
        </w:rPr>
        <w:t>nonch</w:t>
      </w:r>
      <w:r w:rsidR="00D50690">
        <w:rPr>
          <w:rFonts w:ascii="Times New Roman" w:eastAsia="Times New Roman" w:hAnsi="Times New Roman" w:cs="Times New Roman"/>
          <w:lang w:val="it-IT" w:eastAsia="de-DE"/>
        </w:rPr>
        <w:t>é</w:t>
      </w:r>
      <w:r w:rsidRPr="00F76362">
        <w:rPr>
          <w:rFonts w:ascii="Times New Roman" w:eastAsia="Times New Roman" w:hAnsi="Times New Roman" w:cs="Times New Roman"/>
          <w:lang w:val="it-IT" w:eastAsia="de-DE"/>
        </w:rPr>
        <w:t xml:space="preserve"> </w:t>
      </w:r>
      <w:r w:rsidR="00D50690">
        <w:rPr>
          <w:rFonts w:ascii="Times New Roman" w:eastAsia="Times New Roman" w:hAnsi="Times New Roman" w:cs="Times New Roman"/>
          <w:lang w:val="it-IT" w:eastAsia="de-DE"/>
        </w:rPr>
        <w:t>di partenariato pubblico-privato</w:t>
      </w:r>
      <w:r w:rsidRPr="00F76362">
        <w:rPr>
          <w:rFonts w:ascii="Times New Roman" w:eastAsia="Times New Roman" w:hAnsi="Times New Roman" w:cs="Times New Roman"/>
          <w:lang w:val="it-IT" w:eastAsia="de-DE"/>
        </w:rPr>
        <w:t>, concessioni, acquisti centralizzati, adempimenti informativi relativi alla fase di esecuzione dei contratti e in materia di diritto amministrativo, ecc.) in considerazione della situazione giuridica di autonomia della Provincia e garantendo un riparto equilibrato tra insegnamento teorico e pratico. L</w:t>
      </w:r>
      <w:r w:rsidR="00F76362">
        <w:rPr>
          <w:rFonts w:ascii="Times New Roman" w:eastAsia="Times New Roman" w:hAnsi="Times New Roman" w:cs="Times New Roman"/>
          <w:lang w:val="it-IT" w:eastAsia="de-DE"/>
        </w:rPr>
        <w:t>’aggiornamento</w:t>
      </w:r>
      <w:r w:rsidRPr="00F76362">
        <w:rPr>
          <w:rFonts w:ascii="Times New Roman" w:eastAsia="Times New Roman" w:hAnsi="Times New Roman" w:cs="Times New Roman"/>
          <w:lang w:val="it-IT" w:eastAsia="de-DE"/>
        </w:rPr>
        <w:t xml:space="preserve"> </w:t>
      </w:r>
      <w:r w:rsidR="00F76362">
        <w:rPr>
          <w:rFonts w:ascii="Times New Roman" w:eastAsia="Times New Roman" w:hAnsi="Times New Roman" w:cs="Times New Roman"/>
          <w:lang w:val="it-IT" w:eastAsia="de-DE"/>
        </w:rPr>
        <w:t>(</w:t>
      </w:r>
      <w:r w:rsidRPr="00F76362">
        <w:rPr>
          <w:rFonts w:ascii="Times New Roman" w:eastAsia="Times New Roman" w:hAnsi="Times New Roman" w:cs="Times New Roman"/>
          <w:lang w:val="it-IT" w:eastAsia="de-DE"/>
        </w:rPr>
        <w:t>formazione continua</w:t>
      </w:r>
      <w:r w:rsidR="00F76362">
        <w:rPr>
          <w:rFonts w:ascii="Times New Roman" w:eastAsia="Times New Roman" w:hAnsi="Times New Roman" w:cs="Times New Roman"/>
          <w:lang w:val="it-IT" w:eastAsia="de-DE"/>
        </w:rPr>
        <w:t>)</w:t>
      </w:r>
      <w:r w:rsidRPr="00F76362">
        <w:rPr>
          <w:rFonts w:ascii="Times New Roman" w:eastAsia="Times New Roman" w:hAnsi="Times New Roman" w:cs="Times New Roman"/>
          <w:lang w:val="it-IT" w:eastAsia="de-DE"/>
        </w:rPr>
        <w:t xml:space="preserve"> ai RUP deve assicurare che il relativo know-how sia costantemente aggiornato, con particolare attenzione alla nuova normativa, alla giurisprudenza e alle pratiche amministrative, </w:t>
      </w:r>
      <w:r w:rsidR="00BC3533" w:rsidRPr="00F76362">
        <w:rPr>
          <w:rFonts w:ascii="Times New Roman" w:eastAsia="Times New Roman" w:hAnsi="Times New Roman" w:cs="Times New Roman"/>
          <w:lang w:val="it-IT" w:eastAsia="de-DE"/>
        </w:rPr>
        <w:t>nonché</w:t>
      </w:r>
      <w:r w:rsidRPr="00F76362">
        <w:rPr>
          <w:rFonts w:ascii="Times New Roman" w:eastAsia="Times New Roman" w:hAnsi="Times New Roman" w:cs="Times New Roman"/>
          <w:lang w:val="it-IT" w:eastAsia="de-DE"/>
        </w:rPr>
        <w:t xml:space="preserve"> all'approfondimento di singole tematiche di attualità. Occorre prevedere che la formazione continua ai RUP si traduca in crediti formativi non inferiori a 10 unità nel corso di un anno. In considerazione del ruolo quale centro di competenza provinciale in materia di appalti e contratti pubblici è opportuno venga assegnato ad ACP anche il coordinamento del sistema di formazione dei RUP. </w:t>
      </w:r>
    </w:p>
    <w:p w14:paraId="41A4D6B7" w14:textId="13CDB418" w:rsidR="00F76362" w:rsidRDefault="00F76362"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L’ambito di applicazione definito dalla citata deliberazione 850/2019 è circoscritto ai soli soggetti di cui all’articolo 2</w:t>
      </w:r>
      <w:r w:rsidR="00B108ED">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comma 2 della </w:t>
      </w:r>
      <w:proofErr w:type="spellStart"/>
      <w:r w:rsidR="00501B1D">
        <w:rPr>
          <w:rFonts w:ascii="Times New Roman" w:eastAsia="Times New Roman" w:hAnsi="Times New Roman" w:cs="Times New Roman"/>
          <w:lang w:val="it-IT" w:eastAsia="de-DE"/>
        </w:rPr>
        <w:t>l.p</w:t>
      </w:r>
      <w:proofErr w:type="spellEnd"/>
      <w:r w:rsidR="00501B1D">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16/2015, ovvero alle amministrazioni aggiudicatrici “classiche”</w:t>
      </w:r>
      <w:r>
        <w:rPr>
          <w:rStyle w:val="Rimandonotaapidipagina"/>
          <w:rFonts w:ascii="Times New Roman" w:eastAsia="Times New Roman" w:hAnsi="Times New Roman" w:cs="Times New Roman"/>
          <w:lang w:val="it-IT" w:eastAsia="de-DE"/>
        </w:rPr>
        <w:footnoteReference w:id="36"/>
      </w:r>
      <w:r w:rsidR="008E1B75">
        <w:rPr>
          <w:rFonts w:ascii="Times New Roman" w:eastAsia="Times New Roman" w:hAnsi="Times New Roman" w:cs="Times New Roman"/>
          <w:lang w:val="it-IT" w:eastAsia="de-DE"/>
        </w:rPr>
        <w:t>, escludendo invece enti e soggetti (di regola privati) che per vari motivi sono sì tenuti all’applicazione della normativa, ma non rientrano in un concetto ampio di pubblica amministrazione.</w:t>
      </w:r>
    </w:p>
    <w:p w14:paraId="56DEFDDE" w14:textId="52794047" w:rsidR="008E1B75" w:rsidRDefault="008E1B75"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La qualificazione altoatesina prevede due strumenti principali di attuazione:</w:t>
      </w:r>
    </w:p>
    <w:p w14:paraId="10A3CFB1" w14:textId="54EECCB3" w:rsidR="008E1B75" w:rsidRDefault="008E1B75" w:rsidP="00BC3533">
      <w:pPr>
        <w:pStyle w:val="Paragrafoelenco"/>
        <w:numPr>
          <w:ilvl w:val="0"/>
          <w:numId w:val="2"/>
        </w:numPr>
        <w:spacing w:line="276" w:lineRule="auto"/>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l’elenco delle stazioni appaltanti qualificate (art. 1)</w:t>
      </w:r>
    </w:p>
    <w:p w14:paraId="654D6332" w14:textId="6C8D4BD9" w:rsidR="008E1B75" w:rsidRDefault="008E1B75" w:rsidP="00BC3533">
      <w:pPr>
        <w:pStyle w:val="Paragrafoelenco"/>
        <w:numPr>
          <w:ilvl w:val="0"/>
          <w:numId w:val="2"/>
        </w:numPr>
        <w:spacing w:line="276" w:lineRule="auto"/>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il registro dei RUP (art. 2).</w:t>
      </w:r>
    </w:p>
    <w:p w14:paraId="22C99510" w14:textId="155195F0" w:rsidR="008E1B75" w:rsidRDefault="008E1B75"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Questi due strumenti sono strettamente connessi, in quanto non è possibile qualificarsi stazione qualificata senza poter vantare nel proprio organico almeno un RUP iscritto nell’elenco. Attraverso il RUP “qualificato” si qualifica dunque principalmente anche la stazione appaltante, che oltre a questa figura operativa deve osservare anche delle altre disposizioni preordinat</w:t>
      </w:r>
      <w:r w:rsidR="00B108ED">
        <w:rPr>
          <w:rFonts w:ascii="Times New Roman" w:eastAsia="Times New Roman" w:hAnsi="Times New Roman" w:cs="Times New Roman"/>
          <w:lang w:val="it-IT" w:eastAsia="de-DE"/>
        </w:rPr>
        <w:t>e</w:t>
      </w:r>
      <w:r>
        <w:rPr>
          <w:rFonts w:ascii="Times New Roman" w:eastAsia="Times New Roman" w:hAnsi="Times New Roman" w:cs="Times New Roman"/>
          <w:lang w:val="it-IT" w:eastAsia="de-DE"/>
        </w:rPr>
        <w:t>.</w:t>
      </w:r>
      <w:r>
        <w:rPr>
          <w:rStyle w:val="Rimandonotaapidipagina"/>
          <w:rFonts w:ascii="Times New Roman" w:eastAsia="Times New Roman" w:hAnsi="Times New Roman" w:cs="Times New Roman"/>
          <w:lang w:val="it-IT" w:eastAsia="de-DE"/>
        </w:rPr>
        <w:footnoteReference w:id="37"/>
      </w:r>
    </w:p>
    <w:p w14:paraId="140958AF" w14:textId="0981F811" w:rsidR="008E1B75" w:rsidRPr="007A4F6A" w:rsidRDefault="008E1B75"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Il profilo del RUP qualificato in Alto Adige è </w:t>
      </w:r>
      <w:r w:rsidR="007A4F6A">
        <w:rPr>
          <w:rFonts w:ascii="Times New Roman" w:eastAsia="Times New Roman" w:hAnsi="Times New Roman" w:cs="Times New Roman"/>
          <w:lang w:val="it-IT" w:eastAsia="de-DE"/>
        </w:rPr>
        <w:t>caratterizzato</w:t>
      </w:r>
      <w:r>
        <w:rPr>
          <w:rFonts w:ascii="Times New Roman" w:eastAsia="Times New Roman" w:hAnsi="Times New Roman" w:cs="Times New Roman"/>
          <w:lang w:val="it-IT" w:eastAsia="de-DE"/>
        </w:rPr>
        <w:t xml:space="preserve"> da una formazione specifica di qualità</w:t>
      </w:r>
      <w:r w:rsidR="00B108ED">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che abbia i </w:t>
      </w:r>
      <w:r w:rsidRPr="007A4F6A">
        <w:rPr>
          <w:rFonts w:ascii="Times New Roman" w:eastAsia="Times New Roman" w:hAnsi="Times New Roman" w:cs="Times New Roman"/>
          <w:lang w:val="it-IT" w:eastAsia="de-DE"/>
        </w:rPr>
        <w:t>seguenti elementi:</w:t>
      </w:r>
    </w:p>
    <w:p w14:paraId="2717586D" w14:textId="4812536D" w:rsidR="008E1B75" w:rsidRPr="007A4F6A" w:rsidRDefault="007A4F6A" w:rsidP="00BC3533">
      <w:pPr>
        <w:pStyle w:val="Paragrafoelenco"/>
        <w:numPr>
          <w:ilvl w:val="0"/>
          <w:numId w:val="2"/>
        </w:numPr>
        <w:spacing w:line="276" w:lineRule="auto"/>
        <w:jc w:val="both"/>
        <w:rPr>
          <w:rFonts w:ascii="Times New Roman" w:eastAsia="Times New Roman" w:hAnsi="Times New Roman" w:cs="Times New Roman"/>
          <w:lang w:val="it-IT" w:eastAsia="de-DE"/>
        </w:rPr>
      </w:pPr>
      <w:r w:rsidRPr="007A4F6A">
        <w:rPr>
          <w:rFonts w:ascii="Times New Roman" w:eastAsia="Times New Roman" w:hAnsi="Times New Roman" w:cs="Times New Roman"/>
          <w:lang w:val="it-IT" w:eastAsia="de-DE"/>
        </w:rPr>
        <w:t xml:space="preserve">la formazione </w:t>
      </w:r>
      <w:r w:rsidR="008E1B75" w:rsidRPr="007A4F6A">
        <w:rPr>
          <w:rFonts w:ascii="Times New Roman" w:eastAsia="Times New Roman" w:hAnsi="Times New Roman" w:cs="Times New Roman"/>
          <w:lang w:val="it-IT" w:eastAsia="de-DE"/>
        </w:rPr>
        <w:t xml:space="preserve">considera tutti </w:t>
      </w:r>
      <w:r w:rsidR="009316D8" w:rsidRPr="007A4F6A">
        <w:rPr>
          <w:rFonts w:ascii="Times New Roman" w:eastAsia="Times New Roman" w:hAnsi="Times New Roman" w:cs="Times New Roman"/>
          <w:lang w:val="it-IT" w:eastAsia="de-DE"/>
        </w:rPr>
        <w:t>gli aspetti essenziali della procedura di affidamento, dando il giusto peso alle peculiarità normative ed organizzative del quadro provinciale</w:t>
      </w:r>
    </w:p>
    <w:p w14:paraId="76BB3DA4" w14:textId="03B9DC39" w:rsidR="009316D8" w:rsidRDefault="009316D8" w:rsidP="00BC3533">
      <w:pPr>
        <w:pStyle w:val="Paragrafoelenco"/>
        <w:numPr>
          <w:ilvl w:val="0"/>
          <w:numId w:val="2"/>
        </w:numPr>
        <w:spacing w:line="276" w:lineRule="auto"/>
        <w:jc w:val="both"/>
        <w:rPr>
          <w:rFonts w:ascii="Times New Roman" w:eastAsia="Times New Roman" w:hAnsi="Times New Roman" w:cs="Times New Roman"/>
          <w:lang w:val="it-IT" w:eastAsia="de-DE"/>
        </w:rPr>
      </w:pPr>
      <w:r w:rsidRPr="007A4F6A">
        <w:rPr>
          <w:rFonts w:ascii="Times New Roman" w:eastAsia="Times New Roman" w:hAnsi="Times New Roman" w:cs="Times New Roman"/>
          <w:lang w:val="it-IT" w:eastAsia="de-DE"/>
        </w:rPr>
        <w:t>l’approccio formativo deve</w:t>
      </w:r>
      <w:r>
        <w:rPr>
          <w:rFonts w:ascii="Times New Roman" w:eastAsia="Times New Roman" w:hAnsi="Times New Roman" w:cs="Times New Roman"/>
          <w:lang w:val="it-IT" w:eastAsia="de-DE"/>
        </w:rPr>
        <w:t xml:space="preserve"> essere teorico e pratico</w:t>
      </w:r>
    </w:p>
    <w:p w14:paraId="19E34F7C" w14:textId="38C55D1F" w:rsidR="009316D8" w:rsidRDefault="009316D8" w:rsidP="00BC3533">
      <w:pPr>
        <w:pStyle w:val="Paragrafoelenco"/>
        <w:numPr>
          <w:ilvl w:val="0"/>
          <w:numId w:val="2"/>
        </w:numPr>
        <w:spacing w:line="276" w:lineRule="auto"/>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la formazione va </w:t>
      </w:r>
      <w:r w:rsidR="00FC53BA">
        <w:rPr>
          <w:rFonts w:ascii="Times New Roman" w:eastAsia="Times New Roman" w:hAnsi="Times New Roman" w:cs="Times New Roman"/>
          <w:lang w:val="it-IT" w:eastAsia="de-DE"/>
        </w:rPr>
        <w:t xml:space="preserve">svolta </w:t>
      </w:r>
      <w:r>
        <w:rPr>
          <w:rFonts w:ascii="Times New Roman" w:eastAsia="Times New Roman" w:hAnsi="Times New Roman" w:cs="Times New Roman"/>
          <w:lang w:val="it-IT" w:eastAsia="de-DE"/>
        </w:rPr>
        <w:t>presso un’università, un istituto superiore o altro istituto di formazione equivalente</w:t>
      </w:r>
    </w:p>
    <w:p w14:paraId="396F1CAA" w14:textId="3283FCF7" w:rsidR="009316D8" w:rsidRDefault="009316D8" w:rsidP="00BC3533">
      <w:pPr>
        <w:pStyle w:val="Paragrafoelenco"/>
        <w:numPr>
          <w:ilvl w:val="0"/>
          <w:numId w:val="2"/>
        </w:numPr>
        <w:spacing w:line="276" w:lineRule="auto"/>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la cornice formativa d</w:t>
      </w:r>
      <w:r w:rsidR="007A4F6A">
        <w:rPr>
          <w:rFonts w:ascii="Times New Roman" w:eastAsia="Times New Roman" w:hAnsi="Times New Roman" w:cs="Times New Roman"/>
          <w:lang w:val="it-IT" w:eastAsia="de-DE"/>
        </w:rPr>
        <w:t>eve</w:t>
      </w:r>
      <w:r>
        <w:rPr>
          <w:rFonts w:ascii="Times New Roman" w:eastAsia="Times New Roman" w:hAnsi="Times New Roman" w:cs="Times New Roman"/>
          <w:lang w:val="it-IT" w:eastAsia="de-DE"/>
        </w:rPr>
        <w:t xml:space="preserve"> comprendere almeno 10 crediti ECTS.</w:t>
      </w:r>
    </w:p>
    <w:p w14:paraId="02CD9088" w14:textId="481D4048" w:rsidR="009316D8" w:rsidRDefault="009316D8"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La formazione del RUP non è </w:t>
      </w:r>
      <w:r w:rsidR="007A4F6A">
        <w:rPr>
          <w:rFonts w:ascii="Times New Roman" w:eastAsia="Times New Roman" w:hAnsi="Times New Roman" w:cs="Times New Roman"/>
          <w:lang w:val="it-IT" w:eastAsia="de-DE"/>
        </w:rPr>
        <w:t xml:space="preserve">tuttavia </w:t>
      </w:r>
      <w:r>
        <w:rPr>
          <w:rFonts w:ascii="Times New Roman" w:eastAsia="Times New Roman" w:hAnsi="Times New Roman" w:cs="Times New Roman"/>
          <w:lang w:val="it-IT" w:eastAsia="de-DE"/>
        </w:rPr>
        <w:t>sufficiente</w:t>
      </w:r>
      <w:r w:rsidR="007A4F6A">
        <w:rPr>
          <w:rFonts w:ascii="Times New Roman" w:eastAsia="Times New Roman" w:hAnsi="Times New Roman" w:cs="Times New Roman"/>
          <w:lang w:val="it-IT" w:eastAsia="de-DE"/>
        </w:rPr>
        <w:t>. A</w:t>
      </w:r>
      <w:r>
        <w:rPr>
          <w:rFonts w:ascii="Times New Roman" w:eastAsia="Times New Roman" w:hAnsi="Times New Roman" w:cs="Times New Roman"/>
          <w:lang w:val="it-IT" w:eastAsia="de-DE"/>
        </w:rPr>
        <w:t xml:space="preserve">ffinché possa </w:t>
      </w:r>
      <w:r w:rsidR="007A4F6A">
        <w:rPr>
          <w:rFonts w:ascii="Times New Roman" w:eastAsia="Times New Roman" w:hAnsi="Times New Roman" w:cs="Times New Roman"/>
          <w:lang w:val="it-IT" w:eastAsia="de-DE"/>
        </w:rPr>
        <w:t xml:space="preserve">rimanere </w:t>
      </w:r>
      <w:r>
        <w:rPr>
          <w:rFonts w:ascii="Times New Roman" w:eastAsia="Times New Roman" w:hAnsi="Times New Roman" w:cs="Times New Roman"/>
          <w:lang w:val="it-IT" w:eastAsia="de-DE"/>
        </w:rPr>
        <w:t>regolarmente iscritto nel registro provinciale</w:t>
      </w:r>
      <w:r w:rsidR="007A4F6A">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è necessaria la frequenza obbligatoria di corsi di formazione continua o aggiornamento (art. 6)</w:t>
      </w:r>
      <w:r w:rsidR="004050A2">
        <w:rPr>
          <w:rFonts w:ascii="Times New Roman" w:eastAsia="Times New Roman" w:hAnsi="Times New Roman" w:cs="Times New Roman"/>
          <w:lang w:val="it-IT" w:eastAsia="de-DE"/>
        </w:rPr>
        <w:t>, che</w:t>
      </w:r>
      <w:r>
        <w:rPr>
          <w:rFonts w:ascii="Times New Roman" w:eastAsia="Times New Roman" w:hAnsi="Times New Roman" w:cs="Times New Roman"/>
          <w:lang w:val="it-IT" w:eastAsia="de-DE"/>
        </w:rPr>
        <w:t xml:space="preserve"> </w:t>
      </w:r>
      <w:r w:rsidR="007A4F6A">
        <w:rPr>
          <w:rFonts w:ascii="Times New Roman" w:eastAsia="Times New Roman" w:hAnsi="Times New Roman" w:cs="Times New Roman"/>
          <w:lang w:val="it-IT" w:eastAsia="de-DE"/>
        </w:rPr>
        <w:t>devono comprendere</w:t>
      </w:r>
      <w:r>
        <w:rPr>
          <w:rFonts w:ascii="Times New Roman" w:eastAsia="Times New Roman" w:hAnsi="Times New Roman" w:cs="Times New Roman"/>
          <w:lang w:val="it-IT" w:eastAsia="de-DE"/>
        </w:rPr>
        <w:t xml:space="preserve"> 10 crediti formativi (1 credito = 1 ora di corso/formazione) nell’arco di un anno solare. Viene premiato il RUP che </w:t>
      </w:r>
      <w:r w:rsidR="004050A2">
        <w:rPr>
          <w:rFonts w:ascii="Times New Roman" w:eastAsia="Times New Roman" w:hAnsi="Times New Roman" w:cs="Times New Roman"/>
          <w:lang w:val="it-IT" w:eastAsia="de-DE"/>
        </w:rPr>
        <w:t xml:space="preserve">partecipa </w:t>
      </w:r>
      <w:r>
        <w:rPr>
          <w:rFonts w:ascii="Times New Roman" w:eastAsia="Times New Roman" w:hAnsi="Times New Roman" w:cs="Times New Roman"/>
          <w:lang w:val="it-IT" w:eastAsia="de-DE"/>
        </w:rPr>
        <w:t xml:space="preserve">attivamente alla formazione continua come docente, perché un’ora da referente </w:t>
      </w:r>
      <w:r w:rsidR="004050A2">
        <w:rPr>
          <w:rFonts w:ascii="Times New Roman" w:eastAsia="Times New Roman" w:hAnsi="Times New Roman" w:cs="Times New Roman"/>
          <w:lang w:val="it-IT" w:eastAsia="de-DE"/>
        </w:rPr>
        <w:t>g</w:t>
      </w:r>
      <w:r>
        <w:rPr>
          <w:rFonts w:ascii="Times New Roman" w:eastAsia="Times New Roman" w:hAnsi="Times New Roman" w:cs="Times New Roman"/>
          <w:lang w:val="it-IT" w:eastAsia="de-DE"/>
        </w:rPr>
        <w:t xml:space="preserve">li </w:t>
      </w:r>
      <w:r w:rsidR="004050A2">
        <w:rPr>
          <w:rFonts w:ascii="Times New Roman" w:eastAsia="Times New Roman" w:hAnsi="Times New Roman" w:cs="Times New Roman"/>
          <w:lang w:val="it-IT" w:eastAsia="de-DE"/>
        </w:rPr>
        <w:t>fa conseguire</w:t>
      </w:r>
      <w:r>
        <w:rPr>
          <w:rFonts w:ascii="Times New Roman" w:eastAsia="Times New Roman" w:hAnsi="Times New Roman" w:cs="Times New Roman"/>
          <w:lang w:val="it-IT" w:eastAsia="de-DE"/>
        </w:rPr>
        <w:t xml:space="preserve"> due crediti formativi. </w:t>
      </w:r>
      <w:r w:rsidR="00DF21AB">
        <w:rPr>
          <w:rFonts w:ascii="Times New Roman" w:eastAsia="Times New Roman" w:hAnsi="Times New Roman" w:cs="Times New Roman"/>
          <w:lang w:val="it-IT" w:eastAsia="de-DE"/>
        </w:rPr>
        <w:t>L’articolo 6 ha previsto che l’ACP elabora annualmente un programma di formazione ed aggiornamento in materia di appalti pubblici, previa consultazione del Comitato di indirizzo e coordinamento dell’Agenzia</w:t>
      </w:r>
      <w:r w:rsidR="00DF21AB">
        <w:rPr>
          <w:rStyle w:val="Rimandonotaapidipagina"/>
          <w:rFonts w:ascii="Times New Roman" w:eastAsia="Times New Roman" w:hAnsi="Times New Roman" w:cs="Times New Roman"/>
          <w:lang w:val="it-IT" w:eastAsia="de-DE"/>
        </w:rPr>
        <w:footnoteReference w:id="38"/>
      </w:r>
      <w:r w:rsidR="00DF21AB">
        <w:rPr>
          <w:rFonts w:ascii="Times New Roman" w:eastAsia="Times New Roman" w:hAnsi="Times New Roman" w:cs="Times New Roman"/>
          <w:lang w:val="it-IT" w:eastAsia="de-DE"/>
        </w:rPr>
        <w:t>. Al fine dell’ottenimento dei crediti formativi è necessario (e sufficiente) che il corso frequentato abbia per oggetto una tematica inclusa nel citato programma annuale.</w:t>
      </w:r>
      <w:r w:rsidR="0011170C">
        <w:rPr>
          <w:rFonts w:ascii="Times New Roman" w:eastAsia="Times New Roman" w:hAnsi="Times New Roman" w:cs="Times New Roman"/>
          <w:lang w:val="it-IT" w:eastAsia="de-DE"/>
        </w:rPr>
        <w:t xml:space="preserve"> Fino</w:t>
      </w:r>
      <w:r w:rsidR="0029218B">
        <w:rPr>
          <w:rFonts w:ascii="Times New Roman" w:eastAsia="Times New Roman" w:hAnsi="Times New Roman" w:cs="Times New Roman"/>
          <w:lang w:val="it-IT" w:eastAsia="de-DE"/>
        </w:rPr>
        <w:t>ra</w:t>
      </w:r>
      <w:r w:rsidR="0011170C">
        <w:rPr>
          <w:rFonts w:ascii="Times New Roman" w:eastAsia="Times New Roman" w:hAnsi="Times New Roman" w:cs="Times New Roman"/>
          <w:lang w:val="it-IT" w:eastAsia="de-DE"/>
        </w:rPr>
        <w:t xml:space="preserve">, almeno per quanto riguarda i servizi amministrativi degli enti pubblici nella Provincia </w:t>
      </w:r>
      <w:r w:rsidR="005605D9">
        <w:rPr>
          <w:rFonts w:ascii="Times New Roman" w:eastAsia="Times New Roman" w:hAnsi="Times New Roman" w:cs="Times New Roman"/>
          <w:lang w:val="it-IT" w:eastAsia="de-DE"/>
        </w:rPr>
        <w:t>a</w:t>
      </w:r>
      <w:r w:rsidR="0011170C">
        <w:rPr>
          <w:rFonts w:ascii="Times New Roman" w:eastAsia="Times New Roman" w:hAnsi="Times New Roman" w:cs="Times New Roman"/>
          <w:lang w:val="it-IT" w:eastAsia="de-DE"/>
        </w:rPr>
        <w:t xml:space="preserve">utonoma di Bolzano, </w:t>
      </w:r>
      <w:r w:rsidR="0029218B">
        <w:rPr>
          <w:rFonts w:ascii="Times New Roman" w:eastAsia="Times New Roman" w:hAnsi="Times New Roman" w:cs="Times New Roman"/>
          <w:lang w:val="it-IT" w:eastAsia="de-DE"/>
        </w:rPr>
        <w:t xml:space="preserve">si tratta del </w:t>
      </w:r>
      <w:r w:rsidR="0011170C">
        <w:rPr>
          <w:rFonts w:ascii="Times New Roman" w:eastAsia="Times New Roman" w:hAnsi="Times New Roman" w:cs="Times New Roman"/>
          <w:lang w:val="it-IT" w:eastAsia="de-DE"/>
        </w:rPr>
        <w:t>primo aggiornamento professionale obbligatorio.</w:t>
      </w:r>
    </w:p>
    <w:p w14:paraId="6C66F35A" w14:textId="293AFDC3" w:rsidR="009316D8" w:rsidRDefault="009316D8"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Il </w:t>
      </w:r>
      <w:r w:rsidR="004050A2">
        <w:rPr>
          <w:rFonts w:ascii="Times New Roman" w:eastAsia="Times New Roman" w:hAnsi="Times New Roman" w:cs="Times New Roman"/>
          <w:lang w:val="it-IT" w:eastAsia="de-DE"/>
        </w:rPr>
        <w:t>sistema</w:t>
      </w:r>
      <w:r>
        <w:rPr>
          <w:rFonts w:ascii="Times New Roman" w:eastAsia="Times New Roman" w:hAnsi="Times New Roman" w:cs="Times New Roman"/>
          <w:lang w:val="it-IT" w:eastAsia="de-DE"/>
        </w:rPr>
        <w:t xml:space="preserve"> di riconoscimento </w:t>
      </w:r>
      <w:r w:rsidR="004050A2">
        <w:rPr>
          <w:rFonts w:ascii="Times New Roman" w:eastAsia="Times New Roman" w:hAnsi="Times New Roman" w:cs="Times New Roman"/>
          <w:lang w:val="it-IT" w:eastAsia="de-DE"/>
        </w:rPr>
        <w:t>de</w:t>
      </w:r>
      <w:r>
        <w:rPr>
          <w:rFonts w:ascii="Times New Roman" w:eastAsia="Times New Roman" w:hAnsi="Times New Roman" w:cs="Times New Roman"/>
          <w:lang w:val="it-IT" w:eastAsia="de-DE"/>
        </w:rPr>
        <w:t xml:space="preserve">i crediti </w:t>
      </w:r>
      <w:r w:rsidRPr="004050A2">
        <w:rPr>
          <w:rFonts w:ascii="Times New Roman" w:eastAsia="Times New Roman" w:hAnsi="Times New Roman" w:cs="Times New Roman"/>
          <w:lang w:val="it-IT" w:eastAsia="de-DE"/>
        </w:rPr>
        <w:t xml:space="preserve">formativi è molto </w:t>
      </w:r>
      <w:r w:rsidR="004050A2" w:rsidRPr="004050A2">
        <w:rPr>
          <w:rFonts w:ascii="Times New Roman" w:eastAsia="Times New Roman" w:hAnsi="Times New Roman" w:cs="Times New Roman"/>
          <w:lang w:val="it-IT" w:eastAsia="de-DE"/>
        </w:rPr>
        <w:t>semplice</w:t>
      </w:r>
      <w:r w:rsidR="006E2B11" w:rsidRPr="004050A2">
        <w:rPr>
          <w:rStyle w:val="Rimandonotaapidipagina"/>
          <w:rFonts w:ascii="Times New Roman" w:eastAsia="Times New Roman" w:hAnsi="Times New Roman" w:cs="Times New Roman"/>
          <w:lang w:val="it-IT" w:eastAsia="de-DE"/>
        </w:rPr>
        <w:footnoteReference w:id="39"/>
      </w:r>
      <w:r w:rsidRPr="004050A2">
        <w:rPr>
          <w:rFonts w:ascii="Times New Roman" w:eastAsia="Times New Roman" w:hAnsi="Times New Roman" w:cs="Times New Roman"/>
          <w:lang w:val="it-IT" w:eastAsia="de-DE"/>
        </w:rPr>
        <w:t xml:space="preserve">, basandosi soprattutto sulla responsabilità dei singoli RUP e senza </w:t>
      </w:r>
      <w:r>
        <w:rPr>
          <w:rFonts w:ascii="Times New Roman" w:eastAsia="Times New Roman" w:hAnsi="Times New Roman" w:cs="Times New Roman"/>
          <w:lang w:val="it-IT" w:eastAsia="de-DE"/>
        </w:rPr>
        <w:t>un</w:t>
      </w:r>
      <w:r w:rsidR="00D56834">
        <w:rPr>
          <w:rFonts w:ascii="Times New Roman" w:eastAsia="Times New Roman" w:hAnsi="Times New Roman" w:cs="Times New Roman"/>
          <w:lang w:val="it-IT" w:eastAsia="de-DE"/>
        </w:rPr>
        <w:t>a</w:t>
      </w:r>
      <w:r>
        <w:rPr>
          <w:rFonts w:ascii="Times New Roman" w:eastAsia="Times New Roman" w:hAnsi="Times New Roman" w:cs="Times New Roman"/>
          <w:lang w:val="it-IT" w:eastAsia="de-DE"/>
        </w:rPr>
        <w:t xml:space="preserve"> compless</w:t>
      </w:r>
      <w:r w:rsidR="00D56834">
        <w:rPr>
          <w:rFonts w:ascii="Times New Roman" w:eastAsia="Times New Roman" w:hAnsi="Times New Roman" w:cs="Times New Roman"/>
          <w:lang w:val="it-IT" w:eastAsia="de-DE"/>
        </w:rPr>
        <w:t>a</w:t>
      </w:r>
      <w:r>
        <w:rPr>
          <w:rFonts w:ascii="Times New Roman" w:eastAsia="Times New Roman" w:hAnsi="Times New Roman" w:cs="Times New Roman"/>
          <w:lang w:val="it-IT" w:eastAsia="de-DE"/>
        </w:rPr>
        <w:t xml:space="preserve"> </w:t>
      </w:r>
      <w:r w:rsidR="00D56834">
        <w:rPr>
          <w:rFonts w:ascii="Times New Roman" w:eastAsia="Times New Roman" w:hAnsi="Times New Roman" w:cs="Times New Roman"/>
          <w:lang w:val="it-IT" w:eastAsia="de-DE"/>
        </w:rPr>
        <w:t xml:space="preserve">procedura di </w:t>
      </w:r>
      <w:r>
        <w:rPr>
          <w:rFonts w:ascii="Times New Roman" w:eastAsia="Times New Roman" w:hAnsi="Times New Roman" w:cs="Times New Roman"/>
          <w:lang w:val="it-IT" w:eastAsia="de-DE"/>
        </w:rPr>
        <w:t>gestione</w:t>
      </w:r>
      <w:r w:rsidR="00D56834">
        <w:rPr>
          <w:rFonts w:ascii="Times New Roman" w:eastAsia="Times New Roman" w:hAnsi="Times New Roman" w:cs="Times New Roman"/>
          <w:lang w:val="it-IT" w:eastAsia="de-DE"/>
        </w:rPr>
        <w:t>, che</w:t>
      </w:r>
      <w:r>
        <w:rPr>
          <w:rFonts w:ascii="Times New Roman" w:eastAsia="Times New Roman" w:hAnsi="Times New Roman" w:cs="Times New Roman"/>
          <w:lang w:val="it-IT" w:eastAsia="de-DE"/>
        </w:rPr>
        <w:t xml:space="preserve"> avviene attraverso il portale telematico</w:t>
      </w:r>
      <w:r>
        <w:rPr>
          <w:rStyle w:val="Rimandonotaapidipagina"/>
          <w:rFonts w:ascii="Times New Roman" w:eastAsia="Times New Roman" w:hAnsi="Times New Roman" w:cs="Times New Roman"/>
          <w:lang w:val="it-IT" w:eastAsia="de-DE"/>
        </w:rPr>
        <w:footnoteReference w:id="40"/>
      </w:r>
      <w:r>
        <w:rPr>
          <w:rFonts w:ascii="Times New Roman" w:eastAsia="Times New Roman" w:hAnsi="Times New Roman" w:cs="Times New Roman"/>
          <w:lang w:val="it-IT" w:eastAsia="de-DE"/>
        </w:rPr>
        <w:t xml:space="preserve"> </w:t>
      </w:r>
      <w:r w:rsidR="006E2B11">
        <w:rPr>
          <w:rFonts w:ascii="Times New Roman" w:eastAsia="Times New Roman" w:hAnsi="Times New Roman" w:cs="Times New Roman"/>
          <w:lang w:val="it-IT" w:eastAsia="de-DE"/>
        </w:rPr>
        <w:t xml:space="preserve">mediante un’autodichiarazione del singolo soggetto, che ha l’onere di documentare i crediti formativi </w:t>
      </w:r>
      <w:r w:rsidR="004050A2">
        <w:rPr>
          <w:rFonts w:ascii="Times New Roman" w:eastAsia="Times New Roman" w:hAnsi="Times New Roman" w:cs="Times New Roman"/>
          <w:lang w:val="it-IT" w:eastAsia="de-DE"/>
        </w:rPr>
        <w:t xml:space="preserve">ottenuti </w:t>
      </w:r>
      <w:r w:rsidR="006E2B11">
        <w:rPr>
          <w:rFonts w:ascii="Times New Roman" w:eastAsia="Times New Roman" w:hAnsi="Times New Roman" w:cs="Times New Roman"/>
          <w:lang w:val="it-IT" w:eastAsia="de-DE"/>
        </w:rPr>
        <w:t xml:space="preserve">entro marzo dell’anno successivo. È compito di ACP di </w:t>
      </w:r>
      <w:r w:rsidR="004050A2">
        <w:rPr>
          <w:rFonts w:ascii="Times New Roman" w:eastAsia="Times New Roman" w:hAnsi="Times New Roman" w:cs="Times New Roman"/>
          <w:lang w:val="it-IT" w:eastAsia="de-DE"/>
        </w:rPr>
        <w:t xml:space="preserve">effettuare annualmente dei controlli a campione </w:t>
      </w:r>
      <w:r w:rsidR="006E2B11">
        <w:rPr>
          <w:rFonts w:ascii="Times New Roman" w:eastAsia="Times New Roman" w:hAnsi="Times New Roman" w:cs="Times New Roman"/>
          <w:lang w:val="it-IT" w:eastAsia="de-DE"/>
        </w:rPr>
        <w:t>nella misura del 6% (soglia prevista in generale dalla legislazione provinciale in materia di procedimenti amministrativi)</w:t>
      </w:r>
      <w:r w:rsidR="004050A2">
        <w:rPr>
          <w:rFonts w:ascii="Times New Roman" w:eastAsia="Times New Roman" w:hAnsi="Times New Roman" w:cs="Times New Roman"/>
          <w:lang w:val="it-IT" w:eastAsia="de-DE"/>
        </w:rPr>
        <w:t xml:space="preserve"> sulle dichiarazioni rese</w:t>
      </w:r>
      <w:r w:rsidR="006E2B11">
        <w:rPr>
          <w:rFonts w:ascii="Times New Roman" w:eastAsia="Times New Roman" w:hAnsi="Times New Roman" w:cs="Times New Roman"/>
          <w:lang w:val="it-IT" w:eastAsia="de-DE"/>
        </w:rPr>
        <w:t>. In caso di accertamento negativo dell’obbligo di formazione</w:t>
      </w:r>
      <w:r w:rsidR="004050A2">
        <w:rPr>
          <w:rFonts w:ascii="Times New Roman" w:eastAsia="Times New Roman" w:hAnsi="Times New Roman" w:cs="Times New Roman"/>
          <w:lang w:val="it-IT" w:eastAsia="de-DE"/>
        </w:rPr>
        <w:t>,</w:t>
      </w:r>
      <w:r w:rsidR="006E2B11">
        <w:rPr>
          <w:rFonts w:ascii="Times New Roman" w:eastAsia="Times New Roman" w:hAnsi="Times New Roman" w:cs="Times New Roman"/>
          <w:lang w:val="it-IT" w:eastAsia="de-DE"/>
        </w:rPr>
        <w:t xml:space="preserve"> la posizione del RUP nel registro provinciale viene chiusa da ACP.</w:t>
      </w:r>
      <w:r w:rsidR="00DF21AB">
        <w:rPr>
          <w:rFonts w:ascii="Times New Roman" w:eastAsia="Times New Roman" w:hAnsi="Times New Roman" w:cs="Times New Roman"/>
          <w:lang w:val="it-IT" w:eastAsia="de-DE"/>
        </w:rPr>
        <w:t xml:space="preserve"> </w:t>
      </w:r>
    </w:p>
    <w:p w14:paraId="667BDE65" w14:textId="01EA3BA1" w:rsidR="00FB6B60" w:rsidRDefault="00FB6B60"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Una tale riforma strutturale che impatta notevolmente sul sistema pubblico necessita </w:t>
      </w:r>
      <w:r w:rsidR="00D56834">
        <w:rPr>
          <w:rFonts w:ascii="Times New Roman" w:eastAsia="Times New Roman" w:hAnsi="Times New Roman" w:cs="Times New Roman"/>
          <w:lang w:val="it-IT" w:eastAsia="de-DE"/>
        </w:rPr>
        <w:t xml:space="preserve">di </w:t>
      </w:r>
      <w:r>
        <w:rPr>
          <w:rFonts w:ascii="Times New Roman" w:eastAsia="Times New Roman" w:hAnsi="Times New Roman" w:cs="Times New Roman"/>
          <w:lang w:val="it-IT" w:eastAsia="de-DE"/>
        </w:rPr>
        <w:t>un adeguamento nel tempo e non può essere implementat</w:t>
      </w:r>
      <w:r w:rsidR="00596034">
        <w:rPr>
          <w:rFonts w:ascii="Times New Roman" w:eastAsia="Times New Roman" w:hAnsi="Times New Roman" w:cs="Times New Roman"/>
          <w:lang w:val="it-IT" w:eastAsia="de-DE"/>
        </w:rPr>
        <w:t>a</w:t>
      </w:r>
      <w:r>
        <w:rPr>
          <w:rFonts w:ascii="Times New Roman" w:eastAsia="Times New Roman" w:hAnsi="Times New Roman" w:cs="Times New Roman"/>
          <w:lang w:val="it-IT" w:eastAsia="de-DE"/>
        </w:rPr>
        <w:t xml:space="preserve"> in </w:t>
      </w:r>
      <w:r w:rsidR="00D56834">
        <w:rPr>
          <w:rFonts w:ascii="Times New Roman" w:eastAsia="Times New Roman" w:hAnsi="Times New Roman" w:cs="Times New Roman"/>
          <w:lang w:val="it-IT" w:eastAsia="de-DE"/>
        </w:rPr>
        <w:t xml:space="preserve">tempi </w:t>
      </w:r>
      <w:r>
        <w:rPr>
          <w:rFonts w:ascii="Times New Roman" w:eastAsia="Times New Roman" w:hAnsi="Times New Roman" w:cs="Times New Roman"/>
          <w:lang w:val="it-IT" w:eastAsia="de-DE"/>
        </w:rPr>
        <w:t>brev</w:t>
      </w:r>
      <w:r w:rsidR="00D56834">
        <w:rPr>
          <w:rFonts w:ascii="Times New Roman" w:eastAsia="Times New Roman" w:hAnsi="Times New Roman" w:cs="Times New Roman"/>
          <w:lang w:val="it-IT" w:eastAsia="de-DE"/>
        </w:rPr>
        <w:t>i</w:t>
      </w:r>
      <w:r>
        <w:rPr>
          <w:rFonts w:ascii="Times New Roman" w:eastAsia="Times New Roman" w:hAnsi="Times New Roman" w:cs="Times New Roman"/>
          <w:lang w:val="it-IT" w:eastAsia="de-DE"/>
        </w:rPr>
        <w:t xml:space="preserve">. Per questo motivo la Giunta provinciale ha previsto nell’articolo 4 </w:t>
      </w:r>
      <w:r w:rsidR="00596034">
        <w:rPr>
          <w:rFonts w:ascii="Times New Roman" w:eastAsia="Times New Roman" w:hAnsi="Times New Roman" w:cs="Times New Roman"/>
          <w:lang w:val="it-IT" w:eastAsia="de-DE"/>
        </w:rPr>
        <w:t xml:space="preserve">delle </w:t>
      </w:r>
      <w:r>
        <w:rPr>
          <w:rFonts w:ascii="Times New Roman" w:eastAsia="Times New Roman" w:hAnsi="Times New Roman" w:cs="Times New Roman"/>
          <w:lang w:val="it-IT" w:eastAsia="de-DE"/>
        </w:rPr>
        <w:t xml:space="preserve">disposizioni transitorie. È </w:t>
      </w:r>
      <w:r w:rsidR="00596034">
        <w:rPr>
          <w:rFonts w:ascii="Times New Roman" w:eastAsia="Times New Roman" w:hAnsi="Times New Roman" w:cs="Times New Roman"/>
          <w:lang w:val="it-IT" w:eastAsia="de-DE"/>
        </w:rPr>
        <w:t>previsto</w:t>
      </w:r>
      <w:r>
        <w:rPr>
          <w:rFonts w:ascii="Times New Roman" w:eastAsia="Times New Roman" w:hAnsi="Times New Roman" w:cs="Times New Roman"/>
          <w:lang w:val="it-IT" w:eastAsia="de-DE"/>
        </w:rPr>
        <w:t xml:space="preserve"> che il sistema vada a regime dopo quattro anni</w:t>
      </w:r>
      <w:r w:rsidR="00DF029A">
        <w:rPr>
          <w:rFonts w:ascii="Times New Roman" w:eastAsia="Times New Roman" w:hAnsi="Times New Roman" w:cs="Times New Roman"/>
          <w:lang w:val="it-IT" w:eastAsia="de-DE"/>
        </w:rPr>
        <w:t xml:space="preserve">. </w:t>
      </w:r>
      <w:r w:rsidR="00584A8D">
        <w:rPr>
          <w:rFonts w:ascii="Times New Roman" w:eastAsia="Times New Roman" w:hAnsi="Times New Roman" w:cs="Times New Roman"/>
          <w:lang w:val="it-IT" w:eastAsia="de-DE"/>
        </w:rPr>
        <w:t>Nel frattempo</w:t>
      </w:r>
      <w:r>
        <w:rPr>
          <w:rFonts w:ascii="Times New Roman" w:eastAsia="Times New Roman" w:hAnsi="Times New Roman" w:cs="Times New Roman"/>
          <w:lang w:val="it-IT" w:eastAsia="de-DE"/>
        </w:rPr>
        <w:t xml:space="preserve"> </w:t>
      </w:r>
      <w:r w:rsidR="00596034">
        <w:rPr>
          <w:rFonts w:ascii="Times New Roman" w:eastAsia="Times New Roman" w:hAnsi="Times New Roman" w:cs="Times New Roman"/>
          <w:lang w:val="it-IT" w:eastAsia="de-DE"/>
        </w:rPr>
        <w:t xml:space="preserve">i </w:t>
      </w:r>
      <w:r>
        <w:rPr>
          <w:rFonts w:ascii="Times New Roman" w:eastAsia="Times New Roman" w:hAnsi="Times New Roman" w:cs="Times New Roman"/>
          <w:lang w:val="it-IT" w:eastAsia="de-DE"/>
        </w:rPr>
        <w:t>dipendenti d</w:t>
      </w:r>
      <w:r w:rsidR="00596034">
        <w:rPr>
          <w:rFonts w:ascii="Times New Roman" w:eastAsia="Times New Roman" w:hAnsi="Times New Roman" w:cs="Times New Roman"/>
          <w:lang w:val="it-IT" w:eastAsia="de-DE"/>
        </w:rPr>
        <w:t>elle</w:t>
      </w:r>
      <w:r>
        <w:rPr>
          <w:rFonts w:ascii="Times New Roman" w:eastAsia="Times New Roman" w:hAnsi="Times New Roman" w:cs="Times New Roman"/>
          <w:lang w:val="it-IT" w:eastAsia="de-DE"/>
        </w:rPr>
        <w:t xml:space="preserve"> stazioni appaltanti poss</w:t>
      </w:r>
      <w:r w:rsidR="00596034">
        <w:rPr>
          <w:rFonts w:ascii="Times New Roman" w:eastAsia="Times New Roman" w:hAnsi="Times New Roman" w:cs="Times New Roman"/>
          <w:lang w:val="it-IT" w:eastAsia="de-DE"/>
        </w:rPr>
        <w:t>o</w:t>
      </w:r>
      <w:r>
        <w:rPr>
          <w:rFonts w:ascii="Times New Roman" w:eastAsia="Times New Roman" w:hAnsi="Times New Roman" w:cs="Times New Roman"/>
          <w:lang w:val="it-IT" w:eastAsia="de-DE"/>
        </w:rPr>
        <w:t>no iscriver</w:t>
      </w:r>
      <w:r w:rsidR="00596034">
        <w:rPr>
          <w:rFonts w:ascii="Times New Roman" w:eastAsia="Times New Roman" w:hAnsi="Times New Roman" w:cs="Times New Roman"/>
          <w:lang w:val="it-IT" w:eastAsia="de-DE"/>
        </w:rPr>
        <w:t>si</w:t>
      </w:r>
      <w:r>
        <w:rPr>
          <w:rFonts w:ascii="Times New Roman" w:eastAsia="Times New Roman" w:hAnsi="Times New Roman" w:cs="Times New Roman"/>
          <w:lang w:val="it-IT" w:eastAsia="de-DE"/>
        </w:rPr>
        <w:t xml:space="preserve"> nel registro provinciale anche </w:t>
      </w:r>
      <w:r w:rsidR="00DF029A">
        <w:rPr>
          <w:rFonts w:ascii="Times New Roman" w:eastAsia="Times New Roman" w:hAnsi="Times New Roman" w:cs="Times New Roman"/>
          <w:lang w:val="it-IT" w:eastAsia="de-DE"/>
        </w:rPr>
        <w:t>in assenza del</w:t>
      </w:r>
      <w:r>
        <w:rPr>
          <w:rFonts w:ascii="Times New Roman" w:eastAsia="Times New Roman" w:hAnsi="Times New Roman" w:cs="Times New Roman"/>
          <w:lang w:val="it-IT" w:eastAsia="de-DE"/>
        </w:rPr>
        <w:t xml:space="preserve">la formazione specifica prevista </w:t>
      </w:r>
      <w:r w:rsidR="00DF029A">
        <w:rPr>
          <w:rFonts w:ascii="Times New Roman" w:eastAsia="Times New Roman" w:hAnsi="Times New Roman" w:cs="Times New Roman"/>
          <w:lang w:val="it-IT" w:eastAsia="de-DE"/>
        </w:rPr>
        <w:t>da</w:t>
      </w:r>
      <w:r>
        <w:rPr>
          <w:rFonts w:ascii="Times New Roman" w:eastAsia="Times New Roman" w:hAnsi="Times New Roman" w:cs="Times New Roman"/>
          <w:lang w:val="it-IT" w:eastAsia="de-DE"/>
        </w:rPr>
        <w:t xml:space="preserve">ll’art. 2, ma </w:t>
      </w:r>
      <w:r w:rsidR="00DF029A">
        <w:rPr>
          <w:rFonts w:ascii="Times New Roman" w:eastAsia="Times New Roman" w:hAnsi="Times New Roman" w:cs="Times New Roman"/>
          <w:lang w:val="it-IT" w:eastAsia="de-DE"/>
        </w:rPr>
        <w:t>devono aver</w:t>
      </w:r>
      <w:r>
        <w:rPr>
          <w:rFonts w:ascii="Times New Roman" w:eastAsia="Times New Roman" w:hAnsi="Times New Roman" w:cs="Times New Roman"/>
          <w:lang w:val="it-IT" w:eastAsia="de-DE"/>
        </w:rPr>
        <w:t xml:space="preserve"> svolto in modo continuativo </w:t>
      </w:r>
      <w:r w:rsidR="00581661">
        <w:rPr>
          <w:rFonts w:ascii="Times New Roman" w:eastAsia="Times New Roman" w:hAnsi="Times New Roman" w:cs="Times New Roman"/>
          <w:lang w:val="it-IT" w:eastAsia="de-DE"/>
        </w:rPr>
        <w:t xml:space="preserve">per </w:t>
      </w:r>
      <w:r>
        <w:rPr>
          <w:rFonts w:ascii="Times New Roman" w:eastAsia="Times New Roman" w:hAnsi="Times New Roman" w:cs="Times New Roman"/>
          <w:lang w:val="it-IT" w:eastAsia="de-DE"/>
        </w:rPr>
        <w:t xml:space="preserve">almeno tre anni le funzioni di RUP; </w:t>
      </w:r>
      <w:r w:rsidR="00DF029A">
        <w:rPr>
          <w:rFonts w:ascii="Times New Roman" w:eastAsia="Times New Roman" w:hAnsi="Times New Roman" w:cs="Times New Roman"/>
          <w:lang w:val="it-IT" w:eastAsia="de-DE"/>
        </w:rPr>
        <w:t xml:space="preserve">i </w:t>
      </w:r>
      <w:r>
        <w:rPr>
          <w:rFonts w:ascii="Times New Roman" w:eastAsia="Times New Roman" w:hAnsi="Times New Roman" w:cs="Times New Roman"/>
          <w:lang w:val="it-IT" w:eastAsia="de-DE"/>
        </w:rPr>
        <w:t>dipendenti che svolgono</w:t>
      </w:r>
      <w:r w:rsidR="00DF029A">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w:t>
      </w:r>
      <w:r w:rsidR="00DF029A">
        <w:rPr>
          <w:rFonts w:ascii="Times New Roman" w:eastAsia="Times New Roman" w:hAnsi="Times New Roman" w:cs="Times New Roman"/>
          <w:lang w:val="it-IT" w:eastAsia="de-DE"/>
        </w:rPr>
        <w:t xml:space="preserve">invece, </w:t>
      </w:r>
      <w:r>
        <w:rPr>
          <w:rFonts w:ascii="Times New Roman" w:eastAsia="Times New Roman" w:hAnsi="Times New Roman" w:cs="Times New Roman"/>
          <w:lang w:val="it-IT" w:eastAsia="de-DE"/>
        </w:rPr>
        <w:t>l’attività per la prima volta o da meno di tre anni continuativi</w:t>
      </w:r>
      <w:r w:rsidR="00DF029A">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possono iscriversi anche senza </w:t>
      </w:r>
      <w:r w:rsidR="00DF029A">
        <w:rPr>
          <w:rFonts w:ascii="Times New Roman" w:eastAsia="Times New Roman" w:hAnsi="Times New Roman" w:cs="Times New Roman"/>
          <w:lang w:val="it-IT" w:eastAsia="de-DE"/>
        </w:rPr>
        <w:t>un’</w:t>
      </w:r>
      <w:r>
        <w:rPr>
          <w:rFonts w:ascii="Times New Roman" w:eastAsia="Times New Roman" w:hAnsi="Times New Roman" w:cs="Times New Roman"/>
          <w:lang w:val="it-IT" w:eastAsia="de-DE"/>
        </w:rPr>
        <w:t>adeguata qualificazione formativa, ma sono obbligati e concluderla entro i successivi due anni (proroga</w:t>
      </w:r>
      <w:r w:rsidR="00581661">
        <w:rPr>
          <w:rFonts w:ascii="Times New Roman" w:eastAsia="Times New Roman" w:hAnsi="Times New Roman" w:cs="Times New Roman"/>
          <w:lang w:val="it-IT" w:eastAsia="de-DE"/>
        </w:rPr>
        <w:t>bile</w:t>
      </w:r>
      <w:r>
        <w:rPr>
          <w:rFonts w:ascii="Times New Roman" w:eastAsia="Times New Roman" w:hAnsi="Times New Roman" w:cs="Times New Roman"/>
          <w:lang w:val="it-IT" w:eastAsia="de-DE"/>
        </w:rPr>
        <w:t xml:space="preserve"> di ulteriori due anni</w:t>
      </w:r>
      <w:r w:rsidR="00581661" w:rsidRPr="00581661">
        <w:rPr>
          <w:rFonts w:ascii="Times New Roman" w:eastAsia="Times New Roman" w:hAnsi="Times New Roman" w:cs="Times New Roman"/>
          <w:lang w:val="it-IT" w:eastAsia="de-DE"/>
        </w:rPr>
        <w:t xml:space="preserve"> </w:t>
      </w:r>
      <w:r w:rsidR="00581661">
        <w:rPr>
          <w:rFonts w:ascii="Times New Roman" w:eastAsia="Times New Roman" w:hAnsi="Times New Roman" w:cs="Times New Roman"/>
          <w:lang w:val="it-IT" w:eastAsia="de-DE"/>
        </w:rPr>
        <w:t>solo in casi giustificati</w:t>
      </w:r>
      <w:r>
        <w:rPr>
          <w:rFonts w:ascii="Times New Roman" w:eastAsia="Times New Roman" w:hAnsi="Times New Roman" w:cs="Times New Roman"/>
          <w:lang w:val="it-IT" w:eastAsia="de-DE"/>
        </w:rPr>
        <w:t>). In caso di non ottemperanza di questi obblighi</w:t>
      </w:r>
      <w:r w:rsidR="00DF029A">
        <w:rPr>
          <w:rFonts w:ascii="Times New Roman" w:eastAsia="Times New Roman" w:hAnsi="Times New Roman" w:cs="Times New Roman"/>
          <w:lang w:val="it-IT" w:eastAsia="de-DE"/>
        </w:rPr>
        <w:t>,</w:t>
      </w:r>
      <w:r>
        <w:rPr>
          <w:rFonts w:ascii="Times New Roman" w:eastAsia="Times New Roman" w:hAnsi="Times New Roman" w:cs="Times New Roman"/>
          <w:lang w:val="it-IT" w:eastAsia="de-DE"/>
        </w:rPr>
        <w:t xml:space="preserve"> la loro posizione viene chiusa d’ufficio.</w:t>
      </w:r>
    </w:p>
    <w:p w14:paraId="197F34D7" w14:textId="65C031A7" w:rsidR="00FB6B60" w:rsidRDefault="00FB6B60"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Dal 2019 l’Università di Innsbruck</w:t>
      </w:r>
      <w:r w:rsidR="00DF21AB">
        <w:rPr>
          <w:rFonts w:ascii="Times New Roman" w:eastAsia="Times New Roman" w:hAnsi="Times New Roman" w:cs="Times New Roman"/>
          <w:lang w:val="it-IT" w:eastAsia="de-DE"/>
        </w:rPr>
        <w:t xml:space="preserve"> (in collaborazione con il Politecnico di Milano e l’Università di Trento)</w:t>
      </w:r>
      <w:r>
        <w:rPr>
          <w:rFonts w:ascii="Times New Roman" w:eastAsia="Times New Roman" w:hAnsi="Times New Roman" w:cs="Times New Roman"/>
          <w:lang w:val="it-IT" w:eastAsia="de-DE"/>
        </w:rPr>
        <w:t xml:space="preserve">, </w:t>
      </w:r>
      <w:r w:rsidR="00DF029A">
        <w:rPr>
          <w:rFonts w:ascii="Times New Roman" w:eastAsia="Times New Roman" w:hAnsi="Times New Roman" w:cs="Times New Roman"/>
          <w:lang w:val="it-IT" w:eastAsia="de-DE"/>
        </w:rPr>
        <w:t>in</w:t>
      </w:r>
      <w:r>
        <w:rPr>
          <w:rFonts w:ascii="Times New Roman" w:eastAsia="Times New Roman" w:hAnsi="Times New Roman" w:cs="Times New Roman"/>
          <w:lang w:val="it-IT" w:eastAsia="de-DE"/>
        </w:rPr>
        <w:t xml:space="preserve"> seguito ad un protocollo d’intensa con ACP, ha offerto un corso universitario</w:t>
      </w:r>
      <w:r>
        <w:rPr>
          <w:rStyle w:val="Rimandonotaapidipagina"/>
          <w:rFonts w:ascii="Times New Roman" w:eastAsia="Times New Roman" w:hAnsi="Times New Roman" w:cs="Times New Roman"/>
          <w:lang w:val="it-IT" w:eastAsia="de-DE"/>
        </w:rPr>
        <w:footnoteReference w:id="41"/>
      </w:r>
      <w:r>
        <w:rPr>
          <w:rFonts w:ascii="Times New Roman" w:eastAsia="Times New Roman" w:hAnsi="Times New Roman" w:cs="Times New Roman"/>
          <w:lang w:val="it-IT" w:eastAsia="de-DE"/>
        </w:rPr>
        <w:t xml:space="preserve"> </w:t>
      </w:r>
      <w:r w:rsidR="00DF029A">
        <w:rPr>
          <w:rFonts w:ascii="Times New Roman" w:eastAsia="Times New Roman" w:hAnsi="Times New Roman" w:cs="Times New Roman"/>
          <w:lang w:val="it-IT" w:eastAsia="de-DE"/>
        </w:rPr>
        <w:t xml:space="preserve">pari </w:t>
      </w:r>
      <w:r>
        <w:rPr>
          <w:rFonts w:ascii="Times New Roman" w:eastAsia="Times New Roman" w:hAnsi="Times New Roman" w:cs="Times New Roman"/>
          <w:lang w:val="it-IT" w:eastAsia="de-DE"/>
        </w:rPr>
        <w:t>a 13 ECTS</w:t>
      </w:r>
      <w:r w:rsidR="00DC4E4F">
        <w:rPr>
          <w:rFonts w:ascii="Times New Roman" w:eastAsia="Times New Roman" w:hAnsi="Times New Roman" w:cs="Times New Roman"/>
          <w:lang w:val="it-IT" w:eastAsia="de-DE"/>
        </w:rPr>
        <w:t xml:space="preserve"> di grande successo</w:t>
      </w:r>
      <w:r>
        <w:rPr>
          <w:rFonts w:ascii="Times New Roman" w:eastAsia="Times New Roman" w:hAnsi="Times New Roman" w:cs="Times New Roman"/>
          <w:lang w:val="it-IT" w:eastAsia="de-DE"/>
        </w:rPr>
        <w:t xml:space="preserve">, che </w:t>
      </w:r>
      <w:r w:rsidR="00DF21AB">
        <w:rPr>
          <w:rFonts w:ascii="Times New Roman" w:eastAsia="Times New Roman" w:hAnsi="Times New Roman" w:cs="Times New Roman"/>
          <w:lang w:val="it-IT" w:eastAsia="de-DE"/>
        </w:rPr>
        <w:t>prevede un ciclo formativo teorico-pratico in tutte le materie del settore. Gli iscritti</w:t>
      </w:r>
      <w:r w:rsidR="00DC4E4F">
        <w:rPr>
          <w:rFonts w:ascii="Times New Roman" w:eastAsia="Times New Roman" w:hAnsi="Times New Roman" w:cs="Times New Roman"/>
          <w:lang w:val="it-IT" w:eastAsia="de-DE"/>
        </w:rPr>
        <w:t xml:space="preserve"> devono frequentare</w:t>
      </w:r>
      <w:r w:rsidR="00DF21AB">
        <w:rPr>
          <w:rFonts w:ascii="Times New Roman" w:eastAsia="Times New Roman" w:hAnsi="Times New Roman" w:cs="Times New Roman"/>
          <w:lang w:val="it-IT" w:eastAsia="de-DE"/>
        </w:rPr>
        <w:t xml:space="preserve"> c</w:t>
      </w:r>
      <w:r w:rsidR="00DC4E4F">
        <w:rPr>
          <w:rFonts w:ascii="Times New Roman" w:eastAsia="Times New Roman" w:hAnsi="Times New Roman" w:cs="Times New Roman"/>
          <w:lang w:val="it-IT" w:eastAsia="de-DE"/>
        </w:rPr>
        <w:t>irca</w:t>
      </w:r>
      <w:r w:rsidR="00DF21AB">
        <w:rPr>
          <w:rFonts w:ascii="Times New Roman" w:eastAsia="Times New Roman" w:hAnsi="Times New Roman" w:cs="Times New Roman"/>
          <w:lang w:val="it-IT" w:eastAsia="de-DE"/>
        </w:rPr>
        <w:t xml:space="preserve"> 110/120 ore </w:t>
      </w:r>
      <w:r w:rsidR="00DF029A">
        <w:rPr>
          <w:rFonts w:ascii="Times New Roman" w:eastAsia="Times New Roman" w:hAnsi="Times New Roman" w:cs="Times New Roman"/>
          <w:lang w:val="it-IT" w:eastAsia="de-DE"/>
        </w:rPr>
        <w:t xml:space="preserve">in </w:t>
      </w:r>
      <w:r w:rsidR="00DF21AB">
        <w:rPr>
          <w:rFonts w:ascii="Times New Roman" w:eastAsia="Times New Roman" w:hAnsi="Times New Roman" w:cs="Times New Roman"/>
          <w:lang w:val="it-IT" w:eastAsia="de-DE"/>
        </w:rPr>
        <w:t xml:space="preserve">aula, redigere una tesina (anche traendo spunti pratici dal loro lavoro) e sostenere un esame orale finale. Sono state </w:t>
      </w:r>
      <w:r w:rsidR="00DF029A">
        <w:rPr>
          <w:rFonts w:ascii="Times New Roman" w:eastAsia="Times New Roman" w:hAnsi="Times New Roman" w:cs="Times New Roman"/>
          <w:lang w:val="it-IT" w:eastAsia="de-DE"/>
        </w:rPr>
        <w:t xml:space="preserve">finora </w:t>
      </w:r>
      <w:r w:rsidR="00DF21AB">
        <w:rPr>
          <w:rFonts w:ascii="Times New Roman" w:eastAsia="Times New Roman" w:hAnsi="Times New Roman" w:cs="Times New Roman"/>
          <w:lang w:val="it-IT" w:eastAsia="de-DE"/>
        </w:rPr>
        <w:t xml:space="preserve">formate circa 100 persone ed ogni anno si pensa di aggiungere almeno 50 nuovi candidati. </w:t>
      </w:r>
      <w:r w:rsidR="0011170C">
        <w:rPr>
          <w:rFonts w:ascii="Times New Roman" w:eastAsia="Times New Roman" w:hAnsi="Times New Roman" w:cs="Times New Roman"/>
          <w:lang w:val="it-IT" w:eastAsia="de-DE"/>
        </w:rPr>
        <w:t>In questo modo</w:t>
      </w:r>
      <w:r w:rsidR="00DF029A">
        <w:rPr>
          <w:rFonts w:ascii="Times New Roman" w:eastAsia="Times New Roman" w:hAnsi="Times New Roman" w:cs="Times New Roman"/>
          <w:lang w:val="it-IT" w:eastAsia="de-DE"/>
        </w:rPr>
        <w:t>,</w:t>
      </w:r>
      <w:r w:rsidR="0011170C">
        <w:rPr>
          <w:rFonts w:ascii="Times New Roman" w:eastAsia="Times New Roman" w:hAnsi="Times New Roman" w:cs="Times New Roman"/>
          <w:lang w:val="it-IT" w:eastAsia="de-DE"/>
        </w:rPr>
        <w:t xml:space="preserve"> per la prima volta nella storia dell’amministrazione pubblica in Alto Adige</w:t>
      </w:r>
      <w:r w:rsidR="00DF029A">
        <w:rPr>
          <w:rFonts w:ascii="Times New Roman" w:eastAsia="Times New Roman" w:hAnsi="Times New Roman" w:cs="Times New Roman"/>
          <w:lang w:val="it-IT" w:eastAsia="de-DE"/>
        </w:rPr>
        <w:t>,</w:t>
      </w:r>
      <w:r w:rsidR="0011170C">
        <w:rPr>
          <w:rFonts w:ascii="Times New Roman" w:eastAsia="Times New Roman" w:hAnsi="Times New Roman" w:cs="Times New Roman"/>
          <w:lang w:val="it-IT" w:eastAsia="de-DE"/>
        </w:rPr>
        <w:t xml:space="preserve"> in un determinato settore </w:t>
      </w:r>
      <w:r w:rsidR="00501B1D">
        <w:rPr>
          <w:rFonts w:ascii="Times New Roman" w:eastAsia="Times New Roman" w:hAnsi="Times New Roman" w:cs="Times New Roman"/>
          <w:lang w:val="it-IT" w:eastAsia="de-DE"/>
        </w:rPr>
        <w:t>(</w:t>
      </w:r>
      <w:r w:rsidR="0011170C">
        <w:rPr>
          <w:rFonts w:ascii="Times New Roman" w:eastAsia="Times New Roman" w:hAnsi="Times New Roman" w:cs="Times New Roman"/>
          <w:lang w:val="it-IT" w:eastAsia="de-DE"/>
        </w:rPr>
        <w:t>come quello dei contratti pubblici</w:t>
      </w:r>
      <w:r w:rsidR="00501B1D">
        <w:rPr>
          <w:rFonts w:ascii="Times New Roman" w:eastAsia="Times New Roman" w:hAnsi="Times New Roman" w:cs="Times New Roman"/>
          <w:lang w:val="it-IT" w:eastAsia="de-DE"/>
        </w:rPr>
        <w:t>)</w:t>
      </w:r>
      <w:r w:rsidR="0011170C">
        <w:rPr>
          <w:rFonts w:ascii="Times New Roman" w:eastAsia="Times New Roman" w:hAnsi="Times New Roman" w:cs="Times New Roman"/>
          <w:lang w:val="it-IT" w:eastAsia="de-DE"/>
        </w:rPr>
        <w:t xml:space="preserve"> </w:t>
      </w:r>
      <w:r w:rsidR="00DF029A">
        <w:rPr>
          <w:rFonts w:ascii="Times New Roman" w:eastAsia="Times New Roman" w:hAnsi="Times New Roman" w:cs="Times New Roman"/>
          <w:lang w:val="it-IT" w:eastAsia="de-DE"/>
        </w:rPr>
        <w:t>viene offerta</w:t>
      </w:r>
      <w:r w:rsidR="0011170C">
        <w:rPr>
          <w:rFonts w:ascii="Times New Roman" w:eastAsia="Times New Roman" w:hAnsi="Times New Roman" w:cs="Times New Roman"/>
          <w:lang w:val="it-IT" w:eastAsia="de-DE"/>
        </w:rPr>
        <w:t xml:space="preserve"> una specifica preparazione tecnico-scientifica per funzionari e dirigenti. </w:t>
      </w:r>
      <w:r w:rsidR="00DF21AB">
        <w:rPr>
          <w:rFonts w:ascii="Times New Roman" w:eastAsia="Times New Roman" w:hAnsi="Times New Roman" w:cs="Times New Roman"/>
          <w:lang w:val="it-IT" w:eastAsia="de-DE"/>
        </w:rPr>
        <w:t>Per quanto riguarda l’aggiornamento dei RUP (e degli altri dipendenti pubblici che trattano il settore dei contratti pubblici) è invece stato accordato un protocollo d’intesa con l’Academia Europea di Bolzano, che vanta un’esperienza pluridecennale nella formazione della Pubblica Amministrazione in Alto Adige. I RUP sono però liberi di frequentare qualsiasi altra formazione a qualsiasi livello</w:t>
      </w:r>
      <w:r w:rsidR="006F0074">
        <w:rPr>
          <w:rFonts w:ascii="Times New Roman" w:eastAsia="Times New Roman" w:hAnsi="Times New Roman" w:cs="Times New Roman"/>
          <w:lang w:val="it-IT" w:eastAsia="de-DE"/>
        </w:rPr>
        <w:t>.</w:t>
      </w:r>
    </w:p>
    <w:p w14:paraId="3D02435F" w14:textId="73960CE3" w:rsidR="00501B1D" w:rsidRDefault="00501B1D" w:rsidP="00BC3533">
      <w:pPr>
        <w:spacing w:line="276" w:lineRule="auto"/>
        <w:ind w:firstLine="360"/>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L’entrata in vigore dell’intero sistema di qualificazione è stata preceduta </w:t>
      </w:r>
      <w:r w:rsidR="00DF029A">
        <w:rPr>
          <w:rFonts w:ascii="Times New Roman" w:eastAsia="Times New Roman" w:hAnsi="Times New Roman" w:cs="Times New Roman"/>
          <w:lang w:val="it-IT" w:eastAsia="de-DE"/>
        </w:rPr>
        <w:t xml:space="preserve">da </w:t>
      </w:r>
      <w:r>
        <w:rPr>
          <w:rFonts w:ascii="Times New Roman" w:eastAsia="Times New Roman" w:hAnsi="Times New Roman" w:cs="Times New Roman"/>
          <w:lang w:val="it-IT" w:eastAsia="de-DE"/>
        </w:rPr>
        <w:t xml:space="preserve">attività di presentazione e formazione a tali fini, ed anche </w:t>
      </w:r>
      <w:r w:rsidR="00DF029A">
        <w:rPr>
          <w:rFonts w:ascii="Times New Roman" w:eastAsia="Times New Roman" w:hAnsi="Times New Roman" w:cs="Times New Roman"/>
          <w:lang w:val="it-IT" w:eastAsia="de-DE"/>
        </w:rPr>
        <w:t xml:space="preserve">da </w:t>
      </w:r>
      <w:r>
        <w:rPr>
          <w:rFonts w:ascii="Times New Roman" w:eastAsia="Times New Roman" w:hAnsi="Times New Roman" w:cs="Times New Roman"/>
          <w:lang w:val="it-IT" w:eastAsia="de-DE"/>
        </w:rPr>
        <w:t>un congruo periodo di preparazione.</w:t>
      </w:r>
      <w:r>
        <w:rPr>
          <w:rStyle w:val="Rimandonotaapidipagina"/>
          <w:rFonts w:ascii="Times New Roman" w:eastAsia="Times New Roman" w:hAnsi="Times New Roman" w:cs="Times New Roman"/>
          <w:lang w:val="it-IT" w:eastAsia="de-DE"/>
        </w:rPr>
        <w:footnoteReference w:id="42"/>
      </w:r>
    </w:p>
    <w:p w14:paraId="2438DF6D" w14:textId="573CEB86" w:rsidR="0011170C" w:rsidRDefault="0011170C" w:rsidP="00BC3533">
      <w:pPr>
        <w:spacing w:line="276" w:lineRule="auto"/>
        <w:jc w:val="both"/>
        <w:rPr>
          <w:rFonts w:ascii="Times New Roman" w:eastAsia="Times New Roman" w:hAnsi="Times New Roman" w:cs="Times New Roman"/>
          <w:lang w:val="it-IT" w:eastAsia="de-DE"/>
        </w:rPr>
      </w:pPr>
    </w:p>
    <w:p w14:paraId="7DE89D76" w14:textId="200DD126" w:rsidR="00BC3533" w:rsidRDefault="00BC3533" w:rsidP="00BC3533">
      <w:pPr>
        <w:spacing w:line="276" w:lineRule="auto"/>
        <w:jc w:val="both"/>
        <w:rPr>
          <w:rFonts w:ascii="Times New Roman" w:eastAsia="Times New Roman" w:hAnsi="Times New Roman" w:cs="Times New Roman"/>
          <w:lang w:val="it-IT" w:eastAsia="de-DE"/>
        </w:rPr>
      </w:pPr>
    </w:p>
    <w:p w14:paraId="0DCBFC2B" w14:textId="77777777" w:rsidR="00501B1D" w:rsidRDefault="00501B1D" w:rsidP="00BC3533">
      <w:pPr>
        <w:spacing w:line="276" w:lineRule="auto"/>
        <w:jc w:val="both"/>
        <w:rPr>
          <w:rFonts w:ascii="Times New Roman" w:eastAsia="Times New Roman" w:hAnsi="Times New Roman" w:cs="Times New Roman"/>
          <w:lang w:val="it-IT" w:eastAsia="de-DE"/>
        </w:rPr>
      </w:pPr>
    </w:p>
    <w:p w14:paraId="456ADF57" w14:textId="5FEDB153" w:rsidR="000721D2" w:rsidRDefault="0011170C" w:rsidP="00BC3533">
      <w:pPr>
        <w:spacing w:line="276" w:lineRule="auto"/>
        <w:jc w:val="both"/>
        <w:rPr>
          <w:rFonts w:ascii="Times New Roman" w:eastAsia="Times New Roman" w:hAnsi="Times New Roman" w:cs="Times New Roman"/>
          <w:b/>
          <w:bCs/>
          <w:lang w:val="it-IT" w:eastAsia="de-DE"/>
        </w:rPr>
      </w:pPr>
      <w:r>
        <w:rPr>
          <w:rFonts w:ascii="Times New Roman" w:eastAsia="Times New Roman" w:hAnsi="Times New Roman" w:cs="Times New Roman"/>
          <w:b/>
          <w:bCs/>
          <w:lang w:val="it-IT" w:eastAsia="de-DE"/>
        </w:rPr>
        <w:t>5</w:t>
      </w:r>
      <w:r w:rsidRPr="0011170C">
        <w:rPr>
          <w:rFonts w:ascii="Times New Roman" w:eastAsia="Times New Roman" w:hAnsi="Times New Roman" w:cs="Times New Roman"/>
          <w:b/>
          <w:bCs/>
          <w:lang w:val="it-IT" w:eastAsia="de-DE"/>
        </w:rPr>
        <w:t>) Conclusioni</w:t>
      </w:r>
      <w:r w:rsidR="00BC3533">
        <w:rPr>
          <w:rFonts w:ascii="Times New Roman" w:eastAsia="Times New Roman" w:hAnsi="Times New Roman" w:cs="Times New Roman"/>
          <w:b/>
          <w:bCs/>
          <w:lang w:val="it-IT" w:eastAsia="de-DE"/>
        </w:rPr>
        <w:t>.</w:t>
      </w:r>
    </w:p>
    <w:p w14:paraId="3CB8A7ED" w14:textId="77777777" w:rsidR="00BC3533" w:rsidRPr="0011170C" w:rsidRDefault="00BC3533" w:rsidP="00BC3533">
      <w:pPr>
        <w:spacing w:line="276" w:lineRule="auto"/>
        <w:jc w:val="both"/>
        <w:rPr>
          <w:rFonts w:ascii="Times New Roman" w:eastAsia="Times New Roman" w:hAnsi="Times New Roman" w:cs="Times New Roman"/>
          <w:b/>
          <w:bCs/>
          <w:lang w:val="it-IT" w:eastAsia="de-DE"/>
        </w:rPr>
      </w:pPr>
    </w:p>
    <w:p w14:paraId="1CDB1964" w14:textId="5D0F4E2D" w:rsidR="00774AB9" w:rsidRDefault="0011170C" w:rsidP="00A85AE6">
      <w:pPr>
        <w:spacing w:line="276" w:lineRule="auto"/>
        <w:ind w:firstLine="426"/>
        <w:jc w:val="both"/>
        <w:rPr>
          <w:rFonts w:ascii="Times New Roman" w:eastAsia="Times New Roman" w:hAnsi="Times New Roman" w:cs="Times New Roman"/>
          <w:lang w:val="it-IT" w:eastAsia="de-DE"/>
        </w:rPr>
      </w:pPr>
      <w:r>
        <w:rPr>
          <w:rFonts w:ascii="Times New Roman" w:eastAsia="Times New Roman" w:hAnsi="Times New Roman" w:cs="Times New Roman"/>
          <w:lang w:val="it-IT" w:eastAsia="de-DE"/>
        </w:rPr>
        <w:t xml:space="preserve">L’innovazione del settore degli appalti pubblici tramite una professionalizzazione è ormai un dato di fatto. Il processo è avviato, la spinta da parte dell’Unione Europea e </w:t>
      </w:r>
      <w:r w:rsidR="00DD7E0A">
        <w:rPr>
          <w:rFonts w:ascii="Times New Roman" w:eastAsia="Times New Roman" w:hAnsi="Times New Roman" w:cs="Times New Roman"/>
          <w:lang w:val="it-IT" w:eastAsia="de-DE"/>
        </w:rPr>
        <w:t xml:space="preserve">di </w:t>
      </w:r>
      <w:r>
        <w:rPr>
          <w:rFonts w:ascii="Times New Roman" w:eastAsia="Times New Roman" w:hAnsi="Times New Roman" w:cs="Times New Roman"/>
          <w:lang w:val="it-IT" w:eastAsia="de-DE"/>
        </w:rPr>
        <w:t xml:space="preserve">altri organismi internazionali, </w:t>
      </w:r>
      <w:r w:rsidR="00C46EA5">
        <w:rPr>
          <w:rFonts w:ascii="Times New Roman" w:eastAsia="Times New Roman" w:hAnsi="Times New Roman" w:cs="Times New Roman"/>
          <w:lang w:val="it-IT" w:eastAsia="de-DE"/>
        </w:rPr>
        <w:t xml:space="preserve">il confronto </w:t>
      </w:r>
      <w:r>
        <w:rPr>
          <w:rFonts w:ascii="Times New Roman" w:eastAsia="Times New Roman" w:hAnsi="Times New Roman" w:cs="Times New Roman"/>
          <w:lang w:val="it-IT" w:eastAsia="de-DE"/>
        </w:rPr>
        <w:t xml:space="preserve">tra gli Stati membri </w:t>
      </w:r>
      <w:r w:rsidR="00C46EA5">
        <w:rPr>
          <w:rFonts w:ascii="Times New Roman" w:eastAsia="Times New Roman" w:hAnsi="Times New Roman" w:cs="Times New Roman"/>
          <w:lang w:val="it-IT" w:eastAsia="de-DE"/>
        </w:rPr>
        <w:t xml:space="preserve">è in atto </w:t>
      </w:r>
      <w:r>
        <w:rPr>
          <w:rFonts w:ascii="Times New Roman" w:eastAsia="Times New Roman" w:hAnsi="Times New Roman" w:cs="Times New Roman"/>
          <w:lang w:val="it-IT" w:eastAsia="de-DE"/>
        </w:rPr>
        <w:t>e l’armonizzazione tramite le direttive europe</w:t>
      </w:r>
      <w:r w:rsidR="000F5DFA">
        <w:rPr>
          <w:rFonts w:ascii="Times New Roman" w:eastAsia="Times New Roman" w:hAnsi="Times New Roman" w:cs="Times New Roman"/>
          <w:lang w:val="it-IT" w:eastAsia="de-DE"/>
        </w:rPr>
        <w:t>e</w:t>
      </w:r>
      <w:r w:rsidR="00501B1D">
        <w:rPr>
          <w:rFonts w:ascii="Times New Roman" w:eastAsia="Times New Roman" w:hAnsi="Times New Roman" w:cs="Times New Roman"/>
          <w:lang w:val="it-IT" w:eastAsia="de-DE"/>
        </w:rPr>
        <w:t xml:space="preserve"> ha </w:t>
      </w:r>
      <w:r w:rsidR="00C46EA5">
        <w:rPr>
          <w:rFonts w:ascii="Times New Roman" w:eastAsia="Times New Roman" w:hAnsi="Times New Roman" w:cs="Times New Roman"/>
          <w:lang w:val="it-IT" w:eastAsia="de-DE"/>
        </w:rPr>
        <w:t>visto numerose</w:t>
      </w:r>
      <w:r>
        <w:rPr>
          <w:rFonts w:ascii="Times New Roman" w:eastAsia="Times New Roman" w:hAnsi="Times New Roman" w:cs="Times New Roman"/>
          <w:lang w:val="it-IT" w:eastAsia="de-DE"/>
        </w:rPr>
        <w:t xml:space="preserve"> </w:t>
      </w:r>
      <w:r w:rsidR="00501B1D">
        <w:rPr>
          <w:rFonts w:ascii="Times New Roman" w:eastAsia="Times New Roman" w:hAnsi="Times New Roman" w:cs="Times New Roman"/>
          <w:lang w:val="it-IT" w:eastAsia="de-DE"/>
        </w:rPr>
        <w:t>azioni concrete</w:t>
      </w:r>
      <w:r>
        <w:rPr>
          <w:rFonts w:ascii="Times New Roman" w:eastAsia="Times New Roman" w:hAnsi="Times New Roman" w:cs="Times New Roman"/>
          <w:lang w:val="it-IT" w:eastAsia="de-DE"/>
        </w:rPr>
        <w:t xml:space="preserve">. In alcuni Stati membri (Irlanda, Finlandia) la velocità dell’innovazione è maggiore, ma anche in Italia si </w:t>
      </w:r>
      <w:r w:rsidR="00B748FF">
        <w:rPr>
          <w:rFonts w:ascii="Times New Roman" w:eastAsia="Times New Roman" w:hAnsi="Times New Roman" w:cs="Times New Roman"/>
          <w:lang w:val="it-IT" w:eastAsia="de-DE"/>
        </w:rPr>
        <w:t>vedono passi in avanti.</w:t>
      </w:r>
      <w:r w:rsidR="00283A09">
        <w:rPr>
          <w:rStyle w:val="Rimandonotaapidipagina"/>
          <w:rFonts w:ascii="Times New Roman" w:eastAsia="Times New Roman" w:hAnsi="Times New Roman" w:cs="Times New Roman"/>
          <w:lang w:val="it-IT" w:eastAsia="de-DE"/>
        </w:rPr>
        <w:footnoteReference w:id="43"/>
      </w:r>
      <w:r w:rsidR="00B748FF">
        <w:rPr>
          <w:rFonts w:ascii="Times New Roman" w:eastAsia="Times New Roman" w:hAnsi="Times New Roman" w:cs="Times New Roman"/>
          <w:lang w:val="it-IT" w:eastAsia="de-DE"/>
        </w:rPr>
        <w:t xml:space="preserve"> Il cambiamento normativo tramite la nuova qualificazione delle stazioni appaltanti e le diverse iniziative nazionali e regionali di formazione ed aggiornamento, l’offerta crescente di ulteriori formazioni specifiche post-universitarie nel settore dei contratti pubblici</w:t>
      </w:r>
      <w:r w:rsidR="00B748FF">
        <w:rPr>
          <w:rStyle w:val="Rimandonotaapidipagina"/>
          <w:rFonts w:ascii="Times New Roman" w:eastAsia="Times New Roman" w:hAnsi="Times New Roman" w:cs="Times New Roman"/>
          <w:lang w:val="it-IT" w:eastAsia="de-DE"/>
        </w:rPr>
        <w:footnoteReference w:id="44"/>
      </w:r>
      <w:r w:rsidR="00B748FF">
        <w:rPr>
          <w:rFonts w:ascii="Times New Roman" w:eastAsia="Times New Roman" w:hAnsi="Times New Roman" w:cs="Times New Roman"/>
          <w:lang w:val="it-IT" w:eastAsia="de-DE"/>
        </w:rPr>
        <w:t xml:space="preserve"> in diversi atenei ed istituti di ricerca e formazione superiori sono </w:t>
      </w:r>
      <w:r w:rsidR="00C46EA5">
        <w:rPr>
          <w:rFonts w:ascii="Times New Roman" w:eastAsia="Times New Roman" w:hAnsi="Times New Roman" w:cs="Times New Roman"/>
          <w:lang w:val="it-IT" w:eastAsia="de-DE"/>
        </w:rPr>
        <w:t xml:space="preserve">ormai </w:t>
      </w:r>
      <w:r w:rsidR="00B748FF">
        <w:rPr>
          <w:rFonts w:ascii="Times New Roman" w:eastAsia="Times New Roman" w:hAnsi="Times New Roman" w:cs="Times New Roman"/>
          <w:lang w:val="it-IT" w:eastAsia="de-DE"/>
        </w:rPr>
        <w:t xml:space="preserve">realtà. Grazie a queste attività crescerà il </w:t>
      </w:r>
      <w:r w:rsidR="00C3200D">
        <w:rPr>
          <w:rFonts w:ascii="Times New Roman" w:eastAsia="Times New Roman" w:hAnsi="Times New Roman" w:cs="Times New Roman"/>
          <w:lang w:val="it-IT" w:eastAsia="de-DE"/>
        </w:rPr>
        <w:t>know-how</w:t>
      </w:r>
      <w:r w:rsidR="00B748FF">
        <w:rPr>
          <w:rFonts w:ascii="Times New Roman" w:eastAsia="Times New Roman" w:hAnsi="Times New Roman" w:cs="Times New Roman"/>
          <w:lang w:val="it-IT" w:eastAsia="de-DE"/>
        </w:rPr>
        <w:t xml:space="preserve"> della committenza pubblica, che grazie ai progressi tecnologici mediante la digitalizzazione potrà aumentare </w:t>
      </w:r>
      <w:r w:rsidR="000F5DFA">
        <w:rPr>
          <w:rFonts w:ascii="Times New Roman" w:eastAsia="Times New Roman" w:hAnsi="Times New Roman" w:cs="Times New Roman"/>
          <w:lang w:val="it-IT" w:eastAsia="de-DE"/>
        </w:rPr>
        <w:t xml:space="preserve">ulteriormente </w:t>
      </w:r>
      <w:r w:rsidR="00B748FF">
        <w:rPr>
          <w:rFonts w:ascii="Times New Roman" w:eastAsia="Times New Roman" w:hAnsi="Times New Roman" w:cs="Times New Roman"/>
          <w:lang w:val="it-IT" w:eastAsia="de-DE"/>
        </w:rPr>
        <w:t xml:space="preserve">la performance degli enti aggiudicatori. L’orientamento </w:t>
      </w:r>
      <w:r w:rsidR="00F75A10">
        <w:rPr>
          <w:rFonts w:ascii="Times New Roman" w:eastAsia="Times New Roman" w:hAnsi="Times New Roman" w:cs="Times New Roman"/>
          <w:lang w:val="it-IT" w:eastAsia="de-DE"/>
        </w:rPr>
        <w:t xml:space="preserve">verso </w:t>
      </w:r>
      <w:r w:rsidR="00B748FF">
        <w:rPr>
          <w:rFonts w:ascii="Times New Roman" w:eastAsia="Times New Roman" w:hAnsi="Times New Roman" w:cs="Times New Roman"/>
          <w:lang w:val="it-IT" w:eastAsia="de-DE"/>
        </w:rPr>
        <w:t>un quadro comune di riferimento europeo sarà un</w:t>
      </w:r>
      <w:r w:rsidR="00C3200D">
        <w:rPr>
          <w:rFonts w:ascii="Times New Roman" w:eastAsia="Times New Roman" w:hAnsi="Times New Roman" w:cs="Times New Roman"/>
          <w:lang w:val="it-IT" w:eastAsia="de-DE"/>
        </w:rPr>
        <w:t xml:space="preserve"> </w:t>
      </w:r>
      <w:r w:rsidR="00B748FF">
        <w:rPr>
          <w:rFonts w:ascii="Times New Roman" w:eastAsia="Times New Roman" w:hAnsi="Times New Roman" w:cs="Times New Roman"/>
          <w:lang w:val="it-IT" w:eastAsia="de-DE"/>
        </w:rPr>
        <w:t xml:space="preserve">importante traguardo </w:t>
      </w:r>
      <w:r w:rsidR="00F75A10">
        <w:rPr>
          <w:rFonts w:ascii="Times New Roman" w:eastAsia="Times New Roman" w:hAnsi="Times New Roman" w:cs="Times New Roman"/>
          <w:lang w:val="it-IT" w:eastAsia="de-DE"/>
        </w:rPr>
        <w:t>di</w:t>
      </w:r>
      <w:r w:rsidR="00B748FF">
        <w:rPr>
          <w:rFonts w:ascii="Times New Roman" w:eastAsia="Times New Roman" w:hAnsi="Times New Roman" w:cs="Times New Roman"/>
          <w:lang w:val="it-IT" w:eastAsia="de-DE"/>
        </w:rPr>
        <w:t xml:space="preserve"> questa strategia. Anche la creazion</w:t>
      </w:r>
      <w:r w:rsidR="00C3200D">
        <w:rPr>
          <w:rFonts w:ascii="Times New Roman" w:eastAsia="Times New Roman" w:hAnsi="Times New Roman" w:cs="Times New Roman"/>
          <w:lang w:val="it-IT" w:eastAsia="de-DE"/>
        </w:rPr>
        <w:t>e</w:t>
      </w:r>
      <w:r w:rsidR="00B748FF">
        <w:rPr>
          <w:rFonts w:ascii="Times New Roman" w:eastAsia="Times New Roman" w:hAnsi="Times New Roman" w:cs="Times New Roman"/>
          <w:lang w:val="it-IT" w:eastAsia="de-DE"/>
        </w:rPr>
        <w:t xml:space="preserve"> di profili professionali più mirati e lo sviluppo di una o più carriere dedicate (con possibilità di riconoscere economicamente maggiori responsabilità e complessità) aiuterà questo processo di innovazione.</w:t>
      </w:r>
      <w:r w:rsidR="00D47E1C">
        <w:rPr>
          <w:rFonts w:ascii="Times New Roman" w:eastAsia="Times New Roman" w:hAnsi="Times New Roman" w:cs="Times New Roman"/>
          <w:lang w:val="it-IT" w:eastAsia="de-DE"/>
        </w:rPr>
        <w:t xml:space="preserve"> L’implementazione </w:t>
      </w:r>
      <w:r w:rsidR="00F75A10">
        <w:rPr>
          <w:rFonts w:ascii="Times New Roman" w:eastAsia="Times New Roman" w:hAnsi="Times New Roman" w:cs="Times New Roman"/>
          <w:lang w:val="it-IT" w:eastAsia="de-DE"/>
        </w:rPr>
        <w:t xml:space="preserve">concreta della professionalizzazione </w:t>
      </w:r>
      <w:r w:rsidR="00D47E1C">
        <w:rPr>
          <w:rFonts w:ascii="Times New Roman" w:eastAsia="Times New Roman" w:hAnsi="Times New Roman" w:cs="Times New Roman"/>
          <w:lang w:val="it-IT" w:eastAsia="de-DE"/>
        </w:rPr>
        <w:t>è però necessaria: quasi cinque ann</w:t>
      </w:r>
      <w:r w:rsidR="00F75A10">
        <w:rPr>
          <w:rFonts w:ascii="Times New Roman" w:eastAsia="Times New Roman" w:hAnsi="Times New Roman" w:cs="Times New Roman"/>
          <w:lang w:val="it-IT" w:eastAsia="de-DE"/>
        </w:rPr>
        <w:t>i</w:t>
      </w:r>
      <w:r w:rsidR="00D47E1C">
        <w:rPr>
          <w:rFonts w:ascii="Times New Roman" w:eastAsia="Times New Roman" w:hAnsi="Times New Roman" w:cs="Times New Roman"/>
          <w:lang w:val="it-IT" w:eastAsia="de-DE"/>
        </w:rPr>
        <w:t xml:space="preserve"> dopo l’entrata in vigore del Codice dei contratti pubblici il sistema di qualificazione non è ancora in funzione. La Provincia Autonoma di Bolzano ha </w:t>
      </w:r>
      <w:r w:rsidR="00F75A10">
        <w:rPr>
          <w:rFonts w:ascii="Times New Roman" w:eastAsia="Times New Roman" w:hAnsi="Times New Roman" w:cs="Times New Roman"/>
          <w:lang w:val="it-IT" w:eastAsia="de-DE"/>
        </w:rPr>
        <w:t xml:space="preserve">fatto </w:t>
      </w:r>
      <w:r w:rsidR="00A85AE6">
        <w:rPr>
          <w:rFonts w:ascii="Times New Roman" w:eastAsia="Times New Roman" w:hAnsi="Times New Roman" w:cs="Times New Roman"/>
          <w:lang w:val="it-IT" w:eastAsia="de-DE"/>
        </w:rPr>
        <w:t xml:space="preserve">invece </w:t>
      </w:r>
      <w:r w:rsidR="00F75A10">
        <w:rPr>
          <w:rFonts w:ascii="Times New Roman" w:eastAsia="Times New Roman" w:hAnsi="Times New Roman" w:cs="Times New Roman"/>
          <w:lang w:val="it-IT" w:eastAsia="de-DE"/>
        </w:rPr>
        <w:t>delle</w:t>
      </w:r>
      <w:r w:rsidR="00D47E1C">
        <w:rPr>
          <w:rFonts w:ascii="Times New Roman" w:eastAsia="Times New Roman" w:hAnsi="Times New Roman" w:cs="Times New Roman"/>
          <w:lang w:val="it-IT" w:eastAsia="de-DE"/>
        </w:rPr>
        <w:t xml:space="preserve"> scelte strategiche di concentrazione, aggregazione e professionalizzazione</w:t>
      </w:r>
      <w:r w:rsidR="00A85AE6">
        <w:rPr>
          <w:rFonts w:ascii="Times New Roman" w:eastAsia="Times New Roman" w:hAnsi="Times New Roman" w:cs="Times New Roman"/>
          <w:lang w:val="it-IT" w:eastAsia="de-DE"/>
        </w:rPr>
        <w:t xml:space="preserve">. È stato concretamente avviato </w:t>
      </w:r>
      <w:r w:rsidR="00D47E1C">
        <w:rPr>
          <w:rFonts w:ascii="Times New Roman" w:eastAsia="Times New Roman" w:hAnsi="Times New Roman" w:cs="Times New Roman"/>
          <w:lang w:val="it-IT" w:eastAsia="de-DE"/>
        </w:rPr>
        <w:t>un percorso, che segue gli indirizzi europei e nazionali</w:t>
      </w:r>
      <w:r w:rsidR="00A85AE6">
        <w:rPr>
          <w:rFonts w:ascii="Times New Roman" w:eastAsia="Times New Roman" w:hAnsi="Times New Roman" w:cs="Times New Roman"/>
          <w:lang w:val="it-IT" w:eastAsia="de-DE"/>
        </w:rPr>
        <w:t>,</w:t>
      </w:r>
      <w:r w:rsidR="00D47E1C">
        <w:rPr>
          <w:rFonts w:ascii="Times New Roman" w:eastAsia="Times New Roman" w:hAnsi="Times New Roman" w:cs="Times New Roman"/>
          <w:lang w:val="it-IT" w:eastAsia="de-DE"/>
        </w:rPr>
        <w:t xml:space="preserve"> ed investe rilevanti risorse finanziarie </w:t>
      </w:r>
      <w:r w:rsidR="00A85AE6">
        <w:rPr>
          <w:rFonts w:ascii="Times New Roman" w:eastAsia="Times New Roman" w:hAnsi="Times New Roman" w:cs="Times New Roman"/>
          <w:lang w:val="it-IT" w:eastAsia="de-DE"/>
        </w:rPr>
        <w:t xml:space="preserve">utili ad </w:t>
      </w:r>
      <w:r w:rsidR="00D47E1C">
        <w:rPr>
          <w:rFonts w:ascii="Times New Roman" w:eastAsia="Times New Roman" w:hAnsi="Times New Roman" w:cs="Times New Roman"/>
          <w:lang w:val="it-IT" w:eastAsia="de-DE"/>
        </w:rPr>
        <w:t>innovare il sistema operativo di gestione dei contratti pubblici.</w:t>
      </w:r>
    </w:p>
    <w:p w14:paraId="2F36F1B6" w14:textId="69E39307" w:rsidR="00F57348" w:rsidRPr="00F57348" w:rsidRDefault="00F57348" w:rsidP="00F57348">
      <w:pPr>
        <w:spacing w:line="276" w:lineRule="auto"/>
        <w:ind w:firstLine="426"/>
        <w:jc w:val="right"/>
        <w:rPr>
          <w:rFonts w:ascii="Times New Roman" w:eastAsia="Times New Roman" w:hAnsi="Times New Roman" w:cs="Times New Roman"/>
          <w:sz w:val="32"/>
          <w:szCs w:val="32"/>
          <w:lang w:val="it-IT" w:eastAsia="de-DE"/>
        </w:rPr>
      </w:pPr>
    </w:p>
    <w:p w14:paraId="58E81C11" w14:textId="0719CD05" w:rsidR="00F57348" w:rsidRPr="00F57348" w:rsidRDefault="00F57348" w:rsidP="00F57348">
      <w:pPr>
        <w:spacing w:line="276" w:lineRule="auto"/>
        <w:jc w:val="right"/>
        <w:rPr>
          <w:rFonts w:ascii="Times New Roman" w:hAnsi="Times New Roman" w:cs="Times New Roman"/>
          <w:b/>
          <w:iCs/>
          <w:sz w:val="32"/>
          <w:szCs w:val="32"/>
          <w:lang w:val="it-IT"/>
        </w:rPr>
      </w:pPr>
      <w:r w:rsidRPr="00F57348">
        <w:rPr>
          <w:rFonts w:ascii="Times New Roman" w:hAnsi="Times New Roman" w:cs="Times New Roman"/>
          <w:b/>
          <w:iCs/>
          <w:sz w:val="32"/>
          <w:szCs w:val="32"/>
          <w:lang w:val="it-IT"/>
        </w:rPr>
        <w:t xml:space="preserve">Thomas </w:t>
      </w:r>
      <w:proofErr w:type="spellStart"/>
      <w:r w:rsidRPr="00F57348">
        <w:rPr>
          <w:rFonts w:ascii="Times New Roman" w:hAnsi="Times New Roman" w:cs="Times New Roman"/>
          <w:b/>
          <w:iCs/>
          <w:sz w:val="32"/>
          <w:szCs w:val="32"/>
          <w:lang w:val="it-IT"/>
        </w:rPr>
        <w:t>Mathà</w:t>
      </w:r>
      <w:proofErr w:type="spellEnd"/>
    </w:p>
    <w:p w14:paraId="7F491AB1" w14:textId="77777777" w:rsidR="00F57348" w:rsidRPr="002864B0" w:rsidRDefault="00F57348" w:rsidP="00F57348">
      <w:pPr>
        <w:pStyle w:val="Testonotaapidipagina"/>
        <w:jc w:val="right"/>
        <w:rPr>
          <w:rFonts w:ascii="Times New Roman" w:hAnsi="Times New Roman" w:cs="Times New Roman"/>
          <w:lang w:val="it-IT"/>
        </w:rPr>
      </w:pPr>
      <w:r w:rsidRPr="002864B0">
        <w:rPr>
          <w:rFonts w:ascii="Times New Roman" w:hAnsi="Times New Roman" w:cs="Times New Roman"/>
          <w:lang w:val="it-IT"/>
        </w:rPr>
        <w:t>Consigliere di Stato</w:t>
      </w:r>
      <w:r>
        <w:rPr>
          <w:rFonts w:ascii="Times New Roman" w:hAnsi="Times New Roman" w:cs="Times New Roman"/>
          <w:lang w:val="it-IT"/>
        </w:rPr>
        <w:t xml:space="preserve">, </w:t>
      </w:r>
      <w:proofErr w:type="spellStart"/>
      <w:r>
        <w:rPr>
          <w:rFonts w:ascii="Times New Roman" w:hAnsi="Times New Roman" w:cs="Times New Roman"/>
          <w:lang w:val="it-IT"/>
        </w:rPr>
        <w:t>PhD</w:t>
      </w:r>
      <w:proofErr w:type="spellEnd"/>
      <w:r>
        <w:rPr>
          <w:rFonts w:ascii="Times New Roman" w:hAnsi="Times New Roman" w:cs="Times New Roman"/>
          <w:lang w:val="it-IT"/>
        </w:rPr>
        <w:t xml:space="preserve"> (diritto costituzionale) e LL.M. (</w:t>
      </w:r>
      <w:proofErr w:type="spellStart"/>
      <w:r>
        <w:rPr>
          <w:rFonts w:ascii="Times New Roman" w:hAnsi="Times New Roman" w:cs="Times New Roman"/>
          <w:lang w:val="it-IT"/>
        </w:rPr>
        <w:t>EurLaw</w:t>
      </w:r>
      <w:proofErr w:type="spellEnd"/>
      <w:r>
        <w:rPr>
          <w:rFonts w:ascii="Times New Roman" w:hAnsi="Times New Roman" w:cs="Times New Roman"/>
          <w:lang w:val="it-IT"/>
        </w:rPr>
        <w:t>)</w:t>
      </w:r>
    </w:p>
    <w:p w14:paraId="03DAE328" w14:textId="3291FC1A" w:rsidR="00F57348" w:rsidRDefault="00F57348" w:rsidP="00F57348">
      <w:pPr>
        <w:spacing w:line="276" w:lineRule="auto"/>
        <w:jc w:val="right"/>
        <w:rPr>
          <w:rFonts w:ascii="Times New Roman" w:hAnsi="Times New Roman" w:cs="Times New Roman"/>
          <w:i/>
          <w:iCs/>
          <w:lang w:val="it-IT"/>
        </w:rPr>
      </w:pPr>
    </w:p>
    <w:p w14:paraId="25813868" w14:textId="3CEA47CE" w:rsidR="00F57348" w:rsidRPr="00F57348" w:rsidRDefault="00F57348" w:rsidP="00F57348">
      <w:pPr>
        <w:spacing w:line="276" w:lineRule="auto"/>
        <w:jc w:val="right"/>
        <w:rPr>
          <w:rFonts w:ascii="Times New Roman" w:hAnsi="Times New Roman" w:cs="Times New Roman"/>
          <w:iCs/>
          <w:lang w:val="it-IT"/>
        </w:rPr>
      </w:pPr>
      <w:r w:rsidRPr="00F57348">
        <w:rPr>
          <w:rFonts w:ascii="Times New Roman" w:hAnsi="Times New Roman" w:cs="Times New Roman"/>
          <w:iCs/>
          <w:lang w:val="it-IT"/>
        </w:rPr>
        <w:t>Pubb</w:t>
      </w:r>
      <w:r>
        <w:rPr>
          <w:rFonts w:ascii="Times New Roman" w:hAnsi="Times New Roman" w:cs="Times New Roman"/>
          <w:iCs/>
          <w:lang w:val="it-IT"/>
        </w:rPr>
        <w:t>l</w:t>
      </w:r>
      <w:r w:rsidRPr="00F57348">
        <w:rPr>
          <w:rFonts w:ascii="Times New Roman" w:hAnsi="Times New Roman" w:cs="Times New Roman"/>
          <w:iCs/>
          <w:lang w:val="it-IT"/>
        </w:rPr>
        <w:t>icato il 12 ottobre 2021</w:t>
      </w:r>
    </w:p>
    <w:p w14:paraId="5A8C716C" w14:textId="77777777" w:rsidR="00F57348" w:rsidRPr="00A85AE6" w:rsidRDefault="00F57348" w:rsidP="00A85AE6">
      <w:pPr>
        <w:spacing w:line="276" w:lineRule="auto"/>
        <w:ind w:firstLine="426"/>
        <w:jc w:val="both"/>
        <w:rPr>
          <w:rFonts w:ascii="Times New Roman" w:eastAsia="Times New Roman" w:hAnsi="Times New Roman" w:cs="Times New Roman"/>
          <w:lang w:val="it-IT" w:eastAsia="de-DE"/>
        </w:rPr>
      </w:pPr>
    </w:p>
    <w:sectPr w:rsidR="00F57348" w:rsidRPr="00A85AE6" w:rsidSect="00C3200D">
      <w:pgSz w:w="11901" w:h="16817"/>
      <w:pgMar w:top="1418" w:right="1418" w:bottom="1134"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6D1DE" w14:textId="77777777" w:rsidR="005A7946" w:rsidRDefault="005A7946" w:rsidP="006A10D7">
      <w:r>
        <w:separator/>
      </w:r>
    </w:p>
  </w:endnote>
  <w:endnote w:type="continuationSeparator" w:id="0">
    <w:p w14:paraId="05597BA9" w14:textId="77777777" w:rsidR="005A7946" w:rsidRDefault="005A7946" w:rsidP="006A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A2DF0" w14:textId="77777777" w:rsidR="005A7946" w:rsidRDefault="005A7946" w:rsidP="006A10D7">
      <w:r>
        <w:separator/>
      </w:r>
    </w:p>
  </w:footnote>
  <w:footnote w:type="continuationSeparator" w:id="0">
    <w:p w14:paraId="070C6CE4" w14:textId="77777777" w:rsidR="005A7946" w:rsidRDefault="005A7946" w:rsidP="006A10D7">
      <w:r>
        <w:continuationSeparator/>
      </w:r>
    </w:p>
  </w:footnote>
  <w:footnote w:id="1">
    <w:p w14:paraId="10BDD7EA" w14:textId="3A183DC3" w:rsidR="002864B0" w:rsidRPr="002864B0" w:rsidRDefault="002864B0">
      <w:pPr>
        <w:pStyle w:val="Testonotaapidipagina"/>
        <w:rPr>
          <w:rFonts w:ascii="Times New Roman" w:hAnsi="Times New Roman" w:cs="Times New Roman"/>
          <w:lang w:val="it-IT"/>
        </w:rPr>
      </w:pPr>
      <w:r w:rsidRPr="002864B0">
        <w:rPr>
          <w:rStyle w:val="Rimandonotaapidipagina"/>
          <w:rFonts w:ascii="Times New Roman" w:hAnsi="Times New Roman" w:cs="Times New Roman"/>
        </w:rPr>
        <w:footnoteRef/>
      </w:r>
      <w:r w:rsidRPr="002864B0">
        <w:rPr>
          <w:rFonts w:ascii="Times New Roman" w:hAnsi="Times New Roman" w:cs="Times New Roman"/>
          <w:lang w:val="it-IT"/>
        </w:rPr>
        <w:t xml:space="preserve"> Estratto da: </w:t>
      </w:r>
      <w:proofErr w:type="spellStart"/>
      <w:r w:rsidRPr="002864B0">
        <w:rPr>
          <w:rFonts w:ascii="Times New Roman" w:hAnsi="Times New Roman" w:cs="Times New Roman"/>
          <w:lang w:val="it-IT"/>
        </w:rPr>
        <w:t>Pagliarin</w:t>
      </w:r>
      <w:proofErr w:type="spellEnd"/>
      <w:r w:rsidRPr="002864B0">
        <w:rPr>
          <w:rFonts w:ascii="Times New Roman" w:hAnsi="Times New Roman" w:cs="Times New Roman"/>
          <w:lang w:val="it-IT"/>
        </w:rPr>
        <w:t>/</w:t>
      </w:r>
      <w:proofErr w:type="spellStart"/>
      <w:r w:rsidRPr="002864B0">
        <w:rPr>
          <w:rFonts w:ascii="Times New Roman" w:hAnsi="Times New Roman" w:cs="Times New Roman"/>
          <w:lang w:val="it-IT"/>
        </w:rPr>
        <w:t>Perathoner</w:t>
      </w:r>
      <w:proofErr w:type="spellEnd"/>
      <w:r w:rsidRPr="002864B0">
        <w:rPr>
          <w:rFonts w:ascii="Times New Roman" w:hAnsi="Times New Roman" w:cs="Times New Roman"/>
          <w:lang w:val="it-IT"/>
        </w:rPr>
        <w:t xml:space="preserve">/Laimer (a cura di): Contratti pubblici e innovazione. Una strategia per far ripartire l’Europa. </w:t>
      </w:r>
      <w:proofErr w:type="spellStart"/>
      <w:r w:rsidRPr="002864B0">
        <w:rPr>
          <w:rFonts w:ascii="Times New Roman" w:hAnsi="Times New Roman" w:cs="Times New Roman"/>
          <w:lang w:val="it-IT"/>
        </w:rPr>
        <w:t>Giuffrè</w:t>
      </w:r>
      <w:proofErr w:type="spellEnd"/>
      <w:r w:rsidRPr="002864B0">
        <w:rPr>
          <w:rFonts w:ascii="Times New Roman" w:hAnsi="Times New Roman" w:cs="Times New Roman"/>
          <w:lang w:val="it-IT"/>
        </w:rPr>
        <w:t xml:space="preserve"> Francis </w:t>
      </w:r>
      <w:proofErr w:type="spellStart"/>
      <w:r w:rsidRPr="002864B0">
        <w:rPr>
          <w:rFonts w:ascii="Times New Roman" w:hAnsi="Times New Roman" w:cs="Times New Roman"/>
          <w:lang w:val="it-IT"/>
        </w:rPr>
        <w:t>Lefebre</w:t>
      </w:r>
      <w:proofErr w:type="spellEnd"/>
      <w:r w:rsidRPr="002864B0">
        <w:rPr>
          <w:rFonts w:ascii="Times New Roman" w:hAnsi="Times New Roman" w:cs="Times New Roman"/>
          <w:lang w:val="it-IT"/>
        </w:rPr>
        <w:t>, 2021.</w:t>
      </w:r>
    </w:p>
  </w:footnote>
  <w:footnote w:id="2">
    <w:p w14:paraId="68A5E4A5" w14:textId="1D586EF7" w:rsidR="002A3AC7" w:rsidRPr="005605D9" w:rsidRDefault="002A3AC7">
      <w:pPr>
        <w:pStyle w:val="Testonotaapidipagina"/>
        <w:rPr>
          <w:rFonts w:ascii="Times New Roman" w:hAnsi="Times New Roman" w:cs="Times New Roman"/>
          <w:lang w:val="it-IT"/>
        </w:rPr>
      </w:pPr>
      <w:r w:rsidRPr="005605D9">
        <w:rPr>
          <w:rStyle w:val="Rimandonotaapidipagina"/>
          <w:rFonts w:ascii="Times New Roman" w:hAnsi="Times New Roman" w:cs="Times New Roman"/>
          <w:lang w:val="it-IT"/>
        </w:rPr>
        <w:footnoteRef/>
      </w:r>
      <w:r w:rsidRPr="005605D9">
        <w:rPr>
          <w:rFonts w:ascii="Times New Roman" w:hAnsi="Times New Roman" w:cs="Times New Roman"/>
          <w:lang w:val="it-IT"/>
        </w:rPr>
        <w:t xml:space="preserve"> Treccani, voce </w:t>
      </w:r>
      <w:r w:rsidRPr="005605D9">
        <w:rPr>
          <w:rFonts w:ascii="Times New Roman" w:hAnsi="Times New Roman" w:cs="Times New Roman"/>
          <w:i/>
          <w:iCs/>
          <w:lang w:val="it-IT"/>
        </w:rPr>
        <w:t>innovazione</w:t>
      </w:r>
      <w:r w:rsidRPr="005605D9">
        <w:rPr>
          <w:rFonts w:ascii="Times New Roman" w:hAnsi="Times New Roman" w:cs="Times New Roman"/>
          <w:lang w:val="it-IT"/>
        </w:rPr>
        <w:t xml:space="preserve"> (</w:t>
      </w:r>
      <w:hyperlink r:id="rId1" w:history="1">
        <w:r w:rsidRPr="005605D9">
          <w:rPr>
            <w:rStyle w:val="Collegamentoipertestuale"/>
            <w:rFonts w:ascii="Times New Roman" w:hAnsi="Times New Roman" w:cs="Times New Roman"/>
            <w:lang w:val="it-IT"/>
          </w:rPr>
          <w:t>https://www.treccani.it/vocabolario/innovazione</w:t>
        </w:r>
      </w:hyperlink>
      <w:r w:rsidRPr="005605D9">
        <w:rPr>
          <w:rFonts w:ascii="Times New Roman" w:hAnsi="Times New Roman" w:cs="Times New Roman"/>
          <w:lang w:val="it-IT"/>
        </w:rPr>
        <w:t>)</w:t>
      </w:r>
    </w:p>
  </w:footnote>
  <w:footnote w:id="3">
    <w:p w14:paraId="5C06EDD3" w14:textId="2A2B8939" w:rsidR="002A3AC7" w:rsidRPr="00833D3C" w:rsidRDefault="002A3AC7" w:rsidP="002A3AC7">
      <w:pPr>
        <w:pStyle w:val="Testonotaapidipagina"/>
        <w:jc w:val="both"/>
        <w:rPr>
          <w:rFonts w:ascii="Times New Roman" w:hAnsi="Times New Roman" w:cs="Times New Roman"/>
          <w:lang w:val="it-IT"/>
        </w:rPr>
      </w:pPr>
      <w:r w:rsidRPr="005605D9">
        <w:rPr>
          <w:rStyle w:val="Rimandonotaapidipagina"/>
          <w:rFonts w:ascii="Times New Roman" w:hAnsi="Times New Roman" w:cs="Times New Roman"/>
          <w:lang w:val="it-IT"/>
        </w:rPr>
        <w:footnoteRef/>
      </w:r>
      <w:r w:rsidRPr="005605D9">
        <w:rPr>
          <w:rFonts w:ascii="Times New Roman" w:hAnsi="Times New Roman" w:cs="Times New Roman"/>
          <w:lang w:val="it-IT"/>
        </w:rPr>
        <w:t xml:space="preserve"> Già con il precedente codice dei contratti pubblici (art. 33 comma 3-bis del d.lgs. 163/2006) e la L. 208/2015 (</w:t>
      </w:r>
      <w:proofErr w:type="spellStart"/>
      <w:r w:rsidRPr="005605D9">
        <w:rPr>
          <w:rFonts w:ascii="Times New Roman" w:hAnsi="Times New Roman" w:cs="Times New Roman"/>
          <w:i/>
          <w:iCs/>
          <w:lang w:val="it-IT"/>
        </w:rPr>
        <w:t>spending</w:t>
      </w:r>
      <w:proofErr w:type="spellEnd"/>
      <w:r w:rsidRPr="005605D9">
        <w:rPr>
          <w:rFonts w:ascii="Times New Roman" w:hAnsi="Times New Roman" w:cs="Times New Roman"/>
          <w:i/>
          <w:iCs/>
          <w:lang w:val="it-IT"/>
        </w:rPr>
        <w:t xml:space="preserve"> </w:t>
      </w:r>
      <w:proofErr w:type="spellStart"/>
      <w:r w:rsidRPr="005605D9">
        <w:rPr>
          <w:rFonts w:ascii="Times New Roman" w:hAnsi="Times New Roman" w:cs="Times New Roman"/>
          <w:i/>
          <w:iCs/>
          <w:lang w:val="it-IT"/>
        </w:rPr>
        <w:t>review</w:t>
      </w:r>
      <w:proofErr w:type="spellEnd"/>
      <w:r w:rsidRPr="005605D9">
        <w:rPr>
          <w:rFonts w:ascii="Times New Roman" w:hAnsi="Times New Roman" w:cs="Times New Roman"/>
          <w:lang w:val="it-IT"/>
        </w:rPr>
        <w:t>) si cercava già di imporre la centralizzazione e la riorganizzazione degli acquisti da parte degli enti pubblici, non senza molti problemi per le stazioni appaltan</w:t>
      </w:r>
      <w:r w:rsidR="00833D3C" w:rsidRPr="005605D9">
        <w:rPr>
          <w:rFonts w:ascii="Times New Roman" w:hAnsi="Times New Roman" w:cs="Times New Roman"/>
          <w:lang w:val="it-IT"/>
        </w:rPr>
        <w:t>t</w:t>
      </w:r>
      <w:r w:rsidRPr="005605D9">
        <w:rPr>
          <w:rFonts w:ascii="Times New Roman" w:hAnsi="Times New Roman" w:cs="Times New Roman"/>
          <w:lang w:val="it-IT"/>
        </w:rPr>
        <w:t xml:space="preserve">i medio-piccole di organizzarsi. L’istituzione dei soggetti aggregatori di cui all’art. 9 comma 1 del </w:t>
      </w:r>
      <w:proofErr w:type="spellStart"/>
      <w:r w:rsidRPr="005605D9">
        <w:rPr>
          <w:rFonts w:ascii="Times New Roman" w:hAnsi="Times New Roman" w:cs="Times New Roman"/>
          <w:lang w:val="it-IT"/>
        </w:rPr>
        <w:t>d.l.</w:t>
      </w:r>
      <w:proofErr w:type="spellEnd"/>
      <w:r w:rsidRPr="005605D9">
        <w:rPr>
          <w:rFonts w:ascii="Times New Roman" w:hAnsi="Times New Roman" w:cs="Times New Roman"/>
          <w:lang w:val="it-IT"/>
        </w:rPr>
        <w:t xml:space="preserve"> 66/2014 ha creato a livello nazionale 35 unità amministrative</w:t>
      </w:r>
      <w:r w:rsidRPr="00833D3C">
        <w:rPr>
          <w:rFonts w:ascii="Times New Roman" w:hAnsi="Times New Roman" w:cs="Times New Roman"/>
          <w:lang w:val="it-IT"/>
        </w:rPr>
        <w:t xml:space="preserve"> di livello per la domanda aggregata (cfr. LOMBARDI, M., </w:t>
      </w:r>
      <w:r w:rsidRPr="00833D3C">
        <w:rPr>
          <w:rFonts w:ascii="Times New Roman" w:hAnsi="Times New Roman" w:cs="Times New Roman"/>
          <w:i/>
          <w:iCs/>
          <w:lang w:val="it-IT"/>
        </w:rPr>
        <w:t>La qualificazione delle stazioni appaltanti nel nuovo Codice degli Appalti,</w:t>
      </w:r>
      <w:r w:rsidRPr="00833D3C">
        <w:rPr>
          <w:rFonts w:ascii="Times New Roman" w:hAnsi="Times New Roman" w:cs="Times New Roman"/>
          <w:lang w:val="it-IT"/>
        </w:rPr>
        <w:t xml:space="preserve"> 1.7.2016, </w:t>
      </w:r>
      <w:hyperlink r:id="rId2" w:history="1">
        <w:r w:rsidRPr="00833D3C">
          <w:rPr>
            <w:rStyle w:val="Collegamentoipertestuale"/>
            <w:rFonts w:ascii="Times New Roman" w:hAnsi="Times New Roman" w:cs="Times New Roman"/>
            <w:lang w:val="it-IT"/>
          </w:rPr>
          <w:t>https://www.mediappalti.it/la-qualificazione-delle-stazioni-appaltanti-nel-nuovo-codice-degli-appalti</w:t>
        </w:r>
      </w:hyperlink>
      <w:r w:rsidRPr="00833D3C">
        <w:rPr>
          <w:rFonts w:ascii="Times New Roman" w:hAnsi="Times New Roman" w:cs="Times New Roman"/>
          <w:lang w:val="it-IT"/>
        </w:rPr>
        <w:t xml:space="preserve">). </w:t>
      </w:r>
    </w:p>
  </w:footnote>
  <w:footnote w:id="4">
    <w:p w14:paraId="6CCE3C24" w14:textId="386BE122" w:rsidR="002A3AC7" w:rsidRPr="00833D3C" w:rsidRDefault="002A3AC7">
      <w:pPr>
        <w:pStyle w:val="Testonotaapidipagina"/>
        <w:rPr>
          <w:rFonts w:ascii="Times New Roman" w:hAnsi="Times New Roman" w:cs="Times New Roman"/>
          <w:lang w:val="it-IT"/>
        </w:rPr>
      </w:pPr>
      <w:r w:rsidRPr="00833D3C">
        <w:rPr>
          <w:rStyle w:val="Rimandonotaapidipagina"/>
          <w:rFonts w:ascii="Times New Roman" w:hAnsi="Times New Roman" w:cs="Times New Roman"/>
          <w:lang w:val="it-IT"/>
        </w:rPr>
        <w:footnoteRef/>
      </w:r>
      <w:r w:rsidRPr="00833D3C">
        <w:rPr>
          <w:rFonts w:ascii="Times New Roman" w:hAnsi="Times New Roman" w:cs="Times New Roman"/>
          <w:lang w:val="it-IT"/>
        </w:rPr>
        <w:t xml:space="preserve"> Il rafforzamento amministrativo della pubblica amministrazione ed il </w:t>
      </w:r>
      <w:proofErr w:type="spellStart"/>
      <w:r w:rsidRPr="00833D3C">
        <w:rPr>
          <w:rFonts w:ascii="Times New Roman" w:hAnsi="Times New Roman" w:cs="Times New Roman"/>
          <w:i/>
          <w:iCs/>
          <w:lang w:val="it-IT"/>
        </w:rPr>
        <w:t>capacity</w:t>
      </w:r>
      <w:proofErr w:type="spellEnd"/>
      <w:r w:rsidRPr="00833D3C">
        <w:rPr>
          <w:rFonts w:ascii="Times New Roman" w:hAnsi="Times New Roman" w:cs="Times New Roman"/>
          <w:i/>
          <w:iCs/>
          <w:lang w:val="it-IT"/>
        </w:rPr>
        <w:t xml:space="preserve"> building</w:t>
      </w:r>
      <w:r w:rsidRPr="00833D3C">
        <w:rPr>
          <w:rFonts w:ascii="Times New Roman" w:hAnsi="Times New Roman" w:cs="Times New Roman"/>
          <w:lang w:val="it-IT"/>
        </w:rPr>
        <w:t xml:space="preserve"> come attività parallele alla professionalizzazione vengono suggeriti anche dall’impiego dei fondi europei (cfr. BRUSCONI, M., </w:t>
      </w:r>
      <w:r w:rsidRPr="00833D3C">
        <w:rPr>
          <w:rFonts w:ascii="Times New Roman" w:hAnsi="Times New Roman" w:cs="Times New Roman"/>
          <w:i/>
          <w:iCs/>
          <w:lang w:val="it-IT"/>
        </w:rPr>
        <w:t>Qualificazione delle stazioni appaltanti: il ruolo chiave delle competenze</w:t>
      </w:r>
      <w:r w:rsidRPr="00833D3C">
        <w:rPr>
          <w:rFonts w:ascii="Times New Roman" w:hAnsi="Times New Roman" w:cs="Times New Roman"/>
          <w:lang w:val="it-IT"/>
        </w:rPr>
        <w:t xml:space="preserve">, </w:t>
      </w:r>
      <w:r w:rsidR="00C53AD8" w:rsidRPr="00833D3C">
        <w:rPr>
          <w:rFonts w:ascii="Times New Roman" w:hAnsi="Times New Roman" w:cs="Times New Roman"/>
          <w:lang w:val="it-IT"/>
        </w:rPr>
        <w:t>5.9.2016, https://www.forumpa.it/pa-digitale/qualificazione-delle-stazioni-appaltanti-il-ruolo-chiave-delle-competenze).</w:t>
      </w:r>
    </w:p>
  </w:footnote>
  <w:footnote w:id="5">
    <w:p w14:paraId="7501A4B2" w14:textId="0B8C4814" w:rsidR="002A3AC7" w:rsidRPr="00833D3C" w:rsidRDefault="002A3AC7">
      <w:pPr>
        <w:pStyle w:val="Testonotaapidipagina"/>
        <w:rPr>
          <w:rFonts w:ascii="Times New Roman" w:hAnsi="Times New Roman" w:cs="Times New Roman"/>
          <w:lang w:val="it-IT"/>
        </w:rPr>
      </w:pPr>
      <w:r w:rsidRPr="00833D3C">
        <w:rPr>
          <w:rStyle w:val="Rimandonotaapidipagina"/>
          <w:rFonts w:ascii="Times New Roman" w:hAnsi="Times New Roman" w:cs="Times New Roman"/>
          <w:lang w:val="it-IT"/>
        </w:rPr>
        <w:footnoteRef/>
      </w:r>
      <w:r w:rsidRPr="00833D3C">
        <w:rPr>
          <w:rFonts w:ascii="Times New Roman" w:hAnsi="Times New Roman" w:cs="Times New Roman"/>
          <w:lang w:val="it-IT"/>
        </w:rPr>
        <w:t xml:space="preserve"> Organizzazione per la Cooperazione e lo Sviluppo Economico</w:t>
      </w:r>
    </w:p>
  </w:footnote>
  <w:footnote w:id="6">
    <w:p w14:paraId="0FDCC6C0" w14:textId="154626C3" w:rsidR="002A3AC7" w:rsidRPr="00253B87" w:rsidRDefault="002A3AC7" w:rsidP="00535270">
      <w:pPr>
        <w:pStyle w:val="Testonotaapidipagina"/>
        <w:rPr>
          <w:rFonts w:ascii="Times New Roman" w:hAnsi="Times New Roman" w:cs="Times New Roman"/>
          <w:lang w:val="it-IT"/>
        </w:rPr>
      </w:pPr>
      <w:r w:rsidRPr="00DD2E1D">
        <w:rPr>
          <w:rStyle w:val="Rimandonotaapidipagina"/>
          <w:rFonts w:ascii="Times New Roman" w:hAnsi="Times New Roman" w:cs="Times New Roman"/>
        </w:rPr>
        <w:footnoteRef/>
      </w:r>
      <w:r w:rsidRPr="00253B87">
        <w:rPr>
          <w:rFonts w:ascii="Times New Roman" w:hAnsi="Times New Roman" w:cs="Times New Roman"/>
          <w:lang w:val="it-IT"/>
        </w:rPr>
        <w:t xml:space="preserve"> </w:t>
      </w:r>
      <w:hyperlink r:id="rId3" w:history="1">
        <w:r w:rsidRPr="00253B87">
          <w:rPr>
            <w:rStyle w:val="Collegamentoipertestuale"/>
            <w:rFonts w:ascii="Times New Roman" w:hAnsi="Times New Roman" w:cs="Times New Roman"/>
            <w:lang w:val="it-IT"/>
          </w:rPr>
          <w:t>https://www.oecd.org/gov/public-procurement/OECD-Recommendation-on-Public-Procurement.pdf</w:t>
        </w:r>
      </w:hyperlink>
      <w:r w:rsidRPr="00253B87">
        <w:rPr>
          <w:rFonts w:ascii="Times New Roman" w:hAnsi="Times New Roman" w:cs="Times New Roman"/>
          <w:lang w:val="it-IT"/>
        </w:rPr>
        <w:t xml:space="preserve"> </w:t>
      </w:r>
    </w:p>
  </w:footnote>
  <w:footnote w:id="7">
    <w:p w14:paraId="26BC4AEF" w14:textId="7FA967F0" w:rsidR="002A3AC7" w:rsidRPr="00007685" w:rsidRDefault="002A3AC7" w:rsidP="004A7925">
      <w:pPr>
        <w:pStyle w:val="NormaleWeb"/>
        <w:spacing w:before="0" w:beforeAutospacing="0" w:after="0" w:afterAutospacing="0"/>
        <w:jc w:val="both"/>
        <w:rPr>
          <w:rFonts w:eastAsiaTheme="minorHAnsi"/>
          <w:sz w:val="20"/>
          <w:szCs w:val="20"/>
          <w:lang w:val="it-IT" w:eastAsia="en-US"/>
        </w:rPr>
      </w:pPr>
      <w:r w:rsidRPr="00DD2E1D">
        <w:rPr>
          <w:rStyle w:val="Rimandonotaapidipagina"/>
        </w:rPr>
        <w:footnoteRef/>
      </w:r>
      <w:r w:rsidRPr="00DD2E1D">
        <w:rPr>
          <w:lang w:val="en-US"/>
        </w:rPr>
        <w:t xml:space="preserve"> </w:t>
      </w:r>
      <w:r w:rsidRPr="00007685">
        <w:rPr>
          <w:rFonts w:eastAsiaTheme="minorHAnsi"/>
          <w:i/>
          <w:iCs/>
          <w:sz w:val="20"/>
          <w:szCs w:val="20"/>
          <w:lang w:val="en-US" w:eastAsia="en-US"/>
        </w:rPr>
        <w:t>Procurement</w:t>
      </w:r>
      <w:r w:rsidRPr="00007685">
        <w:rPr>
          <w:rFonts w:eastAsiaTheme="minorHAnsi"/>
          <w:sz w:val="20"/>
          <w:szCs w:val="20"/>
          <w:lang w:val="en-US" w:eastAsia="en-US"/>
        </w:rPr>
        <w:t xml:space="preserve"> o </w:t>
      </w:r>
      <w:r w:rsidRPr="00007685">
        <w:rPr>
          <w:rFonts w:eastAsiaTheme="minorHAnsi"/>
          <w:i/>
          <w:iCs/>
          <w:sz w:val="20"/>
          <w:szCs w:val="20"/>
          <w:lang w:val="en-US" w:eastAsia="en-US"/>
        </w:rPr>
        <w:t>Purchase Manager</w:t>
      </w:r>
      <w:r w:rsidRPr="00007685">
        <w:rPr>
          <w:rFonts w:eastAsiaTheme="minorHAnsi"/>
          <w:sz w:val="20"/>
          <w:szCs w:val="20"/>
          <w:lang w:val="en-US" w:eastAsia="en-US"/>
        </w:rPr>
        <w:t xml:space="preserve">, o </w:t>
      </w:r>
      <w:r w:rsidRPr="00007685">
        <w:rPr>
          <w:rFonts w:eastAsiaTheme="minorHAnsi"/>
          <w:i/>
          <w:iCs/>
          <w:sz w:val="20"/>
          <w:szCs w:val="20"/>
          <w:lang w:val="en-US" w:eastAsia="en-US"/>
        </w:rPr>
        <w:t>Buyer</w:t>
      </w:r>
      <w:r w:rsidRPr="00007685">
        <w:rPr>
          <w:rFonts w:eastAsiaTheme="minorHAnsi"/>
          <w:sz w:val="20"/>
          <w:szCs w:val="20"/>
          <w:lang w:val="en-US" w:eastAsia="en-US"/>
        </w:rPr>
        <w:t xml:space="preserve">, </w:t>
      </w:r>
      <w:r w:rsidRPr="00007685">
        <w:rPr>
          <w:rFonts w:eastAsiaTheme="minorHAnsi"/>
          <w:sz w:val="20"/>
          <w:szCs w:val="20"/>
          <w:lang w:val="it-IT" w:eastAsia="en-US"/>
        </w:rPr>
        <w:t xml:space="preserve">sono termini che definiscono funzioni specifiche nell’organizzazione di imprese, concetti che arrivano anche nel settore pubblico. È quindi necessaria una connotazione fortemente professionalizzante oltre che interdisciplinare, per un approccio operativo e dinamico, con conoscenze teorico-pratiche. Per i nuovi funzionari è necessaria un’offerta innovativa di alto profilo finalizzata a soddisfare esigenze particolari. Bisognerà arricchire i profili professionali di chi opera nel settore pubblico ed interagisce con gli operatori economici. </w:t>
      </w:r>
      <w:r w:rsidR="005605D9">
        <w:rPr>
          <w:rFonts w:eastAsiaTheme="minorHAnsi"/>
          <w:sz w:val="20"/>
          <w:szCs w:val="20"/>
          <w:lang w:val="it-IT" w:eastAsia="en-US"/>
        </w:rPr>
        <w:t>S</w:t>
      </w:r>
      <w:r w:rsidRPr="00007685">
        <w:rPr>
          <w:rFonts w:eastAsiaTheme="minorHAnsi"/>
          <w:sz w:val="20"/>
          <w:szCs w:val="20"/>
          <w:lang w:val="it-IT" w:eastAsia="en-US"/>
        </w:rPr>
        <w:t xml:space="preserve">arà </w:t>
      </w:r>
      <w:r w:rsidR="005605D9">
        <w:rPr>
          <w:rFonts w:eastAsiaTheme="minorHAnsi"/>
          <w:sz w:val="20"/>
          <w:szCs w:val="20"/>
          <w:lang w:val="it-IT" w:eastAsia="en-US"/>
        </w:rPr>
        <w:t>i</w:t>
      </w:r>
      <w:r w:rsidR="005605D9" w:rsidRPr="00007685">
        <w:rPr>
          <w:rFonts w:eastAsiaTheme="minorHAnsi"/>
          <w:sz w:val="20"/>
          <w:szCs w:val="20"/>
          <w:lang w:val="it-IT" w:eastAsia="en-US"/>
        </w:rPr>
        <w:t xml:space="preserve">noltre </w:t>
      </w:r>
      <w:r w:rsidRPr="00007685">
        <w:rPr>
          <w:rFonts w:eastAsiaTheme="minorHAnsi"/>
          <w:sz w:val="20"/>
          <w:szCs w:val="20"/>
          <w:lang w:val="it-IT" w:eastAsia="en-US"/>
        </w:rPr>
        <w:t xml:space="preserve">necessario </w:t>
      </w:r>
      <w:r>
        <w:rPr>
          <w:rFonts w:eastAsiaTheme="minorHAnsi"/>
          <w:sz w:val="20"/>
          <w:szCs w:val="20"/>
          <w:lang w:val="it-IT" w:eastAsia="en-US"/>
        </w:rPr>
        <w:t>s</w:t>
      </w:r>
      <w:r w:rsidRPr="00007685">
        <w:rPr>
          <w:rFonts w:eastAsiaTheme="minorHAnsi"/>
          <w:sz w:val="20"/>
          <w:szCs w:val="20"/>
          <w:lang w:val="it-IT" w:eastAsia="en-US"/>
        </w:rPr>
        <w:t xml:space="preserve">viluppare capacità manageriali evolute con competenze multidisciplinari (gestionali, giuridiche, informatiche, organizzative e strategiche) formando profili in grado di dare soluzione ai problemi che nascono in contesti fortemente dinamici sui piani della tecnologia e dei mercati, nei quali creatività e doti di leadership debbono essere coniugati con la capacità di affrontare problemi complessi di natura strategica, gestionale e organizzativa. Un caso pratico è l’Irlanda, dove il mercato del lavoro conosce </w:t>
      </w:r>
      <w:r w:rsidRPr="00007685">
        <w:rPr>
          <w:rFonts w:eastAsiaTheme="minorHAnsi"/>
          <w:i/>
          <w:iCs/>
          <w:sz w:val="20"/>
          <w:szCs w:val="20"/>
          <w:lang w:val="it-IT" w:eastAsia="en-US"/>
        </w:rPr>
        <w:t>Public Procurement Manager</w:t>
      </w:r>
      <w:r w:rsidRPr="00007685">
        <w:rPr>
          <w:rFonts w:eastAsiaTheme="minorHAnsi"/>
          <w:sz w:val="20"/>
          <w:szCs w:val="20"/>
          <w:lang w:val="it-IT" w:eastAsia="en-US"/>
        </w:rPr>
        <w:t xml:space="preserve"> e </w:t>
      </w:r>
      <w:r w:rsidRPr="00007685">
        <w:rPr>
          <w:rFonts w:eastAsiaTheme="minorHAnsi"/>
          <w:i/>
          <w:iCs/>
          <w:sz w:val="20"/>
          <w:szCs w:val="20"/>
          <w:lang w:val="it-IT" w:eastAsia="en-US"/>
        </w:rPr>
        <w:t>Public Procurement Specialist</w:t>
      </w:r>
      <w:r w:rsidRPr="00007685">
        <w:rPr>
          <w:rFonts w:eastAsiaTheme="minorHAnsi"/>
          <w:sz w:val="20"/>
          <w:szCs w:val="20"/>
          <w:lang w:val="it-IT" w:eastAsia="en-US"/>
        </w:rPr>
        <w:t xml:space="preserve"> (in vari gradi) cfr. </w:t>
      </w:r>
      <w:hyperlink r:id="rId4" w:history="1">
        <w:r w:rsidRPr="00007685">
          <w:rPr>
            <w:rStyle w:val="Collegamentoipertestuale"/>
            <w:rFonts w:eastAsiaTheme="minorHAnsi"/>
            <w:sz w:val="20"/>
            <w:szCs w:val="20"/>
            <w:lang w:val="it-IT" w:eastAsia="en-US"/>
          </w:rPr>
          <w:t>https://www.irishjobs.ie/Public-Procurement-Jobs</w:t>
        </w:r>
      </w:hyperlink>
      <w:r w:rsidRPr="00007685">
        <w:rPr>
          <w:rFonts w:eastAsiaTheme="minorHAnsi"/>
          <w:sz w:val="20"/>
          <w:szCs w:val="20"/>
          <w:lang w:val="it-IT" w:eastAsia="en-US"/>
        </w:rPr>
        <w:t xml:space="preserve">. </w:t>
      </w:r>
    </w:p>
  </w:footnote>
  <w:footnote w:id="8">
    <w:p w14:paraId="49D43A45" w14:textId="1B0601A7" w:rsidR="002A3AC7" w:rsidRPr="00007685" w:rsidRDefault="002A3AC7" w:rsidP="004A7925">
      <w:pPr>
        <w:pStyle w:val="Testonotaapidipagina"/>
        <w:rPr>
          <w:rFonts w:ascii="Times New Roman" w:hAnsi="Times New Roman" w:cs="Times New Roman"/>
          <w:lang w:val="it-IT"/>
        </w:rPr>
      </w:pPr>
      <w:r w:rsidRPr="00DD2E1D">
        <w:rPr>
          <w:rStyle w:val="Rimandonotaapidipagina"/>
          <w:rFonts w:ascii="Times New Roman" w:hAnsi="Times New Roman" w:cs="Times New Roman"/>
        </w:rPr>
        <w:footnoteRef/>
      </w:r>
      <w:r w:rsidRPr="00DD2E1D">
        <w:rPr>
          <w:rFonts w:ascii="Times New Roman" w:hAnsi="Times New Roman" w:cs="Times New Roman"/>
          <w:lang w:val="en-US"/>
        </w:rPr>
        <w:t xml:space="preserve"> </w:t>
      </w:r>
      <w:r w:rsidRPr="00007685">
        <w:rPr>
          <w:rFonts w:ascii="Times New Roman" w:hAnsi="Times New Roman" w:cs="Times New Roman"/>
          <w:lang w:val="it-IT"/>
        </w:rPr>
        <w:t>“Migliorare il mercato unico: maggiori opportunità per i cittadini e le imprese” COM (2015)</w:t>
      </w:r>
      <w:r w:rsidR="00C53AD8">
        <w:rPr>
          <w:rFonts w:ascii="Times New Roman" w:hAnsi="Times New Roman" w:cs="Times New Roman"/>
          <w:lang w:val="it-IT"/>
        </w:rPr>
        <w:t xml:space="preserve"> </w:t>
      </w:r>
      <w:r w:rsidRPr="00007685">
        <w:rPr>
          <w:rFonts w:ascii="Times New Roman" w:hAnsi="Times New Roman" w:cs="Times New Roman"/>
          <w:lang w:val="it-IT"/>
        </w:rPr>
        <w:t>550, 28.10.2015</w:t>
      </w:r>
    </w:p>
  </w:footnote>
  <w:footnote w:id="9">
    <w:p w14:paraId="020B2A9F" w14:textId="52EF3945" w:rsidR="00833D3C" w:rsidRPr="00833D3C" w:rsidRDefault="00833D3C" w:rsidP="00DC4E4F">
      <w:pPr>
        <w:pStyle w:val="Testonotaapidipagina"/>
        <w:rPr>
          <w:rFonts w:ascii="Times New Roman" w:hAnsi="Times New Roman" w:cs="Times New Roman"/>
          <w:lang w:val="en-US"/>
        </w:rPr>
      </w:pPr>
      <w:r w:rsidRPr="00833D3C">
        <w:rPr>
          <w:rStyle w:val="Rimandonotaapidipagina"/>
          <w:rFonts w:ascii="Times New Roman" w:hAnsi="Times New Roman" w:cs="Times New Roman"/>
        </w:rPr>
        <w:footnoteRef/>
      </w:r>
      <w:r w:rsidRPr="00833D3C">
        <w:rPr>
          <w:rFonts w:ascii="Times New Roman" w:hAnsi="Times New Roman" w:cs="Times New Roman"/>
          <w:lang w:val="en-US"/>
        </w:rPr>
        <w:t xml:space="preserve"> 4.10.2018 (2017/2278(INI)</w:t>
      </w:r>
    </w:p>
  </w:footnote>
  <w:footnote w:id="10">
    <w:p w14:paraId="38157E9F" w14:textId="7BB996F8" w:rsidR="002A3AC7" w:rsidRPr="00007685" w:rsidRDefault="002A3AC7" w:rsidP="00DC4E4F">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dir</w:t>
      </w:r>
      <w:r w:rsidR="00C53AD8">
        <w:rPr>
          <w:rFonts w:ascii="Times New Roman" w:hAnsi="Times New Roman" w:cs="Times New Roman"/>
          <w:lang w:val="it-IT"/>
        </w:rPr>
        <w:t>ettive</w:t>
      </w:r>
      <w:r w:rsidRPr="00007685">
        <w:rPr>
          <w:rFonts w:ascii="Times New Roman" w:hAnsi="Times New Roman" w:cs="Times New Roman"/>
          <w:lang w:val="it-IT"/>
        </w:rPr>
        <w:t xml:space="preserve"> 23/2014/UE, 24/2014/UE e 25/2014/UE</w:t>
      </w:r>
    </w:p>
  </w:footnote>
  <w:footnote w:id="11">
    <w:p w14:paraId="002F5815" w14:textId="699226C4" w:rsidR="00DC4E4F" w:rsidRPr="005605D9" w:rsidRDefault="00DC4E4F" w:rsidP="00DC4E4F">
      <w:pPr>
        <w:pStyle w:val="NormaleWeb"/>
        <w:spacing w:before="0" w:beforeAutospacing="0" w:after="0" w:afterAutospacing="0"/>
        <w:jc w:val="both"/>
        <w:rPr>
          <w:sz w:val="20"/>
          <w:szCs w:val="20"/>
          <w:lang w:val="it-IT"/>
        </w:rPr>
      </w:pPr>
      <w:r w:rsidRPr="005605D9">
        <w:rPr>
          <w:rStyle w:val="Rimandonotaapidipagina"/>
          <w:lang w:val="it-IT"/>
        </w:rPr>
        <w:footnoteRef/>
      </w:r>
      <w:r w:rsidRPr="005605D9">
        <w:rPr>
          <w:lang w:val="it-IT"/>
        </w:rPr>
        <w:t xml:space="preserve"> </w:t>
      </w:r>
      <w:r w:rsidRPr="005605D9">
        <w:rPr>
          <w:sz w:val="20"/>
          <w:szCs w:val="20"/>
          <w:lang w:val="it-IT"/>
        </w:rPr>
        <w:t xml:space="preserve">Il </w:t>
      </w:r>
      <w:proofErr w:type="spellStart"/>
      <w:r w:rsidRPr="005605D9">
        <w:rPr>
          <w:sz w:val="20"/>
          <w:szCs w:val="20"/>
          <w:lang w:val="it-IT"/>
        </w:rPr>
        <w:t>cons</w:t>
      </w:r>
      <w:proofErr w:type="spellEnd"/>
      <w:r w:rsidRPr="005605D9">
        <w:rPr>
          <w:sz w:val="20"/>
          <w:szCs w:val="20"/>
          <w:lang w:val="it-IT"/>
        </w:rPr>
        <w:t>. 69 si limita a (omissis) “</w:t>
      </w:r>
      <w:r w:rsidRPr="005605D9">
        <w:rPr>
          <w:i/>
          <w:iCs/>
          <w:sz w:val="20"/>
          <w:szCs w:val="20"/>
          <w:lang w:val="it-IT"/>
        </w:rPr>
        <w:t>Le amministrazioni aggiudicatrici per le quali è concluso un accordo quadro dovrebbero avere la facolt</w:t>
      </w:r>
      <w:r w:rsidR="005605D9">
        <w:rPr>
          <w:i/>
          <w:iCs/>
          <w:sz w:val="20"/>
          <w:szCs w:val="20"/>
          <w:lang w:val="it-IT"/>
        </w:rPr>
        <w:t>à</w:t>
      </w:r>
      <w:r w:rsidRPr="005605D9">
        <w:rPr>
          <w:i/>
          <w:iCs/>
          <w:sz w:val="20"/>
          <w:szCs w:val="20"/>
          <w:lang w:val="it-IT"/>
        </w:rPr>
        <w:t xml:space="preserve"> di usarlo per acquisti singoli o ripetuti. Tali tecniche possono contribuire, dato l’ampio volume degli acquisti, a un aumento della concorrenza e dovrebbero </w:t>
      </w:r>
      <w:r w:rsidRPr="005605D9">
        <w:rPr>
          <w:b/>
          <w:bCs/>
          <w:i/>
          <w:iCs/>
          <w:sz w:val="20"/>
          <w:szCs w:val="20"/>
          <w:lang w:val="it-IT"/>
        </w:rPr>
        <w:t>aiutare a professionalizzare</w:t>
      </w:r>
      <w:r w:rsidRPr="005605D9">
        <w:rPr>
          <w:i/>
          <w:iCs/>
          <w:sz w:val="20"/>
          <w:szCs w:val="20"/>
          <w:lang w:val="it-IT"/>
        </w:rPr>
        <w:t xml:space="preserve"> la commessa pubblica. (…)</w:t>
      </w:r>
      <w:r w:rsidRPr="005605D9">
        <w:rPr>
          <w:sz w:val="20"/>
          <w:szCs w:val="20"/>
          <w:lang w:val="it-IT"/>
        </w:rPr>
        <w:t xml:space="preserve">” </w:t>
      </w:r>
    </w:p>
    <w:p w14:paraId="5D34773E" w14:textId="3352D7D9" w:rsidR="00DC4E4F" w:rsidRPr="00DC4E4F" w:rsidRDefault="00DC4E4F">
      <w:pPr>
        <w:pStyle w:val="Testonotaapidipagina"/>
        <w:rPr>
          <w:lang w:val="en-US"/>
        </w:rPr>
      </w:pPr>
      <w:r w:rsidRPr="00DC4E4F">
        <w:rPr>
          <w:lang w:val="en-US"/>
        </w:rPr>
        <w:t xml:space="preserve"> </w:t>
      </w:r>
    </w:p>
  </w:footnote>
  <w:footnote w:id="12">
    <w:p w14:paraId="504AA0A0" w14:textId="0F6892E1"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COM</w:t>
      </w:r>
      <w:r w:rsidR="00C53AD8">
        <w:rPr>
          <w:rFonts w:ascii="Times New Roman" w:hAnsi="Times New Roman" w:cs="Times New Roman"/>
          <w:lang w:val="it-IT"/>
        </w:rPr>
        <w:t xml:space="preserve"> </w:t>
      </w:r>
      <w:r w:rsidRPr="00007685">
        <w:rPr>
          <w:rFonts w:ascii="Times New Roman" w:hAnsi="Times New Roman" w:cs="Times New Roman"/>
          <w:lang w:val="it-IT"/>
        </w:rPr>
        <w:t>(2017)</w:t>
      </w:r>
      <w:r w:rsidR="00C53AD8">
        <w:rPr>
          <w:rFonts w:ascii="Times New Roman" w:hAnsi="Times New Roman" w:cs="Times New Roman"/>
          <w:lang w:val="it-IT"/>
        </w:rPr>
        <w:t xml:space="preserve"> </w:t>
      </w:r>
      <w:r w:rsidRPr="00007685">
        <w:rPr>
          <w:rFonts w:ascii="Times New Roman" w:hAnsi="Times New Roman" w:cs="Times New Roman"/>
          <w:lang w:val="it-IT"/>
        </w:rPr>
        <w:t>572, 3.10.2017</w:t>
      </w:r>
    </w:p>
  </w:footnote>
  <w:footnote w:id="13">
    <w:p w14:paraId="6FCF0D16" w14:textId="39D77DE8"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COM</w:t>
      </w:r>
      <w:r w:rsidR="00C53AD8">
        <w:rPr>
          <w:rFonts w:ascii="Times New Roman" w:hAnsi="Times New Roman" w:cs="Times New Roman"/>
          <w:lang w:val="it-IT"/>
        </w:rPr>
        <w:t xml:space="preserve"> </w:t>
      </w:r>
      <w:r w:rsidRPr="00007685">
        <w:rPr>
          <w:rFonts w:ascii="Times New Roman" w:hAnsi="Times New Roman" w:cs="Times New Roman"/>
          <w:lang w:val="it-IT"/>
        </w:rPr>
        <w:t>(2017)</w:t>
      </w:r>
      <w:r w:rsidR="00C53AD8">
        <w:rPr>
          <w:rFonts w:ascii="Times New Roman" w:hAnsi="Times New Roman" w:cs="Times New Roman"/>
          <w:lang w:val="it-IT"/>
        </w:rPr>
        <w:t xml:space="preserve"> </w:t>
      </w:r>
      <w:r w:rsidRPr="00007685">
        <w:rPr>
          <w:rFonts w:ascii="Times New Roman" w:hAnsi="Times New Roman" w:cs="Times New Roman"/>
          <w:lang w:val="it-IT"/>
        </w:rPr>
        <w:t>573, 3.10.2017</w:t>
      </w:r>
    </w:p>
  </w:footnote>
  <w:footnote w:id="14">
    <w:p w14:paraId="4308C790" w14:textId="79DED531" w:rsidR="002A3AC7" w:rsidRPr="00D60391" w:rsidRDefault="002A3AC7">
      <w:pPr>
        <w:pStyle w:val="Testonotaapidipagina"/>
        <w:rPr>
          <w:rFonts w:ascii="Times New Roman" w:hAnsi="Times New Roman" w:cs="Times New Roman"/>
          <w:lang w:val="it-IT"/>
        </w:rPr>
      </w:pPr>
      <w:r w:rsidRPr="00D60391">
        <w:rPr>
          <w:rStyle w:val="Rimandonotaapidipagina"/>
          <w:rFonts w:ascii="Times New Roman" w:hAnsi="Times New Roman" w:cs="Times New Roman"/>
          <w:lang w:val="it-IT"/>
        </w:rPr>
        <w:footnoteRef/>
      </w:r>
      <w:r w:rsidRPr="00D60391">
        <w:rPr>
          <w:rFonts w:ascii="Times New Roman" w:hAnsi="Times New Roman" w:cs="Times New Roman"/>
          <w:lang w:val="it-IT"/>
        </w:rPr>
        <w:t xml:space="preserve"> SWD/2017/327</w:t>
      </w:r>
    </w:p>
  </w:footnote>
  <w:footnote w:id="15">
    <w:p w14:paraId="729A3EA3" w14:textId="2DAF90DE" w:rsidR="002A3AC7" w:rsidRPr="00D60391" w:rsidRDefault="002A3AC7" w:rsidP="0003225A">
      <w:pPr>
        <w:pStyle w:val="Testonotaapidipagina"/>
        <w:jc w:val="both"/>
        <w:rPr>
          <w:rFonts w:ascii="Times New Roman" w:hAnsi="Times New Roman" w:cs="Times New Roman"/>
          <w:lang w:val="it-IT"/>
        </w:rPr>
      </w:pPr>
      <w:r w:rsidRPr="00D60391">
        <w:rPr>
          <w:rStyle w:val="Rimandonotaapidipagina"/>
          <w:rFonts w:ascii="Times New Roman" w:hAnsi="Times New Roman" w:cs="Times New Roman"/>
          <w:lang w:val="it-IT"/>
        </w:rPr>
        <w:footnoteRef/>
      </w:r>
      <w:r w:rsidRPr="00D60391">
        <w:rPr>
          <w:rFonts w:ascii="Times New Roman" w:hAnsi="Times New Roman" w:cs="Times New Roman"/>
          <w:lang w:val="it-IT"/>
        </w:rPr>
        <w:t xml:space="preserve"> Raccomandazione (UE) 2017/1805 della Commissione del 3 ottobre 2017, GUCE L 259 del 7.10.2017</w:t>
      </w:r>
    </w:p>
  </w:footnote>
  <w:footnote w:id="16">
    <w:p w14:paraId="7D9C9B03" w14:textId="1A225FDD" w:rsidR="002A3AC7" w:rsidRPr="00D60391" w:rsidRDefault="002A3AC7" w:rsidP="0003225A">
      <w:pPr>
        <w:pStyle w:val="Testonotaapidipagina"/>
        <w:jc w:val="both"/>
        <w:rPr>
          <w:rFonts w:ascii="Times New Roman" w:hAnsi="Times New Roman" w:cs="Times New Roman"/>
          <w:lang w:val="it-IT"/>
        </w:rPr>
      </w:pPr>
      <w:r w:rsidRPr="00D60391">
        <w:rPr>
          <w:rStyle w:val="Rimandonotaapidipagina"/>
          <w:rFonts w:ascii="Times New Roman" w:hAnsi="Times New Roman" w:cs="Times New Roman"/>
          <w:lang w:val="it-IT"/>
        </w:rPr>
        <w:footnoteRef/>
      </w:r>
      <w:r w:rsidRPr="00D60391">
        <w:rPr>
          <w:rFonts w:ascii="Times New Roman" w:hAnsi="Times New Roman" w:cs="Times New Roman"/>
          <w:lang w:val="it-IT"/>
        </w:rPr>
        <w:t xml:space="preserve"> </w:t>
      </w:r>
      <w:r w:rsidR="00C53AD8" w:rsidRPr="00D60391">
        <w:rPr>
          <w:rFonts w:ascii="Times New Roman" w:hAnsi="Times New Roman" w:cs="Times New Roman"/>
          <w:lang w:val="it-IT"/>
        </w:rPr>
        <w:t>COZZIO,</w:t>
      </w:r>
      <w:r w:rsidRPr="00D60391">
        <w:rPr>
          <w:rFonts w:ascii="Times New Roman" w:hAnsi="Times New Roman" w:cs="Times New Roman"/>
          <w:lang w:val="it-IT"/>
        </w:rPr>
        <w:t xml:space="preserve"> M.,</w:t>
      </w:r>
      <w:r w:rsidR="00C53AD8" w:rsidRPr="00D60391">
        <w:rPr>
          <w:rFonts w:ascii="Times New Roman" w:hAnsi="Times New Roman" w:cs="Times New Roman"/>
          <w:lang w:val="it-IT"/>
        </w:rPr>
        <w:t xml:space="preserve"> </w:t>
      </w:r>
      <w:r w:rsidR="00C53AD8" w:rsidRPr="00D60391">
        <w:rPr>
          <w:rFonts w:ascii="Times New Roman" w:hAnsi="Times New Roman" w:cs="Times New Roman"/>
          <w:i/>
          <w:iCs/>
          <w:lang w:val="it-IT"/>
        </w:rPr>
        <w:t xml:space="preserve">La nuova strategia europea in materia di appalti pubblici, </w:t>
      </w:r>
      <w:r w:rsidR="00C53AD8" w:rsidRPr="00D60391">
        <w:rPr>
          <w:rFonts w:ascii="Times New Roman" w:hAnsi="Times New Roman" w:cs="Times New Roman"/>
          <w:lang w:val="it-IT"/>
        </w:rPr>
        <w:t xml:space="preserve">Dir. </w:t>
      </w:r>
      <w:proofErr w:type="spellStart"/>
      <w:r w:rsidR="00C53AD8" w:rsidRPr="00D60391">
        <w:rPr>
          <w:rFonts w:ascii="Times New Roman" w:hAnsi="Times New Roman" w:cs="Times New Roman"/>
          <w:lang w:val="it-IT"/>
        </w:rPr>
        <w:t>Amm</w:t>
      </w:r>
      <w:proofErr w:type="spellEnd"/>
      <w:r w:rsidR="00C53AD8" w:rsidRPr="00D60391">
        <w:rPr>
          <w:rFonts w:ascii="Times New Roman" w:hAnsi="Times New Roman" w:cs="Times New Roman"/>
          <w:lang w:val="it-IT"/>
        </w:rPr>
        <w:t>., 2019, 1, p. 53 ss.</w:t>
      </w:r>
    </w:p>
  </w:footnote>
  <w:footnote w:id="17">
    <w:p w14:paraId="4D851A33" w14:textId="06A0176B" w:rsidR="00C53AD8" w:rsidRPr="00D60391" w:rsidRDefault="00C53AD8" w:rsidP="0003225A">
      <w:pPr>
        <w:jc w:val="both"/>
        <w:rPr>
          <w:rFonts w:ascii="Times New Roman" w:eastAsia="Times New Roman" w:hAnsi="Times New Roman" w:cs="Times New Roman"/>
          <w:color w:val="424242"/>
          <w:sz w:val="20"/>
          <w:szCs w:val="20"/>
          <w:lang w:val="it-IT" w:eastAsia="de-DE"/>
        </w:rPr>
      </w:pPr>
      <w:r w:rsidRPr="00D60391">
        <w:rPr>
          <w:rStyle w:val="Rimandonotaapidipagina"/>
          <w:rFonts w:ascii="Times New Roman" w:hAnsi="Times New Roman" w:cs="Times New Roman"/>
          <w:sz w:val="20"/>
          <w:szCs w:val="20"/>
          <w:lang w:val="it-IT"/>
        </w:rPr>
        <w:footnoteRef/>
      </w:r>
      <w:r w:rsidRPr="00D60391">
        <w:rPr>
          <w:rFonts w:ascii="Times New Roman" w:hAnsi="Times New Roman" w:cs="Times New Roman"/>
          <w:sz w:val="20"/>
          <w:szCs w:val="20"/>
          <w:lang w:val="it-IT"/>
        </w:rPr>
        <w:t xml:space="preserve"> </w:t>
      </w:r>
      <w:r w:rsidRPr="005605D9">
        <w:rPr>
          <w:rFonts w:ascii="Times New Roman" w:hAnsi="Times New Roman" w:cs="Times New Roman"/>
          <w:color w:val="000000" w:themeColor="text1"/>
          <w:sz w:val="20"/>
          <w:szCs w:val="20"/>
          <w:lang w:val="it-IT"/>
        </w:rPr>
        <w:t xml:space="preserve">MOLINARI, F., </w:t>
      </w:r>
      <w:r w:rsidR="0003225A" w:rsidRPr="005605D9">
        <w:rPr>
          <w:rFonts w:ascii="Times New Roman" w:eastAsia="Times New Roman" w:hAnsi="Times New Roman" w:cs="Times New Roman"/>
          <w:i/>
          <w:iCs/>
          <w:color w:val="000000" w:themeColor="text1"/>
          <w:sz w:val="20"/>
          <w:szCs w:val="20"/>
          <w:lang w:val="it-IT" w:eastAsia="de-DE"/>
        </w:rPr>
        <w:t>P</w:t>
      </w:r>
      <w:r w:rsidRPr="005605D9">
        <w:rPr>
          <w:rFonts w:ascii="Times New Roman" w:eastAsia="Times New Roman" w:hAnsi="Times New Roman" w:cs="Times New Roman"/>
          <w:i/>
          <w:iCs/>
          <w:color w:val="000000" w:themeColor="text1"/>
          <w:sz w:val="20"/>
          <w:szCs w:val="20"/>
          <w:lang w:val="it-IT" w:eastAsia="de-DE"/>
        </w:rPr>
        <w:t>rofessionalizzazione de</w:t>
      </w:r>
      <w:r w:rsidR="0003225A" w:rsidRPr="005605D9">
        <w:rPr>
          <w:rFonts w:ascii="Times New Roman" w:eastAsia="Times New Roman" w:hAnsi="Times New Roman" w:cs="Times New Roman"/>
          <w:i/>
          <w:iCs/>
          <w:color w:val="000000" w:themeColor="text1"/>
          <w:sz w:val="20"/>
          <w:szCs w:val="20"/>
          <w:lang w:val="it-IT" w:eastAsia="de-DE"/>
        </w:rPr>
        <w:t>lle stazioni appaltanti: i tre fonti d’intervento</w:t>
      </w:r>
      <w:r w:rsidR="0003225A" w:rsidRPr="005605D9">
        <w:rPr>
          <w:rFonts w:ascii="Times New Roman" w:eastAsia="Times New Roman" w:hAnsi="Times New Roman" w:cs="Times New Roman"/>
          <w:color w:val="000000" w:themeColor="text1"/>
          <w:sz w:val="20"/>
          <w:szCs w:val="20"/>
          <w:lang w:val="it-IT" w:eastAsia="de-DE"/>
        </w:rPr>
        <w:t xml:space="preserve">, 9.4.2018, </w:t>
      </w:r>
      <w:hyperlink r:id="rId5" w:history="1">
        <w:r w:rsidR="0003225A" w:rsidRPr="00D60391">
          <w:rPr>
            <w:rStyle w:val="Collegamentoipertestuale"/>
            <w:rFonts w:ascii="Times New Roman" w:eastAsia="Times New Roman" w:hAnsi="Times New Roman" w:cs="Times New Roman"/>
            <w:sz w:val="20"/>
            <w:szCs w:val="20"/>
            <w:lang w:val="it-IT" w:eastAsia="de-DE"/>
          </w:rPr>
          <w:t>https://www.agendadigitale.eu/procurement/professionalizzazione-delle-stazioni-appaltanti-i-tre-fronti-dintervento</w:t>
        </w:r>
      </w:hyperlink>
      <w:r w:rsidR="0003225A" w:rsidRPr="00D60391">
        <w:rPr>
          <w:rFonts w:ascii="Times New Roman" w:eastAsia="Times New Roman" w:hAnsi="Times New Roman" w:cs="Times New Roman"/>
          <w:color w:val="424242"/>
          <w:sz w:val="20"/>
          <w:szCs w:val="20"/>
          <w:lang w:val="it-IT" w:eastAsia="de-DE"/>
        </w:rPr>
        <w:t xml:space="preserve"> </w:t>
      </w:r>
    </w:p>
  </w:footnote>
  <w:footnote w:id="18">
    <w:p w14:paraId="40B59C86" w14:textId="3E77F229" w:rsidR="002A3AC7" w:rsidRPr="002F0244" w:rsidRDefault="002A3AC7" w:rsidP="0003225A">
      <w:pPr>
        <w:pStyle w:val="NormaleWeb"/>
        <w:spacing w:before="0" w:beforeAutospacing="0" w:after="0" w:afterAutospacing="0"/>
        <w:jc w:val="both"/>
        <w:rPr>
          <w:sz w:val="20"/>
          <w:szCs w:val="20"/>
        </w:rPr>
      </w:pPr>
      <w:r w:rsidRPr="00D60391">
        <w:rPr>
          <w:rStyle w:val="Rimandonotaapidipagina"/>
          <w:sz w:val="20"/>
          <w:szCs w:val="20"/>
          <w:lang w:val="it-IT"/>
        </w:rPr>
        <w:footnoteRef/>
      </w:r>
      <w:r w:rsidRPr="002F0244">
        <w:rPr>
          <w:sz w:val="20"/>
          <w:szCs w:val="20"/>
        </w:rPr>
        <w:t xml:space="preserve"> Study on </w:t>
      </w:r>
      <w:proofErr w:type="spellStart"/>
      <w:r w:rsidRPr="002F0244">
        <w:rPr>
          <w:sz w:val="20"/>
          <w:szCs w:val="20"/>
        </w:rPr>
        <w:t>professionalisation</w:t>
      </w:r>
      <w:proofErr w:type="spellEnd"/>
      <w:r w:rsidRPr="002F0244">
        <w:rPr>
          <w:sz w:val="20"/>
          <w:szCs w:val="20"/>
        </w:rPr>
        <w:t xml:space="preserve"> </w:t>
      </w:r>
      <w:proofErr w:type="spellStart"/>
      <w:r w:rsidRPr="002F0244">
        <w:rPr>
          <w:sz w:val="20"/>
          <w:szCs w:val="20"/>
        </w:rPr>
        <w:t>of</w:t>
      </w:r>
      <w:proofErr w:type="spellEnd"/>
      <w:r w:rsidRPr="002F0244">
        <w:rPr>
          <w:sz w:val="20"/>
          <w:szCs w:val="20"/>
        </w:rPr>
        <w:t xml:space="preserve"> </w:t>
      </w:r>
      <w:proofErr w:type="spellStart"/>
      <w:r w:rsidRPr="002F0244">
        <w:rPr>
          <w:sz w:val="20"/>
          <w:szCs w:val="20"/>
        </w:rPr>
        <w:t>public</w:t>
      </w:r>
      <w:proofErr w:type="spellEnd"/>
      <w:r w:rsidRPr="002F0244">
        <w:rPr>
          <w:sz w:val="20"/>
          <w:szCs w:val="20"/>
        </w:rPr>
        <w:t xml:space="preserve"> </w:t>
      </w:r>
      <w:proofErr w:type="spellStart"/>
      <w:r w:rsidRPr="002F0244">
        <w:rPr>
          <w:sz w:val="20"/>
          <w:szCs w:val="20"/>
        </w:rPr>
        <w:t>procurement</w:t>
      </w:r>
      <w:proofErr w:type="spellEnd"/>
      <w:r w:rsidRPr="002F0244">
        <w:rPr>
          <w:sz w:val="20"/>
          <w:szCs w:val="20"/>
        </w:rPr>
        <w:t xml:space="preserve"> in </w:t>
      </w:r>
      <w:proofErr w:type="spellStart"/>
      <w:r w:rsidRPr="002F0244">
        <w:rPr>
          <w:sz w:val="20"/>
          <w:szCs w:val="20"/>
        </w:rPr>
        <w:t>the</w:t>
      </w:r>
      <w:proofErr w:type="spellEnd"/>
      <w:r w:rsidRPr="002F0244">
        <w:rPr>
          <w:sz w:val="20"/>
          <w:szCs w:val="20"/>
        </w:rPr>
        <w:t xml:space="preserve"> EU </w:t>
      </w:r>
      <w:proofErr w:type="spellStart"/>
      <w:r w:rsidRPr="002F0244">
        <w:rPr>
          <w:sz w:val="20"/>
          <w:szCs w:val="20"/>
        </w:rPr>
        <w:t>and</w:t>
      </w:r>
      <w:proofErr w:type="spellEnd"/>
      <w:r w:rsidRPr="002F0244">
        <w:rPr>
          <w:sz w:val="20"/>
          <w:szCs w:val="20"/>
        </w:rPr>
        <w:t xml:space="preserve"> </w:t>
      </w:r>
      <w:proofErr w:type="spellStart"/>
      <w:r w:rsidRPr="002F0244">
        <w:rPr>
          <w:sz w:val="20"/>
          <w:szCs w:val="20"/>
        </w:rPr>
        <w:t>selected</w:t>
      </w:r>
      <w:proofErr w:type="spellEnd"/>
      <w:r w:rsidRPr="002F0244">
        <w:rPr>
          <w:sz w:val="20"/>
          <w:szCs w:val="20"/>
        </w:rPr>
        <w:t xml:space="preserve"> </w:t>
      </w:r>
      <w:proofErr w:type="spellStart"/>
      <w:r w:rsidRPr="002F0244">
        <w:rPr>
          <w:sz w:val="20"/>
          <w:szCs w:val="20"/>
        </w:rPr>
        <w:t>third</w:t>
      </w:r>
      <w:proofErr w:type="spellEnd"/>
      <w:r w:rsidRPr="002F0244">
        <w:rPr>
          <w:sz w:val="20"/>
          <w:szCs w:val="20"/>
        </w:rPr>
        <w:t xml:space="preserve"> countries, </w:t>
      </w:r>
      <w:hyperlink r:id="rId6" w:history="1">
        <w:r w:rsidRPr="002F0244">
          <w:rPr>
            <w:rStyle w:val="Collegamentoipertestuale"/>
            <w:sz w:val="20"/>
            <w:szCs w:val="20"/>
          </w:rPr>
          <w:t>https://ec.europa.eu/info/policies/public-procurement/support-tools-public-buyers_en</w:t>
        </w:r>
      </w:hyperlink>
      <w:r w:rsidRPr="002F0244">
        <w:rPr>
          <w:color w:val="425184"/>
          <w:sz w:val="20"/>
          <w:szCs w:val="20"/>
        </w:rPr>
        <w:t xml:space="preserve"> </w:t>
      </w:r>
    </w:p>
  </w:footnote>
  <w:footnote w:id="19">
    <w:p w14:paraId="2ADADBDC" w14:textId="77F4938A"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r w:rsidR="0003225A">
        <w:rPr>
          <w:rFonts w:ascii="Times New Roman" w:hAnsi="Times New Roman" w:cs="Times New Roman"/>
          <w:lang w:val="it-IT"/>
        </w:rPr>
        <w:t>d</w:t>
      </w:r>
      <w:r w:rsidRPr="00007685">
        <w:rPr>
          <w:rFonts w:ascii="Times New Roman" w:hAnsi="Times New Roman" w:cs="Times New Roman"/>
          <w:lang w:val="it-IT"/>
        </w:rPr>
        <w:t>.</w:t>
      </w:r>
      <w:r w:rsidR="0003225A">
        <w:rPr>
          <w:rFonts w:ascii="Times New Roman" w:hAnsi="Times New Roman" w:cs="Times New Roman"/>
          <w:lang w:val="it-IT"/>
        </w:rPr>
        <w:t>l</w:t>
      </w:r>
      <w:r w:rsidRPr="00007685">
        <w:rPr>
          <w:rFonts w:ascii="Times New Roman" w:hAnsi="Times New Roman" w:cs="Times New Roman"/>
          <w:lang w:val="it-IT"/>
        </w:rPr>
        <w:t>gs. 18 april</w:t>
      </w:r>
      <w:r>
        <w:rPr>
          <w:rFonts w:ascii="Times New Roman" w:hAnsi="Times New Roman" w:cs="Times New Roman"/>
          <w:lang w:val="it-IT"/>
        </w:rPr>
        <w:t>e</w:t>
      </w:r>
      <w:r w:rsidRPr="00007685">
        <w:rPr>
          <w:rFonts w:ascii="Times New Roman" w:hAnsi="Times New Roman" w:cs="Times New Roman"/>
          <w:lang w:val="it-IT"/>
        </w:rPr>
        <w:t xml:space="preserve"> 2016, n. 50</w:t>
      </w:r>
    </w:p>
  </w:footnote>
  <w:footnote w:id="20">
    <w:p w14:paraId="278A8782" w14:textId="2252EF12" w:rsidR="002A3AC7" w:rsidRPr="00007685" w:rsidRDefault="002A3AC7">
      <w:pPr>
        <w:pStyle w:val="Testonotaapidipagina"/>
        <w:rPr>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r w:rsidR="0003225A">
        <w:rPr>
          <w:rFonts w:ascii="Times New Roman" w:hAnsi="Times New Roman" w:cs="Times New Roman"/>
          <w:lang w:val="it-IT"/>
        </w:rPr>
        <w:t xml:space="preserve">MANTINI, P., </w:t>
      </w:r>
      <w:r w:rsidR="0003225A" w:rsidRPr="0003225A">
        <w:rPr>
          <w:rFonts w:ascii="Times New Roman" w:hAnsi="Times New Roman" w:cs="Times New Roman"/>
          <w:i/>
          <w:iCs/>
          <w:lang w:val="it-IT"/>
        </w:rPr>
        <w:t>Nel cantiere dei nuovi appalti pubblici</w:t>
      </w:r>
      <w:r w:rsidR="0003225A">
        <w:rPr>
          <w:rFonts w:ascii="Times New Roman" w:hAnsi="Times New Roman" w:cs="Times New Roman"/>
          <w:lang w:val="it-IT"/>
        </w:rPr>
        <w:t xml:space="preserve">, </w:t>
      </w:r>
      <w:proofErr w:type="spellStart"/>
      <w:r w:rsidR="0003225A">
        <w:rPr>
          <w:rFonts w:ascii="Times New Roman" w:hAnsi="Times New Roman" w:cs="Times New Roman"/>
          <w:lang w:val="it-IT"/>
        </w:rPr>
        <w:t>Giuffrè</w:t>
      </w:r>
      <w:proofErr w:type="spellEnd"/>
      <w:r w:rsidR="0003225A">
        <w:rPr>
          <w:rFonts w:ascii="Times New Roman" w:hAnsi="Times New Roman" w:cs="Times New Roman"/>
          <w:lang w:val="it-IT"/>
        </w:rPr>
        <w:t>, 2015, p. 65 ss.</w:t>
      </w:r>
    </w:p>
  </w:footnote>
  <w:footnote w:id="21">
    <w:p w14:paraId="1C295C9D" w14:textId="756AA301" w:rsidR="008447C2" w:rsidRPr="008447C2" w:rsidRDefault="008447C2" w:rsidP="00370A60">
      <w:pPr>
        <w:pStyle w:val="Testonotaapidipagina"/>
        <w:jc w:val="both"/>
        <w:rPr>
          <w:rFonts w:ascii="Times New Roman" w:hAnsi="Times New Roman" w:cs="Times New Roman"/>
          <w:lang w:val="en-US"/>
        </w:rPr>
      </w:pPr>
      <w:r w:rsidRPr="003D5637">
        <w:rPr>
          <w:rStyle w:val="Rimandonotaapidipagina"/>
          <w:rFonts w:ascii="Times New Roman" w:hAnsi="Times New Roman" w:cs="Times New Roman"/>
          <w:lang w:val="it-IT"/>
        </w:rPr>
        <w:footnoteRef/>
      </w:r>
      <w:r w:rsidRPr="003D5637">
        <w:rPr>
          <w:rFonts w:ascii="Times New Roman" w:hAnsi="Times New Roman" w:cs="Times New Roman"/>
          <w:lang w:val="it-IT"/>
        </w:rPr>
        <w:t xml:space="preserve"> ARAGNO, A., </w:t>
      </w:r>
      <w:r w:rsidRPr="003D5637">
        <w:rPr>
          <w:rFonts w:ascii="Times New Roman" w:hAnsi="Times New Roman" w:cs="Times New Roman"/>
          <w:i/>
          <w:iCs/>
          <w:lang w:val="it-IT"/>
        </w:rPr>
        <w:t>La qualificazione delle stazioni appaltanti: un primo controllo sull’organizzazione delle P.A.</w:t>
      </w:r>
      <w:r w:rsidRPr="003D5637">
        <w:rPr>
          <w:rFonts w:ascii="Times New Roman" w:hAnsi="Times New Roman" w:cs="Times New Roman"/>
          <w:lang w:val="it-IT"/>
        </w:rPr>
        <w:t>?,</w:t>
      </w:r>
      <w:r w:rsidRPr="008447C2">
        <w:rPr>
          <w:rFonts w:ascii="Times New Roman" w:hAnsi="Times New Roman" w:cs="Times New Roman"/>
          <w:lang w:val="en-US"/>
        </w:rPr>
        <w:t xml:space="preserve"> </w:t>
      </w:r>
      <w:hyperlink r:id="rId7" w:history="1">
        <w:r w:rsidRPr="008447C2">
          <w:rPr>
            <w:rStyle w:val="Collegamentoipertestuale"/>
            <w:rFonts w:ascii="Times New Roman" w:hAnsi="Times New Roman" w:cs="Times New Roman"/>
            <w:lang w:val="en-US"/>
          </w:rPr>
          <w:t>http://www.ildirittoamministrativo.it/archivio/allegati/Qualificazione%20Stazioni%20appaltanti%20a%20cura%20di%20DARIO%20ARAGNO.pdf</w:t>
        </w:r>
      </w:hyperlink>
      <w:r w:rsidRPr="008447C2">
        <w:rPr>
          <w:rFonts w:ascii="Times New Roman" w:hAnsi="Times New Roman" w:cs="Times New Roman"/>
          <w:lang w:val="en-US"/>
        </w:rPr>
        <w:t xml:space="preserve"> </w:t>
      </w:r>
    </w:p>
  </w:footnote>
  <w:footnote w:id="22">
    <w:p w14:paraId="2EB540BA" w14:textId="3C01591C" w:rsidR="002A3AC7" w:rsidRPr="00007685" w:rsidRDefault="002A3AC7" w:rsidP="00370A60">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Prima di adottare il decreto è necessario acquisire il parere del Consiglio di Stato e sentire ANAC e la Conferenza Unificata.</w:t>
      </w:r>
    </w:p>
  </w:footnote>
  <w:footnote w:id="23">
    <w:p w14:paraId="7A01E9F6" w14:textId="4F1E5610" w:rsidR="002A3AC7" w:rsidRPr="00007685" w:rsidRDefault="002A3AC7" w:rsidP="00370A60">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Cfr. </w:t>
      </w:r>
      <w:r w:rsidR="0003225A">
        <w:rPr>
          <w:rFonts w:ascii="Times New Roman" w:hAnsi="Times New Roman" w:cs="Times New Roman"/>
          <w:lang w:val="it-IT"/>
        </w:rPr>
        <w:t>PANETTA</w:t>
      </w:r>
      <w:r w:rsidR="001D40AE">
        <w:rPr>
          <w:rFonts w:ascii="Times New Roman" w:hAnsi="Times New Roman" w:cs="Times New Roman"/>
          <w:lang w:val="it-IT"/>
        </w:rPr>
        <w:t xml:space="preserve">, C., </w:t>
      </w:r>
      <w:r w:rsidR="001D40AE" w:rsidRPr="001D40AE">
        <w:rPr>
          <w:rFonts w:ascii="Times New Roman" w:hAnsi="Times New Roman" w:cs="Times New Roman"/>
          <w:i/>
          <w:iCs/>
          <w:lang w:val="it-IT"/>
        </w:rPr>
        <w:t>La qualificazione delle stazioni appaltanti</w:t>
      </w:r>
      <w:r w:rsidR="001D40AE">
        <w:rPr>
          <w:rFonts w:ascii="Times New Roman" w:hAnsi="Times New Roman" w:cs="Times New Roman"/>
          <w:lang w:val="it-IT"/>
        </w:rPr>
        <w:t>,</w:t>
      </w:r>
      <w:r w:rsidR="00D47E1C">
        <w:rPr>
          <w:rFonts w:ascii="Times New Roman" w:hAnsi="Times New Roman" w:cs="Times New Roman"/>
          <w:lang w:val="it-IT"/>
        </w:rPr>
        <w:t xml:space="preserve"> </w:t>
      </w:r>
      <w:r w:rsidR="001D40AE">
        <w:rPr>
          <w:rFonts w:ascii="Times New Roman" w:hAnsi="Times New Roman" w:cs="Times New Roman"/>
          <w:lang w:val="it-IT"/>
        </w:rPr>
        <w:t>GIUSTAMM, n. 7, 2016.</w:t>
      </w:r>
    </w:p>
  </w:footnote>
  <w:footnote w:id="24">
    <w:p w14:paraId="3BBAF273" w14:textId="2CD90303" w:rsidR="003D5637" w:rsidRPr="003D5637" w:rsidRDefault="003D5637" w:rsidP="00F86FE4">
      <w:pPr>
        <w:jc w:val="both"/>
        <w:rPr>
          <w:lang w:val="en-US"/>
        </w:rPr>
      </w:pPr>
      <w:r w:rsidRPr="003D5637">
        <w:rPr>
          <w:rStyle w:val="Rimandonotaapidipagina"/>
          <w:rFonts w:ascii="Times New Roman" w:hAnsi="Times New Roman" w:cs="Times New Roman"/>
          <w:sz w:val="20"/>
          <w:szCs w:val="20"/>
          <w:lang w:val="it-IT"/>
        </w:rPr>
        <w:footnoteRef/>
      </w:r>
      <w:r w:rsidRPr="003D5637">
        <w:rPr>
          <w:rFonts w:ascii="Times New Roman" w:hAnsi="Times New Roman" w:cs="Times New Roman"/>
          <w:sz w:val="20"/>
          <w:szCs w:val="20"/>
          <w:lang w:val="it-IT"/>
        </w:rPr>
        <w:t xml:space="preserve"> Un operatore economico nel 2018 ha impugnato vari provvedimenti di una stazione appaltante nella Provincia di Brescia perché riteneva che non fosse una stazione appaltante qualificata; il TAR Brescia con sentenza del 21.3.2019, n. 266 ha respinto il ricorso in quanto  “</w:t>
      </w:r>
      <w:r w:rsidRPr="003D5637">
        <w:rPr>
          <w:rFonts w:ascii="Times New Roman" w:eastAsia="Times New Roman" w:hAnsi="Times New Roman" w:cs="Times New Roman"/>
          <w:i/>
          <w:iCs/>
          <w:color w:val="000000"/>
          <w:sz w:val="20"/>
          <w:szCs w:val="20"/>
          <w:lang w:val="it-IT" w:eastAsia="de-DE"/>
        </w:rPr>
        <w:t xml:space="preserve">non è sanzionabile con l’annullamento dell’intera procedura di gara in mancanza di parametri precostituiti che consentano di misurare la sproporzione tra la complessità della procedura e le competenze tecniche della stazione appaltante. Questi parametri potranno essere forniti solo dal decreto che individuerà i requisiti tecnico-organizzativi di cui all’art. 38 comma 2 del </w:t>
      </w:r>
      <w:r>
        <w:rPr>
          <w:rFonts w:ascii="Times New Roman" w:eastAsia="Times New Roman" w:hAnsi="Times New Roman" w:cs="Times New Roman"/>
          <w:i/>
          <w:iCs/>
          <w:color w:val="000000"/>
          <w:sz w:val="20"/>
          <w:szCs w:val="20"/>
          <w:lang w:val="it-IT" w:eastAsia="de-DE"/>
        </w:rPr>
        <w:t>d.</w:t>
      </w:r>
      <w:r w:rsidRPr="003D5637">
        <w:rPr>
          <w:rFonts w:ascii="Times New Roman" w:eastAsia="Times New Roman" w:hAnsi="Times New Roman" w:cs="Times New Roman"/>
          <w:i/>
          <w:iCs/>
          <w:color w:val="000000"/>
          <w:sz w:val="20"/>
          <w:szCs w:val="20"/>
          <w:lang w:val="it-IT" w:eastAsia="de-DE"/>
        </w:rPr>
        <w:t>lgs. 50/2016 per l’iscrizione nell’elenco delle stazioni appaltanti qualificate.”</w:t>
      </w:r>
      <w:r>
        <w:rPr>
          <w:rFonts w:ascii="Times New Roman" w:eastAsia="Times New Roman" w:hAnsi="Times New Roman" w:cs="Times New Roman"/>
          <w:i/>
          <w:iCs/>
          <w:color w:val="000000"/>
          <w:sz w:val="20"/>
          <w:szCs w:val="20"/>
          <w:lang w:val="it-IT" w:eastAsia="de-DE"/>
        </w:rPr>
        <w:t xml:space="preserve"> </w:t>
      </w:r>
      <w:r w:rsidRPr="003D5637">
        <w:rPr>
          <w:rFonts w:ascii="Times New Roman" w:eastAsia="Times New Roman" w:hAnsi="Times New Roman" w:cs="Times New Roman"/>
          <w:color w:val="000000"/>
          <w:sz w:val="20"/>
          <w:szCs w:val="20"/>
          <w:lang w:val="it-IT" w:eastAsia="de-DE"/>
        </w:rPr>
        <w:t>Un</w:t>
      </w:r>
      <w:r>
        <w:rPr>
          <w:rFonts w:ascii="Times New Roman" w:eastAsia="Times New Roman" w:hAnsi="Times New Roman" w:cs="Times New Roman"/>
          <w:color w:val="000000"/>
          <w:sz w:val="20"/>
          <w:szCs w:val="20"/>
          <w:lang w:val="it-IT" w:eastAsia="de-DE"/>
        </w:rPr>
        <w:t>a decisione simile è stata adottata dal TAR Firenze, sentenza del 23.5.2017, n. 730.</w:t>
      </w:r>
    </w:p>
  </w:footnote>
  <w:footnote w:id="25">
    <w:p w14:paraId="351E0C31" w14:textId="091B7105" w:rsidR="00D50690" w:rsidRPr="00D50690" w:rsidRDefault="00D50690" w:rsidP="00D50690">
      <w:pPr>
        <w:pStyle w:val="Testonotaapidipagina"/>
        <w:jc w:val="both"/>
        <w:rPr>
          <w:rFonts w:ascii="Times New Roman" w:hAnsi="Times New Roman" w:cs="Times New Roman"/>
          <w:lang w:val="it-IT"/>
        </w:rPr>
      </w:pPr>
      <w:r w:rsidRPr="00D50690">
        <w:rPr>
          <w:rStyle w:val="Rimandonotaapidipagina"/>
          <w:rFonts w:ascii="Times New Roman" w:hAnsi="Times New Roman" w:cs="Times New Roman"/>
          <w:lang w:val="it-IT"/>
        </w:rPr>
        <w:footnoteRef/>
      </w:r>
      <w:r w:rsidRPr="00D50690">
        <w:rPr>
          <w:rFonts w:ascii="Times New Roman" w:hAnsi="Times New Roman" w:cs="Times New Roman"/>
          <w:lang w:val="it-IT"/>
        </w:rPr>
        <w:t xml:space="preserve"> Cfr. TAR Veneto, sentenza del 9.3.2018, n. 275, la quale ha annullato una gara per mancata qualificazione della stazione appaltante in questo senso.</w:t>
      </w:r>
    </w:p>
  </w:footnote>
  <w:footnote w:id="26">
    <w:p w14:paraId="777E393C" w14:textId="14308A88" w:rsidR="002A3AC7" w:rsidRPr="001D40AE" w:rsidRDefault="002A3AC7" w:rsidP="001D40AE">
      <w:pPr>
        <w:jc w:val="both"/>
        <w:rPr>
          <w:rFonts w:ascii="Times New Roman" w:hAnsi="Times New Roman" w:cs="Times New Roman"/>
          <w:color w:val="000000" w:themeColor="text1"/>
          <w:sz w:val="20"/>
          <w:szCs w:val="20"/>
          <w:lang w:val="en-US"/>
        </w:rPr>
      </w:pPr>
      <w:r w:rsidRPr="001D40AE">
        <w:rPr>
          <w:rStyle w:val="Rimandonotaapidipagina"/>
          <w:rFonts w:ascii="Times New Roman" w:hAnsi="Times New Roman" w:cs="Times New Roman"/>
          <w:color w:val="000000" w:themeColor="text1"/>
          <w:sz w:val="20"/>
          <w:szCs w:val="20"/>
          <w:lang w:val="it-IT"/>
        </w:rPr>
        <w:footnoteRef/>
      </w:r>
      <w:r w:rsidRPr="001D40AE">
        <w:rPr>
          <w:rFonts w:ascii="Times New Roman" w:hAnsi="Times New Roman" w:cs="Times New Roman"/>
          <w:color w:val="000000" w:themeColor="text1"/>
          <w:sz w:val="20"/>
          <w:szCs w:val="20"/>
          <w:lang w:val="it-IT"/>
        </w:rPr>
        <w:t xml:space="preserve"> </w:t>
      </w:r>
      <w:r w:rsidR="001D40AE" w:rsidRPr="001D40AE">
        <w:rPr>
          <w:rFonts w:ascii="Times New Roman" w:hAnsi="Times New Roman" w:cs="Times New Roman"/>
          <w:color w:val="000000" w:themeColor="text1"/>
          <w:sz w:val="20"/>
          <w:szCs w:val="20"/>
          <w:lang w:val="it-IT"/>
        </w:rPr>
        <w:t xml:space="preserve">Assieme </w:t>
      </w:r>
      <w:r w:rsidR="001D40AE" w:rsidRPr="007A4F44">
        <w:rPr>
          <w:rFonts w:ascii="Times New Roman" w:hAnsi="Times New Roman" w:cs="Times New Roman"/>
          <w:color w:val="000000" w:themeColor="text1"/>
          <w:sz w:val="20"/>
          <w:szCs w:val="20"/>
          <w:lang w:val="it-IT"/>
        </w:rPr>
        <w:t xml:space="preserve">alla Provincia Autonoma di Trento, legge provinciale 9 marzo 2016, n. 2, </w:t>
      </w:r>
      <w:r w:rsidR="001D40AE" w:rsidRPr="007A4F44">
        <w:rPr>
          <w:rStyle w:val="Enfasicorsivo"/>
          <w:rFonts w:ascii="Times New Roman" w:hAnsi="Times New Roman" w:cs="Times New Roman"/>
          <w:color w:val="000000" w:themeColor="text1"/>
          <w:sz w:val="20"/>
          <w:szCs w:val="20"/>
          <w:lang w:val="it-IT"/>
        </w:rPr>
        <w:t>Recepimento della direttiva 2014/23/UE del Parlamento europeo e del Consiglio, del 26 febbraio 2014, sull'aggiudicazione dei contratti di concessione, e della direttiva 2014/24/UE del Parlamento europeo e del Consiglio, del 26 febbraio 2014, sugli appalti pubblici: disciplina delle procedure di appalto e di concessione di lavori, servizi e forniture e modificazioni della legge provinciale sui lavori pubblici 1993 e della legge sui contratti e sui beni provinciali 1990. Modificazione della legge provinciale sull'energia 2012.</w:t>
      </w:r>
    </w:p>
  </w:footnote>
  <w:footnote w:id="27">
    <w:p w14:paraId="0411C515" w14:textId="253F4FAF"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E non anche le altre due direttive 2014/23 e 25</w:t>
      </w:r>
      <w:r w:rsidR="001D40AE">
        <w:rPr>
          <w:rFonts w:ascii="Times New Roman" w:hAnsi="Times New Roman" w:cs="Times New Roman"/>
          <w:lang w:val="it-IT"/>
        </w:rPr>
        <w:t>.</w:t>
      </w:r>
    </w:p>
  </w:footnote>
  <w:footnote w:id="28">
    <w:p w14:paraId="35FDE51C" w14:textId="4A9CFADD"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L’articolo è stato aggiunto con l’art. 3, comma 1, della LP 27 gennaio 2017, n. 1.</w:t>
      </w:r>
    </w:p>
  </w:footnote>
  <w:footnote w:id="29">
    <w:p w14:paraId="1B383576" w14:textId="68FB5292" w:rsidR="001D40AE" w:rsidRPr="001D40AE" w:rsidRDefault="001D40AE">
      <w:pPr>
        <w:pStyle w:val="Testonotaapidipagina"/>
        <w:rPr>
          <w:lang w:val="en-US"/>
        </w:rPr>
      </w:pPr>
      <w:r>
        <w:rPr>
          <w:rStyle w:val="Rimandonotaapidipagina"/>
        </w:rPr>
        <w:footnoteRef/>
      </w:r>
      <w:r w:rsidRPr="001D40AE">
        <w:rPr>
          <w:lang w:val="en-US"/>
        </w:rPr>
        <w:t xml:space="preserve"> </w:t>
      </w:r>
      <w:r>
        <w:rPr>
          <w:rFonts w:ascii="Times New Roman" w:hAnsi="Times New Roman" w:cs="Times New Roman"/>
          <w:lang w:val="it-IT"/>
        </w:rPr>
        <w:t>P</w:t>
      </w:r>
      <w:r w:rsidRPr="00F76362">
        <w:rPr>
          <w:rFonts w:ascii="Times New Roman" w:hAnsi="Times New Roman" w:cs="Times New Roman"/>
          <w:lang w:val="it-IT"/>
        </w:rPr>
        <w:t>ubblicato sul BUR il 22 dicembre 2015</w:t>
      </w:r>
      <w:r>
        <w:rPr>
          <w:rFonts w:ascii="Times New Roman" w:hAnsi="Times New Roman" w:cs="Times New Roman"/>
          <w:lang w:val="it-IT"/>
        </w:rPr>
        <w:t>.</w:t>
      </w:r>
    </w:p>
  </w:footnote>
  <w:footnote w:id="30">
    <w:p w14:paraId="6A2D9C3B" w14:textId="78395BC6" w:rsidR="001D40AE" w:rsidRPr="001D40AE" w:rsidRDefault="001D40AE">
      <w:pPr>
        <w:pStyle w:val="Testonotaapidipagina"/>
        <w:rPr>
          <w:lang w:val="en-US"/>
        </w:rPr>
      </w:pPr>
      <w:r>
        <w:rPr>
          <w:rStyle w:val="Rimandonotaapidipagina"/>
        </w:rPr>
        <w:footnoteRef/>
      </w:r>
      <w:r w:rsidRPr="001D40AE">
        <w:rPr>
          <w:lang w:val="en-US"/>
        </w:rPr>
        <w:t xml:space="preserve"> </w:t>
      </w:r>
      <w:r>
        <w:rPr>
          <w:rFonts w:ascii="Times New Roman" w:hAnsi="Times New Roman" w:cs="Times New Roman"/>
          <w:lang w:val="it-IT"/>
        </w:rPr>
        <w:t>I</w:t>
      </w:r>
      <w:r w:rsidRPr="00F76362">
        <w:rPr>
          <w:rFonts w:ascii="Times New Roman" w:hAnsi="Times New Roman" w:cs="Times New Roman"/>
          <w:lang w:val="it-IT"/>
        </w:rPr>
        <w:t>l Codice è stato pubblicato sulla G.U.R.I. il 19 aprile 2016</w:t>
      </w:r>
      <w:r>
        <w:rPr>
          <w:rFonts w:ascii="Times New Roman" w:hAnsi="Times New Roman" w:cs="Times New Roman"/>
          <w:lang w:val="it-IT"/>
        </w:rPr>
        <w:t>.</w:t>
      </w:r>
    </w:p>
  </w:footnote>
  <w:footnote w:id="31">
    <w:p w14:paraId="610ECEE7" w14:textId="3286BE01" w:rsidR="007A4F44" w:rsidRPr="007A4F44" w:rsidRDefault="007A4F44">
      <w:pPr>
        <w:pStyle w:val="Testonotaapidipagina"/>
        <w:rPr>
          <w:lang w:val="en-US"/>
        </w:rPr>
      </w:pPr>
      <w:r>
        <w:rPr>
          <w:rStyle w:val="Rimandonotaapidipagina"/>
        </w:rPr>
        <w:footnoteRef/>
      </w:r>
      <w:r w:rsidRPr="007A4F44">
        <w:rPr>
          <w:lang w:val="en-US"/>
        </w:rPr>
        <w:t xml:space="preserve"> </w:t>
      </w:r>
      <w:r>
        <w:rPr>
          <w:rFonts w:ascii="Times New Roman" w:hAnsi="Times New Roman" w:cs="Times New Roman"/>
          <w:lang w:val="it-IT"/>
        </w:rPr>
        <w:t xml:space="preserve">l. </w:t>
      </w:r>
      <w:r w:rsidRPr="00F76362">
        <w:rPr>
          <w:rFonts w:ascii="Times New Roman" w:hAnsi="Times New Roman" w:cs="Times New Roman"/>
          <w:lang w:val="it-IT"/>
        </w:rPr>
        <w:t>28 gennaio 2016, n. 11</w:t>
      </w:r>
    </w:p>
  </w:footnote>
  <w:footnote w:id="32">
    <w:p w14:paraId="2044ECCF" w14:textId="1969D7AC" w:rsidR="002A3AC7" w:rsidRPr="00007685" w:rsidRDefault="002A3AC7" w:rsidP="00283A09">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r w:rsidR="001D40AE">
        <w:rPr>
          <w:rFonts w:ascii="Times New Roman" w:hAnsi="Times New Roman" w:cs="Times New Roman"/>
          <w:lang w:val="it-IT"/>
        </w:rPr>
        <w:t xml:space="preserve">Rapporto 1/2020 del 23.7.2020 sugli appalti pubblici in Alto Adige 2019, </w:t>
      </w:r>
      <w:hyperlink r:id="rId8" w:history="1">
        <w:r w:rsidR="001D40AE" w:rsidRPr="00660130">
          <w:rPr>
            <w:rStyle w:val="Collegamentoipertestuale"/>
            <w:rFonts w:ascii="Times New Roman" w:hAnsi="Times New Roman" w:cs="Times New Roman"/>
            <w:lang w:val="it-IT"/>
          </w:rPr>
          <w:t>https://www.ausschreibungen-suedtirol.it/pleiade/comune/bolzano/documenti/pubblications/Report_2019.pdf</w:t>
        </w:r>
      </w:hyperlink>
      <w:r w:rsidR="001D40AE">
        <w:rPr>
          <w:rFonts w:ascii="Times New Roman" w:hAnsi="Times New Roman" w:cs="Times New Roman"/>
          <w:lang w:val="it-IT"/>
        </w:rPr>
        <w:t xml:space="preserve"> </w:t>
      </w:r>
    </w:p>
  </w:footnote>
  <w:footnote w:id="33">
    <w:p w14:paraId="0B1B2115" w14:textId="17423DE7" w:rsidR="002A3AC7" w:rsidRPr="00007685" w:rsidRDefault="002A3AC7" w:rsidP="00283A09">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Sol</w:t>
      </w:r>
      <w:r w:rsidR="00F86FE4">
        <w:rPr>
          <w:rFonts w:ascii="Times New Roman" w:hAnsi="Times New Roman" w:cs="Times New Roman"/>
          <w:lang w:val="it-IT"/>
        </w:rPr>
        <w:t>o</w:t>
      </w:r>
      <w:r w:rsidRPr="00007685">
        <w:rPr>
          <w:rFonts w:ascii="Times New Roman" w:hAnsi="Times New Roman" w:cs="Times New Roman"/>
          <w:lang w:val="it-IT"/>
        </w:rPr>
        <w:t xml:space="preserve"> 7 comuni (su 116) e 6 comunità comprensoriali possono svolgere autonomamente ogni tipologia di procedura, mentre tutti gli altri enti pubblici devono servirsi dell’Agenzia per </w:t>
      </w:r>
      <w:r w:rsidR="00F86FE4">
        <w:rPr>
          <w:rFonts w:ascii="Times New Roman" w:hAnsi="Times New Roman" w:cs="Times New Roman"/>
          <w:lang w:val="it-IT"/>
        </w:rPr>
        <w:t xml:space="preserve">le </w:t>
      </w:r>
      <w:r w:rsidRPr="00007685">
        <w:rPr>
          <w:rFonts w:ascii="Times New Roman" w:hAnsi="Times New Roman" w:cs="Times New Roman"/>
          <w:lang w:val="it-IT"/>
        </w:rPr>
        <w:t xml:space="preserve">procedure </w:t>
      </w:r>
      <w:r w:rsidR="001909FB">
        <w:rPr>
          <w:rFonts w:ascii="Times New Roman" w:hAnsi="Times New Roman" w:cs="Times New Roman"/>
          <w:lang w:val="it-IT"/>
        </w:rPr>
        <w:t>aperte</w:t>
      </w:r>
      <w:r w:rsidRPr="00007685">
        <w:rPr>
          <w:rFonts w:ascii="Times New Roman" w:hAnsi="Times New Roman" w:cs="Times New Roman"/>
          <w:lang w:val="it-IT"/>
        </w:rPr>
        <w:t xml:space="preserve"> per lavori e la soglia UE per servizi e forniture</w:t>
      </w:r>
      <w:r w:rsidR="001909FB">
        <w:rPr>
          <w:rFonts w:ascii="Times New Roman" w:hAnsi="Times New Roman" w:cs="Times New Roman"/>
          <w:lang w:val="it-IT"/>
        </w:rPr>
        <w:t xml:space="preserve"> (sopra certe soglie)</w:t>
      </w:r>
      <w:r w:rsidRPr="00007685">
        <w:rPr>
          <w:rFonts w:ascii="Times New Roman" w:hAnsi="Times New Roman" w:cs="Times New Roman"/>
          <w:lang w:val="it-IT"/>
        </w:rPr>
        <w:t>.</w:t>
      </w:r>
    </w:p>
  </w:footnote>
  <w:footnote w:id="34">
    <w:p w14:paraId="0719AF8D" w14:textId="17DE04D8" w:rsidR="002A3AC7" w:rsidRPr="00007685" w:rsidRDefault="002A3AC7" w:rsidP="00283A09">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r w:rsidR="00283A09">
        <w:rPr>
          <w:rFonts w:ascii="Times New Roman" w:hAnsi="Times New Roman" w:cs="Times New Roman"/>
          <w:lang w:val="it-IT"/>
        </w:rPr>
        <w:t xml:space="preserve">Sull’attività ed il regolamento interno per l’organizzazione e l’espletamento delle attività di Audit </w:t>
      </w:r>
      <w:hyperlink r:id="rId9" w:history="1">
        <w:r w:rsidR="00370A60" w:rsidRPr="00660130">
          <w:rPr>
            <w:rStyle w:val="Collegamentoipertestuale"/>
            <w:rFonts w:ascii="Times New Roman" w:hAnsi="Times New Roman" w:cs="Times New Roman"/>
            <w:lang w:val="it-IT"/>
          </w:rPr>
          <w:t>https://aov.provinz.bz.it/downloads/DekretAOV_24_2018_Audit_Interne_Geschaftsordnung.pdf</w:t>
        </w:r>
      </w:hyperlink>
      <w:r w:rsidR="00283A09">
        <w:rPr>
          <w:rFonts w:ascii="Times New Roman" w:hAnsi="Times New Roman" w:cs="Times New Roman"/>
          <w:lang w:val="it-IT"/>
        </w:rPr>
        <w:t>.</w:t>
      </w:r>
      <w:r w:rsidRPr="00007685">
        <w:rPr>
          <w:rFonts w:ascii="Times New Roman" w:hAnsi="Times New Roman" w:cs="Times New Roman"/>
          <w:lang w:val="it-IT"/>
        </w:rPr>
        <w:t xml:space="preserve"> </w:t>
      </w:r>
    </w:p>
  </w:footnote>
  <w:footnote w:id="35">
    <w:p w14:paraId="3EC2BC54" w14:textId="48CCE38F" w:rsidR="00D9240E" w:rsidRPr="00D9240E" w:rsidRDefault="00D9240E">
      <w:pPr>
        <w:pStyle w:val="Testonotaapidipagina"/>
        <w:rPr>
          <w:rFonts w:ascii="Times New Roman" w:hAnsi="Times New Roman" w:cs="Times New Roman"/>
          <w:lang w:val="it-IT"/>
        </w:rPr>
      </w:pPr>
      <w:r w:rsidRPr="00D9240E">
        <w:rPr>
          <w:rStyle w:val="Rimandonotaapidipagina"/>
          <w:rFonts w:ascii="Times New Roman" w:hAnsi="Times New Roman" w:cs="Times New Roman"/>
        </w:rPr>
        <w:footnoteRef/>
      </w:r>
      <w:r w:rsidRPr="00D9240E">
        <w:rPr>
          <w:rFonts w:ascii="Times New Roman" w:hAnsi="Times New Roman" w:cs="Times New Roman"/>
          <w:lang w:val="it-IT"/>
        </w:rPr>
        <w:t xml:space="preserve"> Rapporto 1/2019 del 9.7.2019, sugli appalti pubblici in Alto Adige 2018, p. 6.</w:t>
      </w:r>
    </w:p>
  </w:footnote>
  <w:footnote w:id="36">
    <w:p w14:paraId="3C684830" w14:textId="3DC462F3" w:rsidR="002A3AC7" w:rsidRPr="00007685" w:rsidRDefault="002A3AC7" w:rsidP="00283A09">
      <w:pPr>
        <w:pStyle w:val="listatesto"/>
        <w:spacing w:before="0" w:beforeAutospacing="0" w:after="0" w:afterAutospacing="0"/>
        <w:jc w:val="both"/>
        <w:rPr>
          <w:color w:val="000000"/>
          <w:sz w:val="20"/>
          <w:szCs w:val="20"/>
          <w:lang w:val="it-IT"/>
        </w:rPr>
      </w:pPr>
      <w:r w:rsidRPr="00007685">
        <w:rPr>
          <w:rStyle w:val="Rimandonotaapidipagina"/>
          <w:sz w:val="20"/>
          <w:szCs w:val="20"/>
          <w:lang w:val="it-IT"/>
        </w:rPr>
        <w:footnoteRef/>
      </w:r>
      <w:r w:rsidRPr="00007685">
        <w:rPr>
          <w:sz w:val="20"/>
          <w:szCs w:val="20"/>
          <w:lang w:val="it-IT"/>
        </w:rPr>
        <w:t xml:space="preserve"> </w:t>
      </w:r>
      <w:r w:rsidRPr="00007685">
        <w:rPr>
          <w:color w:val="000000"/>
          <w:sz w:val="20"/>
          <w:szCs w:val="20"/>
          <w:lang w:val="it-IT"/>
        </w:rPr>
        <w:t xml:space="preserve">a) </w:t>
      </w:r>
      <w:r w:rsidR="00283A09">
        <w:rPr>
          <w:color w:val="000000"/>
          <w:sz w:val="20"/>
          <w:szCs w:val="20"/>
          <w:lang w:val="it-IT"/>
        </w:rPr>
        <w:t>L</w:t>
      </w:r>
      <w:r w:rsidRPr="00007685">
        <w:rPr>
          <w:color w:val="000000"/>
          <w:sz w:val="20"/>
          <w:szCs w:val="20"/>
          <w:lang w:val="it-IT"/>
        </w:rPr>
        <w:t>a Provincia autonoma di Bolzano, le aziende e gli enti da essa dipendenti o il cui ordinamento rientra nelle sue competenze, anche delegate, le istituzioni scolastiche e, in generale, gli organismi di diritto pubblico dalla stessa costituiti e comunque denominati, nonché i loro consorzi e associazioni;</w:t>
      </w:r>
    </w:p>
    <w:p w14:paraId="07A62F75" w14:textId="13AC2B17" w:rsidR="002A3AC7" w:rsidRPr="00007685" w:rsidRDefault="002A3AC7" w:rsidP="00283A09">
      <w:pPr>
        <w:pStyle w:val="listatesto"/>
        <w:spacing w:before="0" w:beforeAutospacing="0" w:after="0" w:afterAutospacing="0"/>
        <w:jc w:val="both"/>
        <w:rPr>
          <w:color w:val="000000"/>
          <w:sz w:val="20"/>
          <w:szCs w:val="20"/>
          <w:lang w:val="it-IT"/>
        </w:rPr>
      </w:pPr>
      <w:r w:rsidRPr="00007685">
        <w:rPr>
          <w:color w:val="000000"/>
          <w:sz w:val="20"/>
          <w:szCs w:val="20"/>
          <w:lang w:val="it-IT"/>
        </w:rPr>
        <w:t>b) gli enti locali, le comunità comprensoriali, le amministrazioni dei beni di uso civico e gli altri enti, aziende, società, istituti e in generale gli organismi di diritto pubblico da questi costituiti o partecipati e comunque denominati, nonché i loro consorzi e associazioni, e inoltre le istituzioni universitarie presenti e operanti sul territorio provinciale;</w:t>
      </w:r>
    </w:p>
    <w:p w14:paraId="0D776310" w14:textId="6053133E" w:rsidR="002A3AC7" w:rsidRPr="00007685" w:rsidRDefault="002A3AC7" w:rsidP="00283A09">
      <w:pPr>
        <w:pStyle w:val="listatesto"/>
        <w:spacing w:before="0" w:beforeAutospacing="0" w:after="0" w:afterAutospacing="0"/>
        <w:jc w:val="both"/>
        <w:rPr>
          <w:color w:val="000000"/>
          <w:sz w:val="20"/>
          <w:szCs w:val="20"/>
          <w:lang w:val="it-IT"/>
        </w:rPr>
      </w:pPr>
      <w:r w:rsidRPr="00007685">
        <w:rPr>
          <w:color w:val="000000"/>
          <w:sz w:val="20"/>
          <w:szCs w:val="20"/>
          <w:lang w:val="it-IT"/>
        </w:rPr>
        <w:t>c) i consorzi di bonifica e le altre figure associative o di collaborazione organizzativa, aventi personalità giuridica di diritto pubblico, fra i soggetti di cui alle lettere a), b) e alla presente lettera c);</w:t>
      </w:r>
    </w:p>
    <w:p w14:paraId="12D1BBD3" w14:textId="6A1EAB87" w:rsidR="002A3AC7" w:rsidRPr="00007685" w:rsidRDefault="002A3AC7" w:rsidP="00283A09">
      <w:pPr>
        <w:pStyle w:val="listatesto"/>
        <w:spacing w:before="0" w:beforeAutospacing="0" w:after="0" w:afterAutospacing="0"/>
        <w:jc w:val="both"/>
        <w:rPr>
          <w:color w:val="000000"/>
          <w:sz w:val="20"/>
          <w:szCs w:val="20"/>
          <w:lang w:val="it-IT"/>
        </w:rPr>
      </w:pPr>
      <w:r w:rsidRPr="00007685">
        <w:rPr>
          <w:color w:val="000000"/>
          <w:sz w:val="20"/>
          <w:szCs w:val="20"/>
          <w:lang w:val="it-IT"/>
        </w:rPr>
        <w:t>d) in generale, gli organismi dotati di personalità giuridica, istituiti per soddisfare specificamente bisogni di interesse generale non aventi carattere commerciale o industriale e la cui attività sia finanziata in modo maggioritario dai soggetti di cui alle lettere a), b) e c), oppure la cui gestione sia sottoposta al controllo di tali soggetti, o il cui organo d’amministrazione, di direzione o di vigilanza sia costituito da componenti dei quali più della metà sia designato dai medesimi soggetti.</w:t>
      </w:r>
    </w:p>
  </w:footnote>
  <w:footnote w:id="37">
    <w:p w14:paraId="35DB928C" w14:textId="3214E157" w:rsidR="002A3AC7" w:rsidRPr="00007685" w:rsidRDefault="002A3AC7" w:rsidP="00283A09">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r w:rsidR="00283A09">
        <w:rPr>
          <w:rFonts w:ascii="Times New Roman" w:eastAsia="Times New Roman" w:hAnsi="Times New Roman" w:cs="Times New Roman"/>
          <w:lang w:val="it-IT" w:eastAsia="de-DE"/>
        </w:rPr>
        <w:t>U</w:t>
      </w:r>
      <w:r w:rsidRPr="00007685">
        <w:rPr>
          <w:rFonts w:ascii="Times New Roman" w:eastAsia="Times New Roman" w:hAnsi="Times New Roman" w:cs="Times New Roman"/>
          <w:lang w:val="it-IT" w:eastAsia="de-DE"/>
        </w:rPr>
        <w:t>tilizzazione di documentazione standardizzata, e-procurement, piano anticorruzione aggiornato, rispetto dei tempi di pagamento</w:t>
      </w:r>
      <w:r w:rsidR="00283A09">
        <w:rPr>
          <w:rFonts w:ascii="Times New Roman" w:eastAsia="Times New Roman" w:hAnsi="Times New Roman" w:cs="Times New Roman"/>
          <w:lang w:val="it-IT" w:eastAsia="de-DE"/>
        </w:rPr>
        <w:t>.</w:t>
      </w:r>
    </w:p>
  </w:footnote>
  <w:footnote w:id="38">
    <w:p w14:paraId="014DAF34" w14:textId="004B3938"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Organ</w:t>
      </w:r>
      <w:r w:rsidR="00283A09">
        <w:rPr>
          <w:rFonts w:ascii="Times New Roman" w:hAnsi="Times New Roman" w:cs="Times New Roman"/>
          <w:lang w:val="it-IT"/>
        </w:rPr>
        <w:t>o</w:t>
      </w:r>
      <w:r w:rsidRPr="00007685">
        <w:rPr>
          <w:rFonts w:ascii="Times New Roman" w:hAnsi="Times New Roman" w:cs="Times New Roman"/>
          <w:lang w:val="it-IT"/>
        </w:rPr>
        <w:t xml:space="preserve"> di consultazione</w:t>
      </w:r>
      <w:r w:rsidR="00283A09">
        <w:rPr>
          <w:rFonts w:ascii="Times New Roman" w:hAnsi="Times New Roman" w:cs="Times New Roman"/>
          <w:lang w:val="it-IT"/>
        </w:rPr>
        <w:t xml:space="preserve"> per la valutazione delle scelte strategiche dell’agenzia</w:t>
      </w:r>
      <w:r w:rsidRPr="00007685">
        <w:rPr>
          <w:rFonts w:ascii="Times New Roman" w:hAnsi="Times New Roman" w:cs="Times New Roman"/>
          <w:lang w:val="it-IT"/>
        </w:rPr>
        <w:t xml:space="preserve">, art. </w:t>
      </w:r>
      <w:r w:rsidR="00283A09">
        <w:rPr>
          <w:rFonts w:ascii="Times New Roman" w:hAnsi="Times New Roman" w:cs="Times New Roman"/>
          <w:lang w:val="it-IT"/>
        </w:rPr>
        <w:t>6</w:t>
      </w:r>
      <w:r w:rsidRPr="00007685">
        <w:rPr>
          <w:rFonts w:ascii="Times New Roman" w:hAnsi="Times New Roman" w:cs="Times New Roman"/>
          <w:lang w:val="it-IT"/>
        </w:rPr>
        <w:t xml:space="preserve"> </w:t>
      </w:r>
      <w:r w:rsidR="00283A09">
        <w:rPr>
          <w:rFonts w:ascii="Times New Roman" w:hAnsi="Times New Roman" w:cs="Times New Roman"/>
          <w:lang w:val="it-IT"/>
        </w:rPr>
        <w:t xml:space="preserve">dello </w:t>
      </w:r>
      <w:r w:rsidRPr="00007685">
        <w:rPr>
          <w:rFonts w:ascii="Times New Roman" w:hAnsi="Times New Roman" w:cs="Times New Roman"/>
          <w:lang w:val="it-IT"/>
        </w:rPr>
        <w:t>statuto</w:t>
      </w:r>
      <w:r w:rsidR="00283A09">
        <w:rPr>
          <w:rFonts w:ascii="Times New Roman" w:hAnsi="Times New Roman" w:cs="Times New Roman"/>
          <w:lang w:val="it-IT"/>
        </w:rPr>
        <w:t xml:space="preserve"> ACP.</w:t>
      </w:r>
    </w:p>
  </w:footnote>
  <w:footnote w:id="39">
    <w:p w14:paraId="41069399" w14:textId="1A7C2F95" w:rsidR="002A3AC7" w:rsidRPr="00007685" w:rsidRDefault="002A3AC7" w:rsidP="00DD7E0A">
      <w:pPr>
        <w:pStyle w:val="Testonotaapidipagina"/>
        <w:jc w:val="both"/>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La Giunta provinciale nella delibera 850/2019 ha in</w:t>
      </w:r>
      <w:r w:rsidRPr="00DD7E0A">
        <w:rPr>
          <w:rFonts w:ascii="Times New Roman" w:hAnsi="Times New Roman" w:cs="Times New Roman"/>
          <w:lang w:val="it-IT"/>
        </w:rPr>
        <w:t xml:space="preserve">caricato ACP </w:t>
      </w:r>
      <w:r w:rsidR="00DD7E0A" w:rsidRPr="00DD7E0A">
        <w:rPr>
          <w:rFonts w:ascii="Times New Roman" w:hAnsi="Times New Roman" w:cs="Times New Roman"/>
          <w:lang w:val="it-IT"/>
        </w:rPr>
        <w:t>di eseguire dopo due anni</w:t>
      </w:r>
      <w:r w:rsidRPr="00DD7E0A">
        <w:rPr>
          <w:rFonts w:ascii="Times New Roman" w:hAnsi="Times New Roman" w:cs="Times New Roman"/>
          <w:lang w:val="it-IT"/>
        </w:rPr>
        <w:t xml:space="preserve"> una valutazione degli obiettivi formativi raggiunti</w:t>
      </w:r>
      <w:r w:rsidR="00DD7E0A" w:rsidRPr="00DD7E0A">
        <w:rPr>
          <w:rFonts w:ascii="Times New Roman" w:hAnsi="Times New Roman" w:cs="Times New Roman"/>
          <w:lang w:val="it-IT"/>
        </w:rPr>
        <w:t xml:space="preserve">, </w:t>
      </w:r>
      <w:r w:rsidR="00DD7E0A">
        <w:rPr>
          <w:rFonts w:ascii="Times New Roman" w:hAnsi="Times New Roman" w:cs="Times New Roman"/>
          <w:lang w:val="it-IT"/>
        </w:rPr>
        <w:t>e</w:t>
      </w:r>
      <w:r w:rsidR="00DD7E0A" w:rsidRPr="00DD7E0A">
        <w:rPr>
          <w:rFonts w:ascii="Times New Roman" w:hAnsi="Times New Roman" w:cs="Times New Roman"/>
          <w:lang w:val="it-IT"/>
        </w:rPr>
        <w:t xml:space="preserve"> </w:t>
      </w:r>
      <w:r w:rsidRPr="00DD7E0A">
        <w:rPr>
          <w:rFonts w:ascii="Times New Roman" w:hAnsi="Times New Roman" w:cs="Times New Roman"/>
          <w:lang w:val="it-IT"/>
        </w:rPr>
        <w:t xml:space="preserve">si potrà valutare </w:t>
      </w:r>
      <w:r w:rsidR="00DD7E0A" w:rsidRPr="00DD7E0A">
        <w:rPr>
          <w:rFonts w:ascii="Times New Roman" w:hAnsi="Times New Roman" w:cs="Times New Roman"/>
          <w:lang w:val="it-IT"/>
        </w:rPr>
        <w:t>se sarà necessario</w:t>
      </w:r>
      <w:r w:rsidRPr="00DD7E0A">
        <w:rPr>
          <w:rFonts w:ascii="Times New Roman" w:hAnsi="Times New Roman" w:cs="Times New Roman"/>
          <w:lang w:val="it-IT"/>
        </w:rPr>
        <w:t xml:space="preserve"> introdurre un sistema di accreditamento più dettagliato.</w:t>
      </w:r>
    </w:p>
  </w:footnote>
  <w:footnote w:id="40">
    <w:p w14:paraId="69D6B442" w14:textId="1ECA9A68"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hyperlink r:id="rId10" w:history="1">
        <w:r w:rsidR="00283A09" w:rsidRPr="00660130">
          <w:rPr>
            <w:rStyle w:val="Collegamentoipertestuale"/>
            <w:rFonts w:ascii="Times New Roman" w:hAnsi="Times New Roman" w:cs="Times New Roman"/>
            <w:lang w:val="it-IT"/>
          </w:rPr>
          <w:t>https://www.ausschreibungen-suedtirol.it/registering/organization-unit-register</w:t>
        </w:r>
      </w:hyperlink>
      <w:r w:rsidR="00283A09">
        <w:rPr>
          <w:rFonts w:ascii="Times New Roman" w:hAnsi="Times New Roman" w:cs="Times New Roman"/>
          <w:lang w:val="it-IT"/>
        </w:rPr>
        <w:t xml:space="preserve"> </w:t>
      </w:r>
    </w:p>
  </w:footnote>
  <w:footnote w:id="41">
    <w:p w14:paraId="287C17CD" w14:textId="653C8703" w:rsidR="002A3AC7" w:rsidRPr="00007685" w:rsidRDefault="002A3AC7">
      <w:pPr>
        <w:pStyle w:val="Testonotaapidipagina"/>
        <w:rPr>
          <w:rFonts w:ascii="Times New Roman" w:hAnsi="Times New Roman" w:cs="Times New Roman"/>
          <w:lang w:val="it-IT"/>
        </w:rPr>
      </w:pPr>
      <w:r w:rsidRPr="00007685">
        <w:rPr>
          <w:rStyle w:val="Rimandonotaapidipagina"/>
          <w:rFonts w:ascii="Times New Roman" w:hAnsi="Times New Roman" w:cs="Times New Roman"/>
          <w:lang w:val="it-IT"/>
        </w:rPr>
        <w:footnoteRef/>
      </w:r>
      <w:r w:rsidRPr="00007685">
        <w:rPr>
          <w:rFonts w:ascii="Times New Roman" w:hAnsi="Times New Roman" w:cs="Times New Roman"/>
          <w:lang w:val="it-IT"/>
        </w:rPr>
        <w:t xml:space="preserve"> </w:t>
      </w:r>
      <w:hyperlink r:id="rId11" w:history="1">
        <w:r w:rsidR="00283A09" w:rsidRPr="00660130">
          <w:rPr>
            <w:rStyle w:val="Collegamentoipertestuale"/>
            <w:rFonts w:ascii="Times New Roman" w:hAnsi="Times New Roman" w:cs="Times New Roman"/>
            <w:lang w:val="it-IT"/>
          </w:rPr>
          <w:t>https://www.uibk.ac.at/weiterbildung/universitaetskurse/auftragswesenst/index.html.de</w:t>
        </w:r>
      </w:hyperlink>
      <w:r w:rsidR="00283A09">
        <w:rPr>
          <w:rFonts w:ascii="Times New Roman" w:hAnsi="Times New Roman" w:cs="Times New Roman"/>
          <w:lang w:val="it-IT"/>
        </w:rPr>
        <w:t xml:space="preserve"> </w:t>
      </w:r>
    </w:p>
  </w:footnote>
  <w:footnote w:id="42">
    <w:p w14:paraId="2566159B" w14:textId="4191E9AF" w:rsidR="00501B1D" w:rsidRPr="00501B1D" w:rsidRDefault="00501B1D" w:rsidP="00501B1D">
      <w:pPr>
        <w:pStyle w:val="Testonotaapidipagina"/>
        <w:jc w:val="both"/>
        <w:rPr>
          <w:rFonts w:ascii="Times New Roman" w:hAnsi="Times New Roman" w:cs="Times New Roman"/>
          <w:lang w:val="it-IT"/>
        </w:rPr>
      </w:pPr>
      <w:r w:rsidRPr="00501B1D">
        <w:rPr>
          <w:rStyle w:val="Rimandonotaapidipagina"/>
          <w:rFonts w:ascii="Times New Roman" w:hAnsi="Times New Roman" w:cs="Times New Roman"/>
        </w:rPr>
        <w:footnoteRef/>
      </w:r>
      <w:r w:rsidRPr="00501B1D">
        <w:rPr>
          <w:rFonts w:ascii="Times New Roman" w:hAnsi="Times New Roman" w:cs="Times New Roman"/>
          <w:lang w:val="it-IT"/>
        </w:rPr>
        <w:t xml:space="preserve"> </w:t>
      </w:r>
      <w:r>
        <w:rPr>
          <w:rFonts w:ascii="Times New Roman" w:hAnsi="Times New Roman" w:cs="Times New Roman"/>
          <w:lang w:val="it-IT"/>
        </w:rPr>
        <w:t>L</w:t>
      </w:r>
      <w:r w:rsidRPr="00501B1D">
        <w:rPr>
          <w:rFonts w:ascii="Times New Roman" w:hAnsi="Times New Roman" w:cs="Times New Roman"/>
          <w:lang w:val="it-IT"/>
        </w:rPr>
        <w:t>a delibera 850/2019</w:t>
      </w:r>
      <w:r>
        <w:rPr>
          <w:rFonts w:ascii="Times New Roman" w:hAnsi="Times New Roman" w:cs="Times New Roman"/>
          <w:lang w:val="it-IT"/>
        </w:rPr>
        <w:t xml:space="preserve"> prevede</w:t>
      </w:r>
      <w:r w:rsidRPr="00501B1D">
        <w:rPr>
          <w:rFonts w:ascii="Times New Roman" w:hAnsi="Times New Roman" w:cs="Times New Roman"/>
          <w:lang w:val="it-IT"/>
        </w:rPr>
        <w:t xml:space="preserve"> ufficialmente il 1.1.2020</w:t>
      </w:r>
      <w:r>
        <w:rPr>
          <w:rFonts w:ascii="Times New Roman" w:hAnsi="Times New Roman" w:cs="Times New Roman"/>
          <w:lang w:val="it-IT"/>
        </w:rPr>
        <w:t xml:space="preserve"> come data di inizio</w:t>
      </w:r>
      <w:r w:rsidRPr="00501B1D">
        <w:rPr>
          <w:rFonts w:ascii="Times New Roman" w:hAnsi="Times New Roman" w:cs="Times New Roman"/>
          <w:lang w:val="it-IT"/>
        </w:rPr>
        <w:t xml:space="preserve">, </w:t>
      </w:r>
      <w:r>
        <w:rPr>
          <w:rFonts w:ascii="Times New Roman" w:hAnsi="Times New Roman" w:cs="Times New Roman"/>
          <w:lang w:val="it-IT"/>
        </w:rPr>
        <w:t xml:space="preserve">l’elenco </w:t>
      </w:r>
      <w:r w:rsidR="00F86FE4">
        <w:rPr>
          <w:rFonts w:ascii="Times New Roman" w:hAnsi="Times New Roman" w:cs="Times New Roman"/>
          <w:lang w:val="it-IT"/>
        </w:rPr>
        <w:t xml:space="preserve">delle </w:t>
      </w:r>
      <w:r>
        <w:rPr>
          <w:rFonts w:ascii="Times New Roman" w:hAnsi="Times New Roman" w:cs="Times New Roman"/>
          <w:lang w:val="it-IT"/>
        </w:rPr>
        <w:t xml:space="preserve">stazioni appaltanti qualificate e </w:t>
      </w:r>
      <w:r w:rsidR="00F86FE4">
        <w:rPr>
          <w:rFonts w:ascii="Times New Roman" w:hAnsi="Times New Roman" w:cs="Times New Roman"/>
          <w:lang w:val="it-IT"/>
        </w:rPr>
        <w:t xml:space="preserve">il </w:t>
      </w:r>
      <w:r>
        <w:rPr>
          <w:rFonts w:ascii="Times New Roman" w:hAnsi="Times New Roman" w:cs="Times New Roman"/>
          <w:lang w:val="it-IT"/>
        </w:rPr>
        <w:t xml:space="preserve">registro RUP erano </w:t>
      </w:r>
      <w:r w:rsidRPr="00501B1D">
        <w:rPr>
          <w:rFonts w:ascii="Times New Roman" w:hAnsi="Times New Roman" w:cs="Times New Roman"/>
          <w:lang w:val="it-IT"/>
        </w:rPr>
        <w:t>operativ</w:t>
      </w:r>
      <w:r>
        <w:rPr>
          <w:rFonts w:ascii="Times New Roman" w:hAnsi="Times New Roman" w:cs="Times New Roman"/>
          <w:lang w:val="it-IT"/>
        </w:rPr>
        <w:t>i</w:t>
      </w:r>
      <w:r w:rsidRPr="00501B1D">
        <w:rPr>
          <w:rFonts w:ascii="Times New Roman" w:hAnsi="Times New Roman" w:cs="Times New Roman"/>
          <w:lang w:val="it-IT"/>
        </w:rPr>
        <w:t xml:space="preserve"> dal 1.7.2020.</w:t>
      </w:r>
    </w:p>
  </w:footnote>
  <w:footnote w:id="43">
    <w:p w14:paraId="3FF37BB5" w14:textId="1F0936F1" w:rsidR="00283A09" w:rsidRPr="005605D9" w:rsidRDefault="00283A09" w:rsidP="008447C2">
      <w:pPr>
        <w:pStyle w:val="Testonotaapidipagina"/>
        <w:jc w:val="both"/>
        <w:rPr>
          <w:rFonts w:ascii="Times New Roman" w:hAnsi="Times New Roman" w:cs="Times New Roman"/>
          <w:lang w:val="it-IT"/>
        </w:rPr>
      </w:pPr>
      <w:r w:rsidRPr="005605D9">
        <w:rPr>
          <w:rStyle w:val="Rimandonotaapidipagina"/>
          <w:rFonts w:ascii="Times New Roman" w:hAnsi="Times New Roman" w:cs="Times New Roman"/>
        </w:rPr>
        <w:footnoteRef/>
      </w:r>
      <w:r w:rsidRPr="005605D9">
        <w:rPr>
          <w:rFonts w:ascii="Times New Roman" w:hAnsi="Times New Roman" w:cs="Times New Roman"/>
          <w:lang w:val="it-IT"/>
        </w:rPr>
        <w:t xml:space="preserve"> </w:t>
      </w:r>
      <w:r w:rsidR="005605D9" w:rsidRPr="005605D9">
        <w:rPr>
          <w:rFonts w:ascii="Times New Roman" w:hAnsi="Times New Roman" w:cs="Times New Roman"/>
          <w:lang w:val="it-IT"/>
        </w:rPr>
        <w:t>In</w:t>
      </w:r>
      <w:r w:rsidRPr="005605D9">
        <w:rPr>
          <w:rFonts w:ascii="Times New Roman" w:hAnsi="Times New Roman" w:cs="Times New Roman"/>
          <w:lang w:val="it-IT"/>
        </w:rPr>
        <w:t xml:space="preserve"> seguito al protocollo d’intesa tra il Dipartimento per le politiche Europee della Presidente del Consiglio dei Ministri, l’Agenzia per la Coesione Territoriale, la Scuola Nazionale dell’Amministrazione e la Conferenza delle Regione e delle Provincie Autonome </w:t>
      </w:r>
      <w:r w:rsidR="008447C2" w:rsidRPr="005605D9">
        <w:rPr>
          <w:rFonts w:ascii="Times New Roman" w:hAnsi="Times New Roman" w:cs="Times New Roman"/>
          <w:lang w:val="it-IT"/>
        </w:rPr>
        <w:t xml:space="preserve">su un piano formativo in materia di appalti pubblici del 2016 è stata svolta una notevole attività di formazione, con moduli e-learning e conferenze in streaming in tutta Italia, cfr. </w:t>
      </w:r>
      <w:hyperlink r:id="rId12" w:history="1">
        <w:r w:rsidR="008447C2" w:rsidRPr="005605D9">
          <w:rPr>
            <w:rStyle w:val="Collegamentoipertestuale"/>
            <w:rFonts w:ascii="Times New Roman" w:hAnsi="Times New Roman" w:cs="Times New Roman"/>
            <w:lang w:val="it-IT"/>
          </w:rPr>
          <w:t>http://www.itaca.org/formazione_appalti2.asp</w:t>
        </w:r>
      </w:hyperlink>
      <w:r w:rsidR="008447C2" w:rsidRPr="005605D9">
        <w:rPr>
          <w:rFonts w:ascii="Times New Roman" w:hAnsi="Times New Roman" w:cs="Times New Roman"/>
          <w:lang w:val="it-IT"/>
        </w:rPr>
        <w:t xml:space="preserve"> </w:t>
      </w:r>
    </w:p>
  </w:footnote>
  <w:footnote w:id="44">
    <w:p w14:paraId="1A48B2DD" w14:textId="68624E93" w:rsidR="002A3AC7" w:rsidRPr="005605D9" w:rsidRDefault="002A3AC7" w:rsidP="00A85AE6">
      <w:pPr>
        <w:pStyle w:val="Testonotaapidipagina"/>
        <w:jc w:val="both"/>
        <w:rPr>
          <w:rFonts w:ascii="Times New Roman" w:hAnsi="Times New Roman" w:cs="Times New Roman"/>
          <w:lang w:val="it-IT"/>
        </w:rPr>
      </w:pPr>
      <w:r w:rsidRPr="005605D9">
        <w:rPr>
          <w:rStyle w:val="Rimandonotaapidipagina"/>
          <w:rFonts w:ascii="Times New Roman" w:hAnsi="Times New Roman" w:cs="Times New Roman"/>
          <w:lang w:val="it-IT"/>
        </w:rPr>
        <w:footnoteRef/>
      </w:r>
      <w:r w:rsidRPr="005605D9">
        <w:rPr>
          <w:rFonts w:ascii="Times New Roman" w:hAnsi="Times New Roman" w:cs="Times New Roman"/>
          <w:lang w:val="it-IT"/>
        </w:rPr>
        <w:t xml:space="preserve"> </w:t>
      </w:r>
      <w:r w:rsidR="00283A09" w:rsidRPr="005605D9">
        <w:rPr>
          <w:rFonts w:ascii="Times New Roman" w:hAnsi="Times New Roman" w:cs="Times New Roman"/>
          <w:lang w:val="it-IT"/>
        </w:rPr>
        <w:t xml:space="preserve">Una delle più importanti attività didattiche in questo settore </w:t>
      </w:r>
      <w:r w:rsidR="00F86FE4">
        <w:rPr>
          <w:rFonts w:ascii="Times New Roman" w:hAnsi="Times New Roman" w:cs="Times New Roman"/>
          <w:lang w:val="it-IT"/>
        </w:rPr>
        <w:t>viene</w:t>
      </w:r>
      <w:r w:rsidR="00283A09" w:rsidRPr="005605D9">
        <w:rPr>
          <w:rFonts w:ascii="Times New Roman" w:hAnsi="Times New Roman" w:cs="Times New Roman"/>
          <w:lang w:val="it-IT"/>
        </w:rPr>
        <w:t xml:space="preserve"> </w:t>
      </w:r>
      <w:r w:rsidR="00F86FE4">
        <w:rPr>
          <w:rFonts w:ascii="Times New Roman" w:hAnsi="Times New Roman" w:cs="Times New Roman"/>
          <w:lang w:val="it-IT"/>
        </w:rPr>
        <w:t>svolta</w:t>
      </w:r>
      <w:r w:rsidR="00283A09" w:rsidRPr="005605D9">
        <w:rPr>
          <w:rFonts w:ascii="Times New Roman" w:hAnsi="Times New Roman" w:cs="Times New Roman"/>
          <w:lang w:val="it-IT"/>
        </w:rPr>
        <w:t xml:space="preserve"> dall’Università degli studi di </w:t>
      </w:r>
      <w:r w:rsidRPr="005605D9">
        <w:rPr>
          <w:rFonts w:ascii="Times New Roman" w:hAnsi="Times New Roman" w:cs="Times New Roman"/>
          <w:lang w:val="it-IT"/>
        </w:rPr>
        <w:t>Roma Tor Vergata</w:t>
      </w:r>
      <w:r w:rsidR="00283A09" w:rsidRPr="005605D9">
        <w:rPr>
          <w:rFonts w:ascii="Times New Roman" w:hAnsi="Times New Roman" w:cs="Times New Roman"/>
          <w:lang w:val="it-IT"/>
        </w:rPr>
        <w:t xml:space="preserve">, con diversi master ed executive master in procurement management, cfr. </w:t>
      </w:r>
      <w:hyperlink r:id="rId13" w:history="1">
        <w:r w:rsidR="00283A09" w:rsidRPr="005605D9">
          <w:rPr>
            <w:rStyle w:val="Collegamentoipertestuale"/>
            <w:rFonts w:ascii="Times New Roman" w:hAnsi="Times New Roman" w:cs="Times New Roman"/>
            <w:lang w:val="it-IT"/>
          </w:rPr>
          <w:t>https://masterprocurement.it</w:t>
        </w:r>
      </w:hyperlink>
      <w:r w:rsidR="00283A09" w:rsidRPr="005605D9">
        <w:rPr>
          <w:rFonts w:ascii="Times New Roman" w:hAnsi="Times New Roman" w:cs="Times New Roman"/>
          <w:lang w:val="it-I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9EA"/>
    <w:multiLevelType w:val="hybridMultilevel"/>
    <w:tmpl w:val="5F1C52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0F5CF3"/>
    <w:multiLevelType w:val="hybridMultilevel"/>
    <w:tmpl w:val="33F46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730E49"/>
    <w:multiLevelType w:val="multilevel"/>
    <w:tmpl w:val="7E9C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3431C"/>
    <w:multiLevelType w:val="hybridMultilevel"/>
    <w:tmpl w:val="A63A72BE"/>
    <w:lvl w:ilvl="0" w:tplc="BEEA9894">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53078C"/>
    <w:multiLevelType w:val="multilevel"/>
    <w:tmpl w:val="6D5A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D5714"/>
    <w:multiLevelType w:val="multilevel"/>
    <w:tmpl w:val="A0FA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23F42"/>
    <w:multiLevelType w:val="hybridMultilevel"/>
    <w:tmpl w:val="98FCA844"/>
    <w:lvl w:ilvl="0" w:tplc="135CECC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770FE7"/>
    <w:multiLevelType w:val="hybridMultilevel"/>
    <w:tmpl w:val="104A307A"/>
    <w:lvl w:ilvl="0" w:tplc="BEEA9894">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2D"/>
    <w:rsid w:val="00007685"/>
    <w:rsid w:val="0003225A"/>
    <w:rsid w:val="00052268"/>
    <w:rsid w:val="00060549"/>
    <w:rsid w:val="000721D2"/>
    <w:rsid w:val="00096F51"/>
    <w:rsid w:val="000F5DFA"/>
    <w:rsid w:val="00101C11"/>
    <w:rsid w:val="0011170C"/>
    <w:rsid w:val="001909FB"/>
    <w:rsid w:val="001B0B69"/>
    <w:rsid w:val="001C5D2D"/>
    <w:rsid w:val="001C5EF0"/>
    <w:rsid w:val="001D40AE"/>
    <w:rsid w:val="0024091C"/>
    <w:rsid w:val="00253B87"/>
    <w:rsid w:val="002637AC"/>
    <w:rsid w:val="00274474"/>
    <w:rsid w:val="00283A09"/>
    <w:rsid w:val="002864B0"/>
    <w:rsid w:val="0029218B"/>
    <w:rsid w:val="002A0609"/>
    <w:rsid w:val="002A231E"/>
    <w:rsid w:val="002A3AC7"/>
    <w:rsid w:val="002A4ADE"/>
    <w:rsid w:val="002F0244"/>
    <w:rsid w:val="00315469"/>
    <w:rsid w:val="003644A6"/>
    <w:rsid w:val="00370A60"/>
    <w:rsid w:val="00392B76"/>
    <w:rsid w:val="003D5637"/>
    <w:rsid w:val="003F5675"/>
    <w:rsid w:val="004050A2"/>
    <w:rsid w:val="00411A70"/>
    <w:rsid w:val="00414325"/>
    <w:rsid w:val="0041603A"/>
    <w:rsid w:val="00443C69"/>
    <w:rsid w:val="004470A3"/>
    <w:rsid w:val="00484249"/>
    <w:rsid w:val="00492673"/>
    <w:rsid w:val="004A7925"/>
    <w:rsid w:val="004D2C3B"/>
    <w:rsid w:val="00501B1D"/>
    <w:rsid w:val="0050263E"/>
    <w:rsid w:val="0050665C"/>
    <w:rsid w:val="00535270"/>
    <w:rsid w:val="005605D9"/>
    <w:rsid w:val="00581661"/>
    <w:rsid w:val="00584A8D"/>
    <w:rsid w:val="00596034"/>
    <w:rsid w:val="005A7946"/>
    <w:rsid w:val="005B162D"/>
    <w:rsid w:val="005D112A"/>
    <w:rsid w:val="0062452D"/>
    <w:rsid w:val="006A10D7"/>
    <w:rsid w:val="006E2B11"/>
    <w:rsid w:val="006F0074"/>
    <w:rsid w:val="00707B67"/>
    <w:rsid w:val="007153F9"/>
    <w:rsid w:val="00751F40"/>
    <w:rsid w:val="007622A3"/>
    <w:rsid w:val="00766571"/>
    <w:rsid w:val="00774AB9"/>
    <w:rsid w:val="00787488"/>
    <w:rsid w:val="007A4F44"/>
    <w:rsid w:val="007A4F6A"/>
    <w:rsid w:val="00800F12"/>
    <w:rsid w:val="00815D80"/>
    <w:rsid w:val="008218B2"/>
    <w:rsid w:val="00833D3C"/>
    <w:rsid w:val="008447C2"/>
    <w:rsid w:val="00855203"/>
    <w:rsid w:val="008A4416"/>
    <w:rsid w:val="008C6CE5"/>
    <w:rsid w:val="008D248D"/>
    <w:rsid w:val="008E0A23"/>
    <w:rsid w:val="008E1B75"/>
    <w:rsid w:val="008E680F"/>
    <w:rsid w:val="008F50FF"/>
    <w:rsid w:val="00913BD7"/>
    <w:rsid w:val="00914623"/>
    <w:rsid w:val="009149E7"/>
    <w:rsid w:val="009316D8"/>
    <w:rsid w:val="0093741D"/>
    <w:rsid w:val="00994A59"/>
    <w:rsid w:val="00A01C66"/>
    <w:rsid w:val="00A63C3A"/>
    <w:rsid w:val="00A85AE6"/>
    <w:rsid w:val="00A941CC"/>
    <w:rsid w:val="00AC336D"/>
    <w:rsid w:val="00AF4E8A"/>
    <w:rsid w:val="00B108ED"/>
    <w:rsid w:val="00B207BF"/>
    <w:rsid w:val="00B26CA5"/>
    <w:rsid w:val="00B46EAD"/>
    <w:rsid w:val="00B51F47"/>
    <w:rsid w:val="00B552C5"/>
    <w:rsid w:val="00B748FF"/>
    <w:rsid w:val="00B76B48"/>
    <w:rsid w:val="00B7728A"/>
    <w:rsid w:val="00B94D58"/>
    <w:rsid w:val="00BC3533"/>
    <w:rsid w:val="00BF594B"/>
    <w:rsid w:val="00C17A14"/>
    <w:rsid w:val="00C3200D"/>
    <w:rsid w:val="00C46EA5"/>
    <w:rsid w:val="00C53AD8"/>
    <w:rsid w:val="00C94BA0"/>
    <w:rsid w:val="00C950FC"/>
    <w:rsid w:val="00CD416F"/>
    <w:rsid w:val="00D16955"/>
    <w:rsid w:val="00D47E1C"/>
    <w:rsid w:val="00D50690"/>
    <w:rsid w:val="00D56834"/>
    <w:rsid w:val="00D60391"/>
    <w:rsid w:val="00D72E58"/>
    <w:rsid w:val="00D748FB"/>
    <w:rsid w:val="00D75CD2"/>
    <w:rsid w:val="00D9240E"/>
    <w:rsid w:val="00DC43CF"/>
    <w:rsid w:val="00DC4E4F"/>
    <w:rsid w:val="00DD2E1D"/>
    <w:rsid w:val="00DD7E0A"/>
    <w:rsid w:val="00DF029A"/>
    <w:rsid w:val="00DF21AB"/>
    <w:rsid w:val="00DF6287"/>
    <w:rsid w:val="00DF6913"/>
    <w:rsid w:val="00E20EDC"/>
    <w:rsid w:val="00E22C5E"/>
    <w:rsid w:val="00E24C87"/>
    <w:rsid w:val="00E4765C"/>
    <w:rsid w:val="00E5798B"/>
    <w:rsid w:val="00E63477"/>
    <w:rsid w:val="00E845FD"/>
    <w:rsid w:val="00E91836"/>
    <w:rsid w:val="00EC035A"/>
    <w:rsid w:val="00EC6306"/>
    <w:rsid w:val="00F32C71"/>
    <w:rsid w:val="00F57348"/>
    <w:rsid w:val="00F60906"/>
    <w:rsid w:val="00F75A10"/>
    <w:rsid w:val="00F76362"/>
    <w:rsid w:val="00F86FE4"/>
    <w:rsid w:val="00FB6B60"/>
    <w:rsid w:val="00FC5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09E2"/>
  <w15:chartTrackingRefBased/>
  <w15:docId w15:val="{1E9E11F8-7CB6-6C48-B894-25AF0CF4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A10D7"/>
    <w:rPr>
      <w:b/>
      <w:bCs/>
    </w:rPr>
  </w:style>
  <w:style w:type="character" w:customStyle="1" w:styleId="apple-converted-space">
    <w:name w:val="apple-converted-space"/>
    <w:basedOn w:val="Carpredefinitoparagrafo"/>
    <w:rsid w:val="006A10D7"/>
  </w:style>
  <w:style w:type="character" w:styleId="Enfasicorsivo">
    <w:name w:val="Emphasis"/>
    <w:basedOn w:val="Carpredefinitoparagrafo"/>
    <w:uiPriority w:val="20"/>
    <w:qFormat/>
    <w:rsid w:val="006A10D7"/>
    <w:rPr>
      <w:i/>
      <w:iCs/>
    </w:rPr>
  </w:style>
  <w:style w:type="character" w:styleId="Rimandocommento">
    <w:name w:val="annotation reference"/>
    <w:basedOn w:val="Carpredefinitoparagrafo"/>
    <w:uiPriority w:val="99"/>
    <w:semiHidden/>
    <w:unhideWhenUsed/>
    <w:rsid w:val="006A10D7"/>
    <w:rPr>
      <w:sz w:val="16"/>
      <w:szCs w:val="16"/>
    </w:rPr>
  </w:style>
  <w:style w:type="paragraph" w:styleId="Testocommento">
    <w:name w:val="annotation text"/>
    <w:basedOn w:val="Normale"/>
    <w:link w:val="TestocommentoCarattere"/>
    <w:uiPriority w:val="99"/>
    <w:semiHidden/>
    <w:unhideWhenUsed/>
    <w:rsid w:val="006A10D7"/>
    <w:rPr>
      <w:sz w:val="20"/>
      <w:szCs w:val="20"/>
    </w:rPr>
  </w:style>
  <w:style w:type="character" w:customStyle="1" w:styleId="TestocommentoCarattere">
    <w:name w:val="Testo commento Carattere"/>
    <w:basedOn w:val="Carpredefinitoparagrafo"/>
    <w:link w:val="Testocommento"/>
    <w:uiPriority w:val="99"/>
    <w:semiHidden/>
    <w:rsid w:val="006A10D7"/>
    <w:rPr>
      <w:sz w:val="20"/>
      <w:szCs w:val="20"/>
    </w:rPr>
  </w:style>
  <w:style w:type="paragraph" w:styleId="Soggettocommento">
    <w:name w:val="annotation subject"/>
    <w:basedOn w:val="Testocommento"/>
    <w:next w:val="Testocommento"/>
    <w:link w:val="SoggettocommentoCarattere"/>
    <w:uiPriority w:val="99"/>
    <w:semiHidden/>
    <w:unhideWhenUsed/>
    <w:rsid w:val="006A10D7"/>
    <w:rPr>
      <w:b/>
      <w:bCs/>
    </w:rPr>
  </w:style>
  <w:style w:type="character" w:customStyle="1" w:styleId="SoggettocommentoCarattere">
    <w:name w:val="Soggetto commento Carattere"/>
    <w:basedOn w:val="TestocommentoCarattere"/>
    <w:link w:val="Soggettocommento"/>
    <w:uiPriority w:val="99"/>
    <w:semiHidden/>
    <w:rsid w:val="006A10D7"/>
    <w:rPr>
      <w:b/>
      <w:bCs/>
      <w:sz w:val="20"/>
      <w:szCs w:val="20"/>
    </w:rPr>
  </w:style>
  <w:style w:type="paragraph" w:styleId="Testonotaapidipagina">
    <w:name w:val="footnote text"/>
    <w:basedOn w:val="Normale"/>
    <w:link w:val="TestonotaapidipaginaCarattere"/>
    <w:uiPriority w:val="99"/>
    <w:semiHidden/>
    <w:unhideWhenUsed/>
    <w:rsid w:val="006A10D7"/>
    <w:rPr>
      <w:sz w:val="20"/>
      <w:szCs w:val="20"/>
    </w:rPr>
  </w:style>
  <w:style w:type="character" w:customStyle="1" w:styleId="TestonotaapidipaginaCarattere">
    <w:name w:val="Testo nota a piè di pagina Carattere"/>
    <w:basedOn w:val="Carpredefinitoparagrafo"/>
    <w:link w:val="Testonotaapidipagina"/>
    <w:uiPriority w:val="99"/>
    <w:semiHidden/>
    <w:rsid w:val="006A10D7"/>
    <w:rPr>
      <w:sz w:val="20"/>
      <w:szCs w:val="20"/>
    </w:rPr>
  </w:style>
  <w:style w:type="character" w:styleId="Rimandonotaapidipagina">
    <w:name w:val="footnote reference"/>
    <w:basedOn w:val="Carpredefinitoparagrafo"/>
    <w:uiPriority w:val="99"/>
    <w:semiHidden/>
    <w:unhideWhenUsed/>
    <w:rsid w:val="006A10D7"/>
    <w:rPr>
      <w:vertAlign w:val="superscript"/>
    </w:rPr>
  </w:style>
  <w:style w:type="paragraph" w:styleId="NormaleWeb">
    <w:name w:val="Normal (Web)"/>
    <w:basedOn w:val="Normale"/>
    <w:uiPriority w:val="99"/>
    <w:unhideWhenUsed/>
    <w:rsid w:val="00484249"/>
    <w:pPr>
      <w:spacing w:before="100" w:beforeAutospacing="1" w:after="100" w:afterAutospacing="1"/>
    </w:pPr>
    <w:rPr>
      <w:rFonts w:ascii="Times New Roman" w:eastAsia="Times New Roman" w:hAnsi="Times New Roman" w:cs="Times New Roman"/>
      <w:lang w:eastAsia="de-DE"/>
    </w:rPr>
  </w:style>
  <w:style w:type="paragraph" w:styleId="Paragrafoelenco">
    <w:name w:val="List Paragraph"/>
    <w:basedOn w:val="Normale"/>
    <w:uiPriority w:val="34"/>
    <w:qFormat/>
    <w:rsid w:val="008C6CE5"/>
    <w:pPr>
      <w:ind w:left="720"/>
      <w:contextualSpacing/>
    </w:pPr>
  </w:style>
  <w:style w:type="character" w:styleId="Collegamentoipertestuale">
    <w:name w:val="Hyperlink"/>
    <w:basedOn w:val="Carpredefinitoparagrafo"/>
    <w:uiPriority w:val="99"/>
    <w:unhideWhenUsed/>
    <w:rsid w:val="00B26CA5"/>
    <w:rPr>
      <w:color w:val="0563C1" w:themeColor="hyperlink"/>
      <w:u w:val="single"/>
    </w:rPr>
  </w:style>
  <w:style w:type="character" w:customStyle="1" w:styleId="UnresolvedMention">
    <w:name w:val="Unresolved Mention"/>
    <w:basedOn w:val="Carpredefinitoparagrafo"/>
    <w:uiPriority w:val="99"/>
    <w:semiHidden/>
    <w:unhideWhenUsed/>
    <w:rsid w:val="00B26CA5"/>
    <w:rPr>
      <w:color w:val="605E5C"/>
      <w:shd w:val="clear" w:color="auto" w:fill="E1DFDD"/>
    </w:rPr>
  </w:style>
  <w:style w:type="paragraph" w:customStyle="1" w:styleId="listatesto">
    <w:name w:val="lista_testo"/>
    <w:basedOn w:val="Normale"/>
    <w:rsid w:val="00F76362"/>
    <w:pPr>
      <w:spacing w:before="100" w:beforeAutospacing="1" w:after="100" w:afterAutospacing="1"/>
    </w:pPr>
    <w:rPr>
      <w:rFonts w:ascii="Times New Roman" w:eastAsia="Times New Roman" w:hAnsi="Times New Roman" w:cs="Times New Roman"/>
      <w:lang w:eastAsia="de-DE"/>
    </w:rPr>
  </w:style>
  <w:style w:type="character" w:styleId="Collegamentovisitato">
    <w:name w:val="FollowedHyperlink"/>
    <w:basedOn w:val="Carpredefinitoparagrafo"/>
    <w:uiPriority w:val="99"/>
    <w:semiHidden/>
    <w:unhideWhenUsed/>
    <w:rsid w:val="004A7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181">
      <w:bodyDiv w:val="1"/>
      <w:marLeft w:val="0"/>
      <w:marRight w:val="0"/>
      <w:marTop w:val="0"/>
      <w:marBottom w:val="0"/>
      <w:divBdr>
        <w:top w:val="none" w:sz="0" w:space="0" w:color="auto"/>
        <w:left w:val="none" w:sz="0" w:space="0" w:color="auto"/>
        <w:bottom w:val="none" w:sz="0" w:space="0" w:color="auto"/>
        <w:right w:val="none" w:sz="0" w:space="0" w:color="auto"/>
      </w:divBdr>
      <w:divsChild>
        <w:div w:id="1576738828">
          <w:marLeft w:val="0"/>
          <w:marRight w:val="0"/>
          <w:marTop w:val="0"/>
          <w:marBottom w:val="0"/>
          <w:divBdr>
            <w:top w:val="none" w:sz="0" w:space="0" w:color="auto"/>
            <w:left w:val="none" w:sz="0" w:space="0" w:color="auto"/>
            <w:bottom w:val="none" w:sz="0" w:space="0" w:color="auto"/>
            <w:right w:val="none" w:sz="0" w:space="0" w:color="auto"/>
          </w:divBdr>
          <w:divsChild>
            <w:div w:id="1676490007">
              <w:marLeft w:val="0"/>
              <w:marRight w:val="0"/>
              <w:marTop w:val="0"/>
              <w:marBottom w:val="0"/>
              <w:divBdr>
                <w:top w:val="none" w:sz="0" w:space="0" w:color="auto"/>
                <w:left w:val="none" w:sz="0" w:space="0" w:color="auto"/>
                <w:bottom w:val="none" w:sz="0" w:space="0" w:color="auto"/>
                <w:right w:val="none" w:sz="0" w:space="0" w:color="auto"/>
              </w:divBdr>
              <w:divsChild>
                <w:div w:id="163672501">
                  <w:marLeft w:val="0"/>
                  <w:marRight w:val="0"/>
                  <w:marTop w:val="0"/>
                  <w:marBottom w:val="0"/>
                  <w:divBdr>
                    <w:top w:val="none" w:sz="0" w:space="0" w:color="auto"/>
                    <w:left w:val="none" w:sz="0" w:space="0" w:color="auto"/>
                    <w:bottom w:val="none" w:sz="0" w:space="0" w:color="auto"/>
                    <w:right w:val="none" w:sz="0" w:space="0" w:color="auto"/>
                  </w:divBdr>
                  <w:divsChild>
                    <w:div w:id="8884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234">
      <w:bodyDiv w:val="1"/>
      <w:marLeft w:val="0"/>
      <w:marRight w:val="0"/>
      <w:marTop w:val="0"/>
      <w:marBottom w:val="0"/>
      <w:divBdr>
        <w:top w:val="none" w:sz="0" w:space="0" w:color="auto"/>
        <w:left w:val="none" w:sz="0" w:space="0" w:color="auto"/>
        <w:bottom w:val="none" w:sz="0" w:space="0" w:color="auto"/>
        <w:right w:val="none" w:sz="0" w:space="0" w:color="auto"/>
      </w:divBdr>
      <w:divsChild>
        <w:div w:id="1440684270">
          <w:marLeft w:val="0"/>
          <w:marRight w:val="0"/>
          <w:marTop w:val="0"/>
          <w:marBottom w:val="0"/>
          <w:divBdr>
            <w:top w:val="none" w:sz="0" w:space="0" w:color="auto"/>
            <w:left w:val="none" w:sz="0" w:space="0" w:color="auto"/>
            <w:bottom w:val="none" w:sz="0" w:space="0" w:color="auto"/>
            <w:right w:val="none" w:sz="0" w:space="0" w:color="auto"/>
          </w:divBdr>
          <w:divsChild>
            <w:div w:id="1789274807">
              <w:marLeft w:val="0"/>
              <w:marRight w:val="0"/>
              <w:marTop w:val="0"/>
              <w:marBottom w:val="0"/>
              <w:divBdr>
                <w:top w:val="none" w:sz="0" w:space="0" w:color="auto"/>
                <w:left w:val="none" w:sz="0" w:space="0" w:color="auto"/>
                <w:bottom w:val="none" w:sz="0" w:space="0" w:color="auto"/>
                <w:right w:val="none" w:sz="0" w:space="0" w:color="auto"/>
              </w:divBdr>
              <w:divsChild>
                <w:div w:id="1206064162">
                  <w:marLeft w:val="0"/>
                  <w:marRight w:val="0"/>
                  <w:marTop w:val="0"/>
                  <w:marBottom w:val="0"/>
                  <w:divBdr>
                    <w:top w:val="none" w:sz="0" w:space="0" w:color="auto"/>
                    <w:left w:val="none" w:sz="0" w:space="0" w:color="auto"/>
                    <w:bottom w:val="none" w:sz="0" w:space="0" w:color="auto"/>
                    <w:right w:val="none" w:sz="0" w:space="0" w:color="auto"/>
                  </w:divBdr>
                  <w:divsChild>
                    <w:div w:id="10261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6751">
      <w:bodyDiv w:val="1"/>
      <w:marLeft w:val="0"/>
      <w:marRight w:val="0"/>
      <w:marTop w:val="0"/>
      <w:marBottom w:val="0"/>
      <w:divBdr>
        <w:top w:val="none" w:sz="0" w:space="0" w:color="auto"/>
        <w:left w:val="none" w:sz="0" w:space="0" w:color="auto"/>
        <w:bottom w:val="none" w:sz="0" w:space="0" w:color="auto"/>
        <w:right w:val="none" w:sz="0" w:space="0" w:color="auto"/>
      </w:divBdr>
    </w:div>
    <w:div w:id="957417111">
      <w:bodyDiv w:val="1"/>
      <w:marLeft w:val="0"/>
      <w:marRight w:val="0"/>
      <w:marTop w:val="0"/>
      <w:marBottom w:val="0"/>
      <w:divBdr>
        <w:top w:val="none" w:sz="0" w:space="0" w:color="auto"/>
        <w:left w:val="none" w:sz="0" w:space="0" w:color="auto"/>
        <w:bottom w:val="none" w:sz="0" w:space="0" w:color="auto"/>
        <w:right w:val="none" w:sz="0" w:space="0" w:color="auto"/>
      </w:divBdr>
      <w:divsChild>
        <w:div w:id="617297191">
          <w:marLeft w:val="0"/>
          <w:marRight w:val="0"/>
          <w:marTop w:val="0"/>
          <w:marBottom w:val="0"/>
          <w:divBdr>
            <w:top w:val="none" w:sz="0" w:space="0" w:color="auto"/>
            <w:left w:val="none" w:sz="0" w:space="0" w:color="auto"/>
            <w:bottom w:val="none" w:sz="0" w:space="0" w:color="auto"/>
            <w:right w:val="none" w:sz="0" w:space="0" w:color="auto"/>
          </w:divBdr>
          <w:divsChild>
            <w:div w:id="1789736674">
              <w:marLeft w:val="0"/>
              <w:marRight w:val="0"/>
              <w:marTop w:val="0"/>
              <w:marBottom w:val="0"/>
              <w:divBdr>
                <w:top w:val="none" w:sz="0" w:space="0" w:color="auto"/>
                <w:left w:val="none" w:sz="0" w:space="0" w:color="auto"/>
                <w:bottom w:val="none" w:sz="0" w:space="0" w:color="auto"/>
                <w:right w:val="none" w:sz="0" w:space="0" w:color="auto"/>
              </w:divBdr>
              <w:divsChild>
                <w:div w:id="5182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5985">
      <w:bodyDiv w:val="1"/>
      <w:marLeft w:val="0"/>
      <w:marRight w:val="0"/>
      <w:marTop w:val="0"/>
      <w:marBottom w:val="0"/>
      <w:divBdr>
        <w:top w:val="none" w:sz="0" w:space="0" w:color="auto"/>
        <w:left w:val="none" w:sz="0" w:space="0" w:color="auto"/>
        <w:bottom w:val="none" w:sz="0" w:space="0" w:color="auto"/>
        <w:right w:val="none" w:sz="0" w:space="0" w:color="auto"/>
      </w:divBdr>
    </w:div>
    <w:div w:id="1015616495">
      <w:bodyDiv w:val="1"/>
      <w:marLeft w:val="0"/>
      <w:marRight w:val="0"/>
      <w:marTop w:val="0"/>
      <w:marBottom w:val="0"/>
      <w:divBdr>
        <w:top w:val="none" w:sz="0" w:space="0" w:color="auto"/>
        <w:left w:val="none" w:sz="0" w:space="0" w:color="auto"/>
        <w:bottom w:val="none" w:sz="0" w:space="0" w:color="auto"/>
        <w:right w:val="none" w:sz="0" w:space="0" w:color="auto"/>
      </w:divBdr>
      <w:divsChild>
        <w:div w:id="922451324">
          <w:marLeft w:val="0"/>
          <w:marRight w:val="0"/>
          <w:marTop w:val="0"/>
          <w:marBottom w:val="0"/>
          <w:divBdr>
            <w:top w:val="none" w:sz="0" w:space="0" w:color="auto"/>
            <w:left w:val="none" w:sz="0" w:space="0" w:color="auto"/>
            <w:bottom w:val="none" w:sz="0" w:space="0" w:color="auto"/>
            <w:right w:val="none" w:sz="0" w:space="0" w:color="auto"/>
          </w:divBdr>
          <w:divsChild>
            <w:div w:id="1027486560">
              <w:marLeft w:val="0"/>
              <w:marRight w:val="0"/>
              <w:marTop w:val="0"/>
              <w:marBottom w:val="0"/>
              <w:divBdr>
                <w:top w:val="none" w:sz="0" w:space="0" w:color="auto"/>
                <w:left w:val="none" w:sz="0" w:space="0" w:color="auto"/>
                <w:bottom w:val="none" w:sz="0" w:space="0" w:color="auto"/>
                <w:right w:val="none" w:sz="0" w:space="0" w:color="auto"/>
              </w:divBdr>
              <w:divsChild>
                <w:div w:id="823621605">
                  <w:marLeft w:val="0"/>
                  <w:marRight w:val="0"/>
                  <w:marTop w:val="0"/>
                  <w:marBottom w:val="0"/>
                  <w:divBdr>
                    <w:top w:val="none" w:sz="0" w:space="0" w:color="auto"/>
                    <w:left w:val="none" w:sz="0" w:space="0" w:color="auto"/>
                    <w:bottom w:val="none" w:sz="0" w:space="0" w:color="auto"/>
                    <w:right w:val="none" w:sz="0" w:space="0" w:color="auto"/>
                  </w:divBdr>
                </w:div>
              </w:divsChild>
            </w:div>
            <w:div w:id="1766879355">
              <w:marLeft w:val="0"/>
              <w:marRight w:val="0"/>
              <w:marTop w:val="0"/>
              <w:marBottom w:val="0"/>
              <w:divBdr>
                <w:top w:val="none" w:sz="0" w:space="0" w:color="auto"/>
                <w:left w:val="none" w:sz="0" w:space="0" w:color="auto"/>
                <w:bottom w:val="none" w:sz="0" w:space="0" w:color="auto"/>
                <w:right w:val="none" w:sz="0" w:space="0" w:color="auto"/>
              </w:divBdr>
              <w:divsChild>
                <w:div w:id="180358234">
                  <w:marLeft w:val="0"/>
                  <w:marRight w:val="0"/>
                  <w:marTop w:val="0"/>
                  <w:marBottom w:val="0"/>
                  <w:divBdr>
                    <w:top w:val="none" w:sz="0" w:space="0" w:color="auto"/>
                    <w:left w:val="none" w:sz="0" w:space="0" w:color="auto"/>
                    <w:bottom w:val="none" w:sz="0" w:space="0" w:color="auto"/>
                    <w:right w:val="none" w:sz="0" w:space="0" w:color="auto"/>
                  </w:divBdr>
                </w:div>
                <w:div w:id="18447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85761">
      <w:bodyDiv w:val="1"/>
      <w:marLeft w:val="0"/>
      <w:marRight w:val="0"/>
      <w:marTop w:val="0"/>
      <w:marBottom w:val="0"/>
      <w:divBdr>
        <w:top w:val="none" w:sz="0" w:space="0" w:color="auto"/>
        <w:left w:val="none" w:sz="0" w:space="0" w:color="auto"/>
        <w:bottom w:val="none" w:sz="0" w:space="0" w:color="auto"/>
        <w:right w:val="none" w:sz="0" w:space="0" w:color="auto"/>
      </w:divBdr>
    </w:div>
    <w:div w:id="1133904985">
      <w:bodyDiv w:val="1"/>
      <w:marLeft w:val="0"/>
      <w:marRight w:val="0"/>
      <w:marTop w:val="0"/>
      <w:marBottom w:val="0"/>
      <w:divBdr>
        <w:top w:val="none" w:sz="0" w:space="0" w:color="auto"/>
        <w:left w:val="none" w:sz="0" w:space="0" w:color="auto"/>
        <w:bottom w:val="none" w:sz="0" w:space="0" w:color="auto"/>
        <w:right w:val="none" w:sz="0" w:space="0" w:color="auto"/>
      </w:divBdr>
      <w:divsChild>
        <w:div w:id="27802216">
          <w:marLeft w:val="0"/>
          <w:marRight w:val="0"/>
          <w:marTop w:val="0"/>
          <w:marBottom w:val="0"/>
          <w:divBdr>
            <w:top w:val="none" w:sz="0" w:space="0" w:color="auto"/>
            <w:left w:val="none" w:sz="0" w:space="0" w:color="auto"/>
            <w:bottom w:val="none" w:sz="0" w:space="0" w:color="auto"/>
            <w:right w:val="none" w:sz="0" w:space="0" w:color="auto"/>
          </w:divBdr>
          <w:divsChild>
            <w:div w:id="389156595">
              <w:marLeft w:val="0"/>
              <w:marRight w:val="0"/>
              <w:marTop w:val="0"/>
              <w:marBottom w:val="0"/>
              <w:divBdr>
                <w:top w:val="none" w:sz="0" w:space="0" w:color="auto"/>
                <w:left w:val="none" w:sz="0" w:space="0" w:color="auto"/>
                <w:bottom w:val="none" w:sz="0" w:space="0" w:color="auto"/>
                <w:right w:val="none" w:sz="0" w:space="0" w:color="auto"/>
              </w:divBdr>
              <w:divsChild>
                <w:div w:id="506942701">
                  <w:marLeft w:val="0"/>
                  <w:marRight w:val="0"/>
                  <w:marTop w:val="0"/>
                  <w:marBottom w:val="0"/>
                  <w:divBdr>
                    <w:top w:val="none" w:sz="0" w:space="0" w:color="auto"/>
                    <w:left w:val="none" w:sz="0" w:space="0" w:color="auto"/>
                    <w:bottom w:val="none" w:sz="0" w:space="0" w:color="auto"/>
                    <w:right w:val="none" w:sz="0" w:space="0" w:color="auto"/>
                  </w:divBdr>
                  <w:divsChild>
                    <w:div w:id="2667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5362">
      <w:bodyDiv w:val="1"/>
      <w:marLeft w:val="0"/>
      <w:marRight w:val="0"/>
      <w:marTop w:val="0"/>
      <w:marBottom w:val="0"/>
      <w:divBdr>
        <w:top w:val="none" w:sz="0" w:space="0" w:color="auto"/>
        <w:left w:val="none" w:sz="0" w:space="0" w:color="auto"/>
        <w:bottom w:val="none" w:sz="0" w:space="0" w:color="auto"/>
        <w:right w:val="none" w:sz="0" w:space="0" w:color="auto"/>
      </w:divBdr>
      <w:divsChild>
        <w:div w:id="827986163">
          <w:marLeft w:val="0"/>
          <w:marRight w:val="0"/>
          <w:marTop w:val="0"/>
          <w:marBottom w:val="0"/>
          <w:divBdr>
            <w:top w:val="none" w:sz="0" w:space="0" w:color="auto"/>
            <w:left w:val="none" w:sz="0" w:space="0" w:color="auto"/>
            <w:bottom w:val="none" w:sz="0" w:space="0" w:color="auto"/>
            <w:right w:val="none" w:sz="0" w:space="0" w:color="auto"/>
          </w:divBdr>
          <w:divsChild>
            <w:div w:id="550043712">
              <w:marLeft w:val="0"/>
              <w:marRight w:val="0"/>
              <w:marTop w:val="0"/>
              <w:marBottom w:val="0"/>
              <w:divBdr>
                <w:top w:val="none" w:sz="0" w:space="0" w:color="auto"/>
                <w:left w:val="none" w:sz="0" w:space="0" w:color="auto"/>
                <w:bottom w:val="none" w:sz="0" w:space="0" w:color="auto"/>
                <w:right w:val="none" w:sz="0" w:space="0" w:color="auto"/>
              </w:divBdr>
              <w:divsChild>
                <w:div w:id="9567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5878">
      <w:bodyDiv w:val="1"/>
      <w:marLeft w:val="0"/>
      <w:marRight w:val="0"/>
      <w:marTop w:val="0"/>
      <w:marBottom w:val="0"/>
      <w:divBdr>
        <w:top w:val="none" w:sz="0" w:space="0" w:color="auto"/>
        <w:left w:val="none" w:sz="0" w:space="0" w:color="auto"/>
        <w:bottom w:val="none" w:sz="0" w:space="0" w:color="auto"/>
        <w:right w:val="none" w:sz="0" w:space="0" w:color="auto"/>
      </w:divBdr>
    </w:div>
    <w:div w:id="1430001957">
      <w:bodyDiv w:val="1"/>
      <w:marLeft w:val="0"/>
      <w:marRight w:val="0"/>
      <w:marTop w:val="0"/>
      <w:marBottom w:val="0"/>
      <w:divBdr>
        <w:top w:val="none" w:sz="0" w:space="0" w:color="auto"/>
        <w:left w:val="none" w:sz="0" w:space="0" w:color="auto"/>
        <w:bottom w:val="none" w:sz="0" w:space="0" w:color="auto"/>
        <w:right w:val="none" w:sz="0" w:space="0" w:color="auto"/>
      </w:divBdr>
      <w:divsChild>
        <w:div w:id="787088043">
          <w:marLeft w:val="0"/>
          <w:marRight w:val="0"/>
          <w:marTop w:val="0"/>
          <w:marBottom w:val="0"/>
          <w:divBdr>
            <w:top w:val="none" w:sz="0" w:space="0" w:color="auto"/>
            <w:left w:val="none" w:sz="0" w:space="0" w:color="auto"/>
            <w:bottom w:val="none" w:sz="0" w:space="0" w:color="auto"/>
            <w:right w:val="none" w:sz="0" w:space="0" w:color="auto"/>
          </w:divBdr>
          <w:divsChild>
            <w:div w:id="858667113">
              <w:marLeft w:val="0"/>
              <w:marRight w:val="0"/>
              <w:marTop w:val="0"/>
              <w:marBottom w:val="0"/>
              <w:divBdr>
                <w:top w:val="none" w:sz="0" w:space="0" w:color="auto"/>
                <w:left w:val="none" w:sz="0" w:space="0" w:color="auto"/>
                <w:bottom w:val="none" w:sz="0" w:space="0" w:color="auto"/>
                <w:right w:val="none" w:sz="0" w:space="0" w:color="auto"/>
              </w:divBdr>
              <w:divsChild>
                <w:div w:id="2038315313">
                  <w:marLeft w:val="0"/>
                  <w:marRight w:val="0"/>
                  <w:marTop w:val="0"/>
                  <w:marBottom w:val="0"/>
                  <w:divBdr>
                    <w:top w:val="none" w:sz="0" w:space="0" w:color="auto"/>
                    <w:left w:val="none" w:sz="0" w:space="0" w:color="auto"/>
                    <w:bottom w:val="none" w:sz="0" w:space="0" w:color="auto"/>
                    <w:right w:val="none" w:sz="0" w:space="0" w:color="auto"/>
                  </w:divBdr>
                  <w:divsChild>
                    <w:div w:id="1771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2583">
      <w:bodyDiv w:val="1"/>
      <w:marLeft w:val="0"/>
      <w:marRight w:val="0"/>
      <w:marTop w:val="0"/>
      <w:marBottom w:val="0"/>
      <w:divBdr>
        <w:top w:val="none" w:sz="0" w:space="0" w:color="auto"/>
        <w:left w:val="none" w:sz="0" w:space="0" w:color="auto"/>
        <w:bottom w:val="none" w:sz="0" w:space="0" w:color="auto"/>
        <w:right w:val="none" w:sz="0" w:space="0" w:color="auto"/>
      </w:divBdr>
    </w:div>
    <w:div w:id="1645426268">
      <w:bodyDiv w:val="1"/>
      <w:marLeft w:val="0"/>
      <w:marRight w:val="0"/>
      <w:marTop w:val="0"/>
      <w:marBottom w:val="0"/>
      <w:divBdr>
        <w:top w:val="none" w:sz="0" w:space="0" w:color="auto"/>
        <w:left w:val="none" w:sz="0" w:space="0" w:color="auto"/>
        <w:bottom w:val="none" w:sz="0" w:space="0" w:color="auto"/>
        <w:right w:val="none" w:sz="0" w:space="0" w:color="auto"/>
      </w:divBdr>
      <w:divsChild>
        <w:div w:id="183323766">
          <w:marLeft w:val="0"/>
          <w:marRight w:val="0"/>
          <w:marTop w:val="0"/>
          <w:marBottom w:val="0"/>
          <w:divBdr>
            <w:top w:val="none" w:sz="0" w:space="0" w:color="auto"/>
            <w:left w:val="none" w:sz="0" w:space="0" w:color="auto"/>
            <w:bottom w:val="none" w:sz="0" w:space="0" w:color="auto"/>
            <w:right w:val="none" w:sz="0" w:space="0" w:color="auto"/>
          </w:divBdr>
          <w:divsChild>
            <w:div w:id="566116176">
              <w:marLeft w:val="0"/>
              <w:marRight w:val="0"/>
              <w:marTop w:val="0"/>
              <w:marBottom w:val="0"/>
              <w:divBdr>
                <w:top w:val="none" w:sz="0" w:space="0" w:color="auto"/>
                <w:left w:val="none" w:sz="0" w:space="0" w:color="auto"/>
                <w:bottom w:val="none" w:sz="0" w:space="0" w:color="auto"/>
                <w:right w:val="none" w:sz="0" w:space="0" w:color="auto"/>
              </w:divBdr>
              <w:divsChild>
                <w:div w:id="167406740">
                  <w:marLeft w:val="0"/>
                  <w:marRight w:val="0"/>
                  <w:marTop w:val="0"/>
                  <w:marBottom w:val="0"/>
                  <w:divBdr>
                    <w:top w:val="none" w:sz="0" w:space="0" w:color="auto"/>
                    <w:left w:val="none" w:sz="0" w:space="0" w:color="auto"/>
                    <w:bottom w:val="none" w:sz="0" w:space="0" w:color="auto"/>
                    <w:right w:val="none" w:sz="0" w:space="0" w:color="auto"/>
                  </w:divBdr>
                  <w:divsChild>
                    <w:div w:id="12794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8117">
      <w:bodyDiv w:val="1"/>
      <w:marLeft w:val="0"/>
      <w:marRight w:val="0"/>
      <w:marTop w:val="0"/>
      <w:marBottom w:val="0"/>
      <w:divBdr>
        <w:top w:val="none" w:sz="0" w:space="0" w:color="auto"/>
        <w:left w:val="none" w:sz="0" w:space="0" w:color="auto"/>
        <w:bottom w:val="none" w:sz="0" w:space="0" w:color="auto"/>
        <w:right w:val="none" w:sz="0" w:space="0" w:color="auto"/>
      </w:divBdr>
      <w:divsChild>
        <w:div w:id="261455250">
          <w:marLeft w:val="0"/>
          <w:marRight w:val="0"/>
          <w:marTop w:val="0"/>
          <w:marBottom w:val="0"/>
          <w:divBdr>
            <w:top w:val="none" w:sz="0" w:space="0" w:color="auto"/>
            <w:left w:val="none" w:sz="0" w:space="0" w:color="auto"/>
            <w:bottom w:val="none" w:sz="0" w:space="0" w:color="auto"/>
            <w:right w:val="none" w:sz="0" w:space="0" w:color="auto"/>
          </w:divBdr>
          <w:divsChild>
            <w:div w:id="115292468">
              <w:marLeft w:val="0"/>
              <w:marRight w:val="0"/>
              <w:marTop w:val="0"/>
              <w:marBottom w:val="0"/>
              <w:divBdr>
                <w:top w:val="none" w:sz="0" w:space="0" w:color="auto"/>
                <w:left w:val="none" w:sz="0" w:space="0" w:color="auto"/>
                <w:bottom w:val="none" w:sz="0" w:space="0" w:color="auto"/>
                <w:right w:val="none" w:sz="0" w:space="0" w:color="auto"/>
              </w:divBdr>
              <w:divsChild>
                <w:div w:id="1257250394">
                  <w:marLeft w:val="0"/>
                  <w:marRight w:val="0"/>
                  <w:marTop w:val="0"/>
                  <w:marBottom w:val="0"/>
                  <w:divBdr>
                    <w:top w:val="none" w:sz="0" w:space="0" w:color="auto"/>
                    <w:left w:val="none" w:sz="0" w:space="0" w:color="auto"/>
                    <w:bottom w:val="none" w:sz="0" w:space="0" w:color="auto"/>
                    <w:right w:val="none" w:sz="0" w:space="0" w:color="auto"/>
                  </w:divBdr>
                </w:div>
                <w:div w:id="17837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536">
      <w:bodyDiv w:val="1"/>
      <w:marLeft w:val="0"/>
      <w:marRight w:val="0"/>
      <w:marTop w:val="0"/>
      <w:marBottom w:val="0"/>
      <w:divBdr>
        <w:top w:val="none" w:sz="0" w:space="0" w:color="auto"/>
        <w:left w:val="none" w:sz="0" w:space="0" w:color="auto"/>
        <w:bottom w:val="none" w:sz="0" w:space="0" w:color="auto"/>
        <w:right w:val="none" w:sz="0" w:space="0" w:color="auto"/>
      </w:divBdr>
      <w:divsChild>
        <w:div w:id="305403455">
          <w:marLeft w:val="0"/>
          <w:marRight w:val="0"/>
          <w:marTop w:val="0"/>
          <w:marBottom w:val="0"/>
          <w:divBdr>
            <w:top w:val="none" w:sz="0" w:space="0" w:color="auto"/>
            <w:left w:val="none" w:sz="0" w:space="0" w:color="auto"/>
            <w:bottom w:val="none" w:sz="0" w:space="0" w:color="auto"/>
            <w:right w:val="none" w:sz="0" w:space="0" w:color="auto"/>
          </w:divBdr>
          <w:divsChild>
            <w:div w:id="886840426">
              <w:marLeft w:val="0"/>
              <w:marRight w:val="0"/>
              <w:marTop w:val="0"/>
              <w:marBottom w:val="0"/>
              <w:divBdr>
                <w:top w:val="none" w:sz="0" w:space="0" w:color="auto"/>
                <w:left w:val="none" w:sz="0" w:space="0" w:color="auto"/>
                <w:bottom w:val="none" w:sz="0" w:space="0" w:color="auto"/>
                <w:right w:val="none" w:sz="0" w:space="0" w:color="auto"/>
              </w:divBdr>
              <w:divsChild>
                <w:div w:id="13648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usschreibungen-suedtirol.it/pleiade/comune/bolzano/documenti/pubblications/Report_2019.pdf" TargetMode="External"/><Relationship Id="rId13" Type="http://schemas.openxmlformats.org/officeDocument/2006/relationships/hyperlink" Target="https://masterprocurement.it" TargetMode="External"/><Relationship Id="rId3" Type="http://schemas.openxmlformats.org/officeDocument/2006/relationships/hyperlink" Target="https://www.oecd.org/gov/public-procurement/OECD-Recommendation-on-Public-Procurement.pdf" TargetMode="External"/><Relationship Id="rId7" Type="http://schemas.openxmlformats.org/officeDocument/2006/relationships/hyperlink" Target="http://www.ildirittoamministrativo.it/archivio/allegati/Qualificazione%20Stazioni%20appaltanti%20a%20cura%20di%20DARIO%20ARAGNO.pdf" TargetMode="External"/><Relationship Id="rId12" Type="http://schemas.openxmlformats.org/officeDocument/2006/relationships/hyperlink" Target="http://www.itaca.org/formazione_appalti2.asp" TargetMode="External"/><Relationship Id="rId2" Type="http://schemas.openxmlformats.org/officeDocument/2006/relationships/hyperlink" Target="https://www.mediappalti.it/la-qualificazione-delle-stazioni-appaltanti-nel-nuovo-codice-degli-appalti" TargetMode="External"/><Relationship Id="rId1" Type="http://schemas.openxmlformats.org/officeDocument/2006/relationships/hyperlink" Target="https://www.treccani.it/vocabolario/innovazione" TargetMode="External"/><Relationship Id="rId6" Type="http://schemas.openxmlformats.org/officeDocument/2006/relationships/hyperlink" Target="https://ec.europa.eu/info/policies/public-procurement/support-tools-public-buyers_en" TargetMode="External"/><Relationship Id="rId11" Type="http://schemas.openxmlformats.org/officeDocument/2006/relationships/hyperlink" Target="https://www.uibk.ac.at/weiterbildung/universitaetskurse/auftragswesenst/index.html.de" TargetMode="External"/><Relationship Id="rId5" Type="http://schemas.openxmlformats.org/officeDocument/2006/relationships/hyperlink" Target="https://www.agendadigitale.eu/procurement/professionalizzazione-delle-stazioni-appaltanti-i-tre-fronti-dintervento" TargetMode="External"/><Relationship Id="rId10" Type="http://schemas.openxmlformats.org/officeDocument/2006/relationships/hyperlink" Target="https://www.ausschreibungen-suedtirol.it/registering/organization-unit-register" TargetMode="External"/><Relationship Id="rId4" Type="http://schemas.openxmlformats.org/officeDocument/2006/relationships/hyperlink" Target="https://www.irishjobs.ie/Public-Procurement-Jobs" TargetMode="External"/><Relationship Id="rId9" Type="http://schemas.openxmlformats.org/officeDocument/2006/relationships/hyperlink" Target="https://aov.provinz.bz.it/downloads/DekretAOV_24_2018_Audit_Interne_Geschaftsordnung.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AEB1-F43C-4E0E-80DC-19F1ABC8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5245</Words>
  <Characters>29903</Characters>
  <Application>Microsoft Office Word</Application>
  <DocSecurity>0</DocSecurity>
  <Lines>249</Lines>
  <Paragraphs>70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Mathà</dc:creator>
  <cp:keywords/>
  <dc:description/>
  <cp:lastModifiedBy>FERRARI Giulia</cp:lastModifiedBy>
  <cp:revision>2</cp:revision>
  <dcterms:created xsi:type="dcterms:W3CDTF">2021-10-12T15:58:00Z</dcterms:created>
  <dcterms:modified xsi:type="dcterms:W3CDTF">2021-10-12T15:58:00Z</dcterms:modified>
</cp:coreProperties>
</file>