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782CA" w14:textId="2A859731" w:rsidR="00406353" w:rsidRPr="00A00C9E" w:rsidRDefault="00EA7432" w:rsidP="0096055D">
      <w:pPr>
        <w:spacing w:line="360" w:lineRule="auto"/>
        <w:ind w:left="567" w:right="567"/>
        <w:jc w:val="center"/>
        <w:rPr>
          <w:rFonts w:ascii="Garamond" w:hAnsi="Garamond" w:cs="Times New Roman"/>
          <w:color w:val="000000" w:themeColor="text1"/>
          <w:sz w:val="28"/>
          <w:szCs w:val="28"/>
          <w:u w:val="single"/>
        </w:rPr>
      </w:pPr>
      <w:bookmarkStart w:id="0" w:name="_GoBack"/>
      <w:r>
        <w:rPr>
          <w:rFonts w:ascii="Garamond" w:eastAsia="Lucida Sans Unicode" w:hAnsi="Garamond" w:cs="Times New Roman"/>
          <w:b/>
          <w:color w:val="000000" w:themeColor="text1"/>
          <w:sz w:val="36"/>
          <w:szCs w:val="36"/>
        </w:rPr>
        <w:t>L</w:t>
      </w:r>
      <w:r w:rsidR="00866F78">
        <w:rPr>
          <w:rFonts w:ascii="Garamond" w:eastAsia="Lucida Sans Unicode" w:hAnsi="Garamond" w:cs="Times New Roman"/>
          <w:b/>
          <w:color w:val="000000" w:themeColor="text1"/>
          <w:sz w:val="36"/>
          <w:szCs w:val="36"/>
        </w:rPr>
        <w:t xml:space="preserve">’accesso </w:t>
      </w:r>
      <w:r w:rsidR="00140A22">
        <w:rPr>
          <w:rFonts w:ascii="Garamond" w:eastAsia="Lucida Sans Unicode" w:hAnsi="Garamond" w:cs="Times New Roman"/>
          <w:b/>
          <w:color w:val="000000" w:themeColor="text1"/>
          <w:sz w:val="36"/>
          <w:szCs w:val="36"/>
        </w:rPr>
        <w:t xml:space="preserve">civico generalizzato </w:t>
      </w:r>
      <w:r w:rsidR="00FE42AF">
        <w:rPr>
          <w:rFonts w:ascii="Garamond" w:eastAsia="Lucida Sans Unicode" w:hAnsi="Garamond" w:cs="Times New Roman"/>
          <w:b/>
          <w:color w:val="000000" w:themeColor="text1"/>
          <w:sz w:val="36"/>
          <w:szCs w:val="36"/>
        </w:rPr>
        <w:t>ed il diritto alla informazione su</w:t>
      </w:r>
      <w:r>
        <w:rPr>
          <w:rFonts w:ascii="Garamond" w:eastAsia="Lucida Sans Unicode" w:hAnsi="Garamond" w:cs="Times New Roman"/>
          <w:b/>
          <w:color w:val="000000" w:themeColor="text1"/>
          <w:sz w:val="36"/>
          <w:szCs w:val="36"/>
        </w:rPr>
        <w:t xml:space="preserve">gli atti di gestione dell’emergenza </w:t>
      </w:r>
      <w:r w:rsidR="008F46CB">
        <w:rPr>
          <w:rFonts w:ascii="Garamond" w:eastAsia="Lucida Sans Unicode" w:hAnsi="Garamond" w:cs="Times New Roman"/>
          <w:b/>
          <w:color w:val="000000" w:themeColor="text1"/>
          <w:sz w:val="36"/>
          <w:szCs w:val="36"/>
        </w:rPr>
        <w:t xml:space="preserve">sanitaria </w:t>
      </w:r>
      <w:r w:rsidR="000C5E8B">
        <w:rPr>
          <w:rFonts w:ascii="Garamond" w:eastAsia="Lucida Sans Unicode" w:hAnsi="Garamond" w:cs="Times New Roman"/>
          <w:b/>
          <w:color w:val="000000" w:themeColor="text1"/>
          <w:sz w:val="36"/>
          <w:szCs w:val="36"/>
        </w:rPr>
        <w:t xml:space="preserve">da </w:t>
      </w:r>
      <w:r>
        <w:rPr>
          <w:rFonts w:ascii="Garamond" w:eastAsia="Lucida Sans Unicode" w:hAnsi="Garamond" w:cs="Times New Roman"/>
          <w:b/>
          <w:color w:val="000000" w:themeColor="text1"/>
          <w:sz w:val="36"/>
          <w:szCs w:val="36"/>
        </w:rPr>
        <w:t>Covid-19</w:t>
      </w:r>
    </w:p>
    <w:bookmarkEnd w:id="0"/>
    <w:p w14:paraId="5641540D" w14:textId="77777777" w:rsidR="00B71E9A" w:rsidRPr="00F83D35" w:rsidRDefault="005D5323" w:rsidP="00792D4B">
      <w:pPr>
        <w:spacing w:line="360" w:lineRule="auto"/>
        <w:ind w:left="567" w:right="567"/>
        <w:jc w:val="both"/>
        <w:rPr>
          <w:rFonts w:ascii="Garamond" w:hAnsi="Garamond" w:cs="Times New Roman"/>
          <w:b/>
          <w:color w:val="000000" w:themeColor="text1"/>
          <w:sz w:val="28"/>
          <w:szCs w:val="26"/>
          <w:u w:val="single"/>
        </w:rPr>
      </w:pPr>
      <w:r>
        <w:rPr>
          <w:rFonts w:ascii="Garamond" w:hAnsi="Garamond" w:cs="Times New Roman"/>
          <w:b/>
          <w:noProof/>
          <w:color w:val="000000" w:themeColor="text1"/>
          <w:sz w:val="26"/>
          <w:szCs w:val="26"/>
          <w:u w:val="single"/>
        </w:rPr>
        <mc:AlternateContent>
          <mc:Choice Requires="wps">
            <w:drawing>
              <wp:anchor distT="0" distB="0" distL="114300" distR="114300" simplePos="0" relativeHeight="251658240" behindDoc="0" locked="0" layoutInCell="1" allowOverlap="1" wp14:anchorId="54678E3B" wp14:editId="1B3F4FE5">
                <wp:simplePos x="0" y="0"/>
                <wp:positionH relativeFrom="column">
                  <wp:posOffset>337433</wp:posOffset>
                </wp:positionH>
                <wp:positionV relativeFrom="paragraph">
                  <wp:posOffset>181334</wp:posOffset>
                </wp:positionV>
                <wp:extent cx="5454650" cy="2321781"/>
                <wp:effectExtent l="0" t="0" r="12700"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2321781"/>
                        </a:xfrm>
                        <a:prstGeom prst="rect">
                          <a:avLst/>
                        </a:prstGeom>
                        <a:solidFill>
                          <a:srgbClr val="FFFFFF"/>
                        </a:solidFill>
                        <a:ln w="9525">
                          <a:solidFill>
                            <a:srgbClr val="000000"/>
                          </a:solidFill>
                          <a:miter lim="800000"/>
                          <a:headEnd/>
                          <a:tailEnd/>
                        </a:ln>
                      </wps:spPr>
                      <wps:txbx>
                        <w:txbxContent>
                          <w:p w14:paraId="1827E296" w14:textId="77777777" w:rsidR="00A80062" w:rsidRDefault="00A80062" w:rsidP="003B4922">
                            <w:pPr>
                              <w:jc w:val="both"/>
                              <w:rPr>
                                <w:rFonts w:ascii="Garamond" w:eastAsia="Cambria" w:hAnsi="Garamond" w:cs="Times New Roman"/>
                                <w:color w:val="000000" w:themeColor="text1"/>
                                <w:sz w:val="26"/>
                                <w:szCs w:val="26"/>
                              </w:rPr>
                            </w:pPr>
                          </w:p>
                          <w:p w14:paraId="59BF4799" w14:textId="44D96FBF" w:rsidR="00A80062" w:rsidRDefault="00A80062" w:rsidP="00BC5F18">
                            <w:pPr>
                              <w:jc w:val="both"/>
                              <w:rPr>
                                <w:rFonts w:ascii="Garamond" w:eastAsia="Cambria" w:hAnsi="Garamond" w:cs="Times New Roman"/>
                                <w:color w:val="000000" w:themeColor="text1"/>
                              </w:rPr>
                            </w:pPr>
                            <w:r>
                              <w:rPr>
                                <w:rFonts w:ascii="Garamond" w:eastAsia="Cambria" w:hAnsi="Garamond" w:cs="Times New Roman"/>
                                <w:color w:val="000000" w:themeColor="text1"/>
                              </w:rPr>
                              <w:t>Materia:</w:t>
                            </w:r>
                            <w:r w:rsidR="00541348">
                              <w:rPr>
                                <w:rFonts w:ascii="Garamond" w:eastAsia="Cambria" w:hAnsi="Garamond" w:cs="Times New Roman"/>
                                <w:color w:val="000000" w:themeColor="text1"/>
                              </w:rPr>
                              <w:t xml:space="preserve"> accesso ai documenti</w:t>
                            </w:r>
                            <w:r>
                              <w:rPr>
                                <w:rFonts w:ascii="Garamond" w:eastAsia="Cambria" w:hAnsi="Garamond" w:cs="Times New Roman"/>
                                <w:color w:val="000000" w:themeColor="text1"/>
                              </w:rPr>
                              <w:t xml:space="preserve">. Argomento: </w:t>
                            </w:r>
                            <w:r w:rsidR="00541348">
                              <w:rPr>
                                <w:rFonts w:ascii="Garamond" w:eastAsia="Cambria" w:hAnsi="Garamond" w:cs="Times New Roman"/>
                                <w:color w:val="000000" w:themeColor="text1"/>
                              </w:rPr>
                              <w:t>accesso civico.</w:t>
                            </w:r>
                          </w:p>
                          <w:p w14:paraId="347024E7" w14:textId="77777777" w:rsidR="00541348" w:rsidRDefault="00541348" w:rsidP="00BC5F18">
                            <w:pPr>
                              <w:jc w:val="both"/>
                              <w:rPr>
                                <w:rFonts w:ascii="Garamond" w:eastAsia="Cambria" w:hAnsi="Garamond" w:cs="Times New Roman"/>
                                <w:color w:val="000000" w:themeColor="text1"/>
                              </w:rPr>
                            </w:pPr>
                          </w:p>
                          <w:p w14:paraId="1E040B94" w14:textId="66E8CA52" w:rsidR="00A80062" w:rsidRDefault="00A80062" w:rsidP="00541348">
                            <w:pPr>
                              <w:jc w:val="center"/>
                              <w:rPr>
                                <w:rFonts w:ascii="Garamond" w:eastAsia="Cambria" w:hAnsi="Garamond" w:cs="Times New Roman"/>
                                <w:color w:val="000000" w:themeColor="text1"/>
                                <w:sz w:val="26"/>
                                <w:szCs w:val="26"/>
                              </w:rPr>
                            </w:pPr>
                            <w:r w:rsidRPr="003536D7">
                              <w:rPr>
                                <w:rFonts w:ascii="Garamond" w:eastAsia="Cambria" w:hAnsi="Garamond" w:cs="Times New Roman"/>
                                <w:color w:val="000000" w:themeColor="text1"/>
                                <w:sz w:val="26"/>
                                <w:szCs w:val="26"/>
                              </w:rPr>
                              <w:t>ABSTRACT</w:t>
                            </w:r>
                          </w:p>
                          <w:p w14:paraId="1437FFEA" w14:textId="77777777" w:rsidR="00541348" w:rsidRDefault="00541348" w:rsidP="00541348">
                            <w:pPr>
                              <w:jc w:val="both"/>
                              <w:rPr>
                                <w:rFonts w:ascii="Garamond" w:eastAsia="Cambria" w:hAnsi="Garamond" w:cs="Times New Roman"/>
                                <w:color w:val="000000" w:themeColor="text1"/>
                                <w:sz w:val="26"/>
                                <w:szCs w:val="26"/>
                              </w:rPr>
                            </w:pPr>
                          </w:p>
                          <w:p w14:paraId="242CD347" w14:textId="294CB3F5" w:rsidR="00541348" w:rsidRDefault="00541348" w:rsidP="00541348">
                            <w:pPr>
                              <w:jc w:val="both"/>
                              <w:rPr>
                                <w:rFonts w:ascii="Garamond" w:hAnsi="Garamond"/>
                                <w:sz w:val="26"/>
                                <w:szCs w:val="26"/>
                              </w:rPr>
                            </w:pPr>
                            <w:r>
                              <w:rPr>
                                <w:rFonts w:ascii="Garamond" w:eastAsia="Cambria" w:hAnsi="Garamond" w:cs="Times New Roman"/>
                                <w:color w:val="000000" w:themeColor="text1"/>
                                <w:sz w:val="26"/>
                                <w:szCs w:val="26"/>
                              </w:rPr>
                              <w:t xml:space="preserve">Il presente </w:t>
                            </w:r>
                            <w:r w:rsidR="004D1E92">
                              <w:rPr>
                                <w:rFonts w:ascii="Garamond" w:eastAsia="Cambria" w:hAnsi="Garamond" w:cs="Times New Roman"/>
                                <w:color w:val="000000" w:themeColor="text1"/>
                                <w:sz w:val="26"/>
                                <w:szCs w:val="26"/>
                              </w:rPr>
                              <w:t xml:space="preserve">scritto </w:t>
                            </w:r>
                            <w:r>
                              <w:rPr>
                                <w:rFonts w:ascii="Garamond" w:eastAsia="Cambria" w:hAnsi="Garamond" w:cs="Times New Roman"/>
                                <w:color w:val="000000" w:themeColor="text1"/>
                                <w:sz w:val="26"/>
                                <w:szCs w:val="26"/>
                              </w:rPr>
                              <w:t xml:space="preserve">prende le mosse dal convincimento che </w:t>
                            </w:r>
                            <w:r w:rsidRPr="00BB4FEC">
                              <w:rPr>
                                <w:rFonts w:ascii="Garamond" w:hAnsi="Garamond"/>
                                <w:sz w:val="26"/>
                                <w:szCs w:val="26"/>
                              </w:rPr>
                              <w:t>la “trasparenza</w:t>
                            </w:r>
                            <w:r>
                              <w:rPr>
                                <w:rFonts w:ascii="Garamond" w:hAnsi="Garamond"/>
                                <w:sz w:val="26"/>
                                <w:szCs w:val="26"/>
                              </w:rPr>
                              <w:t>”</w:t>
                            </w:r>
                            <w:r w:rsidRPr="00BB4FEC">
                              <w:rPr>
                                <w:rFonts w:ascii="Garamond" w:hAnsi="Garamond"/>
                                <w:sz w:val="26"/>
                                <w:szCs w:val="26"/>
                              </w:rPr>
                              <w:t xml:space="preserve"> </w:t>
                            </w:r>
                            <w:r>
                              <w:rPr>
                                <w:rFonts w:ascii="Garamond" w:hAnsi="Garamond"/>
                                <w:sz w:val="26"/>
                                <w:szCs w:val="26"/>
                              </w:rPr>
                              <w:t>possa e debba svolgere un ruolo fondamentale nella gestione dell’emergenza sanitaria.</w:t>
                            </w:r>
                          </w:p>
                          <w:p w14:paraId="6140C33C" w14:textId="73DA1FC7" w:rsidR="00A80062" w:rsidRDefault="00541348" w:rsidP="00B71BC4">
                            <w:pPr>
                              <w:jc w:val="both"/>
                              <w:rPr>
                                <w:rFonts w:ascii="Garamond" w:eastAsia="Cambria" w:hAnsi="Garamond" w:cs="Times New Roman"/>
                                <w:color w:val="000000" w:themeColor="text1"/>
                                <w:sz w:val="26"/>
                                <w:szCs w:val="26"/>
                              </w:rPr>
                            </w:pPr>
                            <w:r>
                              <w:rPr>
                                <w:rFonts w:ascii="Garamond" w:eastAsia="Cambria" w:hAnsi="Garamond" w:cs="Times New Roman"/>
                                <w:color w:val="000000" w:themeColor="text1"/>
                                <w:sz w:val="26"/>
                                <w:szCs w:val="26"/>
                              </w:rPr>
                              <w:t xml:space="preserve">Con il presente contributo si intendono analizzare gli strumenti normativi esistenti per l’acquisizione </w:t>
                            </w:r>
                            <w:r w:rsidR="004D1E92">
                              <w:rPr>
                                <w:rFonts w:ascii="Garamond" w:eastAsia="Cambria" w:hAnsi="Garamond" w:cs="Times New Roman"/>
                                <w:color w:val="000000" w:themeColor="text1"/>
                                <w:sz w:val="26"/>
                                <w:szCs w:val="26"/>
                              </w:rPr>
                              <w:t xml:space="preserve">da parte dei cittadini </w:t>
                            </w:r>
                            <w:r>
                              <w:rPr>
                                <w:rFonts w:ascii="Garamond" w:eastAsia="Cambria" w:hAnsi="Garamond" w:cs="Times New Roman"/>
                                <w:color w:val="000000" w:themeColor="text1"/>
                                <w:sz w:val="26"/>
                                <w:szCs w:val="26"/>
                              </w:rPr>
                              <w:t xml:space="preserve">delle “informazioni” poste a fondamento degli atti di gestione dell’emergenza sanitaria, verificando altresì il livello di attuazione sino ad oggi garantito dalla pubblica autorità.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78E3B" id="_x0000_t202" coordsize="21600,21600" o:spt="202" path="m,l,21600r21600,l21600,xe">
                <v:stroke joinstyle="miter"/>
                <v:path gradientshapeok="t" o:connecttype="rect"/>
              </v:shapetype>
              <v:shape id="Text Box 2" o:spid="_x0000_s1026" type="#_x0000_t202" style="position:absolute;left:0;text-align:left;margin-left:26.55pt;margin-top:14.3pt;width:429.5pt;height:18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">
                <v:textbox>
                  <w:txbxContent>
                    <w:p w14:paraId="1827E296" w14:textId="77777777" w:rsidR="00A80062" w:rsidRDefault="00A80062" w:rsidP="003B4922">
                      <w:pPr>
                        <w:jc w:val="both"/>
                        <w:rPr>
                          <w:rFonts w:ascii="Garamond" w:eastAsia="Cambria" w:hAnsi="Garamond" w:cs="Times New Roman"/>
                          <w:color w:val="000000" w:themeColor="text1"/>
                          <w:sz w:val="26"/>
                          <w:szCs w:val="26"/>
                        </w:rPr>
                      </w:pPr>
                    </w:p>
                    <w:p w14:paraId="59BF4799" w14:textId="44D96FBF" w:rsidR="00A80062" w:rsidRDefault="00A80062" w:rsidP="00BC5F18">
                      <w:pPr>
                        <w:jc w:val="both"/>
                        <w:rPr>
                          <w:rFonts w:ascii="Garamond" w:eastAsia="Cambria" w:hAnsi="Garamond" w:cs="Times New Roman"/>
                          <w:color w:val="000000" w:themeColor="text1"/>
                        </w:rPr>
                      </w:pPr>
                      <w:r>
                        <w:rPr>
                          <w:rFonts w:ascii="Garamond" w:eastAsia="Cambria" w:hAnsi="Garamond" w:cs="Times New Roman"/>
                          <w:color w:val="000000" w:themeColor="text1"/>
                        </w:rPr>
                        <w:t>Materia:</w:t>
                      </w:r>
                      <w:r w:rsidR="00541348">
                        <w:rPr>
                          <w:rFonts w:ascii="Garamond" w:eastAsia="Cambria" w:hAnsi="Garamond" w:cs="Times New Roman"/>
                          <w:color w:val="000000" w:themeColor="text1"/>
                        </w:rPr>
                        <w:t xml:space="preserve"> accesso ai documenti</w:t>
                      </w:r>
                      <w:r>
                        <w:rPr>
                          <w:rFonts w:ascii="Garamond" w:eastAsia="Cambria" w:hAnsi="Garamond" w:cs="Times New Roman"/>
                          <w:color w:val="000000" w:themeColor="text1"/>
                        </w:rPr>
                        <w:t xml:space="preserve">. Argomento: </w:t>
                      </w:r>
                      <w:r w:rsidR="00541348">
                        <w:rPr>
                          <w:rFonts w:ascii="Garamond" w:eastAsia="Cambria" w:hAnsi="Garamond" w:cs="Times New Roman"/>
                          <w:color w:val="000000" w:themeColor="text1"/>
                        </w:rPr>
                        <w:t>accesso civico.</w:t>
                      </w:r>
                    </w:p>
                    <w:p w14:paraId="347024E7" w14:textId="77777777" w:rsidR="00541348" w:rsidRDefault="00541348" w:rsidP="00BC5F18">
                      <w:pPr>
                        <w:jc w:val="both"/>
                        <w:rPr>
                          <w:rFonts w:ascii="Garamond" w:eastAsia="Cambria" w:hAnsi="Garamond" w:cs="Times New Roman"/>
                          <w:color w:val="000000" w:themeColor="text1"/>
                        </w:rPr>
                      </w:pPr>
                    </w:p>
                    <w:p w14:paraId="1E040B94" w14:textId="66E8CA52" w:rsidR="00A80062" w:rsidRDefault="00A80062" w:rsidP="00541348">
                      <w:pPr>
                        <w:jc w:val="center"/>
                        <w:rPr>
                          <w:rFonts w:ascii="Garamond" w:eastAsia="Cambria" w:hAnsi="Garamond" w:cs="Times New Roman"/>
                          <w:color w:val="000000" w:themeColor="text1"/>
                          <w:sz w:val="26"/>
                          <w:szCs w:val="26"/>
                        </w:rPr>
                      </w:pPr>
                      <w:r w:rsidRPr="003536D7">
                        <w:rPr>
                          <w:rFonts w:ascii="Garamond" w:eastAsia="Cambria" w:hAnsi="Garamond" w:cs="Times New Roman"/>
                          <w:color w:val="000000" w:themeColor="text1"/>
                          <w:sz w:val="26"/>
                          <w:szCs w:val="26"/>
                        </w:rPr>
                        <w:t>ABSTRACT</w:t>
                      </w:r>
                    </w:p>
                    <w:p w14:paraId="1437FFEA" w14:textId="77777777" w:rsidR="00541348" w:rsidRDefault="00541348" w:rsidP="00541348">
                      <w:pPr>
                        <w:jc w:val="both"/>
                        <w:rPr>
                          <w:rFonts w:ascii="Garamond" w:eastAsia="Cambria" w:hAnsi="Garamond" w:cs="Times New Roman"/>
                          <w:color w:val="000000" w:themeColor="text1"/>
                          <w:sz w:val="26"/>
                          <w:szCs w:val="26"/>
                        </w:rPr>
                      </w:pPr>
                    </w:p>
                    <w:p w14:paraId="242CD347" w14:textId="294CB3F5" w:rsidR="00541348" w:rsidRDefault="00541348" w:rsidP="00541348">
                      <w:pPr>
                        <w:jc w:val="both"/>
                        <w:rPr>
                          <w:rFonts w:ascii="Garamond" w:hAnsi="Garamond"/>
                          <w:sz w:val="26"/>
                          <w:szCs w:val="26"/>
                        </w:rPr>
                      </w:pPr>
                      <w:r>
                        <w:rPr>
                          <w:rFonts w:ascii="Garamond" w:eastAsia="Cambria" w:hAnsi="Garamond" w:cs="Times New Roman"/>
                          <w:color w:val="000000" w:themeColor="text1"/>
                          <w:sz w:val="26"/>
                          <w:szCs w:val="26"/>
                        </w:rPr>
                        <w:t xml:space="preserve">Il presente </w:t>
                      </w:r>
                      <w:r w:rsidR="004D1E92">
                        <w:rPr>
                          <w:rFonts w:ascii="Garamond" w:eastAsia="Cambria" w:hAnsi="Garamond" w:cs="Times New Roman"/>
                          <w:color w:val="000000" w:themeColor="text1"/>
                          <w:sz w:val="26"/>
                          <w:szCs w:val="26"/>
                        </w:rPr>
                        <w:t xml:space="preserve">scritto </w:t>
                      </w:r>
                      <w:r>
                        <w:rPr>
                          <w:rFonts w:ascii="Garamond" w:eastAsia="Cambria" w:hAnsi="Garamond" w:cs="Times New Roman"/>
                          <w:color w:val="000000" w:themeColor="text1"/>
                          <w:sz w:val="26"/>
                          <w:szCs w:val="26"/>
                        </w:rPr>
                        <w:t xml:space="preserve">prende le mosse dal convincimento che </w:t>
                      </w:r>
                      <w:r w:rsidRPr="00BB4FEC">
                        <w:rPr>
                          <w:rFonts w:ascii="Garamond" w:hAnsi="Garamond"/>
                          <w:sz w:val="26"/>
                          <w:szCs w:val="26"/>
                        </w:rPr>
                        <w:t>la “trasparenza</w:t>
                      </w:r>
                      <w:r>
                        <w:rPr>
                          <w:rFonts w:ascii="Garamond" w:hAnsi="Garamond"/>
                          <w:sz w:val="26"/>
                          <w:szCs w:val="26"/>
                        </w:rPr>
                        <w:t>”</w:t>
                      </w:r>
                      <w:r w:rsidRPr="00BB4FEC">
                        <w:rPr>
                          <w:rFonts w:ascii="Garamond" w:hAnsi="Garamond"/>
                          <w:sz w:val="26"/>
                          <w:szCs w:val="26"/>
                        </w:rPr>
                        <w:t xml:space="preserve"> </w:t>
                      </w:r>
                      <w:r>
                        <w:rPr>
                          <w:rFonts w:ascii="Garamond" w:hAnsi="Garamond"/>
                          <w:sz w:val="26"/>
                          <w:szCs w:val="26"/>
                        </w:rPr>
                        <w:t>possa e debba svolgere un ruolo fondamentale nella gestione dell’emergenza sanitaria.</w:t>
                      </w:r>
                    </w:p>
                    <w:p w14:paraId="6140C33C" w14:textId="73DA1FC7" w:rsidR="00A80062" w:rsidRDefault="00541348" w:rsidP="00B71BC4">
                      <w:pPr>
                        <w:jc w:val="both"/>
                        <w:rPr>
                          <w:rFonts w:ascii="Garamond" w:eastAsia="Cambria" w:hAnsi="Garamond" w:cs="Times New Roman"/>
                          <w:color w:val="000000" w:themeColor="text1"/>
                          <w:sz w:val="26"/>
                          <w:szCs w:val="26"/>
                        </w:rPr>
                      </w:pPr>
                      <w:r>
                        <w:rPr>
                          <w:rFonts w:ascii="Garamond" w:eastAsia="Cambria" w:hAnsi="Garamond" w:cs="Times New Roman"/>
                          <w:color w:val="000000" w:themeColor="text1"/>
                          <w:sz w:val="26"/>
                          <w:szCs w:val="26"/>
                        </w:rPr>
                        <w:t xml:space="preserve">Con il presente contributo si intendono analizzare gli strumenti normativi esistenti per l’acquisizione </w:t>
                      </w:r>
                      <w:r w:rsidR="004D1E92">
                        <w:rPr>
                          <w:rFonts w:ascii="Garamond" w:eastAsia="Cambria" w:hAnsi="Garamond" w:cs="Times New Roman"/>
                          <w:color w:val="000000" w:themeColor="text1"/>
                          <w:sz w:val="26"/>
                          <w:szCs w:val="26"/>
                        </w:rPr>
                        <w:t xml:space="preserve">da parte dei cittadini </w:t>
                      </w:r>
                      <w:r>
                        <w:rPr>
                          <w:rFonts w:ascii="Garamond" w:eastAsia="Cambria" w:hAnsi="Garamond" w:cs="Times New Roman"/>
                          <w:color w:val="000000" w:themeColor="text1"/>
                          <w:sz w:val="26"/>
                          <w:szCs w:val="26"/>
                        </w:rPr>
                        <w:t xml:space="preserve">delle “informazioni” poste a fondamento degli atti di gestione dell’emergenza sanitaria, verificando altresì il livello di attuazione sino ad oggi garantito dalla pubblica autorità. </w:t>
                      </w:r>
                    </w:p>
                  </w:txbxContent>
                </v:textbox>
              </v:shape>
            </w:pict>
          </mc:Fallback>
        </mc:AlternateContent>
      </w:r>
    </w:p>
    <w:p w14:paraId="23425A4E" w14:textId="77777777" w:rsidR="00B71E9A" w:rsidRDefault="00B71E9A" w:rsidP="00792D4B">
      <w:pPr>
        <w:spacing w:line="360" w:lineRule="auto"/>
        <w:ind w:left="567" w:right="567"/>
        <w:jc w:val="both"/>
        <w:rPr>
          <w:rFonts w:ascii="Garamond" w:hAnsi="Garamond" w:cs="Times New Roman"/>
          <w:b/>
          <w:color w:val="000000" w:themeColor="text1"/>
          <w:sz w:val="26"/>
          <w:szCs w:val="26"/>
          <w:u w:val="single"/>
        </w:rPr>
      </w:pPr>
    </w:p>
    <w:p w14:paraId="328DDDB8" w14:textId="546E58DD" w:rsidR="004F3A14" w:rsidRDefault="004F3A14" w:rsidP="00792D4B">
      <w:pPr>
        <w:spacing w:line="360" w:lineRule="auto"/>
        <w:ind w:left="567" w:right="567"/>
        <w:jc w:val="both"/>
        <w:rPr>
          <w:rFonts w:ascii="Garamond" w:hAnsi="Garamond" w:cs="Times New Roman"/>
          <w:b/>
          <w:color w:val="000000" w:themeColor="text1"/>
          <w:sz w:val="26"/>
          <w:szCs w:val="26"/>
          <w:u w:val="single"/>
        </w:rPr>
      </w:pPr>
      <w:r>
        <w:rPr>
          <w:rFonts w:ascii="Garamond" w:hAnsi="Garamond" w:cs="Times New Roman"/>
          <w:b/>
          <w:color w:val="000000" w:themeColor="text1"/>
          <w:sz w:val="26"/>
          <w:szCs w:val="26"/>
          <w:u w:val="single"/>
        </w:rPr>
        <w:t>Il dirittIII</w:t>
      </w:r>
    </w:p>
    <w:p w14:paraId="7C3F5963" w14:textId="48F6D16B" w:rsidR="00C8026A" w:rsidRDefault="004F3A14" w:rsidP="00792D4B">
      <w:pPr>
        <w:spacing w:line="360" w:lineRule="auto"/>
        <w:ind w:left="567" w:right="567"/>
        <w:jc w:val="both"/>
        <w:rPr>
          <w:rFonts w:ascii="Garamond" w:hAnsi="Garamond" w:cs="Times New Roman"/>
          <w:b/>
          <w:color w:val="000000" w:themeColor="text1"/>
          <w:sz w:val="26"/>
          <w:szCs w:val="26"/>
          <w:u w:val="single"/>
        </w:rPr>
      </w:pPr>
      <w:r>
        <w:rPr>
          <w:rFonts w:ascii="Garamond" w:hAnsi="Garamond" w:cs="Times New Roman"/>
          <w:b/>
          <w:color w:val="000000" w:themeColor="text1"/>
          <w:sz w:val="26"/>
          <w:szCs w:val="26"/>
          <w:u w:val="single"/>
        </w:rPr>
        <w:t>I</w:t>
      </w:r>
      <w:r w:rsidR="00C8026A">
        <w:rPr>
          <w:rFonts w:ascii="Garamond" w:hAnsi="Garamond" w:cs="Times New Roman"/>
          <w:b/>
          <w:color w:val="000000" w:themeColor="text1"/>
          <w:sz w:val="26"/>
          <w:szCs w:val="26"/>
          <w:u w:val="single"/>
        </w:rPr>
        <w:t>Il illll</w:t>
      </w:r>
    </w:p>
    <w:p w14:paraId="6591E3B8" w14:textId="30087ACF" w:rsidR="00B71E9A" w:rsidRDefault="00C8026A" w:rsidP="00792D4B">
      <w:pPr>
        <w:spacing w:line="360" w:lineRule="auto"/>
        <w:ind w:left="567" w:right="567"/>
        <w:jc w:val="both"/>
        <w:rPr>
          <w:rFonts w:ascii="Garamond" w:hAnsi="Garamond" w:cs="Times New Roman"/>
          <w:b/>
          <w:color w:val="000000" w:themeColor="text1"/>
          <w:sz w:val="26"/>
          <w:szCs w:val="26"/>
          <w:u w:val="single"/>
        </w:rPr>
      </w:pPr>
      <w:r>
        <w:rPr>
          <w:rFonts w:ascii="Garamond" w:hAnsi="Garamond" w:cs="Times New Roman"/>
          <w:b/>
          <w:color w:val="000000" w:themeColor="text1"/>
          <w:sz w:val="26"/>
          <w:szCs w:val="26"/>
          <w:u w:val="single"/>
        </w:rPr>
        <w:t>IIl</w:t>
      </w:r>
    </w:p>
    <w:p w14:paraId="28DA08C6" w14:textId="77777777" w:rsidR="00B71E9A" w:rsidRDefault="00B71E9A" w:rsidP="00792D4B">
      <w:pPr>
        <w:spacing w:line="360" w:lineRule="auto"/>
        <w:ind w:left="567" w:right="567"/>
        <w:jc w:val="both"/>
        <w:rPr>
          <w:rFonts w:ascii="Garamond" w:hAnsi="Garamond" w:cs="Times New Roman"/>
          <w:b/>
          <w:color w:val="000000" w:themeColor="text1"/>
          <w:sz w:val="26"/>
          <w:szCs w:val="26"/>
          <w:u w:val="single"/>
        </w:rPr>
      </w:pPr>
    </w:p>
    <w:p w14:paraId="4F8F623B" w14:textId="77777777" w:rsidR="00B71E9A" w:rsidRDefault="00B71E9A" w:rsidP="00792D4B">
      <w:pPr>
        <w:spacing w:line="360" w:lineRule="auto"/>
        <w:ind w:left="567" w:right="567"/>
        <w:jc w:val="both"/>
        <w:rPr>
          <w:rFonts w:ascii="Garamond" w:hAnsi="Garamond" w:cs="Times New Roman"/>
          <w:b/>
          <w:color w:val="000000" w:themeColor="text1"/>
          <w:sz w:val="26"/>
          <w:szCs w:val="26"/>
          <w:u w:val="single"/>
        </w:rPr>
      </w:pPr>
    </w:p>
    <w:p w14:paraId="4AB84427" w14:textId="77777777" w:rsidR="00B71E9A" w:rsidRDefault="00B71E9A" w:rsidP="00792D4B">
      <w:pPr>
        <w:spacing w:line="360" w:lineRule="auto"/>
        <w:ind w:left="567" w:right="567"/>
        <w:jc w:val="both"/>
        <w:rPr>
          <w:rFonts w:ascii="Garamond" w:hAnsi="Garamond" w:cs="Times New Roman"/>
          <w:b/>
          <w:color w:val="000000" w:themeColor="text1"/>
          <w:sz w:val="26"/>
          <w:szCs w:val="26"/>
          <w:u w:val="single"/>
        </w:rPr>
      </w:pPr>
    </w:p>
    <w:p w14:paraId="1A1B7A64" w14:textId="77777777" w:rsidR="003536D7" w:rsidRDefault="003536D7" w:rsidP="00792D4B">
      <w:pPr>
        <w:spacing w:line="360" w:lineRule="auto"/>
        <w:ind w:left="567" w:right="567"/>
        <w:jc w:val="both"/>
        <w:rPr>
          <w:rFonts w:ascii="Garamond" w:hAnsi="Garamond" w:cs="Times New Roman"/>
          <w:b/>
          <w:color w:val="000000" w:themeColor="text1"/>
          <w:sz w:val="26"/>
          <w:szCs w:val="26"/>
          <w:u w:val="single"/>
        </w:rPr>
      </w:pPr>
    </w:p>
    <w:p w14:paraId="2B330939" w14:textId="77777777" w:rsidR="003536D7" w:rsidRDefault="003536D7" w:rsidP="00792D4B">
      <w:pPr>
        <w:spacing w:line="360" w:lineRule="auto"/>
        <w:ind w:left="567" w:right="567"/>
        <w:jc w:val="both"/>
        <w:rPr>
          <w:rFonts w:ascii="Garamond" w:hAnsi="Garamond" w:cs="Times New Roman"/>
          <w:b/>
          <w:color w:val="000000" w:themeColor="text1"/>
          <w:sz w:val="26"/>
          <w:szCs w:val="26"/>
          <w:u w:val="single"/>
        </w:rPr>
      </w:pPr>
    </w:p>
    <w:p w14:paraId="68CCDC6B" w14:textId="4C18C426" w:rsidR="003E7BD2" w:rsidRDefault="00D70FCF" w:rsidP="003E7BD2">
      <w:pPr>
        <w:spacing w:line="360" w:lineRule="auto"/>
        <w:ind w:left="567" w:right="567"/>
        <w:jc w:val="both"/>
        <w:rPr>
          <w:rFonts w:ascii="Garamond" w:hAnsi="Garamond"/>
          <w:b/>
          <w:bCs/>
          <w:sz w:val="26"/>
          <w:szCs w:val="26"/>
        </w:rPr>
      </w:pPr>
      <w:r w:rsidRPr="00B97122">
        <w:rPr>
          <w:rFonts w:ascii="Garamond" w:hAnsi="Garamond" w:cs="Times New Roman"/>
          <w:b/>
          <w:color w:val="000000" w:themeColor="text1"/>
          <w:sz w:val="26"/>
          <w:szCs w:val="26"/>
          <w:u w:val="single"/>
        </w:rPr>
        <w:t>Sommario</w:t>
      </w:r>
      <w:r w:rsidRPr="00B97122">
        <w:rPr>
          <w:rFonts w:ascii="Garamond" w:hAnsi="Garamond" w:cs="Times New Roman"/>
          <w:b/>
          <w:color w:val="000000" w:themeColor="text1"/>
          <w:sz w:val="26"/>
          <w:szCs w:val="26"/>
        </w:rPr>
        <w:t xml:space="preserve">: </w:t>
      </w:r>
      <w:r w:rsidR="003D73B9">
        <w:rPr>
          <w:rFonts w:ascii="Garamond" w:hAnsi="Garamond" w:cs="Times New Roman"/>
          <w:b/>
          <w:color w:val="000000" w:themeColor="text1"/>
          <w:sz w:val="26"/>
          <w:szCs w:val="26"/>
        </w:rPr>
        <w:t xml:space="preserve">1. </w:t>
      </w:r>
      <w:r w:rsidR="00BC5F18">
        <w:rPr>
          <w:rFonts w:ascii="Garamond" w:hAnsi="Garamond" w:cs="Times New Roman"/>
          <w:b/>
          <w:color w:val="000000" w:themeColor="text1"/>
          <w:sz w:val="26"/>
          <w:szCs w:val="26"/>
        </w:rPr>
        <w:t>Premessa.</w:t>
      </w:r>
      <w:r w:rsidR="00B708DA">
        <w:rPr>
          <w:rFonts w:ascii="Garamond" w:hAnsi="Garamond" w:cs="Times New Roman"/>
          <w:b/>
          <w:color w:val="000000" w:themeColor="text1"/>
          <w:sz w:val="26"/>
          <w:szCs w:val="26"/>
        </w:rPr>
        <w:t xml:space="preserve"> </w:t>
      </w:r>
      <w:r w:rsidR="00B708DA" w:rsidRPr="00D85912">
        <w:rPr>
          <w:rFonts w:ascii="Garamond" w:hAnsi="Garamond" w:cs="Times New Roman"/>
          <w:b/>
          <w:bCs/>
          <w:color w:val="000000" w:themeColor="text1"/>
          <w:sz w:val="26"/>
          <w:szCs w:val="26"/>
        </w:rPr>
        <w:t xml:space="preserve">2. </w:t>
      </w:r>
      <w:r w:rsidR="003E7BD2">
        <w:rPr>
          <w:rFonts w:ascii="Garamond" w:hAnsi="Garamond"/>
          <w:b/>
          <w:bCs/>
          <w:sz w:val="26"/>
          <w:szCs w:val="26"/>
        </w:rPr>
        <w:t xml:space="preserve">Principio di trasparenza </w:t>
      </w:r>
      <w:r w:rsidR="00486E70">
        <w:rPr>
          <w:rFonts w:ascii="Garamond" w:hAnsi="Garamond"/>
          <w:b/>
          <w:bCs/>
          <w:sz w:val="26"/>
          <w:szCs w:val="26"/>
        </w:rPr>
        <w:t>e</w:t>
      </w:r>
      <w:r w:rsidR="003E7BD2">
        <w:rPr>
          <w:rFonts w:ascii="Garamond" w:hAnsi="Garamond"/>
          <w:b/>
          <w:bCs/>
          <w:sz w:val="26"/>
          <w:szCs w:val="26"/>
        </w:rPr>
        <w:t xml:space="preserve"> attività sanitaria. </w:t>
      </w:r>
      <w:r w:rsidR="00DE1F54">
        <w:rPr>
          <w:rFonts w:ascii="Garamond" w:hAnsi="Garamond"/>
          <w:b/>
          <w:bCs/>
          <w:sz w:val="26"/>
          <w:szCs w:val="26"/>
        </w:rPr>
        <w:t>3</w:t>
      </w:r>
      <w:r w:rsidR="003E7BD2">
        <w:rPr>
          <w:rFonts w:ascii="Garamond" w:hAnsi="Garamond"/>
          <w:b/>
          <w:bCs/>
          <w:sz w:val="26"/>
          <w:szCs w:val="26"/>
        </w:rPr>
        <w:t>. L’accesso civico generalizzato agli atti di gestione dell’emergenza da Covid-19.</w:t>
      </w:r>
      <w:r w:rsidR="00866F78">
        <w:rPr>
          <w:rFonts w:ascii="Garamond" w:hAnsi="Garamond"/>
          <w:b/>
          <w:bCs/>
          <w:sz w:val="26"/>
          <w:szCs w:val="26"/>
        </w:rPr>
        <w:t xml:space="preserve"> </w:t>
      </w:r>
      <w:r w:rsidR="001A6E06">
        <w:rPr>
          <w:rFonts w:ascii="Garamond" w:hAnsi="Garamond" w:cs="Times New Roman"/>
          <w:b/>
          <w:color w:val="000000" w:themeColor="text1"/>
          <w:sz w:val="26"/>
          <w:szCs w:val="26"/>
        </w:rPr>
        <w:t>3</w:t>
      </w:r>
      <w:r w:rsidR="001A6E06" w:rsidRPr="00C877AE">
        <w:rPr>
          <w:rFonts w:ascii="Garamond" w:hAnsi="Garamond" w:cs="Times New Roman"/>
          <w:b/>
          <w:color w:val="000000" w:themeColor="text1"/>
          <w:sz w:val="26"/>
          <w:szCs w:val="26"/>
        </w:rPr>
        <w:t>.1. L’oggetto dell’accesso civico generalizzato</w:t>
      </w:r>
      <w:r w:rsidR="001A6E06">
        <w:rPr>
          <w:rFonts w:ascii="Garamond" w:hAnsi="Garamond" w:cs="Times New Roman"/>
          <w:b/>
          <w:color w:val="000000" w:themeColor="text1"/>
          <w:sz w:val="26"/>
          <w:szCs w:val="26"/>
        </w:rPr>
        <w:t xml:space="preserve"> ex art. 5 d.lgs. n. 33 del 2013. </w:t>
      </w:r>
      <w:r w:rsidR="001A6E06">
        <w:rPr>
          <w:rFonts w:ascii="Garamond" w:hAnsi="Garamond" w:cs="Arial"/>
          <w:b/>
          <w:bCs/>
          <w:sz w:val="26"/>
          <w:szCs w:val="26"/>
        </w:rPr>
        <w:t>3</w:t>
      </w:r>
      <w:r w:rsidR="001A6E06" w:rsidRPr="00C877AE">
        <w:rPr>
          <w:rFonts w:ascii="Garamond" w:hAnsi="Garamond" w:cs="Arial"/>
          <w:b/>
          <w:bCs/>
          <w:sz w:val="26"/>
          <w:szCs w:val="26"/>
        </w:rPr>
        <w:t>.2. Le limitazioni dell’accesso civico generalizzato ex art. 5-bis d.lgs. n. 33 del 2013.</w:t>
      </w:r>
      <w:r w:rsidR="001A6E06">
        <w:rPr>
          <w:rFonts w:ascii="Garamond" w:hAnsi="Garamond" w:cs="Arial"/>
          <w:b/>
          <w:bCs/>
          <w:sz w:val="26"/>
          <w:szCs w:val="26"/>
        </w:rPr>
        <w:t xml:space="preserve"> </w:t>
      </w:r>
      <w:r w:rsidR="00866F78">
        <w:rPr>
          <w:rFonts w:ascii="Garamond" w:hAnsi="Garamond"/>
          <w:b/>
          <w:bCs/>
          <w:sz w:val="26"/>
          <w:szCs w:val="26"/>
        </w:rPr>
        <w:t xml:space="preserve">4. </w:t>
      </w:r>
      <w:r w:rsidR="001A6E06">
        <w:rPr>
          <w:rFonts w:ascii="Garamond" w:eastAsia="Times New Roman" w:hAnsi="Garamond" w:cs="Times New Roman"/>
          <w:b/>
          <w:bCs/>
          <w:color w:val="000000" w:themeColor="text1"/>
          <w:sz w:val="26"/>
          <w:szCs w:val="26"/>
        </w:rPr>
        <w:t xml:space="preserve">Il “diritto all’informazione” sull’attività sanitaria. </w:t>
      </w:r>
      <w:r w:rsidR="001A6E06">
        <w:rPr>
          <w:rFonts w:ascii="Garamond" w:hAnsi="Garamond" w:cs="Segoe UI"/>
          <w:b/>
          <w:color w:val="201A1A"/>
          <w:sz w:val="26"/>
          <w:szCs w:val="26"/>
        </w:rPr>
        <w:t>4</w:t>
      </w:r>
      <w:r w:rsidR="001A6E06" w:rsidRPr="005C7EF0">
        <w:rPr>
          <w:rFonts w:ascii="Garamond" w:hAnsi="Garamond" w:cs="Segoe UI"/>
          <w:b/>
          <w:color w:val="201A1A"/>
          <w:sz w:val="26"/>
          <w:szCs w:val="26"/>
        </w:rPr>
        <w:t xml:space="preserve">.1. Il </w:t>
      </w:r>
      <w:r w:rsidR="001A6E06">
        <w:rPr>
          <w:rFonts w:ascii="Garamond" w:hAnsi="Garamond" w:cs="Segoe UI"/>
          <w:b/>
          <w:color w:val="201A1A"/>
          <w:sz w:val="26"/>
          <w:szCs w:val="26"/>
        </w:rPr>
        <w:t>“</w:t>
      </w:r>
      <w:r w:rsidR="001A6E06" w:rsidRPr="005C7EF0">
        <w:rPr>
          <w:rFonts w:ascii="Garamond" w:hAnsi="Garamond" w:cs="Segoe UI"/>
          <w:b/>
          <w:color w:val="201A1A"/>
          <w:sz w:val="26"/>
          <w:szCs w:val="26"/>
        </w:rPr>
        <w:t>diritto all'informazione</w:t>
      </w:r>
      <w:r w:rsidR="001A6E06">
        <w:rPr>
          <w:rFonts w:ascii="Garamond" w:hAnsi="Garamond" w:cs="Segoe UI"/>
          <w:b/>
          <w:color w:val="201A1A"/>
          <w:sz w:val="26"/>
          <w:szCs w:val="26"/>
        </w:rPr>
        <w:t>”</w:t>
      </w:r>
      <w:r w:rsidR="001A6E06" w:rsidRPr="005C7EF0">
        <w:rPr>
          <w:rFonts w:ascii="Garamond" w:hAnsi="Garamond" w:cs="Segoe UI"/>
          <w:b/>
          <w:color w:val="201A1A"/>
          <w:sz w:val="26"/>
          <w:szCs w:val="26"/>
        </w:rPr>
        <w:t xml:space="preserve"> nei casi espressamente previsti dalla Legge.</w:t>
      </w:r>
      <w:r w:rsidR="001A6E06">
        <w:rPr>
          <w:rFonts w:ascii="Garamond" w:hAnsi="Garamond" w:cs="Segoe UI"/>
          <w:b/>
          <w:color w:val="201A1A"/>
          <w:sz w:val="26"/>
          <w:szCs w:val="26"/>
        </w:rPr>
        <w:t xml:space="preserve"> 4.</w:t>
      </w:r>
      <w:r w:rsidR="001A6E06" w:rsidRPr="00D62513">
        <w:rPr>
          <w:rFonts w:ascii="Garamond" w:hAnsi="Garamond" w:cs="Segoe UI"/>
          <w:b/>
          <w:color w:val="201A1A"/>
          <w:sz w:val="26"/>
          <w:szCs w:val="26"/>
        </w:rPr>
        <w:t xml:space="preserve">2. </w:t>
      </w:r>
      <w:r w:rsidR="001A6E06">
        <w:rPr>
          <w:rFonts w:ascii="Garamond" w:hAnsi="Garamond" w:cs="Segoe UI"/>
          <w:b/>
          <w:color w:val="201A1A"/>
          <w:sz w:val="26"/>
          <w:szCs w:val="26"/>
        </w:rPr>
        <w:t>Il “</w:t>
      </w:r>
      <w:r w:rsidR="001A6E06">
        <w:rPr>
          <w:rFonts w:ascii="Garamond" w:eastAsia="Times New Roman" w:hAnsi="Garamond" w:cs="Times New Roman"/>
          <w:b/>
          <w:bCs/>
          <w:color w:val="000000" w:themeColor="text1"/>
          <w:sz w:val="26"/>
          <w:szCs w:val="26"/>
        </w:rPr>
        <w:t>d</w:t>
      </w:r>
      <w:r w:rsidR="001A6E06" w:rsidRPr="00BA2929">
        <w:rPr>
          <w:rFonts w:ascii="Garamond" w:eastAsia="Times New Roman" w:hAnsi="Garamond" w:cs="Times New Roman"/>
          <w:b/>
          <w:bCs/>
          <w:color w:val="000000" w:themeColor="text1"/>
          <w:sz w:val="26"/>
          <w:szCs w:val="26"/>
        </w:rPr>
        <w:t>iritto all’informazione</w:t>
      </w:r>
      <w:r w:rsidR="001A6E06">
        <w:rPr>
          <w:rFonts w:ascii="Garamond" w:eastAsia="Times New Roman" w:hAnsi="Garamond" w:cs="Times New Roman"/>
          <w:b/>
          <w:bCs/>
          <w:color w:val="000000" w:themeColor="text1"/>
          <w:sz w:val="26"/>
          <w:szCs w:val="26"/>
        </w:rPr>
        <w:t>”</w:t>
      </w:r>
      <w:r w:rsidR="001A6E06" w:rsidRPr="00BA2929">
        <w:rPr>
          <w:rFonts w:ascii="Garamond" w:eastAsia="Times New Roman" w:hAnsi="Garamond" w:cs="Times New Roman"/>
          <w:b/>
          <w:bCs/>
          <w:color w:val="000000" w:themeColor="text1"/>
          <w:sz w:val="26"/>
          <w:szCs w:val="26"/>
        </w:rPr>
        <w:t xml:space="preserve"> ex </w:t>
      </w:r>
      <w:r w:rsidR="001A6E06">
        <w:rPr>
          <w:rFonts w:ascii="Garamond" w:eastAsia="Times New Roman" w:hAnsi="Garamond" w:cs="Times New Roman"/>
          <w:b/>
          <w:bCs/>
          <w:color w:val="000000" w:themeColor="text1"/>
          <w:sz w:val="26"/>
          <w:szCs w:val="26"/>
        </w:rPr>
        <w:t xml:space="preserve">art. 1, comma 2-bis, </w:t>
      </w:r>
      <w:r w:rsidR="001A6E06" w:rsidRPr="00BA2929">
        <w:rPr>
          <w:rFonts w:ascii="Garamond" w:eastAsia="Times New Roman" w:hAnsi="Garamond" w:cs="Times New Roman"/>
          <w:b/>
          <w:bCs/>
          <w:color w:val="000000" w:themeColor="text1"/>
          <w:sz w:val="26"/>
          <w:szCs w:val="26"/>
        </w:rPr>
        <w:t>legge n. 241 del 1990</w:t>
      </w:r>
      <w:r w:rsidR="001A6E06">
        <w:rPr>
          <w:rFonts w:ascii="Garamond" w:eastAsia="Times New Roman" w:hAnsi="Garamond" w:cs="Times New Roman"/>
          <w:b/>
          <w:bCs/>
          <w:color w:val="000000" w:themeColor="text1"/>
          <w:sz w:val="26"/>
          <w:szCs w:val="26"/>
        </w:rPr>
        <w:t xml:space="preserve">. </w:t>
      </w:r>
      <w:r w:rsidR="001A6E06">
        <w:rPr>
          <w:rFonts w:ascii="Garamond" w:hAnsi="Garamond" w:cs="Segoe UI"/>
          <w:b/>
          <w:color w:val="201A1A"/>
          <w:sz w:val="26"/>
          <w:szCs w:val="26"/>
        </w:rPr>
        <w:t>4.</w:t>
      </w:r>
      <w:r w:rsidR="001A6E06" w:rsidRPr="005C7EF0">
        <w:rPr>
          <w:rFonts w:ascii="Garamond" w:hAnsi="Garamond" w:cs="Segoe UI"/>
          <w:b/>
          <w:color w:val="201A1A"/>
          <w:sz w:val="26"/>
          <w:szCs w:val="26"/>
        </w:rPr>
        <w:t xml:space="preserve">3. La tutela </w:t>
      </w:r>
      <w:r w:rsidR="001A6E06">
        <w:rPr>
          <w:rFonts w:ascii="Garamond" w:hAnsi="Garamond" w:cs="Segoe UI"/>
          <w:b/>
          <w:color w:val="201A1A"/>
          <w:sz w:val="26"/>
          <w:szCs w:val="26"/>
        </w:rPr>
        <w:t xml:space="preserve">giurisdizionale </w:t>
      </w:r>
      <w:r w:rsidR="001A6E06" w:rsidRPr="005C7EF0">
        <w:rPr>
          <w:rFonts w:ascii="Garamond" w:hAnsi="Garamond" w:cs="Segoe UI"/>
          <w:b/>
          <w:color w:val="201A1A"/>
          <w:sz w:val="26"/>
          <w:szCs w:val="26"/>
        </w:rPr>
        <w:t>del “diritto all'informazione”.</w:t>
      </w:r>
    </w:p>
    <w:p w14:paraId="29502A73" w14:textId="77777777" w:rsidR="006A5307" w:rsidRDefault="006A5307" w:rsidP="00B708DA">
      <w:pPr>
        <w:spacing w:line="360" w:lineRule="auto"/>
        <w:ind w:left="567" w:right="567"/>
        <w:jc w:val="both"/>
        <w:rPr>
          <w:rFonts w:ascii="Garamond" w:hAnsi="Garamond" w:cs="Times New Roman"/>
          <w:b/>
          <w:bCs/>
          <w:color w:val="000000" w:themeColor="text1"/>
          <w:sz w:val="26"/>
          <w:szCs w:val="26"/>
        </w:rPr>
      </w:pPr>
    </w:p>
    <w:p w14:paraId="6090FCCE" w14:textId="3660A605" w:rsidR="00DF4FF3" w:rsidRDefault="009A097C" w:rsidP="00DF4FF3">
      <w:pPr>
        <w:spacing w:line="360" w:lineRule="auto"/>
        <w:ind w:left="567" w:right="567"/>
        <w:jc w:val="both"/>
        <w:rPr>
          <w:rFonts w:ascii="Garamond" w:hAnsi="Garamond" w:cs="Times New Roman"/>
          <w:b/>
          <w:color w:val="000000" w:themeColor="text1"/>
          <w:sz w:val="26"/>
          <w:szCs w:val="26"/>
        </w:rPr>
      </w:pPr>
      <w:r>
        <w:rPr>
          <w:rFonts w:ascii="Garamond" w:hAnsi="Garamond" w:cs="Times New Roman"/>
          <w:b/>
          <w:color w:val="000000" w:themeColor="text1"/>
          <w:sz w:val="26"/>
          <w:szCs w:val="26"/>
        </w:rPr>
        <w:t>1</w:t>
      </w:r>
      <w:r w:rsidR="003D73B9">
        <w:rPr>
          <w:rFonts w:ascii="Garamond" w:hAnsi="Garamond" w:cs="Times New Roman"/>
          <w:b/>
          <w:color w:val="000000" w:themeColor="text1"/>
          <w:sz w:val="26"/>
          <w:szCs w:val="26"/>
        </w:rPr>
        <w:t>.</w:t>
      </w:r>
      <w:r w:rsidR="00EF34FD" w:rsidRPr="00B97122">
        <w:rPr>
          <w:rFonts w:ascii="Garamond" w:hAnsi="Garamond" w:cs="Times New Roman"/>
          <w:b/>
          <w:color w:val="000000" w:themeColor="text1"/>
          <w:sz w:val="26"/>
          <w:szCs w:val="26"/>
        </w:rPr>
        <w:t xml:space="preserve"> </w:t>
      </w:r>
      <w:r w:rsidR="002D61BD">
        <w:rPr>
          <w:rFonts w:ascii="Garamond" w:hAnsi="Garamond" w:cs="Times New Roman"/>
          <w:b/>
          <w:color w:val="000000" w:themeColor="text1"/>
          <w:sz w:val="26"/>
          <w:szCs w:val="26"/>
        </w:rPr>
        <w:t>Premessa.</w:t>
      </w:r>
    </w:p>
    <w:p w14:paraId="51C981CF" w14:textId="7B4EA4B2" w:rsidR="00DF4FF3" w:rsidRDefault="00DF4FF3" w:rsidP="00DF4FF3">
      <w:pPr>
        <w:spacing w:line="360" w:lineRule="auto"/>
        <w:ind w:left="567" w:right="567" w:firstLine="141"/>
        <w:jc w:val="both"/>
        <w:rPr>
          <w:rFonts w:ascii="Garamond" w:eastAsia="Cambria" w:hAnsi="Garamond" w:cs="Times New Roman"/>
          <w:color w:val="000000" w:themeColor="text1"/>
          <w:sz w:val="26"/>
          <w:szCs w:val="26"/>
        </w:rPr>
      </w:pPr>
      <w:r>
        <w:rPr>
          <w:rFonts w:ascii="Garamond" w:eastAsia="Cambria" w:hAnsi="Garamond" w:cs="Times New Roman"/>
          <w:color w:val="000000" w:themeColor="text1"/>
          <w:sz w:val="26"/>
          <w:szCs w:val="26"/>
        </w:rPr>
        <w:t xml:space="preserve">Tradizionalmente si ritiene che il diritto in senso oggettivo debba occuparsi unicamente dei comportamenti degli uomini e non del loro “sentire”, </w:t>
      </w:r>
      <w:r w:rsidR="00866F78">
        <w:rPr>
          <w:rFonts w:ascii="Garamond" w:eastAsia="Cambria" w:hAnsi="Garamond" w:cs="Times New Roman"/>
          <w:color w:val="000000" w:themeColor="text1"/>
          <w:sz w:val="26"/>
          <w:szCs w:val="26"/>
        </w:rPr>
        <w:t xml:space="preserve">siccome </w:t>
      </w:r>
      <w:r>
        <w:rPr>
          <w:rFonts w:ascii="Garamond" w:eastAsia="Cambria" w:hAnsi="Garamond" w:cs="Times New Roman"/>
          <w:color w:val="000000" w:themeColor="text1"/>
          <w:sz w:val="26"/>
          <w:szCs w:val="26"/>
        </w:rPr>
        <w:t>volto a dettare regole razionali dei fatti che scandiscono la vita dei consociati.</w:t>
      </w:r>
    </w:p>
    <w:p w14:paraId="33B46226" w14:textId="1712207C" w:rsidR="00DF4FF3" w:rsidRDefault="00DF4FF3" w:rsidP="00DF4FF3">
      <w:pPr>
        <w:spacing w:line="360" w:lineRule="auto"/>
        <w:ind w:left="567" w:right="567" w:firstLine="141"/>
        <w:jc w:val="both"/>
        <w:rPr>
          <w:rFonts w:ascii="Garamond" w:eastAsia="Cambria" w:hAnsi="Garamond" w:cs="Times New Roman"/>
          <w:color w:val="000000" w:themeColor="text1"/>
          <w:sz w:val="26"/>
          <w:szCs w:val="26"/>
        </w:rPr>
      </w:pPr>
      <w:r>
        <w:rPr>
          <w:rFonts w:ascii="Garamond" w:eastAsia="Cambria" w:hAnsi="Garamond" w:cs="Times New Roman"/>
          <w:color w:val="000000" w:themeColor="text1"/>
          <w:sz w:val="26"/>
          <w:szCs w:val="26"/>
        </w:rPr>
        <w:t xml:space="preserve"> Eppure, è difficile negare che tra gli ostacoli che impediscono di fatto la piena attuazione del “principio di democraticità” (art. 1 Cost.) vi è anche il sentimento di sfiducia che i consociati matura</w:t>
      </w:r>
      <w:r w:rsidR="00866F78">
        <w:rPr>
          <w:rFonts w:ascii="Garamond" w:eastAsia="Cambria" w:hAnsi="Garamond" w:cs="Times New Roman"/>
          <w:color w:val="000000" w:themeColor="text1"/>
          <w:sz w:val="26"/>
          <w:szCs w:val="26"/>
        </w:rPr>
        <w:t>no</w:t>
      </w:r>
      <w:r>
        <w:rPr>
          <w:rFonts w:ascii="Garamond" w:eastAsia="Cambria" w:hAnsi="Garamond" w:cs="Times New Roman"/>
          <w:color w:val="000000" w:themeColor="text1"/>
          <w:sz w:val="26"/>
          <w:szCs w:val="26"/>
        </w:rPr>
        <w:t xml:space="preserve"> nei confronti del decisore politico ed amministrativo.</w:t>
      </w:r>
    </w:p>
    <w:p w14:paraId="45BD35CE" w14:textId="4A07B03B" w:rsidR="00DF4FF3" w:rsidRDefault="00DF4FF3" w:rsidP="00DF4FF3">
      <w:pPr>
        <w:spacing w:line="360" w:lineRule="auto"/>
        <w:ind w:left="567" w:right="567" w:firstLine="141"/>
        <w:jc w:val="both"/>
        <w:rPr>
          <w:rFonts w:ascii="Garamond" w:hAnsi="Garamond" w:cs="Times New Roman"/>
          <w:color w:val="000000" w:themeColor="text1"/>
          <w:sz w:val="26"/>
          <w:szCs w:val="26"/>
        </w:rPr>
      </w:pPr>
      <w:r>
        <w:rPr>
          <w:rFonts w:ascii="Garamond" w:eastAsia="Cambria" w:hAnsi="Garamond" w:cs="Times New Roman"/>
          <w:color w:val="000000" w:themeColor="text1"/>
          <w:sz w:val="26"/>
          <w:szCs w:val="26"/>
        </w:rPr>
        <w:lastRenderedPageBreak/>
        <w:t xml:space="preserve">Il presente contributo prende le mosse dal convincimento che, soprattutto in questo particolare periodo storico caratterizzato dall’emergenza sanitaria, </w:t>
      </w:r>
      <w:r w:rsidRPr="00BB4FEC">
        <w:rPr>
          <w:rFonts w:ascii="Garamond" w:hAnsi="Garamond"/>
          <w:sz w:val="26"/>
          <w:szCs w:val="26"/>
        </w:rPr>
        <w:t xml:space="preserve">la trasparenza </w:t>
      </w:r>
      <w:r>
        <w:rPr>
          <w:rFonts w:ascii="Garamond" w:hAnsi="Garamond"/>
          <w:sz w:val="26"/>
          <w:szCs w:val="26"/>
        </w:rPr>
        <w:t xml:space="preserve">possa e debba svolgere un ruolo fondamentale per elevare </w:t>
      </w:r>
      <w:r w:rsidRPr="00BB4FEC">
        <w:rPr>
          <w:rFonts w:ascii="Garamond" w:hAnsi="Garamond"/>
          <w:sz w:val="26"/>
          <w:szCs w:val="26"/>
        </w:rPr>
        <w:t>il livello di fiducia</w:t>
      </w:r>
      <w:r>
        <w:rPr>
          <w:rFonts w:ascii="Garamond" w:hAnsi="Garamond"/>
          <w:sz w:val="26"/>
          <w:szCs w:val="26"/>
        </w:rPr>
        <w:t xml:space="preserve"> sistemica nella pubblica autorità, attenuando quel diffuso sentimento di </w:t>
      </w:r>
      <w:r w:rsidR="001D6135">
        <w:rPr>
          <w:rFonts w:ascii="Garamond" w:hAnsi="Garamond"/>
          <w:sz w:val="26"/>
          <w:szCs w:val="26"/>
        </w:rPr>
        <w:t xml:space="preserve">sfiducia </w:t>
      </w:r>
      <w:r>
        <w:rPr>
          <w:rFonts w:ascii="Garamond" w:hAnsi="Garamond"/>
          <w:sz w:val="26"/>
          <w:szCs w:val="26"/>
        </w:rPr>
        <w:t>che ha intaccato parte della popolazione, siccome destinataria di provvedimenti legislativi ed amministrativi fortemente incidenti sui più fondamentali diritti di libertà.</w:t>
      </w:r>
    </w:p>
    <w:p w14:paraId="52FF206C" w14:textId="36EB28B9" w:rsidR="00EA7432" w:rsidRDefault="000D41F7" w:rsidP="0013536D">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Il 31 gennaio 2020 il Consiglio dei Ministri, </w:t>
      </w:r>
      <w:r w:rsidR="004F3A14">
        <w:rPr>
          <w:rFonts w:ascii="Garamond" w:hAnsi="Garamond" w:cs="Times New Roman"/>
          <w:color w:val="000000" w:themeColor="text1"/>
          <w:sz w:val="26"/>
          <w:szCs w:val="26"/>
        </w:rPr>
        <w:t>preso atto del</w:t>
      </w:r>
      <w:r w:rsidR="00A5546E">
        <w:rPr>
          <w:rFonts w:ascii="Garamond" w:hAnsi="Garamond" w:cs="Times New Roman"/>
          <w:color w:val="000000" w:themeColor="text1"/>
          <w:sz w:val="26"/>
          <w:szCs w:val="26"/>
        </w:rPr>
        <w:t xml:space="preserve">la dichiarazione di emergenza internazionale di salute pubblica per il coronavirus (PHEIC) </w:t>
      </w:r>
      <w:r w:rsidR="00772355">
        <w:rPr>
          <w:rFonts w:ascii="Garamond" w:hAnsi="Garamond" w:cs="Times New Roman"/>
          <w:color w:val="000000" w:themeColor="text1"/>
          <w:sz w:val="26"/>
          <w:szCs w:val="26"/>
        </w:rPr>
        <w:t xml:space="preserve">resa </w:t>
      </w:r>
      <w:r w:rsidR="001D6135">
        <w:rPr>
          <w:rFonts w:ascii="Garamond" w:hAnsi="Garamond" w:cs="Times New Roman"/>
          <w:color w:val="000000" w:themeColor="text1"/>
          <w:sz w:val="26"/>
          <w:szCs w:val="26"/>
        </w:rPr>
        <w:t xml:space="preserve">il giorno precedente </w:t>
      </w:r>
      <w:r w:rsidR="00772355">
        <w:rPr>
          <w:rFonts w:ascii="Garamond" w:hAnsi="Garamond" w:cs="Times New Roman"/>
          <w:color w:val="000000" w:themeColor="text1"/>
          <w:sz w:val="26"/>
          <w:szCs w:val="26"/>
        </w:rPr>
        <w:t>da</w:t>
      </w:r>
      <w:r w:rsidR="00A5546E">
        <w:rPr>
          <w:rFonts w:ascii="Garamond" w:hAnsi="Garamond" w:cs="Times New Roman"/>
          <w:color w:val="000000" w:themeColor="text1"/>
          <w:sz w:val="26"/>
          <w:szCs w:val="26"/>
        </w:rPr>
        <w:t xml:space="preserve">ll’Organizzazione Mondiale di Sanità, </w:t>
      </w:r>
      <w:r w:rsidR="004F3A14">
        <w:rPr>
          <w:rFonts w:ascii="Garamond" w:hAnsi="Garamond" w:cs="Times New Roman"/>
          <w:color w:val="000000" w:themeColor="text1"/>
          <w:sz w:val="26"/>
          <w:szCs w:val="26"/>
        </w:rPr>
        <w:t>ha dichiarato</w:t>
      </w:r>
      <w:r w:rsidR="00A5546E">
        <w:rPr>
          <w:rFonts w:ascii="Garamond" w:hAnsi="Garamond" w:cs="Times New Roman"/>
          <w:color w:val="000000" w:themeColor="text1"/>
          <w:sz w:val="26"/>
          <w:szCs w:val="26"/>
        </w:rPr>
        <w:t xml:space="preserve"> lo </w:t>
      </w:r>
      <w:r w:rsidR="00A5546E" w:rsidRPr="00A5546E">
        <w:rPr>
          <w:rFonts w:ascii="Garamond" w:hAnsi="Garamond" w:cs="Times New Roman"/>
          <w:i/>
          <w:color w:val="000000" w:themeColor="text1"/>
          <w:sz w:val="26"/>
          <w:szCs w:val="26"/>
        </w:rPr>
        <w:t>“stato di emergenza”</w:t>
      </w:r>
      <w:r w:rsidR="00A5546E">
        <w:rPr>
          <w:rFonts w:ascii="Garamond" w:hAnsi="Garamond" w:cs="Times New Roman"/>
          <w:color w:val="000000" w:themeColor="text1"/>
          <w:sz w:val="26"/>
          <w:szCs w:val="26"/>
        </w:rPr>
        <w:t xml:space="preserve"> nazionale ai sensi dell’art. 24 d.lgs. 2 gennaio 2018, n. 1, prevedendo l’immediata assunzione di iniziative di carattere straordinario ed urgente per fronteggiare il rischio sanitario, demandate al Capo del Dipartimento della protezione civile </w:t>
      </w:r>
      <w:r w:rsidR="00A5546E" w:rsidRPr="00A5546E">
        <w:rPr>
          <w:rFonts w:ascii="Garamond" w:hAnsi="Garamond" w:cs="Times New Roman"/>
          <w:i/>
          <w:color w:val="000000" w:themeColor="text1"/>
          <w:sz w:val="26"/>
          <w:szCs w:val="26"/>
        </w:rPr>
        <w:t>“in deroga ad ogni disposizione vigente”</w:t>
      </w:r>
      <w:r w:rsidR="00772355">
        <w:rPr>
          <w:rFonts w:ascii="Garamond" w:hAnsi="Garamond" w:cs="Times New Roman"/>
          <w:color w:val="000000" w:themeColor="text1"/>
          <w:sz w:val="26"/>
          <w:szCs w:val="26"/>
        </w:rPr>
        <w:t xml:space="preserve">, </w:t>
      </w:r>
      <w:r w:rsidR="00A5546E" w:rsidRPr="00A5546E">
        <w:rPr>
          <w:rFonts w:ascii="Garamond" w:hAnsi="Garamond" w:cs="Times New Roman"/>
          <w:i/>
          <w:color w:val="000000" w:themeColor="text1"/>
          <w:sz w:val="26"/>
          <w:szCs w:val="26"/>
        </w:rPr>
        <w:t>“nel rispetto dei principi generali dell’ordinamento giuridico”</w:t>
      </w:r>
      <w:r w:rsidR="00A5546E">
        <w:rPr>
          <w:rFonts w:ascii="Garamond" w:hAnsi="Garamond" w:cs="Times New Roman"/>
          <w:color w:val="000000" w:themeColor="text1"/>
          <w:sz w:val="26"/>
          <w:szCs w:val="26"/>
        </w:rPr>
        <w:t xml:space="preserve"> .</w:t>
      </w:r>
    </w:p>
    <w:p w14:paraId="24CBFCF5" w14:textId="48348B4C" w:rsidR="00802B2B" w:rsidRDefault="00A5546E" w:rsidP="00A155D9">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Lo “stato di emergenza”</w:t>
      </w:r>
      <w:r w:rsidR="00802B2B">
        <w:rPr>
          <w:rFonts w:ascii="Garamond" w:hAnsi="Garamond" w:cs="Times New Roman"/>
          <w:color w:val="000000" w:themeColor="text1"/>
          <w:sz w:val="26"/>
          <w:szCs w:val="26"/>
        </w:rPr>
        <w:t xml:space="preserve">, </w:t>
      </w:r>
      <w:r>
        <w:rPr>
          <w:rFonts w:ascii="Garamond" w:hAnsi="Garamond" w:cs="Times New Roman"/>
          <w:color w:val="000000" w:themeColor="text1"/>
          <w:sz w:val="26"/>
          <w:szCs w:val="26"/>
        </w:rPr>
        <w:t>ripetutamente prorogato</w:t>
      </w:r>
      <w:r w:rsidR="00802B2B">
        <w:rPr>
          <w:rFonts w:ascii="Garamond" w:hAnsi="Garamond" w:cs="Times New Roman"/>
          <w:color w:val="000000" w:themeColor="text1"/>
          <w:sz w:val="26"/>
          <w:szCs w:val="26"/>
        </w:rPr>
        <w:t xml:space="preserve"> e</w:t>
      </w:r>
      <w:r w:rsidR="00A155D9">
        <w:rPr>
          <w:rFonts w:ascii="Garamond" w:hAnsi="Garamond" w:cs="Times New Roman"/>
          <w:color w:val="000000" w:themeColor="text1"/>
          <w:sz w:val="26"/>
          <w:szCs w:val="26"/>
        </w:rPr>
        <w:t xml:space="preserve">d ancora oggi </w:t>
      </w:r>
      <w:r w:rsidR="00772355">
        <w:rPr>
          <w:rFonts w:ascii="Garamond" w:hAnsi="Garamond" w:cs="Times New Roman"/>
          <w:color w:val="000000" w:themeColor="text1"/>
          <w:sz w:val="26"/>
          <w:szCs w:val="26"/>
        </w:rPr>
        <w:t xml:space="preserve">vigente </w:t>
      </w:r>
      <w:r w:rsidR="00A155D9">
        <w:rPr>
          <w:rFonts w:ascii="Garamond" w:hAnsi="Garamond" w:cs="Times New Roman"/>
          <w:color w:val="000000" w:themeColor="text1"/>
          <w:sz w:val="26"/>
          <w:szCs w:val="26"/>
        </w:rPr>
        <w:t>(</w:t>
      </w:r>
      <w:r w:rsidR="00772355">
        <w:rPr>
          <w:rFonts w:ascii="Garamond" w:hAnsi="Garamond" w:cs="Times New Roman"/>
          <w:color w:val="000000" w:themeColor="text1"/>
          <w:sz w:val="26"/>
          <w:szCs w:val="26"/>
        </w:rPr>
        <w:t xml:space="preserve">al momento </w:t>
      </w:r>
      <w:r w:rsidR="00A155D9">
        <w:rPr>
          <w:rFonts w:ascii="Garamond" w:hAnsi="Garamond" w:cs="Times New Roman"/>
          <w:color w:val="000000" w:themeColor="text1"/>
          <w:sz w:val="26"/>
          <w:szCs w:val="26"/>
        </w:rPr>
        <w:t xml:space="preserve">sino </w:t>
      </w:r>
      <w:r w:rsidR="00802B2B">
        <w:rPr>
          <w:rFonts w:ascii="Garamond" w:hAnsi="Garamond" w:cs="Times New Roman"/>
          <w:color w:val="000000" w:themeColor="text1"/>
          <w:sz w:val="26"/>
          <w:szCs w:val="26"/>
        </w:rPr>
        <w:t>31 dicembre 2021</w:t>
      </w:r>
      <w:r w:rsidR="00A155D9">
        <w:rPr>
          <w:rFonts w:ascii="Garamond" w:hAnsi="Garamond" w:cs="Times New Roman"/>
          <w:color w:val="000000" w:themeColor="text1"/>
          <w:sz w:val="26"/>
          <w:szCs w:val="26"/>
        </w:rPr>
        <w:t>)</w:t>
      </w:r>
      <w:r w:rsidR="00802B2B">
        <w:rPr>
          <w:rFonts w:ascii="Garamond" w:hAnsi="Garamond" w:cs="Times New Roman"/>
          <w:color w:val="000000" w:themeColor="text1"/>
          <w:sz w:val="26"/>
          <w:szCs w:val="26"/>
        </w:rPr>
        <w:t xml:space="preserve"> per effetto dell’art. 1 d.l. 23 luglio 2021, n. 105, ha inaugurato un periodo </w:t>
      </w:r>
      <w:r w:rsidR="00A155D9">
        <w:rPr>
          <w:rFonts w:ascii="Garamond" w:hAnsi="Garamond" w:cs="Times New Roman"/>
          <w:color w:val="000000" w:themeColor="text1"/>
          <w:sz w:val="26"/>
          <w:szCs w:val="26"/>
        </w:rPr>
        <w:t xml:space="preserve">sotto vari profili </w:t>
      </w:r>
      <w:r w:rsidR="00802B2B">
        <w:rPr>
          <w:rFonts w:ascii="Garamond" w:hAnsi="Garamond" w:cs="Times New Roman"/>
          <w:i/>
          <w:color w:val="000000" w:themeColor="text1"/>
          <w:sz w:val="26"/>
          <w:szCs w:val="26"/>
        </w:rPr>
        <w:t>extra ordinem</w:t>
      </w:r>
      <w:r w:rsidR="00FE2D06">
        <w:rPr>
          <w:rFonts w:ascii="Garamond" w:hAnsi="Garamond" w:cs="Times New Roman"/>
          <w:color w:val="000000" w:themeColor="text1"/>
          <w:sz w:val="26"/>
          <w:szCs w:val="26"/>
        </w:rPr>
        <w:t xml:space="preserve"> sul piano individuale e sociale,</w:t>
      </w:r>
      <w:r w:rsidR="00A155D9">
        <w:rPr>
          <w:rFonts w:ascii="Garamond" w:hAnsi="Garamond" w:cs="Times New Roman"/>
          <w:color w:val="000000" w:themeColor="text1"/>
          <w:sz w:val="26"/>
          <w:szCs w:val="26"/>
        </w:rPr>
        <w:t xml:space="preserve"> che</w:t>
      </w:r>
      <w:r w:rsidR="00FE2D06">
        <w:rPr>
          <w:rFonts w:ascii="Garamond" w:hAnsi="Garamond" w:cs="Times New Roman"/>
          <w:color w:val="000000" w:themeColor="text1"/>
          <w:sz w:val="26"/>
          <w:szCs w:val="26"/>
        </w:rPr>
        <w:t>,</w:t>
      </w:r>
      <w:r w:rsidR="00A155D9">
        <w:rPr>
          <w:rFonts w:ascii="Garamond" w:hAnsi="Garamond" w:cs="Times New Roman"/>
          <w:color w:val="000000" w:themeColor="text1"/>
          <w:sz w:val="26"/>
          <w:szCs w:val="26"/>
        </w:rPr>
        <w:t xml:space="preserve"> </w:t>
      </w:r>
      <w:r w:rsidR="00FE2D06">
        <w:rPr>
          <w:rFonts w:ascii="Garamond" w:hAnsi="Garamond" w:cs="Times New Roman"/>
          <w:color w:val="000000" w:themeColor="text1"/>
          <w:sz w:val="26"/>
          <w:szCs w:val="26"/>
        </w:rPr>
        <w:t xml:space="preserve">per quanto </w:t>
      </w:r>
      <w:r w:rsidR="00A155D9">
        <w:rPr>
          <w:rFonts w:ascii="Garamond" w:hAnsi="Garamond" w:cs="Times New Roman"/>
          <w:color w:val="000000" w:themeColor="text1"/>
          <w:sz w:val="26"/>
          <w:szCs w:val="26"/>
        </w:rPr>
        <w:t>specificamente interessa</w:t>
      </w:r>
      <w:r w:rsidR="00FE2D06">
        <w:rPr>
          <w:rFonts w:ascii="Garamond" w:hAnsi="Garamond" w:cs="Times New Roman"/>
          <w:color w:val="000000" w:themeColor="text1"/>
          <w:sz w:val="26"/>
          <w:szCs w:val="26"/>
        </w:rPr>
        <w:t xml:space="preserve"> il giurista</w:t>
      </w:r>
      <w:r w:rsidR="00A155D9">
        <w:rPr>
          <w:rFonts w:ascii="Garamond" w:hAnsi="Garamond" w:cs="Times New Roman"/>
          <w:color w:val="000000" w:themeColor="text1"/>
          <w:sz w:val="26"/>
          <w:szCs w:val="26"/>
        </w:rPr>
        <w:t xml:space="preserve">, </w:t>
      </w:r>
      <w:r w:rsidR="00FE2D06">
        <w:rPr>
          <w:rFonts w:ascii="Garamond" w:hAnsi="Garamond" w:cs="Times New Roman"/>
          <w:color w:val="000000" w:themeColor="text1"/>
          <w:sz w:val="26"/>
          <w:szCs w:val="26"/>
        </w:rPr>
        <w:t>impone</w:t>
      </w:r>
      <w:r w:rsidR="00E42453">
        <w:rPr>
          <w:rFonts w:ascii="Garamond" w:hAnsi="Garamond" w:cs="Times New Roman"/>
          <w:color w:val="000000" w:themeColor="text1"/>
          <w:sz w:val="26"/>
          <w:szCs w:val="26"/>
        </w:rPr>
        <w:t xml:space="preserve"> </w:t>
      </w:r>
      <w:r w:rsidR="00FE2D06">
        <w:rPr>
          <w:rFonts w:ascii="Garamond" w:hAnsi="Garamond" w:cs="Times New Roman"/>
          <w:color w:val="000000" w:themeColor="text1"/>
          <w:sz w:val="26"/>
          <w:szCs w:val="26"/>
        </w:rPr>
        <w:t xml:space="preserve">la necessità di condurre un rigoroso e continuo test di verifica </w:t>
      </w:r>
      <w:r w:rsidR="00E42453">
        <w:rPr>
          <w:rFonts w:ascii="Garamond" w:hAnsi="Garamond" w:cs="Times New Roman"/>
          <w:color w:val="000000" w:themeColor="text1"/>
          <w:sz w:val="26"/>
          <w:szCs w:val="26"/>
        </w:rPr>
        <w:t>in ordine a</w:t>
      </w:r>
      <w:r w:rsidR="00FE2D06">
        <w:rPr>
          <w:rFonts w:ascii="Garamond" w:hAnsi="Garamond" w:cs="Times New Roman"/>
          <w:color w:val="000000" w:themeColor="text1"/>
          <w:sz w:val="26"/>
          <w:szCs w:val="26"/>
        </w:rPr>
        <w:t xml:space="preserve">l rispetto di quei </w:t>
      </w:r>
      <w:r w:rsidR="00772355">
        <w:rPr>
          <w:rFonts w:ascii="Garamond" w:hAnsi="Garamond" w:cs="Times New Roman"/>
          <w:color w:val="000000" w:themeColor="text1"/>
          <w:sz w:val="26"/>
          <w:szCs w:val="26"/>
        </w:rPr>
        <w:t>“</w:t>
      </w:r>
      <w:r w:rsidR="00FE2D06">
        <w:rPr>
          <w:rFonts w:ascii="Garamond" w:hAnsi="Garamond" w:cs="Times New Roman"/>
          <w:color w:val="000000" w:themeColor="text1"/>
          <w:sz w:val="26"/>
          <w:szCs w:val="26"/>
        </w:rPr>
        <w:t>principi generali</w:t>
      </w:r>
      <w:r w:rsidR="00772355">
        <w:rPr>
          <w:rFonts w:ascii="Garamond" w:hAnsi="Garamond" w:cs="Times New Roman"/>
          <w:color w:val="000000" w:themeColor="text1"/>
          <w:sz w:val="26"/>
          <w:szCs w:val="26"/>
        </w:rPr>
        <w:t>”</w:t>
      </w:r>
      <w:r w:rsidR="00FE2D06">
        <w:rPr>
          <w:rFonts w:ascii="Garamond" w:hAnsi="Garamond" w:cs="Times New Roman"/>
          <w:color w:val="000000" w:themeColor="text1"/>
          <w:sz w:val="26"/>
          <w:szCs w:val="26"/>
        </w:rPr>
        <w:t xml:space="preserve"> (d</w:t>
      </w:r>
      <w:r w:rsidR="00772355">
        <w:rPr>
          <w:rFonts w:ascii="Garamond" w:hAnsi="Garamond" w:cs="Times New Roman"/>
          <w:color w:val="000000" w:themeColor="text1"/>
          <w:sz w:val="26"/>
          <w:szCs w:val="26"/>
        </w:rPr>
        <w:t>a intendersi qui in senso ampio</w:t>
      </w:r>
      <w:r w:rsidR="00FE2D06">
        <w:rPr>
          <w:rFonts w:ascii="Garamond" w:hAnsi="Garamond" w:cs="Times New Roman"/>
          <w:color w:val="000000" w:themeColor="text1"/>
          <w:sz w:val="26"/>
          <w:szCs w:val="26"/>
        </w:rPr>
        <w:t xml:space="preserve"> come comprensivi dei principi costituzionali e derivanti da fonti sovranazionali) </w:t>
      </w:r>
      <w:r w:rsidR="00E42453">
        <w:rPr>
          <w:rFonts w:ascii="Garamond" w:hAnsi="Garamond" w:cs="Times New Roman"/>
          <w:color w:val="000000" w:themeColor="text1"/>
          <w:sz w:val="26"/>
          <w:szCs w:val="26"/>
        </w:rPr>
        <w:t xml:space="preserve">che costituiscono il limite del </w:t>
      </w:r>
      <w:r w:rsidR="00772355">
        <w:rPr>
          <w:rFonts w:ascii="Garamond" w:hAnsi="Garamond" w:cs="Times New Roman"/>
          <w:color w:val="000000" w:themeColor="text1"/>
          <w:sz w:val="26"/>
          <w:szCs w:val="26"/>
        </w:rPr>
        <w:t xml:space="preserve">temporaneo </w:t>
      </w:r>
      <w:r w:rsidR="00E42453">
        <w:rPr>
          <w:rFonts w:ascii="Garamond" w:hAnsi="Garamond" w:cs="Times New Roman"/>
          <w:color w:val="000000" w:themeColor="text1"/>
          <w:sz w:val="26"/>
          <w:szCs w:val="26"/>
        </w:rPr>
        <w:t>strappo ordinamentale.</w:t>
      </w:r>
    </w:p>
    <w:p w14:paraId="4770B830" w14:textId="0CA6BB5F" w:rsidR="00391896" w:rsidRDefault="0056174A" w:rsidP="0056174A">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E’ un dato di fatto che nel corso di questo </w:t>
      </w:r>
      <w:r w:rsidR="00772355">
        <w:rPr>
          <w:rFonts w:ascii="Garamond" w:hAnsi="Garamond" w:cs="Times New Roman"/>
          <w:color w:val="000000" w:themeColor="text1"/>
          <w:sz w:val="26"/>
          <w:szCs w:val="26"/>
        </w:rPr>
        <w:t>periodo non vi sia stato</w:t>
      </w:r>
      <w:r>
        <w:rPr>
          <w:rFonts w:ascii="Garamond" w:hAnsi="Garamond" w:cs="Times New Roman"/>
          <w:color w:val="000000" w:themeColor="text1"/>
          <w:sz w:val="26"/>
          <w:szCs w:val="26"/>
        </w:rPr>
        <w:t xml:space="preserve"> diritto</w:t>
      </w:r>
      <w:r w:rsidR="00541FC3">
        <w:rPr>
          <w:rFonts w:ascii="Garamond" w:hAnsi="Garamond" w:cs="Times New Roman"/>
          <w:color w:val="000000" w:themeColor="text1"/>
          <w:sz w:val="26"/>
          <w:szCs w:val="26"/>
        </w:rPr>
        <w:t xml:space="preserve"> </w:t>
      </w:r>
      <w:r>
        <w:rPr>
          <w:rFonts w:ascii="Garamond" w:hAnsi="Garamond" w:cs="Times New Roman"/>
          <w:color w:val="000000" w:themeColor="text1"/>
          <w:sz w:val="26"/>
          <w:szCs w:val="26"/>
        </w:rPr>
        <w:t xml:space="preserve">o </w:t>
      </w:r>
      <w:r w:rsidR="00772355">
        <w:rPr>
          <w:rFonts w:ascii="Garamond" w:hAnsi="Garamond" w:cs="Times New Roman"/>
          <w:color w:val="000000" w:themeColor="text1"/>
          <w:sz w:val="26"/>
          <w:szCs w:val="26"/>
        </w:rPr>
        <w:t>libertà fondamentale</w:t>
      </w:r>
      <w:r w:rsidR="00541FC3">
        <w:rPr>
          <w:rFonts w:ascii="Garamond" w:hAnsi="Garamond" w:cs="Times New Roman"/>
          <w:color w:val="000000" w:themeColor="text1"/>
          <w:sz w:val="26"/>
          <w:szCs w:val="26"/>
        </w:rPr>
        <w:t xml:space="preserve"> dell’individuo</w:t>
      </w:r>
      <w:r>
        <w:rPr>
          <w:rFonts w:ascii="Garamond" w:hAnsi="Garamond" w:cs="Times New Roman"/>
          <w:color w:val="000000" w:themeColor="text1"/>
          <w:sz w:val="26"/>
          <w:szCs w:val="26"/>
        </w:rPr>
        <w:t xml:space="preserve"> che non sia stata in qualche modo compressa o limitata: </w:t>
      </w:r>
      <w:r w:rsidR="00541FC3">
        <w:rPr>
          <w:rFonts w:ascii="Garamond" w:hAnsi="Garamond" w:cs="Times New Roman"/>
          <w:color w:val="000000" w:themeColor="text1"/>
          <w:sz w:val="26"/>
          <w:szCs w:val="26"/>
        </w:rPr>
        <w:t>da</w:t>
      </w:r>
      <w:r>
        <w:rPr>
          <w:rFonts w:ascii="Garamond" w:hAnsi="Garamond" w:cs="Times New Roman"/>
          <w:color w:val="000000" w:themeColor="text1"/>
          <w:sz w:val="26"/>
          <w:szCs w:val="26"/>
        </w:rPr>
        <w:t xml:space="preserve">lla libertà di </w:t>
      </w:r>
      <w:r w:rsidR="00541FC3">
        <w:rPr>
          <w:rFonts w:ascii="Garamond" w:hAnsi="Garamond" w:cs="Times New Roman"/>
          <w:color w:val="000000" w:themeColor="text1"/>
          <w:sz w:val="26"/>
          <w:szCs w:val="26"/>
        </w:rPr>
        <w:t>movimento e</w:t>
      </w:r>
      <w:r>
        <w:rPr>
          <w:rFonts w:ascii="Garamond" w:hAnsi="Garamond" w:cs="Times New Roman"/>
          <w:color w:val="000000" w:themeColor="text1"/>
          <w:sz w:val="26"/>
          <w:szCs w:val="26"/>
        </w:rPr>
        <w:t xml:space="preserve"> di</w:t>
      </w:r>
      <w:r w:rsidR="00541FC3">
        <w:rPr>
          <w:rFonts w:ascii="Garamond" w:hAnsi="Garamond" w:cs="Times New Roman"/>
          <w:color w:val="000000" w:themeColor="text1"/>
          <w:sz w:val="26"/>
          <w:szCs w:val="26"/>
        </w:rPr>
        <w:t xml:space="preserve"> circolazione </w:t>
      </w:r>
      <w:r>
        <w:rPr>
          <w:rFonts w:ascii="Garamond" w:hAnsi="Garamond" w:cs="Times New Roman"/>
          <w:color w:val="000000" w:themeColor="text1"/>
          <w:sz w:val="26"/>
          <w:szCs w:val="26"/>
        </w:rPr>
        <w:t>(</w:t>
      </w:r>
      <w:r w:rsidR="00541FC3">
        <w:rPr>
          <w:rFonts w:ascii="Garamond" w:hAnsi="Garamond" w:cs="Times New Roman"/>
          <w:color w:val="000000" w:themeColor="text1"/>
          <w:sz w:val="26"/>
          <w:szCs w:val="26"/>
        </w:rPr>
        <w:t>art. 16 Cost.</w:t>
      </w:r>
      <w:r>
        <w:rPr>
          <w:rFonts w:ascii="Garamond" w:hAnsi="Garamond" w:cs="Times New Roman"/>
          <w:color w:val="000000" w:themeColor="text1"/>
          <w:sz w:val="26"/>
          <w:szCs w:val="26"/>
        </w:rPr>
        <w:t>), a que</w:t>
      </w:r>
      <w:r w:rsidR="00772355">
        <w:rPr>
          <w:rFonts w:ascii="Garamond" w:hAnsi="Garamond" w:cs="Times New Roman"/>
          <w:color w:val="000000" w:themeColor="text1"/>
          <w:sz w:val="26"/>
          <w:szCs w:val="26"/>
        </w:rPr>
        <w:t>lla di riunione (art. 17 Cost.) e</w:t>
      </w:r>
      <w:r>
        <w:rPr>
          <w:rFonts w:ascii="Garamond" w:hAnsi="Garamond" w:cs="Times New Roman"/>
          <w:color w:val="000000" w:themeColor="text1"/>
          <w:sz w:val="26"/>
          <w:szCs w:val="26"/>
        </w:rPr>
        <w:t xml:space="preserve"> di </w:t>
      </w:r>
      <w:r w:rsidR="00541FC3">
        <w:rPr>
          <w:rFonts w:ascii="Garamond" w:hAnsi="Garamond" w:cs="Times New Roman"/>
          <w:color w:val="000000" w:themeColor="text1"/>
          <w:sz w:val="26"/>
          <w:szCs w:val="26"/>
        </w:rPr>
        <w:t xml:space="preserve">manifestazione </w:t>
      </w:r>
      <w:r>
        <w:rPr>
          <w:rFonts w:ascii="Garamond" w:hAnsi="Garamond" w:cs="Times New Roman"/>
          <w:color w:val="000000" w:themeColor="text1"/>
          <w:sz w:val="26"/>
          <w:szCs w:val="26"/>
        </w:rPr>
        <w:t>(</w:t>
      </w:r>
      <w:r w:rsidR="00541FC3">
        <w:rPr>
          <w:rFonts w:ascii="Garamond" w:hAnsi="Garamond" w:cs="Times New Roman"/>
          <w:color w:val="000000" w:themeColor="text1"/>
          <w:sz w:val="26"/>
          <w:szCs w:val="26"/>
        </w:rPr>
        <w:t>art. 21 Cost.</w:t>
      </w:r>
      <w:r>
        <w:rPr>
          <w:rFonts w:ascii="Garamond" w:hAnsi="Garamond" w:cs="Times New Roman"/>
          <w:color w:val="000000" w:themeColor="text1"/>
          <w:sz w:val="26"/>
          <w:szCs w:val="26"/>
        </w:rPr>
        <w:t>),</w:t>
      </w:r>
      <w:r w:rsidR="00541FC3">
        <w:rPr>
          <w:rFonts w:ascii="Garamond" w:hAnsi="Garamond" w:cs="Times New Roman"/>
          <w:color w:val="000000" w:themeColor="text1"/>
          <w:sz w:val="26"/>
          <w:szCs w:val="26"/>
        </w:rPr>
        <w:t xml:space="preserve"> </w:t>
      </w:r>
      <w:r>
        <w:rPr>
          <w:rFonts w:ascii="Garamond" w:hAnsi="Garamond" w:cs="Times New Roman"/>
          <w:color w:val="000000" w:themeColor="text1"/>
          <w:sz w:val="26"/>
          <w:szCs w:val="26"/>
        </w:rPr>
        <w:t>d</w:t>
      </w:r>
      <w:r w:rsidR="00541FC3">
        <w:rPr>
          <w:rFonts w:ascii="Garamond" w:hAnsi="Garamond" w:cs="Times New Roman"/>
          <w:color w:val="000000" w:themeColor="text1"/>
          <w:sz w:val="26"/>
          <w:szCs w:val="26"/>
        </w:rPr>
        <w:t xml:space="preserve">al diritto di iniziativa economica </w:t>
      </w:r>
      <w:r>
        <w:rPr>
          <w:rFonts w:ascii="Garamond" w:hAnsi="Garamond" w:cs="Times New Roman"/>
          <w:color w:val="000000" w:themeColor="text1"/>
          <w:sz w:val="26"/>
          <w:szCs w:val="26"/>
        </w:rPr>
        <w:t>(</w:t>
      </w:r>
      <w:r w:rsidR="00541FC3">
        <w:rPr>
          <w:rFonts w:ascii="Garamond" w:hAnsi="Garamond" w:cs="Times New Roman"/>
          <w:color w:val="000000" w:themeColor="text1"/>
          <w:sz w:val="26"/>
          <w:szCs w:val="26"/>
        </w:rPr>
        <w:t>art. 41 Cost</w:t>
      </w:r>
      <w:r>
        <w:rPr>
          <w:rFonts w:ascii="Garamond" w:hAnsi="Garamond" w:cs="Times New Roman"/>
          <w:color w:val="000000" w:themeColor="text1"/>
          <w:sz w:val="26"/>
          <w:szCs w:val="26"/>
        </w:rPr>
        <w:t>.) al</w:t>
      </w:r>
      <w:r w:rsidR="00541FC3">
        <w:rPr>
          <w:rFonts w:ascii="Garamond" w:hAnsi="Garamond" w:cs="Times New Roman"/>
          <w:color w:val="000000" w:themeColor="text1"/>
          <w:sz w:val="26"/>
          <w:szCs w:val="26"/>
        </w:rPr>
        <w:t xml:space="preserve"> </w:t>
      </w:r>
      <w:r w:rsidR="00772355">
        <w:rPr>
          <w:rFonts w:ascii="Garamond" w:hAnsi="Garamond" w:cs="Times New Roman"/>
          <w:color w:val="000000" w:themeColor="text1"/>
          <w:sz w:val="26"/>
          <w:szCs w:val="26"/>
        </w:rPr>
        <w:t xml:space="preserve">diritto al </w:t>
      </w:r>
      <w:r w:rsidR="00541FC3">
        <w:rPr>
          <w:rFonts w:ascii="Garamond" w:hAnsi="Garamond" w:cs="Times New Roman"/>
          <w:color w:val="000000" w:themeColor="text1"/>
          <w:sz w:val="26"/>
          <w:szCs w:val="26"/>
        </w:rPr>
        <w:t xml:space="preserve">lavoro </w:t>
      </w:r>
      <w:r>
        <w:rPr>
          <w:rFonts w:ascii="Garamond" w:hAnsi="Garamond" w:cs="Times New Roman"/>
          <w:color w:val="000000" w:themeColor="text1"/>
          <w:sz w:val="26"/>
          <w:szCs w:val="26"/>
        </w:rPr>
        <w:t xml:space="preserve">(artt. 4 e 35 </w:t>
      </w:r>
      <w:r w:rsidR="00541FC3">
        <w:rPr>
          <w:rFonts w:ascii="Garamond" w:hAnsi="Garamond" w:cs="Times New Roman"/>
          <w:color w:val="000000" w:themeColor="text1"/>
          <w:sz w:val="26"/>
          <w:szCs w:val="26"/>
        </w:rPr>
        <w:t>Cost</w:t>
      </w:r>
      <w:r>
        <w:rPr>
          <w:rFonts w:ascii="Garamond" w:hAnsi="Garamond" w:cs="Times New Roman"/>
          <w:color w:val="000000" w:themeColor="text1"/>
          <w:sz w:val="26"/>
          <w:szCs w:val="26"/>
        </w:rPr>
        <w:t>.)</w:t>
      </w:r>
      <w:r w:rsidR="00391896">
        <w:rPr>
          <w:rFonts w:ascii="Garamond" w:hAnsi="Garamond" w:cs="Times New Roman"/>
          <w:color w:val="000000" w:themeColor="text1"/>
          <w:sz w:val="26"/>
          <w:szCs w:val="26"/>
        </w:rPr>
        <w:t>,</w:t>
      </w:r>
      <w:r w:rsidR="00541FC3">
        <w:rPr>
          <w:rFonts w:ascii="Garamond" w:hAnsi="Garamond" w:cs="Times New Roman"/>
          <w:color w:val="000000" w:themeColor="text1"/>
          <w:sz w:val="26"/>
          <w:szCs w:val="26"/>
        </w:rPr>
        <w:t xml:space="preserve"> </w:t>
      </w:r>
      <w:r w:rsidR="00391896">
        <w:rPr>
          <w:rFonts w:ascii="Garamond" w:hAnsi="Garamond" w:cs="Times New Roman"/>
          <w:color w:val="000000" w:themeColor="text1"/>
          <w:sz w:val="26"/>
          <w:szCs w:val="26"/>
        </w:rPr>
        <w:t>d</w:t>
      </w:r>
      <w:r w:rsidR="00541FC3">
        <w:rPr>
          <w:rFonts w:ascii="Garamond" w:hAnsi="Garamond" w:cs="Times New Roman"/>
          <w:color w:val="000000" w:themeColor="text1"/>
          <w:sz w:val="26"/>
          <w:szCs w:val="26"/>
        </w:rPr>
        <w:t xml:space="preserve">al diritto alla istruzione </w:t>
      </w:r>
      <w:r w:rsidR="00391896">
        <w:rPr>
          <w:rFonts w:ascii="Garamond" w:hAnsi="Garamond" w:cs="Times New Roman"/>
          <w:color w:val="000000" w:themeColor="text1"/>
          <w:sz w:val="26"/>
          <w:szCs w:val="26"/>
        </w:rPr>
        <w:t>(</w:t>
      </w:r>
      <w:r>
        <w:rPr>
          <w:rFonts w:ascii="Garamond" w:hAnsi="Garamond" w:cs="Times New Roman"/>
          <w:color w:val="000000" w:themeColor="text1"/>
          <w:sz w:val="26"/>
          <w:szCs w:val="26"/>
        </w:rPr>
        <w:t>artt. 33 e 34 Cost.</w:t>
      </w:r>
      <w:r w:rsidR="00391896">
        <w:rPr>
          <w:rFonts w:ascii="Garamond" w:hAnsi="Garamond" w:cs="Times New Roman"/>
          <w:color w:val="000000" w:themeColor="text1"/>
          <w:sz w:val="26"/>
          <w:szCs w:val="26"/>
        </w:rPr>
        <w:t>)</w:t>
      </w:r>
      <w:r>
        <w:rPr>
          <w:rFonts w:ascii="Garamond" w:hAnsi="Garamond" w:cs="Times New Roman"/>
          <w:color w:val="000000" w:themeColor="text1"/>
          <w:sz w:val="26"/>
          <w:szCs w:val="26"/>
        </w:rPr>
        <w:t xml:space="preserve"> </w:t>
      </w:r>
      <w:r w:rsidR="00391896">
        <w:rPr>
          <w:rFonts w:ascii="Garamond" w:hAnsi="Garamond" w:cs="Times New Roman"/>
          <w:color w:val="000000" w:themeColor="text1"/>
          <w:sz w:val="26"/>
          <w:szCs w:val="26"/>
        </w:rPr>
        <w:t>a quello</w:t>
      </w:r>
      <w:r w:rsidR="00772355">
        <w:rPr>
          <w:rFonts w:ascii="Garamond" w:hAnsi="Garamond" w:cs="Times New Roman"/>
          <w:color w:val="000000" w:themeColor="text1"/>
          <w:sz w:val="26"/>
          <w:szCs w:val="26"/>
        </w:rPr>
        <w:t xml:space="preserve"> di fruizione d</w:t>
      </w:r>
      <w:r>
        <w:rPr>
          <w:rFonts w:ascii="Garamond" w:hAnsi="Garamond" w:cs="Times New Roman"/>
          <w:color w:val="000000" w:themeColor="text1"/>
          <w:sz w:val="26"/>
          <w:szCs w:val="26"/>
        </w:rPr>
        <w:t>i servizi pubblici essenziali</w:t>
      </w:r>
      <w:r w:rsidR="00391896">
        <w:rPr>
          <w:rFonts w:ascii="Garamond" w:hAnsi="Garamond" w:cs="Times New Roman"/>
          <w:color w:val="000000" w:themeColor="text1"/>
          <w:sz w:val="26"/>
          <w:szCs w:val="26"/>
        </w:rPr>
        <w:t xml:space="preserve"> come la giustizia (artt. 24 e 113 Cost.).</w:t>
      </w:r>
    </w:p>
    <w:p w14:paraId="476DAAED" w14:textId="0B21DD02" w:rsidR="00802B2B" w:rsidRDefault="00772355" w:rsidP="0056174A">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I</w:t>
      </w:r>
      <w:r w:rsidR="00C57648">
        <w:rPr>
          <w:rFonts w:ascii="Garamond" w:hAnsi="Garamond" w:cs="Times New Roman"/>
          <w:color w:val="000000" w:themeColor="text1"/>
          <w:sz w:val="26"/>
          <w:szCs w:val="26"/>
        </w:rPr>
        <w:t xml:space="preserve">l fatto che </w:t>
      </w:r>
      <w:r>
        <w:rPr>
          <w:rFonts w:ascii="Garamond" w:hAnsi="Garamond" w:cs="Times New Roman"/>
          <w:color w:val="000000" w:themeColor="text1"/>
          <w:sz w:val="26"/>
          <w:szCs w:val="26"/>
        </w:rPr>
        <w:t xml:space="preserve">ciò sia avvenuto con </w:t>
      </w:r>
      <w:r w:rsidR="0056174A">
        <w:rPr>
          <w:rFonts w:ascii="Garamond" w:hAnsi="Garamond" w:cs="Times New Roman"/>
          <w:color w:val="000000" w:themeColor="text1"/>
          <w:sz w:val="26"/>
          <w:szCs w:val="26"/>
        </w:rPr>
        <w:t xml:space="preserve">un </w:t>
      </w:r>
      <w:r w:rsidR="00541FC3">
        <w:rPr>
          <w:rFonts w:ascii="Garamond" w:hAnsi="Garamond" w:cs="Times New Roman"/>
          <w:color w:val="000000" w:themeColor="text1"/>
          <w:sz w:val="26"/>
          <w:szCs w:val="26"/>
        </w:rPr>
        <w:t>susseguirsi d</w:t>
      </w:r>
      <w:r w:rsidR="0056174A">
        <w:rPr>
          <w:rFonts w:ascii="Garamond" w:hAnsi="Garamond" w:cs="Times New Roman"/>
          <w:color w:val="000000" w:themeColor="text1"/>
          <w:sz w:val="26"/>
          <w:szCs w:val="26"/>
        </w:rPr>
        <w:t xml:space="preserve">i </w:t>
      </w:r>
      <w:r w:rsidR="00C57648">
        <w:rPr>
          <w:rFonts w:ascii="Garamond" w:hAnsi="Garamond" w:cs="Times New Roman"/>
          <w:color w:val="000000" w:themeColor="text1"/>
          <w:sz w:val="26"/>
          <w:szCs w:val="26"/>
        </w:rPr>
        <w:t xml:space="preserve">eterogenee </w:t>
      </w:r>
      <w:r w:rsidR="00541FC3">
        <w:rPr>
          <w:rFonts w:ascii="Garamond" w:hAnsi="Garamond" w:cs="Times New Roman"/>
          <w:color w:val="000000" w:themeColor="text1"/>
          <w:sz w:val="26"/>
          <w:szCs w:val="26"/>
        </w:rPr>
        <w:t>fonti normative</w:t>
      </w:r>
      <w:r w:rsidR="00E42453">
        <w:rPr>
          <w:rFonts w:ascii="Garamond" w:hAnsi="Garamond" w:cs="Times New Roman"/>
          <w:color w:val="000000" w:themeColor="text1"/>
          <w:sz w:val="26"/>
          <w:szCs w:val="26"/>
        </w:rPr>
        <w:t xml:space="preserve"> </w:t>
      </w:r>
      <w:r w:rsidR="00541FC3">
        <w:rPr>
          <w:rFonts w:ascii="Garamond" w:hAnsi="Garamond" w:cs="Times New Roman"/>
          <w:color w:val="000000" w:themeColor="text1"/>
          <w:sz w:val="26"/>
          <w:szCs w:val="26"/>
        </w:rPr>
        <w:t>(</w:t>
      </w:r>
      <w:r w:rsidR="00E42453">
        <w:rPr>
          <w:rFonts w:ascii="Garamond" w:hAnsi="Garamond" w:cs="Times New Roman"/>
          <w:color w:val="000000" w:themeColor="text1"/>
          <w:sz w:val="26"/>
          <w:szCs w:val="26"/>
        </w:rPr>
        <w:t xml:space="preserve">decreti legge, </w:t>
      </w:r>
      <w:r w:rsidR="00866F78">
        <w:rPr>
          <w:rFonts w:ascii="Garamond" w:hAnsi="Garamond" w:cs="Times New Roman"/>
          <w:color w:val="000000" w:themeColor="text1"/>
          <w:sz w:val="26"/>
          <w:szCs w:val="26"/>
        </w:rPr>
        <w:t>d</w:t>
      </w:r>
      <w:r w:rsidR="00E42453">
        <w:rPr>
          <w:rFonts w:ascii="Garamond" w:hAnsi="Garamond" w:cs="Times New Roman"/>
          <w:color w:val="000000" w:themeColor="text1"/>
          <w:sz w:val="26"/>
          <w:szCs w:val="26"/>
        </w:rPr>
        <w:t>.</w:t>
      </w:r>
      <w:r w:rsidR="00866F78">
        <w:rPr>
          <w:rFonts w:ascii="Garamond" w:hAnsi="Garamond" w:cs="Times New Roman"/>
          <w:color w:val="000000" w:themeColor="text1"/>
          <w:sz w:val="26"/>
          <w:szCs w:val="26"/>
        </w:rPr>
        <w:t>P</w:t>
      </w:r>
      <w:r w:rsidR="00E42453">
        <w:rPr>
          <w:rFonts w:ascii="Garamond" w:hAnsi="Garamond" w:cs="Times New Roman"/>
          <w:color w:val="000000" w:themeColor="text1"/>
          <w:sz w:val="26"/>
          <w:szCs w:val="26"/>
        </w:rPr>
        <w:t>.</w:t>
      </w:r>
      <w:r w:rsidR="00866F78">
        <w:rPr>
          <w:rFonts w:ascii="Garamond" w:hAnsi="Garamond" w:cs="Times New Roman"/>
          <w:color w:val="000000" w:themeColor="text1"/>
          <w:sz w:val="26"/>
          <w:szCs w:val="26"/>
        </w:rPr>
        <w:t>C</w:t>
      </w:r>
      <w:r w:rsidR="00E42453">
        <w:rPr>
          <w:rFonts w:ascii="Garamond" w:hAnsi="Garamond" w:cs="Times New Roman"/>
          <w:color w:val="000000" w:themeColor="text1"/>
          <w:sz w:val="26"/>
          <w:szCs w:val="26"/>
        </w:rPr>
        <w:t>.</w:t>
      </w:r>
      <w:r w:rsidR="00866F78">
        <w:rPr>
          <w:rFonts w:ascii="Garamond" w:hAnsi="Garamond" w:cs="Times New Roman"/>
          <w:color w:val="000000" w:themeColor="text1"/>
          <w:sz w:val="26"/>
          <w:szCs w:val="26"/>
        </w:rPr>
        <w:t>M</w:t>
      </w:r>
      <w:r w:rsidR="00E42453">
        <w:rPr>
          <w:rFonts w:ascii="Garamond" w:hAnsi="Garamond" w:cs="Times New Roman"/>
          <w:color w:val="000000" w:themeColor="text1"/>
          <w:sz w:val="26"/>
          <w:szCs w:val="26"/>
        </w:rPr>
        <w:t xml:space="preserve">., ordinanze e decreti del Ministro della Salute, del Capo del </w:t>
      </w:r>
      <w:r w:rsidR="00E42453">
        <w:rPr>
          <w:rFonts w:ascii="Garamond" w:hAnsi="Garamond" w:cs="Times New Roman"/>
          <w:color w:val="000000" w:themeColor="text1"/>
          <w:sz w:val="26"/>
          <w:szCs w:val="26"/>
        </w:rPr>
        <w:lastRenderedPageBreak/>
        <w:t>Dipartimento della Protezione civile, del Commissario straordinario per l’emergenza Covid-19</w:t>
      </w:r>
      <w:r w:rsidR="00541FC3">
        <w:rPr>
          <w:rFonts w:ascii="Garamond" w:hAnsi="Garamond" w:cs="Times New Roman"/>
          <w:color w:val="000000" w:themeColor="text1"/>
          <w:sz w:val="26"/>
          <w:szCs w:val="26"/>
        </w:rPr>
        <w:t>,</w:t>
      </w:r>
      <w:r w:rsidR="00E42453">
        <w:rPr>
          <w:rFonts w:ascii="Garamond" w:hAnsi="Garamond" w:cs="Times New Roman"/>
          <w:color w:val="000000" w:themeColor="text1"/>
          <w:sz w:val="26"/>
          <w:szCs w:val="26"/>
        </w:rPr>
        <w:t xml:space="preserve"> di provvedimenti delle Regioni e degli E</w:t>
      </w:r>
      <w:r w:rsidR="00541FC3">
        <w:rPr>
          <w:rFonts w:ascii="Garamond" w:hAnsi="Garamond" w:cs="Times New Roman"/>
          <w:color w:val="000000" w:themeColor="text1"/>
          <w:sz w:val="26"/>
          <w:szCs w:val="26"/>
        </w:rPr>
        <w:t>nti locali)</w:t>
      </w:r>
      <w:r w:rsidR="00E42453">
        <w:rPr>
          <w:rFonts w:ascii="Garamond" w:hAnsi="Garamond" w:cs="Times New Roman"/>
          <w:color w:val="000000" w:themeColor="text1"/>
          <w:sz w:val="26"/>
          <w:szCs w:val="26"/>
        </w:rPr>
        <w:t xml:space="preserve"> </w:t>
      </w:r>
      <w:r w:rsidR="0056174A">
        <w:rPr>
          <w:rFonts w:ascii="Garamond" w:hAnsi="Garamond" w:cs="Times New Roman"/>
          <w:color w:val="000000" w:themeColor="text1"/>
          <w:sz w:val="26"/>
          <w:szCs w:val="26"/>
        </w:rPr>
        <w:t xml:space="preserve">ha </w:t>
      </w:r>
      <w:r w:rsidR="00391896">
        <w:rPr>
          <w:rFonts w:ascii="Garamond" w:hAnsi="Garamond" w:cs="Times New Roman"/>
          <w:color w:val="000000" w:themeColor="text1"/>
          <w:sz w:val="26"/>
          <w:szCs w:val="26"/>
        </w:rPr>
        <w:t xml:space="preserve">comprensibilmente </w:t>
      </w:r>
      <w:r w:rsidR="0056174A">
        <w:rPr>
          <w:rFonts w:ascii="Garamond" w:hAnsi="Garamond" w:cs="Times New Roman"/>
          <w:color w:val="000000" w:themeColor="text1"/>
          <w:sz w:val="26"/>
          <w:szCs w:val="26"/>
        </w:rPr>
        <w:t xml:space="preserve">sollevato un dibattito </w:t>
      </w:r>
      <w:r w:rsidR="00391896">
        <w:rPr>
          <w:rFonts w:ascii="Garamond" w:hAnsi="Garamond" w:cs="Times New Roman"/>
          <w:color w:val="000000" w:themeColor="text1"/>
          <w:sz w:val="26"/>
          <w:szCs w:val="26"/>
        </w:rPr>
        <w:t xml:space="preserve">di </w:t>
      </w:r>
      <w:r w:rsidR="0056174A">
        <w:rPr>
          <w:rFonts w:ascii="Garamond" w:hAnsi="Garamond" w:cs="Times New Roman"/>
          <w:color w:val="000000" w:themeColor="text1"/>
          <w:sz w:val="26"/>
          <w:szCs w:val="26"/>
        </w:rPr>
        <w:t>diritto costituzione</w:t>
      </w:r>
      <w:r w:rsidR="00391896">
        <w:rPr>
          <w:rFonts w:ascii="Garamond" w:hAnsi="Garamond" w:cs="Times New Roman"/>
          <w:color w:val="000000" w:themeColor="text1"/>
          <w:sz w:val="26"/>
          <w:szCs w:val="26"/>
        </w:rPr>
        <w:t xml:space="preserve"> sul rispetto della “riserva di legge”.</w:t>
      </w:r>
    </w:p>
    <w:p w14:paraId="110ACA75" w14:textId="66722B8A" w:rsidR="00EA7432" w:rsidRDefault="00772355" w:rsidP="008B49EA">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In questo quadro, </w:t>
      </w:r>
      <w:r w:rsidR="00C57648">
        <w:rPr>
          <w:rFonts w:ascii="Garamond" w:hAnsi="Garamond" w:cs="Times New Roman"/>
          <w:color w:val="000000" w:themeColor="text1"/>
          <w:sz w:val="26"/>
          <w:szCs w:val="26"/>
        </w:rPr>
        <w:t xml:space="preserve">il </w:t>
      </w:r>
      <w:r>
        <w:rPr>
          <w:rFonts w:ascii="Garamond" w:hAnsi="Garamond" w:cs="Times New Roman"/>
          <w:color w:val="000000" w:themeColor="text1"/>
          <w:sz w:val="26"/>
          <w:szCs w:val="26"/>
        </w:rPr>
        <w:t>tema de</w:t>
      </w:r>
      <w:r w:rsidR="00C57648">
        <w:rPr>
          <w:rFonts w:ascii="Garamond" w:hAnsi="Garamond" w:cs="Times New Roman"/>
          <w:color w:val="000000" w:themeColor="text1"/>
          <w:sz w:val="26"/>
          <w:szCs w:val="26"/>
        </w:rPr>
        <w:t>lla “trasparenza” degli atti di gestione dell’emergenza</w:t>
      </w:r>
      <w:r>
        <w:rPr>
          <w:rFonts w:ascii="Garamond" w:hAnsi="Garamond" w:cs="Times New Roman"/>
          <w:color w:val="000000" w:themeColor="text1"/>
          <w:sz w:val="26"/>
          <w:szCs w:val="26"/>
        </w:rPr>
        <w:t xml:space="preserve"> sanitaria è rimasto perlopiù sullo sfondo</w:t>
      </w:r>
      <w:r w:rsidR="008B49EA">
        <w:rPr>
          <w:rFonts w:ascii="Garamond" w:hAnsi="Garamond" w:cs="Times New Roman"/>
          <w:color w:val="000000" w:themeColor="text1"/>
          <w:sz w:val="26"/>
          <w:szCs w:val="26"/>
        </w:rPr>
        <w:t xml:space="preserve">, probabilmente in ragione del </w:t>
      </w:r>
      <w:r w:rsidR="00F95CDF">
        <w:rPr>
          <w:rFonts w:ascii="Garamond" w:hAnsi="Garamond" w:cs="Times New Roman"/>
          <w:color w:val="000000" w:themeColor="text1"/>
          <w:sz w:val="26"/>
          <w:szCs w:val="26"/>
        </w:rPr>
        <w:t xml:space="preserve">non dichiarato </w:t>
      </w:r>
      <w:r w:rsidR="008B49EA">
        <w:rPr>
          <w:rFonts w:ascii="Garamond" w:hAnsi="Garamond" w:cs="Times New Roman"/>
          <w:color w:val="000000" w:themeColor="text1"/>
          <w:sz w:val="26"/>
          <w:szCs w:val="26"/>
        </w:rPr>
        <w:t xml:space="preserve">timore che una sua eccessiva valorizzazione </w:t>
      </w:r>
      <w:r w:rsidR="00DF4FF3">
        <w:rPr>
          <w:rFonts w:ascii="Garamond" w:hAnsi="Garamond" w:cs="Times New Roman"/>
          <w:color w:val="000000" w:themeColor="text1"/>
          <w:sz w:val="26"/>
          <w:szCs w:val="26"/>
        </w:rPr>
        <w:t>in periodo emergenziale po</w:t>
      </w:r>
      <w:r w:rsidR="00866F78">
        <w:rPr>
          <w:rFonts w:ascii="Garamond" w:hAnsi="Garamond" w:cs="Times New Roman"/>
          <w:color w:val="000000" w:themeColor="text1"/>
          <w:sz w:val="26"/>
          <w:szCs w:val="26"/>
        </w:rPr>
        <w:t xml:space="preserve">ssa </w:t>
      </w:r>
      <w:r w:rsidR="00F95CDF">
        <w:rPr>
          <w:rFonts w:ascii="Garamond" w:hAnsi="Garamond" w:cs="Times New Roman"/>
          <w:color w:val="000000" w:themeColor="text1"/>
          <w:sz w:val="26"/>
          <w:szCs w:val="26"/>
        </w:rPr>
        <w:t xml:space="preserve">rappresentare </w:t>
      </w:r>
      <w:r w:rsidR="006A5307">
        <w:rPr>
          <w:rFonts w:ascii="Garamond" w:hAnsi="Garamond" w:cs="Times New Roman"/>
          <w:color w:val="000000" w:themeColor="text1"/>
          <w:sz w:val="26"/>
          <w:szCs w:val="26"/>
        </w:rPr>
        <w:t>un impedimento</w:t>
      </w:r>
      <w:r w:rsidR="008B49EA">
        <w:rPr>
          <w:rFonts w:ascii="Garamond" w:hAnsi="Garamond" w:cs="Times New Roman"/>
          <w:color w:val="000000" w:themeColor="text1"/>
          <w:sz w:val="26"/>
          <w:szCs w:val="26"/>
        </w:rPr>
        <w:t xml:space="preserve"> o comunque un</w:t>
      </w:r>
      <w:r w:rsidR="00F95CDF">
        <w:rPr>
          <w:rFonts w:ascii="Garamond" w:hAnsi="Garamond" w:cs="Times New Roman"/>
          <w:color w:val="000000" w:themeColor="text1"/>
          <w:sz w:val="26"/>
          <w:szCs w:val="26"/>
        </w:rPr>
        <w:t xml:space="preserve"> elemento di compl</w:t>
      </w:r>
      <w:r w:rsidR="006A5307">
        <w:rPr>
          <w:rFonts w:ascii="Garamond" w:hAnsi="Garamond" w:cs="Times New Roman"/>
          <w:color w:val="000000" w:themeColor="text1"/>
          <w:sz w:val="26"/>
          <w:szCs w:val="26"/>
        </w:rPr>
        <w:t xml:space="preserve">essità </w:t>
      </w:r>
      <w:r w:rsidR="00F95CDF">
        <w:rPr>
          <w:rFonts w:ascii="Garamond" w:hAnsi="Garamond" w:cs="Times New Roman"/>
          <w:color w:val="000000" w:themeColor="text1"/>
          <w:sz w:val="26"/>
          <w:szCs w:val="26"/>
        </w:rPr>
        <w:t xml:space="preserve">nella </w:t>
      </w:r>
      <w:r w:rsidR="006A5307">
        <w:rPr>
          <w:rFonts w:ascii="Garamond" w:hAnsi="Garamond" w:cs="Times New Roman"/>
          <w:color w:val="000000" w:themeColor="text1"/>
          <w:sz w:val="26"/>
          <w:szCs w:val="26"/>
        </w:rPr>
        <w:t xml:space="preserve">già </w:t>
      </w:r>
      <w:r w:rsidR="00F95CDF">
        <w:rPr>
          <w:rFonts w:ascii="Garamond" w:hAnsi="Garamond" w:cs="Times New Roman"/>
          <w:color w:val="000000" w:themeColor="text1"/>
          <w:sz w:val="26"/>
          <w:szCs w:val="26"/>
        </w:rPr>
        <w:t xml:space="preserve">complicata </w:t>
      </w:r>
      <w:r w:rsidR="008B49EA">
        <w:rPr>
          <w:rFonts w:ascii="Garamond" w:hAnsi="Garamond" w:cs="Times New Roman"/>
          <w:color w:val="000000" w:themeColor="text1"/>
          <w:sz w:val="26"/>
          <w:szCs w:val="26"/>
        </w:rPr>
        <w:t xml:space="preserve">attuazione delle misure di contrasto del virus, </w:t>
      </w:r>
      <w:r w:rsidR="006A5307">
        <w:rPr>
          <w:rFonts w:ascii="Garamond" w:hAnsi="Garamond" w:cs="Times New Roman"/>
          <w:color w:val="000000" w:themeColor="text1"/>
          <w:sz w:val="26"/>
          <w:szCs w:val="26"/>
        </w:rPr>
        <w:t xml:space="preserve">difficilmente conciliabile </w:t>
      </w:r>
      <w:r w:rsidR="008B49EA">
        <w:rPr>
          <w:rFonts w:ascii="Garamond" w:hAnsi="Garamond" w:cs="Times New Roman"/>
          <w:color w:val="000000" w:themeColor="text1"/>
          <w:sz w:val="26"/>
          <w:szCs w:val="26"/>
        </w:rPr>
        <w:t xml:space="preserve">con </w:t>
      </w:r>
      <w:r w:rsidR="00F95CDF">
        <w:rPr>
          <w:rFonts w:ascii="Garamond" w:hAnsi="Garamond" w:cs="Times New Roman"/>
          <w:color w:val="000000" w:themeColor="text1"/>
          <w:sz w:val="26"/>
          <w:szCs w:val="26"/>
        </w:rPr>
        <w:t>l</w:t>
      </w:r>
      <w:r w:rsidR="006A5307">
        <w:rPr>
          <w:rFonts w:ascii="Garamond" w:hAnsi="Garamond" w:cs="Times New Roman"/>
          <w:color w:val="000000" w:themeColor="text1"/>
          <w:sz w:val="26"/>
          <w:szCs w:val="26"/>
        </w:rPr>
        <w:t>e esigenze di</w:t>
      </w:r>
      <w:r w:rsidR="00F95CDF">
        <w:rPr>
          <w:rFonts w:ascii="Garamond" w:hAnsi="Garamond" w:cs="Times New Roman"/>
          <w:color w:val="000000" w:themeColor="text1"/>
          <w:sz w:val="26"/>
          <w:szCs w:val="26"/>
        </w:rPr>
        <w:t xml:space="preserve"> </w:t>
      </w:r>
      <w:r w:rsidR="008B49EA">
        <w:rPr>
          <w:rFonts w:ascii="Garamond" w:hAnsi="Garamond" w:cs="Times New Roman"/>
          <w:color w:val="000000" w:themeColor="text1"/>
          <w:sz w:val="26"/>
          <w:szCs w:val="26"/>
        </w:rPr>
        <w:t xml:space="preserve">buon andamento dell’azione </w:t>
      </w:r>
      <w:r w:rsidR="00F95CDF">
        <w:rPr>
          <w:rFonts w:ascii="Garamond" w:hAnsi="Garamond" w:cs="Times New Roman"/>
          <w:color w:val="000000" w:themeColor="text1"/>
          <w:sz w:val="26"/>
          <w:szCs w:val="26"/>
        </w:rPr>
        <w:t xml:space="preserve">amministrativa </w:t>
      </w:r>
      <w:r w:rsidR="008B49EA">
        <w:rPr>
          <w:rFonts w:ascii="Garamond" w:hAnsi="Garamond" w:cs="Times New Roman"/>
          <w:color w:val="000000" w:themeColor="text1"/>
          <w:sz w:val="26"/>
          <w:szCs w:val="26"/>
        </w:rPr>
        <w:t>(art. 97 Cost.)</w:t>
      </w:r>
      <w:r w:rsidR="006A5307">
        <w:rPr>
          <w:rFonts w:ascii="Garamond" w:hAnsi="Garamond" w:cs="Times New Roman"/>
          <w:color w:val="000000" w:themeColor="text1"/>
          <w:sz w:val="26"/>
          <w:szCs w:val="26"/>
        </w:rPr>
        <w:t>, visto</w:t>
      </w:r>
      <w:r w:rsidR="008B49EA">
        <w:rPr>
          <w:rFonts w:ascii="Garamond" w:hAnsi="Garamond" w:cs="Times New Roman"/>
          <w:color w:val="000000" w:themeColor="text1"/>
          <w:sz w:val="26"/>
          <w:szCs w:val="26"/>
        </w:rPr>
        <w:t xml:space="preserve"> sotto il particolare profilo della efficacia e</w:t>
      </w:r>
      <w:r w:rsidR="00F95CDF">
        <w:rPr>
          <w:rFonts w:ascii="Garamond" w:hAnsi="Garamond" w:cs="Times New Roman"/>
          <w:color w:val="000000" w:themeColor="text1"/>
          <w:sz w:val="26"/>
          <w:szCs w:val="26"/>
        </w:rPr>
        <w:t>d</w:t>
      </w:r>
      <w:r w:rsidR="008B49EA">
        <w:rPr>
          <w:rFonts w:ascii="Garamond" w:hAnsi="Garamond" w:cs="Times New Roman"/>
          <w:color w:val="000000" w:themeColor="text1"/>
          <w:sz w:val="26"/>
          <w:szCs w:val="26"/>
        </w:rPr>
        <w:t xml:space="preserve"> efficienza</w:t>
      </w:r>
      <w:r w:rsidR="006A5307">
        <w:rPr>
          <w:rFonts w:ascii="Garamond" w:hAnsi="Garamond" w:cs="Times New Roman"/>
          <w:color w:val="000000" w:themeColor="text1"/>
          <w:sz w:val="26"/>
          <w:szCs w:val="26"/>
        </w:rPr>
        <w:t xml:space="preserve"> delle misure adottate</w:t>
      </w:r>
      <w:r w:rsidR="008B49EA">
        <w:rPr>
          <w:rFonts w:ascii="Garamond" w:hAnsi="Garamond" w:cs="Times New Roman"/>
          <w:color w:val="000000" w:themeColor="text1"/>
          <w:sz w:val="26"/>
          <w:szCs w:val="26"/>
        </w:rPr>
        <w:t>.</w:t>
      </w:r>
    </w:p>
    <w:p w14:paraId="42C23109" w14:textId="07D16647" w:rsidR="008B49EA" w:rsidRDefault="002D61BD" w:rsidP="008B49EA">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A ben vedere, invece, </w:t>
      </w:r>
      <w:r w:rsidR="00F95CDF">
        <w:rPr>
          <w:rFonts w:ascii="Garamond" w:hAnsi="Garamond" w:cs="Times New Roman"/>
          <w:color w:val="000000" w:themeColor="text1"/>
          <w:sz w:val="26"/>
          <w:szCs w:val="26"/>
        </w:rPr>
        <w:t xml:space="preserve">la </w:t>
      </w:r>
      <w:r>
        <w:rPr>
          <w:rFonts w:ascii="Garamond" w:hAnsi="Garamond" w:cs="Times New Roman"/>
          <w:color w:val="000000" w:themeColor="text1"/>
          <w:sz w:val="26"/>
          <w:szCs w:val="26"/>
        </w:rPr>
        <w:t xml:space="preserve">trasparenza </w:t>
      </w:r>
      <w:r w:rsidR="00866F78">
        <w:rPr>
          <w:rFonts w:ascii="Garamond" w:hAnsi="Garamond" w:cs="Times New Roman"/>
          <w:color w:val="000000" w:themeColor="text1"/>
          <w:sz w:val="26"/>
          <w:szCs w:val="26"/>
        </w:rPr>
        <w:t>rappresenta</w:t>
      </w:r>
      <w:r w:rsidR="00F84582">
        <w:rPr>
          <w:rFonts w:ascii="Garamond" w:hAnsi="Garamond" w:cs="Times New Roman"/>
          <w:color w:val="000000" w:themeColor="text1"/>
          <w:sz w:val="26"/>
          <w:szCs w:val="26"/>
        </w:rPr>
        <w:t>,</w:t>
      </w:r>
      <w:r>
        <w:rPr>
          <w:rFonts w:ascii="Garamond" w:hAnsi="Garamond" w:cs="Times New Roman"/>
          <w:color w:val="000000" w:themeColor="text1"/>
          <w:sz w:val="26"/>
          <w:szCs w:val="26"/>
        </w:rPr>
        <w:t xml:space="preserve"> per un verso</w:t>
      </w:r>
      <w:r w:rsidR="00F84582">
        <w:rPr>
          <w:rFonts w:ascii="Garamond" w:hAnsi="Garamond" w:cs="Times New Roman"/>
          <w:color w:val="000000" w:themeColor="text1"/>
          <w:sz w:val="26"/>
          <w:szCs w:val="26"/>
        </w:rPr>
        <w:t>,</w:t>
      </w:r>
      <w:r>
        <w:rPr>
          <w:rFonts w:ascii="Garamond" w:hAnsi="Garamond" w:cs="Times New Roman"/>
          <w:color w:val="000000" w:themeColor="text1"/>
          <w:sz w:val="26"/>
          <w:szCs w:val="26"/>
        </w:rPr>
        <w:t xml:space="preserve"> un punto di vista privilegiato </w:t>
      </w:r>
      <w:r w:rsidR="00F95CDF">
        <w:rPr>
          <w:rFonts w:ascii="Garamond" w:hAnsi="Garamond" w:cs="Times New Roman"/>
          <w:color w:val="000000" w:themeColor="text1"/>
          <w:sz w:val="26"/>
          <w:szCs w:val="26"/>
        </w:rPr>
        <w:t>per condurre quella verifica del rispetto dei “</w:t>
      </w:r>
      <w:r w:rsidR="00F84582">
        <w:rPr>
          <w:rFonts w:ascii="Garamond" w:hAnsi="Garamond" w:cs="Times New Roman"/>
          <w:color w:val="000000" w:themeColor="text1"/>
          <w:sz w:val="26"/>
          <w:szCs w:val="26"/>
        </w:rPr>
        <w:t>principi generali</w:t>
      </w:r>
      <w:r w:rsidR="00F95CDF">
        <w:rPr>
          <w:rFonts w:ascii="Garamond" w:hAnsi="Garamond" w:cs="Times New Roman"/>
          <w:color w:val="000000" w:themeColor="text1"/>
          <w:sz w:val="26"/>
          <w:szCs w:val="26"/>
        </w:rPr>
        <w:t>”</w:t>
      </w:r>
      <w:r w:rsidR="00F84582">
        <w:rPr>
          <w:rFonts w:ascii="Garamond" w:hAnsi="Garamond" w:cs="Times New Roman"/>
          <w:color w:val="000000" w:themeColor="text1"/>
          <w:sz w:val="26"/>
          <w:szCs w:val="26"/>
        </w:rPr>
        <w:t xml:space="preserve"> dell’ordinamento cui è subordinata la tenuta del</w:t>
      </w:r>
      <w:r>
        <w:rPr>
          <w:rFonts w:ascii="Garamond" w:hAnsi="Garamond" w:cs="Times New Roman"/>
          <w:color w:val="000000" w:themeColor="text1"/>
          <w:sz w:val="26"/>
          <w:szCs w:val="26"/>
        </w:rPr>
        <w:t xml:space="preserve"> sistema democratico nel contesto emergenziale e, per altro verso, un</w:t>
      </w:r>
      <w:r w:rsidR="000B7320">
        <w:rPr>
          <w:rFonts w:ascii="Garamond" w:hAnsi="Garamond" w:cs="Times New Roman"/>
          <w:color w:val="000000" w:themeColor="text1"/>
          <w:sz w:val="26"/>
          <w:szCs w:val="26"/>
        </w:rPr>
        <w:t>a</w:t>
      </w:r>
      <w:r w:rsidR="00F95CDF">
        <w:rPr>
          <w:rFonts w:ascii="Garamond" w:hAnsi="Garamond" w:cs="Times New Roman"/>
          <w:color w:val="000000" w:themeColor="text1"/>
          <w:sz w:val="26"/>
          <w:szCs w:val="26"/>
        </w:rPr>
        <w:t xml:space="preserve"> </w:t>
      </w:r>
      <w:r w:rsidR="006A5307">
        <w:rPr>
          <w:rFonts w:ascii="Garamond" w:hAnsi="Garamond" w:cs="Times New Roman"/>
          <w:color w:val="000000" w:themeColor="text1"/>
          <w:sz w:val="26"/>
          <w:szCs w:val="26"/>
        </w:rPr>
        <w:t xml:space="preserve">fondamentale </w:t>
      </w:r>
      <w:r w:rsidR="00F95CDF">
        <w:rPr>
          <w:rFonts w:ascii="Garamond" w:hAnsi="Garamond" w:cs="Times New Roman"/>
          <w:color w:val="000000" w:themeColor="text1"/>
          <w:sz w:val="26"/>
          <w:szCs w:val="26"/>
        </w:rPr>
        <w:t>leva</w:t>
      </w:r>
      <w:r>
        <w:rPr>
          <w:rFonts w:ascii="Garamond" w:hAnsi="Garamond" w:cs="Times New Roman"/>
          <w:color w:val="000000" w:themeColor="text1"/>
          <w:sz w:val="26"/>
          <w:szCs w:val="26"/>
        </w:rPr>
        <w:t xml:space="preserve"> </w:t>
      </w:r>
      <w:r w:rsidR="00F95CDF">
        <w:rPr>
          <w:rFonts w:ascii="Garamond" w:hAnsi="Garamond" w:cs="Times New Roman"/>
          <w:color w:val="000000" w:themeColor="text1"/>
          <w:sz w:val="26"/>
          <w:szCs w:val="26"/>
        </w:rPr>
        <w:t xml:space="preserve">per una </w:t>
      </w:r>
      <w:r>
        <w:rPr>
          <w:rFonts w:ascii="Garamond" w:hAnsi="Garamond" w:cs="Times New Roman"/>
          <w:color w:val="000000" w:themeColor="text1"/>
          <w:sz w:val="26"/>
          <w:szCs w:val="26"/>
        </w:rPr>
        <w:t>più efficace gestione dell’emergenza.</w:t>
      </w:r>
    </w:p>
    <w:p w14:paraId="628DC28C" w14:textId="77777777" w:rsidR="008B49EA" w:rsidRDefault="008B49EA" w:rsidP="008B49EA">
      <w:pPr>
        <w:spacing w:line="360" w:lineRule="auto"/>
        <w:ind w:left="567" w:right="567" w:firstLine="141"/>
        <w:jc w:val="both"/>
        <w:rPr>
          <w:rFonts w:ascii="Garamond" w:hAnsi="Garamond" w:cs="Times New Roman"/>
          <w:color w:val="000000" w:themeColor="text1"/>
          <w:sz w:val="26"/>
          <w:szCs w:val="26"/>
        </w:rPr>
      </w:pPr>
    </w:p>
    <w:p w14:paraId="696ADCD0" w14:textId="48936B84" w:rsidR="003E7BD2" w:rsidRDefault="003E7BD2" w:rsidP="003E7BD2">
      <w:pPr>
        <w:spacing w:line="360" w:lineRule="auto"/>
        <w:ind w:left="567" w:right="567"/>
        <w:jc w:val="both"/>
        <w:rPr>
          <w:rFonts w:ascii="Garamond" w:hAnsi="Garamond" w:cs="Times New Roman"/>
          <w:b/>
          <w:color w:val="000000" w:themeColor="text1"/>
          <w:sz w:val="26"/>
          <w:szCs w:val="26"/>
        </w:rPr>
      </w:pPr>
      <w:r>
        <w:rPr>
          <w:rFonts w:ascii="Garamond" w:hAnsi="Garamond" w:cs="Times New Roman"/>
          <w:b/>
          <w:color w:val="000000" w:themeColor="text1"/>
          <w:sz w:val="26"/>
          <w:szCs w:val="26"/>
        </w:rPr>
        <w:t>2</w:t>
      </w:r>
      <w:r w:rsidR="0055792A">
        <w:rPr>
          <w:rFonts w:ascii="Garamond" w:hAnsi="Garamond" w:cs="Times New Roman"/>
          <w:b/>
          <w:color w:val="000000" w:themeColor="text1"/>
          <w:sz w:val="26"/>
          <w:szCs w:val="26"/>
        </w:rPr>
        <w:t>.</w:t>
      </w:r>
      <w:r w:rsidR="00866F78">
        <w:rPr>
          <w:rFonts w:ascii="Garamond" w:hAnsi="Garamond" w:cs="Times New Roman"/>
          <w:b/>
          <w:color w:val="000000" w:themeColor="text1"/>
          <w:sz w:val="26"/>
          <w:szCs w:val="26"/>
        </w:rPr>
        <w:t xml:space="preserve"> </w:t>
      </w:r>
      <w:r>
        <w:rPr>
          <w:rFonts w:ascii="Garamond" w:hAnsi="Garamond" w:cs="Times New Roman"/>
          <w:b/>
          <w:color w:val="000000" w:themeColor="text1"/>
          <w:sz w:val="26"/>
          <w:szCs w:val="26"/>
        </w:rPr>
        <w:t xml:space="preserve">Principio di </w:t>
      </w:r>
      <w:r w:rsidRPr="000E609F">
        <w:rPr>
          <w:rFonts w:ascii="Garamond" w:hAnsi="Garamond" w:cs="Times New Roman"/>
          <w:b/>
          <w:color w:val="000000" w:themeColor="text1"/>
          <w:sz w:val="26"/>
          <w:szCs w:val="26"/>
        </w:rPr>
        <w:t>trasparenza e</w:t>
      </w:r>
      <w:r>
        <w:rPr>
          <w:rFonts w:ascii="Garamond" w:hAnsi="Garamond" w:cs="Times New Roman"/>
          <w:b/>
          <w:color w:val="000000" w:themeColor="text1"/>
          <w:sz w:val="26"/>
          <w:szCs w:val="26"/>
        </w:rPr>
        <w:t xml:space="preserve"> </w:t>
      </w:r>
      <w:r w:rsidRPr="000E609F">
        <w:rPr>
          <w:rFonts w:ascii="Garamond" w:hAnsi="Garamond" w:cs="Times New Roman"/>
          <w:b/>
          <w:color w:val="000000" w:themeColor="text1"/>
          <w:sz w:val="26"/>
          <w:szCs w:val="26"/>
        </w:rPr>
        <w:t>attività sanitaria.</w:t>
      </w:r>
    </w:p>
    <w:p w14:paraId="43A60DA6" w14:textId="76D01083" w:rsidR="003E7BD2" w:rsidRPr="0052012D" w:rsidRDefault="003E7BD2" w:rsidP="003E7BD2">
      <w:pPr>
        <w:spacing w:line="360" w:lineRule="auto"/>
        <w:ind w:left="567" w:right="567"/>
        <w:jc w:val="both"/>
        <w:rPr>
          <w:rFonts w:ascii="Garamond" w:hAnsi="Garamond" w:cs="Times New Roman"/>
          <w:color w:val="000000" w:themeColor="text1"/>
          <w:sz w:val="26"/>
          <w:szCs w:val="26"/>
        </w:rPr>
      </w:pPr>
      <w:r w:rsidRPr="0052012D">
        <w:rPr>
          <w:rFonts w:ascii="Garamond" w:hAnsi="Garamond" w:cs="Times New Roman"/>
          <w:color w:val="000000" w:themeColor="text1"/>
          <w:sz w:val="26"/>
          <w:szCs w:val="26"/>
        </w:rPr>
        <w:tab/>
        <w:t>L</w:t>
      </w:r>
      <w:r w:rsidR="00F82558">
        <w:rPr>
          <w:rFonts w:ascii="Garamond" w:hAnsi="Garamond" w:cs="Times New Roman"/>
          <w:color w:val="000000" w:themeColor="text1"/>
          <w:sz w:val="26"/>
          <w:szCs w:val="26"/>
        </w:rPr>
        <w:t xml:space="preserve">a necessità </w:t>
      </w:r>
      <w:r w:rsidRPr="0052012D">
        <w:rPr>
          <w:rFonts w:ascii="Garamond" w:hAnsi="Garamond" w:cs="Times New Roman"/>
          <w:color w:val="000000" w:themeColor="text1"/>
          <w:sz w:val="26"/>
          <w:szCs w:val="26"/>
        </w:rPr>
        <w:t xml:space="preserve">di </w:t>
      </w:r>
      <w:r w:rsidR="00866F78">
        <w:rPr>
          <w:rFonts w:ascii="Garamond" w:hAnsi="Garamond" w:cs="Times New Roman"/>
          <w:color w:val="000000" w:themeColor="text1"/>
          <w:sz w:val="26"/>
          <w:szCs w:val="26"/>
        </w:rPr>
        <w:t xml:space="preserve">rendere trasparente </w:t>
      </w:r>
      <w:r w:rsidRPr="0052012D">
        <w:rPr>
          <w:rFonts w:ascii="Garamond" w:hAnsi="Garamond" w:cs="Times New Roman"/>
          <w:color w:val="000000" w:themeColor="text1"/>
          <w:sz w:val="26"/>
          <w:szCs w:val="26"/>
        </w:rPr>
        <w:t xml:space="preserve">l’attività </w:t>
      </w:r>
      <w:r w:rsidR="00866F78">
        <w:rPr>
          <w:rFonts w:ascii="Garamond" w:hAnsi="Garamond" w:cs="Times New Roman"/>
          <w:color w:val="000000" w:themeColor="text1"/>
          <w:sz w:val="26"/>
          <w:szCs w:val="26"/>
        </w:rPr>
        <w:t xml:space="preserve">di gestione amministrativa della sanità </w:t>
      </w:r>
      <w:r w:rsidR="00AA2BC1">
        <w:rPr>
          <w:rFonts w:ascii="Garamond" w:hAnsi="Garamond" w:cs="Times New Roman"/>
          <w:color w:val="000000" w:themeColor="text1"/>
          <w:sz w:val="26"/>
          <w:szCs w:val="26"/>
        </w:rPr>
        <w:t xml:space="preserve">pubblica </w:t>
      </w:r>
      <w:r w:rsidRPr="0052012D">
        <w:rPr>
          <w:rFonts w:ascii="Garamond" w:hAnsi="Garamond" w:cs="Times New Roman"/>
          <w:color w:val="000000" w:themeColor="text1"/>
          <w:sz w:val="26"/>
          <w:szCs w:val="26"/>
        </w:rPr>
        <w:t>è da tempo avvertita dal legislatore.</w:t>
      </w:r>
    </w:p>
    <w:p w14:paraId="54667D55" w14:textId="420A9DF7" w:rsidR="003E7BD2" w:rsidRPr="003543ED" w:rsidRDefault="003E7BD2" w:rsidP="003E7BD2">
      <w:pPr>
        <w:spacing w:line="360" w:lineRule="auto"/>
        <w:ind w:left="567" w:right="567"/>
        <w:jc w:val="both"/>
        <w:rPr>
          <w:rFonts w:ascii="Garamond" w:hAnsi="Garamond" w:cs="Calibri"/>
          <w:sz w:val="26"/>
          <w:szCs w:val="26"/>
        </w:rPr>
      </w:pPr>
      <w:r w:rsidRPr="0052012D">
        <w:rPr>
          <w:rFonts w:ascii="Garamond" w:hAnsi="Garamond" w:cs="Times New Roman"/>
          <w:color w:val="000000" w:themeColor="text1"/>
          <w:sz w:val="26"/>
          <w:szCs w:val="26"/>
        </w:rPr>
        <w:tab/>
      </w:r>
      <w:r>
        <w:rPr>
          <w:rFonts w:ascii="Garamond" w:hAnsi="Garamond" w:cs="Times New Roman"/>
          <w:color w:val="000000" w:themeColor="text1"/>
          <w:sz w:val="26"/>
          <w:szCs w:val="26"/>
        </w:rPr>
        <w:t xml:space="preserve">Il </w:t>
      </w:r>
      <w:r w:rsidRPr="0052012D">
        <w:rPr>
          <w:rFonts w:ascii="Garamond" w:hAnsi="Garamond" w:cs="Times New Roman"/>
          <w:color w:val="000000" w:themeColor="text1"/>
          <w:sz w:val="26"/>
          <w:szCs w:val="26"/>
        </w:rPr>
        <w:t xml:space="preserve">principio </w:t>
      </w:r>
      <w:r>
        <w:rPr>
          <w:rFonts w:ascii="Garamond" w:hAnsi="Garamond" w:cs="Times New Roman"/>
          <w:color w:val="000000" w:themeColor="text1"/>
          <w:sz w:val="26"/>
          <w:szCs w:val="26"/>
        </w:rPr>
        <w:t>di partecipazione dei cittadini alla attuazione del servizio sanitario nazionale</w:t>
      </w:r>
      <w:r w:rsidR="009E28F4">
        <w:rPr>
          <w:rFonts w:ascii="Garamond" w:hAnsi="Garamond" w:cs="Times New Roman"/>
          <w:color w:val="000000" w:themeColor="text1"/>
          <w:sz w:val="26"/>
          <w:szCs w:val="26"/>
        </w:rPr>
        <w:t>,</w:t>
      </w:r>
      <w:r>
        <w:rPr>
          <w:rFonts w:ascii="Garamond" w:hAnsi="Garamond" w:cs="Times New Roman"/>
          <w:color w:val="000000" w:themeColor="text1"/>
          <w:sz w:val="26"/>
          <w:szCs w:val="26"/>
        </w:rPr>
        <w:t xml:space="preserve"> </w:t>
      </w:r>
      <w:r w:rsidRPr="0052012D">
        <w:rPr>
          <w:rFonts w:ascii="Garamond" w:hAnsi="Garamond" w:cs="Times New Roman"/>
          <w:color w:val="000000" w:themeColor="text1"/>
          <w:sz w:val="26"/>
          <w:szCs w:val="26"/>
        </w:rPr>
        <w:t xml:space="preserve">già </w:t>
      </w:r>
      <w:r>
        <w:rPr>
          <w:rFonts w:ascii="Garamond" w:hAnsi="Garamond" w:cs="Times New Roman"/>
          <w:color w:val="000000" w:themeColor="text1"/>
          <w:sz w:val="26"/>
          <w:szCs w:val="26"/>
        </w:rPr>
        <w:t xml:space="preserve">espresso dall’art. 1, comma 3, della legge 23 dicembre 1978, n. 833 </w:t>
      </w:r>
      <w:r w:rsidRPr="0052012D">
        <w:rPr>
          <w:rFonts w:ascii="Garamond" w:hAnsi="Garamond" w:cs="Calibri"/>
          <w:sz w:val="26"/>
          <w:szCs w:val="26"/>
        </w:rPr>
        <w:t>(Istituzione de</w:t>
      </w:r>
      <w:r>
        <w:rPr>
          <w:rFonts w:ascii="Garamond" w:hAnsi="Garamond" w:cs="Calibri"/>
          <w:sz w:val="26"/>
          <w:szCs w:val="26"/>
        </w:rPr>
        <w:t xml:space="preserve">l servizio sanitario nazionale) </w:t>
      </w:r>
      <w:r w:rsidRPr="00B97122">
        <w:rPr>
          <w:rStyle w:val="Rimandonotaapidipagina"/>
          <w:rFonts w:ascii="Garamond" w:hAnsi="Garamond"/>
          <w:color w:val="000000" w:themeColor="text1"/>
          <w:sz w:val="26"/>
          <w:szCs w:val="26"/>
        </w:rPr>
        <w:footnoteReference w:id="1"/>
      </w:r>
      <w:r w:rsidR="009E28F4">
        <w:rPr>
          <w:rFonts w:ascii="Garamond" w:hAnsi="Garamond" w:cs="Calibri"/>
          <w:sz w:val="26"/>
          <w:szCs w:val="26"/>
        </w:rPr>
        <w:t>,</w:t>
      </w:r>
      <w:r>
        <w:rPr>
          <w:rFonts w:ascii="Garamond" w:hAnsi="Garamond" w:cs="Calibri"/>
          <w:sz w:val="26"/>
          <w:szCs w:val="26"/>
        </w:rPr>
        <w:t xml:space="preserve"> ha trovato più concreta attuazione con l’art. 14 d.l</w:t>
      </w:r>
      <w:r w:rsidRPr="003543ED">
        <w:rPr>
          <w:rFonts w:ascii="Garamond" w:hAnsi="Garamond" w:cs="Calibri"/>
          <w:sz w:val="26"/>
          <w:szCs w:val="26"/>
        </w:rPr>
        <w:t>gs. 30</w:t>
      </w:r>
      <w:r>
        <w:rPr>
          <w:rFonts w:ascii="Garamond" w:hAnsi="Garamond" w:cs="Calibri"/>
          <w:sz w:val="26"/>
          <w:szCs w:val="26"/>
        </w:rPr>
        <w:t xml:space="preserve"> dicembre </w:t>
      </w:r>
      <w:r w:rsidRPr="003543ED">
        <w:rPr>
          <w:rFonts w:ascii="Garamond" w:hAnsi="Garamond" w:cs="Calibri"/>
          <w:sz w:val="26"/>
          <w:szCs w:val="26"/>
        </w:rPr>
        <w:t>1992, n. 502 (Riordino della disciplina in materia sanitaria, a norma dell'articolo 1 della legge 23 ottob</w:t>
      </w:r>
      <w:r w:rsidR="009E28F4">
        <w:rPr>
          <w:rFonts w:ascii="Garamond" w:hAnsi="Garamond" w:cs="Calibri"/>
          <w:sz w:val="26"/>
          <w:szCs w:val="26"/>
        </w:rPr>
        <w:t>re 1992, n. 421)</w:t>
      </w:r>
      <w:r>
        <w:rPr>
          <w:rFonts w:ascii="Garamond" w:hAnsi="Garamond" w:cs="Calibri"/>
          <w:sz w:val="26"/>
          <w:szCs w:val="26"/>
        </w:rPr>
        <w:t xml:space="preserve"> che, dopo avere riconosciuto </w:t>
      </w:r>
      <w:r w:rsidR="009E28F4">
        <w:rPr>
          <w:rFonts w:ascii="Garamond" w:hAnsi="Garamond" w:cs="Calibri"/>
          <w:sz w:val="26"/>
          <w:szCs w:val="26"/>
        </w:rPr>
        <w:t xml:space="preserve">in via generale </w:t>
      </w:r>
      <w:r>
        <w:rPr>
          <w:rFonts w:ascii="Garamond" w:hAnsi="Garamond" w:cs="Calibri"/>
          <w:sz w:val="26"/>
          <w:szCs w:val="26"/>
        </w:rPr>
        <w:t>il “diritto di informazione” dell’assistito, ha previsto l’attivazione di “</w:t>
      </w:r>
      <w:r w:rsidRPr="003543ED">
        <w:rPr>
          <w:rFonts w:ascii="Garamond" w:hAnsi="Garamond" w:cs="Calibri"/>
          <w:i/>
          <w:sz w:val="26"/>
          <w:szCs w:val="26"/>
        </w:rPr>
        <w:t>un efficace sistema di informazione sulle prestazioni erogate, sulle tariffe, sulle modalità di accesso ai servizi</w:t>
      </w:r>
      <w:r>
        <w:rPr>
          <w:rFonts w:ascii="Garamond" w:hAnsi="Garamond" w:cs="Calibri"/>
          <w:i/>
          <w:sz w:val="26"/>
          <w:szCs w:val="26"/>
        </w:rPr>
        <w:t xml:space="preserve">” </w:t>
      </w:r>
      <w:r w:rsidRPr="00B97122">
        <w:rPr>
          <w:rStyle w:val="Rimandonotaapidipagina"/>
          <w:rFonts w:ascii="Garamond" w:hAnsi="Garamond"/>
          <w:color w:val="000000" w:themeColor="text1"/>
          <w:sz w:val="26"/>
          <w:szCs w:val="26"/>
        </w:rPr>
        <w:footnoteReference w:id="2"/>
      </w:r>
      <w:r>
        <w:rPr>
          <w:rFonts w:ascii="Garamond" w:hAnsi="Garamond" w:cs="Calibri"/>
          <w:sz w:val="26"/>
          <w:szCs w:val="26"/>
        </w:rPr>
        <w:t>.</w:t>
      </w:r>
    </w:p>
    <w:p w14:paraId="7AE31286" w14:textId="76BD94FC" w:rsidR="003E7BD2" w:rsidRDefault="003E7BD2" w:rsidP="003E7BD2">
      <w:pPr>
        <w:spacing w:line="360" w:lineRule="auto"/>
        <w:ind w:left="567" w:right="567" w:firstLine="141"/>
        <w:jc w:val="both"/>
        <w:rPr>
          <w:rFonts w:ascii="Garamond" w:hAnsi="Garamond" w:cs="Calibri"/>
          <w:sz w:val="26"/>
          <w:szCs w:val="26"/>
        </w:rPr>
      </w:pPr>
      <w:r>
        <w:rPr>
          <w:rFonts w:ascii="Garamond" w:hAnsi="Garamond" w:cs="Calibri"/>
          <w:sz w:val="26"/>
          <w:szCs w:val="26"/>
        </w:rPr>
        <w:t xml:space="preserve">Il d.lgs. n. 33 del 2013 ha, poi, previsto l’obbligo di pubblicazione di una serie di atti e di informazioni relative all’attività sanitaria </w:t>
      </w:r>
      <w:r w:rsidR="000F46F9" w:rsidRPr="000F46F9">
        <w:rPr>
          <w:rFonts w:ascii="Garamond" w:hAnsi="Garamond" w:cs="Calibri"/>
          <w:i/>
          <w:sz w:val="26"/>
          <w:szCs w:val="26"/>
        </w:rPr>
        <w:t>latu</w:t>
      </w:r>
      <w:r w:rsidR="009E28F4" w:rsidRPr="000F46F9">
        <w:rPr>
          <w:rFonts w:ascii="Garamond" w:hAnsi="Garamond" w:cs="Calibri"/>
          <w:i/>
          <w:sz w:val="26"/>
          <w:szCs w:val="26"/>
        </w:rPr>
        <w:t xml:space="preserve"> sensu</w:t>
      </w:r>
      <w:r w:rsidR="009E28F4">
        <w:rPr>
          <w:rFonts w:ascii="Garamond" w:hAnsi="Garamond" w:cs="Calibri"/>
          <w:sz w:val="26"/>
          <w:szCs w:val="26"/>
        </w:rPr>
        <w:t xml:space="preserve"> intesa, come comprensiva sia degli aspetti organizzativi, che di quelli afferenti alla erogazione dei servizi </w:t>
      </w:r>
      <w:r w:rsidRPr="00B97122">
        <w:rPr>
          <w:rStyle w:val="Rimandonotaapidipagina"/>
          <w:rFonts w:ascii="Garamond" w:hAnsi="Garamond"/>
          <w:color w:val="000000" w:themeColor="text1"/>
          <w:sz w:val="26"/>
          <w:szCs w:val="26"/>
        </w:rPr>
        <w:footnoteReference w:id="3"/>
      </w:r>
      <w:r>
        <w:rPr>
          <w:rFonts w:ascii="Garamond" w:hAnsi="Garamond" w:cs="Calibri"/>
          <w:sz w:val="26"/>
          <w:szCs w:val="26"/>
        </w:rPr>
        <w:t>.</w:t>
      </w:r>
    </w:p>
    <w:p w14:paraId="744A870D" w14:textId="25924AC4" w:rsidR="003E7BD2" w:rsidRDefault="003E7BD2" w:rsidP="003E7BD2">
      <w:pPr>
        <w:spacing w:line="360" w:lineRule="auto"/>
        <w:ind w:left="567" w:right="567" w:firstLine="141"/>
        <w:jc w:val="both"/>
        <w:rPr>
          <w:rFonts w:ascii="Garamond" w:hAnsi="Garamond" w:cs="Calibri"/>
          <w:sz w:val="26"/>
          <w:szCs w:val="26"/>
        </w:rPr>
      </w:pPr>
      <w:r w:rsidRPr="008A2CBE">
        <w:rPr>
          <w:rFonts w:ascii="Garamond" w:hAnsi="Garamond" w:cs="Calibri"/>
          <w:sz w:val="26"/>
          <w:szCs w:val="26"/>
        </w:rPr>
        <w:t>Su tale base è, infine intervenuto l’art. 4 legge 8 marzo 2017, n. 24 (</w:t>
      </w:r>
      <w:r w:rsidRPr="00D81465">
        <w:rPr>
          <w:rFonts w:ascii="Garamond" w:hAnsi="Garamond" w:cs="Calibri"/>
          <w:i/>
          <w:sz w:val="26"/>
          <w:szCs w:val="26"/>
        </w:rPr>
        <w:t>Disposizioni in materia di sicurezza delle cure e della persona assistita, nonché in materia di responsabilita' professionale degli esercenti le professioni sanitarie</w:t>
      </w:r>
      <w:r w:rsidRPr="008A2CBE">
        <w:rPr>
          <w:rFonts w:ascii="Garamond" w:hAnsi="Garamond" w:cs="Calibri"/>
          <w:sz w:val="26"/>
          <w:szCs w:val="26"/>
        </w:rPr>
        <w:t>) (c.d. Legge Gelli-Bi</w:t>
      </w:r>
      <w:r w:rsidR="009E28F4">
        <w:rPr>
          <w:rFonts w:ascii="Garamond" w:hAnsi="Garamond" w:cs="Calibri"/>
          <w:sz w:val="26"/>
          <w:szCs w:val="26"/>
        </w:rPr>
        <w:t>anco) che</w:t>
      </w:r>
      <w:r w:rsidRPr="008A2CBE">
        <w:rPr>
          <w:rFonts w:ascii="Garamond" w:hAnsi="Garamond" w:cs="Calibri"/>
          <w:sz w:val="26"/>
          <w:szCs w:val="26"/>
        </w:rPr>
        <w:t xml:space="preserve"> per un verso ha esteso gli obblighi di pubblicazione e per altro verso ha disciplinato l’accesso documentale nel particolare ambito sanitario, connotandolo, almeno dal p</w:t>
      </w:r>
      <w:r w:rsidR="009E28F4">
        <w:rPr>
          <w:rFonts w:ascii="Garamond" w:hAnsi="Garamond" w:cs="Calibri"/>
          <w:sz w:val="26"/>
          <w:szCs w:val="26"/>
        </w:rPr>
        <w:t>unto di vista procedimentale, con</w:t>
      </w:r>
      <w:r w:rsidRPr="008A2CBE">
        <w:rPr>
          <w:rFonts w:ascii="Garamond" w:hAnsi="Garamond" w:cs="Calibri"/>
          <w:sz w:val="26"/>
          <w:szCs w:val="26"/>
        </w:rPr>
        <w:t xml:space="preserve"> alcuni elementi di “specialità” </w:t>
      </w:r>
      <w:r w:rsidR="009E28F4">
        <w:rPr>
          <w:rFonts w:ascii="Garamond" w:hAnsi="Garamond" w:cs="Calibri"/>
          <w:sz w:val="26"/>
          <w:szCs w:val="26"/>
        </w:rPr>
        <w:t xml:space="preserve">rispetto alla disciplina generale di cui alla legge n. 241 del 1990 </w:t>
      </w:r>
      <w:r w:rsidRPr="008A2CBE">
        <w:rPr>
          <w:rFonts w:ascii="Garamond" w:hAnsi="Garamond" w:cs="Calibri"/>
          <w:sz w:val="26"/>
          <w:szCs w:val="26"/>
        </w:rPr>
        <w:t>(</w:t>
      </w:r>
      <w:r>
        <w:rPr>
          <w:rFonts w:ascii="Garamond" w:hAnsi="Garamond" w:cs="Calibri"/>
          <w:sz w:val="26"/>
          <w:szCs w:val="26"/>
        </w:rPr>
        <w:t>co</w:t>
      </w:r>
      <w:r w:rsidRPr="008A2CBE">
        <w:rPr>
          <w:rFonts w:ascii="Garamond" w:hAnsi="Garamond" w:cs="Calibri"/>
          <w:sz w:val="26"/>
          <w:szCs w:val="26"/>
        </w:rPr>
        <w:t xml:space="preserve">n particolare </w:t>
      </w:r>
      <w:r>
        <w:rPr>
          <w:rFonts w:ascii="Garamond" w:hAnsi="Garamond" w:cs="Calibri"/>
          <w:sz w:val="26"/>
          <w:szCs w:val="26"/>
        </w:rPr>
        <w:t>riferimento a</w:t>
      </w:r>
      <w:r w:rsidRPr="008A2CBE">
        <w:rPr>
          <w:rFonts w:ascii="Garamond" w:hAnsi="Garamond" w:cs="Calibri"/>
          <w:sz w:val="26"/>
          <w:szCs w:val="26"/>
        </w:rPr>
        <w:t>l termine di conclusione del procedimento</w:t>
      </w:r>
      <w:r>
        <w:rPr>
          <w:rFonts w:ascii="Garamond" w:hAnsi="Garamond" w:cs="Calibri"/>
          <w:sz w:val="26"/>
          <w:szCs w:val="26"/>
        </w:rPr>
        <w:t>, ridotto</w:t>
      </w:r>
      <w:r w:rsidRPr="008A2CBE">
        <w:rPr>
          <w:rFonts w:ascii="Garamond" w:hAnsi="Garamond" w:cs="Calibri"/>
          <w:sz w:val="26"/>
          <w:szCs w:val="26"/>
        </w:rPr>
        <w:t xml:space="preserve"> </w:t>
      </w:r>
      <w:r w:rsidRPr="008A2CBE">
        <w:rPr>
          <w:rFonts w:ascii="Garamond" w:hAnsi="Garamond"/>
          <w:sz w:val="26"/>
          <w:szCs w:val="26"/>
        </w:rPr>
        <w:t xml:space="preserve">a </w:t>
      </w:r>
      <w:r>
        <w:rPr>
          <w:rFonts w:ascii="Garamond" w:hAnsi="Garamond"/>
          <w:sz w:val="26"/>
          <w:szCs w:val="26"/>
        </w:rPr>
        <w:t>7</w:t>
      </w:r>
      <w:r w:rsidRPr="008A2CBE">
        <w:rPr>
          <w:rFonts w:ascii="Garamond" w:hAnsi="Garamond"/>
          <w:sz w:val="26"/>
          <w:szCs w:val="26"/>
        </w:rPr>
        <w:t xml:space="preserve"> giorni dalla presentazione della richiesta, con possibilità di </w:t>
      </w:r>
      <w:r w:rsidRPr="008A2CBE">
        <w:rPr>
          <w:rFonts w:ascii="Garamond" w:hAnsi="Garamond"/>
          <w:i/>
          <w:sz w:val="26"/>
          <w:szCs w:val="26"/>
        </w:rPr>
        <w:t>“eventuali integrazioni”</w:t>
      </w:r>
      <w:r w:rsidRPr="008A2CBE">
        <w:rPr>
          <w:rFonts w:ascii="Garamond" w:hAnsi="Garamond"/>
          <w:sz w:val="26"/>
          <w:szCs w:val="26"/>
        </w:rPr>
        <w:t xml:space="preserve"> della documentazione entro il termine massimo di 30 giorni</w:t>
      </w:r>
      <w:r>
        <w:rPr>
          <w:rFonts w:ascii="Garamond" w:hAnsi="Garamond"/>
          <w:sz w:val="26"/>
          <w:szCs w:val="26"/>
        </w:rPr>
        <w:t xml:space="preserve">) </w:t>
      </w:r>
      <w:r w:rsidRPr="00B97122">
        <w:rPr>
          <w:rStyle w:val="Rimandonotaapidipagina"/>
          <w:rFonts w:ascii="Garamond" w:hAnsi="Garamond"/>
          <w:color w:val="000000" w:themeColor="text1"/>
          <w:sz w:val="26"/>
          <w:szCs w:val="26"/>
        </w:rPr>
        <w:footnoteReference w:id="4"/>
      </w:r>
      <w:r w:rsidRPr="008A2CBE">
        <w:rPr>
          <w:rFonts w:ascii="Garamond" w:hAnsi="Garamond"/>
          <w:sz w:val="26"/>
          <w:szCs w:val="26"/>
        </w:rPr>
        <w:t>.</w:t>
      </w:r>
      <w:r w:rsidRPr="008A2CBE">
        <w:rPr>
          <w:rFonts w:ascii="Garamond" w:hAnsi="Garamond" w:cs="Calibri"/>
          <w:sz w:val="26"/>
          <w:szCs w:val="26"/>
        </w:rPr>
        <w:t xml:space="preserve"> </w:t>
      </w:r>
    </w:p>
    <w:p w14:paraId="4CB4B7E6" w14:textId="77777777" w:rsidR="00AB1EE0" w:rsidRDefault="003E7BD2" w:rsidP="003E7BD2">
      <w:pPr>
        <w:spacing w:line="360" w:lineRule="auto"/>
        <w:ind w:left="567" w:right="567" w:firstLine="141"/>
        <w:jc w:val="both"/>
        <w:rPr>
          <w:rFonts w:ascii="Garamond" w:hAnsi="Garamond" w:cs="Calibri"/>
          <w:sz w:val="26"/>
          <w:szCs w:val="26"/>
        </w:rPr>
      </w:pPr>
      <w:r>
        <w:rPr>
          <w:rFonts w:ascii="Garamond" w:hAnsi="Garamond" w:cs="Calibri"/>
          <w:sz w:val="26"/>
          <w:szCs w:val="26"/>
        </w:rPr>
        <w:t>Norme particolari sono, inoltre, dettate per la pubblicità e l’accesso agli atti autorizzatori dell’uso dei farmaci e dell’attività di farmacovigilanza</w:t>
      </w:r>
      <w:r w:rsidR="00AB1EE0">
        <w:rPr>
          <w:rFonts w:ascii="Garamond" w:hAnsi="Garamond" w:cs="Calibri"/>
          <w:sz w:val="26"/>
          <w:szCs w:val="26"/>
        </w:rPr>
        <w:t>.</w:t>
      </w:r>
    </w:p>
    <w:p w14:paraId="34E17D09" w14:textId="1B297265" w:rsidR="003E7BD2" w:rsidRDefault="003E7BD2" w:rsidP="003E7BD2">
      <w:pPr>
        <w:spacing w:line="360" w:lineRule="auto"/>
        <w:ind w:left="567" w:right="567" w:firstLine="141"/>
        <w:jc w:val="both"/>
        <w:rPr>
          <w:rFonts w:ascii="Garamond" w:hAnsi="Garamond" w:cs="Calibri"/>
          <w:sz w:val="26"/>
          <w:szCs w:val="26"/>
        </w:rPr>
      </w:pPr>
      <w:r>
        <w:rPr>
          <w:rFonts w:ascii="Garamond" w:hAnsi="Garamond" w:cs="Calibri"/>
          <w:sz w:val="26"/>
          <w:szCs w:val="26"/>
        </w:rPr>
        <w:t>Va</w:t>
      </w:r>
      <w:r w:rsidR="00AB1EE0">
        <w:rPr>
          <w:rFonts w:ascii="Garamond" w:hAnsi="Garamond" w:cs="Calibri"/>
          <w:sz w:val="26"/>
          <w:szCs w:val="26"/>
        </w:rPr>
        <w:t xml:space="preserve"> </w:t>
      </w:r>
      <w:r>
        <w:rPr>
          <w:rFonts w:ascii="Garamond" w:hAnsi="Garamond" w:cs="Calibri"/>
          <w:sz w:val="26"/>
          <w:szCs w:val="26"/>
        </w:rPr>
        <w:t xml:space="preserve">evidenziato che man mano che l’attività sanitaria si avvicina all’utente del servizio traducendosi </w:t>
      </w:r>
      <w:r w:rsidR="009E28F4">
        <w:rPr>
          <w:rFonts w:ascii="Garamond" w:hAnsi="Garamond" w:cs="Calibri"/>
          <w:sz w:val="26"/>
          <w:szCs w:val="26"/>
        </w:rPr>
        <w:t xml:space="preserve">nella erogazione </w:t>
      </w:r>
      <w:r w:rsidR="00BA2929">
        <w:rPr>
          <w:rFonts w:ascii="Garamond" w:hAnsi="Garamond" w:cs="Calibri"/>
          <w:sz w:val="26"/>
          <w:szCs w:val="26"/>
        </w:rPr>
        <w:t xml:space="preserve">(volontaria o imposta) </w:t>
      </w:r>
      <w:r w:rsidR="009E28F4">
        <w:rPr>
          <w:rFonts w:ascii="Garamond" w:hAnsi="Garamond" w:cs="Calibri"/>
          <w:sz w:val="26"/>
          <w:szCs w:val="26"/>
        </w:rPr>
        <w:t xml:space="preserve">di </w:t>
      </w:r>
      <w:r>
        <w:rPr>
          <w:rFonts w:ascii="Garamond" w:hAnsi="Garamond" w:cs="Calibri"/>
          <w:sz w:val="26"/>
          <w:szCs w:val="26"/>
        </w:rPr>
        <w:t xml:space="preserve">un “trattamento sanitario”, la </w:t>
      </w:r>
      <w:r w:rsidR="00D81465">
        <w:rPr>
          <w:rFonts w:ascii="Garamond" w:hAnsi="Garamond" w:cs="Calibri"/>
          <w:sz w:val="26"/>
          <w:szCs w:val="26"/>
        </w:rPr>
        <w:t>“</w:t>
      </w:r>
      <w:r>
        <w:rPr>
          <w:rFonts w:ascii="Garamond" w:hAnsi="Garamond" w:cs="Calibri"/>
          <w:sz w:val="26"/>
          <w:szCs w:val="26"/>
        </w:rPr>
        <w:t>trasparenza</w:t>
      </w:r>
      <w:r w:rsidR="00D81465">
        <w:rPr>
          <w:rFonts w:ascii="Garamond" w:hAnsi="Garamond" w:cs="Calibri"/>
          <w:sz w:val="26"/>
          <w:szCs w:val="26"/>
        </w:rPr>
        <w:t>”</w:t>
      </w:r>
      <w:r w:rsidR="00BA2929">
        <w:rPr>
          <w:rFonts w:ascii="Garamond" w:hAnsi="Garamond" w:cs="Calibri"/>
          <w:sz w:val="26"/>
          <w:szCs w:val="26"/>
        </w:rPr>
        <w:t xml:space="preserve"> (</w:t>
      </w:r>
      <w:r>
        <w:rPr>
          <w:rFonts w:ascii="Garamond" w:hAnsi="Garamond" w:cs="Calibri"/>
          <w:sz w:val="26"/>
          <w:szCs w:val="26"/>
        </w:rPr>
        <w:t>ovvero il “diritto di conoscere “ del paziente</w:t>
      </w:r>
      <w:r w:rsidR="00BA2929">
        <w:rPr>
          <w:rFonts w:ascii="Garamond" w:hAnsi="Garamond" w:cs="Calibri"/>
          <w:sz w:val="26"/>
          <w:szCs w:val="26"/>
        </w:rPr>
        <w:t>)</w:t>
      </w:r>
      <w:r>
        <w:rPr>
          <w:rFonts w:ascii="Garamond" w:hAnsi="Garamond" w:cs="Calibri"/>
          <w:sz w:val="26"/>
          <w:szCs w:val="26"/>
        </w:rPr>
        <w:t xml:space="preserve"> viene a </w:t>
      </w:r>
      <w:r w:rsidR="00D81465">
        <w:rPr>
          <w:rFonts w:ascii="Garamond" w:hAnsi="Garamond" w:cs="Calibri"/>
          <w:sz w:val="26"/>
          <w:szCs w:val="26"/>
        </w:rPr>
        <w:t xml:space="preserve">trovare un ulteriore fondamento giuridico e valoriale </w:t>
      </w:r>
      <w:r>
        <w:rPr>
          <w:rFonts w:ascii="Garamond" w:hAnsi="Garamond" w:cs="Calibri"/>
          <w:sz w:val="26"/>
          <w:szCs w:val="26"/>
        </w:rPr>
        <w:t>nelle libertà e nei diritti fondamentali dell’individuo e segnatame</w:t>
      </w:r>
      <w:r w:rsidR="00D81465">
        <w:rPr>
          <w:rFonts w:ascii="Garamond" w:hAnsi="Garamond" w:cs="Calibri"/>
          <w:sz w:val="26"/>
          <w:szCs w:val="26"/>
        </w:rPr>
        <w:t>nte nella “libertà personale”, nella “dignità” e ne</w:t>
      </w:r>
      <w:r>
        <w:rPr>
          <w:rFonts w:ascii="Garamond" w:hAnsi="Garamond" w:cs="Calibri"/>
          <w:sz w:val="26"/>
          <w:szCs w:val="26"/>
        </w:rPr>
        <w:t>lla “autodeterminazione</w:t>
      </w:r>
      <w:r w:rsidR="00D81465">
        <w:rPr>
          <w:rFonts w:ascii="Garamond" w:hAnsi="Garamond" w:cs="Calibri"/>
          <w:sz w:val="26"/>
          <w:szCs w:val="26"/>
        </w:rPr>
        <w:t xml:space="preserve">” della persona, nonché </w:t>
      </w:r>
      <w:r>
        <w:rPr>
          <w:rFonts w:ascii="Garamond" w:hAnsi="Garamond" w:cs="Calibri"/>
          <w:sz w:val="26"/>
          <w:szCs w:val="26"/>
        </w:rPr>
        <w:t xml:space="preserve">nel “diritto alla vita” ed “alla salute”, tutti diritti che trovano protezione </w:t>
      </w:r>
      <w:r w:rsidR="00D81465">
        <w:rPr>
          <w:rFonts w:ascii="Garamond" w:hAnsi="Garamond" w:cs="Calibri"/>
          <w:sz w:val="26"/>
          <w:szCs w:val="26"/>
        </w:rPr>
        <w:t xml:space="preserve">primaria </w:t>
      </w:r>
      <w:r>
        <w:rPr>
          <w:rFonts w:ascii="Garamond" w:hAnsi="Garamond" w:cs="Calibri"/>
          <w:sz w:val="26"/>
          <w:szCs w:val="26"/>
        </w:rPr>
        <w:t>negli artt. 2, 13 e 32 della Costituzione e negli artt. 1, 2 e 3 della Carta dei diritti fondamentali dell’Unione europea.</w:t>
      </w:r>
    </w:p>
    <w:p w14:paraId="49868F4C" w14:textId="77777777" w:rsidR="003E7BD2" w:rsidRDefault="003E7BD2" w:rsidP="003E7BD2">
      <w:pPr>
        <w:spacing w:line="360" w:lineRule="auto"/>
        <w:ind w:left="567" w:right="567" w:firstLine="141"/>
        <w:jc w:val="both"/>
        <w:rPr>
          <w:rFonts w:ascii="Garamond" w:hAnsi="Garamond"/>
          <w:sz w:val="26"/>
          <w:szCs w:val="26"/>
        </w:rPr>
      </w:pPr>
      <w:r>
        <w:rPr>
          <w:rFonts w:ascii="Garamond" w:hAnsi="Garamond" w:cs="Calibri"/>
          <w:sz w:val="26"/>
          <w:szCs w:val="26"/>
        </w:rPr>
        <w:t>Ciò è oggi chiaramente affermato dall’art. 1 della legge 22 dicembre 2017, n. 219 (</w:t>
      </w:r>
      <w:r w:rsidRPr="00D81465">
        <w:rPr>
          <w:rFonts w:ascii="Garamond" w:hAnsi="Garamond"/>
          <w:i/>
          <w:sz w:val="26"/>
          <w:szCs w:val="26"/>
        </w:rPr>
        <w:t>Norme in materia di consenso informato e di disposizioni anticipate di trattamento</w:t>
      </w:r>
      <w:r>
        <w:rPr>
          <w:rFonts w:ascii="Garamond" w:hAnsi="Garamond"/>
          <w:sz w:val="26"/>
          <w:szCs w:val="26"/>
        </w:rPr>
        <w:t>), sulla scorta degli insegnamenti della Corte costituzionale (sentenza n. 438 del 23 dicembre 2008) e della Corte di Cassazione.</w:t>
      </w:r>
    </w:p>
    <w:p w14:paraId="4A3425F5" w14:textId="64E44F60" w:rsidR="003E7BD2" w:rsidRDefault="003E7BD2" w:rsidP="003E7BD2">
      <w:pPr>
        <w:spacing w:line="360" w:lineRule="auto"/>
        <w:ind w:left="567" w:right="567" w:firstLine="141"/>
        <w:jc w:val="both"/>
        <w:rPr>
          <w:rFonts w:ascii="Garamond" w:hAnsi="Garamond"/>
          <w:sz w:val="26"/>
          <w:szCs w:val="26"/>
        </w:rPr>
      </w:pPr>
      <w:r>
        <w:rPr>
          <w:rFonts w:ascii="Garamond" w:hAnsi="Garamond"/>
          <w:sz w:val="26"/>
          <w:szCs w:val="26"/>
        </w:rPr>
        <w:t>Non vi è dubbio, in</w:t>
      </w:r>
      <w:r w:rsidR="00D81465">
        <w:rPr>
          <w:rFonts w:ascii="Garamond" w:hAnsi="Garamond"/>
          <w:sz w:val="26"/>
          <w:szCs w:val="26"/>
        </w:rPr>
        <w:t>fatti</w:t>
      </w:r>
      <w:r>
        <w:rPr>
          <w:rFonts w:ascii="Garamond" w:hAnsi="Garamond"/>
          <w:sz w:val="26"/>
          <w:szCs w:val="26"/>
        </w:rPr>
        <w:t xml:space="preserve">, che il consenso al trattamento sanitario, per poter essere “libero”, deve essere “informato”, sì che </w:t>
      </w:r>
      <w:r w:rsidRPr="009E64B5">
        <w:rPr>
          <w:rFonts w:ascii="Garamond" w:hAnsi="Garamond"/>
          <w:i/>
          <w:sz w:val="26"/>
          <w:szCs w:val="26"/>
        </w:rPr>
        <w:t>“Ogni persona ha il diritto di conoscere le proprie condizioni di salute e di essere informata in modo completo, aggiornato e a lei comprensibile riguardo alla diagnosi, alla prognosi, ai benefici e ai rischi degli accertamenti diagnostici e dei trattamenti sanitari indicati, nonché' riguardo alle possibili alternative e alle conseguenze dell'eventuale rifiuto del trattamento sanitario e dell'accertamento diagnostico o della rinuncia ai medesimi.</w:t>
      </w:r>
      <w:r>
        <w:rPr>
          <w:rFonts w:ascii="Garamond" w:hAnsi="Garamond"/>
          <w:i/>
          <w:sz w:val="26"/>
          <w:szCs w:val="26"/>
        </w:rPr>
        <w:t>”</w:t>
      </w:r>
      <w:r>
        <w:rPr>
          <w:rFonts w:ascii="Garamond" w:hAnsi="Garamond"/>
          <w:sz w:val="26"/>
          <w:szCs w:val="26"/>
        </w:rPr>
        <w:t xml:space="preserve"> (comma 3).</w:t>
      </w:r>
    </w:p>
    <w:p w14:paraId="4DA10F8E" w14:textId="7C529AF9" w:rsidR="003E7BD2" w:rsidRDefault="003E7BD2" w:rsidP="003E7BD2">
      <w:pPr>
        <w:spacing w:line="360" w:lineRule="auto"/>
        <w:ind w:left="567" w:right="567" w:firstLine="141"/>
        <w:jc w:val="both"/>
        <w:rPr>
          <w:rFonts w:ascii="Garamond" w:hAnsi="Garamond"/>
          <w:sz w:val="26"/>
          <w:szCs w:val="26"/>
        </w:rPr>
      </w:pPr>
      <w:r>
        <w:rPr>
          <w:rFonts w:ascii="Garamond" w:hAnsi="Garamond"/>
          <w:sz w:val="26"/>
          <w:szCs w:val="26"/>
        </w:rPr>
        <w:t xml:space="preserve">Diritto di informazione che non può essere relegato al pur </w:t>
      </w:r>
      <w:r w:rsidR="00D81465">
        <w:rPr>
          <w:rFonts w:ascii="Garamond" w:hAnsi="Garamond"/>
          <w:sz w:val="26"/>
          <w:szCs w:val="26"/>
        </w:rPr>
        <w:t xml:space="preserve">fondamentale </w:t>
      </w:r>
      <w:r>
        <w:rPr>
          <w:rFonts w:ascii="Garamond" w:hAnsi="Garamond"/>
          <w:sz w:val="26"/>
          <w:szCs w:val="26"/>
        </w:rPr>
        <w:t xml:space="preserve">rapporto tra medico e paziente (comma 2), riguardano altresì la struttura amministrativa che eroga la prestazione sanitaria, come </w:t>
      </w:r>
      <w:r w:rsidR="00D81465">
        <w:rPr>
          <w:rFonts w:ascii="Garamond" w:hAnsi="Garamond"/>
          <w:sz w:val="26"/>
          <w:szCs w:val="26"/>
        </w:rPr>
        <w:t xml:space="preserve">si </w:t>
      </w:r>
      <w:r>
        <w:rPr>
          <w:rFonts w:ascii="Garamond" w:hAnsi="Garamond"/>
          <w:sz w:val="26"/>
          <w:szCs w:val="26"/>
        </w:rPr>
        <w:t>evince chiaramente dal comma 9 (“</w:t>
      </w:r>
      <w:r w:rsidRPr="009E64B5">
        <w:rPr>
          <w:rFonts w:ascii="Garamond" w:hAnsi="Garamond"/>
          <w:i/>
          <w:sz w:val="26"/>
          <w:szCs w:val="26"/>
        </w:rPr>
        <w:t>Ogni struttura sanitaria pubblica o privata garantisce con proprie modalità organizzative la piena e corretta attuazione dei principi di cui alla presente legge, assicurando l'informazione necessaria ai pazienti e l'adeguata formazione del personale.</w:t>
      </w:r>
      <w:r>
        <w:rPr>
          <w:rFonts w:ascii="Garamond" w:hAnsi="Garamond"/>
          <w:i/>
          <w:sz w:val="26"/>
          <w:szCs w:val="26"/>
        </w:rPr>
        <w:t>”</w:t>
      </w:r>
      <w:r>
        <w:rPr>
          <w:rFonts w:ascii="Garamond" w:hAnsi="Garamond"/>
          <w:sz w:val="26"/>
          <w:szCs w:val="26"/>
        </w:rPr>
        <w:t>).</w:t>
      </w:r>
    </w:p>
    <w:p w14:paraId="43C53A04" w14:textId="34F4A51F" w:rsidR="000F46F9" w:rsidRPr="000F46F9" w:rsidRDefault="00B81EBA" w:rsidP="000F46F9">
      <w:pPr>
        <w:spacing w:line="360" w:lineRule="auto"/>
        <w:ind w:left="567" w:right="567" w:firstLine="141"/>
        <w:jc w:val="both"/>
        <w:rPr>
          <w:rFonts w:ascii="Garamond" w:eastAsia="Times New Roman" w:hAnsi="Garamond" w:cstheme="minorHAnsi"/>
          <w:color w:val="000000"/>
          <w:sz w:val="26"/>
          <w:szCs w:val="26"/>
        </w:rPr>
      </w:pPr>
      <w:r>
        <w:rPr>
          <w:rFonts w:ascii="Garamond" w:hAnsi="Garamond"/>
          <w:sz w:val="26"/>
          <w:szCs w:val="26"/>
        </w:rPr>
        <w:t xml:space="preserve">In questa prospettiva, appare, quindi, di particolare rilievo </w:t>
      </w:r>
      <w:r w:rsidR="000F46F9" w:rsidRPr="000F46F9">
        <w:rPr>
          <w:rFonts w:ascii="Garamond" w:hAnsi="Garamond"/>
          <w:sz w:val="26"/>
          <w:szCs w:val="26"/>
        </w:rPr>
        <w:t>il monito es</w:t>
      </w:r>
      <w:r w:rsidR="000F46F9">
        <w:rPr>
          <w:rFonts w:ascii="Garamond" w:hAnsi="Garamond"/>
          <w:sz w:val="26"/>
          <w:szCs w:val="26"/>
        </w:rPr>
        <w:t xml:space="preserve">presso dalla 3^ sezione del Consiglio di Stato secondo il quale </w:t>
      </w:r>
      <w:r w:rsidR="000F46F9" w:rsidRPr="000F46F9">
        <w:rPr>
          <w:rFonts w:ascii="Garamond" w:hAnsi="Garamond" w:cstheme="minorHAnsi"/>
          <w:i/>
          <w:iCs/>
          <w:sz w:val="26"/>
          <w:szCs w:val="26"/>
        </w:rPr>
        <w:t xml:space="preserve">&lt;&lt; .. </w:t>
      </w:r>
      <w:r w:rsidR="000F46F9" w:rsidRPr="000F46F9">
        <w:rPr>
          <w:rFonts w:ascii="Garamond" w:eastAsia="Times New Roman" w:hAnsi="Garamond" w:cstheme="minorHAnsi"/>
          <w:i/>
          <w:iCs/>
          <w:color w:val="000000"/>
          <w:sz w:val="26"/>
          <w:szCs w:val="26"/>
        </w:rPr>
        <w:t>a livello generale, sempre più dovrà essere soddisfatto, nella misura in cui lo consentiranno e verranno meno le preminenti esigenze di riservatezza volte a preservare la salute quale interesse della collettività, l’interesse pubblico, sotteso all’accesso civico generalizzato, ad ottenere la massima trasparenza in ordine agli atti con i quali il Governo e le autorità sanitarie hanno inteso fronteggiare, sin dal principio, la diffusione della pandemia da Covid-19 e far luce, secondo il principio della “casa di vetro” che contraddistingue la trasparenza dell’azione amministrativa (v., su questo punto, la già citata sentenza di Cons. St., Ad. plen., 2 aprile 2020, n. 10), sui moduli decisionali, invero complessi e articolati, che hanno condotto, anche in una fase procedimentale istruttoria o meramente preparatoria, all’adozione di misure emergenziali fortemente incidenti sull’esercizio dei diritti fondamentali. &gt;&gt;</w:t>
      </w:r>
      <w:r>
        <w:rPr>
          <w:rFonts w:ascii="Garamond" w:eastAsia="Times New Roman" w:hAnsi="Garamond" w:cstheme="minorHAnsi"/>
          <w:color w:val="000000"/>
          <w:sz w:val="26"/>
          <w:szCs w:val="26"/>
        </w:rPr>
        <w:t xml:space="preserve"> </w:t>
      </w:r>
      <w:r>
        <w:rPr>
          <w:rFonts w:ascii="Garamond" w:hAnsi="Garamond"/>
          <w:sz w:val="26"/>
          <w:szCs w:val="26"/>
        </w:rPr>
        <w:t>(sentenza 9 luglio 2021</w:t>
      </w:r>
      <w:r w:rsidR="00C877AE">
        <w:rPr>
          <w:rFonts w:ascii="Garamond" w:hAnsi="Garamond"/>
          <w:sz w:val="26"/>
          <w:szCs w:val="26"/>
        </w:rPr>
        <w:t>, n. 5213</w:t>
      </w:r>
      <w:r>
        <w:rPr>
          <w:rFonts w:ascii="Garamond" w:hAnsi="Garamond"/>
          <w:sz w:val="26"/>
          <w:szCs w:val="26"/>
        </w:rPr>
        <w:t xml:space="preserve">) </w:t>
      </w:r>
      <w:r w:rsidRPr="00B97122">
        <w:rPr>
          <w:rStyle w:val="Rimandonotaapidipagina"/>
          <w:rFonts w:ascii="Garamond" w:hAnsi="Garamond"/>
          <w:color w:val="000000" w:themeColor="text1"/>
          <w:sz w:val="26"/>
          <w:szCs w:val="26"/>
        </w:rPr>
        <w:footnoteReference w:id="5"/>
      </w:r>
      <w:r>
        <w:rPr>
          <w:rFonts w:ascii="Garamond" w:hAnsi="Garamond"/>
          <w:sz w:val="26"/>
          <w:szCs w:val="26"/>
        </w:rPr>
        <w:t>.</w:t>
      </w:r>
    </w:p>
    <w:p w14:paraId="2FEFEBCD" w14:textId="77777777" w:rsidR="00846D5C" w:rsidRDefault="00846D5C" w:rsidP="00AC66F7">
      <w:pPr>
        <w:spacing w:line="360" w:lineRule="auto"/>
        <w:ind w:left="567" w:right="567"/>
        <w:jc w:val="both"/>
        <w:rPr>
          <w:rFonts w:ascii="Garamond" w:hAnsi="Garamond" w:cs="Times New Roman"/>
          <w:b/>
          <w:bCs/>
          <w:color w:val="000000" w:themeColor="text1"/>
          <w:sz w:val="26"/>
          <w:szCs w:val="26"/>
        </w:rPr>
      </w:pPr>
    </w:p>
    <w:p w14:paraId="02A68B48" w14:textId="43FA7F5B" w:rsidR="003E7BD2" w:rsidRDefault="00F82558" w:rsidP="006C032F">
      <w:pPr>
        <w:spacing w:line="360" w:lineRule="auto"/>
        <w:ind w:left="567" w:right="567"/>
        <w:jc w:val="both"/>
        <w:rPr>
          <w:rFonts w:ascii="Garamond" w:hAnsi="Garamond"/>
          <w:b/>
          <w:bCs/>
          <w:sz w:val="26"/>
          <w:szCs w:val="26"/>
        </w:rPr>
      </w:pPr>
      <w:r>
        <w:rPr>
          <w:rFonts w:ascii="Garamond" w:hAnsi="Garamond"/>
          <w:b/>
          <w:bCs/>
          <w:sz w:val="26"/>
          <w:szCs w:val="26"/>
        </w:rPr>
        <w:t>3</w:t>
      </w:r>
      <w:r w:rsidR="003E7BD2">
        <w:rPr>
          <w:rFonts w:ascii="Garamond" w:hAnsi="Garamond"/>
          <w:b/>
          <w:bCs/>
          <w:sz w:val="26"/>
          <w:szCs w:val="26"/>
        </w:rPr>
        <w:t>. L’accesso civico generalizzato agli atti di gestione dell’emergenza da Covid-19.</w:t>
      </w:r>
    </w:p>
    <w:p w14:paraId="4D77522E" w14:textId="4895BB43" w:rsidR="00EA7432" w:rsidRDefault="003E7BD2" w:rsidP="00D85912">
      <w:pPr>
        <w:spacing w:line="360" w:lineRule="auto"/>
        <w:ind w:left="567" w:right="567"/>
        <w:jc w:val="both"/>
        <w:rPr>
          <w:rFonts w:ascii="Garamond" w:hAnsi="Garamond" w:cs="Times New Roman"/>
          <w:bCs/>
          <w:color w:val="000000" w:themeColor="text1"/>
          <w:sz w:val="26"/>
          <w:szCs w:val="26"/>
        </w:rPr>
      </w:pPr>
      <w:r w:rsidRPr="003E7BD2">
        <w:rPr>
          <w:rFonts w:ascii="Garamond" w:hAnsi="Garamond" w:cs="Times New Roman"/>
          <w:bCs/>
          <w:color w:val="000000" w:themeColor="text1"/>
          <w:sz w:val="26"/>
          <w:szCs w:val="26"/>
        </w:rPr>
        <w:tab/>
        <w:t xml:space="preserve">Può </w:t>
      </w:r>
      <w:r>
        <w:rPr>
          <w:rFonts w:ascii="Garamond" w:hAnsi="Garamond" w:cs="Times New Roman"/>
          <w:bCs/>
          <w:color w:val="000000" w:themeColor="text1"/>
          <w:sz w:val="26"/>
          <w:szCs w:val="26"/>
        </w:rPr>
        <w:t xml:space="preserve">essere di </w:t>
      </w:r>
      <w:r w:rsidR="00E259B2">
        <w:rPr>
          <w:rFonts w:ascii="Garamond" w:hAnsi="Garamond" w:cs="Times New Roman"/>
          <w:bCs/>
          <w:color w:val="000000" w:themeColor="text1"/>
          <w:sz w:val="26"/>
          <w:szCs w:val="26"/>
        </w:rPr>
        <w:t xml:space="preserve">qualche interesse analizzare </w:t>
      </w:r>
      <w:r w:rsidR="00F67368">
        <w:rPr>
          <w:rFonts w:ascii="Garamond" w:hAnsi="Garamond" w:cs="Times New Roman"/>
          <w:bCs/>
          <w:color w:val="000000" w:themeColor="text1"/>
          <w:sz w:val="26"/>
          <w:szCs w:val="26"/>
        </w:rPr>
        <w:t>alcune vicende relative al</w:t>
      </w:r>
      <w:r w:rsidR="00DE1F54">
        <w:rPr>
          <w:rFonts w:ascii="Garamond" w:hAnsi="Garamond" w:cs="Times New Roman"/>
          <w:bCs/>
          <w:color w:val="000000" w:themeColor="text1"/>
          <w:sz w:val="26"/>
          <w:szCs w:val="26"/>
        </w:rPr>
        <w:t>l’</w:t>
      </w:r>
      <w:r>
        <w:rPr>
          <w:rFonts w:ascii="Garamond" w:hAnsi="Garamond" w:cs="Times New Roman"/>
          <w:bCs/>
          <w:color w:val="000000" w:themeColor="text1"/>
          <w:sz w:val="26"/>
          <w:szCs w:val="26"/>
        </w:rPr>
        <w:t>applicazione dell’istituto dell’accesso civico generalizzato agli atti di gestione dell’emergenza sanitaria, traendo spunto dalla casistica giurisprudenziale.</w:t>
      </w:r>
    </w:p>
    <w:p w14:paraId="02C79B0B" w14:textId="77777777" w:rsidR="00112ACF" w:rsidRDefault="00112ACF" w:rsidP="00D85912">
      <w:pPr>
        <w:spacing w:line="360" w:lineRule="auto"/>
        <w:ind w:left="567" w:right="567"/>
        <w:jc w:val="both"/>
        <w:rPr>
          <w:rFonts w:ascii="Garamond" w:hAnsi="Garamond" w:cs="Times New Roman"/>
          <w:b/>
          <w:color w:val="000000" w:themeColor="text1"/>
          <w:sz w:val="26"/>
          <w:szCs w:val="26"/>
        </w:rPr>
      </w:pPr>
    </w:p>
    <w:p w14:paraId="333DCA6A" w14:textId="131409C6" w:rsidR="00C877AE" w:rsidRPr="00C877AE" w:rsidRDefault="0055792A" w:rsidP="00D85912">
      <w:pPr>
        <w:spacing w:line="360" w:lineRule="auto"/>
        <w:ind w:left="567" w:right="567"/>
        <w:jc w:val="both"/>
        <w:rPr>
          <w:rFonts w:ascii="Garamond" w:hAnsi="Garamond" w:cs="Times New Roman"/>
          <w:b/>
          <w:color w:val="000000" w:themeColor="text1"/>
          <w:sz w:val="26"/>
          <w:szCs w:val="26"/>
        </w:rPr>
      </w:pPr>
      <w:r>
        <w:rPr>
          <w:rFonts w:ascii="Garamond" w:hAnsi="Garamond" w:cs="Times New Roman"/>
          <w:b/>
          <w:color w:val="000000" w:themeColor="text1"/>
          <w:sz w:val="26"/>
          <w:szCs w:val="26"/>
        </w:rPr>
        <w:t>3</w:t>
      </w:r>
      <w:r w:rsidR="00C877AE" w:rsidRPr="00C877AE">
        <w:rPr>
          <w:rFonts w:ascii="Garamond" w:hAnsi="Garamond" w:cs="Times New Roman"/>
          <w:b/>
          <w:color w:val="000000" w:themeColor="text1"/>
          <w:sz w:val="26"/>
          <w:szCs w:val="26"/>
        </w:rPr>
        <w:t>.1. L’oggetto dell’accesso civico generalizzato</w:t>
      </w:r>
      <w:r w:rsidR="00C877AE">
        <w:rPr>
          <w:rFonts w:ascii="Garamond" w:hAnsi="Garamond" w:cs="Times New Roman"/>
          <w:b/>
          <w:color w:val="000000" w:themeColor="text1"/>
          <w:sz w:val="26"/>
          <w:szCs w:val="26"/>
        </w:rPr>
        <w:t xml:space="preserve"> ex art. 5 d.lgs. n. 33 del 2013.</w:t>
      </w:r>
    </w:p>
    <w:p w14:paraId="1D563122" w14:textId="32238018" w:rsidR="00E259B2" w:rsidRPr="00E259B2" w:rsidRDefault="00E259B2" w:rsidP="00E259B2">
      <w:pPr>
        <w:spacing w:line="360" w:lineRule="auto"/>
        <w:ind w:left="567" w:right="567"/>
        <w:jc w:val="both"/>
        <w:rPr>
          <w:rFonts w:ascii="Garamond" w:hAnsi="Garamond"/>
          <w:sz w:val="26"/>
          <w:szCs w:val="26"/>
        </w:rPr>
      </w:pPr>
      <w:r>
        <w:rPr>
          <w:rFonts w:ascii="Garamond" w:hAnsi="Garamond" w:cs="Times New Roman"/>
          <w:bCs/>
          <w:color w:val="000000" w:themeColor="text1"/>
          <w:sz w:val="26"/>
          <w:szCs w:val="26"/>
        </w:rPr>
        <w:tab/>
        <w:t xml:space="preserve">Un primo </w:t>
      </w:r>
      <w:r w:rsidR="00C24C5F">
        <w:rPr>
          <w:rFonts w:ascii="Garamond" w:hAnsi="Garamond" w:cs="Times New Roman"/>
          <w:bCs/>
          <w:color w:val="000000" w:themeColor="text1"/>
          <w:sz w:val="26"/>
          <w:szCs w:val="26"/>
        </w:rPr>
        <w:t xml:space="preserve">filone </w:t>
      </w:r>
      <w:r>
        <w:rPr>
          <w:rFonts w:ascii="Garamond" w:hAnsi="Garamond" w:cs="Times New Roman"/>
          <w:bCs/>
          <w:color w:val="000000" w:themeColor="text1"/>
          <w:sz w:val="26"/>
          <w:szCs w:val="26"/>
        </w:rPr>
        <w:t xml:space="preserve">che merita di essere </w:t>
      </w:r>
      <w:r w:rsidR="00C24C5F">
        <w:rPr>
          <w:rFonts w:ascii="Garamond" w:hAnsi="Garamond" w:cs="Times New Roman"/>
          <w:bCs/>
          <w:color w:val="000000" w:themeColor="text1"/>
          <w:sz w:val="26"/>
          <w:szCs w:val="26"/>
        </w:rPr>
        <w:t xml:space="preserve">indagato </w:t>
      </w:r>
      <w:r w:rsidR="00BC6C14">
        <w:rPr>
          <w:rFonts w:ascii="Garamond" w:hAnsi="Garamond" w:cs="Times New Roman"/>
          <w:bCs/>
          <w:color w:val="000000" w:themeColor="text1"/>
          <w:sz w:val="26"/>
          <w:szCs w:val="26"/>
        </w:rPr>
        <w:t>attiene all’</w:t>
      </w:r>
      <w:r w:rsidRPr="00E259B2">
        <w:rPr>
          <w:rFonts w:ascii="Garamond" w:hAnsi="Garamond" w:cs="Times New Roman"/>
          <w:bCs/>
          <w:color w:val="000000" w:themeColor="text1"/>
          <w:sz w:val="26"/>
          <w:szCs w:val="26"/>
        </w:rPr>
        <w:t xml:space="preserve">”oggetto” dell’accesso. </w:t>
      </w:r>
      <w:r w:rsidR="003E7BD2" w:rsidRPr="00E259B2">
        <w:rPr>
          <w:rFonts w:ascii="Garamond" w:hAnsi="Garamond" w:cs="Times New Roman"/>
          <w:bCs/>
          <w:color w:val="000000" w:themeColor="text1"/>
          <w:sz w:val="26"/>
          <w:szCs w:val="26"/>
        </w:rPr>
        <w:tab/>
      </w:r>
      <w:r w:rsidRPr="00E259B2">
        <w:rPr>
          <w:rFonts w:ascii="Garamond" w:hAnsi="Garamond" w:cs="Times New Roman"/>
          <w:bCs/>
          <w:color w:val="000000" w:themeColor="text1"/>
          <w:sz w:val="26"/>
          <w:szCs w:val="26"/>
        </w:rPr>
        <w:t xml:space="preserve">Come noto, l’art. 5 del d.lgs. n. 33 del 2013 </w:t>
      </w:r>
      <w:r w:rsidR="00E42853">
        <w:rPr>
          <w:rFonts w:ascii="Garamond" w:hAnsi="Garamond" w:cs="Times New Roman"/>
          <w:bCs/>
          <w:color w:val="000000" w:themeColor="text1"/>
          <w:sz w:val="26"/>
          <w:szCs w:val="26"/>
        </w:rPr>
        <w:t xml:space="preserve">con riferimento </w:t>
      </w:r>
      <w:r w:rsidRPr="00E259B2">
        <w:rPr>
          <w:rFonts w:ascii="Garamond" w:hAnsi="Garamond" w:cs="Times New Roman"/>
          <w:bCs/>
          <w:color w:val="000000" w:themeColor="text1"/>
          <w:sz w:val="26"/>
          <w:szCs w:val="26"/>
        </w:rPr>
        <w:t>all’”</w:t>
      </w:r>
      <w:r w:rsidR="00BC6C14">
        <w:rPr>
          <w:rFonts w:ascii="Garamond" w:hAnsi="Garamond" w:cs="Times New Roman"/>
          <w:bCs/>
          <w:color w:val="000000" w:themeColor="text1"/>
          <w:sz w:val="26"/>
          <w:szCs w:val="26"/>
        </w:rPr>
        <w:t xml:space="preserve">accesso </w:t>
      </w:r>
      <w:r w:rsidR="00E42853">
        <w:rPr>
          <w:rFonts w:ascii="Garamond" w:hAnsi="Garamond" w:cs="Times New Roman"/>
          <w:bCs/>
          <w:color w:val="000000" w:themeColor="text1"/>
          <w:sz w:val="26"/>
          <w:szCs w:val="26"/>
        </w:rPr>
        <w:t xml:space="preserve">civico </w:t>
      </w:r>
      <w:r w:rsidR="00BC6C14">
        <w:rPr>
          <w:rFonts w:ascii="Garamond" w:hAnsi="Garamond" w:cs="Times New Roman"/>
          <w:bCs/>
          <w:color w:val="000000" w:themeColor="text1"/>
          <w:sz w:val="26"/>
          <w:szCs w:val="26"/>
        </w:rPr>
        <w:t>semplice</w:t>
      </w:r>
      <w:r w:rsidR="00E42853">
        <w:rPr>
          <w:rFonts w:ascii="Garamond" w:hAnsi="Garamond" w:cs="Times New Roman"/>
          <w:bCs/>
          <w:color w:val="000000" w:themeColor="text1"/>
          <w:sz w:val="26"/>
          <w:szCs w:val="26"/>
        </w:rPr>
        <w:t>”</w:t>
      </w:r>
      <w:r w:rsidRPr="00E259B2">
        <w:rPr>
          <w:rFonts w:ascii="Garamond" w:hAnsi="Garamond" w:cs="Times New Roman"/>
          <w:bCs/>
          <w:color w:val="000000" w:themeColor="text1"/>
          <w:sz w:val="26"/>
          <w:szCs w:val="26"/>
        </w:rPr>
        <w:t xml:space="preserve"> parla di </w:t>
      </w:r>
      <w:r w:rsidRPr="00E259B2">
        <w:rPr>
          <w:rFonts w:ascii="Garamond" w:hAnsi="Garamond"/>
          <w:i/>
          <w:sz w:val="26"/>
          <w:szCs w:val="26"/>
        </w:rPr>
        <w:t xml:space="preserve">“documenti, informazioni o dati” </w:t>
      </w:r>
      <w:r w:rsidRPr="00E259B2">
        <w:rPr>
          <w:rFonts w:ascii="Garamond" w:hAnsi="Garamond"/>
          <w:sz w:val="26"/>
          <w:szCs w:val="26"/>
        </w:rPr>
        <w:t xml:space="preserve">(commi 1 e 6), mentre </w:t>
      </w:r>
      <w:bookmarkStart w:id="1" w:name="_Hlk65567926"/>
      <w:r w:rsidR="00DF03B1">
        <w:rPr>
          <w:rFonts w:ascii="Garamond" w:hAnsi="Garamond"/>
          <w:sz w:val="26"/>
          <w:szCs w:val="26"/>
        </w:rPr>
        <w:t>riferendosi</w:t>
      </w:r>
      <w:r w:rsidR="00F00578">
        <w:rPr>
          <w:rFonts w:ascii="Garamond" w:hAnsi="Garamond"/>
          <w:sz w:val="26"/>
          <w:szCs w:val="26"/>
        </w:rPr>
        <w:t xml:space="preserve"> </w:t>
      </w:r>
      <w:r w:rsidRPr="00E259B2">
        <w:rPr>
          <w:rFonts w:ascii="Garamond" w:hAnsi="Garamond"/>
          <w:sz w:val="26"/>
          <w:szCs w:val="26"/>
        </w:rPr>
        <w:t xml:space="preserve">all’“accesso generalizzato” parla di </w:t>
      </w:r>
      <w:r w:rsidRPr="00E259B2">
        <w:rPr>
          <w:rFonts w:ascii="Garamond" w:hAnsi="Garamond"/>
          <w:i/>
          <w:sz w:val="26"/>
          <w:szCs w:val="26"/>
        </w:rPr>
        <w:t>“dati e documenti detenuti dalle pubbliche amministrazioni”</w:t>
      </w:r>
      <w:r w:rsidRPr="00E259B2">
        <w:rPr>
          <w:rFonts w:ascii="Garamond" w:hAnsi="Garamond"/>
          <w:sz w:val="26"/>
          <w:szCs w:val="26"/>
        </w:rPr>
        <w:t xml:space="preserve"> (commi 2 e 3).</w:t>
      </w:r>
    </w:p>
    <w:bookmarkEnd w:id="1"/>
    <w:p w14:paraId="29D36737" w14:textId="6BA91B6F" w:rsidR="00E259B2" w:rsidRDefault="00E259B2" w:rsidP="00E259B2">
      <w:pPr>
        <w:spacing w:line="360" w:lineRule="auto"/>
        <w:ind w:left="567" w:right="567"/>
        <w:jc w:val="both"/>
        <w:rPr>
          <w:rFonts w:ascii="Garamond" w:hAnsi="Garamond" w:cs="Times New Roman"/>
          <w:bCs/>
          <w:color w:val="000000" w:themeColor="text1"/>
          <w:sz w:val="26"/>
          <w:szCs w:val="26"/>
        </w:rPr>
      </w:pPr>
      <w:r>
        <w:rPr>
          <w:rFonts w:ascii="Garamond" w:hAnsi="Garamond" w:cs="Times New Roman"/>
          <w:bCs/>
          <w:color w:val="000000" w:themeColor="text1"/>
          <w:sz w:val="26"/>
          <w:szCs w:val="26"/>
        </w:rPr>
        <w:tab/>
        <w:t xml:space="preserve">Le differenze testuali non sembrano così decisive, anche </w:t>
      </w:r>
      <w:r w:rsidR="002519DD">
        <w:rPr>
          <w:rFonts w:ascii="Garamond" w:hAnsi="Garamond" w:cs="Times New Roman"/>
          <w:bCs/>
          <w:color w:val="000000" w:themeColor="text1"/>
          <w:sz w:val="26"/>
          <w:szCs w:val="26"/>
        </w:rPr>
        <w:t xml:space="preserve">considerato che </w:t>
      </w:r>
      <w:r w:rsidR="00BC6C14">
        <w:rPr>
          <w:rFonts w:ascii="Garamond" w:hAnsi="Garamond" w:cs="Times New Roman"/>
          <w:bCs/>
          <w:color w:val="000000" w:themeColor="text1"/>
          <w:sz w:val="26"/>
          <w:szCs w:val="26"/>
        </w:rPr>
        <w:t>del</w:t>
      </w:r>
      <w:r w:rsidR="002519DD">
        <w:rPr>
          <w:rFonts w:ascii="Garamond" w:hAnsi="Garamond" w:cs="Times New Roman"/>
          <w:bCs/>
          <w:color w:val="000000" w:themeColor="text1"/>
          <w:sz w:val="26"/>
          <w:szCs w:val="26"/>
        </w:rPr>
        <w:t>le “informazioni” e</w:t>
      </w:r>
      <w:r w:rsidR="00BC6C14">
        <w:rPr>
          <w:rFonts w:ascii="Garamond" w:hAnsi="Garamond" w:cs="Times New Roman"/>
          <w:bCs/>
          <w:color w:val="000000" w:themeColor="text1"/>
          <w:sz w:val="26"/>
          <w:szCs w:val="26"/>
        </w:rPr>
        <w:t xml:space="preserve"> de</w:t>
      </w:r>
      <w:r w:rsidR="002519DD">
        <w:rPr>
          <w:rFonts w:ascii="Garamond" w:hAnsi="Garamond" w:cs="Times New Roman"/>
          <w:bCs/>
          <w:color w:val="000000" w:themeColor="text1"/>
          <w:sz w:val="26"/>
          <w:szCs w:val="26"/>
        </w:rPr>
        <w:t xml:space="preserve">i “dati” non </w:t>
      </w:r>
      <w:r w:rsidR="00DF03B1">
        <w:rPr>
          <w:rFonts w:ascii="Garamond" w:hAnsi="Garamond" w:cs="Times New Roman"/>
          <w:bCs/>
          <w:color w:val="000000" w:themeColor="text1"/>
          <w:sz w:val="26"/>
          <w:szCs w:val="26"/>
        </w:rPr>
        <w:t xml:space="preserve">esistono </w:t>
      </w:r>
      <w:r w:rsidR="00BC6C14">
        <w:rPr>
          <w:rFonts w:ascii="Garamond" w:hAnsi="Garamond" w:cs="Times New Roman"/>
          <w:bCs/>
          <w:color w:val="000000" w:themeColor="text1"/>
          <w:sz w:val="26"/>
          <w:szCs w:val="26"/>
        </w:rPr>
        <w:t>chiare definizioni</w:t>
      </w:r>
      <w:r w:rsidR="002519DD">
        <w:rPr>
          <w:rFonts w:ascii="Garamond" w:hAnsi="Garamond" w:cs="Times New Roman"/>
          <w:bCs/>
          <w:color w:val="000000" w:themeColor="text1"/>
          <w:sz w:val="26"/>
          <w:szCs w:val="26"/>
        </w:rPr>
        <w:t xml:space="preserve"> </w:t>
      </w:r>
      <w:r w:rsidR="00BC6C14">
        <w:rPr>
          <w:rFonts w:ascii="Garamond" w:hAnsi="Garamond" w:cs="Times New Roman"/>
          <w:bCs/>
          <w:color w:val="000000" w:themeColor="text1"/>
          <w:sz w:val="26"/>
          <w:szCs w:val="26"/>
        </w:rPr>
        <w:t>legislative</w:t>
      </w:r>
      <w:r w:rsidR="002519DD">
        <w:rPr>
          <w:rFonts w:ascii="Garamond" w:hAnsi="Garamond" w:cs="Times New Roman"/>
          <w:bCs/>
          <w:color w:val="000000" w:themeColor="text1"/>
          <w:sz w:val="26"/>
          <w:szCs w:val="26"/>
        </w:rPr>
        <w:t>.</w:t>
      </w:r>
    </w:p>
    <w:p w14:paraId="6E1E6603" w14:textId="738C53EF" w:rsidR="002519DD" w:rsidRDefault="002519DD" w:rsidP="002519DD">
      <w:pPr>
        <w:spacing w:line="360" w:lineRule="auto"/>
        <w:ind w:left="567" w:right="567"/>
        <w:jc w:val="both"/>
        <w:rPr>
          <w:rFonts w:ascii="Garamond" w:hAnsi="Garamond" w:cs="Arial"/>
          <w:sz w:val="26"/>
          <w:szCs w:val="26"/>
        </w:rPr>
      </w:pPr>
      <w:r>
        <w:rPr>
          <w:rFonts w:ascii="Garamond" w:hAnsi="Garamond" w:cs="Times New Roman"/>
          <w:bCs/>
          <w:color w:val="000000" w:themeColor="text1"/>
          <w:sz w:val="26"/>
          <w:szCs w:val="26"/>
        </w:rPr>
        <w:tab/>
        <w:t>Ciò che è certo è che l’oggetto dell</w:t>
      </w:r>
      <w:r w:rsidR="00E259B2" w:rsidRPr="00E259B2">
        <w:rPr>
          <w:rFonts w:ascii="Garamond" w:hAnsi="Garamond" w:cs="Arial"/>
          <w:sz w:val="26"/>
          <w:szCs w:val="26"/>
        </w:rPr>
        <w:t xml:space="preserve">’accesso civico generalizzato </w:t>
      </w:r>
      <w:r>
        <w:rPr>
          <w:rFonts w:ascii="Garamond" w:hAnsi="Garamond" w:cs="Arial"/>
          <w:sz w:val="26"/>
          <w:szCs w:val="26"/>
        </w:rPr>
        <w:t xml:space="preserve">differisce da quello dell’accesso documentale ex l. n. 241 del 1990, nel senso che </w:t>
      </w:r>
      <w:r w:rsidR="00BC6C14">
        <w:rPr>
          <w:rFonts w:ascii="Garamond" w:hAnsi="Garamond" w:cs="Arial"/>
          <w:sz w:val="26"/>
          <w:szCs w:val="26"/>
        </w:rPr>
        <w:t xml:space="preserve">esso </w:t>
      </w:r>
      <w:r>
        <w:rPr>
          <w:rFonts w:ascii="Garamond" w:hAnsi="Garamond" w:cs="Arial"/>
          <w:sz w:val="26"/>
          <w:szCs w:val="26"/>
        </w:rPr>
        <w:t xml:space="preserve">non può essere </w:t>
      </w:r>
      <w:r w:rsidR="00E259B2" w:rsidRPr="00E259B2">
        <w:rPr>
          <w:rFonts w:ascii="Garamond" w:hAnsi="Garamond" w:cs="Arial"/>
          <w:sz w:val="26"/>
          <w:szCs w:val="26"/>
        </w:rPr>
        <w:t>inteso come semplice diritto di otte</w:t>
      </w:r>
      <w:r>
        <w:rPr>
          <w:rFonts w:ascii="Garamond" w:hAnsi="Garamond" w:cs="Arial"/>
          <w:sz w:val="26"/>
          <w:szCs w:val="26"/>
        </w:rPr>
        <w:t xml:space="preserve">nere il documento richiesto, bensì </w:t>
      </w:r>
      <w:r w:rsidR="00E259B2" w:rsidRPr="002519DD">
        <w:rPr>
          <w:rFonts w:ascii="Garamond" w:hAnsi="Garamond" w:cs="Arial"/>
          <w:sz w:val="26"/>
          <w:szCs w:val="26"/>
        </w:rPr>
        <w:t>come “diritto all’informazione”</w:t>
      </w:r>
      <w:r>
        <w:rPr>
          <w:rFonts w:ascii="Garamond" w:hAnsi="Garamond" w:cs="Arial"/>
          <w:sz w:val="26"/>
          <w:szCs w:val="26"/>
        </w:rPr>
        <w:t xml:space="preserve">, ovvero </w:t>
      </w:r>
      <w:r w:rsidR="00F00578">
        <w:rPr>
          <w:rFonts w:ascii="Garamond" w:hAnsi="Garamond" w:cs="Arial"/>
          <w:sz w:val="26"/>
          <w:szCs w:val="26"/>
        </w:rPr>
        <w:t xml:space="preserve">come </w:t>
      </w:r>
      <w:r w:rsidR="00E259B2" w:rsidRPr="002519DD">
        <w:rPr>
          <w:rFonts w:ascii="Garamond" w:hAnsi="Garamond" w:cs="Arial"/>
          <w:sz w:val="26"/>
          <w:szCs w:val="26"/>
        </w:rPr>
        <w:t xml:space="preserve">diritto di acquisire dati </w:t>
      </w:r>
      <w:r w:rsidR="00F00578">
        <w:rPr>
          <w:rFonts w:ascii="Garamond" w:hAnsi="Garamond" w:cs="Arial"/>
          <w:sz w:val="26"/>
          <w:szCs w:val="26"/>
        </w:rPr>
        <w:t xml:space="preserve">ed informazioni </w:t>
      </w:r>
      <w:r w:rsidR="00E259B2" w:rsidRPr="00E259B2">
        <w:rPr>
          <w:rFonts w:ascii="Garamond" w:hAnsi="Garamond" w:cs="Arial"/>
          <w:sz w:val="26"/>
          <w:szCs w:val="26"/>
        </w:rPr>
        <w:t xml:space="preserve">indipendentemente dal supporto fisico in cui essi sono incorporati </w:t>
      </w:r>
      <w:r w:rsidRPr="00B97122">
        <w:rPr>
          <w:rStyle w:val="Rimandonotaapidipagina"/>
          <w:rFonts w:ascii="Garamond" w:hAnsi="Garamond"/>
          <w:color w:val="000000" w:themeColor="text1"/>
          <w:sz w:val="26"/>
          <w:szCs w:val="26"/>
        </w:rPr>
        <w:footnoteReference w:id="6"/>
      </w:r>
      <w:r>
        <w:rPr>
          <w:rFonts w:ascii="Garamond" w:hAnsi="Garamond" w:cs="Arial"/>
          <w:sz w:val="26"/>
          <w:szCs w:val="26"/>
        </w:rPr>
        <w:t>.</w:t>
      </w:r>
    </w:p>
    <w:p w14:paraId="3D7649A3" w14:textId="3FD390E4" w:rsidR="000A2533" w:rsidRDefault="000A2533" w:rsidP="00E259B2">
      <w:pPr>
        <w:pStyle w:val="Standard"/>
        <w:spacing w:line="360" w:lineRule="auto"/>
        <w:ind w:left="567" w:right="567"/>
        <w:jc w:val="both"/>
        <w:rPr>
          <w:rFonts w:ascii="Garamond" w:hAnsi="Garamond" w:cs="Arial"/>
          <w:sz w:val="26"/>
          <w:szCs w:val="26"/>
          <w:lang w:val="it-IT"/>
        </w:rPr>
      </w:pPr>
      <w:r w:rsidRPr="000A2533">
        <w:rPr>
          <w:rFonts w:ascii="Garamond" w:hAnsi="Garamond" w:cs="Arial"/>
          <w:sz w:val="26"/>
          <w:szCs w:val="26"/>
          <w:lang w:val="it-IT"/>
        </w:rPr>
        <w:tab/>
        <w:t>M</w:t>
      </w:r>
      <w:r>
        <w:rPr>
          <w:rFonts w:ascii="Garamond" w:hAnsi="Garamond" w:cs="Arial"/>
          <w:sz w:val="26"/>
          <w:szCs w:val="26"/>
          <w:lang w:val="it-IT"/>
        </w:rPr>
        <w:t xml:space="preserve">a in cosa consiste l’informazione” esigibile dall’Amministrazione </w:t>
      </w:r>
      <w:r w:rsidR="00DF03B1">
        <w:rPr>
          <w:rFonts w:ascii="Garamond" w:hAnsi="Garamond" w:cs="Arial"/>
          <w:sz w:val="26"/>
          <w:szCs w:val="26"/>
          <w:lang w:val="it-IT"/>
        </w:rPr>
        <w:t xml:space="preserve">ai sensi dell’art. 5, comma 2, d.lgs. n. 33 del 2013 </w:t>
      </w:r>
      <w:r>
        <w:rPr>
          <w:rFonts w:ascii="Garamond" w:hAnsi="Garamond" w:cs="Arial"/>
          <w:sz w:val="26"/>
          <w:szCs w:val="26"/>
          <w:lang w:val="it-IT"/>
        </w:rPr>
        <w:t>?</w:t>
      </w:r>
    </w:p>
    <w:p w14:paraId="297AA204" w14:textId="16648E2D" w:rsidR="00BC6C14" w:rsidRDefault="00BC6C14" w:rsidP="00BC6C14">
      <w:pPr>
        <w:pStyle w:val="Standard"/>
        <w:spacing w:line="360" w:lineRule="auto"/>
        <w:ind w:left="567" w:right="567" w:firstLine="141"/>
        <w:jc w:val="both"/>
        <w:rPr>
          <w:rFonts w:ascii="Garamond" w:hAnsi="Garamond" w:cs="Arial"/>
          <w:sz w:val="26"/>
          <w:szCs w:val="26"/>
          <w:lang w:val="it-IT"/>
        </w:rPr>
      </w:pPr>
      <w:r>
        <w:rPr>
          <w:rFonts w:ascii="Garamond" w:hAnsi="Garamond" w:cs="Arial"/>
          <w:sz w:val="26"/>
          <w:szCs w:val="26"/>
          <w:lang w:val="it-IT"/>
        </w:rPr>
        <w:t>Certamente il concetto non può essere ampliato</w:t>
      </w:r>
      <w:r w:rsidRPr="00E259B2">
        <w:rPr>
          <w:rFonts w:ascii="Garamond" w:hAnsi="Garamond" w:cs="Arial"/>
          <w:sz w:val="26"/>
          <w:szCs w:val="26"/>
          <w:lang w:val="it-IT"/>
        </w:rPr>
        <w:t xml:space="preserve"> sino a</w:t>
      </w:r>
      <w:r>
        <w:rPr>
          <w:rFonts w:ascii="Garamond" w:hAnsi="Garamond" w:cs="Arial"/>
          <w:sz w:val="26"/>
          <w:szCs w:val="26"/>
          <w:lang w:val="it-IT"/>
        </w:rPr>
        <w:t>l punto di</w:t>
      </w:r>
      <w:r w:rsidRPr="00E259B2">
        <w:rPr>
          <w:rFonts w:ascii="Garamond" w:hAnsi="Garamond" w:cs="Arial"/>
          <w:sz w:val="26"/>
          <w:szCs w:val="26"/>
          <w:lang w:val="it-IT"/>
        </w:rPr>
        <w:t xml:space="preserve"> ricomprendere manifestazioni di giudizio (valutazioni o apprezzamenti) o di volontà (intendimenti futuri) da parte della P.A. </w:t>
      </w:r>
      <w:r w:rsidRPr="00B97122">
        <w:rPr>
          <w:rStyle w:val="Rimandonotaapidipagina"/>
          <w:rFonts w:ascii="Garamond" w:hAnsi="Garamond"/>
          <w:color w:val="000000" w:themeColor="text1"/>
          <w:sz w:val="26"/>
          <w:szCs w:val="26"/>
        </w:rPr>
        <w:footnoteReference w:id="7"/>
      </w:r>
      <w:r>
        <w:rPr>
          <w:rFonts w:ascii="Garamond" w:hAnsi="Garamond" w:cs="Arial"/>
          <w:sz w:val="26"/>
          <w:szCs w:val="26"/>
          <w:lang w:val="it-IT"/>
        </w:rPr>
        <w:t>.</w:t>
      </w:r>
    </w:p>
    <w:p w14:paraId="2240E4EE" w14:textId="3BE361B8" w:rsidR="00BC6C14" w:rsidRDefault="00F00578" w:rsidP="00BC6C14">
      <w:pPr>
        <w:pStyle w:val="Standard"/>
        <w:spacing w:line="360" w:lineRule="auto"/>
        <w:ind w:left="567" w:right="567" w:firstLine="141"/>
        <w:jc w:val="both"/>
        <w:rPr>
          <w:rFonts w:ascii="Garamond" w:hAnsi="Garamond" w:cs="Arial"/>
          <w:sz w:val="26"/>
          <w:szCs w:val="26"/>
          <w:lang w:val="it-IT"/>
        </w:rPr>
      </w:pPr>
      <w:r>
        <w:rPr>
          <w:rFonts w:ascii="Garamond" w:hAnsi="Garamond" w:cs="Arial"/>
          <w:sz w:val="26"/>
          <w:szCs w:val="26"/>
          <w:lang w:val="it-IT"/>
        </w:rPr>
        <w:t xml:space="preserve">Facendo applicazione di questo principio </w:t>
      </w:r>
      <w:r w:rsidR="00DF03B1">
        <w:rPr>
          <w:rFonts w:ascii="Garamond" w:hAnsi="Garamond" w:cs="Arial"/>
          <w:sz w:val="26"/>
          <w:szCs w:val="26"/>
          <w:lang w:val="it-IT"/>
        </w:rPr>
        <w:t>si è, quindi ritenuto</w:t>
      </w:r>
      <w:r w:rsidR="00BC6C14">
        <w:rPr>
          <w:rFonts w:ascii="Garamond" w:hAnsi="Garamond" w:cs="Arial"/>
          <w:sz w:val="26"/>
          <w:szCs w:val="26"/>
          <w:lang w:val="it-IT"/>
        </w:rPr>
        <w:t xml:space="preserve"> non accoglibile </w:t>
      </w:r>
      <w:bookmarkStart w:id="2" w:name="_Hlk71008615"/>
      <w:r w:rsidR="00BC6C14" w:rsidRPr="00E259B2">
        <w:rPr>
          <w:rFonts w:ascii="Garamond" w:hAnsi="Garamond" w:cs="Arial"/>
          <w:sz w:val="26"/>
          <w:szCs w:val="26"/>
          <w:lang w:val="it-IT"/>
        </w:rPr>
        <w:t xml:space="preserve">l’istanza formulata </w:t>
      </w:r>
      <w:r w:rsidR="00BC6C14">
        <w:rPr>
          <w:rFonts w:ascii="Garamond" w:hAnsi="Garamond" w:cs="Arial"/>
          <w:sz w:val="26"/>
          <w:szCs w:val="26"/>
          <w:lang w:val="it-IT"/>
        </w:rPr>
        <w:t xml:space="preserve">ai sensi dell’art. 5, comma 2, d.lgs. n. 33 del </w:t>
      </w:r>
      <w:r w:rsidR="00BC6C14" w:rsidRPr="00E259B2">
        <w:rPr>
          <w:rFonts w:ascii="Garamond" w:hAnsi="Garamond" w:cs="Arial"/>
          <w:sz w:val="26"/>
          <w:szCs w:val="26"/>
          <w:lang w:val="it-IT"/>
        </w:rPr>
        <w:t xml:space="preserve">2013 </w:t>
      </w:r>
      <w:r w:rsidR="00E42853">
        <w:rPr>
          <w:rFonts w:ascii="Garamond" w:hAnsi="Garamond" w:cs="Arial"/>
          <w:sz w:val="26"/>
          <w:szCs w:val="26"/>
          <w:lang w:val="it-IT"/>
        </w:rPr>
        <w:t xml:space="preserve">per </w:t>
      </w:r>
      <w:r w:rsidR="00BC6C14" w:rsidRPr="00E259B2">
        <w:rPr>
          <w:rFonts w:ascii="Garamond" w:hAnsi="Garamond" w:cs="Arial"/>
          <w:sz w:val="26"/>
          <w:szCs w:val="26"/>
          <w:lang w:val="it-IT"/>
        </w:rPr>
        <w:t xml:space="preserve">conoscere le misure che la Regione </w:t>
      </w:r>
      <w:r w:rsidR="00DF03B1">
        <w:rPr>
          <w:rFonts w:ascii="Garamond" w:hAnsi="Garamond" w:cs="Arial"/>
          <w:sz w:val="26"/>
          <w:szCs w:val="26"/>
          <w:lang w:val="it-IT"/>
        </w:rPr>
        <w:t>ha inteso predisporre per fronteggiare l</w:t>
      </w:r>
      <w:r w:rsidR="00BC6C14" w:rsidRPr="00E259B2">
        <w:rPr>
          <w:rFonts w:ascii="Garamond" w:hAnsi="Garamond" w:cs="Arial"/>
          <w:sz w:val="26"/>
          <w:szCs w:val="26"/>
          <w:lang w:val="it-IT"/>
        </w:rPr>
        <w:t xml:space="preserve">’eventuale carenza di vaccini antinfluenzali per le categorie non a rischio, trattandosi di </w:t>
      </w:r>
      <w:r w:rsidR="00BC6C14" w:rsidRPr="00E259B2">
        <w:rPr>
          <w:rFonts w:ascii="Garamond" w:hAnsi="Garamond" w:cs="Arial"/>
          <w:i/>
          <w:iCs/>
          <w:sz w:val="26"/>
          <w:szCs w:val="26"/>
          <w:lang w:val="it-IT"/>
        </w:rPr>
        <w:t>&lt;&lt; un inammissibile sindacato  sollecitatorio riguardante attività amministrative de futuro &gt;&gt;</w:t>
      </w:r>
      <w:bookmarkEnd w:id="2"/>
      <w:r w:rsidR="00BC6C14" w:rsidRPr="00E259B2">
        <w:rPr>
          <w:rFonts w:ascii="Garamond" w:hAnsi="Garamond" w:cs="Arial"/>
          <w:sz w:val="26"/>
          <w:szCs w:val="26"/>
          <w:lang w:val="it-IT"/>
        </w:rPr>
        <w:t xml:space="preserve"> </w:t>
      </w:r>
      <w:r w:rsidR="00BC6C14" w:rsidRPr="00B97122">
        <w:rPr>
          <w:rStyle w:val="Rimandonotaapidipagina"/>
          <w:rFonts w:ascii="Garamond" w:hAnsi="Garamond"/>
          <w:color w:val="000000" w:themeColor="text1"/>
          <w:sz w:val="26"/>
          <w:szCs w:val="26"/>
        </w:rPr>
        <w:footnoteReference w:id="8"/>
      </w:r>
      <w:r w:rsidR="00BC6C14">
        <w:rPr>
          <w:rFonts w:ascii="Garamond" w:hAnsi="Garamond" w:cs="Arial"/>
          <w:sz w:val="26"/>
          <w:szCs w:val="26"/>
          <w:lang w:val="it-IT"/>
        </w:rPr>
        <w:t>.</w:t>
      </w:r>
    </w:p>
    <w:p w14:paraId="31C58E9C" w14:textId="195F7984" w:rsidR="00610F41" w:rsidRDefault="00F00578" w:rsidP="00BC6C14">
      <w:pPr>
        <w:pStyle w:val="Standard"/>
        <w:spacing w:line="360" w:lineRule="auto"/>
        <w:ind w:left="567" w:right="567" w:firstLine="141"/>
        <w:jc w:val="both"/>
        <w:rPr>
          <w:rFonts w:ascii="Garamond" w:hAnsi="Garamond" w:cs="Arial"/>
          <w:sz w:val="26"/>
          <w:szCs w:val="26"/>
          <w:lang w:val="it-IT"/>
        </w:rPr>
      </w:pPr>
      <w:r>
        <w:rPr>
          <w:rFonts w:ascii="Garamond" w:hAnsi="Garamond" w:cs="Arial"/>
          <w:sz w:val="26"/>
          <w:szCs w:val="26"/>
          <w:lang w:val="it-IT"/>
        </w:rPr>
        <w:t xml:space="preserve">Su questa linea </w:t>
      </w:r>
      <w:r w:rsidR="00BC6C14">
        <w:rPr>
          <w:rFonts w:ascii="Garamond" w:hAnsi="Garamond" w:cs="Arial"/>
          <w:sz w:val="26"/>
          <w:szCs w:val="26"/>
          <w:lang w:val="it-IT"/>
        </w:rPr>
        <w:t xml:space="preserve">si è </w:t>
      </w:r>
      <w:r>
        <w:rPr>
          <w:rFonts w:ascii="Garamond" w:hAnsi="Garamond" w:cs="Arial"/>
          <w:sz w:val="26"/>
          <w:szCs w:val="26"/>
          <w:lang w:val="it-IT"/>
        </w:rPr>
        <w:t xml:space="preserve">altresì </w:t>
      </w:r>
      <w:r w:rsidR="00610F41">
        <w:rPr>
          <w:rFonts w:ascii="Garamond" w:hAnsi="Garamond" w:cs="Arial"/>
          <w:sz w:val="26"/>
          <w:szCs w:val="26"/>
          <w:lang w:val="it-IT"/>
        </w:rPr>
        <w:t xml:space="preserve">ritenuto </w:t>
      </w:r>
      <w:r>
        <w:rPr>
          <w:rFonts w:ascii="Garamond" w:hAnsi="Garamond" w:cs="Arial"/>
          <w:sz w:val="26"/>
          <w:szCs w:val="26"/>
          <w:lang w:val="it-IT"/>
        </w:rPr>
        <w:t xml:space="preserve">che </w:t>
      </w:r>
      <w:r w:rsidR="00610F41">
        <w:rPr>
          <w:rFonts w:ascii="Garamond" w:hAnsi="Garamond" w:cs="Arial"/>
          <w:sz w:val="26"/>
          <w:szCs w:val="26"/>
          <w:lang w:val="it-IT"/>
        </w:rPr>
        <w:t>non po</w:t>
      </w:r>
      <w:r w:rsidR="00DF03B1">
        <w:rPr>
          <w:rFonts w:ascii="Garamond" w:hAnsi="Garamond" w:cs="Arial"/>
          <w:sz w:val="26"/>
          <w:szCs w:val="26"/>
          <w:lang w:val="it-IT"/>
        </w:rPr>
        <w:t xml:space="preserve">ssa </w:t>
      </w:r>
      <w:r w:rsidR="00610F41">
        <w:rPr>
          <w:rFonts w:ascii="Garamond" w:hAnsi="Garamond" w:cs="Arial"/>
          <w:sz w:val="26"/>
          <w:szCs w:val="26"/>
          <w:lang w:val="it-IT"/>
        </w:rPr>
        <w:t xml:space="preserve">essere accolta </w:t>
      </w:r>
      <w:bookmarkStart w:id="3" w:name="_Hlk77605631"/>
      <w:r w:rsidR="00BC6C14" w:rsidRPr="00E259B2">
        <w:rPr>
          <w:rFonts w:ascii="Garamond" w:hAnsi="Garamond" w:cs="Arial"/>
          <w:sz w:val="26"/>
          <w:szCs w:val="26"/>
          <w:lang w:val="it-IT"/>
        </w:rPr>
        <w:t>l’istanza di accesso civico generalizzato volt</w:t>
      </w:r>
      <w:r w:rsidR="00610F41">
        <w:rPr>
          <w:rFonts w:ascii="Garamond" w:hAnsi="Garamond" w:cs="Arial"/>
          <w:sz w:val="26"/>
          <w:szCs w:val="26"/>
          <w:lang w:val="it-IT"/>
        </w:rPr>
        <w:t>a a conoscere le azioni che l’Agenzia Italiana del Farmaco (AIFA)</w:t>
      </w:r>
      <w:r w:rsidR="00BC6C14" w:rsidRPr="00E259B2">
        <w:rPr>
          <w:rFonts w:ascii="Garamond" w:hAnsi="Garamond" w:cs="Arial"/>
          <w:sz w:val="26"/>
          <w:szCs w:val="26"/>
          <w:lang w:val="it-IT"/>
        </w:rPr>
        <w:t xml:space="preserve"> </w:t>
      </w:r>
      <w:r w:rsidR="00DF03B1">
        <w:rPr>
          <w:rFonts w:ascii="Garamond" w:hAnsi="Garamond" w:cs="Arial"/>
          <w:sz w:val="26"/>
          <w:szCs w:val="26"/>
          <w:lang w:val="it-IT"/>
        </w:rPr>
        <w:t xml:space="preserve">ha inteso </w:t>
      </w:r>
      <w:r w:rsidR="00BC6C14" w:rsidRPr="00E259B2">
        <w:rPr>
          <w:rFonts w:ascii="Garamond" w:hAnsi="Garamond" w:cs="Arial"/>
          <w:sz w:val="26"/>
          <w:szCs w:val="26"/>
          <w:lang w:val="it-IT"/>
        </w:rPr>
        <w:t xml:space="preserve">mettere in atto per rendere fruibile alla cittadinanza la terapia a base di anticorpi monoclonali per la cura del Covid-19 </w:t>
      </w:r>
      <w:r w:rsidR="00610F41" w:rsidRPr="00B97122">
        <w:rPr>
          <w:rStyle w:val="Rimandonotaapidipagina"/>
          <w:rFonts w:ascii="Garamond" w:hAnsi="Garamond"/>
          <w:color w:val="000000" w:themeColor="text1"/>
          <w:sz w:val="26"/>
          <w:szCs w:val="26"/>
        </w:rPr>
        <w:footnoteReference w:id="9"/>
      </w:r>
      <w:r w:rsidR="00610F41">
        <w:rPr>
          <w:rFonts w:ascii="Garamond" w:hAnsi="Garamond" w:cs="Arial"/>
          <w:sz w:val="26"/>
          <w:szCs w:val="26"/>
          <w:lang w:val="it-IT"/>
        </w:rPr>
        <w:t>.</w:t>
      </w:r>
    </w:p>
    <w:p w14:paraId="52614643" w14:textId="1AA0C5FC" w:rsidR="000A2533" w:rsidRDefault="00F00578" w:rsidP="00F00578">
      <w:pPr>
        <w:pStyle w:val="Standard"/>
        <w:spacing w:line="360" w:lineRule="auto"/>
        <w:ind w:left="567" w:right="567" w:firstLine="141"/>
        <w:jc w:val="both"/>
        <w:rPr>
          <w:rFonts w:ascii="Garamond" w:hAnsi="Garamond" w:cs="Arial"/>
          <w:sz w:val="26"/>
          <w:szCs w:val="26"/>
          <w:lang w:val="it-IT"/>
        </w:rPr>
      </w:pPr>
      <w:r>
        <w:rPr>
          <w:rFonts w:ascii="Garamond" w:hAnsi="Garamond" w:cs="Arial"/>
          <w:sz w:val="26"/>
          <w:szCs w:val="26"/>
          <w:lang w:val="it-IT"/>
        </w:rPr>
        <w:t>Sempre con riguardo a</w:t>
      </w:r>
      <w:r w:rsidR="00E42853">
        <w:rPr>
          <w:rFonts w:ascii="Garamond" w:hAnsi="Garamond" w:cs="Arial"/>
          <w:sz w:val="26"/>
          <w:szCs w:val="26"/>
          <w:lang w:val="it-IT"/>
        </w:rPr>
        <w:t xml:space="preserve">ll’oggetto </w:t>
      </w:r>
      <w:r>
        <w:rPr>
          <w:rFonts w:ascii="Garamond" w:hAnsi="Garamond" w:cs="Arial"/>
          <w:sz w:val="26"/>
          <w:szCs w:val="26"/>
          <w:lang w:val="it-IT"/>
        </w:rPr>
        <w:t>dell’accesso civico generalizzato</w:t>
      </w:r>
      <w:bookmarkEnd w:id="3"/>
      <w:r w:rsidR="00C8101C">
        <w:rPr>
          <w:rFonts w:ascii="Garamond" w:hAnsi="Garamond" w:cs="Arial"/>
          <w:sz w:val="26"/>
          <w:szCs w:val="26"/>
          <w:lang w:val="it-IT"/>
        </w:rPr>
        <w:t xml:space="preserve">, </w:t>
      </w:r>
      <w:r w:rsidR="000A2533" w:rsidRPr="000A2533">
        <w:rPr>
          <w:rFonts w:ascii="Garamond" w:hAnsi="Garamond" w:cs="Arial"/>
          <w:sz w:val="26"/>
          <w:szCs w:val="26"/>
          <w:lang w:val="it-IT"/>
        </w:rPr>
        <w:t>è</w:t>
      </w:r>
      <w:r w:rsidR="00E42853">
        <w:rPr>
          <w:rFonts w:ascii="Garamond" w:hAnsi="Garamond" w:cs="Arial"/>
          <w:sz w:val="26"/>
          <w:szCs w:val="26"/>
          <w:lang w:val="it-IT"/>
        </w:rPr>
        <w:t xml:space="preserve">, poi, </w:t>
      </w:r>
      <w:r w:rsidR="00C8101C">
        <w:rPr>
          <w:rFonts w:ascii="Garamond" w:hAnsi="Garamond" w:cs="Arial"/>
          <w:sz w:val="26"/>
          <w:szCs w:val="26"/>
          <w:lang w:val="it-IT"/>
        </w:rPr>
        <w:t xml:space="preserve">opinione condivisa </w:t>
      </w:r>
      <w:r w:rsidR="000A2533">
        <w:rPr>
          <w:rFonts w:ascii="Garamond" w:hAnsi="Garamond" w:cs="Arial"/>
          <w:sz w:val="26"/>
          <w:szCs w:val="26"/>
          <w:lang w:val="it-IT"/>
        </w:rPr>
        <w:t>che il diritto non possa estendersi sino al punto di imporre alla P.A</w:t>
      </w:r>
      <w:r w:rsidR="00C8101C">
        <w:rPr>
          <w:rFonts w:ascii="Garamond" w:hAnsi="Garamond" w:cs="Arial"/>
          <w:sz w:val="26"/>
          <w:szCs w:val="26"/>
          <w:lang w:val="it-IT"/>
        </w:rPr>
        <w:t xml:space="preserve">. un’attività di elaborazione </w:t>
      </w:r>
      <w:r w:rsidR="00E259B2" w:rsidRPr="00E259B2">
        <w:rPr>
          <w:rFonts w:ascii="Garamond" w:hAnsi="Garamond" w:cs="Arial"/>
          <w:sz w:val="26"/>
          <w:szCs w:val="26"/>
          <w:lang w:val="it-IT"/>
        </w:rPr>
        <w:t xml:space="preserve">dati </w:t>
      </w:r>
      <w:r w:rsidR="00C8101C">
        <w:rPr>
          <w:rFonts w:ascii="Garamond" w:hAnsi="Garamond" w:cs="Arial"/>
          <w:sz w:val="26"/>
          <w:szCs w:val="26"/>
          <w:lang w:val="it-IT"/>
        </w:rPr>
        <w:t>(ad esempio, redigendo relazioni</w:t>
      </w:r>
      <w:r w:rsidR="00E42853">
        <w:rPr>
          <w:rFonts w:ascii="Garamond" w:hAnsi="Garamond" w:cs="Arial"/>
          <w:sz w:val="26"/>
          <w:szCs w:val="26"/>
          <w:lang w:val="it-IT"/>
        </w:rPr>
        <w:t xml:space="preserve">, </w:t>
      </w:r>
      <w:r w:rsidR="00C8101C">
        <w:rPr>
          <w:rFonts w:ascii="Garamond" w:hAnsi="Garamond" w:cs="Arial"/>
          <w:sz w:val="26"/>
          <w:szCs w:val="26"/>
          <w:lang w:val="it-IT"/>
        </w:rPr>
        <w:t>elenchi o fornendo</w:t>
      </w:r>
      <w:r w:rsidR="00C8101C" w:rsidRPr="00E259B2">
        <w:rPr>
          <w:rFonts w:ascii="Garamond" w:hAnsi="Garamond" w:cs="Arial"/>
          <w:sz w:val="26"/>
          <w:szCs w:val="26"/>
          <w:lang w:val="it-IT"/>
        </w:rPr>
        <w:t xml:space="preserve"> chiarimenti sul suo operato</w:t>
      </w:r>
      <w:r w:rsidR="00C8101C">
        <w:rPr>
          <w:rFonts w:ascii="Garamond" w:hAnsi="Garamond" w:cs="Arial"/>
          <w:sz w:val="26"/>
          <w:szCs w:val="26"/>
          <w:lang w:val="it-IT"/>
        </w:rPr>
        <w:t xml:space="preserve">) </w:t>
      </w:r>
      <w:r w:rsidR="00E259B2" w:rsidRPr="00E259B2">
        <w:rPr>
          <w:rFonts w:ascii="Garamond" w:hAnsi="Garamond" w:cs="Arial"/>
          <w:sz w:val="26"/>
          <w:szCs w:val="26"/>
          <w:lang w:val="it-IT"/>
        </w:rPr>
        <w:t>che</w:t>
      </w:r>
      <w:r w:rsidR="00C8101C">
        <w:rPr>
          <w:rFonts w:ascii="Garamond" w:hAnsi="Garamond" w:cs="Arial"/>
          <w:sz w:val="26"/>
          <w:szCs w:val="26"/>
          <w:lang w:val="it-IT"/>
        </w:rPr>
        <w:t xml:space="preserve"> </w:t>
      </w:r>
      <w:r w:rsidR="00E259B2" w:rsidRPr="00E259B2">
        <w:rPr>
          <w:rFonts w:ascii="Garamond" w:hAnsi="Garamond" w:cs="Arial"/>
          <w:sz w:val="26"/>
          <w:szCs w:val="26"/>
          <w:lang w:val="it-IT"/>
        </w:rPr>
        <w:t>non siano ricava</w:t>
      </w:r>
      <w:r w:rsidR="00C8101C">
        <w:rPr>
          <w:rFonts w:ascii="Garamond" w:hAnsi="Garamond" w:cs="Arial"/>
          <w:sz w:val="26"/>
          <w:szCs w:val="26"/>
          <w:lang w:val="it-IT"/>
        </w:rPr>
        <w:t xml:space="preserve">bili da documenti </w:t>
      </w:r>
      <w:r w:rsidR="00766284">
        <w:rPr>
          <w:rFonts w:ascii="Garamond" w:hAnsi="Garamond" w:cs="Arial"/>
          <w:sz w:val="26"/>
          <w:szCs w:val="26"/>
          <w:lang w:val="it-IT"/>
        </w:rPr>
        <w:t xml:space="preserve">già </w:t>
      </w:r>
      <w:r w:rsidR="000A2533">
        <w:rPr>
          <w:rFonts w:ascii="Garamond" w:hAnsi="Garamond" w:cs="Arial"/>
          <w:sz w:val="26"/>
          <w:szCs w:val="26"/>
          <w:lang w:val="it-IT"/>
        </w:rPr>
        <w:t>esistenti</w:t>
      </w:r>
      <w:r w:rsidR="00C8101C">
        <w:rPr>
          <w:rFonts w:ascii="Garamond" w:hAnsi="Garamond" w:cs="Arial"/>
          <w:sz w:val="26"/>
          <w:szCs w:val="26"/>
          <w:lang w:val="it-IT"/>
        </w:rPr>
        <w:t xml:space="preserve"> ed in suo possesso </w:t>
      </w:r>
      <w:r w:rsidR="000A2533" w:rsidRPr="00B97122">
        <w:rPr>
          <w:rStyle w:val="Rimandonotaapidipagina"/>
          <w:rFonts w:ascii="Garamond" w:hAnsi="Garamond"/>
          <w:color w:val="000000" w:themeColor="text1"/>
          <w:sz w:val="26"/>
          <w:szCs w:val="26"/>
        </w:rPr>
        <w:footnoteReference w:id="10"/>
      </w:r>
      <w:r w:rsidR="000A2533">
        <w:rPr>
          <w:rFonts w:ascii="Garamond" w:hAnsi="Garamond" w:cs="Arial"/>
          <w:sz w:val="26"/>
          <w:szCs w:val="26"/>
          <w:lang w:val="it-IT"/>
        </w:rPr>
        <w:t>.</w:t>
      </w:r>
    </w:p>
    <w:p w14:paraId="743FF1CF" w14:textId="0FA7351F" w:rsidR="00E259B2" w:rsidRPr="00E259B2" w:rsidRDefault="00E42853" w:rsidP="000A2533">
      <w:pPr>
        <w:pStyle w:val="Standard"/>
        <w:spacing w:line="360" w:lineRule="auto"/>
        <w:ind w:left="567" w:right="567" w:firstLine="141"/>
        <w:jc w:val="both"/>
        <w:rPr>
          <w:rFonts w:ascii="Garamond" w:hAnsi="Garamond" w:cs="Arial"/>
          <w:bCs/>
          <w:color w:val="000000" w:themeColor="text1"/>
          <w:sz w:val="26"/>
          <w:szCs w:val="26"/>
          <w:lang w:val="it-IT"/>
        </w:rPr>
      </w:pPr>
      <w:r>
        <w:rPr>
          <w:rFonts w:ascii="Garamond" w:hAnsi="Garamond" w:cs="Arial"/>
          <w:bCs/>
          <w:sz w:val="26"/>
          <w:szCs w:val="26"/>
          <w:lang w:val="it-IT"/>
        </w:rPr>
        <w:t>E’</w:t>
      </w:r>
      <w:r w:rsidR="004C01F3">
        <w:rPr>
          <w:rFonts w:ascii="Garamond" w:hAnsi="Garamond" w:cs="Arial"/>
          <w:bCs/>
          <w:sz w:val="26"/>
          <w:szCs w:val="26"/>
          <w:lang w:val="it-IT"/>
        </w:rPr>
        <w:t xml:space="preserve">, invece, </w:t>
      </w:r>
      <w:r>
        <w:rPr>
          <w:rFonts w:ascii="Garamond" w:hAnsi="Garamond" w:cs="Arial"/>
          <w:bCs/>
          <w:sz w:val="26"/>
          <w:szCs w:val="26"/>
          <w:lang w:val="it-IT"/>
        </w:rPr>
        <w:t xml:space="preserve">controverso </w:t>
      </w:r>
      <w:r w:rsidR="004C01F3">
        <w:rPr>
          <w:rFonts w:ascii="Garamond" w:hAnsi="Garamond" w:cs="Arial"/>
          <w:bCs/>
          <w:sz w:val="26"/>
          <w:szCs w:val="26"/>
          <w:lang w:val="it-IT"/>
        </w:rPr>
        <w:t>se mediante l’</w:t>
      </w:r>
      <w:r w:rsidR="00E259B2" w:rsidRPr="00E259B2">
        <w:rPr>
          <w:rFonts w:ascii="Garamond" w:hAnsi="Garamond" w:cs="Arial"/>
          <w:bCs/>
          <w:sz w:val="26"/>
          <w:szCs w:val="26"/>
          <w:lang w:val="it-IT"/>
        </w:rPr>
        <w:t xml:space="preserve">accesso civico generalizzato </w:t>
      </w:r>
      <w:r w:rsidR="004C01F3">
        <w:rPr>
          <w:rFonts w:ascii="Garamond" w:hAnsi="Garamond" w:cs="Arial"/>
          <w:bCs/>
          <w:sz w:val="26"/>
          <w:szCs w:val="26"/>
          <w:lang w:val="it-IT"/>
        </w:rPr>
        <w:t>si possano ottenere</w:t>
      </w:r>
      <w:r w:rsidR="00E259B2" w:rsidRPr="00E259B2">
        <w:rPr>
          <w:rFonts w:ascii="Garamond" w:hAnsi="Garamond" w:cs="Arial"/>
          <w:bCs/>
          <w:sz w:val="26"/>
          <w:szCs w:val="26"/>
          <w:lang w:val="it-IT"/>
        </w:rPr>
        <w:t xml:space="preserve"> </w:t>
      </w:r>
      <w:r w:rsidR="004C01F3">
        <w:rPr>
          <w:rFonts w:ascii="Garamond" w:hAnsi="Garamond" w:cs="Arial"/>
          <w:bCs/>
          <w:sz w:val="26"/>
          <w:szCs w:val="26"/>
          <w:lang w:val="it-IT"/>
        </w:rPr>
        <w:t xml:space="preserve">dalla P.A. </w:t>
      </w:r>
      <w:r w:rsidR="00E259B2" w:rsidRPr="00E259B2">
        <w:rPr>
          <w:rFonts w:ascii="Garamond" w:hAnsi="Garamond" w:cs="Arial"/>
          <w:bCs/>
          <w:sz w:val="26"/>
          <w:szCs w:val="26"/>
          <w:lang w:val="it-IT"/>
        </w:rPr>
        <w:t>“informazioni”</w:t>
      </w:r>
      <w:r w:rsidR="004C01F3">
        <w:rPr>
          <w:rFonts w:ascii="Garamond" w:hAnsi="Garamond" w:cs="Arial"/>
          <w:bCs/>
          <w:sz w:val="26"/>
          <w:szCs w:val="26"/>
          <w:lang w:val="it-IT"/>
        </w:rPr>
        <w:t xml:space="preserve"> </w:t>
      </w:r>
      <w:r w:rsidR="00E259B2" w:rsidRPr="00E259B2">
        <w:rPr>
          <w:rFonts w:ascii="Garamond" w:hAnsi="Garamond" w:cs="Arial"/>
          <w:color w:val="000000" w:themeColor="text1"/>
          <w:sz w:val="26"/>
          <w:szCs w:val="26"/>
          <w:lang w:val="it-IT"/>
        </w:rPr>
        <w:t xml:space="preserve">mediante un’attività di composizione, ordinazione e sviluppo più o meno complessa di documenti </w:t>
      </w:r>
      <w:r>
        <w:rPr>
          <w:rFonts w:ascii="Garamond" w:hAnsi="Garamond" w:cs="Arial"/>
          <w:color w:val="000000" w:themeColor="text1"/>
          <w:sz w:val="26"/>
          <w:szCs w:val="26"/>
          <w:lang w:val="it-IT"/>
        </w:rPr>
        <w:t xml:space="preserve">già </w:t>
      </w:r>
      <w:r w:rsidR="00E259B2" w:rsidRPr="00E259B2">
        <w:rPr>
          <w:rFonts w:ascii="Garamond" w:hAnsi="Garamond" w:cs="Arial"/>
          <w:color w:val="000000" w:themeColor="text1"/>
          <w:sz w:val="26"/>
          <w:szCs w:val="26"/>
          <w:lang w:val="it-IT"/>
        </w:rPr>
        <w:t>esistenti</w:t>
      </w:r>
      <w:r w:rsidR="004C01F3">
        <w:rPr>
          <w:rFonts w:ascii="Garamond" w:hAnsi="Garamond" w:cs="Arial"/>
          <w:color w:val="000000" w:themeColor="text1"/>
          <w:sz w:val="26"/>
          <w:szCs w:val="26"/>
          <w:lang w:val="it-IT"/>
        </w:rPr>
        <w:t xml:space="preserve"> ed in </w:t>
      </w:r>
      <w:r w:rsidR="00766284">
        <w:rPr>
          <w:rFonts w:ascii="Garamond" w:hAnsi="Garamond" w:cs="Arial"/>
          <w:color w:val="000000" w:themeColor="text1"/>
          <w:sz w:val="26"/>
          <w:szCs w:val="26"/>
          <w:lang w:val="it-IT"/>
        </w:rPr>
        <w:t xml:space="preserve">suo </w:t>
      </w:r>
      <w:r w:rsidR="004C01F3">
        <w:rPr>
          <w:rFonts w:ascii="Garamond" w:hAnsi="Garamond" w:cs="Arial"/>
          <w:color w:val="000000" w:themeColor="text1"/>
          <w:sz w:val="26"/>
          <w:szCs w:val="26"/>
          <w:lang w:val="it-IT"/>
        </w:rPr>
        <w:t>possesso</w:t>
      </w:r>
      <w:r w:rsidR="00E259B2" w:rsidRPr="00E259B2">
        <w:rPr>
          <w:rFonts w:ascii="Garamond" w:hAnsi="Garamond" w:cs="Arial"/>
          <w:color w:val="000000" w:themeColor="text1"/>
          <w:sz w:val="26"/>
          <w:szCs w:val="26"/>
          <w:lang w:val="it-IT"/>
        </w:rPr>
        <w:t>.</w:t>
      </w:r>
    </w:p>
    <w:p w14:paraId="3AAC5E63" w14:textId="1CAD9C83" w:rsidR="004C01F3" w:rsidRPr="00E259B2" w:rsidRDefault="004C01F3" w:rsidP="004C01F3">
      <w:pPr>
        <w:pStyle w:val="Standard"/>
        <w:spacing w:line="360" w:lineRule="auto"/>
        <w:ind w:left="567" w:right="567"/>
        <w:jc w:val="both"/>
        <w:rPr>
          <w:rFonts w:ascii="Garamond" w:hAnsi="Garamond" w:cs="Arial"/>
          <w:sz w:val="26"/>
          <w:szCs w:val="26"/>
          <w:lang w:val="it-IT"/>
        </w:rPr>
      </w:pPr>
      <w:r>
        <w:rPr>
          <w:rFonts w:ascii="Garamond" w:hAnsi="Garamond" w:cs="Arial"/>
          <w:sz w:val="26"/>
          <w:szCs w:val="26"/>
          <w:lang w:val="it-IT"/>
        </w:rPr>
        <w:tab/>
        <w:t xml:space="preserve">Sul punto non sono mancate in passato decisioni di segno negativo, che hanno fatto leva sulla </w:t>
      </w:r>
      <w:r w:rsidRPr="00E259B2">
        <w:rPr>
          <w:rFonts w:ascii="Garamond" w:hAnsi="Garamond" w:cs="Arial"/>
          <w:sz w:val="26"/>
          <w:szCs w:val="26"/>
          <w:lang w:val="it-IT"/>
        </w:rPr>
        <w:t xml:space="preserve">mancanza </w:t>
      </w:r>
      <w:r>
        <w:rPr>
          <w:rFonts w:ascii="Garamond" w:hAnsi="Garamond" w:cs="Arial"/>
          <w:sz w:val="26"/>
          <w:szCs w:val="26"/>
          <w:lang w:val="it-IT"/>
        </w:rPr>
        <w:t xml:space="preserve">nella norma </w:t>
      </w:r>
      <w:r w:rsidRPr="00E259B2">
        <w:rPr>
          <w:rFonts w:ascii="Garamond" w:hAnsi="Garamond" w:cs="Arial"/>
          <w:sz w:val="26"/>
          <w:szCs w:val="26"/>
          <w:lang w:val="it-IT"/>
        </w:rPr>
        <w:t>di un espresso riferimento letterale alle “informazioni”</w:t>
      </w:r>
      <w:r>
        <w:rPr>
          <w:rFonts w:ascii="Garamond" w:hAnsi="Garamond" w:cs="Arial"/>
          <w:sz w:val="26"/>
          <w:szCs w:val="26"/>
          <w:lang w:val="it-IT"/>
        </w:rPr>
        <w:t xml:space="preserve"> e sul carattere “gratuito” del</w:t>
      </w:r>
      <w:r w:rsidRPr="00E259B2">
        <w:rPr>
          <w:rFonts w:ascii="Garamond" w:hAnsi="Garamond" w:cs="Arial"/>
          <w:sz w:val="26"/>
          <w:szCs w:val="26"/>
          <w:lang w:val="it-IT"/>
        </w:rPr>
        <w:t>l’accesso c</w:t>
      </w:r>
      <w:r>
        <w:rPr>
          <w:rFonts w:ascii="Garamond" w:hAnsi="Garamond" w:cs="Arial"/>
          <w:sz w:val="26"/>
          <w:szCs w:val="26"/>
          <w:lang w:val="it-IT"/>
        </w:rPr>
        <w:t xml:space="preserve">ivico generalizzato, </w:t>
      </w:r>
      <w:r w:rsidR="00766284">
        <w:rPr>
          <w:rFonts w:ascii="Garamond" w:hAnsi="Garamond" w:cs="Arial"/>
          <w:sz w:val="26"/>
          <w:szCs w:val="26"/>
          <w:lang w:val="it-IT"/>
        </w:rPr>
        <w:t xml:space="preserve">che sarebbe </w:t>
      </w:r>
      <w:r>
        <w:rPr>
          <w:rFonts w:ascii="Garamond" w:hAnsi="Garamond" w:cs="Arial"/>
          <w:sz w:val="26"/>
          <w:szCs w:val="26"/>
          <w:lang w:val="it-IT"/>
        </w:rPr>
        <w:t xml:space="preserve">incompatibile con lo svolgimento di un’attività comportante rilevanti oneri </w:t>
      </w:r>
      <w:r w:rsidR="00E42853">
        <w:rPr>
          <w:rFonts w:ascii="Garamond" w:hAnsi="Garamond" w:cs="Arial"/>
          <w:sz w:val="26"/>
          <w:szCs w:val="26"/>
          <w:lang w:val="it-IT"/>
        </w:rPr>
        <w:t xml:space="preserve">organizzativi e materiali </w:t>
      </w:r>
      <w:r>
        <w:rPr>
          <w:rFonts w:ascii="Garamond" w:hAnsi="Garamond" w:cs="Arial"/>
          <w:sz w:val="26"/>
          <w:szCs w:val="26"/>
          <w:lang w:val="it-IT"/>
        </w:rPr>
        <w:t xml:space="preserve">per gli uffici </w:t>
      </w:r>
      <w:r w:rsidRPr="00B97122">
        <w:rPr>
          <w:rStyle w:val="Rimandonotaapidipagina"/>
          <w:rFonts w:ascii="Garamond" w:hAnsi="Garamond"/>
          <w:color w:val="000000" w:themeColor="text1"/>
          <w:sz w:val="26"/>
          <w:szCs w:val="26"/>
        </w:rPr>
        <w:footnoteReference w:id="11"/>
      </w:r>
      <w:r w:rsidRPr="00E259B2">
        <w:rPr>
          <w:rFonts w:ascii="Garamond" w:hAnsi="Garamond" w:cs="Arial"/>
          <w:sz w:val="26"/>
          <w:szCs w:val="26"/>
          <w:lang w:val="it-IT"/>
        </w:rPr>
        <w:t>.</w:t>
      </w:r>
    </w:p>
    <w:p w14:paraId="2F338D34" w14:textId="322DE9E3" w:rsidR="00B21CEA" w:rsidRDefault="00B21CEA" w:rsidP="00B21CEA">
      <w:pPr>
        <w:pStyle w:val="Standard"/>
        <w:spacing w:line="360" w:lineRule="auto"/>
        <w:ind w:left="567" w:right="567" w:firstLine="141"/>
        <w:jc w:val="both"/>
        <w:rPr>
          <w:rFonts w:ascii="Garamond" w:hAnsi="Garamond" w:cs="Arial"/>
          <w:sz w:val="26"/>
          <w:szCs w:val="26"/>
          <w:lang w:val="it-IT"/>
        </w:rPr>
      </w:pPr>
      <w:r>
        <w:rPr>
          <w:rFonts w:ascii="Garamond" w:hAnsi="Garamond" w:cs="Arial"/>
          <w:sz w:val="26"/>
          <w:szCs w:val="26"/>
          <w:lang w:val="it-IT"/>
        </w:rPr>
        <w:t>Su questa linea di pensiero, si è, quindi, ritenut</w:t>
      </w:r>
      <w:r w:rsidR="00E42853">
        <w:rPr>
          <w:rFonts w:ascii="Garamond" w:hAnsi="Garamond" w:cs="Arial"/>
          <w:sz w:val="26"/>
          <w:szCs w:val="26"/>
          <w:lang w:val="it-IT"/>
        </w:rPr>
        <w:t>o</w:t>
      </w:r>
      <w:r>
        <w:rPr>
          <w:rFonts w:ascii="Garamond" w:hAnsi="Garamond" w:cs="Arial"/>
          <w:sz w:val="26"/>
          <w:szCs w:val="26"/>
          <w:lang w:val="it-IT"/>
        </w:rPr>
        <w:t xml:space="preserve"> non accoglibile </w:t>
      </w:r>
      <w:r w:rsidR="004C01F3" w:rsidRPr="004C01F3">
        <w:rPr>
          <w:rFonts w:ascii="Garamond" w:hAnsi="Garamond" w:cs="Arial"/>
          <w:sz w:val="26"/>
          <w:szCs w:val="26"/>
          <w:lang w:val="it-IT"/>
        </w:rPr>
        <w:t xml:space="preserve">l’istanza di accesso civico generalizzato volta ad ottenere </w:t>
      </w:r>
      <w:r>
        <w:rPr>
          <w:rFonts w:ascii="Garamond" w:hAnsi="Garamond" w:cs="Arial"/>
          <w:sz w:val="26"/>
          <w:szCs w:val="26"/>
          <w:lang w:val="it-IT"/>
        </w:rPr>
        <w:t xml:space="preserve">da AIFA </w:t>
      </w:r>
      <w:r w:rsidR="004C01F3" w:rsidRPr="004C01F3">
        <w:rPr>
          <w:rFonts w:ascii="Garamond" w:hAnsi="Garamond" w:cs="Arial"/>
          <w:sz w:val="26"/>
          <w:szCs w:val="26"/>
          <w:lang w:val="it-IT"/>
        </w:rPr>
        <w:t>la rendicontazione d</w:t>
      </w:r>
      <w:r w:rsidR="00E42853">
        <w:rPr>
          <w:rFonts w:ascii="Garamond" w:hAnsi="Garamond" w:cs="Arial"/>
          <w:sz w:val="26"/>
          <w:szCs w:val="26"/>
          <w:lang w:val="it-IT"/>
        </w:rPr>
        <w:t>elle</w:t>
      </w:r>
      <w:r w:rsidR="004C01F3" w:rsidRPr="004C01F3">
        <w:rPr>
          <w:rFonts w:ascii="Garamond" w:hAnsi="Garamond" w:cs="Arial"/>
          <w:sz w:val="26"/>
          <w:szCs w:val="26"/>
          <w:lang w:val="it-IT"/>
        </w:rPr>
        <w:t xml:space="preserve"> attività poste in essere </w:t>
      </w:r>
      <w:r>
        <w:rPr>
          <w:rFonts w:ascii="Garamond" w:hAnsi="Garamond" w:cs="Arial"/>
          <w:sz w:val="26"/>
          <w:szCs w:val="26"/>
          <w:lang w:val="it-IT"/>
        </w:rPr>
        <w:t xml:space="preserve">al fine </w:t>
      </w:r>
      <w:r w:rsidR="004C01F3" w:rsidRPr="004C01F3">
        <w:rPr>
          <w:rFonts w:ascii="Garamond" w:hAnsi="Garamond" w:cs="Arial"/>
          <w:sz w:val="26"/>
          <w:szCs w:val="26"/>
          <w:lang w:val="it-IT"/>
        </w:rPr>
        <w:t xml:space="preserve">rendere fruibile alla cittadinanza la terapia a base di anticorpi monoclonali per la cura del Covid-19 </w:t>
      </w:r>
      <w:r w:rsidRPr="00B97122">
        <w:rPr>
          <w:rStyle w:val="Rimandonotaapidipagina"/>
          <w:rFonts w:ascii="Garamond" w:hAnsi="Garamond"/>
          <w:color w:val="000000" w:themeColor="text1"/>
          <w:sz w:val="26"/>
          <w:szCs w:val="26"/>
        </w:rPr>
        <w:footnoteReference w:id="12"/>
      </w:r>
      <w:r>
        <w:rPr>
          <w:rFonts w:ascii="Garamond" w:hAnsi="Garamond" w:cs="Arial"/>
          <w:sz w:val="26"/>
          <w:szCs w:val="26"/>
          <w:lang w:val="it-IT"/>
        </w:rPr>
        <w:t>.</w:t>
      </w:r>
    </w:p>
    <w:p w14:paraId="167520BA" w14:textId="47A12456" w:rsidR="00CB0AAA" w:rsidRPr="00CB0AAA" w:rsidRDefault="00B21CEA" w:rsidP="00CB0AAA">
      <w:pPr>
        <w:pStyle w:val="Standard"/>
        <w:spacing w:line="360" w:lineRule="auto"/>
        <w:ind w:left="567" w:right="567"/>
        <w:jc w:val="both"/>
        <w:rPr>
          <w:rFonts w:ascii="Garamond" w:hAnsi="Garamond" w:cs="Calibri"/>
          <w:sz w:val="26"/>
          <w:szCs w:val="26"/>
          <w:lang w:val="it-IT"/>
        </w:rPr>
      </w:pPr>
      <w:r>
        <w:rPr>
          <w:rFonts w:ascii="Garamond" w:hAnsi="Garamond" w:cs="Arial"/>
          <w:bCs/>
          <w:sz w:val="26"/>
          <w:szCs w:val="26"/>
          <w:lang w:val="it-IT"/>
        </w:rPr>
        <w:tab/>
        <w:t xml:space="preserve">Trattasi di un indirizzo restrittivo </w:t>
      </w:r>
      <w:r w:rsidR="003E53BF">
        <w:rPr>
          <w:rFonts w:ascii="Garamond" w:hAnsi="Garamond" w:cs="Arial"/>
          <w:bCs/>
          <w:sz w:val="26"/>
          <w:szCs w:val="26"/>
          <w:lang w:val="it-IT"/>
        </w:rPr>
        <w:t>che, se non condivisibile sul piano generale</w:t>
      </w:r>
      <w:r w:rsidR="002057A6">
        <w:rPr>
          <w:rFonts w:ascii="Garamond" w:hAnsi="Garamond" w:cs="Arial"/>
          <w:bCs/>
          <w:sz w:val="26"/>
          <w:szCs w:val="26"/>
          <w:lang w:val="it-IT"/>
        </w:rPr>
        <w:t xml:space="preserve"> </w:t>
      </w:r>
      <w:r w:rsidR="00B81EBA">
        <w:rPr>
          <w:rFonts w:ascii="Garamond" w:hAnsi="Garamond" w:cs="Arial"/>
          <w:bCs/>
          <w:sz w:val="26"/>
          <w:szCs w:val="26"/>
          <w:lang w:val="it-IT"/>
        </w:rPr>
        <w:t xml:space="preserve">in considerazione </w:t>
      </w:r>
      <w:r w:rsidR="002057A6">
        <w:rPr>
          <w:rFonts w:ascii="Garamond" w:hAnsi="Garamond" w:cs="Arial"/>
          <w:bCs/>
          <w:sz w:val="26"/>
          <w:szCs w:val="26"/>
          <w:lang w:val="it-IT"/>
        </w:rPr>
        <w:t xml:space="preserve">dell’ampia </w:t>
      </w:r>
      <w:r w:rsidR="00766284">
        <w:rPr>
          <w:rFonts w:ascii="Garamond" w:hAnsi="Garamond" w:cs="Arial"/>
          <w:bCs/>
          <w:sz w:val="26"/>
          <w:szCs w:val="26"/>
          <w:lang w:val="it-IT"/>
        </w:rPr>
        <w:t xml:space="preserve">accezione secondo la quale deve intendersi l’oggetto </w:t>
      </w:r>
      <w:r w:rsidR="002057A6">
        <w:rPr>
          <w:rFonts w:ascii="Garamond" w:hAnsi="Garamond" w:cs="Arial"/>
          <w:bCs/>
          <w:sz w:val="26"/>
          <w:szCs w:val="26"/>
          <w:lang w:val="it-IT"/>
        </w:rPr>
        <w:t>dell’accesso</w:t>
      </w:r>
      <w:r w:rsidR="00766284">
        <w:rPr>
          <w:rFonts w:ascii="Garamond" w:hAnsi="Garamond" w:cs="Arial"/>
          <w:bCs/>
          <w:sz w:val="26"/>
          <w:szCs w:val="26"/>
          <w:lang w:val="it-IT"/>
        </w:rPr>
        <w:t xml:space="preserve"> civico generalizzato</w:t>
      </w:r>
      <w:r w:rsidR="002057A6">
        <w:rPr>
          <w:rFonts w:ascii="Garamond" w:hAnsi="Garamond" w:cs="Arial"/>
          <w:bCs/>
          <w:sz w:val="26"/>
          <w:szCs w:val="26"/>
          <w:lang w:val="it-IT"/>
        </w:rPr>
        <w:t xml:space="preserve"> </w:t>
      </w:r>
      <w:r w:rsidR="002057A6" w:rsidRPr="00B97122">
        <w:rPr>
          <w:rStyle w:val="Rimandonotaapidipagina"/>
          <w:rFonts w:ascii="Garamond" w:hAnsi="Garamond"/>
          <w:color w:val="000000" w:themeColor="text1"/>
          <w:sz w:val="26"/>
          <w:szCs w:val="26"/>
        </w:rPr>
        <w:footnoteReference w:id="13"/>
      </w:r>
      <w:r w:rsidR="00766284">
        <w:rPr>
          <w:rFonts w:ascii="Garamond" w:hAnsi="Garamond" w:cs="Arial"/>
          <w:bCs/>
          <w:sz w:val="26"/>
          <w:szCs w:val="26"/>
          <w:lang w:val="it-IT"/>
        </w:rPr>
        <w:t>, lo è ancor</w:t>
      </w:r>
      <w:r w:rsidR="00C75169">
        <w:rPr>
          <w:rFonts w:ascii="Garamond" w:hAnsi="Garamond" w:cs="Arial"/>
          <w:bCs/>
          <w:sz w:val="26"/>
          <w:szCs w:val="26"/>
          <w:lang w:val="it-IT"/>
        </w:rPr>
        <w:t xml:space="preserve"> meno se riferit</w:t>
      </w:r>
      <w:r w:rsidR="00BA2929">
        <w:rPr>
          <w:rFonts w:ascii="Garamond" w:hAnsi="Garamond" w:cs="Arial"/>
          <w:bCs/>
          <w:sz w:val="26"/>
          <w:szCs w:val="26"/>
          <w:lang w:val="it-IT"/>
        </w:rPr>
        <w:t>o</w:t>
      </w:r>
      <w:r w:rsidR="00C75169">
        <w:rPr>
          <w:rFonts w:ascii="Garamond" w:hAnsi="Garamond" w:cs="Arial"/>
          <w:bCs/>
          <w:sz w:val="26"/>
          <w:szCs w:val="26"/>
          <w:lang w:val="it-IT"/>
        </w:rPr>
        <w:t xml:space="preserve"> all’attività di gestione dell’emergenza sanitaria, rispetto alla quale le esigenze di “trasparenza” assumono particolare rilievo</w:t>
      </w:r>
      <w:r w:rsidR="00766284">
        <w:rPr>
          <w:rFonts w:ascii="Garamond" w:hAnsi="Garamond" w:cs="Arial"/>
          <w:bCs/>
          <w:sz w:val="26"/>
          <w:szCs w:val="26"/>
          <w:lang w:val="it-IT"/>
        </w:rPr>
        <w:t>,</w:t>
      </w:r>
      <w:r w:rsidR="00CB0AAA">
        <w:rPr>
          <w:rFonts w:ascii="Garamond" w:hAnsi="Garamond" w:cs="Arial"/>
          <w:bCs/>
          <w:sz w:val="26"/>
          <w:szCs w:val="26"/>
          <w:lang w:val="it-IT"/>
        </w:rPr>
        <w:t xml:space="preserve"> quantomeno in tutti i casi in cui si tratti di “trattamenti sanitari” (volontari od imposti) </w:t>
      </w:r>
      <w:r w:rsidR="00BB69FA">
        <w:rPr>
          <w:rFonts w:ascii="Garamond" w:hAnsi="Garamond" w:cs="Arial"/>
          <w:bCs/>
          <w:sz w:val="26"/>
          <w:szCs w:val="26"/>
          <w:lang w:val="it-IT"/>
        </w:rPr>
        <w:t>incidenti su</w:t>
      </w:r>
      <w:r w:rsidR="00CB0AAA" w:rsidRPr="00CB0AAA">
        <w:rPr>
          <w:rFonts w:ascii="Garamond" w:hAnsi="Garamond" w:cs="Arial"/>
          <w:bCs/>
          <w:sz w:val="26"/>
          <w:szCs w:val="26"/>
          <w:lang w:val="it-IT"/>
        </w:rPr>
        <w:t>i diritti riconosciuti da</w:t>
      </w:r>
      <w:r w:rsidR="00CB0AAA" w:rsidRPr="00CB0AAA">
        <w:rPr>
          <w:rFonts w:ascii="Garamond" w:hAnsi="Garamond" w:cs="Calibri"/>
          <w:sz w:val="26"/>
          <w:szCs w:val="26"/>
          <w:lang w:val="it-IT"/>
        </w:rPr>
        <w:t>gli artt. 2, 13 e 32 della Costituzione e dagli artt. 1, 2 e 3 della Carta dei diritti fondamentali dell’Unione europea.</w:t>
      </w:r>
    </w:p>
    <w:p w14:paraId="332D3A2B" w14:textId="7B7648C2" w:rsidR="00B81EBA" w:rsidRDefault="00C75169" w:rsidP="00B81EBA">
      <w:pPr>
        <w:pStyle w:val="Standard"/>
        <w:spacing w:line="360" w:lineRule="auto"/>
        <w:ind w:left="567" w:right="567"/>
        <w:jc w:val="both"/>
        <w:rPr>
          <w:rFonts w:ascii="Garamond" w:hAnsi="Garamond" w:cs="Arial"/>
          <w:sz w:val="26"/>
          <w:szCs w:val="26"/>
          <w:lang w:val="it-IT"/>
        </w:rPr>
      </w:pPr>
      <w:r>
        <w:rPr>
          <w:rFonts w:ascii="Garamond" w:hAnsi="Garamond" w:cs="Arial"/>
          <w:bCs/>
          <w:sz w:val="26"/>
          <w:szCs w:val="26"/>
          <w:lang w:val="it-IT"/>
        </w:rPr>
        <w:tab/>
        <w:t xml:space="preserve">Ed invero, valorizzando una linea di pensiero </w:t>
      </w:r>
      <w:r w:rsidR="00B81EBA">
        <w:rPr>
          <w:rFonts w:ascii="Garamond" w:hAnsi="Garamond" w:cs="Arial"/>
          <w:bCs/>
          <w:sz w:val="26"/>
          <w:szCs w:val="26"/>
          <w:lang w:val="it-IT"/>
        </w:rPr>
        <w:t xml:space="preserve">in realtà </w:t>
      </w:r>
      <w:r>
        <w:rPr>
          <w:rFonts w:ascii="Garamond" w:hAnsi="Garamond" w:cs="Arial"/>
          <w:bCs/>
          <w:sz w:val="26"/>
          <w:szCs w:val="26"/>
          <w:lang w:val="it-IT"/>
        </w:rPr>
        <w:t xml:space="preserve">già </w:t>
      </w:r>
      <w:r w:rsidR="00B81EBA">
        <w:rPr>
          <w:rFonts w:ascii="Garamond" w:hAnsi="Garamond" w:cs="Arial"/>
          <w:bCs/>
          <w:sz w:val="26"/>
          <w:szCs w:val="26"/>
          <w:lang w:val="it-IT"/>
        </w:rPr>
        <w:t xml:space="preserve">presente </w:t>
      </w:r>
      <w:r w:rsidR="00CB0AAA">
        <w:rPr>
          <w:rFonts w:ascii="Garamond" w:hAnsi="Garamond" w:cs="Arial"/>
          <w:bCs/>
          <w:sz w:val="26"/>
          <w:szCs w:val="26"/>
          <w:lang w:val="it-IT"/>
        </w:rPr>
        <w:t xml:space="preserve">nella </w:t>
      </w:r>
      <w:r>
        <w:rPr>
          <w:rFonts w:ascii="Garamond" w:hAnsi="Garamond" w:cs="Arial"/>
          <w:bCs/>
          <w:sz w:val="26"/>
          <w:szCs w:val="26"/>
          <w:lang w:val="it-IT"/>
        </w:rPr>
        <w:t xml:space="preserve">giurisprudenza </w:t>
      </w:r>
      <w:r w:rsidRPr="00B97122">
        <w:rPr>
          <w:rStyle w:val="Rimandonotaapidipagina"/>
          <w:rFonts w:ascii="Garamond" w:hAnsi="Garamond"/>
          <w:color w:val="000000" w:themeColor="text1"/>
          <w:sz w:val="26"/>
          <w:szCs w:val="26"/>
        </w:rPr>
        <w:footnoteReference w:id="14"/>
      </w:r>
      <w:r>
        <w:rPr>
          <w:rFonts w:ascii="Garamond" w:hAnsi="Garamond" w:cs="Arial"/>
          <w:bCs/>
          <w:sz w:val="26"/>
          <w:szCs w:val="26"/>
          <w:lang w:val="it-IT"/>
        </w:rPr>
        <w:t>,</w:t>
      </w:r>
      <w:r w:rsidR="002A7621">
        <w:rPr>
          <w:rFonts w:ascii="Garamond" w:hAnsi="Garamond" w:cs="Arial"/>
          <w:bCs/>
          <w:sz w:val="26"/>
          <w:szCs w:val="26"/>
          <w:lang w:val="it-IT"/>
        </w:rPr>
        <w:t xml:space="preserve"> le esigenze di</w:t>
      </w:r>
      <w:r w:rsidR="00B81EBA">
        <w:rPr>
          <w:rFonts w:ascii="Garamond" w:hAnsi="Garamond" w:cs="Arial"/>
          <w:bCs/>
          <w:sz w:val="26"/>
          <w:szCs w:val="26"/>
          <w:lang w:val="it-IT"/>
        </w:rPr>
        <w:t xml:space="preserve"> “trasparenza” dell’attività di ges</w:t>
      </w:r>
      <w:r w:rsidR="002A7621">
        <w:rPr>
          <w:rFonts w:ascii="Garamond" w:hAnsi="Garamond" w:cs="Arial"/>
          <w:bCs/>
          <w:sz w:val="26"/>
          <w:szCs w:val="26"/>
          <w:lang w:val="it-IT"/>
        </w:rPr>
        <w:t>tione dell’emergenza sanitaria sono state</w:t>
      </w:r>
      <w:r w:rsidR="00B81EBA">
        <w:rPr>
          <w:rFonts w:ascii="Garamond" w:hAnsi="Garamond" w:cs="Arial"/>
          <w:bCs/>
          <w:sz w:val="26"/>
          <w:szCs w:val="26"/>
          <w:lang w:val="it-IT"/>
        </w:rPr>
        <w:t xml:space="preserve"> l’occasione per affermare che l’”</w:t>
      </w:r>
      <w:r w:rsidR="00B81EBA" w:rsidRPr="00E259B2">
        <w:rPr>
          <w:rFonts w:ascii="Garamond" w:hAnsi="Garamond" w:cs="Arial"/>
          <w:bCs/>
          <w:sz w:val="26"/>
          <w:szCs w:val="26"/>
          <w:lang w:val="it-IT"/>
        </w:rPr>
        <w:t xml:space="preserve">informazione” </w:t>
      </w:r>
      <w:r w:rsidR="00B81EBA">
        <w:rPr>
          <w:rFonts w:ascii="Garamond" w:hAnsi="Garamond" w:cs="Arial"/>
          <w:bCs/>
          <w:sz w:val="26"/>
          <w:szCs w:val="26"/>
          <w:lang w:val="it-IT"/>
        </w:rPr>
        <w:t xml:space="preserve">a </w:t>
      </w:r>
      <w:r w:rsidR="00B81EBA" w:rsidRPr="00E259B2">
        <w:rPr>
          <w:rFonts w:ascii="Garamond" w:hAnsi="Garamond" w:cs="Arial"/>
          <w:bCs/>
          <w:sz w:val="26"/>
          <w:szCs w:val="26"/>
          <w:lang w:val="it-IT"/>
        </w:rPr>
        <w:t>cui l’istante ha diritto può consistere anche nell</w:t>
      </w:r>
      <w:r w:rsidR="00BB69FA">
        <w:rPr>
          <w:rFonts w:ascii="Garamond" w:hAnsi="Garamond" w:cs="Arial"/>
          <w:bCs/>
          <w:sz w:val="26"/>
          <w:szCs w:val="26"/>
          <w:lang w:val="it-IT"/>
        </w:rPr>
        <w:t xml:space="preserve">a </w:t>
      </w:r>
      <w:r w:rsidR="002A7621">
        <w:rPr>
          <w:rFonts w:ascii="Garamond" w:hAnsi="Garamond" w:cs="Arial"/>
          <w:sz w:val="26"/>
          <w:szCs w:val="26"/>
          <w:lang w:val="it-IT"/>
        </w:rPr>
        <w:t>elaborazione d</w:t>
      </w:r>
      <w:r w:rsidR="00B81EBA" w:rsidRPr="00E259B2">
        <w:rPr>
          <w:rFonts w:ascii="Garamond" w:hAnsi="Garamond" w:cs="Arial"/>
          <w:sz w:val="26"/>
          <w:szCs w:val="26"/>
          <w:lang w:val="it-IT"/>
        </w:rPr>
        <w:t>i dati ricavabili da document</w:t>
      </w:r>
      <w:r w:rsidR="00B81EBA">
        <w:rPr>
          <w:rFonts w:ascii="Garamond" w:hAnsi="Garamond" w:cs="Arial"/>
          <w:sz w:val="26"/>
          <w:szCs w:val="26"/>
          <w:lang w:val="it-IT"/>
        </w:rPr>
        <w:t xml:space="preserve">i esistenti </w:t>
      </w:r>
      <w:r w:rsidR="002A7621">
        <w:rPr>
          <w:rFonts w:ascii="Garamond" w:hAnsi="Garamond" w:cs="Arial"/>
          <w:sz w:val="26"/>
          <w:szCs w:val="26"/>
          <w:lang w:val="it-IT"/>
        </w:rPr>
        <w:t xml:space="preserve">e </w:t>
      </w:r>
      <w:r w:rsidR="00B81EBA">
        <w:rPr>
          <w:rFonts w:ascii="Garamond" w:hAnsi="Garamond" w:cs="Arial"/>
          <w:sz w:val="26"/>
          <w:szCs w:val="26"/>
          <w:lang w:val="it-IT"/>
        </w:rPr>
        <w:t>detenuti dalla P.A..</w:t>
      </w:r>
    </w:p>
    <w:p w14:paraId="68B7CFF0" w14:textId="77777777" w:rsidR="00BB69FA" w:rsidRDefault="00766284" w:rsidP="00C24C5F">
      <w:pPr>
        <w:pStyle w:val="Standard"/>
        <w:spacing w:line="360" w:lineRule="auto"/>
        <w:ind w:left="567" w:right="567" w:firstLine="141"/>
        <w:jc w:val="both"/>
        <w:rPr>
          <w:rFonts w:ascii="Garamond" w:hAnsi="Garamond" w:cs="Arial"/>
          <w:sz w:val="26"/>
          <w:szCs w:val="26"/>
          <w:lang w:val="it-IT"/>
        </w:rPr>
      </w:pPr>
      <w:r>
        <w:rPr>
          <w:rFonts w:ascii="Garamond" w:hAnsi="Garamond" w:cs="Arial"/>
          <w:sz w:val="26"/>
          <w:szCs w:val="26"/>
          <w:lang w:val="it-IT"/>
        </w:rPr>
        <w:t>In tal senso la giurisprudenza si è pronunciata</w:t>
      </w:r>
      <w:bookmarkStart w:id="4" w:name="_Hlk71009153"/>
      <w:r>
        <w:rPr>
          <w:rFonts w:ascii="Garamond" w:hAnsi="Garamond" w:cs="Arial"/>
          <w:sz w:val="26"/>
          <w:szCs w:val="26"/>
          <w:lang w:val="it-IT"/>
        </w:rPr>
        <w:t xml:space="preserve"> in relazione ad un’</w:t>
      </w:r>
      <w:r w:rsidR="00BC35C9" w:rsidRPr="00E259B2">
        <w:rPr>
          <w:rFonts w:ascii="Garamond" w:hAnsi="Garamond" w:cs="Arial"/>
          <w:sz w:val="26"/>
          <w:szCs w:val="26"/>
          <w:lang w:val="it-IT"/>
        </w:rPr>
        <w:t>istanza di accesso civico generalizzato volta a conoscere le misure approntate dalla Regione per la vaccinazione antinfluenzale</w:t>
      </w:r>
      <w:r w:rsidR="00BC35C9">
        <w:rPr>
          <w:rFonts w:ascii="Garamond" w:hAnsi="Garamond" w:cs="Arial"/>
          <w:sz w:val="26"/>
          <w:szCs w:val="26"/>
          <w:lang w:val="it-IT"/>
        </w:rPr>
        <w:t>, con particolare riferimento a</w:t>
      </w:r>
      <w:r w:rsidR="00BC35C9" w:rsidRPr="00E259B2">
        <w:rPr>
          <w:rFonts w:ascii="Garamond" w:hAnsi="Garamond" w:cs="Arial"/>
          <w:sz w:val="26"/>
          <w:szCs w:val="26"/>
          <w:lang w:val="it-IT"/>
        </w:rPr>
        <w:t>l quantitativo di dosi di vaccino ordinate e</w:t>
      </w:r>
      <w:r w:rsidR="00BC35C9">
        <w:rPr>
          <w:rFonts w:ascii="Garamond" w:hAnsi="Garamond" w:cs="Arial"/>
          <w:sz w:val="26"/>
          <w:szCs w:val="26"/>
          <w:lang w:val="it-IT"/>
        </w:rPr>
        <w:t>d</w:t>
      </w:r>
      <w:r w:rsidR="00BC35C9" w:rsidRPr="00E259B2">
        <w:rPr>
          <w:rFonts w:ascii="Garamond" w:hAnsi="Garamond" w:cs="Arial"/>
          <w:sz w:val="26"/>
          <w:szCs w:val="26"/>
          <w:lang w:val="it-IT"/>
        </w:rPr>
        <w:t xml:space="preserve"> acquistate e le differenze rispetto all’anno precedente; la data di inizio della campagna anti vaccinale; le categorie target destinate alla vaccinazione; le misure organizzative approntate per favorire la massima accessibilità ai vaccini da parte dei cittadini</w:t>
      </w:r>
      <w:bookmarkEnd w:id="4"/>
      <w:r w:rsidR="00BC35C9" w:rsidRPr="00E259B2">
        <w:rPr>
          <w:rFonts w:ascii="Garamond" w:hAnsi="Garamond" w:cs="Arial"/>
          <w:sz w:val="26"/>
          <w:szCs w:val="26"/>
          <w:lang w:val="it-IT"/>
        </w:rPr>
        <w:t xml:space="preserve"> </w:t>
      </w:r>
      <w:r w:rsidR="00BC35C9" w:rsidRPr="00B97122">
        <w:rPr>
          <w:rStyle w:val="Rimandonotaapidipagina"/>
          <w:rFonts w:ascii="Garamond" w:hAnsi="Garamond"/>
          <w:color w:val="000000" w:themeColor="text1"/>
          <w:sz w:val="26"/>
          <w:szCs w:val="26"/>
        </w:rPr>
        <w:footnoteReference w:id="15"/>
      </w:r>
      <w:r w:rsidR="00BB69FA">
        <w:rPr>
          <w:rFonts w:ascii="Garamond" w:hAnsi="Garamond" w:cs="Arial"/>
          <w:sz w:val="26"/>
          <w:szCs w:val="26"/>
          <w:lang w:val="it-IT"/>
        </w:rPr>
        <w:t>.</w:t>
      </w:r>
    </w:p>
    <w:p w14:paraId="542C79C0" w14:textId="19AD429A" w:rsidR="00E259B2" w:rsidRDefault="00BC35C9" w:rsidP="00C24C5F">
      <w:pPr>
        <w:pStyle w:val="Standard"/>
        <w:spacing w:line="360" w:lineRule="auto"/>
        <w:ind w:left="567" w:right="567" w:firstLine="141"/>
        <w:jc w:val="both"/>
        <w:rPr>
          <w:rFonts w:ascii="Garamond" w:hAnsi="Garamond" w:cs="Arial"/>
          <w:sz w:val="26"/>
          <w:szCs w:val="26"/>
          <w:lang w:val="it-IT"/>
        </w:rPr>
      </w:pPr>
      <w:r>
        <w:rPr>
          <w:rFonts w:ascii="Garamond" w:hAnsi="Garamond" w:cs="Arial"/>
          <w:sz w:val="26"/>
          <w:szCs w:val="26"/>
          <w:lang w:val="it-IT"/>
        </w:rPr>
        <w:t xml:space="preserve"> </w:t>
      </w:r>
      <w:r w:rsidR="00BB69FA">
        <w:rPr>
          <w:rFonts w:ascii="Garamond" w:hAnsi="Garamond" w:cs="Arial"/>
          <w:sz w:val="26"/>
          <w:szCs w:val="26"/>
          <w:lang w:val="it-IT"/>
        </w:rPr>
        <w:t xml:space="preserve">Una decisione analoga ha riguardato </w:t>
      </w:r>
      <w:r w:rsidRPr="00E259B2">
        <w:rPr>
          <w:rFonts w:ascii="Garamond" w:hAnsi="Garamond" w:cs="Arial"/>
          <w:sz w:val="26"/>
          <w:szCs w:val="26"/>
          <w:lang w:val="it-IT"/>
        </w:rPr>
        <w:t xml:space="preserve">l’istanza di accesso civico generalizzato alla documentazione inerente al numero di posti letto di terapia intensiva disponibili ed occupati nelle strutture sanitarie regionali prima e durante l’emergenza sanitaria da Covid-19 </w:t>
      </w:r>
      <w:r w:rsidRPr="00B97122">
        <w:rPr>
          <w:rStyle w:val="Rimandonotaapidipagina"/>
          <w:rFonts w:ascii="Garamond" w:hAnsi="Garamond"/>
          <w:color w:val="000000" w:themeColor="text1"/>
          <w:sz w:val="26"/>
          <w:szCs w:val="26"/>
        </w:rPr>
        <w:footnoteReference w:id="16"/>
      </w:r>
      <w:r>
        <w:rPr>
          <w:rFonts w:ascii="Garamond" w:hAnsi="Garamond" w:cs="Arial"/>
          <w:sz w:val="26"/>
          <w:szCs w:val="26"/>
          <w:lang w:val="it-IT"/>
        </w:rPr>
        <w:t>.</w:t>
      </w:r>
      <w:bookmarkStart w:id="5" w:name="_Hlk65568129"/>
    </w:p>
    <w:p w14:paraId="66B28B32" w14:textId="0F1F7C19" w:rsidR="000B7320" w:rsidRDefault="00CB0AAA" w:rsidP="000B7320">
      <w:pPr>
        <w:pStyle w:val="Standard"/>
        <w:spacing w:line="360" w:lineRule="auto"/>
        <w:ind w:left="567" w:right="567" w:firstLine="141"/>
        <w:jc w:val="both"/>
        <w:rPr>
          <w:rFonts w:ascii="Garamond" w:hAnsi="Garamond"/>
          <w:iCs/>
          <w:color w:val="000000"/>
          <w:sz w:val="26"/>
          <w:szCs w:val="26"/>
          <w:lang w:val="it-IT"/>
        </w:rPr>
      </w:pPr>
      <w:r>
        <w:rPr>
          <w:rFonts w:ascii="Garamond" w:hAnsi="Garamond" w:cs="Arial"/>
          <w:sz w:val="26"/>
          <w:szCs w:val="26"/>
          <w:lang w:val="it-IT"/>
        </w:rPr>
        <w:t xml:space="preserve">Si tratta di affermazioni giurisprudenziali di grande rilievo </w:t>
      </w:r>
      <w:r w:rsidR="00092284">
        <w:rPr>
          <w:rFonts w:ascii="Garamond" w:hAnsi="Garamond" w:cs="Arial"/>
          <w:sz w:val="26"/>
          <w:szCs w:val="26"/>
          <w:lang w:val="it-IT"/>
        </w:rPr>
        <w:t xml:space="preserve">che vanno al di là della pur fondamentale esigenza di trasparenza degli atti di gestione dell’emergenza sanitaria, </w:t>
      </w:r>
      <w:r>
        <w:rPr>
          <w:rFonts w:ascii="Garamond" w:hAnsi="Garamond" w:cs="Arial"/>
          <w:sz w:val="26"/>
          <w:szCs w:val="26"/>
          <w:lang w:val="it-IT"/>
        </w:rPr>
        <w:t>perché, superando ogni sterile disquisizione sul tenore letterale dell’art. 5 d.lgs. n. 33 del 2013</w:t>
      </w:r>
      <w:r w:rsidR="006D352C">
        <w:rPr>
          <w:rFonts w:ascii="Garamond" w:hAnsi="Garamond" w:cs="Arial"/>
          <w:sz w:val="26"/>
          <w:szCs w:val="26"/>
          <w:lang w:val="it-IT"/>
        </w:rPr>
        <w:t xml:space="preserve"> e </w:t>
      </w:r>
      <w:r>
        <w:rPr>
          <w:rFonts w:ascii="Garamond" w:hAnsi="Garamond" w:cs="Arial"/>
          <w:sz w:val="26"/>
          <w:szCs w:val="26"/>
          <w:lang w:val="it-IT"/>
        </w:rPr>
        <w:t xml:space="preserve">le resistenze </w:t>
      </w:r>
      <w:r w:rsidR="0066057F">
        <w:rPr>
          <w:rFonts w:ascii="Garamond" w:hAnsi="Garamond" w:cs="Arial"/>
          <w:sz w:val="26"/>
          <w:szCs w:val="26"/>
          <w:lang w:val="it-IT"/>
        </w:rPr>
        <w:t xml:space="preserve">(anche culturali) </w:t>
      </w:r>
      <w:r>
        <w:rPr>
          <w:rFonts w:ascii="Garamond" w:hAnsi="Garamond" w:cs="Arial"/>
          <w:sz w:val="26"/>
          <w:szCs w:val="26"/>
          <w:lang w:val="it-IT"/>
        </w:rPr>
        <w:t>di approccio economicistico</w:t>
      </w:r>
      <w:r w:rsidR="0066057F">
        <w:rPr>
          <w:rFonts w:ascii="Garamond" w:hAnsi="Garamond" w:cs="Arial"/>
          <w:sz w:val="26"/>
          <w:szCs w:val="26"/>
          <w:lang w:val="it-IT"/>
        </w:rPr>
        <w:t xml:space="preserve"> </w:t>
      </w:r>
      <w:r w:rsidR="00D13B66">
        <w:rPr>
          <w:rFonts w:ascii="Garamond" w:hAnsi="Garamond" w:cs="Arial"/>
          <w:sz w:val="26"/>
          <w:szCs w:val="26"/>
          <w:lang w:val="it-IT"/>
        </w:rPr>
        <w:t xml:space="preserve">della </w:t>
      </w:r>
      <w:r w:rsidR="0066057F">
        <w:rPr>
          <w:rFonts w:ascii="Garamond" w:hAnsi="Garamond" w:cs="Arial"/>
          <w:sz w:val="26"/>
          <w:szCs w:val="26"/>
          <w:lang w:val="it-IT"/>
        </w:rPr>
        <w:t>“trasparenza”</w:t>
      </w:r>
      <w:r w:rsidR="00D13B66">
        <w:rPr>
          <w:rFonts w:ascii="Garamond" w:hAnsi="Garamond" w:cs="Arial"/>
          <w:sz w:val="26"/>
          <w:szCs w:val="26"/>
          <w:lang w:val="it-IT"/>
        </w:rPr>
        <w:t xml:space="preserve">, </w:t>
      </w:r>
      <w:r>
        <w:rPr>
          <w:rFonts w:ascii="Garamond" w:hAnsi="Garamond" w:cs="Arial"/>
          <w:sz w:val="26"/>
          <w:szCs w:val="26"/>
          <w:lang w:val="it-IT"/>
        </w:rPr>
        <w:t xml:space="preserve">traducono </w:t>
      </w:r>
      <w:r w:rsidR="000B7320">
        <w:rPr>
          <w:rFonts w:ascii="Garamond" w:hAnsi="Garamond" w:cs="Arial"/>
          <w:sz w:val="26"/>
          <w:szCs w:val="26"/>
          <w:lang w:val="it-IT"/>
        </w:rPr>
        <w:t>lo spirito di una riforma (d.lgs. n. 9</w:t>
      </w:r>
      <w:r w:rsidR="00D13B66">
        <w:rPr>
          <w:rFonts w:ascii="Garamond" w:hAnsi="Garamond" w:cs="Arial"/>
          <w:sz w:val="26"/>
          <w:szCs w:val="26"/>
          <w:lang w:val="it-IT"/>
        </w:rPr>
        <w:t xml:space="preserve">7 </w:t>
      </w:r>
      <w:r w:rsidR="000B7320">
        <w:rPr>
          <w:rFonts w:ascii="Garamond" w:hAnsi="Garamond" w:cs="Arial"/>
          <w:sz w:val="26"/>
          <w:szCs w:val="26"/>
          <w:lang w:val="it-IT"/>
        </w:rPr>
        <w:t xml:space="preserve">del 2016) </w:t>
      </w:r>
      <w:r w:rsidR="006D352C">
        <w:rPr>
          <w:rFonts w:ascii="Garamond" w:hAnsi="Garamond" w:cs="Arial"/>
          <w:sz w:val="26"/>
          <w:szCs w:val="26"/>
          <w:lang w:val="it-IT"/>
        </w:rPr>
        <w:t xml:space="preserve">volta </w:t>
      </w:r>
      <w:r w:rsidR="00D13B66">
        <w:rPr>
          <w:rFonts w:ascii="Garamond" w:hAnsi="Garamond" w:cs="Arial"/>
          <w:sz w:val="26"/>
          <w:szCs w:val="26"/>
          <w:lang w:val="it-IT"/>
        </w:rPr>
        <w:t xml:space="preserve">a garantire </w:t>
      </w:r>
      <w:r w:rsidR="006D352C">
        <w:rPr>
          <w:rFonts w:ascii="Garamond" w:hAnsi="Garamond" w:cs="Arial"/>
          <w:sz w:val="26"/>
          <w:szCs w:val="26"/>
          <w:lang w:val="it-IT"/>
        </w:rPr>
        <w:t xml:space="preserve">la </w:t>
      </w:r>
      <w:r w:rsidR="00D13B66">
        <w:rPr>
          <w:rFonts w:ascii="Garamond" w:hAnsi="Garamond" w:cs="Arial"/>
          <w:sz w:val="26"/>
          <w:szCs w:val="26"/>
          <w:lang w:val="it-IT"/>
        </w:rPr>
        <w:t>“</w:t>
      </w:r>
      <w:r w:rsidR="000B7320" w:rsidRPr="000B7320">
        <w:rPr>
          <w:rFonts w:ascii="Garamond" w:hAnsi="Garamond"/>
          <w:i/>
          <w:color w:val="000000"/>
          <w:sz w:val="26"/>
          <w:szCs w:val="26"/>
          <w:lang w:val="it-IT"/>
        </w:rPr>
        <w:t>accessibilità totale dei dati e documenti detenuti dalle pubbliche amministrazioni</w:t>
      </w:r>
      <w:r w:rsidR="00C877AE">
        <w:rPr>
          <w:rFonts w:ascii="Garamond" w:hAnsi="Garamond"/>
          <w:i/>
          <w:color w:val="000000"/>
          <w:sz w:val="26"/>
          <w:szCs w:val="26"/>
          <w:lang w:val="it-IT"/>
        </w:rPr>
        <w:t xml:space="preserve">” </w:t>
      </w:r>
      <w:r w:rsidR="00C877AE">
        <w:rPr>
          <w:rFonts w:ascii="Garamond" w:hAnsi="Garamond"/>
          <w:iCs/>
          <w:color w:val="000000"/>
          <w:sz w:val="26"/>
          <w:szCs w:val="26"/>
          <w:lang w:val="it-IT"/>
        </w:rPr>
        <w:t>(art. 1 d.lgs. n. 33 del 2013).</w:t>
      </w:r>
    </w:p>
    <w:p w14:paraId="68AA9387" w14:textId="7AB03D9D" w:rsidR="00C877AE" w:rsidRPr="00C877AE" w:rsidRDefault="00092284" w:rsidP="00092284">
      <w:pPr>
        <w:pStyle w:val="Standard"/>
        <w:spacing w:line="360" w:lineRule="auto"/>
        <w:ind w:left="567" w:right="567" w:firstLine="141"/>
        <w:jc w:val="both"/>
        <w:rPr>
          <w:rFonts w:ascii="Garamond" w:hAnsi="Garamond" w:cs="Arial"/>
          <w:sz w:val="26"/>
          <w:szCs w:val="26"/>
          <w:lang w:val="it-IT"/>
        </w:rPr>
      </w:pPr>
      <w:r>
        <w:rPr>
          <w:rFonts w:ascii="Garamond" w:hAnsi="Garamond"/>
          <w:iCs/>
          <w:color w:val="000000"/>
          <w:sz w:val="26"/>
          <w:szCs w:val="26"/>
          <w:lang w:val="it-IT"/>
        </w:rPr>
        <w:t xml:space="preserve">Altra – ed altrettanto importante - evoluzione giurisprudenziale del concetto di “oggetto” dell’accesso civico generalizzato </w:t>
      </w:r>
      <w:r w:rsidR="002A7621">
        <w:rPr>
          <w:rFonts w:ascii="Garamond" w:hAnsi="Garamond"/>
          <w:iCs/>
          <w:color w:val="000000"/>
          <w:sz w:val="26"/>
          <w:szCs w:val="26"/>
          <w:lang w:val="it-IT"/>
        </w:rPr>
        <w:t xml:space="preserve">riguarda </w:t>
      </w:r>
      <w:r>
        <w:rPr>
          <w:rFonts w:ascii="Garamond" w:hAnsi="Garamond"/>
          <w:iCs/>
          <w:color w:val="000000"/>
          <w:sz w:val="26"/>
          <w:szCs w:val="26"/>
          <w:lang w:val="it-IT"/>
        </w:rPr>
        <w:t xml:space="preserve">i cosiddetti “atti interni”, che </w:t>
      </w:r>
      <w:r>
        <w:rPr>
          <w:rFonts w:ascii="Garamond" w:hAnsi="Garamond" w:cs="Arial"/>
          <w:sz w:val="26"/>
          <w:szCs w:val="26"/>
          <w:lang w:val="it-IT"/>
        </w:rPr>
        <w:t>l</w:t>
      </w:r>
      <w:r w:rsidR="00C877AE" w:rsidRPr="00C877AE">
        <w:rPr>
          <w:rFonts w:ascii="Garamond" w:hAnsi="Garamond" w:cs="Arial"/>
          <w:sz w:val="26"/>
          <w:szCs w:val="26"/>
          <w:lang w:val="it-IT"/>
        </w:rPr>
        <w:t xml:space="preserve">’art. 5 </w:t>
      </w:r>
      <w:r>
        <w:rPr>
          <w:rFonts w:ascii="Garamond" w:hAnsi="Garamond" w:cs="Arial"/>
          <w:sz w:val="26"/>
          <w:szCs w:val="26"/>
          <w:lang w:val="it-IT"/>
        </w:rPr>
        <w:t xml:space="preserve">d.lgs. n. 33 del 2013 </w:t>
      </w:r>
      <w:r w:rsidR="00C877AE" w:rsidRPr="00C877AE">
        <w:rPr>
          <w:rFonts w:ascii="Garamond" w:hAnsi="Garamond" w:cs="Arial"/>
          <w:sz w:val="26"/>
          <w:szCs w:val="26"/>
          <w:lang w:val="it-IT"/>
        </w:rPr>
        <w:t xml:space="preserve">non </w:t>
      </w:r>
      <w:r>
        <w:rPr>
          <w:rFonts w:ascii="Garamond" w:hAnsi="Garamond" w:cs="Arial"/>
          <w:sz w:val="26"/>
          <w:szCs w:val="26"/>
          <w:lang w:val="it-IT"/>
        </w:rPr>
        <w:t xml:space="preserve">menziona e non </w:t>
      </w:r>
      <w:r w:rsidR="00946D07">
        <w:rPr>
          <w:rFonts w:ascii="Garamond" w:hAnsi="Garamond" w:cs="Arial"/>
          <w:sz w:val="26"/>
          <w:szCs w:val="26"/>
          <w:lang w:val="it-IT"/>
        </w:rPr>
        <w:t>disciplina</w:t>
      </w:r>
      <w:r>
        <w:rPr>
          <w:rFonts w:ascii="Garamond" w:hAnsi="Garamond" w:cs="Arial"/>
          <w:sz w:val="26"/>
          <w:szCs w:val="26"/>
          <w:lang w:val="it-IT"/>
        </w:rPr>
        <w:t xml:space="preserve"> (a differenza dell’art. 22 della legge n. 241 del 1990 </w:t>
      </w:r>
      <w:r w:rsidR="002A7621">
        <w:rPr>
          <w:rFonts w:ascii="Garamond" w:hAnsi="Garamond" w:cs="Arial"/>
          <w:sz w:val="26"/>
          <w:szCs w:val="26"/>
          <w:lang w:val="it-IT"/>
        </w:rPr>
        <w:t>che</w:t>
      </w:r>
      <w:r w:rsidR="00766284">
        <w:rPr>
          <w:rFonts w:ascii="Garamond" w:hAnsi="Garamond" w:cs="Arial"/>
          <w:sz w:val="26"/>
          <w:szCs w:val="26"/>
          <w:lang w:val="it-IT"/>
        </w:rPr>
        <w:t>, per l’accesso documentale,</w:t>
      </w:r>
      <w:r w:rsidR="002A7621">
        <w:rPr>
          <w:rFonts w:ascii="Garamond" w:hAnsi="Garamond" w:cs="Arial"/>
          <w:sz w:val="26"/>
          <w:szCs w:val="26"/>
          <w:lang w:val="it-IT"/>
        </w:rPr>
        <w:t xml:space="preserve"> se ne occupa espressamente</w:t>
      </w:r>
      <w:r>
        <w:rPr>
          <w:rFonts w:ascii="Garamond" w:hAnsi="Garamond" w:cs="Arial"/>
          <w:sz w:val="26"/>
          <w:szCs w:val="26"/>
          <w:lang w:val="it-IT"/>
        </w:rPr>
        <w:t xml:space="preserve">) </w:t>
      </w:r>
      <w:r w:rsidRPr="00B97122">
        <w:rPr>
          <w:rStyle w:val="Rimandonotaapidipagina"/>
          <w:rFonts w:ascii="Garamond" w:hAnsi="Garamond"/>
          <w:color w:val="000000" w:themeColor="text1"/>
          <w:sz w:val="26"/>
          <w:szCs w:val="26"/>
        </w:rPr>
        <w:footnoteReference w:id="17"/>
      </w:r>
      <w:r>
        <w:rPr>
          <w:rFonts w:ascii="Garamond" w:hAnsi="Garamond" w:cs="Arial"/>
          <w:sz w:val="26"/>
          <w:szCs w:val="26"/>
          <w:lang w:val="it-IT"/>
        </w:rPr>
        <w:t>.</w:t>
      </w:r>
    </w:p>
    <w:p w14:paraId="5EEEEC8B" w14:textId="194CC1B4" w:rsidR="00C877AE" w:rsidRDefault="00946D07" w:rsidP="00946D07">
      <w:pPr>
        <w:pStyle w:val="Standard"/>
        <w:spacing w:line="360" w:lineRule="auto"/>
        <w:ind w:left="567" w:right="567" w:firstLine="141"/>
        <w:jc w:val="both"/>
        <w:rPr>
          <w:rFonts w:ascii="Garamond" w:hAnsi="Garamond"/>
          <w:sz w:val="26"/>
          <w:szCs w:val="26"/>
          <w:lang w:val="it-IT"/>
        </w:rPr>
      </w:pPr>
      <w:r>
        <w:rPr>
          <w:rFonts w:ascii="Garamond" w:hAnsi="Garamond" w:cs="Arial"/>
          <w:sz w:val="26"/>
          <w:szCs w:val="26"/>
          <w:lang w:val="it-IT"/>
        </w:rPr>
        <w:t>Nessun dubbio si pone sulla ostensibilità de</w:t>
      </w:r>
      <w:r w:rsidR="00C877AE" w:rsidRPr="00946D07">
        <w:rPr>
          <w:rFonts w:ascii="Garamond" w:hAnsi="Garamond" w:cs="Arial"/>
          <w:sz w:val="26"/>
          <w:szCs w:val="26"/>
          <w:lang w:val="it-IT"/>
        </w:rPr>
        <w:t xml:space="preserve">gli “atti </w:t>
      </w:r>
      <w:r w:rsidR="00C877AE" w:rsidRPr="00C877AE">
        <w:rPr>
          <w:rFonts w:ascii="Garamond" w:hAnsi="Garamond" w:cs="Arial"/>
          <w:sz w:val="26"/>
          <w:szCs w:val="26"/>
          <w:lang w:val="it-IT"/>
        </w:rPr>
        <w:t>endoprocedimentali”</w:t>
      </w:r>
      <w:r>
        <w:rPr>
          <w:rFonts w:ascii="Garamond" w:hAnsi="Garamond" w:cs="Arial"/>
          <w:sz w:val="26"/>
          <w:szCs w:val="26"/>
          <w:lang w:val="it-IT"/>
        </w:rPr>
        <w:t xml:space="preserve">, ovvero </w:t>
      </w:r>
      <w:r w:rsidR="002A7621">
        <w:rPr>
          <w:rFonts w:ascii="Garamond" w:hAnsi="Garamond" w:cs="Arial"/>
          <w:sz w:val="26"/>
          <w:szCs w:val="26"/>
          <w:lang w:val="it-IT"/>
        </w:rPr>
        <w:t>di que</w:t>
      </w:r>
      <w:r>
        <w:rPr>
          <w:rFonts w:ascii="Garamond" w:hAnsi="Garamond" w:cs="Arial"/>
          <w:sz w:val="26"/>
          <w:szCs w:val="26"/>
          <w:lang w:val="it-IT"/>
        </w:rPr>
        <w:t xml:space="preserve">gli “atti interni” afferenti ad un’istruttoria procedimentale, </w:t>
      </w:r>
      <w:r w:rsidR="002A7621">
        <w:rPr>
          <w:rFonts w:ascii="Garamond" w:hAnsi="Garamond" w:cs="Arial"/>
          <w:sz w:val="26"/>
          <w:szCs w:val="26"/>
          <w:lang w:val="it-IT"/>
        </w:rPr>
        <w:t xml:space="preserve">atteso che </w:t>
      </w:r>
      <w:r>
        <w:rPr>
          <w:rFonts w:ascii="Garamond" w:hAnsi="Garamond" w:cs="Arial"/>
          <w:sz w:val="26"/>
          <w:szCs w:val="26"/>
          <w:lang w:val="it-IT"/>
        </w:rPr>
        <w:t>non si vede per quale motivo l’accesso civico generalizzato d</w:t>
      </w:r>
      <w:r w:rsidR="00BB69FA">
        <w:rPr>
          <w:rFonts w:ascii="Garamond" w:hAnsi="Garamond" w:cs="Arial"/>
          <w:sz w:val="26"/>
          <w:szCs w:val="26"/>
          <w:lang w:val="it-IT"/>
        </w:rPr>
        <w:t xml:space="preserve">ebba </w:t>
      </w:r>
      <w:r>
        <w:rPr>
          <w:rFonts w:ascii="Garamond" w:hAnsi="Garamond" w:cs="Arial"/>
          <w:sz w:val="26"/>
          <w:szCs w:val="26"/>
          <w:lang w:val="it-IT"/>
        </w:rPr>
        <w:t xml:space="preserve">sotto questo profilo essere più restrittivo dell’accesso documentale, </w:t>
      </w:r>
      <w:r w:rsidR="00F27883">
        <w:rPr>
          <w:rFonts w:ascii="Garamond" w:hAnsi="Garamond" w:cs="Arial"/>
          <w:sz w:val="26"/>
          <w:szCs w:val="26"/>
          <w:lang w:val="it-IT"/>
        </w:rPr>
        <w:t xml:space="preserve">per il quale </w:t>
      </w:r>
      <w:r w:rsidR="002A7621">
        <w:rPr>
          <w:rFonts w:ascii="Garamond" w:hAnsi="Garamond" w:cs="Arial"/>
          <w:sz w:val="26"/>
          <w:szCs w:val="26"/>
          <w:lang w:val="it-IT"/>
        </w:rPr>
        <w:t xml:space="preserve">l’ostensione a detti atti è </w:t>
      </w:r>
      <w:r>
        <w:rPr>
          <w:rFonts w:ascii="Garamond" w:hAnsi="Garamond" w:cs="Arial"/>
          <w:sz w:val="26"/>
          <w:szCs w:val="26"/>
          <w:lang w:val="it-IT"/>
        </w:rPr>
        <w:t xml:space="preserve">espressamente </w:t>
      </w:r>
      <w:r w:rsidR="002A7621">
        <w:rPr>
          <w:rFonts w:ascii="Garamond" w:hAnsi="Garamond" w:cs="Arial"/>
          <w:sz w:val="26"/>
          <w:szCs w:val="26"/>
          <w:lang w:val="it-IT"/>
        </w:rPr>
        <w:t>disposta</w:t>
      </w:r>
      <w:r w:rsidR="00F27883">
        <w:rPr>
          <w:rFonts w:ascii="Garamond" w:hAnsi="Garamond" w:cs="Arial"/>
          <w:sz w:val="26"/>
          <w:szCs w:val="26"/>
          <w:lang w:val="it-IT"/>
        </w:rPr>
        <w:t xml:space="preserve"> </w:t>
      </w:r>
      <w:r w:rsidR="002A7621">
        <w:rPr>
          <w:rFonts w:ascii="Garamond" w:hAnsi="Garamond" w:cs="Arial"/>
          <w:sz w:val="26"/>
          <w:szCs w:val="26"/>
          <w:lang w:val="it-IT"/>
        </w:rPr>
        <w:t>dal</w:t>
      </w:r>
      <w:r w:rsidR="00C877AE" w:rsidRPr="00C877AE">
        <w:rPr>
          <w:rFonts w:ascii="Garamond" w:hAnsi="Garamond" w:cs="Arial"/>
          <w:sz w:val="26"/>
          <w:szCs w:val="26"/>
          <w:lang w:val="it-IT"/>
        </w:rPr>
        <w:t xml:space="preserve">l'art. 22, comma 1, </w:t>
      </w:r>
      <w:r>
        <w:rPr>
          <w:rFonts w:ascii="Garamond" w:hAnsi="Garamond" w:cs="Arial"/>
          <w:sz w:val="26"/>
          <w:szCs w:val="26"/>
          <w:lang w:val="it-IT"/>
        </w:rPr>
        <w:t>l</w:t>
      </w:r>
      <w:r w:rsidR="00C877AE" w:rsidRPr="00C877AE">
        <w:rPr>
          <w:rFonts w:ascii="Garamond" w:hAnsi="Garamond" w:cs="Arial"/>
          <w:sz w:val="26"/>
          <w:szCs w:val="26"/>
          <w:lang w:val="it-IT"/>
        </w:rPr>
        <w:t xml:space="preserve">. </w:t>
      </w:r>
      <w:r>
        <w:rPr>
          <w:rFonts w:ascii="Garamond" w:hAnsi="Garamond" w:cs="Arial"/>
          <w:sz w:val="26"/>
          <w:szCs w:val="26"/>
          <w:lang w:val="it-IT"/>
        </w:rPr>
        <w:t xml:space="preserve">n. </w:t>
      </w:r>
      <w:r w:rsidR="00C877AE" w:rsidRPr="00C877AE">
        <w:rPr>
          <w:rFonts w:ascii="Garamond" w:hAnsi="Garamond" w:cs="Arial"/>
          <w:sz w:val="26"/>
          <w:szCs w:val="26"/>
          <w:lang w:val="it-IT"/>
        </w:rPr>
        <w:t>241</w:t>
      </w:r>
      <w:r>
        <w:rPr>
          <w:rFonts w:ascii="Garamond" w:hAnsi="Garamond" w:cs="Arial"/>
          <w:sz w:val="26"/>
          <w:szCs w:val="26"/>
          <w:lang w:val="it-IT"/>
        </w:rPr>
        <w:t xml:space="preserve"> del 19</w:t>
      </w:r>
      <w:r w:rsidR="00C877AE" w:rsidRPr="00C877AE">
        <w:rPr>
          <w:rFonts w:ascii="Garamond" w:hAnsi="Garamond" w:cs="Arial"/>
          <w:sz w:val="26"/>
          <w:szCs w:val="26"/>
          <w:lang w:val="it-IT"/>
        </w:rPr>
        <w:t xml:space="preserve">90 e </w:t>
      </w:r>
      <w:r w:rsidR="002A7621">
        <w:rPr>
          <w:rFonts w:ascii="Garamond" w:hAnsi="Garamond" w:cs="Arial"/>
          <w:sz w:val="26"/>
          <w:szCs w:val="26"/>
          <w:lang w:val="it-IT"/>
        </w:rPr>
        <w:t>dal</w:t>
      </w:r>
      <w:r w:rsidR="00C877AE" w:rsidRPr="00C877AE">
        <w:rPr>
          <w:rFonts w:ascii="Garamond" w:hAnsi="Garamond" w:cs="Arial"/>
          <w:sz w:val="26"/>
          <w:szCs w:val="26"/>
          <w:lang w:val="it-IT"/>
        </w:rPr>
        <w:t>l’</w:t>
      </w:r>
      <w:r w:rsidR="00C877AE" w:rsidRPr="00C877AE">
        <w:rPr>
          <w:rFonts w:ascii="Garamond" w:hAnsi="Garamond"/>
          <w:sz w:val="26"/>
          <w:szCs w:val="26"/>
          <w:lang w:val="it-IT"/>
        </w:rPr>
        <w:t xml:space="preserve">art. 7, comma 2, </w:t>
      </w:r>
      <w:r>
        <w:rPr>
          <w:rFonts w:ascii="Garamond" w:hAnsi="Garamond"/>
          <w:sz w:val="26"/>
          <w:szCs w:val="26"/>
          <w:lang w:val="it-IT"/>
        </w:rPr>
        <w:t>d</w:t>
      </w:r>
      <w:r w:rsidR="00C877AE" w:rsidRPr="00C877AE">
        <w:rPr>
          <w:rFonts w:ascii="Garamond" w:hAnsi="Garamond"/>
          <w:sz w:val="26"/>
          <w:szCs w:val="26"/>
          <w:lang w:val="it-IT"/>
        </w:rPr>
        <w:t xml:space="preserve">.P.R. </w:t>
      </w:r>
      <w:r>
        <w:rPr>
          <w:rFonts w:ascii="Garamond" w:hAnsi="Garamond"/>
          <w:sz w:val="26"/>
          <w:szCs w:val="26"/>
          <w:lang w:val="it-IT"/>
        </w:rPr>
        <w:t xml:space="preserve">n. </w:t>
      </w:r>
      <w:r w:rsidR="00C877AE" w:rsidRPr="00C877AE">
        <w:rPr>
          <w:rFonts w:ascii="Garamond" w:hAnsi="Garamond"/>
          <w:sz w:val="26"/>
          <w:szCs w:val="26"/>
          <w:lang w:val="it-IT"/>
        </w:rPr>
        <w:t>184</w:t>
      </w:r>
      <w:r>
        <w:rPr>
          <w:rFonts w:ascii="Garamond" w:hAnsi="Garamond"/>
          <w:sz w:val="26"/>
          <w:szCs w:val="26"/>
          <w:lang w:val="it-IT"/>
        </w:rPr>
        <w:t xml:space="preserve"> del </w:t>
      </w:r>
      <w:r w:rsidR="00C877AE" w:rsidRPr="00C877AE">
        <w:rPr>
          <w:rFonts w:ascii="Garamond" w:hAnsi="Garamond"/>
          <w:sz w:val="26"/>
          <w:szCs w:val="26"/>
          <w:lang w:val="it-IT"/>
        </w:rPr>
        <w:t>2006.</w:t>
      </w:r>
    </w:p>
    <w:p w14:paraId="58FD3E40" w14:textId="7B620C04" w:rsidR="00F27883" w:rsidRDefault="00F27883" w:rsidP="00F27883">
      <w:pPr>
        <w:pStyle w:val="Standard"/>
        <w:spacing w:line="360" w:lineRule="auto"/>
        <w:ind w:left="567" w:right="567" w:firstLine="141"/>
        <w:jc w:val="both"/>
        <w:rPr>
          <w:rFonts w:ascii="Garamond" w:hAnsi="Garamond"/>
          <w:iCs/>
          <w:sz w:val="26"/>
          <w:szCs w:val="26"/>
          <w:lang w:val="it-IT"/>
        </w:rPr>
      </w:pPr>
      <w:r>
        <w:rPr>
          <w:rFonts w:ascii="Garamond" w:hAnsi="Garamond"/>
          <w:sz w:val="26"/>
          <w:szCs w:val="26"/>
          <w:lang w:val="it-IT"/>
        </w:rPr>
        <w:t xml:space="preserve">Qualche dubbio </w:t>
      </w:r>
      <w:r w:rsidR="00BB69FA">
        <w:rPr>
          <w:rFonts w:ascii="Garamond" w:hAnsi="Garamond"/>
          <w:sz w:val="26"/>
          <w:szCs w:val="26"/>
          <w:lang w:val="it-IT"/>
        </w:rPr>
        <w:t xml:space="preserve">potrebbe </w:t>
      </w:r>
      <w:r w:rsidR="0034789E">
        <w:rPr>
          <w:rFonts w:ascii="Garamond" w:hAnsi="Garamond"/>
          <w:sz w:val="26"/>
          <w:szCs w:val="26"/>
          <w:lang w:val="it-IT"/>
        </w:rPr>
        <w:t>invece</w:t>
      </w:r>
      <w:r w:rsidR="00315BD1">
        <w:rPr>
          <w:rFonts w:ascii="Garamond" w:hAnsi="Garamond"/>
          <w:sz w:val="26"/>
          <w:szCs w:val="26"/>
          <w:lang w:val="it-IT"/>
        </w:rPr>
        <w:t xml:space="preserve"> </w:t>
      </w:r>
      <w:r>
        <w:rPr>
          <w:rFonts w:ascii="Garamond" w:hAnsi="Garamond"/>
          <w:sz w:val="26"/>
          <w:szCs w:val="26"/>
          <w:lang w:val="it-IT"/>
        </w:rPr>
        <w:t>sorgere</w:t>
      </w:r>
      <w:r w:rsidR="00315BD1">
        <w:rPr>
          <w:rFonts w:ascii="Garamond" w:hAnsi="Garamond"/>
          <w:sz w:val="26"/>
          <w:szCs w:val="26"/>
          <w:lang w:val="it-IT"/>
        </w:rPr>
        <w:t>, in teoria,</w:t>
      </w:r>
      <w:r>
        <w:rPr>
          <w:rFonts w:ascii="Garamond" w:hAnsi="Garamond"/>
          <w:sz w:val="26"/>
          <w:szCs w:val="26"/>
          <w:lang w:val="it-IT"/>
        </w:rPr>
        <w:t xml:space="preserve"> per </w:t>
      </w:r>
      <w:r w:rsidR="00C877AE" w:rsidRPr="00C877AE">
        <w:rPr>
          <w:rFonts w:ascii="Garamond" w:hAnsi="Garamond"/>
          <w:iCs/>
          <w:sz w:val="26"/>
          <w:szCs w:val="26"/>
          <w:lang w:val="it-IT"/>
        </w:rPr>
        <w:t xml:space="preserve">gli </w:t>
      </w:r>
      <w:r>
        <w:rPr>
          <w:rFonts w:ascii="Garamond" w:hAnsi="Garamond"/>
          <w:iCs/>
          <w:sz w:val="26"/>
          <w:szCs w:val="26"/>
          <w:lang w:val="it-IT"/>
        </w:rPr>
        <w:t>“</w:t>
      </w:r>
      <w:r w:rsidR="00C877AE" w:rsidRPr="00C877AE">
        <w:rPr>
          <w:rFonts w:ascii="Garamond" w:hAnsi="Garamond"/>
          <w:iCs/>
          <w:sz w:val="26"/>
          <w:szCs w:val="26"/>
          <w:lang w:val="it-IT"/>
        </w:rPr>
        <w:t>atti interni</w:t>
      </w:r>
      <w:r>
        <w:rPr>
          <w:rFonts w:ascii="Garamond" w:hAnsi="Garamond"/>
          <w:iCs/>
          <w:sz w:val="26"/>
          <w:szCs w:val="26"/>
          <w:lang w:val="it-IT"/>
        </w:rPr>
        <w:t>”</w:t>
      </w:r>
      <w:r w:rsidR="00C877AE" w:rsidRPr="00C877AE">
        <w:rPr>
          <w:rFonts w:ascii="Garamond" w:hAnsi="Garamond"/>
          <w:iCs/>
          <w:sz w:val="26"/>
          <w:szCs w:val="26"/>
          <w:lang w:val="it-IT"/>
        </w:rPr>
        <w:t xml:space="preserve"> non utilizzati </w:t>
      </w:r>
      <w:r>
        <w:rPr>
          <w:rFonts w:ascii="Garamond" w:hAnsi="Garamond"/>
          <w:iCs/>
          <w:sz w:val="26"/>
          <w:szCs w:val="26"/>
          <w:lang w:val="it-IT"/>
        </w:rPr>
        <w:t>nel</w:t>
      </w:r>
      <w:r w:rsidR="00C877AE" w:rsidRPr="00C877AE">
        <w:rPr>
          <w:rFonts w:ascii="Garamond" w:hAnsi="Garamond"/>
          <w:iCs/>
          <w:sz w:val="26"/>
          <w:szCs w:val="26"/>
          <w:lang w:val="it-IT"/>
        </w:rPr>
        <w:t xml:space="preserve"> procedimento amministrativo, </w:t>
      </w:r>
      <w:r>
        <w:rPr>
          <w:rFonts w:ascii="Garamond" w:hAnsi="Garamond"/>
          <w:iCs/>
          <w:sz w:val="26"/>
          <w:szCs w:val="26"/>
          <w:lang w:val="it-IT"/>
        </w:rPr>
        <w:t xml:space="preserve">anche in considerazione della loro controversa ostensibilità ai sensi della legge n. 241 del 1990 </w:t>
      </w:r>
      <w:r w:rsidR="00C877AE" w:rsidRPr="00C877AE">
        <w:rPr>
          <w:rFonts w:ascii="Garamond" w:hAnsi="Garamond"/>
          <w:iCs/>
          <w:sz w:val="26"/>
          <w:szCs w:val="26"/>
          <w:lang w:val="it-IT"/>
        </w:rPr>
        <w:t>in materia di accesso documentale</w:t>
      </w:r>
      <w:r>
        <w:rPr>
          <w:rFonts w:ascii="Garamond" w:hAnsi="Garamond"/>
          <w:iCs/>
          <w:sz w:val="26"/>
          <w:szCs w:val="26"/>
          <w:lang w:val="it-IT"/>
        </w:rPr>
        <w:t xml:space="preserve"> </w:t>
      </w:r>
      <w:r w:rsidRPr="00B97122">
        <w:rPr>
          <w:rStyle w:val="Rimandonotaapidipagina"/>
          <w:rFonts w:ascii="Garamond" w:hAnsi="Garamond"/>
          <w:color w:val="000000" w:themeColor="text1"/>
          <w:sz w:val="26"/>
          <w:szCs w:val="26"/>
        </w:rPr>
        <w:footnoteReference w:id="18"/>
      </w:r>
      <w:r>
        <w:rPr>
          <w:rFonts w:ascii="Garamond" w:hAnsi="Garamond"/>
          <w:iCs/>
          <w:sz w:val="26"/>
          <w:szCs w:val="26"/>
          <w:lang w:val="it-IT"/>
        </w:rPr>
        <w:t>.</w:t>
      </w:r>
    </w:p>
    <w:p w14:paraId="06922AE9" w14:textId="1390B4CB" w:rsidR="00ED699C" w:rsidRPr="00ED699C" w:rsidRDefault="00ED699C" w:rsidP="00F27883">
      <w:pPr>
        <w:pStyle w:val="Standard"/>
        <w:spacing w:line="360" w:lineRule="auto"/>
        <w:ind w:left="567" w:right="567" w:firstLine="141"/>
        <w:jc w:val="both"/>
        <w:rPr>
          <w:rFonts w:ascii="Garamond" w:hAnsi="Garamond"/>
          <w:bCs/>
          <w:iCs/>
          <w:sz w:val="22"/>
          <w:szCs w:val="22"/>
          <w:lang w:val="it-IT"/>
        </w:rPr>
      </w:pPr>
      <w:r>
        <w:rPr>
          <w:rFonts w:ascii="Garamond" w:hAnsi="Garamond"/>
          <w:bCs/>
          <w:iCs/>
          <w:sz w:val="26"/>
          <w:szCs w:val="26"/>
          <w:lang w:val="it-IT"/>
        </w:rPr>
        <w:t xml:space="preserve">Tali atti vanno tenuti distinti dai c.d. </w:t>
      </w:r>
      <w:r w:rsidRPr="00C877AE">
        <w:rPr>
          <w:rFonts w:ascii="Garamond" w:hAnsi="Garamond" w:cs="Arial"/>
          <w:i/>
          <w:iCs/>
          <w:sz w:val="26"/>
          <w:szCs w:val="26"/>
          <w:lang w:val="it-IT"/>
        </w:rPr>
        <w:t>interna corporis</w:t>
      </w:r>
      <w:r>
        <w:rPr>
          <w:rFonts w:ascii="Garamond" w:hAnsi="Garamond" w:cs="Arial"/>
          <w:iCs/>
          <w:sz w:val="26"/>
          <w:szCs w:val="26"/>
          <w:lang w:val="it-IT"/>
        </w:rPr>
        <w:t xml:space="preserve">, ovvero da quelle </w:t>
      </w:r>
      <w:r w:rsidRPr="00ED699C">
        <w:rPr>
          <w:rFonts w:ascii="Garamond" w:hAnsi="Garamond" w:cs="Arial"/>
          <w:sz w:val="26"/>
          <w:szCs w:val="26"/>
          <w:lang w:val="it-IT"/>
        </w:rPr>
        <w:t>minute, appunti, brogliacci, pro-memoria, ecc. privi degli elementi essenziali dell'atto amministrativo (in primo luogo della sottoscrizione) ed utilizzati informalmente a titolo personale per facilitare la redazione di documenti veri e propri, i quali, non essendovi alcun obbligo di formalizzazione e conservazione, rimangono relegati nella sfera interna e privata del soggetto che li ela</w:t>
      </w:r>
      <w:r>
        <w:rPr>
          <w:rFonts w:ascii="Garamond" w:hAnsi="Garamond" w:cs="Arial"/>
          <w:sz w:val="26"/>
          <w:szCs w:val="26"/>
          <w:lang w:val="it-IT"/>
        </w:rPr>
        <w:t xml:space="preserve">bora e </w:t>
      </w:r>
      <w:r>
        <w:rPr>
          <w:rFonts w:ascii="Garamond" w:hAnsi="Garamond"/>
          <w:bCs/>
          <w:iCs/>
          <w:sz w:val="26"/>
          <w:szCs w:val="26"/>
          <w:lang w:val="it-IT"/>
        </w:rPr>
        <w:t>(come per l’accesso documentale ex l. n. 241 del 1990)</w:t>
      </w:r>
      <w:r>
        <w:rPr>
          <w:rFonts w:ascii="Garamond" w:hAnsi="Garamond" w:cs="Arial"/>
          <w:sz w:val="26"/>
          <w:szCs w:val="26"/>
          <w:lang w:val="it-IT"/>
        </w:rPr>
        <w:t xml:space="preserve"> rimangono certamente inostensibili: c</w:t>
      </w:r>
      <w:r w:rsidRPr="00ED699C">
        <w:rPr>
          <w:rFonts w:ascii="Garamond" w:hAnsi="Garamond" w:cs="Arial"/>
          <w:sz w:val="26"/>
          <w:szCs w:val="26"/>
          <w:lang w:val="it-IT"/>
        </w:rPr>
        <w:t xml:space="preserve">osì, ad esempio, si è ritenuto che non possono costituire oggetto di accesso civico generalizzato gli atti di “informativa” redatti dalla Direzione generale di un Ministero sotto forma di “appunti e relazioni” non trasfuse in documenti ufficiali ed inoltrati al competente Ministro per l’adozione dei conseguenti atti di indirizzo politico, non trattandosi di attività amministrativa in senso proprio (fattispecie relativa ad attività di vigilanza e controllo sulle Casse previdenziali private) </w:t>
      </w:r>
      <w:r w:rsidRPr="00B97122">
        <w:rPr>
          <w:rStyle w:val="Rimandonotaapidipagina"/>
          <w:rFonts w:ascii="Garamond" w:hAnsi="Garamond"/>
          <w:color w:val="000000" w:themeColor="text1"/>
          <w:sz w:val="26"/>
          <w:szCs w:val="26"/>
        </w:rPr>
        <w:footnoteReference w:id="19"/>
      </w:r>
      <w:r>
        <w:rPr>
          <w:rFonts w:ascii="Garamond" w:hAnsi="Garamond" w:cs="Arial"/>
          <w:sz w:val="26"/>
          <w:szCs w:val="26"/>
          <w:lang w:val="it-IT"/>
        </w:rPr>
        <w:t>.</w:t>
      </w:r>
    </w:p>
    <w:p w14:paraId="0EF57EF2" w14:textId="2BE9D5E6" w:rsidR="00C877AE" w:rsidRDefault="00ED699C" w:rsidP="00F27883">
      <w:pPr>
        <w:pStyle w:val="Standard"/>
        <w:spacing w:line="360" w:lineRule="auto"/>
        <w:ind w:left="567" w:right="567" w:firstLine="141"/>
        <w:jc w:val="both"/>
        <w:rPr>
          <w:rFonts w:ascii="Garamond" w:hAnsi="Garamond"/>
          <w:iCs/>
          <w:sz w:val="26"/>
          <w:szCs w:val="26"/>
          <w:lang w:val="it-IT"/>
        </w:rPr>
      </w:pPr>
      <w:r>
        <w:rPr>
          <w:rFonts w:ascii="Garamond" w:hAnsi="Garamond" w:cs="Arial"/>
          <w:iCs/>
          <w:sz w:val="26"/>
          <w:szCs w:val="26"/>
          <w:lang w:val="it-IT"/>
        </w:rPr>
        <w:t>Ferma tale distinzione</w:t>
      </w:r>
      <w:r w:rsidR="00315BD1">
        <w:rPr>
          <w:rFonts w:ascii="Garamond" w:hAnsi="Garamond" w:cs="Arial"/>
          <w:iCs/>
          <w:sz w:val="26"/>
          <w:szCs w:val="26"/>
          <w:lang w:val="it-IT"/>
        </w:rPr>
        <w:t>,</w:t>
      </w:r>
      <w:r w:rsidR="00315BD1" w:rsidRPr="00C877AE">
        <w:rPr>
          <w:rFonts w:ascii="Garamond" w:hAnsi="Garamond" w:cs="Arial"/>
          <w:i/>
          <w:iCs/>
          <w:sz w:val="26"/>
          <w:szCs w:val="26"/>
          <w:lang w:val="it-IT"/>
        </w:rPr>
        <w:t xml:space="preserve"> </w:t>
      </w:r>
      <w:r w:rsidR="00315BD1">
        <w:rPr>
          <w:rFonts w:ascii="Garamond" w:hAnsi="Garamond"/>
          <w:bCs/>
          <w:iCs/>
          <w:sz w:val="26"/>
          <w:szCs w:val="26"/>
          <w:lang w:val="it-IT"/>
        </w:rPr>
        <w:t xml:space="preserve">il fatto che </w:t>
      </w:r>
      <w:r w:rsidR="00315BD1">
        <w:rPr>
          <w:rFonts w:ascii="Garamond" w:hAnsi="Garamond"/>
          <w:iCs/>
          <w:sz w:val="26"/>
          <w:szCs w:val="26"/>
          <w:lang w:val="it-IT"/>
        </w:rPr>
        <w:t>l’art. 5 d.l</w:t>
      </w:r>
      <w:r w:rsidR="00C877AE" w:rsidRPr="00C877AE">
        <w:rPr>
          <w:rFonts w:ascii="Garamond" w:hAnsi="Garamond"/>
          <w:iCs/>
          <w:sz w:val="26"/>
          <w:szCs w:val="26"/>
          <w:lang w:val="it-IT"/>
        </w:rPr>
        <w:t xml:space="preserve">gs. </w:t>
      </w:r>
      <w:r w:rsidR="00315BD1">
        <w:rPr>
          <w:rFonts w:ascii="Garamond" w:hAnsi="Garamond"/>
          <w:iCs/>
          <w:sz w:val="26"/>
          <w:szCs w:val="26"/>
          <w:lang w:val="it-IT"/>
        </w:rPr>
        <w:t>n. 33 del 2013 parli</w:t>
      </w:r>
      <w:r w:rsidR="00C877AE" w:rsidRPr="00C877AE">
        <w:rPr>
          <w:rFonts w:ascii="Garamond" w:hAnsi="Garamond"/>
          <w:iCs/>
          <w:sz w:val="26"/>
          <w:szCs w:val="26"/>
          <w:lang w:val="it-IT"/>
        </w:rPr>
        <w:t xml:space="preserve"> di </w:t>
      </w:r>
      <w:r w:rsidR="00C877AE" w:rsidRPr="00C877AE">
        <w:rPr>
          <w:rFonts w:ascii="Garamond" w:hAnsi="Garamond"/>
          <w:i/>
          <w:sz w:val="26"/>
          <w:szCs w:val="26"/>
          <w:lang w:val="it-IT"/>
        </w:rPr>
        <w:t>“dati, informazioni e documenti”</w:t>
      </w:r>
      <w:r w:rsidR="00315BD1">
        <w:rPr>
          <w:rFonts w:ascii="Garamond" w:hAnsi="Garamond"/>
          <w:iCs/>
          <w:sz w:val="26"/>
          <w:szCs w:val="26"/>
          <w:lang w:val="it-IT"/>
        </w:rPr>
        <w:t xml:space="preserve"> </w:t>
      </w:r>
      <w:r w:rsidR="00C877AE" w:rsidRPr="00C877AE">
        <w:rPr>
          <w:rFonts w:ascii="Garamond" w:hAnsi="Garamond"/>
          <w:iCs/>
          <w:sz w:val="26"/>
          <w:szCs w:val="26"/>
          <w:lang w:val="it-IT"/>
        </w:rPr>
        <w:t>d</w:t>
      </w:r>
      <w:r w:rsidR="00315BD1">
        <w:rPr>
          <w:rFonts w:ascii="Garamond" w:hAnsi="Garamond"/>
          <w:iCs/>
          <w:sz w:val="26"/>
          <w:szCs w:val="26"/>
          <w:lang w:val="it-IT"/>
        </w:rPr>
        <w:t xml:space="preserve">epone per la ostensibilità </w:t>
      </w:r>
      <w:r>
        <w:rPr>
          <w:rFonts w:ascii="Garamond" w:hAnsi="Garamond"/>
          <w:iCs/>
          <w:sz w:val="26"/>
          <w:szCs w:val="26"/>
          <w:lang w:val="it-IT"/>
        </w:rPr>
        <w:t>de</w:t>
      </w:r>
      <w:r w:rsidRPr="00C877AE">
        <w:rPr>
          <w:rFonts w:ascii="Garamond" w:hAnsi="Garamond"/>
          <w:iCs/>
          <w:sz w:val="26"/>
          <w:szCs w:val="26"/>
          <w:lang w:val="it-IT"/>
        </w:rPr>
        <w:t xml:space="preserve">gli </w:t>
      </w:r>
      <w:r>
        <w:rPr>
          <w:rFonts w:ascii="Garamond" w:hAnsi="Garamond"/>
          <w:iCs/>
          <w:sz w:val="26"/>
          <w:szCs w:val="26"/>
          <w:lang w:val="it-IT"/>
        </w:rPr>
        <w:t>“</w:t>
      </w:r>
      <w:r w:rsidRPr="00C877AE">
        <w:rPr>
          <w:rFonts w:ascii="Garamond" w:hAnsi="Garamond"/>
          <w:iCs/>
          <w:sz w:val="26"/>
          <w:szCs w:val="26"/>
          <w:lang w:val="it-IT"/>
        </w:rPr>
        <w:t>atti interni</w:t>
      </w:r>
      <w:r>
        <w:rPr>
          <w:rFonts w:ascii="Garamond" w:hAnsi="Garamond"/>
          <w:iCs/>
          <w:sz w:val="26"/>
          <w:szCs w:val="26"/>
          <w:lang w:val="it-IT"/>
        </w:rPr>
        <w:t>”</w:t>
      </w:r>
      <w:r w:rsidRPr="00C877AE">
        <w:rPr>
          <w:rFonts w:ascii="Garamond" w:hAnsi="Garamond"/>
          <w:iCs/>
          <w:sz w:val="26"/>
          <w:szCs w:val="26"/>
          <w:lang w:val="it-IT"/>
        </w:rPr>
        <w:t xml:space="preserve"> non utilizzati </w:t>
      </w:r>
      <w:r>
        <w:rPr>
          <w:rFonts w:ascii="Garamond" w:hAnsi="Garamond"/>
          <w:iCs/>
          <w:sz w:val="26"/>
          <w:szCs w:val="26"/>
          <w:lang w:val="it-IT"/>
        </w:rPr>
        <w:t>nel</w:t>
      </w:r>
      <w:r w:rsidRPr="00C877AE">
        <w:rPr>
          <w:rFonts w:ascii="Garamond" w:hAnsi="Garamond"/>
          <w:iCs/>
          <w:sz w:val="26"/>
          <w:szCs w:val="26"/>
          <w:lang w:val="it-IT"/>
        </w:rPr>
        <w:t xml:space="preserve"> procedimento amministrativo</w:t>
      </w:r>
      <w:r>
        <w:rPr>
          <w:rFonts w:ascii="Garamond" w:hAnsi="Garamond"/>
          <w:iCs/>
          <w:sz w:val="26"/>
          <w:szCs w:val="26"/>
          <w:lang w:val="it-IT"/>
        </w:rPr>
        <w:t xml:space="preserve"> </w:t>
      </w:r>
      <w:r w:rsidR="00315BD1">
        <w:rPr>
          <w:rFonts w:ascii="Garamond" w:hAnsi="Garamond"/>
          <w:iCs/>
          <w:sz w:val="26"/>
          <w:szCs w:val="26"/>
          <w:lang w:val="it-IT"/>
        </w:rPr>
        <w:t xml:space="preserve">ed a tale conclusione è recentemente giunta la giurisprudenza proprio in tema di accesso agli atti di gestione </w:t>
      </w:r>
      <w:r w:rsidR="0005553C">
        <w:rPr>
          <w:rFonts w:ascii="Garamond" w:hAnsi="Garamond"/>
          <w:iCs/>
          <w:sz w:val="26"/>
          <w:szCs w:val="26"/>
          <w:lang w:val="it-IT"/>
        </w:rPr>
        <w:t>dell’</w:t>
      </w:r>
      <w:r w:rsidR="00315BD1">
        <w:rPr>
          <w:rFonts w:ascii="Garamond" w:hAnsi="Garamond"/>
          <w:iCs/>
          <w:sz w:val="26"/>
          <w:szCs w:val="26"/>
          <w:lang w:val="it-IT"/>
        </w:rPr>
        <w:t xml:space="preserve">emergenza sanitaria </w:t>
      </w:r>
      <w:r w:rsidR="0005553C">
        <w:rPr>
          <w:rFonts w:ascii="Garamond" w:hAnsi="Garamond"/>
          <w:iCs/>
          <w:sz w:val="26"/>
          <w:szCs w:val="26"/>
          <w:lang w:val="it-IT"/>
        </w:rPr>
        <w:t xml:space="preserve">da Covid-19 </w:t>
      </w:r>
      <w:r w:rsidR="00315BD1" w:rsidRPr="00B97122">
        <w:rPr>
          <w:rStyle w:val="Rimandonotaapidipagina"/>
          <w:rFonts w:ascii="Garamond" w:hAnsi="Garamond"/>
          <w:color w:val="000000" w:themeColor="text1"/>
          <w:sz w:val="26"/>
          <w:szCs w:val="26"/>
        </w:rPr>
        <w:footnoteReference w:id="20"/>
      </w:r>
      <w:r w:rsidR="00315BD1">
        <w:rPr>
          <w:rFonts w:ascii="Garamond" w:hAnsi="Garamond"/>
          <w:iCs/>
          <w:sz w:val="26"/>
          <w:szCs w:val="26"/>
          <w:lang w:val="it-IT"/>
        </w:rPr>
        <w:t>.</w:t>
      </w:r>
    </w:p>
    <w:p w14:paraId="02DA8E5F" w14:textId="75F02A50" w:rsidR="0005553C" w:rsidRDefault="00315BD1" w:rsidP="0005553C">
      <w:pPr>
        <w:pStyle w:val="Standard"/>
        <w:spacing w:line="360" w:lineRule="auto"/>
        <w:ind w:left="567" w:right="567"/>
        <w:jc w:val="both"/>
        <w:rPr>
          <w:rFonts w:ascii="Garamond" w:hAnsi="Garamond"/>
          <w:sz w:val="26"/>
          <w:szCs w:val="26"/>
          <w:lang w:val="it-IT"/>
        </w:rPr>
      </w:pPr>
      <w:r>
        <w:rPr>
          <w:rFonts w:ascii="Garamond" w:hAnsi="Garamond"/>
          <w:sz w:val="26"/>
          <w:szCs w:val="26"/>
          <w:lang w:val="it-IT"/>
        </w:rPr>
        <w:tab/>
      </w:r>
      <w:r w:rsidR="00CA425A">
        <w:rPr>
          <w:rFonts w:ascii="Garamond" w:hAnsi="Garamond"/>
          <w:sz w:val="26"/>
          <w:szCs w:val="26"/>
          <w:lang w:val="it-IT"/>
        </w:rPr>
        <w:t xml:space="preserve">Così, ad esempio, si è giudicato ostensibile </w:t>
      </w:r>
      <w:r w:rsidR="00C877AE" w:rsidRPr="00C877AE">
        <w:rPr>
          <w:rFonts w:ascii="Garamond" w:hAnsi="Garamond"/>
          <w:sz w:val="26"/>
          <w:szCs w:val="26"/>
          <w:lang w:val="it-IT"/>
        </w:rPr>
        <w:t>il documento di studio preparatorio del “Piano nazionale di emergenza in tema di coronavirus”</w:t>
      </w:r>
      <w:r w:rsidR="0005553C">
        <w:rPr>
          <w:rFonts w:ascii="Garamond" w:hAnsi="Garamond"/>
          <w:sz w:val="26"/>
          <w:szCs w:val="26"/>
          <w:lang w:val="it-IT"/>
        </w:rPr>
        <w:t xml:space="preserve">, </w:t>
      </w:r>
      <w:r w:rsidR="00C877AE" w:rsidRPr="00C877AE">
        <w:rPr>
          <w:rFonts w:ascii="Garamond" w:hAnsi="Garamond"/>
          <w:sz w:val="26"/>
          <w:szCs w:val="26"/>
          <w:lang w:val="it-IT"/>
        </w:rPr>
        <w:t xml:space="preserve">anche in mancanza di un vero e proprio provvedimento amministrativo di approvazione </w:t>
      </w:r>
      <w:r w:rsidR="0005553C" w:rsidRPr="00B97122">
        <w:rPr>
          <w:rStyle w:val="Rimandonotaapidipagina"/>
          <w:rFonts w:ascii="Garamond" w:hAnsi="Garamond"/>
          <w:color w:val="000000" w:themeColor="text1"/>
          <w:sz w:val="26"/>
          <w:szCs w:val="26"/>
        </w:rPr>
        <w:footnoteReference w:id="21"/>
      </w:r>
      <w:r w:rsidR="0005553C">
        <w:rPr>
          <w:rFonts w:ascii="Garamond" w:hAnsi="Garamond"/>
          <w:sz w:val="26"/>
          <w:szCs w:val="26"/>
          <w:lang w:val="it-IT"/>
        </w:rPr>
        <w:t>.</w:t>
      </w:r>
    </w:p>
    <w:p w14:paraId="2F894143" w14:textId="40E21272" w:rsidR="00CA425A" w:rsidRDefault="00CA425A" w:rsidP="00C877AE">
      <w:pPr>
        <w:pStyle w:val="Standard"/>
        <w:spacing w:line="360" w:lineRule="auto"/>
        <w:ind w:left="567" w:right="567"/>
        <w:jc w:val="both"/>
        <w:rPr>
          <w:rFonts w:ascii="Garamond" w:hAnsi="Garamond"/>
          <w:sz w:val="26"/>
          <w:szCs w:val="26"/>
          <w:lang w:val="it-IT"/>
        </w:rPr>
      </w:pPr>
      <w:r>
        <w:rPr>
          <w:rFonts w:ascii="Garamond" w:hAnsi="Garamond"/>
          <w:sz w:val="26"/>
          <w:szCs w:val="26"/>
          <w:lang w:val="it-IT"/>
        </w:rPr>
        <w:tab/>
        <w:t xml:space="preserve">Allo stesso modo si è ritenuto </w:t>
      </w:r>
      <w:bookmarkStart w:id="6" w:name="_Hlk71905475"/>
      <w:r w:rsidR="002A1DC7">
        <w:rPr>
          <w:rFonts w:ascii="Garamond" w:hAnsi="Garamond"/>
          <w:sz w:val="26"/>
          <w:szCs w:val="26"/>
          <w:lang w:val="it-IT"/>
        </w:rPr>
        <w:t xml:space="preserve">ostensibile </w:t>
      </w:r>
      <w:r w:rsidR="00C877AE" w:rsidRPr="00C877AE">
        <w:rPr>
          <w:rFonts w:ascii="Garamond" w:hAnsi="Garamond"/>
          <w:sz w:val="26"/>
          <w:szCs w:val="26"/>
          <w:lang w:val="it-IT"/>
        </w:rPr>
        <w:t xml:space="preserve">il “resoconto informale” di una riunione tra il Ministero della Salute e la </w:t>
      </w:r>
      <w:r w:rsidR="00C877AE" w:rsidRPr="002A1DC7">
        <w:rPr>
          <w:rFonts w:ascii="Garamond" w:hAnsi="Garamond"/>
          <w:i/>
          <w:iCs/>
          <w:sz w:val="26"/>
          <w:szCs w:val="26"/>
          <w:lang w:val="it-IT"/>
        </w:rPr>
        <w:t>task force</w:t>
      </w:r>
      <w:r w:rsidR="00C877AE" w:rsidRPr="00C877AE">
        <w:rPr>
          <w:rFonts w:ascii="Garamond" w:hAnsi="Garamond"/>
          <w:sz w:val="26"/>
          <w:szCs w:val="26"/>
          <w:lang w:val="it-IT"/>
        </w:rPr>
        <w:t xml:space="preserve"> di tecnici nominati al fine di supportare l’azione del Ministero nel contrasto della pandemia da Covid-19 e di cui si </w:t>
      </w:r>
      <w:r>
        <w:rPr>
          <w:rFonts w:ascii="Garamond" w:hAnsi="Garamond"/>
          <w:sz w:val="26"/>
          <w:szCs w:val="26"/>
          <w:lang w:val="it-IT"/>
        </w:rPr>
        <w:t>era</w:t>
      </w:r>
      <w:r w:rsidR="00C877AE" w:rsidRPr="00C877AE">
        <w:rPr>
          <w:rFonts w:ascii="Garamond" w:hAnsi="Garamond"/>
          <w:sz w:val="26"/>
          <w:szCs w:val="26"/>
          <w:lang w:val="it-IT"/>
        </w:rPr>
        <w:t xml:space="preserve"> </w:t>
      </w:r>
      <w:r w:rsidR="002A1DC7">
        <w:rPr>
          <w:rFonts w:ascii="Garamond" w:hAnsi="Garamond"/>
          <w:sz w:val="26"/>
          <w:szCs w:val="26"/>
          <w:lang w:val="it-IT"/>
        </w:rPr>
        <w:t xml:space="preserve">stata </w:t>
      </w:r>
      <w:r w:rsidR="00C877AE" w:rsidRPr="00C877AE">
        <w:rPr>
          <w:rFonts w:ascii="Garamond" w:hAnsi="Garamond"/>
          <w:sz w:val="26"/>
          <w:szCs w:val="26"/>
          <w:lang w:val="it-IT"/>
        </w:rPr>
        <w:t>data notizia mediante un comunicato pubblicato sul sito istituzionale dello stesso e ciò anche se tratta</w:t>
      </w:r>
      <w:r>
        <w:rPr>
          <w:rFonts w:ascii="Garamond" w:hAnsi="Garamond"/>
          <w:sz w:val="26"/>
          <w:szCs w:val="26"/>
          <w:lang w:val="it-IT"/>
        </w:rPr>
        <w:t>va</w:t>
      </w:r>
      <w:r w:rsidR="00C877AE" w:rsidRPr="00C877AE">
        <w:rPr>
          <w:rFonts w:ascii="Garamond" w:hAnsi="Garamond"/>
          <w:sz w:val="26"/>
          <w:szCs w:val="26"/>
          <w:lang w:val="it-IT"/>
        </w:rPr>
        <w:t>si di un tavolo di consultazione informale</w:t>
      </w:r>
      <w:bookmarkEnd w:id="6"/>
      <w:r w:rsidR="00C877AE" w:rsidRPr="00C877AE">
        <w:rPr>
          <w:rFonts w:ascii="Garamond" w:hAnsi="Garamond"/>
          <w:sz w:val="26"/>
          <w:szCs w:val="26"/>
          <w:lang w:val="it-IT"/>
        </w:rPr>
        <w:t xml:space="preserve">, ovvero di un’attività interna istruttoria non relativa ad uno specifico procedimento </w:t>
      </w:r>
      <w:r w:rsidRPr="00B97122">
        <w:rPr>
          <w:rStyle w:val="Rimandonotaapidipagina"/>
          <w:rFonts w:ascii="Garamond" w:hAnsi="Garamond"/>
          <w:color w:val="000000" w:themeColor="text1"/>
          <w:sz w:val="26"/>
          <w:szCs w:val="26"/>
        </w:rPr>
        <w:footnoteReference w:id="22"/>
      </w:r>
      <w:r>
        <w:rPr>
          <w:rFonts w:ascii="Garamond" w:hAnsi="Garamond"/>
          <w:sz w:val="26"/>
          <w:szCs w:val="26"/>
          <w:lang w:val="it-IT"/>
        </w:rPr>
        <w:t>.</w:t>
      </w:r>
    </w:p>
    <w:p w14:paraId="0628B520" w14:textId="422C150D" w:rsidR="00C877AE" w:rsidRPr="00C877AE" w:rsidRDefault="002A1DC7" w:rsidP="002A1DC7">
      <w:pPr>
        <w:pStyle w:val="Standard"/>
        <w:spacing w:line="360" w:lineRule="auto"/>
        <w:ind w:left="567" w:right="567" w:firstLine="141"/>
        <w:jc w:val="both"/>
        <w:rPr>
          <w:rFonts w:ascii="Garamond" w:eastAsia="Times New Roman" w:hAnsi="Garamond" w:cstheme="minorHAnsi"/>
          <w:color w:val="000000"/>
          <w:sz w:val="26"/>
          <w:szCs w:val="26"/>
          <w:lang w:val="it-IT"/>
        </w:rPr>
      </w:pPr>
      <w:bookmarkStart w:id="7" w:name="_Hlk77603456"/>
      <w:r>
        <w:rPr>
          <w:rFonts w:ascii="Garamond" w:eastAsia="Times New Roman" w:hAnsi="Garamond" w:cstheme="minorHAnsi"/>
          <w:color w:val="000000"/>
          <w:sz w:val="26"/>
          <w:szCs w:val="26"/>
          <w:lang w:val="it-IT"/>
        </w:rPr>
        <w:t>Infine, è stata ritenuta meritevole di accoglimento</w:t>
      </w:r>
      <w:bookmarkStart w:id="8" w:name="_Hlk77606027"/>
      <w:r>
        <w:rPr>
          <w:rFonts w:ascii="Garamond" w:eastAsia="Times New Roman" w:hAnsi="Garamond" w:cstheme="minorHAnsi"/>
          <w:color w:val="000000"/>
          <w:sz w:val="26"/>
          <w:szCs w:val="26"/>
          <w:lang w:val="it-IT"/>
        </w:rPr>
        <w:t xml:space="preserve"> </w:t>
      </w:r>
      <w:r w:rsidR="00C877AE" w:rsidRPr="00C877AE">
        <w:rPr>
          <w:rFonts w:ascii="Garamond" w:eastAsia="Times New Roman" w:hAnsi="Garamond" w:cstheme="minorHAnsi"/>
          <w:color w:val="000000"/>
          <w:sz w:val="26"/>
          <w:szCs w:val="26"/>
          <w:lang w:val="it-IT"/>
        </w:rPr>
        <w:t>l’istanza di accesso civico generalizzato ai verbali, ai documenti ed alle informazioni relativi alla riunione tenutasi in data 29</w:t>
      </w:r>
      <w:r>
        <w:rPr>
          <w:rFonts w:ascii="Garamond" w:eastAsia="Times New Roman" w:hAnsi="Garamond" w:cstheme="minorHAnsi"/>
          <w:color w:val="000000"/>
          <w:sz w:val="26"/>
          <w:szCs w:val="26"/>
          <w:lang w:val="it-IT"/>
        </w:rPr>
        <w:t xml:space="preserve"> ottobre </w:t>
      </w:r>
      <w:r w:rsidR="00C877AE" w:rsidRPr="00C877AE">
        <w:rPr>
          <w:rFonts w:ascii="Garamond" w:eastAsia="Times New Roman" w:hAnsi="Garamond" w:cstheme="minorHAnsi"/>
          <w:color w:val="000000"/>
          <w:sz w:val="26"/>
          <w:szCs w:val="26"/>
          <w:lang w:val="it-IT"/>
        </w:rPr>
        <w:t xml:space="preserve">2020 tra un’azienda produttrice di </w:t>
      </w:r>
      <w:r w:rsidR="009611D4">
        <w:rPr>
          <w:rFonts w:ascii="Garamond" w:eastAsia="Times New Roman" w:hAnsi="Garamond" w:cstheme="minorHAnsi"/>
          <w:color w:val="000000"/>
          <w:sz w:val="26"/>
          <w:szCs w:val="26"/>
          <w:lang w:val="it-IT"/>
        </w:rPr>
        <w:t xml:space="preserve">farmaci con </w:t>
      </w:r>
      <w:r w:rsidR="00C877AE" w:rsidRPr="00C877AE">
        <w:rPr>
          <w:rFonts w:ascii="Garamond" w:eastAsia="Times New Roman" w:hAnsi="Garamond" w:cstheme="minorHAnsi"/>
          <w:color w:val="000000"/>
          <w:sz w:val="26"/>
          <w:szCs w:val="26"/>
          <w:lang w:val="it-IT"/>
        </w:rPr>
        <w:t>anticorpi monoclonali ed i rappresentanti del Ministero della Salute, del Comitato tecnico scientifico e dell’Ospedale Spallanzani di Roma, quand’anche redatti in forma di “rendiconto informale”</w:t>
      </w:r>
      <w:bookmarkEnd w:id="8"/>
      <w:r w:rsidR="00C877AE" w:rsidRPr="00C877AE">
        <w:rPr>
          <w:rFonts w:ascii="Garamond" w:eastAsia="Times New Roman" w:hAnsi="Garamond" w:cstheme="minorHAnsi"/>
          <w:color w:val="000000"/>
          <w:sz w:val="26"/>
          <w:szCs w:val="26"/>
          <w:lang w:val="it-IT"/>
        </w:rPr>
        <w:t xml:space="preserve"> </w:t>
      </w:r>
      <w:r w:rsidR="009611D4" w:rsidRPr="00B97122">
        <w:rPr>
          <w:rStyle w:val="Rimandonotaapidipagina"/>
          <w:rFonts w:ascii="Garamond" w:hAnsi="Garamond"/>
          <w:color w:val="000000" w:themeColor="text1"/>
          <w:sz w:val="26"/>
          <w:szCs w:val="26"/>
        </w:rPr>
        <w:footnoteReference w:id="23"/>
      </w:r>
      <w:r w:rsidR="00C877AE" w:rsidRPr="00C877AE">
        <w:rPr>
          <w:rFonts w:ascii="Garamond" w:eastAsia="Times New Roman" w:hAnsi="Garamond" w:cstheme="minorHAnsi"/>
          <w:color w:val="000000"/>
          <w:sz w:val="26"/>
          <w:szCs w:val="26"/>
          <w:lang w:val="it-IT"/>
        </w:rPr>
        <w:t>.</w:t>
      </w:r>
    </w:p>
    <w:bookmarkEnd w:id="7"/>
    <w:p w14:paraId="09FD030B" w14:textId="74A3E2C1" w:rsidR="00D13B66" w:rsidRPr="00D13B66" w:rsidRDefault="009611D4" w:rsidP="000B7320">
      <w:pPr>
        <w:pStyle w:val="Standard"/>
        <w:spacing w:line="360" w:lineRule="auto"/>
        <w:ind w:left="567" w:right="567" w:firstLine="141"/>
        <w:jc w:val="both"/>
        <w:rPr>
          <w:rFonts w:ascii="Garamond" w:hAnsi="Garamond"/>
          <w:iCs/>
          <w:color w:val="000000"/>
          <w:sz w:val="26"/>
          <w:szCs w:val="26"/>
          <w:lang w:val="it-IT"/>
        </w:rPr>
      </w:pPr>
      <w:r>
        <w:rPr>
          <w:rFonts w:ascii="Garamond" w:hAnsi="Garamond"/>
          <w:iCs/>
          <w:color w:val="000000"/>
          <w:sz w:val="26"/>
          <w:szCs w:val="26"/>
          <w:lang w:val="it-IT"/>
        </w:rPr>
        <w:t xml:space="preserve">Ciò detto, </w:t>
      </w:r>
      <w:r w:rsidR="005F25A0">
        <w:rPr>
          <w:rFonts w:ascii="Garamond" w:hAnsi="Garamond"/>
          <w:iCs/>
          <w:color w:val="000000"/>
          <w:sz w:val="26"/>
          <w:szCs w:val="26"/>
          <w:lang w:val="it-IT"/>
        </w:rPr>
        <w:t xml:space="preserve">è innegabile che </w:t>
      </w:r>
      <w:r>
        <w:rPr>
          <w:rFonts w:ascii="Garamond" w:hAnsi="Garamond"/>
          <w:iCs/>
          <w:color w:val="000000"/>
          <w:sz w:val="26"/>
          <w:szCs w:val="26"/>
          <w:lang w:val="it-IT"/>
        </w:rPr>
        <w:t>r</w:t>
      </w:r>
      <w:r w:rsidR="005F25A0">
        <w:rPr>
          <w:rFonts w:ascii="Garamond" w:hAnsi="Garamond"/>
          <w:iCs/>
          <w:color w:val="000000"/>
          <w:sz w:val="26"/>
          <w:szCs w:val="26"/>
          <w:lang w:val="it-IT"/>
        </w:rPr>
        <w:t>esta</w:t>
      </w:r>
      <w:r w:rsidR="006D352C">
        <w:rPr>
          <w:rFonts w:ascii="Garamond" w:hAnsi="Garamond"/>
          <w:iCs/>
          <w:color w:val="000000"/>
          <w:sz w:val="26"/>
          <w:szCs w:val="26"/>
          <w:lang w:val="it-IT"/>
        </w:rPr>
        <w:t xml:space="preserve">no comunque, anche </w:t>
      </w:r>
      <w:r>
        <w:rPr>
          <w:rFonts w:ascii="Garamond" w:hAnsi="Garamond"/>
          <w:iCs/>
          <w:color w:val="000000"/>
          <w:sz w:val="26"/>
          <w:szCs w:val="26"/>
          <w:lang w:val="it-IT"/>
        </w:rPr>
        <w:t xml:space="preserve">secondo </w:t>
      </w:r>
      <w:r w:rsidR="005F25A0">
        <w:rPr>
          <w:rFonts w:ascii="Garamond" w:hAnsi="Garamond"/>
          <w:iCs/>
          <w:color w:val="000000"/>
          <w:sz w:val="26"/>
          <w:szCs w:val="26"/>
          <w:lang w:val="it-IT"/>
        </w:rPr>
        <w:t>questo orientamento giurisprudenziale più estensivo</w:t>
      </w:r>
      <w:r>
        <w:rPr>
          <w:rFonts w:ascii="Garamond" w:hAnsi="Garamond"/>
          <w:iCs/>
          <w:color w:val="000000"/>
          <w:sz w:val="26"/>
          <w:szCs w:val="26"/>
          <w:lang w:val="it-IT"/>
        </w:rPr>
        <w:t xml:space="preserve">, </w:t>
      </w:r>
      <w:r w:rsidR="006D352C">
        <w:rPr>
          <w:rFonts w:ascii="Garamond" w:hAnsi="Garamond"/>
          <w:iCs/>
          <w:color w:val="000000"/>
          <w:sz w:val="26"/>
          <w:szCs w:val="26"/>
          <w:lang w:val="it-IT"/>
        </w:rPr>
        <w:t xml:space="preserve">alcuni limiti dell’accesso civico generalizzato sul piano dell’“oggetto”, che vanno confrontati con la percorribilità di </w:t>
      </w:r>
      <w:r>
        <w:rPr>
          <w:rFonts w:ascii="Garamond" w:hAnsi="Garamond"/>
          <w:iCs/>
          <w:color w:val="000000"/>
          <w:sz w:val="26"/>
          <w:szCs w:val="26"/>
          <w:lang w:val="it-IT"/>
        </w:rPr>
        <w:t>un’</w:t>
      </w:r>
      <w:r w:rsidR="006D352C">
        <w:rPr>
          <w:rFonts w:ascii="Garamond" w:hAnsi="Garamond"/>
          <w:iCs/>
          <w:color w:val="000000"/>
          <w:sz w:val="26"/>
          <w:szCs w:val="26"/>
          <w:lang w:val="it-IT"/>
        </w:rPr>
        <w:t xml:space="preserve">altra e distinta </w:t>
      </w:r>
      <w:r w:rsidR="005F25A0">
        <w:rPr>
          <w:rFonts w:ascii="Garamond" w:hAnsi="Garamond"/>
          <w:iCs/>
          <w:color w:val="000000"/>
          <w:sz w:val="26"/>
          <w:szCs w:val="26"/>
          <w:lang w:val="it-IT"/>
        </w:rPr>
        <w:t>soluzione</w:t>
      </w:r>
      <w:r w:rsidR="006D352C">
        <w:rPr>
          <w:rFonts w:ascii="Garamond" w:hAnsi="Garamond"/>
          <w:iCs/>
          <w:color w:val="000000"/>
          <w:sz w:val="26"/>
          <w:szCs w:val="26"/>
          <w:lang w:val="it-IT"/>
        </w:rPr>
        <w:t>, rappresentata dal “diritto all’informazione” ex art. 2 della legge n. 241 del 1990</w:t>
      </w:r>
      <w:r>
        <w:rPr>
          <w:rFonts w:ascii="Garamond" w:hAnsi="Garamond"/>
          <w:iCs/>
          <w:color w:val="000000"/>
          <w:sz w:val="26"/>
          <w:szCs w:val="26"/>
          <w:lang w:val="it-IT"/>
        </w:rPr>
        <w:t>:</w:t>
      </w:r>
      <w:r w:rsidR="006D352C">
        <w:rPr>
          <w:rFonts w:ascii="Garamond" w:hAnsi="Garamond"/>
          <w:iCs/>
          <w:color w:val="000000"/>
          <w:sz w:val="26"/>
          <w:szCs w:val="26"/>
          <w:lang w:val="it-IT"/>
        </w:rPr>
        <w:t xml:space="preserve"> </w:t>
      </w:r>
      <w:r>
        <w:rPr>
          <w:rFonts w:ascii="Garamond" w:hAnsi="Garamond"/>
          <w:iCs/>
          <w:color w:val="000000"/>
          <w:sz w:val="26"/>
          <w:szCs w:val="26"/>
          <w:lang w:val="it-IT"/>
        </w:rPr>
        <w:t xml:space="preserve">di questa </w:t>
      </w:r>
      <w:r w:rsidR="006D352C">
        <w:rPr>
          <w:rFonts w:ascii="Garamond" w:hAnsi="Garamond"/>
          <w:iCs/>
          <w:color w:val="000000"/>
          <w:sz w:val="26"/>
          <w:szCs w:val="26"/>
          <w:lang w:val="it-IT"/>
        </w:rPr>
        <w:t xml:space="preserve">questione </w:t>
      </w:r>
      <w:r>
        <w:rPr>
          <w:rFonts w:ascii="Garamond" w:hAnsi="Garamond"/>
          <w:iCs/>
          <w:color w:val="000000"/>
          <w:sz w:val="26"/>
          <w:szCs w:val="26"/>
          <w:lang w:val="it-IT"/>
        </w:rPr>
        <w:t xml:space="preserve">si dirà </w:t>
      </w:r>
      <w:r w:rsidR="006D352C">
        <w:rPr>
          <w:rFonts w:ascii="Garamond" w:hAnsi="Garamond"/>
          <w:iCs/>
          <w:color w:val="000000"/>
          <w:sz w:val="26"/>
          <w:szCs w:val="26"/>
          <w:lang w:val="it-IT"/>
        </w:rPr>
        <w:t>nel prosieguo.</w:t>
      </w:r>
    </w:p>
    <w:p w14:paraId="422BB633" w14:textId="77777777" w:rsidR="00112ACF" w:rsidRDefault="00112ACF" w:rsidP="00E259B2">
      <w:pPr>
        <w:pStyle w:val="Standard"/>
        <w:spacing w:line="360" w:lineRule="auto"/>
        <w:ind w:left="567" w:right="567"/>
        <w:jc w:val="both"/>
        <w:rPr>
          <w:rFonts w:ascii="Garamond" w:hAnsi="Garamond" w:cs="Arial"/>
          <w:b/>
          <w:bCs/>
          <w:sz w:val="26"/>
          <w:szCs w:val="26"/>
          <w:lang w:val="it-IT"/>
        </w:rPr>
      </w:pPr>
    </w:p>
    <w:p w14:paraId="3A1BE734" w14:textId="3E93AB9F" w:rsidR="00C877AE" w:rsidRPr="00C877AE" w:rsidRDefault="0055792A" w:rsidP="00E259B2">
      <w:pPr>
        <w:pStyle w:val="Standard"/>
        <w:spacing w:line="360" w:lineRule="auto"/>
        <w:ind w:left="567" w:right="567"/>
        <w:jc w:val="both"/>
        <w:rPr>
          <w:rFonts w:ascii="Garamond" w:hAnsi="Garamond" w:cs="Arial"/>
          <w:b/>
          <w:bCs/>
          <w:sz w:val="26"/>
          <w:szCs w:val="26"/>
          <w:lang w:val="it-IT"/>
        </w:rPr>
      </w:pPr>
      <w:r>
        <w:rPr>
          <w:rFonts w:ascii="Garamond" w:hAnsi="Garamond" w:cs="Arial"/>
          <w:b/>
          <w:bCs/>
          <w:sz w:val="26"/>
          <w:szCs w:val="26"/>
          <w:lang w:val="it-IT"/>
        </w:rPr>
        <w:t>3</w:t>
      </w:r>
      <w:r w:rsidR="00C877AE" w:rsidRPr="00C877AE">
        <w:rPr>
          <w:rFonts w:ascii="Garamond" w:hAnsi="Garamond" w:cs="Arial"/>
          <w:b/>
          <w:bCs/>
          <w:sz w:val="26"/>
          <w:szCs w:val="26"/>
          <w:lang w:val="it-IT"/>
        </w:rPr>
        <w:t>.2. Le limitazioni dell’accesso civico generalizzato ex art. 5-bis d.lgs. n. 33 del 2013.</w:t>
      </w:r>
    </w:p>
    <w:p w14:paraId="49E3487C" w14:textId="20A63101" w:rsidR="00C75169" w:rsidRPr="00C24C5F" w:rsidRDefault="00C24C5F" w:rsidP="00E259B2">
      <w:pPr>
        <w:pStyle w:val="Standard"/>
        <w:spacing w:line="360" w:lineRule="auto"/>
        <w:ind w:left="567" w:right="567"/>
        <w:jc w:val="both"/>
        <w:rPr>
          <w:rFonts w:ascii="Garamond" w:hAnsi="Garamond" w:cs="Arial"/>
          <w:sz w:val="26"/>
          <w:szCs w:val="26"/>
          <w:lang w:val="it-IT"/>
        </w:rPr>
      </w:pPr>
      <w:r>
        <w:rPr>
          <w:rFonts w:ascii="Garamond" w:hAnsi="Garamond" w:cs="Arial"/>
          <w:sz w:val="26"/>
          <w:szCs w:val="26"/>
          <w:lang w:val="it-IT"/>
        </w:rPr>
        <w:tab/>
        <w:t xml:space="preserve">Un secondo </w:t>
      </w:r>
      <w:r w:rsidR="007E2327">
        <w:rPr>
          <w:rFonts w:ascii="Garamond" w:hAnsi="Garamond" w:cs="Arial"/>
          <w:sz w:val="26"/>
          <w:szCs w:val="26"/>
          <w:lang w:val="it-IT"/>
        </w:rPr>
        <w:t xml:space="preserve">filone </w:t>
      </w:r>
      <w:r w:rsidR="005F25A0">
        <w:rPr>
          <w:rFonts w:ascii="Garamond" w:hAnsi="Garamond" w:cs="Arial"/>
          <w:sz w:val="26"/>
          <w:szCs w:val="26"/>
          <w:lang w:val="it-IT"/>
        </w:rPr>
        <w:t xml:space="preserve">casistico </w:t>
      </w:r>
      <w:r>
        <w:rPr>
          <w:rFonts w:ascii="Garamond" w:hAnsi="Garamond" w:cs="Arial"/>
          <w:sz w:val="26"/>
          <w:szCs w:val="26"/>
          <w:lang w:val="it-IT"/>
        </w:rPr>
        <w:t xml:space="preserve">che merita di essere segnalato </w:t>
      </w:r>
      <w:r w:rsidR="007E2327">
        <w:rPr>
          <w:rFonts w:ascii="Garamond" w:hAnsi="Garamond" w:cs="Arial"/>
          <w:sz w:val="26"/>
          <w:szCs w:val="26"/>
          <w:lang w:val="it-IT"/>
        </w:rPr>
        <w:t xml:space="preserve">riguarda </w:t>
      </w:r>
      <w:r w:rsidR="00A8215A">
        <w:rPr>
          <w:rFonts w:ascii="Garamond" w:hAnsi="Garamond" w:cs="Arial"/>
          <w:sz w:val="26"/>
          <w:szCs w:val="26"/>
          <w:lang w:val="it-IT"/>
        </w:rPr>
        <w:t>le</w:t>
      </w:r>
      <w:r>
        <w:rPr>
          <w:rFonts w:ascii="Garamond" w:hAnsi="Garamond" w:cs="Arial"/>
          <w:sz w:val="26"/>
          <w:szCs w:val="26"/>
          <w:lang w:val="it-IT"/>
        </w:rPr>
        <w:t xml:space="preserve"> limitazioni</w:t>
      </w:r>
      <w:r w:rsidRPr="00C24C5F">
        <w:rPr>
          <w:rFonts w:ascii="Garamond" w:hAnsi="Garamond" w:cs="Arial"/>
          <w:sz w:val="26"/>
          <w:szCs w:val="26"/>
          <w:lang w:val="it-IT"/>
        </w:rPr>
        <w:t xml:space="preserve"> dell’accesso civico generalizzato agli atti di gestione dell’emergenza sanitaria da Covid-19</w:t>
      </w:r>
      <w:r w:rsidR="006D352C">
        <w:rPr>
          <w:rFonts w:ascii="Garamond" w:hAnsi="Garamond" w:cs="Arial"/>
          <w:sz w:val="26"/>
          <w:szCs w:val="26"/>
          <w:lang w:val="it-IT"/>
        </w:rPr>
        <w:t xml:space="preserve"> ai sensi dell’art. 5-bis d.lgs. n. 33 del 2013.</w:t>
      </w:r>
    </w:p>
    <w:p w14:paraId="0BD53762" w14:textId="22B2C244" w:rsidR="007E2327" w:rsidRDefault="00C24C5F" w:rsidP="007E2327">
      <w:pPr>
        <w:pStyle w:val="Standard"/>
        <w:spacing w:line="360" w:lineRule="auto"/>
        <w:ind w:left="567" w:right="567"/>
        <w:jc w:val="both"/>
        <w:rPr>
          <w:rFonts w:ascii="Garamond" w:hAnsi="Garamond"/>
          <w:sz w:val="26"/>
          <w:szCs w:val="26"/>
          <w:lang w:val="it-IT"/>
        </w:rPr>
      </w:pPr>
      <w:r w:rsidRPr="00C24C5F">
        <w:rPr>
          <w:rFonts w:ascii="Garamond" w:hAnsi="Garamond" w:cs="Arial"/>
          <w:sz w:val="26"/>
          <w:szCs w:val="26"/>
          <w:lang w:val="it-IT"/>
        </w:rPr>
        <w:tab/>
      </w:r>
      <w:r w:rsidR="006D352C">
        <w:rPr>
          <w:rFonts w:ascii="Garamond" w:hAnsi="Garamond" w:cs="Arial"/>
          <w:sz w:val="26"/>
          <w:szCs w:val="26"/>
          <w:lang w:val="it-IT"/>
        </w:rPr>
        <w:t>Va, anzitutto, rilevato che i</w:t>
      </w:r>
      <w:r w:rsidRPr="00C24C5F">
        <w:rPr>
          <w:rFonts w:ascii="Garamond" w:hAnsi="Garamond" w:cs="Arial"/>
          <w:sz w:val="26"/>
          <w:szCs w:val="26"/>
          <w:lang w:val="it-IT"/>
        </w:rPr>
        <w:t>l tema ha rappresentato</w:t>
      </w:r>
      <w:r w:rsidR="006D352C">
        <w:rPr>
          <w:rFonts w:ascii="Garamond" w:hAnsi="Garamond" w:cs="Arial"/>
          <w:sz w:val="26"/>
          <w:szCs w:val="26"/>
          <w:lang w:val="it-IT"/>
        </w:rPr>
        <w:t xml:space="preserve"> </w:t>
      </w:r>
      <w:r w:rsidRPr="00C24C5F">
        <w:rPr>
          <w:rFonts w:ascii="Garamond" w:hAnsi="Garamond" w:cs="Arial"/>
          <w:sz w:val="26"/>
          <w:szCs w:val="26"/>
          <w:lang w:val="it-IT"/>
        </w:rPr>
        <w:t xml:space="preserve">l’occasione </w:t>
      </w:r>
      <w:r w:rsidR="006D352C">
        <w:rPr>
          <w:rFonts w:ascii="Garamond" w:hAnsi="Garamond" w:cs="Arial"/>
          <w:sz w:val="26"/>
          <w:szCs w:val="26"/>
          <w:lang w:val="it-IT"/>
        </w:rPr>
        <w:t xml:space="preserve">per la giurisprudenza per </w:t>
      </w:r>
      <w:r w:rsidRPr="00C24C5F">
        <w:rPr>
          <w:rFonts w:ascii="Garamond" w:hAnsi="Garamond" w:cs="Arial"/>
          <w:sz w:val="26"/>
          <w:szCs w:val="26"/>
          <w:lang w:val="it-IT"/>
        </w:rPr>
        <w:t>ri</w:t>
      </w:r>
      <w:r w:rsidR="006D352C">
        <w:rPr>
          <w:rFonts w:ascii="Garamond" w:hAnsi="Garamond" w:cs="Arial"/>
          <w:sz w:val="26"/>
          <w:szCs w:val="26"/>
          <w:lang w:val="it-IT"/>
        </w:rPr>
        <w:t>badire</w:t>
      </w:r>
      <w:r w:rsidR="00A8215A">
        <w:rPr>
          <w:rFonts w:ascii="Garamond" w:hAnsi="Garamond" w:cs="Arial"/>
          <w:sz w:val="26"/>
          <w:szCs w:val="26"/>
          <w:lang w:val="it-IT"/>
        </w:rPr>
        <w:t xml:space="preserve"> </w:t>
      </w:r>
      <w:r w:rsidR="007E2327">
        <w:rPr>
          <w:rFonts w:ascii="Garamond" w:hAnsi="Garamond" w:cs="Arial"/>
          <w:sz w:val="26"/>
          <w:szCs w:val="26"/>
          <w:lang w:val="it-IT"/>
        </w:rPr>
        <w:t xml:space="preserve">che la “trasparenza” e l’accesso civico generalizzato costituiscono un </w:t>
      </w:r>
      <w:r w:rsidR="007E2327" w:rsidRPr="005F25A0">
        <w:rPr>
          <w:rFonts w:ascii="Garamond" w:hAnsi="Garamond" w:cs="Arial"/>
          <w:i/>
          <w:sz w:val="26"/>
          <w:szCs w:val="26"/>
          <w:lang w:val="it-IT"/>
        </w:rPr>
        <w:t>“principio generale dell’ordinamento giuridico</w:t>
      </w:r>
      <w:r w:rsidR="006D352C" w:rsidRPr="005F25A0">
        <w:rPr>
          <w:rFonts w:ascii="Garamond" w:hAnsi="Garamond" w:cs="Arial"/>
          <w:i/>
          <w:sz w:val="26"/>
          <w:szCs w:val="26"/>
          <w:lang w:val="it-IT"/>
        </w:rPr>
        <w:t>”</w:t>
      </w:r>
      <w:r w:rsidR="007E2327">
        <w:rPr>
          <w:rFonts w:ascii="Garamond" w:hAnsi="Garamond" w:cs="Arial"/>
          <w:sz w:val="26"/>
          <w:szCs w:val="26"/>
          <w:lang w:val="it-IT"/>
        </w:rPr>
        <w:t xml:space="preserve">, sì che </w:t>
      </w:r>
      <w:r w:rsidRPr="00C24C5F">
        <w:rPr>
          <w:rFonts w:ascii="Garamond" w:hAnsi="Garamond"/>
          <w:sz w:val="26"/>
          <w:szCs w:val="26"/>
          <w:lang w:val="it-IT"/>
        </w:rPr>
        <w:t xml:space="preserve">le </w:t>
      </w:r>
      <w:r w:rsidR="007E2327">
        <w:rPr>
          <w:rFonts w:ascii="Garamond" w:hAnsi="Garamond"/>
          <w:sz w:val="26"/>
          <w:szCs w:val="26"/>
          <w:lang w:val="it-IT"/>
        </w:rPr>
        <w:t xml:space="preserve">relative </w:t>
      </w:r>
      <w:r w:rsidRPr="00C24C5F">
        <w:rPr>
          <w:rFonts w:ascii="Garamond" w:hAnsi="Garamond"/>
          <w:sz w:val="26"/>
          <w:szCs w:val="26"/>
          <w:lang w:val="it-IT"/>
        </w:rPr>
        <w:t xml:space="preserve">limitazioni </w:t>
      </w:r>
      <w:r w:rsidR="00A8215A">
        <w:rPr>
          <w:rFonts w:ascii="Garamond" w:hAnsi="Garamond"/>
          <w:sz w:val="26"/>
          <w:szCs w:val="26"/>
          <w:lang w:val="it-IT"/>
        </w:rPr>
        <w:t xml:space="preserve">devono essere </w:t>
      </w:r>
      <w:r w:rsidR="007E2327">
        <w:rPr>
          <w:rFonts w:ascii="Garamond" w:hAnsi="Garamond"/>
          <w:sz w:val="26"/>
          <w:szCs w:val="26"/>
          <w:lang w:val="it-IT"/>
        </w:rPr>
        <w:t xml:space="preserve">considerate </w:t>
      </w:r>
      <w:r w:rsidRPr="00C24C5F">
        <w:rPr>
          <w:rFonts w:ascii="Garamond" w:hAnsi="Garamond"/>
          <w:sz w:val="26"/>
          <w:szCs w:val="26"/>
          <w:lang w:val="it-IT"/>
        </w:rPr>
        <w:t xml:space="preserve">fattispecie eccezionali, </w:t>
      </w:r>
      <w:r w:rsidR="009611D4">
        <w:rPr>
          <w:rFonts w:ascii="Garamond" w:hAnsi="Garamond"/>
          <w:sz w:val="26"/>
          <w:szCs w:val="26"/>
          <w:lang w:val="it-IT"/>
        </w:rPr>
        <w:t xml:space="preserve">insuscettibili di </w:t>
      </w:r>
      <w:r w:rsidRPr="00C24C5F">
        <w:rPr>
          <w:rFonts w:ascii="Garamond" w:hAnsi="Garamond"/>
          <w:sz w:val="26"/>
          <w:szCs w:val="26"/>
          <w:lang w:val="it-IT"/>
        </w:rPr>
        <w:t xml:space="preserve">interpretazione estensiva e </w:t>
      </w:r>
      <w:r w:rsidR="007E2327">
        <w:rPr>
          <w:rFonts w:ascii="Garamond" w:hAnsi="Garamond"/>
          <w:sz w:val="26"/>
          <w:szCs w:val="26"/>
          <w:lang w:val="it-IT"/>
        </w:rPr>
        <w:t xml:space="preserve">di </w:t>
      </w:r>
      <w:r w:rsidRPr="00C24C5F">
        <w:rPr>
          <w:rFonts w:ascii="Garamond" w:hAnsi="Garamond"/>
          <w:sz w:val="26"/>
          <w:szCs w:val="26"/>
          <w:lang w:val="it-IT"/>
        </w:rPr>
        <w:t>applicazione analogica</w:t>
      </w:r>
      <w:r w:rsidR="007E2327">
        <w:rPr>
          <w:rFonts w:ascii="Garamond" w:hAnsi="Garamond"/>
          <w:sz w:val="26"/>
          <w:szCs w:val="26"/>
          <w:lang w:val="it-IT"/>
        </w:rPr>
        <w:t xml:space="preserve"> </w:t>
      </w:r>
      <w:r w:rsidR="007E2327" w:rsidRPr="00B97122">
        <w:rPr>
          <w:rStyle w:val="Rimandonotaapidipagina"/>
          <w:rFonts w:ascii="Garamond" w:hAnsi="Garamond"/>
          <w:color w:val="000000" w:themeColor="text1"/>
          <w:sz w:val="26"/>
          <w:szCs w:val="26"/>
        </w:rPr>
        <w:footnoteReference w:id="24"/>
      </w:r>
      <w:r w:rsidR="007E2327">
        <w:rPr>
          <w:rFonts w:ascii="Garamond" w:hAnsi="Garamond"/>
          <w:sz w:val="26"/>
          <w:szCs w:val="26"/>
          <w:lang w:val="it-IT"/>
        </w:rPr>
        <w:t>.</w:t>
      </w:r>
      <w:bookmarkEnd w:id="5"/>
    </w:p>
    <w:p w14:paraId="52BD0302" w14:textId="3ED36872" w:rsidR="002A5DED" w:rsidRDefault="006D352C" w:rsidP="002A5DED">
      <w:pPr>
        <w:pStyle w:val="Standard"/>
        <w:spacing w:line="360" w:lineRule="auto"/>
        <w:ind w:left="567" w:right="567" w:firstLine="141"/>
        <w:jc w:val="both"/>
        <w:rPr>
          <w:rFonts w:ascii="Garamond" w:hAnsi="Garamond" w:cstheme="minorHAnsi"/>
          <w:sz w:val="26"/>
          <w:szCs w:val="26"/>
          <w:lang w:val="it-IT"/>
        </w:rPr>
      </w:pPr>
      <w:r>
        <w:rPr>
          <w:rFonts w:ascii="Garamond" w:hAnsi="Garamond" w:cstheme="minorHAnsi"/>
          <w:color w:val="000000"/>
          <w:sz w:val="26"/>
          <w:szCs w:val="26"/>
          <w:lang w:val="it-IT"/>
        </w:rPr>
        <w:t xml:space="preserve">Ciò è avvenuto, </w:t>
      </w:r>
      <w:r w:rsidR="009712FA">
        <w:rPr>
          <w:rFonts w:ascii="Garamond" w:hAnsi="Garamond" w:cstheme="minorHAnsi"/>
          <w:color w:val="000000"/>
          <w:sz w:val="26"/>
          <w:szCs w:val="26"/>
          <w:lang w:val="it-IT"/>
        </w:rPr>
        <w:t>con conseguenze pratiche di particolare rilievo</w:t>
      </w:r>
      <w:r>
        <w:rPr>
          <w:rFonts w:ascii="Garamond" w:hAnsi="Garamond" w:cstheme="minorHAnsi"/>
          <w:color w:val="000000"/>
          <w:sz w:val="26"/>
          <w:szCs w:val="26"/>
          <w:lang w:val="it-IT"/>
        </w:rPr>
        <w:t xml:space="preserve">, </w:t>
      </w:r>
      <w:r w:rsidR="009712FA">
        <w:rPr>
          <w:rFonts w:ascii="Garamond" w:hAnsi="Garamond" w:cstheme="minorHAnsi"/>
          <w:color w:val="000000"/>
          <w:sz w:val="26"/>
          <w:szCs w:val="26"/>
          <w:lang w:val="it-IT"/>
        </w:rPr>
        <w:t xml:space="preserve">con riferimento </w:t>
      </w:r>
      <w:r w:rsidR="00A8215A">
        <w:rPr>
          <w:rFonts w:ascii="Garamond" w:hAnsi="Garamond" w:cstheme="minorHAnsi"/>
          <w:color w:val="000000"/>
          <w:sz w:val="26"/>
          <w:szCs w:val="26"/>
          <w:lang w:val="it-IT"/>
        </w:rPr>
        <w:t>a</w:t>
      </w:r>
      <w:r w:rsidR="007E2327" w:rsidRPr="007E2327">
        <w:rPr>
          <w:rFonts w:ascii="Garamond" w:hAnsi="Garamond" w:cstheme="minorHAnsi"/>
          <w:color w:val="000000"/>
          <w:sz w:val="26"/>
          <w:szCs w:val="26"/>
          <w:lang w:val="it-IT"/>
        </w:rPr>
        <w:t>i verbali del Comitato tecnico</w:t>
      </w:r>
      <w:r w:rsidR="00A8215A">
        <w:rPr>
          <w:rFonts w:ascii="Garamond" w:hAnsi="Garamond" w:cstheme="minorHAnsi"/>
          <w:color w:val="000000"/>
          <w:sz w:val="26"/>
          <w:szCs w:val="26"/>
          <w:lang w:val="it-IT"/>
        </w:rPr>
        <w:t>-</w:t>
      </w:r>
      <w:r w:rsidR="007E2327" w:rsidRPr="007E2327">
        <w:rPr>
          <w:rFonts w:ascii="Garamond" w:hAnsi="Garamond" w:cstheme="minorHAnsi"/>
          <w:color w:val="000000"/>
          <w:sz w:val="26"/>
          <w:szCs w:val="26"/>
          <w:lang w:val="it-IT"/>
        </w:rPr>
        <w:t>scientifico</w:t>
      </w:r>
      <w:r w:rsidR="007E2327">
        <w:rPr>
          <w:rFonts w:ascii="Garamond" w:hAnsi="Garamond" w:cstheme="minorHAnsi"/>
          <w:color w:val="000000"/>
          <w:sz w:val="26"/>
          <w:szCs w:val="26"/>
          <w:lang w:val="it-IT"/>
        </w:rPr>
        <w:t xml:space="preserve"> prodromici all’emanazione dei d</w:t>
      </w:r>
      <w:r w:rsidR="007E2327" w:rsidRPr="007E2327">
        <w:rPr>
          <w:rFonts w:ascii="Garamond" w:hAnsi="Garamond" w:cstheme="minorHAnsi"/>
          <w:color w:val="000000"/>
          <w:sz w:val="26"/>
          <w:szCs w:val="26"/>
          <w:lang w:val="it-IT"/>
        </w:rPr>
        <w:t xml:space="preserve">.P.C.M. </w:t>
      </w:r>
      <w:r w:rsidR="007E2327" w:rsidRPr="007E2327">
        <w:rPr>
          <w:rFonts w:ascii="Garamond" w:hAnsi="Garamond" w:cstheme="minorHAnsi"/>
          <w:sz w:val="26"/>
          <w:szCs w:val="26"/>
          <w:lang w:val="it-IT"/>
        </w:rPr>
        <w:t>contenenti misure di contrasto alla diffusione del virus Covid-19</w:t>
      </w:r>
      <w:r w:rsidR="007E2327">
        <w:rPr>
          <w:rFonts w:ascii="Garamond" w:hAnsi="Garamond" w:cstheme="minorHAnsi"/>
          <w:sz w:val="26"/>
          <w:szCs w:val="26"/>
          <w:lang w:val="it-IT"/>
        </w:rPr>
        <w:t xml:space="preserve">, </w:t>
      </w:r>
      <w:r w:rsidR="00A8215A">
        <w:rPr>
          <w:rFonts w:ascii="Garamond" w:hAnsi="Garamond" w:cstheme="minorHAnsi"/>
          <w:sz w:val="26"/>
          <w:szCs w:val="26"/>
          <w:lang w:val="it-IT"/>
        </w:rPr>
        <w:t xml:space="preserve">che, </w:t>
      </w:r>
      <w:r w:rsidR="002A5DED" w:rsidRPr="002A5DED">
        <w:rPr>
          <w:rFonts w:ascii="Garamond" w:hAnsi="Garamond"/>
          <w:sz w:val="26"/>
          <w:szCs w:val="26"/>
          <w:lang w:val="it-IT"/>
        </w:rPr>
        <w:t xml:space="preserve">non </w:t>
      </w:r>
      <w:r w:rsidR="002A5DED">
        <w:rPr>
          <w:rFonts w:ascii="Garamond" w:hAnsi="Garamond"/>
          <w:sz w:val="26"/>
          <w:szCs w:val="26"/>
          <w:lang w:val="it-IT"/>
        </w:rPr>
        <w:t xml:space="preserve">essendo propriamente </w:t>
      </w:r>
      <w:r w:rsidR="002A5DED" w:rsidRPr="002A5DED">
        <w:rPr>
          <w:rFonts w:ascii="Garamond" w:hAnsi="Garamond"/>
          <w:sz w:val="26"/>
          <w:szCs w:val="26"/>
          <w:lang w:val="it-IT"/>
        </w:rPr>
        <w:t>“atti normativi” e neppure “atti amministrativi generali”</w:t>
      </w:r>
      <w:r w:rsidR="002A5DED">
        <w:rPr>
          <w:rFonts w:ascii="Garamond" w:hAnsi="Garamond"/>
          <w:sz w:val="26"/>
          <w:szCs w:val="26"/>
          <w:lang w:val="it-IT"/>
        </w:rPr>
        <w:t>,</w:t>
      </w:r>
      <w:r w:rsidR="002A5DED" w:rsidRPr="002A5DED">
        <w:rPr>
          <w:rFonts w:ascii="Garamond" w:hAnsi="Garamond"/>
          <w:sz w:val="26"/>
          <w:szCs w:val="26"/>
          <w:lang w:val="it-IT"/>
        </w:rPr>
        <w:t xml:space="preserve"> ma </w:t>
      </w:r>
      <w:r w:rsidR="00A8215A">
        <w:rPr>
          <w:rFonts w:ascii="Garamond" w:hAnsi="Garamond"/>
          <w:sz w:val="26"/>
          <w:szCs w:val="26"/>
          <w:lang w:val="it-IT"/>
        </w:rPr>
        <w:t>“</w:t>
      </w:r>
      <w:r w:rsidR="002A5DED">
        <w:rPr>
          <w:rFonts w:ascii="Garamond" w:hAnsi="Garamond"/>
          <w:sz w:val="26"/>
          <w:szCs w:val="26"/>
          <w:lang w:val="it-IT"/>
        </w:rPr>
        <w:t>atti atipici</w:t>
      </w:r>
      <w:r w:rsidR="00A8215A">
        <w:rPr>
          <w:rFonts w:ascii="Garamond" w:hAnsi="Garamond"/>
          <w:sz w:val="26"/>
          <w:szCs w:val="26"/>
          <w:lang w:val="it-IT"/>
        </w:rPr>
        <w:t>”</w:t>
      </w:r>
      <w:r w:rsidR="002A5DED">
        <w:rPr>
          <w:rFonts w:ascii="Garamond" w:hAnsi="Garamond"/>
          <w:sz w:val="26"/>
          <w:szCs w:val="26"/>
          <w:lang w:val="it-IT"/>
        </w:rPr>
        <w:t xml:space="preserve"> emanati </w:t>
      </w:r>
      <w:r w:rsidR="002A5DED" w:rsidRPr="002A5DED">
        <w:rPr>
          <w:rFonts w:ascii="Garamond" w:hAnsi="Garamond"/>
          <w:sz w:val="26"/>
          <w:szCs w:val="26"/>
          <w:lang w:val="it-IT"/>
        </w:rPr>
        <w:t>sulla base di circostanze eccez</w:t>
      </w:r>
      <w:r w:rsidR="002A5DED">
        <w:rPr>
          <w:rFonts w:ascii="Garamond" w:hAnsi="Garamond"/>
          <w:sz w:val="26"/>
          <w:szCs w:val="26"/>
          <w:lang w:val="it-IT"/>
        </w:rPr>
        <w:t>ionali e temporalmente limitate</w:t>
      </w:r>
      <w:r w:rsidR="002A5DED" w:rsidRPr="002A5DED">
        <w:rPr>
          <w:rFonts w:ascii="Garamond" w:hAnsi="Garamond" w:cstheme="minorHAnsi"/>
          <w:sz w:val="26"/>
          <w:szCs w:val="26"/>
          <w:lang w:val="it-IT"/>
        </w:rPr>
        <w:t xml:space="preserve">, non possono essere inclusi nei casi di limitazione </w:t>
      </w:r>
      <w:r w:rsidR="005F25A0">
        <w:rPr>
          <w:rFonts w:ascii="Garamond" w:hAnsi="Garamond" w:cstheme="minorHAnsi"/>
          <w:sz w:val="26"/>
          <w:szCs w:val="26"/>
          <w:lang w:val="it-IT"/>
        </w:rPr>
        <w:t xml:space="preserve">assoluta </w:t>
      </w:r>
      <w:r w:rsidR="002A5DED" w:rsidRPr="002A5DED">
        <w:rPr>
          <w:rFonts w:ascii="Garamond" w:hAnsi="Garamond" w:cstheme="minorHAnsi"/>
          <w:sz w:val="26"/>
          <w:szCs w:val="26"/>
          <w:lang w:val="it-IT"/>
        </w:rPr>
        <w:t>pr</w:t>
      </w:r>
      <w:r w:rsidR="002A5DED" w:rsidRPr="007E2327">
        <w:rPr>
          <w:rFonts w:ascii="Garamond" w:hAnsi="Garamond" w:cstheme="minorHAnsi"/>
          <w:sz w:val="26"/>
          <w:szCs w:val="26"/>
          <w:lang w:val="it-IT"/>
        </w:rPr>
        <w:t>evisti dall’art. 5-bis</w:t>
      </w:r>
      <w:r w:rsidR="009611D4">
        <w:rPr>
          <w:rFonts w:ascii="Garamond" w:hAnsi="Garamond" w:cstheme="minorHAnsi"/>
          <w:sz w:val="26"/>
          <w:szCs w:val="26"/>
          <w:lang w:val="it-IT"/>
        </w:rPr>
        <w:t>, comma 3,</w:t>
      </w:r>
      <w:r w:rsidR="002A5DED" w:rsidRPr="007E2327">
        <w:rPr>
          <w:rFonts w:ascii="Garamond" w:hAnsi="Garamond" w:cstheme="minorHAnsi"/>
          <w:sz w:val="26"/>
          <w:szCs w:val="26"/>
          <w:lang w:val="it-IT"/>
        </w:rPr>
        <w:t xml:space="preserve"> </w:t>
      </w:r>
      <w:r w:rsidR="009712FA">
        <w:rPr>
          <w:rFonts w:ascii="Garamond" w:hAnsi="Garamond" w:cstheme="minorHAnsi"/>
          <w:sz w:val="26"/>
          <w:szCs w:val="26"/>
          <w:lang w:val="it-IT"/>
        </w:rPr>
        <w:t>d</w:t>
      </w:r>
      <w:r w:rsidR="002A5DED" w:rsidRPr="007E2327">
        <w:rPr>
          <w:rFonts w:ascii="Garamond" w:hAnsi="Garamond" w:cstheme="minorHAnsi"/>
          <w:sz w:val="26"/>
          <w:szCs w:val="26"/>
          <w:lang w:val="it-IT"/>
        </w:rPr>
        <w:t>.</w:t>
      </w:r>
      <w:r w:rsidR="009712FA">
        <w:rPr>
          <w:rFonts w:ascii="Garamond" w:hAnsi="Garamond" w:cstheme="minorHAnsi"/>
          <w:sz w:val="26"/>
          <w:szCs w:val="26"/>
          <w:lang w:val="it-IT"/>
        </w:rPr>
        <w:t>l</w:t>
      </w:r>
      <w:r w:rsidR="002A5DED" w:rsidRPr="007E2327">
        <w:rPr>
          <w:rFonts w:ascii="Garamond" w:hAnsi="Garamond" w:cstheme="minorHAnsi"/>
          <w:sz w:val="26"/>
          <w:szCs w:val="26"/>
          <w:lang w:val="it-IT"/>
        </w:rPr>
        <w:t xml:space="preserve">gs. </w:t>
      </w:r>
      <w:r w:rsidR="009712FA">
        <w:rPr>
          <w:rFonts w:ascii="Garamond" w:hAnsi="Garamond" w:cstheme="minorHAnsi"/>
          <w:sz w:val="26"/>
          <w:szCs w:val="26"/>
          <w:lang w:val="it-IT"/>
        </w:rPr>
        <w:t xml:space="preserve">n. </w:t>
      </w:r>
      <w:r w:rsidR="002A5DED" w:rsidRPr="007E2327">
        <w:rPr>
          <w:rFonts w:ascii="Garamond" w:hAnsi="Garamond" w:cstheme="minorHAnsi"/>
          <w:sz w:val="26"/>
          <w:szCs w:val="26"/>
          <w:lang w:val="it-IT"/>
        </w:rPr>
        <w:t>33</w:t>
      </w:r>
      <w:r w:rsidR="009712FA">
        <w:rPr>
          <w:rFonts w:ascii="Garamond" w:hAnsi="Garamond" w:cstheme="minorHAnsi"/>
          <w:sz w:val="26"/>
          <w:szCs w:val="26"/>
          <w:lang w:val="it-IT"/>
        </w:rPr>
        <w:t xml:space="preserve"> del </w:t>
      </w:r>
      <w:r w:rsidR="002A5DED" w:rsidRPr="007E2327">
        <w:rPr>
          <w:rFonts w:ascii="Garamond" w:hAnsi="Garamond" w:cstheme="minorHAnsi"/>
          <w:sz w:val="26"/>
          <w:szCs w:val="26"/>
          <w:lang w:val="it-IT"/>
        </w:rPr>
        <w:t>2013</w:t>
      </w:r>
      <w:r w:rsidR="009712FA">
        <w:rPr>
          <w:rFonts w:ascii="Garamond" w:hAnsi="Garamond" w:cstheme="minorHAnsi"/>
          <w:sz w:val="26"/>
          <w:szCs w:val="26"/>
          <w:lang w:val="it-IT"/>
        </w:rPr>
        <w:t xml:space="preserve">, </w:t>
      </w:r>
      <w:r w:rsidR="00E6744D">
        <w:rPr>
          <w:rFonts w:ascii="Garamond" w:hAnsi="Garamond" w:cstheme="minorHAnsi"/>
          <w:sz w:val="26"/>
          <w:szCs w:val="26"/>
          <w:lang w:val="it-IT"/>
        </w:rPr>
        <w:t>non essendo assimilabil</w:t>
      </w:r>
      <w:r w:rsidR="009611D4">
        <w:rPr>
          <w:rFonts w:ascii="Garamond" w:hAnsi="Garamond" w:cstheme="minorHAnsi"/>
          <w:sz w:val="26"/>
          <w:szCs w:val="26"/>
          <w:lang w:val="it-IT"/>
        </w:rPr>
        <w:t>i</w:t>
      </w:r>
      <w:r w:rsidR="00E6744D">
        <w:rPr>
          <w:rFonts w:ascii="Garamond" w:hAnsi="Garamond" w:cstheme="minorHAnsi"/>
          <w:sz w:val="26"/>
          <w:szCs w:val="26"/>
          <w:lang w:val="it-IT"/>
        </w:rPr>
        <w:t xml:space="preserve"> alla fattispecie di cui all’art. 24, comma 1, lett. c)</w:t>
      </w:r>
      <w:r w:rsidR="009611D4">
        <w:rPr>
          <w:rFonts w:ascii="Garamond" w:hAnsi="Garamond" w:cstheme="minorHAnsi"/>
          <w:sz w:val="26"/>
          <w:szCs w:val="26"/>
          <w:lang w:val="it-IT"/>
        </w:rPr>
        <w:t>,</w:t>
      </w:r>
      <w:r w:rsidR="00E6744D">
        <w:rPr>
          <w:rFonts w:ascii="Garamond" w:hAnsi="Garamond" w:cstheme="minorHAnsi"/>
          <w:sz w:val="26"/>
          <w:szCs w:val="26"/>
          <w:lang w:val="it-IT"/>
        </w:rPr>
        <w:t xml:space="preserve"> legge n. 241 del 1990, a cui l’art. 5-bis</w:t>
      </w:r>
      <w:r w:rsidR="009611D4">
        <w:rPr>
          <w:rFonts w:ascii="Garamond" w:hAnsi="Garamond" w:cstheme="minorHAnsi"/>
          <w:sz w:val="26"/>
          <w:szCs w:val="26"/>
          <w:lang w:val="it-IT"/>
        </w:rPr>
        <w:t xml:space="preserve"> </w:t>
      </w:r>
      <w:r w:rsidR="00E6744D">
        <w:rPr>
          <w:rFonts w:ascii="Garamond" w:hAnsi="Garamond" w:cstheme="minorHAnsi"/>
          <w:sz w:val="26"/>
          <w:szCs w:val="26"/>
          <w:lang w:val="it-IT"/>
        </w:rPr>
        <w:t>rinvia</w:t>
      </w:r>
      <w:r w:rsidR="009712FA">
        <w:rPr>
          <w:rFonts w:ascii="Garamond" w:hAnsi="Garamond" w:cstheme="minorHAnsi"/>
          <w:sz w:val="26"/>
          <w:szCs w:val="26"/>
          <w:lang w:val="it-IT"/>
        </w:rPr>
        <w:t>;</w:t>
      </w:r>
      <w:r w:rsidR="002A5DED">
        <w:rPr>
          <w:rFonts w:ascii="Garamond" w:hAnsi="Garamond" w:cstheme="minorHAnsi"/>
          <w:sz w:val="26"/>
          <w:szCs w:val="26"/>
          <w:lang w:val="it-IT"/>
        </w:rPr>
        <w:t xml:space="preserve"> </w:t>
      </w:r>
      <w:r w:rsidR="009611D4">
        <w:rPr>
          <w:rFonts w:ascii="Garamond" w:hAnsi="Garamond" w:cstheme="minorHAnsi"/>
          <w:sz w:val="26"/>
          <w:szCs w:val="26"/>
          <w:lang w:val="it-IT"/>
        </w:rPr>
        <w:t xml:space="preserve">sì che, essendo esclusa l’applicazione </w:t>
      </w:r>
      <w:r w:rsidR="002A5DED" w:rsidRPr="007E2327">
        <w:rPr>
          <w:rFonts w:ascii="Garamond" w:hAnsi="Garamond" w:cstheme="minorHAnsi"/>
          <w:sz w:val="26"/>
          <w:szCs w:val="26"/>
          <w:lang w:val="it-IT"/>
        </w:rPr>
        <w:t>analogi</w:t>
      </w:r>
      <w:r w:rsidR="009611D4">
        <w:rPr>
          <w:rFonts w:ascii="Garamond" w:hAnsi="Garamond" w:cstheme="minorHAnsi"/>
          <w:sz w:val="26"/>
          <w:szCs w:val="26"/>
          <w:lang w:val="it-IT"/>
        </w:rPr>
        <w:t>ca</w:t>
      </w:r>
      <w:r w:rsidR="009712FA">
        <w:rPr>
          <w:rFonts w:ascii="Garamond" w:hAnsi="Garamond" w:cstheme="minorHAnsi"/>
          <w:sz w:val="26"/>
          <w:szCs w:val="26"/>
          <w:lang w:val="it-IT"/>
        </w:rPr>
        <w:t xml:space="preserve"> </w:t>
      </w:r>
      <w:r w:rsidR="009611D4">
        <w:rPr>
          <w:rFonts w:ascii="Garamond" w:hAnsi="Garamond" w:cstheme="minorHAnsi"/>
          <w:sz w:val="26"/>
          <w:szCs w:val="26"/>
          <w:lang w:val="it-IT"/>
        </w:rPr>
        <w:t>e</w:t>
      </w:r>
      <w:r w:rsidR="009712FA">
        <w:rPr>
          <w:rFonts w:ascii="Garamond" w:hAnsi="Garamond" w:cstheme="minorHAnsi"/>
          <w:sz w:val="26"/>
          <w:szCs w:val="26"/>
          <w:lang w:val="it-IT"/>
        </w:rPr>
        <w:t xml:space="preserve"> l’</w:t>
      </w:r>
      <w:r w:rsidR="002A5DED" w:rsidRPr="007E2327">
        <w:rPr>
          <w:rFonts w:ascii="Garamond" w:hAnsi="Garamond" w:cstheme="minorHAnsi"/>
          <w:sz w:val="26"/>
          <w:szCs w:val="26"/>
          <w:lang w:val="it-IT"/>
        </w:rPr>
        <w:t>interpretazione esten</w:t>
      </w:r>
      <w:r w:rsidR="002A5DED">
        <w:rPr>
          <w:rFonts w:ascii="Garamond" w:hAnsi="Garamond" w:cstheme="minorHAnsi"/>
          <w:sz w:val="26"/>
          <w:szCs w:val="26"/>
          <w:lang w:val="it-IT"/>
        </w:rPr>
        <w:t>siva</w:t>
      </w:r>
      <w:r w:rsidR="009611D4">
        <w:rPr>
          <w:rFonts w:ascii="Garamond" w:hAnsi="Garamond" w:cstheme="minorHAnsi"/>
          <w:sz w:val="26"/>
          <w:szCs w:val="26"/>
          <w:lang w:val="it-IT"/>
        </w:rPr>
        <w:t xml:space="preserve"> della norma</w:t>
      </w:r>
      <w:r w:rsidR="002A5DED">
        <w:rPr>
          <w:rFonts w:ascii="Garamond" w:hAnsi="Garamond" w:cstheme="minorHAnsi"/>
          <w:sz w:val="26"/>
          <w:szCs w:val="26"/>
          <w:lang w:val="it-IT"/>
        </w:rPr>
        <w:t xml:space="preserve">, </w:t>
      </w:r>
      <w:r w:rsidR="009712FA">
        <w:rPr>
          <w:rFonts w:ascii="Garamond" w:hAnsi="Garamond" w:cstheme="minorHAnsi"/>
          <w:sz w:val="26"/>
          <w:szCs w:val="26"/>
          <w:lang w:val="it-IT"/>
        </w:rPr>
        <w:t xml:space="preserve">non può che operare </w:t>
      </w:r>
      <w:r w:rsidR="002A5DED" w:rsidRPr="007E2327">
        <w:rPr>
          <w:rFonts w:ascii="Garamond" w:hAnsi="Garamond" w:cstheme="minorHAnsi"/>
          <w:sz w:val="26"/>
          <w:szCs w:val="26"/>
          <w:lang w:val="it-IT"/>
        </w:rPr>
        <w:t xml:space="preserve">la regola generale dell’accesso </w:t>
      </w:r>
      <w:r w:rsidR="002A5DED" w:rsidRPr="00B97122">
        <w:rPr>
          <w:rStyle w:val="Rimandonotaapidipagina"/>
          <w:rFonts w:ascii="Garamond" w:hAnsi="Garamond"/>
          <w:color w:val="000000" w:themeColor="text1"/>
          <w:sz w:val="26"/>
          <w:szCs w:val="26"/>
        </w:rPr>
        <w:footnoteReference w:id="25"/>
      </w:r>
      <w:r w:rsidR="002A5DED">
        <w:rPr>
          <w:rFonts w:ascii="Garamond" w:hAnsi="Garamond" w:cstheme="minorHAnsi"/>
          <w:sz w:val="26"/>
          <w:szCs w:val="26"/>
          <w:lang w:val="it-IT"/>
        </w:rPr>
        <w:t>.</w:t>
      </w:r>
    </w:p>
    <w:p w14:paraId="7B36B506" w14:textId="186CC988" w:rsidR="002A5DED" w:rsidRDefault="00A8215A" w:rsidP="002A5DED">
      <w:pPr>
        <w:pStyle w:val="Standard"/>
        <w:spacing w:line="360" w:lineRule="auto"/>
        <w:ind w:left="567" w:right="567" w:firstLine="141"/>
        <w:jc w:val="both"/>
        <w:rPr>
          <w:rFonts w:ascii="Garamond" w:hAnsi="Garamond"/>
          <w:sz w:val="26"/>
          <w:szCs w:val="26"/>
          <w:lang w:val="it-IT"/>
        </w:rPr>
      </w:pPr>
      <w:r>
        <w:rPr>
          <w:rFonts w:ascii="Garamond" w:hAnsi="Garamond"/>
          <w:sz w:val="26"/>
          <w:szCs w:val="26"/>
          <w:lang w:val="it-IT"/>
        </w:rPr>
        <w:t>L’epilogo giudiziario che ha portato all’annullamento de</w:t>
      </w:r>
      <w:r w:rsidRPr="00A8215A">
        <w:rPr>
          <w:rFonts w:ascii="Garamond" w:hAnsi="Garamond"/>
          <w:sz w:val="26"/>
          <w:szCs w:val="26"/>
          <w:lang w:val="it-IT"/>
        </w:rPr>
        <w:t xml:space="preserve">l provvedimento </w:t>
      </w:r>
      <w:r w:rsidR="009712FA" w:rsidRPr="00A8215A">
        <w:rPr>
          <w:rFonts w:ascii="Garamond" w:hAnsi="Garamond"/>
          <w:sz w:val="26"/>
          <w:szCs w:val="26"/>
          <w:lang w:val="it-IT"/>
        </w:rPr>
        <w:t>d</w:t>
      </w:r>
      <w:r w:rsidR="009712FA">
        <w:rPr>
          <w:rFonts w:ascii="Garamond" w:hAnsi="Garamond"/>
          <w:sz w:val="26"/>
          <w:szCs w:val="26"/>
          <w:lang w:val="it-IT"/>
        </w:rPr>
        <w:t>e</w:t>
      </w:r>
      <w:r w:rsidR="009712FA" w:rsidRPr="00A8215A">
        <w:rPr>
          <w:rFonts w:ascii="Garamond" w:hAnsi="Garamond"/>
          <w:sz w:val="26"/>
          <w:szCs w:val="26"/>
          <w:lang w:val="it-IT"/>
        </w:rPr>
        <w:t xml:space="preserve">l Dipartimento della Protezione civile </w:t>
      </w:r>
      <w:r w:rsidRPr="00A8215A">
        <w:rPr>
          <w:rFonts w:ascii="Garamond" w:hAnsi="Garamond"/>
          <w:sz w:val="26"/>
          <w:szCs w:val="26"/>
          <w:lang w:val="it-IT"/>
        </w:rPr>
        <w:t>reiettivo dell’istanza di accesso civico generalizzato ai verbali del Comitato tecnico scientifico</w:t>
      </w:r>
      <w:r>
        <w:rPr>
          <w:rFonts w:ascii="Garamond" w:hAnsi="Garamond"/>
          <w:sz w:val="26"/>
          <w:szCs w:val="26"/>
          <w:lang w:val="it-IT"/>
        </w:rPr>
        <w:t xml:space="preserve"> è di particolare importanza perché</w:t>
      </w:r>
      <w:r w:rsidR="009712FA">
        <w:rPr>
          <w:rFonts w:ascii="Garamond" w:hAnsi="Garamond"/>
          <w:sz w:val="26"/>
          <w:szCs w:val="26"/>
          <w:lang w:val="it-IT"/>
        </w:rPr>
        <w:t>, come ben si comprende,</w:t>
      </w:r>
      <w:r>
        <w:rPr>
          <w:rFonts w:ascii="Garamond" w:hAnsi="Garamond"/>
          <w:sz w:val="26"/>
          <w:szCs w:val="26"/>
          <w:lang w:val="it-IT"/>
        </w:rPr>
        <w:t xml:space="preserve"> è soltanto prendendo conoscenza dei pareri tecnico-scientific</w:t>
      </w:r>
      <w:r w:rsidR="009611D4">
        <w:rPr>
          <w:rFonts w:ascii="Garamond" w:hAnsi="Garamond"/>
          <w:sz w:val="26"/>
          <w:szCs w:val="26"/>
          <w:lang w:val="it-IT"/>
        </w:rPr>
        <w:t>i</w:t>
      </w:r>
      <w:r>
        <w:rPr>
          <w:rFonts w:ascii="Garamond" w:hAnsi="Garamond"/>
          <w:sz w:val="26"/>
          <w:szCs w:val="26"/>
          <w:lang w:val="it-IT"/>
        </w:rPr>
        <w:t xml:space="preserve"> richiamati dai d.P.C.M. </w:t>
      </w:r>
      <w:r w:rsidR="009712FA">
        <w:rPr>
          <w:rFonts w:ascii="Garamond" w:hAnsi="Garamond"/>
          <w:sz w:val="26"/>
          <w:szCs w:val="26"/>
          <w:lang w:val="it-IT"/>
        </w:rPr>
        <w:t xml:space="preserve">che </w:t>
      </w:r>
      <w:r>
        <w:rPr>
          <w:rFonts w:ascii="Garamond" w:hAnsi="Garamond"/>
          <w:sz w:val="26"/>
          <w:szCs w:val="26"/>
          <w:lang w:val="it-IT"/>
        </w:rPr>
        <w:t xml:space="preserve">è possibile verificare il rispetto dei limiti cui </w:t>
      </w:r>
      <w:r w:rsidR="009611D4">
        <w:rPr>
          <w:rFonts w:ascii="Garamond" w:hAnsi="Garamond"/>
          <w:sz w:val="26"/>
          <w:szCs w:val="26"/>
          <w:lang w:val="it-IT"/>
        </w:rPr>
        <w:t xml:space="preserve">essi sono assoggettati </w:t>
      </w:r>
      <w:r w:rsidR="009712FA">
        <w:rPr>
          <w:rFonts w:ascii="Garamond" w:hAnsi="Garamond"/>
          <w:sz w:val="26"/>
          <w:szCs w:val="26"/>
          <w:lang w:val="it-IT"/>
        </w:rPr>
        <w:t xml:space="preserve">ed in particolare </w:t>
      </w:r>
      <w:r>
        <w:rPr>
          <w:rFonts w:ascii="Garamond" w:hAnsi="Garamond"/>
          <w:sz w:val="26"/>
          <w:szCs w:val="26"/>
          <w:lang w:val="it-IT"/>
        </w:rPr>
        <w:t>l</w:t>
      </w:r>
      <w:r w:rsidR="009611D4">
        <w:rPr>
          <w:rFonts w:ascii="Garamond" w:hAnsi="Garamond"/>
          <w:sz w:val="26"/>
          <w:szCs w:val="26"/>
          <w:lang w:val="it-IT"/>
        </w:rPr>
        <w:t>’</w:t>
      </w:r>
      <w:r>
        <w:rPr>
          <w:rFonts w:ascii="Garamond" w:hAnsi="Garamond"/>
          <w:sz w:val="26"/>
          <w:szCs w:val="26"/>
          <w:lang w:val="it-IT"/>
        </w:rPr>
        <w:t xml:space="preserve">“adeguatezza” e </w:t>
      </w:r>
      <w:r w:rsidR="009611D4">
        <w:rPr>
          <w:rFonts w:ascii="Garamond" w:hAnsi="Garamond"/>
          <w:sz w:val="26"/>
          <w:szCs w:val="26"/>
          <w:lang w:val="it-IT"/>
        </w:rPr>
        <w:t xml:space="preserve">la </w:t>
      </w:r>
      <w:r>
        <w:rPr>
          <w:rFonts w:ascii="Garamond" w:hAnsi="Garamond"/>
          <w:sz w:val="26"/>
          <w:szCs w:val="26"/>
          <w:lang w:val="it-IT"/>
        </w:rPr>
        <w:t>“proporzionalità”</w:t>
      </w:r>
      <w:r w:rsidR="009611D4">
        <w:rPr>
          <w:rFonts w:ascii="Garamond" w:hAnsi="Garamond"/>
          <w:sz w:val="26"/>
          <w:szCs w:val="26"/>
          <w:lang w:val="it-IT"/>
        </w:rPr>
        <w:t xml:space="preserve"> delle misure assunte</w:t>
      </w:r>
      <w:r w:rsidR="00CB45BF">
        <w:rPr>
          <w:rFonts w:ascii="Garamond" w:hAnsi="Garamond"/>
          <w:sz w:val="26"/>
          <w:szCs w:val="26"/>
          <w:lang w:val="it-IT"/>
        </w:rPr>
        <w:t xml:space="preserve">, come espressamente richiesto dal legislatore </w:t>
      </w:r>
      <w:r>
        <w:rPr>
          <w:rFonts w:ascii="Garamond" w:hAnsi="Garamond"/>
          <w:sz w:val="26"/>
          <w:szCs w:val="26"/>
          <w:lang w:val="it-IT"/>
        </w:rPr>
        <w:t>(</w:t>
      </w:r>
      <w:r w:rsidR="009712FA">
        <w:rPr>
          <w:rFonts w:ascii="Garamond" w:hAnsi="Garamond"/>
          <w:sz w:val="26"/>
          <w:szCs w:val="26"/>
          <w:lang w:val="it-IT"/>
        </w:rPr>
        <w:t xml:space="preserve">vedi </w:t>
      </w:r>
      <w:r w:rsidR="00CB45BF">
        <w:rPr>
          <w:rFonts w:ascii="Garamond" w:hAnsi="Garamond"/>
          <w:sz w:val="26"/>
          <w:szCs w:val="26"/>
          <w:lang w:val="it-IT"/>
        </w:rPr>
        <w:t>art. 1 d.l. 23 febbraio 2020, n. 6, art. 1 d.l. 25 marzo 2020, n. 19, art. 1 d.l. 16 maggio 2020, n. 33</w:t>
      </w:r>
      <w:r w:rsidR="007A0BBD">
        <w:rPr>
          <w:rFonts w:ascii="Garamond" w:hAnsi="Garamond"/>
          <w:sz w:val="26"/>
          <w:szCs w:val="26"/>
          <w:lang w:val="it-IT"/>
        </w:rPr>
        <w:t>)</w:t>
      </w:r>
      <w:r w:rsidR="00CB45BF">
        <w:rPr>
          <w:rFonts w:ascii="Garamond" w:hAnsi="Garamond"/>
          <w:sz w:val="26"/>
          <w:szCs w:val="26"/>
          <w:lang w:val="it-IT"/>
        </w:rPr>
        <w:t>.</w:t>
      </w:r>
    </w:p>
    <w:p w14:paraId="230B542E" w14:textId="10F301BA" w:rsidR="00307EFD" w:rsidRPr="00BC28F6" w:rsidRDefault="00307EFD" w:rsidP="00307EFD">
      <w:pPr>
        <w:pStyle w:val="Standard"/>
        <w:spacing w:line="360" w:lineRule="auto"/>
        <w:ind w:left="567" w:right="567" w:firstLine="141"/>
        <w:jc w:val="both"/>
        <w:rPr>
          <w:rFonts w:ascii="Garamond" w:eastAsia="Times New Roman" w:hAnsi="Garamond" w:cs="Times New Roman"/>
          <w:sz w:val="26"/>
          <w:szCs w:val="26"/>
          <w:lang w:val="it-IT"/>
        </w:rPr>
      </w:pPr>
      <w:r>
        <w:rPr>
          <w:rFonts w:ascii="Garamond" w:hAnsi="Garamond"/>
          <w:bCs/>
          <w:sz w:val="26"/>
          <w:szCs w:val="26"/>
          <w:lang w:val="it-IT"/>
        </w:rPr>
        <w:t xml:space="preserve">A seguito della vicenda giudiziaria, il Dipartimento della protezione civile ha annunciato tramite il suo portale istituzionale che i verbali del CTS sarebbero stati pubblicati </w:t>
      </w:r>
      <w:r w:rsidRPr="001A0F68">
        <w:rPr>
          <w:rFonts w:ascii="Garamond" w:hAnsi="Garamond"/>
          <w:bCs/>
          <w:i/>
          <w:iCs/>
          <w:sz w:val="26"/>
          <w:szCs w:val="26"/>
          <w:lang w:val="it-IT"/>
        </w:rPr>
        <w:t>“dopo 45 giorni dalla data della riunione”</w:t>
      </w:r>
      <w:r>
        <w:rPr>
          <w:rFonts w:ascii="Garamond" w:hAnsi="Garamond"/>
          <w:bCs/>
          <w:sz w:val="26"/>
          <w:szCs w:val="26"/>
          <w:lang w:val="it-IT"/>
        </w:rPr>
        <w:t xml:space="preserve"> ne</w:t>
      </w:r>
      <w:r w:rsidRPr="001A0F68">
        <w:rPr>
          <w:rFonts w:ascii="Garamond" w:hAnsi="Garamond"/>
          <w:bCs/>
          <w:sz w:val="26"/>
          <w:szCs w:val="26"/>
          <w:lang w:val="it-IT"/>
        </w:rPr>
        <w:t xml:space="preserve">ll’apposita sezione </w:t>
      </w:r>
      <w:r w:rsidRPr="00085101">
        <w:rPr>
          <w:rFonts w:ascii="Garamond" w:hAnsi="Garamond"/>
          <w:bCs/>
          <w:sz w:val="20"/>
          <w:szCs w:val="20"/>
          <w:lang w:val="it-IT"/>
        </w:rPr>
        <w:t>(https//emergenze.protezionecivile.gov.it/it/sanitarie/coronavirus/verbali-comitato-tecnico-scientifico)</w:t>
      </w:r>
      <w:r>
        <w:rPr>
          <w:rFonts w:ascii="Garamond" w:hAnsi="Garamond"/>
          <w:bCs/>
          <w:sz w:val="20"/>
          <w:szCs w:val="20"/>
          <w:lang w:val="it-IT"/>
        </w:rPr>
        <w:t xml:space="preserve">; </w:t>
      </w:r>
      <w:r>
        <w:rPr>
          <w:rFonts w:ascii="Garamond" w:eastAsia="Times New Roman" w:hAnsi="Garamond" w:cs="Times New Roman"/>
          <w:sz w:val="26"/>
          <w:szCs w:val="26"/>
          <w:lang w:val="it-IT"/>
        </w:rPr>
        <w:t xml:space="preserve">con </w:t>
      </w:r>
      <w:r w:rsidRPr="00BC28F6">
        <w:rPr>
          <w:rFonts w:ascii="Garamond" w:eastAsia="Times New Roman" w:hAnsi="Garamond" w:cs="Times New Roman"/>
          <w:sz w:val="26"/>
          <w:szCs w:val="26"/>
          <w:lang w:val="it-IT"/>
        </w:rPr>
        <w:t xml:space="preserve">la precisazione che </w:t>
      </w:r>
      <w:r w:rsidRPr="00BC28F6">
        <w:rPr>
          <w:rFonts w:ascii="Garamond" w:eastAsia="Times New Roman" w:hAnsi="Garamond" w:cs="Times New Roman"/>
          <w:i/>
          <w:iCs/>
          <w:sz w:val="26"/>
          <w:szCs w:val="26"/>
          <w:lang w:val="it-IT"/>
        </w:rPr>
        <w:t>“</w:t>
      </w:r>
      <w:r w:rsidRPr="001A0F68">
        <w:rPr>
          <w:rFonts w:ascii="Garamond" w:eastAsia="Times New Roman" w:hAnsi="Garamond" w:cs="Times New Roman"/>
          <w:i/>
          <w:iCs/>
          <w:sz w:val="26"/>
          <w:szCs w:val="26"/>
          <w:lang w:val="it-IT"/>
        </w:rPr>
        <w:t>Nei documenti sono state oscurate le generalità e gli altri dati identificativi dei soggetti privati, anche societari, e dei prodotti sanitari di questi ultimi, allo scopo di contemperare le esigenze di trasparenza con quelle di riservatezza dei terzi.</w:t>
      </w:r>
      <w:r w:rsidRPr="00BC28F6">
        <w:rPr>
          <w:rFonts w:ascii="Garamond" w:eastAsia="Times New Roman" w:hAnsi="Garamond" w:cs="Times New Roman"/>
          <w:i/>
          <w:iCs/>
          <w:sz w:val="26"/>
          <w:szCs w:val="26"/>
          <w:lang w:val="it-IT"/>
        </w:rPr>
        <w:t xml:space="preserve"> </w:t>
      </w:r>
      <w:r w:rsidRPr="001A0F68">
        <w:rPr>
          <w:rFonts w:ascii="Garamond" w:eastAsia="Times New Roman" w:hAnsi="Garamond" w:cs="Times New Roman"/>
          <w:i/>
          <w:iCs/>
          <w:sz w:val="26"/>
          <w:szCs w:val="26"/>
          <w:lang w:val="it-IT"/>
        </w:rPr>
        <w:t>Sono stati, altresì, omessi gli allegati e i documenti sottoposti alle valutazioni del CTS, in virtù di quanto disposto dall’articolo 5-bis, comma 2, del D. Lgs 33/2013, e tenuto conto dell’alto numero di controinteressati, come previsto dalla Circolare FOIA 1/2019.</w:t>
      </w:r>
      <w:r w:rsidRPr="00BC28F6">
        <w:rPr>
          <w:rFonts w:ascii="Garamond" w:eastAsia="Times New Roman" w:hAnsi="Garamond" w:cs="Times New Roman"/>
          <w:i/>
          <w:iCs/>
          <w:sz w:val="26"/>
          <w:szCs w:val="26"/>
          <w:lang w:val="it-IT"/>
        </w:rPr>
        <w:t>”</w:t>
      </w:r>
      <w:r w:rsidRPr="00BC28F6">
        <w:rPr>
          <w:rFonts w:ascii="Garamond" w:eastAsia="Times New Roman" w:hAnsi="Garamond" w:cs="Times New Roman"/>
          <w:sz w:val="26"/>
          <w:szCs w:val="26"/>
          <w:lang w:val="it-IT"/>
        </w:rPr>
        <w:t>.</w:t>
      </w:r>
    </w:p>
    <w:p w14:paraId="7554A073" w14:textId="77777777" w:rsidR="00307EFD" w:rsidRDefault="00307EFD" w:rsidP="00307EFD">
      <w:pPr>
        <w:pStyle w:val="Standard"/>
        <w:spacing w:line="360" w:lineRule="auto"/>
        <w:ind w:left="567" w:right="567" w:firstLine="141"/>
        <w:jc w:val="both"/>
        <w:rPr>
          <w:rFonts w:ascii="Garamond" w:hAnsi="Garamond"/>
          <w:sz w:val="26"/>
          <w:szCs w:val="26"/>
          <w:lang w:val="it-IT"/>
        </w:rPr>
      </w:pPr>
      <w:r w:rsidRPr="00BC28F6">
        <w:rPr>
          <w:rFonts w:ascii="Garamond" w:eastAsia="Times New Roman" w:hAnsi="Garamond" w:cs="Times New Roman"/>
          <w:sz w:val="26"/>
          <w:szCs w:val="26"/>
          <w:lang w:val="it-IT"/>
        </w:rPr>
        <w:t xml:space="preserve">L’organo governativo si è, quindi, avvalso della facoltà prevista </w:t>
      </w:r>
      <w:r w:rsidRPr="00BC28F6">
        <w:rPr>
          <w:rFonts w:ascii="Garamond" w:hAnsi="Garamond"/>
          <w:sz w:val="26"/>
          <w:szCs w:val="26"/>
          <w:lang w:val="it-IT"/>
        </w:rPr>
        <w:t>dall’art. 7-bis, c</w:t>
      </w:r>
      <w:r w:rsidRPr="00CB78B5">
        <w:rPr>
          <w:rFonts w:ascii="Garamond" w:hAnsi="Garamond"/>
          <w:sz w:val="26"/>
          <w:szCs w:val="26"/>
          <w:lang w:val="it-IT"/>
        </w:rPr>
        <w:t>omma 3, del d.lgs. n. 33 del 2013</w:t>
      </w:r>
      <w:r>
        <w:rPr>
          <w:rFonts w:ascii="Garamond" w:hAnsi="Garamond"/>
          <w:sz w:val="26"/>
          <w:szCs w:val="26"/>
          <w:lang w:val="it-IT"/>
        </w:rPr>
        <w:t xml:space="preserve">. </w:t>
      </w:r>
    </w:p>
    <w:p w14:paraId="04A936F1" w14:textId="5595F7EA" w:rsidR="00307EFD" w:rsidRPr="00CB78B5" w:rsidRDefault="00307EFD" w:rsidP="00307EFD">
      <w:pPr>
        <w:pStyle w:val="Standard"/>
        <w:spacing w:line="360" w:lineRule="auto"/>
        <w:ind w:left="567" w:right="567" w:firstLine="141"/>
        <w:jc w:val="both"/>
        <w:rPr>
          <w:rFonts w:ascii="Garamond" w:eastAsia="Times New Roman" w:hAnsi="Garamond" w:cs="Times New Roman"/>
          <w:sz w:val="26"/>
          <w:szCs w:val="26"/>
          <w:lang w:val="it-IT"/>
        </w:rPr>
      </w:pPr>
      <w:r w:rsidRPr="00CB78B5">
        <w:rPr>
          <w:rFonts w:ascii="Garamond" w:eastAsia="Times New Roman" w:hAnsi="Garamond" w:cs="Times New Roman"/>
          <w:sz w:val="26"/>
          <w:szCs w:val="26"/>
          <w:lang w:val="it-IT"/>
        </w:rPr>
        <w:t>In disparte il mascheramento dei dati che l’Amministrazione ritenga di effettuare per rispettare i limiti di cui all’art. 5-bis d.lgs. n. 33 del 2013 (la cui legittimità andrà valutata caso per caso), tale prassi (di cui</w:t>
      </w:r>
      <w:r>
        <w:rPr>
          <w:rFonts w:ascii="Garamond" w:eastAsia="Times New Roman" w:hAnsi="Garamond" w:cs="Times New Roman"/>
          <w:sz w:val="26"/>
          <w:szCs w:val="26"/>
          <w:lang w:val="it-IT"/>
        </w:rPr>
        <w:t>, peraltro,</w:t>
      </w:r>
      <w:r w:rsidRPr="00CB78B5">
        <w:rPr>
          <w:rFonts w:ascii="Garamond" w:eastAsia="Times New Roman" w:hAnsi="Garamond" w:cs="Times New Roman"/>
          <w:sz w:val="26"/>
          <w:szCs w:val="26"/>
          <w:lang w:val="it-IT"/>
        </w:rPr>
        <w:t xml:space="preserve"> non è dato conoscere la fonte provvedimentale) per un verso va certamente incontro alle esigenze di trasparenza della gestione emergenziale, esonerando il cittadino dal presentare apposita istanza di accesso civico generalizzato al verbale del CTS, ma, per altro verso, non può intendersi come sostitutiva del diritto di accesso civico generalizzato, che l’Amministrazione è comunque tenuta a soddisfare nei termini di legge, ovvero entro il termine massimo di trenta giorni (art. 6, comma 6, d.lgs. n. 33 del 2013).</w:t>
      </w:r>
    </w:p>
    <w:p w14:paraId="3B3208A8" w14:textId="4F4F9679" w:rsidR="00307EFD" w:rsidRPr="00A8215A" w:rsidRDefault="00307EFD" w:rsidP="00307EFD">
      <w:pPr>
        <w:pStyle w:val="Standard"/>
        <w:spacing w:line="360" w:lineRule="auto"/>
        <w:ind w:left="567" w:right="567" w:firstLine="141"/>
        <w:jc w:val="both"/>
        <w:rPr>
          <w:rFonts w:ascii="Garamond" w:hAnsi="Garamond"/>
          <w:sz w:val="26"/>
          <w:szCs w:val="26"/>
          <w:lang w:val="it-IT"/>
        </w:rPr>
      </w:pPr>
      <w:r w:rsidRPr="00CB78B5">
        <w:rPr>
          <w:rFonts w:ascii="Garamond" w:eastAsia="Times New Roman" w:hAnsi="Garamond" w:cs="Times New Roman"/>
          <w:sz w:val="26"/>
          <w:szCs w:val="26"/>
          <w:lang w:val="it-IT"/>
        </w:rPr>
        <w:t xml:space="preserve">Se </w:t>
      </w:r>
      <w:r>
        <w:rPr>
          <w:rFonts w:ascii="Garamond" w:eastAsia="Times New Roman" w:hAnsi="Garamond" w:cs="Times New Roman"/>
          <w:sz w:val="26"/>
          <w:szCs w:val="26"/>
          <w:lang w:val="it-IT"/>
        </w:rPr>
        <w:t>diversamente intesa</w:t>
      </w:r>
      <w:r w:rsidRPr="00CB78B5">
        <w:rPr>
          <w:rFonts w:ascii="Garamond" w:eastAsia="Times New Roman" w:hAnsi="Garamond" w:cs="Times New Roman"/>
          <w:sz w:val="26"/>
          <w:szCs w:val="26"/>
          <w:lang w:val="it-IT"/>
        </w:rPr>
        <w:t xml:space="preserve">, </w:t>
      </w:r>
      <w:r>
        <w:rPr>
          <w:rFonts w:ascii="Garamond" w:eastAsia="Times New Roman" w:hAnsi="Garamond" w:cs="Times New Roman"/>
          <w:sz w:val="26"/>
          <w:szCs w:val="26"/>
          <w:lang w:val="it-IT"/>
        </w:rPr>
        <w:t xml:space="preserve">detta </w:t>
      </w:r>
      <w:r w:rsidRPr="00CB78B5">
        <w:rPr>
          <w:rFonts w:ascii="Garamond" w:eastAsia="Times New Roman" w:hAnsi="Garamond" w:cs="Times New Roman"/>
          <w:sz w:val="26"/>
          <w:szCs w:val="26"/>
          <w:lang w:val="it-IT"/>
        </w:rPr>
        <w:t xml:space="preserve">prassi </w:t>
      </w:r>
      <w:r>
        <w:rPr>
          <w:rFonts w:ascii="Garamond" w:eastAsia="Times New Roman" w:hAnsi="Garamond" w:cs="Times New Roman"/>
          <w:sz w:val="26"/>
          <w:szCs w:val="26"/>
          <w:lang w:val="it-IT"/>
        </w:rPr>
        <w:t>finirebbe invero per introdurre</w:t>
      </w:r>
      <w:r w:rsidRPr="00CB78B5">
        <w:rPr>
          <w:rFonts w:ascii="Garamond" w:eastAsia="Times New Roman" w:hAnsi="Garamond" w:cs="Times New Roman"/>
          <w:sz w:val="26"/>
          <w:szCs w:val="26"/>
          <w:lang w:val="it-IT"/>
        </w:rPr>
        <w:t>, di fatto e surrettiziamente, una sorta di “</w:t>
      </w:r>
      <w:r w:rsidRPr="00225BC1">
        <w:rPr>
          <w:rFonts w:ascii="Garamond" w:eastAsia="Times New Roman" w:hAnsi="Garamond" w:cs="Times New Roman"/>
          <w:sz w:val="26"/>
          <w:szCs w:val="26"/>
          <w:lang w:val="it-IT"/>
        </w:rPr>
        <w:t>differimento” dell’accesso non previsto da alcuna norma, peraltro difficilmente c</w:t>
      </w:r>
      <w:r>
        <w:rPr>
          <w:rFonts w:ascii="Garamond" w:eastAsia="Times New Roman" w:hAnsi="Garamond" w:cs="Times New Roman"/>
          <w:sz w:val="26"/>
          <w:szCs w:val="26"/>
          <w:lang w:val="it-IT"/>
        </w:rPr>
        <w:t>ensurabile davanti al giudice amministrativo, atteso che la pubblicazione del verbale nei quaranta giorni sortirebbe l’effetto di far cessare la materia del contendere prima ancora di poter discutere l’eventuale ricorso giurisdizionale.</w:t>
      </w:r>
    </w:p>
    <w:p w14:paraId="5AB648B9" w14:textId="2224C9BC" w:rsidR="000328DE" w:rsidRDefault="009611D4" w:rsidP="000328DE">
      <w:pPr>
        <w:pStyle w:val="Standard"/>
        <w:spacing w:line="360" w:lineRule="auto"/>
        <w:ind w:left="567" w:right="567" w:firstLine="141"/>
        <w:jc w:val="both"/>
        <w:rPr>
          <w:rFonts w:ascii="Garamond" w:hAnsi="Garamond"/>
          <w:color w:val="000000"/>
          <w:sz w:val="26"/>
          <w:szCs w:val="26"/>
          <w:lang w:val="it-IT"/>
        </w:rPr>
      </w:pPr>
      <w:r>
        <w:rPr>
          <w:rFonts w:ascii="Garamond" w:hAnsi="Garamond" w:cstheme="minorHAnsi"/>
          <w:sz w:val="26"/>
          <w:szCs w:val="26"/>
          <w:lang w:val="it-IT"/>
        </w:rPr>
        <w:t xml:space="preserve">Sempre in tema di limitazioni </w:t>
      </w:r>
      <w:r w:rsidR="005F25A0">
        <w:rPr>
          <w:rFonts w:ascii="Garamond" w:hAnsi="Garamond" w:cstheme="minorHAnsi"/>
          <w:sz w:val="26"/>
          <w:szCs w:val="26"/>
          <w:lang w:val="it-IT"/>
        </w:rPr>
        <w:t>“</w:t>
      </w:r>
      <w:r>
        <w:rPr>
          <w:rFonts w:ascii="Garamond" w:hAnsi="Garamond" w:cstheme="minorHAnsi"/>
          <w:sz w:val="26"/>
          <w:szCs w:val="26"/>
          <w:lang w:val="it-IT"/>
        </w:rPr>
        <w:t>assolute</w:t>
      </w:r>
      <w:r w:rsidR="005F25A0">
        <w:rPr>
          <w:rFonts w:ascii="Garamond" w:hAnsi="Garamond" w:cstheme="minorHAnsi"/>
          <w:sz w:val="26"/>
          <w:szCs w:val="26"/>
          <w:lang w:val="it-IT"/>
        </w:rPr>
        <w:t>”</w:t>
      </w:r>
      <w:r>
        <w:rPr>
          <w:rFonts w:ascii="Garamond" w:hAnsi="Garamond" w:cstheme="minorHAnsi"/>
          <w:sz w:val="26"/>
          <w:szCs w:val="26"/>
          <w:lang w:val="it-IT"/>
        </w:rPr>
        <w:t xml:space="preserve"> ex art. </w:t>
      </w:r>
      <w:r w:rsidRPr="007E2327">
        <w:rPr>
          <w:rFonts w:ascii="Garamond" w:hAnsi="Garamond" w:cstheme="minorHAnsi"/>
          <w:sz w:val="26"/>
          <w:szCs w:val="26"/>
          <w:lang w:val="it-IT"/>
        </w:rPr>
        <w:t>5-bis</w:t>
      </w:r>
      <w:r>
        <w:rPr>
          <w:rFonts w:ascii="Garamond" w:hAnsi="Garamond" w:cstheme="minorHAnsi"/>
          <w:sz w:val="26"/>
          <w:szCs w:val="26"/>
          <w:lang w:val="it-IT"/>
        </w:rPr>
        <w:t>, comma 3,</w:t>
      </w:r>
      <w:r w:rsidRPr="007E2327">
        <w:rPr>
          <w:rFonts w:ascii="Garamond" w:hAnsi="Garamond" w:cstheme="minorHAnsi"/>
          <w:sz w:val="26"/>
          <w:szCs w:val="26"/>
          <w:lang w:val="it-IT"/>
        </w:rPr>
        <w:t xml:space="preserve"> </w:t>
      </w:r>
      <w:r>
        <w:rPr>
          <w:rFonts w:ascii="Garamond" w:hAnsi="Garamond" w:cstheme="minorHAnsi"/>
          <w:sz w:val="26"/>
          <w:szCs w:val="26"/>
          <w:lang w:val="it-IT"/>
        </w:rPr>
        <w:t>d</w:t>
      </w:r>
      <w:r w:rsidRPr="007E2327">
        <w:rPr>
          <w:rFonts w:ascii="Garamond" w:hAnsi="Garamond" w:cstheme="minorHAnsi"/>
          <w:sz w:val="26"/>
          <w:szCs w:val="26"/>
          <w:lang w:val="it-IT"/>
        </w:rPr>
        <w:t>.</w:t>
      </w:r>
      <w:r>
        <w:rPr>
          <w:rFonts w:ascii="Garamond" w:hAnsi="Garamond" w:cstheme="minorHAnsi"/>
          <w:sz w:val="26"/>
          <w:szCs w:val="26"/>
          <w:lang w:val="it-IT"/>
        </w:rPr>
        <w:t>l</w:t>
      </w:r>
      <w:r w:rsidRPr="007E2327">
        <w:rPr>
          <w:rFonts w:ascii="Garamond" w:hAnsi="Garamond" w:cstheme="minorHAnsi"/>
          <w:sz w:val="26"/>
          <w:szCs w:val="26"/>
          <w:lang w:val="it-IT"/>
        </w:rPr>
        <w:t xml:space="preserve">gs. </w:t>
      </w:r>
      <w:r>
        <w:rPr>
          <w:rFonts w:ascii="Garamond" w:hAnsi="Garamond" w:cstheme="minorHAnsi"/>
          <w:sz w:val="26"/>
          <w:szCs w:val="26"/>
          <w:lang w:val="it-IT"/>
        </w:rPr>
        <w:t xml:space="preserve">n. </w:t>
      </w:r>
      <w:r w:rsidRPr="007E2327">
        <w:rPr>
          <w:rFonts w:ascii="Garamond" w:hAnsi="Garamond" w:cstheme="minorHAnsi"/>
          <w:sz w:val="26"/>
          <w:szCs w:val="26"/>
          <w:lang w:val="it-IT"/>
        </w:rPr>
        <w:t>33</w:t>
      </w:r>
      <w:r>
        <w:rPr>
          <w:rFonts w:ascii="Garamond" w:hAnsi="Garamond" w:cstheme="minorHAnsi"/>
          <w:sz w:val="26"/>
          <w:szCs w:val="26"/>
          <w:lang w:val="it-IT"/>
        </w:rPr>
        <w:t xml:space="preserve"> del </w:t>
      </w:r>
      <w:r w:rsidRPr="007E2327">
        <w:rPr>
          <w:rFonts w:ascii="Garamond" w:hAnsi="Garamond" w:cstheme="minorHAnsi"/>
          <w:sz w:val="26"/>
          <w:szCs w:val="26"/>
          <w:lang w:val="it-IT"/>
        </w:rPr>
        <w:t>2013</w:t>
      </w:r>
      <w:r>
        <w:rPr>
          <w:rFonts w:ascii="Garamond" w:hAnsi="Garamond" w:cstheme="minorHAnsi"/>
          <w:sz w:val="26"/>
          <w:szCs w:val="26"/>
          <w:lang w:val="it-IT"/>
        </w:rPr>
        <w:t xml:space="preserve">, </w:t>
      </w:r>
      <w:r w:rsidR="00545989">
        <w:rPr>
          <w:rFonts w:ascii="Garamond" w:hAnsi="Garamond" w:cstheme="minorHAnsi"/>
          <w:sz w:val="26"/>
          <w:szCs w:val="26"/>
          <w:lang w:val="it-IT"/>
        </w:rPr>
        <w:t>il Garante per la protezione dei dati personali ha avuto occasione di confermare la sua interpretazione restrittiva dell’</w:t>
      </w:r>
      <w:r w:rsidR="00545989" w:rsidRPr="00545989">
        <w:rPr>
          <w:rFonts w:ascii="Garamond" w:hAnsi="Garamond"/>
          <w:color w:val="000000"/>
          <w:sz w:val="26"/>
          <w:szCs w:val="26"/>
          <w:lang w:val="it-IT"/>
        </w:rPr>
        <w:t xml:space="preserve">art. 5-bis, comma 4, </w:t>
      </w:r>
      <w:r w:rsidR="00545989">
        <w:rPr>
          <w:rFonts w:ascii="Garamond" w:hAnsi="Garamond"/>
          <w:color w:val="000000"/>
          <w:sz w:val="26"/>
          <w:szCs w:val="26"/>
          <w:lang w:val="it-IT"/>
        </w:rPr>
        <w:t>d.lgs. n. 33 del 2013, (</w:t>
      </w:r>
      <w:r w:rsidR="00545989" w:rsidRPr="00545989">
        <w:rPr>
          <w:rFonts w:ascii="Garamond" w:hAnsi="Garamond"/>
          <w:color w:val="000000"/>
          <w:sz w:val="26"/>
          <w:szCs w:val="26"/>
          <w:lang w:val="it-IT"/>
        </w:rPr>
        <w:t>“</w:t>
      </w:r>
      <w:r w:rsidR="00545989" w:rsidRPr="00545989">
        <w:rPr>
          <w:rFonts w:ascii="Garamond" w:hAnsi="Garamond"/>
          <w:i/>
          <w:color w:val="000000"/>
          <w:sz w:val="26"/>
          <w:szCs w:val="26"/>
          <w:lang w:val="it-IT"/>
        </w:rPr>
        <w:t>Se i limiti di cui ai commi 1 e 2 riguardano soltanto alcuni dati o alcune parti del documento richiesto, deve essere consentito l’accesso agli altri dati o alle altre parti.”</w:t>
      </w:r>
      <w:r w:rsidR="00545989">
        <w:rPr>
          <w:rFonts w:ascii="Garamond" w:hAnsi="Garamond"/>
          <w:color w:val="000000"/>
          <w:sz w:val="26"/>
          <w:szCs w:val="26"/>
          <w:lang w:val="it-IT"/>
        </w:rPr>
        <w:t xml:space="preserve">), ritenendo la norma inapplicabile ogniqualvolta </w:t>
      </w:r>
      <w:r w:rsidR="00545989" w:rsidRPr="00545989">
        <w:rPr>
          <w:rFonts w:ascii="Garamond" w:hAnsi="Garamond"/>
          <w:color w:val="000000"/>
          <w:sz w:val="26"/>
          <w:szCs w:val="26"/>
          <w:lang w:val="it-IT"/>
        </w:rPr>
        <w:t xml:space="preserve">vi sia la possibilità che i soggetti menzionati possano in qualche modo essere re-identificati attraverso il complesso delle informazioni contenute nei documenti </w:t>
      </w:r>
      <w:r w:rsidR="00545989">
        <w:rPr>
          <w:rFonts w:ascii="Garamond" w:hAnsi="Garamond"/>
          <w:color w:val="000000"/>
          <w:sz w:val="26"/>
          <w:szCs w:val="26"/>
          <w:lang w:val="it-IT"/>
        </w:rPr>
        <w:t xml:space="preserve">richiesti </w:t>
      </w:r>
      <w:r w:rsidR="00545989" w:rsidRPr="00B97122">
        <w:rPr>
          <w:rStyle w:val="Rimandonotaapidipagina"/>
          <w:rFonts w:ascii="Garamond" w:hAnsi="Garamond"/>
          <w:color w:val="000000" w:themeColor="text1"/>
          <w:sz w:val="26"/>
          <w:szCs w:val="26"/>
        </w:rPr>
        <w:footnoteReference w:id="26"/>
      </w:r>
      <w:r w:rsidR="00545989">
        <w:rPr>
          <w:rFonts w:ascii="Garamond" w:hAnsi="Garamond"/>
          <w:color w:val="000000"/>
          <w:sz w:val="26"/>
          <w:szCs w:val="26"/>
          <w:lang w:val="it-IT"/>
        </w:rPr>
        <w:t xml:space="preserve">: </w:t>
      </w:r>
      <w:r w:rsidR="005606BF">
        <w:rPr>
          <w:rFonts w:ascii="Garamond" w:hAnsi="Garamond"/>
          <w:color w:val="000000"/>
          <w:sz w:val="26"/>
          <w:szCs w:val="26"/>
          <w:lang w:val="it-IT"/>
        </w:rPr>
        <w:t xml:space="preserve">per tale motivo il Garante ha ritenuto non accoglibile </w:t>
      </w:r>
      <w:r w:rsidR="00545989" w:rsidRPr="00545989">
        <w:rPr>
          <w:rFonts w:ascii="Garamond" w:hAnsi="Garamond"/>
          <w:color w:val="000000"/>
          <w:sz w:val="26"/>
          <w:szCs w:val="26"/>
          <w:lang w:val="it-IT"/>
        </w:rPr>
        <w:t xml:space="preserve">l’istanza </w:t>
      </w:r>
      <w:r w:rsidR="005606BF">
        <w:rPr>
          <w:rFonts w:ascii="Garamond" w:hAnsi="Garamond"/>
          <w:color w:val="000000"/>
          <w:sz w:val="26"/>
          <w:szCs w:val="26"/>
          <w:lang w:val="it-IT"/>
        </w:rPr>
        <w:t xml:space="preserve">con cui </w:t>
      </w:r>
      <w:r w:rsidR="00545989" w:rsidRPr="00545989">
        <w:rPr>
          <w:rFonts w:ascii="Garamond" w:hAnsi="Garamond"/>
          <w:color w:val="000000"/>
          <w:sz w:val="26"/>
          <w:szCs w:val="26"/>
          <w:lang w:val="it-IT"/>
        </w:rPr>
        <w:t>un giornalista chiede</w:t>
      </w:r>
      <w:r w:rsidR="005606BF">
        <w:rPr>
          <w:rFonts w:ascii="Garamond" w:hAnsi="Garamond"/>
          <w:color w:val="000000"/>
          <w:sz w:val="26"/>
          <w:szCs w:val="26"/>
          <w:lang w:val="it-IT"/>
        </w:rPr>
        <w:t xml:space="preserve">va </w:t>
      </w:r>
      <w:r w:rsidR="00545989" w:rsidRPr="00545989">
        <w:rPr>
          <w:rFonts w:ascii="Garamond" w:hAnsi="Garamond"/>
          <w:color w:val="000000"/>
          <w:sz w:val="26"/>
          <w:szCs w:val="26"/>
          <w:lang w:val="it-IT"/>
        </w:rPr>
        <w:t>alla Regione informazioni specifiche in merito alla distribuzione dei casi di contagio da Covid-19  suddivisi per Comuni, sesso, età, esito, ecc., atteso che, anche se le informazioni richieste non contempla</w:t>
      </w:r>
      <w:r w:rsidR="005606BF">
        <w:rPr>
          <w:rFonts w:ascii="Garamond" w:hAnsi="Garamond"/>
          <w:color w:val="000000"/>
          <w:sz w:val="26"/>
          <w:szCs w:val="26"/>
          <w:lang w:val="it-IT"/>
        </w:rPr>
        <w:t>va</w:t>
      </w:r>
      <w:r w:rsidR="00545989" w:rsidRPr="00545989">
        <w:rPr>
          <w:rFonts w:ascii="Garamond" w:hAnsi="Garamond"/>
          <w:color w:val="000000"/>
          <w:sz w:val="26"/>
          <w:szCs w:val="26"/>
          <w:lang w:val="it-IT"/>
        </w:rPr>
        <w:t>no le generalità delle persone fisiche contagiate, non p</w:t>
      </w:r>
      <w:r w:rsidR="005606BF">
        <w:rPr>
          <w:rFonts w:ascii="Garamond" w:hAnsi="Garamond"/>
          <w:color w:val="000000"/>
          <w:sz w:val="26"/>
          <w:szCs w:val="26"/>
          <w:lang w:val="it-IT"/>
        </w:rPr>
        <w:t>oteva</w:t>
      </w:r>
      <w:r w:rsidR="00545989" w:rsidRPr="00545989">
        <w:rPr>
          <w:rFonts w:ascii="Garamond" w:hAnsi="Garamond"/>
          <w:color w:val="000000"/>
          <w:sz w:val="26"/>
          <w:szCs w:val="26"/>
          <w:lang w:val="it-IT"/>
        </w:rPr>
        <w:t xml:space="preserve"> escludersi che queste po</w:t>
      </w:r>
      <w:r w:rsidR="005606BF">
        <w:rPr>
          <w:rFonts w:ascii="Garamond" w:hAnsi="Garamond"/>
          <w:color w:val="000000"/>
          <w:sz w:val="26"/>
          <w:szCs w:val="26"/>
          <w:lang w:val="it-IT"/>
        </w:rPr>
        <w:t xml:space="preserve">tessero </w:t>
      </w:r>
      <w:r w:rsidR="00545989" w:rsidRPr="00545989">
        <w:rPr>
          <w:rFonts w:ascii="Garamond" w:hAnsi="Garamond"/>
          <w:color w:val="000000"/>
          <w:sz w:val="26"/>
          <w:szCs w:val="26"/>
          <w:lang w:val="it-IT"/>
        </w:rPr>
        <w:t>essere re-identificate a posteriori, anche considerata la dimensione demografica dei Comuni interessati</w:t>
      </w:r>
      <w:r w:rsidR="005606BF">
        <w:rPr>
          <w:rFonts w:ascii="Garamond" w:hAnsi="Garamond"/>
          <w:color w:val="000000"/>
          <w:sz w:val="26"/>
          <w:szCs w:val="26"/>
          <w:lang w:val="it-IT"/>
        </w:rPr>
        <w:t>.</w:t>
      </w:r>
    </w:p>
    <w:p w14:paraId="208A0FF0" w14:textId="30AB997B" w:rsidR="000328DE" w:rsidRDefault="005606BF" w:rsidP="000328DE">
      <w:pPr>
        <w:pStyle w:val="Standard"/>
        <w:spacing w:line="360" w:lineRule="auto"/>
        <w:ind w:left="567" w:right="567" w:firstLine="141"/>
        <w:jc w:val="both"/>
        <w:rPr>
          <w:rFonts w:ascii="Garamond" w:hAnsi="Garamond"/>
          <w:sz w:val="26"/>
          <w:szCs w:val="26"/>
          <w:lang w:val="it-IT"/>
        </w:rPr>
      </w:pPr>
      <w:r w:rsidRPr="000328DE">
        <w:rPr>
          <w:rFonts w:ascii="Garamond" w:hAnsi="Garamond" w:cstheme="minorHAnsi"/>
          <w:sz w:val="26"/>
          <w:szCs w:val="26"/>
          <w:lang w:val="it-IT"/>
        </w:rPr>
        <w:t xml:space="preserve">Quanto alle limitazioni </w:t>
      </w:r>
      <w:r w:rsidR="005F25A0">
        <w:rPr>
          <w:rFonts w:ascii="Garamond" w:hAnsi="Garamond" w:cstheme="minorHAnsi"/>
          <w:sz w:val="26"/>
          <w:szCs w:val="26"/>
          <w:lang w:val="it-IT"/>
        </w:rPr>
        <w:t>“</w:t>
      </w:r>
      <w:r w:rsidRPr="000328DE">
        <w:rPr>
          <w:rFonts w:ascii="Garamond" w:hAnsi="Garamond" w:cstheme="minorHAnsi"/>
          <w:sz w:val="26"/>
          <w:szCs w:val="26"/>
          <w:lang w:val="it-IT"/>
        </w:rPr>
        <w:t>relative</w:t>
      </w:r>
      <w:r w:rsidR="005F25A0">
        <w:rPr>
          <w:rFonts w:ascii="Garamond" w:hAnsi="Garamond" w:cstheme="minorHAnsi"/>
          <w:sz w:val="26"/>
          <w:szCs w:val="26"/>
          <w:lang w:val="it-IT"/>
        </w:rPr>
        <w:t>”</w:t>
      </w:r>
      <w:r w:rsidRPr="000328DE">
        <w:rPr>
          <w:rFonts w:ascii="Garamond" w:hAnsi="Garamond" w:cstheme="minorHAnsi"/>
          <w:sz w:val="26"/>
          <w:szCs w:val="26"/>
          <w:lang w:val="it-IT"/>
        </w:rPr>
        <w:t xml:space="preserve"> dell’accesso civico generalizzato ex art. 5-bis, commi 1 e</w:t>
      </w:r>
      <w:r w:rsidR="005F25A0">
        <w:rPr>
          <w:rFonts w:ascii="Garamond" w:hAnsi="Garamond" w:cstheme="minorHAnsi"/>
          <w:sz w:val="26"/>
          <w:szCs w:val="26"/>
          <w:lang w:val="it-IT"/>
        </w:rPr>
        <w:t xml:space="preserve"> 2, d.lgs. n. 33 del 2013, la giurisprudenza ha ribadito</w:t>
      </w:r>
      <w:r w:rsidRPr="000328DE">
        <w:rPr>
          <w:rFonts w:ascii="Garamond" w:hAnsi="Garamond" w:cstheme="minorHAnsi"/>
          <w:sz w:val="26"/>
          <w:szCs w:val="26"/>
          <w:lang w:val="it-IT"/>
        </w:rPr>
        <w:t xml:space="preserve"> la necessità di una puntuale motivazione de</w:t>
      </w:r>
      <w:r w:rsidR="000328DE">
        <w:rPr>
          <w:rFonts w:ascii="Garamond" w:hAnsi="Garamond" w:cstheme="minorHAnsi"/>
          <w:sz w:val="26"/>
          <w:szCs w:val="26"/>
          <w:lang w:val="it-IT"/>
        </w:rPr>
        <w:t>l</w:t>
      </w:r>
      <w:r w:rsidRPr="000328DE">
        <w:rPr>
          <w:rFonts w:ascii="Garamond" w:hAnsi="Garamond" w:cstheme="minorHAnsi"/>
          <w:sz w:val="26"/>
          <w:szCs w:val="26"/>
          <w:lang w:val="it-IT"/>
        </w:rPr>
        <w:t xml:space="preserve"> provvediment</w:t>
      </w:r>
      <w:r w:rsidR="000328DE">
        <w:rPr>
          <w:rFonts w:ascii="Garamond" w:hAnsi="Garamond" w:cstheme="minorHAnsi"/>
          <w:sz w:val="26"/>
          <w:szCs w:val="26"/>
          <w:lang w:val="it-IT"/>
        </w:rPr>
        <w:t>o</w:t>
      </w:r>
      <w:r w:rsidRPr="000328DE">
        <w:rPr>
          <w:rFonts w:ascii="Garamond" w:hAnsi="Garamond" w:cstheme="minorHAnsi"/>
          <w:sz w:val="26"/>
          <w:szCs w:val="26"/>
          <w:lang w:val="it-IT"/>
        </w:rPr>
        <w:t xml:space="preserve"> di rigetto</w:t>
      </w:r>
      <w:r w:rsidR="00D823A4">
        <w:rPr>
          <w:rFonts w:ascii="Garamond" w:hAnsi="Garamond" w:cstheme="minorHAnsi"/>
          <w:sz w:val="26"/>
          <w:szCs w:val="26"/>
          <w:lang w:val="it-IT"/>
        </w:rPr>
        <w:t xml:space="preserve"> dell’istanza</w:t>
      </w:r>
      <w:r w:rsidRPr="000328DE">
        <w:rPr>
          <w:rFonts w:ascii="Garamond" w:hAnsi="Garamond" w:cstheme="minorHAnsi"/>
          <w:sz w:val="26"/>
          <w:szCs w:val="26"/>
          <w:lang w:val="it-IT"/>
        </w:rPr>
        <w:t xml:space="preserve">, </w:t>
      </w:r>
      <w:r w:rsidR="00D823A4">
        <w:rPr>
          <w:rFonts w:ascii="Garamond" w:hAnsi="Garamond" w:cstheme="minorHAnsi"/>
          <w:sz w:val="26"/>
          <w:szCs w:val="26"/>
          <w:lang w:val="it-IT"/>
        </w:rPr>
        <w:t>siccome idonea a dar conto de</w:t>
      </w:r>
      <w:r w:rsidR="000328DE" w:rsidRPr="000328DE">
        <w:rPr>
          <w:rFonts w:ascii="Garamond" w:hAnsi="Garamond" w:cstheme="minorHAnsi"/>
          <w:sz w:val="26"/>
          <w:szCs w:val="26"/>
          <w:lang w:val="it-IT"/>
        </w:rPr>
        <w:t xml:space="preserve">l giudizio di </w:t>
      </w:r>
      <w:r w:rsidRPr="000328DE">
        <w:rPr>
          <w:rFonts w:ascii="Garamond" w:hAnsi="Garamond" w:cstheme="minorHAnsi"/>
          <w:sz w:val="26"/>
          <w:szCs w:val="26"/>
          <w:lang w:val="it-IT"/>
        </w:rPr>
        <w:t>ponderazione</w:t>
      </w:r>
      <w:r w:rsidR="000328DE" w:rsidRPr="000328DE">
        <w:rPr>
          <w:rFonts w:ascii="Garamond" w:hAnsi="Garamond" w:cstheme="minorHAnsi"/>
          <w:sz w:val="26"/>
          <w:szCs w:val="26"/>
          <w:lang w:val="it-IT"/>
        </w:rPr>
        <w:t xml:space="preserve"> degli interessi in gioco </w:t>
      </w:r>
      <w:r w:rsidRPr="000328DE">
        <w:rPr>
          <w:rFonts w:ascii="Garamond" w:hAnsi="Garamond"/>
          <w:sz w:val="26"/>
          <w:szCs w:val="26"/>
          <w:lang w:val="it-IT"/>
        </w:rPr>
        <w:t xml:space="preserve">con la tecnica del bilanciamento, </w:t>
      </w:r>
      <w:r w:rsidR="000328DE">
        <w:rPr>
          <w:rFonts w:ascii="Garamond" w:hAnsi="Garamond"/>
          <w:sz w:val="26"/>
          <w:szCs w:val="26"/>
          <w:lang w:val="it-IT"/>
        </w:rPr>
        <w:t xml:space="preserve">sulla base del criterio del </w:t>
      </w:r>
      <w:r w:rsidR="000328DE" w:rsidRPr="000328DE">
        <w:rPr>
          <w:rFonts w:ascii="Garamond" w:hAnsi="Garamond"/>
          <w:i/>
          <w:sz w:val="26"/>
          <w:szCs w:val="26"/>
          <w:lang w:val="it-IT"/>
        </w:rPr>
        <w:t>“pregiudizio concreto</w:t>
      </w:r>
      <w:r w:rsidR="000328DE">
        <w:rPr>
          <w:rFonts w:ascii="Garamond" w:hAnsi="Garamond"/>
          <w:i/>
          <w:sz w:val="26"/>
          <w:szCs w:val="26"/>
          <w:lang w:val="it-IT"/>
        </w:rPr>
        <w:t>”</w:t>
      </w:r>
      <w:r w:rsidR="000328DE" w:rsidRPr="000328DE">
        <w:rPr>
          <w:rFonts w:ascii="Garamond" w:hAnsi="Garamond"/>
          <w:i/>
          <w:sz w:val="26"/>
          <w:szCs w:val="26"/>
          <w:lang w:val="it-IT"/>
        </w:rPr>
        <w:t xml:space="preserve"> </w:t>
      </w:r>
      <w:r w:rsidR="000328DE" w:rsidRPr="000328DE">
        <w:rPr>
          <w:rFonts w:ascii="Garamond" w:hAnsi="Garamond"/>
          <w:sz w:val="26"/>
          <w:szCs w:val="26"/>
          <w:lang w:val="it-IT"/>
        </w:rPr>
        <w:t xml:space="preserve">(c.d. criterio del </w:t>
      </w:r>
      <w:r w:rsidR="000328DE" w:rsidRPr="000328DE">
        <w:rPr>
          <w:rFonts w:ascii="Garamond" w:hAnsi="Garamond"/>
          <w:i/>
          <w:sz w:val="26"/>
          <w:szCs w:val="26"/>
          <w:lang w:val="it-IT"/>
        </w:rPr>
        <w:t xml:space="preserve">“harm test” </w:t>
      </w:r>
      <w:r w:rsidR="000328DE" w:rsidRPr="000328DE">
        <w:rPr>
          <w:rFonts w:ascii="Garamond" w:hAnsi="Garamond"/>
          <w:iCs/>
          <w:sz w:val="26"/>
          <w:szCs w:val="26"/>
          <w:lang w:val="it-IT"/>
        </w:rPr>
        <w:t xml:space="preserve">o </w:t>
      </w:r>
      <w:r w:rsidR="000328DE" w:rsidRPr="000328DE">
        <w:rPr>
          <w:rFonts w:ascii="Garamond" w:hAnsi="Garamond"/>
          <w:i/>
          <w:sz w:val="26"/>
          <w:szCs w:val="26"/>
          <w:lang w:val="it-IT"/>
        </w:rPr>
        <w:t>“test del danno”</w:t>
      </w:r>
      <w:r w:rsidR="000328DE" w:rsidRPr="000328DE">
        <w:rPr>
          <w:rFonts w:ascii="Garamond" w:hAnsi="Garamond"/>
          <w:sz w:val="26"/>
          <w:szCs w:val="26"/>
          <w:lang w:val="it-IT"/>
        </w:rPr>
        <w:t>).</w:t>
      </w:r>
    </w:p>
    <w:p w14:paraId="1DF8D1D0" w14:textId="5290EE76" w:rsidR="00D823A4" w:rsidRPr="003A35A6" w:rsidRDefault="00427F6B" w:rsidP="00545989">
      <w:pPr>
        <w:pStyle w:val="Standard"/>
        <w:spacing w:line="360" w:lineRule="auto"/>
        <w:ind w:left="567" w:right="567" w:firstLine="141"/>
        <w:jc w:val="both"/>
        <w:rPr>
          <w:rFonts w:ascii="Garamond" w:eastAsia="Times New Roman" w:hAnsi="Garamond" w:cs="Times New Roman"/>
          <w:color w:val="000000"/>
          <w:sz w:val="26"/>
          <w:szCs w:val="26"/>
          <w:lang w:val="it-IT"/>
        </w:rPr>
      </w:pPr>
      <w:r>
        <w:rPr>
          <w:rFonts w:ascii="Garamond" w:hAnsi="Garamond"/>
          <w:sz w:val="26"/>
          <w:szCs w:val="26"/>
          <w:lang w:val="it-IT"/>
        </w:rPr>
        <w:t>In applicazione di tali principi, s</w:t>
      </w:r>
      <w:r w:rsidR="00D823A4">
        <w:rPr>
          <w:rFonts w:ascii="Garamond" w:hAnsi="Garamond"/>
          <w:sz w:val="26"/>
          <w:szCs w:val="26"/>
          <w:lang w:val="it-IT"/>
        </w:rPr>
        <w:t xml:space="preserve">i è </w:t>
      </w:r>
      <w:r>
        <w:rPr>
          <w:rFonts w:ascii="Garamond" w:hAnsi="Garamond"/>
          <w:sz w:val="26"/>
          <w:szCs w:val="26"/>
          <w:lang w:val="it-IT"/>
        </w:rPr>
        <w:t xml:space="preserve">quindi </w:t>
      </w:r>
      <w:r w:rsidR="00D823A4">
        <w:rPr>
          <w:rFonts w:ascii="Garamond" w:hAnsi="Garamond"/>
          <w:sz w:val="26"/>
          <w:szCs w:val="26"/>
          <w:lang w:val="it-IT"/>
        </w:rPr>
        <w:t xml:space="preserve">ritenuto </w:t>
      </w:r>
      <w:r w:rsidR="0084767C" w:rsidRPr="005606BF">
        <w:rPr>
          <w:rFonts w:ascii="Garamond" w:eastAsia="Times New Roman" w:hAnsi="Garamond" w:cs="Times New Roman"/>
          <w:color w:val="000000"/>
          <w:sz w:val="26"/>
          <w:szCs w:val="26"/>
          <w:lang w:val="it-IT"/>
        </w:rPr>
        <w:t>illegittimo il diniego dell’istanza di accesso civico generalizzato presentata da</w:t>
      </w:r>
      <w:r w:rsidR="005F25A0">
        <w:rPr>
          <w:rFonts w:ascii="Garamond" w:eastAsia="Times New Roman" w:hAnsi="Garamond" w:cs="Times New Roman"/>
          <w:color w:val="000000"/>
          <w:sz w:val="26"/>
          <w:szCs w:val="26"/>
          <w:lang w:val="it-IT"/>
        </w:rPr>
        <w:t xml:space="preserve"> un</w:t>
      </w:r>
      <w:r w:rsidR="0084767C" w:rsidRPr="00D823A4">
        <w:rPr>
          <w:rFonts w:ascii="Garamond" w:eastAsia="Times New Roman" w:hAnsi="Garamond" w:cs="Times New Roman"/>
          <w:color w:val="000000"/>
          <w:sz w:val="26"/>
          <w:szCs w:val="26"/>
          <w:lang w:val="it-IT"/>
        </w:rPr>
        <w:t xml:space="preserve"> giornalista agli atti riguardanti </w:t>
      </w:r>
      <w:r w:rsidR="0084767C" w:rsidRPr="003A35A6">
        <w:rPr>
          <w:rFonts w:ascii="Garamond" w:eastAsia="Times New Roman" w:hAnsi="Garamond" w:cs="Times New Roman"/>
          <w:color w:val="000000"/>
          <w:sz w:val="26"/>
          <w:szCs w:val="26"/>
          <w:lang w:val="it-IT"/>
        </w:rPr>
        <w:t>l’impiego ed il ritiro delle forze militari nei Comuni in cui era stata per la prima volta istituita la “zona rossa” a seguito della crisi pandemica da Covid-19 (5/8 marzo 2020)</w:t>
      </w:r>
      <w:r w:rsidR="00D823A4" w:rsidRPr="003A35A6">
        <w:rPr>
          <w:rFonts w:ascii="Garamond" w:eastAsia="Times New Roman" w:hAnsi="Garamond" w:cs="Times New Roman"/>
          <w:color w:val="000000"/>
          <w:sz w:val="26"/>
          <w:szCs w:val="26"/>
          <w:lang w:val="it-IT"/>
        </w:rPr>
        <w:t>,</w:t>
      </w:r>
      <w:r w:rsidR="0084767C" w:rsidRPr="003A35A6">
        <w:rPr>
          <w:rFonts w:ascii="Garamond" w:eastAsia="Times New Roman" w:hAnsi="Garamond" w:cs="Times New Roman"/>
          <w:color w:val="000000"/>
          <w:sz w:val="26"/>
          <w:szCs w:val="26"/>
          <w:lang w:val="it-IT"/>
        </w:rPr>
        <w:t xml:space="preserve"> in quanto motivato con un generico richiamo agli interessi di cui all’art. 5-bis, comma 1, lett. a), b) c) (sicurezza e ordine pubblico, sicurezza nazionale, difesa e questioni militari) senza dar conto del “concreto pregiudizio” che la divulgazione di detti documenti </w:t>
      </w:r>
      <w:r w:rsidR="00D823A4" w:rsidRPr="003A35A6">
        <w:rPr>
          <w:rFonts w:ascii="Garamond" w:eastAsia="Times New Roman" w:hAnsi="Garamond" w:cs="Times New Roman"/>
          <w:color w:val="000000"/>
          <w:sz w:val="26"/>
          <w:szCs w:val="26"/>
          <w:lang w:val="it-IT"/>
        </w:rPr>
        <w:t xml:space="preserve">avrebbe arrecato </w:t>
      </w:r>
      <w:r w:rsidR="0084767C" w:rsidRPr="003A35A6">
        <w:rPr>
          <w:rFonts w:ascii="Garamond" w:eastAsia="Times New Roman" w:hAnsi="Garamond" w:cs="Times New Roman"/>
          <w:color w:val="000000"/>
          <w:sz w:val="26"/>
          <w:szCs w:val="26"/>
          <w:lang w:val="it-IT"/>
        </w:rPr>
        <w:t xml:space="preserve">a tali interessi </w:t>
      </w:r>
      <w:r w:rsidR="00D823A4" w:rsidRPr="003A35A6">
        <w:rPr>
          <w:rStyle w:val="Rimandonotaapidipagina"/>
          <w:rFonts w:ascii="Garamond" w:hAnsi="Garamond"/>
          <w:color w:val="000000" w:themeColor="text1"/>
          <w:sz w:val="26"/>
          <w:szCs w:val="26"/>
          <w:lang w:val="it-IT"/>
        </w:rPr>
        <w:footnoteReference w:id="27"/>
      </w:r>
      <w:r w:rsidR="00D823A4" w:rsidRPr="003A35A6">
        <w:rPr>
          <w:rFonts w:ascii="Garamond" w:eastAsia="Times New Roman" w:hAnsi="Garamond" w:cs="Times New Roman"/>
          <w:color w:val="000000"/>
          <w:sz w:val="26"/>
          <w:szCs w:val="26"/>
          <w:lang w:val="it-IT"/>
        </w:rPr>
        <w:t>.</w:t>
      </w:r>
    </w:p>
    <w:p w14:paraId="13EE78ED" w14:textId="77777777" w:rsidR="003E7BD2" w:rsidRPr="007E2327" w:rsidRDefault="007B2AEB" w:rsidP="00E259B2">
      <w:pPr>
        <w:spacing w:line="360" w:lineRule="auto"/>
        <w:ind w:left="567" w:right="567"/>
        <w:jc w:val="both"/>
        <w:rPr>
          <w:rFonts w:ascii="Garamond" w:eastAsia="Times New Roman" w:hAnsi="Garamond" w:cs="Times New Roman"/>
          <w:color w:val="000000" w:themeColor="text1"/>
          <w:sz w:val="26"/>
          <w:szCs w:val="26"/>
        </w:rPr>
      </w:pPr>
      <w:r w:rsidRPr="00545989">
        <w:rPr>
          <w:rFonts w:ascii="Garamond" w:eastAsia="Times New Roman" w:hAnsi="Garamond" w:cs="Times New Roman"/>
          <w:color w:val="000000" w:themeColor="text1"/>
          <w:sz w:val="26"/>
          <w:szCs w:val="26"/>
        </w:rPr>
        <w:tab/>
      </w:r>
    </w:p>
    <w:p w14:paraId="6287F658" w14:textId="05FC0E24" w:rsidR="003E7BD2" w:rsidRPr="00BA2929" w:rsidRDefault="0055792A" w:rsidP="00E259B2">
      <w:pPr>
        <w:spacing w:line="360" w:lineRule="auto"/>
        <w:ind w:left="567" w:right="567"/>
        <w:jc w:val="both"/>
        <w:rPr>
          <w:rFonts w:ascii="Garamond" w:eastAsia="Times New Roman" w:hAnsi="Garamond" w:cs="Times New Roman"/>
          <w:b/>
          <w:bCs/>
          <w:color w:val="000000" w:themeColor="text1"/>
          <w:sz w:val="26"/>
          <w:szCs w:val="26"/>
        </w:rPr>
      </w:pPr>
      <w:r>
        <w:rPr>
          <w:rFonts w:ascii="Garamond" w:eastAsia="Times New Roman" w:hAnsi="Garamond" w:cs="Times New Roman"/>
          <w:b/>
          <w:bCs/>
          <w:color w:val="000000" w:themeColor="text1"/>
          <w:sz w:val="26"/>
          <w:szCs w:val="26"/>
        </w:rPr>
        <w:t>4</w:t>
      </w:r>
      <w:r w:rsidR="00D823A4">
        <w:rPr>
          <w:rFonts w:ascii="Garamond" w:eastAsia="Times New Roman" w:hAnsi="Garamond" w:cs="Times New Roman"/>
          <w:b/>
          <w:bCs/>
          <w:color w:val="000000" w:themeColor="text1"/>
          <w:sz w:val="26"/>
          <w:szCs w:val="26"/>
        </w:rPr>
        <w:t>.</w:t>
      </w:r>
      <w:r w:rsidR="00C23FDB">
        <w:rPr>
          <w:rFonts w:ascii="Garamond" w:eastAsia="Times New Roman" w:hAnsi="Garamond" w:cs="Times New Roman"/>
          <w:b/>
          <w:bCs/>
          <w:color w:val="000000" w:themeColor="text1"/>
          <w:sz w:val="26"/>
          <w:szCs w:val="26"/>
        </w:rPr>
        <w:t xml:space="preserve"> Il “diritto all’informazione”</w:t>
      </w:r>
      <w:r>
        <w:rPr>
          <w:rFonts w:ascii="Garamond" w:eastAsia="Times New Roman" w:hAnsi="Garamond" w:cs="Times New Roman"/>
          <w:b/>
          <w:bCs/>
          <w:color w:val="000000" w:themeColor="text1"/>
          <w:sz w:val="26"/>
          <w:szCs w:val="26"/>
        </w:rPr>
        <w:t xml:space="preserve"> sull’attività sanitaria</w:t>
      </w:r>
      <w:r w:rsidR="00C23FDB">
        <w:rPr>
          <w:rFonts w:ascii="Garamond" w:eastAsia="Times New Roman" w:hAnsi="Garamond" w:cs="Times New Roman"/>
          <w:b/>
          <w:bCs/>
          <w:color w:val="000000" w:themeColor="text1"/>
          <w:sz w:val="26"/>
          <w:szCs w:val="26"/>
        </w:rPr>
        <w:t>.</w:t>
      </w:r>
      <w:r w:rsidR="00D823A4">
        <w:rPr>
          <w:rFonts w:ascii="Garamond" w:eastAsia="Times New Roman" w:hAnsi="Garamond" w:cs="Times New Roman"/>
          <w:b/>
          <w:bCs/>
          <w:color w:val="000000" w:themeColor="text1"/>
          <w:sz w:val="26"/>
          <w:szCs w:val="26"/>
        </w:rPr>
        <w:t xml:space="preserve"> </w:t>
      </w:r>
    </w:p>
    <w:p w14:paraId="62EDEB0F" w14:textId="6506A635" w:rsidR="00400307" w:rsidRDefault="00400307" w:rsidP="00400307">
      <w:pPr>
        <w:spacing w:line="360" w:lineRule="auto"/>
        <w:ind w:left="567" w:right="567"/>
        <w:jc w:val="both"/>
        <w:rPr>
          <w:rFonts w:ascii="Garamond" w:hAnsi="Garamond"/>
          <w:iCs/>
          <w:color w:val="000000"/>
          <w:sz w:val="26"/>
          <w:szCs w:val="26"/>
        </w:rPr>
      </w:pPr>
      <w:r>
        <w:rPr>
          <w:rFonts w:ascii="Garamond" w:eastAsia="Times New Roman" w:hAnsi="Garamond" w:cs="Times New Roman"/>
          <w:color w:val="000000" w:themeColor="text1"/>
          <w:sz w:val="26"/>
          <w:szCs w:val="26"/>
        </w:rPr>
        <w:tab/>
      </w:r>
      <w:r w:rsidR="005F25A0">
        <w:rPr>
          <w:rFonts w:ascii="Garamond" w:eastAsia="Times New Roman" w:hAnsi="Garamond" w:cs="Times New Roman"/>
          <w:color w:val="000000" w:themeColor="text1"/>
          <w:sz w:val="26"/>
          <w:szCs w:val="26"/>
        </w:rPr>
        <w:t>Come detto, a</w:t>
      </w:r>
      <w:r w:rsidR="00D823A4">
        <w:rPr>
          <w:rFonts w:ascii="Garamond" w:eastAsia="Times New Roman" w:hAnsi="Garamond" w:cs="Times New Roman"/>
          <w:color w:val="000000" w:themeColor="text1"/>
          <w:sz w:val="26"/>
          <w:szCs w:val="26"/>
        </w:rPr>
        <w:t xml:space="preserve">nche accedendo </w:t>
      </w:r>
      <w:r w:rsidR="00C74571">
        <w:rPr>
          <w:rFonts w:ascii="Garamond" w:eastAsia="Times New Roman" w:hAnsi="Garamond" w:cs="Times New Roman"/>
          <w:color w:val="000000" w:themeColor="text1"/>
          <w:sz w:val="26"/>
          <w:szCs w:val="26"/>
        </w:rPr>
        <w:t xml:space="preserve">alla </w:t>
      </w:r>
      <w:r w:rsidR="005C7EF0">
        <w:rPr>
          <w:rFonts w:ascii="Garamond" w:eastAsia="Times New Roman" w:hAnsi="Garamond" w:cs="Times New Roman"/>
          <w:color w:val="000000" w:themeColor="text1"/>
          <w:sz w:val="26"/>
          <w:szCs w:val="26"/>
        </w:rPr>
        <w:t xml:space="preserve">più ampia </w:t>
      </w:r>
      <w:r>
        <w:rPr>
          <w:rFonts w:ascii="Garamond" w:eastAsia="Times New Roman" w:hAnsi="Garamond" w:cs="Times New Roman"/>
          <w:color w:val="000000" w:themeColor="text1"/>
          <w:sz w:val="26"/>
          <w:szCs w:val="26"/>
        </w:rPr>
        <w:t xml:space="preserve">nozione di </w:t>
      </w:r>
      <w:r w:rsidR="00D823A4">
        <w:rPr>
          <w:rFonts w:ascii="Garamond" w:hAnsi="Garamond"/>
          <w:iCs/>
          <w:color w:val="000000"/>
          <w:sz w:val="26"/>
          <w:szCs w:val="26"/>
        </w:rPr>
        <w:t>“oggetto”</w:t>
      </w:r>
      <w:r w:rsidR="00C74571">
        <w:rPr>
          <w:rFonts w:ascii="Garamond" w:hAnsi="Garamond"/>
          <w:iCs/>
          <w:color w:val="000000"/>
          <w:sz w:val="26"/>
          <w:szCs w:val="26"/>
        </w:rPr>
        <w:t xml:space="preserve"> </w:t>
      </w:r>
      <w:r w:rsidR="005C7EF0">
        <w:rPr>
          <w:rFonts w:ascii="Garamond" w:hAnsi="Garamond"/>
          <w:iCs/>
          <w:color w:val="000000"/>
          <w:sz w:val="26"/>
          <w:szCs w:val="26"/>
        </w:rPr>
        <w:t>dell’</w:t>
      </w:r>
      <w:r w:rsidR="00C74571">
        <w:rPr>
          <w:rFonts w:ascii="Garamond" w:hAnsi="Garamond"/>
          <w:iCs/>
          <w:color w:val="000000"/>
          <w:sz w:val="26"/>
          <w:szCs w:val="26"/>
        </w:rPr>
        <w:t>’accesso civico generalizzato</w:t>
      </w:r>
      <w:r w:rsidR="005C7EF0">
        <w:rPr>
          <w:rFonts w:ascii="Garamond" w:hAnsi="Garamond"/>
          <w:iCs/>
          <w:color w:val="000000"/>
          <w:sz w:val="26"/>
          <w:szCs w:val="26"/>
        </w:rPr>
        <w:t>, esso</w:t>
      </w:r>
      <w:r w:rsidR="005F25A0">
        <w:rPr>
          <w:rFonts w:ascii="Garamond" w:hAnsi="Garamond"/>
          <w:iCs/>
          <w:color w:val="000000"/>
          <w:sz w:val="26"/>
          <w:szCs w:val="26"/>
        </w:rPr>
        <w:t xml:space="preserve"> presenta</w:t>
      </w:r>
      <w:r w:rsidR="00C74571">
        <w:rPr>
          <w:rFonts w:ascii="Garamond" w:hAnsi="Garamond"/>
          <w:iCs/>
          <w:color w:val="000000"/>
          <w:sz w:val="26"/>
          <w:szCs w:val="26"/>
        </w:rPr>
        <w:t xml:space="preserve"> alcuni limiti strutturali </w:t>
      </w:r>
      <w:r>
        <w:rPr>
          <w:rFonts w:ascii="Garamond" w:hAnsi="Garamond"/>
          <w:iCs/>
          <w:color w:val="000000"/>
          <w:sz w:val="26"/>
          <w:szCs w:val="26"/>
        </w:rPr>
        <w:t>ch</w:t>
      </w:r>
      <w:r w:rsidR="00C74571">
        <w:rPr>
          <w:rFonts w:ascii="Garamond" w:hAnsi="Garamond"/>
          <w:iCs/>
          <w:color w:val="000000"/>
          <w:sz w:val="26"/>
          <w:szCs w:val="26"/>
        </w:rPr>
        <w:t xml:space="preserve">e non </w:t>
      </w:r>
      <w:r w:rsidR="005F25A0">
        <w:rPr>
          <w:rFonts w:ascii="Garamond" w:hAnsi="Garamond"/>
          <w:iCs/>
          <w:color w:val="000000"/>
          <w:sz w:val="26"/>
          <w:szCs w:val="26"/>
        </w:rPr>
        <w:t>consentono</w:t>
      </w:r>
      <w:r>
        <w:rPr>
          <w:rFonts w:ascii="Garamond" w:hAnsi="Garamond"/>
          <w:iCs/>
          <w:color w:val="000000"/>
          <w:sz w:val="26"/>
          <w:szCs w:val="26"/>
        </w:rPr>
        <w:t xml:space="preserve"> </w:t>
      </w:r>
      <w:r w:rsidR="00C74571">
        <w:rPr>
          <w:rFonts w:ascii="Garamond" w:hAnsi="Garamond"/>
          <w:iCs/>
          <w:color w:val="000000"/>
          <w:sz w:val="26"/>
          <w:szCs w:val="26"/>
        </w:rPr>
        <w:t xml:space="preserve">di soddisfare </w:t>
      </w:r>
      <w:r w:rsidR="005F25A0">
        <w:rPr>
          <w:rFonts w:ascii="Garamond" w:hAnsi="Garamond"/>
          <w:iCs/>
          <w:color w:val="000000"/>
          <w:sz w:val="26"/>
          <w:szCs w:val="26"/>
        </w:rPr>
        <w:t xml:space="preserve">appieno </w:t>
      </w:r>
      <w:r w:rsidR="00C74571">
        <w:rPr>
          <w:rFonts w:ascii="Garamond" w:hAnsi="Garamond"/>
          <w:iCs/>
          <w:color w:val="000000"/>
          <w:sz w:val="26"/>
          <w:szCs w:val="26"/>
        </w:rPr>
        <w:t xml:space="preserve">le esigenze di informazione che non siano in qualche modo ricavabili </w:t>
      </w:r>
      <w:r w:rsidR="005C7EF0">
        <w:rPr>
          <w:rFonts w:ascii="Garamond" w:hAnsi="Garamond"/>
          <w:iCs/>
          <w:color w:val="000000"/>
          <w:sz w:val="26"/>
          <w:szCs w:val="26"/>
        </w:rPr>
        <w:t xml:space="preserve">(anche mediante </w:t>
      </w:r>
      <w:r w:rsidR="00917E66">
        <w:rPr>
          <w:rFonts w:ascii="Garamond" w:hAnsi="Garamond"/>
          <w:iCs/>
          <w:color w:val="000000"/>
          <w:sz w:val="26"/>
          <w:szCs w:val="26"/>
        </w:rPr>
        <w:t xml:space="preserve">attività di </w:t>
      </w:r>
      <w:r w:rsidR="005C7EF0">
        <w:rPr>
          <w:rFonts w:ascii="Garamond" w:hAnsi="Garamond"/>
          <w:iCs/>
          <w:color w:val="000000"/>
          <w:sz w:val="26"/>
          <w:szCs w:val="26"/>
        </w:rPr>
        <w:t xml:space="preserve">elaborazione) </w:t>
      </w:r>
      <w:r w:rsidR="00C74571">
        <w:rPr>
          <w:rFonts w:ascii="Garamond" w:hAnsi="Garamond"/>
          <w:iCs/>
          <w:color w:val="000000"/>
          <w:sz w:val="26"/>
          <w:szCs w:val="26"/>
        </w:rPr>
        <w:t>da atti o documenti esistenti e detenuti dalla P.A., q</w:t>
      </w:r>
      <w:r w:rsidR="005F25A0">
        <w:rPr>
          <w:rFonts w:ascii="Garamond" w:hAnsi="Garamond"/>
          <w:iCs/>
          <w:color w:val="000000"/>
          <w:sz w:val="26"/>
          <w:szCs w:val="26"/>
        </w:rPr>
        <w:t>uantunque “interni” alla stessa</w:t>
      </w:r>
      <w:r w:rsidR="00C74571">
        <w:rPr>
          <w:rFonts w:ascii="Garamond" w:hAnsi="Garamond"/>
          <w:iCs/>
          <w:color w:val="000000"/>
          <w:sz w:val="26"/>
          <w:szCs w:val="26"/>
        </w:rPr>
        <w:t>.</w:t>
      </w:r>
    </w:p>
    <w:p w14:paraId="4F6B80A6" w14:textId="5C5F967C" w:rsidR="00400307" w:rsidRDefault="00400307" w:rsidP="00400307">
      <w:pPr>
        <w:spacing w:line="360" w:lineRule="auto"/>
        <w:ind w:left="567" w:right="567"/>
        <w:jc w:val="both"/>
        <w:rPr>
          <w:rFonts w:ascii="Garamond" w:hAnsi="Garamond" w:cs="Segoe UI"/>
          <w:sz w:val="26"/>
          <w:szCs w:val="26"/>
        </w:rPr>
      </w:pPr>
      <w:r>
        <w:rPr>
          <w:rFonts w:ascii="Garamond" w:eastAsia="Times New Roman" w:hAnsi="Garamond" w:cs="Times New Roman"/>
          <w:color w:val="000000" w:themeColor="text1"/>
          <w:sz w:val="26"/>
          <w:szCs w:val="26"/>
        </w:rPr>
        <w:tab/>
        <w:t xml:space="preserve">E’ allora da </w:t>
      </w:r>
      <w:r w:rsidR="005C7EF0" w:rsidRPr="005C7EF0">
        <w:rPr>
          <w:rFonts w:ascii="Garamond" w:hAnsi="Garamond" w:cs="Segoe UI"/>
          <w:sz w:val="26"/>
          <w:szCs w:val="26"/>
        </w:rPr>
        <w:t xml:space="preserve">chiedersi se </w:t>
      </w:r>
      <w:r>
        <w:rPr>
          <w:rFonts w:ascii="Garamond" w:hAnsi="Garamond" w:cs="Segoe UI"/>
          <w:sz w:val="26"/>
          <w:szCs w:val="26"/>
        </w:rPr>
        <w:t>l’</w:t>
      </w:r>
      <w:r w:rsidR="005C7EF0" w:rsidRPr="005C7EF0">
        <w:rPr>
          <w:rFonts w:ascii="Garamond" w:hAnsi="Garamond" w:cs="Segoe UI"/>
          <w:sz w:val="26"/>
          <w:szCs w:val="26"/>
        </w:rPr>
        <w:t xml:space="preserve">ordinamento </w:t>
      </w:r>
      <w:r>
        <w:rPr>
          <w:rFonts w:ascii="Garamond" w:hAnsi="Garamond" w:cs="Segoe UI"/>
          <w:sz w:val="26"/>
          <w:szCs w:val="26"/>
        </w:rPr>
        <w:t xml:space="preserve">contempli strumenti che possano soddisfare altrimenti detta esigenza informativa nei confronti della P.A. e le eventuali </w:t>
      </w:r>
      <w:r w:rsidR="005C7EF0" w:rsidRPr="005C7EF0">
        <w:rPr>
          <w:rFonts w:ascii="Garamond" w:hAnsi="Garamond" w:cs="Segoe UI"/>
          <w:sz w:val="26"/>
          <w:szCs w:val="26"/>
        </w:rPr>
        <w:t>forme di tutela</w:t>
      </w:r>
      <w:r>
        <w:rPr>
          <w:rFonts w:ascii="Garamond" w:hAnsi="Garamond" w:cs="Segoe UI"/>
          <w:sz w:val="26"/>
          <w:szCs w:val="26"/>
        </w:rPr>
        <w:t xml:space="preserve"> giurisdizionale</w:t>
      </w:r>
      <w:r w:rsidR="005C7EF0" w:rsidRPr="005C7EF0">
        <w:rPr>
          <w:rFonts w:ascii="Garamond" w:hAnsi="Garamond" w:cs="Segoe UI"/>
          <w:sz w:val="26"/>
          <w:szCs w:val="26"/>
        </w:rPr>
        <w:t>.</w:t>
      </w:r>
    </w:p>
    <w:p w14:paraId="0060AEC8" w14:textId="77777777" w:rsidR="00112ACF" w:rsidRDefault="00112ACF" w:rsidP="009059F8">
      <w:pPr>
        <w:spacing w:line="360" w:lineRule="auto"/>
        <w:ind w:left="567" w:right="567"/>
        <w:jc w:val="both"/>
        <w:rPr>
          <w:rFonts w:ascii="Garamond" w:hAnsi="Garamond" w:cs="Segoe UI"/>
          <w:b/>
          <w:color w:val="201A1A"/>
          <w:sz w:val="26"/>
          <w:szCs w:val="26"/>
        </w:rPr>
      </w:pPr>
    </w:p>
    <w:p w14:paraId="21301ABB" w14:textId="21F99F4A" w:rsidR="009059F8" w:rsidRPr="005C7EF0" w:rsidRDefault="0055792A" w:rsidP="009059F8">
      <w:pPr>
        <w:spacing w:line="360" w:lineRule="auto"/>
        <w:ind w:left="567" w:right="567"/>
        <w:jc w:val="both"/>
        <w:rPr>
          <w:rFonts w:ascii="Garamond" w:hAnsi="Garamond" w:cs="Segoe UI"/>
          <w:b/>
          <w:color w:val="201A1A"/>
          <w:sz w:val="26"/>
          <w:szCs w:val="26"/>
        </w:rPr>
      </w:pPr>
      <w:r>
        <w:rPr>
          <w:rFonts w:ascii="Garamond" w:hAnsi="Garamond" w:cs="Segoe UI"/>
          <w:b/>
          <w:color w:val="201A1A"/>
          <w:sz w:val="26"/>
          <w:szCs w:val="26"/>
        </w:rPr>
        <w:t>4</w:t>
      </w:r>
      <w:r w:rsidR="009059F8" w:rsidRPr="005C7EF0">
        <w:rPr>
          <w:rFonts w:ascii="Garamond" w:hAnsi="Garamond" w:cs="Segoe UI"/>
          <w:b/>
          <w:color w:val="201A1A"/>
          <w:sz w:val="26"/>
          <w:szCs w:val="26"/>
        </w:rPr>
        <w:t xml:space="preserve">.1. Il </w:t>
      </w:r>
      <w:r w:rsidR="009059F8">
        <w:rPr>
          <w:rFonts w:ascii="Garamond" w:hAnsi="Garamond" w:cs="Segoe UI"/>
          <w:b/>
          <w:color w:val="201A1A"/>
          <w:sz w:val="26"/>
          <w:szCs w:val="26"/>
        </w:rPr>
        <w:t>“</w:t>
      </w:r>
      <w:r w:rsidR="009059F8" w:rsidRPr="005C7EF0">
        <w:rPr>
          <w:rFonts w:ascii="Garamond" w:hAnsi="Garamond" w:cs="Segoe UI"/>
          <w:b/>
          <w:color w:val="201A1A"/>
          <w:sz w:val="26"/>
          <w:szCs w:val="26"/>
        </w:rPr>
        <w:t>diritto all'informazione</w:t>
      </w:r>
      <w:r w:rsidR="009059F8">
        <w:rPr>
          <w:rFonts w:ascii="Garamond" w:hAnsi="Garamond" w:cs="Segoe UI"/>
          <w:b/>
          <w:color w:val="201A1A"/>
          <w:sz w:val="26"/>
          <w:szCs w:val="26"/>
        </w:rPr>
        <w:t>”</w:t>
      </w:r>
      <w:r w:rsidR="009059F8" w:rsidRPr="005C7EF0">
        <w:rPr>
          <w:rFonts w:ascii="Garamond" w:hAnsi="Garamond" w:cs="Segoe UI"/>
          <w:b/>
          <w:color w:val="201A1A"/>
          <w:sz w:val="26"/>
          <w:szCs w:val="26"/>
        </w:rPr>
        <w:t xml:space="preserve"> nei casi espressamente previsti dalla Legge.</w:t>
      </w:r>
    </w:p>
    <w:p w14:paraId="15ADDDC3" w14:textId="03C8B21D" w:rsidR="00400307" w:rsidRDefault="00400307" w:rsidP="00400307">
      <w:pPr>
        <w:spacing w:line="360" w:lineRule="auto"/>
        <w:ind w:left="567" w:right="567"/>
        <w:jc w:val="both"/>
        <w:rPr>
          <w:rFonts w:ascii="Garamond" w:hAnsi="Garamond" w:cs="Segoe UI"/>
          <w:sz w:val="26"/>
          <w:szCs w:val="26"/>
        </w:rPr>
      </w:pPr>
      <w:r>
        <w:rPr>
          <w:rFonts w:ascii="Garamond" w:eastAsia="Times New Roman" w:hAnsi="Garamond" w:cs="Times New Roman"/>
          <w:color w:val="000000" w:themeColor="text1"/>
          <w:sz w:val="26"/>
          <w:szCs w:val="26"/>
        </w:rPr>
        <w:tab/>
      </w:r>
      <w:r w:rsidR="009059F8">
        <w:rPr>
          <w:rFonts w:ascii="Garamond" w:eastAsia="Times New Roman" w:hAnsi="Garamond" w:cs="Times New Roman"/>
          <w:color w:val="000000" w:themeColor="text1"/>
          <w:sz w:val="26"/>
          <w:szCs w:val="26"/>
        </w:rPr>
        <w:t>P</w:t>
      </w:r>
      <w:r>
        <w:rPr>
          <w:rFonts w:ascii="Garamond" w:eastAsia="Times New Roman" w:hAnsi="Garamond" w:cs="Times New Roman"/>
          <w:color w:val="000000" w:themeColor="text1"/>
          <w:sz w:val="26"/>
          <w:szCs w:val="26"/>
        </w:rPr>
        <w:t>uò</w:t>
      </w:r>
      <w:r w:rsidR="009059F8">
        <w:rPr>
          <w:rFonts w:ascii="Garamond" w:eastAsia="Times New Roman" w:hAnsi="Garamond" w:cs="Times New Roman"/>
          <w:color w:val="000000" w:themeColor="text1"/>
          <w:sz w:val="26"/>
          <w:szCs w:val="26"/>
        </w:rPr>
        <w:t>,</w:t>
      </w:r>
      <w:r>
        <w:rPr>
          <w:rFonts w:ascii="Garamond" w:eastAsia="Times New Roman" w:hAnsi="Garamond" w:cs="Times New Roman"/>
          <w:color w:val="000000" w:themeColor="text1"/>
          <w:sz w:val="26"/>
          <w:szCs w:val="26"/>
        </w:rPr>
        <w:t xml:space="preserve"> anzitutto</w:t>
      </w:r>
      <w:r w:rsidR="009059F8">
        <w:rPr>
          <w:rFonts w:ascii="Garamond" w:eastAsia="Times New Roman" w:hAnsi="Garamond" w:cs="Times New Roman"/>
          <w:color w:val="000000" w:themeColor="text1"/>
          <w:sz w:val="26"/>
          <w:szCs w:val="26"/>
        </w:rPr>
        <w:t>,</w:t>
      </w:r>
      <w:r>
        <w:rPr>
          <w:rFonts w:ascii="Garamond" w:eastAsia="Times New Roman" w:hAnsi="Garamond" w:cs="Times New Roman"/>
          <w:color w:val="000000" w:themeColor="text1"/>
          <w:sz w:val="26"/>
          <w:szCs w:val="26"/>
        </w:rPr>
        <w:t xml:space="preserve"> rilevarsi che </w:t>
      </w:r>
      <w:r w:rsidRPr="005C7EF0">
        <w:rPr>
          <w:rFonts w:ascii="Garamond" w:hAnsi="Garamond" w:cs="Segoe UI"/>
          <w:sz w:val="26"/>
          <w:szCs w:val="26"/>
        </w:rPr>
        <w:t xml:space="preserve">vi sono </w:t>
      </w:r>
      <w:r>
        <w:rPr>
          <w:rFonts w:ascii="Garamond" w:hAnsi="Garamond" w:cs="Segoe UI"/>
          <w:sz w:val="26"/>
          <w:szCs w:val="26"/>
        </w:rPr>
        <w:t xml:space="preserve">casi in cui il legislatore </w:t>
      </w:r>
      <w:r w:rsidRPr="005C7EF0">
        <w:rPr>
          <w:rFonts w:ascii="Garamond" w:hAnsi="Garamond" w:cs="Segoe UI"/>
          <w:sz w:val="26"/>
          <w:szCs w:val="26"/>
        </w:rPr>
        <w:t xml:space="preserve">riconosce espressamente al cittadino il diritto di ottenere dalla P.A. </w:t>
      </w:r>
      <w:r>
        <w:rPr>
          <w:rFonts w:ascii="Garamond" w:hAnsi="Garamond" w:cs="Segoe UI"/>
          <w:sz w:val="26"/>
          <w:szCs w:val="26"/>
        </w:rPr>
        <w:t>“</w:t>
      </w:r>
      <w:r w:rsidRPr="005C7EF0">
        <w:rPr>
          <w:rFonts w:ascii="Garamond" w:hAnsi="Garamond" w:cs="Segoe UI"/>
          <w:sz w:val="26"/>
          <w:szCs w:val="26"/>
        </w:rPr>
        <w:t>informazioni</w:t>
      </w:r>
      <w:r>
        <w:rPr>
          <w:rFonts w:ascii="Garamond" w:hAnsi="Garamond" w:cs="Segoe UI"/>
          <w:sz w:val="26"/>
          <w:szCs w:val="26"/>
        </w:rPr>
        <w:t>”</w:t>
      </w:r>
      <w:r w:rsidRPr="005C7EF0">
        <w:rPr>
          <w:rFonts w:ascii="Garamond" w:hAnsi="Garamond" w:cs="Segoe UI"/>
          <w:sz w:val="26"/>
          <w:szCs w:val="26"/>
        </w:rPr>
        <w:t xml:space="preserve"> di suo interesse</w:t>
      </w:r>
      <w:r>
        <w:rPr>
          <w:rFonts w:ascii="Garamond" w:hAnsi="Garamond" w:cs="Segoe UI"/>
          <w:sz w:val="26"/>
          <w:szCs w:val="26"/>
        </w:rPr>
        <w:t xml:space="preserve">, ovvero </w:t>
      </w:r>
      <w:r>
        <w:rPr>
          <w:rFonts w:ascii="Garamond" w:eastAsia="Times New Roman" w:hAnsi="Garamond" w:cs="Times New Roman"/>
          <w:color w:val="000000" w:themeColor="text1"/>
          <w:sz w:val="26"/>
          <w:szCs w:val="26"/>
        </w:rPr>
        <w:t xml:space="preserve">un “diritto all’informazione” </w:t>
      </w:r>
      <w:r w:rsidR="00A85638">
        <w:rPr>
          <w:rFonts w:ascii="Garamond" w:eastAsia="Times New Roman" w:hAnsi="Garamond" w:cs="Times New Roman"/>
          <w:color w:val="000000" w:themeColor="text1"/>
          <w:sz w:val="26"/>
          <w:szCs w:val="26"/>
        </w:rPr>
        <w:t xml:space="preserve">sotto il profilo oggettivo </w:t>
      </w:r>
      <w:r>
        <w:rPr>
          <w:rFonts w:ascii="Garamond" w:eastAsia="Times New Roman" w:hAnsi="Garamond" w:cs="Times New Roman"/>
          <w:color w:val="000000" w:themeColor="text1"/>
          <w:sz w:val="26"/>
          <w:szCs w:val="26"/>
        </w:rPr>
        <w:t>più ampi</w:t>
      </w:r>
      <w:r w:rsidR="00A85638">
        <w:rPr>
          <w:rFonts w:ascii="Garamond" w:eastAsia="Times New Roman" w:hAnsi="Garamond" w:cs="Times New Roman"/>
          <w:color w:val="000000" w:themeColor="text1"/>
          <w:sz w:val="26"/>
          <w:szCs w:val="26"/>
        </w:rPr>
        <w:t>o</w:t>
      </w:r>
      <w:r>
        <w:rPr>
          <w:rFonts w:ascii="Garamond" w:eastAsia="Times New Roman" w:hAnsi="Garamond" w:cs="Times New Roman"/>
          <w:color w:val="000000" w:themeColor="text1"/>
          <w:sz w:val="26"/>
          <w:szCs w:val="26"/>
        </w:rPr>
        <w:t xml:space="preserve"> </w:t>
      </w:r>
      <w:r w:rsidR="009059F8">
        <w:rPr>
          <w:rFonts w:ascii="Garamond" w:eastAsia="Times New Roman" w:hAnsi="Garamond" w:cs="Times New Roman"/>
          <w:color w:val="000000" w:themeColor="text1"/>
          <w:sz w:val="26"/>
          <w:szCs w:val="26"/>
        </w:rPr>
        <w:t xml:space="preserve">di </w:t>
      </w:r>
      <w:r w:rsidR="00A85638">
        <w:rPr>
          <w:rFonts w:ascii="Garamond" w:eastAsia="Times New Roman" w:hAnsi="Garamond" w:cs="Times New Roman"/>
          <w:color w:val="000000" w:themeColor="text1"/>
          <w:sz w:val="26"/>
          <w:szCs w:val="26"/>
        </w:rPr>
        <w:t xml:space="preserve">quello </w:t>
      </w:r>
      <w:r w:rsidR="009059F8">
        <w:rPr>
          <w:rFonts w:ascii="Garamond" w:eastAsia="Times New Roman" w:hAnsi="Garamond" w:cs="Times New Roman"/>
          <w:color w:val="000000" w:themeColor="text1"/>
          <w:sz w:val="26"/>
          <w:szCs w:val="26"/>
        </w:rPr>
        <w:t>garanti</w:t>
      </w:r>
      <w:r w:rsidR="00A85638">
        <w:rPr>
          <w:rFonts w:ascii="Garamond" w:eastAsia="Times New Roman" w:hAnsi="Garamond" w:cs="Times New Roman"/>
          <w:color w:val="000000" w:themeColor="text1"/>
          <w:sz w:val="26"/>
          <w:szCs w:val="26"/>
        </w:rPr>
        <w:t>to</w:t>
      </w:r>
      <w:r w:rsidR="009059F8">
        <w:rPr>
          <w:rFonts w:ascii="Garamond" w:eastAsia="Times New Roman" w:hAnsi="Garamond" w:cs="Times New Roman"/>
          <w:color w:val="000000" w:themeColor="text1"/>
          <w:sz w:val="26"/>
          <w:szCs w:val="26"/>
        </w:rPr>
        <w:t xml:space="preserve"> </w:t>
      </w:r>
      <w:r w:rsidR="00A85638">
        <w:rPr>
          <w:rFonts w:ascii="Garamond" w:eastAsia="Times New Roman" w:hAnsi="Garamond" w:cs="Times New Roman"/>
          <w:color w:val="000000" w:themeColor="text1"/>
          <w:sz w:val="26"/>
          <w:szCs w:val="26"/>
        </w:rPr>
        <w:t>da</w:t>
      </w:r>
      <w:r>
        <w:rPr>
          <w:rFonts w:ascii="Garamond" w:eastAsia="Times New Roman" w:hAnsi="Garamond" w:cs="Times New Roman"/>
          <w:color w:val="000000" w:themeColor="text1"/>
          <w:sz w:val="26"/>
          <w:szCs w:val="26"/>
        </w:rPr>
        <w:t>l diritto di accesso</w:t>
      </w:r>
      <w:r w:rsidR="005F25A0">
        <w:rPr>
          <w:rFonts w:ascii="Garamond" w:eastAsia="Times New Roman" w:hAnsi="Garamond" w:cs="Times New Roman"/>
          <w:color w:val="000000" w:themeColor="text1"/>
          <w:sz w:val="26"/>
          <w:szCs w:val="26"/>
        </w:rPr>
        <w:t xml:space="preserve">, </w:t>
      </w:r>
      <w:r>
        <w:rPr>
          <w:rFonts w:ascii="Garamond" w:eastAsia="Times New Roman" w:hAnsi="Garamond" w:cs="Times New Roman"/>
          <w:color w:val="000000" w:themeColor="text1"/>
          <w:sz w:val="26"/>
          <w:szCs w:val="26"/>
        </w:rPr>
        <w:t xml:space="preserve">sia esso documentale </w:t>
      </w:r>
      <w:r w:rsidR="009059F8">
        <w:rPr>
          <w:rFonts w:ascii="Garamond" w:eastAsia="Times New Roman" w:hAnsi="Garamond" w:cs="Times New Roman"/>
          <w:color w:val="000000" w:themeColor="text1"/>
          <w:sz w:val="26"/>
          <w:szCs w:val="26"/>
        </w:rPr>
        <w:t xml:space="preserve">ex l. n. 241 del 1990 </w:t>
      </w:r>
      <w:r>
        <w:rPr>
          <w:rFonts w:ascii="Garamond" w:eastAsia="Times New Roman" w:hAnsi="Garamond" w:cs="Times New Roman"/>
          <w:color w:val="000000" w:themeColor="text1"/>
          <w:sz w:val="26"/>
          <w:szCs w:val="26"/>
        </w:rPr>
        <w:t xml:space="preserve">o civico </w:t>
      </w:r>
      <w:r w:rsidR="009059F8">
        <w:rPr>
          <w:rFonts w:ascii="Garamond" w:eastAsia="Times New Roman" w:hAnsi="Garamond" w:cs="Times New Roman"/>
          <w:color w:val="000000" w:themeColor="text1"/>
          <w:sz w:val="26"/>
          <w:szCs w:val="26"/>
        </w:rPr>
        <w:t>ex d.lgs. n. 33 del 2013.</w:t>
      </w:r>
    </w:p>
    <w:p w14:paraId="69687710" w14:textId="17C1DAA7" w:rsidR="00024885" w:rsidRDefault="009059F8" w:rsidP="00400307">
      <w:pPr>
        <w:pStyle w:val="Standard"/>
        <w:spacing w:line="360" w:lineRule="auto"/>
        <w:ind w:left="567" w:right="567" w:firstLine="141"/>
        <w:jc w:val="both"/>
        <w:rPr>
          <w:rFonts w:ascii="Garamond" w:hAnsi="Garamond" w:cs="Segoe UI"/>
          <w:sz w:val="26"/>
          <w:szCs w:val="26"/>
          <w:lang w:val="it-IT"/>
        </w:rPr>
      </w:pPr>
      <w:r>
        <w:rPr>
          <w:rFonts w:ascii="Garamond" w:hAnsi="Garamond" w:cs="Segoe UI"/>
          <w:sz w:val="26"/>
          <w:szCs w:val="26"/>
          <w:lang w:val="it-IT"/>
        </w:rPr>
        <w:t>A</w:t>
      </w:r>
      <w:r w:rsidR="00400307" w:rsidRPr="005C7EF0">
        <w:rPr>
          <w:rFonts w:ascii="Garamond" w:hAnsi="Garamond" w:cs="Segoe UI"/>
          <w:sz w:val="26"/>
          <w:szCs w:val="26"/>
          <w:lang w:val="it-IT"/>
        </w:rPr>
        <w:t xml:space="preserve">lcune di queste </w:t>
      </w:r>
      <w:r w:rsidR="005F25A0">
        <w:rPr>
          <w:rFonts w:ascii="Garamond" w:hAnsi="Garamond" w:cs="Segoe UI"/>
          <w:sz w:val="26"/>
          <w:szCs w:val="26"/>
          <w:lang w:val="it-IT"/>
        </w:rPr>
        <w:t xml:space="preserve">disposizioni </w:t>
      </w:r>
      <w:r>
        <w:rPr>
          <w:rFonts w:ascii="Garamond" w:hAnsi="Garamond" w:cs="Segoe UI"/>
          <w:sz w:val="26"/>
          <w:szCs w:val="26"/>
          <w:lang w:val="it-IT"/>
        </w:rPr>
        <w:t>hanno carattere</w:t>
      </w:r>
      <w:r w:rsidR="005F25A0">
        <w:rPr>
          <w:rFonts w:ascii="Garamond" w:hAnsi="Garamond" w:cs="Segoe UI"/>
          <w:sz w:val="26"/>
          <w:szCs w:val="26"/>
          <w:lang w:val="it-IT"/>
        </w:rPr>
        <w:t xml:space="preserve"> generale, in quanto riguardano</w:t>
      </w:r>
      <w:r>
        <w:rPr>
          <w:rFonts w:ascii="Garamond" w:hAnsi="Garamond" w:cs="Segoe UI"/>
          <w:sz w:val="26"/>
          <w:szCs w:val="26"/>
          <w:lang w:val="it-IT"/>
        </w:rPr>
        <w:t xml:space="preserve"> aspetti organizzativi o gestionali relativi all’intera attività svolta da una Pubblica Amministrazione</w:t>
      </w:r>
      <w:r w:rsidR="00024885">
        <w:rPr>
          <w:rFonts w:ascii="Garamond" w:hAnsi="Garamond" w:cs="Segoe UI"/>
          <w:sz w:val="26"/>
          <w:szCs w:val="26"/>
          <w:lang w:val="it-IT"/>
        </w:rPr>
        <w:t xml:space="preserve"> </w:t>
      </w:r>
      <w:r w:rsidR="00024885" w:rsidRPr="00B97122">
        <w:rPr>
          <w:rStyle w:val="Rimandonotaapidipagina"/>
          <w:rFonts w:ascii="Garamond" w:hAnsi="Garamond"/>
          <w:color w:val="000000" w:themeColor="text1"/>
          <w:sz w:val="26"/>
          <w:szCs w:val="26"/>
        </w:rPr>
        <w:footnoteReference w:id="28"/>
      </w:r>
      <w:r w:rsidR="00024885">
        <w:rPr>
          <w:rFonts w:ascii="Garamond" w:hAnsi="Garamond" w:cs="Segoe UI"/>
          <w:sz w:val="26"/>
          <w:szCs w:val="26"/>
          <w:lang w:val="it-IT"/>
        </w:rPr>
        <w:t>.</w:t>
      </w:r>
    </w:p>
    <w:p w14:paraId="68968ED9" w14:textId="7696F722" w:rsidR="005C7EF0" w:rsidRDefault="009059F8" w:rsidP="0087552C">
      <w:pPr>
        <w:pStyle w:val="Standard"/>
        <w:spacing w:line="360" w:lineRule="auto"/>
        <w:ind w:left="567" w:right="567" w:firstLine="141"/>
        <w:jc w:val="both"/>
        <w:rPr>
          <w:rFonts w:ascii="Garamond" w:hAnsi="Garamond" w:cs="Segoe UI"/>
          <w:sz w:val="26"/>
          <w:szCs w:val="26"/>
          <w:lang w:val="it-IT"/>
        </w:rPr>
      </w:pPr>
      <w:r>
        <w:rPr>
          <w:rFonts w:ascii="Garamond" w:hAnsi="Garamond" w:cs="Segoe UI"/>
          <w:sz w:val="26"/>
          <w:szCs w:val="26"/>
          <w:lang w:val="it-IT"/>
        </w:rPr>
        <w:t xml:space="preserve"> </w:t>
      </w:r>
      <w:r w:rsidR="00024885">
        <w:rPr>
          <w:rFonts w:ascii="Garamond" w:hAnsi="Garamond" w:cs="Segoe UI"/>
          <w:sz w:val="26"/>
          <w:szCs w:val="26"/>
          <w:lang w:val="it-IT"/>
        </w:rPr>
        <w:t>A</w:t>
      </w:r>
      <w:r w:rsidR="00400307" w:rsidRPr="005C7EF0">
        <w:rPr>
          <w:rFonts w:ascii="Garamond" w:hAnsi="Garamond" w:cs="Segoe UI"/>
          <w:sz w:val="26"/>
          <w:szCs w:val="26"/>
          <w:lang w:val="it-IT"/>
        </w:rPr>
        <w:t xml:space="preserve">ltre sono </w:t>
      </w:r>
      <w:r w:rsidR="0087552C">
        <w:rPr>
          <w:rFonts w:ascii="Garamond" w:hAnsi="Garamond" w:cs="Segoe UI"/>
          <w:sz w:val="26"/>
          <w:szCs w:val="26"/>
          <w:lang w:val="it-IT"/>
        </w:rPr>
        <w:t xml:space="preserve">disposizioni </w:t>
      </w:r>
      <w:r w:rsidR="00400307" w:rsidRPr="005C7EF0">
        <w:rPr>
          <w:rFonts w:ascii="Garamond" w:hAnsi="Garamond" w:cs="Segoe UI"/>
          <w:sz w:val="26"/>
          <w:szCs w:val="26"/>
          <w:lang w:val="it-IT"/>
        </w:rPr>
        <w:t>di se</w:t>
      </w:r>
      <w:r w:rsidR="0087552C">
        <w:rPr>
          <w:rFonts w:ascii="Garamond" w:hAnsi="Garamond" w:cs="Segoe UI"/>
          <w:sz w:val="26"/>
          <w:szCs w:val="26"/>
          <w:lang w:val="it-IT"/>
        </w:rPr>
        <w:t xml:space="preserve">ttore che riguardano specifiche </w:t>
      </w:r>
      <w:r>
        <w:rPr>
          <w:rFonts w:ascii="Garamond" w:hAnsi="Garamond" w:cs="Segoe UI"/>
          <w:sz w:val="26"/>
          <w:szCs w:val="26"/>
          <w:lang w:val="it-IT"/>
        </w:rPr>
        <w:t>attività amministrative</w:t>
      </w:r>
      <w:r w:rsidR="0087552C">
        <w:rPr>
          <w:rFonts w:ascii="Garamond" w:hAnsi="Garamond" w:cs="Segoe UI"/>
          <w:sz w:val="26"/>
          <w:szCs w:val="26"/>
          <w:lang w:val="it-IT"/>
        </w:rPr>
        <w:t>,</w:t>
      </w:r>
      <w:r>
        <w:rPr>
          <w:rFonts w:ascii="Garamond" w:hAnsi="Garamond" w:cs="Segoe UI"/>
          <w:sz w:val="26"/>
          <w:szCs w:val="26"/>
          <w:lang w:val="it-IT"/>
        </w:rPr>
        <w:t xml:space="preserve"> da intendersi in senso am</w:t>
      </w:r>
      <w:r w:rsidRPr="0087552C">
        <w:rPr>
          <w:rFonts w:ascii="Garamond" w:hAnsi="Garamond" w:cs="Segoe UI"/>
          <w:sz w:val="26"/>
          <w:szCs w:val="26"/>
          <w:lang w:val="it-IT"/>
        </w:rPr>
        <w:t>pio come comprensive anche d</w:t>
      </w:r>
      <w:r w:rsidR="00024885" w:rsidRPr="0087552C">
        <w:rPr>
          <w:rFonts w:ascii="Garamond" w:hAnsi="Garamond" w:cs="Segoe UI"/>
          <w:sz w:val="26"/>
          <w:szCs w:val="26"/>
          <w:lang w:val="it-IT"/>
        </w:rPr>
        <w:t xml:space="preserve">i </w:t>
      </w:r>
      <w:r w:rsidRPr="0087552C">
        <w:rPr>
          <w:rFonts w:ascii="Garamond" w:hAnsi="Garamond" w:cs="Segoe UI"/>
          <w:sz w:val="26"/>
          <w:szCs w:val="26"/>
          <w:lang w:val="it-IT"/>
        </w:rPr>
        <w:t>attività materiali</w:t>
      </w:r>
      <w:r w:rsidR="0087552C" w:rsidRPr="0087552C">
        <w:rPr>
          <w:rFonts w:ascii="Garamond" w:hAnsi="Garamond" w:cs="Segoe UI"/>
          <w:sz w:val="26"/>
          <w:szCs w:val="26"/>
          <w:lang w:val="it-IT"/>
        </w:rPr>
        <w:t xml:space="preserve"> </w:t>
      </w:r>
      <w:r w:rsidR="005C7EF0" w:rsidRPr="0087552C">
        <w:rPr>
          <w:rStyle w:val="Rimandonotaapidipagina"/>
          <w:rFonts w:ascii="Garamond" w:hAnsi="Garamond" w:cs="Segoe UI"/>
          <w:sz w:val="26"/>
          <w:szCs w:val="26"/>
          <w:lang w:val="it-IT"/>
        </w:rPr>
        <w:footnoteReference w:id="29"/>
      </w:r>
      <w:r w:rsidR="005C7EF0" w:rsidRPr="0087552C">
        <w:rPr>
          <w:rFonts w:ascii="Garamond" w:hAnsi="Garamond" w:cs="Segoe UI"/>
          <w:sz w:val="26"/>
          <w:szCs w:val="26"/>
          <w:lang w:val="it-IT"/>
        </w:rPr>
        <w:t>.</w:t>
      </w:r>
    </w:p>
    <w:p w14:paraId="1893D6C7" w14:textId="7650289F" w:rsidR="00A85638" w:rsidRDefault="00A85638" w:rsidP="0087552C">
      <w:pPr>
        <w:pStyle w:val="Standard"/>
        <w:spacing w:line="360" w:lineRule="auto"/>
        <w:ind w:left="567" w:right="567" w:firstLine="141"/>
        <w:jc w:val="both"/>
        <w:rPr>
          <w:rFonts w:ascii="Garamond" w:hAnsi="Garamond" w:cs="Segoe UI"/>
          <w:sz w:val="26"/>
          <w:szCs w:val="26"/>
          <w:lang w:val="it-IT"/>
        </w:rPr>
      </w:pPr>
      <w:r>
        <w:rPr>
          <w:rFonts w:ascii="Garamond" w:hAnsi="Garamond" w:cs="Segoe UI"/>
          <w:sz w:val="26"/>
          <w:szCs w:val="26"/>
          <w:lang w:val="it-IT"/>
        </w:rPr>
        <w:t xml:space="preserve">Orbene, in presenza di una di queste norme non pare potersi dubitare della esistenza di un </w:t>
      </w:r>
      <w:r w:rsidR="009D3AC4">
        <w:rPr>
          <w:rFonts w:ascii="Garamond" w:hAnsi="Garamond" w:cs="Segoe UI"/>
          <w:sz w:val="26"/>
          <w:szCs w:val="26"/>
          <w:lang w:val="it-IT"/>
        </w:rPr>
        <w:t>“</w:t>
      </w:r>
      <w:r>
        <w:rPr>
          <w:rFonts w:ascii="Garamond" w:hAnsi="Garamond" w:cs="Segoe UI"/>
          <w:sz w:val="26"/>
          <w:szCs w:val="26"/>
          <w:lang w:val="it-IT"/>
        </w:rPr>
        <w:t>diritto all’informazione</w:t>
      </w:r>
      <w:r w:rsidR="009D3AC4">
        <w:rPr>
          <w:rFonts w:ascii="Garamond" w:hAnsi="Garamond" w:cs="Segoe UI"/>
          <w:sz w:val="26"/>
          <w:szCs w:val="26"/>
          <w:lang w:val="it-IT"/>
        </w:rPr>
        <w:t>”</w:t>
      </w:r>
      <w:r>
        <w:rPr>
          <w:rFonts w:ascii="Garamond" w:hAnsi="Garamond" w:cs="Segoe UI"/>
          <w:sz w:val="26"/>
          <w:szCs w:val="26"/>
          <w:lang w:val="it-IT"/>
        </w:rPr>
        <w:t xml:space="preserve"> giurisdizionalmente tutelato, salvo verificare </w:t>
      </w:r>
      <w:r w:rsidR="009D3AC4">
        <w:rPr>
          <w:rFonts w:ascii="Garamond" w:hAnsi="Garamond" w:cs="Segoe UI"/>
          <w:sz w:val="26"/>
          <w:szCs w:val="26"/>
          <w:lang w:val="it-IT"/>
        </w:rPr>
        <w:t xml:space="preserve">quale sia </w:t>
      </w:r>
      <w:r>
        <w:rPr>
          <w:rFonts w:ascii="Garamond" w:hAnsi="Garamond" w:cs="Segoe UI"/>
          <w:sz w:val="26"/>
          <w:szCs w:val="26"/>
          <w:lang w:val="it-IT"/>
        </w:rPr>
        <w:t xml:space="preserve">lo strumento processuale azionabile (questione su cui si dirà </w:t>
      </w:r>
      <w:r w:rsidRPr="00A85638">
        <w:rPr>
          <w:rFonts w:ascii="Garamond" w:hAnsi="Garamond" w:cs="Segoe UI"/>
          <w:i/>
          <w:iCs/>
          <w:sz w:val="26"/>
          <w:szCs w:val="26"/>
          <w:lang w:val="it-IT"/>
        </w:rPr>
        <w:t>infra</w:t>
      </w:r>
      <w:r>
        <w:rPr>
          <w:rFonts w:ascii="Garamond" w:hAnsi="Garamond" w:cs="Segoe UI"/>
          <w:sz w:val="26"/>
          <w:szCs w:val="26"/>
          <w:lang w:val="it-IT"/>
        </w:rPr>
        <w:t xml:space="preserve">). </w:t>
      </w:r>
    </w:p>
    <w:p w14:paraId="70B89AFB" w14:textId="1D190800" w:rsidR="00D62513" w:rsidRDefault="009D3AC4" w:rsidP="00A85638">
      <w:pPr>
        <w:pStyle w:val="Standard"/>
        <w:spacing w:line="360" w:lineRule="auto"/>
        <w:ind w:left="567" w:right="567" w:firstLine="141"/>
        <w:jc w:val="both"/>
        <w:rPr>
          <w:rFonts w:ascii="Garamond" w:hAnsi="Garamond"/>
          <w:sz w:val="26"/>
          <w:szCs w:val="26"/>
          <w:lang w:val="it-IT"/>
        </w:rPr>
      </w:pPr>
      <w:r>
        <w:rPr>
          <w:rFonts w:ascii="Garamond" w:hAnsi="Garamond" w:cs="Segoe UI"/>
          <w:sz w:val="26"/>
          <w:szCs w:val="26"/>
          <w:lang w:val="it-IT"/>
        </w:rPr>
        <w:t>Con specifico riguardo a</w:t>
      </w:r>
      <w:r w:rsidR="00D62513">
        <w:rPr>
          <w:rFonts w:ascii="Garamond" w:hAnsi="Garamond" w:cs="Segoe UI"/>
          <w:sz w:val="26"/>
          <w:szCs w:val="26"/>
          <w:lang w:val="it-IT"/>
        </w:rPr>
        <w:t>l</w:t>
      </w:r>
      <w:r w:rsidR="0087552C">
        <w:rPr>
          <w:rFonts w:ascii="Garamond" w:hAnsi="Garamond" w:cs="Segoe UI"/>
          <w:sz w:val="26"/>
          <w:szCs w:val="26"/>
          <w:lang w:val="it-IT"/>
        </w:rPr>
        <w:t xml:space="preserve">la “trasparenza” </w:t>
      </w:r>
      <w:r w:rsidR="00D62513">
        <w:rPr>
          <w:rFonts w:ascii="Garamond" w:hAnsi="Garamond" w:cs="Segoe UI"/>
          <w:sz w:val="26"/>
          <w:szCs w:val="26"/>
          <w:lang w:val="it-IT"/>
        </w:rPr>
        <w:t xml:space="preserve">dell’attività di </w:t>
      </w:r>
      <w:r w:rsidR="0087552C">
        <w:rPr>
          <w:rFonts w:ascii="Garamond" w:hAnsi="Garamond" w:cs="Segoe UI"/>
          <w:sz w:val="26"/>
          <w:szCs w:val="26"/>
          <w:lang w:val="it-IT"/>
        </w:rPr>
        <w:t xml:space="preserve">gestione dell’emergenza sanitaria </w:t>
      </w:r>
      <w:r w:rsidR="00631D4E">
        <w:rPr>
          <w:rFonts w:ascii="Garamond" w:hAnsi="Garamond" w:cs="Segoe UI"/>
          <w:sz w:val="26"/>
          <w:szCs w:val="26"/>
          <w:lang w:val="it-IT"/>
        </w:rPr>
        <w:t>da Covid-19</w:t>
      </w:r>
      <w:r w:rsidR="00A85638">
        <w:rPr>
          <w:rFonts w:ascii="Garamond" w:hAnsi="Garamond" w:cs="Segoe UI"/>
          <w:sz w:val="26"/>
          <w:szCs w:val="26"/>
          <w:lang w:val="it-IT"/>
        </w:rPr>
        <w:t xml:space="preserve">, di particolare interesse sono alcune norme contenute nel </w:t>
      </w:r>
      <w:r w:rsidR="00A85638" w:rsidRPr="00D62513">
        <w:rPr>
          <w:rFonts w:ascii="Garamond" w:hAnsi="Garamond" w:cs="Segoe UI"/>
          <w:sz w:val="26"/>
          <w:szCs w:val="26"/>
          <w:lang w:val="it-IT"/>
        </w:rPr>
        <w:t>d.lgs. 2 gennaio 2018, n. 1 (Codice della protezione civile)</w:t>
      </w:r>
      <w:r w:rsidR="00A85638">
        <w:rPr>
          <w:rFonts w:ascii="Garamond" w:hAnsi="Garamond" w:cs="Segoe UI"/>
          <w:sz w:val="26"/>
          <w:szCs w:val="26"/>
          <w:lang w:val="it-IT"/>
        </w:rPr>
        <w:t>, che prevedono l’</w:t>
      </w:r>
      <w:r w:rsidR="00D62513">
        <w:rPr>
          <w:rFonts w:ascii="Garamond" w:hAnsi="Garamond" w:cs="Segoe UI"/>
          <w:sz w:val="26"/>
          <w:szCs w:val="26"/>
          <w:lang w:val="it-IT"/>
        </w:rPr>
        <w:t xml:space="preserve">informazione </w:t>
      </w:r>
      <w:r w:rsidR="00631D4E">
        <w:rPr>
          <w:rFonts w:ascii="Garamond" w:hAnsi="Garamond" w:cs="Segoe UI"/>
          <w:sz w:val="26"/>
          <w:szCs w:val="26"/>
          <w:lang w:val="it-IT"/>
        </w:rPr>
        <w:t>a</w:t>
      </w:r>
      <w:r w:rsidR="0087552C" w:rsidRPr="0087552C">
        <w:rPr>
          <w:rFonts w:ascii="Garamond" w:hAnsi="Garamond" w:cs="Segoe UI"/>
          <w:sz w:val="26"/>
          <w:szCs w:val="26"/>
          <w:lang w:val="it-IT"/>
        </w:rPr>
        <w:t>lla popolazione</w:t>
      </w:r>
      <w:r w:rsidR="00A85638">
        <w:rPr>
          <w:rFonts w:ascii="Garamond" w:hAnsi="Garamond" w:cs="Segoe UI"/>
          <w:sz w:val="26"/>
          <w:szCs w:val="26"/>
          <w:lang w:val="it-IT"/>
        </w:rPr>
        <w:t xml:space="preserve"> </w:t>
      </w:r>
      <w:r w:rsidR="00D62513">
        <w:rPr>
          <w:rFonts w:ascii="Garamond" w:hAnsi="Garamond" w:cs="Segoe UI"/>
          <w:sz w:val="26"/>
          <w:szCs w:val="26"/>
          <w:lang w:val="it-IT"/>
        </w:rPr>
        <w:t xml:space="preserve">nell’ambito </w:t>
      </w:r>
      <w:r w:rsidR="0087552C" w:rsidRPr="0087552C">
        <w:rPr>
          <w:rFonts w:ascii="Garamond" w:hAnsi="Garamond" w:cs="Segoe UI"/>
          <w:sz w:val="26"/>
          <w:szCs w:val="26"/>
          <w:lang w:val="it-IT"/>
        </w:rPr>
        <w:t xml:space="preserve">dell’attività di protezione </w:t>
      </w:r>
      <w:r w:rsidR="0087552C" w:rsidRPr="00D62513">
        <w:rPr>
          <w:rFonts w:ascii="Garamond" w:hAnsi="Garamond" w:cs="Segoe UI"/>
          <w:sz w:val="26"/>
          <w:szCs w:val="26"/>
          <w:lang w:val="it-IT"/>
        </w:rPr>
        <w:t>civile</w:t>
      </w:r>
      <w:r w:rsidR="00631D4E">
        <w:rPr>
          <w:rFonts w:ascii="Garamond" w:hAnsi="Garamond" w:cs="Segoe UI"/>
          <w:sz w:val="26"/>
          <w:szCs w:val="26"/>
          <w:lang w:val="it-IT"/>
        </w:rPr>
        <w:t>:</w:t>
      </w:r>
      <w:r w:rsidR="00A85638">
        <w:rPr>
          <w:rFonts w:ascii="Garamond" w:hAnsi="Garamond" w:cs="Segoe UI"/>
          <w:sz w:val="26"/>
          <w:szCs w:val="26"/>
          <w:lang w:val="it-IT"/>
        </w:rPr>
        <w:t xml:space="preserve"> </w:t>
      </w:r>
      <w:r w:rsidR="00631D4E">
        <w:rPr>
          <w:rFonts w:ascii="Garamond" w:hAnsi="Garamond" w:cs="Segoe UI"/>
          <w:sz w:val="26"/>
          <w:szCs w:val="26"/>
          <w:lang w:val="it-IT"/>
        </w:rPr>
        <w:t xml:space="preserve">in particolare, </w:t>
      </w:r>
      <w:r w:rsidR="0087552C" w:rsidRPr="00D62513">
        <w:rPr>
          <w:rFonts w:ascii="Garamond" w:hAnsi="Garamond" w:cs="Segoe UI"/>
          <w:sz w:val="26"/>
          <w:szCs w:val="26"/>
          <w:lang w:val="it-IT"/>
        </w:rPr>
        <w:t>l’art. 2, comma 4, lett. f)</w:t>
      </w:r>
      <w:r w:rsidR="007B005E">
        <w:rPr>
          <w:rFonts w:ascii="Garamond" w:hAnsi="Garamond" w:cs="Segoe UI"/>
          <w:sz w:val="26"/>
          <w:szCs w:val="26"/>
          <w:lang w:val="it-IT"/>
        </w:rPr>
        <w:t xml:space="preserve"> </w:t>
      </w:r>
      <w:r w:rsidR="00D62513" w:rsidRPr="00D62513">
        <w:rPr>
          <w:rFonts w:ascii="Garamond" w:hAnsi="Garamond" w:cs="Segoe UI"/>
          <w:sz w:val="26"/>
          <w:szCs w:val="26"/>
          <w:lang w:val="it-IT"/>
        </w:rPr>
        <w:t xml:space="preserve">prevede tra le </w:t>
      </w:r>
      <w:r w:rsidR="007B005E" w:rsidRPr="00D62513">
        <w:rPr>
          <w:rFonts w:ascii="Garamond" w:hAnsi="Garamond"/>
          <w:sz w:val="26"/>
          <w:szCs w:val="26"/>
          <w:lang w:val="it-IT"/>
        </w:rPr>
        <w:t>attività</w:t>
      </w:r>
      <w:r w:rsidR="00D62513" w:rsidRPr="00D62513">
        <w:rPr>
          <w:rFonts w:ascii="Garamond" w:hAnsi="Garamond"/>
          <w:sz w:val="26"/>
          <w:szCs w:val="26"/>
          <w:lang w:val="it-IT"/>
        </w:rPr>
        <w:t xml:space="preserve"> di prevenzione non strutturale di protezione civile anche quella concernente </w:t>
      </w:r>
      <w:r w:rsidR="00D62513" w:rsidRPr="007B005E">
        <w:rPr>
          <w:rFonts w:ascii="Garamond" w:hAnsi="Garamond"/>
          <w:i/>
          <w:sz w:val="26"/>
          <w:szCs w:val="26"/>
          <w:lang w:val="it-IT"/>
        </w:rPr>
        <w:t xml:space="preserve">“l'informazione alla popolazione sugli scenari di rischio e le relative norme di comportamento </w:t>
      </w:r>
      <w:r w:rsidR="007B005E" w:rsidRPr="007B005E">
        <w:rPr>
          <w:rFonts w:ascii="Garamond" w:hAnsi="Garamond"/>
          <w:i/>
          <w:sz w:val="26"/>
          <w:szCs w:val="26"/>
          <w:lang w:val="it-IT"/>
        </w:rPr>
        <w:t>nonché</w:t>
      </w:r>
      <w:r w:rsidR="00D62513" w:rsidRPr="007B005E">
        <w:rPr>
          <w:rFonts w:ascii="Garamond" w:hAnsi="Garamond"/>
          <w:i/>
          <w:sz w:val="26"/>
          <w:szCs w:val="26"/>
          <w:lang w:val="it-IT"/>
        </w:rPr>
        <w:t>' sulla pianificazione di protezione civile“</w:t>
      </w:r>
      <w:r w:rsidR="00631D4E">
        <w:rPr>
          <w:rFonts w:ascii="Garamond" w:hAnsi="Garamond"/>
          <w:sz w:val="26"/>
          <w:szCs w:val="26"/>
          <w:lang w:val="it-IT"/>
        </w:rPr>
        <w:t xml:space="preserve"> e</w:t>
      </w:r>
      <w:r w:rsidR="00D62513" w:rsidRPr="00D62513">
        <w:rPr>
          <w:rFonts w:ascii="Garamond" w:hAnsi="Garamond"/>
          <w:sz w:val="26"/>
          <w:szCs w:val="26"/>
          <w:lang w:val="it-IT"/>
        </w:rPr>
        <w:t xml:space="preserve"> </w:t>
      </w:r>
      <w:r w:rsidR="00D62513" w:rsidRPr="00D62513">
        <w:rPr>
          <w:rFonts w:ascii="Garamond" w:hAnsi="Garamond" w:cs="Segoe UI"/>
          <w:sz w:val="26"/>
          <w:szCs w:val="26"/>
          <w:lang w:val="it-IT"/>
        </w:rPr>
        <w:t xml:space="preserve">l’art.  17, comma 3, lett. b) </w:t>
      </w:r>
      <w:r>
        <w:rPr>
          <w:rFonts w:ascii="Garamond" w:hAnsi="Garamond" w:cs="Segoe UI"/>
          <w:sz w:val="26"/>
          <w:szCs w:val="26"/>
          <w:lang w:val="it-IT"/>
        </w:rPr>
        <w:t xml:space="preserve">stabilisce </w:t>
      </w:r>
      <w:r w:rsidR="00D62513" w:rsidRPr="00D62513">
        <w:rPr>
          <w:rFonts w:ascii="Garamond" w:hAnsi="Garamond" w:cs="Segoe UI"/>
          <w:sz w:val="26"/>
          <w:szCs w:val="26"/>
          <w:lang w:val="it-IT"/>
        </w:rPr>
        <w:t xml:space="preserve">che tra le </w:t>
      </w:r>
      <w:r w:rsidR="007B005E" w:rsidRPr="00D62513">
        <w:rPr>
          <w:rFonts w:ascii="Garamond" w:hAnsi="Garamond"/>
          <w:sz w:val="26"/>
          <w:szCs w:val="26"/>
          <w:lang w:val="it-IT"/>
        </w:rPr>
        <w:t>modalità</w:t>
      </w:r>
      <w:r w:rsidR="00D62513" w:rsidRPr="00D62513">
        <w:rPr>
          <w:rFonts w:ascii="Garamond" w:hAnsi="Garamond"/>
          <w:sz w:val="26"/>
          <w:szCs w:val="26"/>
          <w:lang w:val="it-IT"/>
        </w:rPr>
        <w:t xml:space="preserve"> di organizzazione e </w:t>
      </w:r>
      <w:r>
        <w:rPr>
          <w:rFonts w:ascii="Garamond" w:hAnsi="Garamond"/>
          <w:sz w:val="26"/>
          <w:szCs w:val="26"/>
          <w:lang w:val="it-IT"/>
        </w:rPr>
        <w:t xml:space="preserve">di </w:t>
      </w:r>
      <w:r w:rsidR="00D62513" w:rsidRPr="00D62513">
        <w:rPr>
          <w:rFonts w:ascii="Garamond" w:hAnsi="Garamond"/>
          <w:sz w:val="26"/>
          <w:szCs w:val="26"/>
          <w:lang w:val="it-IT"/>
        </w:rPr>
        <w:t xml:space="preserve">svolgimento </w:t>
      </w:r>
      <w:r w:rsidR="007B005E" w:rsidRPr="00D62513">
        <w:rPr>
          <w:rFonts w:ascii="Garamond" w:hAnsi="Garamond"/>
          <w:sz w:val="26"/>
          <w:szCs w:val="26"/>
          <w:lang w:val="it-IT"/>
        </w:rPr>
        <w:t>dell’attività</w:t>
      </w:r>
      <w:r w:rsidR="00D62513" w:rsidRPr="00D62513">
        <w:rPr>
          <w:rFonts w:ascii="Garamond" w:hAnsi="Garamond"/>
          <w:sz w:val="26"/>
          <w:szCs w:val="26"/>
          <w:lang w:val="it-IT"/>
        </w:rPr>
        <w:t xml:space="preserve"> di allertamento </w:t>
      </w:r>
      <w:r w:rsidR="007B005E">
        <w:rPr>
          <w:rFonts w:ascii="Garamond" w:hAnsi="Garamond"/>
          <w:sz w:val="26"/>
          <w:szCs w:val="26"/>
          <w:lang w:val="it-IT"/>
        </w:rPr>
        <w:t xml:space="preserve">della popolazione </w:t>
      </w:r>
      <w:r w:rsidR="00D62513" w:rsidRPr="00D62513">
        <w:rPr>
          <w:rFonts w:ascii="Garamond" w:hAnsi="Garamond"/>
          <w:sz w:val="26"/>
          <w:szCs w:val="26"/>
          <w:lang w:val="it-IT"/>
        </w:rPr>
        <w:t>debba</w:t>
      </w:r>
      <w:r w:rsidR="007B005E">
        <w:rPr>
          <w:rFonts w:ascii="Garamond" w:hAnsi="Garamond"/>
          <w:sz w:val="26"/>
          <w:szCs w:val="26"/>
          <w:lang w:val="it-IT"/>
        </w:rPr>
        <w:t>no</w:t>
      </w:r>
      <w:r w:rsidR="00D62513" w:rsidRPr="00D62513">
        <w:rPr>
          <w:rFonts w:ascii="Garamond" w:hAnsi="Garamond"/>
          <w:sz w:val="26"/>
          <w:szCs w:val="26"/>
          <w:lang w:val="it-IT"/>
        </w:rPr>
        <w:t xml:space="preserve"> essere </w:t>
      </w:r>
      <w:r>
        <w:rPr>
          <w:rFonts w:ascii="Garamond" w:hAnsi="Garamond"/>
          <w:sz w:val="26"/>
          <w:szCs w:val="26"/>
          <w:lang w:val="it-IT"/>
        </w:rPr>
        <w:t xml:space="preserve">previsti </w:t>
      </w:r>
      <w:r w:rsidR="00D62513" w:rsidRPr="00D62513">
        <w:rPr>
          <w:rFonts w:ascii="Garamond" w:hAnsi="Garamond"/>
          <w:sz w:val="26"/>
          <w:szCs w:val="26"/>
          <w:lang w:val="it-IT"/>
        </w:rPr>
        <w:t xml:space="preserve">anche gli </w:t>
      </w:r>
      <w:r w:rsidR="00D62513" w:rsidRPr="007B005E">
        <w:rPr>
          <w:rFonts w:ascii="Garamond" w:hAnsi="Garamond"/>
          <w:i/>
          <w:sz w:val="26"/>
          <w:szCs w:val="26"/>
          <w:lang w:val="it-IT"/>
        </w:rPr>
        <w:t>“aspetti relativi alla comunicazione del rischio, anche in relazione alla redazione dei piani di protezione civile di cui all'articolo 18, e all'informazione alla popolazione sulle misure in essi contenute“</w:t>
      </w:r>
      <w:r w:rsidR="00A85638">
        <w:rPr>
          <w:rFonts w:ascii="Garamond" w:hAnsi="Garamond"/>
          <w:sz w:val="26"/>
          <w:szCs w:val="26"/>
          <w:lang w:val="it-IT"/>
        </w:rPr>
        <w:t>.</w:t>
      </w:r>
    </w:p>
    <w:p w14:paraId="0C951BBA" w14:textId="4F556677" w:rsidR="009D3AC4" w:rsidRDefault="009D3AC4" w:rsidP="00A85638">
      <w:pPr>
        <w:pStyle w:val="Standard"/>
        <w:spacing w:line="360" w:lineRule="auto"/>
        <w:ind w:left="567" w:right="567" w:firstLine="141"/>
        <w:jc w:val="both"/>
        <w:rPr>
          <w:rFonts w:ascii="Garamond" w:hAnsi="Garamond"/>
          <w:sz w:val="26"/>
          <w:szCs w:val="26"/>
          <w:lang w:val="it-IT"/>
        </w:rPr>
      </w:pPr>
      <w:r w:rsidRPr="009D3AC4">
        <w:rPr>
          <w:rFonts w:ascii="Garamond" w:hAnsi="Garamond"/>
          <w:sz w:val="26"/>
          <w:szCs w:val="26"/>
          <w:lang w:val="it-IT"/>
        </w:rPr>
        <w:t>Costituiscono un esempio di applicazione delle norme predette i bollettini informativi ed i comunicati stampa quotidianamente emessi dalla Protezione civile nel corso del primo anno dell’emergenza sanitaria.</w:t>
      </w:r>
    </w:p>
    <w:p w14:paraId="60D0F0FC" w14:textId="35476F88" w:rsidR="002E1388" w:rsidRPr="009D3AC4" w:rsidRDefault="002E1388" w:rsidP="00A85638">
      <w:pPr>
        <w:pStyle w:val="Standard"/>
        <w:spacing w:line="360" w:lineRule="auto"/>
        <w:ind w:left="567" w:right="567" w:firstLine="141"/>
        <w:jc w:val="both"/>
        <w:rPr>
          <w:rFonts w:ascii="Garamond" w:hAnsi="Garamond"/>
          <w:sz w:val="26"/>
          <w:szCs w:val="26"/>
          <w:lang w:val="it-IT"/>
        </w:rPr>
      </w:pPr>
      <w:r>
        <w:rPr>
          <w:rFonts w:ascii="Garamond" w:hAnsi="Garamond"/>
          <w:sz w:val="26"/>
          <w:szCs w:val="26"/>
          <w:lang w:val="it-IT"/>
        </w:rPr>
        <w:t xml:space="preserve">L’ampia formulazione della norma autorizza a ritenere che non possa essere esclusa una interlocuzione individuale con le Autorità preposte, con la quale richiedere informazioni dettagliate in merito alle misure contenute nei piani di protezione civile. </w:t>
      </w:r>
    </w:p>
    <w:p w14:paraId="2726A5A1" w14:textId="77777777" w:rsidR="00427F6B" w:rsidRDefault="00427F6B" w:rsidP="00C23FDB">
      <w:pPr>
        <w:spacing w:line="360" w:lineRule="auto"/>
        <w:ind w:left="567" w:right="567"/>
        <w:jc w:val="both"/>
        <w:rPr>
          <w:rFonts w:ascii="Garamond" w:hAnsi="Garamond" w:cs="Segoe UI"/>
          <w:b/>
          <w:color w:val="201A1A"/>
          <w:sz w:val="26"/>
          <w:szCs w:val="26"/>
        </w:rPr>
      </w:pPr>
    </w:p>
    <w:p w14:paraId="602017E4" w14:textId="4B917AF3" w:rsidR="00C23FDB" w:rsidRPr="00BA2929" w:rsidRDefault="0055792A" w:rsidP="00C23FDB">
      <w:pPr>
        <w:spacing w:line="360" w:lineRule="auto"/>
        <w:ind w:left="567" w:right="567"/>
        <w:jc w:val="both"/>
        <w:rPr>
          <w:rFonts w:ascii="Garamond" w:eastAsia="Times New Roman" w:hAnsi="Garamond" w:cs="Times New Roman"/>
          <w:b/>
          <w:bCs/>
          <w:color w:val="000000" w:themeColor="text1"/>
          <w:sz w:val="26"/>
          <w:szCs w:val="26"/>
        </w:rPr>
      </w:pPr>
      <w:r>
        <w:rPr>
          <w:rFonts w:ascii="Garamond" w:hAnsi="Garamond" w:cs="Segoe UI"/>
          <w:b/>
          <w:color w:val="201A1A"/>
          <w:sz w:val="26"/>
          <w:szCs w:val="26"/>
        </w:rPr>
        <w:t>4</w:t>
      </w:r>
      <w:r w:rsidR="00C23FDB">
        <w:rPr>
          <w:rFonts w:ascii="Garamond" w:hAnsi="Garamond" w:cs="Segoe UI"/>
          <w:b/>
          <w:color w:val="201A1A"/>
          <w:sz w:val="26"/>
          <w:szCs w:val="26"/>
        </w:rPr>
        <w:t>.</w:t>
      </w:r>
      <w:r w:rsidR="005C7EF0" w:rsidRPr="00D62513">
        <w:rPr>
          <w:rFonts w:ascii="Garamond" w:hAnsi="Garamond" w:cs="Segoe UI"/>
          <w:b/>
          <w:color w:val="201A1A"/>
          <w:sz w:val="26"/>
          <w:szCs w:val="26"/>
        </w:rPr>
        <w:t xml:space="preserve">2. </w:t>
      </w:r>
      <w:r w:rsidR="00236507">
        <w:rPr>
          <w:rFonts w:ascii="Garamond" w:hAnsi="Garamond" w:cs="Segoe UI"/>
          <w:b/>
          <w:color w:val="201A1A"/>
          <w:sz w:val="26"/>
          <w:szCs w:val="26"/>
        </w:rPr>
        <w:t xml:space="preserve">Il </w:t>
      </w:r>
      <w:r w:rsidR="005153A2">
        <w:rPr>
          <w:rFonts w:ascii="Garamond" w:hAnsi="Garamond" w:cs="Segoe UI"/>
          <w:b/>
          <w:color w:val="201A1A"/>
          <w:sz w:val="26"/>
          <w:szCs w:val="26"/>
        </w:rPr>
        <w:t>“</w:t>
      </w:r>
      <w:r w:rsidR="00C23FDB">
        <w:rPr>
          <w:rFonts w:ascii="Garamond" w:eastAsia="Times New Roman" w:hAnsi="Garamond" w:cs="Times New Roman"/>
          <w:b/>
          <w:bCs/>
          <w:color w:val="000000" w:themeColor="text1"/>
          <w:sz w:val="26"/>
          <w:szCs w:val="26"/>
        </w:rPr>
        <w:t>d</w:t>
      </w:r>
      <w:r w:rsidR="00C23FDB" w:rsidRPr="00BA2929">
        <w:rPr>
          <w:rFonts w:ascii="Garamond" w:eastAsia="Times New Roman" w:hAnsi="Garamond" w:cs="Times New Roman"/>
          <w:b/>
          <w:bCs/>
          <w:color w:val="000000" w:themeColor="text1"/>
          <w:sz w:val="26"/>
          <w:szCs w:val="26"/>
        </w:rPr>
        <w:t>iritto all’informazione</w:t>
      </w:r>
      <w:r w:rsidR="005153A2">
        <w:rPr>
          <w:rFonts w:ascii="Garamond" w:eastAsia="Times New Roman" w:hAnsi="Garamond" w:cs="Times New Roman"/>
          <w:b/>
          <w:bCs/>
          <w:color w:val="000000" w:themeColor="text1"/>
          <w:sz w:val="26"/>
          <w:szCs w:val="26"/>
        </w:rPr>
        <w:t>”</w:t>
      </w:r>
      <w:r w:rsidR="00C23FDB" w:rsidRPr="00BA2929">
        <w:rPr>
          <w:rFonts w:ascii="Garamond" w:eastAsia="Times New Roman" w:hAnsi="Garamond" w:cs="Times New Roman"/>
          <w:b/>
          <w:bCs/>
          <w:color w:val="000000" w:themeColor="text1"/>
          <w:sz w:val="26"/>
          <w:szCs w:val="26"/>
        </w:rPr>
        <w:t xml:space="preserve"> ex </w:t>
      </w:r>
      <w:r w:rsidR="000C53D6">
        <w:rPr>
          <w:rFonts w:ascii="Garamond" w:eastAsia="Times New Roman" w:hAnsi="Garamond" w:cs="Times New Roman"/>
          <w:b/>
          <w:bCs/>
          <w:color w:val="000000" w:themeColor="text1"/>
          <w:sz w:val="26"/>
          <w:szCs w:val="26"/>
        </w:rPr>
        <w:t xml:space="preserve">art. 1, comma 2-bis, </w:t>
      </w:r>
      <w:r w:rsidR="00236507" w:rsidRPr="00BA2929">
        <w:rPr>
          <w:rFonts w:ascii="Garamond" w:eastAsia="Times New Roman" w:hAnsi="Garamond" w:cs="Times New Roman"/>
          <w:b/>
          <w:bCs/>
          <w:color w:val="000000" w:themeColor="text1"/>
          <w:sz w:val="26"/>
          <w:szCs w:val="26"/>
        </w:rPr>
        <w:t>legge n. 241 del 1990</w:t>
      </w:r>
      <w:r w:rsidR="00236507">
        <w:rPr>
          <w:rFonts w:ascii="Garamond" w:eastAsia="Times New Roman" w:hAnsi="Garamond" w:cs="Times New Roman"/>
          <w:b/>
          <w:bCs/>
          <w:color w:val="000000" w:themeColor="text1"/>
          <w:sz w:val="26"/>
          <w:szCs w:val="26"/>
        </w:rPr>
        <w:t>.</w:t>
      </w:r>
    </w:p>
    <w:p w14:paraId="4FD54C64" w14:textId="1C981DE3" w:rsidR="00236507" w:rsidRDefault="005C7EF0" w:rsidP="00FC75F6">
      <w:pPr>
        <w:spacing w:line="360" w:lineRule="auto"/>
        <w:ind w:left="567" w:right="567" w:firstLine="141"/>
        <w:jc w:val="both"/>
        <w:rPr>
          <w:rFonts w:ascii="Garamond" w:hAnsi="Garamond" w:cs="Segoe UI"/>
          <w:color w:val="000000"/>
          <w:sz w:val="26"/>
          <w:szCs w:val="26"/>
        </w:rPr>
      </w:pPr>
      <w:r w:rsidRPr="00D62513">
        <w:rPr>
          <w:rFonts w:ascii="Garamond" w:hAnsi="Garamond" w:cs="Segoe UI"/>
          <w:color w:val="000000"/>
          <w:sz w:val="26"/>
          <w:szCs w:val="26"/>
        </w:rPr>
        <w:t xml:space="preserve">Al </w:t>
      </w:r>
      <w:r w:rsidR="007B0845">
        <w:rPr>
          <w:rFonts w:ascii="Garamond" w:hAnsi="Garamond" w:cs="Segoe UI"/>
          <w:color w:val="000000"/>
          <w:sz w:val="26"/>
          <w:szCs w:val="26"/>
        </w:rPr>
        <w:t>di là dei casi sopra menzionati</w:t>
      </w:r>
      <w:r w:rsidRPr="00D62513">
        <w:rPr>
          <w:rFonts w:ascii="Garamond" w:hAnsi="Garamond" w:cs="Segoe UI"/>
          <w:color w:val="000000"/>
          <w:sz w:val="26"/>
          <w:szCs w:val="26"/>
        </w:rPr>
        <w:t xml:space="preserve"> in cui esistono </w:t>
      </w:r>
      <w:r w:rsidR="002E1388">
        <w:rPr>
          <w:rFonts w:ascii="Garamond" w:hAnsi="Garamond" w:cs="Segoe UI"/>
          <w:color w:val="000000"/>
          <w:sz w:val="26"/>
          <w:szCs w:val="26"/>
        </w:rPr>
        <w:t xml:space="preserve">specifiche disposizioni </w:t>
      </w:r>
      <w:r w:rsidRPr="00D62513">
        <w:rPr>
          <w:rFonts w:ascii="Garamond" w:hAnsi="Garamond" w:cs="Segoe UI"/>
          <w:color w:val="000000"/>
          <w:sz w:val="26"/>
          <w:szCs w:val="26"/>
        </w:rPr>
        <w:t xml:space="preserve">di legge (di carattere generale o settoriale) </w:t>
      </w:r>
      <w:r w:rsidR="002E1388">
        <w:rPr>
          <w:rFonts w:ascii="Garamond" w:hAnsi="Garamond" w:cs="Segoe UI"/>
          <w:color w:val="000000"/>
          <w:sz w:val="26"/>
          <w:szCs w:val="26"/>
        </w:rPr>
        <w:t xml:space="preserve">prevedenti il diritto del cittadino </w:t>
      </w:r>
      <w:r w:rsidRPr="00D62513">
        <w:rPr>
          <w:rFonts w:ascii="Garamond" w:hAnsi="Garamond" w:cs="Segoe UI"/>
          <w:color w:val="000000"/>
          <w:sz w:val="26"/>
          <w:szCs w:val="26"/>
        </w:rPr>
        <w:t>d</w:t>
      </w:r>
      <w:r w:rsidR="002E1388">
        <w:rPr>
          <w:rFonts w:ascii="Garamond" w:hAnsi="Garamond" w:cs="Segoe UI"/>
          <w:color w:val="000000"/>
          <w:sz w:val="26"/>
          <w:szCs w:val="26"/>
        </w:rPr>
        <w:t>i</w:t>
      </w:r>
      <w:r w:rsidRPr="00D62513">
        <w:rPr>
          <w:rFonts w:ascii="Garamond" w:hAnsi="Garamond" w:cs="Segoe UI"/>
          <w:color w:val="000000"/>
          <w:sz w:val="26"/>
          <w:szCs w:val="26"/>
        </w:rPr>
        <w:t xml:space="preserve"> ottenere determinate informazioni dalla P.A., </w:t>
      </w:r>
      <w:r w:rsidR="007B0845">
        <w:rPr>
          <w:rFonts w:ascii="Garamond" w:hAnsi="Garamond" w:cs="Segoe UI"/>
          <w:color w:val="000000"/>
          <w:sz w:val="26"/>
          <w:szCs w:val="26"/>
        </w:rPr>
        <w:t xml:space="preserve">ci si può chiedere </w:t>
      </w:r>
      <w:r w:rsidRPr="00D62513">
        <w:rPr>
          <w:rFonts w:ascii="Garamond" w:hAnsi="Garamond" w:cs="Segoe UI"/>
          <w:color w:val="000000"/>
          <w:sz w:val="26"/>
          <w:szCs w:val="26"/>
        </w:rPr>
        <w:t xml:space="preserve">se </w:t>
      </w:r>
      <w:r w:rsidR="007B0845">
        <w:rPr>
          <w:rFonts w:ascii="Garamond" w:hAnsi="Garamond" w:cs="Segoe UI"/>
          <w:color w:val="000000"/>
          <w:sz w:val="26"/>
          <w:szCs w:val="26"/>
        </w:rPr>
        <w:t xml:space="preserve">un </w:t>
      </w:r>
      <w:r w:rsidR="005153A2">
        <w:rPr>
          <w:rFonts w:ascii="Garamond" w:hAnsi="Garamond" w:cs="Segoe UI"/>
          <w:color w:val="000000"/>
          <w:sz w:val="26"/>
          <w:szCs w:val="26"/>
        </w:rPr>
        <w:t xml:space="preserve">analogo </w:t>
      </w:r>
      <w:r w:rsidR="007B0845">
        <w:rPr>
          <w:rFonts w:ascii="Garamond" w:hAnsi="Garamond" w:cs="Segoe UI"/>
          <w:color w:val="000000"/>
          <w:sz w:val="26"/>
          <w:szCs w:val="26"/>
        </w:rPr>
        <w:t>“</w:t>
      </w:r>
      <w:r w:rsidRPr="00D62513">
        <w:rPr>
          <w:rFonts w:ascii="Garamond" w:hAnsi="Garamond" w:cs="Segoe UI"/>
          <w:color w:val="000000"/>
          <w:sz w:val="26"/>
          <w:szCs w:val="26"/>
        </w:rPr>
        <w:t xml:space="preserve">diritto </w:t>
      </w:r>
      <w:r w:rsidR="007B0845">
        <w:rPr>
          <w:rFonts w:ascii="Garamond" w:hAnsi="Garamond" w:cs="Segoe UI"/>
          <w:color w:val="000000"/>
          <w:sz w:val="26"/>
          <w:szCs w:val="26"/>
        </w:rPr>
        <w:t xml:space="preserve">all’informazione” </w:t>
      </w:r>
      <w:r w:rsidR="005153A2">
        <w:rPr>
          <w:rFonts w:ascii="Garamond" w:hAnsi="Garamond" w:cs="Segoe UI"/>
          <w:color w:val="000000"/>
          <w:sz w:val="26"/>
          <w:szCs w:val="26"/>
        </w:rPr>
        <w:t xml:space="preserve">sia </w:t>
      </w:r>
      <w:r w:rsidRPr="00D62513">
        <w:rPr>
          <w:rFonts w:ascii="Garamond" w:hAnsi="Garamond" w:cs="Segoe UI"/>
          <w:color w:val="000000"/>
          <w:sz w:val="26"/>
          <w:szCs w:val="26"/>
        </w:rPr>
        <w:t xml:space="preserve">comunque </w:t>
      </w:r>
      <w:r w:rsidR="005153A2">
        <w:rPr>
          <w:rFonts w:ascii="Garamond" w:hAnsi="Garamond" w:cs="Segoe UI"/>
          <w:color w:val="000000"/>
          <w:sz w:val="26"/>
          <w:szCs w:val="26"/>
        </w:rPr>
        <w:t xml:space="preserve">desumibile </w:t>
      </w:r>
      <w:r w:rsidR="00236507">
        <w:rPr>
          <w:rFonts w:ascii="Garamond" w:hAnsi="Garamond" w:cs="Segoe UI"/>
          <w:color w:val="000000"/>
          <w:sz w:val="26"/>
          <w:szCs w:val="26"/>
        </w:rPr>
        <w:t xml:space="preserve">da altre norme di carattere generale </w:t>
      </w:r>
      <w:r w:rsidR="00236507" w:rsidRPr="005C7EF0">
        <w:rPr>
          <w:rStyle w:val="Rimandonotaapidipagina"/>
          <w:rFonts w:ascii="Garamond" w:hAnsi="Garamond" w:cs="Segoe UI"/>
          <w:sz w:val="26"/>
          <w:szCs w:val="26"/>
        </w:rPr>
        <w:footnoteReference w:id="30"/>
      </w:r>
      <w:r w:rsidR="00236507">
        <w:rPr>
          <w:rFonts w:ascii="Garamond" w:hAnsi="Garamond" w:cs="Segoe UI"/>
          <w:color w:val="000000"/>
          <w:sz w:val="26"/>
          <w:szCs w:val="26"/>
        </w:rPr>
        <w:t>.</w:t>
      </w:r>
    </w:p>
    <w:p w14:paraId="509265C3" w14:textId="5D629D02" w:rsidR="005C7EF0" w:rsidRDefault="00236507" w:rsidP="00236507">
      <w:pPr>
        <w:spacing w:line="360" w:lineRule="auto"/>
        <w:ind w:left="567" w:right="567" w:firstLine="141"/>
        <w:jc w:val="both"/>
        <w:rPr>
          <w:rFonts w:ascii="Garamond" w:hAnsi="Garamond" w:cs="Segoe UI"/>
          <w:sz w:val="26"/>
          <w:szCs w:val="26"/>
        </w:rPr>
      </w:pPr>
      <w:r>
        <w:rPr>
          <w:rFonts w:ascii="Garamond" w:hAnsi="Garamond" w:cs="Segoe UI"/>
          <w:color w:val="000000"/>
          <w:sz w:val="26"/>
          <w:szCs w:val="26"/>
        </w:rPr>
        <w:t xml:space="preserve">La prima disposizione che viene in considerazione è </w:t>
      </w:r>
      <w:r w:rsidR="007B0845">
        <w:rPr>
          <w:rFonts w:ascii="Garamond" w:hAnsi="Garamond" w:cs="Segoe UI"/>
          <w:color w:val="000000"/>
          <w:sz w:val="26"/>
          <w:szCs w:val="26"/>
        </w:rPr>
        <w:t>l’art. 2 della l</w:t>
      </w:r>
      <w:r w:rsidR="005C7EF0" w:rsidRPr="005C7EF0">
        <w:rPr>
          <w:rFonts w:ascii="Garamond" w:hAnsi="Garamond" w:cs="Segoe UI"/>
          <w:color w:val="000000"/>
          <w:sz w:val="26"/>
          <w:szCs w:val="26"/>
        </w:rPr>
        <w:t xml:space="preserve">egge </w:t>
      </w:r>
      <w:r w:rsidR="007B0845">
        <w:rPr>
          <w:rFonts w:ascii="Garamond" w:hAnsi="Garamond" w:cs="Segoe UI"/>
          <w:color w:val="000000"/>
          <w:sz w:val="26"/>
          <w:szCs w:val="26"/>
        </w:rPr>
        <w:t xml:space="preserve">n. </w:t>
      </w:r>
      <w:r w:rsidR="007B0845">
        <w:rPr>
          <w:rFonts w:ascii="Garamond" w:hAnsi="Garamond" w:cs="Segoe UI"/>
          <w:sz w:val="26"/>
          <w:szCs w:val="26"/>
        </w:rPr>
        <w:t>241 del 19</w:t>
      </w:r>
      <w:r w:rsidR="005C7EF0" w:rsidRPr="005C7EF0">
        <w:rPr>
          <w:rFonts w:ascii="Garamond" w:hAnsi="Garamond" w:cs="Segoe UI"/>
          <w:sz w:val="26"/>
          <w:szCs w:val="26"/>
        </w:rPr>
        <w:t>90, che</w:t>
      </w:r>
      <w:r>
        <w:rPr>
          <w:rFonts w:ascii="Garamond" w:hAnsi="Garamond" w:cs="Segoe UI"/>
          <w:sz w:val="26"/>
          <w:szCs w:val="26"/>
        </w:rPr>
        <w:t>, come noto,</w:t>
      </w:r>
      <w:r w:rsidR="005C7EF0" w:rsidRPr="005C7EF0">
        <w:rPr>
          <w:rFonts w:ascii="Garamond" w:hAnsi="Garamond" w:cs="Segoe UI"/>
          <w:sz w:val="26"/>
          <w:szCs w:val="26"/>
        </w:rPr>
        <w:t xml:space="preserve"> impone alle P.A. </w:t>
      </w:r>
      <w:r w:rsidR="002457DA">
        <w:rPr>
          <w:rFonts w:ascii="Garamond" w:hAnsi="Garamond" w:cs="Segoe UI"/>
          <w:sz w:val="26"/>
          <w:szCs w:val="26"/>
        </w:rPr>
        <w:t xml:space="preserve">di concludere </w:t>
      </w:r>
      <w:r w:rsidR="002457DA" w:rsidRPr="005C7EF0">
        <w:rPr>
          <w:rFonts w:ascii="Garamond" w:hAnsi="Garamond" w:cs="Segoe UI"/>
          <w:sz w:val="26"/>
          <w:szCs w:val="26"/>
        </w:rPr>
        <w:t>con un provvedimento espresso</w:t>
      </w:r>
      <w:r w:rsidR="002457DA">
        <w:rPr>
          <w:rFonts w:ascii="Garamond" w:hAnsi="Garamond" w:cs="Segoe UI"/>
          <w:sz w:val="26"/>
          <w:szCs w:val="26"/>
        </w:rPr>
        <w:t xml:space="preserve"> un procedimento</w:t>
      </w:r>
      <w:r w:rsidR="005C7EF0" w:rsidRPr="005C7EF0">
        <w:rPr>
          <w:rFonts w:ascii="Garamond" w:hAnsi="Garamond" w:cs="Segoe UI"/>
          <w:sz w:val="26"/>
          <w:szCs w:val="26"/>
        </w:rPr>
        <w:t xml:space="preserve"> </w:t>
      </w:r>
      <w:r w:rsidR="005153A2">
        <w:rPr>
          <w:rFonts w:ascii="Garamond" w:hAnsi="Garamond" w:cs="Segoe UI"/>
          <w:sz w:val="26"/>
          <w:szCs w:val="26"/>
        </w:rPr>
        <w:t xml:space="preserve">amministrativo </w:t>
      </w:r>
      <w:r w:rsidR="002457DA">
        <w:rPr>
          <w:rFonts w:ascii="Garamond" w:hAnsi="Garamond" w:cs="Segoe UI"/>
          <w:sz w:val="26"/>
          <w:szCs w:val="26"/>
        </w:rPr>
        <w:t xml:space="preserve">avviato </w:t>
      </w:r>
      <w:r w:rsidR="005C7EF0" w:rsidRPr="005C7EF0">
        <w:rPr>
          <w:rFonts w:ascii="Garamond" w:hAnsi="Garamond" w:cs="Segoe UI"/>
          <w:sz w:val="26"/>
          <w:szCs w:val="26"/>
        </w:rPr>
        <w:t>con apposita istanza dell’interessato.</w:t>
      </w:r>
    </w:p>
    <w:p w14:paraId="34A0B835" w14:textId="79D867B1" w:rsidR="00236507" w:rsidRDefault="00236507" w:rsidP="00236507">
      <w:pPr>
        <w:pStyle w:val="Standard"/>
        <w:spacing w:line="360" w:lineRule="auto"/>
        <w:ind w:left="567" w:right="567"/>
        <w:jc w:val="both"/>
        <w:rPr>
          <w:rFonts w:ascii="Garamond" w:hAnsi="Garamond" w:cs="Segoe UI"/>
          <w:sz w:val="26"/>
          <w:szCs w:val="26"/>
          <w:lang w:val="it-IT"/>
        </w:rPr>
      </w:pPr>
      <w:r w:rsidRPr="00FC75F6">
        <w:rPr>
          <w:rFonts w:ascii="Garamond" w:hAnsi="Garamond" w:cs="Segoe UI"/>
          <w:sz w:val="26"/>
          <w:szCs w:val="26"/>
          <w:lang w:val="it-IT"/>
        </w:rPr>
        <w:tab/>
      </w:r>
      <w:r>
        <w:rPr>
          <w:rFonts w:ascii="Garamond" w:hAnsi="Garamond" w:cs="Segoe UI"/>
          <w:sz w:val="26"/>
          <w:szCs w:val="26"/>
          <w:lang w:val="it-IT"/>
        </w:rPr>
        <w:t xml:space="preserve">Al riguardo, </w:t>
      </w:r>
      <w:r w:rsidRPr="00FC75F6">
        <w:rPr>
          <w:rFonts w:ascii="Garamond" w:hAnsi="Garamond" w:cs="Segoe UI"/>
          <w:sz w:val="26"/>
          <w:szCs w:val="26"/>
          <w:lang w:val="it-IT"/>
        </w:rPr>
        <w:t>si è</w:t>
      </w:r>
      <w:r>
        <w:rPr>
          <w:rFonts w:ascii="Garamond" w:hAnsi="Garamond" w:cs="Segoe UI"/>
          <w:sz w:val="26"/>
          <w:szCs w:val="26"/>
          <w:lang w:val="it-IT"/>
        </w:rPr>
        <w:t xml:space="preserve"> </w:t>
      </w:r>
      <w:r w:rsidRPr="00FC75F6">
        <w:rPr>
          <w:rFonts w:ascii="Garamond" w:hAnsi="Garamond" w:cs="Segoe UI"/>
          <w:sz w:val="26"/>
          <w:szCs w:val="26"/>
          <w:lang w:val="it-IT"/>
        </w:rPr>
        <w:t>sostenuto l’impossibilità di riconoscere un “diritto all’informazione” del cittadino nei confronti dell</w:t>
      </w:r>
      <w:r>
        <w:rPr>
          <w:rFonts w:ascii="Garamond" w:hAnsi="Garamond" w:cs="Segoe UI"/>
          <w:sz w:val="26"/>
          <w:szCs w:val="26"/>
          <w:lang w:val="it-IT"/>
        </w:rPr>
        <w:t>a P.A. sulla base dell’art. 2 legge n. 241 del 19</w:t>
      </w:r>
      <w:r w:rsidRPr="00FC75F6">
        <w:rPr>
          <w:rFonts w:ascii="Garamond" w:hAnsi="Garamond" w:cs="Segoe UI"/>
          <w:sz w:val="26"/>
          <w:szCs w:val="26"/>
          <w:lang w:val="it-IT"/>
        </w:rPr>
        <w:t xml:space="preserve">90, atteso che quest’ultima norma - e gli obblighi che ne derivano </w:t>
      </w:r>
      <w:r>
        <w:rPr>
          <w:rFonts w:ascii="Garamond" w:hAnsi="Garamond" w:cs="Segoe UI"/>
          <w:sz w:val="26"/>
          <w:szCs w:val="26"/>
          <w:lang w:val="it-IT"/>
        </w:rPr>
        <w:t xml:space="preserve">– </w:t>
      </w:r>
      <w:r w:rsidRPr="00FC75F6">
        <w:rPr>
          <w:rFonts w:ascii="Garamond" w:hAnsi="Garamond" w:cs="Segoe UI"/>
          <w:sz w:val="26"/>
          <w:szCs w:val="26"/>
          <w:lang w:val="it-IT"/>
        </w:rPr>
        <w:t>va</w:t>
      </w:r>
      <w:r>
        <w:rPr>
          <w:rFonts w:ascii="Garamond" w:hAnsi="Garamond" w:cs="Segoe UI"/>
          <w:sz w:val="26"/>
          <w:szCs w:val="26"/>
          <w:lang w:val="it-IT"/>
        </w:rPr>
        <w:t xml:space="preserve">lgono unicamente </w:t>
      </w:r>
      <w:r w:rsidRPr="00FC75F6">
        <w:rPr>
          <w:rFonts w:ascii="Garamond" w:hAnsi="Garamond" w:cs="Segoe UI"/>
          <w:sz w:val="26"/>
          <w:szCs w:val="26"/>
          <w:lang w:val="it-IT"/>
        </w:rPr>
        <w:t xml:space="preserve">per l’attività provvedimentale in senso stretto, </w:t>
      </w:r>
      <w:r>
        <w:rPr>
          <w:rFonts w:ascii="Garamond" w:hAnsi="Garamond" w:cs="Segoe UI"/>
          <w:sz w:val="26"/>
          <w:szCs w:val="26"/>
          <w:lang w:val="it-IT"/>
        </w:rPr>
        <w:t xml:space="preserve">a </w:t>
      </w:r>
      <w:r w:rsidRPr="00FC75F6">
        <w:rPr>
          <w:rFonts w:ascii="Garamond" w:hAnsi="Garamond" w:cs="Segoe UI"/>
          <w:sz w:val="26"/>
          <w:szCs w:val="26"/>
          <w:lang w:val="it-IT"/>
        </w:rPr>
        <w:t xml:space="preserve">cui </w:t>
      </w:r>
      <w:r>
        <w:rPr>
          <w:rFonts w:ascii="Garamond" w:hAnsi="Garamond" w:cs="Segoe UI"/>
          <w:sz w:val="26"/>
          <w:szCs w:val="26"/>
          <w:lang w:val="it-IT"/>
        </w:rPr>
        <w:t xml:space="preserve">non </w:t>
      </w:r>
      <w:r w:rsidR="005153A2">
        <w:rPr>
          <w:rFonts w:ascii="Garamond" w:hAnsi="Garamond" w:cs="Segoe UI"/>
          <w:sz w:val="26"/>
          <w:szCs w:val="26"/>
          <w:lang w:val="it-IT"/>
        </w:rPr>
        <w:t xml:space="preserve">è </w:t>
      </w:r>
      <w:r>
        <w:rPr>
          <w:rFonts w:ascii="Garamond" w:hAnsi="Garamond" w:cs="Segoe UI"/>
          <w:sz w:val="26"/>
          <w:szCs w:val="26"/>
          <w:lang w:val="it-IT"/>
        </w:rPr>
        <w:t>riconducibil</w:t>
      </w:r>
      <w:r w:rsidR="005153A2">
        <w:rPr>
          <w:rFonts w:ascii="Garamond" w:hAnsi="Garamond" w:cs="Segoe UI"/>
          <w:sz w:val="26"/>
          <w:szCs w:val="26"/>
          <w:lang w:val="it-IT"/>
        </w:rPr>
        <w:t>e</w:t>
      </w:r>
      <w:r>
        <w:rPr>
          <w:rFonts w:ascii="Garamond" w:hAnsi="Garamond" w:cs="Segoe UI"/>
          <w:sz w:val="26"/>
          <w:szCs w:val="26"/>
          <w:lang w:val="it-IT"/>
        </w:rPr>
        <w:t xml:space="preserve"> </w:t>
      </w:r>
      <w:r w:rsidR="005153A2">
        <w:rPr>
          <w:rFonts w:ascii="Garamond" w:hAnsi="Garamond" w:cs="Segoe UI"/>
          <w:sz w:val="26"/>
          <w:szCs w:val="26"/>
          <w:lang w:val="it-IT"/>
        </w:rPr>
        <w:t>l’</w:t>
      </w:r>
      <w:r>
        <w:rPr>
          <w:rFonts w:ascii="Garamond" w:hAnsi="Garamond" w:cs="Segoe UI"/>
          <w:sz w:val="26"/>
          <w:szCs w:val="26"/>
          <w:lang w:val="it-IT"/>
        </w:rPr>
        <w:t>“</w:t>
      </w:r>
      <w:r w:rsidRPr="00292F46">
        <w:rPr>
          <w:rFonts w:ascii="Garamond" w:hAnsi="Garamond" w:cs="Segoe UI"/>
          <w:sz w:val="26"/>
          <w:szCs w:val="26"/>
          <w:lang w:val="it-IT"/>
        </w:rPr>
        <w:t>attività conoscitiv</w:t>
      </w:r>
      <w:r w:rsidR="005153A2">
        <w:rPr>
          <w:rFonts w:ascii="Garamond" w:hAnsi="Garamond" w:cs="Segoe UI"/>
          <w:sz w:val="26"/>
          <w:szCs w:val="26"/>
          <w:lang w:val="it-IT"/>
        </w:rPr>
        <w:t>a</w:t>
      </w:r>
      <w:r w:rsidRPr="00292F46">
        <w:rPr>
          <w:rFonts w:ascii="Garamond" w:hAnsi="Garamond" w:cs="Segoe UI"/>
          <w:sz w:val="26"/>
          <w:szCs w:val="26"/>
          <w:lang w:val="it-IT"/>
        </w:rPr>
        <w:t>, relazional</w:t>
      </w:r>
      <w:r w:rsidR="005153A2">
        <w:rPr>
          <w:rFonts w:ascii="Garamond" w:hAnsi="Garamond" w:cs="Segoe UI"/>
          <w:sz w:val="26"/>
          <w:szCs w:val="26"/>
          <w:lang w:val="it-IT"/>
        </w:rPr>
        <w:t>e</w:t>
      </w:r>
      <w:r w:rsidRPr="00292F46">
        <w:rPr>
          <w:rFonts w:ascii="Garamond" w:hAnsi="Garamond" w:cs="Segoe UI"/>
          <w:sz w:val="26"/>
          <w:szCs w:val="26"/>
          <w:lang w:val="it-IT"/>
        </w:rPr>
        <w:t xml:space="preserve"> et similia” </w:t>
      </w:r>
      <w:r w:rsidRPr="00292F46">
        <w:rPr>
          <w:rStyle w:val="Rimandonotaapidipagina"/>
          <w:rFonts w:ascii="Garamond" w:hAnsi="Garamond" w:cs="Segoe UI"/>
          <w:sz w:val="26"/>
          <w:szCs w:val="26"/>
          <w:lang w:val="it-IT"/>
        </w:rPr>
        <w:footnoteReference w:id="31"/>
      </w:r>
      <w:r w:rsidRPr="00292F46">
        <w:rPr>
          <w:rFonts w:ascii="Garamond" w:hAnsi="Garamond" w:cs="Segoe UI"/>
          <w:sz w:val="26"/>
          <w:szCs w:val="26"/>
          <w:lang w:val="it-IT"/>
        </w:rPr>
        <w:t>.</w:t>
      </w:r>
    </w:p>
    <w:p w14:paraId="14C78E7E" w14:textId="28C36338" w:rsidR="00236507" w:rsidRDefault="00236507" w:rsidP="00236507">
      <w:pPr>
        <w:pStyle w:val="Standard"/>
        <w:spacing w:line="360" w:lineRule="auto"/>
        <w:ind w:left="567" w:right="567"/>
        <w:jc w:val="both"/>
        <w:rPr>
          <w:rFonts w:ascii="Garamond" w:hAnsi="Garamond"/>
          <w:sz w:val="26"/>
          <w:szCs w:val="26"/>
          <w:lang w:val="it-IT"/>
        </w:rPr>
      </w:pPr>
      <w:r>
        <w:rPr>
          <w:rFonts w:ascii="Garamond" w:hAnsi="Garamond" w:cs="Segoe UI"/>
          <w:sz w:val="26"/>
          <w:szCs w:val="26"/>
          <w:lang w:val="it-IT"/>
        </w:rPr>
        <w:tab/>
        <w:t xml:space="preserve">Quest’ultima posizione è in linea con la consolidata giurisprudenza secondo la quale l’obbligo </w:t>
      </w:r>
      <w:r w:rsidR="005153A2">
        <w:rPr>
          <w:rFonts w:ascii="Garamond" w:hAnsi="Garamond" w:cs="Segoe UI"/>
          <w:sz w:val="26"/>
          <w:szCs w:val="26"/>
          <w:lang w:val="it-IT"/>
        </w:rPr>
        <w:t xml:space="preserve">di procedere e di provvedere </w:t>
      </w:r>
      <w:r w:rsidRPr="00292F46">
        <w:rPr>
          <w:rFonts w:ascii="Garamond" w:hAnsi="Garamond"/>
          <w:sz w:val="26"/>
          <w:szCs w:val="26"/>
          <w:lang w:val="it-IT"/>
        </w:rPr>
        <w:t xml:space="preserve">di cui all'art. 2 </w:t>
      </w:r>
      <w:r>
        <w:rPr>
          <w:rFonts w:ascii="Garamond" w:hAnsi="Garamond"/>
          <w:sz w:val="26"/>
          <w:szCs w:val="26"/>
          <w:lang w:val="it-IT"/>
        </w:rPr>
        <w:t>della legge n. 241 del 1990 non riguarda</w:t>
      </w:r>
      <w:r w:rsidRPr="00292F46">
        <w:rPr>
          <w:rFonts w:ascii="Garamond" w:hAnsi="Garamond"/>
          <w:sz w:val="26"/>
          <w:szCs w:val="26"/>
          <w:lang w:val="it-IT"/>
        </w:rPr>
        <w:t xml:space="preserve"> rapporti </w:t>
      </w:r>
      <w:r>
        <w:rPr>
          <w:rFonts w:ascii="Garamond" w:hAnsi="Garamond"/>
          <w:sz w:val="26"/>
          <w:szCs w:val="26"/>
          <w:lang w:val="it-IT"/>
        </w:rPr>
        <w:t>rispetto ai quali non sia</w:t>
      </w:r>
      <w:r w:rsidRPr="00292F46">
        <w:rPr>
          <w:rFonts w:ascii="Garamond" w:hAnsi="Garamond"/>
          <w:sz w:val="26"/>
          <w:szCs w:val="26"/>
          <w:lang w:val="it-IT"/>
        </w:rPr>
        <w:t xml:space="preserve"> configurabile un potere provvedimentale amministrativo in senso</w:t>
      </w:r>
      <w:r>
        <w:rPr>
          <w:rFonts w:ascii="Garamond" w:hAnsi="Garamond"/>
          <w:sz w:val="26"/>
          <w:szCs w:val="26"/>
          <w:lang w:val="it-IT"/>
        </w:rPr>
        <w:t xml:space="preserve"> stretto (</w:t>
      </w:r>
      <w:r w:rsidR="005153A2">
        <w:rPr>
          <w:rFonts w:ascii="Garamond" w:hAnsi="Garamond"/>
          <w:sz w:val="26"/>
          <w:szCs w:val="26"/>
          <w:lang w:val="it-IT"/>
        </w:rPr>
        <w:t xml:space="preserve">come per i </w:t>
      </w:r>
      <w:r>
        <w:rPr>
          <w:rFonts w:ascii="Garamond" w:hAnsi="Garamond"/>
          <w:sz w:val="26"/>
          <w:szCs w:val="26"/>
          <w:lang w:val="it-IT"/>
        </w:rPr>
        <w:t xml:space="preserve">c.d. atti paritetici), anche considerato che </w:t>
      </w:r>
      <w:r w:rsidRPr="00292F46">
        <w:rPr>
          <w:rFonts w:ascii="Garamond" w:hAnsi="Garamond"/>
          <w:sz w:val="26"/>
          <w:szCs w:val="26"/>
          <w:lang w:val="it-IT"/>
        </w:rPr>
        <w:t>per tali rapporti</w:t>
      </w:r>
      <w:r>
        <w:rPr>
          <w:rFonts w:ascii="Garamond" w:hAnsi="Garamond"/>
          <w:sz w:val="26"/>
          <w:szCs w:val="26"/>
          <w:lang w:val="it-IT"/>
        </w:rPr>
        <w:t xml:space="preserve"> vengono in considerazione </w:t>
      </w:r>
      <w:r w:rsidRPr="00292F46">
        <w:rPr>
          <w:rFonts w:ascii="Garamond" w:hAnsi="Garamond"/>
          <w:sz w:val="26"/>
          <w:szCs w:val="26"/>
          <w:lang w:val="it-IT"/>
        </w:rPr>
        <w:t>diritti soggettivi (e non interessi l</w:t>
      </w:r>
      <w:r>
        <w:rPr>
          <w:rFonts w:ascii="Garamond" w:hAnsi="Garamond"/>
          <w:sz w:val="26"/>
          <w:szCs w:val="26"/>
          <w:lang w:val="it-IT"/>
        </w:rPr>
        <w:t xml:space="preserve">egittimi), sì che l’interessato non potrebbe adire il Giudice amministrativo </w:t>
      </w:r>
      <w:r w:rsidRPr="00292F46">
        <w:rPr>
          <w:rFonts w:ascii="Garamond" w:hAnsi="Garamond"/>
          <w:sz w:val="26"/>
          <w:szCs w:val="26"/>
          <w:lang w:val="it-IT"/>
        </w:rPr>
        <w:t xml:space="preserve">con ricorso ex art. 117 c.p.a., </w:t>
      </w:r>
      <w:r>
        <w:rPr>
          <w:rFonts w:ascii="Garamond" w:hAnsi="Garamond"/>
          <w:sz w:val="26"/>
          <w:szCs w:val="26"/>
          <w:lang w:val="it-IT"/>
        </w:rPr>
        <w:t>ma semmai il Giudice o</w:t>
      </w:r>
      <w:r w:rsidRPr="00292F46">
        <w:rPr>
          <w:rFonts w:ascii="Garamond" w:hAnsi="Garamond"/>
          <w:sz w:val="26"/>
          <w:szCs w:val="26"/>
          <w:lang w:val="it-IT"/>
        </w:rPr>
        <w:t xml:space="preserve">rdinario </w:t>
      </w:r>
      <w:r w:rsidRPr="00292F46">
        <w:rPr>
          <w:rStyle w:val="Rimandonotaapidipagina"/>
          <w:rFonts w:ascii="Garamond" w:hAnsi="Garamond" w:cs="Segoe UI"/>
          <w:sz w:val="26"/>
          <w:szCs w:val="26"/>
          <w:lang w:val="it-IT"/>
        </w:rPr>
        <w:footnoteReference w:id="32"/>
      </w:r>
      <w:r>
        <w:rPr>
          <w:rFonts w:ascii="Garamond" w:hAnsi="Garamond"/>
          <w:sz w:val="26"/>
          <w:szCs w:val="26"/>
          <w:lang w:val="it-IT"/>
        </w:rPr>
        <w:t>.</w:t>
      </w:r>
    </w:p>
    <w:p w14:paraId="61AA87E9" w14:textId="4C8DD2CF" w:rsidR="000C53D6" w:rsidRDefault="005153A2" w:rsidP="00FC75F6">
      <w:pPr>
        <w:spacing w:line="360" w:lineRule="auto"/>
        <w:ind w:left="567" w:right="567" w:firstLine="141"/>
        <w:jc w:val="both"/>
        <w:rPr>
          <w:rFonts w:ascii="Garamond" w:hAnsi="Garamond" w:cs="Segoe UI"/>
          <w:sz w:val="26"/>
          <w:szCs w:val="26"/>
        </w:rPr>
      </w:pPr>
      <w:r>
        <w:rPr>
          <w:rFonts w:ascii="Garamond" w:hAnsi="Garamond" w:cs="Segoe UI"/>
          <w:sz w:val="26"/>
          <w:szCs w:val="26"/>
        </w:rPr>
        <w:t>L</w:t>
      </w:r>
      <w:r w:rsidR="00236507">
        <w:rPr>
          <w:rFonts w:ascii="Garamond" w:hAnsi="Garamond" w:cs="Segoe UI"/>
          <w:sz w:val="26"/>
          <w:szCs w:val="26"/>
        </w:rPr>
        <w:t>’art. 2 della legge n. 241 del 1990 non è</w:t>
      </w:r>
      <w:r>
        <w:rPr>
          <w:rFonts w:ascii="Garamond" w:hAnsi="Garamond" w:cs="Segoe UI"/>
          <w:sz w:val="26"/>
          <w:szCs w:val="26"/>
        </w:rPr>
        <w:t>, però,</w:t>
      </w:r>
      <w:r w:rsidR="00236507">
        <w:rPr>
          <w:rFonts w:ascii="Garamond" w:hAnsi="Garamond" w:cs="Segoe UI"/>
          <w:sz w:val="26"/>
          <w:szCs w:val="26"/>
        </w:rPr>
        <w:t xml:space="preserve"> l’unica norma sulla base della quale </w:t>
      </w:r>
      <w:r>
        <w:rPr>
          <w:rFonts w:ascii="Garamond" w:hAnsi="Garamond" w:cs="Segoe UI"/>
          <w:sz w:val="26"/>
          <w:szCs w:val="26"/>
        </w:rPr>
        <w:t xml:space="preserve">va verificata la configurabilità di un </w:t>
      </w:r>
      <w:r w:rsidR="00236507">
        <w:rPr>
          <w:rFonts w:ascii="Garamond" w:hAnsi="Garamond" w:cs="Segoe UI"/>
          <w:sz w:val="26"/>
          <w:szCs w:val="26"/>
        </w:rPr>
        <w:t xml:space="preserve">obbligo della P.A. di riscontrare un’istanza di </w:t>
      </w:r>
      <w:r>
        <w:rPr>
          <w:rFonts w:ascii="Garamond" w:hAnsi="Garamond" w:cs="Segoe UI"/>
          <w:sz w:val="26"/>
          <w:szCs w:val="26"/>
        </w:rPr>
        <w:t xml:space="preserve">informazione di </w:t>
      </w:r>
      <w:r w:rsidR="00236507">
        <w:rPr>
          <w:rFonts w:ascii="Garamond" w:hAnsi="Garamond" w:cs="Segoe UI"/>
          <w:sz w:val="26"/>
          <w:szCs w:val="26"/>
        </w:rPr>
        <w:t xml:space="preserve">un consociato. </w:t>
      </w:r>
    </w:p>
    <w:p w14:paraId="1B56CA46" w14:textId="35223932" w:rsidR="005C7EF0" w:rsidRDefault="009F0B0F" w:rsidP="005C7EF0">
      <w:pPr>
        <w:pStyle w:val="Standard"/>
        <w:spacing w:line="360" w:lineRule="auto"/>
        <w:ind w:left="567" w:right="567"/>
        <w:jc w:val="both"/>
        <w:rPr>
          <w:rFonts w:ascii="Garamond" w:hAnsi="Garamond" w:cs="Segoe UI"/>
          <w:sz w:val="26"/>
          <w:szCs w:val="26"/>
          <w:lang w:val="it-IT"/>
        </w:rPr>
      </w:pPr>
      <w:r>
        <w:rPr>
          <w:rFonts w:ascii="Garamond" w:hAnsi="Garamond" w:cs="Segoe UI"/>
          <w:sz w:val="26"/>
          <w:szCs w:val="26"/>
          <w:lang w:val="it-IT"/>
        </w:rPr>
        <w:tab/>
        <w:t>Un</w:t>
      </w:r>
      <w:r w:rsidR="002457DA">
        <w:rPr>
          <w:rFonts w:ascii="Garamond" w:hAnsi="Garamond" w:cs="Segoe UI"/>
          <w:sz w:val="26"/>
          <w:szCs w:val="26"/>
          <w:lang w:val="it-IT"/>
        </w:rPr>
        <w:t xml:space="preserve"> </w:t>
      </w:r>
      <w:r w:rsidR="00236507">
        <w:rPr>
          <w:rFonts w:ascii="Garamond" w:hAnsi="Garamond" w:cs="Segoe UI"/>
          <w:sz w:val="26"/>
          <w:szCs w:val="26"/>
          <w:lang w:val="it-IT"/>
        </w:rPr>
        <w:t xml:space="preserve">prezioso spunto in tal senso </w:t>
      </w:r>
      <w:r w:rsidR="005C7EF0" w:rsidRPr="005C7EF0">
        <w:rPr>
          <w:rFonts w:ascii="Garamond" w:hAnsi="Garamond" w:cs="Segoe UI"/>
          <w:sz w:val="26"/>
          <w:szCs w:val="26"/>
          <w:lang w:val="it-IT"/>
        </w:rPr>
        <w:t>è offerto da quella consolidata giurisprudenza am</w:t>
      </w:r>
      <w:r w:rsidR="00236507">
        <w:rPr>
          <w:rFonts w:ascii="Garamond" w:hAnsi="Garamond" w:cs="Segoe UI"/>
          <w:sz w:val="26"/>
          <w:szCs w:val="26"/>
          <w:lang w:val="it-IT"/>
        </w:rPr>
        <w:t xml:space="preserve">ministrativa secondo la quale un </w:t>
      </w:r>
      <w:r w:rsidR="005C7EF0" w:rsidRPr="005C7EF0">
        <w:rPr>
          <w:rFonts w:ascii="Garamond" w:hAnsi="Garamond" w:cs="Segoe UI"/>
          <w:sz w:val="26"/>
          <w:szCs w:val="26"/>
          <w:lang w:val="it-IT"/>
        </w:rPr>
        <w:t xml:space="preserve">obbligo giuridico di provvedere </w:t>
      </w:r>
      <w:r w:rsidR="00236507">
        <w:rPr>
          <w:rFonts w:ascii="Garamond" w:hAnsi="Garamond" w:cs="Segoe UI"/>
          <w:sz w:val="26"/>
          <w:szCs w:val="26"/>
          <w:lang w:val="it-IT"/>
        </w:rPr>
        <w:t>sussiste non soltanto</w:t>
      </w:r>
      <w:r w:rsidR="005C7EF0" w:rsidRPr="005C7EF0">
        <w:rPr>
          <w:rFonts w:ascii="Garamond" w:hAnsi="Garamond" w:cs="Segoe UI"/>
          <w:sz w:val="26"/>
          <w:szCs w:val="26"/>
          <w:lang w:val="it-IT"/>
        </w:rPr>
        <w:t xml:space="preserve"> </w:t>
      </w:r>
      <w:r>
        <w:rPr>
          <w:rFonts w:ascii="Garamond" w:hAnsi="Garamond" w:cs="Segoe UI"/>
          <w:sz w:val="26"/>
          <w:szCs w:val="26"/>
          <w:lang w:val="it-IT"/>
        </w:rPr>
        <w:t xml:space="preserve">quando </w:t>
      </w:r>
      <w:r w:rsidR="005C7EF0" w:rsidRPr="005C7EF0">
        <w:rPr>
          <w:rFonts w:ascii="Garamond" w:hAnsi="Garamond" w:cs="Segoe UI"/>
          <w:sz w:val="26"/>
          <w:szCs w:val="26"/>
          <w:lang w:val="it-IT"/>
        </w:rPr>
        <w:t xml:space="preserve">esso </w:t>
      </w:r>
      <w:r w:rsidR="006558B5">
        <w:rPr>
          <w:rFonts w:ascii="Garamond" w:hAnsi="Garamond" w:cs="Segoe UI"/>
          <w:sz w:val="26"/>
          <w:szCs w:val="26"/>
          <w:lang w:val="it-IT"/>
        </w:rPr>
        <w:t>è</w:t>
      </w:r>
      <w:r w:rsidR="005C7EF0" w:rsidRPr="005C7EF0">
        <w:rPr>
          <w:rFonts w:ascii="Garamond" w:hAnsi="Garamond" w:cs="Segoe UI"/>
          <w:sz w:val="26"/>
          <w:szCs w:val="26"/>
          <w:lang w:val="it-IT"/>
        </w:rPr>
        <w:t xml:space="preserve"> espressamente previsto da specifiche norme di legge</w:t>
      </w:r>
      <w:r w:rsidR="005153A2">
        <w:rPr>
          <w:rFonts w:ascii="Garamond" w:hAnsi="Garamond" w:cs="Segoe UI"/>
          <w:sz w:val="26"/>
          <w:szCs w:val="26"/>
          <w:lang w:val="it-IT"/>
        </w:rPr>
        <w:t xml:space="preserve"> (con conseguente operatività dell’art. 2 l. n. 241 del 1990)</w:t>
      </w:r>
      <w:r w:rsidR="005C7EF0" w:rsidRPr="005C7EF0">
        <w:rPr>
          <w:rFonts w:ascii="Garamond" w:hAnsi="Garamond" w:cs="Segoe UI"/>
          <w:sz w:val="26"/>
          <w:szCs w:val="26"/>
          <w:lang w:val="it-IT"/>
        </w:rPr>
        <w:t xml:space="preserve">, ma anche in </w:t>
      </w:r>
      <w:r w:rsidR="005153A2">
        <w:rPr>
          <w:rFonts w:ascii="Garamond" w:hAnsi="Garamond" w:cs="Segoe UI"/>
          <w:sz w:val="26"/>
          <w:szCs w:val="26"/>
          <w:lang w:val="it-IT"/>
        </w:rPr>
        <w:t xml:space="preserve">relazione a </w:t>
      </w:r>
      <w:r w:rsidR="0081275D">
        <w:rPr>
          <w:rFonts w:ascii="Garamond" w:hAnsi="Garamond" w:cs="Segoe UI"/>
          <w:sz w:val="26"/>
          <w:szCs w:val="26"/>
          <w:lang w:val="it-IT"/>
        </w:rPr>
        <w:t>fattispecie non tipizzate</w:t>
      </w:r>
      <w:r w:rsidR="005C7EF0" w:rsidRPr="005C7EF0">
        <w:rPr>
          <w:rFonts w:ascii="Garamond" w:hAnsi="Garamond" w:cs="Segoe UI"/>
          <w:sz w:val="26"/>
          <w:szCs w:val="26"/>
          <w:lang w:val="it-IT"/>
        </w:rPr>
        <w:t xml:space="preserve"> allorquando </w:t>
      </w:r>
      <w:r w:rsidR="002457DA">
        <w:rPr>
          <w:rFonts w:ascii="Garamond" w:hAnsi="Garamond" w:cs="Segoe UI"/>
          <w:sz w:val="26"/>
          <w:szCs w:val="26"/>
          <w:lang w:val="it-IT"/>
        </w:rPr>
        <w:t>“</w:t>
      </w:r>
      <w:r w:rsidR="005C7EF0" w:rsidRPr="005C7EF0">
        <w:rPr>
          <w:rFonts w:ascii="Garamond" w:hAnsi="Garamond" w:cs="Segoe UI"/>
          <w:sz w:val="26"/>
          <w:szCs w:val="26"/>
          <w:lang w:val="it-IT"/>
        </w:rPr>
        <w:t xml:space="preserve">ragioni </w:t>
      </w:r>
      <w:r>
        <w:rPr>
          <w:rFonts w:ascii="Garamond" w:hAnsi="Garamond" w:cs="Segoe UI"/>
          <w:sz w:val="26"/>
          <w:szCs w:val="26"/>
          <w:lang w:val="it-IT"/>
        </w:rPr>
        <w:t>di giustizia e di equità</w:t>
      </w:r>
      <w:r w:rsidR="002457DA">
        <w:rPr>
          <w:rFonts w:ascii="Garamond" w:hAnsi="Garamond" w:cs="Segoe UI"/>
          <w:sz w:val="26"/>
          <w:szCs w:val="26"/>
          <w:lang w:val="it-IT"/>
        </w:rPr>
        <w:t>”</w:t>
      </w:r>
      <w:r w:rsidR="0081275D">
        <w:rPr>
          <w:rFonts w:ascii="Garamond" w:hAnsi="Garamond" w:cs="Segoe UI"/>
          <w:sz w:val="26"/>
          <w:szCs w:val="26"/>
          <w:lang w:val="it-IT"/>
        </w:rPr>
        <w:t xml:space="preserve"> imponga</w:t>
      </w:r>
      <w:r w:rsidR="005C7EF0" w:rsidRPr="005C7EF0">
        <w:rPr>
          <w:rFonts w:ascii="Garamond" w:hAnsi="Garamond" w:cs="Segoe UI"/>
          <w:sz w:val="26"/>
          <w:szCs w:val="26"/>
          <w:lang w:val="it-IT"/>
        </w:rPr>
        <w:t xml:space="preserve">no alla P.A. di adottare un </w:t>
      </w:r>
      <w:r w:rsidR="0081275D">
        <w:rPr>
          <w:rFonts w:ascii="Garamond" w:hAnsi="Garamond" w:cs="Segoe UI"/>
          <w:sz w:val="26"/>
          <w:szCs w:val="26"/>
          <w:lang w:val="it-IT"/>
        </w:rPr>
        <w:t xml:space="preserve">atto o un </w:t>
      </w:r>
      <w:r w:rsidR="005C7EF0" w:rsidRPr="005C7EF0">
        <w:rPr>
          <w:rFonts w:ascii="Garamond" w:hAnsi="Garamond" w:cs="Segoe UI"/>
          <w:sz w:val="26"/>
          <w:szCs w:val="26"/>
          <w:lang w:val="it-IT"/>
        </w:rPr>
        <w:t xml:space="preserve">provvedimento espresso </w:t>
      </w:r>
      <w:r w:rsidR="005C7EF0" w:rsidRPr="005C7EF0">
        <w:rPr>
          <w:rStyle w:val="Rimandonotaapidipagina"/>
          <w:rFonts w:ascii="Garamond" w:hAnsi="Garamond" w:cs="Segoe UI"/>
          <w:sz w:val="26"/>
          <w:szCs w:val="26"/>
          <w:lang w:val="it-IT"/>
        </w:rPr>
        <w:footnoteReference w:id="33"/>
      </w:r>
      <w:r w:rsidR="005C7EF0" w:rsidRPr="005C7EF0">
        <w:rPr>
          <w:rFonts w:ascii="Garamond" w:hAnsi="Garamond" w:cs="Segoe UI"/>
          <w:sz w:val="26"/>
          <w:szCs w:val="26"/>
          <w:lang w:val="it-IT"/>
        </w:rPr>
        <w:t xml:space="preserve">. </w:t>
      </w:r>
    </w:p>
    <w:p w14:paraId="6B9AB080" w14:textId="3024ED55" w:rsidR="005C7EF0" w:rsidRDefault="005C7EF0" w:rsidP="009F0B0F">
      <w:pPr>
        <w:spacing w:line="360" w:lineRule="auto"/>
        <w:ind w:left="567" w:right="567"/>
        <w:jc w:val="both"/>
        <w:rPr>
          <w:rFonts w:ascii="Garamond" w:hAnsi="Garamond" w:cs="Segoe UI"/>
          <w:sz w:val="26"/>
          <w:szCs w:val="26"/>
        </w:rPr>
      </w:pPr>
      <w:r w:rsidRPr="005C7EF0">
        <w:rPr>
          <w:rFonts w:ascii="Garamond" w:hAnsi="Garamond" w:cs="Segoe UI"/>
          <w:sz w:val="26"/>
          <w:szCs w:val="26"/>
        </w:rPr>
        <w:tab/>
      </w:r>
      <w:r w:rsidR="00FC75F6">
        <w:rPr>
          <w:rFonts w:ascii="Garamond" w:hAnsi="Garamond" w:cs="Segoe UI"/>
          <w:sz w:val="26"/>
          <w:szCs w:val="26"/>
        </w:rPr>
        <w:t>P</w:t>
      </w:r>
      <w:r w:rsidRPr="005C7EF0">
        <w:rPr>
          <w:rFonts w:ascii="Garamond" w:hAnsi="Garamond" w:cs="Segoe UI"/>
          <w:sz w:val="26"/>
          <w:szCs w:val="26"/>
        </w:rPr>
        <w:t xml:space="preserve">rendendo le mosse da </w:t>
      </w:r>
      <w:r w:rsidR="002457DA">
        <w:rPr>
          <w:rFonts w:ascii="Garamond" w:hAnsi="Garamond" w:cs="Segoe UI"/>
          <w:sz w:val="26"/>
          <w:szCs w:val="26"/>
        </w:rPr>
        <w:t>questo consolidato</w:t>
      </w:r>
      <w:r w:rsidRPr="005C7EF0">
        <w:rPr>
          <w:rFonts w:ascii="Garamond" w:hAnsi="Garamond" w:cs="Segoe UI"/>
          <w:sz w:val="26"/>
          <w:szCs w:val="26"/>
        </w:rPr>
        <w:t xml:space="preserve"> principi</w:t>
      </w:r>
      <w:r w:rsidR="002457DA">
        <w:rPr>
          <w:rFonts w:ascii="Garamond" w:hAnsi="Garamond" w:cs="Segoe UI"/>
          <w:sz w:val="26"/>
          <w:szCs w:val="26"/>
        </w:rPr>
        <w:t>o giurisprudenziale</w:t>
      </w:r>
      <w:r w:rsidRPr="005C7EF0">
        <w:rPr>
          <w:rFonts w:ascii="Garamond" w:hAnsi="Garamond" w:cs="Segoe UI"/>
          <w:sz w:val="26"/>
          <w:szCs w:val="26"/>
        </w:rPr>
        <w:t xml:space="preserve">, </w:t>
      </w:r>
      <w:r w:rsidR="0081275D">
        <w:rPr>
          <w:rFonts w:ascii="Garamond" w:hAnsi="Garamond" w:cs="Segoe UI"/>
          <w:sz w:val="26"/>
          <w:szCs w:val="26"/>
        </w:rPr>
        <w:t>si è, allora</w:t>
      </w:r>
      <w:r w:rsidRPr="005C7EF0">
        <w:rPr>
          <w:rFonts w:ascii="Garamond" w:hAnsi="Garamond" w:cs="Segoe UI"/>
          <w:sz w:val="26"/>
          <w:szCs w:val="26"/>
        </w:rPr>
        <w:t xml:space="preserve">, </w:t>
      </w:r>
      <w:r w:rsidR="00FC75F6">
        <w:rPr>
          <w:rFonts w:ascii="Garamond" w:hAnsi="Garamond" w:cs="Segoe UI"/>
          <w:sz w:val="26"/>
          <w:szCs w:val="26"/>
        </w:rPr>
        <w:t xml:space="preserve">ritenuto </w:t>
      </w:r>
      <w:r w:rsidRPr="005C7EF0">
        <w:rPr>
          <w:rFonts w:ascii="Garamond" w:hAnsi="Garamond" w:cs="Segoe UI"/>
          <w:sz w:val="26"/>
          <w:szCs w:val="26"/>
        </w:rPr>
        <w:t xml:space="preserve">che </w:t>
      </w:r>
      <w:r w:rsidR="0081275D">
        <w:rPr>
          <w:rFonts w:ascii="Garamond" w:hAnsi="Garamond" w:cs="Segoe UI"/>
          <w:sz w:val="26"/>
          <w:szCs w:val="26"/>
        </w:rPr>
        <w:t xml:space="preserve">anche il </w:t>
      </w:r>
      <w:r w:rsidRPr="005C7EF0">
        <w:rPr>
          <w:rFonts w:ascii="Garamond" w:hAnsi="Garamond" w:cs="Segoe UI"/>
          <w:sz w:val="26"/>
          <w:szCs w:val="26"/>
        </w:rPr>
        <w:t>“diritto all’informazione” del cittadino nei confronti della P.A. sia co</w:t>
      </w:r>
      <w:r w:rsidR="002457DA">
        <w:rPr>
          <w:rFonts w:ascii="Garamond" w:hAnsi="Garamond" w:cs="Segoe UI"/>
          <w:sz w:val="26"/>
          <w:szCs w:val="26"/>
        </w:rPr>
        <w:t xml:space="preserve">nfigurabile ogni qualvolta egli possa </w:t>
      </w:r>
      <w:r w:rsidRPr="005C7EF0">
        <w:rPr>
          <w:rFonts w:ascii="Garamond" w:hAnsi="Garamond" w:cs="Segoe UI"/>
          <w:sz w:val="26"/>
          <w:szCs w:val="26"/>
        </w:rPr>
        <w:t xml:space="preserve">vantare una </w:t>
      </w:r>
      <w:r w:rsidR="005153A2">
        <w:rPr>
          <w:rFonts w:ascii="Garamond" w:hAnsi="Garamond" w:cs="Segoe UI"/>
          <w:sz w:val="26"/>
          <w:szCs w:val="26"/>
        </w:rPr>
        <w:t>“</w:t>
      </w:r>
      <w:r w:rsidRPr="005C7EF0">
        <w:rPr>
          <w:rFonts w:ascii="Garamond" w:hAnsi="Garamond" w:cs="Segoe UI"/>
          <w:sz w:val="26"/>
          <w:szCs w:val="26"/>
        </w:rPr>
        <w:t>legittima aspettativa</w:t>
      </w:r>
      <w:r w:rsidR="005153A2">
        <w:rPr>
          <w:rFonts w:ascii="Garamond" w:hAnsi="Garamond" w:cs="Segoe UI"/>
          <w:sz w:val="26"/>
          <w:szCs w:val="26"/>
        </w:rPr>
        <w:t>”</w:t>
      </w:r>
      <w:r w:rsidRPr="005C7EF0">
        <w:rPr>
          <w:rFonts w:ascii="Garamond" w:hAnsi="Garamond" w:cs="Segoe UI"/>
          <w:sz w:val="26"/>
          <w:szCs w:val="26"/>
        </w:rPr>
        <w:t xml:space="preserve"> a</w:t>
      </w:r>
      <w:r w:rsidR="005153A2">
        <w:rPr>
          <w:rFonts w:ascii="Garamond" w:hAnsi="Garamond" w:cs="Segoe UI"/>
          <w:sz w:val="26"/>
          <w:szCs w:val="26"/>
        </w:rPr>
        <w:t xml:space="preserve">d ottenere informazioni in merito a talune attività </w:t>
      </w:r>
      <w:r w:rsidR="002457DA">
        <w:rPr>
          <w:rFonts w:ascii="Garamond" w:hAnsi="Garamond" w:cs="Segoe UI"/>
          <w:sz w:val="26"/>
          <w:szCs w:val="26"/>
        </w:rPr>
        <w:t>da essa</w:t>
      </w:r>
      <w:r w:rsidR="005153A2">
        <w:rPr>
          <w:rFonts w:ascii="Garamond" w:hAnsi="Garamond" w:cs="Segoe UI"/>
          <w:sz w:val="26"/>
          <w:szCs w:val="26"/>
        </w:rPr>
        <w:t xml:space="preserve"> poste in essere</w:t>
      </w:r>
      <w:r w:rsidR="0081275D">
        <w:rPr>
          <w:rFonts w:ascii="Garamond" w:hAnsi="Garamond" w:cs="Segoe UI"/>
          <w:sz w:val="26"/>
          <w:szCs w:val="26"/>
        </w:rPr>
        <w:t xml:space="preserve">: ciò alla luce </w:t>
      </w:r>
      <w:r w:rsidRPr="005C7EF0">
        <w:rPr>
          <w:rFonts w:ascii="Garamond" w:hAnsi="Garamond" w:cs="Segoe UI"/>
          <w:sz w:val="26"/>
          <w:szCs w:val="26"/>
        </w:rPr>
        <w:t>dei principi generali di trasparenza, di correttezza e di leale cooperazione.</w:t>
      </w:r>
    </w:p>
    <w:p w14:paraId="2EC39AF5" w14:textId="77777777" w:rsidR="00FC75F6" w:rsidRDefault="00FC75F6" w:rsidP="00FC75F6">
      <w:pPr>
        <w:spacing w:line="360" w:lineRule="auto"/>
        <w:ind w:left="567" w:right="567" w:firstLine="141"/>
        <w:jc w:val="both"/>
        <w:rPr>
          <w:rFonts w:ascii="Garamond" w:hAnsi="Garamond" w:cs="Segoe UI"/>
          <w:color w:val="000000"/>
          <w:sz w:val="26"/>
          <w:szCs w:val="26"/>
        </w:rPr>
      </w:pPr>
      <w:r>
        <w:rPr>
          <w:rFonts w:ascii="Garamond" w:hAnsi="Garamond" w:cs="Segoe UI"/>
          <w:color w:val="000000"/>
          <w:sz w:val="26"/>
          <w:szCs w:val="26"/>
        </w:rPr>
        <w:t xml:space="preserve">In questa prospettiva si è quindi affermato che </w:t>
      </w:r>
      <w:r w:rsidR="00487F9E" w:rsidRPr="00487F9E">
        <w:rPr>
          <w:rFonts w:ascii="Garamond" w:hAnsi="Garamond" w:cs="Segoe UI"/>
          <w:i/>
          <w:color w:val="000000"/>
          <w:sz w:val="26"/>
          <w:szCs w:val="26"/>
        </w:rPr>
        <w:t xml:space="preserve">&lt;&lt; .. </w:t>
      </w:r>
      <w:r w:rsidR="00487F9E" w:rsidRPr="00487F9E">
        <w:rPr>
          <w:rFonts w:ascii="Garamond" w:hAnsi="Garamond" w:cs="Segoe UI"/>
          <w:i/>
          <w:sz w:val="26"/>
          <w:szCs w:val="26"/>
        </w:rPr>
        <w:t xml:space="preserve">indipendentemente dall’esistenza di specifiche norme che impongano ai pubblici uffici di pronunciarsi su ogni istanza non palesemente abnorme dei privati, non può dubitarsi che, in regime di trasparenza e partecipazione, il relativo obbligo sussiste ogniqualvolta esigenze di giustizia sostanziale impongano l’adozione di un provvedimento espresso, in ossequio al dovere di correttezza e buona amministrazione (art. 97, Cost.), in rapporto al quale il privato vanta una legittima e </w:t>
      </w:r>
      <w:r w:rsidR="00487F9E" w:rsidRPr="00FC75F6">
        <w:rPr>
          <w:rFonts w:ascii="Garamond" w:hAnsi="Garamond" w:cs="Segoe UI"/>
          <w:i/>
          <w:sz w:val="26"/>
          <w:szCs w:val="26"/>
        </w:rPr>
        <w:t>qualificata aspettativa ad un’esplicita pronuncia. &gt;&gt;</w:t>
      </w:r>
      <w:r>
        <w:rPr>
          <w:rFonts w:ascii="Garamond" w:hAnsi="Garamond" w:cs="Segoe UI"/>
          <w:i/>
          <w:sz w:val="26"/>
          <w:szCs w:val="26"/>
        </w:rPr>
        <w:t xml:space="preserve"> </w:t>
      </w:r>
      <w:r>
        <w:rPr>
          <w:rFonts w:ascii="Garamond" w:hAnsi="Garamond" w:cs="Segoe UI"/>
          <w:color w:val="000000"/>
          <w:sz w:val="26"/>
          <w:szCs w:val="26"/>
        </w:rPr>
        <w:t>(</w:t>
      </w:r>
      <w:r w:rsidRPr="00487F9E">
        <w:rPr>
          <w:rFonts w:ascii="Garamond" w:hAnsi="Garamond" w:cs="Segoe UI"/>
          <w:color w:val="000000"/>
          <w:sz w:val="26"/>
          <w:szCs w:val="26"/>
        </w:rPr>
        <w:t>Cons. St</w:t>
      </w:r>
      <w:r>
        <w:rPr>
          <w:rFonts w:ascii="Garamond" w:hAnsi="Garamond" w:cs="Segoe UI"/>
          <w:color w:val="000000"/>
          <w:sz w:val="26"/>
          <w:szCs w:val="26"/>
        </w:rPr>
        <w:t xml:space="preserve">., </w:t>
      </w:r>
      <w:r w:rsidRPr="00487F9E">
        <w:rPr>
          <w:rFonts w:ascii="Garamond" w:hAnsi="Garamond" w:cs="Segoe UI"/>
          <w:color w:val="000000"/>
          <w:sz w:val="26"/>
          <w:szCs w:val="26"/>
        </w:rPr>
        <w:t>sez. IV</w:t>
      </w:r>
      <w:r>
        <w:rPr>
          <w:rFonts w:ascii="Garamond" w:hAnsi="Garamond" w:cs="Segoe UI"/>
          <w:color w:val="000000"/>
          <w:sz w:val="26"/>
          <w:szCs w:val="26"/>
        </w:rPr>
        <w:t>,</w:t>
      </w:r>
      <w:r w:rsidRPr="00487F9E">
        <w:rPr>
          <w:rFonts w:ascii="Garamond" w:hAnsi="Garamond" w:cs="Segoe UI"/>
          <w:color w:val="000000"/>
          <w:sz w:val="26"/>
          <w:szCs w:val="26"/>
        </w:rPr>
        <w:t xml:space="preserve"> 14</w:t>
      </w:r>
      <w:r>
        <w:rPr>
          <w:rFonts w:ascii="Garamond" w:hAnsi="Garamond" w:cs="Segoe UI"/>
          <w:color w:val="000000"/>
          <w:sz w:val="26"/>
          <w:szCs w:val="26"/>
        </w:rPr>
        <w:t xml:space="preserve"> dicembre </w:t>
      </w:r>
      <w:r w:rsidRPr="00487F9E">
        <w:rPr>
          <w:rFonts w:ascii="Garamond" w:hAnsi="Garamond" w:cs="Segoe UI"/>
          <w:color w:val="000000"/>
          <w:sz w:val="26"/>
          <w:szCs w:val="26"/>
        </w:rPr>
        <w:t>2004, n. 7955</w:t>
      </w:r>
      <w:r>
        <w:rPr>
          <w:rFonts w:ascii="Garamond" w:hAnsi="Garamond" w:cs="Segoe UI"/>
          <w:color w:val="000000"/>
          <w:sz w:val="26"/>
          <w:szCs w:val="26"/>
        </w:rPr>
        <w:t xml:space="preserve">) </w:t>
      </w:r>
      <w:r w:rsidRPr="005C7EF0">
        <w:rPr>
          <w:rStyle w:val="Rimandonotaapidipagina"/>
          <w:rFonts w:ascii="Garamond" w:hAnsi="Garamond" w:cs="Segoe UI"/>
          <w:sz w:val="26"/>
          <w:szCs w:val="26"/>
        </w:rPr>
        <w:footnoteReference w:id="34"/>
      </w:r>
      <w:r>
        <w:rPr>
          <w:rFonts w:ascii="Garamond" w:hAnsi="Garamond" w:cs="Segoe UI"/>
          <w:color w:val="000000"/>
          <w:sz w:val="26"/>
          <w:szCs w:val="26"/>
        </w:rPr>
        <w:t>.</w:t>
      </w:r>
    </w:p>
    <w:p w14:paraId="10E7DE99" w14:textId="4131B188" w:rsidR="0081275D" w:rsidRPr="00340F2D" w:rsidRDefault="0081275D" w:rsidP="00FC75F6">
      <w:pPr>
        <w:spacing w:line="360" w:lineRule="auto"/>
        <w:ind w:left="567" w:right="567" w:firstLine="141"/>
        <w:jc w:val="both"/>
        <w:rPr>
          <w:rFonts w:ascii="Garamond" w:hAnsi="Garamond" w:cs="Segoe UI"/>
          <w:color w:val="000000"/>
          <w:sz w:val="26"/>
          <w:szCs w:val="26"/>
        </w:rPr>
      </w:pPr>
      <w:r>
        <w:rPr>
          <w:rFonts w:ascii="Garamond" w:hAnsi="Garamond" w:cs="Segoe UI"/>
          <w:color w:val="000000"/>
          <w:sz w:val="26"/>
          <w:szCs w:val="26"/>
        </w:rPr>
        <w:t>Dett</w:t>
      </w:r>
      <w:r w:rsidR="00F44A42">
        <w:rPr>
          <w:rFonts w:ascii="Garamond" w:hAnsi="Garamond" w:cs="Segoe UI"/>
          <w:color w:val="000000"/>
          <w:sz w:val="26"/>
          <w:szCs w:val="26"/>
        </w:rPr>
        <w:t>e affermazioni</w:t>
      </w:r>
      <w:r>
        <w:rPr>
          <w:rFonts w:ascii="Garamond" w:hAnsi="Garamond" w:cs="Segoe UI"/>
          <w:color w:val="000000"/>
          <w:sz w:val="26"/>
          <w:szCs w:val="26"/>
        </w:rPr>
        <w:t xml:space="preserve"> ha</w:t>
      </w:r>
      <w:r w:rsidR="00F44A42">
        <w:rPr>
          <w:rFonts w:ascii="Garamond" w:hAnsi="Garamond" w:cs="Segoe UI"/>
          <w:color w:val="000000"/>
          <w:sz w:val="26"/>
          <w:szCs w:val="26"/>
        </w:rPr>
        <w:t>nno</w:t>
      </w:r>
      <w:r>
        <w:rPr>
          <w:rFonts w:ascii="Garamond" w:hAnsi="Garamond" w:cs="Segoe UI"/>
          <w:color w:val="000000"/>
          <w:sz w:val="26"/>
          <w:szCs w:val="26"/>
        </w:rPr>
        <w:t xml:space="preserve"> trovato una linea di continuità anche </w:t>
      </w:r>
      <w:r w:rsidR="005153A2">
        <w:rPr>
          <w:rFonts w:ascii="Garamond" w:hAnsi="Garamond" w:cs="Segoe UI"/>
          <w:color w:val="000000"/>
          <w:sz w:val="26"/>
          <w:szCs w:val="26"/>
        </w:rPr>
        <w:t>in pronunce</w:t>
      </w:r>
      <w:r w:rsidR="00F44A42">
        <w:rPr>
          <w:rFonts w:ascii="Garamond" w:hAnsi="Garamond" w:cs="Segoe UI"/>
          <w:color w:val="000000"/>
          <w:sz w:val="26"/>
          <w:szCs w:val="26"/>
        </w:rPr>
        <w:t xml:space="preserve"> più recenti</w:t>
      </w:r>
      <w:r>
        <w:rPr>
          <w:rFonts w:ascii="Garamond" w:hAnsi="Garamond" w:cs="Segoe UI"/>
          <w:color w:val="000000"/>
          <w:sz w:val="26"/>
          <w:szCs w:val="26"/>
        </w:rPr>
        <w:t>, seppure con l</w:t>
      </w:r>
      <w:r w:rsidR="005153A2">
        <w:rPr>
          <w:rFonts w:ascii="Garamond" w:hAnsi="Garamond" w:cs="Segoe UI"/>
          <w:color w:val="000000"/>
          <w:sz w:val="26"/>
          <w:szCs w:val="26"/>
        </w:rPr>
        <w:t xml:space="preserve">a precisazione secondo la quale </w:t>
      </w:r>
      <w:r>
        <w:rPr>
          <w:rFonts w:ascii="Garamond" w:hAnsi="Garamond" w:cs="Segoe UI"/>
          <w:color w:val="000000"/>
          <w:sz w:val="26"/>
          <w:szCs w:val="26"/>
        </w:rPr>
        <w:t xml:space="preserve">l’obbligo informativo </w:t>
      </w:r>
      <w:r w:rsidR="005153A2">
        <w:rPr>
          <w:rFonts w:ascii="Garamond" w:hAnsi="Garamond" w:cs="Segoe UI"/>
          <w:color w:val="000000"/>
          <w:sz w:val="26"/>
          <w:szCs w:val="26"/>
        </w:rPr>
        <w:t xml:space="preserve">non può </w:t>
      </w:r>
      <w:r>
        <w:rPr>
          <w:rFonts w:ascii="Garamond" w:hAnsi="Garamond" w:cs="Segoe UI"/>
          <w:color w:val="000000"/>
          <w:sz w:val="26"/>
          <w:szCs w:val="26"/>
        </w:rPr>
        <w:t>trasform</w:t>
      </w:r>
      <w:r w:rsidR="005153A2">
        <w:rPr>
          <w:rFonts w:ascii="Garamond" w:hAnsi="Garamond" w:cs="Segoe UI"/>
          <w:color w:val="000000"/>
          <w:sz w:val="26"/>
          <w:szCs w:val="26"/>
        </w:rPr>
        <w:t>arsi</w:t>
      </w:r>
      <w:r>
        <w:rPr>
          <w:rFonts w:ascii="Garamond" w:hAnsi="Garamond" w:cs="Segoe UI"/>
          <w:color w:val="000000"/>
          <w:sz w:val="26"/>
          <w:szCs w:val="26"/>
        </w:rPr>
        <w:t xml:space="preserve"> in altri e più onerosi </w:t>
      </w:r>
      <w:r w:rsidRPr="00340F2D">
        <w:rPr>
          <w:rFonts w:ascii="Garamond" w:hAnsi="Garamond" w:cs="Segoe UI"/>
          <w:color w:val="000000"/>
          <w:sz w:val="26"/>
          <w:szCs w:val="26"/>
        </w:rPr>
        <w:t xml:space="preserve">obblighi di </w:t>
      </w:r>
      <w:r w:rsidRPr="00340F2D">
        <w:rPr>
          <w:rFonts w:ascii="Garamond" w:hAnsi="Garamond" w:cs="Segoe UI"/>
          <w:i/>
          <w:color w:val="000000"/>
          <w:sz w:val="26"/>
          <w:szCs w:val="26"/>
        </w:rPr>
        <w:t xml:space="preserve">facere </w:t>
      </w:r>
      <w:r w:rsidRPr="00340F2D">
        <w:rPr>
          <w:rFonts w:ascii="Garamond" w:hAnsi="Garamond" w:cs="Segoe UI"/>
          <w:color w:val="000000"/>
          <w:sz w:val="26"/>
          <w:szCs w:val="26"/>
        </w:rPr>
        <w:t xml:space="preserve">di diversa natura </w:t>
      </w:r>
      <w:r w:rsidR="00340F2D" w:rsidRPr="00340F2D">
        <w:rPr>
          <w:rFonts w:ascii="Garamond" w:hAnsi="Garamond" w:cs="Segoe UI"/>
          <w:color w:val="000000"/>
          <w:sz w:val="26"/>
          <w:szCs w:val="26"/>
        </w:rPr>
        <w:t>(</w:t>
      </w:r>
      <w:r w:rsidR="00340F2D" w:rsidRPr="00340F2D">
        <w:rPr>
          <w:rFonts w:ascii="Garamond" w:hAnsi="Garamond"/>
          <w:sz w:val="26"/>
          <w:szCs w:val="26"/>
        </w:rPr>
        <w:t>Cons. Stato, sez. IV, 27 agosto 2019</w:t>
      </w:r>
      <w:r w:rsidR="00340F2D">
        <w:rPr>
          <w:rFonts w:ascii="Garamond" w:hAnsi="Garamond"/>
          <w:sz w:val="26"/>
          <w:szCs w:val="26"/>
        </w:rPr>
        <w:t xml:space="preserve">) </w:t>
      </w:r>
      <w:r w:rsidRPr="00340F2D">
        <w:rPr>
          <w:rStyle w:val="Rimandonotaapidipagina"/>
          <w:rFonts w:ascii="Garamond" w:hAnsi="Garamond" w:cs="Segoe UI"/>
          <w:sz w:val="26"/>
          <w:szCs w:val="26"/>
        </w:rPr>
        <w:footnoteReference w:id="35"/>
      </w:r>
      <w:r w:rsidRPr="00340F2D">
        <w:rPr>
          <w:rFonts w:ascii="Garamond" w:hAnsi="Garamond" w:cs="Segoe UI"/>
          <w:color w:val="000000"/>
          <w:sz w:val="26"/>
          <w:szCs w:val="26"/>
        </w:rPr>
        <w:t>.</w:t>
      </w:r>
    </w:p>
    <w:p w14:paraId="03C29542" w14:textId="5CF14A9B" w:rsidR="00424BD8" w:rsidRDefault="00E83368" w:rsidP="0081275D">
      <w:pPr>
        <w:pStyle w:val="Standard"/>
        <w:spacing w:line="360" w:lineRule="auto"/>
        <w:ind w:left="567" w:right="567"/>
        <w:jc w:val="both"/>
        <w:rPr>
          <w:rStyle w:val="dj-testo-evidenziato"/>
          <w:rFonts w:ascii="Garamond" w:hAnsi="Garamond"/>
          <w:sz w:val="26"/>
          <w:szCs w:val="26"/>
          <w:lang w:val="it-IT"/>
        </w:rPr>
      </w:pPr>
      <w:r>
        <w:rPr>
          <w:rFonts w:ascii="Garamond" w:hAnsi="Garamond"/>
          <w:sz w:val="26"/>
          <w:szCs w:val="26"/>
          <w:lang w:val="it-IT"/>
        </w:rPr>
        <w:tab/>
      </w:r>
      <w:r w:rsidR="0081275D">
        <w:rPr>
          <w:rFonts w:ascii="Garamond" w:hAnsi="Garamond"/>
          <w:sz w:val="26"/>
          <w:szCs w:val="26"/>
          <w:lang w:val="it-IT"/>
        </w:rPr>
        <w:t>Quest</w:t>
      </w:r>
      <w:r w:rsidR="00F44A42">
        <w:rPr>
          <w:rFonts w:ascii="Garamond" w:hAnsi="Garamond"/>
          <w:sz w:val="26"/>
          <w:szCs w:val="26"/>
          <w:lang w:val="it-IT"/>
        </w:rPr>
        <w:t>o indirizzo</w:t>
      </w:r>
      <w:r w:rsidR="0081275D">
        <w:rPr>
          <w:rFonts w:ascii="Garamond" w:hAnsi="Garamond"/>
          <w:sz w:val="26"/>
          <w:szCs w:val="26"/>
          <w:lang w:val="it-IT"/>
        </w:rPr>
        <w:t xml:space="preserve"> </w:t>
      </w:r>
      <w:r>
        <w:rPr>
          <w:rFonts w:ascii="Garamond" w:hAnsi="Garamond"/>
          <w:sz w:val="26"/>
          <w:szCs w:val="26"/>
          <w:lang w:val="it-IT"/>
        </w:rPr>
        <w:t xml:space="preserve">merita oggi di essere </w:t>
      </w:r>
      <w:r w:rsidR="0081275D">
        <w:rPr>
          <w:rFonts w:ascii="Garamond" w:hAnsi="Garamond"/>
          <w:sz w:val="26"/>
          <w:szCs w:val="26"/>
          <w:lang w:val="it-IT"/>
        </w:rPr>
        <w:t>ulteriormente valorizzat</w:t>
      </w:r>
      <w:r w:rsidR="00F44A42">
        <w:rPr>
          <w:rFonts w:ascii="Garamond" w:hAnsi="Garamond"/>
          <w:sz w:val="26"/>
          <w:szCs w:val="26"/>
          <w:lang w:val="it-IT"/>
        </w:rPr>
        <w:t>o</w:t>
      </w:r>
      <w:r w:rsidR="0081275D">
        <w:rPr>
          <w:rFonts w:ascii="Garamond" w:hAnsi="Garamond"/>
          <w:sz w:val="26"/>
          <w:szCs w:val="26"/>
          <w:lang w:val="it-IT"/>
        </w:rPr>
        <w:t xml:space="preserve"> </w:t>
      </w:r>
      <w:r>
        <w:rPr>
          <w:rFonts w:ascii="Garamond" w:hAnsi="Garamond"/>
          <w:sz w:val="26"/>
          <w:szCs w:val="26"/>
          <w:lang w:val="it-IT"/>
        </w:rPr>
        <w:t>alla luce della dispos</w:t>
      </w:r>
      <w:r w:rsidRPr="00E83368">
        <w:rPr>
          <w:rFonts w:ascii="Garamond" w:hAnsi="Garamond"/>
          <w:sz w:val="26"/>
          <w:szCs w:val="26"/>
          <w:lang w:val="it-IT"/>
        </w:rPr>
        <w:t>izione contenuta nell’art. 1, comma 2-bis, della legge n. 241 del 1990, aggiunta dall’art. 12, comma 1, del d.l. 16 luglio 2020, n. 76 (convertito dalla legge 11 settembre 2010, n. 120)</w:t>
      </w:r>
      <w:r w:rsidR="00F44A42">
        <w:rPr>
          <w:rFonts w:ascii="Garamond" w:hAnsi="Garamond"/>
          <w:sz w:val="26"/>
          <w:szCs w:val="26"/>
          <w:lang w:val="it-IT"/>
        </w:rPr>
        <w:t xml:space="preserve">, secondo la quale </w:t>
      </w:r>
      <w:r w:rsidRPr="00E83368">
        <w:rPr>
          <w:rFonts w:ascii="Garamond" w:hAnsi="Garamond" w:cs="Segoe UI"/>
          <w:i/>
          <w:sz w:val="26"/>
          <w:szCs w:val="26"/>
          <w:lang w:val="it-IT"/>
        </w:rPr>
        <w:t>“</w:t>
      </w:r>
      <w:r w:rsidR="00424BD8" w:rsidRPr="00E83368">
        <w:rPr>
          <w:rStyle w:val="dj-testo-evidenziato"/>
          <w:rFonts w:ascii="Garamond" w:hAnsi="Garamond"/>
          <w:i/>
          <w:sz w:val="26"/>
          <w:szCs w:val="26"/>
          <w:lang w:val="it-IT"/>
        </w:rPr>
        <w:t>I rapporti tra il cittadino e la pubblica amministrazione sono improntati ai principi della collaborazione e della buona fede.</w:t>
      </w:r>
      <w:r>
        <w:rPr>
          <w:rStyle w:val="dj-testo-evidenziato"/>
          <w:rFonts w:ascii="Garamond" w:hAnsi="Garamond"/>
          <w:i/>
          <w:sz w:val="26"/>
          <w:szCs w:val="26"/>
          <w:lang w:val="it-IT"/>
        </w:rPr>
        <w:t>”</w:t>
      </w:r>
      <w:r>
        <w:rPr>
          <w:rStyle w:val="dj-testo-evidenziato"/>
          <w:rFonts w:ascii="Garamond" w:hAnsi="Garamond"/>
          <w:sz w:val="26"/>
          <w:szCs w:val="26"/>
          <w:lang w:val="it-IT"/>
        </w:rPr>
        <w:t>.</w:t>
      </w:r>
    </w:p>
    <w:p w14:paraId="304782C4" w14:textId="5BC3E5A4" w:rsidR="00E83368" w:rsidRPr="00E83368" w:rsidRDefault="00E83368" w:rsidP="00E83368">
      <w:pPr>
        <w:pStyle w:val="Standard"/>
        <w:spacing w:line="360" w:lineRule="auto"/>
        <w:ind w:left="567" w:right="567"/>
        <w:jc w:val="both"/>
        <w:rPr>
          <w:rStyle w:val="dj-testo-evidenziato"/>
          <w:rFonts w:ascii="Garamond" w:hAnsi="Garamond"/>
          <w:sz w:val="26"/>
          <w:szCs w:val="26"/>
          <w:lang w:val="it-IT"/>
        </w:rPr>
      </w:pPr>
      <w:r>
        <w:rPr>
          <w:rStyle w:val="dj-testo-evidenziato"/>
          <w:rFonts w:ascii="Garamond" w:hAnsi="Garamond"/>
          <w:sz w:val="26"/>
          <w:szCs w:val="26"/>
          <w:lang w:val="it-IT"/>
        </w:rPr>
        <w:tab/>
      </w:r>
      <w:r w:rsidR="0081275D">
        <w:rPr>
          <w:rStyle w:val="dj-testo-evidenziato"/>
          <w:rFonts w:ascii="Garamond" w:hAnsi="Garamond"/>
          <w:sz w:val="26"/>
          <w:szCs w:val="26"/>
          <w:lang w:val="it-IT"/>
        </w:rPr>
        <w:t xml:space="preserve">La norma è </w:t>
      </w:r>
      <w:r>
        <w:rPr>
          <w:rStyle w:val="dj-testo-evidenziato"/>
          <w:rFonts w:ascii="Garamond" w:hAnsi="Garamond"/>
          <w:sz w:val="26"/>
          <w:szCs w:val="26"/>
          <w:lang w:val="it-IT"/>
        </w:rPr>
        <w:t>il frutto dell</w:t>
      </w:r>
      <w:r w:rsidR="00F44A42">
        <w:rPr>
          <w:rStyle w:val="dj-testo-evidenziato"/>
          <w:rFonts w:ascii="Garamond" w:hAnsi="Garamond"/>
          <w:sz w:val="26"/>
          <w:szCs w:val="26"/>
          <w:lang w:val="it-IT"/>
        </w:rPr>
        <w:t>’</w:t>
      </w:r>
      <w:r>
        <w:rPr>
          <w:rStyle w:val="dj-testo-evidenziato"/>
          <w:rFonts w:ascii="Garamond" w:hAnsi="Garamond"/>
          <w:sz w:val="26"/>
          <w:szCs w:val="26"/>
          <w:lang w:val="it-IT"/>
        </w:rPr>
        <w:t xml:space="preserve">elaborazione </w:t>
      </w:r>
      <w:r w:rsidR="0081275D">
        <w:rPr>
          <w:rStyle w:val="dj-testo-evidenziato"/>
          <w:rFonts w:ascii="Garamond" w:hAnsi="Garamond"/>
          <w:sz w:val="26"/>
          <w:szCs w:val="26"/>
          <w:lang w:val="it-IT"/>
        </w:rPr>
        <w:t xml:space="preserve">giurisprudenziale </w:t>
      </w:r>
      <w:r>
        <w:rPr>
          <w:rStyle w:val="dj-testo-evidenziato"/>
          <w:rFonts w:ascii="Garamond" w:hAnsi="Garamond"/>
          <w:sz w:val="26"/>
          <w:szCs w:val="26"/>
          <w:lang w:val="it-IT"/>
        </w:rPr>
        <w:t xml:space="preserve">(non soltanto amministrativa, ma anche della Corte di cassazione) che </w:t>
      </w:r>
      <w:r w:rsidR="00340F2D">
        <w:rPr>
          <w:rStyle w:val="dj-testo-evidenziato"/>
          <w:rFonts w:ascii="Garamond" w:hAnsi="Garamond"/>
          <w:sz w:val="26"/>
          <w:szCs w:val="26"/>
          <w:lang w:val="it-IT"/>
        </w:rPr>
        <w:t xml:space="preserve">da tempo non dubita della </w:t>
      </w:r>
      <w:r w:rsidR="0081275D">
        <w:rPr>
          <w:rStyle w:val="dj-testo-evidenziato"/>
          <w:rFonts w:ascii="Garamond" w:hAnsi="Garamond"/>
          <w:sz w:val="26"/>
          <w:szCs w:val="26"/>
          <w:lang w:val="it-IT"/>
        </w:rPr>
        <w:t>applicabilità</w:t>
      </w:r>
      <w:r w:rsidR="00E01B73">
        <w:rPr>
          <w:rStyle w:val="dj-testo-evidenziato"/>
          <w:rFonts w:ascii="Garamond" w:hAnsi="Garamond"/>
          <w:sz w:val="26"/>
          <w:szCs w:val="26"/>
          <w:lang w:val="it-IT"/>
        </w:rPr>
        <w:t xml:space="preserve"> del</w:t>
      </w:r>
      <w:r>
        <w:rPr>
          <w:rStyle w:val="dj-testo-evidenziato"/>
          <w:rFonts w:ascii="Garamond" w:hAnsi="Garamond"/>
          <w:sz w:val="26"/>
          <w:szCs w:val="26"/>
          <w:lang w:val="it-IT"/>
        </w:rPr>
        <w:t xml:space="preserve">la </w:t>
      </w:r>
      <w:r w:rsidR="0081275D">
        <w:rPr>
          <w:rStyle w:val="dj-testo-evidenziato"/>
          <w:rFonts w:ascii="Garamond" w:hAnsi="Garamond"/>
          <w:sz w:val="26"/>
          <w:szCs w:val="26"/>
          <w:lang w:val="it-IT"/>
        </w:rPr>
        <w:t>“</w:t>
      </w:r>
      <w:r>
        <w:rPr>
          <w:rStyle w:val="dj-testo-evidenziato"/>
          <w:rFonts w:ascii="Garamond" w:hAnsi="Garamond"/>
          <w:sz w:val="26"/>
          <w:szCs w:val="26"/>
          <w:lang w:val="it-IT"/>
        </w:rPr>
        <w:t xml:space="preserve">clausola generale </w:t>
      </w:r>
      <w:r w:rsidR="0081275D">
        <w:rPr>
          <w:rStyle w:val="dj-testo-evidenziato"/>
          <w:rFonts w:ascii="Garamond" w:hAnsi="Garamond"/>
          <w:sz w:val="26"/>
          <w:szCs w:val="26"/>
          <w:lang w:val="it-IT"/>
        </w:rPr>
        <w:t xml:space="preserve">di buona fede e </w:t>
      </w:r>
      <w:r>
        <w:rPr>
          <w:rStyle w:val="dj-testo-evidenziato"/>
          <w:rFonts w:ascii="Garamond" w:hAnsi="Garamond"/>
          <w:sz w:val="26"/>
          <w:szCs w:val="26"/>
          <w:lang w:val="it-IT"/>
        </w:rPr>
        <w:t>correttezza</w:t>
      </w:r>
      <w:r w:rsidR="0081275D">
        <w:rPr>
          <w:rStyle w:val="dj-testo-evidenziato"/>
          <w:rFonts w:ascii="Garamond" w:hAnsi="Garamond"/>
          <w:sz w:val="26"/>
          <w:szCs w:val="26"/>
          <w:lang w:val="it-IT"/>
        </w:rPr>
        <w:t>”</w:t>
      </w:r>
      <w:r>
        <w:rPr>
          <w:rStyle w:val="dj-testo-evidenziato"/>
          <w:rFonts w:ascii="Garamond" w:hAnsi="Garamond"/>
          <w:sz w:val="26"/>
          <w:szCs w:val="26"/>
          <w:lang w:val="it-IT"/>
        </w:rPr>
        <w:t xml:space="preserve"> </w:t>
      </w:r>
      <w:r w:rsidR="00E01B73">
        <w:rPr>
          <w:rStyle w:val="dj-testo-evidenziato"/>
          <w:rFonts w:ascii="Garamond" w:hAnsi="Garamond"/>
          <w:sz w:val="26"/>
          <w:szCs w:val="26"/>
          <w:lang w:val="it-IT"/>
        </w:rPr>
        <w:t>anche all’azione della pubblica amministrazione</w:t>
      </w:r>
      <w:r w:rsidR="00340F2D">
        <w:rPr>
          <w:rStyle w:val="dj-testo-evidenziato"/>
          <w:rFonts w:ascii="Garamond" w:hAnsi="Garamond"/>
          <w:sz w:val="26"/>
          <w:szCs w:val="26"/>
          <w:lang w:val="it-IT"/>
        </w:rPr>
        <w:t xml:space="preserve">, </w:t>
      </w:r>
      <w:r w:rsidR="00E01B73">
        <w:rPr>
          <w:rStyle w:val="dj-testo-evidenziato"/>
          <w:rFonts w:ascii="Garamond" w:hAnsi="Garamond"/>
          <w:sz w:val="26"/>
          <w:szCs w:val="26"/>
          <w:lang w:val="it-IT"/>
        </w:rPr>
        <w:t xml:space="preserve">non </w:t>
      </w:r>
      <w:r w:rsidR="00340F2D">
        <w:rPr>
          <w:rStyle w:val="dj-testo-evidenziato"/>
          <w:rFonts w:ascii="Garamond" w:hAnsi="Garamond"/>
          <w:sz w:val="26"/>
          <w:szCs w:val="26"/>
          <w:lang w:val="it-IT"/>
        </w:rPr>
        <w:t xml:space="preserve">soltanto </w:t>
      </w:r>
      <w:r w:rsidR="0081275D">
        <w:rPr>
          <w:rStyle w:val="dj-testo-evidenziato"/>
          <w:rFonts w:ascii="Garamond" w:hAnsi="Garamond"/>
          <w:sz w:val="26"/>
          <w:szCs w:val="26"/>
          <w:lang w:val="it-IT"/>
        </w:rPr>
        <w:t xml:space="preserve">a quella </w:t>
      </w:r>
      <w:r w:rsidR="00E01B73">
        <w:rPr>
          <w:rStyle w:val="dj-testo-evidenziato"/>
          <w:rFonts w:ascii="Garamond" w:hAnsi="Garamond"/>
          <w:sz w:val="26"/>
          <w:szCs w:val="26"/>
          <w:lang w:val="it-IT"/>
        </w:rPr>
        <w:t xml:space="preserve">contrattuale, ma anche a quella di carattere autoritativo, </w:t>
      </w:r>
      <w:r w:rsidR="00F44A42">
        <w:rPr>
          <w:rStyle w:val="dj-testo-evidenziato"/>
          <w:rFonts w:ascii="Garamond" w:hAnsi="Garamond"/>
          <w:sz w:val="26"/>
          <w:szCs w:val="26"/>
          <w:lang w:val="it-IT"/>
        </w:rPr>
        <w:t xml:space="preserve">valorizzando sotto tale profilo </w:t>
      </w:r>
      <w:r w:rsidR="00E01B73">
        <w:rPr>
          <w:rStyle w:val="dj-testo-evidenziato"/>
          <w:rFonts w:ascii="Garamond" w:hAnsi="Garamond"/>
          <w:sz w:val="26"/>
          <w:szCs w:val="26"/>
          <w:lang w:val="it-IT"/>
        </w:rPr>
        <w:t>l</w:t>
      </w:r>
      <w:r w:rsidR="00F44A42">
        <w:rPr>
          <w:rStyle w:val="dj-testo-evidenziato"/>
          <w:rFonts w:ascii="Garamond" w:hAnsi="Garamond"/>
          <w:sz w:val="26"/>
          <w:szCs w:val="26"/>
          <w:lang w:val="it-IT"/>
        </w:rPr>
        <w:t>’</w:t>
      </w:r>
      <w:r w:rsidR="0081275D">
        <w:rPr>
          <w:rStyle w:val="dj-testo-evidenziato"/>
          <w:rFonts w:ascii="Garamond" w:hAnsi="Garamond"/>
          <w:sz w:val="26"/>
          <w:szCs w:val="26"/>
          <w:lang w:val="it-IT"/>
        </w:rPr>
        <w:t>”</w:t>
      </w:r>
      <w:r w:rsidR="00E01B73">
        <w:rPr>
          <w:rStyle w:val="dj-testo-evidenziato"/>
          <w:rFonts w:ascii="Garamond" w:hAnsi="Garamond"/>
          <w:sz w:val="26"/>
          <w:szCs w:val="26"/>
          <w:lang w:val="it-IT"/>
        </w:rPr>
        <w:t>affidamento incolpevole</w:t>
      </w:r>
      <w:r w:rsidR="0081275D">
        <w:rPr>
          <w:rStyle w:val="dj-testo-evidenziato"/>
          <w:rFonts w:ascii="Garamond" w:hAnsi="Garamond"/>
          <w:sz w:val="26"/>
          <w:szCs w:val="26"/>
          <w:lang w:val="it-IT"/>
        </w:rPr>
        <w:t>”</w:t>
      </w:r>
      <w:r w:rsidR="00E01B73">
        <w:rPr>
          <w:rStyle w:val="dj-testo-evidenziato"/>
          <w:rFonts w:ascii="Garamond" w:hAnsi="Garamond"/>
          <w:sz w:val="26"/>
          <w:szCs w:val="26"/>
          <w:lang w:val="it-IT"/>
        </w:rPr>
        <w:t xml:space="preserve"> dell’amministrato </w:t>
      </w:r>
      <w:r w:rsidR="00E01B73" w:rsidRPr="00292F46">
        <w:rPr>
          <w:rStyle w:val="Rimandonotaapidipagina"/>
          <w:rFonts w:ascii="Garamond" w:hAnsi="Garamond" w:cs="Segoe UI"/>
          <w:sz w:val="26"/>
          <w:szCs w:val="26"/>
          <w:lang w:val="it-IT"/>
        </w:rPr>
        <w:footnoteReference w:id="36"/>
      </w:r>
      <w:r w:rsidR="00E01B73">
        <w:rPr>
          <w:rStyle w:val="dj-testo-evidenziato"/>
          <w:rFonts w:ascii="Garamond" w:hAnsi="Garamond"/>
          <w:sz w:val="26"/>
          <w:szCs w:val="26"/>
          <w:lang w:val="it-IT"/>
        </w:rPr>
        <w:t>.</w:t>
      </w:r>
    </w:p>
    <w:p w14:paraId="2E4CC4E0" w14:textId="10AFB8A0" w:rsidR="00F44A42" w:rsidRPr="00043B4D" w:rsidRDefault="00340F2D" w:rsidP="00FC40E6">
      <w:pPr>
        <w:pStyle w:val="Standard"/>
        <w:spacing w:line="360" w:lineRule="auto"/>
        <w:ind w:left="567" w:right="567"/>
        <w:jc w:val="both"/>
        <w:rPr>
          <w:rFonts w:ascii="Garamond" w:hAnsi="Garamond" w:cs="Segoe UI"/>
          <w:sz w:val="26"/>
          <w:szCs w:val="26"/>
          <w:lang w:val="it-IT"/>
        </w:rPr>
      </w:pPr>
      <w:r>
        <w:rPr>
          <w:rFonts w:ascii="Garamond" w:hAnsi="Garamond" w:cs="Segoe UI"/>
          <w:sz w:val="26"/>
          <w:szCs w:val="26"/>
          <w:lang w:val="it-IT"/>
        </w:rPr>
        <w:tab/>
        <w:t>Può, pertanto, ragionevolmente affe</w:t>
      </w:r>
      <w:r w:rsidRPr="00FC40E6">
        <w:rPr>
          <w:rFonts w:ascii="Garamond" w:hAnsi="Garamond" w:cs="Segoe UI"/>
          <w:sz w:val="26"/>
          <w:szCs w:val="26"/>
          <w:lang w:val="it-IT"/>
        </w:rPr>
        <w:t>rmarsi che</w:t>
      </w:r>
      <w:r w:rsidR="00FC40E6" w:rsidRPr="00FC40E6">
        <w:rPr>
          <w:rFonts w:ascii="Garamond" w:hAnsi="Garamond" w:cs="Segoe UI"/>
          <w:sz w:val="26"/>
          <w:szCs w:val="26"/>
          <w:lang w:val="it-IT"/>
        </w:rPr>
        <w:t xml:space="preserve">, </w:t>
      </w:r>
      <w:r w:rsidR="00FC40E6">
        <w:rPr>
          <w:rFonts w:ascii="Garamond" w:hAnsi="Garamond" w:cs="Segoe UI"/>
          <w:color w:val="000000"/>
          <w:sz w:val="26"/>
          <w:szCs w:val="26"/>
          <w:lang w:val="it-IT"/>
        </w:rPr>
        <w:t>a</w:t>
      </w:r>
      <w:r w:rsidR="00FC40E6" w:rsidRPr="00FC40E6">
        <w:rPr>
          <w:rFonts w:ascii="Garamond" w:hAnsi="Garamond" w:cs="Segoe UI"/>
          <w:color w:val="000000"/>
          <w:sz w:val="26"/>
          <w:szCs w:val="26"/>
          <w:lang w:val="it-IT"/>
        </w:rPr>
        <w:t>l di là dei casi in cui esistono specifiche disposizioni di legge (di carattere generale o settoriale) prevedenti il diritto del cittadino di</w:t>
      </w:r>
      <w:r w:rsidR="00764E45">
        <w:rPr>
          <w:rFonts w:ascii="Garamond" w:hAnsi="Garamond" w:cs="Segoe UI"/>
          <w:color w:val="000000"/>
          <w:sz w:val="26"/>
          <w:szCs w:val="26"/>
          <w:lang w:val="it-IT"/>
        </w:rPr>
        <w:t xml:space="preserve"> ottenere </w:t>
      </w:r>
      <w:r w:rsidR="00F44A42">
        <w:rPr>
          <w:rFonts w:ascii="Garamond" w:hAnsi="Garamond" w:cs="Segoe UI"/>
          <w:color w:val="000000"/>
          <w:sz w:val="26"/>
          <w:szCs w:val="26"/>
          <w:lang w:val="it-IT"/>
        </w:rPr>
        <w:t xml:space="preserve">determinate notizie ed </w:t>
      </w:r>
      <w:r w:rsidR="00FC40E6" w:rsidRPr="00FC40E6">
        <w:rPr>
          <w:rFonts w:ascii="Garamond" w:hAnsi="Garamond" w:cs="Segoe UI"/>
          <w:color w:val="000000"/>
          <w:sz w:val="26"/>
          <w:szCs w:val="26"/>
          <w:lang w:val="it-IT"/>
        </w:rPr>
        <w:t xml:space="preserve">informazioni dalla P.A., </w:t>
      </w:r>
      <w:r w:rsidR="00764E45">
        <w:rPr>
          <w:rFonts w:ascii="Garamond" w:hAnsi="Garamond" w:cs="Segoe UI"/>
          <w:color w:val="000000"/>
          <w:sz w:val="26"/>
          <w:szCs w:val="26"/>
          <w:lang w:val="it-IT"/>
        </w:rPr>
        <w:t xml:space="preserve">un </w:t>
      </w:r>
      <w:r w:rsidR="00FC40E6" w:rsidRPr="00FC40E6">
        <w:rPr>
          <w:rFonts w:ascii="Garamond" w:hAnsi="Garamond" w:cs="Segoe UI"/>
          <w:color w:val="000000"/>
          <w:sz w:val="26"/>
          <w:szCs w:val="26"/>
          <w:lang w:val="it-IT"/>
        </w:rPr>
        <w:t xml:space="preserve">diritto </w:t>
      </w:r>
      <w:r w:rsidR="00764E45">
        <w:rPr>
          <w:rFonts w:ascii="Garamond" w:hAnsi="Garamond" w:cs="Segoe UI"/>
          <w:color w:val="000000"/>
          <w:sz w:val="26"/>
          <w:szCs w:val="26"/>
          <w:lang w:val="it-IT"/>
        </w:rPr>
        <w:t xml:space="preserve">di conoscere in capo allo stesso </w:t>
      </w:r>
      <w:r w:rsidR="00FC40E6">
        <w:rPr>
          <w:rFonts w:ascii="Garamond" w:hAnsi="Garamond" w:cs="Segoe UI"/>
          <w:color w:val="000000"/>
          <w:sz w:val="26"/>
          <w:szCs w:val="26"/>
          <w:lang w:val="it-IT"/>
        </w:rPr>
        <w:t xml:space="preserve">sussiste, ai sensi dell’art. 1, comma 2-bis, della legge n. 241 del 1990, ogniqualvolta </w:t>
      </w:r>
      <w:r w:rsidR="00FC40E6" w:rsidRPr="00FC40E6">
        <w:rPr>
          <w:rFonts w:ascii="Garamond" w:hAnsi="Garamond" w:cs="Segoe UI"/>
          <w:sz w:val="26"/>
          <w:szCs w:val="26"/>
          <w:lang w:val="it-IT"/>
        </w:rPr>
        <w:t>egli possa vantare</w:t>
      </w:r>
      <w:r w:rsidR="00FC40E6">
        <w:rPr>
          <w:rFonts w:ascii="Garamond" w:hAnsi="Garamond" w:cs="Segoe UI"/>
          <w:sz w:val="26"/>
          <w:szCs w:val="26"/>
          <w:lang w:val="it-IT"/>
        </w:rPr>
        <w:t xml:space="preserve">, per </w:t>
      </w:r>
      <w:r w:rsidR="00FC40E6" w:rsidRPr="00FC40E6">
        <w:rPr>
          <w:rFonts w:ascii="Garamond" w:hAnsi="Garamond" w:cs="Segoe UI"/>
          <w:sz w:val="26"/>
          <w:szCs w:val="26"/>
          <w:lang w:val="it-IT"/>
        </w:rPr>
        <w:t xml:space="preserve">“ragioni di giustizia e di equità” una </w:t>
      </w:r>
      <w:r w:rsidR="009F1003">
        <w:rPr>
          <w:rFonts w:ascii="Garamond" w:hAnsi="Garamond" w:cs="Segoe UI"/>
          <w:sz w:val="26"/>
          <w:szCs w:val="26"/>
          <w:lang w:val="it-IT"/>
        </w:rPr>
        <w:t>“</w:t>
      </w:r>
      <w:r w:rsidR="00FC40E6" w:rsidRPr="00FC40E6">
        <w:rPr>
          <w:rFonts w:ascii="Garamond" w:hAnsi="Garamond" w:cs="Segoe UI"/>
          <w:sz w:val="26"/>
          <w:szCs w:val="26"/>
          <w:lang w:val="it-IT"/>
        </w:rPr>
        <w:t>legittima aspettativa</w:t>
      </w:r>
      <w:r w:rsidR="009F1003">
        <w:rPr>
          <w:rFonts w:ascii="Garamond" w:hAnsi="Garamond" w:cs="Segoe UI"/>
          <w:sz w:val="26"/>
          <w:szCs w:val="26"/>
          <w:lang w:val="it-IT"/>
        </w:rPr>
        <w:t>”</w:t>
      </w:r>
      <w:r w:rsidR="00FC40E6" w:rsidRPr="00FC40E6">
        <w:rPr>
          <w:rFonts w:ascii="Garamond" w:hAnsi="Garamond" w:cs="Segoe UI"/>
          <w:sz w:val="26"/>
          <w:szCs w:val="26"/>
          <w:lang w:val="it-IT"/>
        </w:rPr>
        <w:t xml:space="preserve"> </w:t>
      </w:r>
      <w:r w:rsidR="00F44A42">
        <w:rPr>
          <w:rFonts w:ascii="Garamond" w:hAnsi="Garamond" w:cs="Segoe UI"/>
          <w:sz w:val="26"/>
          <w:szCs w:val="26"/>
          <w:lang w:val="it-IT"/>
        </w:rPr>
        <w:t>in tal senso</w:t>
      </w:r>
      <w:r w:rsidR="00043B4D">
        <w:rPr>
          <w:rFonts w:ascii="Garamond" w:hAnsi="Garamond" w:cs="Segoe UI"/>
          <w:sz w:val="26"/>
          <w:szCs w:val="26"/>
          <w:lang w:val="it-IT"/>
        </w:rPr>
        <w:t xml:space="preserve">, da valutare sulla base dei principi </w:t>
      </w:r>
      <w:r w:rsidR="00043B4D" w:rsidRPr="00043B4D">
        <w:rPr>
          <w:rFonts w:ascii="Garamond" w:hAnsi="Garamond" w:cs="Segoe UI"/>
          <w:sz w:val="26"/>
          <w:szCs w:val="26"/>
          <w:lang w:val="it-IT"/>
        </w:rPr>
        <w:t>di trasparenza, correttezza e buona fede.</w:t>
      </w:r>
    </w:p>
    <w:p w14:paraId="0D9450B6" w14:textId="5C12C48B" w:rsidR="00812638" w:rsidRDefault="00043B4D" w:rsidP="00FC40E6">
      <w:pPr>
        <w:pStyle w:val="Standard"/>
        <w:spacing w:line="360" w:lineRule="auto"/>
        <w:ind w:left="567" w:right="567"/>
        <w:jc w:val="both"/>
        <w:rPr>
          <w:rFonts w:ascii="Garamond" w:hAnsi="Garamond" w:cs="Segoe UI"/>
          <w:sz w:val="26"/>
          <w:szCs w:val="26"/>
          <w:lang w:val="it-IT"/>
        </w:rPr>
      </w:pPr>
      <w:r>
        <w:rPr>
          <w:rFonts w:ascii="Garamond" w:hAnsi="Garamond" w:cs="Segoe UI"/>
          <w:sz w:val="26"/>
          <w:szCs w:val="26"/>
          <w:lang w:val="it-IT"/>
        </w:rPr>
        <w:tab/>
        <w:t>E’, allora, da chiedersi se, al di là de</w:t>
      </w:r>
      <w:r w:rsidR="00812638">
        <w:rPr>
          <w:rFonts w:ascii="Garamond" w:hAnsi="Garamond" w:cs="Segoe UI"/>
          <w:sz w:val="26"/>
          <w:szCs w:val="26"/>
          <w:lang w:val="it-IT"/>
        </w:rPr>
        <w:t xml:space="preserve">gli obblighi informativi gravanti sul medico nell’ambito della “relazione di cura” con il paziente (art. 1, comma 2, legge n. 219 </w:t>
      </w:r>
      <w:r w:rsidR="00812638" w:rsidRPr="00812638">
        <w:rPr>
          <w:rFonts w:ascii="Garamond" w:hAnsi="Garamond" w:cs="Segoe UI"/>
          <w:sz w:val="26"/>
          <w:szCs w:val="26"/>
          <w:lang w:val="it-IT"/>
        </w:rPr>
        <w:t>del 2017)</w:t>
      </w:r>
      <w:r w:rsidR="00812638" w:rsidRPr="00812638">
        <w:rPr>
          <w:rFonts w:ascii="Garamond" w:hAnsi="Garamond"/>
          <w:sz w:val="26"/>
          <w:szCs w:val="26"/>
          <w:lang w:val="it-IT"/>
        </w:rPr>
        <w:t xml:space="preserve"> ed al di là delle tipiche prerogative </w:t>
      </w:r>
      <w:r w:rsidR="00812638">
        <w:rPr>
          <w:rFonts w:ascii="Garamond" w:hAnsi="Garamond"/>
          <w:sz w:val="26"/>
          <w:szCs w:val="26"/>
          <w:lang w:val="it-IT"/>
        </w:rPr>
        <w:t>de</w:t>
      </w:r>
      <w:r w:rsidR="00812638" w:rsidRPr="00812638">
        <w:rPr>
          <w:rFonts w:ascii="Garamond" w:hAnsi="Garamond"/>
          <w:sz w:val="26"/>
          <w:szCs w:val="26"/>
          <w:lang w:val="it-IT"/>
        </w:rPr>
        <w:t>l diritto di accesso documentale ex l. n. 241 del 1990 e di accesso civico (semplice e generalizzato) ex d.lgs. n. 33 del 2013</w:t>
      </w:r>
      <w:r w:rsidR="00812638">
        <w:rPr>
          <w:rFonts w:ascii="Garamond" w:hAnsi="Garamond"/>
          <w:sz w:val="26"/>
          <w:szCs w:val="26"/>
          <w:lang w:val="it-IT"/>
        </w:rPr>
        <w:t xml:space="preserve">, </w:t>
      </w:r>
      <w:r w:rsidR="00812638">
        <w:rPr>
          <w:rFonts w:ascii="Garamond" w:hAnsi="Garamond" w:cs="Segoe UI"/>
          <w:sz w:val="26"/>
          <w:szCs w:val="26"/>
          <w:lang w:val="it-IT"/>
        </w:rPr>
        <w:t>sia configurabile un “diritto all’informazione” in materia sanitaria</w:t>
      </w:r>
      <w:r w:rsidR="00E07F36">
        <w:rPr>
          <w:rFonts w:ascii="Garamond" w:hAnsi="Garamond" w:cs="Segoe UI"/>
          <w:sz w:val="26"/>
          <w:szCs w:val="26"/>
          <w:lang w:val="it-IT"/>
        </w:rPr>
        <w:t xml:space="preserve"> ed in che limiti.</w:t>
      </w:r>
    </w:p>
    <w:p w14:paraId="5E8E59D1" w14:textId="441B0901" w:rsidR="00812638" w:rsidRDefault="00812638" w:rsidP="00FC40E6">
      <w:pPr>
        <w:pStyle w:val="Standard"/>
        <w:spacing w:line="360" w:lineRule="auto"/>
        <w:ind w:left="567" w:right="567"/>
        <w:jc w:val="both"/>
        <w:rPr>
          <w:rFonts w:ascii="Garamond" w:hAnsi="Garamond" w:cs="Segoe UI"/>
          <w:sz w:val="26"/>
          <w:szCs w:val="26"/>
          <w:lang w:val="it-IT"/>
        </w:rPr>
      </w:pPr>
      <w:r>
        <w:rPr>
          <w:rFonts w:ascii="Garamond" w:hAnsi="Garamond" w:cs="Segoe UI"/>
          <w:sz w:val="26"/>
          <w:szCs w:val="26"/>
          <w:lang w:val="it-IT"/>
        </w:rPr>
        <w:tab/>
      </w:r>
      <w:r w:rsidR="00E07F36">
        <w:rPr>
          <w:rFonts w:ascii="Garamond" w:hAnsi="Garamond" w:cs="Segoe UI"/>
          <w:sz w:val="26"/>
          <w:szCs w:val="26"/>
          <w:lang w:val="it-IT"/>
        </w:rPr>
        <w:t xml:space="preserve">Si ritiene che un tale diritto sussista quantomeno in relazione alle </w:t>
      </w:r>
      <w:r>
        <w:rPr>
          <w:rFonts w:ascii="Garamond" w:hAnsi="Garamond" w:cs="Segoe UI"/>
          <w:sz w:val="26"/>
          <w:szCs w:val="26"/>
          <w:lang w:val="it-IT"/>
        </w:rPr>
        <w:t>informazioni riguardanti i “trattamenti sanitari”</w:t>
      </w:r>
      <w:r w:rsidR="00E07F36">
        <w:rPr>
          <w:rFonts w:ascii="Garamond" w:hAnsi="Garamond" w:cs="Segoe UI"/>
          <w:sz w:val="26"/>
          <w:szCs w:val="26"/>
          <w:lang w:val="it-IT"/>
        </w:rPr>
        <w:t xml:space="preserve"> imposti o raccomandati alla popolazione dalle Autorità sanitarie (si pensi alle cosiddette “campagne vaccinali”) </w:t>
      </w:r>
    </w:p>
    <w:p w14:paraId="3F784585" w14:textId="7FA0BFD6" w:rsidR="00812638" w:rsidRDefault="00812638" w:rsidP="00FC40E6">
      <w:pPr>
        <w:pStyle w:val="Standard"/>
        <w:spacing w:line="360" w:lineRule="auto"/>
        <w:ind w:left="567" w:right="567"/>
        <w:jc w:val="both"/>
        <w:rPr>
          <w:rFonts w:ascii="Garamond" w:hAnsi="Garamond" w:cs="Segoe UI"/>
          <w:sz w:val="26"/>
          <w:szCs w:val="26"/>
          <w:lang w:val="it-IT"/>
        </w:rPr>
      </w:pPr>
      <w:r>
        <w:rPr>
          <w:rFonts w:ascii="Garamond" w:hAnsi="Garamond" w:cs="Segoe UI"/>
          <w:sz w:val="26"/>
          <w:szCs w:val="26"/>
          <w:lang w:val="it-IT"/>
        </w:rPr>
        <w:t xml:space="preserve"> </w:t>
      </w:r>
      <w:r w:rsidR="00E07F36">
        <w:rPr>
          <w:rFonts w:ascii="Garamond" w:hAnsi="Garamond" w:cs="Segoe UI"/>
          <w:sz w:val="26"/>
          <w:szCs w:val="26"/>
          <w:lang w:val="it-IT"/>
        </w:rPr>
        <w:tab/>
        <w:t xml:space="preserve">In questi casi di “sanità amministrata” a livello centrale il “rapporto” con l’assistito va al di là della relazione personale e fiduciaria con il medico (il quale è spesso vincolato da “linee guida” ministeriali e </w:t>
      </w:r>
      <w:r w:rsidR="00281715">
        <w:rPr>
          <w:rFonts w:ascii="Garamond" w:hAnsi="Garamond" w:cs="Segoe UI"/>
          <w:sz w:val="26"/>
          <w:szCs w:val="26"/>
          <w:lang w:val="it-IT"/>
        </w:rPr>
        <w:t>non ha neppure conoscenza diretta di tutte le informazioni necessarie a soddisfare le esigenze conoscitive del paziente) e si estende all’Autorità sanitaria dalla quale l’obbligo o la raccomandazione promana, di tal che è nei confronti di quest’ultima che può essere esercitato il “diritto all’informazione” sul trattamento sanitario.</w:t>
      </w:r>
    </w:p>
    <w:p w14:paraId="2C7031A3" w14:textId="1604FED5" w:rsidR="00281715" w:rsidRDefault="00281715" w:rsidP="00FC40E6">
      <w:pPr>
        <w:pStyle w:val="Standard"/>
        <w:spacing w:line="360" w:lineRule="auto"/>
        <w:ind w:left="567" w:right="567"/>
        <w:jc w:val="both"/>
        <w:rPr>
          <w:rFonts w:ascii="Garamond" w:hAnsi="Garamond" w:cs="Segoe UI"/>
          <w:sz w:val="26"/>
          <w:szCs w:val="26"/>
          <w:lang w:val="it-IT"/>
        </w:rPr>
      </w:pPr>
      <w:r>
        <w:rPr>
          <w:rFonts w:ascii="Garamond" w:hAnsi="Garamond" w:cs="Segoe UI"/>
          <w:sz w:val="26"/>
          <w:szCs w:val="26"/>
          <w:lang w:val="it-IT"/>
        </w:rPr>
        <w:tab/>
        <w:t>A favore di una “legittima aspettativa” (rectius: diritto) in tal senso militano diverse considerazioni.</w:t>
      </w:r>
    </w:p>
    <w:p w14:paraId="4CF1C563" w14:textId="61587BBF" w:rsidR="00764E45" w:rsidRDefault="00281715" w:rsidP="009F1003">
      <w:pPr>
        <w:pStyle w:val="Standard"/>
        <w:spacing w:line="360" w:lineRule="auto"/>
        <w:ind w:left="567" w:right="567"/>
        <w:jc w:val="both"/>
        <w:rPr>
          <w:rFonts w:ascii="Garamond" w:hAnsi="Garamond" w:cs="Calibri"/>
          <w:sz w:val="26"/>
          <w:szCs w:val="26"/>
          <w:lang w:val="it-IT"/>
        </w:rPr>
      </w:pPr>
      <w:r>
        <w:rPr>
          <w:rFonts w:ascii="Garamond" w:hAnsi="Garamond" w:cs="Segoe UI"/>
          <w:sz w:val="26"/>
          <w:szCs w:val="26"/>
          <w:lang w:val="it-IT"/>
        </w:rPr>
        <w:tab/>
        <w:t xml:space="preserve">In primo luogo, </w:t>
      </w:r>
      <w:r w:rsidR="009F1003">
        <w:rPr>
          <w:rFonts w:ascii="Garamond" w:hAnsi="Garamond" w:cs="Segoe UI"/>
          <w:color w:val="000000"/>
          <w:sz w:val="26"/>
          <w:szCs w:val="26"/>
          <w:lang w:val="it-IT"/>
        </w:rPr>
        <w:t xml:space="preserve">la </w:t>
      </w:r>
      <w:r w:rsidR="00764E45">
        <w:rPr>
          <w:rFonts w:ascii="Garamond" w:hAnsi="Garamond" w:cs="Segoe UI"/>
          <w:color w:val="000000"/>
          <w:sz w:val="26"/>
          <w:szCs w:val="26"/>
          <w:lang w:val="it-IT"/>
        </w:rPr>
        <w:t>rilevanza degli interessi e dei diritti incisi dall’azione amministrativa di cui si chiede di essere notiziati</w:t>
      </w:r>
      <w:r>
        <w:rPr>
          <w:rFonts w:ascii="Garamond" w:hAnsi="Garamond" w:cs="Segoe UI"/>
          <w:color w:val="000000"/>
          <w:sz w:val="26"/>
          <w:szCs w:val="26"/>
          <w:lang w:val="it-IT"/>
        </w:rPr>
        <w:t xml:space="preserve">: è evidente, invero, che </w:t>
      </w:r>
      <w:r w:rsidR="009F1003" w:rsidRPr="009F1003">
        <w:rPr>
          <w:rFonts w:ascii="Garamond" w:hAnsi="Garamond" w:cs="Segoe UI"/>
          <w:color w:val="000000"/>
          <w:sz w:val="26"/>
          <w:szCs w:val="26"/>
          <w:lang w:val="it-IT"/>
        </w:rPr>
        <w:t xml:space="preserve">le esigenze di trasparenza dell’attività </w:t>
      </w:r>
      <w:r w:rsidR="009F1003">
        <w:rPr>
          <w:rFonts w:ascii="Garamond" w:hAnsi="Garamond" w:cs="Segoe UI"/>
          <w:color w:val="000000"/>
          <w:sz w:val="26"/>
          <w:szCs w:val="26"/>
          <w:lang w:val="it-IT"/>
        </w:rPr>
        <w:t xml:space="preserve">sanitaria </w:t>
      </w:r>
      <w:r>
        <w:rPr>
          <w:rFonts w:ascii="Garamond" w:hAnsi="Garamond" w:cs="Segoe UI"/>
          <w:color w:val="000000"/>
          <w:sz w:val="26"/>
          <w:szCs w:val="26"/>
          <w:lang w:val="it-IT"/>
        </w:rPr>
        <w:t xml:space="preserve">in merito alla </w:t>
      </w:r>
      <w:r w:rsidR="00764E45" w:rsidRPr="009F1003">
        <w:rPr>
          <w:rFonts w:ascii="Garamond" w:hAnsi="Garamond" w:cs="Calibri"/>
          <w:sz w:val="26"/>
          <w:szCs w:val="26"/>
          <w:lang w:val="it-IT"/>
        </w:rPr>
        <w:t xml:space="preserve">erogazione </w:t>
      </w:r>
      <w:r w:rsidR="009F1003">
        <w:rPr>
          <w:rFonts w:ascii="Garamond" w:hAnsi="Garamond" w:cs="Calibri"/>
          <w:sz w:val="26"/>
          <w:szCs w:val="26"/>
          <w:lang w:val="it-IT"/>
        </w:rPr>
        <w:t>d</w:t>
      </w:r>
      <w:r w:rsidR="009F1003" w:rsidRPr="009F1003">
        <w:rPr>
          <w:rFonts w:ascii="Garamond" w:hAnsi="Garamond" w:cs="Calibri"/>
          <w:sz w:val="26"/>
          <w:szCs w:val="26"/>
          <w:lang w:val="it-IT"/>
        </w:rPr>
        <w:t>e</w:t>
      </w:r>
      <w:r w:rsidR="009F1003">
        <w:rPr>
          <w:rFonts w:ascii="Garamond" w:hAnsi="Garamond" w:cs="Calibri"/>
          <w:sz w:val="26"/>
          <w:szCs w:val="26"/>
          <w:lang w:val="it-IT"/>
        </w:rPr>
        <w:t>i</w:t>
      </w:r>
      <w:r w:rsidR="009F1003" w:rsidRPr="009F1003">
        <w:rPr>
          <w:rFonts w:ascii="Garamond" w:hAnsi="Garamond" w:cs="Calibri"/>
          <w:sz w:val="26"/>
          <w:szCs w:val="26"/>
          <w:lang w:val="it-IT"/>
        </w:rPr>
        <w:t xml:space="preserve"> </w:t>
      </w:r>
      <w:r w:rsidR="009F1003">
        <w:rPr>
          <w:rFonts w:ascii="Garamond" w:hAnsi="Garamond" w:cs="Calibri"/>
          <w:sz w:val="26"/>
          <w:szCs w:val="26"/>
          <w:lang w:val="it-IT"/>
        </w:rPr>
        <w:t>“trattamenti sanitari</w:t>
      </w:r>
      <w:r w:rsidR="00764E45" w:rsidRPr="009F1003">
        <w:rPr>
          <w:rFonts w:ascii="Garamond" w:hAnsi="Garamond" w:cs="Calibri"/>
          <w:sz w:val="26"/>
          <w:szCs w:val="26"/>
          <w:lang w:val="it-IT"/>
        </w:rPr>
        <w:t>”</w:t>
      </w:r>
      <w:r>
        <w:rPr>
          <w:rFonts w:ascii="Garamond" w:hAnsi="Garamond" w:cs="Calibri"/>
          <w:sz w:val="26"/>
          <w:szCs w:val="26"/>
          <w:lang w:val="it-IT"/>
        </w:rPr>
        <w:t xml:space="preserve"> sono massime ed </w:t>
      </w:r>
      <w:r w:rsidR="00764E45" w:rsidRPr="009F1003">
        <w:rPr>
          <w:rFonts w:ascii="Garamond" w:hAnsi="Garamond" w:cs="Calibri"/>
          <w:sz w:val="26"/>
          <w:szCs w:val="26"/>
          <w:lang w:val="it-IT"/>
        </w:rPr>
        <w:t>il “diritto di conoscere“ del</w:t>
      </w:r>
      <w:r>
        <w:rPr>
          <w:rFonts w:ascii="Garamond" w:hAnsi="Garamond" w:cs="Calibri"/>
          <w:sz w:val="26"/>
          <w:szCs w:val="26"/>
          <w:lang w:val="it-IT"/>
        </w:rPr>
        <w:t>l’assistito</w:t>
      </w:r>
      <w:r w:rsidR="00764E45" w:rsidRPr="009F1003">
        <w:rPr>
          <w:rFonts w:ascii="Garamond" w:hAnsi="Garamond" w:cs="Calibri"/>
          <w:sz w:val="26"/>
          <w:szCs w:val="26"/>
          <w:lang w:val="it-IT"/>
        </w:rPr>
        <w:t xml:space="preserve"> trova un fondamento giuridico nelle libertà e nei diritti fondamentali dell’individuo e segnatamente nella “libertà personale”, nella “dignità” e nella “autodeterminazione” della persona, </w:t>
      </w:r>
      <w:r w:rsidR="009F1003">
        <w:rPr>
          <w:rFonts w:ascii="Garamond" w:hAnsi="Garamond" w:cs="Calibri"/>
          <w:sz w:val="26"/>
          <w:szCs w:val="26"/>
          <w:lang w:val="it-IT"/>
        </w:rPr>
        <w:t xml:space="preserve">oltre che </w:t>
      </w:r>
      <w:r w:rsidR="00764E45" w:rsidRPr="009F1003">
        <w:rPr>
          <w:rFonts w:ascii="Garamond" w:hAnsi="Garamond" w:cs="Calibri"/>
          <w:sz w:val="26"/>
          <w:szCs w:val="26"/>
          <w:lang w:val="it-IT"/>
        </w:rPr>
        <w:t>nel “dirit</w:t>
      </w:r>
      <w:r w:rsidR="009F1003" w:rsidRPr="009F1003">
        <w:rPr>
          <w:rFonts w:ascii="Garamond" w:hAnsi="Garamond" w:cs="Calibri"/>
          <w:sz w:val="26"/>
          <w:szCs w:val="26"/>
          <w:lang w:val="it-IT"/>
        </w:rPr>
        <w:t xml:space="preserve">to alla vita” ed “alla salute” ex </w:t>
      </w:r>
      <w:r w:rsidR="00764E45" w:rsidRPr="009F1003">
        <w:rPr>
          <w:rFonts w:ascii="Garamond" w:hAnsi="Garamond" w:cs="Calibri"/>
          <w:sz w:val="26"/>
          <w:szCs w:val="26"/>
          <w:lang w:val="it-IT"/>
        </w:rPr>
        <w:t>artt. 2, 13 e 32 della Costituzione e artt. 1, 2 e 3 della Carta dei diritti fondamentali dell’Unione europea.</w:t>
      </w:r>
    </w:p>
    <w:p w14:paraId="4575B806" w14:textId="523D03B9" w:rsidR="00281715" w:rsidRDefault="00281715" w:rsidP="00281715">
      <w:pPr>
        <w:spacing w:line="360" w:lineRule="auto"/>
        <w:ind w:left="567" w:right="567" w:firstLine="141"/>
        <w:jc w:val="both"/>
        <w:rPr>
          <w:rFonts w:ascii="Garamond" w:hAnsi="Garamond"/>
          <w:sz w:val="26"/>
          <w:szCs w:val="26"/>
        </w:rPr>
      </w:pPr>
      <w:r>
        <w:rPr>
          <w:rFonts w:ascii="Garamond" w:hAnsi="Garamond" w:cs="Calibri"/>
          <w:sz w:val="26"/>
          <w:szCs w:val="26"/>
        </w:rPr>
        <w:t xml:space="preserve">In secondo luogo, anche sul piano letterale, è di rilievo il fatto che l’art. 1, comma 3, della legge n. 219 del 2017, nello stabilire che </w:t>
      </w:r>
      <w:r w:rsidRPr="009E64B5">
        <w:rPr>
          <w:rFonts w:ascii="Garamond" w:hAnsi="Garamond"/>
          <w:i/>
          <w:sz w:val="26"/>
          <w:szCs w:val="26"/>
        </w:rPr>
        <w:t>“Ogni persona ha il diritto di conoscere le proprie condizioni di salute e di essere informata in modo completo, aggiornato e a lei comprensibile riguardo alla diagnosi, alla prognosi, ai benefici e ai rischi degli accertamenti diagnostici e dei trattamenti sanitari indicati, nonché' riguardo alle possibili alternative e alle conseguenze dell'eventuale rifiuto del trattamento sanitario e dell'accertamento diagnostico o della rinuncia ai medesimi.</w:t>
      </w:r>
      <w:r>
        <w:rPr>
          <w:rFonts w:ascii="Garamond" w:hAnsi="Garamond"/>
          <w:i/>
          <w:sz w:val="26"/>
          <w:szCs w:val="26"/>
        </w:rPr>
        <w:t>”</w:t>
      </w:r>
      <w:r>
        <w:rPr>
          <w:rFonts w:ascii="Garamond" w:hAnsi="Garamond"/>
          <w:sz w:val="26"/>
          <w:szCs w:val="26"/>
        </w:rPr>
        <w:t xml:space="preserve">, non prevede come </w:t>
      </w:r>
      <w:r w:rsidR="00FB7900">
        <w:rPr>
          <w:rFonts w:ascii="Garamond" w:hAnsi="Garamond"/>
          <w:sz w:val="26"/>
          <w:szCs w:val="26"/>
        </w:rPr>
        <w:t xml:space="preserve">unico ed esclusivo </w:t>
      </w:r>
      <w:r>
        <w:rPr>
          <w:rFonts w:ascii="Garamond" w:hAnsi="Garamond"/>
          <w:sz w:val="26"/>
          <w:szCs w:val="26"/>
        </w:rPr>
        <w:t>interlocutore il medico</w:t>
      </w:r>
      <w:r w:rsidR="00FB7900">
        <w:rPr>
          <w:rFonts w:ascii="Garamond" w:hAnsi="Garamond"/>
          <w:sz w:val="26"/>
          <w:szCs w:val="26"/>
        </w:rPr>
        <w:t xml:space="preserve"> (che pure è tenuto all’obbligo informativo ai sensi del comma 2), di tal che ciò autorizza a ritenere che detto “diritto di conoscere” possa essere esercitato anche nei confronti di tutte le Amministrazioni che detengono dette informazioni, perché formate o trattate nello svolgimento dei loro compiti istituzionali.</w:t>
      </w:r>
    </w:p>
    <w:p w14:paraId="2E8C1057" w14:textId="1C472927" w:rsidR="00281715" w:rsidRPr="009F1003" w:rsidRDefault="00FB7900" w:rsidP="00FB7900">
      <w:pPr>
        <w:spacing w:line="360" w:lineRule="auto"/>
        <w:ind w:left="567" w:right="567" w:firstLine="141"/>
        <w:jc w:val="both"/>
        <w:rPr>
          <w:rFonts w:ascii="Garamond" w:hAnsi="Garamond" w:cs="Calibri"/>
          <w:sz w:val="26"/>
          <w:szCs w:val="26"/>
        </w:rPr>
      </w:pPr>
      <w:r>
        <w:rPr>
          <w:rFonts w:ascii="Garamond" w:hAnsi="Garamond" w:cs="Calibri"/>
          <w:sz w:val="26"/>
          <w:szCs w:val="26"/>
        </w:rPr>
        <w:t>Del resto, una conferma in tal senso viene anche dal comma 9 dell’art. 1 della legge n. 219 del 2017, che pone la piena e corretta attuazione del principio del “consenso informato” a carico di ogni struttura sanitaria pubblica o privata.</w:t>
      </w:r>
    </w:p>
    <w:p w14:paraId="3B36F861" w14:textId="1CA08E18" w:rsidR="009F1003" w:rsidRDefault="00425CCD" w:rsidP="00764E45">
      <w:pPr>
        <w:spacing w:line="360" w:lineRule="auto"/>
        <w:ind w:left="567" w:right="567" w:firstLine="141"/>
        <w:jc w:val="both"/>
        <w:rPr>
          <w:rFonts w:ascii="Garamond" w:hAnsi="Garamond"/>
          <w:sz w:val="26"/>
          <w:szCs w:val="26"/>
        </w:rPr>
      </w:pPr>
      <w:r>
        <w:rPr>
          <w:rFonts w:ascii="Garamond" w:hAnsi="Garamond"/>
          <w:sz w:val="26"/>
          <w:szCs w:val="26"/>
        </w:rPr>
        <w:t xml:space="preserve">Ciò significa, in concreto, che, </w:t>
      </w:r>
      <w:r w:rsidR="00FB7900">
        <w:rPr>
          <w:rFonts w:ascii="Garamond" w:hAnsi="Garamond" w:cs="Segoe UI"/>
          <w:sz w:val="26"/>
          <w:szCs w:val="26"/>
        </w:rPr>
        <w:t xml:space="preserve">al di là del diritto all’informazione esigibile dal medico (art. 1, comma 2, legge n. 219 </w:t>
      </w:r>
      <w:r w:rsidR="00FB7900" w:rsidRPr="00812638">
        <w:rPr>
          <w:rFonts w:ascii="Garamond" w:hAnsi="Garamond" w:cs="Segoe UI"/>
          <w:sz w:val="26"/>
          <w:szCs w:val="26"/>
        </w:rPr>
        <w:t>del 2017)</w:t>
      </w:r>
      <w:r w:rsidR="00FB7900" w:rsidRPr="00812638">
        <w:rPr>
          <w:rFonts w:ascii="Garamond" w:hAnsi="Garamond"/>
          <w:sz w:val="26"/>
          <w:szCs w:val="26"/>
        </w:rPr>
        <w:t xml:space="preserve"> ed al di là delle tipiche prerogative </w:t>
      </w:r>
      <w:r w:rsidR="00FB7900">
        <w:rPr>
          <w:rFonts w:ascii="Garamond" w:hAnsi="Garamond"/>
          <w:sz w:val="26"/>
          <w:szCs w:val="26"/>
        </w:rPr>
        <w:t>de</w:t>
      </w:r>
      <w:r w:rsidR="00FB7900" w:rsidRPr="00812638">
        <w:rPr>
          <w:rFonts w:ascii="Garamond" w:hAnsi="Garamond"/>
          <w:sz w:val="26"/>
          <w:szCs w:val="26"/>
        </w:rPr>
        <w:t>l diritto di accesso documentale ex l. n. 241 del 1990 e di accesso civico (semplice e generalizzato) ex d.lgs. n. 33 del 2013</w:t>
      </w:r>
      <w:r w:rsidR="00FB7900">
        <w:rPr>
          <w:rFonts w:ascii="Garamond" w:hAnsi="Garamond"/>
          <w:sz w:val="26"/>
          <w:szCs w:val="26"/>
        </w:rPr>
        <w:t>, o</w:t>
      </w:r>
      <w:r>
        <w:rPr>
          <w:rFonts w:ascii="Garamond" w:hAnsi="Garamond"/>
          <w:sz w:val="26"/>
          <w:szCs w:val="26"/>
        </w:rPr>
        <w:t xml:space="preserve">gni persona </w:t>
      </w:r>
      <w:r w:rsidR="00050C97">
        <w:rPr>
          <w:rFonts w:ascii="Garamond" w:hAnsi="Garamond"/>
          <w:sz w:val="26"/>
          <w:szCs w:val="26"/>
        </w:rPr>
        <w:t xml:space="preserve">anche potenzialmente </w:t>
      </w:r>
      <w:r>
        <w:rPr>
          <w:rFonts w:ascii="Garamond" w:hAnsi="Garamond"/>
          <w:sz w:val="26"/>
          <w:szCs w:val="26"/>
        </w:rPr>
        <w:t xml:space="preserve">destinataria di un trattamento sanitario </w:t>
      </w:r>
      <w:r w:rsidR="00FB7900">
        <w:rPr>
          <w:rFonts w:ascii="Garamond" w:hAnsi="Garamond"/>
          <w:sz w:val="26"/>
          <w:szCs w:val="26"/>
        </w:rPr>
        <w:t xml:space="preserve">obbligatorio od anche raccomandato dalle Autorità sanitarie </w:t>
      </w:r>
      <w:r>
        <w:rPr>
          <w:rFonts w:ascii="Garamond" w:hAnsi="Garamond"/>
          <w:sz w:val="26"/>
          <w:szCs w:val="26"/>
        </w:rPr>
        <w:t xml:space="preserve">ha diritto di ottenere </w:t>
      </w:r>
      <w:r w:rsidR="00FB7900">
        <w:rPr>
          <w:rFonts w:ascii="Garamond" w:hAnsi="Garamond"/>
          <w:sz w:val="26"/>
          <w:szCs w:val="26"/>
        </w:rPr>
        <w:t>da queste ultime o da</w:t>
      </w:r>
      <w:r w:rsidR="0055096C">
        <w:rPr>
          <w:rFonts w:ascii="Garamond" w:hAnsi="Garamond"/>
          <w:sz w:val="26"/>
          <w:szCs w:val="26"/>
        </w:rPr>
        <w:t xml:space="preserve">lle strutture organizzative di cui si avvale </w:t>
      </w:r>
      <w:r w:rsidR="00050C97">
        <w:rPr>
          <w:rFonts w:ascii="Garamond" w:hAnsi="Garamond"/>
          <w:sz w:val="26"/>
          <w:szCs w:val="26"/>
        </w:rPr>
        <w:t>ogni informazione, completa, aggiornata e comprensibile, in ordine ai benefici ed ai rischi dello stesso, nonché in ordine alle possibili alternative e delle possibili conseguenze dell’eventuale rifiuto.</w:t>
      </w:r>
    </w:p>
    <w:p w14:paraId="55141811" w14:textId="3CEC154E" w:rsidR="00F87D93" w:rsidRDefault="00050C97" w:rsidP="00F87D93">
      <w:pPr>
        <w:pStyle w:val="Standard"/>
        <w:spacing w:line="360" w:lineRule="auto"/>
        <w:ind w:left="567" w:right="567"/>
        <w:jc w:val="both"/>
        <w:rPr>
          <w:rFonts w:ascii="Garamond" w:hAnsi="Garamond" w:cs="Calibri"/>
          <w:sz w:val="26"/>
          <w:szCs w:val="26"/>
          <w:lang w:val="it-IT"/>
        </w:rPr>
      </w:pPr>
      <w:r>
        <w:rPr>
          <w:rFonts w:ascii="Garamond" w:hAnsi="Garamond" w:cs="Segoe UI"/>
          <w:color w:val="000000"/>
          <w:sz w:val="26"/>
          <w:szCs w:val="26"/>
          <w:lang w:val="it-IT"/>
        </w:rPr>
        <w:tab/>
        <w:t xml:space="preserve">Trattasi di un “diritto all’informazione” </w:t>
      </w:r>
      <w:r w:rsidR="0055096C">
        <w:rPr>
          <w:rFonts w:ascii="Garamond" w:hAnsi="Garamond" w:cs="Segoe UI"/>
          <w:color w:val="000000"/>
          <w:sz w:val="26"/>
          <w:szCs w:val="26"/>
          <w:lang w:val="it-IT"/>
        </w:rPr>
        <w:t>f</w:t>
      </w:r>
      <w:r>
        <w:rPr>
          <w:rFonts w:ascii="Garamond" w:hAnsi="Garamond" w:cs="Calibri"/>
          <w:sz w:val="26"/>
          <w:szCs w:val="26"/>
          <w:lang w:val="it-IT"/>
        </w:rPr>
        <w:t xml:space="preserve">ondato </w:t>
      </w:r>
      <w:r w:rsidR="0055096C">
        <w:rPr>
          <w:rFonts w:ascii="Garamond" w:hAnsi="Garamond" w:cs="Calibri"/>
          <w:sz w:val="26"/>
          <w:szCs w:val="26"/>
          <w:lang w:val="it-IT"/>
        </w:rPr>
        <w:t>sul combinato disposto dell’</w:t>
      </w:r>
      <w:r>
        <w:rPr>
          <w:rFonts w:ascii="Garamond" w:hAnsi="Garamond" w:cs="Calibri"/>
          <w:sz w:val="26"/>
          <w:szCs w:val="26"/>
          <w:lang w:val="it-IT"/>
        </w:rPr>
        <w:t xml:space="preserve">art. 1, comma 2-bis l. n. 241 del 1990 e </w:t>
      </w:r>
      <w:r w:rsidR="0055096C">
        <w:rPr>
          <w:rFonts w:ascii="Garamond" w:hAnsi="Garamond" w:cs="Calibri"/>
          <w:sz w:val="26"/>
          <w:szCs w:val="26"/>
          <w:lang w:val="it-IT"/>
        </w:rPr>
        <w:t xml:space="preserve">dell’art. 1, comma 3, legge n. 219 del 2017 e </w:t>
      </w:r>
      <w:r>
        <w:rPr>
          <w:rFonts w:ascii="Garamond" w:hAnsi="Garamond" w:cs="Calibri"/>
          <w:sz w:val="26"/>
          <w:szCs w:val="26"/>
          <w:lang w:val="it-IT"/>
        </w:rPr>
        <w:t xml:space="preserve">che </w:t>
      </w:r>
      <w:r w:rsidR="0055096C">
        <w:rPr>
          <w:rFonts w:ascii="Garamond" w:hAnsi="Garamond" w:cs="Calibri"/>
          <w:sz w:val="26"/>
          <w:szCs w:val="26"/>
          <w:lang w:val="it-IT"/>
        </w:rPr>
        <w:t xml:space="preserve">ha </w:t>
      </w:r>
      <w:r>
        <w:rPr>
          <w:rFonts w:ascii="Garamond" w:hAnsi="Garamond" w:cs="Calibri"/>
          <w:sz w:val="26"/>
          <w:szCs w:val="26"/>
          <w:lang w:val="it-IT"/>
        </w:rPr>
        <w:t>come interlocutor</w:t>
      </w:r>
      <w:r w:rsidR="0055096C">
        <w:rPr>
          <w:rFonts w:ascii="Garamond" w:hAnsi="Garamond" w:cs="Calibri"/>
          <w:sz w:val="26"/>
          <w:szCs w:val="26"/>
          <w:lang w:val="it-IT"/>
        </w:rPr>
        <w:t xml:space="preserve">i il Ministero della Salute, le Regioni e tutti i </w:t>
      </w:r>
      <w:r>
        <w:rPr>
          <w:rFonts w:ascii="Garamond" w:hAnsi="Garamond" w:cs="Calibri"/>
          <w:sz w:val="26"/>
          <w:szCs w:val="26"/>
          <w:lang w:val="it-IT"/>
        </w:rPr>
        <w:t>soggett</w:t>
      </w:r>
      <w:r w:rsidR="0055096C">
        <w:rPr>
          <w:rFonts w:ascii="Garamond" w:hAnsi="Garamond" w:cs="Calibri"/>
          <w:sz w:val="26"/>
          <w:szCs w:val="26"/>
          <w:lang w:val="it-IT"/>
        </w:rPr>
        <w:t>i</w:t>
      </w:r>
      <w:r>
        <w:rPr>
          <w:rFonts w:ascii="Garamond" w:hAnsi="Garamond" w:cs="Calibri"/>
          <w:sz w:val="26"/>
          <w:szCs w:val="26"/>
          <w:lang w:val="it-IT"/>
        </w:rPr>
        <w:t xml:space="preserve"> istituzionalmente prepost</w:t>
      </w:r>
      <w:r w:rsidR="0055096C">
        <w:rPr>
          <w:rFonts w:ascii="Garamond" w:hAnsi="Garamond" w:cs="Calibri"/>
          <w:sz w:val="26"/>
          <w:szCs w:val="26"/>
          <w:lang w:val="it-IT"/>
        </w:rPr>
        <w:t>i</w:t>
      </w:r>
      <w:r>
        <w:rPr>
          <w:rFonts w:ascii="Garamond" w:hAnsi="Garamond" w:cs="Calibri"/>
          <w:sz w:val="26"/>
          <w:szCs w:val="26"/>
          <w:lang w:val="it-IT"/>
        </w:rPr>
        <w:t xml:space="preserve"> a svolgere le attività </w:t>
      </w:r>
      <w:r w:rsidR="00F87D93">
        <w:rPr>
          <w:rFonts w:ascii="Garamond" w:hAnsi="Garamond" w:cs="Calibri"/>
          <w:sz w:val="26"/>
          <w:szCs w:val="26"/>
          <w:lang w:val="it-IT"/>
        </w:rPr>
        <w:t xml:space="preserve">poste </w:t>
      </w:r>
      <w:r>
        <w:rPr>
          <w:rFonts w:ascii="Garamond" w:hAnsi="Garamond" w:cs="Calibri"/>
          <w:sz w:val="26"/>
          <w:szCs w:val="26"/>
          <w:lang w:val="it-IT"/>
        </w:rPr>
        <w:t>a presidio della efficacia e della sicurezza del trattamento</w:t>
      </w:r>
      <w:r w:rsidR="00F87D93">
        <w:rPr>
          <w:rFonts w:ascii="Garamond" w:hAnsi="Garamond" w:cs="Calibri"/>
          <w:sz w:val="26"/>
          <w:szCs w:val="26"/>
          <w:lang w:val="it-IT"/>
        </w:rPr>
        <w:t xml:space="preserve"> sanitario o di un determinato farmaco (</w:t>
      </w:r>
      <w:r w:rsidR="0055096C">
        <w:rPr>
          <w:rFonts w:ascii="Garamond" w:hAnsi="Garamond" w:cs="Calibri"/>
          <w:sz w:val="26"/>
          <w:szCs w:val="26"/>
          <w:lang w:val="it-IT"/>
        </w:rPr>
        <w:t xml:space="preserve">in particolare </w:t>
      </w:r>
      <w:r w:rsidR="00F87D93">
        <w:rPr>
          <w:rFonts w:ascii="Garamond" w:hAnsi="Garamond" w:cs="Calibri"/>
          <w:sz w:val="26"/>
          <w:szCs w:val="26"/>
          <w:lang w:val="it-IT"/>
        </w:rPr>
        <w:t xml:space="preserve">ISS e AIFA ciascuno per la rispettiva </w:t>
      </w:r>
      <w:r w:rsidR="00A50C6E">
        <w:rPr>
          <w:rFonts w:ascii="Garamond" w:hAnsi="Garamond" w:cs="Calibri"/>
          <w:sz w:val="26"/>
          <w:szCs w:val="26"/>
          <w:lang w:val="it-IT"/>
        </w:rPr>
        <w:t xml:space="preserve">sfera </w:t>
      </w:r>
      <w:r w:rsidR="00F87D93">
        <w:rPr>
          <w:rFonts w:ascii="Garamond" w:hAnsi="Garamond" w:cs="Calibri"/>
          <w:sz w:val="26"/>
          <w:szCs w:val="26"/>
          <w:lang w:val="it-IT"/>
        </w:rPr>
        <w:t>di competenza).</w:t>
      </w:r>
    </w:p>
    <w:p w14:paraId="2197E730" w14:textId="5427F9ED" w:rsidR="00F87D93" w:rsidRPr="00716FF7" w:rsidRDefault="00F87D93" w:rsidP="00F87D93">
      <w:pPr>
        <w:pStyle w:val="Standard"/>
        <w:spacing w:line="360" w:lineRule="auto"/>
        <w:ind w:left="567" w:right="567"/>
        <w:jc w:val="both"/>
        <w:rPr>
          <w:rFonts w:ascii="Garamond" w:hAnsi="Garamond" w:cs="Calibri"/>
          <w:sz w:val="26"/>
          <w:szCs w:val="26"/>
          <w:lang w:val="it-IT"/>
        </w:rPr>
      </w:pPr>
      <w:r w:rsidRPr="00716FF7">
        <w:rPr>
          <w:rFonts w:ascii="Garamond" w:hAnsi="Garamond" w:cs="Calibri"/>
          <w:sz w:val="26"/>
          <w:szCs w:val="26"/>
          <w:lang w:val="it-IT"/>
        </w:rPr>
        <w:tab/>
        <w:t>Si pensi alle dibattute questioni concernenti l’efficacia e la sicurezza dei vaccini anti Covid-19</w:t>
      </w:r>
      <w:r w:rsidR="004F7473" w:rsidRPr="00716FF7">
        <w:rPr>
          <w:rFonts w:ascii="Garamond" w:hAnsi="Garamond" w:cs="Calibri"/>
          <w:sz w:val="26"/>
          <w:szCs w:val="26"/>
          <w:lang w:val="it-IT"/>
        </w:rPr>
        <w:t xml:space="preserve">: a tale riguardo, </w:t>
      </w:r>
      <w:r w:rsidR="0055096C">
        <w:rPr>
          <w:rFonts w:ascii="Garamond" w:hAnsi="Garamond" w:cs="Calibri"/>
          <w:sz w:val="26"/>
          <w:szCs w:val="26"/>
          <w:lang w:val="it-IT"/>
        </w:rPr>
        <w:t>si ritiene non possa negarsi l</w:t>
      </w:r>
      <w:r w:rsidR="004F7473" w:rsidRPr="00716FF7">
        <w:rPr>
          <w:rFonts w:ascii="Garamond" w:hAnsi="Garamond" w:cs="Calibri"/>
          <w:sz w:val="26"/>
          <w:szCs w:val="26"/>
          <w:lang w:val="it-IT"/>
        </w:rPr>
        <w:t>a “legittima aspettativa” di un consociato ad avere informazioni ulteriori rispetto a quelle rese pubbliche dai due istituti nei rispettivi siti istituzionali.</w:t>
      </w:r>
    </w:p>
    <w:p w14:paraId="2D9FE557" w14:textId="355A3910" w:rsidR="004F7473" w:rsidRPr="00716FF7" w:rsidRDefault="004F7473" w:rsidP="00F87D93">
      <w:pPr>
        <w:pStyle w:val="Standard"/>
        <w:spacing w:line="360" w:lineRule="auto"/>
        <w:ind w:left="567" w:right="567"/>
        <w:jc w:val="both"/>
        <w:rPr>
          <w:rFonts w:ascii="Garamond" w:hAnsi="Garamond" w:cs="Calibri"/>
          <w:sz w:val="26"/>
          <w:szCs w:val="26"/>
          <w:lang w:val="it-IT"/>
        </w:rPr>
      </w:pPr>
      <w:r w:rsidRPr="00716FF7">
        <w:rPr>
          <w:rFonts w:ascii="Garamond" w:hAnsi="Garamond" w:cs="Calibri"/>
          <w:sz w:val="26"/>
          <w:szCs w:val="26"/>
          <w:lang w:val="it-IT"/>
        </w:rPr>
        <w:tab/>
        <w:t xml:space="preserve">Si pensi </w:t>
      </w:r>
      <w:r w:rsidR="00716FF7" w:rsidRPr="00716FF7">
        <w:rPr>
          <w:rFonts w:ascii="Garamond" w:hAnsi="Garamond" w:cs="Calibri"/>
          <w:sz w:val="26"/>
          <w:szCs w:val="26"/>
          <w:lang w:val="it-IT"/>
        </w:rPr>
        <w:t xml:space="preserve">ancora </w:t>
      </w:r>
      <w:r w:rsidR="00716FF7">
        <w:rPr>
          <w:rFonts w:ascii="Garamond" w:hAnsi="Garamond" w:cs="Calibri"/>
          <w:sz w:val="26"/>
          <w:szCs w:val="26"/>
          <w:lang w:val="it-IT"/>
        </w:rPr>
        <w:t xml:space="preserve">alle </w:t>
      </w:r>
      <w:r w:rsidR="00716FF7" w:rsidRPr="00716FF7">
        <w:rPr>
          <w:rFonts w:ascii="Garamond" w:hAnsi="Garamond" w:cs="Calibri"/>
          <w:sz w:val="26"/>
          <w:szCs w:val="26"/>
          <w:lang w:val="it-IT"/>
        </w:rPr>
        <w:t>“</w:t>
      </w:r>
      <w:r w:rsidR="00716FF7" w:rsidRPr="00716FF7">
        <w:rPr>
          <w:rFonts w:ascii="Garamond" w:hAnsi="Garamond"/>
          <w:sz w:val="26"/>
          <w:szCs w:val="26"/>
          <w:lang w:val="it-IT"/>
        </w:rPr>
        <w:t>possibili alternative“</w:t>
      </w:r>
      <w:r w:rsidR="00716FF7">
        <w:rPr>
          <w:rFonts w:ascii="Garamond" w:hAnsi="Garamond"/>
          <w:sz w:val="26"/>
          <w:szCs w:val="26"/>
          <w:lang w:val="it-IT"/>
        </w:rPr>
        <w:t xml:space="preserve"> ai vaccini nella cura del Covid-19, dai “programmi di uso compassionevole” (autorizzati ed in corso), </w:t>
      </w:r>
      <w:r w:rsidR="00666385">
        <w:rPr>
          <w:rFonts w:ascii="Garamond" w:hAnsi="Garamond"/>
          <w:sz w:val="26"/>
          <w:szCs w:val="26"/>
          <w:lang w:val="it-IT"/>
        </w:rPr>
        <w:t>ai farmaci già immessi in commercio ed utilizzabili per il trattamento della malattia.</w:t>
      </w:r>
      <w:r w:rsidR="00716FF7">
        <w:rPr>
          <w:rFonts w:ascii="Garamond" w:hAnsi="Garamond"/>
          <w:sz w:val="26"/>
          <w:szCs w:val="26"/>
          <w:lang w:val="it-IT"/>
        </w:rPr>
        <w:t xml:space="preserve"> </w:t>
      </w:r>
    </w:p>
    <w:p w14:paraId="490FB449" w14:textId="59E45BB6" w:rsidR="00611308" w:rsidRDefault="00666385" w:rsidP="00611308">
      <w:pPr>
        <w:pStyle w:val="Standard"/>
        <w:spacing w:line="360" w:lineRule="auto"/>
        <w:ind w:left="567" w:right="567"/>
        <w:jc w:val="both"/>
        <w:rPr>
          <w:rFonts w:ascii="Garamond" w:hAnsi="Garamond" w:cs="Calibri"/>
          <w:sz w:val="26"/>
          <w:szCs w:val="26"/>
          <w:lang w:val="it-IT"/>
        </w:rPr>
      </w:pPr>
      <w:r>
        <w:rPr>
          <w:rFonts w:ascii="Garamond" w:hAnsi="Garamond" w:cs="Segoe UI"/>
          <w:color w:val="000000"/>
          <w:sz w:val="26"/>
          <w:szCs w:val="26"/>
          <w:lang w:val="it-IT"/>
        </w:rPr>
        <w:tab/>
        <w:t>Ciò</w:t>
      </w:r>
      <w:r w:rsidR="00611308">
        <w:rPr>
          <w:rFonts w:ascii="Garamond" w:hAnsi="Garamond" w:cs="Calibri"/>
          <w:sz w:val="26"/>
          <w:szCs w:val="26"/>
          <w:lang w:val="it-IT"/>
        </w:rPr>
        <w:t xml:space="preserve"> </w:t>
      </w:r>
      <w:r w:rsidR="00716FF7">
        <w:rPr>
          <w:rFonts w:ascii="Garamond" w:hAnsi="Garamond" w:cs="Calibri"/>
          <w:sz w:val="26"/>
          <w:szCs w:val="26"/>
          <w:lang w:val="it-IT"/>
        </w:rPr>
        <w:t xml:space="preserve">nel limite </w:t>
      </w:r>
      <w:r>
        <w:rPr>
          <w:rFonts w:ascii="Garamond" w:hAnsi="Garamond" w:cs="Calibri"/>
          <w:sz w:val="26"/>
          <w:szCs w:val="26"/>
          <w:lang w:val="it-IT"/>
        </w:rPr>
        <w:t>e nella misura in cui le informazioni richieste s</w:t>
      </w:r>
      <w:r w:rsidR="0055096C">
        <w:rPr>
          <w:rFonts w:ascii="Garamond" w:hAnsi="Garamond" w:cs="Calibri"/>
          <w:sz w:val="26"/>
          <w:szCs w:val="26"/>
          <w:lang w:val="it-IT"/>
        </w:rPr>
        <w:t>ia</w:t>
      </w:r>
      <w:r>
        <w:rPr>
          <w:rFonts w:ascii="Garamond" w:hAnsi="Garamond" w:cs="Calibri"/>
          <w:sz w:val="26"/>
          <w:szCs w:val="26"/>
          <w:lang w:val="it-IT"/>
        </w:rPr>
        <w:t>no già nella disponibilità delle Autorità competenti</w:t>
      </w:r>
      <w:r w:rsidR="00611308">
        <w:rPr>
          <w:rFonts w:ascii="Garamond" w:hAnsi="Garamond" w:cs="Calibri"/>
          <w:sz w:val="26"/>
          <w:szCs w:val="26"/>
          <w:lang w:val="it-IT"/>
        </w:rPr>
        <w:t xml:space="preserve">, non potendo l’obbligo informativo trasmodare in un obbligo di </w:t>
      </w:r>
      <w:r w:rsidR="00611308">
        <w:rPr>
          <w:rFonts w:ascii="Garamond" w:hAnsi="Garamond" w:cs="Calibri"/>
          <w:i/>
          <w:iCs/>
          <w:sz w:val="26"/>
          <w:szCs w:val="26"/>
          <w:lang w:val="it-IT"/>
        </w:rPr>
        <w:t>facere</w:t>
      </w:r>
      <w:r w:rsidR="00611308">
        <w:rPr>
          <w:rFonts w:ascii="Garamond" w:hAnsi="Garamond" w:cs="Calibri"/>
          <w:sz w:val="26"/>
          <w:szCs w:val="26"/>
          <w:lang w:val="it-IT"/>
        </w:rPr>
        <w:t xml:space="preserve"> attività non ancora compiute (inattività di cui va comunque va reso edotto il richiedente).</w:t>
      </w:r>
    </w:p>
    <w:p w14:paraId="2C4F92A7" w14:textId="77777777" w:rsidR="00140A22" w:rsidRDefault="00140A22" w:rsidP="005C7EF0">
      <w:pPr>
        <w:spacing w:line="360" w:lineRule="auto"/>
        <w:ind w:left="567" w:right="567"/>
        <w:jc w:val="both"/>
        <w:rPr>
          <w:rFonts w:ascii="Garamond" w:hAnsi="Garamond" w:cs="Segoe UI"/>
          <w:b/>
          <w:color w:val="201A1A"/>
          <w:sz w:val="26"/>
          <w:szCs w:val="26"/>
        </w:rPr>
      </w:pPr>
    </w:p>
    <w:p w14:paraId="3EF1FA18" w14:textId="6DD8AC1C" w:rsidR="005C7EF0" w:rsidRPr="005C7EF0" w:rsidRDefault="0055792A" w:rsidP="005C7EF0">
      <w:pPr>
        <w:spacing w:line="360" w:lineRule="auto"/>
        <w:ind w:left="567" w:right="567"/>
        <w:jc w:val="both"/>
        <w:rPr>
          <w:rFonts w:ascii="Garamond" w:hAnsi="Garamond" w:cs="Segoe UI"/>
          <w:b/>
          <w:color w:val="201A1A"/>
          <w:sz w:val="26"/>
          <w:szCs w:val="26"/>
        </w:rPr>
      </w:pPr>
      <w:r>
        <w:rPr>
          <w:rFonts w:ascii="Garamond" w:hAnsi="Garamond" w:cs="Segoe UI"/>
          <w:b/>
          <w:color w:val="201A1A"/>
          <w:sz w:val="26"/>
          <w:szCs w:val="26"/>
        </w:rPr>
        <w:t>4</w:t>
      </w:r>
      <w:r w:rsidR="00C23FDB">
        <w:rPr>
          <w:rFonts w:ascii="Garamond" w:hAnsi="Garamond" w:cs="Segoe UI"/>
          <w:b/>
          <w:color w:val="201A1A"/>
          <w:sz w:val="26"/>
          <w:szCs w:val="26"/>
        </w:rPr>
        <w:t>.</w:t>
      </w:r>
      <w:r w:rsidR="005C7EF0" w:rsidRPr="005C7EF0">
        <w:rPr>
          <w:rFonts w:ascii="Garamond" w:hAnsi="Garamond" w:cs="Segoe UI"/>
          <w:b/>
          <w:color w:val="201A1A"/>
          <w:sz w:val="26"/>
          <w:szCs w:val="26"/>
        </w:rPr>
        <w:t xml:space="preserve">3. La tutela </w:t>
      </w:r>
      <w:r w:rsidR="00435642">
        <w:rPr>
          <w:rFonts w:ascii="Garamond" w:hAnsi="Garamond" w:cs="Segoe UI"/>
          <w:b/>
          <w:color w:val="201A1A"/>
          <w:sz w:val="26"/>
          <w:szCs w:val="26"/>
        </w:rPr>
        <w:t xml:space="preserve">giurisdizionale </w:t>
      </w:r>
      <w:r w:rsidR="005C7EF0" w:rsidRPr="005C7EF0">
        <w:rPr>
          <w:rFonts w:ascii="Garamond" w:hAnsi="Garamond" w:cs="Segoe UI"/>
          <w:b/>
          <w:color w:val="201A1A"/>
          <w:sz w:val="26"/>
          <w:szCs w:val="26"/>
        </w:rPr>
        <w:t>del “diritto all'informazione”.</w:t>
      </w:r>
    </w:p>
    <w:p w14:paraId="7A1DE208" w14:textId="787D8F37" w:rsidR="005C7EF0" w:rsidRPr="005C7EF0" w:rsidRDefault="00435642" w:rsidP="00435642">
      <w:pPr>
        <w:pStyle w:val="Standard"/>
        <w:spacing w:line="360" w:lineRule="auto"/>
        <w:ind w:left="567" w:right="567" w:firstLine="141"/>
        <w:jc w:val="both"/>
        <w:rPr>
          <w:rFonts w:ascii="Garamond" w:hAnsi="Garamond" w:cs="Segoe UI"/>
          <w:sz w:val="26"/>
          <w:szCs w:val="26"/>
          <w:lang w:val="it-IT"/>
        </w:rPr>
      </w:pPr>
      <w:r>
        <w:rPr>
          <w:rFonts w:ascii="Garamond" w:hAnsi="Garamond" w:cs="Segoe UI"/>
          <w:sz w:val="26"/>
          <w:szCs w:val="26"/>
          <w:lang w:val="it-IT"/>
        </w:rPr>
        <w:t>R</w:t>
      </w:r>
      <w:r w:rsidR="005C7EF0" w:rsidRPr="005C7EF0">
        <w:rPr>
          <w:rFonts w:ascii="Garamond" w:hAnsi="Garamond" w:cs="Segoe UI"/>
          <w:sz w:val="26"/>
          <w:szCs w:val="26"/>
          <w:lang w:val="it-IT"/>
        </w:rPr>
        <w:t xml:space="preserve">imane da capire </w:t>
      </w:r>
      <w:r>
        <w:rPr>
          <w:rFonts w:ascii="Garamond" w:hAnsi="Garamond" w:cs="Segoe UI"/>
          <w:sz w:val="26"/>
          <w:szCs w:val="26"/>
          <w:lang w:val="it-IT"/>
        </w:rPr>
        <w:t xml:space="preserve">se e </w:t>
      </w:r>
      <w:r w:rsidR="005C7EF0" w:rsidRPr="005C7EF0">
        <w:rPr>
          <w:rFonts w:ascii="Garamond" w:hAnsi="Garamond" w:cs="Segoe UI"/>
          <w:sz w:val="26"/>
          <w:szCs w:val="26"/>
          <w:lang w:val="it-IT"/>
        </w:rPr>
        <w:t xml:space="preserve">come </w:t>
      </w:r>
      <w:r>
        <w:rPr>
          <w:rFonts w:ascii="Garamond" w:hAnsi="Garamond" w:cs="Segoe UI"/>
          <w:sz w:val="26"/>
          <w:szCs w:val="26"/>
          <w:lang w:val="it-IT"/>
        </w:rPr>
        <w:t>il “</w:t>
      </w:r>
      <w:r w:rsidR="005C7EF0" w:rsidRPr="005C7EF0">
        <w:rPr>
          <w:rFonts w:ascii="Garamond" w:hAnsi="Garamond" w:cs="Segoe UI"/>
          <w:sz w:val="26"/>
          <w:szCs w:val="26"/>
          <w:lang w:val="it-IT"/>
        </w:rPr>
        <w:t>diritto</w:t>
      </w:r>
      <w:r>
        <w:rPr>
          <w:rFonts w:ascii="Garamond" w:hAnsi="Garamond" w:cs="Segoe UI"/>
          <w:sz w:val="26"/>
          <w:szCs w:val="26"/>
          <w:lang w:val="it-IT"/>
        </w:rPr>
        <w:t xml:space="preserve"> all’informazione” così configurato </w:t>
      </w:r>
      <w:r w:rsidR="005C7EF0" w:rsidRPr="005C7EF0">
        <w:rPr>
          <w:rFonts w:ascii="Garamond" w:hAnsi="Garamond" w:cs="Segoe UI"/>
          <w:sz w:val="26"/>
          <w:szCs w:val="26"/>
          <w:lang w:val="it-IT"/>
        </w:rPr>
        <w:t xml:space="preserve">possa essere processualmente tutelato. </w:t>
      </w:r>
    </w:p>
    <w:p w14:paraId="67753547" w14:textId="77777777" w:rsidR="005C7EF0" w:rsidRPr="005C7EF0" w:rsidRDefault="005C7EF0" w:rsidP="00435642">
      <w:pPr>
        <w:pStyle w:val="Standard"/>
        <w:spacing w:line="360" w:lineRule="auto"/>
        <w:ind w:left="567" w:right="567" w:firstLine="141"/>
        <w:jc w:val="both"/>
        <w:rPr>
          <w:rFonts w:ascii="Garamond" w:hAnsi="Garamond" w:cs="Segoe UI"/>
          <w:sz w:val="26"/>
          <w:szCs w:val="26"/>
          <w:lang w:val="it-IT"/>
        </w:rPr>
      </w:pPr>
      <w:r w:rsidRPr="005C7EF0">
        <w:rPr>
          <w:rFonts w:ascii="Garamond" w:hAnsi="Garamond" w:cs="Segoe UI"/>
          <w:sz w:val="26"/>
          <w:szCs w:val="26"/>
          <w:lang w:val="it-IT"/>
        </w:rPr>
        <w:t>Una prima questione attiene alla giurisdizione.</w:t>
      </w:r>
    </w:p>
    <w:p w14:paraId="1689E60C" w14:textId="77777777" w:rsidR="005C7EF0" w:rsidRPr="005C7EF0" w:rsidRDefault="005C7EF0" w:rsidP="00435642">
      <w:pPr>
        <w:pStyle w:val="Standard"/>
        <w:spacing w:line="360" w:lineRule="auto"/>
        <w:ind w:left="567" w:right="567" w:firstLine="141"/>
        <w:jc w:val="both"/>
        <w:rPr>
          <w:rFonts w:ascii="Garamond" w:hAnsi="Garamond" w:cs="Segoe UI"/>
          <w:sz w:val="26"/>
          <w:szCs w:val="26"/>
          <w:lang w:val="it-IT"/>
        </w:rPr>
      </w:pPr>
      <w:r w:rsidRPr="005C7EF0">
        <w:rPr>
          <w:rFonts w:ascii="Garamond" w:hAnsi="Garamond" w:cs="Segoe UI"/>
          <w:sz w:val="26"/>
          <w:szCs w:val="26"/>
          <w:lang w:val="it-IT"/>
        </w:rPr>
        <w:t xml:space="preserve">Al riguardo, la giurisprudenza amministrativa è decisamente orientata a ritenere che le relative controversie siano riconducibili all’ambito della giurisdizione esclusiva del Giudice Amministrativo </w:t>
      </w:r>
      <w:r w:rsidRPr="005C7EF0">
        <w:rPr>
          <w:rStyle w:val="Rimandonotaapidipagina"/>
          <w:rFonts w:ascii="Garamond" w:hAnsi="Garamond" w:cs="Segoe UI"/>
          <w:sz w:val="26"/>
          <w:szCs w:val="26"/>
          <w:lang w:val="it-IT"/>
        </w:rPr>
        <w:footnoteReference w:id="37"/>
      </w:r>
      <w:r w:rsidRPr="005C7EF0">
        <w:rPr>
          <w:rFonts w:ascii="Garamond" w:hAnsi="Garamond" w:cs="Segoe UI"/>
          <w:sz w:val="26"/>
          <w:szCs w:val="26"/>
          <w:lang w:val="it-IT"/>
        </w:rPr>
        <w:t xml:space="preserve">. </w:t>
      </w:r>
    </w:p>
    <w:p w14:paraId="434B1A80" w14:textId="5DBAF225" w:rsidR="005C7EF0" w:rsidRDefault="005C7EF0" w:rsidP="00435642">
      <w:pPr>
        <w:pStyle w:val="Standard"/>
        <w:spacing w:line="360" w:lineRule="auto"/>
        <w:ind w:left="567" w:right="567" w:firstLine="141"/>
        <w:jc w:val="both"/>
        <w:rPr>
          <w:rFonts w:ascii="Garamond" w:hAnsi="Garamond" w:cs="Segoe UI"/>
          <w:sz w:val="26"/>
          <w:szCs w:val="26"/>
          <w:lang w:val="it-IT"/>
        </w:rPr>
      </w:pPr>
      <w:r w:rsidRPr="005C7EF0">
        <w:rPr>
          <w:rFonts w:ascii="Garamond" w:hAnsi="Garamond" w:cs="Segoe UI"/>
          <w:sz w:val="26"/>
          <w:szCs w:val="26"/>
          <w:lang w:val="it-IT"/>
        </w:rPr>
        <w:t xml:space="preserve">Una seconda questione, sulla quale, invece, </w:t>
      </w:r>
      <w:r w:rsidR="00435642" w:rsidRPr="005C7EF0">
        <w:rPr>
          <w:rFonts w:ascii="Garamond" w:hAnsi="Garamond" w:cs="Segoe UI"/>
          <w:sz w:val="26"/>
          <w:szCs w:val="26"/>
          <w:lang w:val="it-IT"/>
        </w:rPr>
        <w:t xml:space="preserve">non esistono </w:t>
      </w:r>
      <w:r w:rsidRPr="005C7EF0">
        <w:rPr>
          <w:rFonts w:ascii="Garamond" w:hAnsi="Garamond" w:cs="Segoe UI"/>
          <w:sz w:val="26"/>
          <w:szCs w:val="26"/>
          <w:lang w:val="it-IT"/>
        </w:rPr>
        <w:t xml:space="preserve">opinioni concordi, riguarda le modalità di tutela del </w:t>
      </w:r>
      <w:r w:rsidR="00611308">
        <w:rPr>
          <w:rFonts w:ascii="Garamond" w:hAnsi="Garamond" w:cs="Segoe UI"/>
          <w:sz w:val="26"/>
          <w:szCs w:val="26"/>
          <w:lang w:val="it-IT"/>
        </w:rPr>
        <w:t>“</w:t>
      </w:r>
      <w:r w:rsidRPr="005C7EF0">
        <w:rPr>
          <w:rFonts w:ascii="Garamond" w:hAnsi="Garamond" w:cs="Segoe UI"/>
          <w:sz w:val="26"/>
          <w:szCs w:val="26"/>
          <w:lang w:val="it-IT"/>
        </w:rPr>
        <w:t>diritto all’informazione</w:t>
      </w:r>
      <w:r w:rsidR="00611308">
        <w:rPr>
          <w:rFonts w:ascii="Garamond" w:hAnsi="Garamond" w:cs="Segoe UI"/>
          <w:sz w:val="26"/>
          <w:szCs w:val="26"/>
          <w:lang w:val="it-IT"/>
        </w:rPr>
        <w:t>”</w:t>
      </w:r>
      <w:r w:rsidRPr="005C7EF0">
        <w:rPr>
          <w:rFonts w:ascii="Garamond" w:hAnsi="Garamond" w:cs="Segoe UI"/>
          <w:sz w:val="26"/>
          <w:szCs w:val="26"/>
          <w:lang w:val="it-IT"/>
        </w:rPr>
        <w:t>, ovvero il mezzo processuale</w:t>
      </w:r>
      <w:r w:rsidR="00370833">
        <w:rPr>
          <w:rFonts w:ascii="Garamond" w:hAnsi="Garamond" w:cs="Segoe UI"/>
          <w:sz w:val="26"/>
          <w:szCs w:val="26"/>
          <w:lang w:val="it-IT"/>
        </w:rPr>
        <w:t xml:space="preserve"> esperibile davanti al Giudice a</w:t>
      </w:r>
      <w:r w:rsidRPr="005C7EF0">
        <w:rPr>
          <w:rFonts w:ascii="Garamond" w:hAnsi="Garamond" w:cs="Segoe UI"/>
          <w:sz w:val="26"/>
          <w:szCs w:val="26"/>
          <w:lang w:val="it-IT"/>
        </w:rPr>
        <w:t xml:space="preserve">mministrativo in caso di sua </w:t>
      </w:r>
      <w:r w:rsidR="00611308">
        <w:rPr>
          <w:rFonts w:ascii="Garamond" w:hAnsi="Garamond" w:cs="Segoe UI"/>
          <w:sz w:val="26"/>
          <w:szCs w:val="26"/>
          <w:lang w:val="it-IT"/>
        </w:rPr>
        <w:t>violazione</w:t>
      </w:r>
      <w:r w:rsidRPr="005C7EF0">
        <w:rPr>
          <w:rFonts w:ascii="Garamond" w:hAnsi="Garamond" w:cs="Segoe UI"/>
          <w:sz w:val="26"/>
          <w:szCs w:val="26"/>
          <w:lang w:val="it-IT"/>
        </w:rPr>
        <w:t>.</w:t>
      </w:r>
    </w:p>
    <w:p w14:paraId="3344668F" w14:textId="1AE16EFF" w:rsidR="005C7EF0" w:rsidRDefault="005C7EF0" w:rsidP="00370833">
      <w:pPr>
        <w:pStyle w:val="Standard"/>
        <w:spacing w:line="360" w:lineRule="auto"/>
        <w:ind w:left="567" w:right="567" w:firstLine="141"/>
        <w:jc w:val="both"/>
        <w:rPr>
          <w:rFonts w:ascii="Garamond" w:hAnsi="Garamond" w:cs="Segoe UI"/>
          <w:sz w:val="26"/>
          <w:szCs w:val="26"/>
          <w:lang w:val="it-IT"/>
        </w:rPr>
      </w:pPr>
      <w:r w:rsidRPr="005C7EF0">
        <w:rPr>
          <w:rFonts w:ascii="Garamond" w:hAnsi="Garamond" w:cs="Segoe UI"/>
          <w:sz w:val="26"/>
          <w:szCs w:val="26"/>
          <w:lang w:val="it-IT"/>
        </w:rPr>
        <w:t>Le diverse soluzioni dipendono da come si concepisc</w:t>
      </w:r>
      <w:r w:rsidR="00611308">
        <w:rPr>
          <w:rFonts w:ascii="Garamond" w:hAnsi="Garamond" w:cs="Segoe UI"/>
          <w:sz w:val="26"/>
          <w:szCs w:val="26"/>
          <w:lang w:val="it-IT"/>
        </w:rPr>
        <w:t>e</w:t>
      </w:r>
      <w:r w:rsidRPr="005C7EF0">
        <w:rPr>
          <w:rFonts w:ascii="Garamond" w:hAnsi="Garamond" w:cs="Segoe UI"/>
          <w:sz w:val="26"/>
          <w:szCs w:val="26"/>
          <w:lang w:val="it-IT"/>
        </w:rPr>
        <w:t xml:space="preserve"> il “diritto all’informazione”. </w:t>
      </w:r>
    </w:p>
    <w:p w14:paraId="621F4F6B" w14:textId="1EB86DD2" w:rsidR="005C7EF0" w:rsidRPr="005C7EF0" w:rsidRDefault="005C7EF0" w:rsidP="00DF2E9C">
      <w:pPr>
        <w:pStyle w:val="Standard"/>
        <w:spacing w:line="360" w:lineRule="auto"/>
        <w:ind w:left="567" w:right="567" w:firstLine="141"/>
        <w:jc w:val="both"/>
        <w:rPr>
          <w:rFonts w:ascii="Garamond" w:hAnsi="Garamond" w:cs="Segoe UI"/>
          <w:sz w:val="26"/>
          <w:szCs w:val="26"/>
        </w:rPr>
      </w:pPr>
      <w:r w:rsidRPr="005C7EF0">
        <w:rPr>
          <w:rFonts w:ascii="Garamond" w:hAnsi="Garamond" w:cs="Segoe UI"/>
          <w:sz w:val="26"/>
          <w:szCs w:val="26"/>
          <w:lang w:val="it-IT"/>
        </w:rPr>
        <w:t>Ove si riten</w:t>
      </w:r>
      <w:r w:rsidR="001A6E06">
        <w:rPr>
          <w:rFonts w:ascii="Garamond" w:hAnsi="Garamond" w:cs="Segoe UI"/>
          <w:sz w:val="26"/>
          <w:szCs w:val="26"/>
          <w:lang w:val="it-IT"/>
        </w:rPr>
        <w:t>ga</w:t>
      </w:r>
      <w:r w:rsidRPr="005C7EF0">
        <w:rPr>
          <w:rFonts w:ascii="Garamond" w:hAnsi="Garamond" w:cs="Segoe UI"/>
          <w:sz w:val="26"/>
          <w:szCs w:val="26"/>
          <w:lang w:val="it-IT"/>
        </w:rPr>
        <w:t xml:space="preserve"> tratt</w:t>
      </w:r>
      <w:r w:rsidR="001A6E06">
        <w:rPr>
          <w:rFonts w:ascii="Garamond" w:hAnsi="Garamond" w:cs="Segoe UI"/>
          <w:sz w:val="26"/>
          <w:szCs w:val="26"/>
          <w:lang w:val="it-IT"/>
        </w:rPr>
        <w:t>a</w:t>
      </w:r>
      <w:r w:rsidR="00140A22">
        <w:rPr>
          <w:rFonts w:ascii="Garamond" w:hAnsi="Garamond" w:cs="Segoe UI"/>
          <w:sz w:val="26"/>
          <w:szCs w:val="26"/>
          <w:lang w:val="it-IT"/>
        </w:rPr>
        <w:t>rsi</w:t>
      </w:r>
      <w:r w:rsidRPr="005C7EF0">
        <w:rPr>
          <w:rFonts w:ascii="Garamond" w:hAnsi="Garamond" w:cs="Segoe UI"/>
          <w:sz w:val="26"/>
          <w:szCs w:val="26"/>
          <w:lang w:val="it-IT"/>
        </w:rPr>
        <w:t xml:space="preserve"> </w:t>
      </w:r>
      <w:r w:rsidR="00140A22">
        <w:rPr>
          <w:rFonts w:ascii="Garamond" w:hAnsi="Garamond" w:cs="Segoe UI"/>
          <w:sz w:val="26"/>
          <w:szCs w:val="26"/>
          <w:lang w:val="it-IT"/>
        </w:rPr>
        <w:t xml:space="preserve">di </w:t>
      </w:r>
      <w:r w:rsidRPr="005C7EF0">
        <w:rPr>
          <w:rFonts w:ascii="Garamond" w:hAnsi="Garamond" w:cs="Segoe UI"/>
          <w:sz w:val="26"/>
          <w:szCs w:val="26"/>
          <w:lang w:val="it-IT"/>
        </w:rPr>
        <w:t>un diritto altro e di</w:t>
      </w:r>
      <w:r w:rsidR="00DF2E9C">
        <w:rPr>
          <w:rFonts w:ascii="Garamond" w:hAnsi="Garamond" w:cs="Segoe UI"/>
          <w:sz w:val="26"/>
          <w:szCs w:val="26"/>
          <w:lang w:val="it-IT"/>
        </w:rPr>
        <w:t xml:space="preserve">stinto </w:t>
      </w:r>
      <w:r w:rsidRPr="005C7EF0">
        <w:rPr>
          <w:rFonts w:ascii="Garamond" w:hAnsi="Garamond" w:cs="Segoe UI"/>
          <w:sz w:val="26"/>
          <w:szCs w:val="26"/>
          <w:lang w:val="it-IT"/>
        </w:rPr>
        <w:t xml:space="preserve">dal “diritto di accesso”, si concluderà che la sua tutela debba essere azionata con mezzi processuali differenti da quelli previsti </w:t>
      </w:r>
      <w:r w:rsidR="00DF2E9C">
        <w:rPr>
          <w:rFonts w:ascii="Garamond" w:hAnsi="Garamond" w:cs="Segoe UI"/>
          <w:sz w:val="26"/>
          <w:szCs w:val="26"/>
          <w:lang w:val="it-IT"/>
        </w:rPr>
        <w:t xml:space="preserve">dall’art. 116 c.p.a. </w:t>
      </w:r>
      <w:r w:rsidRPr="005C7EF0">
        <w:rPr>
          <w:rStyle w:val="Rimandonotaapidipagina"/>
          <w:rFonts w:ascii="Garamond" w:hAnsi="Garamond" w:cs="Segoe UI"/>
          <w:sz w:val="26"/>
          <w:szCs w:val="26"/>
          <w:lang w:val="it-IT"/>
        </w:rPr>
        <w:footnoteReference w:id="38"/>
      </w:r>
      <w:r w:rsidRPr="005C7EF0">
        <w:rPr>
          <w:rFonts w:ascii="Garamond" w:hAnsi="Garamond" w:cs="Segoe UI"/>
          <w:sz w:val="26"/>
          <w:szCs w:val="26"/>
          <w:lang w:val="it-IT"/>
        </w:rPr>
        <w:t xml:space="preserve"> e segnatamente con i rimedi giudiziali previsti avverso il “silenzio” della P.A. di cui agli artt. 31 e 117 del Codice del processo amministrativo </w:t>
      </w:r>
      <w:r w:rsidRPr="005C7EF0">
        <w:rPr>
          <w:rStyle w:val="Rimandonotaapidipagina"/>
          <w:rFonts w:ascii="Garamond" w:hAnsi="Garamond" w:cs="Segoe UI"/>
          <w:sz w:val="26"/>
          <w:szCs w:val="26"/>
          <w:lang w:val="it-IT"/>
        </w:rPr>
        <w:footnoteReference w:id="39"/>
      </w:r>
      <w:r w:rsidRPr="005C7EF0">
        <w:rPr>
          <w:rFonts w:ascii="Garamond" w:hAnsi="Garamond" w:cs="Segoe UI"/>
          <w:sz w:val="26"/>
          <w:szCs w:val="26"/>
          <w:lang w:val="it-IT"/>
        </w:rPr>
        <w:t>.</w:t>
      </w:r>
    </w:p>
    <w:p w14:paraId="2D797AE8" w14:textId="6890C501" w:rsidR="00597E7A" w:rsidRDefault="005C7EF0" w:rsidP="0055792A">
      <w:pPr>
        <w:spacing w:line="360" w:lineRule="auto"/>
        <w:ind w:left="567" w:right="567" w:firstLine="141"/>
        <w:jc w:val="both"/>
        <w:rPr>
          <w:rFonts w:ascii="Garamond" w:hAnsi="Garamond" w:cs="Segoe UI"/>
          <w:b/>
          <w:sz w:val="26"/>
          <w:szCs w:val="26"/>
        </w:rPr>
      </w:pPr>
      <w:bookmarkStart w:id="9" w:name="_Hlk89075937"/>
      <w:r w:rsidRPr="005C7EF0">
        <w:rPr>
          <w:rFonts w:ascii="Garamond" w:hAnsi="Garamond" w:cs="Segoe UI"/>
          <w:sz w:val="26"/>
          <w:szCs w:val="26"/>
        </w:rPr>
        <w:t xml:space="preserve">A diverse conclusioni si </w:t>
      </w:r>
      <w:r w:rsidR="00FE42AF">
        <w:rPr>
          <w:rFonts w:ascii="Garamond" w:hAnsi="Garamond" w:cs="Segoe UI"/>
          <w:sz w:val="26"/>
          <w:szCs w:val="26"/>
        </w:rPr>
        <w:t xml:space="preserve">dovrebbe </w:t>
      </w:r>
      <w:r w:rsidRPr="005C7EF0">
        <w:rPr>
          <w:rFonts w:ascii="Garamond" w:hAnsi="Garamond" w:cs="Segoe UI"/>
          <w:sz w:val="26"/>
          <w:szCs w:val="26"/>
        </w:rPr>
        <w:t>giunge</w:t>
      </w:r>
      <w:r w:rsidR="00FE42AF">
        <w:rPr>
          <w:rFonts w:ascii="Garamond" w:hAnsi="Garamond" w:cs="Segoe UI"/>
          <w:sz w:val="26"/>
          <w:szCs w:val="26"/>
        </w:rPr>
        <w:t>re</w:t>
      </w:r>
      <w:r w:rsidRPr="005C7EF0">
        <w:rPr>
          <w:rFonts w:ascii="Garamond" w:hAnsi="Garamond" w:cs="Segoe UI"/>
          <w:sz w:val="26"/>
          <w:szCs w:val="26"/>
        </w:rPr>
        <w:t>, invece, ove si riten</w:t>
      </w:r>
      <w:r w:rsidR="00FE42AF">
        <w:rPr>
          <w:rFonts w:ascii="Garamond" w:hAnsi="Garamond" w:cs="Segoe UI"/>
          <w:sz w:val="26"/>
          <w:szCs w:val="26"/>
        </w:rPr>
        <w:t>esse</w:t>
      </w:r>
      <w:r w:rsidRPr="005C7EF0">
        <w:rPr>
          <w:rFonts w:ascii="Garamond" w:hAnsi="Garamond" w:cs="Segoe UI"/>
          <w:sz w:val="26"/>
          <w:szCs w:val="26"/>
        </w:rPr>
        <w:t xml:space="preserve"> che il “diritto all’informazione” </w:t>
      </w:r>
      <w:r w:rsidR="00FE42AF">
        <w:rPr>
          <w:rFonts w:ascii="Garamond" w:hAnsi="Garamond" w:cs="Segoe UI"/>
          <w:sz w:val="26"/>
          <w:szCs w:val="26"/>
        </w:rPr>
        <w:t xml:space="preserve">sia </w:t>
      </w:r>
      <w:r w:rsidRPr="005C7EF0">
        <w:rPr>
          <w:rFonts w:ascii="Garamond" w:hAnsi="Garamond" w:cs="Segoe UI"/>
          <w:sz w:val="26"/>
          <w:szCs w:val="26"/>
        </w:rPr>
        <w:t>nella sostanza assimila</w:t>
      </w:r>
      <w:r w:rsidR="00FE42AF">
        <w:rPr>
          <w:rFonts w:ascii="Garamond" w:hAnsi="Garamond" w:cs="Segoe UI"/>
          <w:sz w:val="26"/>
          <w:szCs w:val="26"/>
        </w:rPr>
        <w:t>bile</w:t>
      </w:r>
      <w:r w:rsidRPr="005C7EF0">
        <w:rPr>
          <w:rFonts w:ascii="Garamond" w:hAnsi="Garamond" w:cs="Segoe UI"/>
          <w:sz w:val="26"/>
          <w:szCs w:val="26"/>
        </w:rPr>
        <w:t xml:space="preserve"> al “diritto di accesso”, potendo </w:t>
      </w:r>
      <w:r w:rsidR="00FE42AF">
        <w:rPr>
          <w:rFonts w:ascii="Garamond" w:hAnsi="Garamond" w:cs="Segoe UI"/>
          <w:sz w:val="26"/>
          <w:szCs w:val="26"/>
        </w:rPr>
        <w:t xml:space="preserve">il cittadino </w:t>
      </w:r>
      <w:r w:rsidR="00DF2E9C">
        <w:rPr>
          <w:rFonts w:ascii="Garamond" w:hAnsi="Garamond" w:cs="Segoe UI"/>
          <w:sz w:val="26"/>
          <w:szCs w:val="26"/>
        </w:rPr>
        <w:t xml:space="preserve">anche </w:t>
      </w:r>
      <w:r w:rsidRPr="005C7EF0">
        <w:rPr>
          <w:rFonts w:ascii="Garamond" w:hAnsi="Garamond" w:cs="Segoe UI"/>
          <w:sz w:val="26"/>
          <w:szCs w:val="26"/>
        </w:rPr>
        <w:t>in tal caso avvaler</w:t>
      </w:r>
      <w:r w:rsidR="00FE42AF">
        <w:rPr>
          <w:rFonts w:ascii="Garamond" w:hAnsi="Garamond" w:cs="Segoe UI"/>
          <w:sz w:val="26"/>
          <w:szCs w:val="26"/>
        </w:rPr>
        <w:t>si</w:t>
      </w:r>
      <w:r w:rsidRPr="005C7EF0">
        <w:rPr>
          <w:rFonts w:ascii="Garamond" w:hAnsi="Garamond" w:cs="Segoe UI"/>
          <w:sz w:val="26"/>
          <w:szCs w:val="26"/>
        </w:rPr>
        <w:t xml:space="preserve">, in caso di sua lesione, dei mezzi di tutela previsti dall’art. 116 </w:t>
      </w:r>
      <w:r w:rsidR="00DF2E9C">
        <w:rPr>
          <w:rFonts w:ascii="Garamond" w:hAnsi="Garamond" w:cs="Segoe UI"/>
          <w:sz w:val="26"/>
          <w:szCs w:val="26"/>
        </w:rPr>
        <w:t>c.p.a.</w:t>
      </w:r>
      <w:bookmarkEnd w:id="9"/>
      <w:r w:rsidR="00DF2E9C">
        <w:rPr>
          <w:rFonts w:ascii="Garamond" w:hAnsi="Garamond" w:cs="Segoe UI"/>
          <w:sz w:val="26"/>
          <w:szCs w:val="26"/>
        </w:rPr>
        <w:t xml:space="preserve"> </w:t>
      </w:r>
      <w:r w:rsidRPr="005C7EF0">
        <w:rPr>
          <w:rStyle w:val="Rimandonotaapidipagina"/>
          <w:rFonts w:ascii="Garamond" w:hAnsi="Garamond" w:cs="Segoe UI"/>
          <w:sz w:val="26"/>
          <w:szCs w:val="26"/>
        </w:rPr>
        <w:footnoteReference w:id="40"/>
      </w:r>
      <w:r w:rsidRPr="005C7EF0">
        <w:rPr>
          <w:rFonts w:ascii="Garamond" w:hAnsi="Garamond" w:cs="Segoe UI"/>
          <w:sz w:val="26"/>
          <w:szCs w:val="26"/>
        </w:rPr>
        <w:t>.</w:t>
      </w:r>
      <w:r w:rsidR="00C74571" w:rsidRPr="005C7EF0">
        <w:rPr>
          <w:rFonts w:ascii="Garamond" w:eastAsia="Times New Roman" w:hAnsi="Garamond" w:cs="Times New Roman"/>
          <w:color w:val="000000" w:themeColor="text1"/>
          <w:sz w:val="26"/>
          <w:szCs w:val="26"/>
        </w:rPr>
        <w:tab/>
      </w:r>
    </w:p>
    <w:p w14:paraId="3C6D7C75" w14:textId="48B0CCD7" w:rsidR="005A75D0" w:rsidRPr="0096055D" w:rsidRDefault="00EF6550" w:rsidP="00E259B2">
      <w:pPr>
        <w:spacing w:line="360" w:lineRule="auto"/>
        <w:ind w:left="567" w:right="567"/>
        <w:jc w:val="both"/>
        <w:rPr>
          <w:rFonts w:ascii="Garamond" w:eastAsia="Times New Roman" w:hAnsi="Garamond" w:cs="Times New Roman"/>
          <w:b/>
          <w:color w:val="000000" w:themeColor="text1"/>
          <w:sz w:val="26"/>
          <w:szCs w:val="26"/>
        </w:rPr>
      </w:pPr>
      <w:r>
        <w:rPr>
          <w:rFonts w:ascii="Garamond" w:eastAsia="Times New Roman" w:hAnsi="Garamond" w:cs="Times New Roman"/>
          <w:color w:val="000000" w:themeColor="text1"/>
          <w:sz w:val="26"/>
          <w:szCs w:val="26"/>
        </w:rPr>
        <w:tab/>
      </w:r>
      <w:r w:rsidR="007B2AEB" w:rsidRPr="007E2327">
        <w:rPr>
          <w:rFonts w:ascii="Garamond" w:eastAsia="Times New Roman" w:hAnsi="Garamond" w:cs="Times New Roman"/>
          <w:color w:val="000000" w:themeColor="text1"/>
          <w:sz w:val="26"/>
          <w:szCs w:val="26"/>
        </w:rPr>
        <w:tab/>
      </w:r>
      <w:r w:rsidR="007B2AEB" w:rsidRPr="007E2327">
        <w:rPr>
          <w:rFonts w:ascii="Garamond" w:eastAsia="Times New Roman" w:hAnsi="Garamond" w:cs="Times New Roman"/>
          <w:color w:val="000000" w:themeColor="text1"/>
          <w:sz w:val="26"/>
          <w:szCs w:val="26"/>
        </w:rPr>
        <w:tab/>
      </w:r>
      <w:r w:rsidR="007B2AEB" w:rsidRPr="007E2327">
        <w:rPr>
          <w:rFonts w:ascii="Garamond" w:eastAsia="Times New Roman" w:hAnsi="Garamond" w:cs="Times New Roman"/>
          <w:color w:val="000000" w:themeColor="text1"/>
          <w:sz w:val="26"/>
          <w:szCs w:val="26"/>
        </w:rPr>
        <w:tab/>
      </w:r>
      <w:r w:rsidR="007B2AEB" w:rsidRPr="007E2327">
        <w:rPr>
          <w:rFonts w:ascii="Garamond" w:eastAsia="Times New Roman" w:hAnsi="Garamond" w:cs="Times New Roman"/>
          <w:color w:val="000000" w:themeColor="text1"/>
          <w:sz w:val="26"/>
          <w:szCs w:val="26"/>
        </w:rPr>
        <w:tab/>
      </w:r>
      <w:r w:rsidR="007B2AEB" w:rsidRPr="007E2327">
        <w:rPr>
          <w:rFonts w:ascii="Garamond" w:eastAsia="Times New Roman" w:hAnsi="Garamond" w:cs="Times New Roman"/>
          <w:color w:val="000000" w:themeColor="text1"/>
          <w:sz w:val="26"/>
          <w:szCs w:val="26"/>
        </w:rPr>
        <w:tab/>
      </w:r>
      <w:r w:rsidR="007B2AEB" w:rsidRPr="007E2327">
        <w:rPr>
          <w:rFonts w:ascii="Garamond" w:eastAsia="Times New Roman" w:hAnsi="Garamond" w:cs="Times New Roman"/>
          <w:color w:val="000000" w:themeColor="text1"/>
          <w:sz w:val="26"/>
          <w:szCs w:val="26"/>
        </w:rPr>
        <w:tab/>
      </w:r>
      <w:r w:rsidR="007B2AEB" w:rsidRPr="007E2327">
        <w:rPr>
          <w:rFonts w:ascii="Garamond" w:eastAsia="Times New Roman" w:hAnsi="Garamond" w:cs="Times New Roman"/>
          <w:color w:val="000000" w:themeColor="text1"/>
          <w:sz w:val="26"/>
          <w:szCs w:val="26"/>
        </w:rPr>
        <w:tab/>
      </w:r>
      <w:r w:rsidR="007B2AEB" w:rsidRPr="007E2327">
        <w:rPr>
          <w:rFonts w:ascii="Garamond" w:eastAsia="Times New Roman" w:hAnsi="Garamond" w:cs="Times New Roman"/>
          <w:color w:val="000000" w:themeColor="text1"/>
          <w:sz w:val="26"/>
          <w:szCs w:val="26"/>
        </w:rPr>
        <w:tab/>
      </w:r>
      <w:r w:rsidR="007B2AEB" w:rsidRPr="0096055D">
        <w:rPr>
          <w:rFonts w:ascii="Garamond" w:eastAsia="Times New Roman" w:hAnsi="Garamond" w:cs="Times New Roman"/>
          <w:b/>
          <w:color w:val="000000" w:themeColor="text1"/>
          <w:sz w:val="26"/>
          <w:szCs w:val="26"/>
        </w:rPr>
        <w:tab/>
      </w:r>
      <w:r w:rsidR="005A75D0" w:rsidRPr="0096055D">
        <w:rPr>
          <w:rFonts w:ascii="Garamond" w:eastAsia="Times New Roman" w:hAnsi="Garamond" w:cs="Times New Roman"/>
          <w:b/>
          <w:color w:val="000000" w:themeColor="text1"/>
          <w:sz w:val="26"/>
          <w:szCs w:val="26"/>
        </w:rPr>
        <w:t>Andrea Berti</w:t>
      </w:r>
    </w:p>
    <w:p w14:paraId="4F4C668D" w14:textId="0DAFE4F4" w:rsidR="007B2AEB" w:rsidRDefault="007B2AEB" w:rsidP="00E259B2">
      <w:pPr>
        <w:spacing w:line="360" w:lineRule="auto"/>
        <w:ind w:left="567" w:right="567"/>
        <w:jc w:val="both"/>
        <w:rPr>
          <w:rFonts w:ascii="Garamond" w:eastAsia="Times New Roman" w:hAnsi="Garamond" w:cs="Times New Roman"/>
          <w:color w:val="000000" w:themeColor="text1"/>
          <w:sz w:val="26"/>
          <w:szCs w:val="26"/>
        </w:rPr>
      </w:pPr>
      <w:r w:rsidRPr="007E2327">
        <w:rPr>
          <w:rFonts w:ascii="Garamond" w:eastAsia="Times New Roman" w:hAnsi="Garamond" w:cs="Times New Roman"/>
          <w:color w:val="000000" w:themeColor="text1"/>
          <w:sz w:val="26"/>
          <w:szCs w:val="26"/>
        </w:rPr>
        <w:tab/>
      </w:r>
      <w:r w:rsidRPr="007E2327">
        <w:rPr>
          <w:rFonts w:ascii="Garamond" w:eastAsia="Times New Roman" w:hAnsi="Garamond" w:cs="Times New Roman"/>
          <w:color w:val="000000" w:themeColor="text1"/>
          <w:sz w:val="26"/>
          <w:szCs w:val="26"/>
        </w:rPr>
        <w:tab/>
      </w:r>
      <w:r w:rsidRPr="007E2327">
        <w:rPr>
          <w:rFonts w:ascii="Garamond" w:eastAsia="Times New Roman" w:hAnsi="Garamond" w:cs="Times New Roman"/>
          <w:color w:val="000000" w:themeColor="text1"/>
          <w:sz w:val="26"/>
          <w:szCs w:val="26"/>
        </w:rPr>
        <w:tab/>
      </w:r>
      <w:r w:rsidRPr="007E2327">
        <w:rPr>
          <w:rFonts w:ascii="Garamond" w:eastAsia="Times New Roman" w:hAnsi="Garamond" w:cs="Times New Roman"/>
          <w:color w:val="000000" w:themeColor="text1"/>
          <w:sz w:val="26"/>
          <w:szCs w:val="26"/>
        </w:rPr>
        <w:tab/>
      </w:r>
      <w:r w:rsidRPr="007E2327">
        <w:rPr>
          <w:rFonts w:ascii="Garamond" w:eastAsia="Times New Roman" w:hAnsi="Garamond" w:cs="Times New Roman"/>
          <w:color w:val="000000" w:themeColor="text1"/>
          <w:sz w:val="26"/>
          <w:szCs w:val="26"/>
        </w:rPr>
        <w:tab/>
      </w:r>
      <w:r w:rsidRPr="007E2327">
        <w:rPr>
          <w:rFonts w:ascii="Garamond" w:eastAsia="Times New Roman" w:hAnsi="Garamond" w:cs="Times New Roman"/>
          <w:color w:val="000000" w:themeColor="text1"/>
          <w:sz w:val="26"/>
          <w:szCs w:val="26"/>
        </w:rPr>
        <w:tab/>
      </w:r>
      <w:r w:rsidRPr="007E2327">
        <w:rPr>
          <w:rFonts w:ascii="Garamond" w:eastAsia="Times New Roman" w:hAnsi="Garamond" w:cs="Times New Roman"/>
          <w:color w:val="000000" w:themeColor="text1"/>
          <w:sz w:val="26"/>
          <w:szCs w:val="26"/>
        </w:rPr>
        <w:tab/>
      </w:r>
      <w:r w:rsidRPr="007E2327">
        <w:rPr>
          <w:rFonts w:ascii="Garamond" w:eastAsia="Times New Roman" w:hAnsi="Garamond" w:cs="Times New Roman"/>
          <w:color w:val="000000" w:themeColor="text1"/>
          <w:sz w:val="26"/>
          <w:szCs w:val="26"/>
        </w:rPr>
        <w:tab/>
      </w:r>
      <w:r w:rsidRPr="007E2327">
        <w:rPr>
          <w:rFonts w:ascii="Garamond" w:eastAsia="Times New Roman" w:hAnsi="Garamond" w:cs="Times New Roman"/>
          <w:color w:val="000000" w:themeColor="text1"/>
          <w:sz w:val="26"/>
          <w:szCs w:val="26"/>
        </w:rPr>
        <w:tab/>
      </w:r>
      <w:r w:rsidRPr="007E2327">
        <w:rPr>
          <w:rFonts w:ascii="Garamond" w:eastAsia="Times New Roman" w:hAnsi="Garamond" w:cs="Times New Roman"/>
          <w:color w:val="000000" w:themeColor="text1"/>
          <w:sz w:val="26"/>
          <w:szCs w:val="26"/>
        </w:rPr>
        <w:tab/>
        <w:t xml:space="preserve">   Avvocato</w:t>
      </w:r>
    </w:p>
    <w:p w14:paraId="2FEF0BFB" w14:textId="7B8D62AA" w:rsidR="0096055D" w:rsidRPr="007E2327" w:rsidRDefault="0096055D" w:rsidP="0096055D">
      <w:pPr>
        <w:spacing w:line="360" w:lineRule="auto"/>
        <w:ind w:left="567" w:right="567"/>
        <w:jc w:val="right"/>
        <w:rPr>
          <w:rFonts w:ascii="Garamond" w:eastAsia="Times New Roman" w:hAnsi="Garamond" w:cs="Times New Roman"/>
          <w:color w:val="000000" w:themeColor="text1"/>
          <w:sz w:val="26"/>
          <w:szCs w:val="26"/>
        </w:rPr>
      </w:pPr>
      <w:r>
        <w:rPr>
          <w:rFonts w:ascii="Garamond" w:eastAsia="Times New Roman" w:hAnsi="Garamond" w:cs="Times New Roman"/>
          <w:color w:val="000000" w:themeColor="text1"/>
          <w:sz w:val="26"/>
          <w:szCs w:val="26"/>
        </w:rPr>
        <w:t>Pubblicato il 29 novembre 2021</w:t>
      </w:r>
    </w:p>
    <w:p w14:paraId="41070517" w14:textId="77777777" w:rsidR="000217C9" w:rsidRPr="00E259B2" w:rsidRDefault="000217C9" w:rsidP="004A7938">
      <w:pPr>
        <w:spacing w:line="360" w:lineRule="auto"/>
        <w:ind w:left="567" w:right="567"/>
        <w:jc w:val="both"/>
        <w:rPr>
          <w:rFonts w:ascii="Garamond" w:hAnsi="Garamond" w:cs="Times New Roman"/>
          <w:b/>
          <w:color w:val="000000" w:themeColor="text1"/>
          <w:sz w:val="26"/>
          <w:szCs w:val="26"/>
        </w:rPr>
      </w:pPr>
    </w:p>
    <w:sectPr w:rsidR="000217C9" w:rsidRPr="00E259B2" w:rsidSect="00180DD3">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D86A9" w14:textId="77777777" w:rsidR="002D2CE6" w:rsidRDefault="002D2CE6" w:rsidP="003210CC">
      <w:r>
        <w:separator/>
      </w:r>
    </w:p>
  </w:endnote>
  <w:endnote w:type="continuationSeparator" w:id="0">
    <w:p w14:paraId="07112363" w14:textId="77777777" w:rsidR="002D2CE6" w:rsidRDefault="002D2CE6" w:rsidP="0032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00"/>
    <w:family w:val="roman"/>
    <w:pitch w:val="variable"/>
    <w:sig w:usb0="E00006FF" w:usb1="420024FF" w:usb2="02000000" w:usb3="00000000" w:csb0="0000019F" w:csb1="00000000"/>
  </w:font>
  <w:font w:name="Times Nordic">
    <w:altName w:val="Times New Roman"/>
    <w:panose1 w:val="00000000000000000000"/>
    <w:charset w:val="00"/>
    <w:family w:val="roman"/>
    <w:notTrueType/>
    <w:pitch w:val="default"/>
  </w:font>
  <w:font w:name="Garamond">
    <w:altName w:val="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OpenSymbol">
    <w:charset w:val="00"/>
    <w:family w:val="auto"/>
    <w:pitch w:val="default"/>
  </w:font>
  <w:font w:name="Arial Unicode MS">
    <w:altName w:val="Arial"/>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76000"/>
      <w:docPartObj>
        <w:docPartGallery w:val="Page Numbers (Bottom of Page)"/>
        <w:docPartUnique/>
      </w:docPartObj>
    </w:sdtPr>
    <w:sdtEndPr/>
    <w:sdtContent>
      <w:p w14:paraId="0EBA2D99" w14:textId="256469DB" w:rsidR="00A80062" w:rsidRDefault="00A80062">
        <w:pPr>
          <w:pStyle w:val="Pidipagina"/>
          <w:jc w:val="center"/>
        </w:pPr>
        <w:r>
          <w:rPr>
            <w:noProof/>
          </w:rPr>
          <w:fldChar w:fldCharType="begin"/>
        </w:r>
        <w:r>
          <w:rPr>
            <w:noProof/>
          </w:rPr>
          <w:instrText xml:space="preserve"> PAGE   \* MERGEFORMAT </w:instrText>
        </w:r>
        <w:r>
          <w:rPr>
            <w:noProof/>
          </w:rPr>
          <w:fldChar w:fldCharType="separate"/>
        </w:r>
        <w:r w:rsidR="0096055D">
          <w:rPr>
            <w:noProof/>
          </w:rPr>
          <w:t>1</w:t>
        </w:r>
        <w:r>
          <w:rPr>
            <w:noProof/>
          </w:rPr>
          <w:fldChar w:fldCharType="end"/>
        </w:r>
      </w:p>
    </w:sdtContent>
  </w:sdt>
  <w:p w14:paraId="1773F544" w14:textId="77777777" w:rsidR="00A80062" w:rsidRDefault="00A800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47E3D" w14:textId="77777777" w:rsidR="002D2CE6" w:rsidRDefault="002D2CE6" w:rsidP="003210CC">
      <w:r>
        <w:separator/>
      </w:r>
    </w:p>
  </w:footnote>
  <w:footnote w:type="continuationSeparator" w:id="0">
    <w:p w14:paraId="29097595" w14:textId="77777777" w:rsidR="002D2CE6" w:rsidRDefault="002D2CE6" w:rsidP="003210CC">
      <w:r>
        <w:continuationSeparator/>
      </w:r>
    </w:p>
  </w:footnote>
  <w:footnote w:id="1">
    <w:p w14:paraId="36DE957A" w14:textId="77777777" w:rsidR="00A80062" w:rsidRPr="0089042B" w:rsidRDefault="00A80062" w:rsidP="003E7BD2">
      <w:pPr>
        <w:ind w:left="567" w:right="567"/>
        <w:jc w:val="both"/>
        <w:rPr>
          <w:rFonts w:ascii="Garamond" w:hAnsi="Garamond"/>
          <w:sz w:val="22"/>
          <w:szCs w:val="22"/>
        </w:rPr>
      </w:pPr>
      <w:r w:rsidRPr="0052012D">
        <w:rPr>
          <w:rStyle w:val="Rimandonotaapidipagina"/>
          <w:rFonts w:ascii="Garamond" w:hAnsi="Garamond"/>
          <w:sz w:val="22"/>
          <w:szCs w:val="22"/>
        </w:rPr>
        <w:footnoteRef/>
      </w:r>
      <w:r w:rsidRPr="0052012D">
        <w:rPr>
          <w:rFonts w:ascii="Garamond" w:hAnsi="Garamond"/>
          <w:sz w:val="22"/>
          <w:szCs w:val="22"/>
        </w:rPr>
        <w:t xml:space="preserve"> Art. 1, comma 3, </w:t>
      </w:r>
      <w:r>
        <w:rPr>
          <w:rFonts w:ascii="Garamond" w:hAnsi="Garamond"/>
          <w:sz w:val="22"/>
          <w:szCs w:val="22"/>
        </w:rPr>
        <w:t>l</w:t>
      </w:r>
      <w:r w:rsidRPr="0052012D">
        <w:rPr>
          <w:rFonts w:ascii="Garamond" w:hAnsi="Garamond"/>
          <w:sz w:val="22"/>
          <w:szCs w:val="22"/>
        </w:rPr>
        <w:t xml:space="preserve">. n. 833 del 1978 prevede che </w:t>
      </w:r>
      <w:r w:rsidRPr="0052012D">
        <w:rPr>
          <w:rFonts w:ascii="Garamond" w:hAnsi="Garamond" w:cs="Calibri"/>
          <w:i/>
          <w:sz w:val="22"/>
          <w:szCs w:val="22"/>
        </w:rPr>
        <w:t>“… L'attuazione del servizio sanitario nazionale compete allo Stato, alle regioni e agli enti locali territoriali, garantendo la partecipazione dei cittadini.“</w:t>
      </w:r>
      <w:r w:rsidRPr="0052012D">
        <w:rPr>
          <w:rFonts w:ascii="Garamond" w:hAnsi="Garamond" w:cs="Calibri"/>
          <w:sz w:val="22"/>
          <w:szCs w:val="22"/>
        </w:rPr>
        <w:t>.</w:t>
      </w:r>
    </w:p>
  </w:footnote>
  <w:footnote w:id="2">
    <w:p w14:paraId="14192976" w14:textId="77777777" w:rsidR="00A80062" w:rsidRPr="00471EC2" w:rsidRDefault="00A80062" w:rsidP="003E7BD2">
      <w:pPr>
        <w:ind w:left="567" w:right="567"/>
        <w:jc w:val="both"/>
        <w:rPr>
          <w:rFonts w:ascii="Garamond" w:hAnsi="Garamond"/>
          <w:sz w:val="22"/>
          <w:szCs w:val="22"/>
        </w:rPr>
      </w:pPr>
      <w:r w:rsidRPr="0052012D">
        <w:rPr>
          <w:rStyle w:val="Rimandonotaapidipagina"/>
          <w:rFonts w:ascii="Garamond" w:hAnsi="Garamond"/>
          <w:sz w:val="22"/>
          <w:szCs w:val="22"/>
        </w:rPr>
        <w:footnoteRef/>
      </w:r>
      <w:r w:rsidRPr="00DE1F54">
        <w:rPr>
          <w:rFonts w:ascii="Garamond" w:hAnsi="Garamond"/>
          <w:sz w:val="22"/>
          <w:szCs w:val="22"/>
          <w:lang w:val="en-US"/>
        </w:rPr>
        <w:t xml:space="preserve"> </w:t>
      </w:r>
      <w:r w:rsidRPr="00DE1F54">
        <w:rPr>
          <w:rFonts w:ascii="Garamond" w:hAnsi="Garamond" w:cs="Calibri"/>
          <w:sz w:val="22"/>
          <w:szCs w:val="22"/>
          <w:lang w:val="en-US"/>
        </w:rPr>
        <w:t xml:space="preserve">Art. 14 d.lgs. n. 502 del 1992: </w:t>
      </w:r>
      <w:r w:rsidRPr="00DE1F54">
        <w:rPr>
          <w:rFonts w:ascii="Garamond" w:hAnsi="Garamond" w:cs="Calibri"/>
          <w:i/>
          <w:sz w:val="22"/>
          <w:szCs w:val="22"/>
          <w:lang w:val="en-US"/>
        </w:rPr>
        <w:t xml:space="preserve">“1. </w:t>
      </w:r>
      <w:r w:rsidRPr="00471EC2">
        <w:rPr>
          <w:rFonts w:ascii="Garamond" w:hAnsi="Garamond" w:cs="Calibri"/>
          <w:i/>
          <w:sz w:val="22"/>
          <w:szCs w:val="22"/>
        </w:rPr>
        <w:t>Al fine di garantire il costante adeguamento delle strutture e delle prestazioni sanitarie alle esigenze dei cittadini utenti del Servizio sanitario nazionale il Ministro della sanità definisce con proprio decreto, d'intesa con la Conferenza permanente per i rapporti tra lo Stato, le regioni e le province autonome i contenuti e le modalità di utilizzo degli indicatori di qualità dei servizi e delle prestazioni sanitarie relativamente alla personalizzazione ed umanizzazione dell'assistenza, al diritto all'informazione, alle prestazioni alberghiere, nonché dell'andamento delle attività di prevenzione delle malattie. ….. 4. Al fine di favorire l'orientamento dei cittadini nel Servizio sanitario nazionale, le unità sanitarie locali e le aziende ospedaliere provvedono ad attivare un efficace sistema di informazione sulle prestazioni erogate, sulle tariffe, sulle modalità di accesso ai servizi. … 6. Al fine di favorire l'esercizio del diritto di libera scelta del medico e del presidio di cura, il Ministero della sanità cura la pubblicazione dell'elenco di tutte le istituzioni pubbliche e private che erogano prestazioni di alta specialità, con l'indicazione delle apparecchiature di alta tecnologia in dotazione nonché delle tariffe praticate per le prestazioni più rilevanti. …“</w:t>
      </w:r>
      <w:r w:rsidRPr="00471EC2">
        <w:rPr>
          <w:rFonts w:ascii="Garamond" w:hAnsi="Garamond" w:cs="Calibri"/>
          <w:sz w:val="22"/>
          <w:szCs w:val="22"/>
        </w:rPr>
        <w:t>.</w:t>
      </w:r>
    </w:p>
  </w:footnote>
  <w:footnote w:id="3">
    <w:p w14:paraId="245859ED" w14:textId="77777777" w:rsidR="00A80062" w:rsidRPr="00471EC2" w:rsidRDefault="00A80062" w:rsidP="003E7BD2">
      <w:pPr>
        <w:ind w:left="567" w:right="567"/>
        <w:jc w:val="both"/>
        <w:rPr>
          <w:rFonts w:ascii="Garamond" w:hAnsi="Garamond"/>
          <w:sz w:val="22"/>
          <w:szCs w:val="22"/>
        </w:rPr>
      </w:pPr>
      <w:r w:rsidRPr="0052012D">
        <w:rPr>
          <w:rStyle w:val="Rimandonotaapidipagina"/>
          <w:rFonts w:ascii="Garamond" w:hAnsi="Garamond"/>
          <w:sz w:val="22"/>
          <w:szCs w:val="22"/>
        </w:rPr>
        <w:footnoteRef/>
      </w:r>
      <w:r w:rsidRPr="0052012D">
        <w:rPr>
          <w:rFonts w:ascii="Garamond" w:hAnsi="Garamond"/>
          <w:sz w:val="22"/>
          <w:szCs w:val="22"/>
        </w:rPr>
        <w:t xml:space="preserve"> </w:t>
      </w:r>
      <w:r>
        <w:rPr>
          <w:rFonts w:ascii="Garamond" w:hAnsi="Garamond" w:cs="Calibri"/>
          <w:sz w:val="22"/>
          <w:szCs w:val="22"/>
        </w:rPr>
        <w:t>L’a</w:t>
      </w:r>
      <w:r w:rsidRPr="00471EC2">
        <w:rPr>
          <w:rFonts w:ascii="Garamond" w:hAnsi="Garamond" w:cs="Calibri"/>
          <w:sz w:val="22"/>
          <w:szCs w:val="22"/>
        </w:rPr>
        <w:t xml:space="preserve">rt. 41 </w:t>
      </w:r>
      <w:r>
        <w:rPr>
          <w:rFonts w:ascii="Garamond" w:hAnsi="Garamond" w:cs="Calibri"/>
          <w:sz w:val="22"/>
          <w:szCs w:val="22"/>
        </w:rPr>
        <w:t xml:space="preserve">del d.lgs. n. 33 del 2013 </w:t>
      </w:r>
      <w:r w:rsidRPr="00471EC2">
        <w:rPr>
          <w:rFonts w:ascii="Garamond" w:hAnsi="Garamond" w:cs="Calibri"/>
          <w:sz w:val="22"/>
          <w:szCs w:val="22"/>
        </w:rPr>
        <w:t>(Trasparenza de</w:t>
      </w:r>
      <w:r>
        <w:rPr>
          <w:rFonts w:ascii="Garamond" w:hAnsi="Garamond" w:cs="Calibri"/>
          <w:sz w:val="22"/>
          <w:szCs w:val="22"/>
        </w:rPr>
        <w:t xml:space="preserve">l servizio sanitario nazionale), così dispone: </w:t>
      </w:r>
      <w:r w:rsidRPr="00471EC2">
        <w:rPr>
          <w:rFonts w:ascii="Garamond" w:hAnsi="Garamond" w:cs="Calibri"/>
          <w:i/>
          <w:sz w:val="22"/>
          <w:szCs w:val="22"/>
        </w:rPr>
        <w:t>“1. Le amministrazioni e gli enti del servizio sanitario nazionale, dei servizi sanitari regionali, ivi comprese le aziende sanitarie territoriali ed ospedaliere, le agenzie e gli altri enti ed organismi pubblici che svolgono attività di programmazione e fornitura dei servizi sanitari, sono tenute all'adempimento di tutti gli obblighi di pubblicazione previsti dalla normativa vigente.</w:t>
      </w:r>
      <w:r>
        <w:rPr>
          <w:rFonts w:ascii="Garamond" w:hAnsi="Garamond" w:cs="Calibri"/>
          <w:i/>
          <w:sz w:val="22"/>
          <w:szCs w:val="22"/>
        </w:rPr>
        <w:t xml:space="preserve"> </w:t>
      </w:r>
      <w:r w:rsidRPr="00471EC2">
        <w:rPr>
          <w:rFonts w:ascii="Garamond" w:hAnsi="Garamond" w:cs="Calibri"/>
          <w:i/>
          <w:sz w:val="22"/>
          <w:szCs w:val="22"/>
        </w:rPr>
        <w:t>1-bis. Le amministrazioni di cui al comma 1 pubblicano altresì, nei loro siti istituzionali, i dati relativi a tutte le spese e a tutti i pagamenti effettuati, distinti per tipologia di lavoro, bene o servizio, e ne permettono la consultazione, in forma sintetica e aggregata, in relazione alla tipologia di spesa sostenuta, all'ambito temporale di riferimento e ai beneficiari.</w:t>
      </w:r>
      <w:r>
        <w:rPr>
          <w:rFonts w:ascii="Garamond" w:hAnsi="Garamond" w:cs="Calibri"/>
          <w:i/>
          <w:sz w:val="22"/>
          <w:szCs w:val="22"/>
        </w:rPr>
        <w:t xml:space="preserve"> </w:t>
      </w:r>
      <w:r w:rsidRPr="00471EC2">
        <w:rPr>
          <w:rFonts w:ascii="Garamond" w:hAnsi="Garamond" w:cs="Calibri"/>
          <w:i/>
          <w:sz w:val="22"/>
          <w:szCs w:val="22"/>
        </w:rPr>
        <w:t>2 Le aziende sanitarie ed ospedaliere pubblicano tutte le informazioni e i dati concernenti le procedure di conferimento degli incarichi di direttore generale, direttore sanitario e direttore amministrativo, nonché degli incarichi di responsabile di dipartimento e di strutture semplici e complesse, ivi compresi i bandi e gli avvisi di selezione, lo svolgimento delle relative procedure, gli atti di conferimento.</w:t>
      </w:r>
      <w:r>
        <w:rPr>
          <w:rFonts w:ascii="Garamond" w:hAnsi="Garamond" w:cs="Calibri"/>
          <w:i/>
          <w:sz w:val="22"/>
          <w:szCs w:val="22"/>
        </w:rPr>
        <w:t xml:space="preserve"> </w:t>
      </w:r>
      <w:r w:rsidRPr="00471EC2">
        <w:rPr>
          <w:rFonts w:ascii="Garamond" w:hAnsi="Garamond" w:cs="Calibri"/>
          <w:i/>
          <w:sz w:val="22"/>
          <w:szCs w:val="22"/>
        </w:rPr>
        <w:t>3 Alla dirigenza sanitaria di cui al comma 2 [fatta eccezione per i responsabili di strutture semplici] si applicano gli obblighi di pubblicazione di cui all’articolo 15. Per attività professionali, ai sensi del comma 1, lettera c) dell'articolo 15, si intendono anche le prestazioni professionali svolte in regime intramurario.</w:t>
      </w:r>
      <w:r>
        <w:rPr>
          <w:rFonts w:ascii="Garamond" w:hAnsi="Garamond" w:cs="Calibri"/>
          <w:i/>
          <w:sz w:val="22"/>
          <w:szCs w:val="22"/>
        </w:rPr>
        <w:t xml:space="preserve"> </w:t>
      </w:r>
      <w:r w:rsidRPr="00471EC2">
        <w:rPr>
          <w:rFonts w:ascii="Garamond" w:hAnsi="Garamond" w:cs="Calibri"/>
          <w:i/>
          <w:sz w:val="22"/>
          <w:szCs w:val="22"/>
        </w:rPr>
        <w:t>4 E' pubblicato e annualmente aggiornato l'elenco delle strutture sanitarie private accreditate. Sono altresì pubblicati gli accordi con esse intercorsi.</w:t>
      </w:r>
      <w:r>
        <w:rPr>
          <w:rFonts w:ascii="Garamond" w:hAnsi="Garamond" w:cs="Calibri"/>
          <w:i/>
          <w:sz w:val="22"/>
          <w:szCs w:val="22"/>
        </w:rPr>
        <w:t xml:space="preserve"> </w:t>
      </w:r>
      <w:r w:rsidRPr="00471EC2">
        <w:rPr>
          <w:rFonts w:ascii="Garamond" w:hAnsi="Garamond" w:cs="Calibri"/>
          <w:i/>
          <w:sz w:val="22"/>
          <w:szCs w:val="22"/>
        </w:rPr>
        <w:t>5. Le regioni includono il rispetto di obblighi di pubblicità previsti dalla normativa vigente fra i requisiti necessari all'accreditamento delle strutture sanitarie.</w:t>
      </w:r>
      <w:r>
        <w:rPr>
          <w:rFonts w:ascii="Garamond" w:hAnsi="Garamond" w:cs="Calibri"/>
          <w:i/>
          <w:sz w:val="22"/>
          <w:szCs w:val="22"/>
        </w:rPr>
        <w:t xml:space="preserve"> </w:t>
      </w:r>
      <w:r w:rsidRPr="00471EC2">
        <w:rPr>
          <w:rFonts w:ascii="Garamond" w:hAnsi="Garamond" w:cs="Calibri"/>
          <w:i/>
          <w:sz w:val="22"/>
          <w:szCs w:val="22"/>
        </w:rPr>
        <w:t>6. Gli enti, le aziende e le strutture pubbliche e private che erogano prestazioni per conto del servizio sanitario sono tenuti ad indicare nel proprio sito, in una apposita sezione denominata «Liste di attesa», i criteri di formazione delle liste di attesa, i tempi di attesa previsti e i tempi medi effettivi di attesa per ciascuna tipologia di prestazione erogata.“</w:t>
      </w:r>
      <w:r w:rsidRPr="00471EC2">
        <w:rPr>
          <w:rFonts w:ascii="Garamond" w:hAnsi="Garamond" w:cs="Calibri"/>
          <w:sz w:val="22"/>
          <w:szCs w:val="22"/>
        </w:rPr>
        <w:t>.</w:t>
      </w:r>
    </w:p>
  </w:footnote>
  <w:footnote w:id="4">
    <w:p w14:paraId="6C7EAC91" w14:textId="77777777" w:rsidR="00A80062" w:rsidRPr="00471EC2" w:rsidRDefault="00A80062" w:rsidP="003E7BD2">
      <w:pPr>
        <w:pStyle w:val="Nessunaspaziatura"/>
        <w:ind w:left="567" w:right="567"/>
        <w:jc w:val="both"/>
        <w:rPr>
          <w:rFonts w:ascii="Garamond" w:hAnsi="Garamond"/>
          <w:sz w:val="22"/>
          <w:szCs w:val="22"/>
        </w:rPr>
      </w:pPr>
      <w:r w:rsidRPr="0052012D">
        <w:rPr>
          <w:rStyle w:val="Rimandonotaapidipagina"/>
          <w:rFonts w:ascii="Garamond" w:hAnsi="Garamond"/>
          <w:sz w:val="22"/>
          <w:szCs w:val="22"/>
        </w:rPr>
        <w:footnoteRef/>
      </w:r>
      <w:r w:rsidRPr="0052012D">
        <w:rPr>
          <w:rFonts w:ascii="Garamond" w:hAnsi="Garamond"/>
          <w:sz w:val="22"/>
          <w:szCs w:val="22"/>
        </w:rPr>
        <w:t xml:space="preserve"> </w:t>
      </w:r>
      <w:r>
        <w:rPr>
          <w:rFonts w:ascii="Garamond" w:hAnsi="Garamond" w:cs="Calibri"/>
          <w:sz w:val="22"/>
          <w:szCs w:val="22"/>
        </w:rPr>
        <w:t>L’a</w:t>
      </w:r>
      <w:r w:rsidRPr="00471EC2">
        <w:rPr>
          <w:rFonts w:ascii="Garamond" w:hAnsi="Garamond" w:cs="Calibri"/>
          <w:sz w:val="22"/>
          <w:szCs w:val="22"/>
        </w:rPr>
        <w:t>rt.</w:t>
      </w:r>
      <w:r>
        <w:rPr>
          <w:rFonts w:ascii="Garamond" w:hAnsi="Garamond" w:cs="Calibri"/>
          <w:sz w:val="22"/>
          <w:szCs w:val="22"/>
        </w:rPr>
        <w:t xml:space="preserve"> 4 della l. n. 24 del 2017 prevede quanto segue: </w:t>
      </w:r>
      <w:r w:rsidRPr="009C57D3">
        <w:rPr>
          <w:rFonts w:ascii="Garamond" w:hAnsi="Garamond" w:cs="Calibri"/>
          <w:i/>
          <w:sz w:val="22"/>
          <w:szCs w:val="22"/>
        </w:rPr>
        <w:t>“1. Le prestazioni sanitarie erogate dalle strutture pubbliche e private sono soggette all'obbligo di trasparenza, nel rispetto del codice in materia di protezione dei dati personali, di cui al decreto legislativo 30 giugno 2003, n. 196.</w:t>
      </w:r>
      <w:r>
        <w:rPr>
          <w:rFonts w:ascii="Garamond" w:hAnsi="Garamond" w:cs="Calibri"/>
          <w:i/>
          <w:sz w:val="22"/>
          <w:szCs w:val="22"/>
        </w:rPr>
        <w:t xml:space="preserve"> </w:t>
      </w:r>
      <w:r w:rsidRPr="009C57D3">
        <w:rPr>
          <w:rFonts w:ascii="Garamond" w:hAnsi="Garamond" w:cs="Calibri"/>
          <w:i/>
          <w:sz w:val="22"/>
          <w:szCs w:val="22"/>
        </w:rPr>
        <w:t>2. La direzione sanitaria della struttura pubblica o privata, entro sette giorni dalla presentazione della richiesta da parte degli interessati aventi diritto, in conformità alla disciplina sull'accesso ai documenti amministrativi e a quanto previsto dal codice in materia di protezione dei dati personali, di cui al decreto legislativo 30 giugno 2003, n. 196, fornisce la documentazione sanitaria disponibile relativa al paziente, preferibilmente in formato elettronico; le eventuali integrazioni sono fornite, in ogni caso, entro il termine massimo di trenta giorni dalla presentazione della suddetta richiesta. Entro novanta giorni dalla data di entrata in vigore della presente legge, le strutture sanitarie pubbliche e private adeguano i regolamenti interni adottati in attuazione della legge 7 agosto 1990, n. 241, alle disposizioni del presente comma.</w:t>
      </w:r>
      <w:r>
        <w:rPr>
          <w:rFonts w:ascii="Garamond" w:hAnsi="Garamond" w:cs="Calibri"/>
          <w:i/>
          <w:sz w:val="22"/>
          <w:szCs w:val="22"/>
        </w:rPr>
        <w:t xml:space="preserve"> </w:t>
      </w:r>
      <w:r w:rsidRPr="009C57D3">
        <w:rPr>
          <w:rFonts w:ascii="Garamond" w:hAnsi="Garamond" w:cs="Calibri"/>
          <w:i/>
          <w:sz w:val="22"/>
          <w:szCs w:val="22"/>
        </w:rPr>
        <w:t>3. Le strutture sanitarie pubbliche e private rendono disponibili, mediante pubblicazione nel proprio sito internet, i dati relativi a tutti i risarcimenti erogati nell'ultimo quinquennio, verificati nell'ambito dell'esercizio della funzione di monitoraggio, prevenzione e gestione del rischio sanitario (risk management) di cui all’articolo 1, comma 539, della legge 28 dicembre 2015, n. 208, come modificato dagli articoli 2 e 16 della presente legge.“</w:t>
      </w:r>
      <w:r w:rsidRPr="009C57D3">
        <w:rPr>
          <w:rFonts w:ascii="Garamond" w:hAnsi="Garamond" w:cs="Calibri"/>
          <w:sz w:val="22"/>
          <w:szCs w:val="22"/>
        </w:rPr>
        <w:t>.</w:t>
      </w:r>
    </w:p>
  </w:footnote>
  <w:footnote w:id="5">
    <w:p w14:paraId="64BF402B" w14:textId="0FD81B06" w:rsidR="00A80062" w:rsidRPr="00EE308A" w:rsidRDefault="00A80062" w:rsidP="00B81EBA">
      <w:pPr>
        <w:pStyle w:val="Titolo3"/>
        <w:shd w:val="clear" w:color="auto" w:fill="FFFFFF"/>
        <w:spacing w:after="0"/>
        <w:ind w:left="567" w:right="567"/>
        <w:jc w:val="both"/>
        <w:rPr>
          <w:rFonts w:ascii="Garamond" w:hAnsi="Garamond"/>
          <w:sz w:val="22"/>
          <w:szCs w:val="22"/>
        </w:rPr>
      </w:pPr>
      <w:r w:rsidRPr="0052012D">
        <w:rPr>
          <w:rStyle w:val="Rimandonotaapidipagina"/>
          <w:rFonts w:ascii="Garamond" w:hAnsi="Garamond"/>
          <w:sz w:val="22"/>
          <w:szCs w:val="22"/>
        </w:rPr>
        <w:footnoteRef/>
      </w:r>
      <w:r w:rsidRPr="0052012D">
        <w:rPr>
          <w:rFonts w:ascii="Garamond" w:hAnsi="Garamond"/>
          <w:sz w:val="22"/>
          <w:szCs w:val="22"/>
        </w:rPr>
        <w:t xml:space="preserve"> </w:t>
      </w:r>
      <w:r>
        <w:rPr>
          <w:rFonts w:ascii="Garamond" w:hAnsi="Garamond"/>
          <w:sz w:val="22"/>
          <w:szCs w:val="22"/>
        </w:rPr>
        <w:t xml:space="preserve">Sulla stessa linea </w:t>
      </w:r>
      <w:r w:rsidRPr="00B81EBA">
        <w:rPr>
          <w:rFonts w:ascii="Garamond" w:hAnsi="Garamond" w:cs="Arial"/>
          <w:color w:val="201A1A"/>
          <w:sz w:val="22"/>
          <w:szCs w:val="22"/>
        </w:rPr>
        <w:t>T</w:t>
      </w:r>
      <w:r>
        <w:rPr>
          <w:rFonts w:ascii="Garamond" w:hAnsi="Garamond" w:cs="Arial"/>
          <w:color w:val="201A1A"/>
          <w:sz w:val="22"/>
          <w:szCs w:val="22"/>
        </w:rPr>
        <w:t xml:space="preserve">ar Lazio, sez. III-quater, 7 maggio 2021, n. 5346, secondo il quale </w:t>
      </w:r>
      <w:r w:rsidRPr="00B81EBA">
        <w:rPr>
          <w:rStyle w:val="Enfasicorsivo"/>
          <w:rFonts w:ascii="Garamond" w:hAnsi="Garamond" w:cs="Arial"/>
          <w:color w:val="201A1A"/>
          <w:sz w:val="22"/>
          <w:szCs w:val="22"/>
        </w:rPr>
        <w:t>&lt;&lt; Forme diffuse di controllo sono quanto mai necessarie in una situazione di così grave preoccupazione per la salute pubblica e individuale, nel perseguimento della cui tutela si inserisce certamente un notevole “utilizzo delle risorse pubbliche”, in cui si colloca l’istanza di accesso in esame.</w:t>
      </w:r>
      <w:r w:rsidRPr="00B81EBA">
        <w:rPr>
          <w:rFonts w:ascii="Garamond" w:hAnsi="Garamond" w:cs="Arial"/>
          <w:color w:val="201A1A"/>
          <w:sz w:val="22"/>
          <w:szCs w:val="22"/>
        </w:rPr>
        <w:t xml:space="preserve"> &gt;&gt;.</w:t>
      </w:r>
    </w:p>
  </w:footnote>
  <w:footnote w:id="6">
    <w:p w14:paraId="089C9B3B" w14:textId="165C0B22" w:rsidR="00A80062" w:rsidRPr="00C74571" w:rsidRDefault="00A80062" w:rsidP="00C8101C">
      <w:pPr>
        <w:pStyle w:val="Standard"/>
        <w:ind w:left="567" w:right="567"/>
        <w:jc w:val="both"/>
        <w:rPr>
          <w:rFonts w:ascii="Garamond" w:hAnsi="Garamond"/>
          <w:sz w:val="22"/>
          <w:szCs w:val="22"/>
          <w:lang w:val="it-IT"/>
        </w:rPr>
      </w:pPr>
      <w:r w:rsidRPr="00C8101C">
        <w:rPr>
          <w:rStyle w:val="Rimandonotaapidipagina"/>
          <w:rFonts w:ascii="Garamond" w:hAnsi="Garamond"/>
          <w:sz w:val="22"/>
          <w:szCs w:val="22"/>
          <w:lang w:val="it-IT"/>
        </w:rPr>
        <w:footnoteRef/>
      </w:r>
      <w:r w:rsidRPr="00C8101C">
        <w:rPr>
          <w:rFonts w:ascii="Garamond" w:hAnsi="Garamond"/>
          <w:sz w:val="22"/>
          <w:szCs w:val="22"/>
          <w:lang w:val="it-IT"/>
        </w:rPr>
        <w:t xml:space="preserve"> In tal senso </w:t>
      </w:r>
      <w:r w:rsidRPr="00C8101C">
        <w:rPr>
          <w:rFonts w:ascii="Garamond" w:hAnsi="Garamond" w:cs="Times New Roman"/>
          <w:color w:val="000000" w:themeColor="text1"/>
          <w:sz w:val="22"/>
          <w:szCs w:val="22"/>
          <w:lang w:val="it-IT"/>
        </w:rPr>
        <w:t xml:space="preserve">Anac, con delibera n. 1309 del 28 dicembre 2016 </w:t>
      </w:r>
      <w:r>
        <w:rPr>
          <w:rFonts w:ascii="Garamond" w:hAnsi="Garamond" w:cs="Times New Roman"/>
          <w:color w:val="000000" w:themeColor="text1"/>
          <w:sz w:val="22"/>
          <w:szCs w:val="22"/>
          <w:lang w:val="it-IT"/>
        </w:rPr>
        <w:t>(</w:t>
      </w:r>
      <w:r w:rsidRPr="00C8101C">
        <w:rPr>
          <w:rFonts w:ascii="Garamond" w:hAnsi="Garamond" w:cs="Times New Roman"/>
          <w:i/>
          <w:color w:val="000000" w:themeColor="text1"/>
          <w:sz w:val="22"/>
          <w:szCs w:val="22"/>
          <w:lang w:val="it-IT"/>
        </w:rPr>
        <w:t>“Linee guida recanti indicazioni operative ai fini della definizione delle esclusioni e dei limiti all’accesso civico di cui all’art. 5 co. 2 del D.Lgs. 33/2013”</w:t>
      </w:r>
      <w:r>
        <w:rPr>
          <w:rFonts w:ascii="Garamond" w:hAnsi="Garamond" w:cs="Times New Roman"/>
          <w:color w:val="000000" w:themeColor="text1"/>
          <w:sz w:val="22"/>
          <w:szCs w:val="22"/>
          <w:lang w:val="it-IT"/>
        </w:rPr>
        <w:t>)</w:t>
      </w:r>
      <w:r>
        <w:rPr>
          <w:rFonts w:ascii="Garamond" w:hAnsi="Garamond" w:cs="Arial"/>
          <w:sz w:val="22"/>
          <w:szCs w:val="22"/>
          <w:lang w:val="it-IT"/>
        </w:rPr>
        <w:t xml:space="preserve">: </w:t>
      </w:r>
      <w:r w:rsidRPr="00C8101C">
        <w:rPr>
          <w:rFonts w:ascii="Garamond" w:hAnsi="Garamond" w:cs="Arial"/>
          <w:i/>
          <w:sz w:val="22"/>
          <w:szCs w:val="22"/>
          <w:lang w:val="it-IT"/>
        </w:rPr>
        <w:t>&lt;&lt; Dalla lettura dell’art. 5 bis si evince, inoltre, che oggetto dell’accesso possono essere anche le informazioni detenute dalle p.a. e dagli altri soggetti indicati al § 4.1.. Il primo riferimento non solo ai “documenti amministrativi”, ma anche ai “dati” che esprimono un concetto informativo più ampio, da riferire al dato conoscitivo come tale, indipendentemente dal supporto fisico su cui è incorporato e a prescindere dai vincoli derivanti dalle sue modalità di organizzazione e conservazione. &gt;&gt;</w:t>
      </w:r>
      <w:r w:rsidRPr="00C8101C">
        <w:rPr>
          <w:rFonts w:ascii="Garamond" w:hAnsi="Garamond" w:cs="Arial"/>
          <w:sz w:val="22"/>
          <w:szCs w:val="22"/>
          <w:lang w:val="it-IT"/>
        </w:rPr>
        <w:t xml:space="preserve">. Anche </w:t>
      </w:r>
      <w:r w:rsidRPr="00C8101C">
        <w:rPr>
          <w:rFonts w:ascii="Garamond" w:hAnsi="Garamond" w:cs="Times New Roman"/>
          <w:color w:val="000000" w:themeColor="text1"/>
          <w:sz w:val="22"/>
          <w:szCs w:val="22"/>
          <w:lang w:val="it-IT"/>
        </w:rPr>
        <w:t>per il Dipartimento della Funzione pubblica (circolare n. 2 del 30 maggio 2017)</w:t>
      </w:r>
      <w:r w:rsidRPr="00C8101C">
        <w:rPr>
          <w:rFonts w:ascii="Garamond" w:hAnsi="Garamond" w:cs="Arial"/>
          <w:sz w:val="22"/>
          <w:szCs w:val="22"/>
          <w:lang w:val="it-IT"/>
        </w:rPr>
        <w:t>, dal punto di vista oggettivo l’accesso civico generalizzato è tendenzialmente omnicomprensivo. Nella medesima p</w:t>
      </w:r>
      <w:r w:rsidRPr="00C74571">
        <w:rPr>
          <w:rFonts w:ascii="Garamond" w:hAnsi="Garamond" w:cs="Arial"/>
          <w:sz w:val="22"/>
          <w:szCs w:val="22"/>
          <w:lang w:val="it-IT"/>
        </w:rPr>
        <w:t xml:space="preserve">rospettiva, Cons. St., sez. V, 20 marzo 2019, n. 1817 chiarisce che l’accesso civico generalizzato, </w:t>
      </w:r>
      <w:r w:rsidRPr="00C74571">
        <w:rPr>
          <w:rFonts w:ascii="Garamond" w:hAnsi="Garamond" w:cs="Arial"/>
          <w:i/>
          <w:sz w:val="22"/>
          <w:szCs w:val="22"/>
          <w:lang w:val="it-IT"/>
        </w:rPr>
        <w:t>&lt;&lt; sotto il profilo oggettivo, realizza il massimo della “estensione” (in quanto riferito non solo a documenti, ma anche a meri dati e anche ad elaborazioni informative) &gt;&gt;</w:t>
      </w:r>
      <w:r w:rsidRPr="00C74571">
        <w:rPr>
          <w:rFonts w:ascii="Garamond" w:hAnsi="Garamond" w:cs="Arial"/>
          <w:sz w:val="22"/>
          <w:szCs w:val="22"/>
          <w:lang w:val="it-IT"/>
        </w:rPr>
        <w:t xml:space="preserve">, configurandosi come </w:t>
      </w:r>
      <w:r w:rsidRPr="00C74571">
        <w:rPr>
          <w:rFonts w:ascii="Garamond" w:hAnsi="Garamond" w:cs="Arial"/>
          <w:i/>
          <w:sz w:val="22"/>
          <w:szCs w:val="22"/>
          <w:lang w:val="it-IT"/>
        </w:rPr>
        <w:t>&lt;&lt; accesso universale e totale, che non soffre di limitazioni contenutistiche ..&gt;&gt;</w:t>
      </w:r>
      <w:r w:rsidRPr="00C74571">
        <w:rPr>
          <w:rFonts w:ascii="Garamond" w:hAnsi="Garamond" w:cs="Arial"/>
          <w:iCs/>
          <w:sz w:val="22"/>
          <w:szCs w:val="22"/>
          <w:lang w:val="it-IT"/>
        </w:rPr>
        <w:t>.</w:t>
      </w:r>
    </w:p>
  </w:footnote>
  <w:footnote w:id="7">
    <w:p w14:paraId="0714A038" w14:textId="5C57DEA0" w:rsidR="00A80062" w:rsidRPr="00471EC2" w:rsidRDefault="00A80062" w:rsidP="00F00578">
      <w:pPr>
        <w:pStyle w:val="Standard"/>
        <w:ind w:left="567" w:right="567"/>
        <w:jc w:val="both"/>
        <w:rPr>
          <w:rFonts w:ascii="Garamond" w:hAnsi="Garamond"/>
          <w:sz w:val="22"/>
          <w:szCs w:val="22"/>
        </w:rPr>
      </w:pPr>
      <w:r w:rsidRPr="00C74571">
        <w:rPr>
          <w:rStyle w:val="Rimandonotaapidipagina"/>
          <w:rFonts w:ascii="Garamond" w:hAnsi="Garamond"/>
          <w:sz w:val="22"/>
          <w:szCs w:val="22"/>
          <w:lang w:val="it-IT"/>
        </w:rPr>
        <w:footnoteRef/>
      </w:r>
      <w:r w:rsidRPr="00C74571">
        <w:rPr>
          <w:rFonts w:ascii="Garamond" w:hAnsi="Garamond"/>
          <w:sz w:val="22"/>
          <w:szCs w:val="22"/>
          <w:lang w:val="it-IT"/>
        </w:rPr>
        <w:t xml:space="preserve"> </w:t>
      </w:r>
      <w:r w:rsidRPr="00C74571">
        <w:rPr>
          <w:rFonts w:ascii="Garamond" w:hAnsi="Garamond" w:cs="Arial"/>
          <w:sz w:val="22"/>
          <w:szCs w:val="22"/>
          <w:lang w:val="it-IT"/>
        </w:rPr>
        <w:t>Vedi Tar Roma, sez. II-ter, 27 settembre 2017, n. 99</w:t>
      </w:r>
      <w:r>
        <w:rPr>
          <w:rFonts w:ascii="Garamond" w:hAnsi="Garamond" w:cs="Arial"/>
          <w:sz w:val="22"/>
          <w:szCs w:val="22"/>
          <w:lang w:val="it-IT"/>
        </w:rPr>
        <w:t xml:space="preserve">40, che ha ritenuto </w:t>
      </w:r>
      <w:r w:rsidRPr="00BC6C14">
        <w:rPr>
          <w:rFonts w:ascii="Garamond" w:hAnsi="Garamond" w:cs="Arial"/>
          <w:sz w:val="22"/>
          <w:szCs w:val="22"/>
          <w:lang w:val="it-IT"/>
        </w:rPr>
        <w:t>inammissibile l’istanza di accesso civico finalizzata a conoscere le valutazioni compiute dalla P.A. in merito ad un contratto in corso o le sue intenzioni in caso di inadempimento della controparte contrattuale</w:t>
      </w:r>
      <w:r>
        <w:rPr>
          <w:rFonts w:ascii="Garamond" w:hAnsi="Garamond" w:cs="Arial"/>
          <w:sz w:val="22"/>
          <w:szCs w:val="22"/>
          <w:lang w:val="it-IT"/>
        </w:rPr>
        <w:t>.</w:t>
      </w:r>
    </w:p>
  </w:footnote>
  <w:footnote w:id="8">
    <w:p w14:paraId="7435930C" w14:textId="6245B35E" w:rsidR="00A80062" w:rsidRPr="00BC6C14" w:rsidRDefault="00A80062" w:rsidP="00BC6C14">
      <w:pPr>
        <w:pStyle w:val="Standard"/>
        <w:ind w:left="567" w:right="567"/>
        <w:jc w:val="both"/>
        <w:rPr>
          <w:rFonts w:ascii="Garamond" w:hAnsi="Garamond"/>
          <w:sz w:val="22"/>
          <w:szCs w:val="22"/>
          <w:lang w:val="it-IT"/>
        </w:rPr>
      </w:pPr>
      <w:r w:rsidRPr="00BC6C14">
        <w:rPr>
          <w:rStyle w:val="Rimandonotaapidipagina"/>
          <w:rFonts w:ascii="Garamond" w:hAnsi="Garamond"/>
          <w:sz w:val="22"/>
          <w:szCs w:val="22"/>
          <w:lang w:val="it-IT"/>
        </w:rPr>
        <w:footnoteRef/>
      </w:r>
      <w:r w:rsidRPr="00BC6C14">
        <w:rPr>
          <w:rFonts w:ascii="Garamond" w:hAnsi="Garamond"/>
          <w:sz w:val="22"/>
          <w:szCs w:val="22"/>
          <w:lang w:val="it-IT"/>
        </w:rPr>
        <w:t xml:space="preserve"> Tar Potenza 17 aprile 2021, n. 319.</w:t>
      </w:r>
    </w:p>
  </w:footnote>
  <w:footnote w:id="9">
    <w:p w14:paraId="24C5B97F" w14:textId="6512B1D1" w:rsidR="00A80062" w:rsidRPr="00BC6C14" w:rsidRDefault="00A80062" w:rsidP="00610F41">
      <w:pPr>
        <w:pStyle w:val="Standard"/>
        <w:ind w:left="567" w:right="567"/>
        <w:jc w:val="both"/>
        <w:rPr>
          <w:rFonts w:ascii="Garamond" w:hAnsi="Garamond"/>
          <w:sz w:val="22"/>
          <w:szCs w:val="22"/>
          <w:lang w:val="it-IT"/>
        </w:rPr>
      </w:pPr>
      <w:r w:rsidRPr="00610F41">
        <w:rPr>
          <w:rStyle w:val="Rimandonotaapidipagina"/>
          <w:rFonts w:ascii="Garamond" w:hAnsi="Garamond"/>
          <w:sz w:val="22"/>
          <w:szCs w:val="22"/>
          <w:lang w:val="it-IT"/>
        </w:rPr>
        <w:footnoteRef/>
      </w:r>
      <w:r w:rsidRPr="00610F41">
        <w:rPr>
          <w:rFonts w:ascii="Garamond" w:hAnsi="Garamond"/>
          <w:sz w:val="22"/>
          <w:szCs w:val="22"/>
          <w:lang w:val="it-IT"/>
        </w:rPr>
        <w:t xml:space="preserve"> T</w:t>
      </w:r>
      <w:r>
        <w:rPr>
          <w:rFonts w:ascii="Garamond" w:hAnsi="Garamond"/>
          <w:sz w:val="22"/>
          <w:szCs w:val="22"/>
          <w:lang w:val="it-IT"/>
        </w:rPr>
        <w:t xml:space="preserve">ar </w:t>
      </w:r>
      <w:r w:rsidRPr="00610F41">
        <w:rPr>
          <w:rFonts w:ascii="Garamond" w:hAnsi="Garamond" w:cs="Arial"/>
          <w:sz w:val="22"/>
          <w:szCs w:val="22"/>
          <w:lang w:val="it-IT"/>
        </w:rPr>
        <w:t>Lazio, sez. III-quater 14 luglio 2021, n. 8419.</w:t>
      </w:r>
    </w:p>
  </w:footnote>
  <w:footnote w:id="10">
    <w:p w14:paraId="01D31A9C" w14:textId="351E4121" w:rsidR="00A80062" w:rsidRPr="00471EC2" w:rsidRDefault="00A80062" w:rsidP="000A2533">
      <w:pPr>
        <w:pStyle w:val="Standard"/>
        <w:ind w:left="567" w:right="567"/>
        <w:jc w:val="both"/>
        <w:rPr>
          <w:rFonts w:ascii="Garamond" w:hAnsi="Garamond"/>
          <w:sz w:val="22"/>
          <w:szCs w:val="22"/>
        </w:rPr>
      </w:pPr>
      <w:r w:rsidRPr="0052012D">
        <w:rPr>
          <w:rStyle w:val="Rimandonotaapidipagina"/>
          <w:rFonts w:ascii="Garamond" w:hAnsi="Garamond"/>
          <w:sz w:val="22"/>
          <w:szCs w:val="22"/>
        </w:rPr>
        <w:footnoteRef/>
      </w:r>
      <w:r w:rsidRPr="0052012D">
        <w:rPr>
          <w:rFonts w:ascii="Garamond" w:hAnsi="Garamond"/>
          <w:sz w:val="22"/>
          <w:szCs w:val="22"/>
        </w:rPr>
        <w:t xml:space="preserve"> </w:t>
      </w:r>
      <w:r>
        <w:rPr>
          <w:rFonts w:ascii="Garamond" w:hAnsi="Garamond" w:cs="Arial"/>
          <w:sz w:val="22"/>
          <w:szCs w:val="22"/>
          <w:lang w:val="it-IT"/>
        </w:rPr>
        <w:t xml:space="preserve">In questo senso si è espressa </w:t>
      </w:r>
      <w:r w:rsidRPr="000A2533">
        <w:rPr>
          <w:rFonts w:ascii="Garamond" w:hAnsi="Garamond" w:cs="Arial"/>
          <w:sz w:val="22"/>
          <w:szCs w:val="22"/>
          <w:lang w:val="it-IT"/>
        </w:rPr>
        <w:t xml:space="preserve">Anac </w:t>
      </w:r>
      <w:r>
        <w:rPr>
          <w:rFonts w:ascii="Garamond" w:hAnsi="Garamond" w:cs="Arial"/>
          <w:sz w:val="22"/>
          <w:szCs w:val="22"/>
          <w:lang w:val="it-IT"/>
        </w:rPr>
        <w:t xml:space="preserve">con la deliberazione n. 1309 del </w:t>
      </w:r>
      <w:r w:rsidRPr="000A2533">
        <w:rPr>
          <w:rFonts w:ascii="Garamond" w:hAnsi="Garamond" w:cs="Arial"/>
          <w:sz w:val="22"/>
          <w:szCs w:val="22"/>
          <w:lang w:val="it-IT"/>
        </w:rPr>
        <w:t>2</w:t>
      </w:r>
      <w:r>
        <w:rPr>
          <w:rFonts w:ascii="Garamond" w:hAnsi="Garamond" w:cs="Arial"/>
          <w:sz w:val="22"/>
          <w:szCs w:val="22"/>
          <w:lang w:val="it-IT"/>
        </w:rPr>
        <w:t>016. In giurisprudenza</w:t>
      </w:r>
      <w:r w:rsidRPr="000A2533">
        <w:rPr>
          <w:rFonts w:ascii="Garamond" w:hAnsi="Garamond" w:cs="Arial"/>
          <w:sz w:val="22"/>
          <w:szCs w:val="22"/>
          <w:lang w:val="it-IT"/>
        </w:rPr>
        <w:t xml:space="preserve"> </w:t>
      </w:r>
      <w:r>
        <w:rPr>
          <w:rFonts w:ascii="Garamond" w:hAnsi="Garamond" w:cs="Arial"/>
          <w:sz w:val="22"/>
          <w:szCs w:val="22"/>
          <w:lang w:val="it-IT"/>
        </w:rPr>
        <w:t>vedasi Cons. St., sez. III, 26 luglio 2019, n. 5293 e</w:t>
      </w:r>
      <w:r w:rsidRPr="000A2533">
        <w:rPr>
          <w:rFonts w:ascii="Garamond" w:hAnsi="Garamond" w:cs="Arial"/>
          <w:sz w:val="22"/>
          <w:szCs w:val="22"/>
          <w:lang w:val="it-IT"/>
        </w:rPr>
        <w:t xml:space="preserve"> T</w:t>
      </w:r>
      <w:r>
        <w:rPr>
          <w:rFonts w:ascii="Garamond" w:hAnsi="Garamond" w:cs="Arial"/>
          <w:sz w:val="22"/>
          <w:szCs w:val="22"/>
          <w:lang w:val="it-IT"/>
        </w:rPr>
        <w:t xml:space="preserve">ar </w:t>
      </w:r>
      <w:r w:rsidRPr="000A2533">
        <w:rPr>
          <w:rFonts w:ascii="Garamond" w:hAnsi="Garamond" w:cs="Arial"/>
          <w:sz w:val="22"/>
          <w:szCs w:val="22"/>
          <w:lang w:val="it-IT"/>
        </w:rPr>
        <w:t>Torino</w:t>
      </w:r>
      <w:r>
        <w:rPr>
          <w:rFonts w:ascii="Garamond" w:hAnsi="Garamond" w:cs="Arial"/>
          <w:sz w:val="22"/>
          <w:szCs w:val="22"/>
          <w:lang w:val="it-IT"/>
        </w:rPr>
        <w:t>, sez. II, 12 novembre 2020, n. 720.</w:t>
      </w:r>
    </w:p>
  </w:footnote>
  <w:footnote w:id="11">
    <w:p w14:paraId="0E498C20" w14:textId="30009F8F" w:rsidR="00A80062" w:rsidRPr="00BC6C14" w:rsidRDefault="00A80062" w:rsidP="004C01F3">
      <w:pPr>
        <w:pStyle w:val="Standard"/>
        <w:ind w:left="567" w:right="567"/>
        <w:jc w:val="both"/>
        <w:rPr>
          <w:rFonts w:ascii="Garamond" w:hAnsi="Garamond"/>
          <w:sz w:val="22"/>
          <w:szCs w:val="22"/>
          <w:lang w:val="it-IT"/>
        </w:rPr>
      </w:pPr>
      <w:r w:rsidRPr="00BC6C14">
        <w:rPr>
          <w:rStyle w:val="Rimandonotaapidipagina"/>
          <w:rFonts w:ascii="Garamond" w:hAnsi="Garamond"/>
          <w:sz w:val="22"/>
          <w:szCs w:val="22"/>
          <w:lang w:val="it-IT"/>
        </w:rPr>
        <w:footnoteRef/>
      </w:r>
      <w:r>
        <w:rPr>
          <w:rFonts w:ascii="Garamond" w:hAnsi="Garamond"/>
          <w:sz w:val="22"/>
          <w:szCs w:val="22"/>
          <w:lang w:val="it-IT"/>
        </w:rPr>
        <w:t xml:space="preserve"> Così, ad esempio, per Tar Firenze, sez. II, 5 ottobre 2020, n. 1155, </w:t>
      </w:r>
      <w:r w:rsidRPr="004C01F3">
        <w:rPr>
          <w:rFonts w:ascii="Garamond" w:hAnsi="Garamond" w:cstheme="minorHAnsi"/>
          <w:sz w:val="22"/>
          <w:szCs w:val="22"/>
          <w:lang w:val="it-IT"/>
        </w:rPr>
        <w:t>il concessionario di un’area portuale non ha diritto di accedere ai dati riguardanti i traffici operati da imprese concessionarie di altre aree dello stesso porto, ancorché si tratti di dati aggregati già processati dall’Autorità P</w:t>
      </w:r>
      <w:r>
        <w:rPr>
          <w:rFonts w:ascii="Garamond" w:hAnsi="Garamond" w:cstheme="minorHAnsi"/>
          <w:sz w:val="22"/>
          <w:szCs w:val="22"/>
          <w:lang w:val="it-IT"/>
        </w:rPr>
        <w:t xml:space="preserve">ortuale. E per Tar Genova, sez. II, 20 dicembre 2019, n. 957 </w:t>
      </w:r>
      <w:r w:rsidRPr="004C01F3">
        <w:rPr>
          <w:rFonts w:ascii="Garamond" w:hAnsi="Garamond" w:cs="Arial"/>
          <w:sz w:val="22"/>
          <w:szCs w:val="22"/>
          <w:lang w:val="it-IT"/>
        </w:rPr>
        <w:t xml:space="preserve">non può essere accolta un’istanza di accesso civico </w:t>
      </w:r>
      <w:r>
        <w:rPr>
          <w:rFonts w:ascii="Garamond" w:hAnsi="Garamond" w:cs="Arial"/>
          <w:sz w:val="22"/>
          <w:szCs w:val="22"/>
          <w:lang w:val="it-IT"/>
        </w:rPr>
        <w:t xml:space="preserve">generalizzato con cui si </w:t>
      </w:r>
      <w:r w:rsidRPr="004C01F3">
        <w:rPr>
          <w:rFonts w:ascii="Garamond" w:hAnsi="Garamond" w:cs="Arial"/>
          <w:sz w:val="22"/>
          <w:szCs w:val="22"/>
          <w:lang w:val="it-IT"/>
        </w:rPr>
        <w:t xml:space="preserve">chiede un documento riassuntivo degli introiti </w:t>
      </w:r>
      <w:r>
        <w:rPr>
          <w:rFonts w:ascii="Garamond" w:hAnsi="Garamond" w:cs="Arial"/>
          <w:sz w:val="22"/>
          <w:szCs w:val="22"/>
          <w:lang w:val="it-IT"/>
        </w:rPr>
        <w:t xml:space="preserve">annuali </w:t>
      </w:r>
      <w:r w:rsidRPr="004C01F3">
        <w:rPr>
          <w:rFonts w:ascii="Garamond" w:hAnsi="Garamond" w:cs="Arial"/>
          <w:sz w:val="22"/>
          <w:szCs w:val="22"/>
          <w:lang w:val="it-IT"/>
        </w:rPr>
        <w:t>ottenuti dal concessionario del servizio di trasporto pubblico ferroviario regionale e locale, in quanto implicherebbe l’elaborazione di dati</w:t>
      </w:r>
      <w:r>
        <w:rPr>
          <w:rFonts w:ascii="Garamond" w:hAnsi="Garamond" w:cs="Arial"/>
          <w:sz w:val="22"/>
          <w:szCs w:val="22"/>
          <w:lang w:val="it-IT"/>
        </w:rPr>
        <w:t>,</w:t>
      </w:r>
      <w:r w:rsidRPr="004C01F3">
        <w:rPr>
          <w:rFonts w:ascii="Garamond" w:hAnsi="Garamond" w:cs="Arial"/>
          <w:sz w:val="22"/>
          <w:szCs w:val="22"/>
          <w:lang w:val="it-IT"/>
        </w:rPr>
        <w:t xml:space="preserve"> ancorché essi siano ricavabili da documenti </w:t>
      </w:r>
      <w:r>
        <w:rPr>
          <w:rFonts w:ascii="Garamond" w:hAnsi="Garamond" w:cs="Arial"/>
          <w:sz w:val="22"/>
          <w:szCs w:val="22"/>
          <w:lang w:val="it-IT"/>
        </w:rPr>
        <w:t>esistenti.</w:t>
      </w:r>
    </w:p>
  </w:footnote>
  <w:footnote w:id="12">
    <w:p w14:paraId="4CC2F0C3" w14:textId="5962EE81" w:rsidR="00A80062" w:rsidRPr="00471EC2" w:rsidRDefault="00A80062" w:rsidP="00B21CEA">
      <w:pPr>
        <w:pStyle w:val="Standard"/>
        <w:ind w:left="567" w:right="567"/>
        <w:jc w:val="both"/>
        <w:rPr>
          <w:rFonts w:ascii="Garamond" w:hAnsi="Garamond"/>
          <w:sz w:val="22"/>
          <w:szCs w:val="22"/>
        </w:rPr>
      </w:pPr>
      <w:r w:rsidRPr="0052012D">
        <w:rPr>
          <w:rStyle w:val="Rimandonotaapidipagina"/>
          <w:rFonts w:ascii="Garamond" w:hAnsi="Garamond"/>
          <w:sz w:val="22"/>
          <w:szCs w:val="22"/>
        </w:rPr>
        <w:footnoteRef/>
      </w:r>
      <w:r w:rsidRPr="0052012D">
        <w:rPr>
          <w:rFonts w:ascii="Garamond" w:hAnsi="Garamond"/>
          <w:sz w:val="22"/>
          <w:szCs w:val="22"/>
        </w:rPr>
        <w:t xml:space="preserve"> </w:t>
      </w:r>
      <w:r>
        <w:rPr>
          <w:rFonts w:ascii="Garamond" w:hAnsi="Garamond"/>
          <w:sz w:val="22"/>
          <w:szCs w:val="22"/>
        </w:rPr>
        <w:t>Tar Lazio n. 8419 del 2021.</w:t>
      </w:r>
    </w:p>
  </w:footnote>
  <w:footnote w:id="13">
    <w:p w14:paraId="2AE5F2E5" w14:textId="36AA8D36" w:rsidR="00A80062" w:rsidRPr="00BC6C14" w:rsidRDefault="00A80062" w:rsidP="002057A6">
      <w:pPr>
        <w:pStyle w:val="Standard"/>
        <w:ind w:left="567" w:right="567"/>
        <w:jc w:val="both"/>
        <w:rPr>
          <w:rFonts w:ascii="Garamond" w:hAnsi="Garamond"/>
          <w:sz w:val="22"/>
          <w:szCs w:val="22"/>
          <w:lang w:val="it-IT"/>
        </w:rPr>
      </w:pPr>
      <w:r w:rsidRPr="00BC6C14">
        <w:rPr>
          <w:rStyle w:val="Rimandonotaapidipagina"/>
          <w:rFonts w:ascii="Garamond" w:hAnsi="Garamond"/>
          <w:sz w:val="22"/>
          <w:szCs w:val="22"/>
          <w:lang w:val="it-IT"/>
        </w:rPr>
        <w:footnoteRef/>
      </w:r>
      <w:r>
        <w:rPr>
          <w:rFonts w:ascii="Garamond" w:hAnsi="Garamond"/>
          <w:sz w:val="22"/>
          <w:szCs w:val="22"/>
          <w:lang w:val="it-IT"/>
        </w:rPr>
        <w:t xml:space="preserve"> Vedi nota 61.</w:t>
      </w:r>
    </w:p>
  </w:footnote>
  <w:footnote w:id="14">
    <w:p w14:paraId="5E7BAE87" w14:textId="51EAB28A" w:rsidR="00A80062" w:rsidRPr="00BC6C14" w:rsidRDefault="00A80062" w:rsidP="00C75169">
      <w:pPr>
        <w:pStyle w:val="Standard"/>
        <w:ind w:left="567" w:right="567"/>
        <w:jc w:val="both"/>
        <w:rPr>
          <w:rFonts w:ascii="Garamond" w:hAnsi="Garamond"/>
          <w:sz w:val="22"/>
          <w:szCs w:val="22"/>
          <w:lang w:val="it-IT"/>
        </w:rPr>
      </w:pPr>
      <w:r w:rsidRPr="00BC6C14">
        <w:rPr>
          <w:rStyle w:val="Rimandonotaapidipagina"/>
          <w:rFonts w:ascii="Garamond" w:hAnsi="Garamond"/>
          <w:sz w:val="22"/>
          <w:szCs w:val="22"/>
          <w:lang w:val="it-IT"/>
        </w:rPr>
        <w:footnoteRef/>
      </w:r>
      <w:r>
        <w:rPr>
          <w:rFonts w:ascii="Garamond" w:hAnsi="Garamond"/>
          <w:sz w:val="22"/>
          <w:szCs w:val="22"/>
          <w:lang w:val="it-IT"/>
        </w:rPr>
        <w:t xml:space="preserve"> Vedi Tar Brescia, sez. II, 11 giugno 2021, n. 537, per il quale </w:t>
      </w:r>
      <w:r w:rsidRPr="003E53BF">
        <w:rPr>
          <w:rFonts w:ascii="Garamond" w:hAnsi="Garamond" w:cs="Arial"/>
          <w:sz w:val="22"/>
          <w:szCs w:val="22"/>
          <w:lang w:val="it-IT"/>
        </w:rPr>
        <w:t>va accolta l’istanza di accesso civico generalizzato volta a conoscere se i cartelli pubblicitari collocati lungo una strada siano stati autorizzati (informazione sottoposta a regime d</w:t>
      </w:r>
      <w:r>
        <w:rPr>
          <w:rFonts w:ascii="Garamond" w:hAnsi="Garamond" w:cs="Arial"/>
          <w:sz w:val="22"/>
          <w:szCs w:val="22"/>
          <w:lang w:val="it-IT"/>
        </w:rPr>
        <w:t>i pubblicità legale ex art. 55 d</w:t>
      </w:r>
      <w:r w:rsidRPr="003E53BF">
        <w:rPr>
          <w:rFonts w:ascii="Garamond" w:hAnsi="Garamond" w:cs="Arial"/>
          <w:sz w:val="22"/>
          <w:szCs w:val="22"/>
          <w:lang w:val="it-IT"/>
        </w:rPr>
        <w:t xml:space="preserve">.P.R. </w:t>
      </w:r>
      <w:r>
        <w:rPr>
          <w:rFonts w:ascii="Garamond" w:hAnsi="Garamond" w:cs="Arial"/>
          <w:sz w:val="22"/>
          <w:szCs w:val="22"/>
          <w:lang w:val="it-IT"/>
        </w:rPr>
        <w:t xml:space="preserve">16 dicembre 1992, n. </w:t>
      </w:r>
      <w:r w:rsidRPr="003E53BF">
        <w:rPr>
          <w:rFonts w:ascii="Garamond" w:hAnsi="Garamond" w:cs="Arial"/>
          <w:sz w:val="22"/>
          <w:szCs w:val="22"/>
          <w:lang w:val="it-IT"/>
        </w:rPr>
        <w:t>495) e, in caso negativo, gli eventuali provvedimenti sanzionatori che il Comune ha adottato per ripristinare la</w:t>
      </w:r>
      <w:r>
        <w:rPr>
          <w:rFonts w:ascii="Garamond" w:hAnsi="Garamond" w:cs="Arial"/>
          <w:sz w:val="22"/>
          <w:szCs w:val="22"/>
          <w:lang w:val="it-IT"/>
        </w:rPr>
        <w:t xml:space="preserve"> legalità</w:t>
      </w:r>
      <w:r w:rsidRPr="003E53BF">
        <w:rPr>
          <w:rFonts w:ascii="Garamond" w:hAnsi="Garamond" w:cs="Arial"/>
          <w:sz w:val="22"/>
          <w:szCs w:val="22"/>
          <w:lang w:val="it-IT"/>
        </w:rPr>
        <w:t>.</w:t>
      </w:r>
    </w:p>
  </w:footnote>
  <w:footnote w:id="15">
    <w:p w14:paraId="4932560B" w14:textId="34A0F4AE" w:rsidR="00A80062" w:rsidRPr="00BC6C14" w:rsidRDefault="00A80062" w:rsidP="00BC35C9">
      <w:pPr>
        <w:pStyle w:val="Standard"/>
        <w:ind w:left="567" w:right="567"/>
        <w:jc w:val="both"/>
        <w:rPr>
          <w:rFonts w:ascii="Garamond" w:hAnsi="Garamond"/>
          <w:sz w:val="22"/>
          <w:szCs w:val="22"/>
          <w:lang w:val="it-IT"/>
        </w:rPr>
      </w:pPr>
      <w:r w:rsidRPr="00BC6C14">
        <w:rPr>
          <w:rStyle w:val="Rimandonotaapidipagina"/>
          <w:rFonts w:ascii="Garamond" w:hAnsi="Garamond"/>
          <w:sz w:val="22"/>
          <w:szCs w:val="22"/>
          <w:lang w:val="it-IT"/>
        </w:rPr>
        <w:footnoteRef/>
      </w:r>
      <w:r>
        <w:rPr>
          <w:rFonts w:ascii="Garamond" w:hAnsi="Garamond"/>
          <w:sz w:val="22"/>
          <w:szCs w:val="22"/>
          <w:lang w:val="it-IT"/>
        </w:rPr>
        <w:t xml:space="preserve"> Tar Potenza n. 319 del 2021.</w:t>
      </w:r>
    </w:p>
  </w:footnote>
  <w:footnote w:id="16">
    <w:p w14:paraId="354B4DDF" w14:textId="4720F8F8" w:rsidR="00A80062" w:rsidRPr="00BC6C14" w:rsidRDefault="00A80062" w:rsidP="00BC35C9">
      <w:pPr>
        <w:pStyle w:val="Standard"/>
        <w:ind w:left="567" w:right="567"/>
        <w:jc w:val="both"/>
        <w:rPr>
          <w:rFonts w:ascii="Garamond" w:hAnsi="Garamond"/>
          <w:sz w:val="22"/>
          <w:szCs w:val="22"/>
          <w:lang w:val="it-IT"/>
        </w:rPr>
      </w:pPr>
      <w:r w:rsidRPr="00BC6C14">
        <w:rPr>
          <w:rStyle w:val="Rimandonotaapidipagina"/>
          <w:rFonts w:ascii="Garamond" w:hAnsi="Garamond"/>
          <w:sz w:val="22"/>
          <w:szCs w:val="22"/>
          <w:lang w:val="it-IT"/>
        </w:rPr>
        <w:footnoteRef/>
      </w:r>
      <w:r>
        <w:rPr>
          <w:rFonts w:ascii="Garamond" w:hAnsi="Garamond"/>
          <w:sz w:val="22"/>
          <w:szCs w:val="22"/>
          <w:lang w:val="it-IT"/>
        </w:rPr>
        <w:t xml:space="preserve"> Tar Campobasso 14 giugno 2021, n. 217.</w:t>
      </w:r>
    </w:p>
  </w:footnote>
  <w:footnote w:id="17">
    <w:p w14:paraId="06682956" w14:textId="7CF89E26" w:rsidR="00A80062" w:rsidRPr="00BC6C14" w:rsidRDefault="00A80062" w:rsidP="00092284">
      <w:pPr>
        <w:pStyle w:val="Standard"/>
        <w:ind w:left="567" w:right="567"/>
        <w:jc w:val="both"/>
        <w:rPr>
          <w:rFonts w:ascii="Garamond" w:hAnsi="Garamond"/>
          <w:sz w:val="22"/>
          <w:szCs w:val="22"/>
          <w:lang w:val="it-IT"/>
        </w:rPr>
      </w:pPr>
      <w:r w:rsidRPr="00BC6C14">
        <w:rPr>
          <w:rStyle w:val="Rimandonotaapidipagina"/>
          <w:rFonts w:ascii="Garamond" w:hAnsi="Garamond"/>
          <w:sz w:val="22"/>
          <w:szCs w:val="22"/>
          <w:lang w:val="it-IT"/>
        </w:rPr>
        <w:footnoteRef/>
      </w:r>
      <w:r>
        <w:rPr>
          <w:rFonts w:ascii="Garamond" w:hAnsi="Garamond"/>
          <w:sz w:val="22"/>
          <w:szCs w:val="22"/>
          <w:lang w:val="it-IT"/>
        </w:rPr>
        <w:t xml:space="preserve"> </w:t>
      </w:r>
      <w:r w:rsidRPr="00092284">
        <w:rPr>
          <w:rFonts w:ascii="Garamond" w:hAnsi="Garamond" w:cs="Arial"/>
          <w:sz w:val="22"/>
          <w:szCs w:val="22"/>
          <w:lang w:val="it-IT"/>
        </w:rPr>
        <w:t>Il C</w:t>
      </w:r>
      <w:r>
        <w:rPr>
          <w:rFonts w:ascii="Garamond" w:hAnsi="Garamond" w:cs="Arial"/>
          <w:sz w:val="22"/>
          <w:szCs w:val="22"/>
          <w:lang w:val="it-IT"/>
        </w:rPr>
        <w:t xml:space="preserve">onsiglio di Stato </w:t>
      </w:r>
      <w:r w:rsidRPr="00092284">
        <w:rPr>
          <w:rFonts w:ascii="Garamond" w:hAnsi="Garamond" w:cs="Arial"/>
          <w:sz w:val="22"/>
          <w:szCs w:val="22"/>
          <w:lang w:val="it-IT"/>
        </w:rPr>
        <w:t>in sede consultiva aveva segnalato l’opportunità di affrontare in modo esplicito il problema del</w:t>
      </w:r>
      <w:r>
        <w:rPr>
          <w:rFonts w:ascii="Garamond" w:hAnsi="Garamond" w:cs="Arial"/>
          <w:sz w:val="22"/>
          <w:szCs w:val="22"/>
          <w:lang w:val="it-IT"/>
        </w:rPr>
        <w:t>la accessibilità o meno degli “</w:t>
      </w:r>
      <w:r w:rsidRPr="00092284">
        <w:rPr>
          <w:rFonts w:ascii="Garamond" w:hAnsi="Garamond" w:cs="Arial"/>
          <w:sz w:val="22"/>
          <w:szCs w:val="22"/>
          <w:lang w:val="it-IT"/>
        </w:rPr>
        <w:t xml:space="preserve">atti </w:t>
      </w:r>
      <w:r>
        <w:rPr>
          <w:rFonts w:ascii="Garamond" w:hAnsi="Garamond" w:cs="Arial"/>
          <w:sz w:val="22"/>
          <w:szCs w:val="22"/>
          <w:lang w:val="it-IT"/>
        </w:rPr>
        <w:t xml:space="preserve">interni” </w:t>
      </w:r>
      <w:r w:rsidRPr="00092284">
        <w:rPr>
          <w:rFonts w:ascii="Garamond" w:hAnsi="Garamond" w:cs="Arial"/>
          <w:sz w:val="22"/>
          <w:szCs w:val="22"/>
          <w:lang w:val="it-IT"/>
        </w:rPr>
        <w:t>(par</w:t>
      </w:r>
      <w:r>
        <w:rPr>
          <w:rFonts w:ascii="Garamond" w:hAnsi="Garamond" w:cs="Arial"/>
          <w:sz w:val="22"/>
          <w:szCs w:val="22"/>
          <w:lang w:val="it-IT"/>
        </w:rPr>
        <w:t>ere</w:t>
      </w:r>
      <w:r w:rsidRPr="00092284">
        <w:rPr>
          <w:rFonts w:ascii="Garamond" w:hAnsi="Garamond" w:cs="Arial"/>
          <w:sz w:val="22"/>
          <w:szCs w:val="22"/>
          <w:lang w:val="it-IT"/>
        </w:rPr>
        <w:t xml:space="preserve"> </w:t>
      </w:r>
      <w:r>
        <w:rPr>
          <w:rFonts w:ascii="Garamond" w:eastAsia="Times New Roman" w:hAnsi="Garamond" w:cs="Times New Roman"/>
          <w:color w:val="000000"/>
          <w:sz w:val="22"/>
          <w:szCs w:val="22"/>
          <w:lang w:val="it-IT" w:eastAsia="it-IT"/>
        </w:rPr>
        <w:t>24 febbraio 2016</w:t>
      </w:r>
      <w:r>
        <w:rPr>
          <w:rFonts w:ascii="Garamond" w:hAnsi="Garamond" w:cs="Arial"/>
          <w:sz w:val="22"/>
          <w:szCs w:val="22"/>
          <w:lang w:val="it-IT"/>
        </w:rPr>
        <w:t xml:space="preserve">, n. </w:t>
      </w:r>
      <w:r w:rsidRPr="00092284">
        <w:rPr>
          <w:rFonts w:ascii="Garamond" w:hAnsi="Garamond" w:cs="Arial"/>
          <w:sz w:val="22"/>
          <w:szCs w:val="22"/>
          <w:lang w:val="it-IT"/>
        </w:rPr>
        <w:t>515).</w:t>
      </w:r>
    </w:p>
  </w:footnote>
  <w:footnote w:id="18">
    <w:p w14:paraId="20C3C2A0" w14:textId="6F372ACF" w:rsidR="00A80062" w:rsidRPr="00F27883" w:rsidRDefault="00A80062" w:rsidP="0034789E">
      <w:pPr>
        <w:pStyle w:val="Standard"/>
        <w:ind w:left="567" w:right="567"/>
        <w:jc w:val="both"/>
        <w:rPr>
          <w:rFonts w:ascii="Garamond" w:hAnsi="Garamond"/>
          <w:sz w:val="22"/>
          <w:szCs w:val="22"/>
        </w:rPr>
      </w:pPr>
      <w:r w:rsidRPr="00BC6C14">
        <w:rPr>
          <w:rStyle w:val="Rimandonotaapidipagina"/>
          <w:rFonts w:ascii="Garamond" w:hAnsi="Garamond"/>
          <w:sz w:val="22"/>
          <w:szCs w:val="22"/>
          <w:lang w:val="it-IT"/>
        </w:rPr>
        <w:footnoteRef/>
      </w:r>
      <w:r>
        <w:rPr>
          <w:rFonts w:ascii="Garamond" w:hAnsi="Garamond" w:cs="Arial"/>
          <w:sz w:val="22"/>
          <w:szCs w:val="22"/>
          <w:lang w:val="it-IT"/>
        </w:rPr>
        <w:t xml:space="preserve"> Secondo un primo indirizzo giurisprudenziale, </w:t>
      </w:r>
      <w:r w:rsidRPr="00F27883">
        <w:rPr>
          <w:rFonts w:ascii="Garamond" w:hAnsi="Garamond" w:cs="Arial"/>
          <w:bCs/>
          <w:sz w:val="22"/>
          <w:szCs w:val="22"/>
          <w:lang w:val="it-IT"/>
        </w:rPr>
        <w:t xml:space="preserve">tali atti non sono ostensibili </w:t>
      </w:r>
      <w:r>
        <w:rPr>
          <w:rFonts w:ascii="Garamond" w:hAnsi="Garamond" w:cs="Arial"/>
          <w:bCs/>
          <w:sz w:val="22"/>
          <w:szCs w:val="22"/>
          <w:lang w:val="it-IT"/>
        </w:rPr>
        <w:t xml:space="preserve">ai sensi dell’art. 22 l. n. 241 del 1990 </w:t>
      </w:r>
      <w:r w:rsidRPr="00F27883">
        <w:rPr>
          <w:rFonts w:ascii="Garamond" w:hAnsi="Garamond" w:cs="Arial"/>
          <w:bCs/>
          <w:sz w:val="22"/>
          <w:szCs w:val="22"/>
          <w:lang w:val="it-IT"/>
        </w:rPr>
        <w:t xml:space="preserve">perchè, </w:t>
      </w:r>
      <w:r>
        <w:rPr>
          <w:rFonts w:ascii="Garamond" w:hAnsi="Garamond" w:cs="Arial"/>
          <w:bCs/>
          <w:sz w:val="22"/>
          <w:szCs w:val="22"/>
          <w:lang w:val="it-IT"/>
        </w:rPr>
        <w:t xml:space="preserve">nella misura in cui non sono </w:t>
      </w:r>
      <w:r w:rsidRPr="00F27883">
        <w:rPr>
          <w:rFonts w:ascii="Garamond" w:hAnsi="Garamond" w:cs="Arial"/>
          <w:bCs/>
          <w:sz w:val="22"/>
          <w:szCs w:val="22"/>
          <w:lang w:val="it-IT"/>
        </w:rPr>
        <w:t xml:space="preserve">presi in considerazione dalla P.A. e non </w:t>
      </w:r>
      <w:r>
        <w:rPr>
          <w:rFonts w:ascii="Garamond" w:hAnsi="Garamond" w:cs="Arial"/>
          <w:bCs/>
          <w:sz w:val="22"/>
          <w:szCs w:val="22"/>
          <w:lang w:val="it-IT"/>
        </w:rPr>
        <w:t xml:space="preserve">hanno </w:t>
      </w:r>
      <w:r w:rsidRPr="00F27883">
        <w:rPr>
          <w:rFonts w:ascii="Garamond" w:hAnsi="Garamond" w:cs="Arial"/>
          <w:bCs/>
          <w:sz w:val="22"/>
          <w:szCs w:val="22"/>
          <w:lang w:val="it-IT"/>
        </w:rPr>
        <w:t>quindi alcuna</w:t>
      </w:r>
      <w:r>
        <w:rPr>
          <w:rFonts w:ascii="Garamond" w:hAnsi="Garamond" w:cs="Arial"/>
          <w:bCs/>
          <w:sz w:val="22"/>
          <w:szCs w:val="22"/>
          <w:lang w:val="it-IT"/>
        </w:rPr>
        <w:t xml:space="preserve"> rilevanza esterna, non può </w:t>
      </w:r>
      <w:r w:rsidRPr="00F27883">
        <w:rPr>
          <w:rFonts w:ascii="Garamond" w:hAnsi="Garamond" w:cs="Arial"/>
          <w:bCs/>
          <w:sz w:val="22"/>
          <w:szCs w:val="22"/>
          <w:lang w:val="it-IT"/>
        </w:rPr>
        <w:t xml:space="preserve">esservi alcun interesse alla loro conoscenza; </w:t>
      </w:r>
      <w:r>
        <w:rPr>
          <w:rFonts w:ascii="Garamond" w:hAnsi="Garamond" w:cs="Arial"/>
          <w:bCs/>
          <w:sz w:val="22"/>
          <w:szCs w:val="22"/>
          <w:lang w:val="it-IT"/>
        </w:rPr>
        <w:t>si tratterebbe</w:t>
      </w:r>
      <w:r w:rsidRPr="00F27883">
        <w:rPr>
          <w:rFonts w:ascii="Garamond" w:hAnsi="Garamond" w:cs="Arial"/>
          <w:bCs/>
          <w:sz w:val="22"/>
          <w:szCs w:val="22"/>
          <w:lang w:val="it-IT"/>
        </w:rPr>
        <w:t>, pertanto, di atti assimilabili sostanzialmente a</w:t>
      </w:r>
      <w:r>
        <w:rPr>
          <w:rFonts w:ascii="Garamond" w:hAnsi="Garamond" w:cs="Arial"/>
          <w:bCs/>
          <w:sz w:val="22"/>
          <w:szCs w:val="22"/>
          <w:lang w:val="it-IT"/>
        </w:rPr>
        <w:t>d</w:t>
      </w:r>
      <w:r w:rsidRPr="00F27883">
        <w:rPr>
          <w:rFonts w:ascii="Garamond" w:hAnsi="Garamond" w:cs="Arial"/>
          <w:bCs/>
          <w:sz w:val="22"/>
          <w:szCs w:val="22"/>
          <w:lang w:val="it-IT"/>
        </w:rPr>
        <w:t xml:space="preserve"> </w:t>
      </w:r>
      <w:r w:rsidRPr="00F27883">
        <w:rPr>
          <w:rFonts w:ascii="Garamond" w:hAnsi="Garamond" w:cs="Arial"/>
          <w:bCs/>
          <w:i/>
          <w:iCs/>
          <w:sz w:val="22"/>
          <w:szCs w:val="22"/>
          <w:lang w:val="it-IT"/>
        </w:rPr>
        <w:t>interna corporis</w:t>
      </w:r>
      <w:r>
        <w:rPr>
          <w:rFonts w:ascii="Garamond" w:hAnsi="Garamond" w:cs="Arial"/>
          <w:bCs/>
          <w:sz w:val="22"/>
          <w:szCs w:val="22"/>
          <w:lang w:val="it-IT"/>
        </w:rPr>
        <w:t xml:space="preserve"> (</w:t>
      </w:r>
      <w:r w:rsidRPr="00F27883">
        <w:rPr>
          <w:rFonts w:ascii="Garamond" w:hAnsi="Garamond" w:cs="Arial"/>
          <w:bCs/>
          <w:sz w:val="22"/>
          <w:szCs w:val="22"/>
          <w:lang w:val="it-IT"/>
        </w:rPr>
        <w:t>C</w:t>
      </w:r>
      <w:r>
        <w:rPr>
          <w:rFonts w:ascii="Garamond" w:hAnsi="Garamond" w:cs="Arial"/>
          <w:bCs/>
          <w:sz w:val="22"/>
          <w:szCs w:val="22"/>
          <w:lang w:val="it-IT"/>
        </w:rPr>
        <w:t xml:space="preserve">ons. St., sez. III, 31 marzo 2016, n. </w:t>
      </w:r>
      <w:r w:rsidRPr="00F27883">
        <w:rPr>
          <w:rFonts w:ascii="Garamond" w:hAnsi="Garamond" w:cs="Arial"/>
          <w:bCs/>
          <w:sz w:val="22"/>
          <w:szCs w:val="22"/>
          <w:lang w:val="it-IT"/>
        </w:rPr>
        <w:t xml:space="preserve">1261; </w:t>
      </w:r>
      <w:r>
        <w:rPr>
          <w:rFonts w:ascii="Garamond" w:hAnsi="Garamond" w:cs="Arial"/>
          <w:bCs/>
          <w:sz w:val="22"/>
          <w:szCs w:val="22"/>
          <w:lang w:val="it-IT"/>
        </w:rPr>
        <w:t>sez. IV, 10 gennaio 2012, n. 25; Tar Ancona 5 novembre 2018, n. 714; Lazio, sez. II-bis, 28 gennaio 2008, n. 625</w:t>
      </w:r>
      <w:r w:rsidRPr="00F27883">
        <w:rPr>
          <w:rFonts w:ascii="Garamond" w:hAnsi="Garamond" w:cs="Arial"/>
          <w:bCs/>
          <w:sz w:val="22"/>
          <w:szCs w:val="22"/>
          <w:lang w:val="it-IT"/>
        </w:rPr>
        <w:t>)</w:t>
      </w:r>
      <w:r>
        <w:rPr>
          <w:rFonts w:ascii="Garamond" w:hAnsi="Garamond" w:cs="Arial"/>
          <w:bCs/>
          <w:sz w:val="22"/>
          <w:szCs w:val="22"/>
          <w:lang w:val="it-IT"/>
        </w:rPr>
        <w:t xml:space="preserve">. Un secondo indirizzo giurisprudenziale ritiene, invece, che </w:t>
      </w:r>
      <w:r w:rsidRPr="00F27883">
        <w:rPr>
          <w:rFonts w:ascii="Garamond" w:hAnsi="Garamond" w:cs="Arial"/>
          <w:bCs/>
          <w:sz w:val="22"/>
          <w:szCs w:val="22"/>
          <w:lang w:val="it-IT"/>
        </w:rPr>
        <w:t xml:space="preserve">gli </w:t>
      </w:r>
      <w:r>
        <w:rPr>
          <w:rFonts w:ascii="Garamond" w:hAnsi="Garamond" w:cs="Arial"/>
          <w:bCs/>
          <w:sz w:val="22"/>
          <w:szCs w:val="22"/>
          <w:lang w:val="it-IT"/>
        </w:rPr>
        <w:t>“</w:t>
      </w:r>
      <w:r w:rsidRPr="00F27883">
        <w:rPr>
          <w:rFonts w:ascii="Garamond" w:hAnsi="Garamond" w:cs="Arial"/>
          <w:bCs/>
          <w:sz w:val="22"/>
          <w:szCs w:val="22"/>
          <w:lang w:val="it-IT"/>
        </w:rPr>
        <w:t>atti interni</w:t>
      </w:r>
      <w:r>
        <w:rPr>
          <w:rFonts w:ascii="Garamond" w:hAnsi="Garamond" w:cs="Arial"/>
          <w:bCs/>
          <w:sz w:val="22"/>
          <w:szCs w:val="22"/>
          <w:lang w:val="it-IT"/>
        </w:rPr>
        <w:t>”</w:t>
      </w:r>
      <w:r w:rsidRPr="00F27883">
        <w:rPr>
          <w:rFonts w:ascii="Garamond" w:hAnsi="Garamond" w:cs="Arial"/>
          <w:bCs/>
          <w:sz w:val="22"/>
          <w:szCs w:val="22"/>
          <w:lang w:val="it-IT"/>
        </w:rPr>
        <w:t xml:space="preserve"> s</w:t>
      </w:r>
      <w:r>
        <w:rPr>
          <w:rFonts w:ascii="Garamond" w:hAnsi="Garamond" w:cs="Arial"/>
          <w:bCs/>
          <w:sz w:val="22"/>
          <w:szCs w:val="22"/>
          <w:lang w:val="it-IT"/>
        </w:rPr>
        <w:t>ia</w:t>
      </w:r>
      <w:r w:rsidRPr="00F27883">
        <w:rPr>
          <w:rFonts w:ascii="Garamond" w:hAnsi="Garamond" w:cs="Arial"/>
          <w:bCs/>
          <w:sz w:val="22"/>
          <w:szCs w:val="22"/>
          <w:lang w:val="it-IT"/>
        </w:rPr>
        <w:t>no sempre ostensibili</w:t>
      </w:r>
      <w:r>
        <w:rPr>
          <w:rFonts w:ascii="Garamond" w:hAnsi="Garamond" w:cs="Arial"/>
          <w:bCs/>
          <w:sz w:val="22"/>
          <w:szCs w:val="22"/>
          <w:lang w:val="it-IT"/>
        </w:rPr>
        <w:t xml:space="preserve"> ai sensi dell’art. 22 l. n. 241 del 1990</w:t>
      </w:r>
      <w:r w:rsidRPr="00F27883">
        <w:rPr>
          <w:rFonts w:ascii="Garamond" w:hAnsi="Garamond" w:cs="Arial"/>
          <w:bCs/>
          <w:sz w:val="22"/>
          <w:szCs w:val="22"/>
          <w:lang w:val="it-IT"/>
        </w:rPr>
        <w:t>, anche se non concretamente utilizzati nel procedimento ai fini della decisione finale</w:t>
      </w:r>
      <w:r>
        <w:rPr>
          <w:rFonts w:ascii="Garamond" w:hAnsi="Garamond" w:cs="Arial"/>
          <w:bCs/>
          <w:sz w:val="22"/>
          <w:szCs w:val="22"/>
          <w:lang w:val="it-IT"/>
        </w:rPr>
        <w:t xml:space="preserve"> e ciò per i seguenti motivi: perché sotto il profilo testuale, </w:t>
      </w:r>
      <w:r w:rsidRPr="00F27883">
        <w:rPr>
          <w:rFonts w:ascii="Garamond" w:hAnsi="Garamond" w:cs="Arial"/>
          <w:bCs/>
          <w:sz w:val="22"/>
          <w:szCs w:val="22"/>
          <w:lang w:val="it-IT"/>
        </w:rPr>
        <w:t>mentre il testo originario dell'art. 22</w:t>
      </w:r>
      <w:r>
        <w:rPr>
          <w:rFonts w:ascii="Garamond" w:hAnsi="Garamond" w:cs="Arial"/>
          <w:bCs/>
          <w:sz w:val="22"/>
          <w:szCs w:val="22"/>
          <w:lang w:val="it-IT"/>
        </w:rPr>
        <w:t>,</w:t>
      </w:r>
      <w:r w:rsidRPr="00F27883">
        <w:rPr>
          <w:rFonts w:ascii="Garamond" w:hAnsi="Garamond" w:cs="Arial"/>
          <w:bCs/>
          <w:sz w:val="22"/>
          <w:szCs w:val="22"/>
          <w:lang w:val="it-IT"/>
        </w:rPr>
        <w:t xml:space="preserve"> c</w:t>
      </w:r>
      <w:r>
        <w:rPr>
          <w:rFonts w:ascii="Garamond" w:hAnsi="Garamond" w:cs="Arial"/>
          <w:bCs/>
          <w:sz w:val="22"/>
          <w:szCs w:val="22"/>
          <w:lang w:val="it-IT"/>
        </w:rPr>
        <w:t>omma</w:t>
      </w:r>
      <w:r w:rsidRPr="00F27883">
        <w:rPr>
          <w:rFonts w:ascii="Garamond" w:hAnsi="Garamond" w:cs="Arial"/>
          <w:bCs/>
          <w:sz w:val="22"/>
          <w:szCs w:val="22"/>
          <w:lang w:val="it-IT"/>
        </w:rPr>
        <w:t xml:space="preserve"> 2</w:t>
      </w:r>
      <w:r>
        <w:rPr>
          <w:rFonts w:ascii="Garamond" w:hAnsi="Garamond" w:cs="Arial"/>
          <w:bCs/>
          <w:sz w:val="22"/>
          <w:szCs w:val="22"/>
          <w:lang w:val="it-IT"/>
        </w:rPr>
        <w:t>,</w:t>
      </w:r>
      <w:r w:rsidRPr="00F27883">
        <w:rPr>
          <w:rFonts w:ascii="Garamond" w:hAnsi="Garamond" w:cs="Arial"/>
          <w:bCs/>
          <w:sz w:val="22"/>
          <w:szCs w:val="22"/>
          <w:lang w:val="it-IT"/>
        </w:rPr>
        <w:t xml:space="preserve"> </w:t>
      </w:r>
      <w:r>
        <w:rPr>
          <w:rFonts w:ascii="Garamond" w:hAnsi="Garamond" w:cs="Arial"/>
          <w:bCs/>
          <w:sz w:val="22"/>
          <w:szCs w:val="22"/>
          <w:lang w:val="it-IT"/>
        </w:rPr>
        <w:t>l</w:t>
      </w:r>
      <w:r w:rsidRPr="00F27883">
        <w:rPr>
          <w:rFonts w:ascii="Garamond" w:hAnsi="Garamond" w:cs="Arial"/>
          <w:bCs/>
          <w:sz w:val="22"/>
          <w:szCs w:val="22"/>
          <w:lang w:val="it-IT"/>
        </w:rPr>
        <w:t xml:space="preserve">. </w:t>
      </w:r>
      <w:r>
        <w:rPr>
          <w:rFonts w:ascii="Garamond" w:hAnsi="Garamond" w:cs="Arial"/>
          <w:bCs/>
          <w:sz w:val="22"/>
          <w:szCs w:val="22"/>
          <w:lang w:val="it-IT"/>
        </w:rPr>
        <w:t xml:space="preserve">n. </w:t>
      </w:r>
      <w:r w:rsidRPr="00F27883">
        <w:rPr>
          <w:rFonts w:ascii="Garamond" w:hAnsi="Garamond" w:cs="Arial"/>
          <w:bCs/>
          <w:sz w:val="22"/>
          <w:szCs w:val="22"/>
          <w:lang w:val="it-IT"/>
        </w:rPr>
        <w:t>241</w:t>
      </w:r>
      <w:r>
        <w:rPr>
          <w:rFonts w:ascii="Garamond" w:hAnsi="Garamond" w:cs="Arial"/>
          <w:bCs/>
          <w:sz w:val="22"/>
          <w:szCs w:val="22"/>
          <w:lang w:val="it-IT"/>
        </w:rPr>
        <w:t xml:space="preserve"> del 19</w:t>
      </w:r>
      <w:r w:rsidRPr="00F27883">
        <w:rPr>
          <w:rFonts w:ascii="Garamond" w:hAnsi="Garamond" w:cs="Arial"/>
          <w:bCs/>
          <w:sz w:val="22"/>
          <w:szCs w:val="22"/>
          <w:lang w:val="it-IT"/>
        </w:rPr>
        <w:t xml:space="preserve">90 (prima delle modifiche </w:t>
      </w:r>
      <w:r>
        <w:rPr>
          <w:rFonts w:ascii="Garamond" w:hAnsi="Garamond" w:cs="Arial"/>
          <w:bCs/>
          <w:sz w:val="22"/>
          <w:szCs w:val="22"/>
          <w:lang w:val="it-IT"/>
        </w:rPr>
        <w:t>apportate d</w:t>
      </w:r>
      <w:r w:rsidRPr="00F27883">
        <w:rPr>
          <w:rFonts w:ascii="Garamond" w:hAnsi="Garamond" w:cs="Arial"/>
          <w:bCs/>
          <w:sz w:val="22"/>
          <w:szCs w:val="22"/>
          <w:lang w:val="it-IT"/>
        </w:rPr>
        <w:t xml:space="preserve">alla </w:t>
      </w:r>
      <w:r>
        <w:rPr>
          <w:rFonts w:ascii="Garamond" w:hAnsi="Garamond" w:cs="Arial"/>
          <w:bCs/>
          <w:sz w:val="22"/>
          <w:szCs w:val="22"/>
          <w:lang w:val="it-IT"/>
        </w:rPr>
        <w:t>l</w:t>
      </w:r>
      <w:r w:rsidRPr="00F27883">
        <w:rPr>
          <w:rFonts w:ascii="Garamond" w:hAnsi="Garamond" w:cs="Arial"/>
          <w:bCs/>
          <w:sz w:val="22"/>
          <w:szCs w:val="22"/>
          <w:lang w:val="it-IT"/>
        </w:rPr>
        <w:t xml:space="preserve">. </w:t>
      </w:r>
      <w:r>
        <w:rPr>
          <w:rFonts w:ascii="Garamond" w:hAnsi="Garamond" w:cs="Arial"/>
          <w:bCs/>
          <w:sz w:val="22"/>
          <w:szCs w:val="22"/>
          <w:lang w:val="it-IT"/>
        </w:rPr>
        <w:t xml:space="preserve">n. </w:t>
      </w:r>
      <w:r w:rsidRPr="00F27883">
        <w:rPr>
          <w:rFonts w:ascii="Garamond" w:hAnsi="Garamond" w:cs="Arial"/>
          <w:bCs/>
          <w:sz w:val="22"/>
          <w:szCs w:val="22"/>
          <w:lang w:val="it-IT"/>
        </w:rPr>
        <w:t>15</w:t>
      </w:r>
      <w:r>
        <w:rPr>
          <w:rFonts w:ascii="Garamond" w:hAnsi="Garamond" w:cs="Arial"/>
          <w:bCs/>
          <w:sz w:val="22"/>
          <w:szCs w:val="22"/>
          <w:lang w:val="it-IT"/>
        </w:rPr>
        <w:t xml:space="preserve"> del </w:t>
      </w:r>
      <w:r w:rsidRPr="00F27883">
        <w:rPr>
          <w:rFonts w:ascii="Garamond" w:hAnsi="Garamond" w:cs="Arial"/>
          <w:bCs/>
          <w:sz w:val="22"/>
          <w:szCs w:val="22"/>
          <w:lang w:val="it-IT"/>
        </w:rPr>
        <w:t>2005) definiva documenti amministrativi gli atti anche interni "</w:t>
      </w:r>
      <w:r w:rsidRPr="00F27883">
        <w:rPr>
          <w:rFonts w:ascii="Garamond" w:hAnsi="Garamond" w:cs="Arial"/>
          <w:bCs/>
          <w:i/>
          <w:iCs/>
          <w:sz w:val="22"/>
          <w:szCs w:val="22"/>
          <w:lang w:val="it-IT"/>
        </w:rPr>
        <w:t>formati dalle pubbliche amministrazioni o, comunque, utilizzati ai fini dell'attività amministrativa.",</w:t>
      </w:r>
      <w:r w:rsidRPr="00F27883">
        <w:rPr>
          <w:rFonts w:ascii="Garamond" w:hAnsi="Garamond" w:cs="Arial"/>
          <w:bCs/>
          <w:sz w:val="22"/>
          <w:szCs w:val="22"/>
          <w:lang w:val="it-IT"/>
        </w:rPr>
        <w:t xml:space="preserve"> oggi, l'art. 22 non parla più di atti "formati" o "comunque utilizzati", ma di atti </w:t>
      </w:r>
      <w:r w:rsidRPr="00F27883">
        <w:rPr>
          <w:rFonts w:ascii="Garamond" w:hAnsi="Garamond" w:cs="Arial"/>
          <w:bCs/>
          <w:i/>
          <w:iCs/>
          <w:sz w:val="22"/>
          <w:szCs w:val="22"/>
          <w:lang w:val="it-IT"/>
        </w:rPr>
        <w:t>"detenuti"</w:t>
      </w:r>
      <w:r w:rsidRPr="00F27883">
        <w:rPr>
          <w:rFonts w:ascii="Garamond" w:hAnsi="Garamond" w:cs="Arial"/>
          <w:bCs/>
          <w:sz w:val="22"/>
          <w:szCs w:val="22"/>
          <w:lang w:val="it-IT"/>
        </w:rPr>
        <w:t>, per dipiù aggiungendo che può trattarsi anche di atti "</w:t>
      </w:r>
      <w:r w:rsidRPr="00F27883">
        <w:rPr>
          <w:rFonts w:ascii="Garamond" w:hAnsi="Garamond" w:cs="Arial"/>
          <w:bCs/>
          <w:i/>
          <w:iCs/>
          <w:sz w:val="22"/>
          <w:szCs w:val="22"/>
          <w:lang w:val="it-IT"/>
        </w:rPr>
        <w:t>non relativi ad uno specifico procedimento"</w:t>
      </w:r>
      <w:r>
        <w:rPr>
          <w:rFonts w:ascii="Garamond" w:hAnsi="Garamond" w:cs="Arial"/>
          <w:bCs/>
          <w:sz w:val="22"/>
          <w:szCs w:val="22"/>
          <w:lang w:val="it-IT"/>
        </w:rPr>
        <w:t xml:space="preserve">; perché </w:t>
      </w:r>
      <w:r w:rsidRPr="00F27883">
        <w:rPr>
          <w:rFonts w:ascii="Garamond" w:hAnsi="Garamond" w:cs="Arial"/>
          <w:bCs/>
          <w:sz w:val="22"/>
          <w:szCs w:val="22"/>
          <w:lang w:val="it-IT"/>
        </w:rPr>
        <w:t>tali atti potrebbero interessare proprio per censurare il difetto di istruttoria</w:t>
      </w:r>
      <w:r>
        <w:rPr>
          <w:rFonts w:ascii="Garamond" w:hAnsi="Garamond" w:cs="Arial"/>
          <w:bCs/>
          <w:sz w:val="22"/>
          <w:szCs w:val="22"/>
          <w:lang w:val="it-IT"/>
        </w:rPr>
        <w:t xml:space="preserve"> (Cons. St., sez. VI, 19 gennaio 1999, n. </w:t>
      </w:r>
      <w:r w:rsidRPr="00F27883">
        <w:rPr>
          <w:rFonts w:ascii="Garamond" w:hAnsi="Garamond" w:cs="Arial"/>
          <w:bCs/>
          <w:sz w:val="22"/>
          <w:szCs w:val="22"/>
          <w:lang w:val="it-IT"/>
        </w:rPr>
        <w:t xml:space="preserve">22; </w:t>
      </w:r>
      <w:r>
        <w:rPr>
          <w:rFonts w:ascii="Garamond" w:hAnsi="Garamond" w:cs="Arial"/>
          <w:bCs/>
          <w:sz w:val="22"/>
          <w:szCs w:val="22"/>
          <w:lang w:val="it-IT"/>
        </w:rPr>
        <w:t xml:space="preserve">sez. V, 9 dicembre 1997, n. 1489; Tar Milano, sez. II, 19 novembre 2019, n. </w:t>
      </w:r>
      <w:r w:rsidRPr="00F27883">
        <w:rPr>
          <w:rFonts w:ascii="Garamond" w:hAnsi="Garamond" w:cs="Arial"/>
          <w:bCs/>
          <w:sz w:val="22"/>
          <w:szCs w:val="22"/>
          <w:lang w:val="it-IT"/>
        </w:rPr>
        <w:t>2443</w:t>
      </w:r>
      <w:r>
        <w:rPr>
          <w:rFonts w:ascii="Garamond" w:hAnsi="Garamond" w:cs="Arial"/>
          <w:bCs/>
          <w:sz w:val="22"/>
          <w:szCs w:val="22"/>
          <w:lang w:val="it-IT"/>
        </w:rPr>
        <w:t xml:space="preserve"> ed in dottrina </w:t>
      </w:r>
      <w:r w:rsidRPr="00F27883">
        <w:rPr>
          <w:rFonts w:ascii="Garamond" w:hAnsi="Garamond" w:cs="Arial"/>
          <w:bCs/>
          <w:sz w:val="22"/>
          <w:szCs w:val="22"/>
          <w:lang w:val="it-IT"/>
        </w:rPr>
        <w:t>Garofoli-Ferrari</w:t>
      </w:r>
      <w:r>
        <w:rPr>
          <w:rFonts w:ascii="Garamond" w:hAnsi="Garamond" w:cs="Arial"/>
          <w:bCs/>
          <w:sz w:val="22"/>
          <w:szCs w:val="22"/>
          <w:lang w:val="it-IT"/>
        </w:rPr>
        <w:t xml:space="preserve">, </w:t>
      </w:r>
      <w:r w:rsidRPr="0034789E">
        <w:rPr>
          <w:rFonts w:ascii="Garamond" w:hAnsi="Garamond" w:cs="Arial"/>
          <w:bCs/>
          <w:i/>
          <w:sz w:val="22"/>
          <w:szCs w:val="22"/>
          <w:lang w:val="it-IT"/>
        </w:rPr>
        <w:t>Manuale di diritto amministrativo</w:t>
      </w:r>
      <w:r>
        <w:rPr>
          <w:rFonts w:ascii="Garamond" w:hAnsi="Garamond" w:cs="Arial"/>
          <w:bCs/>
          <w:sz w:val="22"/>
          <w:szCs w:val="22"/>
          <w:lang w:val="it-IT"/>
        </w:rPr>
        <w:t>, Nel diritto editore, 2018.</w:t>
      </w:r>
    </w:p>
  </w:footnote>
  <w:footnote w:id="19">
    <w:p w14:paraId="41EC3554" w14:textId="3117A8F5" w:rsidR="00A80062" w:rsidRPr="00BC6C14" w:rsidRDefault="00A80062" w:rsidP="00F82558">
      <w:pPr>
        <w:pStyle w:val="Standard"/>
        <w:ind w:left="567" w:right="567"/>
        <w:jc w:val="both"/>
        <w:rPr>
          <w:rFonts w:ascii="Garamond" w:hAnsi="Garamond"/>
          <w:sz w:val="22"/>
          <w:szCs w:val="22"/>
          <w:lang w:val="it-IT"/>
        </w:rPr>
      </w:pPr>
      <w:r w:rsidRPr="00BC6C14">
        <w:rPr>
          <w:rStyle w:val="Rimandonotaapidipagina"/>
          <w:rFonts w:ascii="Garamond" w:hAnsi="Garamond"/>
          <w:sz w:val="22"/>
          <w:szCs w:val="22"/>
          <w:lang w:val="it-IT"/>
        </w:rPr>
        <w:footnoteRef/>
      </w:r>
      <w:r>
        <w:rPr>
          <w:rFonts w:ascii="Garamond" w:hAnsi="Garamond"/>
          <w:sz w:val="22"/>
          <w:szCs w:val="22"/>
          <w:lang w:val="it-IT"/>
        </w:rPr>
        <w:t xml:space="preserve"> </w:t>
      </w:r>
      <w:r w:rsidRPr="00ED699C">
        <w:rPr>
          <w:rFonts w:ascii="Garamond" w:hAnsi="Garamond" w:cs="Arial"/>
          <w:sz w:val="22"/>
          <w:szCs w:val="22"/>
          <w:lang w:val="it-IT"/>
        </w:rPr>
        <w:t xml:space="preserve">Tar Lazio, sez. III-bis, 30 marzo 2018, n. </w:t>
      </w:r>
      <w:r>
        <w:rPr>
          <w:rFonts w:ascii="Garamond" w:hAnsi="Garamond" w:cs="Arial"/>
          <w:sz w:val="22"/>
          <w:szCs w:val="22"/>
          <w:lang w:val="it-IT"/>
        </w:rPr>
        <w:t>3598</w:t>
      </w:r>
      <w:r w:rsidRPr="00ED699C">
        <w:rPr>
          <w:rFonts w:ascii="Garamond" w:hAnsi="Garamond" w:cs="Arial"/>
          <w:sz w:val="22"/>
          <w:szCs w:val="22"/>
          <w:lang w:val="it-IT"/>
        </w:rPr>
        <w:t>.</w:t>
      </w:r>
    </w:p>
  </w:footnote>
  <w:footnote w:id="20">
    <w:p w14:paraId="65EAE757" w14:textId="2CFC33EA" w:rsidR="00A80062" w:rsidRPr="00BC6C14" w:rsidRDefault="00A80062" w:rsidP="00F82558">
      <w:pPr>
        <w:pStyle w:val="Standard"/>
        <w:ind w:left="567" w:right="567"/>
        <w:jc w:val="both"/>
        <w:rPr>
          <w:rFonts w:ascii="Garamond" w:hAnsi="Garamond"/>
          <w:sz w:val="22"/>
          <w:szCs w:val="22"/>
          <w:lang w:val="it-IT"/>
        </w:rPr>
      </w:pPr>
      <w:r w:rsidRPr="00BC6C14">
        <w:rPr>
          <w:rStyle w:val="Rimandonotaapidipagina"/>
          <w:rFonts w:ascii="Garamond" w:hAnsi="Garamond"/>
          <w:sz w:val="22"/>
          <w:szCs w:val="22"/>
          <w:lang w:val="it-IT"/>
        </w:rPr>
        <w:footnoteRef/>
      </w:r>
      <w:r>
        <w:rPr>
          <w:rFonts w:ascii="Garamond" w:hAnsi="Garamond"/>
          <w:sz w:val="22"/>
          <w:szCs w:val="22"/>
          <w:lang w:val="it-IT"/>
        </w:rPr>
        <w:t xml:space="preserve"> In realtà, già Tar Palermo, sez. III, 6 aprile 2018, n. 796 aveva ritenuto ostensibile </w:t>
      </w:r>
      <w:r w:rsidRPr="00C877AE">
        <w:rPr>
          <w:rFonts w:ascii="Garamond" w:hAnsi="Garamond"/>
          <w:sz w:val="22"/>
          <w:szCs w:val="22"/>
          <w:lang w:val="it-IT"/>
        </w:rPr>
        <w:t xml:space="preserve">un “parere urbanistico” </w:t>
      </w:r>
      <w:r>
        <w:rPr>
          <w:rFonts w:ascii="Garamond" w:hAnsi="Garamond"/>
          <w:sz w:val="22"/>
          <w:szCs w:val="22"/>
          <w:lang w:val="it-IT"/>
        </w:rPr>
        <w:t xml:space="preserve">istruttorio </w:t>
      </w:r>
      <w:r w:rsidRPr="00C877AE">
        <w:rPr>
          <w:rFonts w:ascii="Garamond" w:hAnsi="Garamond"/>
          <w:sz w:val="22"/>
          <w:szCs w:val="22"/>
          <w:lang w:val="it-IT"/>
        </w:rPr>
        <w:t xml:space="preserve">a prescindere dal rilievo procedimentale </w:t>
      </w:r>
      <w:r>
        <w:rPr>
          <w:rFonts w:ascii="Garamond" w:hAnsi="Garamond"/>
          <w:sz w:val="22"/>
          <w:szCs w:val="22"/>
          <w:lang w:val="it-IT"/>
        </w:rPr>
        <w:t xml:space="preserve">che aveva </w:t>
      </w:r>
      <w:r w:rsidRPr="00C877AE">
        <w:rPr>
          <w:rFonts w:ascii="Garamond" w:hAnsi="Garamond"/>
          <w:sz w:val="22"/>
          <w:szCs w:val="22"/>
          <w:lang w:val="it-IT"/>
        </w:rPr>
        <w:t>assunto</w:t>
      </w:r>
      <w:r>
        <w:rPr>
          <w:rFonts w:ascii="Garamond" w:hAnsi="Garamond"/>
          <w:sz w:val="22"/>
          <w:szCs w:val="22"/>
          <w:lang w:val="it-IT"/>
        </w:rPr>
        <w:t xml:space="preserve"> nel procedimento.</w:t>
      </w:r>
    </w:p>
  </w:footnote>
  <w:footnote w:id="21">
    <w:p w14:paraId="35D3BD80" w14:textId="066D41D5" w:rsidR="00A80062" w:rsidRPr="00BC6C14" w:rsidRDefault="00A80062" w:rsidP="0005553C">
      <w:pPr>
        <w:pStyle w:val="Standard"/>
        <w:ind w:left="567" w:right="567"/>
        <w:jc w:val="both"/>
        <w:rPr>
          <w:rFonts w:ascii="Garamond" w:hAnsi="Garamond"/>
          <w:sz w:val="22"/>
          <w:szCs w:val="22"/>
          <w:lang w:val="it-IT"/>
        </w:rPr>
      </w:pPr>
      <w:r w:rsidRPr="00BC6C14">
        <w:rPr>
          <w:rStyle w:val="Rimandonotaapidipagina"/>
          <w:rFonts w:ascii="Garamond" w:hAnsi="Garamond"/>
          <w:sz w:val="22"/>
          <w:szCs w:val="22"/>
          <w:lang w:val="it-IT"/>
        </w:rPr>
        <w:footnoteRef/>
      </w:r>
      <w:r>
        <w:rPr>
          <w:rFonts w:ascii="Garamond" w:hAnsi="Garamond"/>
          <w:sz w:val="22"/>
          <w:szCs w:val="22"/>
          <w:lang w:val="it-IT"/>
        </w:rPr>
        <w:t xml:space="preserve"> </w:t>
      </w:r>
      <w:r w:rsidRPr="0005553C">
        <w:rPr>
          <w:rFonts w:ascii="Garamond" w:hAnsi="Garamond"/>
          <w:sz w:val="22"/>
          <w:szCs w:val="22"/>
          <w:lang w:val="it-IT"/>
        </w:rPr>
        <w:t>T</w:t>
      </w:r>
      <w:r>
        <w:rPr>
          <w:rFonts w:ascii="Garamond" w:hAnsi="Garamond"/>
          <w:sz w:val="22"/>
          <w:szCs w:val="22"/>
          <w:lang w:val="it-IT"/>
        </w:rPr>
        <w:t>ar Lazio, sez. III-quater, 22 gennaio 2021, n. 879 (fattispecie riguardante un’istanza presentata da Deputati della Repubblica).</w:t>
      </w:r>
    </w:p>
  </w:footnote>
  <w:footnote w:id="22">
    <w:p w14:paraId="3858B925" w14:textId="0D3A2CB5" w:rsidR="00A80062" w:rsidRPr="00BC6C14" w:rsidRDefault="00A80062" w:rsidP="00CA425A">
      <w:pPr>
        <w:pStyle w:val="Standard"/>
        <w:ind w:left="567" w:right="567"/>
        <w:jc w:val="both"/>
        <w:rPr>
          <w:rFonts w:ascii="Garamond" w:hAnsi="Garamond"/>
          <w:sz w:val="22"/>
          <w:szCs w:val="22"/>
          <w:lang w:val="it-IT"/>
        </w:rPr>
      </w:pPr>
      <w:r w:rsidRPr="00BC6C14">
        <w:rPr>
          <w:rStyle w:val="Rimandonotaapidipagina"/>
          <w:rFonts w:ascii="Garamond" w:hAnsi="Garamond"/>
          <w:sz w:val="22"/>
          <w:szCs w:val="22"/>
          <w:lang w:val="it-IT"/>
        </w:rPr>
        <w:footnoteRef/>
      </w:r>
      <w:r>
        <w:rPr>
          <w:rFonts w:ascii="Garamond" w:hAnsi="Garamond"/>
          <w:sz w:val="22"/>
          <w:szCs w:val="22"/>
          <w:lang w:val="it-IT"/>
        </w:rPr>
        <w:t xml:space="preserve"> </w:t>
      </w:r>
      <w:r w:rsidRPr="0005553C">
        <w:rPr>
          <w:rFonts w:ascii="Garamond" w:hAnsi="Garamond"/>
          <w:sz w:val="22"/>
          <w:szCs w:val="22"/>
          <w:lang w:val="it-IT"/>
        </w:rPr>
        <w:t>T</w:t>
      </w:r>
      <w:r>
        <w:rPr>
          <w:rFonts w:ascii="Garamond" w:hAnsi="Garamond"/>
          <w:sz w:val="22"/>
          <w:szCs w:val="22"/>
          <w:lang w:val="it-IT"/>
        </w:rPr>
        <w:t>ar Lazio n. 5346 del 2021.</w:t>
      </w:r>
    </w:p>
  </w:footnote>
  <w:footnote w:id="23">
    <w:p w14:paraId="1C148CD4" w14:textId="2FF3C810" w:rsidR="00A80062" w:rsidRPr="00BC6C14" w:rsidRDefault="00A80062" w:rsidP="009611D4">
      <w:pPr>
        <w:pStyle w:val="Standard"/>
        <w:ind w:left="567" w:right="567"/>
        <w:jc w:val="both"/>
        <w:rPr>
          <w:rFonts w:ascii="Garamond" w:hAnsi="Garamond"/>
          <w:sz w:val="22"/>
          <w:szCs w:val="22"/>
          <w:lang w:val="it-IT"/>
        </w:rPr>
      </w:pPr>
      <w:r w:rsidRPr="00BC6C14">
        <w:rPr>
          <w:rStyle w:val="Rimandonotaapidipagina"/>
          <w:rFonts w:ascii="Garamond" w:hAnsi="Garamond"/>
          <w:sz w:val="22"/>
          <w:szCs w:val="22"/>
          <w:lang w:val="it-IT"/>
        </w:rPr>
        <w:footnoteRef/>
      </w:r>
      <w:r>
        <w:rPr>
          <w:rFonts w:ascii="Garamond" w:hAnsi="Garamond"/>
          <w:sz w:val="22"/>
          <w:szCs w:val="22"/>
          <w:lang w:val="it-IT"/>
        </w:rPr>
        <w:t xml:space="preserve"> </w:t>
      </w:r>
      <w:r w:rsidRPr="0005553C">
        <w:rPr>
          <w:rFonts w:ascii="Garamond" w:hAnsi="Garamond"/>
          <w:sz w:val="22"/>
          <w:szCs w:val="22"/>
          <w:lang w:val="it-IT"/>
        </w:rPr>
        <w:t>T</w:t>
      </w:r>
      <w:r>
        <w:rPr>
          <w:rFonts w:ascii="Garamond" w:hAnsi="Garamond"/>
          <w:sz w:val="22"/>
          <w:szCs w:val="22"/>
          <w:lang w:val="it-IT"/>
        </w:rPr>
        <w:t>ar Lazio n. 8419 del 2021.</w:t>
      </w:r>
    </w:p>
  </w:footnote>
  <w:footnote w:id="24">
    <w:p w14:paraId="628BEEEA" w14:textId="4914ECA6" w:rsidR="00A80062" w:rsidRPr="007E2327" w:rsidRDefault="00A80062" w:rsidP="007E2327">
      <w:pPr>
        <w:pStyle w:val="Standard"/>
        <w:ind w:left="567" w:right="567"/>
        <w:jc w:val="both"/>
        <w:rPr>
          <w:rFonts w:ascii="Garamond" w:hAnsi="Garamond"/>
          <w:sz w:val="22"/>
          <w:szCs w:val="22"/>
          <w:lang w:val="it-IT"/>
        </w:rPr>
      </w:pPr>
      <w:r w:rsidRPr="007E2327">
        <w:rPr>
          <w:rStyle w:val="Rimandonotaapidipagina"/>
          <w:rFonts w:ascii="Garamond" w:hAnsi="Garamond"/>
          <w:sz w:val="22"/>
          <w:szCs w:val="22"/>
          <w:lang w:val="it-IT"/>
        </w:rPr>
        <w:footnoteRef/>
      </w:r>
      <w:r w:rsidRPr="007E2327">
        <w:rPr>
          <w:rFonts w:ascii="Garamond" w:hAnsi="Garamond"/>
          <w:sz w:val="22"/>
          <w:szCs w:val="22"/>
          <w:lang w:val="it-IT"/>
        </w:rPr>
        <w:t xml:space="preserve"> Al riguardo, Cons. St. a.p. n. 10 del 2020 afferma che </w:t>
      </w:r>
      <w:r w:rsidRPr="007E2327">
        <w:rPr>
          <w:rFonts w:ascii="Garamond" w:hAnsi="Garamond"/>
          <w:i/>
          <w:sz w:val="22"/>
          <w:szCs w:val="22"/>
          <w:lang w:val="it-IT"/>
        </w:rPr>
        <w:t>&lt;&lt; … una lettura sistematica, costituzionalmente e convenzionalmente orientata, impone un necessario approccio restrittivo (ai limiti) secondo un’interpretazione tassativizzante. &gt;&gt;</w:t>
      </w:r>
      <w:r w:rsidRPr="007E2327">
        <w:rPr>
          <w:rFonts w:ascii="Garamond" w:hAnsi="Garamond"/>
          <w:sz w:val="22"/>
          <w:szCs w:val="22"/>
          <w:lang w:val="it-IT"/>
        </w:rPr>
        <w:t xml:space="preserve">. </w:t>
      </w:r>
    </w:p>
  </w:footnote>
  <w:footnote w:id="25">
    <w:p w14:paraId="38294210" w14:textId="12048009" w:rsidR="00A80062" w:rsidRPr="007E2327" w:rsidRDefault="00A80062" w:rsidP="002A5DED">
      <w:pPr>
        <w:pStyle w:val="Standard"/>
        <w:ind w:left="567" w:right="567"/>
        <w:jc w:val="both"/>
        <w:rPr>
          <w:rFonts w:ascii="Garamond" w:hAnsi="Garamond"/>
          <w:sz w:val="22"/>
          <w:szCs w:val="22"/>
          <w:lang w:val="it-IT"/>
        </w:rPr>
      </w:pPr>
      <w:r w:rsidRPr="007E2327">
        <w:rPr>
          <w:rStyle w:val="Rimandonotaapidipagina"/>
          <w:rFonts w:ascii="Garamond" w:hAnsi="Garamond"/>
          <w:sz w:val="22"/>
          <w:szCs w:val="22"/>
          <w:lang w:val="it-IT"/>
        </w:rPr>
        <w:footnoteRef/>
      </w:r>
      <w:r w:rsidRPr="007E2327">
        <w:rPr>
          <w:rFonts w:ascii="Garamond" w:hAnsi="Garamond"/>
          <w:sz w:val="22"/>
          <w:szCs w:val="22"/>
          <w:lang w:val="it-IT"/>
        </w:rPr>
        <w:t xml:space="preserve"> </w:t>
      </w:r>
      <w:r>
        <w:rPr>
          <w:rFonts w:ascii="Garamond" w:hAnsi="Garamond"/>
          <w:sz w:val="22"/>
          <w:szCs w:val="22"/>
          <w:lang w:val="it-IT"/>
        </w:rPr>
        <w:t xml:space="preserve">Sulla questione si è pronunciata la 3^ sezione del Consiglio di Stato con decreto 31 luglio 2020, n. 4574, nonché il Tar Lazio, sez. I-quater, 22 luglio 2020, n. 8615. Per un commento alla vicenda vedasi Berti A., </w:t>
      </w:r>
      <w:r w:rsidRPr="002A5DED">
        <w:rPr>
          <w:rFonts w:ascii="Garamond" w:hAnsi="Garamond"/>
          <w:i/>
          <w:sz w:val="22"/>
          <w:szCs w:val="22"/>
          <w:lang w:val="it-IT"/>
        </w:rPr>
        <w:t>I vetri appannati di “casa Italia”: il caso dell’accesso civico generalizzato ai verbali del Comitato tecnico-scientifico per l’emergenza Covid-19</w:t>
      </w:r>
      <w:r>
        <w:rPr>
          <w:rFonts w:ascii="Garamond" w:hAnsi="Garamond"/>
          <w:sz w:val="22"/>
          <w:szCs w:val="22"/>
          <w:lang w:val="it-IT"/>
        </w:rPr>
        <w:t xml:space="preserve">, www.dirittoaccesso.it, 18 agosto 2020; nonché Laviola F., </w:t>
      </w:r>
      <w:r w:rsidRPr="007E45BC">
        <w:rPr>
          <w:rFonts w:ascii="Garamond" w:hAnsi="Garamond"/>
          <w:i/>
          <w:sz w:val="22"/>
          <w:szCs w:val="22"/>
          <w:lang w:val="it-IT"/>
        </w:rPr>
        <w:t>La decisione politica science-based e il ruolo del Comitato tecnico-scientifico nella gestione dell’emergenza Covid-19 tra arbitrarie pretese di segretezza e riaffermazione del diritto alla trasparenza</w:t>
      </w:r>
      <w:r>
        <w:rPr>
          <w:rFonts w:ascii="Garamond" w:hAnsi="Garamond"/>
          <w:sz w:val="22"/>
          <w:szCs w:val="22"/>
          <w:lang w:val="it-IT"/>
        </w:rPr>
        <w:t>, www.federalismi.it n. 20/2021.</w:t>
      </w:r>
    </w:p>
  </w:footnote>
  <w:footnote w:id="26">
    <w:p w14:paraId="02B7A9BC" w14:textId="694328C6" w:rsidR="00A80062" w:rsidRPr="007E2327" w:rsidRDefault="00A80062" w:rsidP="00545989">
      <w:pPr>
        <w:pStyle w:val="Standard"/>
        <w:ind w:left="567" w:right="567"/>
        <w:jc w:val="both"/>
        <w:rPr>
          <w:rFonts w:ascii="Garamond" w:hAnsi="Garamond"/>
          <w:sz w:val="22"/>
          <w:szCs w:val="22"/>
          <w:lang w:val="it-IT"/>
        </w:rPr>
      </w:pPr>
      <w:r w:rsidRPr="007E2327">
        <w:rPr>
          <w:rStyle w:val="Rimandonotaapidipagina"/>
          <w:rFonts w:ascii="Garamond" w:hAnsi="Garamond"/>
          <w:sz w:val="22"/>
          <w:szCs w:val="22"/>
          <w:lang w:val="it-IT"/>
        </w:rPr>
        <w:footnoteRef/>
      </w:r>
      <w:r w:rsidRPr="007E2327">
        <w:rPr>
          <w:rFonts w:ascii="Garamond" w:hAnsi="Garamond"/>
          <w:sz w:val="22"/>
          <w:szCs w:val="22"/>
          <w:lang w:val="it-IT"/>
        </w:rPr>
        <w:t xml:space="preserve"> </w:t>
      </w:r>
      <w:r>
        <w:rPr>
          <w:rFonts w:ascii="Garamond" w:hAnsi="Garamond"/>
          <w:color w:val="000000"/>
          <w:sz w:val="22"/>
          <w:szCs w:val="22"/>
          <w:lang w:val="it-IT"/>
        </w:rPr>
        <w:t>C</w:t>
      </w:r>
      <w:r w:rsidRPr="00545989">
        <w:rPr>
          <w:rFonts w:ascii="Garamond" w:hAnsi="Garamond"/>
          <w:color w:val="000000"/>
          <w:sz w:val="22"/>
          <w:szCs w:val="22"/>
          <w:lang w:val="it-IT"/>
        </w:rPr>
        <w:t>iò in considerazione di quanto previsto dall’art. 4, par</w:t>
      </w:r>
      <w:r>
        <w:rPr>
          <w:rFonts w:ascii="Garamond" w:hAnsi="Garamond"/>
          <w:color w:val="000000"/>
          <w:sz w:val="22"/>
          <w:szCs w:val="22"/>
          <w:lang w:val="it-IT"/>
        </w:rPr>
        <w:t>agrafo</w:t>
      </w:r>
      <w:r w:rsidRPr="00545989">
        <w:rPr>
          <w:rFonts w:ascii="Garamond" w:hAnsi="Garamond"/>
          <w:color w:val="000000"/>
          <w:sz w:val="22"/>
          <w:szCs w:val="22"/>
          <w:lang w:val="it-IT"/>
        </w:rPr>
        <w:t xml:space="preserve"> 1</w:t>
      </w:r>
      <w:r>
        <w:rPr>
          <w:rFonts w:ascii="Garamond" w:hAnsi="Garamond"/>
          <w:color w:val="000000"/>
          <w:sz w:val="22"/>
          <w:szCs w:val="22"/>
          <w:lang w:val="it-IT"/>
        </w:rPr>
        <w:t>,</w:t>
      </w:r>
      <w:r w:rsidRPr="00545989">
        <w:rPr>
          <w:rFonts w:ascii="Garamond" w:hAnsi="Garamond"/>
          <w:color w:val="000000"/>
          <w:sz w:val="22"/>
          <w:szCs w:val="22"/>
          <w:lang w:val="it-IT"/>
        </w:rPr>
        <w:t xml:space="preserve"> n. 1 del Regolamento UE </w:t>
      </w:r>
      <w:r w:rsidRPr="00634CBB">
        <w:rPr>
          <w:rFonts w:ascii="Garamond" w:hAnsi="Garamond" w:cs="Times New Roman"/>
          <w:color w:val="000000" w:themeColor="text1"/>
        </w:rPr>
        <w:t xml:space="preserve">27 </w:t>
      </w:r>
      <w:r>
        <w:rPr>
          <w:rFonts w:ascii="Garamond" w:hAnsi="Garamond" w:cs="Times New Roman"/>
          <w:color w:val="000000" w:themeColor="text1"/>
        </w:rPr>
        <w:t>a</w:t>
      </w:r>
      <w:r w:rsidRPr="00634CBB">
        <w:rPr>
          <w:rFonts w:ascii="Garamond" w:hAnsi="Garamond" w:cs="Times New Roman"/>
          <w:color w:val="000000" w:themeColor="text1"/>
        </w:rPr>
        <w:t>prile 2016, n. 2016/679</w:t>
      </w:r>
      <w:r w:rsidRPr="00545989">
        <w:rPr>
          <w:rFonts w:ascii="Garamond" w:hAnsi="Garamond"/>
          <w:color w:val="000000"/>
          <w:sz w:val="22"/>
          <w:szCs w:val="22"/>
          <w:lang w:val="it-IT"/>
        </w:rPr>
        <w:t xml:space="preserve">, per il quale </w:t>
      </w:r>
      <w:r w:rsidRPr="00545989">
        <w:rPr>
          <w:rFonts w:ascii="Garamond" w:hAnsi="Garamond"/>
          <w:i/>
          <w:color w:val="000000"/>
          <w:sz w:val="22"/>
          <w:szCs w:val="22"/>
          <w:lang w:val="it-IT"/>
        </w:rPr>
        <w:t>“si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r w:rsidRPr="00545989">
        <w:rPr>
          <w:rFonts w:ascii="Garamond" w:hAnsi="Garamond"/>
          <w:color w:val="000000"/>
          <w:sz w:val="22"/>
          <w:szCs w:val="22"/>
          <w:lang w:val="it-IT"/>
        </w:rPr>
        <w:t xml:space="preserve">. </w:t>
      </w:r>
    </w:p>
  </w:footnote>
  <w:footnote w:id="27">
    <w:p w14:paraId="2F7A951D" w14:textId="5F494096" w:rsidR="00A80062" w:rsidRPr="007E2327" w:rsidRDefault="00A80062" w:rsidP="00D823A4">
      <w:pPr>
        <w:pStyle w:val="Standard"/>
        <w:ind w:left="567" w:right="567"/>
        <w:jc w:val="both"/>
        <w:rPr>
          <w:rFonts w:ascii="Garamond" w:hAnsi="Garamond"/>
          <w:sz w:val="22"/>
          <w:szCs w:val="22"/>
          <w:lang w:val="it-IT"/>
        </w:rPr>
      </w:pPr>
      <w:r w:rsidRPr="007E2327">
        <w:rPr>
          <w:rStyle w:val="Rimandonotaapidipagina"/>
          <w:rFonts w:ascii="Garamond" w:hAnsi="Garamond"/>
          <w:sz w:val="22"/>
          <w:szCs w:val="22"/>
          <w:lang w:val="it-IT"/>
        </w:rPr>
        <w:footnoteRef/>
      </w:r>
      <w:r w:rsidRPr="007E2327">
        <w:rPr>
          <w:rFonts w:ascii="Garamond" w:hAnsi="Garamond"/>
          <w:sz w:val="22"/>
          <w:szCs w:val="22"/>
          <w:lang w:val="it-IT"/>
        </w:rPr>
        <w:t xml:space="preserve"> </w:t>
      </w:r>
      <w:r>
        <w:rPr>
          <w:rFonts w:ascii="Garamond" w:hAnsi="Garamond"/>
          <w:sz w:val="22"/>
          <w:szCs w:val="22"/>
          <w:lang w:val="it-IT"/>
        </w:rPr>
        <w:t>Tar Lazio, sez. I-ter, 3 giugno 2021, n. 6583.</w:t>
      </w:r>
    </w:p>
  </w:footnote>
  <w:footnote w:id="28">
    <w:p w14:paraId="7F304572" w14:textId="54E50A0F" w:rsidR="00A80062" w:rsidRPr="00024885" w:rsidRDefault="00A80062" w:rsidP="00024885">
      <w:pPr>
        <w:pStyle w:val="Standard"/>
        <w:ind w:left="567" w:right="567"/>
        <w:jc w:val="both"/>
        <w:rPr>
          <w:rFonts w:ascii="Garamond" w:hAnsi="Garamond"/>
          <w:sz w:val="22"/>
          <w:szCs w:val="22"/>
          <w:lang w:val="it-IT"/>
        </w:rPr>
      </w:pPr>
      <w:r w:rsidRPr="00024885">
        <w:rPr>
          <w:rStyle w:val="Rimandonotaapidipagina"/>
          <w:rFonts w:ascii="Garamond" w:hAnsi="Garamond"/>
          <w:sz w:val="22"/>
          <w:szCs w:val="22"/>
          <w:lang w:val="it-IT"/>
        </w:rPr>
        <w:footnoteRef/>
      </w:r>
      <w:r w:rsidRPr="00024885">
        <w:rPr>
          <w:rFonts w:ascii="Garamond" w:hAnsi="Garamond"/>
          <w:sz w:val="22"/>
          <w:szCs w:val="22"/>
          <w:lang w:val="it-IT"/>
        </w:rPr>
        <w:t xml:space="preserve"> </w:t>
      </w:r>
      <w:r>
        <w:rPr>
          <w:rFonts w:ascii="Garamond" w:hAnsi="Garamond"/>
          <w:sz w:val="22"/>
          <w:szCs w:val="22"/>
          <w:lang w:val="it-IT"/>
        </w:rPr>
        <w:t xml:space="preserve">Si pensi a quelle </w:t>
      </w:r>
      <w:r w:rsidRPr="00024885">
        <w:rPr>
          <w:rFonts w:ascii="Garamond" w:hAnsi="Garamond" w:cs="Segoe UI"/>
          <w:sz w:val="22"/>
          <w:szCs w:val="22"/>
          <w:lang w:val="it-IT"/>
        </w:rPr>
        <w:t xml:space="preserve">disposizioni </w:t>
      </w:r>
      <w:r>
        <w:rPr>
          <w:rFonts w:ascii="Garamond" w:hAnsi="Garamond" w:cs="Segoe UI"/>
          <w:sz w:val="22"/>
          <w:szCs w:val="22"/>
          <w:lang w:val="it-IT"/>
        </w:rPr>
        <w:t xml:space="preserve">che prevedono </w:t>
      </w:r>
      <w:r w:rsidRPr="00024885">
        <w:rPr>
          <w:rFonts w:ascii="Garamond" w:hAnsi="Garamond" w:cs="Segoe UI"/>
          <w:sz w:val="22"/>
          <w:szCs w:val="22"/>
          <w:lang w:val="it-IT"/>
        </w:rPr>
        <w:t xml:space="preserve">il diritto del cittadino di conoscere la normativa, le strutture competenti ed i compiti delle P.A. in merito ai “servizi” offerti alla cittadinanza: tale diritto è espressamente riconosciuto dall’art. 8, comma 2, </w:t>
      </w:r>
      <w:r>
        <w:rPr>
          <w:rFonts w:ascii="Garamond" w:hAnsi="Garamond" w:cs="Segoe UI"/>
          <w:sz w:val="22"/>
          <w:szCs w:val="22"/>
          <w:lang w:val="it-IT"/>
        </w:rPr>
        <w:t>della l</w:t>
      </w:r>
      <w:r w:rsidRPr="00024885">
        <w:rPr>
          <w:rFonts w:ascii="Garamond" w:hAnsi="Garamond" w:cs="Segoe UI"/>
          <w:sz w:val="22"/>
          <w:szCs w:val="22"/>
          <w:lang w:val="it-IT"/>
        </w:rPr>
        <w:t>egge 7 giugno 2000, n. 150 (contenente la “Disciplina delle attività di informazione e di comunicazione delle pubbliche amministrazioni) e dall’art</w:t>
      </w:r>
      <w:r>
        <w:rPr>
          <w:rFonts w:ascii="Garamond" w:hAnsi="Garamond" w:cs="Segoe UI"/>
          <w:color w:val="000000"/>
          <w:sz w:val="22"/>
          <w:szCs w:val="22"/>
          <w:lang w:val="it-IT"/>
        </w:rPr>
        <w:t>. 26 del d</w:t>
      </w:r>
      <w:r w:rsidRPr="00024885">
        <w:rPr>
          <w:rFonts w:ascii="Garamond" w:hAnsi="Garamond" w:cs="Segoe UI"/>
          <w:color w:val="000000"/>
          <w:sz w:val="22"/>
          <w:szCs w:val="22"/>
          <w:lang w:val="it-IT"/>
        </w:rPr>
        <w:t>ecreto legislativo 26 marzo 2000, n. 59 (di attuaz</w:t>
      </w:r>
      <w:r>
        <w:rPr>
          <w:rFonts w:ascii="Garamond" w:hAnsi="Garamond" w:cs="Segoe UI"/>
          <w:color w:val="000000"/>
          <w:sz w:val="22"/>
          <w:szCs w:val="22"/>
          <w:lang w:val="it-IT"/>
        </w:rPr>
        <w:t>ione della Direttiva 2006/123/CE</w:t>
      </w:r>
      <w:r w:rsidRPr="00024885">
        <w:rPr>
          <w:rFonts w:ascii="Garamond" w:hAnsi="Garamond" w:cs="Segoe UI"/>
          <w:color w:val="000000"/>
          <w:sz w:val="22"/>
          <w:szCs w:val="22"/>
          <w:lang w:val="it-IT"/>
        </w:rPr>
        <w:t xml:space="preserve"> relativa ai servizi nel mercato interno), che </w:t>
      </w:r>
      <w:r>
        <w:rPr>
          <w:rFonts w:ascii="Garamond" w:hAnsi="Garamond" w:cs="Segoe UI"/>
          <w:color w:val="000000"/>
          <w:sz w:val="22"/>
          <w:szCs w:val="22"/>
          <w:lang w:val="it-IT"/>
        </w:rPr>
        <w:t>prevede anch’essa un apposito “d</w:t>
      </w:r>
      <w:r w:rsidRPr="00024885">
        <w:rPr>
          <w:rFonts w:ascii="Garamond" w:hAnsi="Garamond" w:cs="Segoe UI"/>
          <w:color w:val="000000"/>
          <w:sz w:val="22"/>
          <w:szCs w:val="22"/>
          <w:lang w:val="it-IT"/>
        </w:rPr>
        <w:t xml:space="preserve">iritto all’informazione” in materia di esercizio delle attività di servizi. </w:t>
      </w:r>
      <w:r>
        <w:rPr>
          <w:rFonts w:ascii="Garamond" w:hAnsi="Garamond" w:cs="Segoe UI"/>
          <w:color w:val="000000"/>
          <w:sz w:val="22"/>
          <w:szCs w:val="22"/>
          <w:lang w:val="it-IT"/>
        </w:rPr>
        <w:t xml:space="preserve">Si pensi ancora a quelle </w:t>
      </w:r>
      <w:r w:rsidRPr="00024885">
        <w:rPr>
          <w:rFonts w:ascii="Garamond" w:hAnsi="Garamond" w:cs="Segoe UI"/>
          <w:sz w:val="22"/>
          <w:szCs w:val="22"/>
          <w:lang w:val="it-IT"/>
        </w:rPr>
        <w:t xml:space="preserve">norme di carattere generale </w:t>
      </w:r>
      <w:r>
        <w:rPr>
          <w:rFonts w:ascii="Garamond" w:hAnsi="Garamond" w:cs="Segoe UI"/>
          <w:sz w:val="22"/>
          <w:szCs w:val="22"/>
          <w:lang w:val="it-IT"/>
        </w:rPr>
        <w:t>riguardanti</w:t>
      </w:r>
      <w:r w:rsidRPr="00024885">
        <w:rPr>
          <w:rFonts w:ascii="Garamond" w:hAnsi="Garamond" w:cs="Segoe UI"/>
          <w:sz w:val="22"/>
          <w:szCs w:val="22"/>
          <w:lang w:val="it-IT"/>
        </w:rPr>
        <w:t xml:space="preserve"> colui che partecipa - o </w:t>
      </w:r>
      <w:r>
        <w:rPr>
          <w:rFonts w:ascii="Garamond" w:hAnsi="Garamond" w:cs="Segoe UI"/>
          <w:sz w:val="22"/>
          <w:szCs w:val="22"/>
          <w:lang w:val="it-IT"/>
        </w:rPr>
        <w:t xml:space="preserve">che </w:t>
      </w:r>
      <w:r w:rsidRPr="00024885">
        <w:rPr>
          <w:rFonts w:ascii="Garamond" w:hAnsi="Garamond" w:cs="Segoe UI"/>
          <w:sz w:val="22"/>
          <w:szCs w:val="22"/>
          <w:lang w:val="it-IT"/>
        </w:rPr>
        <w:t>è comunque interessato - ad un procedimento amministrativo: a questi sog</w:t>
      </w:r>
      <w:r>
        <w:rPr>
          <w:rFonts w:ascii="Garamond" w:hAnsi="Garamond" w:cs="Segoe UI"/>
          <w:sz w:val="22"/>
          <w:szCs w:val="22"/>
          <w:lang w:val="it-IT"/>
        </w:rPr>
        <w:t>getti l’art. 5, comma 3, della l</w:t>
      </w:r>
      <w:r w:rsidRPr="00024885">
        <w:rPr>
          <w:rFonts w:ascii="Garamond" w:hAnsi="Garamond" w:cs="Segoe UI"/>
          <w:sz w:val="22"/>
          <w:szCs w:val="22"/>
          <w:lang w:val="it-IT"/>
        </w:rPr>
        <w:t xml:space="preserve">egge </w:t>
      </w:r>
      <w:r>
        <w:rPr>
          <w:rFonts w:ascii="Garamond" w:hAnsi="Garamond" w:cs="Segoe UI"/>
          <w:sz w:val="22"/>
          <w:szCs w:val="22"/>
          <w:lang w:val="it-IT"/>
        </w:rPr>
        <w:t>n. 241 del 19</w:t>
      </w:r>
      <w:r w:rsidRPr="00024885">
        <w:rPr>
          <w:rFonts w:ascii="Garamond" w:hAnsi="Garamond" w:cs="Segoe UI"/>
          <w:sz w:val="22"/>
          <w:szCs w:val="22"/>
          <w:lang w:val="it-IT"/>
        </w:rPr>
        <w:t xml:space="preserve">90 riconosce il diritto di </w:t>
      </w:r>
      <w:r w:rsidRPr="00024885">
        <w:rPr>
          <w:rStyle w:val="Enfasigrassetto"/>
          <w:rFonts w:ascii="Garamond" w:hAnsi="Garamond" w:cs="Segoe UI"/>
          <w:b w:val="0"/>
          <w:color w:val="000000"/>
          <w:sz w:val="22"/>
          <w:szCs w:val="22"/>
          <w:lang w:val="it-IT"/>
        </w:rPr>
        <w:t>conoscere l’”unità organizzativa competente” ed il “nominativo del responsabile del procedimento” (a prescindere dagli obblighi di pubblicazione di cui al</w:t>
      </w:r>
      <w:r w:rsidRPr="00024885">
        <w:rPr>
          <w:rStyle w:val="nota-editor"/>
          <w:rFonts w:ascii="Garamond" w:hAnsi="Garamond" w:cs="Segoe UI"/>
          <w:color w:val="000000"/>
          <w:sz w:val="22"/>
          <w:szCs w:val="22"/>
          <w:lang w:val="it-IT"/>
        </w:rPr>
        <w:t>l’art. 35 d.lgs. n. 33 del 2013</w:t>
      </w:r>
      <w:r>
        <w:rPr>
          <w:rStyle w:val="nota-editor"/>
          <w:rFonts w:ascii="Garamond" w:hAnsi="Garamond" w:cs="Segoe UI"/>
          <w:color w:val="000000"/>
          <w:sz w:val="22"/>
          <w:szCs w:val="22"/>
          <w:lang w:val="it-IT"/>
        </w:rPr>
        <w:t>)</w:t>
      </w:r>
      <w:r w:rsidRPr="00024885">
        <w:rPr>
          <w:rStyle w:val="Enfasigrassetto"/>
          <w:rFonts w:ascii="Garamond" w:hAnsi="Garamond" w:cs="Segoe UI"/>
          <w:b w:val="0"/>
          <w:color w:val="000000"/>
          <w:sz w:val="22"/>
          <w:szCs w:val="22"/>
          <w:lang w:val="it-IT"/>
        </w:rPr>
        <w:t xml:space="preserve"> e l’</w:t>
      </w:r>
      <w:r w:rsidRPr="00024885">
        <w:rPr>
          <w:rFonts w:ascii="Garamond" w:hAnsi="Garamond" w:cs="Segoe UI"/>
          <w:sz w:val="22"/>
          <w:szCs w:val="22"/>
          <w:lang w:val="it-IT"/>
        </w:rPr>
        <w:t>a</w:t>
      </w:r>
      <w:r>
        <w:rPr>
          <w:rFonts w:ascii="Garamond" w:hAnsi="Garamond" w:cs="Segoe UI"/>
          <w:sz w:val="22"/>
          <w:szCs w:val="22"/>
          <w:lang w:val="it-IT"/>
        </w:rPr>
        <w:t>rt. 11, comma 2, lett. b), del d</w:t>
      </w:r>
      <w:r w:rsidRPr="00024885">
        <w:rPr>
          <w:rFonts w:ascii="Garamond" w:hAnsi="Garamond" w:cs="Segoe UI"/>
          <w:sz w:val="22"/>
          <w:szCs w:val="22"/>
          <w:lang w:val="it-IT"/>
        </w:rPr>
        <w:t>ecreto legislativo 30 marzo 2001, n. 165 (Testo unico del pubblico impiego) e</w:t>
      </w:r>
      <w:r>
        <w:rPr>
          <w:rFonts w:ascii="Garamond" w:hAnsi="Garamond" w:cs="Segoe UI"/>
          <w:sz w:val="22"/>
          <w:szCs w:val="22"/>
          <w:lang w:val="it-IT"/>
        </w:rPr>
        <w:t xml:space="preserve"> l’art. 3, comma 1-quater, del d</w:t>
      </w:r>
      <w:r w:rsidRPr="00024885">
        <w:rPr>
          <w:rFonts w:ascii="Garamond" w:hAnsi="Garamond" w:cs="Segoe UI"/>
          <w:sz w:val="22"/>
          <w:szCs w:val="22"/>
          <w:lang w:val="it-IT"/>
        </w:rPr>
        <w:t xml:space="preserve">ecreto legislativo 7 marzo 2005, n. 82 (Codice dell’amministrazione digitale) gli riconoscono il diritto di conoscere l’iter del procedimento ed il rispetto della tempistica procedimentale. Sempre su un piano generale, può </w:t>
      </w:r>
      <w:r>
        <w:rPr>
          <w:rFonts w:ascii="Garamond" w:hAnsi="Garamond" w:cs="Segoe UI"/>
          <w:sz w:val="22"/>
          <w:szCs w:val="22"/>
          <w:lang w:val="it-IT"/>
        </w:rPr>
        <w:t xml:space="preserve">parlarsi di “diritto all’informazione” </w:t>
      </w:r>
      <w:r w:rsidRPr="00024885">
        <w:rPr>
          <w:rFonts w:ascii="Garamond" w:hAnsi="Garamond" w:cs="Segoe UI"/>
          <w:i/>
          <w:sz w:val="22"/>
          <w:szCs w:val="22"/>
          <w:lang w:val="it-IT"/>
        </w:rPr>
        <w:t>latu sensu</w:t>
      </w:r>
      <w:r>
        <w:rPr>
          <w:rFonts w:ascii="Garamond" w:hAnsi="Garamond" w:cs="Segoe UI"/>
          <w:sz w:val="22"/>
          <w:szCs w:val="22"/>
          <w:lang w:val="it-IT"/>
        </w:rPr>
        <w:t xml:space="preserve"> inteso</w:t>
      </w:r>
      <w:r w:rsidRPr="00024885">
        <w:rPr>
          <w:rFonts w:ascii="Garamond" w:hAnsi="Garamond" w:cs="Segoe UI"/>
          <w:sz w:val="22"/>
          <w:szCs w:val="22"/>
          <w:lang w:val="it-IT"/>
        </w:rPr>
        <w:t xml:space="preserve"> </w:t>
      </w:r>
      <w:r>
        <w:rPr>
          <w:rFonts w:ascii="Garamond" w:hAnsi="Garamond" w:cs="Segoe UI"/>
          <w:sz w:val="22"/>
          <w:szCs w:val="22"/>
          <w:lang w:val="it-IT"/>
        </w:rPr>
        <w:t>con riferimento a</w:t>
      </w:r>
      <w:r w:rsidRPr="00024885">
        <w:rPr>
          <w:rFonts w:ascii="Garamond" w:hAnsi="Garamond" w:cs="Segoe UI"/>
          <w:sz w:val="22"/>
          <w:szCs w:val="22"/>
          <w:lang w:val="it-IT"/>
        </w:rPr>
        <w:t>l diritto del</w:t>
      </w:r>
      <w:r>
        <w:rPr>
          <w:rFonts w:ascii="Garamond" w:hAnsi="Garamond" w:cs="Segoe UI"/>
          <w:sz w:val="22"/>
          <w:szCs w:val="22"/>
          <w:lang w:val="it-IT"/>
        </w:rPr>
        <w:t>l’interessato di</w:t>
      </w:r>
      <w:r w:rsidRPr="00024885">
        <w:rPr>
          <w:rFonts w:ascii="Garamond" w:hAnsi="Garamond" w:cs="Segoe UI"/>
          <w:sz w:val="22"/>
          <w:szCs w:val="22"/>
          <w:lang w:val="it-IT"/>
        </w:rPr>
        <w:t xml:space="preserve"> ricevere soccorso e collaborazione nel corso del procedimento ed in particolare nella fase di presentazione di un’istanza di accesso</w:t>
      </w:r>
      <w:r>
        <w:rPr>
          <w:rFonts w:ascii="Garamond" w:hAnsi="Garamond" w:cs="Segoe UI"/>
          <w:sz w:val="22"/>
          <w:szCs w:val="22"/>
          <w:lang w:val="it-IT"/>
        </w:rPr>
        <w:t xml:space="preserve"> </w:t>
      </w:r>
      <w:r w:rsidRPr="00024885">
        <w:rPr>
          <w:rFonts w:ascii="Garamond" w:hAnsi="Garamond" w:cs="Segoe UI"/>
          <w:sz w:val="22"/>
          <w:szCs w:val="22"/>
          <w:lang w:val="it-IT"/>
        </w:rPr>
        <w:t>(T</w:t>
      </w:r>
      <w:r>
        <w:rPr>
          <w:rFonts w:ascii="Garamond" w:hAnsi="Garamond" w:cs="Segoe UI"/>
          <w:sz w:val="22"/>
          <w:szCs w:val="22"/>
          <w:lang w:val="it-IT"/>
        </w:rPr>
        <w:t xml:space="preserve">ar </w:t>
      </w:r>
      <w:r w:rsidRPr="00024885">
        <w:rPr>
          <w:rFonts w:ascii="Garamond" w:hAnsi="Garamond" w:cs="Segoe UI"/>
          <w:sz w:val="22"/>
          <w:szCs w:val="22"/>
          <w:lang w:val="it-IT"/>
        </w:rPr>
        <w:t>Napoli</w:t>
      </w:r>
      <w:r>
        <w:rPr>
          <w:rFonts w:ascii="Garamond" w:hAnsi="Garamond" w:cs="Segoe UI"/>
          <w:sz w:val="22"/>
          <w:szCs w:val="22"/>
          <w:lang w:val="it-IT"/>
        </w:rPr>
        <w:t>,</w:t>
      </w:r>
      <w:r w:rsidRPr="00024885">
        <w:rPr>
          <w:rFonts w:ascii="Garamond" w:hAnsi="Garamond" w:cs="Segoe UI"/>
          <w:sz w:val="22"/>
          <w:szCs w:val="22"/>
          <w:lang w:val="it-IT"/>
        </w:rPr>
        <w:t xml:space="preserve"> sez. VI</w:t>
      </w:r>
      <w:r>
        <w:rPr>
          <w:rFonts w:ascii="Garamond" w:hAnsi="Garamond" w:cs="Segoe UI"/>
          <w:sz w:val="22"/>
          <w:szCs w:val="22"/>
          <w:lang w:val="it-IT"/>
        </w:rPr>
        <w:t>,</w:t>
      </w:r>
      <w:r w:rsidRPr="00024885">
        <w:rPr>
          <w:rFonts w:ascii="Garamond" w:hAnsi="Garamond" w:cs="Segoe UI"/>
          <w:sz w:val="22"/>
          <w:szCs w:val="22"/>
          <w:lang w:val="it-IT"/>
        </w:rPr>
        <w:t xml:space="preserve"> 10</w:t>
      </w:r>
      <w:r>
        <w:rPr>
          <w:rFonts w:ascii="Garamond" w:hAnsi="Garamond" w:cs="Segoe UI"/>
          <w:sz w:val="22"/>
          <w:szCs w:val="22"/>
          <w:lang w:val="it-IT"/>
        </w:rPr>
        <w:t xml:space="preserve"> luglio </w:t>
      </w:r>
      <w:r w:rsidRPr="00024885">
        <w:rPr>
          <w:rFonts w:ascii="Garamond" w:hAnsi="Garamond" w:cs="Segoe UI"/>
          <w:sz w:val="22"/>
          <w:szCs w:val="22"/>
          <w:lang w:val="it-IT"/>
        </w:rPr>
        <w:t>2020, n. 3000).</w:t>
      </w:r>
    </w:p>
  </w:footnote>
  <w:footnote w:id="29">
    <w:p w14:paraId="4B8E43E6" w14:textId="163A5151" w:rsidR="00A80062" w:rsidRPr="005C7EF0" w:rsidRDefault="00A80062" w:rsidP="005C7EF0">
      <w:pPr>
        <w:pStyle w:val="Standard"/>
        <w:ind w:left="567" w:right="567"/>
        <w:jc w:val="both"/>
        <w:rPr>
          <w:rFonts w:ascii="Garamond" w:hAnsi="Garamond" w:cs="Segoe UI"/>
          <w:color w:val="000000"/>
          <w:sz w:val="22"/>
          <w:szCs w:val="22"/>
        </w:rPr>
      </w:pPr>
      <w:r w:rsidRPr="00024885">
        <w:rPr>
          <w:rStyle w:val="Rimandonotaapidipagina"/>
          <w:rFonts w:ascii="Garamond" w:hAnsi="Garamond" w:cs="Segoe UI"/>
          <w:sz w:val="22"/>
          <w:szCs w:val="22"/>
          <w:lang w:val="it-IT"/>
        </w:rPr>
        <w:footnoteRef/>
      </w:r>
      <w:r w:rsidRPr="00024885">
        <w:rPr>
          <w:rStyle w:val="nota-editor"/>
          <w:rFonts w:ascii="Garamond" w:hAnsi="Garamond" w:cs="Segoe UI"/>
          <w:color w:val="000000"/>
          <w:sz w:val="22"/>
          <w:szCs w:val="22"/>
          <w:lang w:val="it-IT"/>
        </w:rPr>
        <w:t xml:space="preserve"> Si veda</w:t>
      </w:r>
      <w:r>
        <w:rPr>
          <w:rStyle w:val="nota-editor"/>
          <w:rFonts w:ascii="Garamond" w:hAnsi="Garamond" w:cs="Segoe UI"/>
          <w:color w:val="000000"/>
          <w:sz w:val="22"/>
          <w:szCs w:val="22"/>
          <w:lang w:val="it-IT"/>
        </w:rPr>
        <w:t>, ad esempio,</w:t>
      </w:r>
      <w:r w:rsidRPr="00024885">
        <w:rPr>
          <w:rStyle w:val="nota-editor"/>
          <w:rFonts w:ascii="Garamond" w:hAnsi="Garamond" w:cs="Segoe UI"/>
          <w:color w:val="000000"/>
          <w:sz w:val="22"/>
          <w:szCs w:val="22"/>
          <w:lang w:val="it-IT"/>
        </w:rPr>
        <w:t xml:space="preserve"> l’</w:t>
      </w:r>
      <w:r>
        <w:rPr>
          <w:rFonts w:ascii="Garamond" w:hAnsi="Garamond" w:cs="Segoe UI"/>
          <w:color w:val="000000"/>
          <w:sz w:val="22"/>
          <w:szCs w:val="22"/>
          <w:lang w:val="it-IT"/>
        </w:rPr>
        <w:t>art. 54 l</w:t>
      </w:r>
      <w:r w:rsidRPr="00024885">
        <w:rPr>
          <w:rFonts w:ascii="Garamond" w:hAnsi="Garamond" w:cs="Segoe UI"/>
          <w:color w:val="000000"/>
          <w:sz w:val="22"/>
          <w:szCs w:val="22"/>
          <w:lang w:val="it-IT"/>
        </w:rPr>
        <w:t xml:space="preserve">egge 9 marzo 1989 n. 88 (Accesso dei cittadini ai dati personali, previdenziali e </w:t>
      </w:r>
      <w:r>
        <w:rPr>
          <w:rFonts w:ascii="Garamond" w:hAnsi="Garamond" w:cs="Segoe UI"/>
          <w:sz w:val="22"/>
          <w:szCs w:val="22"/>
          <w:lang w:val="it-IT"/>
        </w:rPr>
        <w:t>pensionistici); o</w:t>
      </w:r>
      <w:r w:rsidRPr="00024885">
        <w:rPr>
          <w:rFonts w:ascii="Garamond" w:hAnsi="Garamond" w:cs="Segoe UI"/>
          <w:color w:val="000000"/>
          <w:sz w:val="22"/>
          <w:szCs w:val="22"/>
          <w:lang w:val="it-IT"/>
        </w:rPr>
        <w:t>d ancora l’</w:t>
      </w:r>
      <w:r>
        <w:rPr>
          <w:rFonts w:ascii="Garamond" w:hAnsi="Garamond" w:cs="Segoe UI"/>
          <w:sz w:val="22"/>
          <w:szCs w:val="22"/>
          <w:lang w:val="it-IT"/>
        </w:rPr>
        <w:t>art. 2, comma 5, l</w:t>
      </w:r>
      <w:r w:rsidRPr="00024885">
        <w:rPr>
          <w:rFonts w:ascii="Garamond" w:hAnsi="Garamond" w:cs="Segoe UI"/>
          <w:sz w:val="22"/>
          <w:szCs w:val="22"/>
          <w:lang w:val="it-IT"/>
        </w:rPr>
        <w:t>egge 8 novembre 2000, n. 328 (Legge quadro per la realizzazione del sistema integrato d</w:t>
      </w:r>
      <w:r>
        <w:rPr>
          <w:rFonts w:ascii="Garamond" w:hAnsi="Garamond" w:cs="Segoe UI"/>
          <w:sz w:val="22"/>
          <w:szCs w:val="22"/>
          <w:lang w:val="it-IT"/>
        </w:rPr>
        <w:t xml:space="preserve">i interventi e servizi sociali); </w:t>
      </w:r>
      <w:r>
        <w:rPr>
          <w:rFonts w:ascii="Garamond" w:hAnsi="Garamond" w:cs="Segoe UI"/>
          <w:color w:val="000000"/>
          <w:sz w:val="22"/>
          <w:szCs w:val="22"/>
          <w:lang w:val="it-IT"/>
        </w:rPr>
        <w:t>s</w:t>
      </w:r>
      <w:r w:rsidRPr="005C7EF0">
        <w:rPr>
          <w:rFonts w:ascii="Garamond" w:hAnsi="Garamond" w:cs="Segoe UI"/>
          <w:color w:val="000000"/>
          <w:sz w:val="22"/>
          <w:szCs w:val="22"/>
          <w:lang w:val="it-IT"/>
        </w:rPr>
        <w:t>ono, inoltre, numerose le norme speciali che stabiliscono un “diritto all’informazione” in materia ambientale</w:t>
      </w:r>
      <w:r>
        <w:rPr>
          <w:rFonts w:ascii="Garamond" w:hAnsi="Garamond" w:cs="Segoe UI"/>
          <w:color w:val="000000"/>
          <w:sz w:val="22"/>
          <w:szCs w:val="22"/>
          <w:lang w:val="it-IT"/>
        </w:rPr>
        <w:t>.</w:t>
      </w:r>
    </w:p>
  </w:footnote>
  <w:footnote w:id="30">
    <w:p w14:paraId="3C672F36" w14:textId="77777777" w:rsidR="00A80062" w:rsidRPr="005C7EF0" w:rsidRDefault="00A80062" w:rsidP="00236507">
      <w:pPr>
        <w:pStyle w:val="Standard"/>
        <w:ind w:left="567" w:right="567"/>
        <w:jc w:val="both"/>
        <w:rPr>
          <w:rFonts w:ascii="Garamond" w:hAnsi="Garamond" w:cs="Segoe UI"/>
          <w:color w:val="000000"/>
          <w:sz w:val="22"/>
          <w:szCs w:val="22"/>
          <w:lang w:val="it-IT"/>
        </w:rPr>
      </w:pPr>
      <w:r w:rsidRPr="005C7EF0">
        <w:rPr>
          <w:rStyle w:val="Rimandonotaapidipagina"/>
          <w:rFonts w:ascii="Garamond" w:hAnsi="Garamond" w:cs="Segoe UI"/>
          <w:sz w:val="22"/>
          <w:szCs w:val="22"/>
        </w:rPr>
        <w:footnoteRef/>
      </w:r>
      <w:r>
        <w:rPr>
          <w:rFonts w:ascii="Garamond" w:hAnsi="Garamond" w:cs="Segoe UI"/>
          <w:color w:val="000000"/>
          <w:sz w:val="22"/>
          <w:szCs w:val="22"/>
          <w:lang w:val="it-IT"/>
        </w:rPr>
        <w:t xml:space="preserve"> In realtà, i</w:t>
      </w:r>
      <w:r w:rsidRPr="005C7EF0">
        <w:rPr>
          <w:rFonts w:ascii="Garamond" w:hAnsi="Garamond" w:cs="Segoe UI"/>
          <w:color w:val="000000"/>
          <w:sz w:val="22"/>
          <w:szCs w:val="22"/>
          <w:lang w:val="it-IT"/>
        </w:rPr>
        <w:t xml:space="preserve">l </w:t>
      </w:r>
      <w:r>
        <w:rPr>
          <w:rFonts w:ascii="Garamond" w:hAnsi="Garamond" w:cs="Segoe UI"/>
          <w:color w:val="000000"/>
          <w:sz w:val="22"/>
          <w:szCs w:val="22"/>
          <w:lang w:val="it-IT"/>
        </w:rPr>
        <w:t>tema de</w:t>
      </w:r>
      <w:r w:rsidRPr="005C7EF0">
        <w:rPr>
          <w:rFonts w:ascii="Garamond" w:hAnsi="Garamond" w:cs="Segoe UI"/>
          <w:color w:val="000000"/>
          <w:sz w:val="22"/>
          <w:szCs w:val="22"/>
          <w:lang w:val="it-IT"/>
        </w:rPr>
        <w:t>lla esistenza di un diritto del cittadino ad essere i</w:t>
      </w:r>
      <w:r>
        <w:rPr>
          <w:rFonts w:ascii="Garamond" w:hAnsi="Garamond" w:cs="Segoe UI"/>
          <w:color w:val="000000"/>
          <w:sz w:val="22"/>
          <w:szCs w:val="22"/>
          <w:lang w:val="it-IT"/>
        </w:rPr>
        <w:t>nformato dalla P.A. al di là del diritto di accesso non è nuovo: a</w:t>
      </w:r>
      <w:r>
        <w:rPr>
          <w:rFonts w:ascii="Garamond" w:hAnsi="Garamond" w:cs="Segoe UI"/>
          <w:sz w:val="22"/>
          <w:szCs w:val="22"/>
          <w:lang w:val="it-IT"/>
        </w:rPr>
        <w:t>l riguardo, ancor prima della l</w:t>
      </w:r>
      <w:r w:rsidRPr="005C7EF0">
        <w:rPr>
          <w:rFonts w:ascii="Garamond" w:hAnsi="Garamond" w:cs="Segoe UI"/>
          <w:sz w:val="22"/>
          <w:szCs w:val="22"/>
          <w:lang w:val="it-IT"/>
        </w:rPr>
        <w:t xml:space="preserve">egge </w:t>
      </w:r>
      <w:r>
        <w:rPr>
          <w:rFonts w:ascii="Garamond" w:hAnsi="Garamond" w:cs="Segoe UI"/>
          <w:sz w:val="22"/>
          <w:szCs w:val="22"/>
          <w:lang w:val="it-IT"/>
        </w:rPr>
        <w:t>n. 241 del 19</w:t>
      </w:r>
      <w:r w:rsidRPr="005C7EF0">
        <w:rPr>
          <w:rFonts w:ascii="Garamond" w:hAnsi="Garamond" w:cs="Segoe UI"/>
          <w:sz w:val="22"/>
          <w:szCs w:val="22"/>
          <w:lang w:val="it-IT"/>
        </w:rPr>
        <w:t xml:space="preserve">90, si era rilevato che </w:t>
      </w:r>
      <w:r w:rsidRPr="005C7EF0">
        <w:rPr>
          <w:rFonts w:ascii="Garamond" w:hAnsi="Garamond" w:cs="Segoe UI"/>
          <w:i/>
          <w:sz w:val="22"/>
          <w:szCs w:val="22"/>
          <w:lang w:val="it-IT"/>
        </w:rPr>
        <w:t>&lt;&lt; Al principio di socialità dello Stato è da collegare anche la pubblicità-informazione. Nello Stato sociale, infatti, si ritiene che sia compito degli uffici pubblici assistere i cittadini e, particolarmente quelli socialmente più deboli, nell’acquisizione e nell’esercizio dei diritti che sono ad essi riservati dalla legge. Con formula efficace si dice che il singolo funzionario deve essere non solo “servitore dello Stato”, ma anche “assistente del cittadino”.&gt;&gt;</w:t>
      </w:r>
      <w:r w:rsidRPr="005C7EF0">
        <w:rPr>
          <w:rFonts w:ascii="Garamond" w:hAnsi="Garamond" w:cs="Segoe UI"/>
          <w:sz w:val="22"/>
          <w:szCs w:val="22"/>
          <w:lang w:val="it-IT"/>
        </w:rPr>
        <w:t xml:space="preserve">. </w:t>
      </w:r>
      <w:r w:rsidRPr="005C7EF0">
        <w:rPr>
          <w:rFonts w:ascii="Garamond" w:hAnsi="Garamond" w:cs="Segoe UI"/>
          <w:i/>
          <w:sz w:val="22"/>
          <w:szCs w:val="22"/>
          <w:lang w:val="it-IT"/>
        </w:rPr>
        <w:t>&lt;&lt;La pubblicità-informazione diviene allora uno dei presupposti necessari per la realizzazione della giustizia sociale. &gt;&gt;</w:t>
      </w:r>
      <w:r>
        <w:rPr>
          <w:rFonts w:ascii="Garamond" w:hAnsi="Garamond" w:cs="Segoe UI"/>
          <w:sz w:val="22"/>
          <w:szCs w:val="22"/>
          <w:lang w:val="it-IT"/>
        </w:rPr>
        <w:t>. (Meloncelli A., Pubblicità - dir. pubbl. -</w:t>
      </w:r>
      <w:r w:rsidRPr="005C7EF0">
        <w:rPr>
          <w:rFonts w:ascii="Garamond" w:hAnsi="Garamond" w:cs="Segoe UI"/>
          <w:sz w:val="22"/>
          <w:szCs w:val="22"/>
          <w:lang w:val="it-IT"/>
        </w:rPr>
        <w:t xml:space="preserve"> Enciclopedia del Diritto, 1988).</w:t>
      </w:r>
    </w:p>
  </w:footnote>
  <w:footnote w:id="31">
    <w:p w14:paraId="46B224F5" w14:textId="77777777" w:rsidR="00A80062" w:rsidRPr="005C7EF0" w:rsidRDefault="00A80062" w:rsidP="00236507">
      <w:pPr>
        <w:ind w:left="567" w:right="567"/>
        <w:jc w:val="both"/>
        <w:rPr>
          <w:rFonts w:ascii="Garamond" w:hAnsi="Garamond" w:cs="Segoe UI"/>
          <w:color w:val="000000"/>
          <w:sz w:val="22"/>
          <w:szCs w:val="22"/>
        </w:rPr>
      </w:pPr>
      <w:r w:rsidRPr="005C7EF0">
        <w:rPr>
          <w:rStyle w:val="Rimandonotaapidipagina"/>
          <w:rFonts w:ascii="Garamond" w:hAnsi="Garamond" w:cs="Segoe UI"/>
          <w:sz w:val="22"/>
          <w:szCs w:val="22"/>
        </w:rPr>
        <w:footnoteRef/>
      </w:r>
      <w:r w:rsidRPr="005C7EF0">
        <w:rPr>
          <w:rFonts w:ascii="Garamond" w:hAnsi="Garamond" w:cs="Segoe UI"/>
          <w:sz w:val="22"/>
          <w:szCs w:val="22"/>
        </w:rPr>
        <w:t xml:space="preserve"> </w:t>
      </w:r>
      <w:r>
        <w:rPr>
          <w:rFonts w:ascii="Garamond" w:hAnsi="Garamond" w:cs="Segoe UI"/>
          <w:sz w:val="22"/>
          <w:szCs w:val="22"/>
        </w:rPr>
        <w:t xml:space="preserve">In questo senso </w:t>
      </w:r>
      <w:r w:rsidRPr="005C7EF0">
        <w:rPr>
          <w:rFonts w:ascii="Garamond" w:hAnsi="Garamond" w:cs="Segoe UI"/>
          <w:sz w:val="22"/>
          <w:szCs w:val="22"/>
        </w:rPr>
        <w:t>T</w:t>
      </w:r>
      <w:r>
        <w:rPr>
          <w:rFonts w:ascii="Garamond" w:hAnsi="Garamond" w:cs="Segoe UI"/>
          <w:sz w:val="22"/>
          <w:szCs w:val="22"/>
        </w:rPr>
        <w:t xml:space="preserve">ar Lazio, </w:t>
      </w:r>
      <w:r w:rsidRPr="005C7EF0">
        <w:rPr>
          <w:rFonts w:ascii="Garamond" w:hAnsi="Garamond" w:cs="Segoe UI"/>
          <w:sz w:val="22"/>
          <w:szCs w:val="22"/>
        </w:rPr>
        <w:t>sez. I-quater</w:t>
      </w:r>
      <w:r>
        <w:rPr>
          <w:rFonts w:ascii="Garamond" w:hAnsi="Garamond" w:cs="Segoe UI"/>
          <w:sz w:val="22"/>
          <w:szCs w:val="22"/>
        </w:rPr>
        <w:t>,</w:t>
      </w:r>
      <w:r w:rsidRPr="005C7EF0">
        <w:rPr>
          <w:rFonts w:ascii="Garamond" w:hAnsi="Garamond" w:cs="Segoe UI"/>
          <w:sz w:val="22"/>
          <w:szCs w:val="22"/>
        </w:rPr>
        <w:t xml:space="preserve"> 28</w:t>
      </w:r>
      <w:r>
        <w:rPr>
          <w:rFonts w:ascii="Garamond" w:hAnsi="Garamond" w:cs="Segoe UI"/>
          <w:sz w:val="22"/>
          <w:szCs w:val="22"/>
        </w:rPr>
        <w:t xml:space="preserve"> aprile </w:t>
      </w:r>
      <w:r w:rsidRPr="005C7EF0">
        <w:rPr>
          <w:rFonts w:ascii="Garamond" w:hAnsi="Garamond" w:cs="Segoe UI"/>
          <w:sz w:val="22"/>
          <w:szCs w:val="22"/>
        </w:rPr>
        <w:t xml:space="preserve">2018, n. 4695, </w:t>
      </w:r>
      <w:r>
        <w:rPr>
          <w:rFonts w:ascii="Garamond" w:hAnsi="Garamond" w:cs="Segoe UI"/>
          <w:sz w:val="22"/>
          <w:szCs w:val="22"/>
        </w:rPr>
        <w:t xml:space="preserve">per </w:t>
      </w:r>
      <w:r w:rsidRPr="005C7EF0">
        <w:rPr>
          <w:rFonts w:ascii="Garamond" w:hAnsi="Garamond" w:cs="Segoe UI"/>
          <w:sz w:val="22"/>
          <w:szCs w:val="22"/>
        </w:rPr>
        <w:t xml:space="preserve">il quale il dipendente che ha ottenuto dalla P.A. il pagamento di una somma a titolo risarcitorio per una vertenza di lavoro in forza </w:t>
      </w:r>
      <w:r>
        <w:rPr>
          <w:rFonts w:ascii="Garamond" w:hAnsi="Garamond" w:cs="Segoe UI"/>
          <w:sz w:val="22"/>
          <w:szCs w:val="22"/>
        </w:rPr>
        <w:t xml:space="preserve">di una sentenza non ha diritto </w:t>
      </w:r>
      <w:r w:rsidRPr="005C7EF0">
        <w:rPr>
          <w:rFonts w:ascii="Garamond" w:hAnsi="Garamond" w:cs="Segoe UI"/>
          <w:sz w:val="22"/>
          <w:szCs w:val="22"/>
        </w:rPr>
        <w:t>d</w:t>
      </w:r>
      <w:r>
        <w:rPr>
          <w:rFonts w:ascii="Garamond" w:hAnsi="Garamond" w:cs="Segoe UI"/>
          <w:sz w:val="22"/>
          <w:szCs w:val="22"/>
        </w:rPr>
        <w:t>i</w:t>
      </w:r>
      <w:r w:rsidRPr="005C7EF0">
        <w:rPr>
          <w:rFonts w:ascii="Garamond" w:hAnsi="Garamond" w:cs="Segoe UI"/>
          <w:sz w:val="22"/>
          <w:szCs w:val="22"/>
        </w:rPr>
        <w:t xml:space="preserve"> </w:t>
      </w:r>
      <w:r>
        <w:rPr>
          <w:rFonts w:ascii="Garamond" w:hAnsi="Garamond" w:cs="Segoe UI"/>
          <w:sz w:val="22"/>
          <w:szCs w:val="22"/>
        </w:rPr>
        <w:t xml:space="preserve">ottenere </w:t>
      </w:r>
      <w:r w:rsidRPr="005C7EF0">
        <w:rPr>
          <w:rFonts w:ascii="Garamond" w:hAnsi="Garamond" w:cs="Segoe UI"/>
          <w:sz w:val="22"/>
          <w:szCs w:val="22"/>
        </w:rPr>
        <w:t xml:space="preserve">dalla stessa P.A. informazioni sul dettaglio analitico degli importi corrisposti a titolo di sorte (voci retributive ed oneri accessori), interessi, rivalutazione e </w:t>
      </w:r>
      <w:r>
        <w:rPr>
          <w:rFonts w:ascii="Garamond" w:hAnsi="Garamond" w:cs="Segoe UI"/>
          <w:sz w:val="22"/>
          <w:szCs w:val="22"/>
        </w:rPr>
        <w:t xml:space="preserve">ritenute fiscali), atteso che è </w:t>
      </w:r>
      <w:r w:rsidRPr="005C7EF0">
        <w:rPr>
          <w:rFonts w:ascii="Garamond" w:hAnsi="Garamond" w:cs="Segoe UI"/>
          <w:sz w:val="22"/>
          <w:szCs w:val="22"/>
        </w:rPr>
        <w:t xml:space="preserve">onere </w:t>
      </w:r>
      <w:r>
        <w:rPr>
          <w:rFonts w:ascii="Garamond" w:hAnsi="Garamond" w:cs="Segoe UI"/>
          <w:sz w:val="22"/>
          <w:szCs w:val="22"/>
        </w:rPr>
        <w:t xml:space="preserve">del creditore </w:t>
      </w:r>
      <w:r w:rsidRPr="005C7EF0">
        <w:rPr>
          <w:rFonts w:ascii="Garamond" w:hAnsi="Garamond" w:cs="Segoe UI"/>
          <w:sz w:val="22"/>
          <w:szCs w:val="22"/>
        </w:rPr>
        <w:t>verificare l’esattezza del soddisfacimento dell’obbligazion</w:t>
      </w:r>
      <w:r>
        <w:rPr>
          <w:rFonts w:ascii="Garamond" w:hAnsi="Garamond" w:cs="Segoe UI"/>
          <w:sz w:val="22"/>
          <w:szCs w:val="22"/>
        </w:rPr>
        <w:t>e</w:t>
      </w:r>
      <w:r w:rsidRPr="005C7EF0">
        <w:rPr>
          <w:rFonts w:ascii="Garamond" w:hAnsi="Garamond" w:cs="Segoe UI"/>
          <w:sz w:val="22"/>
          <w:szCs w:val="22"/>
        </w:rPr>
        <w:t>.</w:t>
      </w:r>
    </w:p>
  </w:footnote>
  <w:footnote w:id="32">
    <w:p w14:paraId="3B4092C9" w14:textId="77777777" w:rsidR="00A80062" w:rsidRPr="005C7EF0" w:rsidRDefault="00A80062" w:rsidP="00236507">
      <w:pPr>
        <w:pStyle w:val="Standard"/>
        <w:ind w:left="567" w:right="567"/>
        <w:jc w:val="both"/>
        <w:rPr>
          <w:rFonts w:ascii="Garamond" w:hAnsi="Garamond" w:cs="Segoe UI"/>
          <w:color w:val="000000"/>
          <w:sz w:val="22"/>
          <w:szCs w:val="22"/>
        </w:rPr>
      </w:pPr>
      <w:r w:rsidRPr="005C7EF0">
        <w:rPr>
          <w:rStyle w:val="Rimandonotaapidipagina"/>
          <w:rFonts w:ascii="Garamond" w:hAnsi="Garamond" w:cs="Segoe UI"/>
          <w:sz w:val="22"/>
          <w:szCs w:val="22"/>
        </w:rPr>
        <w:footnoteRef/>
      </w:r>
      <w:r w:rsidRPr="005C7EF0">
        <w:rPr>
          <w:rFonts w:ascii="Garamond" w:hAnsi="Garamond" w:cs="Segoe UI"/>
          <w:sz w:val="22"/>
          <w:szCs w:val="22"/>
        </w:rPr>
        <w:t xml:space="preserve"> </w:t>
      </w:r>
      <w:r>
        <w:rPr>
          <w:rFonts w:ascii="Garamond" w:hAnsi="Garamond"/>
          <w:sz w:val="22"/>
          <w:szCs w:val="22"/>
          <w:lang w:val="it-IT"/>
        </w:rPr>
        <w:t xml:space="preserve">Cons. St., sez. V, 1 luglio 2019, n. </w:t>
      </w:r>
      <w:r w:rsidRPr="00424BD8">
        <w:rPr>
          <w:rFonts w:ascii="Garamond" w:hAnsi="Garamond"/>
          <w:sz w:val="22"/>
          <w:szCs w:val="22"/>
          <w:lang w:val="it-IT"/>
        </w:rPr>
        <w:t xml:space="preserve">4504; </w:t>
      </w:r>
      <w:r>
        <w:rPr>
          <w:rFonts w:ascii="Garamond" w:hAnsi="Garamond"/>
          <w:sz w:val="22"/>
          <w:szCs w:val="22"/>
          <w:lang w:val="it-IT"/>
        </w:rPr>
        <w:t>sez. IV, 16 aprile 2012, n. 2185; sez. VI 9 febbraio 2004, n. 441; sez. VI, 2 settembre 2003, n. 4878.</w:t>
      </w:r>
    </w:p>
  </w:footnote>
  <w:footnote w:id="33">
    <w:p w14:paraId="58E65794" w14:textId="3550E314" w:rsidR="00A80062" w:rsidRPr="009F0B0F" w:rsidRDefault="00A80062" w:rsidP="005C7EF0">
      <w:pPr>
        <w:pStyle w:val="Standard"/>
        <w:ind w:left="567" w:right="567"/>
        <w:jc w:val="both"/>
        <w:rPr>
          <w:rFonts w:ascii="Garamond" w:hAnsi="Garamond" w:cs="Segoe UI"/>
          <w:color w:val="000000"/>
          <w:sz w:val="22"/>
          <w:szCs w:val="22"/>
          <w:lang w:val="it-IT"/>
        </w:rPr>
      </w:pPr>
      <w:r w:rsidRPr="009F0B0F">
        <w:rPr>
          <w:rStyle w:val="Rimandonotaapidipagina"/>
          <w:rFonts w:ascii="Garamond" w:hAnsi="Garamond" w:cs="Segoe UI"/>
          <w:sz w:val="22"/>
          <w:szCs w:val="22"/>
          <w:lang w:val="it-IT"/>
        </w:rPr>
        <w:footnoteRef/>
      </w:r>
      <w:r w:rsidRPr="009F0B0F">
        <w:rPr>
          <w:rFonts w:ascii="Garamond" w:hAnsi="Garamond" w:cs="Segoe UI"/>
          <w:color w:val="000000"/>
          <w:sz w:val="22"/>
          <w:szCs w:val="22"/>
          <w:lang w:val="it-IT"/>
        </w:rPr>
        <w:t xml:space="preserve"> </w:t>
      </w:r>
      <w:r w:rsidRPr="009F0B0F">
        <w:rPr>
          <w:rFonts w:ascii="Garamond" w:hAnsi="Garamond" w:cs="Courier New"/>
          <w:bCs/>
          <w:sz w:val="22"/>
          <w:szCs w:val="22"/>
          <w:lang w:val="it-IT"/>
        </w:rPr>
        <w:t xml:space="preserve">Cons. St., sez. IV, 13 dicembre 2013, n. 5994; </w:t>
      </w:r>
      <w:r>
        <w:rPr>
          <w:rFonts w:ascii="Garamond" w:hAnsi="Garamond" w:cs="Courier New"/>
          <w:bCs/>
          <w:sz w:val="22"/>
          <w:szCs w:val="22"/>
          <w:lang w:val="it-IT"/>
        </w:rPr>
        <w:t>V, 3 giugno 2010, n. 3487; IV 14 maggio 2010, n. 3024;</w:t>
      </w:r>
      <w:r w:rsidRPr="009F0B0F">
        <w:rPr>
          <w:rFonts w:ascii="Garamond" w:hAnsi="Garamond" w:cs="Courier New"/>
          <w:bCs/>
          <w:sz w:val="22"/>
          <w:szCs w:val="22"/>
          <w:lang w:val="it-IT"/>
        </w:rPr>
        <w:t xml:space="preserve"> </w:t>
      </w:r>
      <w:r>
        <w:rPr>
          <w:rFonts w:ascii="Garamond" w:hAnsi="Garamond" w:cs="Courier New"/>
          <w:bCs/>
          <w:sz w:val="22"/>
          <w:szCs w:val="22"/>
          <w:lang w:val="it-IT"/>
        </w:rPr>
        <w:t>VI 11 maggio 2007, n. 2318;</w:t>
      </w:r>
      <w:r w:rsidRPr="009F0B0F">
        <w:rPr>
          <w:rFonts w:ascii="Garamond" w:hAnsi="Garamond" w:cs="Courier New"/>
          <w:bCs/>
          <w:sz w:val="22"/>
          <w:szCs w:val="22"/>
          <w:lang w:val="it-IT"/>
        </w:rPr>
        <w:t xml:space="preserve"> </w:t>
      </w:r>
      <w:r>
        <w:rPr>
          <w:rFonts w:ascii="Garamond" w:hAnsi="Garamond" w:cs="Courier New"/>
          <w:bCs/>
          <w:sz w:val="22"/>
          <w:szCs w:val="22"/>
          <w:lang w:val="it-IT"/>
        </w:rPr>
        <w:t xml:space="preserve">VI 14 aprile 2004, n. </w:t>
      </w:r>
      <w:r w:rsidRPr="009F0B0F">
        <w:rPr>
          <w:rFonts w:ascii="Garamond" w:hAnsi="Garamond" w:cs="Courier New"/>
          <w:bCs/>
          <w:sz w:val="22"/>
          <w:szCs w:val="22"/>
          <w:lang w:val="it-IT"/>
        </w:rPr>
        <w:t xml:space="preserve">2122. </w:t>
      </w:r>
    </w:p>
  </w:footnote>
  <w:footnote w:id="34">
    <w:p w14:paraId="17CE40B1" w14:textId="6B737ABE" w:rsidR="00A80062" w:rsidRPr="009F0B0F" w:rsidRDefault="00A80062" w:rsidP="00FC75F6">
      <w:pPr>
        <w:ind w:left="567" w:right="567"/>
        <w:jc w:val="both"/>
        <w:rPr>
          <w:rFonts w:ascii="Garamond" w:hAnsi="Garamond" w:cs="Segoe UI"/>
          <w:color w:val="000000"/>
          <w:sz w:val="22"/>
          <w:szCs w:val="22"/>
        </w:rPr>
      </w:pPr>
      <w:r w:rsidRPr="009F0B0F">
        <w:rPr>
          <w:rStyle w:val="Rimandonotaapidipagina"/>
          <w:rFonts w:ascii="Garamond" w:hAnsi="Garamond" w:cs="Segoe UI"/>
          <w:sz w:val="22"/>
          <w:szCs w:val="22"/>
        </w:rPr>
        <w:footnoteRef/>
      </w:r>
      <w:r w:rsidRPr="009F0B0F">
        <w:rPr>
          <w:rFonts w:ascii="Garamond" w:hAnsi="Garamond" w:cs="Segoe UI"/>
          <w:color w:val="000000"/>
          <w:sz w:val="22"/>
          <w:szCs w:val="22"/>
        </w:rPr>
        <w:t xml:space="preserve"> </w:t>
      </w:r>
      <w:r>
        <w:rPr>
          <w:rFonts w:ascii="Garamond" w:hAnsi="Garamond" w:cs="Segoe UI"/>
          <w:color w:val="000000"/>
          <w:sz w:val="22"/>
          <w:szCs w:val="22"/>
        </w:rPr>
        <w:t xml:space="preserve">Trattavasi di un caso in cui la </w:t>
      </w:r>
      <w:r w:rsidRPr="00FC75F6">
        <w:rPr>
          <w:rFonts w:ascii="Garamond" w:hAnsi="Garamond"/>
          <w:sz w:val="22"/>
          <w:szCs w:val="22"/>
        </w:rPr>
        <w:t xml:space="preserve">concessionaria di un'area demaniale marittima interclusa da </w:t>
      </w:r>
      <w:r>
        <w:rPr>
          <w:rFonts w:ascii="Garamond" w:hAnsi="Garamond"/>
          <w:sz w:val="22"/>
          <w:szCs w:val="22"/>
        </w:rPr>
        <w:t xml:space="preserve">altra ed </w:t>
      </w:r>
      <w:r w:rsidRPr="00FC75F6">
        <w:rPr>
          <w:rFonts w:ascii="Garamond" w:hAnsi="Garamond"/>
          <w:sz w:val="22"/>
          <w:szCs w:val="22"/>
        </w:rPr>
        <w:t>adiacente area demaniale concessa a</w:t>
      </w:r>
      <w:r>
        <w:rPr>
          <w:rFonts w:ascii="Garamond" w:hAnsi="Garamond"/>
          <w:sz w:val="22"/>
          <w:szCs w:val="22"/>
        </w:rPr>
        <w:t>d altri soggetti non disposti a consentire il passaggio aveva chiesto al Comune</w:t>
      </w:r>
      <w:r w:rsidRPr="00FC75F6">
        <w:rPr>
          <w:rFonts w:ascii="Garamond" w:hAnsi="Garamond"/>
          <w:sz w:val="22"/>
          <w:szCs w:val="22"/>
        </w:rPr>
        <w:t>, alla Regione ed al Ministero infrastrutture e trasporti di pron</w:t>
      </w:r>
      <w:r>
        <w:rPr>
          <w:rFonts w:ascii="Garamond" w:hAnsi="Garamond"/>
          <w:sz w:val="22"/>
          <w:szCs w:val="22"/>
        </w:rPr>
        <w:t xml:space="preserve">unciarsi sull'esistenza di una </w:t>
      </w:r>
      <w:r w:rsidRPr="00FC75F6">
        <w:rPr>
          <w:rFonts w:ascii="Garamond" w:hAnsi="Garamond"/>
          <w:sz w:val="22"/>
          <w:szCs w:val="22"/>
        </w:rPr>
        <w:t>servitù.</w:t>
      </w:r>
      <w:r>
        <w:rPr>
          <w:rFonts w:ascii="Garamond" w:hAnsi="Garamond"/>
          <w:sz w:val="22"/>
          <w:szCs w:val="22"/>
        </w:rPr>
        <w:t xml:space="preserve"> </w:t>
      </w:r>
      <w:r w:rsidRPr="005C7EF0">
        <w:rPr>
          <w:rFonts w:ascii="Garamond" w:hAnsi="Garamond" w:cs="Segoe UI"/>
          <w:sz w:val="22"/>
          <w:szCs w:val="22"/>
        </w:rPr>
        <w:t>Sulla stessa linea T</w:t>
      </w:r>
      <w:r>
        <w:rPr>
          <w:rFonts w:ascii="Garamond" w:hAnsi="Garamond" w:cs="Segoe UI"/>
          <w:sz w:val="22"/>
          <w:szCs w:val="22"/>
        </w:rPr>
        <w:t xml:space="preserve">ar Lazio, </w:t>
      </w:r>
      <w:r w:rsidRPr="005C7EF0">
        <w:rPr>
          <w:rFonts w:ascii="Garamond" w:hAnsi="Garamond" w:cs="Segoe UI"/>
          <w:sz w:val="22"/>
          <w:szCs w:val="22"/>
        </w:rPr>
        <w:t>sez. I-bis</w:t>
      </w:r>
      <w:r>
        <w:rPr>
          <w:rFonts w:ascii="Garamond" w:hAnsi="Garamond" w:cs="Segoe UI"/>
          <w:sz w:val="22"/>
          <w:szCs w:val="22"/>
        </w:rPr>
        <w:t>,</w:t>
      </w:r>
      <w:r w:rsidRPr="005C7EF0">
        <w:rPr>
          <w:rFonts w:ascii="Garamond" w:hAnsi="Garamond" w:cs="Segoe UI"/>
          <w:sz w:val="22"/>
          <w:szCs w:val="22"/>
        </w:rPr>
        <w:t xml:space="preserve"> 20</w:t>
      </w:r>
      <w:r>
        <w:rPr>
          <w:rFonts w:ascii="Garamond" w:hAnsi="Garamond" w:cs="Segoe UI"/>
          <w:sz w:val="22"/>
          <w:szCs w:val="22"/>
        </w:rPr>
        <w:t xml:space="preserve"> febbraio </w:t>
      </w:r>
      <w:r w:rsidRPr="005C7EF0">
        <w:rPr>
          <w:rFonts w:ascii="Garamond" w:hAnsi="Garamond" w:cs="Segoe UI"/>
          <w:sz w:val="22"/>
          <w:szCs w:val="22"/>
        </w:rPr>
        <w:t>2018, n. 1934, per il quale il dipendente che ha ottenuto il riconoscimento in via giudiziale del diritto ad una speciale indennità ha diritto di conoscere dall’Amministrazione il regime fiscale ad essa applicabile</w:t>
      </w:r>
      <w:r>
        <w:rPr>
          <w:rFonts w:ascii="Garamond" w:hAnsi="Garamond" w:cs="Segoe UI"/>
          <w:sz w:val="22"/>
          <w:szCs w:val="22"/>
        </w:rPr>
        <w:t>.</w:t>
      </w:r>
    </w:p>
  </w:footnote>
  <w:footnote w:id="35">
    <w:p w14:paraId="1745BCFC" w14:textId="1B9DA941" w:rsidR="00A80062" w:rsidRPr="006605B6" w:rsidRDefault="00A80062" w:rsidP="00F44A42">
      <w:pPr>
        <w:pStyle w:val="Standard"/>
        <w:ind w:left="567" w:right="567"/>
        <w:jc w:val="both"/>
        <w:rPr>
          <w:rFonts w:ascii="Garamond" w:hAnsi="Garamond" w:cs="Segoe UI"/>
          <w:color w:val="000000"/>
          <w:sz w:val="22"/>
          <w:szCs w:val="22"/>
          <w:lang w:val="it-IT"/>
        </w:rPr>
      </w:pPr>
      <w:r w:rsidRPr="00340F2D">
        <w:rPr>
          <w:rStyle w:val="Rimandonotaapidipagina"/>
          <w:rFonts w:ascii="Garamond" w:hAnsi="Garamond" w:cs="Segoe UI"/>
          <w:sz w:val="22"/>
          <w:szCs w:val="22"/>
          <w:lang w:val="it-IT"/>
        </w:rPr>
        <w:footnoteRef/>
      </w:r>
      <w:r w:rsidRPr="00340F2D">
        <w:rPr>
          <w:rFonts w:ascii="Garamond" w:hAnsi="Garamond" w:cs="Segoe UI"/>
          <w:color w:val="000000"/>
          <w:sz w:val="22"/>
          <w:szCs w:val="22"/>
          <w:lang w:val="it-IT"/>
        </w:rPr>
        <w:t xml:space="preserve"> Vedi Tar Lazio, sez.</w:t>
      </w:r>
      <w:r>
        <w:rPr>
          <w:rFonts w:ascii="Garamond" w:hAnsi="Garamond" w:cs="Segoe UI"/>
          <w:color w:val="000000"/>
          <w:sz w:val="22"/>
          <w:szCs w:val="22"/>
          <w:lang w:val="it-IT"/>
        </w:rPr>
        <w:t xml:space="preserve"> II-quater, 15 gennaio 2019, n. 500, che ha ritenuto che </w:t>
      </w:r>
      <w:r w:rsidRPr="00340F2D">
        <w:rPr>
          <w:rFonts w:ascii="Garamond" w:hAnsi="Garamond"/>
          <w:sz w:val="22"/>
          <w:szCs w:val="22"/>
          <w:lang w:val="it-IT"/>
        </w:rPr>
        <w:t xml:space="preserve">ai sensi dell’art. 10 </w:t>
      </w:r>
      <w:r>
        <w:rPr>
          <w:rFonts w:ascii="Garamond" w:hAnsi="Garamond"/>
          <w:sz w:val="22"/>
          <w:szCs w:val="22"/>
          <w:lang w:val="it-IT"/>
        </w:rPr>
        <w:t>legge 22 febbraio 2001, n.</w:t>
      </w:r>
      <w:r w:rsidRPr="00340F2D">
        <w:rPr>
          <w:rFonts w:ascii="Garamond" w:hAnsi="Garamond"/>
          <w:sz w:val="22"/>
          <w:szCs w:val="22"/>
          <w:lang w:val="it-IT"/>
        </w:rPr>
        <w:t xml:space="preserve"> 36 </w:t>
      </w:r>
      <w:r>
        <w:rPr>
          <w:rFonts w:ascii="Garamond" w:hAnsi="Garamond"/>
          <w:sz w:val="22"/>
          <w:szCs w:val="22"/>
          <w:lang w:val="it-IT"/>
        </w:rPr>
        <w:t>(</w:t>
      </w:r>
      <w:r w:rsidRPr="00340F2D">
        <w:rPr>
          <w:rFonts w:ascii="Garamond" w:hAnsi="Garamond"/>
          <w:sz w:val="22"/>
          <w:szCs w:val="22"/>
          <w:lang w:val="it-IT"/>
        </w:rPr>
        <w:t>Legge quadro sulla protezione dalle esposizioni a campi elettrici, magnetici ed elettromagnetici</w:t>
      </w:r>
      <w:r>
        <w:rPr>
          <w:rFonts w:ascii="Garamond" w:hAnsi="Garamond"/>
          <w:sz w:val="22"/>
          <w:szCs w:val="22"/>
          <w:lang w:val="it-IT"/>
        </w:rPr>
        <w:t xml:space="preserve">) </w:t>
      </w:r>
      <w:r w:rsidRPr="00340F2D">
        <w:rPr>
          <w:rFonts w:ascii="Garamond" w:hAnsi="Garamond"/>
          <w:sz w:val="22"/>
          <w:szCs w:val="22"/>
          <w:lang w:val="it-IT"/>
        </w:rPr>
        <w:t>un soggetto portator</w:t>
      </w:r>
      <w:r>
        <w:rPr>
          <w:rFonts w:ascii="Garamond" w:hAnsi="Garamond"/>
          <w:sz w:val="22"/>
          <w:szCs w:val="22"/>
          <w:lang w:val="it-IT"/>
        </w:rPr>
        <w:t xml:space="preserve">e di interessi diffusi </w:t>
      </w:r>
      <w:r w:rsidRPr="00340F2D">
        <w:rPr>
          <w:rFonts w:ascii="Garamond" w:hAnsi="Garamond"/>
          <w:sz w:val="22"/>
          <w:szCs w:val="22"/>
          <w:lang w:val="it-IT"/>
        </w:rPr>
        <w:t xml:space="preserve">può esigere dai competenti Ministeri che </w:t>
      </w:r>
      <w:r w:rsidRPr="00631D4E">
        <w:rPr>
          <w:rFonts w:ascii="Garamond" w:hAnsi="Garamond"/>
          <w:sz w:val="22"/>
          <w:szCs w:val="22"/>
          <w:lang w:val="it-IT"/>
        </w:rPr>
        <w:t>ad</w:t>
      </w:r>
      <w:r>
        <w:rPr>
          <w:rFonts w:ascii="Garamond" w:hAnsi="Garamond"/>
          <w:sz w:val="22"/>
          <w:szCs w:val="22"/>
          <w:lang w:val="it-IT"/>
        </w:rPr>
        <w:t>ottino una campagna informativa rivolta all’intera popolazione</w:t>
      </w:r>
      <w:r w:rsidRPr="00631D4E">
        <w:rPr>
          <w:rFonts w:ascii="Garamond" w:hAnsi="Garamond"/>
          <w:sz w:val="22"/>
          <w:szCs w:val="22"/>
          <w:lang w:val="it-IT"/>
        </w:rPr>
        <w:t xml:space="preserve"> avente ad oggetto l’individuazione delle corrette modalità d’uso degli apparecchi di telefonia mobile (telefoni cellulari e cordless) e l’informazione dei rischi per la salute e l’ambiente connessi ad un uso improprio degli stessi; ciò in quanto l’attività c.d. informativa dei Ministeri non può ascriversi alla categoria degli atti meramente materiali, bensì a quella degli “atti amministrativi a contenuto generale”, perché per un verso si rivolge ad una pluralità indefinita di soggetti e per altro verso presuppone comunque un’attività istruttoria finalizzata alla individuazione dell’oggetto/contenuto dell’informazione stessa (es. studio e ricerca delle informazioni necessarie per raggiungere lo scopo previsto dalla norma)</w:t>
      </w:r>
      <w:r>
        <w:rPr>
          <w:rFonts w:ascii="Garamond" w:hAnsi="Garamond"/>
          <w:sz w:val="22"/>
          <w:szCs w:val="22"/>
          <w:lang w:val="it-IT"/>
        </w:rPr>
        <w:t>. L</w:t>
      </w:r>
      <w:r w:rsidRPr="00631D4E">
        <w:rPr>
          <w:rFonts w:ascii="Garamond" w:hAnsi="Garamond"/>
          <w:sz w:val="22"/>
          <w:szCs w:val="22"/>
          <w:lang w:val="it-IT"/>
        </w:rPr>
        <w:t xml:space="preserve">a sentenza è stata </w:t>
      </w:r>
      <w:r>
        <w:rPr>
          <w:rFonts w:ascii="Garamond" w:hAnsi="Garamond"/>
          <w:sz w:val="22"/>
          <w:szCs w:val="22"/>
          <w:lang w:val="it-IT"/>
        </w:rPr>
        <w:t xml:space="preserve">parzialmente </w:t>
      </w:r>
      <w:r w:rsidRPr="00631D4E">
        <w:rPr>
          <w:rFonts w:ascii="Garamond" w:hAnsi="Garamond"/>
          <w:sz w:val="22"/>
          <w:szCs w:val="22"/>
          <w:lang w:val="it-IT"/>
        </w:rPr>
        <w:t xml:space="preserve">riformata da </w:t>
      </w:r>
      <w:r>
        <w:rPr>
          <w:rFonts w:ascii="Garamond" w:hAnsi="Garamond"/>
          <w:sz w:val="22"/>
          <w:szCs w:val="22"/>
          <w:lang w:val="it-IT"/>
        </w:rPr>
        <w:t xml:space="preserve">Cons. Stato, sez. IV, 27 agosto 2019, la quale, pur ritenendo trattarsi </w:t>
      </w:r>
      <w:r w:rsidRPr="00631D4E">
        <w:rPr>
          <w:rFonts w:ascii="Garamond" w:hAnsi="Garamond"/>
          <w:sz w:val="22"/>
          <w:szCs w:val="22"/>
          <w:lang w:val="it-IT"/>
        </w:rPr>
        <w:t xml:space="preserve">di “attività materiale” </w:t>
      </w:r>
      <w:r>
        <w:rPr>
          <w:rFonts w:ascii="Garamond" w:hAnsi="Garamond"/>
          <w:sz w:val="22"/>
          <w:szCs w:val="22"/>
          <w:lang w:val="it-IT"/>
        </w:rPr>
        <w:t>(</w:t>
      </w:r>
      <w:r w:rsidRPr="00631D4E">
        <w:rPr>
          <w:rFonts w:ascii="Garamond" w:hAnsi="Garamond"/>
          <w:sz w:val="22"/>
          <w:szCs w:val="22"/>
          <w:lang w:val="it-IT"/>
        </w:rPr>
        <w:t>pre</w:t>
      </w:r>
      <w:r>
        <w:rPr>
          <w:rFonts w:ascii="Garamond" w:hAnsi="Garamond"/>
          <w:sz w:val="22"/>
          <w:szCs w:val="22"/>
          <w:lang w:val="it-IT"/>
        </w:rPr>
        <w:t>ceduta da istruttoria tecnica)</w:t>
      </w:r>
      <w:r w:rsidRPr="00631D4E">
        <w:rPr>
          <w:rFonts w:ascii="Garamond" w:hAnsi="Garamond"/>
          <w:sz w:val="22"/>
          <w:szCs w:val="22"/>
          <w:lang w:val="it-IT"/>
        </w:rPr>
        <w:t xml:space="preserve"> priva di carattere provvedimentale, </w:t>
      </w:r>
      <w:r>
        <w:rPr>
          <w:rFonts w:ascii="Garamond" w:hAnsi="Garamond"/>
          <w:sz w:val="22"/>
          <w:szCs w:val="22"/>
          <w:lang w:val="it-IT"/>
        </w:rPr>
        <w:t xml:space="preserve">ha accolto </w:t>
      </w:r>
      <w:r w:rsidRPr="00631D4E">
        <w:rPr>
          <w:rFonts w:ascii="Garamond" w:hAnsi="Garamond"/>
          <w:sz w:val="22"/>
          <w:szCs w:val="22"/>
          <w:lang w:val="it-IT"/>
        </w:rPr>
        <w:t>l</w:t>
      </w:r>
      <w:r>
        <w:rPr>
          <w:rFonts w:ascii="Garamond" w:hAnsi="Garamond"/>
          <w:sz w:val="22"/>
          <w:szCs w:val="22"/>
          <w:lang w:val="it-IT"/>
        </w:rPr>
        <w:t xml:space="preserve">a domanda </w:t>
      </w:r>
      <w:r w:rsidRPr="00631D4E">
        <w:rPr>
          <w:rFonts w:ascii="Garamond" w:hAnsi="Garamond"/>
          <w:sz w:val="22"/>
          <w:szCs w:val="22"/>
          <w:lang w:val="it-IT"/>
        </w:rPr>
        <w:t xml:space="preserve">ex art. 117 c.p.a. al fine di ottenere non già la condanna del Ministero ad un obbligo di </w:t>
      </w:r>
      <w:r w:rsidRPr="00340F2D">
        <w:rPr>
          <w:rFonts w:ascii="Garamond" w:hAnsi="Garamond"/>
          <w:i/>
          <w:sz w:val="22"/>
          <w:szCs w:val="22"/>
          <w:lang w:val="it-IT"/>
        </w:rPr>
        <w:t>facere</w:t>
      </w:r>
      <w:r w:rsidRPr="00631D4E">
        <w:rPr>
          <w:rFonts w:ascii="Garamond" w:hAnsi="Garamond"/>
          <w:sz w:val="22"/>
          <w:szCs w:val="22"/>
          <w:lang w:val="it-IT"/>
        </w:rPr>
        <w:t xml:space="preserve"> la campagna informativa, ma </w:t>
      </w:r>
      <w:r>
        <w:rPr>
          <w:rFonts w:ascii="Garamond" w:hAnsi="Garamond"/>
          <w:sz w:val="22"/>
          <w:szCs w:val="22"/>
          <w:lang w:val="it-IT"/>
        </w:rPr>
        <w:t xml:space="preserve">quantomeno </w:t>
      </w:r>
      <w:r w:rsidRPr="00631D4E">
        <w:rPr>
          <w:rFonts w:ascii="Garamond" w:hAnsi="Garamond"/>
          <w:sz w:val="22"/>
          <w:szCs w:val="22"/>
          <w:lang w:val="it-IT"/>
        </w:rPr>
        <w:t xml:space="preserve">un riscontro esplicito </w:t>
      </w:r>
      <w:r w:rsidRPr="006605B6">
        <w:rPr>
          <w:rFonts w:ascii="Garamond" w:hAnsi="Garamond"/>
          <w:sz w:val="22"/>
          <w:szCs w:val="22"/>
          <w:lang w:val="it-IT"/>
        </w:rPr>
        <w:t xml:space="preserve">all’istanza dell’associazione, chiarendo quali attività siano state svolte al riguardo. Ciò sulla base del seguente presupposto: </w:t>
      </w:r>
      <w:r w:rsidRPr="006605B6">
        <w:rPr>
          <w:rFonts w:ascii="Garamond" w:hAnsi="Garamond"/>
          <w:i/>
          <w:iCs/>
          <w:sz w:val="22"/>
          <w:szCs w:val="22"/>
          <w:lang w:val="it-IT"/>
        </w:rPr>
        <w:t>&lt;&lt; 15.2. In sostanza, l'obbligo di rispondere può configurarsi, come nel caso di specie, non solo a valle di puntuali previsioni legislative o regolamentari, ma anche per la peculiarità della fattispecie, nella quale ragioni di interesse generale impongono di riscontrare eventuali richieste formulate da enti espressivi di interessi collettivi, alla stregua del generale dovere di correttezza e di buona amministrazione della parte pubblica di cui all'art. 97 della Costituzione. &gt;&gt;</w:t>
      </w:r>
      <w:r w:rsidRPr="006605B6">
        <w:rPr>
          <w:rFonts w:ascii="Garamond" w:hAnsi="Garamond"/>
          <w:sz w:val="22"/>
          <w:szCs w:val="22"/>
          <w:lang w:val="it-IT"/>
        </w:rPr>
        <w:t>.</w:t>
      </w:r>
    </w:p>
  </w:footnote>
  <w:footnote w:id="36">
    <w:p w14:paraId="7BE9B151" w14:textId="2C21D77E" w:rsidR="00A80062" w:rsidRPr="002D365F" w:rsidRDefault="00A80062" w:rsidP="00E01B73">
      <w:pPr>
        <w:pStyle w:val="Standard"/>
        <w:ind w:left="567" w:right="567"/>
        <w:jc w:val="both"/>
        <w:rPr>
          <w:rFonts w:ascii="Garamond" w:hAnsi="Garamond" w:cs="Segoe UI"/>
          <w:color w:val="000000"/>
          <w:sz w:val="22"/>
          <w:szCs w:val="22"/>
          <w:lang w:val="it-IT"/>
        </w:rPr>
      </w:pPr>
      <w:r w:rsidRPr="006605B6">
        <w:rPr>
          <w:rStyle w:val="Rimandonotaapidipagina"/>
          <w:rFonts w:ascii="Garamond" w:hAnsi="Garamond" w:cs="Segoe UI"/>
          <w:sz w:val="22"/>
          <w:szCs w:val="22"/>
          <w:lang w:val="it-IT"/>
        </w:rPr>
        <w:footnoteRef/>
      </w:r>
      <w:r w:rsidRPr="006605B6">
        <w:rPr>
          <w:rFonts w:ascii="Garamond" w:hAnsi="Garamond" w:cs="Segoe UI"/>
          <w:sz w:val="22"/>
          <w:szCs w:val="22"/>
          <w:lang w:val="it-IT"/>
        </w:rPr>
        <w:t xml:space="preserve"> Vedasi Cass. Civ., S.U., 13 maggio 2019, n. 12640: </w:t>
      </w:r>
      <w:r w:rsidRPr="006605B6">
        <w:rPr>
          <w:rFonts w:ascii="Garamond" w:hAnsi="Garamond" w:cs="Segoe UI"/>
          <w:i/>
          <w:sz w:val="22"/>
          <w:szCs w:val="22"/>
          <w:lang w:val="it-IT"/>
        </w:rPr>
        <w:t xml:space="preserve">&lt;&lt; .. </w:t>
      </w:r>
      <w:r w:rsidRPr="006605B6">
        <w:rPr>
          <w:rFonts w:ascii="Garamond" w:hAnsi="Garamond"/>
          <w:i/>
          <w:sz w:val="22"/>
          <w:szCs w:val="22"/>
          <w:lang w:val="it-IT"/>
        </w:rPr>
        <w:t xml:space="preserve">com'è noto, il principio della tutela del legittimo </w:t>
      </w:r>
      <w:r w:rsidRPr="002D365F">
        <w:rPr>
          <w:rFonts w:ascii="Garamond" w:hAnsi="Garamond"/>
          <w:i/>
          <w:sz w:val="22"/>
          <w:szCs w:val="22"/>
          <w:lang w:val="it-IT"/>
        </w:rPr>
        <w:t xml:space="preserve">affidamento nell'operato della Pubblica Amministrazione - cui è stato dato un ruolo centrale in ambito Europeo sia dalla CGUE (vedi, per tutte: sentenza 17 ottobre 2018, C-167/17, punto 51; sentenza 14 ottobre 2010, C 67/09, punto 71) sia dalla Corte EDU (fra le altre: sentenza 28 settembre 2004, Kopecky c. Slovacchia; sentenza 13 dicembre 2013, Bèlànè Nagy c. Ungheria) - in ambito nazionale, trovando origine nei principi affermati dagli </w:t>
      </w:r>
      <w:r>
        <w:rPr>
          <w:rFonts w:ascii="Garamond" w:hAnsi="Garamond"/>
          <w:i/>
          <w:sz w:val="22"/>
          <w:szCs w:val="22"/>
          <w:lang w:val="it-IT"/>
        </w:rPr>
        <w:t xml:space="preserve">artt. 3 e 97 Cost. </w:t>
      </w:r>
      <w:r w:rsidRPr="002D365F">
        <w:rPr>
          <w:rFonts w:ascii="Garamond" w:hAnsi="Garamond"/>
          <w:i/>
          <w:sz w:val="22"/>
          <w:szCs w:val="22"/>
          <w:lang w:val="it-IT"/>
        </w:rPr>
        <w:t xml:space="preserve">è immanente in tutti i rapporti di diritto pubblico e costituisce uno dei fondamenti dello Stato di diritto nelle sue diverse articolazioni, limitandone l'attività legislativa ed amministrativa </w:t>
      </w:r>
      <w:r>
        <w:rPr>
          <w:rFonts w:ascii="Garamond" w:hAnsi="Garamond"/>
          <w:i/>
          <w:sz w:val="22"/>
          <w:szCs w:val="22"/>
          <w:lang w:val="it-IT"/>
        </w:rPr>
        <w:t>(Cass. 17 aprile 2013, n. 9308; Cass. 24 maggio 2017, n. 12991; Cass. 2 febbraio 2018, n. 2603</w:t>
      </w:r>
      <w:r w:rsidRPr="002D365F">
        <w:rPr>
          <w:rFonts w:ascii="Garamond" w:hAnsi="Garamond"/>
          <w:i/>
          <w:sz w:val="22"/>
          <w:szCs w:val="22"/>
          <w:lang w:val="it-IT"/>
        </w:rPr>
        <w:t>);</w:t>
      </w:r>
      <w:r>
        <w:rPr>
          <w:rFonts w:ascii="Garamond" w:hAnsi="Garamond"/>
          <w:i/>
          <w:sz w:val="22"/>
          <w:szCs w:val="22"/>
          <w:lang w:val="it-IT"/>
        </w:rPr>
        <w:t xml:space="preserve"> &gt;&gt;</w:t>
      </w:r>
      <w:r>
        <w:rPr>
          <w:rFonts w:ascii="Garamond" w:hAnsi="Garamond"/>
          <w:sz w:val="22"/>
          <w:szCs w:val="22"/>
          <w:lang w:val="it-IT"/>
        </w:rPr>
        <w:t>.</w:t>
      </w:r>
    </w:p>
  </w:footnote>
  <w:footnote w:id="37">
    <w:p w14:paraId="7CB2B20B" w14:textId="34A29EDF" w:rsidR="00A80062" w:rsidRPr="005C7EF0" w:rsidRDefault="00A80062" w:rsidP="005C7EF0">
      <w:pPr>
        <w:pStyle w:val="Standard"/>
        <w:ind w:left="567" w:right="567"/>
        <w:jc w:val="both"/>
        <w:rPr>
          <w:rFonts w:ascii="Garamond" w:hAnsi="Garamond" w:cs="Segoe UI"/>
          <w:color w:val="000000"/>
          <w:sz w:val="22"/>
          <w:szCs w:val="22"/>
          <w:lang w:val="it-IT"/>
        </w:rPr>
      </w:pPr>
      <w:r w:rsidRPr="005C7EF0">
        <w:rPr>
          <w:rStyle w:val="Rimandonotaapidipagina"/>
          <w:rFonts w:ascii="Garamond" w:hAnsi="Garamond" w:cs="Segoe UI"/>
          <w:sz w:val="22"/>
          <w:szCs w:val="22"/>
        </w:rPr>
        <w:footnoteRef/>
      </w:r>
      <w:r w:rsidRPr="005C7EF0">
        <w:rPr>
          <w:rFonts w:ascii="Garamond" w:hAnsi="Garamond" w:cs="Segoe UI"/>
          <w:sz w:val="22"/>
          <w:szCs w:val="22"/>
          <w:lang w:val="it-IT"/>
        </w:rPr>
        <w:t xml:space="preserve"> A diverse conclusioni si </w:t>
      </w:r>
      <w:r w:rsidR="00A50C6E">
        <w:rPr>
          <w:rFonts w:ascii="Garamond" w:hAnsi="Garamond" w:cs="Segoe UI"/>
          <w:sz w:val="22"/>
          <w:szCs w:val="22"/>
          <w:lang w:val="it-IT"/>
        </w:rPr>
        <w:t xml:space="preserve">potrebbe </w:t>
      </w:r>
      <w:r>
        <w:rPr>
          <w:rFonts w:ascii="Garamond" w:hAnsi="Garamond" w:cs="Segoe UI"/>
          <w:sz w:val="22"/>
          <w:szCs w:val="22"/>
          <w:lang w:val="it-IT"/>
        </w:rPr>
        <w:t>perven</w:t>
      </w:r>
      <w:r w:rsidR="00A50C6E">
        <w:rPr>
          <w:rFonts w:ascii="Garamond" w:hAnsi="Garamond" w:cs="Segoe UI"/>
          <w:sz w:val="22"/>
          <w:szCs w:val="22"/>
          <w:lang w:val="it-IT"/>
        </w:rPr>
        <w:t>ire</w:t>
      </w:r>
      <w:r>
        <w:rPr>
          <w:rFonts w:ascii="Garamond" w:hAnsi="Garamond" w:cs="Segoe UI"/>
          <w:sz w:val="22"/>
          <w:szCs w:val="22"/>
          <w:lang w:val="it-IT"/>
        </w:rPr>
        <w:t xml:space="preserve"> se si concepis</w:t>
      </w:r>
      <w:r w:rsidR="00A50C6E">
        <w:rPr>
          <w:rFonts w:ascii="Garamond" w:hAnsi="Garamond" w:cs="Segoe UI"/>
          <w:sz w:val="22"/>
          <w:szCs w:val="22"/>
          <w:lang w:val="it-IT"/>
        </w:rPr>
        <w:t>s</w:t>
      </w:r>
      <w:r w:rsidRPr="005C7EF0">
        <w:rPr>
          <w:rFonts w:ascii="Garamond" w:hAnsi="Garamond" w:cs="Segoe UI"/>
          <w:sz w:val="22"/>
          <w:szCs w:val="22"/>
          <w:lang w:val="it-IT"/>
        </w:rPr>
        <w:t>e il “diritto all’informazione” come diritto soggettivo rispetto al quale la P.A. pone in essere un mero “comportamento” doveroso (ovvero un’attività meramente materiale), rimarcandone le differenze rispetto al “diritto di accesso”: in tale prospettiva, le controversie in materia di “diritto all’informazione” non rientrerebbero in alcuna delle materie di “giurisdizione esclus</w:t>
      </w:r>
      <w:r>
        <w:rPr>
          <w:rFonts w:ascii="Garamond" w:hAnsi="Garamond" w:cs="Segoe UI"/>
          <w:sz w:val="22"/>
          <w:szCs w:val="22"/>
          <w:lang w:val="it-IT"/>
        </w:rPr>
        <w:t>iva” del Giudice a</w:t>
      </w:r>
      <w:r w:rsidRPr="005C7EF0">
        <w:rPr>
          <w:rFonts w:ascii="Garamond" w:hAnsi="Garamond" w:cs="Segoe UI"/>
          <w:sz w:val="22"/>
          <w:szCs w:val="22"/>
          <w:lang w:val="it-IT"/>
        </w:rPr>
        <w:t xml:space="preserve">mministrativo elencate nell’art. 133 </w:t>
      </w:r>
      <w:r>
        <w:rPr>
          <w:rFonts w:ascii="Garamond" w:hAnsi="Garamond" w:cs="Segoe UI"/>
          <w:sz w:val="22"/>
          <w:szCs w:val="22"/>
          <w:lang w:val="it-IT"/>
        </w:rPr>
        <w:t xml:space="preserve">c.p.a. e </w:t>
      </w:r>
      <w:r w:rsidRPr="005C7EF0">
        <w:rPr>
          <w:rFonts w:ascii="Garamond" w:hAnsi="Garamond" w:cs="Segoe UI"/>
          <w:sz w:val="22"/>
          <w:szCs w:val="22"/>
          <w:lang w:val="it-IT"/>
        </w:rPr>
        <w:t>la giu</w:t>
      </w:r>
      <w:r>
        <w:rPr>
          <w:rFonts w:ascii="Garamond" w:hAnsi="Garamond" w:cs="Segoe UI"/>
          <w:sz w:val="22"/>
          <w:szCs w:val="22"/>
          <w:lang w:val="it-IT"/>
        </w:rPr>
        <w:t>risdizione sarebbe del Giudice ordinario: s</w:t>
      </w:r>
      <w:r w:rsidRPr="005C7EF0">
        <w:rPr>
          <w:rFonts w:ascii="Garamond" w:hAnsi="Garamond" w:cs="Segoe UI"/>
          <w:sz w:val="22"/>
          <w:szCs w:val="22"/>
          <w:lang w:val="it-IT"/>
        </w:rPr>
        <w:t>u questa linea di pensiero sembra essere Trib. Bari 05.06.2003 (in Foro it. 2003, I,3173), secondo il qua</w:t>
      </w:r>
      <w:r>
        <w:rPr>
          <w:rFonts w:ascii="Garamond" w:hAnsi="Garamond" w:cs="Segoe UI"/>
          <w:sz w:val="22"/>
          <w:szCs w:val="22"/>
          <w:lang w:val="it-IT"/>
        </w:rPr>
        <w:t>le il diritto ex art. 54 l</w:t>
      </w:r>
      <w:r w:rsidRPr="005C7EF0">
        <w:rPr>
          <w:rFonts w:ascii="Garamond" w:hAnsi="Garamond" w:cs="Segoe UI"/>
          <w:sz w:val="22"/>
          <w:szCs w:val="22"/>
          <w:lang w:val="it-IT"/>
        </w:rPr>
        <w:t xml:space="preserve">. </w:t>
      </w:r>
      <w:r>
        <w:rPr>
          <w:rFonts w:ascii="Garamond" w:hAnsi="Garamond" w:cs="Segoe UI"/>
          <w:sz w:val="22"/>
          <w:szCs w:val="22"/>
          <w:lang w:val="it-IT"/>
        </w:rPr>
        <w:t xml:space="preserve">n. 88 del </w:t>
      </w:r>
      <w:r w:rsidRPr="005C7EF0">
        <w:rPr>
          <w:rFonts w:ascii="Garamond" w:hAnsi="Garamond" w:cs="Segoe UI"/>
          <w:sz w:val="22"/>
          <w:szCs w:val="22"/>
          <w:lang w:val="it-IT"/>
        </w:rPr>
        <w:t>1989 del titolare al trattamento pensionistico alla corretta informazione circa la consistenza del credito contributo può essere tutelato davanti all’A.G.O. mediante ricorso per decreto ingiuntivo, per la consegna da parte dell’istituto previdenziale dell’estratto conto relativo alla posizione assicurativa.</w:t>
      </w:r>
    </w:p>
  </w:footnote>
  <w:footnote w:id="38">
    <w:p w14:paraId="6E654FD2" w14:textId="07552C9E" w:rsidR="00A80062" w:rsidRPr="005C7EF0" w:rsidRDefault="00A80062" w:rsidP="005C7EF0">
      <w:pPr>
        <w:pStyle w:val="Standard"/>
        <w:ind w:left="567" w:right="567"/>
        <w:jc w:val="both"/>
        <w:rPr>
          <w:rFonts w:ascii="Garamond" w:hAnsi="Garamond" w:cs="Segoe UI"/>
          <w:color w:val="000000"/>
          <w:sz w:val="22"/>
          <w:szCs w:val="22"/>
          <w:lang w:val="it-IT"/>
        </w:rPr>
      </w:pPr>
      <w:r w:rsidRPr="005C7EF0">
        <w:rPr>
          <w:rStyle w:val="Rimandonotaapidipagina"/>
          <w:rFonts w:ascii="Garamond" w:hAnsi="Garamond" w:cs="Segoe UI"/>
          <w:sz w:val="22"/>
          <w:szCs w:val="22"/>
        </w:rPr>
        <w:footnoteRef/>
      </w:r>
      <w:r>
        <w:rPr>
          <w:rFonts w:ascii="Garamond" w:hAnsi="Garamond" w:cs="Segoe UI"/>
          <w:sz w:val="22"/>
          <w:szCs w:val="22"/>
          <w:lang w:val="it-IT"/>
        </w:rPr>
        <w:t xml:space="preserve"> Vedi Cons. St., </w:t>
      </w:r>
      <w:r w:rsidRPr="005C7EF0">
        <w:rPr>
          <w:rFonts w:ascii="Garamond" w:hAnsi="Garamond" w:cs="Segoe UI"/>
          <w:sz w:val="22"/>
          <w:szCs w:val="22"/>
          <w:lang w:val="it-IT"/>
        </w:rPr>
        <w:t>sez. VI</w:t>
      </w:r>
      <w:r>
        <w:rPr>
          <w:rFonts w:ascii="Garamond" w:hAnsi="Garamond" w:cs="Segoe UI"/>
          <w:sz w:val="22"/>
          <w:szCs w:val="22"/>
          <w:lang w:val="it-IT"/>
        </w:rPr>
        <w:t xml:space="preserve">, </w:t>
      </w:r>
      <w:r w:rsidRPr="005C7EF0">
        <w:rPr>
          <w:rFonts w:ascii="Garamond" w:hAnsi="Garamond" w:cs="Segoe UI"/>
          <w:sz w:val="22"/>
          <w:szCs w:val="22"/>
          <w:lang w:val="it-IT"/>
        </w:rPr>
        <w:t>2</w:t>
      </w:r>
      <w:r>
        <w:rPr>
          <w:rFonts w:ascii="Garamond" w:hAnsi="Garamond" w:cs="Segoe UI"/>
          <w:sz w:val="22"/>
          <w:szCs w:val="22"/>
          <w:lang w:val="it-IT"/>
        </w:rPr>
        <w:t xml:space="preserve"> aprile </w:t>
      </w:r>
      <w:r w:rsidRPr="005C7EF0">
        <w:rPr>
          <w:rFonts w:ascii="Garamond" w:hAnsi="Garamond" w:cs="Segoe UI"/>
          <w:sz w:val="22"/>
          <w:szCs w:val="22"/>
          <w:lang w:val="it-IT"/>
        </w:rPr>
        <w:t xml:space="preserve">2010, n. 1900, per il quale lo strumento dell’accesso documentale ex </w:t>
      </w:r>
      <w:r>
        <w:rPr>
          <w:rFonts w:ascii="Garamond" w:hAnsi="Garamond" w:cs="Segoe UI"/>
          <w:sz w:val="22"/>
          <w:szCs w:val="22"/>
          <w:lang w:val="it-IT"/>
        </w:rPr>
        <w:t>l</w:t>
      </w:r>
      <w:r w:rsidRPr="005C7EF0">
        <w:rPr>
          <w:rFonts w:ascii="Garamond" w:hAnsi="Garamond" w:cs="Segoe UI"/>
          <w:sz w:val="22"/>
          <w:szCs w:val="22"/>
          <w:lang w:val="it-IT"/>
        </w:rPr>
        <w:t xml:space="preserve">. </w:t>
      </w:r>
      <w:r>
        <w:rPr>
          <w:rFonts w:ascii="Garamond" w:hAnsi="Garamond" w:cs="Segoe UI"/>
          <w:sz w:val="22"/>
          <w:szCs w:val="22"/>
          <w:lang w:val="it-IT"/>
        </w:rPr>
        <w:t xml:space="preserve">n. </w:t>
      </w:r>
      <w:r w:rsidRPr="005C7EF0">
        <w:rPr>
          <w:rFonts w:ascii="Garamond" w:hAnsi="Garamond" w:cs="Segoe UI"/>
          <w:sz w:val="22"/>
          <w:szCs w:val="22"/>
          <w:lang w:val="it-IT"/>
        </w:rPr>
        <w:t>241</w:t>
      </w:r>
      <w:r>
        <w:rPr>
          <w:rFonts w:ascii="Garamond" w:hAnsi="Garamond" w:cs="Segoe UI"/>
          <w:sz w:val="22"/>
          <w:szCs w:val="22"/>
          <w:lang w:val="it-IT"/>
        </w:rPr>
        <w:t xml:space="preserve"> del </w:t>
      </w:r>
      <w:r w:rsidRPr="005C7EF0">
        <w:rPr>
          <w:rFonts w:ascii="Garamond" w:hAnsi="Garamond" w:cs="Segoe UI"/>
          <w:sz w:val="22"/>
          <w:szCs w:val="22"/>
          <w:lang w:val="it-IT"/>
        </w:rPr>
        <w:t xml:space="preserve">90 e la relativa tutela processuale non possono essere piegati </w:t>
      </w:r>
      <w:r w:rsidRPr="005C7EF0">
        <w:rPr>
          <w:rFonts w:ascii="Garamond" w:hAnsi="Garamond" w:cs="Segoe UI"/>
          <w:i/>
          <w:sz w:val="22"/>
          <w:szCs w:val="22"/>
          <w:lang w:val="it-IT"/>
        </w:rPr>
        <w:t>&lt;&lt; al perseguimento di una generica attività informativa che, quand’anche legittima, deve assumere forme diverse di esercizio (e di tutela giurisdizionale). &gt;&gt;</w:t>
      </w:r>
      <w:r w:rsidRPr="005C7EF0">
        <w:rPr>
          <w:rFonts w:ascii="Garamond" w:hAnsi="Garamond" w:cs="Segoe UI"/>
          <w:sz w:val="22"/>
          <w:szCs w:val="22"/>
          <w:lang w:val="it-IT"/>
        </w:rPr>
        <w:t>.</w:t>
      </w:r>
    </w:p>
  </w:footnote>
  <w:footnote w:id="39">
    <w:p w14:paraId="3FB426FF" w14:textId="0BB1A37C" w:rsidR="00A80062" w:rsidRPr="005C7EF0" w:rsidRDefault="00A80062" w:rsidP="005C7EF0">
      <w:pPr>
        <w:pStyle w:val="Standard"/>
        <w:ind w:left="567" w:right="567"/>
        <w:jc w:val="both"/>
        <w:rPr>
          <w:rFonts w:ascii="Garamond" w:hAnsi="Garamond" w:cs="Segoe UI"/>
          <w:color w:val="000000"/>
          <w:sz w:val="22"/>
          <w:szCs w:val="22"/>
          <w:lang w:val="it-IT"/>
        </w:rPr>
      </w:pPr>
      <w:r w:rsidRPr="005C7EF0">
        <w:rPr>
          <w:rStyle w:val="Rimandonotaapidipagina"/>
          <w:rFonts w:ascii="Garamond" w:hAnsi="Garamond" w:cs="Segoe UI"/>
          <w:sz w:val="22"/>
          <w:szCs w:val="22"/>
        </w:rPr>
        <w:footnoteRef/>
      </w:r>
      <w:r w:rsidRPr="005C7EF0">
        <w:rPr>
          <w:rFonts w:ascii="Garamond" w:hAnsi="Garamond" w:cs="Segoe UI"/>
          <w:sz w:val="22"/>
          <w:szCs w:val="22"/>
          <w:lang w:val="it-IT"/>
        </w:rPr>
        <w:t xml:space="preserve"> Di questo avviso Cons. St</w:t>
      </w:r>
      <w:r>
        <w:rPr>
          <w:rFonts w:ascii="Garamond" w:hAnsi="Garamond" w:cs="Segoe UI"/>
          <w:sz w:val="22"/>
          <w:szCs w:val="22"/>
          <w:lang w:val="it-IT"/>
        </w:rPr>
        <w:t>. n. 7955 del 2004,  Tar Lazio n. 1934 del 2018 e Tar Lazio n. 500 del 2019 citate.</w:t>
      </w:r>
    </w:p>
  </w:footnote>
  <w:footnote w:id="40">
    <w:p w14:paraId="7D48DA47" w14:textId="4ED7C38B" w:rsidR="00A80062" w:rsidRPr="005C7EF0" w:rsidRDefault="00A80062" w:rsidP="005C7EF0">
      <w:pPr>
        <w:pStyle w:val="Standard"/>
        <w:ind w:left="567" w:right="567"/>
        <w:jc w:val="both"/>
        <w:rPr>
          <w:rFonts w:ascii="Garamond" w:hAnsi="Garamond" w:cs="Segoe UI"/>
          <w:color w:val="000000"/>
          <w:sz w:val="22"/>
          <w:szCs w:val="22"/>
        </w:rPr>
      </w:pPr>
      <w:r w:rsidRPr="005C7EF0">
        <w:rPr>
          <w:rStyle w:val="Rimandonotaapidipagina"/>
          <w:rFonts w:ascii="Garamond" w:hAnsi="Garamond" w:cs="Segoe UI"/>
          <w:sz w:val="22"/>
          <w:szCs w:val="22"/>
        </w:rPr>
        <w:footnoteRef/>
      </w:r>
      <w:r>
        <w:rPr>
          <w:rFonts w:ascii="Garamond" w:hAnsi="Garamond" w:cs="Segoe UI"/>
          <w:sz w:val="22"/>
          <w:szCs w:val="22"/>
          <w:lang w:val="it-IT"/>
        </w:rPr>
        <w:t xml:space="preserve"> In tal senso </w:t>
      </w:r>
      <w:r w:rsidR="00140A22">
        <w:rPr>
          <w:rFonts w:ascii="Garamond" w:hAnsi="Garamond" w:cs="Segoe UI"/>
          <w:sz w:val="22"/>
          <w:szCs w:val="22"/>
          <w:lang w:val="it-IT"/>
        </w:rPr>
        <w:t xml:space="preserve">sembra orientata </w:t>
      </w:r>
      <w:r w:rsidRPr="005C7EF0">
        <w:rPr>
          <w:rFonts w:ascii="Garamond" w:hAnsi="Garamond" w:cs="Segoe UI"/>
          <w:sz w:val="22"/>
          <w:szCs w:val="22"/>
          <w:lang w:val="it-IT"/>
        </w:rPr>
        <w:t xml:space="preserve">quella giurisprudenza che non dubita che il titolare di trattamento pensionistico possa ottenere dall’I.N.P.S., ai sensi dell’art. 54 </w:t>
      </w:r>
      <w:r>
        <w:rPr>
          <w:rFonts w:ascii="Garamond" w:hAnsi="Garamond" w:cs="Segoe UI"/>
          <w:sz w:val="22"/>
          <w:szCs w:val="22"/>
          <w:lang w:val="it-IT"/>
        </w:rPr>
        <w:t xml:space="preserve">legge n. 88 del </w:t>
      </w:r>
      <w:r w:rsidRPr="005C7EF0">
        <w:rPr>
          <w:rFonts w:ascii="Garamond" w:hAnsi="Garamond" w:cs="Segoe UI"/>
          <w:sz w:val="22"/>
          <w:szCs w:val="22"/>
          <w:lang w:val="it-IT"/>
        </w:rPr>
        <w:t>1</w:t>
      </w:r>
      <w:r>
        <w:rPr>
          <w:rFonts w:ascii="Garamond" w:hAnsi="Garamond" w:cs="Segoe UI"/>
          <w:sz w:val="22"/>
          <w:szCs w:val="22"/>
          <w:lang w:val="it-IT"/>
        </w:rPr>
        <w:t>989 (o comunque ai sensi della l</w:t>
      </w:r>
      <w:r w:rsidRPr="005C7EF0">
        <w:rPr>
          <w:rFonts w:ascii="Garamond" w:hAnsi="Garamond" w:cs="Segoe UI"/>
          <w:sz w:val="22"/>
          <w:szCs w:val="22"/>
          <w:lang w:val="it-IT"/>
        </w:rPr>
        <w:t xml:space="preserve">egge </w:t>
      </w:r>
      <w:r>
        <w:rPr>
          <w:rFonts w:ascii="Garamond" w:hAnsi="Garamond" w:cs="Segoe UI"/>
          <w:sz w:val="22"/>
          <w:szCs w:val="22"/>
          <w:lang w:val="it-IT"/>
        </w:rPr>
        <w:t xml:space="preserve"> n. 241 del 19</w:t>
      </w:r>
      <w:r w:rsidRPr="005C7EF0">
        <w:rPr>
          <w:rFonts w:ascii="Garamond" w:hAnsi="Garamond" w:cs="Segoe UI"/>
          <w:sz w:val="22"/>
          <w:szCs w:val="22"/>
          <w:lang w:val="it-IT"/>
        </w:rPr>
        <w:t xml:space="preserve">90) </w:t>
      </w:r>
      <w:r>
        <w:rPr>
          <w:rFonts w:ascii="Garamond" w:hAnsi="Garamond" w:cs="Segoe UI"/>
          <w:sz w:val="22"/>
          <w:szCs w:val="22"/>
          <w:lang w:val="it-IT"/>
        </w:rPr>
        <w:t xml:space="preserve">e </w:t>
      </w:r>
      <w:r w:rsidRPr="005C7EF0">
        <w:rPr>
          <w:rFonts w:ascii="Garamond" w:hAnsi="Garamond" w:cs="Segoe UI"/>
          <w:sz w:val="22"/>
          <w:szCs w:val="22"/>
          <w:lang w:val="it-IT"/>
        </w:rPr>
        <w:t xml:space="preserve">mediante ricorso ex art. 116 </w:t>
      </w:r>
      <w:r>
        <w:rPr>
          <w:rFonts w:ascii="Garamond" w:hAnsi="Garamond" w:cs="Segoe UI"/>
          <w:sz w:val="22"/>
          <w:szCs w:val="22"/>
          <w:lang w:val="it-IT"/>
        </w:rPr>
        <w:t>c.p.a.</w:t>
      </w:r>
      <w:r w:rsidRPr="005C7EF0">
        <w:rPr>
          <w:rFonts w:ascii="Garamond" w:hAnsi="Garamond" w:cs="Segoe UI"/>
          <w:sz w:val="22"/>
          <w:szCs w:val="22"/>
          <w:lang w:val="it-IT"/>
        </w:rPr>
        <w:t>, i dati utilizzati per il calcolo della pensione (T</w:t>
      </w:r>
      <w:r>
        <w:rPr>
          <w:rFonts w:ascii="Garamond" w:hAnsi="Garamond" w:cs="Segoe UI"/>
          <w:sz w:val="22"/>
          <w:szCs w:val="22"/>
          <w:lang w:val="it-IT"/>
        </w:rPr>
        <w:t xml:space="preserve">ar </w:t>
      </w:r>
      <w:r w:rsidRPr="005C7EF0">
        <w:rPr>
          <w:rFonts w:ascii="Garamond" w:hAnsi="Garamond" w:cs="Segoe UI"/>
          <w:sz w:val="22"/>
          <w:szCs w:val="22"/>
          <w:lang w:val="it-IT"/>
        </w:rPr>
        <w:t>Lecce</w:t>
      </w:r>
      <w:r>
        <w:rPr>
          <w:rFonts w:ascii="Garamond" w:hAnsi="Garamond" w:cs="Segoe UI"/>
          <w:sz w:val="22"/>
          <w:szCs w:val="22"/>
          <w:lang w:val="it-IT"/>
        </w:rPr>
        <w:t>,</w:t>
      </w:r>
      <w:r w:rsidRPr="005C7EF0">
        <w:rPr>
          <w:rFonts w:ascii="Garamond" w:hAnsi="Garamond" w:cs="Segoe UI"/>
          <w:sz w:val="22"/>
          <w:szCs w:val="22"/>
          <w:lang w:val="it-IT"/>
        </w:rPr>
        <w:t xml:space="preserve"> sez. II</w:t>
      </w:r>
      <w:r>
        <w:rPr>
          <w:rFonts w:ascii="Garamond" w:hAnsi="Garamond" w:cs="Segoe UI"/>
          <w:sz w:val="22"/>
          <w:szCs w:val="22"/>
          <w:lang w:val="it-IT"/>
        </w:rPr>
        <w:t>,</w:t>
      </w:r>
      <w:r w:rsidRPr="005C7EF0">
        <w:rPr>
          <w:rFonts w:ascii="Garamond" w:hAnsi="Garamond" w:cs="Segoe UI"/>
          <w:sz w:val="22"/>
          <w:szCs w:val="22"/>
          <w:lang w:val="it-IT"/>
        </w:rPr>
        <w:t xml:space="preserve"> 20</w:t>
      </w:r>
      <w:r>
        <w:rPr>
          <w:rFonts w:ascii="Garamond" w:hAnsi="Garamond" w:cs="Segoe UI"/>
          <w:sz w:val="22"/>
          <w:szCs w:val="22"/>
          <w:lang w:val="it-IT"/>
        </w:rPr>
        <w:t xml:space="preserve"> gennaio </w:t>
      </w:r>
      <w:r w:rsidRPr="005C7EF0">
        <w:rPr>
          <w:rFonts w:ascii="Garamond" w:hAnsi="Garamond" w:cs="Segoe UI"/>
          <w:sz w:val="22"/>
          <w:szCs w:val="22"/>
          <w:lang w:val="it-IT"/>
        </w:rPr>
        <w:t>2021, n. 94) oppure il dettaglio di ciascun rateo a lui spettante, con precisazione degli emolumenti già liquidati e di quelli ancora da erogare,</w:t>
      </w:r>
      <w:r>
        <w:rPr>
          <w:rFonts w:ascii="Garamond" w:hAnsi="Garamond" w:cs="Segoe UI"/>
          <w:sz w:val="22"/>
          <w:szCs w:val="22"/>
          <w:lang w:val="it-IT"/>
        </w:rPr>
        <w:t xml:space="preserve"> comprensivi degli accessori (Tar </w:t>
      </w:r>
      <w:r w:rsidRPr="005C7EF0">
        <w:rPr>
          <w:rFonts w:ascii="Garamond" w:hAnsi="Garamond" w:cs="Segoe UI"/>
          <w:sz w:val="22"/>
          <w:szCs w:val="22"/>
          <w:lang w:val="it-IT"/>
        </w:rPr>
        <w:t>Lecce</w:t>
      </w:r>
      <w:r>
        <w:rPr>
          <w:rFonts w:ascii="Garamond" w:hAnsi="Garamond" w:cs="Segoe UI"/>
          <w:sz w:val="22"/>
          <w:szCs w:val="22"/>
          <w:lang w:val="it-IT"/>
        </w:rPr>
        <w:t>,</w:t>
      </w:r>
      <w:r w:rsidRPr="005C7EF0">
        <w:rPr>
          <w:rFonts w:ascii="Garamond" w:hAnsi="Garamond" w:cs="Segoe UI"/>
          <w:sz w:val="22"/>
          <w:szCs w:val="22"/>
          <w:lang w:val="it-IT"/>
        </w:rPr>
        <w:t xml:space="preserve"> sez. II</w:t>
      </w:r>
      <w:r>
        <w:rPr>
          <w:rFonts w:ascii="Garamond" w:hAnsi="Garamond" w:cs="Segoe UI"/>
          <w:sz w:val="22"/>
          <w:szCs w:val="22"/>
          <w:lang w:val="it-IT"/>
        </w:rPr>
        <w:t>,</w:t>
      </w:r>
      <w:r w:rsidRPr="005C7EF0">
        <w:rPr>
          <w:rFonts w:ascii="Garamond" w:hAnsi="Garamond" w:cs="Segoe UI"/>
          <w:sz w:val="22"/>
          <w:szCs w:val="22"/>
          <w:lang w:val="it-IT"/>
        </w:rPr>
        <w:t xml:space="preserve"> 23</w:t>
      </w:r>
      <w:r>
        <w:rPr>
          <w:rFonts w:ascii="Garamond" w:hAnsi="Garamond" w:cs="Segoe UI"/>
          <w:sz w:val="22"/>
          <w:szCs w:val="22"/>
          <w:lang w:val="it-IT"/>
        </w:rPr>
        <w:t xml:space="preserve"> marzo </w:t>
      </w:r>
      <w:r w:rsidRPr="005C7EF0">
        <w:rPr>
          <w:rFonts w:ascii="Garamond" w:hAnsi="Garamond" w:cs="Segoe UI"/>
          <w:sz w:val="22"/>
          <w:szCs w:val="22"/>
          <w:lang w:val="it-IT"/>
        </w:rPr>
        <w:t xml:space="preserve">2018, n. 482). </w:t>
      </w:r>
      <w:r>
        <w:rPr>
          <w:rFonts w:ascii="Garamond" w:hAnsi="Garamond" w:cs="Segoe UI"/>
          <w:sz w:val="22"/>
          <w:szCs w:val="22"/>
          <w:lang w:val="it-IT"/>
        </w:rPr>
        <w:t xml:space="preserve">Più articolata è la posizione espressa da </w:t>
      </w:r>
      <w:r w:rsidRPr="005C7EF0">
        <w:rPr>
          <w:rFonts w:ascii="Garamond" w:hAnsi="Garamond" w:cs="Segoe UI"/>
          <w:sz w:val="22"/>
          <w:szCs w:val="22"/>
          <w:lang w:val="it-IT"/>
        </w:rPr>
        <w:t>Cons. St</w:t>
      </w:r>
      <w:r>
        <w:rPr>
          <w:rFonts w:ascii="Garamond" w:hAnsi="Garamond" w:cs="Segoe UI"/>
          <w:sz w:val="22"/>
          <w:szCs w:val="22"/>
          <w:lang w:val="it-IT"/>
        </w:rPr>
        <w:t xml:space="preserve">., sez. </w:t>
      </w:r>
      <w:r w:rsidRPr="005C7EF0">
        <w:rPr>
          <w:rFonts w:ascii="Garamond" w:hAnsi="Garamond" w:cs="Segoe UI"/>
          <w:sz w:val="22"/>
          <w:szCs w:val="22"/>
          <w:lang w:val="it-IT"/>
        </w:rPr>
        <w:t>V</w:t>
      </w:r>
      <w:r>
        <w:rPr>
          <w:rFonts w:ascii="Garamond" w:hAnsi="Garamond" w:cs="Segoe UI"/>
          <w:sz w:val="22"/>
          <w:szCs w:val="22"/>
          <w:lang w:val="it-IT"/>
        </w:rPr>
        <w:t>,</w:t>
      </w:r>
      <w:r w:rsidRPr="005C7EF0">
        <w:rPr>
          <w:rFonts w:ascii="Garamond" w:hAnsi="Garamond" w:cs="Segoe UI"/>
          <w:sz w:val="22"/>
          <w:szCs w:val="22"/>
          <w:lang w:val="it-IT"/>
        </w:rPr>
        <w:t xml:space="preserve"> 25</w:t>
      </w:r>
      <w:r>
        <w:rPr>
          <w:rFonts w:ascii="Garamond" w:hAnsi="Garamond" w:cs="Segoe UI"/>
          <w:sz w:val="22"/>
          <w:szCs w:val="22"/>
          <w:lang w:val="it-IT"/>
        </w:rPr>
        <w:t xml:space="preserve"> luglio </w:t>
      </w:r>
      <w:r w:rsidRPr="005C7EF0">
        <w:rPr>
          <w:rFonts w:ascii="Garamond" w:hAnsi="Garamond" w:cs="Segoe UI"/>
          <w:sz w:val="22"/>
          <w:szCs w:val="22"/>
          <w:lang w:val="it-IT"/>
        </w:rPr>
        <w:t xml:space="preserve">2019, n. 5256, </w:t>
      </w:r>
      <w:r>
        <w:rPr>
          <w:rFonts w:ascii="Garamond" w:hAnsi="Garamond" w:cs="Segoe UI"/>
          <w:sz w:val="22"/>
          <w:szCs w:val="22"/>
          <w:lang w:val="it-IT"/>
        </w:rPr>
        <w:t xml:space="preserve">per </w:t>
      </w:r>
      <w:r w:rsidRPr="005C7EF0">
        <w:rPr>
          <w:rFonts w:ascii="Garamond" w:hAnsi="Garamond" w:cs="Segoe UI"/>
          <w:sz w:val="22"/>
          <w:szCs w:val="22"/>
          <w:lang w:val="it-IT"/>
        </w:rPr>
        <w:t>il quale colui che partecipa ad un procedimento amministrativo ai sensi d</w:t>
      </w:r>
      <w:r>
        <w:rPr>
          <w:rFonts w:ascii="Garamond" w:hAnsi="Garamond" w:cs="Segoe UI"/>
          <w:sz w:val="22"/>
          <w:szCs w:val="22"/>
          <w:lang w:val="it-IT"/>
        </w:rPr>
        <w:t>ell’art. 10 legge</w:t>
      </w:r>
      <w:r w:rsidRPr="005C7EF0">
        <w:rPr>
          <w:rFonts w:ascii="Garamond" w:hAnsi="Garamond" w:cs="Segoe UI"/>
          <w:sz w:val="22"/>
          <w:szCs w:val="22"/>
          <w:lang w:val="it-IT"/>
        </w:rPr>
        <w:t xml:space="preserve"> </w:t>
      </w:r>
      <w:r>
        <w:rPr>
          <w:rFonts w:ascii="Garamond" w:hAnsi="Garamond" w:cs="Segoe UI"/>
          <w:sz w:val="22"/>
          <w:szCs w:val="22"/>
          <w:lang w:val="it-IT"/>
        </w:rPr>
        <w:t>n. 241 del 19</w:t>
      </w:r>
      <w:r w:rsidRPr="005C7EF0">
        <w:rPr>
          <w:rFonts w:ascii="Garamond" w:hAnsi="Garamond" w:cs="Segoe UI"/>
          <w:sz w:val="22"/>
          <w:szCs w:val="22"/>
          <w:lang w:val="it-IT"/>
        </w:rPr>
        <w:t xml:space="preserve">90 e che ha diritto </w:t>
      </w:r>
      <w:r w:rsidRPr="005C7EF0">
        <w:rPr>
          <w:rStyle w:val="Enfasigrassetto"/>
          <w:rFonts w:ascii="Garamond" w:hAnsi="Garamond" w:cs="Segoe UI"/>
          <w:b w:val="0"/>
          <w:color w:val="000000"/>
          <w:sz w:val="22"/>
          <w:szCs w:val="22"/>
          <w:lang w:val="it-IT"/>
        </w:rPr>
        <w:t xml:space="preserve">di conoscere l’”unità organizzativa competente” ed il “nominativo del responsabile del procedimento”, può </w:t>
      </w:r>
      <w:r>
        <w:rPr>
          <w:rStyle w:val="Enfasigrassetto"/>
          <w:rFonts w:ascii="Garamond" w:hAnsi="Garamond" w:cs="Segoe UI"/>
          <w:b w:val="0"/>
          <w:color w:val="000000"/>
          <w:sz w:val="22"/>
          <w:szCs w:val="22"/>
          <w:lang w:val="it-IT"/>
        </w:rPr>
        <w:t xml:space="preserve">farlo valere </w:t>
      </w:r>
      <w:r w:rsidRPr="005C7EF0">
        <w:rPr>
          <w:rFonts w:ascii="Garamond" w:hAnsi="Garamond" w:cs="Segoe UI"/>
          <w:sz w:val="22"/>
          <w:szCs w:val="22"/>
          <w:lang w:val="it-IT"/>
        </w:rPr>
        <w:t xml:space="preserve">mediante ricorso ex art. 116 </w:t>
      </w:r>
      <w:r>
        <w:rPr>
          <w:rFonts w:ascii="Garamond" w:hAnsi="Garamond" w:cs="Segoe UI"/>
          <w:sz w:val="22"/>
          <w:szCs w:val="22"/>
          <w:lang w:val="it-IT"/>
        </w:rPr>
        <w:t>c.p.a.</w:t>
      </w:r>
      <w:r w:rsidRPr="005C7EF0">
        <w:rPr>
          <w:rFonts w:ascii="Garamond" w:hAnsi="Garamond" w:cs="Segoe UI"/>
          <w:sz w:val="22"/>
          <w:szCs w:val="22"/>
          <w:lang w:val="it-IT"/>
        </w:rPr>
        <w:t>, trattandosi di accesso do</w:t>
      </w:r>
      <w:r>
        <w:rPr>
          <w:rFonts w:ascii="Garamond" w:hAnsi="Garamond" w:cs="Segoe UI"/>
          <w:sz w:val="22"/>
          <w:szCs w:val="22"/>
          <w:lang w:val="it-IT"/>
        </w:rPr>
        <w:t>cumentale ex legge n. 241 del 19</w:t>
      </w:r>
      <w:r w:rsidRPr="005C7EF0">
        <w:rPr>
          <w:rFonts w:ascii="Garamond" w:hAnsi="Garamond" w:cs="Segoe UI"/>
          <w:sz w:val="22"/>
          <w:szCs w:val="22"/>
          <w:lang w:val="it-IT"/>
        </w:rPr>
        <w:t>90</w:t>
      </w:r>
      <w:r>
        <w:rPr>
          <w:rFonts w:ascii="Garamond" w:hAnsi="Garamond" w:cs="Segoe UI"/>
          <w:sz w:val="22"/>
          <w:szCs w:val="22"/>
          <w:lang w:val="it-IT"/>
        </w:rPr>
        <w:t xml:space="preserve">, </w:t>
      </w:r>
      <w:r w:rsidRPr="005C7EF0">
        <w:rPr>
          <w:rFonts w:ascii="Garamond" w:hAnsi="Garamond" w:cs="Segoe UI"/>
          <w:sz w:val="22"/>
          <w:szCs w:val="22"/>
          <w:lang w:val="it-IT"/>
        </w:rPr>
        <w:t>con la precisazione che se, invece, il procedimento non è stato ancora avviato ed il responsabile non è stato ancora nominato, l’interessato dovrà attivare il rito del silenzio ai sensi dell’art. 117</w:t>
      </w:r>
      <w:r>
        <w:rPr>
          <w:rFonts w:ascii="Garamond" w:hAnsi="Garamond" w:cs="Segoe UI"/>
          <w:sz w:val="22"/>
          <w:szCs w:val="22"/>
          <w:lang w:val="it-IT"/>
        </w:rPr>
        <w:t xml:space="preserve"> c.p.a.</w:t>
      </w:r>
      <w:r w:rsidRPr="005C7EF0">
        <w:rPr>
          <w:rFonts w:ascii="Garamond" w:hAnsi="Garamond" w:cs="Segoe UI"/>
          <w:sz w:val="22"/>
          <w:szCs w:val="22"/>
          <w:lang w:val="it-I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1958F6"/>
    <w:multiLevelType w:val="hybridMultilevel"/>
    <w:tmpl w:val="81AC3770"/>
    <w:lvl w:ilvl="0" w:tplc="04100001">
      <w:start w:val="1"/>
      <w:numFmt w:val="bullet"/>
      <w:pStyle w:val="Titolo1"/>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pStyle w:val="Titolo4"/>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0CA37956"/>
    <w:multiLevelType w:val="hybridMultilevel"/>
    <w:tmpl w:val="A24257B8"/>
    <w:lvl w:ilvl="0" w:tplc="0410000F">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10EA1406"/>
    <w:multiLevelType w:val="hybridMultilevel"/>
    <w:tmpl w:val="61AC62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1544172E"/>
    <w:multiLevelType w:val="hybridMultilevel"/>
    <w:tmpl w:val="DF3824D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1E9B4FE2"/>
    <w:multiLevelType w:val="hybridMultilevel"/>
    <w:tmpl w:val="BE8ED92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1F414B62"/>
    <w:multiLevelType w:val="hybridMultilevel"/>
    <w:tmpl w:val="A310302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225556D2"/>
    <w:multiLevelType w:val="hybridMultilevel"/>
    <w:tmpl w:val="2124B18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261F2795"/>
    <w:multiLevelType w:val="hybridMultilevel"/>
    <w:tmpl w:val="AEA6BB3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2E4846A5"/>
    <w:multiLevelType w:val="multilevel"/>
    <w:tmpl w:val="C92EA89C"/>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0" w15:restartNumberingAfterBreak="0">
    <w:nsid w:val="359D0F82"/>
    <w:multiLevelType w:val="hybridMultilevel"/>
    <w:tmpl w:val="8A8E13E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3E674354"/>
    <w:multiLevelType w:val="hybridMultilevel"/>
    <w:tmpl w:val="1638EAB6"/>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4311182B"/>
    <w:multiLevelType w:val="hybridMultilevel"/>
    <w:tmpl w:val="AEACAA80"/>
    <w:lvl w:ilvl="0" w:tplc="04100001">
      <w:start w:val="1"/>
      <w:numFmt w:val="bullet"/>
      <w:lvlText w:val=""/>
      <w:lvlJc w:val="left"/>
      <w:pPr>
        <w:ind w:left="1334" w:hanging="360"/>
      </w:pPr>
      <w:rPr>
        <w:rFonts w:ascii="Symbol" w:hAnsi="Symbol" w:hint="default"/>
      </w:rPr>
    </w:lvl>
    <w:lvl w:ilvl="1" w:tplc="04100003" w:tentative="1">
      <w:start w:val="1"/>
      <w:numFmt w:val="bullet"/>
      <w:lvlText w:val="o"/>
      <w:lvlJc w:val="left"/>
      <w:pPr>
        <w:ind w:left="2054" w:hanging="360"/>
      </w:pPr>
      <w:rPr>
        <w:rFonts w:ascii="Courier New" w:hAnsi="Courier New" w:cs="Courier New" w:hint="default"/>
      </w:rPr>
    </w:lvl>
    <w:lvl w:ilvl="2" w:tplc="04100005" w:tentative="1">
      <w:start w:val="1"/>
      <w:numFmt w:val="bullet"/>
      <w:lvlText w:val=""/>
      <w:lvlJc w:val="left"/>
      <w:pPr>
        <w:ind w:left="2774" w:hanging="360"/>
      </w:pPr>
      <w:rPr>
        <w:rFonts w:ascii="Wingdings" w:hAnsi="Wingdings" w:hint="default"/>
      </w:rPr>
    </w:lvl>
    <w:lvl w:ilvl="3" w:tplc="04100001" w:tentative="1">
      <w:start w:val="1"/>
      <w:numFmt w:val="bullet"/>
      <w:lvlText w:val=""/>
      <w:lvlJc w:val="left"/>
      <w:pPr>
        <w:ind w:left="3494" w:hanging="360"/>
      </w:pPr>
      <w:rPr>
        <w:rFonts w:ascii="Symbol" w:hAnsi="Symbol" w:hint="default"/>
      </w:rPr>
    </w:lvl>
    <w:lvl w:ilvl="4" w:tplc="04100003" w:tentative="1">
      <w:start w:val="1"/>
      <w:numFmt w:val="bullet"/>
      <w:lvlText w:val="o"/>
      <w:lvlJc w:val="left"/>
      <w:pPr>
        <w:ind w:left="4214" w:hanging="360"/>
      </w:pPr>
      <w:rPr>
        <w:rFonts w:ascii="Courier New" w:hAnsi="Courier New" w:cs="Courier New" w:hint="default"/>
      </w:rPr>
    </w:lvl>
    <w:lvl w:ilvl="5" w:tplc="04100005" w:tentative="1">
      <w:start w:val="1"/>
      <w:numFmt w:val="bullet"/>
      <w:lvlText w:val=""/>
      <w:lvlJc w:val="left"/>
      <w:pPr>
        <w:ind w:left="4934" w:hanging="360"/>
      </w:pPr>
      <w:rPr>
        <w:rFonts w:ascii="Wingdings" w:hAnsi="Wingdings" w:hint="default"/>
      </w:rPr>
    </w:lvl>
    <w:lvl w:ilvl="6" w:tplc="04100001" w:tentative="1">
      <w:start w:val="1"/>
      <w:numFmt w:val="bullet"/>
      <w:lvlText w:val=""/>
      <w:lvlJc w:val="left"/>
      <w:pPr>
        <w:ind w:left="5654" w:hanging="360"/>
      </w:pPr>
      <w:rPr>
        <w:rFonts w:ascii="Symbol" w:hAnsi="Symbol" w:hint="default"/>
      </w:rPr>
    </w:lvl>
    <w:lvl w:ilvl="7" w:tplc="04100003" w:tentative="1">
      <w:start w:val="1"/>
      <w:numFmt w:val="bullet"/>
      <w:lvlText w:val="o"/>
      <w:lvlJc w:val="left"/>
      <w:pPr>
        <w:ind w:left="6374" w:hanging="360"/>
      </w:pPr>
      <w:rPr>
        <w:rFonts w:ascii="Courier New" w:hAnsi="Courier New" w:cs="Courier New" w:hint="default"/>
      </w:rPr>
    </w:lvl>
    <w:lvl w:ilvl="8" w:tplc="04100005" w:tentative="1">
      <w:start w:val="1"/>
      <w:numFmt w:val="bullet"/>
      <w:lvlText w:val=""/>
      <w:lvlJc w:val="left"/>
      <w:pPr>
        <w:ind w:left="7094" w:hanging="360"/>
      </w:pPr>
      <w:rPr>
        <w:rFonts w:ascii="Wingdings" w:hAnsi="Wingdings" w:hint="default"/>
      </w:rPr>
    </w:lvl>
  </w:abstractNum>
  <w:abstractNum w:abstractNumId="13" w15:restartNumberingAfterBreak="0">
    <w:nsid w:val="44C155CC"/>
    <w:multiLevelType w:val="hybridMultilevel"/>
    <w:tmpl w:val="8A3ECECA"/>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4" w15:restartNumberingAfterBreak="0">
    <w:nsid w:val="4C452FB6"/>
    <w:multiLevelType w:val="hybridMultilevel"/>
    <w:tmpl w:val="C3B8EED8"/>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Courier New"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Courier New" w:hint="default"/>
      </w:rPr>
    </w:lvl>
    <w:lvl w:ilvl="8" w:tplc="04100005">
      <w:start w:val="1"/>
      <w:numFmt w:val="bullet"/>
      <w:lvlText w:val=""/>
      <w:lvlJc w:val="left"/>
      <w:pPr>
        <w:ind w:left="7047" w:hanging="360"/>
      </w:pPr>
      <w:rPr>
        <w:rFonts w:ascii="Wingdings" w:hAnsi="Wingdings" w:hint="default"/>
      </w:rPr>
    </w:lvl>
  </w:abstractNum>
  <w:abstractNum w:abstractNumId="15" w15:restartNumberingAfterBreak="0">
    <w:nsid w:val="4D1B3966"/>
    <w:multiLevelType w:val="hybridMultilevel"/>
    <w:tmpl w:val="70109702"/>
    <w:lvl w:ilvl="0" w:tplc="18B40B78">
      <w:start w:val="1"/>
      <w:numFmt w:val="upperRoman"/>
      <w:lvlText w:val="%1)"/>
      <w:lvlJc w:val="left"/>
      <w:pPr>
        <w:ind w:left="1287" w:hanging="720"/>
      </w:pPr>
      <w:rPr>
        <w:rFonts w:eastAsiaTheme="minorEastAsia" w:hint="default"/>
        <w:b/>
        <w:color w:val="1F497D" w:themeColor="text2"/>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6" w15:restartNumberingAfterBreak="0">
    <w:nsid w:val="667B50CA"/>
    <w:multiLevelType w:val="hybridMultilevel"/>
    <w:tmpl w:val="A1EA2F4E"/>
    <w:lvl w:ilvl="0" w:tplc="5E1EFCFA">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6915066B"/>
    <w:multiLevelType w:val="hybridMultilevel"/>
    <w:tmpl w:val="BB38C48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70D14FA2"/>
    <w:multiLevelType w:val="hybridMultilevel"/>
    <w:tmpl w:val="C458D8E6"/>
    <w:lvl w:ilvl="0" w:tplc="EE9A149A">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71A46D68"/>
    <w:multiLevelType w:val="hybridMultilevel"/>
    <w:tmpl w:val="C8DAFEA6"/>
    <w:lvl w:ilvl="0" w:tplc="04100001">
      <w:start w:val="1"/>
      <w:numFmt w:val="bullet"/>
      <w:lvlText w:val=""/>
      <w:lvlJc w:val="left"/>
      <w:pPr>
        <w:ind w:left="1334" w:hanging="360"/>
      </w:pPr>
      <w:rPr>
        <w:rFonts w:ascii="Symbol" w:hAnsi="Symbol" w:hint="default"/>
      </w:rPr>
    </w:lvl>
    <w:lvl w:ilvl="1" w:tplc="04100003" w:tentative="1">
      <w:start w:val="1"/>
      <w:numFmt w:val="bullet"/>
      <w:lvlText w:val="o"/>
      <w:lvlJc w:val="left"/>
      <w:pPr>
        <w:ind w:left="2054" w:hanging="360"/>
      </w:pPr>
      <w:rPr>
        <w:rFonts w:ascii="Courier New" w:hAnsi="Courier New" w:cs="Courier New" w:hint="default"/>
      </w:rPr>
    </w:lvl>
    <w:lvl w:ilvl="2" w:tplc="04100005" w:tentative="1">
      <w:start w:val="1"/>
      <w:numFmt w:val="bullet"/>
      <w:lvlText w:val=""/>
      <w:lvlJc w:val="left"/>
      <w:pPr>
        <w:ind w:left="2774" w:hanging="360"/>
      </w:pPr>
      <w:rPr>
        <w:rFonts w:ascii="Wingdings" w:hAnsi="Wingdings" w:hint="default"/>
      </w:rPr>
    </w:lvl>
    <w:lvl w:ilvl="3" w:tplc="04100001" w:tentative="1">
      <w:start w:val="1"/>
      <w:numFmt w:val="bullet"/>
      <w:lvlText w:val=""/>
      <w:lvlJc w:val="left"/>
      <w:pPr>
        <w:ind w:left="3494" w:hanging="360"/>
      </w:pPr>
      <w:rPr>
        <w:rFonts w:ascii="Symbol" w:hAnsi="Symbol" w:hint="default"/>
      </w:rPr>
    </w:lvl>
    <w:lvl w:ilvl="4" w:tplc="04100003" w:tentative="1">
      <w:start w:val="1"/>
      <w:numFmt w:val="bullet"/>
      <w:lvlText w:val="o"/>
      <w:lvlJc w:val="left"/>
      <w:pPr>
        <w:ind w:left="4214" w:hanging="360"/>
      </w:pPr>
      <w:rPr>
        <w:rFonts w:ascii="Courier New" w:hAnsi="Courier New" w:cs="Courier New" w:hint="default"/>
      </w:rPr>
    </w:lvl>
    <w:lvl w:ilvl="5" w:tplc="04100005" w:tentative="1">
      <w:start w:val="1"/>
      <w:numFmt w:val="bullet"/>
      <w:lvlText w:val=""/>
      <w:lvlJc w:val="left"/>
      <w:pPr>
        <w:ind w:left="4934" w:hanging="360"/>
      </w:pPr>
      <w:rPr>
        <w:rFonts w:ascii="Wingdings" w:hAnsi="Wingdings" w:hint="default"/>
      </w:rPr>
    </w:lvl>
    <w:lvl w:ilvl="6" w:tplc="04100001" w:tentative="1">
      <w:start w:val="1"/>
      <w:numFmt w:val="bullet"/>
      <w:lvlText w:val=""/>
      <w:lvlJc w:val="left"/>
      <w:pPr>
        <w:ind w:left="5654" w:hanging="360"/>
      </w:pPr>
      <w:rPr>
        <w:rFonts w:ascii="Symbol" w:hAnsi="Symbol" w:hint="default"/>
      </w:rPr>
    </w:lvl>
    <w:lvl w:ilvl="7" w:tplc="04100003" w:tentative="1">
      <w:start w:val="1"/>
      <w:numFmt w:val="bullet"/>
      <w:lvlText w:val="o"/>
      <w:lvlJc w:val="left"/>
      <w:pPr>
        <w:ind w:left="6374" w:hanging="360"/>
      </w:pPr>
      <w:rPr>
        <w:rFonts w:ascii="Courier New" w:hAnsi="Courier New" w:cs="Courier New" w:hint="default"/>
      </w:rPr>
    </w:lvl>
    <w:lvl w:ilvl="8" w:tplc="04100005" w:tentative="1">
      <w:start w:val="1"/>
      <w:numFmt w:val="bullet"/>
      <w:lvlText w:val=""/>
      <w:lvlJc w:val="left"/>
      <w:pPr>
        <w:ind w:left="7094" w:hanging="360"/>
      </w:pPr>
      <w:rPr>
        <w:rFonts w:ascii="Wingdings" w:hAnsi="Wingdings" w:hint="default"/>
      </w:rPr>
    </w:lvl>
  </w:abstractNum>
  <w:abstractNum w:abstractNumId="20" w15:restartNumberingAfterBreak="0">
    <w:nsid w:val="7CEE1ABD"/>
    <w:multiLevelType w:val="hybridMultilevel"/>
    <w:tmpl w:val="303E3E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1"/>
  </w:num>
  <w:num w:numId="2">
    <w:abstractNumId w:val="20"/>
  </w:num>
  <w:num w:numId="3">
    <w:abstractNumId w:val="19"/>
  </w:num>
  <w:num w:numId="4">
    <w:abstractNumId w:val="12"/>
  </w:num>
  <w:num w:numId="5">
    <w:abstractNumId w:val="6"/>
  </w:num>
  <w:num w:numId="6">
    <w:abstractNumId w:val="17"/>
  </w:num>
  <w:num w:numId="7">
    <w:abstractNumId w:val="2"/>
  </w:num>
  <w:num w:numId="8">
    <w:abstractNumId w:val="18"/>
  </w:num>
  <w:num w:numId="9">
    <w:abstractNumId w:val="11"/>
  </w:num>
  <w:num w:numId="10">
    <w:abstractNumId w:val="15"/>
  </w:num>
  <w:num w:numId="11">
    <w:abstractNumId w:val="10"/>
  </w:num>
  <w:num w:numId="12">
    <w:abstractNumId w:val="8"/>
  </w:num>
  <w:num w:numId="13">
    <w:abstractNumId w:val="7"/>
  </w:num>
  <w:num w:numId="14">
    <w:abstractNumId w:val="16"/>
  </w:num>
  <w:num w:numId="15">
    <w:abstractNumId w:val="5"/>
  </w:num>
  <w:num w:numId="16">
    <w:abstractNumId w:val="4"/>
  </w:num>
  <w:num w:numId="17">
    <w:abstractNumId w:val="0"/>
  </w:num>
  <w:num w:numId="18">
    <w:abstractNumId w:val="13"/>
  </w:num>
  <w:num w:numId="19">
    <w:abstractNumId w:val="14"/>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CC"/>
    <w:rsid w:val="00004D7E"/>
    <w:rsid w:val="00006926"/>
    <w:rsid w:val="0000736E"/>
    <w:rsid w:val="00007744"/>
    <w:rsid w:val="00016BA1"/>
    <w:rsid w:val="000178DD"/>
    <w:rsid w:val="00020D99"/>
    <w:rsid w:val="000217C9"/>
    <w:rsid w:val="00023A80"/>
    <w:rsid w:val="00023D48"/>
    <w:rsid w:val="00023ED4"/>
    <w:rsid w:val="00024885"/>
    <w:rsid w:val="0003022E"/>
    <w:rsid w:val="000328DE"/>
    <w:rsid w:val="000415AE"/>
    <w:rsid w:val="00042125"/>
    <w:rsid w:val="00043B4D"/>
    <w:rsid w:val="00045D88"/>
    <w:rsid w:val="00047C30"/>
    <w:rsid w:val="00047D98"/>
    <w:rsid w:val="00050080"/>
    <w:rsid w:val="000505BF"/>
    <w:rsid w:val="00050C97"/>
    <w:rsid w:val="00053B7D"/>
    <w:rsid w:val="00055197"/>
    <w:rsid w:val="0005553C"/>
    <w:rsid w:val="00057C6D"/>
    <w:rsid w:val="00062D84"/>
    <w:rsid w:val="00062FE1"/>
    <w:rsid w:val="00070647"/>
    <w:rsid w:val="0007279B"/>
    <w:rsid w:val="00081BF8"/>
    <w:rsid w:val="00085101"/>
    <w:rsid w:val="000866F1"/>
    <w:rsid w:val="000869F0"/>
    <w:rsid w:val="00087DA8"/>
    <w:rsid w:val="00090100"/>
    <w:rsid w:val="00090D4C"/>
    <w:rsid w:val="00092284"/>
    <w:rsid w:val="0009250F"/>
    <w:rsid w:val="00093023"/>
    <w:rsid w:val="0009366F"/>
    <w:rsid w:val="00093E77"/>
    <w:rsid w:val="000958B9"/>
    <w:rsid w:val="000A0487"/>
    <w:rsid w:val="000A08F8"/>
    <w:rsid w:val="000A2533"/>
    <w:rsid w:val="000A2D6C"/>
    <w:rsid w:val="000A3189"/>
    <w:rsid w:val="000A3199"/>
    <w:rsid w:val="000A394C"/>
    <w:rsid w:val="000A3F3D"/>
    <w:rsid w:val="000A6900"/>
    <w:rsid w:val="000B4725"/>
    <w:rsid w:val="000B7320"/>
    <w:rsid w:val="000B7427"/>
    <w:rsid w:val="000B7919"/>
    <w:rsid w:val="000C0567"/>
    <w:rsid w:val="000C0DCE"/>
    <w:rsid w:val="000C1A68"/>
    <w:rsid w:val="000C20FA"/>
    <w:rsid w:val="000C2897"/>
    <w:rsid w:val="000C3D11"/>
    <w:rsid w:val="000C41D5"/>
    <w:rsid w:val="000C53D6"/>
    <w:rsid w:val="000C5E8B"/>
    <w:rsid w:val="000C63AE"/>
    <w:rsid w:val="000C7AB4"/>
    <w:rsid w:val="000D07D2"/>
    <w:rsid w:val="000D3B91"/>
    <w:rsid w:val="000D41F7"/>
    <w:rsid w:val="000D7595"/>
    <w:rsid w:val="000D7BA6"/>
    <w:rsid w:val="000E013E"/>
    <w:rsid w:val="000E18B1"/>
    <w:rsid w:val="000E1A39"/>
    <w:rsid w:val="000E421C"/>
    <w:rsid w:val="000E477A"/>
    <w:rsid w:val="000E609F"/>
    <w:rsid w:val="000E6928"/>
    <w:rsid w:val="000E76BE"/>
    <w:rsid w:val="000F46F9"/>
    <w:rsid w:val="000F6896"/>
    <w:rsid w:val="000F7B48"/>
    <w:rsid w:val="001026B2"/>
    <w:rsid w:val="00103E8B"/>
    <w:rsid w:val="00105514"/>
    <w:rsid w:val="001056DA"/>
    <w:rsid w:val="00105822"/>
    <w:rsid w:val="001066A5"/>
    <w:rsid w:val="00107DD0"/>
    <w:rsid w:val="00110C38"/>
    <w:rsid w:val="00112ACF"/>
    <w:rsid w:val="0012123E"/>
    <w:rsid w:val="00121827"/>
    <w:rsid w:val="00126573"/>
    <w:rsid w:val="00127D0A"/>
    <w:rsid w:val="00130E5D"/>
    <w:rsid w:val="00132E03"/>
    <w:rsid w:val="0013536D"/>
    <w:rsid w:val="0013591F"/>
    <w:rsid w:val="00140A22"/>
    <w:rsid w:val="00142544"/>
    <w:rsid w:val="0014476A"/>
    <w:rsid w:val="00144BCE"/>
    <w:rsid w:val="00146893"/>
    <w:rsid w:val="001474BD"/>
    <w:rsid w:val="00147D01"/>
    <w:rsid w:val="001506E2"/>
    <w:rsid w:val="00150BDC"/>
    <w:rsid w:val="00153230"/>
    <w:rsid w:val="00155AC2"/>
    <w:rsid w:val="001608E0"/>
    <w:rsid w:val="001619D4"/>
    <w:rsid w:val="00161EE9"/>
    <w:rsid w:val="0016246E"/>
    <w:rsid w:val="0016674A"/>
    <w:rsid w:val="00166B87"/>
    <w:rsid w:val="00172705"/>
    <w:rsid w:val="0017272E"/>
    <w:rsid w:val="0017487D"/>
    <w:rsid w:val="00174AAE"/>
    <w:rsid w:val="00174DFD"/>
    <w:rsid w:val="001803D4"/>
    <w:rsid w:val="00180DD3"/>
    <w:rsid w:val="001830BF"/>
    <w:rsid w:val="001850B8"/>
    <w:rsid w:val="00185C27"/>
    <w:rsid w:val="00186951"/>
    <w:rsid w:val="00187583"/>
    <w:rsid w:val="00192BC0"/>
    <w:rsid w:val="00193900"/>
    <w:rsid w:val="001950E3"/>
    <w:rsid w:val="0019779C"/>
    <w:rsid w:val="001978E5"/>
    <w:rsid w:val="00197F13"/>
    <w:rsid w:val="001A0396"/>
    <w:rsid w:val="001A0F68"/>
    <w:rsid w:val="001A25CC"/>
    <w:rsid w:val="001A3CD0"/>
    <w:rsid w:val="001A4D72"/>
    <w:rsid w:val="001A535A"/>
    <w:rsid w:val="001A6E06"/>
    <w:rsid w:val="001B2D5D"/>
    <w:rsid w:val="001B2EB7"/>
    <w:rsid w:val="001B511C"/>
    <w:rsid w:val="001C5A7D"/>
    <w:rsid w:val="001D02E1"/>
    <w:rsid w:val="001D37A6"/>
    <w:rsid w:val="001D3A5C"/>
    <w:rsid w:val="001D4901"/>
    <w:rsid w:val="001D5489"/>
    <w:rsid w:val="001D6135"/>
    <w:rsid w:val="001D6C9D"/>
    <w:rsid w:val="001E045E"/>
    <w:rsid w:val="001E1FCC"/>
    <w:rsid w:val="001E3195"/>
    <w:rsid w:val="001E558F"/>
    <w:rsid w:val="001E70BF"/>
    <w:rsid w:val="001E71A6"/>
    <w:rsid w:val="001E7425"/>
    <w:rsid w:val="001F07C3"/>
    <w:rsid w:val="001F0D5E"/>
    <w:rsid w:val="001F1259"/>
    <w:rsid w:val="001F1BEE"/>
    <w:rsid w:val="001F3797"/>
    <w:rsid w:val="001F5CDF"/>
    <w:rsid w:val="001F5FFC"/>
    <w:rsid w:val="00200628"/>
    <w:rsid w:val="002057A6"/>
    <w:rsid w:val="00205C85"/>
    <w:rsid w:val="002064A8"/>
    <w:rsid w:val="0020707F"/>
    <w:rsid w:val="00210007"/>
    <w:rsid w:val="002111AE"/>
    <w:rsid w:val="002124AC"/>
    <w:rsid w:val="00215842"/>
    <w:rsid w:val="00217779"/>
    <w:rsid w:val="002209CF"/>
    <w:rsid w:val="00221CEE"/>
    <w:rsid w:val="00224824"/>
    <w:rsid w:val="00225BC1"/>
    <w:rsid w:val="00231AA0"/>
    <w:rsid w:val="00233005"/>
    <w:rsid w:val="00233981"/>
    <w:rsid w:val="002364FE"/>
    <w:rsid w:val="00236507"/>
    <w:rsid w:val="00240996"/>
    <w:rsid w:val="002420AD"/>
    <w:rsid w:val="002431B9"/>
    <w:rsid w:val="00243F49"/>
    <w:rsid w:val="002457DA"/>
    <w:rsid w:val="002519DD"/>
    <w:rsid w:val="002530F1"/>
    <w:rsid w:val="00253182"/>
    <w:rsid w:val="00253DB9"/>
    <w:rsid w:val="00261DF3"/>
    <w:rsid w:val="00262448"/>
    <w:rsid w:val="00262805"/>
    <w:rsid w:val="00264E02"/>
    <w:rsid w:val="00270C24"/>
    <w:rsid w:val="00274042"/>
    <w:rsid w:val="00276732"/>
    <w:rsid w:val="00277401"/>
    <w:rsid w:val="00277E32"/>
    <w:rsid w:val="00281715"/>
    <w:rsid w:val="00281D54"/>
    <w:rsid w:val="00283A88"/>
    <w:rsid w:val="002861A7"/>
    <w:rsid w:val="0028750C"/>
    <w:rsid w:val="002916A6"/>
    <w:rsid w:val="00292619"/>
    <w:rsid w:val="00292F46"/>
    <w:rsid w:val="00294B18"/>
    <w:rsid w:val="00296E0F"/>
    <w:rsid w:val="002A0C5F"/>
    <w:rsid w:val="002A1DC7"/>
    <w:rsid w:val="002A2847"/>
    <w:rsid w:val="002A4071"/>
    <w:rsid w:val="002A40C0"/>
    <w:rsid w:val="002A42E6"/>
    <w:rsid w:val="002A5DED"/>
    <w:rsid w:val="002A7621"/>
    <w:rsid w:val="002B03FA"/>
    <w:rsid w:val="002B0D0E"/>
    <w:rsid w:val="002B1A2A"/>
    <w:rsid w:val="002B542F"/>
    <w:rsid w:val="002B5FCD"/>
    <w:rsid w:val="002B62CA"/>
    <w:rsid w:val="002B740E"/>
    <w:rsid w:val="002B7E3F"/>
    <w:rsid w:val="002C06AA"/>
    <w:rsid w:val="002C3D98"/>
    <w:rsid w:val="002C4178"/>
    <w:rsid w:val="002D04E6"/>
    <w:rsid w:val="002D06CF"/>
    <w:rsid w:val="002D2CE6"/>
    <w:rsid w:val="002D365F"/>
    <w:rsid w:val="002D61BD"/>
    <w:rsid w:val="002D6460"/>
    <w:rsid w:val="002D6B1D"/>
    <w:rsid w:val="002E042D"/>
    <w:rsid w:val="002E1388"/>
    <w:rsid w:val="002E1A6B"/>
    <w:rsid w:val="002E1E9E"/>
    <w:rsid w:val="002E1FEA"/>
    <w:rsid w:val="002E21B5"/>
    <w:rsid w:val="002E6E86"/>
    <w:rsid w:val="002E77C6"/>
    <w:rsid w:val="002F0D0C"/>
    <w:rsid w:val="002F2539"/>
    <w:rsid w:val="002F59DD"/>
    <w:rsid w:val="002F6826"/>
    <w:rsid w:val="002F70C4"/>
    <w:rsid w:val="003013BA"/>
    <w:rsid w:val="00304475"/>
    <w:rsid w:val="00305B4B"/>
    <w:rsid w:val="00307EFD"/>
    <w:rsid w:val="00310890"/>
    <w:rsid w:val="00313C96"/>
    <w:rsid w:val="00315238"/>
    <w:rsid w:val="00315BD1"/>
    <w:rsid w:val="00317D7C"/>
    <w:rsid w:val="003210CC"/>
    <w:rsid w:val="003239E9"/>
    <w:rsid w:val="00326ECE"/>
    <w:rsid w:val="00330E45"/>
    <w:rsid w:val="003325F6"/>
    <w:rsid w:val="003333BA"/>
    <w:rsid w:val="003355DD"/>
    <w:rsid w:val="00335AEC"/>
    <w:rsid w:val="00340F2D"/>
    <w:rsid w:val="003449E8"/>
    <w:rsid w:val="0034697C"/>
    <w:rsid w:val="00347693"/>
    <w:rsid w:val="0034789E"/>
    <w:rsid w:val="00350C28"/>
    <w:rsid w:val="003536D7"/>
    <w:rsid w:val="00353F77"/>
    <w:rsid w:val="003543ED"/>
    <w:rsid w:val="00355D33"/>
    <w:rsid w:val="00362159"/>
    <w:rsid w:val="00366A7A"/>
    <w:rsid w:val="003675C7"/>
    <w:rsid w:val="00370833"/>
    <w:rsid w:val="00370BD8"/>
    <w:rsid w:val="00370C6E"/>
    <w:rsid w:val="00370CB1"/>
    <w:rsid w:val="003726FF"/>
    <w:rsid w:val="0037707D"/>
    <w:rsid w:val="003771F5"/>
    <w:rsid w:val="00377E62"/>
    <w:rsid w:val="0038126B"/>
    <w:rsid w:val="00385597"/>
    <w:rsid w:val="003871B2"/>
    <w:rsid w:val="00391896"/>
    <w:rsid w:val="003920C9"/>
    <w:rsid w:val="0039286E"/>
    <w:rsid w:val="00393893"/>
    <w:rsid w:val="00395842"/>
    <w:rsid w:val="00396360"/>
    <w:rsid w:val="003978E6"/>
    <w:rsid w:val="00397A2C"/>
    <w:rsid w:val="003A07CE"/>
    <w:rsid w:val="003A2264"/>
    <w:rsid w:val="003A35A6"/>
    <w:rsid w:val="003B0A93"/>
    <w:rsid w:val="003B4922"/>
    <w:rsid w:val="003B5463"/>
    <w:rsid w:val="003B6327"/>
    <w:rsid w:val="003B76F6"/>
    <w:rsid w:val="003C1BFD"/>
    <w:rsid w:val="003C1E9C"/>
    <w:rsid w:val="003C4C10"/>
    <w:rsid w:val="003C5071"/>
    <w:rsid w:val="003D2A15"/>
    <w:rsid w:val="003D3D42"/>
    <w:rsid w:val="003D6A49"/>
    <w:rsid w:val="003D73B9"/>
    <w:rsid w:val="003E0F9F"/>
    <w:rsid w:val="003E170A"/>
    <w:rsid w:val="003E2186"/>
    <w:rsid w:val="003E53BF"/>
    <w:rsid w:val="003E6F3F"/>
    <w:rsid w:val="003E7BD2"/>
    <w:rsid w:val="003E7F5E"/>
    <w:rsid w:val="003F02F9"/>
    <w:rsid w:val="003F0408"/>
    <w:rsid w:val="003F3041"/>
    <w:rsid w:val="003F40E6"/>
    <w:rsid w:val="003F59AB"/>
    <w:rsid w:val="003F5C30"/>
    <w:rsid w:val="00400307"/>
    <w:rsid w:val="0040110F"/>
    <w:rsid w:val="0040208D"/>
    <w:rsid w:val="004021DC"/>
    <w:rsid w:val="004057A0"/>
    <w:rsid w:val="00406353"/>
    <w:rsid w:val="00407A34"/>
    <w:rsid w:val="00416B15"/>
    <w:rsid w:val="004200FA"/>
    <w:rsid w:val="00420876"/>
    <w:rsid w:val="00420DC2"/>
    <w:rsid w:val="00423104"/>
    <w:rsid w:val="00423678"/>
    <w:rsid w:val="00424AAB"/>
    <w:rsid w:val="00424BD8"/>
    <w:rsid w:val="00425CCD"/>
    <w:rsid w:val="0042659F"/>
    <w:rsid w:val="00427F6B"/>
    <w:rsid w:val="00435642"/>
    <w:rsid w:val="00440D28"/>
    <w:rsid w:val="0044122C"/>
    <w:rsid w:val="00442640"/>
    <w:rsid w:val="00443C5A"/>
    <w:rsid w:val="004504DC"/>
    <w:rsid w:val="0045073C"/>
    <w:rsid w:val="004519BD"/>
    <w:rsid w:val="00451A74"/>
    <w:rsid w:val="00452649"/>
    <w:rsid w:val="00452A99"/>
    <w:rsid w:val="00455BF6"/>
    <w:rsid w:val="004619EC"/>
    <w:rsid w:val="004622FB"/>
    <w:rsid w:val="0046274D"/>
    <w:rsid w:val="00463DCF"/>
    <w:rsid w:val="004667C9"/>
    <w:rsid w:val="00467B99"/>
    <w:rsid w:val="00471EC2"/>
    <w:rsid w:val="00473146"/>
    <w:rsid w:val="00474D5A"/>
    <w:rsid w:val="00474E74"/>
    <w:rsid w:val="004764EF"/>
    <w:rsid w:val="00477A16"/>
    <w:rsid w:val="00483623"/>
    <w:rsid w:val="00485A9B"/>
    <w:rsid w:val="00486E70"/>
    <w:rsid w:val="00487F9E"/>
    <w:rsid w:val="00490DF2"/>
    <w:rsid w:val="00497138"/>
    <w:rsid w:val="00497ACF"/>
    <w:rsid w:val="00497B78"/>
    <w:rsid w:val="004A0338"/>
    <w:rsid w:val="004A0657"/>
    <w:rsid w:val="004A1A52"/>
    <w:rsid w:val="004A3991"/>
    <w:rsid w:val="004A5049"/>
    <w:rsid w:val="004A6C1E"/>
    <w:rsid w:val="004A7938"/>
    <w:rsid w:val="004A79F5"/>
    <w:rsid w:val="004B05C9"/>
    <w:rsid w:val="004B2BE0"/>
    <w:rsid w:val="004B39A1"/>
    <w:rsid w:val="004B3E7E"/>
    <w:rsid w:val="004B487D"/>
    <w:rsid w:val="004B5033"/>
    <w:rsid w:val="004B735E"/>
    <w:rsid w:val="004C01F3"/>
    <w:rsid w:val="004C2E2A"/>
    <w:rsid w:val="004C3AD8"/>
    <w:rsid w:val="004C5E86"/>
    <w:rsid w:val="004C629C"/>
    <w:rsid w:val="004D11E7"/>
    <w:rsid w:val="004D1E92"/>
    <w:rsid w:val="004D2ACE"/>
    <w:rsid w:val="004D2E68"/>
    <w:rsid w:val="004D35E0"/>
    <w:rsid w:val="004D4A90"/>
    <w:rsid w:val="004D4DE6"/>
    <w:rsid w:val="004D52E5"/>
    <w:rsid w:val="004E2C4F"/>
    <w:rsid w:val="004E3186"/>
    <w:rsid w:val="004E3A17"/>
    <w:rsid w:val="004E4417"/>
    <w:rsid w:val="004E4A25"/>
    <w:rsid w:val="004E4BD8"/>
    <w:rsid w:val="004F2496"/>
    <w:rsid w:val="004F2E6D"/>
    <w:rsid w:val="004F3224"/>
    <w:rsid w:val="004F3732"/>
    <w:rsid w:val="004F3A14"/>
    <w:rsid w:val="004F4AD5"/>
    <w:rsid w:val="004F5C90"/>
    <w:rsid w:val="004F623B"/>
    <w:rsid w:val="004F7473"/>
    <w:rsid w:val="005003C4"/>
    <w:rsid w:val="0050290B"/>
    <w:rsid w:val="0050390D"/>
    <w:rsid w:val="00504762"/>
    <w:rsid w:val="00504CD9"/>
    <w:rsid w:val="00505D16"/>
    <w:rsid w:val="005068BF"/>
    <w:rsid w:val="005068EB"/>
    <w:rsid w:val="00506C7E"/>
    <w:rsid w:val="005074CC"/>
    <w:rsid w:val="005104A9"/>
    <w:rsid w:val="005153A2"/>
    <w:rsid w:val="0052012D"/>
    <w:rsid w:val="00521ECC"/>
    <w:rsid w:val="00522FC0"/>
    <w:rsid w:val="00524739"/>
    <w:rsid w:val="005301F7"/>
    <w:rsid w:val="005302B7"/>
    <w:rsid w:val="0053233F"/>
    <w:rsid w:val="00534BCA"/>
    <w:rsid w:val="00541348"/>
    <w:rsid w:val="00541FC3"/>
    <w:rsid w:val="0054246A"/>
    <w:rsid w:val="005427F7"/>
    <w:rsid w:val="00542E71"/>
    <w:rsid w:val="00545989"/>
    <w:rsid w:val="0055096C"/>
    <w:rsid w:val="0055214A"/>
    <w:rsid w:val="0055559E"/>
    <w:rsid w:val="005565AE"/>
    <w:rsid w:val="005567A7"/>
    <w:rsid w:val="005568FC"/>
    <w:rsid w:val="0055792A"/>
    <w:rsid w:val="00557AD0"/>
    <w:rsid w:val="005606BF"/>
    <w:rsid w:val="00561242"/>
    <w:rsid w:val="00561326"/>
    <w:rsid w:val="0056174A"/>
    <w:rsid w:val="0056403D"/>
    <w:rsid w:val="00567B77"/>
    <w:rsid w:val="00570889"/>
    <w:rsid w:val="00570FDF"/>
    <w:rsid w:val="00575125"/>
    <w:rsid w:val="005753EB"/>
    <w:rsid w:val="0057590B"/>
    <w:rsid w:val="00575A2A"/>
    <w:rsid w:val="00577F55"/>
    <w:rsid w:val="005815F2"/>
    <w:rsid w:val="00582509"/>
    <w:rsid w:val="00597D97"/>
    <w:rsid w:val="00597E7A"/>
    <w:rsid w:val="005A06B8"/>
    <w:rsid w:val="005A2189"/>
    <w:rsid w:val="005A46AB"/>
    <w:rsid w:val="005A5BCC"/>
    <w:rsid w:val="005A70DC"/>
    <w:rsid w:val="005A735C"/>
    <w:rsid w:val="005A75D0"/>
    <w:rsid w:val="005B1828"/>
    <w:rsid w:val="005B1C38"/>
    <w:rsid w:val="005B1F05"/>
    <w:rsid w:val="005B37BF"/>
    <w:rsid w:val="005B40FC"/>
    <w:rsid w:val="005B5098"/>
    <w:rsid w:val="005B5E05"/>
    <w:rsid w:val="005B67AE"/>
    <w:rsid w:val="005B741A"/>
    <w:rsid w:val="005C0083"/>
    <w:rsid w:val="005C00CA"/>
    <w:rsid w:val="005C0B33"/>
    <w:rsid w:val="005C1473"/>
    <w:rsid w:val="005C2A2A"/>
    <w:rsid w:val="005C63F6"/>
    <w:rsid w:val="005C7EF0"/>
    <w:rsid w:val="005D5323"/>
    <w:rsid w:val="005D5B6F"/>
    <w:rsid w:val="005E6058"/>
    <w:rsid w:val="005F25A0"/>
    <w:rsid w:val="005F2909"/>
    <w:rsid w:val="005F429C"/>
    <w:rsid w:val="005F5C25"/>
    <w:rsid w:val="005F5CEA"/>
    <w:rsid w:val="005F5DF7"/>
    <w:rsid w:val="005F74BD"/>
    <w:rsid w:val="005F7897"/>
    <w:rsid w:val="00603512"/>
    <w:rsid w:val="00606691"/>
    <w:rsid w:val="00610C2F"/>
    <w:rsid w:val="00610F1A"/>
    <w:rsid w:val="00610F41"/>
    <w:rsid w:val="00611308"/>
    <w:rsid w:val="00612AAB"/>
    <w:rsid w:val="00612CF5"/>
    <w:rsid w:val="00614B08"/>
    <w:rsid w:val="00616AA7"/>
    <w:rsid w:val="00616DCD"/>
    <w:rsid w:val="006172DC"/>
    <w:rsid w:val="006175AD"/>
    <w:rsid w:val="00621DDA"/>
    <w:rsid w:val="00622A16"/>
    <w:rsid w:val="00624798"/>
    <w:rsid w:val="00631D4E"/>
    <w:rsid w:val="006326BD"/>
    <w:rsid w:val="00633492"/>
    <w:rsid w:val="006347E2"/>
    <w:rsid w:val="00634CBB"/>
    <w:rsid w:val="0063507D"/>
    <w:rsid w:val="006368B1"/>
    <w:rsid w:val="00642FE3"/>
    <w:rsid w:val="006469EC"/>
    <w:rsid w:val="00646A22"/>
    <w:rsid w:val="0065034F"/>
    <w:rsid w:val="006504DF"/>
    <w:rsid w:val="00650DDD"/>
    <w:rsid w:val="00652991"/>
    <w:rsid w:val="006536B1"/>
    <w:rsid w:val="00655768"/>
    <w:rsid w:val="006558B5"/>
    <w:rsid w:val="00655908"/>
    <w:rsid w:val="006559B1"/>
    <w:rsid w:val="0066057F"/>
    <w:rsid w:val="006605B6"/>
    <w:rsid w:val="006621BE"/>
    <w:rsid w:val="00664527"/>
    <w:rsid w:val="006646A9"/>
    <w:rsid w:val="00666385"/>
    <w:rsid w:val="00672602"/>
    <w:rsid w:val="00675061"/>
    <w:rsid w:val="006753D3"/>
    <w:rsid w:val="00676B9B"/>
    <w:rsid w:val="00676D5F"/>
    <w:rsid w:val="00677439"/>
    <w:rsid w:val="00680527"/>
    <w:rsid w:val="00680F86"/>
    <w:rsid w:val="0068223D"/>
    <w:rsid w:val="006839CC"/>
    <w:rsid w:val="00684D38"/>
    <w:rsid w:val="006858D4"/>
    <w:rsid w:val="00691553"/>
    <w:rsid w:val="0069355B"/>
    <w:rsid w:val="006935D6"/>
    <w:rsid w:val="00693FB4"/>
    <w:rsid w:val="00694CCE"/>
    <w:rsid w:val="006A0261"/>
    <w:rsid w:val="006A462C"/>
    <w:rsid w:val="006A5307"/>
    <w:rsid w:val="006A7DEE"/>
    <w:rsid w:val="006B260D"/>
    <w:rsid w:val="006B37C5"/>
    <w:rsid w:val="006B7372"/>
    <w:rsid w:val="006C032F"/>
    <w:rsid w:val="006C6117"/>
    <w:rsid w:val="006C76AC"/>
    <w:rsid w:val="006D19BA"/>
    <w:rsid w:val="006D352C"/>
    <w:rsid w:val="006D4555"/>
    <w:rsid w:val="006D5C2A"/>
    <w:rsid w:val="006D6ADB"/>
    <w:rsid w:val="006E3567"/>
    <w:rsid w:val="006E485E"/>
    <w:rsid w:val="006E5BE6"/>
    <w:rsid w:val="006E68E7"/>
    <w:rsid w:val="006E771E"/>
    <w:rsid w:val="006F2F4C"/>
    <w:rsid w:val="006F492B"/>
    <w:rsid w:val="006F5A1B"/>
    <w:rsid w:val="006F6262"/>
    <w:rsid w:val="006F70A4"/>
    <w:rsid w:val="00700096"/>
    <w:rsid w:val="00700C45"/>
    <w:rsid w:val="00704444"/>
    <w:rsid w:val="00706DC1"/>
    <w:rsid w:val="007070C7"/>
    <w:rsid w:val="007079B7"/>
    <w:rsid w:val="0071009A"/>
    <w:rsid w:val="007144EC"/>
    <w:rsid w:val="00715C81"/>
    <w:rsid w:val="007165E3"/>
    <w:rsid w:val="007165FE"/>
    <w:rsid w:val="00716FF7"/>
    <w:rsid w:val="0071738B"/>
    <w:rsid w:val="00717F81"/>
    <w:rsid w:val="0072457E"/>
    <w:rsid w:val="00730982"/>
    <w:rsid w:val="00731305"/>
    <w:rsid w:val="0073228E"/>
    <w:rsid w:val="00732EC3"/>
    <w:rsid w:val="00735387"/>
    <w:rsid w:val="007376CD"/>
    <w:rsid w:val="0074042C"/>
    <w:rsid w:val="0074140D"/>
    <w:rsid w:val="00742200"/>
    <w:rsid w:val="0074230B"/>
    <w:rsid w:val="00742827"/>
    <w:rsid w:val="007438C4"/>
    <w:rsid w:val="007446D0"/>
    <w:rsid w:val="007450D4"/>
    <w:rsid w:val="007452B5"/>
    <w:rsid w:val="00745FBE"/>
    <w:rsid w:val="00751724"/>
    <w:rsid w:val="007531E5"/>
    <w:rsid w:val="0075445A"/>
    <w:rsid w:val="007554D1"/>
    <w:rsid w:val="0076063B"/>
    <w:rsid w:val="0076287D"/>
    <w:rsid w:val="00763F2B"/>
    <w:rsid w:val="00763FF3"/>
    <w:rsid w:val="00764E45"/>
    <w:rsid w:val="0076527F"/>
    <w:rsid w:val="0076593E"/>
    <w:rsid w:val="00766284"/>
    <w:rsid w:val="0076717F"/>
    <w:rsid w:val="00767395"/>
    <w:rsid w:val="00770962"/>
    <w:rsid w:val="00770F06"/>
    <w:rsid w:val="00771A70"/>
    <w:rsid w:val="00772355"/>
    <w:rsid w:val="00773BC5"/>
    <w:rsid w:val="00774666"/>
    <w:rsid w:val="00775DDF"/>
    <w:rsid w:val="00780154"/>
    <w:rsid w:val="00782036"/>
    <w:rsid w:val="00782A8C"/>
    <w:rsid w:val="007846C9"/>
    <w:rsid w:val="00785B59"/>
    <w:rsid w:val="0078664B"/>
    <w:rsid w:val="00787FCF"/>
    <w:rsid w:val="00791853"/>
    <w:rsid w:val="00792253"/>
    <w:rsid w:val="007923AB"/>
    <w:rsid w:val="00792D4B"/>
    <w:rsid w:val="00794F10"/>
    <w:rsid w:val="00796578"/>
    <w:rsid w:val="007A0BBD"/>
    <w:rsid w:val="007A37DF"/>
    <w:rsid w:val="007A4240"/>
    <w:rsid w:val="007A4F40"/>
    <w:rsid w:val="007A541B"/>
    <w:rsid w:val="007A5EB2"/>
    <w:rsid w:val="007A5EEE"/>
    <w:rsid w:val="007B005E"/>
    <w:rsid w:val="007B0845"/>
    <w:rsid w:val="007B2AEB"/>
    <w:rsid w:val="007B2D2D"/>
    <w:rsid w:val="007B43A8"/>
    <w:rsid w:val="007B6871"/>
    <w:rsid w:val="007B69E2"/>
    <w:rsid w:val="007C0B17"/>
    <w:rsid w:val="007C385F"/>
    <w:rsid w:val="007C65E7"/>
    <w:rsid w:val="007C7803"/>
    <w:rsid w:val="007C7A82"/>
    <w:rsid w:val="007D42C4"/>
    <w:rsid w:val="007D4394"/>
    <w:rsid w:val="007D51F4"/>
    <w:rsid w:val="007D6A81"/>
    <w:rsid w:val="007E2327"/>
    <w:rsid w:val="007E45BC"/>
    <w:rsid w:val="007E5AFC"/>
    <w:rsid w:val="007E7016"/>
    <w:rsid w:val="007F023A"/>
    <w:rsid w:val="007F23C6"/>
    <w:rsid w:val="007F4418"/>
    <w:rsid w:val="007F7EE9"/>
    <w:rsid w:val="008005BB"/>
    <w:rsid w:val="0080142C"/>
    <w:rsid w:val="00801ED4"/>
    <w:rsid w:val="00802314"/>
    <w:rsid w:val="00802B2B"/>
    <w:rsid w:val="008032F6"/>
    <w:rsid w:val="00806615"/>
    <w:rsid w:val="00806A18"/>
    <w:rsid w:val="00810643"/>
    <w:rsid w:val="0081252F"/>
    <w:rsid w:val="00812638"/>
    <w:rsid w:val="0081275D"/>
    <w:rsid w:val="00812B84"/>
    <w:rsid w:val="008138DA"/>
    <w:rsid w:val="0081498E"/>
    <w:rsid w:val="008154DE"/>
    <w:rsid w:val="00817191"/>
    <w:rsid w:val="00820568"/>
    <w:rsid w:val="00826E96"/>
    <w:rsid w:val="00830354"/>
    <w:rsid w:val="00832A44"/>
    <w:rsid w:val="00832D69"/>
    <w:rsid w:val="00832E0F"/>
    <w:rsid w:val="00835BEC"/>
    <w:rsid w:val="008369E9"/>
    <w:rsid w:val="00837875"/>
    <w:rsid w:val="008431EB"/>
    <w:rsid w:val="00843671"/>
    <w:rsid w:val="008437A7"/>
    <w:rsid w:val="00846D5C"/>
    <w:rsid w:val="00847306"/>
    <w:rsid w:val="0084767C"/>
    <w:rsid w:val="0085183F"/>
    <w:rsid w:val="008531C1"/>
    <w:rsid w:val="008546D8"/>
    <w:rsid w:val="00855113"/>
    <w:rsid w:val="0085593F"/>
    <w:rsid w:val="0085707E"/>
    <w:rsid w:val="00862FB8"/>
    <w:rsid w:val="00863DC5"/>
    <w:rsid w:val="00863DF5"/>
    <w:rsid w:val="008649EC"/>
    <w:rsid w:val="00864A1E"/>
    <w:rsid w:val="00866F78"/>
    <w:rsid w:val="00870DA0"/>
    <w:rsid w:val="0087552C"/>
    <w:rsid w:val="008755EF"/>
    <w:rsid w:val="00875837"/>
    <w:rsid w:val="008771CB"/>
    <w:rsid w:val="008808D0"/>
    <w:rsid w:val="00880F9A"/>
    <w:rsid w:val="008828E7"/>
    <w:rsid w:val="00883F43"/>
    <w:rsid w:val="008856D0"/>
    <w:rsid w:val="0089042B"/>
    <w:rsid w:val="0089119B"/>
    <w:rsid w:val="0089168A"/>
    <w:rsid w:val="00891794"/>
    <w:rsid w:val="00897269"/>
    <w:rsid w:val="008A2CBE"/>
    <w:rsid w:val="008A5293"/>
    <w:rsid w:val="008A533B"/>
    <w:rsid w:val="008A70ED"/>
    <w:rsid w:val="008B1FE8"/>
    <w:rsid w:val="008B49EA"/>
    <w:rsid w:val="008B52FF"/>
    <w:rsid w:val="008B5412"/>
    <w:rsid w:val="008B567A"/>
    <w:rsid w:val="008B68C7"/>
    <w:rsid w:val="008C05D8"/>
    <w:rsid w:val="008C15E3"/>
    <w:rsid w:val="008C1854"/>
    <w:rsid w:val="008C34F0"/>
    <w:rsid w:val="008C5010"/>
    <w:rsid w:val="008C5F4A"/>
    <w:rsid w:val="008C6A52"/>
    <w:rsid w:val="008C78AF"/>
    <w:rsid w:val="008D1EDC"/>
    <w:rsid w:val="008D431A"/>
    <w:rsid w:val="008D7E06"/>
    <w:rsid w:val="008E0210"/>
    <w:rsid w:val="008E297C"/>
    <w:rsid w:val="008E3339"/>
    <w:rsid w:val="008E37EC"/>
    <w:rsid w:val="008E3C03"/>
    <w:rsid w:val="008E4079"/>
    <w:rsid w:val="008E6B08"/>
    <w:rsid w:val="008E6D21"/>
    <w:rsid w:val="008F46CB"/>
    <w:rsid w:val="008F50C1"/>
    <w:rsid w:val="00900C4A"/>
    <w:rsid w:val="00902440"/>
    <w:rsid w:val="00902A38"/>
    <w:rsid w:val="00902A67"/>
    <w:rsid w:val="00902F94"/>
    <w:rsid w:val="009059F8"/>
    <w:rsid w:val="00906E62"/>
    <w:rsid w:val="00910BAC"/>
    <w:rsid w:val="00911160"/>
    <w:rsid w:val="00914C19"/>
    <w:rsid w:val="00914D81"/>
    <w:rsid w:val="00915DB6"/>
    <w:rsid w:val="00916B47"/>
    <w:rsid w:val="00917B99"/>
    <w:rsid w:val="00917E66"/>
    <w:rsid w:val="00923CF6"/>
    <w:rsid w:val="0093271E"/>
    <w:rsid w:val="009357E5"/>
    <w:rsid w:val="00940816"/>
    <w:rsid w:val="009447D3"/>
    <w:rsid w:val="00944861"/>
    <w:rsid w:val="00946D07"/>
    <w:rsid w:val="0094706B"/>
    <w:rsid w:val="00950760"/>
    <w:rsid w:val="00952902"/>
    <w:rsid w:val="00953742"/>
    <w:rsid w:val="00955A2A"/>
    <w:rsid w:val="009563E1"/>
    <w:rsid w:val="0096055D"/>
    <w:rsid w:val="00960627"/>
    <w:rsid w:val="009606C6"/>
    <w:rsid w:val="009611D4"/>
    <w:rsid w:val="0096123B"/>
    <w:rsid w:val="009619F3"/>
    <w:rsid w:val="009620DF"/>
    <w:rsid w:val="00964BCB"/>
    <w:rsid w:val="009712FA"/>
    <w:rsid w:val="00972609"/>
    <w:rsid w:val="00972E53"/>
    <w:rsid w:val="00973688"/>
    <w:rsid w:val="00975763"/>
    <w:rsid w:val="009768B9"/>
    <w:rsid w:val="00976DD5"/>
    <w:rsid w:val="009770DE"/>
    <w:rsid w:val="009802D6"/>
    <w:rsid w:val="00981DF2"/>
    <w:rsid w:val="0098323A"/>
    <w:rsid w:val="00983313"/>
    <w:rsid w:val="00983398"/>
    <w:rsid w:val="00987D43"/>
    <w:rsid w:val="00992188"/>
    <w:rsid w:val="0099304A"/>
    <w:rsid w:val="00994D8B"/>
    <w:rsid w:val="009965B4"/>
    <w:rsid w:val="009A097C"/>
    <w:rsid w:val="009A205C"/>
    <w:rsid w:val="009A5EAE"/>
    <w:rsid w:val="009A6EB6"/>
    <w:rsid w:val="009B0B2B"/>
    <w:rsid w:val="009B1674"/>
    <w:rsid w:val="009B3B72"/>
    <w:rsid w:val="009B4184"/>
    <w:rsid w:val="009B75E7"/>
    <w:rsid w:val="009C0666"/>
    <w:rsid w:val="009C0FDF"/>
    <w:rsid w:val="009C1B91"/>
    <w:rsid w:val="009C43F8"/>
    <w:rsid w:val="009C57D3"/>
    <w:rsid w:val="009C7DC5"/>
    <w:rsid w:val="009D056F"/>
    <w:rsid w:val="009D0A66"/>
    <w:rsid w:val="009D0E1A"/>
    <w:rsid w:val="009D16CD"/>
    <w:rsid w:val="009D1AE2"/>
    <w:rsid w:val="009D3AC4"/>
    <w:rsid w:val="009D4B96"/>
    <w:rsid w:val="009D6DA1"/>
    <w:rsid w:val="009D753E"/>
    <w:rsid w:val="009E28F4"/>
    <w:rsid w:val="009E5A64"/>
    <w:rsid w:val="009E64B5"/>
    <w:rsid w:val="009E6A12"/>
    <w:rsid w:val="009E6F93"/>
    <w:rsid w:val="009F06B8"/>
    <w:rsid w:val="009F0B0F"/>
    <w:rsid w:val="009F0CE7"/>
    <w:rsid w:val="009F1003"/>
    <w:rsid w:val="009F5EB7"/>
    <w:rsid w:val="009F62E8"/>
    <w:rsid w:val="009F6892"/>
    <w:rsid w:val="00A00806"/>
    <w:rsid w:val="00A00A16"/>
    <w:rsid w:val="00A00C9E"/>
    <w:rsid w:val="00A00DF5"/>
    <w:rsid w:val="00A013E8"/>
    <w:rsid w:val="00A01575"/>
    <w:rsid w:val="00A01717"/>
    <w:rsid w:val="00A04468"/>
    <w:rsid w:val="00A07124"/>
    <w:rsid w:val="00A07C12"/>
    <w:rsid w:val="00A122AB"/>
    <w:rsid w:val="00A13162"/>
    <w:rsid w:val="00A155D9"/>
    <w:rsid w:val="00A173CA"/>
    <w:rsid w:val="00A1765C"/>
    <w:rsid w:val="00A22B8A"/>
    <w:rsid w:val="00A245EA"/>
    <w:rsid w:val="00A2470C"/>
    <w:rsid w:val="00A25324"/>
    <w:rsid w:val="00A263E6"/>
    <w:rsid w:val="00A27A3D"/>
    <w:rsid w:val="00A326A8"/>
    <w:rsid w:val="00A3466E"/>
    <w:rsid w:val="00A34A31"/>
    <w:rsid w:val="00A353DB"/>
    <w:rsid w:val="00A434FE"/>
    <w:rsid w:val="00A44CC2"/>
    <w:rsid w:val="00A45562"/>
    <w:rsid w:val="00A458CD"/>
    <w:rsid w:val="00A46C25"/>
    <w:rsid w:val="00A50C6E"/>
    <w:rsid w:val="00A5546E"/>
    <w:rsid w:val="00A556E5"/>
    <w:rsid w:val="00A57E43"/>
    <w:rsid w:val="00A6057A"/>
    <w:rsid w:val="00A60A05"/>
    <w:rsid w:val="00A60F15"/>
    <w:rsid w:val="00A61E59"/>
    <w:rsid w:val="00A6590F"/>
    <w:rsid w:val="00A70B4F"/>
    <w:rsid w:val="00A716A6"/>
    <w:rsid w:val="00A73F92"/>
    <w:rsid w:val="00A74420"/>
    <w:rsid w:val="00A75AD9"/>
    <w:rsid w:val="00A75EED"/>
    <w:rsid w:val="00A75EEF"/>
    <w:rsid w:val="00A768EA"/>
    <w:rsid w:val="00A80062"/>
    <w:rsid w:val="00A8215A"/>
    <w:rsid w:val="00A82DB3"/>
    <w:rsid w:val="00A8436A"/>
    <w:rsid w:val="00A853D3"/>
    <w:rsid w:val="00A85638"/>
    <w:rsid w:val="00A867F7"/>
    <w:rsid w:val="00A915E0"/>
    <w:rsid w:val="00A92387"/>
    <w:rsid w:val="00A955AD"/>
    <w:rsid w:val="00A95C2F"/>
    <w:rsid w:val="00A96F44"/>
    <w:rsid w:val="00AA16AF"/>
    <w:rsid w:val="00AA1755"/>
    <w:rsid w:val="00AA2BC1"/>
    <w:rsid w:val="00AA6642"/>
    <w:rsid w:val="00AA75E3"/>
    <w:rsid w:val="00AB09C0"/>
    <w:rsid w:val="00AB1EE0"/>
    <w:rsid w:val="00AB2954"/>
    <w:rsid w:val="00AC1EC9"/>
    <w:rsid w:val="00AC27EC"/>
    <w:rsid w:val="00AC39E0"/>
    <w:rsid w:val="00AC66F7"/>
    <w:rsid w:val="00AC7A63"/>
    <w:rsid w:val="00AD086E"/>
    <w:rsid w:val="00AD2439"/>
    <w:rsid w:val="00AD3751"/>
    <w:rsid w:val="00AD3F6B"/>
    <w:rsid w:val="00AD6889"/>
    <w:rsid w:val="00AE1168"/>
    <w:rsid w:val="00AE193C"/>
    <w:rsid w:val="00AE260B"/>
    <w:rsid w:val="00AE26F8"/>
    <w:rsid w:val="00AE29AE"/>
    <w:rsid w:val="00AE5D26"/>
    <w:rsid w:val="00AE67F2"/>
    <w:rsid w:val="00AF046D"/>
    <w:rsid w:val="00AF1767"/>
    <w:rsid w:val="00AF2A2E"/>
    <w:rsid w:val="00AF4520"/>
    <w:rsid w:val="00AF47E9"/>
    <w:rsid w:val="00AF538B"/>
    <w:rsid w:val="00AF6735"/>
    <w:rsid w:val="00B005E1"/>
    <w:rsid w:val="00B0680A"/>
    <w:rsid w:val="00B07CFD"/>
    <w:rsid w:val="00B10068"/>
    <w:rsid w:val="00B115E8"/>
    <w:rsid w:val="00B13EDD"/>
    <w:rsid w:val="00B146A9"/>
    <w:rsid w:val="00B14B4A"/>
    <w:rsid w:val="00B21CEA"/>
    <w:rsid w:val="00B21FA1"/>
    <w:rsid w:val="00B22487"/>
    <w:rsid w:val="00B23229"/>
    <w:rsid w:val="00B239A8"/>
    <w:rsid w:val="00B24392"/>
    <w:rsid w:val="00B246B9"/>
    <w:rsid w:val="00B24DAF"/>
    <w:rsid w:val="00B269A4"/>
    <w:rsid w:val="00B32DAD"/>
    <w:rsid w:val="00B346EC"/>
    <w:rsid w:val="00B37389"/>
    <w:rsid w:val="00B41A3B"/>
    <w:rsid w:val="00B42F8A"/>
    <w:rsid w:val="00B4344C"/>
    <w:rsid w:val="00B45A6B"/>
    <w:rsid w:val="00B473FC"/>
    <w:rsid w:val="00B47412"/>
    <w:rsid w:val="00B47849"/>
    <w:rsid w:val="00B5043E"/>
    <w:rsid w:val="00B510D1"/>
    <w:rsid w:val="00B5188E"/>
    <w:rsid w:val="00B53599"/>
    <w:rsid w:val="00B54743"/>
    <w:rsid w:val="00B56325"/>
    <w:rsid w:val="00B57E56"/>
    <w:rsid w:val="00B60B02"/>
    <w:rsid w:val="00B61FCC"/>
    <w:rsid w:val="00B63B20"/>
    <w:rsid w:val="00B65A4A"/>
    <w:rsid w:val="00B65D8D"/>
    <w:rsid w:val="00B66014"/>
    <w:rsid w:val="00B708DA"/>
    <w:rsid w:val="00B71BC4"/>
    <w:rsid w:val="00B71E9A"/>
    <w:rsid w:val="00B81313"/>
    <w:rsid w:val="00B81EBA"/>
    <w:rsid w:val="00B84131"/>
    <w:rsid w:val="00B85CB5"/>
    <w:rsid w:val="00B86AA4"/>
    <w:rsid w:val="00B86D92"/>
    <w:rsid w:val="00B878A6"/>
    <w:rsid w:val="00B879D7"/>
    <w:rsid w:val="00B907EE"/>
    <w:rsid w:val="00B90886"/>
    <w:rsid w:val="00B911FB"/>
    <w:rsid w:val="00B93599"/>
    <w:rsid w:val="00B97122"/>
    <w:rsid w:val="00BA0946"/>
    <w:rsid w:val="00BA11B9"/>
    <w:rsid w:val="00BA1D3E"/>
    <w:rsid w:val="00BA2929"/>
    <w:rsid w:val="00BA5B62"/>
    <w:rsid w:val="00BA61B2"/>
    <w:rsid w:val="00BA6C53"/>
    <w:rsid w:val="00BB197A"/>
    <w:rsid w:val="00BB20F0"/>
    <w:rsid w:val="00BB2D62"/>
    <w:rsid w:val="00BB4FEC"/>
    <w:rsid w:val="00BB69FA"/>
    <w:rsid w:val="00BB721D"/>
    <w:rsid w:val="00BC0E4B"/>
    <w:rsid w:val="00BC227C"/>
    <w:rsid w:val="00BC28F6"/>
    <w:rsid w:val="00BC35C9"/>
    <w:rsid w:val="00BC4E49"/>
    <w:rsid w:val="00BC5F18"/>
    <w:rsid w:val="00BC5F72"/>
    <w:rsid w:val="00BC63F8"/>
    <w:rsid w:val="00BC6C14"/>
    <w:rsid w:val="00BC6CB3"/>
    <w:rsid w:val="00BD1063"/>
    <w:rsid w:val="00BD1668"/>
    <w:rsid w:val="00BD19AB"/>
    <w:rsid w:val="00BD22B6"/>
    <w:rsid w:val="00BD36CA"/>
    <w:rsid w:val="00BD6F5F"/>
    <w:rsid w:val="00BD7436"/>
    <w:rsid w:val="00BE1B0B"/>
    <w:rsid w:val="00BE537B"/>
    <w:rsid w:val="00BE554A"/>
    <w:rsid w:val="00BF00B1"/>
    <w:rsid w:val="00BF2774"/>
    <w:rsid w:val="00BF457D"/>
    <w:rsid w:val="00C03472"/>
    <w:rsid w:val="00C037E1"/>
    <w:rsid w:val="00C03F72"/>
    <w:rsid w:val="00C0758A"/>
    <w:rsid w:val="00C104C8"/>
    <w:rsid w:val="00C111A8"/>
    <w:rsid w:val="00C12BCA"/>
    <w:rsid w:val="00C17988"/>
    <w:rsid w:val="00C23FDB"/>
    <w:rsid w:val="00C24C5F"/>
    <w:rsid w:val="00C25150"/>
    <w:rsid w:val="00C30A4E"/>
    <w:rsid w:val="00C30CE1"/>
    <w:rsid w:val="00C32B27"/>
    <w:rsid w:val="00C33A03"/>
    <w:rsid w:val="00C33A36"/>
    <w:rsid w:val="00C33B0F"/>
    <w:rsid w:val="00C3512C"/>
    <w:rsid w:val="00C35AB9"/>
    <w:rsid w:val="00C36DB2"/>
    <w:rsid w:val="00C37E9B"/>
    <w:rsid w:val="00C40B40"/>
    <w:rsid w:val="00C457B7"/>
    <w:rsid w:val="00C46740"/>
    <w:rsid w:val="00C46FF6"/>
    <w:rsid w:val="00C50C75"/>
    <w:rsid w:val="00C530B9"/>
    <w:rsid w:val="00C5567C"/>
    <w:rsid w:val="00C572AB"/>
    <w:rsid w:val="00C5741C"/>
    <w:rsid w:val="00C57648"/>
    <w:rsid w:val="00C60CCC"/>
    <w:rsid w:val="00C60FC6"/>
    <w:rsid w:val="00C6109A"/>
    <w:rsid w:val="00C62BB4"/>
    <w:rsid w:val="00C71A78"/>
    <w:rsid w:val="00C734F1"/>
    <w:rsid w:val="00C73D72"/>
    <w:rsid w:val="00C7417B"/>
    <w:rsid w:val="00C74571"/>
    <w:rsid w:val="00C75169"/>
    <w:rsid w:val="00C75778"/>
    <w:rsid w:val="00C8026A"/>
    <w:rsid w:val="00C8101C"/>
    <w:rsid w:val="00C83708"/>
    <w:rsid w:val="00C851A8"/>
    <w:rsid w:val="00C877AE"/>
    <w:rsid w:val="00C917B1"/>
    <w:rsid w:val="00C92580"/>
    <w:rsid w:val="00C9498E"/>
    <w:rsid w:val="00C94F39"/>
    <w:rsid w:val="00C94F4E"/>
    <w:rsid w:val="00CA0492"/>
    <w:rsid w:val="00CA425A"/>
    <w:rsid w:val="00CA4C5B"/>
    <w:rsid w:val="00CB04D7"/>
    <w:rsid w:val="00CB0AAA"/>
    <w:rsid w:val="00CB107B"/>
    <w:rsid w:val="00CB2216"/>
    <w:rsid w:val="00CB3214"/>
    <w:rsid w:val="00CB45BF"/>
    <w:rsid w:val="00CB58C5"/>
    <w:rsid w:val="00CB78B5"/>
    <w:rsid w:val="00CC099A"/>
    <w:rsid w:val="00CC0B15"/>
    <w:rsid w:val="00CC0FF5"/>
    <w:rsid w:val="00CC3AF2"/>
    <w:rsid w:val="00CD2712"/>
    <w:rsid w:val="00CD3BBC"/>
    <w:rsid w:val="00CD4A30"/>
    <w:rsid w:val="00CD5DFD"/>
    <w:rsid w:val="00CE004E"/>
    <w:rsid w:val="00CE2126"/>
    <w:rsid w:val="00CE384C"/>
    <w:rsid w:val="00CE5BEE"/>
    <w:rsid w:val="00CF0F97"/>
    <w:rsid w:val="00CF1035"/>
    <w:rsid w:val="00CF2A62"/>
    <w:rsid w:val="00CF5027"/>
    <w:rsid w:val="00CF5C6F"/>
    <w:rsid w:val="00CF5EA8"/>
    <w:rsid w:val="00D02D37"/>
    <w:rsid w:val="00D0302C"/>
    <w:rsid w:val="00D03E48"/>
    <w:rsid w:val="00D060ED"/>
    <w:rsid w:val="00D06DD9"/>
    <w:rsid w:val="00D07BBC"/>
    <w:rsid w:val="00D11C24"/>
    <w:rsid w:val="00D13B66"/>
    <w:rsid w:val="00D14348"/>
    <w:rsid w:val="00D144D2"/>
    <w:rsid w:val="00D14D35"/>
    <w:rsid w:val="00D14E08"/>
    <w:rsid w:val="00D17FA4"/>
    <w:rsid w:val="00D205B8"/>
    <w:rsid w:val="00D21EF0"/>
    <w:rsid w:val="00D23706"/>
    <w:rsid w:val="00D2381F"/>
    <w:rsid w:val="00D24DD7"/>
    <w:rsid w:val="00D2550A"/>
    <w:rsid w:val="00D26376"/>
    <w:rsid w:val="00D272E6"/>
    <w:rsid w:val="00D27D07"/>
    <w:rsid w:val="00D328B4"/>
    <w:rsid w:val="00D43A82"/>
    <w:rsid w:val="00D45823"/>
    <w:rsid w:val="00D46446"/>
    <w:rsid w:val="00D469CF"/>
    <w:rsid w:val="00D4722E"/>
    <w:rsid w:val="00D508DE"/>
    <w:rsid w:val="00D5094F"/>
    <w:rsid w:val="00D527A7"/>
    <w:rsid w:val="00D54997"/>
    <w:rsid w:val="00D5552C"/>
    <w:rsid w:val="00D562AE"/>
    <w:rsid w:val="00D56E13"/>
    <w:rsid w:val="00D5741D"/>
    <w:rsid w:val="00D57765"/>
    <w:rsid w:val="00D62513"/>
    <w:rsid w:val="00D63924"/>
    <w:rsid w:val="00D64CA1"/>
    <w:rsid w:val="00D65E00"/>
    <w:rsid w:val="00D6622B"/>
    <w:rsid w:val="00D6679E"/>
    <w:rsid w:val="00D66A78"/>
    <w:rsid w:val="00D67E4C"/>
    <w:rsid w:val="00D70141"/>
    <w:rsid w:val="00D70FCF"/>
    <w:rsid w:val="00D724F4"/>
    <w:rsid w:val="00D74021"/>
    <w:rsid w:val="00D74693"/>
    <w:rsid w:val="00D75138"/>
    <w:rsid w:val="00D75FD2"/>
    <w:rsid w:val="00D763B4"/>
    <w:rsid w:val="00D811B2"/>
    <w:rsid w:val="00D81465"/>
    <w:rsid w:val="00D823A4"/>
    <w:rsid w:val="00D839AD"/>
    <w:rsid w:val="00D84B10"/>
    <w:rsid w:val="00D85912"/>
    <w:rsid w:val="00D869B1"/>
    <w:rsid w:val="00D87137"/>
    <w:rsid w:val="00D87540"/>
    <w:rsid w:val="00D90392"/>
    <w:rsid w:val="00D91B09"/>
    <w:rsid w:val="00D923B2"/>
    <w:rsid w:val="00D940E3"/>
    <w:rsid w:val="00D942B0"/>
    <w:rsid w:val="00D9680F"/>
    <w:rsid w:val="00DA09AC"/>
    <w:rsid w:val="00DA235D"/>
    <w:rsid w:val="00DA33D7"/>
    <w:rsid w:val="00DA4BD1"/>
    <w:rsid w:val="00DB1210"/>
    <w:rsid w:val="00DB273E"/>
    <w:rsid w:val="00DB5978"/>
    <w:rsid w:val="00DB7E7F"/>
    <w:rsid w:val="00DC4E14"/>
    <w:rsid w:val="00DC6FC5"/>
    <w:rsid w:val="00DD01EF"/>
    <w:rsid w:val="00DD3A11"/>
    <w:rsid w:val="00DD6ABC"/>
    <w:rsid w:val="00DE0868"/>
    <w:rsid w:val="00DE19E1"/>
    <w:rsid w:val="00DE1F54"/>
    <w:rsid w:val="00DE20AD"/>
    <w:rsid w:val="00DE6146"/>
    <w:rsid w:val="00DE66F6"/>
    <w:rsid w:val="00DE7C88"/>
    <w:rsid w:val="00DF03B1"/>
    <w:rsid w:val="00DF2E9C"/>
    <w:rsid w:val="00DF4643"/>
    <w:rsid w:val="00DF4FF3"/>
    <w:rsid w:val="00E00FC5"/>
    <w:rsid w:val="00E0112F"/>
    <w:rsid w:val="00E0169C"/>
    <w:rsid w:val="00E01B29"/>
    <w:rsid w:val="00E01B73"/>
    <w:rsid w:val="00E0240A"/>
    <w:rsid w:val="00E031F7"/>
    <w:rsid w:val="00E03B42"/>
    <w:rsid w:val="00E03FAC"/>
    <w:rsid w:val="00E0454D"/>
    <w:rsid w:val="00E051CE"/>
    <w:rsid w:val="00E05D54"/>
    <w:rsid w:val="00E07F36"/>
    <w:rsid w:val="00E13C8D"/>
    <w:rsid w:val="00E16328"/>
    <w:rsid w:val="00E20910"/>
    <w:rsid w:val="00E22AEA"/>
    <w:rsid w:val="00E259B2"/>
    <w:rsid w:val="00E26E57"/>
    <w:rsid w:val="00E27AFE"/>
    <w:rsid w:val="00E336BC"/>
    <w:rsid w:val="00E33DC8"/>
    <w:rsid w:val="00E350B8"/>
    <w:rsid w:val="00E36E13"/>
    <w:rsid w:val="00E37096"/>
    <w:rsid w:val="00E37451"/>
    <w:rsid w:val="00E42453"/>
    <w:rsid w:val="00E42853"/>
    <w:rsid w:val="00E44E16"/>
    <w:rsid w:val="00E45448"/>
    <w:rsid w:val="00E4686F"/>
    <w:rsid w:val="00E47194"/>
    <w:rsid w:val="00E471A5"/>
    <w:rsid w:val="00E501EB"/>
    <w:rsid w:val="00E53BFB"/>
    <w:rsid w:val="00E56702"/>
    <w:rsid w:val="00E56D78"/>
    <w:rsid w:val="00E578DC"/>
    <w:rsid w:val="00E60549"/>
    <w:rsid w:val="00E6066A"/>
    <w:rsid w:val="00E60789"/>
    <w:rsid w:val="00E61D74"/>
    <w:rsid w:val="00E620A8"/>
    <w:rsid w:val="00E6245D"/>
    <w:rsid w:val="00E62CDA"/>
    <w:rsid w:val="00E65163"/>
    <w:rsid w:val="00E66F8A"/>
    <w:rsid w:val="00E6744D"/>
    <w:rsid w:val="00E67FF4"/>
    <w:rsid w:val="00E72C91"/>
    <w:rsid w:val="00E734F3"/>
    <w:rsid w:val="00E827E2"/>
    <w:rsid w:val="00E832DD"/>
    <w:rsid w:val="00E83368"/>
    <w:rsid w:val="00E838B1"/>
    <w:rsid w:val="00E861DD"/>
    <w:rsid w:val="00E86D51"/>
    <w:rsid w:val="00E87DC9"/>
    <w:rsid w:val="00E907C2"/>
    <w:rsid w:val="00E91AB3"/>
    <w:rsid w:val="00E91B6B"/>
    <w:rsid w:val="00E9266B"/>
    <w:rsid w:val="00E949D1"/>
    <w:rsid w:val="00E973C1"/>
    <w:rsid w:val="00E975A2"/>
    <w:rsid w:val="00EA2232"/>
    <w:rsid w:val="00EA22F3"/>
    <w:rsid w:val="00EA27F6"/>
    <w:rsid w:val="00EA2D7F"/>
    <w:rsid w:val="00EA3CC9"/>
    <w:rsid w:val="00EA3D97"/>
    <w:rsid w:val="00EA3E96"/>
    <w:rsid w:val="00EA7432"/>
    <w:rsid w:val="00EB4C33"/>
    <w:rsid w:val="00EB764B"/>
    <w:rsid w:val="00EC079D"/>
    <w:rsid w:val="00EC3162"/>
    <w:rsid w:val="00EC4E2D"/>
    <w:rsid w:val="00EC52EC"/>
    <w:rsid w:val="00EC5838"/>
    <w:rsid w:val="00EC7621"/>
    <w:rsid w:val="00ED37D0"/>
    <w:rsid w:val="00ED5D96"/>
    <w:rsid w:val="00ED644C"/>
    <w:rsid w:val="00ED699C"/>
    <w:rsid w:val="00ED7463"/>
    <w:rsid w:val="00EE2076"/>
    <w:rsid w:val="00EE2941"/>
    <w:rsid w:val="00EE308A"/>
    <w:rsid w:val="00EE31BE"/>
    <w:rsid w:val="00EE512C"/>
    <w:rsid w:val="00EE605F"/>
    <w:rsid w:val="00EE73BD"/>
    <w:rsid w:val="00EE7590"/>
    <w:rsid w:val="00EF1A57"/>
    <w:rsid w:val="00EF34FD"/>
    <w:rsid w:val="00EF475A"/>
    <w:rsid w:val="00EF6550"/>
    <w:rsid w:val="00EF6905"/>
    <w:rsid w:val="00EF6D98"/>
    <w:rsid w:val="00F00578"/>
    <w:rsid w:val="00F008BC"/>
    <w:rsid w:val="00F0290D"/>
    <w:rsid w:val="00F02DCF"/>
    <w:rsid w:val="00F031DB"/>
    <w:rsid w:val="00F03B8D"/>
    <w:rsid w:val="00F04719"/>
    <w:rsid w:val="00F053BA"/>
    <w:rsid w:val="00F062AA"/>
    <w:rsid w:val="00F13735"/>
    <w:rsid w:val="00F20664"/>
    <w:rsid w:val="00F23C47"/>
    <w:rsid w:val="00F27883"/>
    <w:rsid w:val="00F33BC6"/>
    <w:rsid w:val="00F36968"/>
    <w:rsid w:val="00F36D04"/>
    <w:rsid w:val="00F40380"/>
    <w:rsid w:val="00F40766"/>
    <w:rsid w:val="00F40EFB"/>
    <w:rsid w:val="00F411EC"/>
    <w:rsid w:val="00F43876"/>
    <w:rsid w:val="00F44A42"/>
    <w:rsid w:val="00F5170E"/>
    <w:rsid w:val="00F51F37"/>
    <w:rsid w:val="00F526C2"/>
    <w:rsid w:val="00F53755"/>
    <w:rsid w:val="00F55F4E"/>
    <w:rsid w:val="00F561B1"/>
    <w:rsid w:val="00F562AD"/>
    <w:rsid w:val="00F5760E"/>
    <w:rsid w:val="00F5767A"/>
    <w:rsid w:val="00F60507"/>
    <w:rsid w:val="00F612AD"/>
    <w:rsid w:val="00F66FDA"/>
    <w:rsid w:val="00F67368"/>
    <w:rsid w:val="00F730DF"/>
    <w:rsid w:val="00F73815"/>
    <w:rsid w:val="00F7403A"/>
    <w:rsid w:val="00F74FCC"/>
    <w:rsid w:val="00F75686"/>
    <w:rsid w:val="00F800E4"/>
    <w:rsid w:val="00F82558"/>
    <w:rsid w:val="00F82E19"/>
    <w:rsid w:val="00F83D35"/>
    <w:rsid w:val="00F84266"/>
    <w:rsid w:val="00F84582"/>
    <w:rsid w:val="00F8516A"/>
    <w:rsid w:val="00F87247"/>
    <w:rsid w:val="00F87D93"/>
    <w:rsid w:val="00F92F97"/>
    <w:rsid w:val="00F95CDF"/>
    <w:rsid w:val="00F97277"/>
    <w:rsid w:val="00FA2703"/>
    <w:rsid w:val="00FA33AC"/>
    <w:rsid w:val="00FA3A75"/>
    <w:rsid w:val="00FA710C"/>
    <w:rsid w:val="00FB105C"/>
    <w:rsid w:val="00FB1251"/>
    <w:rsid w:val="00FB1D45"/>
    <w:rsid w:val="00FB257E"/>
    <w:rsid w:val="00FB30A8"/>
    <w:rsid w:val="00FB3895"/>
    <w:rsid w:val="00FB60D9"/>
    <w:rsid w:val="00FB7900"/>
    <w:rsid w:val="00FC2477"/>
    <w:rsid w:val="00FC40E6"/>
    <w:rsid w:val="00FC75F6"/>
    <w:rsid w:val="00FD00A9"/>
    <w:rsid w:val="00FD1A59"/>
    <w:rsid w:val="00FD2695"/>
    <w:rsid w:val="00FD327C"/>
    <w:rsid w:val="00FD4BA9"/>
    <w:rsid w:val="00FD52DA"/>
    <w:rsid w:val="00FD68EF"/>
    <w:rsid w:val="00FE1551"/>
    <w:rsid w:val="00FE200D"/>
    <w:rsid w:val="00FE2D06"/>
    <w:rsid w:val="00FE3109"/>
    <w:rsid w:val="00FE3CAF"/>
    <w:rsid w:val="00FE419E"/>
    <w:rsid w:val="00FE42AF"/>
    <w:rsid w:val="00FE7A5E"/>
    <w:rsid w:val="00FF4C3A"/>
    <w:rsid w:val="00FF79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1FB1E"/>
  <w15:docId w15:val="{998C4C68-8F32-4806-8B75-DB511216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10CC"/>
    <w:pPr>
      <w:spacing w:after="0" w:line="240" w:lineRule="auto"/>
    </w:pPr>
    <w:rPr>
      <w:rFonts w:eastAsiaTheme="minorEastAsia"/>
      <w:sz w:val="24"/>
      <w:szCs w:val="24"/>
      <w:lang w:eastAsia="it-IT"/>
    </w:rPr>
  </w:style>
  <w:style w:type="paragraph" w:styleId="Titolo1">
    <w:name w:val="heading 1"/>
    <w:basedOn w:val="Intestazione1"/>
    <w:next w:val="Corpotesto"/>
    <w:link w:val="Titolo1Carattere"/>
    <w:qFormat/>
    <w:rsid w:val="005C7EF0"/>
    <w:pPr>
      <w:numPr>
        <w:numId w:val="1"/>
      </w:numPr>
      <w:outlineLvl w:val="0"/>
    </w:pPr>
    <w:rPr>
      <w:rFonts w:ascii="Times New Roman" w:eastAsia="Lucida Sans Unicode" w:hAnsi="Times New Roman" w:cs="Mangal"/>
      <w:b/>
      <w:bCs/>
      <w:sz w:val="48"/>
      <w:szCs w:val="48"/>
    </w:rPr>
  </w:style>
  <w:style w:type="paragraph" w:styleId="Titolo2">
    <w:name w:val="heading 2"/>
    <w:basedOn w:val="Normale"/>
    <w:next w:val="Normale"/>
    <w:link w:val="Titolo2Carattere"/>
    <w:qFormat/>
    <w:rsid w:val="005C7EF0"/>
    <w:pPr>
      <w:keepNext/>
      <w:widowControl w:val="0"/>
      <w:autoSpaceDE w:val="0"/>
      <w:autoSpaceDN w:val="0"/>
      <w:spacing w:line="567" w:lineRule="exact"/>
      <w:jc w:val="center"/>
      <w:outlineLvl w:val="1"/>
    </w:pPr>
    <w:rPr>
      <w:rFonts w:ascii="Arial" w:eastAsia="Times New Roman" w:hAnsi="Arial" w:cs="Times New Roman"/>
      <w:b/>
      <w:bCs/>
      <w:lang w:val="x-none" w:eastAsia="x-none"/>
    </w:rPr>
  </w:style>
  <w:style w:type="paragraph" w:styleId="Titolo3">
    <w:name w:val="heading 3"/>
    <w:basedOn w:val="Normale"/>
    <w:link w:val="Titolo3Carattere"/>
    <w:qFormat/>
    <w:rsid w:val="000F46F9"/>
    <w:pPr>
      <w:spacing w:after="225"/>
      <w:outlineLvl w:val="2"/>
    </w:pPr>
    <w:rPr>
      <w:rFonts w:ascii="inherit" w:eastAsia="Times New Roman" w:hAnsi="inherit" w:cs="Times New Roman"/>
      <w:sz w:val="21"/>
      <w:szCs w:val="21"/>
    </w:rPr>
  </w:style>
  <w:style w:type="paragraph" w:styleId="Titolo4">
    <w:name w:val="heading 4"/>
    <w:basedOn w:val="Intestazione1"/>
    <w:next w:val="Corpotesto"/>
    <w:link w:val="Titolo4Carattere"/>
    <w:qFormat/>
    <w:rsid w:val="005C7EF0"/>
    <w:pPr>
      <w:numPr>
        <w:ilvl w:val="3"/>
        <w:numId w:val="1"/>
      </w:numPr>
      <w:outlineLvl w:val="3"/>
    </w:pPr>
    <w:rPr>
      <w:rFonts w:ascii="Times New Roman" w:eastAsia="Lucida Sans Unicode" w:hAnsi="Times New Roman" w:cs="Mangal"/>
      <w:b/>
      <w:bCs/>
      <w:sz w:val="24"/>
      <w:szCs w:val="24"/>
    </w:rPr>
  </w:style>
  <w:style w:type="paragraph" w:styleId="Titolo5">
    <w:name w:val="heading 5"/>
    <w:basedOn w:val="Normale"/>
    <w:next w:val="Normale"/>
    <w:link w:val="Titolo5Carattere"/>
    <w:qFormat/>
    <w:rsid w:val="005C7EF0"/>
    <w:pPr>
      <w:keepNext/>
      <w:ind w:left="5664" w:right="-77" w:firstLine="708"/>
      <w:outlineLvl w:val="4"/>
    </w:pPr>
    <w:rPr>
      <w:rFonts w:ascii="Verdana" w:eastAsia="Times New Roman" w:hAnsi="Verdana" w:cs="Times New Roman"/>
      <w:b/>
      <w:bCs/>
      <w:sz w:val="1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10CC"/>
    <w:rPr>
      <w:color w:val="0000FF" w:themeColor="hyperlink"/>
      <w:u w:val="single"/>
    </w:rPr>
  </w:style>
  <w:style w:type="paragraph" w:styleId="Testonotaapidipagina">
    <w:name w:val="footnote text"/>
    <w:basedOn w:val="Normale"/>
    <w:link w:val="TestonotaapidipaginaCarattere"/>
    <w:uiPriority w:val="99"/>
    <w:unhideWhenUsed/>
    <w:rsid w:val="003210CC"/>
    <w:rPr>
      <w:sz w:val="20"/>
      <w:szCs w:val="20"/>
    </w:rPr>
  </w:style>
  <w:style w:type="character" w:customStyle="1" w:styleId="TestonotaapidipaginaCarattere">
    <w:name w:val="Testo nota a piè di pagina Carattere"/>
    <w:basedOn w:val="Carpredefinitoparagrafo"/>
    <w:link w:val="Testonotaapidipagina"/>
    <w:uiPriority w:val="99"/>
    <w:rsid w:val="003210CC"/>
    <w:rPr>
      <w:rFonts w:eastAsiaTheme="minorEastAsia"/>
      <w:sz w:val="20"/>
      <w:szCs w:val="20"/>
      <w:lang w:eastAsia="it-IT"/>
    </w:rPr>
  </w:style>
  <w:style w:type="paragraph" w:customStyle="1" w:styleId="parar1">
    <w:name w:val="parar1"/>
    <w:basedOn w:val="Normale"/>
    <w:rsid w:val="003210CC"/>
    <w:pPr>
      <w:spacing w:before="100" w:beforeAutospacing="1" w:after="100" w:afterAutospacing="1"/>
    </w:pPr>
    <w:rPr>
      <w:rFonts w:ascii="Times New Roman" w:eastAsia="Times New Roman" w:hAnsi="Times New Roman" w:cs="Times New Roman"/>
    </w:rPr>
  </w:style>
  <w:style w:type="paragraph" w:customStyle="1" w:styleId="parar2">
    <w:name w:val="parar2"/>
    <w:basedOn w:val="Normale"/>
    <w:rsid w:val="003210CC"/>
    <w:pPr>
      <w:spacing w:before="100" w:beforeAutospacing="1" w:after="100" w:afterAutospacing="1"/>
    </w:pPr>
    <w:rPr>
      <w:rFonts w:ascii="Times New Roman" w:eastAsia="Times New Roman" w:hAnsi="Times New Roman" w:cs="Times New Roman"/>
    </w:rPr>
  </w:style>
  <w:style w:type="character" w:styleId="Rimandonotaapidipagina">
    <w:name w:val="footnote reference"/>
    <w:basedOn w:val="Carpredefinitoparagrafo"/>
    <w:uiPriority w:val="99"/>
    <w:unhideWhenUsed/>
    <w:rsid w:val="003210CC"/>
    <w:rPr>
      <w:vertAlign w:val="superscript"/>
    </w:rPr>
  </w:style>
  <w:style w:type="paragraph" w:styleId="Testofumetto">
    <w:name w:val="Balloon Text"/>
    <w:basedOn w:val="Normale"/>
    <w:link w:val="TestofumettoCarattere"/>
    <w:uiPriority w:val="99"/>
    <w:semiHidden/>
    <w:unhideWhenUsed/>
    <w:rsid w:val="003210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10CC"/>
    <w:rPr>
      <w:rFonts w:ascii="Tahoma" w:eastAsiaTheme="minorEastAsia" w:hAnsi="Tahoma" w:cs="Tahoma"/>
      <w:sz w:val="16"/>
      <w:szCs w:val="16"/>
      <w:lang w:eastAsia="it-IT"/>
    </w:rPr>
  </w:style>
  <w:style w:type="paragraph" w:styleId="Paragrafoelenco">
    <w:name w:val="List Paragraph"/>
    <w:basedOn w:val="Normale"/>
    <w:uiPriority w:val="34"/>
    <w:qFormat/>
    <w:rsid w:val="00D70FCF"/>
    <w:pPr>
      <w:ind w:left="720"/>
      <w:contextualSpacing/>
    </w:pPr>
  </w:style>
  <w:style w:type="paragraph" w:styleId="Testonotadichiusura">
    <w:name w:val="endnote text"/>
    <w:basedOn w:val="Normale"/>
    <w:link w:val="TestonotadichiusuraCarattere"/>
    <w:uiPriority w:val="99"/>
    <w:semiHidden/>
    <w:unhideWhenUsed/>
    <w:rsid w:val="008E0210"/>
    <w:rPr>
      <w:sz w:val="20"/>
      <w:szCs w:val="20"/>
    </w:rPr>
  </w:style>
  <w:style w:type="character" w:customStyle="1" w:styleId="TestonotadichiusuraCarattere">
    <w:name w:val="Testo nota di chiusura Carattere"/>
    <w:basedOn w:val="Carpredefinitoparagrafo"/>
    <w:link w:val="Testonotadichiusura"/>
    <w:uiPriority w:val="99"/>
    <w:semiHidden/>
    <w:rsid w:val="008E0210"/>
    <w:rPr>
      <w:rFonts w:eastAsiaTheme="minorEastAsia"/>
      <w:sz w:val="20"/>
      <w:szCs w:val="20"/>
      <w:lang w:eastAsia="it-IT"/>
    </w:rPr>
  </w:style>
  <w:style w:type="character" w:styleId="Rimandonotadichiusura">
    <w:name w:val="endnote reference"/>
    <w:basedOn w:val="Carpredefinitoparagrafo"/>
    <w:uiPriority w:val="99"/>
    <w:semiHidden/>
    <w:unhideWhenUsed/>
    <w:rsid w:val="008E0210"/>
    <w:rPr>
      <w:vertAlign w:val="superscript"/>
    </w:rPr>
  </w:style>
  <w:style w:type="paragraph" w:customStyle="1" w:styleId="Standard">
    <w:name w:val="Standard"/>
    <w:rsid w:val="001474B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Normale"/>
    <w:rsid w:val="00BA5B62"/>
    <w:pPr>
      <w:widowControl w:val="0"/>
      <w:suppressAutoHyphens/>
      <w:autoSpaceDN w:val="0"/>
      <w:spacing w:after="120"/>
      <w:textAlignment w:val="baseline"/>
    </w:pPr>
    <w:rPr>
      <w:rFonts w:ascii="Times New Roman" w:eastAsia="Andale Sans UI" w:hAnsi="Times New Roman" w:cs="Tahoma"/>
      <w:kern w:val="3"/>
      <w:lang w:val="de-DE" w:eastAsia="ja-JP" w:bidi="fa-IR"/>
    </w:rPr>
  </w:style>
  <w:style w:type="character" w:customStyle="1" w:styleId="apple-converted-space">
    <w:name w:val="apple-converted-space"/>
    <w:basedOn w:val="Carpredefinitoparagrafo"/>
    <w:rsid w:val="00BF00B1"/>
  </w:style>
  <w:style w:type="paragraph" w:styleId="NormaleWeb">
    <w:name w:val="Normal (Web)"/>
    <w:basedOn w:val="Normale"/>
    <w:uiPriority w:val="99"/>
    <w:unhideWhenUsed/>
    <w:rsid w:val="00087DA8"/>
    <w:pPr>
      <w:spacing w:before="100" w:beforeAutospacing="1" w:after="100" w:afterAutospacing="1"/>
    </w:pPr>
    <w:rPr>
      <w:rFonts w:ascii="Times New Roman" w:eastAsia="Times New Roman" w:hAnsi="Times New Roman" w:cs="Times New Roman"/>
    </w:rPr>
  </w:style>
  <w:style w:type="character" w:customStyle="1" w:styleId="WW-Absatz-Standardschriftart">
    <w:name w:val="WW-Absatz-Standardschriftart"/>
    <w:rsid w:val="00832E0F"/>
  </w:style>
  <w:style w:type="paragraph" w:customStyle="1" w:styleId="Default">
    <w:name w:val="Default"/>
    <w:rsid w:val="00700096"/>
    <w:pPr>
      <w:autoSpaceDE w:val="0"/>
      <w:autoSpaceDN w:val="0"/>
      <w:adjustRightInd w:val="0"/>
      <w:spacing w:after="0" w:line="240" w:lineRule="auto"/>
    </w:pPr>
    <w:rPr>
      <w:rFonts w:ascii="Cambria" w:hAnsi="Cambria" w:cs="Cambria"/>
      <w:color w:val="000000"/>
      <w:sz w:val="24"/>
      <w:szCs w:val="24"/>
    </w:rPr>
  </w:style>
  <w:style w:type="paragraph" w:styleId="Intestazione">
    <w:name w:val="header"/>
    <w:basedOn w:val="Normale"/>
    <w:link w:val="IntestazioneCarattere"/>
    <w:uiPriority w:val="99"/>
    <w:unhideWhenUsed/>
    <w:rsid w:val="00ED644C"/>
    <w:pPr>
      <w:tabs>
        <w:tab w:val="center" w:pos="4819"/>
        <w:tab w:val="right" w:pos="9638"/>
      </w:tabs>
    </w:pPr>
  </w:style>
  <w:style w:type="character" w:customStyle="1" w:styleId="IntestazioneCarattere">
    <w:name w:val="Intestazione Carattere"/>
    <w:basedOn w:val="Carpredefinitoparagrafo"/>
    <w:link w:val="Intestazione"/>
    <w:uiPriority w:val="99"/>
    <w:rsid w:val="00ED644C"/>
    <w:rPr>
      <w:rFonts w:eastAsiaTheme="minorEastAsia"/>
      <w:sz w:val="24"/>
      <w:szCs w:val="24"/>
      <w:lang w:eastAsia="it-IT"/>
    </w:rPr>
  </w:style>
  <w:style w:type="paragraph" w:styleId="Pidipagina">
    <w:name w:val="footer"/>
    <w:basedOn w:val="Normale"/>
    <w:link w:val="PidipaginaCarattere"/>
    <w:uiPriority w:val="99"/>
    <w:unhideWhenUsed/>
    <w:rsid w:val="00ED644C"/>
    <w:pPr>
      <w:tabs>
        <w:tab w:val="center" w:pos="4819"/>
        <w:tab w:val="right" w:pos="9638"/>
      </w:tabs>
    </w:pPr>
  </w:style>
  <w:style w:type="character" w:customStyle="1" w:styleId="PidipaginaCarattere">
    <w:name w:val="Piè di pagina Carattere"/>
    <w:basedOn w:val="Carpredefinitoparagrafo"/>
    <w:link w:val="Pidipagina"/>
    <w:uiPriority w:val="99"/>
    <w:rsid w:val="00ED644C"/>
    <w:rPr>
      <w:rFonts w:eastAsiaTheme="minorEastAsia"/>
      <w:sz w:val="24"/>
      <w:szCs w:val="24"/>
      <w:lang w:eastAsia="it-IT"/>
    </w:rPr>
  </w:style>
  <w:style w:type="paragraph" w:customStyle="1" w:styleId="registri">
    <w:name w:val="registri"/>
    <w:basedOn w:val="Normale"/>
    <w:rsid w:val="000217C9"/>
    <w:pPr>
      <w:spacing w:before="100" w:beforeAutospacing="1" w:after="100" w:afterAutospacing="1" w:line="0" w:lineRule="atLeast"/>
      <w:jc w:val="right"/>
    </w:pPr>
    <w:rPr>
      <w:rFonts w:ascii="Times Nordic" w:eastAsia="Times New Roman" w:hAnsi="Times Nordic" w:cs="Times New Roman"/>
      <w:b/>
      <w:bCs/>
      <w:sz w:val="22"/>
      <w:szCs w:val="22"/>
    </w:rPr>
  </w:style>
  <w:style w:type="paragraph" w:customStyle="1" w:styleId="repubblica">
    <w:name w:val="repubblica"/>
    <w:basedOn w:val="Normale"/>
    <w:rsid w:val="000217C9"/>
    <w:pPr>
      <w:spacing w:before="100" w:beforeAutospacing="1" w:after="100" w:afterAutospacing="1"/>
      <w:jc w:val="center"/>
    </w:pPr>
    <w:rPr>
      <w:rFonts w:ascii="Garamond" w:eastAsia="Times New Roman" w:hAnsi="Garamond" w:cs="Times New Roman"/>
      <w:b/>
      <w:bCs/>
      <w:color w:val="000000"/>
      <w:spacing w:val="107"/>
    </w:rPr>
  </w:style>
  <w:style w:type="paragraph" w:customStyle="1" w:styleId="popolo">
    <w:name w:val="popolo"/>
    <w:basedOn w:val="Normale"/>
    <w:rsid w:val="000217C9"/>
    <w:pPr>
      <w:spacing w:line="520" w:lineRule="atLeast"/>
      <w:jc w:val="both"/>
    </w:pPr>
    <w:rPr>
      <w:rFonts w:ascii="Garamond" w:eastAsia="Times New Roman" w:hAnsi="Garamond" w:cs="Times New Roman"/>
      <w:sz w:val="30"/>
      <w:szCs w:val="30"/>
    </w:rPr>
  </w:style>
  <w:style w:type="paragraph" w:customStyle="1" w:styleId="sezione">
    <w:name w:val="sezione"/>
    <w:basedOn w:val="Normale"/>
    <w:rsid w:val="000217C9"/>
    <w:pPr>
      <w:spacing w:before="100" w:beforeAutospacing="1" w:after="100" w:afterAutospacing="1"/>
      <w:jc w:val="center"/>
    </w:pPr>
    <w:rPr>
      <w:rFonts w:ascii="Garamond" w:eastAsia="Times New Roman" w:hAnsi="Garamond" w:cs="Times New Roman"/>
      <w:b/>
      <w:bCs/>
      <w:color w:val="000000"/>
      <w:sz w:val="26"/>
      <w:szCs w:val="26"/>
    </w:rPr>
  </w:style>
  <w:style w:type="paragraph" w:customStyle="1" w:styleId="sezionegrande">
    <w:name w:val="sezionegrande"/>
    <w:basedOn w:val="Normale"/>
    <w:rsid w:val="000217C9"/>
    <w:pPr>
      <w:spacing w:before="100" w:beforeAutospacing="1" w:after="100" w:afterAutospacing="1"/>
      <w:jc w:val="center"/>
    </w:pPr>
    <w:rPr>
      <w:rFonts w:ascii="Garamond" w:eastAsia="Times New Roman" w:hAnsi="Garamond" w:cs="Times New Roman"/>
      <w:b/>
      <w:bCs/>
      <w:color w:val="000000"/>
      <w:sz w:val="36"/>
      <w:szCs w:val="36"/>
    </w:rPr>
  </w:style>
  <w:style w:type="paragraph" w:customStyle="1" w:styleId="fatto">
    <w:name w:val="fatto"/>
    <w:basedOn w:val="Normale"/>
    <w:rsid w:val="000217C9"/>
    <w:pPr>
      <w:spacing w:line="540" w:lineRule="atLeast"/>
      <w:jc w:val="center"/>
    </w:pPr>
    <w:rPr>
      <w:rFonts w:ascii="Garamond" w:eastAsia="Times New Roman" w:hAnsi="Garamond" w:cs="Times New Roman"/>
      <w:sz w:val="30"/>
      <w:szCs w:val="30"/>
    </w:rPr>
  </w:style>
  <w:style w:type="paragraph" w:customStyle="1" w:styleId="rigth">
    <w:name w:val="rigth"/>
    <w:basedOn w:val="Normale"/>
    <w:rsid w:val="000217C9"/>
    <w:pPr>
      <w:spacing w:before="100" w:beforeAutospacing="1" w:after="100" w:afterAutospacing="1"/>
    </w:pPr>
    <w:rPr>
      <w:rFonts w:ascii="Times New Roman" w:eastAsia="Times New Roman" w:hAnsi="Times New Roman" w:cs="Times New Roman"/>
    </w:rPr>
  </w:style>
  <w:style w:type="paragraph" w:styleId="Titolo">
    <w:name w:val="Title"/>
    <w:basedOn w:val="Normale"/>
    <w:next w:val="Normale"/>
    <w:link w:val="TitoloCarattere"/>
    <w:qFormat/>
    <w:rsid w:val="000217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rsid w:val="000217C9"/>
    <w:rPr>
      <w:rFonts w:asciiTheme="majorHAnsi" w:eastAsiaTheme="majorEastAsia" w:hAnsiTheme="majorHAnsi" w:cstheme="majorBidi"/>
      <w:color w:val="17365D" w:themeColor="text2" w:themeShade="BF"/>
      <w:spacing w:val="5"/>
      <w:kern w:val="28"/>
      <w:sz w:val="52"/>
      <w:szCs w:val="52"/>
      <w:lang w:eastAsia="it-IT"/>
    </w:rPr>
  </w:style>
  <w:style w:type="character" w:customStyle="1" w:styleId="blackunder">
    <w:name w:val="blackunder"/>
    <w:basedOn w:val="Carpredefinitoparagrafo"/>
    <w:rsid w:val="000217C9"/>
  </w:style>
  <w:style w:type="character" w:customStyle="1" w:styleId="provvnumcomma">
    <w:name w:val="provv_numcomma"/>
    <w:basedOn w:val="Carpredefinitoparagrafo"/>
    <w:rsid w:val="000217C9"/>
  </w:style>
  <w:style w:type="character" w:customStyle="1" w:styleId="gc">
    <w:name w:val="gc"/>
    <w:basedOn w:val="Carpredefinitoparagrafo"/>
    <w:rsid w:val="000217C9"/>
  </w:style>
  <w:style w:type="paragraph" w:styleId="Nessunaspaziatura">
    <w:name w:val="No Spacing"/>
    <w:uiPriority w:val="1"/>
    <w:qFormat/>
    <w:rsid w:val="005A75D0"/>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character" w:customStyle="1" w:styleId="Caratteredellanota">
    <w:name w:val="Carattere della nota"/>
    <w:rsid w:val="00B56325"/>
  </w:style>
  <w:style w:type="paragraph" w:customStyle="1" w:styleId="WW-footnotetext1">
    <w:name w:val="WW-footnote text1"/>
    <w:basedOn w:val="Normale"/>
    <w:rsid w:val="00A434FE"/>
    <w:pPr>
      <w:widowControl w:val="0"/>
      <w:suppressAutoHyphens/>
      <w:ind w:left="283" w:hanging="283"/>
    </w:pPr>
    <w:rPr>
      <w:rFonts w:ascii="Times New Roman" w:eastAsia="Andale Sans UI" w:hAnsi="Times New Roman" w:cs="Times New Roman"/>
      <w:kern w:val="1"/>
      <w:sz w:val="20"/>
      <w:szCs w:val="20"/>
    </w:rPr>
  </w:style>
  <w:style w:type="paragraph" w:customStyle="1" w:styleId="provvr0">
    <w:name w:val="provv_r0"/>
    <w:basedOn w:val="Normale"/>
    <w:rsid w:val="00474E74"/>
    <w:pPr>
      <w:spacing w:before="100" w:beforeAutospacing="1" w:after="100" w:afterAutospacing="1"/>
    </w:pPr>
    <w:rPr>
      <w:rFonts w:ascii="Times New Roman" w:eastAsia="Times New Roman" w:hAnsi="Times New Roman" w:cs="Times New Roman"/>
    </w:rPr>
  </w:style>
  <w:style w:type="character" w:customStyle="1" w:styleId="Rimandonotaapidipagina1">
    <w:name w:val="Rimando nota a piè di pagina1"/>
    <w:rsid w:val="00483623"/>
    <w:rPr>
      <w:sz w:val="24"/>
      <w:szCs w:val="24"/>
      <w:lang w:val="it-IT"/>
    </w:rPr>
  </w:style>
  <w:style w:type="paragraph" w:customStyle="1" w:styleId="WW-footnotetext123">
    <w:name w:val="WW-footnote text123"/>
    <w:basedOn w:val="Normale"/>
    <w:rsid w:val="004B05C9"/>
    <w:pPr>
      <w:widowControl w:val="0"/>
      <w:suppressAutoHyphens/>
      <w:ind w:left="283" w:hanging="283"/>
    </w:pPr>
    <w:rPr>
      <w:rFonts w:ascii="Times New Roman" w:eastAsia="Andale Sans UI" w:hAnsi="Times New Roman" w:cs="Times New Roman"/>
      <w:kern w:val="1"/>
      <w:sz w:val="20"/>
      <w:szCs w:val="20"/>
    </w:rPr>
  </w:style>
  <w:style w:type="paragraph" w:styleId="Corpotesto">
    <w:name w:val="Body Text"/>
    <w:basedOn w:val="Normale"/>
    <w:link w:val="CorpotestoCarattere"/>
    <w:rsid w:val="00792253"/>
    <w:pPr>
      <w:widowControl w:val="0"/>
      <w:suppressAutoHyphens/>
      <w:spacing w:after="120"/>
    </w:pPr>
    <w:rPr>
      <w:rFonts w:ascii="Times New Roman" w:eastAsia="Andale Sans UI" w:hAnsi="Times New Roman" w:cs="Times New Roman"/>
      <w:kern w:val="1"/>
    </w:rPr>
  </w:style>
  <w:style w:type="character" w:customStyle="1" w:styleId="CorpotestoCarattere">
    <w:name w:val="Corpo testo Carattere"/>
    <w:basedOn w:val="Carpredefinitoparagrafo"/>
    <w:link w:val="Corpotesto"/>
    <w:rsid w:val="00792253"/>
    <w:rPr>
      <w:rFonts w:ascii="Times New Roman" w:eastAsia="Andale Sans UI" w:hAnsi="Times New Roman" w:cs="Times New Roman"/>
      <w:kern w:val="1"/>
      <w:sz w:val="24"/>
      <w:szCs w:val="24"/>
    </w:rPr>
  </w:style>
  <w:style w:type="character" w:customStyle="1" w:styleId="linkneltesto">
    <w:name w:val="link_nel_testo"/>
    <w:basedOn w:val="Carpredefinitoparagrafo"/>
    <w:rsid w:val="00902F94"/>
  </w:style>
  <w:style w:type="character" w:styleId="Enfasicorsivo">
    <w:name w:val="Emphasis"/>
    <w:basedOn w:val="Carpredefinitoparagrafo"/>
    <w:qFormat/>
    <w:rsid w:val="007070C7"/>
    <w:rPr>
      <w:i/>
      <w:iCs/>
    </w:rPr>
  </w:style>
  <w:style w:type="paragraph" w:customStyle="1" w:styleId="Corpodeltesto31">
    <w:name w:val="Corpo del testo 31"/>
    <w:basedOn w:val="Normale"/>
    <w:rsid w:val="0016246E"/>
    <w:pPr>
      <w:suppressAutoHyphens/>
      <w:jc w:val="both"/>
    </w:pPr>
    <w:rPr>
      <w:rFonts w:ascii="Century" w:eastAsia="Times New Roman" w:hAnsi="Century" w:cs="Courier New"/>
      <w:sz w:val="28"/>
      <w:lang w:eastAsia="ar-SA"/>
    </w:rPr>
  </w:style>
  <w:style w:type="character" w:customStyle="1" w:styleId="provvrubrica">
    <w:name w:val="provv_rubrica"/>
    <w:basedOn w:val="Carpredefinitoparagrafo"/>
    <w:rsid w:val="00261DF3"/>
  </w:style>
  <w:style w:type="paragraph" w:customStyle="1" w:styleId="dj-para-r1">
    <w:name w:val="dj-para-r1"/>
    <w:basedOn w:val="Normale"/>
    <w:rsid w:val="00782036"/>
    <w:pPr>
      <w:spacing w:before="100" w:beforeAutospacing="1" w:after="100" w:afterAutospacing="1"/>
    </w:pPr>
    <w:rPr>
      <w:rFonts w:ascii="Times New Roman" w:eastAsia="Times New Roman" w:hAnsi="Times New Roman" w:cs="Times New Roman"/>
    </w:rPr>
  </w:style>
  <w:style w:type="character" w:customStyle="1" w:styleId="dj-testo-evidenziato">
    <w:name w:val="dj-testo-evidenziato"/>
    <w:basedOn w:val="Carpredefinitoparagrafo"/>
    <w:rsid w:val="000958B9"/>
  </w:style>
  <w:style w:type="character" w:customStyle="1" w:styleId="estremosel">
    <w:name w:val="estremosel"/>
    <w:basedOn w:val="Carpredefinitoparagrafo"/>
    <w:rsid w:val="006326BD"/>
  </w:style>
  <w:style w:type="character" w:customStyle="1" w:styleId="nota1">
    <w:name w:val="nota1"/>
    <w:basedOn w:val="Carpredefinitoparagrafo"/>
    <w:rsid w:val="006326BD"/>
  </w:style>
  <w:style w:type="character" w:customStyle="1" w:styleId="provvnumart">
    <w:name w:val="provv_numart"/>
    <w:basedOn w:val="Carpredefinitoparagrafo"/>
    <w:rsid w:val="006326BD"/>
  </w:style>
  <w:style w:type="paragraph" w:customStyle="1" w:styleId="dj-para-r2">
    <w:name w:val="dj-para-r2"/>
    <w:basedOn w:val="Normale"/>
    <w:rsid w:val="006326BD"/>
    <w:pPr>
      <w:spacing w:before="100" w:beforeAutospacing="1" w:after="100" w:afterAutospacing="1"/>
    </w:pPr>
    <w:rPr>
      <w:rFonts w:ascii="Times New Roman" w:eastAsia="Times New Roman" w:hAnsi="Times New Roman" w:cs="Times New Roman"/>
    </w:rPr>
  </w:style>
  <w:style w:type="character" w:customStyle="1" w:styleId="Titolo3Carattere">
    <w:name w:val="Titolo 3 Carattere"/>
    <w:basedOn w:val="Carpredefinitoparagrafo"/>
    <w:link w:val="Titolo3"/>
    <w:rsid w:val="000F46F9"/>
    <w:rPr>
      <w:rFonts w:ascii="inherit" w:eastAsia="Times New Roman" w:hAnsi="inherit" w:cs="Times New Roman"/>
      <w:sz w:val="21"/>
      <w:szCs w:val="21"/>
      <w:lang w:eastAsia="it-IT"/>
    </w:rPr>
  </w:style>
  <w:style w:type="character" w:customStyle="1" w:styleId="Titolo1Carattere">
    <w:name w:val="Titolo 1 Carattere"/>
    <w:basedOn w:val="Carpredefinitoparagrafo"/>
    <w:link w:val="Titolo1"/>
    <w:rsid w:val="005C7EF0"/>
    <w:rPr>
      <w:rFonts w:ascii="Times New Roman" w:eastAsia="Lucida Sans Unicode" w:hAnsi="Times New Roman" w:cs="Mangal"/>
      <w:b/>
      <w:bCs/>
      <w:kern w:val="1"/>
      <w:sz w:val="48"/>
      <w:szCs w:val="48"/>
    </w:rPr>
  </w:style>
  <w:style w:type="character" w:customStyle="1" w:styleId="Titolo2Carattere">
    <w:name w:val="Titolo 2 Carattere"/>
    <w:basedOn w:val="Carpredefinitoparagrafo"/>
    <w:link w:val="Titolo2"/>
    <w:rsid w:val="005C7EF0"/>
    <w:rPr>
      <w:rFonts w:ascii="Arial" w:eastAsia="Times New Roman" w:hAnsi="Arial" w:cs="Times New Roman"/>
      <w:b/>
      <w:bCs/>
      <w:sz w:val="24"/>
      <w:szCs w:val="24"/>
      <w:lang w:val="x-none" w:eastAsia="x-none"/>
    </w:rPr>
  </w:style>
  <w:style w:type="character" w:customStyle="1" w:styleId="Titolo4Carattere">
    <w:name w:val="Titolo 4 Carattere"/>
    <w:basedOn w:val="Carpredefinitoparagrafo"/>
    <w:link w:val="Titolo4"/>
    <w:rsid w:val="005C7EF0"/>
    <w:rPr>
      <w:rFonts w:ascii="Times New Roman" w:eastAsia="Lucida Sans Unicode" w:hAnsi="Times New Roman" w:cs="Mangal"/>
      <w:b/>
      <w:bCs/>
      <w:kern w:val="1"/>
      <w:sz w:val="24"/>
      <w:szCs w:val="24"/>
    </w:rPr>
  </w:style>
  <w:style w:type="character" w:customStyle="1" w:styleId="Titolo5Carattere">
    <w:name w:val="Titolo 5 Carattere"/>
    <w:basedOn w:val="Carpredefinitoparagrafo"/>
    <w:link w:val="Titolo5"/>
    <w:rsid w:val="005C7EF0"/>
    <w:rPr>
      <w:rFonts w:ascii="Verdana" w:eastAsia="Times New Roman" w:hAnsi="Verdana" w:cs="Times New Roman"/>
      <w:b/>
      <w:bCs/>
      <w:sz w:val="16"/>
      <w:szCs w:val="24"/>
      <w:lang w:val="x-none" w:eastAsia="x-none"/>
    </w:rPr>
  </w:style>
  <w:style w:type="character" w:customStyle="1" w:styleId="Absatz-Standardschriftart">
    <w:name w:val="Absatz-Standardschriftart"/>
    <w:rsid w:val="005C7EF0"/>
  </w:style>
  <w:style w:type="character" w:customStyle="1" w:styleId="WW-Absatz-Standardschriftart1">
    <w:name w:val="WW-Absatz-Standardschriftart1"/>
    <w:rsid w:val="005C7EF0"/>
  </w:style>
  <w:style w:type="character" w:customStyle="1" w:styleId="WW-Absatz-Standardschriftart11">
    <w:name w:val="WW-Absatz-Standardschriftart11"/>
    <w:rsid w:val="005C7EF0"/>
  </w:style>
  <w:style w:type="character" w:customStyle="1" w:styleId="WW-Absatz-Standardschriftart111">
    <w:name w:val="WW-Absatz-Standardschriftart111"/>
    <w:rsid w:val="005C7EF0"/>
  </w:style>
  <w:style w:type="character" w:customStyle="1" w:styleId="WW-Absatz-Standardschriftart1111">
    <w:name w:val="WW-Absatz-Standardschriftart1111"/>
    <w:rsid w:val="005C7EF0"/>
  </w:style>
  <w:style w:type="character" w:customStyle="1" w:styleId="WW-Absatz-Standardschriftart11111">
    <w:name w:val="WW-Absatz-Standardschriftart11111"/>
    <w:rsid w:val="005C7EF0"/>
  </w:style>
  <w:style w:type="character" w:customStyle="1" w:styleId="WW-Absatz-Standardschriftart111111">
    <w:name w:val="WW-Absatz-Standardschriftart111111"/>
    <w:rsid w:val="005C7EF0"/>
  </w:style>
  <w:style w:type="character" w:customStyle="1" w:styleId="WW-Absatz-Standardschriftart1111111">
    <w:name w:val="WW-Absatz-Standardschriftart1111111"/>
    <w:rsid w:val="005C7EF0"/>
  </w:style>
  <w:style w:type="character" w:customStyle="1" w:styleId="WW-Absatz-Standardschriftart11111111">
    <w:name w:val="WW-Absatz-Standardschriftart11111111"/>
    <w:rsid w:val="005C7EF0"/>
  </w:style>
  <w:style w:type="character" w:customStyle="1" w:styleId="WW-Absatz-Standardschriftart111111111">
    <w:name w:val="WW-Absatz-Standardschriftart111111111"/>
    <w:rsid w:val="005C7EF0"/>
  </w:style>
  <w:style w:type="character" w:customStyle="1" w:styleId="WW-Absatz-Standardschriftart1111111111">
    <w:name w:val="WW-Absatz-Standardschriftart1111111111"/>
    <w:rsid w:val="005C7EF0"/>
  </w:style>
  <w:style w:type="character" w:customStyle="1" w:styleId="WW-Absatz-Standardschriftart11111111111">
    <w:name w:val="WW-Absatz-Standardschriftart11111111111"/>
    <w:rsid w:val="005C7EF0"/>
  </w:style>
  <w:style w:type="character" w:customStyle="1" w:styleId="WW-Absatz-Standardschriftart111111111111">
    <w:name w:val="WW-Absatz-Standardschriftart111111111111"/>
    <w:rsid w:val="005C7EF0"/>
  </w:style>
  <w:style w:type="character" w:customStyle="1" w:styleId="WW-Absatz-Standardschriftart1111111111111">
    <w:name w:val="WW-Absatz-Standardschriftart1111111111111"/>
    <w:rsid w:val="005C7EF0"/>
  </w:style>
  <w:style w:type="character" w:customStyle="1" w:styleId="WW-Absatz-Standardschriftart11111111111111">
    <w:name w:val="WW-Absatz-Standardschriftart11111111111111"/>
    <w:rsid w:val="005C7EF0"/>
  </w:style>
  <w:style w:type="character" w:customStyle="1" w:styleId="WW-Absatz-Standardschriftart111111111111111">
    <w:name w:val="WW-Absatz-Standardschriftart111111111111111"/>
    <w:rsid w:val="005C7EF0"/>
  </w:style>
  <w:style w:type="character" w:customStyle="1" w:styleId="WW-Absatz-Standardschriftart1111111111111111">
    <w:name w:val="WW-Absatz-Standardschriftart1111111111111111"/>
    <w:rsid w:val="005C7EF0"/>
  </w:style>
  <w:style w:type="character" w:customStyle="1" w:styleId="WW-Absatz-Standardschriftart11111111111111111">
    <w:name w:val="WW-Absatz-Standardschriftart11111111111111111"/>
    <w:rsid w:val="005C7EF0"/>
  </w:style>
  <w:style w:type="character" w:customStyle="1" w:styleId="WW-Absatz-Standardschriftart111111111111111111">
    <w:name w:val="WW-Absatz-Standardschriftart111111111111111111"/>
    <w:rsid w:val="005C7EF0"/>
  </w:style>
  <w:style w:type="character" w:customStyle="1" w:styleId="WW-Absatz-Standardschriftart1111111111111111111">
    <w:name w:val="WW-Absatz-Standardschriftart1111111111111111111"/>
    <w:rsid w:val="005C7EF0"/>
  </w:style>
  <w:style w:type="character" w:customStyle="1" w:styleId="WW-Absatz-Standardschriftart11111111111111111111">
    <w:name w:val="WW-Absatz-Standardschriftart11111111111111111111"/>
    <w:rsid w:val="005C7EF0"/>
  </w:style>
  <w:style w:type="character" w:customStyle="1" w:styleId="WW-Absatz-Standardschriftart111111111111111111111">
    <w:name w:val="WW-Absatz-Standardschriftart111111111111111111111"/>
    <w:rsid w:val="005C7EF0"/>
  </w:style>
  <w:style w:type="character" w:customStyle="1" w:styleId="WW-Absatz-Standardschriftart1111111111111111111111">
    <w:name w:val="WW-Absatz-Standardschriftart1111111111111111111111"/>
    <w:rsid w:val="005C7EF0"/>
  </w:style>
  <w:style w:type="character" w:customStyle="1" w:styleId="WW-Absatz-Standardschriftart11111111111111111111111">
    <w:name w:val="WW-Absatz-Standardschriftart11111111111111111111111"/>
    <w:rsid w:val="005C7EF0"/>
  </w:style>
  <w:style w:type="character" w:customStyle="1" w:styleId="WW-Absatz-Standardschriftart111111111111111111111111">
    <w:name w:val="WW-Absatz-Standardschriftart111111111111111111111111"/>
    <w:rsid w:val="005C7EF0"/>
  </w:style>
  <w:style w:type="character" w:customStyle="1" w:styleId="WW-Absatz-Standardschriftart1111111111111111111111111">
    <w:name w:val="WW-Absatz-Standardschriftart1111111111111111111111111"/>
    <w:rsid w:val="005C7EF0"/>
  </w:style>
  <w:style w:type="character" w:customStyle="1" w:styleId="WW-Absatz-Standardschriftart11111111111111111111111111">
    <w:name w:val="WW-Absatz-Standardschriftart11111111111111111111111111"/>
    <w:rsid w:val="005C7EF0"/>
  </w:style>
  <w:style w:type="character" w:customStyle="1" w:styleId="WW8Num2z0">
    <w:name w:val="WW8Num2z0"/>
    <w:rsid w:val="005C7EF0"/>
    <w:rPr>
      <w:rFonts w:ascii="Symbol" w:hAnsi="Symbol" w:cs="OpenSymbol"/>
    </w:rPr>
  </w:style>
  <w:style w:type="character" w:customStyle="1" w:styleId="WW-Absatz-Standardschriftart111111111111111111111111111">
    <w:name w:val="WW-Absatz-Standardschriftart111111111111111111111111111"/>
    <w:rsid w:val="005C7EF0"/>
  </w:style>
  <w:style w:type="character" w:customStyle="1" w:styleId="WW-Absatz-Standardschriftart1111111111111111111111111111">
    <w:name w:val="WW-Absatz-Standardschriftart1111111111111111111111111111"/>
    <w:rsid w:val="005C7EF0"/>
  </w:style>
  <w:style w:type="character" w:customStyle="1" w:styleId="WW-Absatz-Standardschriftart11111111111111111111111111111">
    <w:name w:val="WW-Absatz-Standardschriftart11111111111111111111111111111"/>
    <w:rsid w:val="005C7EF0"/>
  </w:style>
  <w:style w:type="character" w:customStyle="1" w:styleId="WW-Absatz-Standardschriftart111111111111111111111111111111">
    <w:name w:val="WW-Absatz-Standardschriftart111111111111111111111111111111"/>
    <w:rsid w:val="005C7EF0"/>
  </w:style>
  <w:style w:type="character" w:customStyle="1" w:styleId="WW-Absatz-Standardschriftart1111111111111111111111111111111">
    <w:name w:val="WW-Absatz-Standardschriftart1111111111111111111111111111111"/>
    <w:rsid w:val="005C7EF0"/>
  </w:style>
  <w:style w:type="character" w:customStyle="1" w:styleId="WW-Absatz-Standardschriftart11111111111111111111111111111111">
    <w:name w:val="WW-Absatz-Standardschriftart11111111111111111111111111111111"/>
    <w:rsid w:val="005C7EF0"/>
  </w:style>
  <w:style w:type="character" w:customStyle="1" w:styleId="WW-Absatz-Standardschriftart111111111111111111111111111111111">
    <w:name w:val="WW-Absatz-Standardschriftart111111111111111111111111111111111"/>
    <w:rsid w:val="005C7EF0"/>
  </w:style>
  <w:style w:type="character" w:customStyle="1" w:styleId="WW-Absatz-Standardschriftart1111111111111111111111111111111111">
    <w:name w:val="WW-Absatz-Standardschriftart1111111111111111111111111111111111"/>
    <w:rsid w:val="005C7EF0"/>
  </w:style>
  <w:style w:type="character" w:customStyle="1" w:styleId="WW-Absatz-Standardschriftart11111111111111111111111111111111111">
    <w:name w:val="WW-Absatz-Standardschriftart11111111111111111111111111111111111"/>
    <w:rsid w:val="005C7EF0"/>
  </w:style>
  <w:style w:type="character" w:customStyle="1" w:styleId="WW-Absatz-Standardschriftart111111111111111111111111111111111111">
    <w:name w:val="WW-Absatz-Standardschriftart111111111111111111111111111111111111"/>
    <w:rsid w:val="005C7EF0"/>
  </w:style>
  <w:style w:type="character" w:customStyle="1" w:styleId="WW-Absatz-Standardschriftart1111111111111111111111111111111111111">
    <w:name w:val="WW-Absatz-Standardschriftart1111111111111111111111111111111111111"/>
    <w:rsid w:val="005C7EF0"/>
  </w:style>
  <w:style w:type="character" w:customStyle="1" w:styleId="WW-Absatz-Standardschriftart11111111111111111111111111111111111111">
    <w:name w:val="WW-Absatz-Standardschriftart11111111111111111111111111111111111111"/>
    <w:rsid w:val="005C7EF0"/>
  </w:style>
  <w:style w:type="character" w:customStyle="1" w:styleId="WW-Absatz-Standardschriftart111111111111111111111111111111111111111">
    <w:name w:val="WW-Absatz-Standardschriftart111111111111111111111111111111111111111"/>
    <w:rsid w:val="005C7EF0"/>
  </w:style>
  <w:style w:type="character" w:customStyle="1" w:styleId="WW-Absatz-Standardschriftart1111111111111111111111111111111111111111">
    <w:name w:val="WW-Absatz-Standardschriftart1111111111111111111111111111111111111111"/>
    <w:rsid w:val="005C7EF0"/>
  </w:style>
  <w:style w:type="character" w:customStyle="1" w:styleId="WW-Absatz-Standardschriftart11111111111111111111111111111111111111111">
    <w:name w:val="WW-Absatz-Standardschriftart11111111111111111111111111111111111111111"/>
    <w:rsid w:val="005C7EF0"/>
  </w:style>
  <w:style w:type="character" w:customStyle="1" w:styleId="WW-Absatz-Standardschriftart111111111111111111111111111111111111111111">
    <w:name w:val="WW-Absatz-Standardschriftart111111111111111111111111111111111111111111"/>
    <w:rsid w:val="005C7EF0"/>
  </w:style>
  <w:style w:type="character" w:customStyle="1" w:styleId="WW-Absatz-Standardschriftart1111111111111111111111111111111111111111111">
    <w:name w:val="WW-Absatz-Standardschriftart1111111111111111111111111111111111111111111"/>
    <w:rsid w:val="005C7EF0"/>
  </w:style>
  <w:style w:type="character" w:customStyle="1" w:styleId="WW-Absatz-Standardschriftart11111111111111111111111111111111111111111111">
    <w:name w:val="WW-Absatz-Standardschriftart11111111111111111111111111111111111111111111"/>
    <w:rsid w:val="005C7EF0"/>
  </w:style>
  <w:style w:type="character" w:customStyle="1" w:styleId="WW-Absatz-Standardschriftart111111111111111111111111111111111111111111111">
    <w:name w:val="WW-Absatz-Standardschriftart111111111111111111111111111111111111111111111"/>
    <w:rsid w:val="005C7EF0"/>
  </w:style>
  <w:style w:type="character" w:customStyle="1" w:styleId="WW-Absatz-Standardschriftart1111111111111111111111111111111111111111111111">
    <w:name w:val="WW-Absatz-Standardschriftart1111111111111111111111111111111111111111111111"/>
    <w:rsid w:val="005C7EF0"/>
  </w:style>
  <w:style w:type="character" w:customStyle="1" w:styleId="WW-Absatz-Standardschriftart11111111111111111111111111111111111111111111111">
    <w:name w:val="WW-Absatz-Standardschriftart11111111111111111111111111111111111111111111111"/>
    <w:rsid w:val="005C7EF0"/>
  </w:style>
  <w:style w:type="character" w:customStyle="1" w:styleId="WW-Absatz-Standardschriftart111111111111111111111111111111111111111111111111">
    <w:name w:val="WW-Absatz-Standardschriftart111111111111111111111111111111111111111111111111"/>
    <w:rsid w:val="005C7EF0"/>
  </w:style>
  <w:style w:type="character" w:customStyle="1" w:styleId="WW8Num1z0">
    <w:name w:val="WW8Num1z0"/>
    <w:rsid w:val="005C7EF0"/>
    <w:rPr>
      <w:rFonts w:ascii="Symbol" w:hAnsi="Symbol" w:cs="OpenSymbol"/>
    </w:rPr>
  </w:style>
  <w:style w:type="character" w:customStyle="1" w:styleId="WW8Num4z0">
    <w:name w:val="WW8Num4z0"/>
    <w:rsid w:val="005C7EF0"/>
    <w:rPr>
      <w:rFonts w:ascii="Symbol" w:hAnsi="Symbol" w:cs="OpenSymbol"/>
    </w:rPr>
  </w:style>
  <w:style w:type="character" w:customStyle="1" w:styleId="WW8Num5z0">
    <w:name w:val="WW8Num5z0"/>
    <w:rsid w:val="005C7EF0"/>
    <w:rPr>
      <w:rFonts w:ascii="Symbol" w:hAnsi="Symbol" w:cs="OpenSymbol"/>
    </w:rPr>
  </w:style>
  <w:style w:type="character" w:customStyle="1" w:styleId="WW8Num6z0">
    <w:name w:val="WW8Num6z0"/>
    <w:rsid w:val="005C7EF0"/>
    <w:rPr>
      <w:rFonts w:ascii="Symbol" w:hAnsi="Symbol" w:cs="OpenSymbol"/>
    </w:rPr>
  </w:style>
  <w:style w:type="character" w:customStyle="1" w:styleId="WW8Num7z0">
    <w:name w:val="WW8Num7z0"/>
    <w:rsid w:val="005C7EF0"/>
    <w:rPr>
      <w:rFonts w:ascii="Symbol" w:hAnsi="Symbol" w:cs="OpenSymbol"/>
    </w:rPr>
  </w:style>
  <w:style w:type="character" w:customStyle="1" w:styleId="WW8Num8z0">
    <w:name w:val="WW8Num8z0"/>
    <w:rsid w:val="005C7EF0"/>
    <w:rPr>
      <w:rFonts w:ascii="Symbol" w:hAnsi="Symbol" w:cs="OpenSymbol"/>
    </w:rPr>
  </w:style>
  <w:style w:type="character" w:customStyle="1" w:styleId="WW8Num9z0">
    <w:name w:val="WW8Num9z0"/>
    <w:rsid w:val="005C7EF0"/>
    <w:rPr>
      <w:rFonts w:ascii="Symbol" w:hAnsi="Symbol" w:cs="OpenSymbol"/>
    </w:rPr>
  </w:style>
  <w:style w:type="character" w:customStyle="1" w:styleId="WW8Num10z0">
    <w:name w:val="WW8Num10z0"/>
    <w:rsid w:val="005C7EF0"/>
    <w:rPr>
      <w:rFonts w:ascii="Symbol" w:hAnsi="Symbol" w:cs="OpenSymbol"/>
    </w:rPr>
  </w:style>
  <w:style w:type="character" w:customStyle="1" w:styleId="WW-Absatz-Standardschriftart1111111111111111111111111111111111111111111111111">
    <w:name w:val="WW-Absatz-Standardschriftart1111111111111111111111111111111111111111111111111"/>
    <w:rsid w:val="005C7EF0"/>
  </w:style>
  <w:style w:type="character" w:customStyle="1" w:styleId="WW-Absatz-Standardschriftart11111111111111111111111111111111111111111111111111">
    <w:name w:val="WW-Absatz-Standardschriftart11111111111111111111111111111111111111111111111111"/>
    <w:rsid w:val="005C7EF0"/>
  </w:style>
  <w:style w:type="character" w:customStyle="1" w:styleId="WW-Absatz-Standardschriftart111111111111111111111111111111111111111111111111111">
    <w:name w:val="WW-Absatz-Standardschriftart111111111111111111111111111111111111111111111111111"/>
    <w:rsid w:val="005C7EF0"/>
  </w:style>
  <w:style w:type="character" w:customStyle="1" w:styleId="WW-Absatz-Standardschriftart1111111111111111111111111111111111111111111111111111">
    <w:name w:val="WW-Absatz-Standardschriftart1111111111111111111111111111111111111111111111111111"/>
    <w:rsid w:val="005C7EF0"/>
  </w:style>
  <w:style w:type="character" w:customStyle="1" w:styleId="WW-Absatz-Standardschriftart11111111111111111111111111111111111111111111111111111">
    <w:name w:val="WW-Absatz-Standardschriftart11111111111111111111111111111111111111111111111111111"/>
    <w:rsid w:val="005C7EF0"/>
  </w:style>
  <w:style w:type="character" w:customStyle="1" w:styleId="WW-Absatz-Standardschriftart111111111111111111111111111111111111111111111111111111">
    <w:name w:val="WW-Absatz-Standardschriftart111111111111111111111111111111111111111111111111111111"/>
    <w:rsid w:val="005C7EF0"/>
  </w:style>
  <w:style w:type="character" w:customStyle="1" w:styleId="WW-Absatz-Standardschriftart1111111111111111111111111111111111111111111111111111111">
    <w:name w:val="WW-Absatz-Standardschriftart1111111111111111111111111111111111111111111111111111111"/>
    <w:rsid w:val="005C7EF0"/>
  </w:style>
  <w:style w:type="character" w:customStyle="1" w:styleId="WW-Absatz-Standardschriftart11111111111111111111111111111111111111111111111111111111">
    <w:name w:val="WW-Absatz-Standardschriftart11111111111111111111111111111111111111111111111111111111"/>
    <w:rsid w:val="005C7EF0"/>
  </w:style>
  <w:style w:type="character" w:customStyle="1" w:styleId="WW-Absatz-Standardschriftart111111111111111111111111111111111111111111111111111111111">
    <w:name w:val="WW-Absatz-Standardschriftart111111111111111111111111111111111111111111111111111111111"/>
    <w:rsid w:val="005C7EF0"/>
  </w:style>
  <w:style w:type="character" w:styleId="Enfasigrassetto">
    <w:name w:val="Strong"/>
    <w:uiPriority w:val="22"/>
    <w:qFormat/>
    <w:rsid w:val="005C7EF0"/>
    <w:rPr>
      <w:b/>
      <w:bCs/>
    </w:rPr>
  </w:style>
  <w:style w:type="character" w:styleId="Collegamentovisitato">
    <w:name w:val="FollowedHyperlink"/>
    <w:rsid w:val="005C7EF0"/>
    <w:rPr>
      <w:color w:val="800000"/>
      <w:u w:val="single"/>
    </w:rPr>
  </w:style>
  <w:style w:type="character" w:customStyle="1" w:styleId="Punti">
    <w:name w:val="Punti"/>
    <w:rsid w:val="005C7EF0"/>
    <w:rPr>
      <w:rFonts w:ascii="OpenSymbol" w:eastAsia="OpenSymbol" w:hAnsi="OpenSymbol" w:cs="OpenSymbol"/>
    </w:rPr>
  </w:style>
  <w:style w:type="character" w:customStyle="1" w:styleId="Caratteredinumerazione">
    <w:name w:val="Carattere di numerazione"/>
    <w:rsid w:val="005C7EF0"/>
  </w:style>
  <w:style w:type="paragraph" w:customStyle="1" w:styleId="Intestazione1">
    <w:name w:val="Intestazione1"/>
    <w:basedOn w:val="Normale"/>
    <w:next w:val="Corpotesto"/>
    <w:rsid w:val="005C7EF0"/>
    <w:pPr>
      <w:keepNext/>
      <w:widowControl w:val="0"/>
      <w:suppressAutoHyphens/>
      <w:spacing w:before="240" w:after="120"/>
    </w:pPr>
    <w:rPr>
      <w:rFonts w:ascii="Arial" w:eastAsia="Andale Sans UI" w:hAnsi="Arial" w:cs="Tahoma"/>
      <w:kern w:val="1"/>
      <w:sz w:val="28"/>
      <w:szCs w:val="28"/>
    </w:rPr>
  </w:style>
  <w:style w:type="paragraph" w:styleId="Elenco">
    <w:name w:val="List"/>
    <w:basedOn w:val="Corpotesto"/>
    <w:rsid w:val="005C7EF0"/>
    <w:rPr>
      <w:rFonts w:eastAsia="Lucida Sans Unicode" w:cs="Tahoma"/>
    </w:rPr>
  </w:style>
  <w:style w:type="paragraph" w:customStyle="1" w:styleId="Didascalia1">
    <w:name w:val="Didascalia1"/>
    <w:basedOn w:val="Normale"/>
    <w:rsid w:val="005C7EF0"/>
    <w:pPr>
      <w:widowControl w:val="0"/>
      <w:suppressLineNumbers/>
      <w:suppressAutoHyphens/>
      <w:spacing w:before="120" w:after="120"/>
    </w:pPr>
    <w:rPr>
      <w:rFonts w:ascii="Times New Roman" w:eastAsia="Lucida Sans Unicode" w:hAnsi="Times New Roman" w:cs="Tahoma"/>
      <w:i/>
      <w:iCs/>
      <w:kern w:val="1"/>
    </w:rPr>
  </w:style>
  <w:style w:type="paragraph" w:customStyle="1" w:styleId="Indice">
    <w:name w:val="Indice"/>
    <w:basedOn w:val="Normale"/>
    <w:rsid w:val="005C7EF0"/>
    <w:pPr>
      <w:widowControl w:val="0"/>
      <w:suppressLineNumbers/>
      <w:suppressAutoHyphens/>
    </w:pPr>
    <w:rPr>
      <w:rFonts w:ascii="Times New Roman" w:eastAsia="Lucida Sans Unicode" w:hAnsi="Times New Roman" w:cs="Tahoma"/>
      <w:kern w:val="1"/>
    </w:rPr>
  </w:style>
  <w:style w:type="paragraph" w:customStyle="1" w:styleId="Contenutotabella">
    <w:name w:val="Contenuto tabella"/>
    <w:basedOn w:val="Normale"/>
    <w:rsid w:val="005C7EF0"/>
    <w:pPr>
      <w:widowControl w:val="0"/>
      <w:suppressLineNumbers/>
      <w:suppressAutoHyphens/>
    </w:pPr>
    <w:rPr>
      <w:rFonts w:ascii="Times New Roman" w:eastAsia="Lucida Sans Unicode" w:hAnsi="Times New Roman" w:cs="Times New Roman"/>
      <w:kern w:val="1"/>
    </w:rPr>
  </w:style>
  <w:style w:type="paragraph" w:customStyle="1" w:styleId="Intestazionetabella">
    <w:name w:val="Intestazione tabella"/>
    <w:basedOn w:val="Contenutotabella"/>
    <w:rsid w:val="005C7EF0"/>
    <w:pPr>
      <w:jc w:val="center"/>
    </w:pPr>
    <w:rPr>
      <w:b/>
      <w:bCs/>
    </w:rPr>
  </w:style>
  <w:style w:type="paragraph" w:customStyle="1" w:styleId="Lineaorizzontale">
    <w:name w:val="Linea orizzontale"/>
    <w:basedOn w:val="Normale"/>
    <w:next w:val="Corpotesto"/>
    <w:rsid w:val="005C7EF0"/>
    <w:pPr>
      <w:widowControl w:val="0"/>
      <w:suppressLineNumbers/>
      <w:pBdr>
        <w:bottom w:val="double" w:sz="1" w:space="0" w:color="808080"/>
      </w:pBdr>
      <w:suppressAutoHyphens/>
      <w:spacing w:after="283"/>
    </w:pPr>
    <w:rPr>
      <w:rFonts w:ascii="Times New Roman" w:eastAsia="Lucida Sans Unicode" w:hAnsi="Times New Roman" w:cs="Times New Roman"/>
      <w:kern w:val="1"/>
      <w:sz w:val="12"/>
      <w:szCs w:val="12"/>
    </w:rPr>
  </w:style>
  <w:style w:type="paragraph" w:customStyle="1" w:styleId="Intestazioneelenco">
    <w:name w:val="Intestazione elenco"/>
    <w:basedOn w:val="Normale"/>
    <w:next w:val="Contenutoelenco"/>
    <w:rsid w:val="005C7EF0"/>
    <w:pPr>
      <w:widowControl w:val="0"/>
      <w:suppressAutoHyphens/>
    </w:pPr>
    <w:rPr>
      <w:rFonts w:ascii="Times New Roman" w:eastAsia="Lucida Sans Unicode" w:hAnsi="Times New Roman" w:cs="Times New Roman"/>
      <w:kern w:val="1"/>
    </w:rPr>
  </w:style>
  <w:style w:type="paragraph" w:customStyle="1" w:styleId="Contenutoelenco">
    <w:name w:val="Contenuto elenco"/>
    <w:basedOn w:val="Normale"/>
    <w:rsid w:val="005C7EF0"/>
    <w:pPr>
      <w:widowControl w:val="0"/>
      <w:suppressAutoHyphens/>
      <w:ind w:left="567"/>
    </w:pPr>
    <w:rPr>
      <w:rFonts w:ascii="Times New Roman" w:eastAsia="Lucida Sans Unicode" w:hAnsi="Times New Roman" w:cs="Times New Roman"/>
      <w:kern w:val="1"/>
    </w:rPr>
  </w:style>
  <w:style w:type="paragraph" w:customStyle="1" w:styleId="Testopreformattato">
    <w:name w:val="Testo preformattato"/>
    <w:basedOn w:val="Normale"/>
    <w:rsid w:val="005C7EF0"/>
    <w:pPr>
      <w:widowControl w:val="0"/>
      <w:suppressAutoHyphens/>
    </w:pPr>
    <w:rPr>
      <w:rFonts w:ascii="Courier New" w:eastAsia="Courier New" w:hAnsi="Courier New" w:cs="Courier New"/>
      <w:kern w:val="1"/>
      <w:sz w:val="20"/>
      <w:szCs w:val="20"/>
    </w:rPr>
  </w:style>
  <w:style w:type="paragraph" w:customStyle="1" w:styleId="innome">
    <w:name w:val="innome"/>
    <w:basedOn w:val="Normale"/>
    <w:rsid w:val="005C7EF0"/>
    <w:pPr>
      <w:spacing w:before="100" w:beforeAutospacing="1" w:after="100" w:afterAutospacing="1"/>
      <w:jc w:val="center"/>
    </w:pPr>
    <w:rPr>
      <w:rFonts w:ascii="Garamond" w:eastAsia="Times New Roman" w:hAnsi="Garamond" w:cs="Times New Roman"/>
      <w:b/>
      <w:bCs/>
      <w:color w:val="000000"/>
      <w:sz w:val="22"/>
      <w:szCs w:val="22"/>
    </w:rPr>
  </w:style>
  <w:style w:type="paragraph" w:customStyle="1" w:styleId="contro">
    <w:name w:val="contro"/>
    <w:basedOn w:val="Normale"/>
    <w:rsid w:val="005C7EF0"/>
    <w:pPr>
      <w:spacing w:line="520" w:lineRule="atLeast"/>
      <w:jc w:val="center"/>
    </w:pPr>
    <w:rPr>
      <w:rFonts w:ascii="Garamond" w:eastAsia="Times New Roman" w:hAnsi="Garamond" w:cs="Times New Roman"/>
      <w:b/>
      <w:bCs/>
      <w:i/>
      <w:iCs/>
      <w:sz w:val="30"/>
      <w:szCs w:val="30"/>
    </w:rPr>
  </w:style>
  <w:style w:type="paragraph" w:customStyle="1" w:styleId="tabula">
    <w:name w:val="tabula"/>
    <w:basedOn w:val="Normale"/>
    <w:rsid w:val="005C7EF0"/>
    <w:pPr>
      <w:spacing w:line="520" w:lineRule="atLeast"/>
      <w:ind w:firstLine="567"/>
    </w:pPr>
    <w:rPr>
      <w:rFonts w:ascii="Garamond" w:eastAsia="Times New Roman" w:hAnsi="Garamond" w:cs="Times New Roman"/>
      <w:sz w:val="30"/>
      <w:szCs w:val="30"/>
    </w:rPr>
  </w:style>
  <w:style w:type="paragraph" w:styleId="Corpodeltesto2">
    <w:name w:val="Body Text 2"/>
    <w:basedOn w:val="Normale"/>
    <w:link w:val="Corpodeltesto2Carattere"/>
    <w:unhideWhenUsed/>
    <w:rsid w:val="005C7EF0"/>
    <w:pPr>
      <w:widowControl w:val="0"/>
      <w:suppressAutoHyphens/>
      <w:spacing w:after="120" w:line="480" w:lineRule="auto"/>
    </w:pPr>
    <w:rPr>
      <w:rFonts w:ascii="Times New Roman" w:eastAsia="Lucida Sans Unicode" w:hAnsi="Times New Roman" w:cs="Times New Roman"/>
      <w:kern w:val="1"/>
    </w:rPr>
  </w:style>
  <w:style w:type="character" w:customStyle="1" w:styleId="Corpodeltesto2Carattere">
    <w:name w:val="Corpo del testo 2 Carattere"/>
    <w:basedOn w:val="Carpredefinitoparagrafo"/>
    <w:link w:val="Corpodeltesto2"/>
    <w:rsid w:val="005C7EF0"/>
    <w:rPr>
      <w:rFonts w:ascii="Times New Roman" w:eastAsia="Lucida Sans Unicode" w:hAnsi="Times New Roman" w:cs="Times New Roman"/>
      <w:kern w:val="1"/>
      <w:sz w:val="24"/>
      <w:szCs w:val="24"/>
    </w:rPr>
  </w:style>
  <w:style w:type="paragraph" w:styleId="Rientrocorpodeltesto">
    <w:name w:val="Body Text Indent"/>
    <w:basedOn w:val="Normale"/>
    <w:link w:val="RientrocorpodeltestoCarattere"/>
    <w:uiPriority w:val="99"/>
    <w:unhideWhenUsed/>
    <w:rsid w:val="005C7EF0"/>
    <w:pPr>
      <w:widowControl w:val="0"/>
      <w:suppressAutoHyphens/>
      <w:spacing w:after="120"/>
      <w:ind w:left="283"/>
    </w:pPr>
    <w:rPr>
      <w:rFonts w:ascii="Times New Roman" w:eastAsia="Lucida Sans Unicode" w:hAnsi="Times New Roman" w:cs="Times New Roman"/>
      <w:kern w:val="1"/>
    </w:rPr>
  </w:style>
  <w:style w:type="character" w:customStyle="1" w:styleId="RientrocorpodeltestoCarattere">
    <w:name w:val="Rientro corpo del testo Carattere"/>
    <w:basedOn w:val="Carpredefinitoparagrafo"/>
    <w:link w:val="Rientrocorpodeltesto"/>
    <w:uiPriority w:val="99"/>
    <w:rsid w:val="005C7EF0"/>
    <w:rPr>
      <w:rFonts w:ascii="Times New Roman" w:eastAsia="Lucida Sans Unicode" w:hAnsi="Times New Roman" w:cs="Times New Roman"/>
      <w:kern w:val="1"/>
      <w:sz w:val="24"/>
      <w:szCs w:val="24"/>
    </w:rPr>
  </w:style>
  <w:style w:type="character" w:styleId="Numeropagina">
    <w:name w:val="page number"/>
    <w:rsid w:val="005C7EF0"/>
  </w:style>
  <w:style w:type="paragraph" w:styleId="Sottotitolo">
    <w:name w:val="Subtitle"/>
    <w:basedOn w:val="Normale"/>
    <w:link w:val="SottotitoloCarattere"/>
    <w:qFormat/>
    <w:rsid w:val="005C7EF0"/>
    <w:pPr>
      <w:widowControl w:val="0"/>
      <w:spacing w:line="567" w:lineRule="exact"/>
      <w:jc w:val="center"/>
    </w:pPr>
    <w:rPr>
      <w:rFonts w:ascii="Arial" w:eastAsia="Times New Roman" w:hAnsi="Arial" w:cs="Times New Roman"/>
      <w:b/>
      <w:bCs/>
      <w:lang w:val="x-none" w:eastAsia="x-none"/>
    </w:rPr>
  </w:style>
  <w:style w:type="character" w:customStyle="1" w:styleId="SottotitoloCarattere">
    <w:name w:val="Sottotitolo Carattere"/>
    <w:basedOn w:val="Carpredefinitoparagrafo"/>
    <w:link w:val="Sottotitolo"/>
    <w:rsid w:val="005C7EF0"/>
    <w:rPr>
      <w:rFonts w:ascii="Arial" w:eastAsia="Times New Roman" w:hAnsi="Arial" w:cs="Times New Roman"/>
      <w:b/>
      <w:bCs/>
      <w:sz w:val="24"/>
      <w:szCs w:val="24"/>
      <w:lang w:val="x-none" w:eastAsia="x-none"/>
    </w:rPr>
  </w:style>
  <w:style w:type="paragraph" w:styleId="Corpodeltesto3">
    <w:name w:val="Body Text 3"/>
    <w:basedOn w:val="Normale"/>
    <w:link w:val="Corpodeltesto3Carattere"/>
    <w:rsid w:val="005C7EF0"/>
    <w:pPr>
      <w:widowControl w:val="0"/>
      <w:spacing w:line="567" w:lineRule="exact"/>
      <w:jc w:val="both"/>
    </w:pPr>
    <w:rPr>
      <w:rFonts w:ascii="Verdana" w:eastAsia="Times New Roman" w:hAnsi="Verdana" w:cs="Times New Roman"/>
      <w:sz w:val="22"/>
      <w:lang w:val="x-none" w:eastAsia="x-none"/>
    </w:rPr>
  </w:style>
  <w:style w:type="character" w:customStyle="1" w:styleId="Corpodeltesto3Carattere">
    <w:name w:val="Corpo del testo 3 Carattere"/>
    <w:basedOn w:val="Carpredefinitoparagrafo"/>
    <w:link w:val="Corpodeltesto3"/>
    <w:rsid w:val="005C7EF0"/>
    <w:rPr>
      <w:rFonts w:ascii="Verdana" w:eastAsia="Times New Roman" w:hAnsi="Verdana" w:cs="Times New Roman"/>
      <w:szCs w:val="24"/>
      <w:lang w:val="x-none" w:eastAsia="x-none"/>
    </w:rPr>
  </w:style>
  <w:style w:type="paragraph" w:styleId="Testocommento">
    <w:name w:val="annotation text"/>
    <w:basedOn w:val="Normale"/>
    <w:link w:val="TestocommentoCarattere"/>
    <w:semiHidden/>
    <w:rsid w:val="005C7EF0"/>
    <w:pPr>
      <w:spacing w:before="100" w:beforeAutospacing="1" w:after="100" w:afterAutospacing="1"/>
    </w:pPr>
    <w:rPr>
      <w:rFonts w:ascii="Verdana" w:eastAsia="Arial Unicode MS" w:hAnsi="Verdana" w:cs="Times New Roman"/>
      <w:sz w:val="19"/>
      <w:szCs w:val="19"/>
      <w:lang w:val="x-none" w:eastAsia="x-none"/>
    </w:rPr>
  </w:style>
  <w:style w:type="character" w:customStyle="1" w:styleId="TestocommentoCarattere">
    <w:name w:val="Testo commento Carattere"/>
    <w:basedOn w:val="Carpredefinitoparagrafo"/>
    <w:link w:val="Testocommento"/>
    <w:semiHidden/>
    <w:rsid w:val="005C7EF0"/>
    <w:rPr>
      <w:rFonts w:ascii="Verdana" w:eastAsia="Arial Unicode MS" w:hAnsi="Verdana" w:cs="Times New Roman"/>
      <w:sz w:val="19"/>
      <w:szCs w:val="19"/>
      <w:lang w:val="x-none" w:eastAsia="x-none"/>
    </w:rPr>
  </w:style>
  <w:style w:type="paragraph" w:customStyle="1" w:styleId="Corpodeltesto21">
    <w:name w:val="Corpo del testo 21"/>
    <w:basedOn w:val="Normale"/>
    <w:rsid w:val="005C7EF0"/>
    <w:pPr>
      <w:overflowPunct w:val="0"/>
      <w:autoSpaceDE w:val="0"/>
      <w:autoSpaceDN w:val="0"/>
      <w:adjustRightInd w:val="0"/>
      <w:ind w:firstLine="708"/>
      <w:jc w:val="both"/>
      <w:textAlignment w:val="baseline"/>
    </w:pPr>
    <w:rPr>
      <w:rFonts w:ascii="Times New Roman" w:eastAsia="Times New Roman" w:hAnsi="Times New Roman" w:cs="Times New Roman"/>
      <w:szCs w:val="20"/>
    </w:rPr>
  </w:style>
  <w:style w:type="paragraph" w:styleId="Rientrocorpodeltesto2">
    <w:name w:val="Body Text Indent 2"/>
    <w:basedOn w:val="Normale"/>
    <w:link w:val="Rientrocorpodeltesto2Carattere"/>
    <w:rsid w:val="005C7EF0"/>
    <w:pPr>
      <w:widowControl w:val="0"/>
      <w:spacing w:line="567" w:lineRule="exact"/>
      <w:ind w:firstLine="708"/>
      <w:jc w:val="both"/>
    </w:pPr>
    <w:rPr>
      <w:rFonts w:ascii="Verdana" w:eastAsia="Times New Roman" w:hAnsi="Verdana" w:cs="Times New Roman"/>
      <w:sz w:val="20"/>
      <w:lang w:val="x-none" w:eastAsia="x-none"/>
    </w:rPr>
  </w:style>
  <w:style w:type="character" w:customStyle="1" w:styleId="Rientrocorpodeltesto2Carattere">
    <w:name w:val="Rientro corpo del testo 2 Carattere"/>
    <w:basedOn w:val="Carpredefinitoparagrafo"/>
    <w:link w:val="Rientrocorpodeltesto2"/>
    <w:rsid w:val="005C7EF0"/>
    <w:rPr>
      <w:rFonts w:ascii="Verdana" w:eastAsia="Times New Roman" w:hAnsi="Verdana" w:cs="Times New Roman"/>
      <w:sz w:val="20"/>
      <w:szCs w:val="24"/>
      <w:lang w:val="x-none" w:eastAsia="x-none"/>
    </w:rPr>
  </w:style>
  <w:style w:type="paragraph" w:styleId="Rientrocorpodeltesto3">
    <w:name w:val="Body Text Indent 3"/>
    <w:basedOn w:val="Normale"/>
    <w:link w:val="Rientrocorpodeltesto3Carattere"/>
    <w:rsid w:val="005C7EF0"/>
    <w:pPr>
      <w:widowControl w:val="0"/>
      <w:spacing w:line="567" w:lineRule="exact"/>
      <w:ind w:left="180"/>
      <w:jc w:val="both"/>
    </w:pPr>
    <w:rPr>
      <w:rFonts w:ascii="Verdana" w:eastAsia="Times New Roman" w:hAnsi="Verdana" w:cs="Times New Roman"/>
      <w:sz w:val="20"/>
      <w:lang w:val="x-none" w:eastAsia="x-none"/>
    </w:rPr>
  </w:style>
  <w:style w:type="character" w:customStyle="1" w:styleId="Rientrocorpodeltesto3Carattere">
    <w:name w:val="Rientro corpo del testo 3 Carattere"/>
    <w:basedOn w:val="Carpredefinitoparagrafo"/>
    <w:link w:val="Rientrocorpodeltesto3"/>
    <w:rsid w:val="005C7EF0"/>
    <w:rPr>
      <w:rFonts w:ascii="Verdana" w:eastAsia="Times New Roman" w:hAnsi="Verdana" w:cs="Times New Roman"/>
      <w:sz w:val="20"/>
      <w:szCs w:val="24"/>
      <w:lang w:val="x-none" w:eastAsia="x-none"/>
    </w:rPr>
  </w:style>
  <w:style w:type="paragraph" w:customStyle="1" w:styleId="dottrinar1">
    <w:name w:val="dottrinar1"/>
    <w:basedOn w:val="Normale"/>
    <w:rsid w:val="005C7EF0"/>
    <w:pPr>
      <w:spacing w:before="100" w:beforeAutospacing="1" w:after="100" w:afterAutospacing="1"/>
    </w:pPr>
    <w:rPr>
      <w:rFonts w:ascii="Arial Unicode MS" w:eastAsia="Arial Unicode MS" w:hAnsi="Arial Unicode MS" w:cs="Arial Unicode MS"/>
    </w:rPr>
  </w:style>
  <w:style w:type="paragraph" w:styleId="Testodelblocco">
    <w:name w:val="Block Text"/>
    <w:basedOn w:val="Normale"/>
    <w:rsid w:val="005C7EF0"/>
    <w:pPr>
      <w:spacing w:line="480" w:lineRule="auto"/>
      <w:ind w:left="851" w:right="851" w:firstLine="709"/>
      <w:jc w:val="both"/>
    </w:pPr>
    <w:rPr>
      <w:rFonts w:ascii="Times New Roman" w:eastAsia="Times New Roman" w:hAnsi="Times New Roman" w:cs="Times New Roman"/>
    </w:rPr>
  </w:style>
  <w:style w:type="paragraph" w:styleId="Testonormale">
    <w:name w:val="Plain Text"/>
    <w:basedOn w:val="Normale"/>
    <w:link w:val="TestonormaleCarattere"/>
    <w:rsid w:val="005C7EF0"/>
    <w:rPr>
      <w:rFonts w:ascii="Courier New" w:eastAsia="Times New Roman" w:hAnsi="Courier New" w:cs="Times New Roman"/>
      <w:sz w:val="20"/>
      <w:szCs w:val="20"/>
      <w:lang w:val="x-none" w:eastAsia="x-none"/>
    </w:rPr>
  </w:style>
  <w:style w:type="character" w:customStyle="1" w:styleId="TestonormaleCarattere">
    <w:name w:val="Testo normale Carattere"/>
    <w:basedOn w:val="Carpredefinitoparagrafo"/>
    <w:link w:val="Testonormale"/>
    <w:rsid w:val="005C7EF0"/>
    <w:rPr>
      <w:rFonts w:ascii="Courier New" w:eastAsia="Times New Roman" w:hAnsi="Courier New" w:cs="Times New Roman"/>
      <w:sz w:val="20"/>
      <w:szCs w:val="20"/>
      <w:lang w:val="x-none" w:eastAsia="x-none"/>
    </w:rPr>
  </w:style>
  <w:style w:type="table" w:styleId="Grigliatabella">
    <w:name w:val="Table Grid"/>
    <w:basedOn w:val="Tabellanormale"/>
    <w:rsid w:val="005C7EF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tabrel2014">
    <w:name w:val="Titolo tab rel 2014"/>
    <w:basedOn w:val="Normale"/>
    <w:link w:val="Titolotabrel2014Carattere"/>
    <w:qFormat/>
    <w:rsid w:val="005C7EF0"/>
    <w:pPr>
      <w:spacing w:line="360" w:lineRule="auto"/>
      <w:jc w:val="both"/>
    </w:pPr>
    <w:rPr>
      <w:rFonts w:ascii="Verdana" w:eastAsia="Calibri" w:hAnsi="Verdana" w:cs="Times New Roman"/>
      <w:b/>
      <w:sz w:val="18"/>
      <w:szCs w:val="18"/>
      <w:lang w:val="x-none" w:eastAsia="en-US"/>
    </w:rPr>
  </w:style>
  <w:style w:type="character" w:customStyle="1" w:styleId="Titolotabrel2014Carattere">
    <w:name w:val="Titolo tab rel 2014 Carattere"/>
    <w:link w:val="Titolotabrel2014"/>
    <w:rsid w:val="005C7EF0"/>
    <w:rPr>
      <w:rFonts w:ascii="Verdana" w:eastAsia="Calibri" w:hAnsi="Verdana" w:cs="Times New Roman"/>
      <w:b/>
      <w:sz w:val="18"/>
      <w:szCs w:val="18"/>
      <w:lang w:val="x-none"/>
    </w:rPr>
  </w:style>
  <w:style w:type="character" w:styleId="Rimandocommento">
    <w:name w:val="annotation reference"/>
    <w:rsid w:val="005C7EF0"/>
    <w:rPr>
      <w:sz w:val="16"/>
      <w:szCs w:val="16"/>
    </w:rPr>
  </w:style>
  <w:style w:type="paragraph" w:styleId="Soggettocommento">
    <w:name w:val="annotation subject"/>
    <w:basedOn w:val="Testocommento"/>
    <w:next w:val="Testocommento"/>
    <w:link w:val="SoggettocommentoCarattere"/>
    <w:rsid w:val="005C7EF0"/>
    <w:pPr>
      <w:spacing w:before="0" w:beforeAutospacing="0" w:after="0" w:afterAutospacing="0"/>
    </w:pPr>
    <w:rPr>
      <w:b/>
      <w:bCs/>
    </w:rPr>
  </w:style>
  <w:style w:type="character" w:customStyle="1" w:styleId="SoggettocommentoCarattere">
    <w:name w:val="Soggetto commento Carattere"/>
    <w:basedOn w:val="TestocommentoCarattere"/>
    <w:link w:val="Soggettocommento"/>
    <w:rsid w:val="005C7EF0"/>
    <w:rPr>
      <w:rFonts w:ascii="Verdana" w:eastAsia="Arial Unicode MS" w:hAnsi="Verdana" w:cs="Times New Roman"/>
      <w:b/>
      <w:bCs/>
      <w:sz w:val="19"/>
      <w:szCs w:val="19"/>
      <w:lang w:val="x-none" w:eastAsia="x-none"/>
    </w:rPr>
  </w:style>
  <w:style w:type="character" w:customStyle="1" w:styleId="autorita-documento">
    <w:name w:val="autorita-documento"/>
    <w:rsid w:val="005C7EF0"/>
    <w:rPr>
      <w:rFonts w:ascii="Arial" w:eastAsia="Arial" w:hAnsi="Arial" w:cs="Arial"/>
      <w:sz w:val="27"/>
      <w:szCs w:val="27"/>
    </w:rPr>
  </w:style>
  <w:style w:type="character" w:customStyle="1" w:styleId="title-databank-resultlist">
    <w:name w:val="title-databank-resultlist"/>
    <w:rsid w:val="005C7EF0"/>
    <w:rPr>
      <w:b/>
      <w:bCs/>
      <w:color w:val="989794"/>
      <w:sz w:val="21"/>
      <w:szCs w:val="21"/>
    </w:rPr>
  </w:style>
  <w:style w:type="paragraph" w:customStyle="1" w:styleId="testo-massima">
    <w:name w:val="testo-massima"/>
    <w:basedOn w:val="Normale"/>
    <w:rsid w:val="005C7EF0"/>
    <w:rPr>
      <w:rFonts w:ascii="Arial" w:eastAsia="Arial" w:hAnsi="Arial" w:cs="Arial"/>
      <w:color w:val="8F8F8F"/>
      <w:sz w:val="27"/>
      <w:szCs w:val="27"/>
    </w:rPr>
  </w:style>
  <w:style w:type="character" w:customStyle="1" w:styleId="alink">
    <w:name w:val="a_link"/>
    <w:rsid w:val="005C7EF0"/>
    <w:rPr>
      <w:color w:val="000000"/>
    </w:rPr>
  </w:style>
  <w:style w:type="paragraph" w:customStyle="1" w:styleId="Style1">
    <w:name w:val="Style 1"/>
    <w:rsid w:val="005C7EF0"/>
    <w:pPr>
      <w:widowControl w:val="0"/>
      <w:autoSpaceDE w:val="0"/>
      <w:autoSpaceDN w:val="0"/>
      <w:adjustRightInd w:val="0"/>
      <w:spacing w:after="0" w:line="240" w:lineRule="auto"/>
    </w:pPr>
    <w:rPr>
      <w:rFonts w:ascii="Times New Roman" w:eastAsia="MS ??" w:hAnsi="Times New Roman" w:cs="Times New Roman"/>
      <w:sz w:val="20"/>
      <w:szCs w:val="20"/>
      <w:lang w:eastAsia="it-IT"/>
    </w:rPr>
  </w:style>
  <w:style w:type="paragraph" w:styleId="PreformattatoHTML">
    <w:name w:val="HTML Preformatted"/>
    <w:basedOn w:val="Normale"/>
    <w:link w:val="PreformattatoHTMLCarattere"/>
    <w:uiPriority w:val="99"/>
    <w:unhideWhenUsed/>
    <w:rsid w:val="005C7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5C7EF0"/>
    <w:rPr>
      <w:rFonts w:ascii="Courier New" w:eastAsia="Times New Roman" w:hAnsi="Courier New" w:cs="Times New Roman"/>
      <w:sz w:val="20"/>
      <w:szCs w:val="20"/>
      <w:lang w:val="x-none" w:eastAsia="x-none"/>
    </w:rPr>
  </w:style>
  <w:style w:type="character" w:customStyle="1" w:styleId="lbl-annotazione">
    <w:name w:val="lbl-annotazione"/>
    <w:rsid w:val="005C7EF0"/>
  </w:style>
  <w:style w:type="character" w:customStyle="1" w:styleId="dj-grassetto">
    <w:name w:val="dj-grassetto"/>
    <w:rsid w:val="005C7EF0"/>
  </w:style>
  <w:style w:type="character" w:customStyle="1" w:styleId="corsivo">
    <w:name w:val="corsivo"/>
    <w:rsid w:val="005C7EF0"/>
  </w:style>
  <w:style w:type="paragraph" w:customStyle="1" w:styleId="provvr1">
    <w:name w:val="provv_r1"/>
    <w:basedOn w:val="Normale"/>
    <w:rsid w:val="005C7EF0"/>
    <w:pPr>
      <w:spacing w:before="100" w:beforeAutospacing="1" w:after="100" w:afterAutospacing="1"/>
      <w:ind w:firstLine="400"/>
      <w:jc w:val="both"/>
    </w:pPr>
    <w:rPr>
      <w:rFonts w:ascii="Times New Roman" w:eastAsia="Times New Roman" w:hAnsi="Times New Roman" w:cs="Times New Roman"/>
    </w:rPr>
  </w:style>
  <w:style w:type="paragraph" w:customStyle="1" w:styleId="provvtitoli">
    <w:name w:val="provv_titoli"/>
    <w:basedOn w:val="Normale"/>
    <w:rsid w:val="005C7EF0"/>
    <w:pPr>
      <w:spacing w:before="100" w:beforeAutospacing="1" w:after="100" w:afterAutospacing="1"/>
      <w:jc w:val="center"/>
    </w:pPr>
    <w:rPr>
      <w:rFonts w:ascii="Times New Roman" w:eastAsia="Times New Roman" w:hAnsi="Times New Roman" w:cs="Times New Roman"/>
    </w:rPr>
  </w:style>
  <w:style w:type="paragraph" w:customStyle="1" w:styleId="provvnota">
    <w:name w:val="provv_nota"/>
    <w:basedOn w:val="Normale"/>
    <w:rsid w:val="005C7EF0"/>
    <w:pPr>
      <w:spacing w:before="100" w:beforeAutospacing="1" w:after="100" w:afterAutospacing="1"/>
      <w:jc w:val="both"/>
    </w:pPr>
    <w:rPr>
      <w:rFonts w:ascii="Times New Roman" w:eastAsia="Times New Roman" w:hAnsi="Times New Roman" w:cs="Times New Roman"/>
    </w:rPr>
  </w:style>
  <w:style w:type="paragraph" w:customStyle="1" w:styleId="provvestremo">
    <w:name w:val="provv_estremo"/>
    <w:basedOn w:val="Normale"/>
    <w:rsid w:val="005C7EF0"/>
    <w:pPr>
      <w:spacing w:before="100" w:beforeAutospacing="1" w:after="100" w:afterAutospacing="1"/>
      <w:jc w:val="both"/>
    </w:pPr>
    <w:rPr>
      <w:rFonts w:ascii="Times New Roman" w:eastAsia="Times New Roman" w:hAnsi="Times New Roman" w:cs="Times New Roman"/>
      <w:b/>
      <w:bCs/>
    </w:rPr>
  </w:style>
  <w:style w:type="character" w:customStyle="1" w:styleId="provvtitart">
    <w:name w:val="provv_titart"/>
    <w:rsid w:val="005C7EF0"/>
    <w:rPr>
      <w:b/>
      <w:bCs/>
    </w:rPr>
  </w:style>
  <w:style w:type="character" w:customStyle="1" w:styleId="provvsottotitart">
    <w:name w:val="provv_sottotitart"/>
    <w:rsid w:val="005C7EF0"/>
    <w:rPr>
      <w:i/>
      <w:iCs/>
    </w:rPr>
  </w:style>
  <w:style w:type="character" w:customStyle="1" w:styleId="estremosel3">
    <w:name w:val="estremosel3"/>
    <w:rsid w:val="005C7EF0"/>
  </w:style>
  <w:style w:type="paragraph" w:customStyle="1" w:styleId="provvr2">
    <w:name w:val="provv_r2"/>
    <w:basedOn w:val="Normale"/>
    <w:rsid w:val="005C7EF0"/>
    <w:pPr>
      <w:spacing w:before="100" w:beforeAutospacing="1" w:after="100" w:afterAutospacing="1"/>
      <w:ind w:firstLine="600"/>
      <w:jc w:val="both"/>
    </w:pPr>
    <w:rPr>
      <w:rFonts w:ascii="Times New Roman" w:eastAsia="Times New Roman" w:hAnsi="Times New Roman" w:cs="Times New Roman"/>
    </w:rPr>
  </w:style>
  <w:style w:type="paragraph" w:customStyle="1" w:styleId="provvc">
    <w:name w:val="provv_c"/>
    <w:basedOn w:val="Normale"/>
    <w:rsid w:val="005C7EF0"/>
    <w:pPr>
      <w:spacing w:before="100" w:beforeAutospacing="1" w:after="100" w:afterAutospacing="1"/>
      <w:jc w:val="center"/>
    </w:pPr>
    <w:rPr>
      <w:rFonts w:ascii="Times New Roman" w:eastAsia="Times New Roman" w:hAnsi="Times New Roman" w:cs="Times New Roman"/>
    </w:rPr>
  </w:style>
  <w:style w:type="paragraph" w:customStyle="1" w:styleId="provvd">
    <w:name w:val="provv_d"/>
    <w:basedOn w:val="Normale"/>
    <w:rsid w:val="005C7EF0"/>
    <w:pPr>
      <w:spacing w:before="100" w:beforeAutospacing="1" w:after="100" w:afterAutospacing="1"/>
      <w:jc w:val="right"/>
    </w:pPr>
    <w:rPr>
      <w:rFonts w:ascii="Times New Roman" w:eastAsia="Times New Roman" w:hAnsi="Times New Roman" w:cs="Times New Roman"/>
    </w:rPr>
  </w:style>
  <w:style w:type="paragraph" w:customStyle="1" w:styleId="previa">
    <w:name w:val="previa"/>
    <w:basedOn w:val="Normale"/>
    <w:rsid w:val="005C7EF0"/>
    <w:pPr>
      <w:spacing w:line="540" w:lineRule="atLeast"/>
      <w:jc w:val="center"/>
    </w:pPr>
    <w:rPr>
      <w:rFonts w:ascii="Garamond" w:eastAsia="Times New Roman" w:hAnsi="Garamond" w:cs="Times New Roman"/>
      <w:i/>
      <w:iCs/>
      <w:sz w:val="30"/>
      <w:szCs w:val="30"/>
    </w:rPr>
  </w:style>
  <w:style w:type="character" w:customStyle="1" w:styleId="dj-hide-titolo-fatto">
    <w:name w:val="dj-hide-titolo-fatto"/>
    <w:rsid w:val="005C7EF0"/>
  </w:style>
  <w:style w:type="character" w:customStyle="1" w:styleId="dj-hide-titolo-diritto">
    <w:name w:val="dj-hide-titolo-diritto"/>
    <w:rsid w:val="005C7EF0"/>
  </w:style>
  <w:style w:type="paragraph" w:customStyle="1" w:styleId="dj-para-center">
    <w:name w:val="dj-para-center"/>
    <w:basedOn w:val="Normale"/>
    <w:rsid w:val="005C7EF0"/>
    <w:pPr>
      <w:spacing w:before="100" w:beforeAutospacing="1" w:after="100" w:afterAutospacing="1"/>
    </w:pPr>
    <w:rPr>
      <w:rFonts w:ascii="Times New Roman" w:eastAsia="Times New Roman" w:hAnsi="Times New Roman" w:cs="Times New Roman"/>
    </w:rPr>
  </w:style>
  <w:style w:type="character" w:customStyle="1" w:styleId="ng-binding">
    <w:name w:val="ng-binding"/>
    <w:rsid w:val="005C7EF0"/>
  </w:style>
  <w:style w:type="character" w:customStyle="1" w:styleId="lbl-documenti-correlati1">
    <w:name w:val="lbl-documenti-correlati1"/>
    <w:rsid w:val="005C7EF0"/>
    <w:rPr>
      <w:color w:val="F7895C"/>
      <w:sz w:val="21"/>
      <w:szCs w:val="21"/>
    </w:rPr>
  </w:style>
  <w:style w:type="paragraph" w:customStyle="1" w:styleId="ng-scope">
    <w:name w:val="ng-scope"/>
    <w:basedOn w:val="Normale"/>
    <w:rsid w:val="005C7EF0"/>
    <w:pPr>
      <w:spacing w:after="150"/>
    </w:pPr>
    <w:rPr>
      <w:rFonts w:ascii="Times New Roman" w:eastAsia="Times New Roman" w:hAnsi="Times New Roman" w:cs="Times New Roman"/>
    </w:rPr>
  </w:style>
  <w:style w:type="character" w:customStyle="1" w:styleId="sent-intestazione1">
    <w:name w:val="sent-intestazione1"/>
    <w:rsid w:val="005C7EF0"/>
    <w:rPr>
      <w:b/>
      <w:bCs/>
      <w:color w:val="376A94"/>
      <w:sz w:val="27"/>
      <w:szCs w:val="27"/>
    </w:rPr>
  </w:style>
  <w:style w:type="character" w:customStyle="1" w:styleId="corsivo2">
    <w:name w:val="corsivo2"/>
    <w:rsid w:val="005C7EF0"/>
    <w:rPr>
      <w:i/>
      <w:iCs/>
    </w:rPr>
  </w:style>
  <w:style w:type="character" w:customStyle="1" w:styleId="massima-link1">
    <w:name w:val="massima-link1"/>
    <w:rsid w:val="005C7EF0"/>
    <w:rPr>
      <w:color w:val="FFFFFF"/>
      <w:sz w:val="21"/>
      <w:szCs w:val="21"/>
    </w:rPr>
  </w:style>
  <w:style w:type="character" w:customStyle="1" w:styleId="history-lbl-result1">
    <w:name w:val="history-lbl-result1"/>
    <w:rsid w:val="005C7EF0"/>
    <w:rPr>
      <w:color w:val="4A4A4A"/>
    </w:rPr>
  </w:style>
  <w:style w:type="character" w:customStyle="1" w:styleId="history-lbl-cronologia1">
    <w:name w:val="history-lbl-cronologia1"/>
    <w:rsid w:val="005C7EF0"/>
    <w:rPr>
      <w:color w:val="4A4A4A"/>
    </w:rPr>
  </w:style>
  <w:style w:type="character" w:customStyle="1" w:styleId="orange">
    <w:name w:val="orange"/>
    <w:rsid w:val="005C7EF0"/>
  </w:style>
  <w:style w:type="paragraph" w:customStyle="1" w:styleId="provvgiury">
    <w:name w:val="provv_giury"/>
    <w:basedOn w:val="Normale"/>
    <w:rsid w:val="005C7EF0"/>
    <w:pPr>
      <w:spacing w:before="100" w:beforeAutospacing="1" w:after="100" w:afterAutospacing="1"/>
      <w:jc w:val="right"/>
    </w:pPr>
    <w:rPr>
      <w:rFonts w:ascii="Times New Roman" w:eastAsia="Times New Roman" w:hAnsi="Times New Roman" w:cs="Times New Roman"/>
      <w:i/>
      <w:iCs/>
    </w:rPr>
  </w:style>
  <w:style w:type="character" w:customStyle="1" w:styleId="provvvigore">
    <w:name w:val="provv_vigore"/>
    <w:rsid w:val="005C7EF0"/>
    <w:rPr>
      <w:b/>
      <w:bCs/>
      <w:vanish/>
      <w:webHidden w:val="0"/>
      <w:specVanish w:val="0"/>
    </w:rPr>
  </w:style>
  <w:style w:type="character" w:customStyle="1" w:styleId="autorita-documento-massima">
    <w:name w:val="autorita-documento-massima"/>
    <w:rsid w:val="005C7EF0"/>
  </w:style>
  <w:style w:type="paragraph" w:customStyle="1" w:styleId="provvambito">
    <w:name w:val="provv_ambito"/>
    <w:basedOn w:val="Normale"/>
    <w:rsid w:val="005C7EF0"/>
    <w:pPr>
      <w:spacing w:before="100" w:beforeAutospacing="1" w:after="100" w:afterAutospacing="1"/>
      <w:jc w:val="center"/>
    </w:pPr>
    <w:rPr>
      <w:rFonts w:ascii="Times New Roman" w:eastAsia="Times New Roman" w:hAnsi="Times New Roman" w:cs="Times New Roman"/>
      <w:b/>
      <w:bCs/>
    </w:rPr>
  </w:style>
  <w:style w:type="character" w:customStyle="1" w:styleId="anchorantimarker">
    <w:name w:val="anchor_anti_marker"/>
    <w:rsid w:val="005C7EF0"/>
    <w:rPr>
      <w:color w:val="000000"/>
    </w:rPr>
  </w:style>
  <w:style w:type="paragraph" w:styleId="Iniziomodulo-z">
    <w:name w:val="HTML Top of Form"/>
    <w:basedOn w:val="Normale"/>
    <w:next w:val="Normale"/>
    <w:link w:val="Iniziomodulo-zCarattere"/>
    <w:hidden/>
    <w:uiPriority w:val="99"/>
    <w:semiHidden/>
    <w:unhideWhenUsed/>
    <w:rsid w:val="005C7EF0"/>
    <w:pPr>
      <w:pBdr>
        <w:bottom w:val="single" w:sz="6" w:space="1" w:color="auto"/>
      </w:pBdr>
      <w:jc w:val="center"/>
    </w:pPr>
    <w:rPr>
      <w:rFonts w:ascii="Arial" w:eastAsia="Times New Roman" w:hAnsi="Arial" w:cs="Times New Roman"/>
      <w:vanish/>
      <w:sz w:val="16"/>
      <w:szCs w:val="16"/>
      <w:lang w:val="x-none" w:eastAsia="x-none"/>
    </w:rPr>
  </w:style>
  <w:style w:type="character" w:customStyle="1" w:styleId="Iniziomodulo-zCarattere">
    <w:name w:val="Inizio modulo -z Carattere"/>
    <w:basedOn w:val="Carpredefinitoparagrafo"/>
    <w:link w:val="Iniziomodulo-z"/>
    <w:uiPriority w:val="99"/>
    <w:semiHidden/>
    <w:rsid w:val="005C7EF0"/>
    <w:rPr>
      <w:rFonts w:ascii="Arial" w:eastAsia="Times New Roman" w:hAnsi="Arial" w:cs="Times New Roman"/>
      <w:vanish/>
      <w:sz w:val="16"/>
      <w:szCs w:val="16"/>
      <w:lang w:val="x-none" w:eastAsia="x-none"/>
    </w:rPr>
  </w:style>
  <w:style w:type="paragraph" w:styleId="Finemodulo-z">
    <w:name w:val="HTML Bottom of Form"/>
    <w:basedOn w:val="Normale"/>
    <w:next w:val="Normale"/>
    <w:link w:val="Finemodulo-zCarattere"/>
    <w:hidden/>
    <w:uiPriority w:val="99"/>
    <w:semiHidden/>
    <w:unhideWhenUsed/>
    <w:rsid w:val="005C7EF0"/>
    <w:pPr>
      <w:pBdr>
        <w:top w:val="single" w:sz="6" w:space="1" w:color="auto"/>
      </w:pBdr>
      <w:jc w:val="center"/>
    </w:pPr>
    <w:rPr>
      <w:rFonts w:ascii="Arial" w:eastAsia="Times New Roman" w:hAnsi="Arial" w:cs="Times New Roman"/>
      <w:vanish/>
      <w:sz w:val="16"/>
      <w:szCs w:val="16"/>
      <w:lang w:val="x-none" w:eastAsia="x-none"/>
    </w:rPr>
  </w:style>
  <w:style w:type="character" w:customStyle="1" w:styleId="Finemodulo-zCarattere">
    <w:name w:val="Fine modulo -z Carattere"/>
    <w:basedOn w:val="Carpredefinitoparagrafo"/>
    <w:link w:val="Finemodulo-z"/>
    <w:uiPriority w:val="99"/>
    <w:semiHidden/>
    <w:rsid w:val="005C7EF0"/>
    <w:rPr>
      <w:rFonts w:ascii="Arial" w:eastAsia="Times New Roman" w:hAnsi="Arial" w:cs="Times New Roman"/>
      <w:vanish/>
      <w:sz w:val="16"/>
      <w:szCs w:val="16"/>
      <w:lang w:val="x-none" w:eastAsia="x-none"/>
    </w:rPr>
  </w:style>
  <w:style w:type="character" w:customStyle="1" w:styleId="meta-date">
    <w:name w:val="meta-date"/>
    <w:rsid w:val="005C7EF0"/>
  </w:style>
  <w:style w:type="character" w:customStyle="1" w:styleId="readmore3">
    <w:name w:val="readmore3"/>
    <w:rsid w:val="005C7EF0"/>
  </w:style>
  <w:style w:type="character" w:customStyle="1" w:styleId="a2alabel1">
    <w:name w:val="a2a_label1"/>
    <w:rsid w:val="005C7EF0"/>
  </w:style>
  <w:style w:type="character" w:customStyle="1" w:styleId="titolo-documento">
    <w:name w:val="titolo-documento"/>
    <w:rsid w:val="005C7EF0"/>
  </w:style>
  <w:style w:type="character" w:customStyle="1" w:styleId="sottotitolo-struttura-codice">
    <w:name w:val="sottotitolo-struttura-codice"/>
    <w:rsid w:val="005C7EF0"/>
  </w:style>
  <w:style w:type="character" w:customStyle="1" w:styleId="in-widget">
    <w:name w:val="in-widget"/>
    <w:rsid w:val="005C7EF0"/>
  </w:style>
  <w:style w:type="paragraph" w:customStyle="1" w:styleId="provvsommarioambito">
    <w:name w:val="provv_sommario_ambito"/>
    <w:basedOn w:val="Normale"/>
    <w:rsid w:val="005C7EF0"/>
    <w:pPr>
      <w:spacing w:before="100" w:beforeAutospacing="1" w:after="100" w:afterAutospacing="1"/>
    </w:pPr>
    <w:rPr>
      <w:rFonts w:ascii="Times New Roman" w:eastAsia="Times New Roman" w:hAnsi="Times New Roman" w:cs="Times New Roman"/>
    </w:rPr>
  </w:style>
  <w:style w:type="character" w:customStyle="1" w:styleId="provvsommarionumart">
    <w:name w:val="provv_sommario_numart"/>
    <w:rsid w:val="005C7EF0"/>
    <w:rPr>
      <w:b/>
      <w:bCs/>
    </w:rPr>
  </w:style>
  <w:style w:type="character" w:customStyle="1" w:styleId="provvsommariorubrica">
    <w:name w:val="provv_sommario_rubrica"/>
    <w:rsid w:val="005C7EF0"/>
    <w:rPr>
      <w:i/>
      <w:iCs/>
    </w:rPr>
  </w:style>
  <w:style w:type="paragraph" w:customStyle="1" w:styleId="provvsommarioart">
    <w:name w:val="provv_sommario_art"/>
    <w:basedOn w:val="Normale"/>
    <w:rsid w:val="005C7EF0"/>
    <w:pPr>
      <w:spacing w:before="100" w:beforeAutospacing="1" w:after="100" w:afterAutospacing="1"/>
    </w:pPr>
    <w:rPr>
      <w:rFonts w:ascii="Times New Roman" w:eastAsia="Times New Roman" w:hAnsi="Times New Roman" w:cs="Times New Roman"/>
    </w:rPr>
  </w:style>
  <w:style w:type="character" w:customStyle="1" w:styleId="nota-editor3">
    <w:name w:val="nota-editor3"/>
    <w:rsid w:val="005C7EF0"/>
    <w:rPr>
      <w:sz w:val="21"/>
      <w:szCs w:val="21"/>
    </w:rPr>
  </w:style>
  <w:style w:type="character" w:customStyle="1" w:styleId="nota-editor">
    <w:name w:val="nota-editor"/>
    <w:basedOn w:val="Carpredefinitoparagrafo"/>
    <w:rsid w:val="005C7EF0"/>
  </w:style>
  <w:style w:type="character" w:customStyle="1" w:styleId="grassetto">
    <w:name w:val="grassetto"/>
    <w:basedOn w:val="Carpredefinitoparagrafo"/>
    <w:rsid w:val="005C7EF0"/>
  </w:style>
  <w:style w:type="character" w:customStyle="1" w:styleId="mg">
    <w:name w:val="mg"/>
    <w:basedOn w:val="Carpredefinitoparagrafo"/>
    <w:rsid w:val="005C7EF0"/>
  </w:style>
  <w:style w:type="character" w:customStyle="1" w:styleId="Menzionenonrisolta1">
    <w:name w:val="Menzione non risolta1"/>
    <w:uiPriority w:val="99"/>
    <w:semiHidden/>
    <w:unhideWhenUsed/>
    <w:rsid w:val="005C7EF0"/>
    <w:rPr>
      <w:color w:val="605E5C"/>
      <w:shd w:val="clear" w:color="auto" w:fill="E1DFDD"/>
    </w:rPr>
  </w:style>
  <w:style w:type="character" w:customStyle="1" w:styleId="Menzionenonrisolta2">
    <w:name w:val="Menzione non risolta2"/>
    <w:uiPriority w:val="99"/>
    <w:semiHidden/>
    <w:unhideWhenUsed/>
    <w:rsid w:val="005C7EF0"/>
    <w:rPr>
      <w:color w:val="605E5C"/>
      <w:shd w:val="clear" w:color="auto" w:fill="E1DFDD"/>
    </w:rPr>
  </w:style>
  <w:style w:type="character" w:customStyle="1" w:styleId="highlight">
    <w:name w:val="highlight"/>
    <w:basedOn w:val="Carpredefinitoparagrafo"/>
    <w:rsid w:val="00BD36CA"/>
  </w:style>
  <w:style w:type="character" w:customStyle="1" w:styleId="iss-first">
    <w:name w:val="iss-first"/>
    <w:basedOn w:val="Carpredefinitoparagrafo"/>
    <w:rsid w:val="000178DD"/>
  </w:style>
  <w:style w:type="character" w:customStyle="1" w:styleId="UnresolvedMention">
    <w:name w:val="Unresolved Mention"/>
    <w:basedOn w:val="Carpredefinitoparagrafo"/>
    <w:uiPriority w:val="99"/>
    <w:semiHidden/>
    <w:unhideWhenUsed/>
    <w:rsid w:val="00820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3220">
      <w:bodyDiv w:val="1"/>
      <w:marLeft w:val="0"/>
      <w:marRight w:val="0"/>
      <w:marTop w:val="900"/>
      <w:marBottom w:val="900"/>
      <w:divBdr>
        <w:top w:val="none" w:sz="0" w:space="0" w:color="auto"/>
        <w:left w:val="none" w:sz="0" w:space="0" w:color="auto"/>
        <w:bottom w:val="none" w:sz="0" w:space="0" w:color="auto"/>
        <w:right w:val="none" w:sz="0" w:space="0" w:color="auto"/>
      </w:divBdr>
      <w:divsChild>
        <w:div w:id="132985025">
          <w:marLeft w:val="0"/>
          <w:marRight w:val="0"/>
          <w:marTop w:val="0"/>
          <w:marBottom w:val="0"/>
          <w:divBdr>
            <w:top w:val="none" w:sz="0" w:space="0" w:color="auto"/>
            <w:left w:val="none" w:sz="0" w:space="0" w:color="auto"/>
            <w:bottom w:val="none" w:sz="0" w:space="0" w:color="auto"/>
            <w:right w:val="none" w:sz="0" w:space="0" w:color="auto"/>
          </w:divBdr>
          <w:divsChild>
            <w:div w:id="30804896">
              <w:marLeft w:val="0"/>
              <w:marRight w:val="0"/>
              <w:marTop w:val="0"/>
              <w:marBottom w:val="0"/>
              <w:divBdr>
                <w:top w:val="none" w:sz="0" w:space="0" w:color="auto"/>
                <w:left w:val="none" w:sz="0" w:space="0" w:color="auto"/>
                <w:bottom w:val="none" w:sz="0" w:space="0" w:color="auto"/>
                <w:right w:val="none" w:sz="0" w:space="0" w:color="auto"/>
              </w:divBdr>
              <w:divsChild>
                <w:div w:id="958754533">
                  <w:marLeft w:val="0"/>
                  <w:marRight w:val="0"/>
                  <w:marTop w:val="0"/>
                  <w:marBottom w:val="0"/>
                  <w:divBdr>
                    <w:top w:val="none" w:sz="0" w:space="0" w:color="auto"/>
                    <w:left w:val="none" w:sz="0" w:space="0" w:color="auto"/>
                    <w:bottom w:val="none" w:sz="0" w:space="0" w:color="auto"/>
                    <w:right w:val="none" w:sz="0" w:space="0" w:color="auto"/>
                  </w:divBdr>
                  <w:divsChild>
                    <w:div w:id="1216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4313">
      <w:bodyDiv w:val="1"/>
      <w:marLeft w:val="0"/>
      <w:marRight w:val="0"/>
      <w:marTop w:val="0"/>
      <w:marBottom w:val="0"/>
      <w:divBdr>
        <w:top w:val="none" w:sz="0" w:space="0" w:color="auto"/>
        <w:left w:val="none" w:sz="0" w:space="0" w:color="auto"/>
        <w:bottom w:val="none" w:sz="0" w:space="0" w:color="auto"/>
        <w:right w:val="none" w:sz="0" w:space="0" w:color="auto"/>
      </w:divBdr>
    </w:div>
    <w:div w:id="125508044">
      <w:bodyDiv w:val="1"/>
      <w:marLeft w:val="0"/>
      <w:marRight w:val="0"/>
      <w:marTop w:val="0"/>
      <w:marBottom w:val="0"/>
      <w:divBdr>
        <w:top w:val="none" w:sz="0" w:space="0" w:color="auto"/>
        <w:left w:val="none" w:sz="0" w:space="0" w:color="auto"/>
        <w:bottom w:val="none" w:sz="0" w:space="0" w:color="auto"/>
        <w:right w:val="none" w:sz="0" w:space="0" w:color="auto"/>
      </w:divBdr>
    </w:div>
    <w:div w:id="397023708">
      <w:bodyDiv w:val="1"/>
      <w:marLeft w:val="0"/>
      <w:marRight w:val="0"/>
      <w:marTop w:val="0"/>
      <w:marBottom w:val="0"/>
      <w:divBdr>
        <w:top w:val="none" w:sz="0" w:space="0" w:color="auto"/>
        <w:left w:val="none" w:sz="0" w:space="0" w:color="auto"/>
        <w:bottom w:val="none" w:sz="0" w:space="0" w:color="auto"/>
        <w:right w:val="none" w:sz="0" w:space="0" w:color="auto"/>
      </w:divBdr>
    </w:div>
    <w:div w:id="408967093">
      <w:bodyDiv w:val="1"/>
      <w:marLeft w:val="0"/>
      <w:marRight w:val="0"/>
      <w:marTop w:val="900"/>
      <w:marBottom w:val="900"/>
      <w:divBdr>
        <w:top w:val="none" w:sz="0" w:space="0" w:color="auto"/>
        <w:left w:val="none" w:sz="0" w:space="0" w:color="auto"/>
        <w:bottom w:val="none" w:sz="0" w:space="0" w:color="auto"/>
        <w:right w:val="none" w:sz="0" w:space="0" w:color="auto"/>
      </w:divBdr>
      <w:divsChild>
        <w:div w:id="874194604">
          <w:marLeft w:val="0"/>
          <w:marRight w:val="0"/>
          <w:marTop w:val="0"/>
          <w:marBottom w:val="0"/>
          <w:divBdr>
            <w:top w:val="none" w:sz="0" w:space="0" w:color="auto"/>
            <w:left w:val="none" w:sz="0" w:space="0" w:color="auto"/>
            <w:bottom w:val="none" w:sz="0" w:space="0" w:color="auto"/>
            <w:right w:val="none" w:sz="0" w:space="0" w:color="auto"/>
          </w:divBdr>
          <w:divsChild>
            <w:div w:id="529147194">
              <w:marLeft w:val="0"/>
              <w:marRight w:val="0"/>
              <w:marTop w:val="0"/>
              <w:marBottom w:val="0"/>
              <w:divBdr>
                <w:top w:val="none" w:sz="0" w:space="0" w:color="auto"/>
                <w:left w:val="none" w:sz="0" w:space="0" w:color="auto"/>
                <w:bottom w:val="none" w:sz="0" w:space="0" w:color="auto"/>
                <w:right w:val="none" w:sz="0" w:space="0" w:color="auto"/>
              </w:divBdr>
              <w:divsChild>
                <w:div w:id="10494222">
                  <w:marLeft w:val="0"/>
                  <w:marRight w:val="0"/>
                  <w:marTop w:val="0"/>
                  <w:marBottom w:val="0"/>
                  <w:divBdr>
                    <w:top w:val="none" w:sz="0" w:space="0" w:color="auto"/>
                    <w:left w:val="none" w:sz="0" w:space="0" w:color="auto"/>
                    <w:bottom w:val="none" w:sz="0" w:space="0" w:color="auto"/>
                    <w:right w:val="none" w:sz="0" w:space="0" w:color="auto"/>
                  </w:divBdr>
                  <w:divsChild>
                    <w:div w:id="1259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96135">
      <w:bodyDiv w:val="1"/>
      <w:marLeft w:val="0"/>
      <w:marRight w:val="0"/>
      <w:marTop w:val="0"/>
      <w:marBottom w:val="0"/>
      <w:divBdr>
        <w:top w:val="none" w:sz="0" w:space="0" w:color="auto"/>
        <w:left w:val="none" w:sz="0" w:space="0" w:color="auto"/>
        <w:bottom w:val="none" w:sz="0" w:space="0" w:color="auto"/>
        <w:right w:val="none" w:sz="0" w:space="0" w:color="auto"/>
      </w:divBdr>
      <w:divsChild>
        <w:div w:id="1338657698">
          <w:marLeft w:val="0"/>
          <w:marRight w:val="0"/>
          <w:marTop w:val="0"/>
          <w:marBottom w:val="0"/>
          <w:divBdr>
            <w:top w:val="none" w:sz="0" w:space="0" w:color="auto"/>
            <w:left w:val="none" w:sz="0" w:space="0" w:color="auto"/>
            <w:bottom w:val="none" w:sz="0" w:space="0" w:color="auto"/>
            <w:right w:val="none" w:sz="0" w:space="0" w:color="auto"/>
          </w:divBdr>
        </w:div>
      </w:divsChild>
    </w:div>
    <w:div w:id="538903587">
      <w:bodyDiv w:val="1"/>
      <w:marLeft w:val="0"/>
      <w:marRight w:val="0"/>
      <w:marTop w:val="0"/>
      <w:marBottom w:val="0"/>
      <w:divBdr>
        <w:top w:val="none" w:sz="0" w:space="0" w:color="auto"/>
        <w:left w:val="none" w:sz="0" w:space="0" w:color="auto"/>
        <w:bottom w:val="none" w:sz="0" w:space="0" w:color="auto"/>
        <w:right w:val="none" w:sz="0" w:space="0" w:color="auto"/>
      </w:divBdr>
    </w:div>
    <w:div w:id="570887169">
      <w:bodyDiv w:val="1"/>
      <w:marLeft w:val="0"/>
      <w:marRight w:val="0"/>
      <w:marTop w:val="0"/>
      <w:marBottom w:val="0"/>
      <w:divBdr>
        <w:top w:val="none" w:sz="0" w:space="0" w:color="auto"/>
        <w:left w:val="none" w:sz="0" w:space="0" w:color="auto"/>
        <w:bottom w:val="none" w:sz="0" w:space="0" w:color="auto"/>
        <w:right w:val="none" w:sz="0" w:space="0" w:color="auto"/>
      </w:divBdr>
    </w:div>
    <w:div w:id="612135776">
      <w:bodyDiv w:val="1"/>
      <w:marLeft w:val="0"/>
      <w:marRight w:val="0"/>
      <w:marTop w:val="0"/>
      <w:marBottom w:val="0"/>
      <w:divBdr>
        <w:top w:val="none" w:sz="0" w:space="0" w:color="auto"/>
        <w:left w:val="none" w:sz="0" w:space="0" w:color="auto"/>
        <w:bottom w:val="none" w:sz="0" w:space="0" w:color="auto"/>
        <w:right w:val="none" w:sz="0" w:space="0" w:color="auto"/>
      </w:divBdr>
    </w:div>
    <w:div w:id="618071112">
      <w:bodyDiv w:val="1"/>
      <w:marLeft w:val="0"/>
      <w:marRight w:val="0"/>
      <w:marTop w:val="0"/>
      <w:marBottom w:val="0"/>
      <w:divBdr>
        <w:top w:val="none" w:sz="0" w:space="0" w:color="auto"/>
        <w:left w:val="none" w:sz="0" w:space="0" w:color="auto"/>
        <w:bottom w:val="none" w:sz="0" w:space="0" w:color="auto"/>
        <w:right w:val="none" w:sz="0" w:space="0" w:color="auto"/>
      </w:divBdr>
    </w:div>
    <w:div w:id="660275646">
      <w:bodyDiv w:val="1"/>
      <w:marLeft w:val="0"/>
      <w:marRight w:val="0"/>
      <w:marTop w:val="900"/>
      <w:marBottom w:val="900"/>
      <w:divBdr>
        <w:top w:val="none" w:sz="0" w:space="0" w:color="auto"/>
        <w:left w:val="none" w:sz="0" w:space="0" w:color="auto"/>
        <w:bottom w:val="none" w:sz="0" w:space="0" w:color="auto"/>
        <w:right w:val="none" w:sz="0" w:space="0" w:color="auto"/>
      </w:divBdr>
      <w:divsChild>
        <w:div w:id="860631895">
          <w:marLeft w:val="0"/>
          <w:marRight w:val="0"/>
          <w:marTop w:val="0"/>
          <w:marBottom w:val="0"/>
          <w:divBdr>
            <w:top w:val="none" w:sz="0" w:space="0" w:color="auto"/>
            <w:left w:val="none" w:sz="0" w:space="0" w:color="auto"/>
            <w:bottom w:val="none" w:sz="0" w:space="0" w:color="auto"/>
            <w:right w:val="none" w:sz="0" w:space="0" w:color="auto"/>
          </w:divBdr>
          <w:divsChild>
            <w:div w:id="2132698804">
              <w:marLeft w:val="0"/>
              <w:marRight w:val="0"/>
              <w:marTop w:val="0"/>
              <w:marBottom w:val="0"/>
              <w:divBdr>
                <w:top w:val="none" w:sz="0" w:space="0" w:color="auto"/>
                <w:left w:val="none" w:sz="0" w:space="0" w:color="auto"/>
                <w:bottom w:val="none" w:sz="0" w:space="0" w:color="auto"/>
                <w:right w:val="none" w:sz="0" w:space="0" w:color="auto"/>
              </w:divBdr>
              <w:divsChild>
                <w:div w:id="1406876446">
                  <w:marLeft w:val="0"/>
                  <w:marRight w:val="0"/>
                  <w:marTop w:val="0"/>
                  <w:marBottom w:val="0"/>
                  <w:divBdr>
                    <w:top w:val="none" w:sz="0" w:space="0" w:color="auto"/>
                    <w:left w:val="none" w:sz="0" w:space="0" w:color="auto"/>
                    <w:bottom w:val="none" w:sz="0" w:space="0" w:color="auto"/>
                    <w:right w:val="none" w:sz="0" w:space="0" w:color="auto"/>
                  </w:divBdr>
                  <w:divsChild>
                    <w:div w:id="13740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3425">
      <w:bodyDiv w:val="1"/>
      <w:marLeft w:val="0"/>
      <w:marRight w:val="0"/>
      <w:marTop w:val="0"/>
      <w:marBottom w:val="0"/>
      <w:divBdr>
        <w:top w:val="none" w:sz="0" w:space="0" w:color="auto"/>
        <w:left w:val="none" w:sz="0" w:space="0" w:color="auto"/>
        <w:bottom w:val="none" w:sz="0" w:space="0" w:color="auto"/>
        <w:right w:val="none" w:sz="0" w:space="0" w:color="auto"/>
      </w:divBdr>
    </w:div>
    <w:div w:id="803428532">
      <w:bodyDiv w:val="1"/>
      <w:marLeft w:val="0"/>
      <w:marRight w:val="0"/>
      <w:marTop w:val="0"/>
      <w:marBottom w:val="0"/>
      <w:divBdr>
        <w:top w:val="none" w:sz="0" w:space="0" w:color="auto"/>
        <w:left w:val="none" w:sz="0" w:space="0" w:color="auto"/>
        <w:bottom w:val="none" w:sz="0" w:space="0" w:color="auto"/>
        <w:right w:val="none" w:sz="0" w:space="0" w:color="auto"/>
      </w:divBdr>
      <w:divsChild>
        <w:div w:id="233199753">
          <w:marLeft w:val="0"/>
          <w:marRight w:val="0"/>
          <w:marTop w:val="0"/>
          <w:marBottom w:val="0"/>
          <w:divBdr>
            <w:top w:val="none" w:sz="0" w:space="0" w:color="auto"/>
            <w:left w:val="none" w:sz="0" w:space="0" w:color="auto"/>
            <w:bottom w:val="none" w:sz="0" w:space="0" w:color="auto"/>
            <w:right w:val="none" w:sz="0" w:space="0" w:color="auto"/>
          </w:divBdr>
          <w:divsChild>
            <w:div w:id="1684236746">
              <w:marLeft w:val="0"/>
              <w:marRight w:val="0"/>
              <w:marTop w:val="0"/>
              <w:marBottom w:val="0"/>
              <w:divBdr>
                <w:top w:val="none" w:sz="0" w:space="0" w:color="auto"/>
                <w:left w:val="none" w:sz="0" w:space="0" w:color="auto"/>
                <w:bottom w:val="none" w:sz="0" w:space="0" w:color="auto"/>
                <w:right w:val="none" w:sz="0" w:space="0" w:color="auto"/>
              </w:divBdr>
              <w:divsChild>
                <w:div w:id="1425422272">
                  <w:marLeft w:val="-225"/>
                  <w:marRight w:val="-225"/>
                  <w:marTop w:val="0"/>
                  <w:marBottom w:val="0"/>
                  <w:divBdr>
                    <w:top w:val="none" w:sz="0" w:space="0" w:color="auto"/>
                    <w:left w:val="none" w:sz="0" w:space="0" w:color="auto"/>
                    <w:bottom w:val="none" w:sz="0" w:space="0" w:color="auto"/>
                    <w:right w:val="none" w:sz="0" w:space="0" w:color="auto"/>
                  </w:divBdr>
                  <w:divsChild>
                    <w:div w:id="1972635277">
                      <w:marLeft w:val="0"/>
                      <w:marRight w:val="0"/>
                      <w:marTop w:val="0"/>
                      <w:marBottom w:val="0"/>
                      <w:divBdr>
                        <w:top w:val="none" w:sz="0" w:space="0" w:color="auto"/>
                        <w:left w:val="none" w:sz="0" w:space="0" w:color="auto"/>
                        <w:bottom w:val="none" w:sz="0" w:space="0" w:color="auto"/>
                        <w:right w:val="none" w:sz="0" w:space="0" w:color="auto"/>
                      </w:divBdr>
                      <w:divsChild>
                        <w:div w:id="1906142676">
                          <w:marLeft w:val="0"/>
                          <w:marRight w:val="0"/>
                          <w:marTop w:val="0"/>
                          <w:marBottom w:val="0"/>
                          <w:divBdr>
                            <w:top w:val="none" w:sz="0" w:space="0" w:color="auto"/>
                            <w:left w:val="none" w:sz="0" w:space="0" w:color="auto"/>
                            <w:bottom w:val="none" w:sz="0" w:space="0" w:color="auto"/>
                            <w:right w:val="none" w:sz="0" w:space="0" w:color="auto"/>
                          </w:divBdr>
                          <w:divsChild>
                            <w:div w:id="126538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00959">
      <w:bodyDiv w:val="1"/>
      <w:marLeft w:val="0"/>
      <w:marRight w:val="0"/>
      <w:marTop w:val="0"/>
      <w:marBottom w:val="0"/>
      <w:divBdr>
        <w:top w:val="none" w:sz="0" w:space="0" w:color="auto"/>
        <w:left w:val="none" w:sz="0" w:space="0" w:color="auto"/>
        <w:bottom w:val="none" w:sz="0" w:space="0" w:color="auto"/>
        <w:right w:val="none" w:sz="0" w:space="0" w:color="auto"/>
      </w:divBdr>
    </w:div>
    <w:div w:id="891311920">
      <w:bodyDiv w:val="1"/>
      <w:marLeft w:val="0"/>
      <w:marRight w:val="0"/>
      <w:marTop w:val="0"/>
      <w:marBottom w:val="0"/>
      <w:divBdr>
        <w:top w:val="none" w:sz="0" w:space="0" w:color="auto"/>
        <w:left w:val="none" w:sz="0" w:space="0" w:color="auto"/>
        <w:bottom w:val="none" w:sz="0" w:space="0" w:color="auto"/>
        <w:right w:val="none" w:sz="0" w:space="0" w:color="auto"/>
      </w:divBdr>
    </w:div>
    <w:div w:id="1034622317">
      <w:bodyDiv w:val="1"/>
      <w:marLeft w:val="0"/>
      <w:marRight w:val="0"/>
      <w:marTop w:val="0"/>
      <w:marBottom w:val="0"/>
      <w:divBdr>
        <w:top w:val="none" w:sz="0" w:space="0" w:color="auto"/>
        <w:left w:val="none" w:sz="0" w:space="0" w:color="auto"/>
        <w:bottom w:val="none" w:sz="0" w:space="0" w:color="auto"/>
        <w:right w:val="none" w:sz="0" w:space="0" w:color="auto"/>
      </w:divBdr>
    </w:div>
    <w:div w:id="1181318814">
      <w:bodyDiv w:val="1"/>
      <w:marLeft w:val="0"/>
      <w:marRight w:val="0"/>
      <w:marTop w:val="900"/>
      <w:marBottom w:val="900"/>
      <w:divBdr>
        <w:top w:val="none" w:sz="0" w:space="0" w:color="auto"/>
        <w:left w:val="none" w:sz="0" w:space="0" w:color="auto"/>
        <w:bottom w:val="none" w:sz="0" w:space="0" w:color="auto"/>
        <w:right w:val="none" w:sz="0" w:space="0" w:color="auto"/>
      </w:divBdr>
      <w:divsChild>
        <w:div w:id="1006328463">
          <w:marLeft w:val="0"/>
          <w:marRight w:val="0"/>
          <w:marTop w:val="0"/>
          <w:marBottom w:val="0"/>
          <w:divBdr>
            <w:top w:val="none" w:sz="0" w:space="0" w:color="auto"/>
            <w:left w:val="none" w:sz="0" w:space="0" w:color="auto"/>
            <w:bottom w:val="none" w:sz="0" w:space="0" w:color="auto"/>
            <w:right w:val="none" w:sz="0" w:space="0" w:color="auto"/>
          </w:divBdr>
          <w:divsChild>
            <w:div w:id="59330300">
              <w:marLeft w:val="0"/>
              <w:marRight w:val="0"/>
              <w:marTop w:val="0"/>
              <w:marBottom w:val="0"/>
              <w:divBdr>
                <w:top w:val="none" w:sz="0" w:space="0" w:color="auto"/>
                <w:left w:val="none" w:sz="0" w:space="0" w:color="auto"/>
                <w:bottom w:val="none" w:sz="0" w:space="0" w:color="auto"/>
                <w:right w:val="none" w:sz="0" w:space="0" w:color="auto"/>
              </w:divBdr>
              <w:divsChild>
                <w:div w:id="1376546116">
                  <w:marLeft w:val="0"/>
                  <w:marRight w:val="0"/>
                  <w:marTop w:val="0"/>
                  <w:marBottom w:val="0"/>
                  <w:divBdr>
                    <w:top w:val="none" w:sz="0" w:space="0" w:color="auto"/>
                    <w:left w:val="none" w:sz="0" w:space="0" w:color="auto"/>
                    <w:bottom w:val="none" w:sz="0" w:space="0" w:color="auto"/>
                    <w:right w:val="none" w:sz="0" w:space="0" w:color="auto"/>
                  </w:divBdr>
                  <w:divsChild>
                    <w:div w:id="13138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62754">
      <w:bodyDiv w:val="1"/>
      <w:marLeft w:val="0"/>
      <w:marRight w:val="0"/>
      <w:marTop w:val="900"/>
      <w:marBottom w:val="900"/>
      <w:divBdr>
        <w:top w:val="none" w:sz="0" w:space="0" w:color="auto"/>
        <w:left w:val="none" w:sz="0" w:space="0" w:color="auto"/>
        <w:bottom w:val="none" w:sz="0" w:space="0" w:color="auto"/>
        <w:right w:val="none" w:sz="0" w:space="0" w:color="auto"/>
      </w:divBdr>
      <w:divsChild>
        <w:div w:id="999314800">
          <w:marLeft w:val="0"/>
          <w:marRight w:val="0"/>
          <w:marTop w:val="0"/>
          <w:marBottom w:val="0"/>
          <w:divBdr>
            <w:top w:val="none" w:sz="0" w:space="0" w:color="auto"/>
            <w:left w:val="none" w:sz="0" w:space="0" w:color="auto"/>
            <w:bottom w:val="none" w:sz="0" w:space="0" w:color="auto"/>
            <w:right w:val="none" w:sz="0" w:space="0" w:color="auto"/>
          </w:divBdr>
          <w:divsChild>
            <w:div w:id="1257713018">
              <w:marLeft w:val="0"/>
              <w:marRight w:val="0"/>
              <w:marTop w:val="0"/>
              <w:marBottom w:val="0"/>
              <w:divBdr>
                <w:top w:val="none" w:sz="0" w:space="0" w:color="auto"/>
                <w:left w:val="none" w:sz="0" w:space="0" w:color="auto"/>
                <w:bottom w:val="none" w:sz="0" w:space="0" w:color="auto"/>
                <w:right w:val="none" w:sz="0" w:space="0" w:color="auto"/>
              </w:divBdr>
              <w:divsChild>
                <w:div w:id="240213561">
                  <w:marLeft w:val="0"/>
                  <w:marRight w:val="0"/>
                  <w:marTop w:val="0"/>
                  <w:marBottom w:val="0"/>
                  <w:divBdr>
                    <w:top w:val="none" w:sz="0" w:space="0" w:color="auto"/>
                    <w:left w:val="none" w:sz="0" w:space="0" w:color="auto"/>
                    <w:bottom w:val="none" w:sz="0" w:space="0" w:color="auto"/>
                    <w:right w:val="none" w:sz="0" w:space="0" w:color="auto"/>
                  </w:divBdr>
                  <w:divsChild>
                    <w:div w:id="13041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359657">
      <w:bodyDiv w:val="1"/>
      <w:marLeft w:val="0"/>
      <w:marRight w:val="0"/>
      <w:marTop w:val="0"/>
      <w:marBottom w:val="0"/>
      <w:divBdr>
        <w:top w:val="none" w:sz="0" w:space="0" w:color="auto"/>
        <w:left w:val="none" w:sz="0" w:space="0" w:color="auto"/>
        <w:bottom w:val="none" w:sz="0" w:space="0" w:color="auto"/>
        <w:right w:val="none" w:sz="0" w:space="0" w:color="auto"/>
      </w:divBdr>
    </w:div>
    <w:div w:id="1388534990">
      <w:bodyDiv w:val="1"/>
      <w:marLeft w:val="0"/>
      <w:marRight w:val="0"/>
      <w:marTop w:val="0"/>
      <w:marBottom w:val="0"/>
      <w:divBdr>
        <w:top w:val="none" w:sz="0" w:space="0" w:color="auto"/>
        <w:left w:val="none" w:sz="0" w:space="0" w:color="auto"/>
        <w:bottom w:val="none" w:sz="0" w:space="0" w:color="auto"/>
        <w:right w:val="none" w:sz="0" w:space="0" w:color="auto"/>
      </w:divBdr>
    </w:div>
    <w:div w:id="1464730753">
      <w:bodyDiv w:val="1"/>
      <w:marLeft w:val="0"/>
      <w:marRight w:val="0"/>
      <w:marTop w:val="0"/>
      <w:marBottom w:val="0"/>
      <w:divBdr>
        <w:top w:val="none" w:sz="0" w:space="0" w:color="auto"/>
        <w:left w:val="none" w:sz="0" w:space="0" w:color="auto"/>
        <w:bottom w:val="none" w:sz="0" w:space="0" w:color="auto"/>
        <w:right w:val="none" w:sz="0" w:space="0" w:color="auto"/>
      </w:divBdr>
    </w:div>
    <w:div w:id="1568958248">
      <w:bodyDiv w:val="1"/>
      <w:marLeft w:val="0"/>
      <w:marRight w:val="0"/>
      <w:marTop w:val="0"/>
      <w:marBottom w:val="0"/>
      <w:divBdr>
        <w:top w:val="none" w:sz="0" w:space="0" w:color="auto"/>
        <w:left w:val="none" w:sz="0" w:space="0" w:color="auto"/>
        <w:bottom w:val="none" w:sz="0" w:space="0" w:color="auto"/>
        <w:right w:val="none" w:sz="0" w:space="0" w:color="auto"/>
      </w:divBdr>
    </w:div>
    <w:div w:id="1708262911">
      <w:bodyDiv w:val="1"/>
      <w:marLeft w:val="0"/>
      <w:marRight w:val="0"/>
      <w:marTop w:val="0"/>
      <w:marBottom w:val="0"/>
      <w:divBdr>
        <w:top w:val="none" w:sz="0" w:space="0" w:color="auto"/>
        <w:left w:val="none" w:sz="0" w:space="0" w:color="auto"/>
        <w:bottom w:val="none" w:sz="0" w:space="0" w:color="auto"/>
        <w:right w:val="none" w:sz="0" w:space="0" w:color="auto"/>
      </w:divBdr>
      <w:divsChild>
        <w:div w:id="1785609311">
          <w:marLeft w:val="0"/>
          <w:marRight w:val="0"/>
          <w:marTop w:val="0"/>
          <w:marBottom w:val="0"/>
          <w:divBdr>
            <w:top w:val="none" w:sz="0" w:space="0" w:color="auto"/>
            <w:left w:val="none" w:sz="0" w:space="0" w:color="auto"/>
            <w:bottom w:val="none" w:sz="0" w:space="0" w:color="auto"/>
            <w:right w:val="none" w:sz="0" w:space="0" w:color="auto"/>
          </w:divBdr>
        </w:div>
        <w:div w:id="878474365">
          <w:marLeft w:val="0"/>
          <w:marRight w:val="0"/>
          <w:marTop w:val="0"/>
          <w:marBottom w:val="0"/>
          <w:divBdr>
            <w:top w:val="none" w:sz="0" w:space="0" w:color="auto"/>
            <w:left w:val="none" w:sz="0" w:space="0" w:color="auto"/>
            <w:bottom w:val="none" w:sz="0" w:space="0" w:color="auto"/>
            <w:right w:val="none" w:sz="0" w:space="0" w:color="auto"/>
          </w:divBdr>
        </w:div>
        <w:div w:id="214439671">
          <w:marLeft w:val="0"/>
          <w:marRight w:val="0"/>
          <w:marTop w:val="0"/>
          <w:marBottom w:val="0"/>
          <w:divBdr>
            <w:top w:val="none" w:sz="0" w:space="0" w:color="auto"/>
            <w:left w:val="none" w:sz="0" w:space="0" w:color="auto"/>
            <w:bottom w:val="none" w:sz="0" w:space="0" w:color="auto"/>
            <w:right w:val="none" w:sz="0" w:space="0" w:color="auto"/>
          </w:divBdr>
        </w:div>
        <w:div w:id="34736629">
          <w:marLeft w:val="0"/>
          <w:marRight w:val="0"/>
          <w:marTop w:val="0"/>
          <w:marBottom w:val="0"/>
          <w:divBdr>
            <w:top w:val="none" w:sz="0" w:space="0" w:color="auto"/>
            <w:left w:val="none" w:sz="0" w:space="0" w:color="auto"/>
            <w:bottom w:val="none" w:sz="0" w:space="0" w:color="auto"/>
            <w:right w:val="none" w:sz="0" w:space="0" w:color="auto"/>
          </w:divBdr>
        </w:div>
        <w:div w:id="378632054">
          <w:marLeft w:val="0"/>
          <w:marRight w:val="0"/>
          <w:marTop w:val="0"/>
          <w:marBottom w:val="0"/>
          <w:divBdr>
            <w:top w:val="none" w:sz="0" w:space="0" w:color="auto"/>
            <w:left w:val="none" w:sz="0" w:space="0" w:color="auto"/>
            <w:bottom w:val="none" w:sz="0" w:space="0" w:color="auto"/>
            <w:right w:val="none" w:sz="0" w:space="0" w:color="auto"/>
          </w:divBdr>
        </w:div>
        <w:div w:id="545416585">
          <w:marLeft w:val="0"/>
          <w:marRight w:val="0"/>
          <w:marTop w:val="0"/>
          <w:marBottom w:val="0"/>
          <w:divBdr>
            <w:top w:val="none" w:sz="0" w:space="0" w:color="auto"/>
            <w:left w:val="none" w:sz="0" w:space="0" w:color="auto"/>
            <w:bottom w:val="none" w:sz="0" w:space="0" w:color="auto"/>
            <w:right w:val="none" w:sz="0" w:space="0" w:color="auto"/>
          </w:divBdr>
        </w:div>
      </w:divsChild>
    </w:div>
    <w:div w:id="1785421097">
      <w:bodyDiv w:val="1"/>
      <w:marLeft w:val="0"/>
      <w:marRight w:val="0"/>
      <w:marTop w:val="0"/>
      <w:marBottom w:val="0"/>
      <w:divBdr>
        <w:top w:val="none" w:sz="0" w:space="0" w:color="auto"/>
        <w:left w:val="none" w:sz="0" w:space="0" w:color="auto"/>
        <w:bottom w:val="none" w:sz="0" w:space="0" w:color="auto"/>
        <w:right w:val="none" w:sz="0" w:space="0" w:color="auto"/>
      </w:divBdr>
    </w:div>
    <w:div w:id="1808935611">
      <w:bodyDiv w:val="1"/>
      <w:marLeft w:val="0"/>
      <w:marRight w:val="0"/>
      <w:marTop w:val="900"/>
      <w:marBottom w:val="900"/>
      <w:divBdr>
        <w:top w:val="none" w:sz="0" w:space="0" w:color="auto"/>
        <w:left w:val="none" w:sz="0" w:space="0" w:color="auto"/>
        <w:bottom w:val="none" w:sz="0" w:space="0" w:color="auto"/>
        <w:right w:val="none" w:sz="0" w:space="0" w:color="auto"/>
      </w:divBdr>
      <w:divsChild>
        <w:div w:id="533159438">
          <w:marLeft w:val="0"/>
          <w:marRight w:val="0"/>
          <w:marTop w:val="0"/>
          <w:marBottom w:val="0"/>
          <w:divBdr>
            <w:top w:val="none" w:sz="0" w:space="0" w:color="auto"/>
            <w:left w:val="none" w:sz="0" w:space="0" w:color="auto"/>
            <w:bottom w:val="none" w:sz="0" w:space="0" w:color="auto"/>
            <w:right w:val="none" w:sz="0" w:space="0" w:color="auto"/>
          </w:divBdr>
          <w:divsChild>
            <w:div w:id="1392920382">
              <w:marLeft w:val="0"/>
              <w:marRight w:val="0"/>
              <w:marTop w:val="0"/>
              <w:marBottom w:val="0"/>
              <w:divBdr>
                <w:top w:val="none" w:sz="0" w:space="0" w:color="auto"/>
                <w:left w:val="none" w:sz="0" w:space="0" w:color="auto"/>
                <w:bottom w:val="none" w:sz="0" w:space="0" w:color="auto"/>
                <w:right w:val="none" w:sz="0" w:space="0" w:color="auto"/>
              </w:divBdr>
              <w:divsChild>
                <w:div w:id="331877165">
                  <w:marLeft w:val="0"/>
                  <w:marRight w:val="0"/>
                  <w:marTop w:val="0"/>
                  <w:marBottom w:val="0"/>
                  <w:divBdr>
                    <w:top w:val="none" w:sz="0" w:space="0" w:color="auto"/>
                    <w:left w:val="none" w:sz="0" w:space="0" w:color="auto"/>
                    <w:bottom w:val="none" w:sz="0" w:space="0" w:color="auto"/>
                    <w:right w:val="none" w:sz="0" w:space="0" w:color="auto"/>
                  </w:divBdr>
                  <w:divsChild>
                    <w:div w:id="5270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49374">
      <w:bodyDiv w:val="1"/>
      <w:marLeft w:val="0"/>
      <w:marRight w:val="0"/>
      <w:marTop w:val="0"/>
      <w:marBottom w:val="0"/>
      <w:divBdr>
        <w:top w:val="none" w:sz="0" w:space="0" w:color="auto"/>
        <w:left w:val="none" w:sz="0" w:space="0" w:color="auto"/>
        <w:bottom w:val="none" w:sz="0" w:space="0" w:color="auto"/>
        <w:right w:val="none" w:sz="0" w:space="0" w:color="auto"/>
      </w:divBdr>
    </w:div>
    <w:div w:id="1859928617">
      <w:bodyDiv w:val="1"/>
      <w:marLeft w:val="0"/>
      <w:marRight w:val="0"/>
      <w:marTop w:val="0"/>
      <w:marBottom w:val="0"/>
      <w:divBdr>
        <w:top w:val="none" w:sz="0" w:space="0" w:color="auto"/>
        <w:left w:val="none" w:sz="0" w:space="0" w:color="auto"/>
        <w:bottom w:val="none" w:sz="0" w:space="0" w:color="auto"/>
        <w:right w:val="none" w:sz="0" w:space="0" w:color="auto"/>
      </w:divBdr>
    </w:div>
    <w:div w:id="209577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D9D39-8518-4B2A-AB11-3853C044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23</Pages>
  <Words>6213</Words>
  <Characters>35420</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FERRARI Giulia</cp:lastModifiedBy>
  <cp:revision>2</cp:revision>
  <cp:lastPrinted>2021-11-29T08:55:00Z</cp:lastPrinted>
  <dcterms:created xsi:type="dcterms:W3CDTF">2021-11-29T16:12:00Z</dcterms:created>
  <dcterms:modified xsi:type="dcterms:W3CDTF">2021-11-29T16:12:00Z</dcterms:modified>
</cp:coreProperties>
</file>