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75A7" w:rsidRPr="00B35B37" w:rsidRDefault="00B54A81">
      <w:pPr>
        <w:jc w:val="center"/>
        <w:rPr>
          <w:rFonts w:ascii=".SFUI-Regular" w:eastAsia=".SFUI-Regular" w:hAnsi=".SFUI-Regular" w:cs=".SFUI-Regular"/>
          <w:b/>
          <w:sz w:val="32"/>
          <w:szCs w:val="32"/>
        </w:rPr>
      </w:pPr>
      <w:r w:rsidRPr="00B35B37">
        <w:rPr>
          <w:rFonts w:ascii=".SFUI-Regular" w:eastAsia=".SFUI-Regular" w:hAnsi=".SFUI-Regular" w:cs=".SFUI-Regular"/>
          <w:b/>
          <w:sz w:val="32"/>
          <w:szCs w:val="32"/>
        </w:rPr>
        <w:t xml:space="preserve">Gli atti fondamentali dell’Unione europea su “transizione ecologica” </w:t>
      </w:r>
    </w:p>
    <w:p w14:paraId="00000002" w14:textId="77777777" w:rsidR="005675A7" w:rsidRDefault="00B54A81">
      <w:pPr>
        <w:jc w:val="center"/>
        <w:rPr>
          <w:rFonts w:ascii=".SFUI-Regular" w:eastAsia=".SFUI-Regular" w:hAnsi=".SFUI-Regular" w:cs=".SFUI-Regular"/>
          <w:b/>
        </w:rPr>
      </w:pPr>
      <w:proofErr w:type="gramStart"/>
      <w:r w:rsidRPr="00B35B37">
        <w:rPr>
          <w:rFonts w:ascii=".SFUI-Regular" w:eastAsia=".SFUI-Regular" w:hAnsi=".SFUI-Regular" w:cs=".SFUI-Regular"/>
          <w:b/>
          <w:sz w:val="32"/>
          <w:szCs w:val="32"/>
        </w:rPr>
        <w:t>e “</w:t>
      </w:r>
      <w:proofErr w:type="gramEnd"/>
      <w:r w:rsidRPr="00B35B37">
        <w:rPr>
          <w:rFonts w:ascii=".SFUI-Regular" w:eastAsia=".SFUI-Regular" w:hAnsi=".SFUI-Regular" w:cs=".SFUI-Regular"/>
          <w:b/>
          <w:sz w:val="32"/>
          <w:szCs w:val="32"/>
        </w:rPr>
        <w:t>ripresa e resilienza”: prime osservazioni</w:t>
      </w:r>
    </w:p>
    <w:p w14:paraId="00000003" w14:textId="77777777" w:rsidR="005675A7" w:rsidRDefault="005675A7">
      <w:pPr>
        <w:jc w:val="center"/>
        <w:rPr>
          <w:rFonts w:ascii="Times New Roman" w:eastAsia="Times New Roman" w:hAnsi="Times New Roman" w:cs="Times New Roman"/>
          <w:sz w:val="20"/>
          <w:szCs w:val="20"/>
        </w:rPr>
      </w:pPr>
    </w:p>
    <w:p w14:paraId="00000007" w14:textId="77777777" w:rsidR="005675A7" w:rsidRDefault="005675A7">
      <w:pPr>
        <w:jc w:val="center"/>
        <w:rPr>
          <w:rFonts w:ascii="Times New Roman" w:eastAsia="Times New Roman" w:hAnsi="Times New Roman" w:cs="Times New Roman"/>
          <w:i/>
          <w:sz w:val="18"/>
          <w:szCs w:val="18"/>
        </w:rPr>
      </w:pPr>
    </w:p>
    <w:p w14:paraId="0000000A" w14:textId="77777777" w:rsidR="005675A7" w:rsidRDefault="005675A7">
      <w:pPr>
        <w:rPr>
          <w:rFonts w:ascii="Times New Roman" w:eastAsia="Times New Roman" w:hAnsi="Times New Roman" w:cs="Times New Roman"/>
          <w:sz w:val="18"/>
          <w:szCs w:val="18"/>
        </w:rPr>
      </w:pPr>
    </w:p>
    <w:p w14:paraId="0000000B" w14:textId="77777777" w:rsidR="005675A7" w:rsidRDefault="005675A7">
      <w:pPr>
        <w:rPr>
          <w:rFonts w:ascii="Times New Roman" w:eastAsia="Times New Roman" w:hAnsi="Times New Roman" w:cs="Times New Roman"/>
          <w:sz w:val="18"/>
          <w:szCs w:val="18"/>
        </w:rPr>
      </w:pPr>
    </w:p>
    <w:p w14:paraId="0000000C" w14:textId="77777777" w:rsidR="005675A7" w:rsidRPr="00B35B37" w:rsidRDefault="00B54A81">
      <w:pPr>
        <w:ind w:left="566" w:right="-40" w:hanging="566"/>
        <w:jc w:val="both"/>
        <w:rPr>
          <w:rFonts w:ascii="Times New Roman" w:eastAsia="Times New Roman" w:hAnsi="Times New Roman" w:cs="Times New Roman"/>
          <w:b/>
          <w:sz w:val="18"/>
          <w:szCs w:val="18"/>
        </w:rPr>
      </w:pPr>
      <w:r w:rsidRPr="00B35B37">
        <w:rPr>
          <w:rFonts w:ascii="Times New Roman" w:eastAsia="Times New Roman" w:hAnsi="Times New Roman" w:cs="Times New Roman"/>
          <w:b/>
          <w:sz w:val="18"/>
          <w:szCs w:val="18"/>
        </w:rPr>
        <w:t xml:space="preserve">SOMMARIO: 1. Premessa. – 2. Gli atti fondamentali dell’UE per uscire dalla crisi COVID-19. - 3. Il </w:t>
      </w:r>
      <w:r w:rsidRPr="00B35B37">
        <w:rPr>
          <w:rFonts w:ascii="Times New Roman" w:eastAsia="Times New Roman" w:hAnsi="Times New Roman" w:cs="Times New Roman"/>
          <w:b/>
          <w:i/>
          <w:sz w:val="18"/>
          <w:szCs w:val="18"/>
        </w:rPr>
        <w:t>Green Deal</w:t>
      </w:r>
      <w:r w:rsidRPr="00B35B37">
        <w:rPr>
          <w:rFonts w:ascii="Times New Roman" w:eastAsia="Times New Roman" w:hAnsi="Times New Roman" w:cs="Times New Roman"/>
          <w:b/>
          <w:sz w:val="18"/>
          <w:szCs w:val="18"/>
        </w:rPr>
        <w:t xml:space="preserve"> europeo e l'avvio della </w:t>
      </w:r>
      <w:r w:rsidRPr="00B35B37">
        <w:rPr>
          <w:rFonts w:ascii="Times New Roman" w:eastAsia="Times New Roman" w:hAnsi="Times New Roman" w:cs="Times New Roman"/>
          <w:b/>
          <w:i/>
          <w:sz w:val="18"/>
          <w:szCs w:val="18"/>
        </w:rPr>
        <w:t>transizione verde</w:t>
      </w:r>
      <w:r w:rsidRPr="00B35B37">
        <w:rPr>
          <w:rFonts w:ascii="Times New Roman" w:eastAsia="Times New Roman" w:hAnsi="Times New Roman" w:cs="Times New Roman"/>
          <w:b/>
          <w:sz w:val="18"/>
          <w:szCs w:val="18"/>
        </w:rPr>
        <w:t>. - 4. Il regolamento (UE) 2020/852, i sei indicatori ambientali e il principio «</w:t>
      </w:r>
      <w:r w:rsidRPr="00B35B37">
        <w:rPr>
          <w:rFonts w:ascii="Times New Roman" w:eastAsia="Times New Roman" w:hAnsi="Times New Roman" w:cs="Times New Roman"/>
          <w:b/>
          <w:i/>
          <w:sz w:val="18"/>
          <w:szCs w:val="18"/>
        </w:rPr>
        <w:t>non arrecare un danno significativo</w:t>
      </w:r>
      <w:r w:rsidRPr="00B35B37">
        <w:rPr>
          <w:rFonts w:ascii="Times New Roman" w:eastAsia="Times New Roman" w:hAnsi="Times New Roman" w:cs="Times New Roman"/>
          <w:b/>
          <w:sz w:val="18"/>
          <w:szCs w:val="18"/>
        </w:rPr>
        <w:t xml:space="preserve">». - 5. La </w:t>
      </w:r>
      <w:r w:rsidRPr="00B35B37">
        <w:rPr>
          <w:rFonts w:ascii="Times New Roman" w:eastAsia="Times New Roman" w:hAnsi="Times New Roman" w:cs="Times New Roman"/>
          <w:b/>
          <w:i/>
          <w:sz w:val="18"/>
          <w:szCs w:val="18"/>
        </w:rPr>
        <w:t>transizione verde</w:t>
      </w:r>
      <w:r w:rsidRPr="00B35B37">
        <w:rPr>
          <w:rFonts w:ascii="Times New Roman" w:eastAsia="Times New Roman" w:hAnsi="Times New Roman" w:cs="Times New Roman"/>
          <w:b/>
          <w:sz w:val="18"/>
          <w:szCs w:val="18"/>
        </w:rPr>
        <w:t xml:space="preserve"> nei precedenti atti dell’Unione europea. - 6. Il regolamento (UE) 2021/240. - 7. Il regolamento (UE) 2021/241: il principio «</w:t>
      </w:r>
      <w:r w:rsidRPr="00B35B37">
        <w:rPr>
          <w:rFonts w:ascii="Times New Roman" w:eastAsia="Times New Roman" w:hAnsi="Times New Roman" w:cs="Times New Roman"/>
          <w:b/>
          <w:i/>
          <w:sz w:val="18"/>
          <w:szCs w:val="18"/>
        </w:rPr>
        <w:t>non arrecare un danno significativo</w:t>
      </w:r>
      <w:r w:rsidRPr="00B35B37">
        <w:rPr>
          <w:rFonts w:ascii="Times New Roman" w:eastAsia="Times New Roman" w:hAnsi="Times New Roman" w:cs="Times New Roman"/>
          <w:b/>
          <w:sz w:val="18"/>
          <w:szCs w:val="18"/>
        </w:rPr>
        <w:t xml:space="preserve">». 7.1. </w:t>
      </w:r>
      <w:r w:rsidRPr="00B35B37">
        <w:rPr>
          <w:rFonts w:ascii="Times New Roman" w:eastAsia="Times New Roman" w:hAnsi="Times New Roman" w:cs="Times New Roman"/>
          <w:b/>
          <w:i/>
          <w:sz w:val="18"/>
          <w:szCs w:val="18"/>
        </w:rPr>
        <w:t xml:space="preserve">Segue: </w:t>
      </w:r>
      <w:r w:rsidRPr="00B35B37">
        <w:rPr>
          <w:rFonts w:ascii="Times New Roman" w:eastAsia="Times New Roman" w:hAnsi="Times New Roman" w:cs="Times New Roman"/>
          <w:b/>
          <w:sz w:val="18"/>
          <w:szCs w:val="18"/>
        </w:rPr>
        <w:t xml:space="preserve">la </w:t>
      </w:r>
      <w:r w:rsidRPr="00B35B37">
        <w:rPr>
          <w:rFonts w:ascii="Times New Roman" w:eastAsia="Times New Roman" w:hAnsi="Times New Roman" w:cs="Times New Roman"/>
          <w:b/>
          <w:i/>
          <w:sz w:val="18"/>
          <w:szCs w:val="18"/>
        </w:rPr>
        <w:t>transizione verde</w:t>
      </w:r>
      <w:r w:rsidRPr="00B35B37">
        <w:rPr>
          <w:rFonts w:ascii="Times New Roman" w:eastAsia="Times New Roman" w:hAnsi="Times New Roman" w:cs="Times New Roman"/>
          <w:b/>
          <w:sz w:val="18"/>
          <w:szCs w:val="18"/>
        </w:rPr>
        <w:t xml:space="preserve">. - 7.2. </w:t>
      </w:r>
      <w:r w:rsidRPr="00B35B37">
        <w:rPr>
          <w:rFonts w:ascii="Times New Roman" w:eastAsia="Times New Roman" w:hAnsi="Times New Roman" w:cs="Times New Roman"/>
          <w:b/>
          <w:i/>
          <w:sz w:val="18"/>
          <w:szCs w:val="18"/>
        </w:rPr>
        <w:t>Segue:</w:t>
      </w:r>
      <w:r w:rsidRPr="00B35B37">
        <w:rPr>
          <w:rFonts w:ascii="Times New Roman" w:eastAsia="Times New Roman" w:hAnsi="Times New Roman" w:cs="Times New Roman"/>
          <w:b/>
          <w:sz w:val="18"/>
          <w:szCs w:val="18"/>
        </w:rPr>
        <w:t xml:space="preserve"> il calcolo quantitativo della </w:t>
      </w:r>
      <w:r w:rsidRPr="00B35B37">
        <w:rPr>
          <w:rFonts w:ascii="Times New Roman" w:eastAsia="Times New Roman" w:hAnsi="Times New Roman" w:cs="Times New Roman"/>
          <w:b/>
          <w:i/>
          <w:sz w:val="18"/>
          <w:szCs w:val="18"/>
        </w:rPr>
        <w:t>transizione verde</w:t>
      </w:r>
      <w:r w:rsidRPr="00B35B37">
        <w:rPr>
          <w:rFonts w:ascii="Times New Roman" w:eastAsia="Times New Roman" w:hAnsi="Times New Roman" w:cs="Times New Roman"/>
          <w:b/>
          <w:sz w:val="18"/>
          <w:szCs w:val="18"/>
        </w:rPr>
        <w:t xml:space="preserve">. - 7.3. </w:t>
      </w:r>
      <w:r w:rsidRPr="00B35B37">
        <w:rPr>
          <w:rFonts w:ascii="Times New Roman" w:eastAsia="Times New Roman" w:hAnsi="Times New Roman" w:cs="Times New Roman"/>
          <w:b/>
          <w:i/>
          <w:sz w:val="18"/>
          <w:szCs w:val="18"/>
        </w:rPr>
        <w:t>Segue:</w:t>
      </w:r>
      <w:r w:rsidRPr="00B35B37">
        <w:rPr>
          <w:rFonts w:ascii="Times New Roman" w:eastAsia="Times New Roman" w:hAnsi="Times New Roman" w:cs="Times New Roman"/>
          <w:b/>
          <w:sz w:val="18"/>
          <w:szCs w:val="18"/>
        </w:rPr>
        <w:t xml:space="preserve"> la metodologia di controllo del clima. - 8. La Comunicazione della Commissione europea sul principio «</w:t>
      </w:r>
      <w:r w:rsidRPr="00B35B37">
        <w:rPr>
          <w:rFonts w:ascii="Times New Roman" w:eastAsia="Times New Roman" w:hAnsi="Times New Roman" w:cs="Times New Roman"/>
          <w:b/>
          <w:i/>
          <w:sz w:val="18"/>
          <w:szCs w:val="18"/>
        </w:rPr>
        <w:t>non arrecare un danno significativo</w:t>
      </w:r>
      <w:r w:rsidRPr="00B35B37">
        <w:rPr>
          <w:rFonts w:ascii="Times New Roman" w:eastAsia="Times New Roman" w:hAnsi="Times New Roman" w:cs="Times New Roman"/>
          <w:b/>
          <w:sz w:val="18"/>
          <w:szCs w:val="18"/>
        </w:rPr>
        <w:t xml:space="preserve">». - 8.1. </w:t>
      </w:r>
      <w:r w:rsidRPr="00B35B37">
        <w:rPr>
          <w:rFonts w:ascii="Times New Roman" w:eastAsia="Times New Roman" w:hAnsi="Times New Roman" w:cs="Times New Roman"/>
          <w:b/>
          <w:i/>
          <w:sz w:val="18"/>
          <w:szCs w:val="18"/>
        </w:rPr>
        <w:t>Segue:</w:t>
      </w:r>
      <w:r w:rsidRPr="00B35B37">
        <w:rPr>
          <w:rFonts w:ascii="Times New Roman" w:eastAsia="Times New Roman" w:hAnsi="Times New Roman" w:cs="Times New Roman"/>
          <w:b/>
          <w:sz w:val="18"/>
          <w:szCs w:val="18"/>
        </w:rPr>
        <w:t xml:space="preserve"> i principi guida per la valutazione del «</w:t>
      </w:r>
      <w:r w:rsidRPr="00B35B37">
        <w:rPr>
          <w:rFonts w:ascii="Times New Roman" w:eastAsia="Times New Roman" w:hAnsi="Times New Roman" w:cs="Times New Roman"/>
          <w:b/>
          <w:i/>
          <w:sz w:val="18"/>
          <w:szCs w:val="18"/>
        </w:rPr>
        <w:t>non arrecare un danno significativo</w:t>
      </w:r>
      <w:r w:rsidRPr="00B35B37">
        <w:rPr>
          <w:rFonts w:ascii="Times New Roman" w:eastAsia="Times New Roman" w:hAnsi="Times New Roman" w:cs="Times New Roman"/>
          <w:b/>
          <w:sz w:val="18"/>
          <w:szCs w:val="18"/>
        </w:rPr>
        <w:t xml:space="preserve">». - 9. La </w:t>
      </w:r>
      <w:r w:rsidRPr="00B35B37">
        <w:rPr>
          <w:rFonts w:ascii="Times New Roman" w:eastAsia="Times New Roman" w:hAnsi="Times New Roman" w:cs="Times New Roman"/>
          <w:b/>
          <w:i/>
          <w:sz w:val="18"/>
          <w:szCs w:val="18"/>
        </w:rPr>
        <w:t>transizione verde</w:t>
      </w:r>
      <w:r w:rsidRPr="00B35B37">
        <w:rPr>
          <w:rFonts w:ascii="Times New Roman" w:eastAsia="Times New Roman" w:hAnsi="Times New Roman" w:cs="Times New Roman"/>
          <w:b/>
          <w:sz w:val="18"/>
          <w:szCs w:val="18"/>
        </w:rPr>
        <w:t xml:space="preserve"> verso il principio del «</w:t>
      </w:r>
      <w:r w:rsidRPr="00B35B37">
        <w:rPr>
          <w:rFonts w:ascii="Times New Roman" w:eastAsia="Times New Roman" w:hAnsi="Times New Roman" w:cs="Times New Roman"/>
          <w:b/>
          <w:i/>
          <w:sz w:val="18"/>
          <w:szCs w:val="18"/>
        </w:rPr>
        <w:t>guadagno netto</w:t>
      </w:r>
      <w:r w:rsidRPr="00B35B37">
        <w:rPr>
          <w:rFonts w:ascii="Times New Roman" w:eastAsia="Times New Roman" w:hAnsi="Times New Roman" w:cs="Times New Roman"/>
          <w:b/>
          <w:sz w:val="18"/>
          <w:szCs w:val="18"/>
        </w:rPr>
        <w:t>».</w:t>
      </w:r>
    </w:p>
    <w:p w14:paraId="0000000D" w14:textId="77777777" w:rsidR="005675A7" w:rsidRDefault="005675A7">
      <w:pPr>
        <w:ind w:right="-40"/>
        <w:jc w:val="both"/>
        <w:rPr>
          <w:rFonts w:ascii="Times New Roman" w:eastAsia="Times New Roman" w:hAnsi="Times New Roman" w:cs="Times New Roman"/>
          <w:sz w:val="24"/>
          <w:szCs w:val="24"/>
        </w:rPr>
      </w:pPr>
    </w:p>
    <w:p w14:paraId="0000000E" w14:textId="77777777" w:rsidR="005675A7" w:rsidRDefault="00B54A81">
      <w:pPr>
        <w:numPr>
          <w:ilvl w:val="0"/>
          <w:numId w:val="2"/>
        </w:numPr>
        <w:pBdr>
          <w:top w:val="nil"/>
          <w:left w:val="nil"/>
          <w:bottom w:val="nil"/>
          <w:right w:val="nil"/>
          <w:between w:val="nil"/>
        </w:pBdr>
        <w:ind w:righ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Premessa.</w:t>
      </w:r>
    </w:p>
    <w:p w14:paraId="0000000F"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novità in tema di politica economica dell’Unione europea che fanno seguito alla crisi epidemiologica mostrano i caratteri del cambiamento storico. È visibile come, a contrastare gli effetti pervasivi della crisi, siano sorti e ricevano notevole accelerazione i mutamenti di indirizzo conseguenti la definizione dell’agenda strategica dell’UE da parte del Consiglio nel giugno 2019: una svolta che viene presentata come radicale rispetto agli orientamenti rimasti per almeno un trentennio egemoni nelle politiche dell’Unione europea. Già da qualche tempo era sorta una certa attenzione verso concezioni più attente al ruolo del pubblico (come da ultimo la c.d. </w:t>
      </w:r>
      <w:proofErr w:type="spellStart"/>
      <w:r>
        <w:rPr>
          <w:rFonts w:ascii="Times New Roman" w:eastAsia="Times New Roman" w:hAnsi="Times New Roman" w:cs="Times New Roman"/>
          <w:i/>
          <w:sz w:val="24"/>
          <w:szCs w:val="24"/>
        </w:rPr>
        <w:t>modern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monetary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theory</w:t>
      </w:r>
      <w:proofErr w:type="spellEnd"/>
      <w:r>
        <w:rPr>
          <w:rFonts w:ascii="Times New Roman" w:eastAsia="Times New Roman" w:hAnsi="Times New Roman" w:cs="Times New Roman"/>
          <w:sz w:val="24"/>
          <w:szCs w:val="24"/>
        </w:rPr>
        <w:t xml:space="preserve">). Ma è stata la grave situazione di emergenza ingenerata nel 2020 dalla crisi epidemiologica in quasi tutti i settori economici, dalla produzione ai servizi e al lavoro, ad essere posta alla base della svolta per un nuovo, massiccio, intervento di sostegno pubblico: un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whatever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takes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generalizzato, da realizzare mediante un imponente piano di ripresa per l’Europa (</w:t>
      </w:r>
      <w:r>
        <w:rPr>
          <w:rFonts w:ascii="Times New Roman" w:eastAsia="Times New Roman" w:hAnsi="Times New Roman" w:cs="Times New Roman"/>
          <w:i/>
          <w:sz w:val="24"/>
          <w:szCs w:val="24"/>
        </w:rPr>
        <w:t>EU Recovery plan</w:t>
      </w:r>
      <w:r>
        <w:rPr>
          <w:rFonts w:ascii="Times New Roman" w:eastAsia="Times New Roman" w:hAnsi="Times New Roman" w:cs="Times New Roman"/>
          <w:sz w:val="24"/>
          <w:szCs w:val="24"/>
        </w:rPr>
        <w:t>) che attingerà a stanziamenti particolari sia nelle modalità che nelle finalità (</w:t>
      </w:r>
      <w:r>
        <w:rPr>
          <w:rFonts w:ascii="Times New Roman" w:eastAsia="Times New Roman" w:hAnsi="Times New Roman" w:cs="Times New Roman"/>
          <w:i/>
          <w:sz w:val="24"/>
          <w:szCs w:val="24"/>
        </w:rPr>
        <w:t>Recovery Fund</w:t>
      </w:r>
      <w:r>
        <w:rPr>
          <w:rFonts w:ascii="Times New Roman" w:eastAsia="Times New Roman" w:hAnsi="Times New Roman" w:cs="Times New Roman"/>
          <w:sz w:val="24"/>
          <w:szCs w:val="24"/>
        </w:rPr>
        <w:t xml:space="preserve">, o </w:t>
      </w:r>
      <w:r>
        <w:rPr>
          <w:rFonts w:ascii="Times New Roman" w:eastAsia="Times New Roman" w:hAnsi="Times New Roman" w:cs="Times New Roman"/>
          <w:i/>
          <w:sz w:val="24"/>
          <w:szCs w:val="24"/>
        </w:rPr>
        <w:t>Next generation EU</w:t>
      </w:r>
      <w:r>
        <w:rPr>
          <w:rFonts w:ascii="Times New Roman" w:eastAsia="Times New Roman" w:hAnsi="Times New Roman" w:cs="Times New Roman"/>
          <w:sz w:val="24"/>
          <w:szCs w:val="24"/>
        </w:rPr>
        <w:t>).</w:t>
      </w:r>
    </w:p>
    <w:p w14:paraId="00000010"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tempo stesso, questo nuovo interventismo - che ha un precedente paragonabile per impatto economico solo nello </w:t>
      </w:r>
      <w:proofErr w:type="spellStart"/>
      <w:r>
        <w:rPr>
          <w:rFonts w:ascii="Times New Roman" w:eastAsia="Times New Roman" w:hAnsi="Times New Roman" w:cs="Times New Roman"/>
          <w:i/>
          <w:sz w:val="24"/>
          <w:szCs w:val="24"/>
        </w:rPr>
        <w:t>European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Recovery</w:t>
      </w:r>
      <w:proofErr w:type="spellEnd"/>
      <w:r>
        <w:rPr>
          <w:rFonts w:ascii="Times New Roman" w:eastAsia="Times New Roman" w:hAnsi="Times New Roman" w:cs="Times New Roman"/>
          <w:i/>
          <w:sz w:val="24"/>
          <w:szCs w:val="24"/>
        </w:rPr>
        <w:t xml:space="preserve"> Program</w:t>
      </w:r>
      <w:r>
        <w:rPr>
          <w:rFonts w:ascii="Times New Roman" w:eastAsia="Times New Roman" w:hAnsi="Times New Roman" w:cs="Times New Roman"/>
          <w:sz w:val="24"/>
          <w:szCs w:val="24"/>
        </w:rPr>
        <w:t xml:space="preserve"> del 1947, meglio noto come </w:t>
      </w:r>
      <w:r>
        <w:rPr>
          <w:rFonts w:ascii="Times New Roman" w:eastAsia="Times New Roman" w:hAnsi="Times New Roman" w:cs="Times New Roman"/>
          <w:i/>
          <w:sz w:val="24"/>
          <w:szCs w:val="24"/>
        </w:rPr>
        <w:t>Piano Marshall</w:t>
      </w:r>
      <w:r>
        <w:rPr>
          <w:rFonts w:ascii="Times New Roman" w:eastAsia="Times New Roman" w:hAnsi="Times New Roman" w:cs="Times New Roman"/>
          <w:sz w:val="24"/>
          <w:szCs w:val="24"/>
        </w:rPr>
        <w:t xml:space="preserve"> – viene orientato prendendo in carico la contestuale incidenza, ormai stimata a livelli preoccupanti, delle diffuse alterazioni e criticità ambientali – specie i cambiamenti climatici - e l’esigenza prospettica di porvi rimedi di sistema. La Commissione UE si è così fatta carico, mediante più atti di diritto derivato UE, di collegare l’un intervento all’altro, per fronteggiare in modo incrociato entrambe le emergenze: sia all’origine in sede </w:t>
      </w:r>
      <w:proofErr w:type="spellStart"/>
      <w:r>
        <w:rPr>
          <w:rFonts w:ascii="Times New Roman" w:eastAsia="Times New Roman" w:hAnsi="Times New Roman" w:cs="Times New Roman"/>
          <w:sz w:val="24"/>
          <w:szCs w:val="24"/>
        </w:rPr>
        <w:t>eurounitaria</w:t>
      </w:r>
      <w:proofErr w:type="spellEnd"/>
      <w:r>
        <w:rPr>
          <w:rFonts w:ascii="Times New Roman" w:eastAsia="Times New Roman" w:hAnsi="Times New Roman" w:cs="Times New Roman"/>
          <w:sz w:val="24"/>
          <w:szCs w:val="24"/>
        </w:rPr>
        <w:t>, sia poi per gli Stati membri chiamati a darvi attuazione.</w:t>
      </w:r>
    </w:p>
    <w:p w14:paraId="00000011"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 si cerca di individuare gli atti fondamentali di questo nuovo indirizzo e l’esatta portata delle relazioni giuridiche tra i due ordini di intervento. Il che richiede di rilevare non solo i contenuti principali degli atti stessi, ma anche le loro correlazioni e implicazioni e, se del caso, aporie: e con attenzione, a muovere dalle fonti, tipiche e atipiche, di quel diritto derivato UE. È un’operazione basilare, che compete al giurista in riguardo ai principi generalizzati dello Stato di diritto e del </w:t>
      </w:r>
      <w:proofErr w:type="spellStart"/>
      <w:r>
        <w:rPr>
          <w:rFonts w:ascii="Times New Roman" w:eastAsia="Times New Roman" w:hAnsi="Times New Roman" w:cs="Times New Roman"/>
          <w:i/>
          <w:sz w:val="24"/>
          <w:szCs w:val="24"/>
        </w:rPr>
        <w:t>Rule</w:t>
      </w:r>
      <w:proofErr w:type="spellEnd"/>
      <w:r>
        <w:rPr>
          <w:rFonts w:ascii="Times New Roman" w:eastAsia="Times New Roman" w:hAnsi="Times New Roman" w:cs="Times New Roman"/>
          <w:i/>
          <w:sz w:val="24"/>
          <w:szCs w:val="24"/>
        </w:rPr>
        <w:t xml:space="preserve"> of law </w:t>
      </w:r>
      <w:r>
        <w:rPr>
          <w:rFonts w:ascii="Times New Roman" w:eastAsia="Times New Roman" w:hAnsi="Times New Roman" w:cs="Times New Roman"/>
          <w:sz w:val="24"/>
          <w:szCs w:val="24"/>
        </w:rPr>
        <w:t xml:space="preserve">(cfr. art. 2 del Trattato UE) e che appare necessaria in termini sia formali – è proprio del diritto ordinare e ripartire i campi e le competenze dell’azione </w:t>
      </w:r>
      <w:r>
        <w:rPr>
          <w:rFonts w:ascii="Times New Roman" w:eastAsia="Times New Roman" w:hAnsi="Times New Roman" w:cs="Times New Roman"/>
          <w:sz w:val="24"/>
          <w:szCs w:val="24"/>
        </w:rPr>
        <w:lastRenderedPageBreak/>
        <w:t xml:space="preserve">pubblica - che logici: utile in particolare a prevenire conflitti e contenziosi a tutti i livelli, nazionali come in sede </w:t>
      </w:r>
      <w:proofErr w:type="spellStart"/>
      <w:r>
        <w:rPr>
          <w:rFonts w:ascii="Times New Roman" w:eastAsia="Times New Roman" w:hAnsi="Times New Roman" w:cs="Times New Roman"/>
          <w:sz w:val="24"/>
          <w:szCs w:val="24"/>
        </w:rPr>
        <w:t>eurounitaria</w:t>
      </w:r>
      <w:proofErr w:type="spellEnd"/>
      <w:r>
        <w:rPr>
          <w:rFonts w:ascii="Times New Roman" w:eastAsia="Times New Roman" w:hAnsi="Times New Roman" w:cs="Times New Roman"/>
          <w:sz w:val="24"/>
          <w:szCs w:val="24"/>
        </w:rPr>
        <w:t xml:space="preserve">. In effetti, ciascuna di quelle che al momento potrebbero apparire semplici sfumature di significato reca fatalmente con sé un </w:t>
      </w:r>
      <w:proofErr w:type="spellStart"/>
      <w:r>
        <w:rPr>
          <w:rFonts w:ascii="Times New Roman" w:eastAsia="Times New Roman" w:hAnsi="Times New Roman" w:cs="Times New Roman"/>
          <w:i/>
          <w:sz w:val="24"/>
          <w:szCs w:val="24"/>
        </w:rPr>
        <w:t>exiguum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clinamen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principiorum</w:t>
      </w:r>
      <w:proofErr w:type="spellEnd"/>
      <w:r>
        <w:rPr>
          <w:rFonts w:ascii="Times New Roman" w:eastAsia="Times New Roman" w:hAnsi="Times New Roman" w:cs="Times New Roman"/>
          <w:sz w:val="24"/>
          <w:szCs w:val="24"/>
        </w:rPr>
        <w:t xml:space="preserve"> tale da poi condurre a risultati che possono finire per rivelarsi distanti: come una leggerissima, sulle prime quasi impercettibile, variazione dell’angolo di rotta della nave che esce dal porto e che, attraversato il mare, la può condurre a una meta distante molte miglia da quella immaginata nel salpare. Al tempo stesso, uno scostamento ancora non bene avvertito dalle previsioni UE può ingenerare, e già durante la navigazione, serie questioni di conformità dell’azione nazionale alle disposizioni </w:t>
      </w:r>
      <w:proofErr w:type="spellStart"/>
      <w:r>
        <w:rPr>
          <w:rFonts w:ascii="Times New Roman" w:eastAsia="Times New Roman" w:hAnsi="Times New Roman" w:cs="Times New Roman"/>
          <w:sz w:val="24"/>
          <w:szCs w:val="24"/>
        </w:rPr>
        <w:t>eurounitarie</w:t>
      </w:r>
      <w:proofErr w:type="spellEnd"/>
      <w:r>
        <w:rPr>
          <w:rFonts w:ascii="Times New Roman" w:eastAsia="Times New Roman" w:hAnsi="Times New Roman" w:cs="Times New Roman"/>
          <w:sz w:val="24"/>
          <w:szCs w:val="24"/>
        </w:rPr>
        <w:t xml:space="preserve">: con quanto ne può seguire in termini di rispetto – dove operanti - delle </w:t>
      </w:r>
      <w:r>
        <w:rPr>
          <w:rFonts w:ascii="Times New Roman" w:eastAsia="Times New Roman" w:hAnsi="Times New Roman" w:cs="Times New Roman"/>
          <w:i/>
          <w:sz w:val="24"/>
          <w:szCs w:val="24"/>
        </w:rPr>
        <w:t>condizionalità</w:t>
      </w:r>
      <w:r>
        <w:rPr>
          <w:rFonts w:ascii="Times New Roman" w:eastAsia="Times New Roman" w:hAnsi="Times New Roman" w:cs="Times New Roman"/>
          <w:sz w:val="24"/>
          <w:szCs w:val="24"/>
        </w:rPr>
        <w:t xml:space="preserve"> cui l’erogazione dei fondi è sottoposta.</w:t>
      </w:r>
    </w:p>
    <w:p w14:paraId="00000012" w14:textId="77777777" w:rsidR="005675A7" w:rsidRDefault="005675A7">
      <w:pPr>
        <w:ind w:left="566" w:right="-40" w:hanging="566"/>
        <w:jc w:val="both"/>
        <w:rPr>
          <w:rFonts w:ascii="Times New Roman" w:eastAsia="Times New Roman" w:hAnsi="Times New Roman" w:cs="Times New Roman"/>
          <w:sz w:val="24"/>
          <w:szCs w:val="24"/>
        </w:rPr>
      </w:pPr>
    </w:p>
    <w:p w14:paraId="00000013" w14:textId="77777777" w:rsidR="005675A7" w:rsidRDefault="00B54A81">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Gli atti fondamentali dell’UE per uscire dalla crisi COVID-19.</w:t>
      </w:r>
    </w:p>
    <w:p w14:paraId="00000014"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Sulla Gazzetta ufficiale dell’Unione europea del 18 febbraio 2021 sono stati pubblicati gli atti di “ripresa e resilienza” (</w:t>
      </w:r>
      <w:proofErr w:type="spellStart"/>
      <w:r>
        <w:rPr>
          <w:rFonts w:ascii="Times New Roman" w:eastAsia="Times New Roman" w:hAnsi="Times New Roman" w:cs="Times New Roman"/>
          <w:i/>
          <w:sz w:val="24"/>
          <w:szCs w:val="24"/>
        </w:rPr>
        <w:t>recovery</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resilience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i/>
          <w:sz w:val="24"/>
          <w:szCs w:val="24"/>
        </w:rPr>
        <w:t>reprise</w:t>
      </w:r>
      <w:proofErr w:type="spellEnd"/>
      <w:r>
        <w:rPr>
          <w:rFonts w:ascii="Times New Roman" w:eastAsia="Times New Roman" w:hAnsi="Times New Roman" w:cs="Times New Roman"/>
          <w:i/>
          <w:sz w:val="24"/>
          <w:szCs w:val="24"/>
        </w:rPr>
        <w:t xml:space="preserve"> et </w:t>
      </w:r>
      <w:proofErr w:type="spellStart"/>
      <w:r>
        <w:rPr>
          <w:rFonts w:ascii="Times New Roman" w:eastAsia="Times New Roman" w:hAnsi="Times New Roman" w:cs="Times New Roman"/>
          <w:i/>
          <w:sz w:val="24"/>
          <w:szCs w:val="24"/>
        </w:rPr>
        <w:t>résilience</w:t>
      </w:r>
      <w:proofErr w:type="spellEnd"/>
      <w:r>
        <w:rPr>
          <w:rFonts w:ascii="Times New Roman" w:eastAsia="Times New Roman" w:hAnsi="Times New Roman" w:cs="Times New Roman"/>
          <w:sz w:val="24"/>
          <w:szCs w:val="24"/>
        </w:rPr>
        <w:t>) per il superamento della crisi COVID-19. Si tratta di due regolamenti del Parlamento europeo e del Consiglio e di una comunicazione della Commissione (di seguito cumulativamente definiti anche “atti fondamentali”).</w:t>
      </w:r>
    </w:p>
    <w:p w14:paraId="00000015"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primo regolamento (UE) 2021/240 (</w:t>
      </w:r>
      <w:r>
        <w:rPr>
          <w:rFonts w:ascii="Times New Roman" w:eastAsia="Times New Roman" w:hAnsi="Times New Roman" w:cs="Times New Roman"/>
          <w:i/>
          <w:sz w:val="24"/>
          <w:szCs w:val="24"/>
        </w:rPr>
        <w:t>“che istituisce uno strumento di sostegno tecnico”</w:t>
      </w:r>
      <w:r>
        <w:rPr>
          <w:rFonts w:ascii="Times New Roman" w:eastAsia="Times New Roman" w:hAnsi="Times New Roman" w:cs="Times New Roman"/>
          <w:sz w:val="24"/>
          <w:szCs w:val="24"/>
        </w:rPr>
        <w:t>) reca la data del 10 febbraio 2021, il secondo regolamento (UE) 2021/241 (</w:t>
      </w:r>
      <w:r>
        <w:rPr>
          <w:rFonts w:ascii="Times New Roman" w:eastAsia="Times New Roman" w:hAnsi="Times New Roman" w:cs="Times New Roman"/>
          <w:i/>
          <w:sz w:val="24"/>
          <w:szCs w:val="24"/>
        </w:rPr>
        <w:t>“che istituisce il dispositivo per la ripresa e la resilienza”</w:t>
      </w:r>
      <w:r>
        <w:rPr>
          <w:rFonts w:ascii="Times New Roman" w:eastAsia="Times New Roman" w:hAnsi="Times New Roman" w:cs="Times New Roman"/>
          <w:sz w:val="24"/>
          <w:szCs w:val="24"/>
        </w:rPr>
        <w:t xml:space="preserve">) reca la data del 12 febbraio 2021. La comunicazione della Commissione europea è dello stesso 12 febbraio 2021 e ha ad oggetto gli </w:t>
      </w:r>
      <w:r>
        <w:rPr>
          <w:rFonts w:ascii="Times New Roman" w:eastAsia="Times New Roman" w:hAnsi="Times New Roman" w:cs="Times New Roman"/>
          <w:i/>
          <w:sz w:val="24"/>
          <w:szCs w:val="24"/>
        </w:rPr>
        <w:t>“Orientamenti tecnici sull’applicazione del principio «non arrecare un danno significativo» a norma del regolamento sul dispositivo per la ripresa e la resilienza”.</w:t>
      </w:r>
      <w:r>
        <w:rPr>
          <w:rFonts w:ascii="Times New Roman" w:eastAsia="Times New Roman" w:hAnsi="Times New Roman" w:cs="Times New Roman"/>
          <w:sz w:val="24"/>
          <w:szCs w:val="24"/>
        </w:rPr>
        <w:t xml:space="preserve"> La loro ragione strategica è sintetizzata nel </w:t>
      </w:r>
      <w:r>
        <w:rPr>
          <w:rFonts w:ascii="Times New Roman" w:eastAsia="Times New Roman" w:hAnsi="Times New Roman" w:cs="Times New Roman"/>
          <w:i/>
          <w:sz w:val="24"/>
          <w:szCs w:val="24"/>
        </w:rPr>
        <w:t>considerando</w:t>
      </w:r>
      <w:r>
        <w:rPr>
          <w:rFonts w:ascii="Times New Roman" w:eastAsia="Times New Roman" w:hAnsi="Times New Roman" w:cs="Times New Roman"/>
          <w:sz w:val="24"/>
          <w:szCs w:val="24"/>
        </w:rPr>
        <w:t xml:space="preserve"> n. 3 del primo: </w:t>
      </w:r>
      <w:r>
        <w:rPr>
          <w:rFonts w:ascii="Times New Roman" w:eastAsia="Times New Roman" w:hAnsi="Times New Roman" w:cs="Times New Roman"/>
          <w:i/>
          <w:sz w:val="24"/>
          <w:szCs w:val="24"/>
        </w:rPr>
        <w:t>«L’epidemia di COVID-19 all’inizio del 2020 ha cambiato le prospettive economiche e sociali per gli anni a venire nell’Unione e nel mondo. Nell’Unione sono emerse nuove priorità, legate alla crisi, incentrate in particolare sulla ripresa e la resilienza. Tali priorità richiedono una risposta urgente e coordinata da parte dell’Unione per far fronte alle conseguenze economiche, sociali e sanitarie per gli Stati membri e per attenuare le ricadute sociali ed economiche»</w:t>
      </w:r>
      <w:r>
        <w:rPr>
          <w:rFonts w:ascii="Times New Roman" w:eastAsia="Times New Roman" w:hAnsi="Times New Roman" w:cs="Times New Roman"/>
          <w:sz w:val="24"/>
          <w:szCs w:val="24"/>
        </w:rPr>
        <w:t>.</w:t>
      </w:r>
    </w:p>
    <w:p w14:paraId="00000016"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Sono atti che l’UE ha adottato a una certa distanza dal manifestarsi della situazione critica, cui non può che seguire quella dell’Italia nella redazione effettiva del Piano Nazionale di Ripresa e Resilienza (PNRR): atto una cui </w:t>
      </w:r>
      <w:r>
        <w:rPr>
          <w:rFonts w:ascii="Times New Roman" w:eastAsia="Times New Roman" w:hAnsi="Times New Roman" w:cs="Times New Roman"/>
          <w:i/>
          <w:sz w:val="24"/>
          <w:szCs w:val="24"/>
        </w:rPr>
        <w:t>proposta</w:t>
      </w:r>
      <w:r>
        <w:rPr>
          <w:rFonts w:ascii="Times New Roman" w:eastAsia="Times New Roman" w:hAnsi="Times New Roman" w:cs="Times New Roman"/>
          <w:sz w:val="24"/>
          <w:szCs w:val="24"/>
        </w:rPr>
        <w:t xml:space="preserve"> era già stata approvata dal Consiglio dei Ministri il 12 gennaio 2021 ma che dovrà ora essere resa coerente a queste previsioni. </w:t>
      </w:r>
    </w:p>
    <w:p w14:paraId="00000017"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È di comune dominio che l’Unione europea abbia approvato non senza difficoltà gli atti di base per affrontare e superare la crisi COVID-19: ciò è visibile anche da una prima lettura. </w:t>
      </w:r>
    </w:p>
    <w:p w14:paraId="00000018"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regolamento (UE) 2021/241 è stato approvato il 10 febbraio 2021 e contiene nei </w:t>
      </w:r>
      <w:r>
        <w:rPr>
          <w:rFonts w:ascii="Times New Roman" w:eastAsia="Times New Roman" w:hAnsi="Times New Roman" w:cs="Times New Roman"/>
          <w:i/>
          <w:sz w:val="24"/>
          <w:szCs w:val="24"/>
        </w:rPr>
        <w:t>considerando</w:t>
      </w:r>
      <w:r>
        <w:rPr>
          <w:rFonts w:ascii="Times New Roman" w:eastAsia="Times New Roman" w:hAnsi="Times New Roman" w:cs="Times New Roman"/>
          <w:sz w:val="24"/>
          <w:szCs w:val="24"/>
        </w:rPr>
        <w:t xml:space="preserve"> quattro menzioni (n.9 e relativa nota 5, e </w:t>
      </w:r>
      <w:proofErr w:type="spellStart"/>
      <w:r>
        <w:rPr>
          <w:rFonts w:ascii="Times New Roman" w:eastAsia="Times New Roman" w:hAnsi="Times New Roman" w:cs="Times New Roman"/>
          <w:sz w:val="24"/>
          <w:szCs w:val="24"/>
        </w:rPr>
        <w:t>nn</w:t>
      </w:r>
      <w:proofErr w:type="spellEnd"/>
      <w:r>
        <w:rPr>
          <w:rFonts w:ascii="Times New Roman" w:eastAsia="Times New Roman" w:hAnsi="Times New Roman" w:cs="Times New Roman"/>
          <w:sz w:val="24"/>
          <w:szCs w:val="24"/>
        </w:rPr>
        <w:t xml:space="preserve">. 14 e 15) e nell’articolato tre rinvii (art.4, art.9, paragrafo 3, lett.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e paragrafo 6) al regolamento (UE) 2021/241: ma questo risulta approvato due giorni dopo, cioè il successivo 12 febbraio 2021. </w:t>
      </w:r>
    </w:p>
    <w:p w14:paraId="00000019"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Questa posposizione, seppur incoerente dal punto di vista formale, rende palese che ci si trova di fronte ad un </w:t>
      </w:r>
      <w:r>
        <w:rPr>
          <w:rFonts w:ascii="Times New Roman" w:eastAsia="Times New Roman" w:hAnsi="Times New Roman" w:cs="Times New Roman"/>
          <w:i/>
          <w:sz w:val="24"/>
          <w:szCs w:val="24"/>
        </w:rPr>
        <w:t>corpus</w:t>
      </w:r>
      <w:r>
        <w:rPr>
          <w:rFonts w:ascii="Times New Roman" w:eastAsia="Times New Roman" w:hAnsi="Times New Roman" w:cs="Times New Roman"/>
          <w:sz w:val="24"/>
          <w:szCs w:val="24"/>
        </w:rPr>
        <w:t xml:space="preserve"> regolamentare unitario. Del resto, all’incoerenza si è posto rimedio pubblicando entrambi i regolamenti il 18 febbraio 2021. Peraltro, i due regolamenti hanno una diversa data di entrata in vigore: per il primo è indicata nel ventesimo giorno successivo alla pubblicazione del 18 febbraio 2021 (art.20), quindi al 10 marzo 2021; invece </w:t>
      </w:r>
      <w:r>
        <w:rPr>
          <w:rFonts w:ascii="Times New Roman" w:eastAsia="Times New Roman" w:hAnsi="Times New Roman" w:cs="Times New Roman"/>
          <w:sz w:val="24"/>
          <w:szCs w:val="24"/>
        </w:rPr>
        <w:lastRenderedPageBreak/>
        <w:t>per il secondo l’entrata in vigore è indicata in quella del giorno successivo alla pubblicazione (art.36) avvenuta anch’essa il 18 febbraio 2021, quindi il regolamento (UE) 2021/241 è entrato in vigore il 19 febbraio 2021: cioè il secondo regolamento, malgrado la progressione nella numerazione, è entrato in vigore quasi venti giorni prima del primo.</w:t>
      </w:r>
    </w:p>
    <w:p w14:paraId="0000001A"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complicazione deriva dal fatto che il primo regolamento (UE) 2021/240 è definito come lo strumento per </w:t>
      </w:r>
      <w:r>
        <w:rPr>
          <w:rFonts w:ascii="Times New Roman" w:eastAsia="Times New Roman" w:hAnsi="Times New Roman" w:cs="Times New Roman"/>
          <w:i/>
          <w:sz w:val="24"/>
          <w:szCs w:val="24"/>
        </w:rPr>
        <w:t>“preparare, modificare, attuare e rivedere i piani per la ripresa e resilienza a norma del regolamento (UE) 2021/241”</w:t>
      </w:r>
      <w:r>
        <w:rPr>
          <w:rFonts w:ascii="Times New Roman" w:eastAsia="Times New Roman" w:hAnsi="Times New Roman" w:cs="Times New Roman"/>
          <w:sz w:val="24"/>
          <w:szCs w:val="24"/>
        </w:rPr>
        <w:t xml:space="preserve">: è cioè immaginato come logicamente e operativamente consequenziale al secondo. </w:t>
      </w:r>
    </w:p>
    <w:p w14:paraId="0000001B"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altro aspetto di non perfetta linearità sembra collocato nella norma transitoria dell’art.19 del regolamento (UE) 2021/240 per la quale le attività di sostegno tecnico avviate prima del 31 dicembre 2020 restano disciplinate dal precedente regolamento ((UE) 2017/875): ma resta non detto quale sia la disciplina di quelle avviate dal 1° gennaio fino al 10 marzo 2021, giorno di entrata in vigore dello stesso regolamento. </w:t>
      </w:r>
    </w:p>
    <w:p w14:paraId="0000001C"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Considerata l’urgenza di porre rimedio alla crisi COVID-19, la quale porta ad escludere che il vuoto normativo sulle attività di sostegno tecnico sia frutto di una scelta intenzionale, si potrebbe immaginare che l’approvazione dello stesso regolamento fosse temporalmente programmata per rientrare nella scadenza del 31 dicembre 2020 e che sia poi stata differita per il ritardo con il quale solo a dicembre gli stati membri hanno raggiunto l’accordo.</w:t>
      </w:r>
    </w:p>
    <w:p w14:paraId="0000001D"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conferma si potrebbe rinvenire nella comunicazione della Commissione sulla Strategia annuale sulla crescita sostenibile 2021 del 17 settembre 2020, dove si legge che </w:t>
      </w:r>
      <w:r>
        <w:rPr>
          <w:rFonts w:ascii="Times New Roman" w:eastAsia="Times New Roman" w:hAnsi="Times New Roman" w:cs="Times New Roman"/>
          <w:i/>
          <w:sz w:val="24"/>
          <w:szCs w:val="24"/>
        </w:rPr>
        <w:t>“l'attuazione del dispositivo per la ripresa e la resilienza è uno sforzo congiunto che si articola in numerose iniziative parallele. La Commissione invita il Parlamento Europeo e il Consiglio ad adottare quanto prima l'atto legislativo in modo che il dispositivo diventi operativo a partire dal 1º gennaio 2021”.</w:t>
      </w:r>
    </w:p>
    <w:p w14:paraId="0000001E" w14:textId="77777777" w:rsidR="005675A7" w:rsidRDefault="005675A7">
      <w:pPr>
        <w:rPr>
          <w:rFonts w:ascii="Times New Roman" w:eastAsia="Times New Roman" w:hAnsi="Times New Roman" w:cs="Times New Roman"/>
          <w:sz w:val="24"/>
          <w:szCs w:val="24"/>
        </w:rPr>
      </w:pPr>
    </w:p>
    <w:p w14:paraId="0000001F" w14:textId="77777777" w:rsidR="005675A7" w:rsidRDefault="00B54A81">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w:t>
      </w:r>
      <w:r>
        <w:rPr>
          <w:rFonts w:ascii="Times New Roman" w:eastAsia="Times New Roman" w:hAnsi="Times New Roman" w:cs="Times New Roman"/>
          <w:b/>
          <w:i/>
          <w:sz w:val="24"/>
          <w:szCs w:val="24"/>
        </w:rPr>
        <w:t xml:space="preserve">Green Deal </w:t>
      </w:r>
      <w:r>
        <w:rPr>
          <w:rFonts w:ascii="Times New Roman" w:eastAsia="Times New Roman" w:hAnsi="Times New Roman" w:cs="Times New Roman"/>
          <w:b/>
          <w:sz w:val="24"/>
          <w:szCs w:val="24"/>
        </w:rPr>
        <w:t xml:space="preserve">europeo e l'avvio della </w:t>
      </w:r>
      <w:r>
        <w:rPr>
          <w:rFonts w:ascii="Times New Roman" w:eastAsia="Times New Roman" w:hAnsi="Times New Roman" w:cs="Times New Roman"/>
          <w:b/>
          <w:i/>
          <w:sz w:val="24"/>
          <w:szCs w:val="24"/>
        </w:rPr>
        <w:t>transizione verde</w:t>
      </w:r>
      <w:r>
        <w:rPr>
          <w:rFonts w:ascii="Times New Roman" w:eastAsia="Times New Roman" w:hAnsi="Times New Roman" w:cs="Times New Roman"/>
          <w:b/>
          <w:sz w:val="24"/>
          <w:szCs w:val="24"/>
        </w:rPr>
        <w:t>.</w:t>
      </w:r>
    </w:p>
    <w:p w14:paraId="00000020"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 di passare all’esame degli atti fondamentali pubblicati il 18 febbraio 2021, pare il caso di muovere dal descrivere il contesto del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 xml:space="preserve"> europeo (o, come dicono i francesi, il </w:t>
      </w:r>
      <w:proofErr w:type="spellStart"/>
      <w:r>
        <w:rPr>
          <w:rFonts w:ascii="Times New Roman" w:eastAsia="Times New Roman" w:hAnsi="Times New Roman" w:cs="Times New Roman"/>
          <w:i/>
          <w:sz w:val="24"/>
          <w:szCs w:val="24"/>
        </w:rPr>
        <w:t>Pacte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vert</w:t>
      </w:r>
      <w:proofErr w:type="spellEnd"/>
      <w:r>
        <w:rPr>
          <w:rFonts w:ascii="Times New Roman" w:eastAsia="Times New Roman" w:hAnsi="Times New Roman" w:cs="Times New Roman"/>
          <w:i/>
          <w:sz w:val="24"/>
          <w:szCs w:val="24"/>
        </w:rPr>
        <w:t xml:space="preserve"> pour l'Europe</w:t>
      </w:r>
      <w:r>
        <w:rPr>
          <w:rFonts w:ascii="Times New Roman" w:eastAsia="Times New Roman" w:hAnsi="Times New Roman" w:cs="Times New Roman"/>
          <w:sz w:val="24"/>
          <w:szCs w:val="24"/>
        </w:rPr>
        <w:t>), cioè l’insieme delle strategie e delle iniziative politiche proposte dalla Commissione UE per rendere l’Europa climaticamente neutra nel 2050. Ne discende 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o “</w:t>
      </w:r>
      <w:r>
        <w:rPr>
          <w:rFonts w:ascii="Times New Roman" w:eastAsia="Times New Roman" w:hAnsi="Times New Roman" w:cs="Times New Roman"/>
          <w:i/>
          <w:sz w:val="24"/>
          <w:szCs w:val="24"/>
        </w:rPr>
        <w:t>transizione ecologica</w:t>
      </w:r>
      <w:r>
        <w:rPr>
          <w:rFonts w:ascii="Times New Roman" w:eastAsia="Times New Roman" w:hAnsi="Times New Roman" w:cs="Times New Roman"/>
          <w:sz w:val="24"/>
          <w:szCs w:val="24"/>
        </w:rPr>
        <w:t>”, cioè il passaggio generale, che è stato presentato come radicale, verso un’</w:t>
      </w:r>
      <w:r>
        <w:rPr>
          <w:rFonts w:ascii="Times New Roman" w:eastAsia="Times New Roman" w:hAnsi="Times New Roman" w:cs="Times New Roman"/>
          <w:i/>
          <w:sz w:val="24"/>
          <w:szCs w:val="24"/>
        </w:rPr>
        <w:t>economia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verde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green economy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vale a dire </w:t>
      </w:r>
      <w:r>
        <w:rPr>
          <w:rFonts w:ascii="Times New Roman" w:eastAsia="Times New Roman" w:hAnsi="Times New Roman" w:cs="Times New Roman"/>
          <w:i/>
          <w:sz w:val="24"/>
          <w:szCs w:val="24"/>
        </w:rPr>
        <w:t>sostenibile, un’economia circolare</w:t>
      </w:r>
      <w:r>
        <w:rPr>
          <w:rFonts w:ascii="Times New Roman" w:eastAsia="Times New Roman" w:hAnsi="Times New Roman" w:cs="Times New Roman"/>
          <w:sz w:val="24"/>
          <w:szCs w:val="24"/>
        </w:rPr>
        <w:t xml:space="preserve">: capace sì di crescita ma senza che ciò comporti la dissipazione di capitale naturale, tale per cui la produzione di beni e servizi non significhi sottrazione alle generazioni presenti e future di risorse ambientali o di componenti della qualità della vita. </w:t>
      </w:r>
    </w:p>
    <w:p w14:paraId="00000021"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Tutto questo – i cui confini, bisogna rilevare, sono tutt’altro che netti - si misura con il dato storico che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la diffusione del COVID-19 è successiva all’11 dicembre 2019, data della </w:t>
      </w:r>
      <w:r>
        <w:rPr>
          <w:rFonts w:ascii="Times New Roman" w:eastAsia="Times New Roman" w:hAnsi="Times New Roman" w:cs="Times New Roman"/>
          <w:i/>
          <w:sz w:val="24"/>
          <w:szCs w:val="24"/>
        </w:rPr>
        <w:t>comunicazione</w:t>
      </w:r>
      <w:r>
        <w:rPr>
          <w:rFonts w:ascii="Times New Roman" w:eastAsia="Times New Roman" w:hAnsi="Times New Roman" w:cs="Times New Roman"/>
          <w:sz w:val="24"/>
          <w:szCs w:val="24"/>
        </w:rPr>
        <w:t xml:space="preserve"> del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 xml:space="preserve"> da parte della Commissione europea, e che le misure per fronteggiarne gli effetti si intersecano con quelle proprie del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w:t>
      </w:r>
    </w:p>
    <w:p w14:paraId="00000022"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tratta dunque di mettere ordine e, nei limiti in cui è possibile, chiarire la portata di questi e di altri concetti fondamentali e ripartirne il campo d’azione: anche per tentare di meglio mettere a fuoco i rapporti reciproci e con le misure predisposte per fronteggiare la crisi da COVID-19.</w:t>
      </w:r>
      <w:r>
        <w:rPr>
          <w:rFonts w:ascii="Times New Roman" w:eastAsia="Times New Roman" w:hAnsi="Times New Roman" w:cs="Times New Roman"/>
          <w:i/>
          <w:sz w:val="24"/>
          <w:szCs w:val="24"/>
        </w:rPr>
        <w:t xml:space="preserve"> </w:t>
      </w:r>
    </w:p>
    <w:p w14:paraId="00000023"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 questa </w:t>
      </w:r>
      <w:r>
        <w:rPr>
          <w:rFonts w:ascii="Times New Roman" w:eastAsia="Times New Roman" w:hAnsi="Times New Roman" w:cs="Times New Roman"/>
          <w:i/>
          <w:sz w:val="24"/>
          <w:szCs w:val="24"/>
        </w:rPr>
        <w:t>comunicazione</w:t>
      </w:r>
      <w:r>
        <w:rPr>
          <w:rFonts w:ascii="Times New Roman" w:eastAsia="Times New Roman" w:hAnsi="Times New Roman" w:cs="Times New Roman"/>
          <w:sz w:val="24"/>
          <w:szCs w:val="24"/>
        </w:rPr>
        <w:t xml:space="preserve"> (COM(2019) 640) della Commissione dell’11 dicembre 2919 – che non è di suo fonte del diritto quanto atto atipico a carattere politico, ma che certo è utile a comprendere l’impronta materiale data al diritto derivato e ai suoi atti tipici, cioè quelli elencati all’articolo 288 TFUE: regolamenti, direttive, decisioni, pareri e raccomandazioni - il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 xml:space="preserve"> europeo </w:t>
      </w:r>
      <w:r>
        <w:rPr>
          <w:rFonts w:ascii="Times New Roman" w:eastAsia="Times New Roman" w:hAnsi="Times New Roman" w:cs="Times New Roman"/>
          <w:i/>
          <w:sz w:val="24"/>
          <w:szCs w:val="24"/>
        </w:rPr>
        <w:t>“riformula su nuove basi l'impegno della Commissione ad affrontare i problemi legati al clima e all'ambiente, ovvero il compito che definisce la nostra generazione. Ogni anno che passa l'atmosfera si riscalda e il clima cambia. Degli otto milioni di specie presenti sul pianeta un milione è a rischio di estinzione. Assistiamo all'inquinamento e alla distruzione di foreste e oceani. Il Green Deal è la risposta a queste sfide”</w:t>
      </w:r>
      <w:r>
        <w:rPr>
          <w:rFonts w:ascii="Times New Roman" w:eastAsia="Times New Roman" w:hAnsi="Times New Roman" w:cs="Times New Roman"/>
          <w:sz w:val="24"/>
          <w:szCs w:val="24"/>
        </w:rPr>
        <w:t xml:space="preserve">. </w:t>
      </w:r>
    </w:p>
    <w:p w14:paraId="00000024"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dichiarato obiettivo generale del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 xml:space="preserve"> è di integrare con le politiche dell'Unione europea gli obiettivi di sviluppo sostenibile indicati nel 2015 con l’</w:t>
      </w:r>
      <w:r>
        <w:rPr>
          <w:rFonts w:ascii="Times New Roman" w:eastAsia="Times New Roman" w:hAnsi="Times New Roman" w:cs="Times New Roman"/>
          <w:i/>
          <w:sz w:val="24"/>
          <w:szCs w:val="24"/>
        </w:rPr>
        <w:t xml:space="preserve">Agenda 2030 per lo Sviluppo Sostenibile </w:t>
      </w:r>
      <w:r>
        <w:rPr>
          <w:rFonts w:ascii="Times New Roman" w:eastAsia="Times New Roman" w:hAnsi="Times New Roman" w:cs="Times New Roman"/>
          <w:sz w:val="24"/>
          <w:szCs w:val="24"/>
        </w:rPr>
        <w:t>delle Nazioni Unite e l’Accordo di Parigi sul riscaldamento climatico (</w:t>
      </w:r>
      <w:r>
        <w:rPr>
          <w:rFonts w:ascii="Times New Roman" w:eastAsia="Times New Roman" w:hAnsi="Times New Roman" w:cs="Times New Roman"/>
          <w:i/>
          <w:sz w:val="24"/>
          <w:szCs w:val="24"/>
        </w:rPr>
        <w:t>Paris Agreement</w:t>
      </w:r>
      <w:r>
        <w:rPr>
          <w:rFonts w:ascii="Times New Roman" w:eastAsia="Times New Roman" w:hAnsi="Times New Roman" w:cs="Times New Roman"/>
          <w:sz w:val="24"/>
          <w:szCs w:val="24"/>
        </w:rPr>
        <w:t xml:space="preserve">: tra gli stati membri della </w:t>
      </w:r>
      <w:r>
        <w:rPr>
          <w:rFonts w:ascii="Times New Roman" w:eastAsia="Times New Roman" w:hAnsi="Times New Roman" w:cs="Times New Roman"/>
          <w:i/>
          <w:sz w:val="24"/>
          <w:szCs w:val="24"/>
        </w:rPr>
        <w:t>Convenzione quadro delle Nazioni Unite sui cambiamenti climatici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UNFCCC</w:t>
      </w:r>
      <w:r>
        <w:rPr>
          <w:rFonts w:ascii="Times New Roman" w:eastAsia="Times New Roman" w:hAnsi="Times New Roman" w:cs="Times New Roman"/>
          <w:sz w:val="24"/>
          <w:szCs w:val="24"/>
        </w:rPr>
        <w:t xml:space="preserve">) per la riduzione di emissione di gas serra, e la finanza, dal 2020. Gli obiettivi più significativi, a questi riguardi, sono la </w:t>
      </w:r>
      <w:r>
        <w:rPr>
          <w:rFonts w:ascii="Times New Roman" w:eastAsia="Times New Roman" w:hAnsi="Times New Roman" w:cs="Times New Roman"/>
          <w:i/>
          <w:sz w:val="24"/>
          <w:szCs w:val="24"/>
        </w:rPr>
        <w:t>neutralità climatica</w:t>
      </w:r>
      <w:r>
        <w:t xml:space="preserve"> </w:t>
      </w:r>
      <w:r>
        <w:rPr>
          <w:rFonts w:ascii="Times New Roman" w:eastAsia="Times New Roman" w:hAnsi="Times New Roman" w:cs="Times New Roman"/>
          <w:sz w:val="24"/>
          <w:szCs w:val="24"/>
        </w:rPr>
        <w:t xml:space="preserve">dell’UE entro il 2050 e la tutela della biodiversità. </w:t>
      </w:r>
    </w:p>
    <w:p w14:paraId="00000025"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dare attuazione al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 xml:space="preserve"> la Commissione, il Parlamento ed il Consiglio Europei hanno approvato un considerevole numero di atti. È bene svolgerne una ricognizione e elencarli per meglio mettere a fuoco che la non perfetta linearità degli atti fondamentali cui si è fatto cenno, dei quali si dirà più avanti, dipende forse anche dall’ingente lavoro svolto in poco più di un anno dagli uffici dell’Unione europea.</w:t>
      </w:r>
    </w:p>
    <w:p w14:paraId="00000026"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Quanto segue è il lungo e forse incompleto elenco degli atti approvati nel contesto del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 xml:space="preserve"> e della ripresa dal COVID-19 che hanno preceduto gli atti fondamentali pubblicati il 18 febbraio 2021:</w:t>
      </w:r>
    </w:p>
    <w:p w14:paraId="00000027"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 europea</w:t>
      </w:r>
      <w:r>
        <w:rPr>
          <w:rFonts w:ascii="Times New Roman" w:eastAsia="Times New Roman" w:hAnsi="Times New Roman" w:cs="Times New Roman"/>
          <w:i/>
          <w:sz w:val="24"/>
          <w:szCs w:val="24"/>
        </w:rPr>
        <w:t>, Piano di investimenti del Green Deal e del meccanismo per una transizione giusta</w:t>
      </w:r>
      <w:r>
        <w:rPr>
          <w:rFonts w:ascii="Times New Roman" w:eastAsia="Times New Roman" w:hAnsi="Times New Roman" w:cs="Times New Roman"/>
          <w:sz w:val="24"/>
          <w:szCs w:val="24"/>
        </w:rPr>
        <w:t xml:space="preserve"> (14 gennaio 2020);</w:t>
      </w:r>
    </w:p>
    <w:p w14:paraId="00000028"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Proposta per una legge europea sul clima al fine di garantire una Ue a impatto climatico zero entro il 2050</w:t>
      </w:r>
      <w:r>
        <w:rPr>
          <w:rFonts w:ascii="Times New Roman" w:eastAsia="Times New Roman" w:hAnsi="Times New Roman" w:cs="Times New Roman"/>
          <w:sz w:val="24"/>
          <w:szCs w:val="24"/>
        </w:rPr>
        <w:t xml:space="preserve"> (4 marzo 2020);</w:t>
      </w:r>
    </w:p>
    <w:p w14:paraId="00000029"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Piano d’azione per finanziare la crescita sostenibile</w:t>
      </w:r>
      <w:r>
        <w:rPr>
          <w:rFonts w:ascii="Times New Roman" w:eastAsia="Times New Roman" w:hAnsi="Times New Roman" w:cs="Times New Roman"/>
          <w:sz w:val="24"/>
          <w:szCs w:val="24"/>
        </w:rPr>
        <w:t xml:space="preserve"> (8 marzo 2020);</w:t>
      </w:r>
    </w:p>
    <w:p w14:paraId="0000002A"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Una nuova strategia industriale per un'Europa competitiva a livello mondiale, verde e digitale</w:t>
      </w:r>
      <w:r>
        <w:rPr>
          <w:rFonts w:ascii="Times New Roman" w:eastAsia="Times New Roman" w:hAnsi="Times New Roman" w:cs="Times New Roman"/>
          <w:sz w:val="24"/>
          <w:szCs w:val="24"/>
        </w:rPr>
        <w:t xml:space="preserve"> (8 marzo 2020);</w:t>
      </w:r>
    </w:p>
    <w:p w14:paraId="0000002B"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 xml:space="preserve">Un nuovo piano d’azione per l’economia circolare. Per un’Europa più pulita e più competitiva </w:t>
      </w:r>
      <w:r>
        <w:rPr>
          <w:rFonts w:ascii="Times New Roman" w:eastAsia="Times New Roman" w:hAnsi="Times New Roman" w:cs="Times New Roman"/>
          <w:sz w:val="24"/>
          <w:szCs w:val="24"/>
        </w:rPr>
        <w:t>(11 marzo 2020);</w:t>
      </w:r>
    </w:p>
    <w:p w14:paraId="0000002C"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 xml:space="preserve">Strategia dell’Ue sulla biodiversità per il 2030. Riportare la natura nella nostra vita </w:t>
      </w:r>
      <w:r>
        <w:rPr>
          <w:rFonts w:ascii="Times New Roman" w:eastAsia="Times New Roman" w:hAnsi="Times New Roman" w:cs="Times New Roman"/>
          <w:sz w:val="24"/>
          <w:szCs w:val="24"/>
        </w:rPr>
        <w:t>(20 maggio 2020);</w:t>
      </w:r>
    </w:p>
    <w:p w14:paraId="0000002D"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Il momento dell'Europa: riparare i danni e preparare il futuro per la prossima generazione</w:t>
      </w:r>
      <w:r>
        <w:rPr>
          <w:rFonts w:ascii="Times New Roman" w:eastAsia="Times New Roman" w:hAnsi="Times New Roman" w:cs="Times New Roman"/>
          <w:sz w:val="24"/>
          <w:szCs w:val="24"/>
        </w:rPr>
        <w:t xml:space="preserve"> (27 maggio 2020);</w:t>
      </w:r>
    </w:p>
    <w:p w14:paraId="0000002E"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Una strategia “Dal produttore al consumatore” per un sistema alimentare equo, sano e rispettoso dell’ambiente</w:t>
      </w:r>
      <w:r>
        <w:rPr>
          <w:rFonts w:ascii="Times New Roman" w:eastAsia="Times New Roman" w:hAnsi="Times New Roman" w:cs="Times New Roman"/>
          <w:sz w:val="24"/>
          <w:szCs w:val="24"/>
        </w:rPr>
        <w:t xml:space="preserve"> (20 maggio 2020);</w:t>
      </w:r>
    </w:p>
    <w:p w14:paraId="0000002F"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Parlamento e Consiglio, </w:t>
      </w:r>
      <w:r>
        <w:rPr>
          <w:rFonts w:ascii="Times New Roman" w:eastAsia="Times New Roman" w:hAnsi="Times New Roman" w:cs="Times New Roman"/>
          <w:i/>
          <w:sz w:val="24"/>
          <w:szCs w:val="24"/>
        </w:rPr>
        <w:t>Regolamento (UE) 2020/852 sulla tassonomia della finanza sostenibile</w:t>
      </w:r>
      <w:r>
        <w:rPr>
          <w:rFonts w:ascii="Times New Roman" w:eastAsia="Times New Roman" w:hAnsi="Times New Roman" w:cs="Times New Roman"/>
          <w:sz w:val="24"/>
          <w:szCs w:val="24"/>
        </w:rPr>
        <w:t xml:space="preserve"> (18 giugno 2020);</w:t>
      </w:r>
    </w:p>
    <w:p w14:paraId="00000030"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Adozione delle strategie dell’Ue per l’integrazione dei sistemi energetici e per l’idrogeno</w:t>
      </w:r>
      <w:r>
        <w:rPr>
          <w:rFonts w:ascii="Times New Roman" w:eastAsia="Times New Roman" w:hAnsi="Times New Roman" w:cs="Times New Roman"/>
          <w:sz w:val="24"/>
          <w:szCs w:val="24"/>
        </w:rPr>
        <w:t xml:space="preserve"> (8 luglio 2020);</w:t>
      </w:r>
    </w:p>
    <w:p w14:paraId="00000031"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Consiglio dell’Unione europea, </w:t>
      </w:r>
      <w:r>
        <w:rPr>
          <w:rFonts w:ascii="Times New Roman" w:eastAsia="Times New Roman" w:hAnsi="Times New Roman" w:cs="Times New Roman"/>
          <w:i/>
          <w:sz w:val="24"/>
          <w:szCs w:val="24"/>
        </w:rPr>
        <w:t>Quadro finanziario pluriennale e strumento dell'Unione europea per la ripresa "Next Generation EU”</w:t>
      </w:r>
      <w:r>
        <w:rPr>
          <w:rFonts w:ascii="Times New Roman" w:eastAsia="Times New Roman" w:hAnsi="Times New Roman" w:cs="Times New Roman"/>
          <w:sz w:val="24"/>
          <w:szCs w:val="24"/>
        </w:rPr>
        <w:t xml:space="preserve"> (21 luglio 2020);</w:t>
      </w:r>
    </w:p>
    <w:p w14:paraId="00000032"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Strategia annuale per la crescita sostenibile 2021</w:t>
      </w:r>
      <w:r>
        <w:rPr>
          <w:rFonts w:ascii="Times New Roman" w:eastAsia="Times New Roman" w:hAnsi="Times New Roman" w:cs="Times New Roman"/>
          <w:sz w:val="24"/>
          <w:szCs w:val="24"/>
        </w:rPr>
        <w:t xml:space="preserve"> (17 settembre 2020);</w:t>
      </w:r>
    </w:p>
    <w:p w14:paraId="00000033"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Presentazione del piano degli obiettivi climatici 2030 e orientamenti per i piani di ripresa e resilienza degli Stati membri</w:t>
      </w:r>
      <w:r>
        <w:rPr>
          <w:rFonts w:ascii="Times New Roman" w:eastAsia="Times New Roman" w:hAnsi="Times New Roman" w:cs="Times New Roman"/>
          <w:sz w:val="24"/>
          <w:szCs w:val="24"/>
        </w:rPr>
        <w:t xml:space="preserve"> (17 settembre 2020);</w:t>
      </w:r>
    </w:p>
    <w:p w14:paraId="00000034"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La strategia chimica dell'UE per la sostenibilità verso un ambiente privo di sostanze tossiche</w:t>
      </w:r>
      <w:r>
        <w:rPr>
          <w:rFonts w:ascii="Times New Roman" w:eastAsia="Times New Roman" w:hAnsi="Times New Roman" w:cs="Times New Roman"/>
          <w:sz w:val="24"/>
          <w:szCs w:val="24"/>
        </w:rPr>
        <w:t xml:space="preserve"> (14 ottobre 2020);</w:t>
      </w:r>
    </w:p>
    <w:p w14:paraId="00000035"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Consiglio dell’Unione europea</w:t>
      </w:r>
      <w:r>
        <w:rPr>
          <w:rFonts w:ascii="Times New Roman" w:eastAsia="Times New Roman" w:hAnsi="Times New Roman" w:cs="Times New Roman"/>
          <w:i/>
          <w:sz w:val="24"/>
          <w:szCs w:val="24"/>
        </w:rPr>
        <w:t xml:space="preserve">, Approvazione degli obiettivi della strategia dell'UE sulla biodiversità per il 2030 </w:t>
      </w:r>
      <w:r>
        <w:rPr>
          <w:rFonts w:ascii="Times New Roman" w:eastAsia="Times New Roman" w:hAnsi="Times New Roman" w:cs="Times New Roman"/>
          <w:sz w:val="24"/>
          <w:szCs w:val="24"/>
        </w:rPr>
        <w:t>(23 ottobre 2020);</w:t>
      </w:r>
    </w:p>
    <w:p w14:paraId="00000036"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Il patto Europeo per il clima</w:t>
      </w:r>
      <w:r>
        <w:rPr>
          <w:rFonts w:ascii="Times New Roman" w:eastAsia="Times New Roman" w:hAnsi="Times New Roman" w:cs="Times New Roman"/>
          <w:sz w:val="24"/>
          <w:szCs w:val="24"/>
        </w:rPr>
        <w:t xml:space="preserve"> (9 dicembre 2020);</w:t>
      </w:r>
    </w:p>
    <w:p w14:paraId="00000037"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Consiglio dell’Unione europea, </w:t>
      </w:r>
      <w:r>
        <w:rPr>
          <w:rFonts w:ascii="Times New Roman" w:eastAsia="Times New Roman" w:hAnsi="Times New Roman" w:cs="Times New Roman"/>
          <w:i/>
          <w:sz w:val="24"/>
          <w:szCs w:val="24"/>
        </w:rPr>
        <w:t>Approvazione dell’obiettivo UE vincolante di riduzione delle emissioni di gas a effetto serra di almeno il 55% entro il 2030 e neutralità climatica entro il 2050</w:t>
      </w:r>
      <w:r>
        <w:rPr>
          <w:rFonts w:ascii="Times New Roman" w:eastAsia="Times New Roman" w:hAnsi="Times New Roman" w:cs="Times New Roman"/>
          <w:sz w:val="24"/>
          <w:szCs w:val="24"/>
        </w:rPr>
        <w:t xml:space="preserve"> (17 dicembre 2020);</w:t>
      </w:r>
    </w:p>
    <w:p w14:paraId="00000038"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Consiglio dell’Unione europea, </w:t>
      </w:r>
      <w:r>
        <w:rPr>
          <w:rFonts w:ascii="Times New Roman" w:eastAsia="Times New Roman" w:hAnsi="Times New Roman" w:cs="Times New Roman"/>
          <w:i/>
          <w:sz w:val="24"/>
          <w:szCs w:val="24"/>
        </w:rPr>
        <w:t>Approvazione del progetto "Per una ripresa circolare e verde"</w:t>
      </w:r>
      <w:r>
        <w:rPr>
          <w:rFonts w:ascii="Times New Roman" w:eastAsia="Times New Roman" w:hAnsi="Times New Roman" w:cs="Times New Roman"/>
          <w:sz w:val="24"/>
          <w:szCs w:val="24"/>
        </w:rPr>
        <w:t xml:space="preserve"> (17 dicembre 2020);</w:t>
      </w:r>
    </w:p>
    <w:p w14:paraId="00000039"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Consiglio dell’Unione europea, </w:t>
      </w:r>
      <w:r>
        <w:rPr>
          <w:rFonts w:ascii="Times New Roman" w:eastAsia="Times New Roman" w:hAnsi="Times New Roman" w:cs="Times New Roman"/>
          <w:i/>
          <w:sz w:val="24"/>
          <w:szCs w:val="24"/>
        </w:rPr>
        <w:t>Regolamento (UE) 2020/2094 che istituisce uno strumento dell’Unione europea per la ripresa, a sostegno alla ripresa dell’economia dopo la crisi COVID-19</w:t>
      </w:r>
      <w:r>
        <w:rPr>
          <w:rFonts w:ascii="Times New Roman" w:eastAsia="Times New Roman" w:hAnsi="Times New Roman" w:cs="Times New Roman"/>
          <w:sz w:val="24"/>
          <w:szCs w:val="24"/>
        </w:rPr>
        <w:t xml:space="preserve"> (14 dicembre 2020);</w:t>
      </w:r>
    </w:p>
    <w:p w14:paraId="0000003A"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Parlamento e Consiglio, </w:t>
      </w:r>
      <w:r>
        <w:rPr>
          <w:rFonts w:ascii="Times New Roman" w:eastAsia="Times New Roman" w:hAnsi="Times New Roman" w:cs="Times New Roman"/>
          <w:i/>
          <w:sz w:val="24"/>
          <w:szCs w:val="24"/>
        </w:rPr>
        <w:t>Regolamento (UE) 2020/2221 che modifica il regolamento (UE) n.1303/2013 per quanto riguarda le risorse aggiuntive e le modalità di attuazione per fornire assistenza allo scopo di promuovere il superamento degli effetti della crisi nel contesto della pandemia di COVID-19 e delle sue conseguenze sociali e preparare una ripresa verde, digitale e resiliente dell’economia (REACT-EU)</w:t>
      </w:r>
      <w:r>
        <w:rPr>
          <w:rFonts w:ascii="Times New Roman" w:eastAsia="Times New Roman" w:hAnsi="Times New Roman" w:cs="Times New Roman"/>
          <w:sz w:val="24"/>
          <w:szCs w:val="24"/>
        </w:rPr>
        <w:t xml:space="preserve"> (23 dicembre 2020);</w:t>
      </w:r>
    </w:p>
    <w:p w14:paraId="0000003B"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Nuovo Bauhaus europeo</w:t>
      </w:r>
      <w:r>
        <w:rPr>
          <w:rFonts w:ascii="Times New Roman" w:eastAsia="Times New Roman" w:hAnsi="Times New Roman" w:cs="Times New Roman"/>
          <w:sz w:val="24"/>
          <w:szCs w:val="24"/>
        </w:rPr>
        <w:t xml:space="preserve"> (18 gennaio 2021);</w:t>
      </w:r>
    </w:p>
    <w:p w14:paraId="0000003C"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Documento di lavoro dei servizi della Commissione - </w:t>
      </w:r>
      <w:r>
        <w:rPr>
          <w:rFonts w:ascii="Times New Roman" w:eastAsia="Times New Roman" w:hAnsi="Times New Roman" w:cs="Times New Roman"/>
          <w:i/>
          <w:sz w:val="24"/>
          <w:szCs w:val="24"/>
        </w:rPr>
        <w:t>Guida ai piani di ripresa e resilienza degli Stati membri - Parte 1</w:t>
      </w:r>
      <w:r>
        <w:rPr>
          <w:rFonts w:ascii="Times New Roman" w:eastAsia="Times New Roman" w:hAnsi="Times New Roman" w:cs="Times New Roman"/>
          <w:sz w:val="24"/>
          <w:szCs w:val="24"/>
        </w:rPr>
        <w:t xml:space="preserve"> - 22 gennaio 2021;</w:t>
      </w:r>
    </w:p>
    <w:p w14:paraId="0000003D"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Documento di lavoro dei servizi della Commissione - </w:t>
      </w:r>
      <w:r>
        <w:rPr>
          <w:rFonts w:ascii="Times New Roman" w:eastAsia="Times New Roman" w:hAnsi="Times New Roman" w:cs="Times New Roman"/>
          <w:i/>
          <w:sz w:val="24"/>
          <w:szCs w:val="24"/>
        </w:rPr>
        <w:t xml:space="preserve">Guida ai piani di ripresa e resilienza degli Stati membri - Parte 2 </w:t>
      </w:r>
      <w:r>
        <w:rPr>
          <w:rFonts w:ascii="Times New Roman" w:eastAsia="Times New Roman" w:hAnsi="Times New Roman" w:cs="Times New Roman"/>
          <w:sz w:val="24"/>
          <w:szCs w:val="24"/>
        </w:rPr>
        <w:t>- 22 gennaio 2021</w:t>
      </w:r>
    </w:p>
    <w:p w14:paraId="0000003E" w14:textId="77777777" w:rsidR="005675A7" w:rsidRDefault="00B54A8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europea, </w:t>
      </w:r>
      <w:r>
        <w:rPr>
          <w:rFonts w:ascii="Times New Roman" w:eastAsia="Times New Roman" w:hAnsi="Times New Roman" w:cs="Times New Roman"/>
          <w:i/>
          <w:sz w:val="24"/>
          <w:szCs w:val="24"/>
        </w:rPr>
        <w:t>Riesame della politica commerciale - Una politica commerciale aperta, sostenibile e assertiva</w:t>
      </w:r>
      <w:r>
        <w:rPr>
          <w:rFonts w:ascii="Times New Roman" w:eastAsia="Times New Roman" w:hAnsi="Times New Roman" w:cs="Times New Roman"/>
          <w:sz w:val="24"/>
          <w:szCs w:val="24"/>
        </w:rPr>
        <w:t xml:space="preserve"> - 18 febbraio 2021.</w:t>
      </w:r>
    </w:p>
    <w:p w14:paraId="0000003F"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possibile sintesi del contenuto dei tanti documenti prodotti in poco più di un anno e del rapporto tra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 xml:space="preserve"> e crisi COVID-19 è quella che la Commissione europea scrive nella </w:t>
      </w:r>
      <w:r>
        <w:rPr>
          <w:rFonts w:ascii="Times New Roman" w:eastAsia="Times New Roman" w:hAnsi="Times New Roman" w:cs="Times New Roman"/>
          <w:i/>
          <w:sz w:val="24"/>
          <w:szCs w:val="24"/>
        </w:rPr>
        <w:t>comunicazione</w:t>
      </w:r>
      <w:r>
        <w:rPr>
          <w:rFonts w:ascii="Times New Roman" w:eastAsia="Times New Roman" w:hAnsi="Times New Roman" w:cs="Times New Roman"/>
          <w:sz w:val="24"/>
          <w:szCs w:val="24"/>
        </w:rPr>
        <w:t xml:space="preserve"> del 20 maggio 2020, </w:t>
      </w:r>
      <w:r>
        <w:rPr>
          <w:rFonts w:ascii="Times New Roman" w:eastAsia="Times New Roman" w:hAnsi="Times New Roman" w:cs="Times New Roman"/>
          <w:i/>
          <w:sz w:val="24"/>
          <w:szCs w:val="24"/>
        </w:rPr>
        <w:t>Strategia dell’UE sulla biodiversità 2030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recente pandemia di Covid-19 ci insegna quanto sia urgente intervenire per proteggere e ripristinare la natura: ci sta facendo prendere coscienza dei legami che esistono tra la nostra salute e la salute degli ecosistemi. Investire nella protezione e nel ripristino della natura sarà di cruciale importanza anche per la ripresa economica dell’Europa dalla crisi Covid-19”</w:t>
      </w:r>
      <w:r>
        <w:rPr>
          <w:rFonts w:ascii="Times New Roman" w:eastAsia="Times New Roman" w:hAnsi="Times New Roman" w:cs="Times New Roman"/>
          <w:sz w:val="24"/>
          <w:szCs w:val="24"/>
        </w:rPr>
        <w:t>.</w:t>
      </w:r>
    </w:p>
    <w:p w14:paraId="00000040"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w:t>
      </w:r>
      <w:r>
        <w:rPr>
          <w:rFonts w:ascii="Times New Roman" w:eastAsia="Times New Roman" w:hAnsi="Times New Roman" w:cs="Times New Roman"/>
          <w:i/>
          <w:sz w:val="24"/>
          <w:szCs w:val="24"/>
        </w:rPr>
        <w:t>Programma di lavoro della Commissione per il 2021</w:t>
      </w:r>
      <w:r>
        <w:rPr>
          <w:rFonts w:ascii="Times New Roman" w:eastAsia="Times New Roman" w:hAnsi="Times New Roman" w:cs="Times New Roman"/>
          <w:sz w:val="24"/>
          <w:szCs w:val="24"/>
        </w:rPr>
        <w:t xml:space="preserve"> della Commissione europea (</w:t>
      </w:r>
      <w:proofErr w:type="gramStart"/>
      <w:r>
        <w:rPr>
          <w:rFonts w:ascii="Times New Roman" w:eastAsia="Times New Roman" w:hAnsi="Times New Roman" w:cs="Times New Roman"/>
          <w:sz w:val="24"/>
          <w:szCs w:val="24"/>
        </w:rPr>
        <w:t>COM(</w:t>
      </w:r>
      <w:proofErr w:type="gramEnd"/>
      <w:r>
        <w:rPr>
          <w:rFonts w:ascii="Times New Roman" w:eastAsia="Times New Roman" w:hAnsi="Times New Roman" w:cs="Times New Roman"/>
          <w:sz w:val="24"/>
          <w:szCs w:val="24"/>
        </w:rPr>
        <w:t xml:space="preserve">2020) 690 </w:t>
      </w:r>
      <w:proofErr w:type="spellStart"/>
      <w:r>
        <w:rPr>
          <w:rFonts w:ascii="Times New Roman" w:eastAsia="Times New Roman" w:hAnsi="Times New Roman" w:cs="Times New Roman"/>
          <w:sz w:val="24"/>
          <w:szCs w:val="24"/>
        </w:rPr>
        <w:t>final</w:t>
      </w:r>
      <w:proofErr w:type="spellEnd"/>
      <w:r>
        <w:rPr>
          <w:rFonts w:ascii="Times New Roman" w:eastAsia="Times New Roman" w:hAnsi="Times New Roman" w:cs="Times New Roman"/>
          <w:sz w:val="24"/>
          <w:szCs w:val="24"/>
        </w:rPr>
        <w:t xml:space="preserve">) del 19 ottobre 2020 è anch’esso nutrito e indica come primo obiettivo prioritario l’attuazione del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 xml:space="preserve"> europeo. Per la Commissione, </w:t>
      </w:r>
      <w:r>
        <w:rPr>
          <w:rFonts w:ascii="Times New Roman" w:eastAsia="Times New Roman" w:hAnsi="Times New Roman" w:cs="Times New Roman"/>
          <w:i/>
          <w:sz w:val="24"/>
          <w:szCs w:val="24"/>
        </w:rPr>
        <w:t xml:space="preserve">“con Next Generation EU, l'Europa sceglie non solo di riparare i danni, di riprendersi oggi e di sostenere le persone più colpite dalla crisi, ma anche di realizzare e costruire un modo migliore di vivere per il </w:t>
      </w:r>
      <w:r>
        <w:rPr>
          <w:rFonts w:ascii="Times New Roman" w:eastAsia="Times New Roman" w:hAnsi="Times New Roman" w:cs="Times New Roman"/>
          <w:i/>
          <w:sz w:val="24"/>
          <w:szCs w:val="24"/>
        </w:rPr>
        <w:lastRenderedPageBreak/>
        <w:t>mondo di domani. Si concentrerà su investimenti e riforme sostenibili, con il 37% della spesa dello strumento per la ripresa e la resilienza destinato alla spesa per la transizione verde e un minimo del 20% da investire nel digitale. Lavoreremo intensamente con gli Stati membri per preparare e attuare i piani nazionali di ripresa e resilienza”</w:t>
      </w:r>
      <w:r>
        <w:rPr>
          <w:rFonts w:ascii="Times New Roman" w:eastAsia="Times New Roman" w:hAnsi="Times New Roman" w:cs="Times New Roman"/>
          <w:sz w:val="24"/>
          <w:szCs w:val="24"/>
        </w:rPr>
        <w:t>.</w:t>
      </w:r>
    </w:p>
    <w:p w14:paraId="00000041" w14:textId="77777777" w:rsidR="005675A7" w:rsidRDefault="005675A7">
      <w:pPr>
        <w:jc w:val="both"/>
        <w:rPr>
          <w:rFonts w:ascii="Times New Roman" w:eastAsia="Times New Roman" w:hAnsi="Times New Roman" w:cs="Times New Roman"/>
          <w:sz w:val="24"/>
          <w:szCs w:val="24"/>
        </w:rPr>
      </w:pPr>
    </w:p>
    <w:p w14:paraId="00000042" w14:textId="77777777" w:rsidR="005675A7" w:rsidRDefault="00B54A81">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regolamento (UE) 2020/852, i sei indicatori ambientali e il principio «</w:t>
      </w:r>
      <w:r>
        <w:rPr>
          <w:rFonts w:ascii="Times New Roman" w:eastAsia="Times New Roman" w:hAnsi="Times New Roman" w:cs="Times New Roman"/>
          <w:b/>
          <w:i/>
          <w:sz w:val="24"/>
          <w:szCs w:val="24"/>
        </w:rPr>
        <w:t>non arrecare un danno significativo</w:t>
      </w:r>
      <w:r>
        <w:rPr>
          <w:rFonts w:ascii="Times New Roman" w:eastAsia="Times New Roman" w:hAnsi="Times New Roman" w:cs="Times New Roman"/>
          <w:b/>
          <w:sz w:val="24"/>
          <w:szCs w:val="24"/>
        </w:rPr>
        <w:t>».</w:t>
      </w:r>
    </w:p>
    <w:p w14:paraId="00000043"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Nell’elenco di cui sopra, un rilievo particolare sembra avere, per la sua importanza definitoria, il regolamento (UE) 2020/852 del 18 giugno 2020 </w:t>
      </w:r>
      <w:r>
        <w:rPr>
          <w:rFonts w:ascii="Times New Roman" w:eastAsia="Times New Roman" w:hAnsi="Times New Roman" w:cs="Times New Roman"/>
          <w:i/>
          <w:sz w:val="24"/>
          <w:szCs w:val="24"/>
        </w:rPr>
        <w:t>relativo all’istituzione di un quadro che favorisce gli investimenti sostenibili</w:t>
      </w:r>
      <w:r>
        <w:rPr>
          <w:rFonts w:ascii="Times New Roman" w:eastAsia="Times New Roman" w:hAnsi="Times New Roman" w:cs="Times New Roman"/>
          <w:sz w:val="24"/>
          <w:szCs w:val="24"/>
        </w:rPr>
        <w:t xml:space="preserve"> (di seguito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xml:space="preserve">”). È l’atto più significativo, per i fini ordinatori che stiamo vagliando, che l’Unione europea ha approvato per 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Infatti espressamente </w:t>
      </w:r>
      <w:r>
        <w:rPr>
          <w:rFonts w:ascii="Times New Roman" w:eastAsia="Times New Roman" w:hAnsi="Times New Roman" w:cs="Times New Roman"/>
          <w:i/>
          <w:sz w:val="24"/>
          <w:szCs w:val="24"/>
        </w:rPr>
        <w:t>“stabilisce i criteri per determinare se un’attività economica può considerarsi ecosostenibile, al fine di individuare il grado di ecosostenibilità di un investimento”</w:t>
      </w:r>
      <w:r>
        <w:rPr>
          <w:rFonts w:ascii="Times New Roman" w:eastAsia="Times New Roman" w:hAnsi="Times New Roman" w:cs="Times New Roman"/>
          <w:sz w:val="24"/>
          <w:szCs w:val="24"/>
        </w:rPr>
        <w:t xml:space="preserve"> (art.1). Così, per la prima volta esso classifica le attività economiche </w:t>
      </w:r>
      <w:r>
        <w:rPr>
          <w:rFonts w:ascii="Times New Roman" w:eastAsia="Times New Roman" w:hAnsi="Times New Roman" w:cs="Times New Roman"/>
          <w:i/>
          <w:sz w:val="24"/>
          <w:szCs w:val="24"/>
        </w:rPr>
        <w:t>sostenibili</w:t>
      </w:r>
      <w:r>
        <w:rPr>
          <w:rFonts w:ascii="Times New Roman" w:eastAsia="Times New Roman" w:hAnsi="Times New Roman" w:cs="Times New Roman"/>
          <w:sz w:val="24"/>
          <w:szCs w:val="24"/>
        </w:rPr>
        <w:t xml:space="preserve">, usando un linguaggio comune che poi dovrebbe divenire generalizzato sia nelle politiche pubbliche, sia nelle strategie d’impresa in vista di significative ricadute positive sul clima e sull'ambiente. Questo regolamento qualifica i criteri tecnici per la </w:t>
      </w:r>
      <w:r>
        <w:rPr>
          <w:rFonts w:ascii="Times New Roman" w:eastAsia="Times New Roman" w:hAnsi="Times New Roman" w:cs="Times New Roman"/>
          <w:i/>
          <w:sz w:val="24"/>
          <w:szCs w:val="24"/>
        </w:rPr>
        <w:t>finanza sostenibile</w:t>
      </w:r>
      <w:r>
        <w:rPr>
          <w:rFonts w:ascii="Times New Roman" w:eastAsia="Times New Roman" w:hAnsi="Times New Roman" w:cs="Times New Roman"/>
          <w:sz w:val="24"/>
          <w:szCs w:val="24"/>
        </w:rPr>
        <w:t xml:space="preserve">: il che avviene mediante la definizione, chiara e univoca, di quali attività economiche e quali investimenti possano davvero definirsi </w:t>
      </w:r>
      <w:r>
        <w:rPr>
          <w:rFonts w:ascii="Times New Roman" w:eastAsia="Times New Roman" w:hAnsi="Times New Roman" w:cs="Times New Roman"/>
          <w:i/>
          <w:sz w:val="24"/>
          <w:szCs w:val="24"/>
        </w:rPr>
        <w:t>sostenibili</w:t>
      </w:r>
      <w:r>
        <w:rPr>
          <w:rFonts w:ascii="Times New Roman" w:eastAsia="Times New Roman" w:hAnsi="Times New Roman" w:cs="Times New Roman"/>
          <w:sz w:val="24"/>
          <w:szCs w:val="24"/>
        </w:rPr>
        <w:t xml:space="preserve">. Insomma, stabilisce quando un’attività economica si possa considerare </w:t>
      </w:r>
      <w:r>
        <w:rPr>
          <w:rFonts w:ascii="Times New Roman" w:eastAsia="Times New Roman" w:hAnsi="Times New Roman" w:cs="Times New Roman"/>
          <w:i/>
          <w:sz w:val="24"/>
          <w:szCs w:val="24"/>
        </w:rPr>
        <w:t>ecosostenibile</w:t>
      </w:r>
      <w:r>
        <w:rPr>
          <w:rFonts w:ascii="Times New Roman" w:eastAsia="Times New Roman" w:hAnsi="Times New Roman" w:cs="Times New Roman"/>
          <w:sz w:val="24"/>
          <w:szCs w:val="24"/>
        </w:rPr>
        <w:t xml:space="preserve">, e così si possa vagliare il grado di </w:t>
      </w:r>
      <w:r>
        <w:rPr>
          <w:rFonts w:ascii="Times New Roman" w:eastAsia="Times New Roman" w:hAnsi="Times New Roman" w:cs="Times New Roman"/>
          <w:i/>
          <w:sz w:val="24"/>
          <w:szCs w:val="24"/>
        </w:rPr>
        <w:t>ecosostenibilità</w:t>
      </w:r>
      <w:r>
        <w:rPr>
          <w:rFonts w:ascii="Times New Roman" w:eastAsia="Times New Roman" w:hAnsi="Times New Roman" w:cs="Times New Roman"/>
          <w:sz w:val="24"/>
          <w:szCs w:val="24"/>
        </w:rPr>
        <w:t xml:space="preserve"> di ogni investimento. L’intenzione di sistema è di riorientare gli investimenti verso tecnologie e imprese più sostenibili, in ragione dell’obiettivo principale della </w:t>
      </w:r>
      <w:r>
        <w:rPr>
          <w:rFonts w:ascii="Times New Roman" w:eastAsia="Times New Roman" w:hAnsi="Times New Roman" w:cs="Times New Roman"/>
          <w:i/>
          <w:sz w:val="24"/>
          <w:szCs w:val="24"/>
        </w:rPr>
        <w:t>neutralità climatica</w:t>
      </w:r>
      <w:r>
        <w:rPr>
          <w:rFonts w:ascii="Times New Roman" w:eastAsia="Times New Roman" w:hAnsi="Times New Roman" w:cs="Times New Roman"/>
          <w:sz w:val="24"/>
          <w:szCs w:val="24"/>
        </w:rPr>
        <w:t xml:space="preserve"> dell’UE da raggiungere entro il 2050: il che riguarda al contempo: </w:t>
      </w:r>
      <w:r>
        <w:rPr>
          <w:rFonts w:ascii="Times New Roman" w:eastAsia="Times New Roman" w:hAnsi="Times New Roman" w:cs="Times New Roman"/>
          <w:i/>
          <w:sz w:val="24"/>
          <w:szCs w:val="24"/>
        </w:rPr>
        <w:t xml:space="preserve">1) </w:t>
      </w:r>
      <w:r>
        <w:rPr>
          <w:rFonts w:ascii="Times New Roman" w:eastAsia="Times New Roman" w:hAnsi="Times New Roman" w:cs="Times New Roman"/>
          <w:sz w:val="24"/>
          <w:szCs w:val="24"/>
        </w:rPr>
        <w:t xml:space="preserve">le misure adottate dagli Stati membri o dall’Unione europea che stabiliscono obblighi per i partecipanti ai mercati finanziari o gli emittenti in relazione a prodotti finanziari o obbligazioni societarie resi disponibili come ecosostenibili;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i partecipanti ai mercati finanziari che mettono a disposizione prodotti finanziari;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 le imprese soggette all’obbligo di pubblicare una dichiarazione di carattere non finanziario o una dichiarazione consolidata di carattere non finanziario (ai sensi dell’art. 19-</w:t>
      </w:r>
      <w:r>
        <w:rPr>
          <w:rFonts w:ascii="Times New Roman" w:eastAsia="Times New Roman" w:hAnsi="Times New Roman" w:cs="Times New Roman"/>
          <w:i/>
          <w:sz w:val="24"/>
          <w:szCs w:val="24"/>
        </w:rPr>
        <w:t>bis</w:t>
      </w:r>
      <w:r>
        <w:rPr>
          <w:rFonts w:ascii="Times New Roman" w:eastAsia="Times New Roman" w:hAnsi="Times New Roman" w:cs="Times New Roman"/>
          <w:sz w:val="24"/>
          <w:szCs w:val="24"/>
        </w:rPr>
        <w:t xml:space="preserve"> o dell’art. 2-</w:t>
      </w:r>
      <w:r>
        <w:rPr>
          <w:rFonts w:ascii="Times New Roman" w:eastAsia="Times New Roman" w:hAnsi="Times New Roman" w:cs="Times New Roman"/>
          <w:i/>
          <w:sz w:val="24"/>
          <w:szCs w:val="24"/>
        </w:rPr>
        <w:t>bis</w:t>
      </w:r>
      <w:r>
        <w:rPr>
          <w:rFonts w:ascii="Times New Roman" w:eastAsia="Times New Roman" w:hAnsi="Times New Roman" w:cs="Times New Roman"/>
          <w:sz w:val="24"/>
          <w:szCs w:val="24"/>
        </w:rPr>
        <w:t xml:space="preserve"> della direttiva 2013/34/UE sui bilanci d’esercizio, i bilanci consolidati e le relative relazioni di talune tipologie di imprese).</w:t>
      </w:r>
    </w:p>
    <w:p w14:paraId="00000044"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Perciò questo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xml:space="preserve"> stabilisce </w:t>
      </w:r>
      <w:r>
        <w:rPr>
          <w:rFonts w:ascii="Times New Roman" w:eastAsia="Times New Roman" w:hAnsi="Times New Roman" w:cs="Times New Roman"/>
          <w:i/>
          <w:sz w:val="24"/>
          <w:szCs w:val="24"/>
        </w:rPr>
        <w:t>sei obiettivi ambientali</w:t>
      </w:r>
      <w:r>
        <w:rPr>
          <w:rFonts w:ascii="Times New Roman" w:eastAsia="Times New Roman" w:hAnsi="Times New Roman" w:cs="Times New Roman"/>
          <w:sz w:val="24"/>
          <w:szCs w:val="24"/>
        </w:rPr>
        <w:t xml:space="preserve"> e, al tempo stesso, crea le premesse per la qualificazione di un’attività economica come </w:t>
      </w:r>
      <w:r>
        <w:rPr>
          <w:rFonts w:ascii="Times New Roman" w:eastAsia="Times New Roman" w:hAnsi="Times New Roman" w:cs="Times New Roman"/>
          <w:i/>
          <w:sz w:val="24"/>
          <w:szCs w:val="24"/>
        </w:rPr>
        <w:t>sostenibile</w:t>
      </w:r>
      <w:r>
        <w:rPr>
          <w:rFonts w:ascii="Times New Roman" w:eastAsia="Times New Roman" w:hAnsi="Times New Roman" w:cs="Times New Roman"/>
          <w:sz w:val="24"/>
          <w:szCs w:val="24"/>
        </w:rPr>
        <w:t xml:space="preserve"> in termini ambientali: il che avviene anzitutto da un punto di vista funzionale, vale a dire se si contribuisce ad almeno uno degli obiettivi fissati senza danneggiare significativamente nessuno degli altri.</w:t>
      </w:r>
    </w:p>
    <w:p w14:paraId="00000045"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premessa concettuale sembra stare nel </w:t>
      </w:r>
      <w:r>
        <w:rPr>
          <w:rFonts w:ascii="Times New Roman" w:eastAsia="Times New Roman" w:hAnsi="Times New Roman" w:cs="Times New Roman"/>
          <w:i/>
          <w:sz w:val="24"/>
          <w:szCs w:val="24"/>
        </w:rPr>
        <w:t xml:space="preserve">considerando </w:t>
      </w:r>
      <w:r>
        <w:rPr>
          <w:rFonts w:ascii="Times New Roman" w:eastAsia="Times New Roman" w:hAnsi="Times New Roman" w:cs="Times New Roman"/>
          <w:sz w:val="24"/>
          <w:szCs w:val="24"/>
        </w:rPr>
        <w:t>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4, dove – ponendo le premesse per una definizione generale di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 si dice: </w:t>
      </w:r>
      <w:r>
        <w:rPr>
          <w:rFonts w:ascii="Times New Roman" w:eastAsia="Times New Roman" w:hAnsi="Times New Roman" w:cs="Times New Roman"/>
          <w:i/>
          <w:sz w:val="24"/>
          <w:szCs w:val="24"/>
        </w:rPr>
        <w:t>“la sostenibilità e la transizione a un’economia sicura, climaticamente neutra, resiliente ai cambiamenti climatici, più efficiente in termini di risorse e circolare sono fondamentali per garantire la competitività dell’economia dell’Unione nel lungo termine”</w:t>
      </w:r>
      <w:r>
        <w:rPr>
          <w:rFonts w:ascii="Times New Roman" w:eastAsia="Times New Roman" w:hAnsi="Times New Roman" w:cs="Times New Roman"/>
          <w:sz w:val="24"/>
          <w:szCs w:val="24"/>
        </w:rPr>
        <w:t>.</w:t>
      </w:r>
    </w:p>
    <w:p w14:paraId="00000046"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sei obiettivi ambientali indicati dal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xml:space="preserve"> costituiscono il nucleo centrale della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e sono: a) la mitigazione dei cambiamenti climatici; b) l'adattamento ai cambiamenti climatici; c) l'uso sostenibile e la protezione delle acque e delle </w:t>
      </w:r>
      <w:r>
        <w:rPr>
          <w:rFonts w:ascii="Times New Roman" w:eastAsia="Times New Roman" w:hAnsi="Times New Roman" w:cs="Times New Roman"/>
          <w:sz w:val="24"/>
          <w:szCs w:val="24"/>
        </w:rPr>
        <w:lastRenderedPageBreak/>
        <w:t>risorse marine; d) la transizione verso un’economia circolare; e) la prevenzione e il controllo dell'inquinamento; f) la protezione e il ripristino della biodiversità e degli ecosistemi (art.9).</w:t>
      </w:r>
    </w:p>
    <w:p w14:paraId="00000047"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obiettivo di base del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xml:space="preserve"> è di contrastare l’ecologia di facciata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“verniciatura verde”,</w:t>
      </w:r>
      <w:r>
        <w:rPr>
          <w:rFonts w:ascii="Times New Roman" w:eastAsia="Times New Roman" w:hAnsi="Times New Roman" w:cs="Times New Roman"/>
          <w:sz w:val="24"/>
          <w:szCs w:val="24"/>
        </w:rPr>
        <w:t xml:space="preserve"> o</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greenwashing</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éco-blanchiment</w:t>
      </w:r>
      <w:proofErr w:type="spellEnd"/>
      <w:r>
        <w:rPr>
          <w:rFonts w:ascii="Times New Roman" w:eastAsia="Times New Roman" w:hAnsi="Times New Roman" w:cs="Times New Roman"/>
          <w:sz w:val="24"/>
          <w:szCs w:val="24"/>
        </w:rPr>
        <w:t xml:space="preserve">) che è indicata consistere </w:t>
      </w:r>
      <w:r>
        <w:rPr>
          <w:rFonts w:ascii="Times New Roman" w:eastAsia="Times New Roman" w:hAnsi="Times New Roman" w:cs="Times New Roman"/>
          <w:i/>
          <w:sz w:val="24"/>
          <w:szCs w:val="24"/>
        </w:rPr>
        <w:t>“nell’ottenere un vantaggio sulla concorrenza in modo sleale commercializzando un prodotto finanziario come ecocompatibile quando in realtà gli standard ambientali di base non sono soddisfatti”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considerando</w:t>
      </w:r>
      <w:r>
        <w:rPr>
          <w:rFonts w:ascii="Times New Roman" w:eastAsia="Times New Roman" w:hAnsi="Times New Roman" w:cs="Times New Roman"/>
          <w:sz w:val="24"/>
          <w:szCs w:val="24"/>
        </w:rPr>
        <w:t xml:space="preserve"> n. 11).</w:t>
      </w:r>
    </w:p>
    <w:p w14:paraId="00000048"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fine di stabilire il grado di </w:t>
      </w:r>
      <w:r>
        <w:rPr>
          <w:rFonts w:ascii="Times New Roman" w:eastAsia="Times New Roman" w:hAnsi="Times New Roman" w:cs="Times New Roman"/>
          <w:i/>
          <w:sz w:val="24"/>
          <w:szCs w:val="24"/>
        </w:rPr>
        <w:t>ecosostenibilità</w:t>
      </w:r>
      <w:r>
        <w:rPr>
          <w:rFonts w:ascii="Times New Roman" w:eastAsia="Times New Roman" w:hAnsi="Times New Roman" w:cs="Times New Roman"/>
          <w:sz w:val="24"/>
          <w:szCs w:val="24"/>
        </w:rPr>
        <w:t xml:space="preserve"> di un investimento, questo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xml:space="preserve"> stabilisce dunque che un’attività economica è considerata</w:t>
      </w:r>
      <w:r>
        <w:rPr>
          <w:rFonts w:ascii="Times New Roman" w:eastAsia="Times New Roman" w:hAnsi="Times New Roman" w:cs="Times New Roman"/>
          <w:i/>
          <w:sz w:val="24"/>
          <w:szCs w:val="24"/>
        </w:rPr>
        <w:t xml:space="preserve"> ecosostenibile</w:t>
      </w:r>
      <w:r>
        <w:rPr>
          <w:rFonts w:ascii="Times New Roman" w:eastAsia="Times New Roman" w:hAnsi="Times New Roman" w:cs="Times New Roman"/>
          <w:sz w:val="24"/>
          <w:szCs w:val="24"/>
        </w:rPr>
        <w:t xml:space="preserve"> se contribuisce in modo sostanziale al raggiungimento di uno o più dei citati obiettivi ambientali, non arreca loro </w:t>
      </w:r>
      <w:r>
        <w:rPr>
          <w:rFonts w:ascii="Times New Roman" w:eastAsia="Times New Roman" w:hAnsi="Times New Roman" w:cs="Times New Roman"/>
          <w:i/>
          <w:sz w:val="24"/>
          <w:szCs w:val="24"/>
        </w:rPr>
        <w:t>un danno significativo</w:t>
      </w:r>
      <w:r>
        <w:rPr>
          <w:rFonts w:ascii="Times New Roman" w:eastAsia="Times New Roman" w:hAnsi="Times New Roman" w:cs="Times New Roman"/>
          <w:sz w:val="24"/>
          <w:szCs w:val="24"/>
        </w:rPr>
        <w:t>, è svolta nel rispetto delle garanzie minime di salvaguardia ed è conforme ai criteri di vaglio tecnico fissati dalla Commissione.</w:t>
      </w:r>
    </w:p>
    <w:p w14:paraId="00000049"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contributo sostanziale al raggiungimento degli obiettivi ambientali è descritto per ogni obiettivo ambientale negli articoli da 11 a 15, mentre il </w:t>
      </w:r>
      <w:r>
        <w:rPr>
          <w:rFonts w:ascii="Times New Roman" w:eastAsia="Times New Roman" w:hAnsi="Times New Roman" w:cs="Times New Roman"/>
          <w:i/>
          <w:sz w:val="24"/>
          <w:szCs w:val="24"/>
        </w:rPr>
        <w:t>danno significativo</w:t>
      </w:r>
      <w:r>
        <w:rPr>
          <w:rFonts w:ascii="Times New Roman" w:eastAsia="Times New Roman" w:hAnsi="Times New Roman" w:cs="Times New Roman"/>
          <w:sz w:val="24"/>
          <w:szCs w:val="24"/>
        </w:rPr>
        <w:t xml:space="preserve"> agli stessi obiettivi è oggetto dell’art.17. Inoltre il principio «</w:t>
      </w:r>
      <w:r>
        <w:rPr>
          <w:rFonts w:ascii="Times New Roman" w:eastAsia="Times New Roman" w:hAnsi="Times New Roman" w:cs="Times New Roman"/>
          <w:i/>
          <w:sz w:val="24"/>
          <w:szCs w:val="24"/>
        </w:rPr>
        <w:t>non arrecare un danno significativo</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do </w:t>
      </w:r>
      <w:proofErr w:type="spellStart"/>
      <w:r>
        <w:rPr>
          <w:rFonts w:ascii="Times New Roman" w:eastAsia="Times New Roman" w:hAnsi="Times New Roman" w:cs="Times New Roman"/>
          <w:i/>
          <w:sz w:val="24"/>
          <w:szCs w:val="24"/>
        </w:rPr>
        <w:t>not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significant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harm</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xml:space="preserve">ne </w:t>
      </w:r>
      <w:proofErr w:type="spellStart"/>
      <w:r>
        <w:rPr>
          <w:rFonts w:ascii="Times New Roman" w:eastAsia="Times New Roman" w:hAnsi="Times New Roman" w:cs="Times New Roman"/>
          <w:i/>
          <w:sz w:val="24"/>
          <w:szCs w:val="24"/>
        </w:rPr>
        <w:t>pas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causer</w:t>
      </w:r>
      <w:proofErr w:type="spellEnd"/>
      <w:r>
        <w:rPr>
          <w:rFonts w:ascii="Times New Roman" w:eastAsia="Times New Roman" w:hAnsi="Times New Roman" w:cs="Times New Roman"/>
          <w:i/>
          <w:sz w:val="24"/>
          <w:szCs w:val="24"/>
        </w:rPr>
        <w:t xml:space="preserve"> 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préjudice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important</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Vermeidung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erheblicher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Beeinträchtigungen</w:t>
      </w:r>
      <w:proofErr w:type="spellEnd"/>
      <w:r>
        <w:rPr>
          <w:rFonts w:ascii="Times New Roman" w:eastAsia="Times New Roman" w:hAnsi="Times New Roman" w:cs="Times New Roman"/>
          <w:i/>
          <w:sz w:val="24"/>
          <w:szCs w:val="24"/>
        </w:rPr>
        <w:t xml:space="preserve"> / no causar un </w:t>
      </w:r>
      <w:proofErr w:type="spellStart"/>
      <w:r>
        <w:rPr>
          <w:rFonts w:ascii="Times New Roman" w:eastAsia="Times New Roman" w:hAnsi="Times New Roman" w:cs="Times New Roman"/>
          <w:i/>
          <w:sz w:val="24"/>
          <w:szCs w:val="24"/>
        </w:rPr>
        <w:t>perjuicio</w:t>
      </w:r>
      <w:proofErr w:type="spellEnd"/>
      <w:r>
        <w:rPr>
          <w:rFonts w:ascii="Times New Roman" w:eastAsia="Times New Roman" w:hAnsi="Times New Roman" w:cs="Times New Roman"/>
          <w:i/>
          <w:sz w:val="24"/>
          <w:szCs w:val="24"/>
        </w:rPr>
        <w:t xml:space="preserve"> significativo</w:t>
      </w:r>
      <w:r>
        <w:rPr>
          <w:rFonts w:ascii="Times New Roman" w:eastAsia="Times New Roman" w:hAnsi="Times New Roman" w:cs="Times New Roman"/>
          <w:sz w:val="24"/>
          <w:szCs w:val="24"/>
        </w:rPr>
        <w:t xml:space="preserve">) è per la prima volta regolato nell’ordinamento </w:t>
      </w:r>
      <w:proofErr w:type="spellStart"/>
      <w:r>
        <w:rPr>
          <w:rFonts w:ascii="Times New Roman" w:eastAsia="Times New Roman" w:hAnsi="Times New Roman" w:cs="Times New Roman"/>
          <w:sz w:val="24"/>
          <w:szCs w:val="24"/>
        </w:rPr>
        <w:t>eurounitario</w:t>
      </w:r>
      <w:proofErr w:type="spellEnd"/>
      <w:r>
        <w:rPr>
          <w:rFonts w:ascii="Times New Roman" w:eastAsia="Times New Roman" w:hAnsi="Times New Roman" w:cs="Times New Roman"/>
          <w:sz w:val="24"/>
          <w:szCs w:val="24"/>
        </w:rPr>
        <w:t xml:space="preserve"> dall’art.25 che introduce nel regolamento (UE) 2019/2088 sull’</w:t>
      </w:r>
      <w:r>
        <w:t xml:space="preserve"> </w:t>
      </w:r>
      <w:r>
        <w:rPr>
          <w:rFonts w:ascii="Times New Roman" w:eastAsia="Times New Roman" w:hAnsi="Times New Roman" w:cs="Times New Roman"/>
          <w:sz w:val="24"/>
          <w:szCs w:val="24"/>
        </w:rPr>
        <w:t>informativa sulla sostenibilità nel settore dei servizi finanziari, l’art.2-</w:t>
      </w:r>
      <w:r>
        <w:rPr>
          <w:rFonts w:ascii="Times New Roman" w:eastAsia="Times New Roman" w:hAnsi="Times New Roman" w:cs="Times New Roman"/>
          <w:i/>
          <w:sz w:val="24"/>
          <w:szCs w:val="24"/>
        </w:rPr>
        <w:t>bis</w:t>
      </w:r>
      <w:r>
        <w:rPr>
          <w:rFonts w:ascii="Times New Roman" w:eastAsia="Times New Roman" w:hAnsi="Times New Roman" w:cs="Times New Roman"/>
          <w:sz w:val="24"/>
          <w:szCs w:val="24"/>
        </w:rPr>
        <w:t>, intitolato appunto «</w:t>
      </w:r>
      <w:r>
        <w:rPr>
          <w:rFonts w:ascii="Times New Roman" w:eastAsia="Times New Roman" w:hAnsi="Times New Roman" w:cs="Times New Roman"/>
          <w:i/>
          <w:sz w:val="24"/>
          <w:szCs w:val="24"/>
        </w:rPr>
        <w:t>Principio di non causare danni significativi</w:t>
      </w:r>
      <w:r>
        <w:rPr>
          <w:rFonts w:ascii="Times New Roman" w:eastAsia="Times New Roman" w:hAnsi="Times New Roman" w:cs="Times New Roman"/>
          <w:sz w:val="24"/>
          <w:szCs w:val="24"/>
        </w:rPr>
        <w:t>» (vedremo poi quale specificazione ne è stata data).</w:t>
      </w:r>
    </w:p>
    <w:p w14:paraId="0000004A"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questo art.17 del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xml:space="preserve"> un </w:t>
      </w:r>
      <w:r>
        <w:rPr>
          <w:rFonts w:ascii="Times New Roman" w:eastAsia="Times New Roman" w:hAnsi="Times New Roman" w:cs="Times New Roman"/>
          <w:i/>
          <w:sz w:val="24"/>
          <w:szCs w:val="24"/>
        </w:rPr>
        <w:t>danno significativo</w:t>
      </w:r>
      <w:r>
        <w:rPr>
          <w:rFonts w:ascii="Times New Roman" w:eastAsia="Times New Roman" w:hAnsi="Times New Roman" w:cs="Times New Roman"/>
          <w:sz w:val="24"/>
          <w:szCs w:val="24"/>
        </w:rPr>
        <w:t xml:space="preserve"> all’obiettivo della mitigazione dei cambiamenti climatici è ravvisabile nel caso in cui l’attività conduce a significative emissioni di gas a effetto serra, mentre per l’adattamento ai cambiamenti climatici quando l’attività conduce a un peggioramento degli effetti negativi del clima attuale e del clima futuro. </w:t>
      </w:r>
    </w:p>
    <w:p w14:paraId="0000004B"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w:t>
      </w:r>
      <w:r>
        <w:rPr>
          <w:rFonts w:ascii="Times New Roman" w:eastAsia="Times New Roman" w:hAnsi="Times New Roman" w:cs="Times New Roman"/>
          <w:i/>
          <w:sz w:val="24"/>
          <w:szCs w:val="24"/>
        </w:rPr>
        <w:t>danno significativo</w:t>
      </w:r>
      <w:r>
        <w:rPr>
          <w:rFonts w:ascii="Times New Roman" w:eastAsia="Times New Roman" w:hAnsi="Times New Roman" w:cs="Times New Roman"/>
          <w:sz w:val="24"/>
          <w:szCs w:val="24"/>
        </w:rPr>
        <w:t xml:space="preserve"> all’uso sostenibile e alla protezione delle acque e delle risorse marine è affermato ravvisabile quando l’attività nuoce al buono stato o al buon potenziale ecologico di corpi idrici, comprese le acque di superficie e sotterranee; o al buono stato ecologico delle acque marine.</w:t>
      </w:r>
    </w:p>
    <w:p w14:paraId="0000004C"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l’economia circolare, compresi la prevenzione e il riciclaggio dei rifiuti (art.17, paragrafo 1, </w:t>
      </w:r>
      <w:proofErr w:type="spellStart"/>
      <w:r>
        <w:rPr>
          <w:rFonts w:ascii="Times New Roman" w:eastAsia="Times New Roman" w:hAnsi="Times New Roman" w:cs="Times New Roman"/>
          <w:sz w:val="24"/>
          <w:szCs w:val="24"/>
        </w:rPr>
        <w:t>lett.</w:t>
      </w:r>
      <w:r>
        <w:rPr>
          <w:rFonts w:ascii="Times New Roman" w:eastAsia="Times New Roman" w:hAnsi="Times New Roman" w:cs="Times New Roman"/>
          <w:i/>
          <w:sz w:val="24"/>
          <w:szCs w:val="24"/>
        </w:rPr>
        <w:t>d</w:t>
      </w:r>
      <w:proofErr w:type="spellEnd"/>
      <w:r>
        <w:rPr>
          <w:rFonts w:ascii="Times New Roman" w:eastAsia="Times New Roman" w:hAnsi="Times New Roman" w:cs="Times New Roman"/>
          <w:sz w:val="24"/>
          <w:szCs w:val="24"/>
        </w:rPr>
        <w:t xml:space="preserve">), il </w:t>
      </w:r>
      <w:r>
        <w:rPr>
          <w:rFonts w:ascii="Times New Roman" w:eastAsia="Times New Roman" w:hAnsi="Times New Roman" w:cs="Times New Roman"/>
          <w:i/>
          <w:sz w:val="24"/>
          <w:szCs w:val="24"/>
        </w:rPr>
        <w:t>danno significativo</w:t>
      </w:r>
      <w:r>
        <w:rPr>
          <w:rFonts w:ascii="Times New Roman" w:eastAsia="Times New Roman" w:hAnsi="Times New Roman" w:cs="Times New Roman"/>
          <w:sz w:val="24"/>
          <w:szCs w:val="24"/>
        </w:rPr>
        <w:t xml:space="preserve"> si produce quando 1) l’attività conduce a inefficienze significative nell’uso dei materiali o nell’uso diretto o indiretto di risorse naturali quali le fonti energetiche non rinnovabili, le materie prime, le risorse idriche e il suolo, in una o più fasi del ciclo di vita dei prodotti, anche in termini di durabilità, riparabilità, possibilità di miglioramento, riutilizzabilità o riciclabilità dei prodotti; 2) l’attività comporta un aumento significativo della produzione, dell’incenerimento o dello smaltimento dei rifiuti, ad eccezione dell’incenerimento di rifiuti pericolosi non riciclabili; 3) lo smaltimento a lungo termine dei rifiuti potrebbe causare un danno significativo e a lungo termine all’ambiente.</w:t>
      </w:r>
    </w:p>
    <w:p w14:paraId="0000004D"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riferimento all’inquinamento, il </w:t>
      </w:r>
      <w:r>
        <w:rPr>
          <w:rFonts w:ascii="Times New Roman" w:eastAsia="Times New Roman" w:hAnsi="Times New Roman" w:cs="Times New Roman"/>
          <w:i/>
          <w:sz w:val="24"/>
          <w:szCs w:val="24"/>
        </w:rPr>
        <w:t>danno significativo</w:t>
      </w:r>
      <w:r>
        <w:rPr>
          <w:rFonts w:ascii="Times New Roman" w:eastAsia="Times New Roman" w:hAnsi="Times New Roman" w:cs="Times New Roman"/>
          <w:sz w:val="24"/>
          <w:szCs w:val="24"/>
        </w:rPr>
        <w:t>, sempre secondo l’art.17, è quello dell’attività che comporta un aumento significativo delle emissioni di sostanze inquinanti nell’aria, nell’acqua o nel suolo rispetto alla situazione esistente prima del suo avvio.</w:t>
      </w:r>
    </w:p>
    <w:p w14:paraId="0000004E"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L’obiettivo della protezione e del ripristino della biodiversità e degli ecosistemi subisce un </w:t>
      </w:r>
      <w:r>
        <w:rPr>
          <w:rFonts w:ascii="Times New Roman" w:eastAsia="Times New Roman" w:hAnsi="Times New Roman" w:cs="Times New Roman"/>
          <w:i/>
          <w:sz w:val="24"/>
          <w:szCs w:val="24"/>
        </w:rPr>
        <w:t>danno significativo</w:t>
      </w:r>
      <w:r>
        <w:rPr>
          <w:rFonts w:ascii="Times New Roman" w:eastAsia="Times New Roman" w:hAnsi="Times New Roman" w:cs="Times New Roman"/>
          <w:sz w:val="24"/>
          <w:szCs w:val="24"/>
        </w:rPr>
        <w:t xml:space="preserve"> quando l’attività nuoce in misura significativa alla buona condizione e alla resilienza degli ecosistemi, o allo stato di conservazione degli </w:t>
      </w:r>
      <w:r>
        <w:rPr>
          <w:rFonts w:ascii="Times New Roman" w:eastAsia="Times New Roman" w:hAnsi="Times New Roman" w:cs="Times New Roman"/>
          <w:i/>
          <w:sz w:val="24"/>
          <w:szCs w:val="24"/>
        </w:rPr>
        <w:t>habitat</w:t>
      </w:r>
      <w:r>
        <w:rPr>
          <w:rFonts w:ascii="Times New Roman" w:eastAsia="Times New Roman" w:hAnsi="Times New Roman" w:cs="Times New Roman"/>
          <w:sz w:val="24"/>
          <w:szCs w:val="24"/>
        </w:rPr>
        <w:t xml:space="preserve"> e delle specie.</w:t>
      </w:r>
    </w:p>
    <w:p w14:paraId="0000004F" w14:textId="77777777" w:rsidR="005675A7" w:rsidRDefault="005675A7">
      <w:pPr>
        <w:jc w:val="both"/>
        <w:rPr>
          <w:rFonts w:ascii="Times New Roman" w:eastAsia="Times New Roman" w:hAnsi="Times New Roman" w:cs="Times New Roman"/>
          <w:sz w:val="24"/>
          <w:szCs w:val="24"/>
        </w:rPr>
      </w:pPr>
    </w:p>
    <w:p w14:paraId="00000050" w14:textId="77777777" w:rsidR="005675A7" w:rsidRDefault="00B54A81">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w:t>
      </w:r>
      <w:r>
        <w:rPr>
          <w:rFonts w:ascii="Times New Roman" w:eastAsia="Times New Roman" w:hAnsi="Times New Roman" w:cs="Times New Roman"/>
          <w:b/>
          <w:i/>
          <w:sz w:val="24"/>
          <w:szCs w:val="24"/>
        </w:rPr>
        <w:t>transizione verde</w:t>
      </w:r>
      <w:r>
        <w:rPr>
          <w:rFonts w:ascii="Times New Roman" w:eastAsia="Times New Roman" w:hAnsi="Times New Roman" w:cs="Times New Roman"/>
          <w:b/>
          <w:sz w:val="24"/>
          <w:szCs w:val="24"/>
        </w:rPr>
        <w:t xml:space="preserve"> nei successivi atti dell’Unione europea.</w:t>
      </w:r>
    </w:p>
    <w:p w14:paraId="00000051"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la comunicazione </w:t>
      </w:r>
      <w:r>
        <w:rPr>
          <w:rFonts w:ascii="Times New Roman" w:eastAsia="Times New Roman" w:hAnsi="Times New Roman" w:cs="Times New Roman"/>
          <w:i/>
          <w:sz w:val="24"/>
          <w:szCs w:val="24"/>
        </w:rPr>
        <w:t>Strategia annuale per la crescita sostenibile 2021</w:t>
      </w:r>
      <w:r>
        <w:rPr>
          <w:rFonts w:ascii="Times New Roman" w:eastAsia="Times New Roman" w:hAnsi="Times New Roman" w:cs="Times New Roman"/>
          <w:sz w:val="24"/>
          <w:szCs w:val="24"/>
        </w:rPr>
        <w:t xml:space="preserve"> del 17 settembre 2020, la Commissione europea ha richiamato il principio «</w:t>
      </w:r>
      <w:r>
        <w:rPr>
          <w:rFonts w:ascii="Times New Roman" w:eastAsia="Times New Roman" w:hAnsi="Times New Roman" w:cs="Times New Roman"/>
          <w:i/>
          <w:sz w:val="24"/>
          <w:szCs w:val="24"/>
        </w:rPr>
        <w:t>non arrecare un danno significativo</w:t>
      </w:r>
      <w:r>
        <w:rPr>
          <w:rFonts w:ascii="Times New Roman" w:eastAsia="Times New Roman" w:hAnsi="Times New Roman" w:cs="Times New Roman"/>
          <w:sz w:val="24"/>
          <w:szCs w:val="24"/>
        </w:rPr>
        <w:t xml:space="preserve">» inserendolo tra i </w:t>
      </w:r>
      <w:r>
        <w:rPr>
          <w:rFonts w:ascii="Times New Roman" w:eastAsia="Times New Roman" w:hAnsi="Times New Roman" w:cs="Times New Roman"/>
          <w:i/>
          <w:sz w:val="24"/>
          <w:szCs w:val="24"/>
        </w:rPr>
        <w:t>“principi fondamentali alla base dei piani per la ripresa e la resilienza”</w:t>
      </w:r>
      <w:r>
        <w:rPr>
          <w:rFonts w:ascii="Times New Roman" w:eastAsia="Times New Roman" w:hAnsi="Times New Roman" w:cs="Times New Roman"/>
          <w:sz w:val="24"/>
          <w:szCs w:val="24"/>
        </w:rPr>
        <w:t>.</w:t>
      </w:r>
    </w:p>
    <w:p w14:paraId="00000052"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9 ottobre 2020 il Consiglio dell’UE ha concordato formalmente la posizione sul dispositivo per la ripresa e la resilienza, fulcro dello strumento per la ripresa </w:t>
      </w:r>
      <w:r>
        <w:rPr>
          <w:rFonts w:ascii="Times New Roman" w:eastAsia="Times New Roman" w:hAnsi="Times New Roman" w:cs="Times New Roman"/>
          <w:i/>
          <w:sz w:val="24"/>
          <w:szCs w:val="24"/>
        </w:rPr>
        <w:t>Next Generation EU</w:t>
      </w:r>
      <w:r>
        <w:rPr>
          <w:rFonts w:ascii="Times New Roman" w:eastAsia="Times New Roman" w:hAnsi="Times New Roman" w:cs="Times New Roman"/>
          <w:sz w:val="24"/>
          <w:szCs w:val="24"/>
        </w:rPr>
        <w:t xml:space="preserve">, concepito per rispondere alla crisi COVID-19 e alle sfide poste dalle transizioni verde e digitale: e ha confermato gli elementi chiave contenuti nelle conclusioni del Consiglio europeo del 17-21 luglio 2020 e, per i </w:t>
      </w:r>
      <w:r>
        <w:rPr>
          <w:rFonts w:ascii="Times New Roman" w:eastAsia="Times New Roman" w:hAnsi="Times New Roman" w:cs="Times New Roman"/>
          <w:i/>
          <w:sz w:val="24"/>
          <w:szCs w:val="24"/>
        </w:rPr>
        <w:t>piani per la ripresa e la resilienza</w:t>
      </w:r>
      <w:r>
        <w:rPr>
          <w:rFonts w:ascii="Times New Roman" w:eastAsia="Times New Roman" w:hAnsi="Times New Roman" w:cs="Times New Roman"/>
          <w:sz w:val="24"/>
          <w:szCs w:val="24"/>
        </w:rPr>
        <w:t xml:space="preserve">, ha previsto che almeno il 37% della dotazione dovrebbe sostenere 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e almeno il 20% la trasformazione digitale.</w:t>
      </w:r>
    </w:p>
    <w:p w14:paraId="00000053"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Consiglio Europeo, nella riunione del 10 e 11 dicembre 2020, ha concordato le conclusioni su questi temi, ribadendo che </w:t>
      </w:r>
      <w:r>
        <w:rPr>
          <w:rFonts w:ascii="Times New Roman" w:eastAsia="Times New Roman" w:hAnsi="Times New Roman" w:cs="Times New Roman"/>
          <w:i/>
          <w:sz w:val="24"/>
          <w:szCs w:val="24"/>
        </w:rPr>
        <w:t>“la risposta economica alla crisi del coronavirus offre l'opportunità di accelerare la trasformazione e la modernizzazione sostenibili delle nostre economie nonché di ottenere un vantaggio competitivo”</w:t>
      </w:r>
      <w:r>
        <w:rPr>
          <w:rFonts w:ascii="Times New Roman" w:eastAsia="Times New Roman" w:hAnsi="Times New Roman" w:cs="Times New Roman"/>
          <w:sz w:val="24"/>
          <w:szCs w:val="24"/>
        </w:rPr>
        <w:t xml:space="preserve">. </w:t>
      </w:r>
    </w:p>
    <w:p w14:paraId="00000054"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Anche il regolamento (UE) 2020/2094 del 14 dicembre 2020 che istituisce uno strumento dell’Unione europea per la ripresa dell’economia dopo la crisi COVID-19, precisa: </w:t>
      </w:r>
      <w:r>
        <w:rPr>
          <w:rFonts w:ascii="Times New Roman" w:eastAsia="Times New Roman" w:hAnsi="Times New Roman" w:cs="Times New Roman"/>
          <w:i/>
          <w:sz w:val="24"/>
          <w:szCs w:val="24"/>
        </w:rPr>
        <w:t xml:space="preserve">“è necessaria una serie organica di misure per la ripresa economica. Tale serie di misure richiede investimenti pubblici e privati elevati per avviare l’Unione in modo deciso verso una ripresa sostenibile e resiliente, creare posti di lavoro di elevata qualità, sostenere l’inclusione sociale e riparare i danni immediati della crisi COVID-19, promuovendo nel contempo le priorità verdi e digitali dell’Unione”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considerando</w:t>
      </w:r>
      <w:r>
        <w:rPr>
          <w:rFonts w:ascii="Times New Roman" w:eastAsia="Times New Roman" w:hAnsi="Times New Roman" w:cs="Times New Roman"/>
          <w:sz w:val="24"/>
          <w:szCs w:val="24"/>
        </w:rPr>
        <w:t xml:space="preserve"> n. 4).</w:t>
      </w:r>
    </w:p>
    <w:p w14:paraId="00000055"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18 dicembre 2020 il Consiglio e il Parlamento hanno concordato sul dispositivo per la ripresa e la resilienza che, tra l’altro, prevede che almeno il 37% della dotazione di ciascun piano dovrà sostenere 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e almeno il 20% la </w:t>
      </w:r>
      <w:r>
        <w:rPr>
          <w:rFonts w:ascii="Times New Roman" w:eastAsia="Times New Roman" w:hAnsi="Times New Roman" w:cs="Times New Roman"/>
          <w:i/>
          <w:sz w:val="24"/>
          <w:szCs w:val="24"/>
        </w:rPr>
        <w:t>trasformazione digitale</w:t>
      </w:r>
      <w:r>
        <w:rPr>
          <w:rFonts w:ascii="Times New Roman" w:eastAsia="Times New Roman" w:hAnsi="Times New Roman" w:cs="Times New Roman"/>
          <w:sz w:val="24"/>
          <w:szCs w:val="24"/>
        </w:rPr>
        <w:t>.</w:t>
      </w:r>
    </w:p>
    <w:p w14:paraId="00000056"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poco successivo - 23 dicembre 2020 - è il regolamento (UE) 2020/2221 del Parlamento Europeo e del Consiglio che destina risorse aggiuntive per il</w:t>
      </w:r>
      <w:r>
        <w:rPr>
          <w:rFonts w:ascii="Times New Roman" w:eastAsia="Times New Roman" w:hAnsi="Times New Roman" w:cs="Times New Roman"/>
          <w:i/>
          <w:sz w:val="24"/>
          <w:szCs w:val="24"/>
        </w:rPr>
        <w:t xml:space="preserve"> “superamento degli effetti della crisi nel contesto della pandemia di COVID-19 e delle sue conseguenze sociali e preparare una ripresa verde, digitale e resiliente dell’economia (REACT-EU)”,</w:t>
      </w:r>
      <w:r>
        <w:rPr>
          <w:rFonts w:ascii="Times New Roman" w:eastAsia="Times New Roman" w:hAnsi="Times New Roman" w:cs="Times New Roman"/>
          <w:sz w:val="24"/>
          <w:szCs w:val="24"/>
        </w:rPr>
        <w:t xml:space="preserve"> riconosce la priorità di </w:t>
      </w:r>
      <w:r>
        <w:rPr>
          <w:rFonts w:ascii="Times New Roman" w:eastAsia="Times New Roman" w:hAnsi="Times New Roman" w:cs="Times New Roman"/>
          <w:i/>
          <w:sz w:val="24"/>
          <w:szCs w:val="24"/>
        </w:rPr>
        <w:t>“Promuovere il superamento degli effetti della crisi nel contesto della pandemia di COVID-19 e delle sue conseguenze sociali e preparare una ripresa verde, digitale e resiliente dell’economia”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considerando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nn</w:t>
      </w:r>
      <w:proofErr w:type="spellEnd"/>
      <w:r>
        <w:rPr>
          <w:rFonts w:ascii="Times New Roman" w:eastAsia="Times New Roman" w:hAnsi="Times New Roman" w:cs="Times New Roman"/>
          <w:sz w:val="24"/>
          <w:szCs w:val="24"/>
        </w:rPr>
        <w:t>. 11 e 12 e art.1, paragrafo 1, di modifica dell’art.92-</w:t>
      </w:r>
      <w:r>
        <w:rPr>
          <w:rFonts w:ascii="Times New Roman" w:eastAsia="Times New Roman" w:hAnsi="Times New Roman" w:cs="Times New Roman"/>
          <w:i/>
          <w:sz w:val="24"/>
          <w:szCs w:val="24"/>
        </w:rPr>
        <w:t>ter</w:t>
      </w:r>
      <w:r>
        <w:rPr>
          <w:rFonts w:ascii="Times New Roman" w:eastAsia="Times New Roman" w:hAnsi="Times New Roman" w:cs="Times New Roman"/>
          <w:sz w:val="24"/>
          <w:szCs w:val="24"/>
        </w:rPr>
        <w:t>, paragrafo 9, del regolamento (UE) 1303/2013).</w:t>
      </w:r>
    </w:p>
    <w:p w14:paraId="00000057"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Inoltre, il Consiglio dell’Unione europea dell’11 dicembre 2020 ha approvato il progetto di conclusioni </w:t>
      </w:r>
      <w:r>
        <w:rPr>
          <w:rFonts w:ascii="Times New Roman" w:eastAsia="Times New Roman" w:hAnsi="Times New Roman" w:cs="Times New Roman"/>
          <w:i/>
          <w:sz w:val="24"/>
          <w:szCs w:val="24"/>
        </w:rPr>
        <w:t>“Per una ripresa circolare e verde”</w:t>
      </w:r>
      <w:r>
        <w:rPr>
          <w:rFonts w:ascii="Times New Roman" w:eastAsia="Times New Roman" w:hAnsi="Times New Roman" w:cs="Times New Roman"/>
          <w:sz w:val="24"/>
          <w:szCs w:val="24"/>
        </w:rPr>
        <w:t xml:space="preserve">. Il paragrafo </w:t>
      </w:r>
      <w:r>
        <w:rPr>
          <w:rFonts w:ascii="Times New Roman" w:eastAsia="Times New Roman" w:hAnsi="Times New Roman" w:cs="Times New Roman"/>
          <w:i/>
          <w:sz w:val="24"/>
          <w:szCs w:val="24"/>
        </w:rPr>
        <w:t>“Sulla via della ripresa dalla pandemia di COVID-19”</w:t>
      </w:r>
      <w:r>
        <w:rPr>
          <w:rFonts w:ascii="Times New Roman" w:eastAsia="Times New Roman" w:hAnsi="Times New Roman" w:cs="Times New Roman"/>
          <w:sz w:val="24"/>
          <w:szCs w:val="24"/>
        </w:rPr>
        <w:t xml:space="preserve">, sottolinea: </w:t>
      </w:r>
      <w:r>
        <w:rPr>
          <w:rFonts w:ascii="Times New Roman" w:eastAsia="Times New Roman" w:hAnsi="Times New Roman" w:cs="Times New Roman"/>
          <w:i/>
          <w:sz w:val="24"/>
          <w:szCs w:val="24"/>
        </w:rPr>
        <w:t xml:space="preserve">“l'importanza di ricostruire la nostra economia e la nostra società in modo sostenibile in seguito alla pandemia di COVID-19” e “di tracciare il giusto cammino sin dall'inizio seguendo il Green Deal europeo quale tabella di marcia verso un'economia circolare e climaticamente neutra che sia resiliente, competitiva e </w:t>
      </w:r>
      <w:r>
        <w:rPr>
          <w:rFonts w:ascii="Times New Roman" w:eastAsia="Times New Roman" w:hAnsi="Times New Roman" w:cs="Times New Roman"/>
          <w:i/>
          <w:sz w:val="24"/>
          <w:szCs w:val="24"/>
        </w:rPr>
        <w:lastRenderedPageBreak/>
        <w:t>sicura, che protegga, ripristini e utilizzi in modo sostenibile la biodiversità e produca zero inquinamento, in cui la crescita economica sia dissociata dall'uso delle risorse”</w:t>
      </w:r>
      <w:r>
        <w:rPr>
          <w:rFonts w:ascii="Times New Roman" w:eastAsia="Times New Roman" w:hAnsi="Times New Roman" w:cs="Times New Roman"/>
          <w:sz w:val="24"/>
          <w:szCs w:val="24"/>
        </w:rPr>
        <w:t xml:space="preserve"> (punto 1).</w:t>
      </w:r>
    </w:p>
    <w:p w14:paraId="00000058" w14:textId="77777777" w:rsidR="005675A7" w:rsidRDefault="005675A7">
      <w:pPr>
        <w:jc w:val="both"/>
        <w:rPr>
          <w:rFonts w:ascii="Times New Roman" w:eastAsia="Times New Roman" w:hAnsi="Times New Roman" w:cs="Times New Roman"/>
          <w:sz w:val="24"/>
          <w:szCs w:val="24"/>
        </w:rPr>
      </w:pPr>
    </w:p>
    <w:p w14:paraId="00000059" w14:textId="77777777" w:rsidR="005675A7" w:rsidRDefault="00B54A81">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regolamento (UE) 2021/240.</w:t>
      </w:r>
    </w:p>
    <w:p w14:paraId="0000005A"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detto, il regolamento (UE) 2021/240 è stato approvato il 10 febbraio 2021 e, nonostante sia stato approvato due giorni prima e rechi un numero progressivo precedente, è indicato come </w:t>
      </w:r>
      <w:r>
        <w:rPr>
          <w:rFonts w:ascii="Times New Roman" w:eastAsia="Times New Roman" w:hAnsi="Times New Roman" w:cs="Times New Roman"/>
          <w:i/>
          <w:sz w:val="24"/>
          <w:szCs w:val="24"/>
        </w:rPr>
        <w:t xml:space="preserve">“uno strumento di sostegno tecnico” (art.1) ed ha come obiettivo specifico quello di “preparare, modificare, attuare e rivedere i piani per la ripresa e la resilienza a norma del regolamento (UE) 2021/241” </w:t>
      </w:r>
      <w:r>
        <w:rPr>
          <w:rFonts w:ascii="Times New Roman" w:eastAsia="Times New Roman" w:hAnsi="Times New Roman" w:cs="Times New Roman"/>
          <w:sz w:val="24"/>
          <w:szCs w:val="24"/>
        </w:rPr>
        <w:t xml:space="preserve">(art.4, paragrafo 1, lett.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w:t>
      </w:r>
    </w:p>
    <w:p w14:paraId="0000005B"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norma del regolamento (UE) 2021/240 (di seguito </w:t>
      </w:r>
      <w:r>
        <w:rPr>
          <w:rFonts w:ascii="Times New Roman" w:eastAsia="Times New Roman" w:hAnsi="Times New Roman" w:cs="Times New Roman"/>
          <w:i/>
          <w:sz w:val="24"/>
          <w:szCs w:val="24"/>
        </w:rPr>
        <w:t>“Regolamento Strumento”</w:t>
      </w:r>
      <w:r>
        <w:rPr>
          <w:rFonts w:ascii="Times New Roman" w:eastAsia="Times New Roman" w:hAnsi="Times New Roman" w:cs="Times New Roman"/>
          <w:sz w:val="24"/>
          <w:szCs w:val="24"/>
        </w:rPr>
        <w:t xml:space="preserve">) gli Stati membri che desiderano ricevere il sostegno tecnico possono presentare una richiesta alla Commissione con riferimento, tra le altre possibilità, </w:t>
      </w:r>
      <w:r>
        <w:rPr>
          <w:rFonts w:ascii="Times New Roman" w:eastAsia="Times New Roman" w:hAnsi="Times New Roman" w:cs="Times New Roman"/>
          <w:i/>
          <w:sz w:val="24"/>
          <w:szCs w:val="24"/>
        </w:rPr>
        <w:t xml:space="preserve">“alla preparazione, alla modifica e alla revisione di piani per la ripresa e la resilienza a norma del regolamento (UE) 2021/241 e alla relativa attuazione da parte degli Stati membri” </w:t>
      </w:r>
      <w:r>
        <w:rPr>
          <w:rFonts w:ascii="Times New Roman" w:eastAsia="Times New Roman" w:hAnsi="Times New Roman" w:cs="Times New Roman"/>
          <w:sz w:val="24"/>
          <w:szCs w:val="24"/>
        </w:rPr>
        <w:t xml:space="preserve">(art.9, paragrafo 2, lett.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w:t>
      </w:r>
    </w:p>
    <w:p w14:paraId="0000005C"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Gli obiettivi specifici di cui all’art.4 si concentrano in particolare su una serie di comparti tra i quali di particolare rilievo sono “</w:t>
      </w:r>
      <w:r>
        <w:rPr>
          <w:rFonts w:ascii="Times New Roman" w:eastAsia="Times New Roman" w:hAnsi="Times New Roman" w:cs="Times New Roman"/>
          <w:i/>
          <w:sz w:val="24"/>
          <w:szCs w:val="24"/>
        </w:rPr>
        <w:t xml:space="preserve">le politiche per la mitigazione dei cambiamenti climatici, la realizzazione della transizione digitale e della transizione verde e giusta, il pilastro ambientale dello sviluppo sostenibile e la tutela dell’ambiente, l’azione per il clima, i trasporti e la mobilità, la promozione dell’economia circolare, dell’efficienza energetica e delle risorse e delle fonti di energia rinnovabile, il conseguimento della diversificazione energetica, la lotta alla povertà energetica e il conseguimento della sicurezza energetica, nonché per il settore agricolo, la protezione del suolo e della biodiversità, la pesca e lo sviluppo sostenibile delle zone rurali, remote e insulari” </w:t>
      </w:r>
      <w:r>
        <w:rPr>
          <w:rFonts w:ascii="Times New Roman" w:eastAsia="Times New Roman" w:hAnsi="Times New Roman" w:cs="Times New Roman"/>
          <w:sz w:val="24"/>
          <w:szCs w:val="24"/>
        </w:rPr>
        <w:t xml:space="preserve">(art.5, paragrafo 1, lett.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w:t>
      </w:r>
    </w:p>
    <w:p w14:paraId="0000005D"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L’epidemia di COVID-19 ha cambiato le prospettive economiche e sociali per gli anni a venire nell’Unione europea e nel mondo, si legge nel </w:t>
      </w:r>
      <w:r>
        <w:rPr>
          <w:rFonts w:ascii="Times New Roman" w:eastAsia="Times New Roman" w:hAnsi="Times New Roman" w:cs="Times New Roman"/>
          <w:i/>
          <w:sz w:val="24"/>
          <w:szCs w:val="24"/>
        </w:rPr>
        <w:t>Regolamento Strumento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considerando</w:t>
      </w:r>
      <w:r>
        <w:rPr>
          <w:rFonts w:ascii="Times New Roman" w:eastAsia="Times New Roman" w:hAnsi="Times New Roman" w:cs="Times New Roman"/>
          <w:sz w:val="24"/>
          <w:szCs w:val="24"/>
        </w:rPr>
        <w:t xml:space="preserve"> n. 3), e il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 xml:space="preserve"> europeo rappresenta una strategia di crescita dell’Unione e la rappresentazione concreta degli impegni dell’Unione per l’attuazione dell’Accordo di Parigi sui cambiamenti climatici e degli obiettivi di sviluppo sostenibile delle Nazioni Unite e contribuirà “</w:t>
      </w:r>
      <w:r>
        <w:rPr>
          <w:rFonts w:ascii="Times New Roman" w:eastAsia="Times New Roman" w:hAnsi="Times New Roman" w:cs="Times New Roman"/>
          <w:i/>
          <w:sz w:val="24"/>
          <w:szCs w:val="24"/>
        </w:rPr>
        <w:t>all’integrazione delle azioni per il clima e al conseguimento dell’obiettivo globale di destinare il 30% della spesa di bilancio dell’Unione al sostegno degli obiettivi climatici e l’ambizione di destinare il 7,5% della spesa annuale nell’ambito del quadro finanziario pluriennale agli obiettivi relativi alla biodiversità dal 2024 e il 10% nel 2026 e nel 2027</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considerando</w:t>
      </w:r>
      <w:r>
        <w:rPr>
          <w:rFonts w:ascii="Times New Roman" w:eastAsia="Times New Roman" w:hAnsi="Times New Roman" w:cs="Times New Roman"/>
          <w:sz w:val="24"/>
          <w:szCs w:val="24"/>
        </w:rPr>
        <w:t xml:space="preserve"> n. 3). </w:t>
      </w:r>
    </w:p>
    <w:p w14:paraId="0000005E"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strumento previsto</w:t>
      </w:r>
      <w:r>
        <w:rPr>
          <w:rFonts w:ascii="Times New Roman" w:eastAsia="Times New Roman" w:hAnsi="Times New Roman" w:cs="Times New Roman"/>
          <w:i/>
          <w:sz w:val="24"/>
          <w:szCs w:val="24"/>
        </w:rPr>
        <w:t xml:space="preserve"> “dovrebbe inoltre affrontare sfide ambientali e sociali più ampie all’interno dell’Unione, tra cui la protezione del capitale naturale, la conservazione della biodiversità e il sostegno all’economia circolare e alla transizione energetica, in conformità dell’Agenda 2030 per lo sviluppo sostenibile”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considerando</w:t>
      </w:r>
      <w:r>
        <w:rPr>
          <w:rFonts w:ascii="Times New Roman" w:eastAsia="Times New Roman" w:hAnsi="Times New Roman" w:cs="Times New Roman"/>
          <w:sz w:val="24"/>
          <w:szCs w:val="24"/>
        </w:rPr>
        <w:t xml:space="preserve"> n. 3).</w:t>
      </w:r>
    </w:p>
    <w:p w14:paraId="0000005F" w14:textId="77777777" w:rsidR="005675A7" w:rsidRDefault="005675A7">
      <w:pPr>
        <w:jc w:val="both"/>
        <w:rPr>
          <w:rFonts w:ascii="Times New Roman" w:eastAsia="Times New Roman" w:hAnsi="Times New Roman" w:cs="Times New Roman"/>
          <w:sz w:val="24"/>
          <w:szCs w:val="24"/>
        </w:rPr>
      </w:pPr>
    </w:p>
    <w:p w14:paraId="00000060" w14:textId="77777777" w:rsidR="005675A7" w:rsidRDefault="00B54A81">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regolamento (UE) 2021/241: il principio «</w:t>
      </w:r>
      <w:r>
        <w:rPr>
          <w:rFonts w:ascii="Times New Roman" w:eastAsia="Times New Roman" w:hAnsi="Times New Roman" w:cs="Times New Roman"/>
          <w:b/>
          <w:i/>
          <w:sz w:val="24"/>
          <w:szCs w:val="24"/>
        </w:rPr>
        <w:t>non arrecare un danno significativo</w:t>
      </w:r>
      <w:r>
        <w:rPr>
          <w:rFonts w:ascii="Times New Roman" w:eastAsia="Times New Roman" w:hAnsi="Times New Roman" w:cs="Times New Roman"/>
          <w:b/>
          <w:sz w:val="24"/>
          <w:szCs w:val="24"/>
        </w:rPr>
        <w:t>».</w:t>
      </w:r>
    </w:p>
    <w:p w14:paraId="00000061"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successivo regolamento (UE) 2021/241 è l’atto più importante tra gli atti fondamentali approvati dall’Unione europea per il superamento della crisi COVID-19 ed </w:t>
      </w:r>
      <w:r>
        <w:rPr>
          <w:rFonts w:ascii="Times New Roman" w:eastAsia="Times New Roman" w:hAnsi="Times New Roman" w:cs="Times New Roman"/>
          <w:i/>
          <w:sz w:val="24"/>
          <w:szCs w:val="24"/>
        </w:rPr>
        <w:t>“istituisce il dispositivo per la ripresa e la resilienza”</w:t>
      </w:r>
      <w:r>
        <w:rPr>
          <w:rFonts w:ascii="Times New Roman" w:eastAsia="Times New Roman" w:hAnsi="Times New Roman" w:cs="Times New Roman"/>
          <w:sz w:val="24"/>
          <w:szCs w:val="24"/>
        </w:rPr>
        <w:t xml:space="preserve"> (di seguito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Contiene le norme </w:t>
      </w:r>
      <w:proofErr w:type="spellStart"/>
      <w:r>
        <w:rPr>
          <w:rFonts w:ascii="Times New Roman" w:eastAsia="Times New Roman" w:hAnsi="Times New Roman" w:cs="Times New Roman"/>
          <w:sz w:val="24"/>
          <w:szCs w:val="24"/>
        </w:rPr>
        <w:t>eurounitarie</w:t>
      </w:r>
      <w:proofErr w:type="spellEnd"/>
      <w:r>
        <w:rPr>
          <w:rFonts w:ascii="Times New Roman" w:eastAsia="Times New Roman" w:hAnsi="Times New Roman" w:cs="Times New Roman"/>
          <w:sz w:val="24"/>
          <w:szCs w:val="24"/>
        </w:rPr>
        <w:t xml:space="preserve"> (complessivamente definite </w:t>
      </w:r>
      <w:r>
        <w:rPr>
          <w:rFonts w:ascii="Times New Roman" w:eastAsia="Times New Roman" w:hAnsi="Times New Roman" w:cs="Times New Roman"/>
          <w:i/>
          <w:sz w:val="24"/>
          <w:szCs w:val="24"/>
        </w:rPr>
        <w:t>“dispositivo”</w:t>
      </w:r>
      <w:r>
        <w:rPr>
          <w:rFonts w:ascii="Times New Roman" w:eastAsia="Times New Roman" w:hAnsi="Times New Roman" w:cs="Times New Roman"/>
          <w:sz w:val="24"/>
          <w:szCs w:val="24"/>
        </w:rPr>
        <w:t xml:space="preserve">) che vanno a disciplinare il settore e stabilisce gli obiettivi dello stesso </w:t>
      </w:r>
      <w:r>
        <w:rPr>
          <w:rFonts w:ascii="Times New Roman" w:eastAsia="Times New Roman" w:hAnsi="Times New Roman" w:cs="Times New Roman"/>
          <w:i/>
          <w:sz w:val="24"/>
          <w:szCs w:val="24"/>
        </w:rPr>
        <w:t>dispositivo</w:t>
      </w:r>
      <w:r>
        <w:rPr>
          <w:rFonts w:ascii="Times New Roman" w:eastAsia="Times New Roman" w:hAnsi="Times New Roman" w:cs="Times New Roman"/>
          <w:sz w:val="24"/>
          <w:szCs w:val="24"/>
        </w:rPr>
        <w:t xml:space="preserve">, il suo finanziamento, le </w:t>
      </w:r>
      <w:r>
        <w:rPr>
          <w:rFonts w:ascii="Times New Roman" w:eastAsia="Times New Roman" w:hAnsi="Times New Roman" w:cs="Times New Roman"/>
          <w:sz w:val="24"/>
          <w:szCs w:val="24"/>
        </w:rPr>
        <w:lastRenderedPageBreak/>
        <w:t xml:space="preserve">forme di finanziamento erogabili e le regole di erogazione di tale finanziamento (art.1). Con 672,5 miliardi di euro (360 in prestiti e 312,5 in sovvenzioni) da distribuire ai 27 paesi </w:t>
      </w:r>
      <w:proofErr w:type="spellStart"/>
      <w:r>
        <w:rPr>
          <w:rFonts w:ascii="Times New Roman" w:eastAsia="Times New Roman" w:hAnsi="Times New Roman" w:cs="Times New Roman"/>
          <w:sz w:val="24"/>
          <w:szCs w:val="24"/>
        </w:rPr>
        <w:t>dellʼUnione</w:t>
      </w:r>
      <w:proofErr w:type="spellEnd"/>
      <w:r>
        <w:rPr>
          <w:rFonts w:ascii="Times New Roman" w:eastAsia="Times New Roman" w:hAnsi="Times New Roman" w:cs="Times New Roman"/>
          <w:sz w:val="24"/>
          <w:szCs w:val="24"/>
        </w:rPr>
        <w:t xml:space="preserve"> tra il 2021 e il 2026, il dispositivo per la ripresa e la resilienza rappresenta il più importante strumento previsto nell’ambito di </w:t>
      </w:r>
      <w:r>
        <w:rPr>
          <w:rFonts w:ascii="Times New Roman" w:eastAsia="Times New Roman" w:hAnsi="Times New Roman" w:cs="Times New Roman"/>
          <w:i/>
          <w:sz w:val="24"/>
          <w:szCs w:val="24"/>
        </w:rPr>
        <w:t>Next Generation EU</w:t>
      </w:r>
      <w:r>
        <w:rPr>
          <w:rFonts w:ascii="Times New Roman" w:eastAsia="Times New Roman" w:hAnsi="Times New Roman" w:cs="Times New Roman"/>
          <w:sz w:val="24"/>
          <w:szCs w:val="24"/>
        </w:rPr>
        <w:t xml:space="preserve"> (quasi il 90% della dotazione totale). </w:t>
      </w:r>
    </w:p>
    <w:p w14:paraId="00000062"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L’art.5 del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stabilisce due </w:t>
      </w:r>
      <w:r>
        <w:rPr>
          <w:rFonts w:ascii="Times New Roman" w:eastAsia="Times New Roman" w:hAnsi="Times New Roman" w:cs="Times New Roman"/>
          <w:i/>
          <w:sz w:val="24"/>
          <w:szCs w:val="24"/>
        </w:rPr>
        <w:t>principi orizzontali</w:t>
      </w:r>
      <w:r>
        <w:rPr>
          <w:rFonts w:ascii="Times New Roman" w:eastAsia="Times New Roman" w:hAnsi="Times New Roman" w:cs="Times New Roman"/>
          <w:sz w:val="24"/>
          <w:szCs w:val="24"/>
        </w:rPr>
        <w:t xml:space="preserve"> che si applicano all’intero regolamento. Il primo è che il sostegno finanziario riconosciuto agli Stati non può sostituire le spese di bilancio correnti, se non in casi motivati, e deve rispettare il principio di addizionalità e finanziamento complementare; il secondo - che qui interessa - che possono essere finanziate “</w:t>
      </w:r>
      <w:r>
        <w:rPr>
          <w:rFonts w:ascii="Times New Roman" w:eastAsia="Times New Roman" w:hAnsi="Times New Roman" w:cs="Times New Roman"/>
          <w:i/>
          <w:sz w:val="24"/>
          <w:szCs w:val="24"/>
        </w:rPr>
        <w:t>unicamente</w:t>
      </w:r>
      <w:r>
        <w:rPr>
          <w:rFonts w:ascii="Times New Roman" w:eastAsia="Times New Roman" w:hAnsi="Times New Roman" w:cs="Times New Roman"/>
          <w:sz w:val="24"/>
          <w:szCs w:val="24"/>
        </w:rPr>
        <w:t>” le misure che rispettano il principio «</w:t>
      </w:r>
      <w:r>
        <w:rPr>
          <w:rFonts w:ascii="Times New Roman" w:eastAsia="Times New Roman" w:hAnsi="Times New Roman" w:cs="Times New Roman"/>
          <w:i/>
          <w:sz w:val="24"/>
          <w:szCs w:val="24"/>
        </w:rPr>
        <w:t>non arrecare un danno significativo</w:t>
      </w:r>
      <w:r>
        <w:rPr>
          <w:rFonts w:ascii="Times New Roman" w:eastAsia="Times New Roman" w:hAnsi="Times New Roman" w:cs="Times New Roman"/>
          <w:sz w:val="24"/>
          <w:szCs w:val="24"/>
        </w:rPr>
        <w:t xml:space="preserve">» agli obiettivi ambientali indicati dal ricordato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w:t>
      </w:r>
    </w:p>
    <w:p w14:paraId="00000063"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Tale principio si applica ai sei </w:t>
      </w:r>
      <w:r>
        <w:rPr>
          <w:rFonts w:ascii="Times New Roman" w:eastAsia="Times New Roman" w:hAnsi="Times New Roman" w:cs="Times New Roman"/>
          <w:i/>
          <w:sz w:val="24"/>
          <w:szCs w:val="24"/>
        </w:rPr>
        <w:t>pilastri</w:t>
      </w:r>
      <w:r>
        <w:rPr>
          <w:rFonts w:ascii="Times New Roman" w:eastAsia="Times New Roman" w:hAnsi="Times New Roman" w:cs="Times New Roman"/>
          <w:sz w:val="24"/>
          <w:szCs w:val="24"/>
        </w:rPr>
        <w:t xml:space="preserve"> (così li definisce l’art.3) previsti dal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e, come stabilisce la previsione appena citata, è un principio che impone la </w:t>
      </w:r>
      <w:r>
        <w:rPr>
          <w:rFonts w:ascii="Times New Roman" w:eastAsia="Times New Roman" w:hAnsi="Times New Roman" w:cs="Times New Roman"/>
          <w:i/>
          <w:sz w:val="24"/>
          <w:szCs w:val="24"/>
        </w:rPr>
        <w:t>sostenibilità ambientale</w:t>
      </w:r>
      <w:r>
        <w:rPr>
          <w:rFonts w:ascii="Times New Roman" w:eastAsia="Times New Roman" w:hAnsi="Times New Roman" w:cs="Times New Roman"/>
          <w:sz w:val="24"/>
          <w:szCs w:val="24"/>
        </w:rPr>
        <w:t xml:space="preserve"> di tutte le misure dei piani di ripresa e resilienza, non solo di quelle inserite nella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Anche gli altri </w:t>
      </w:r>
      <w:r>
        <w:rPr>
          <w:rFonts w:ascii="Times New Roman" w:eastAsia="Times New Roman" w:hAnsi="Times New Roman" w:cs="Times New Roman"/>
          <w:i/>
          <w:sz w:val="24"/>
          <w:szCs w:val="24"/>
        </w:rPr>
        <w:t>pilastri</w:t>
      </w:r>
      <w:r>
        <w:rPr>
          <w:rFonts w:ascii="Times New Roman" w:eastAsia="Times New Roman" w:hAnsi="Times New Roman" w:cs="Times New Roman"/>
          <w:sz w:val="24"/>
          <w:szCs w:val="24"/>
        </w:rPr>
        <w:t>, come la trasformazione digitale, la crescita intelligente, sostenibile e inclusiva, la coesione sociale, la salute e le politiche sociali, saranno valutati sulla base del principio «</w:t>
      </w:r>
      <w:r>
        <w:rPr>
          <w:rFonts w:ascii="Times New Roman" w:eastAsia="Times New Roman" w:hAnsi="Times New Roman" w:cs="Times New Roman"/>
          <w:i/>
          <w:sz w:val="24"/>
          <w:szCs w:val="24"/>
        </w:rPr>
        <w:t>non arrecare un danno significativo</w:t>
      </w:r>
      <w:r>
        <w:rPr>
          <w:rFonts w:ascii="Times New Roman" w:eastAsia="Times New Roman" w:hAnsi="Times New Roman" w:cs="Times New Roman"/>
          <w:sz w:val="24"/>
          <w:szCs w:val="24"/>
        </w:rPr>
        <w:t>».</w:t>
      </w:r>
    </w:p>
    <w:p w14:paraId="00000064"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Cosa si debba intendere per «</w:t>
      </w:r>
      <w:r>
        <w:rPr>
          <w:rFonts w:ascii="Times New Roman" w:eastAsia="Times New Roman" w:hAnsi="Times New Roman" w:cs="Times New Roman"/>
          <w:i/>
          <w:sz w:val="24"/>
          <w:szCs w:val="24"/>
        </w:rPr>
        <w:t>non arrecare un danno significativo</w:t>
      </w:r>
      <w:r>
        <w:rPr>
          <w:rFonts w:ascii="Times New Roman" w:eastAsia="Times New Roman" w:hAnsi="Times New Roman" w:cs="Times New Roman"/>
          <w:sz w:val="24"/>
          <w:szCs w:val="24"/>
        </w:rPr>
        <w:t xml:space="preserve">», di cui già si è detto perché introdotto dall’art. 17 del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xml:space="preserve">, da questo regolamento è indicato in modo speculare con quello, all’art.2 dedicato alle definizioni: </w:t>
      </w:r>
      <w:r>
        <w:rPr>
          <w:rFonts w:ascii="Times New Roman" w:eastAsia="Times New Roman" w:hAnsi="Times New Roman" w:cs="Times New Roman"/>
          <w:i/>
          <w:sz w:val="24"/>
          <w:szCs w:val="24"/>
        </w:rPr>
        <w:t>«non sostenere o svolgere attività economiche che arrecano un danno significativo all'obiettivo ambientale, ai sensi, ove pertinente, dell'articolo 17 del regolamento (UE) 2020/852»</w:t>
      </w:r>
      <w:r>
        <w:rPr>
          <w:rFonts w:ascii="Times New Roman" w:eastAsia="Times New Roman" w:hAnsi="Times New Roman" w:cs="Times New Roman"/>
          <w:sz w:val="24"/>
          <w:szCs w:val="24"/>
        </w:rPr>
        <w:t>.</w:t>
      </w:r>
    </w:p>
    <w:p w14:paraId="00000065"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Questo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menziona il principio più volte:</w:t>
      </w:r>
    </w:p>
    <w:p w14:paraId="00000066" w14:textId="77777777" w:rsidR="005675A7" w:rsidRDefault="00B54A8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all’art.18, paragrafo 4, lett.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che prevede che il piano per la ripresa e la resilienza va debitamente motivato e giustificato con </w:t>
      </w:r>
      <w:r>
        <w:rPr>
          <w:rFonts w:ascii="Times New Roman" w:eastAsia="Times New Roman" w:hAnsi="Times New Roman" w:cs="Times New Roman"/>
          <w:i/>
          <w:sz w:val="24"/>
          <w:szCs w:val="24"/>
        </w:rPr>
        <w:t>la “spiegazione del modo in cui il piano per la ripresa e la resilienza garantisce che nessuna misura per l'attuazione delle riforme e degli investimenti in esso inclusi arrechi un danno significativo agli obiettivi ambientali</w:t>
      </w:r>
      <w:r>
        <w:rPr>
          <w:rFonts w:ascii="Times New Roman" w:eastAsia="Times New Roman" w:hAnsi="Times New Roman" w:cs="Times New Roman"/>
          <w:sz w:val="24"/>
          <w:szCs w:val="24"/>
        </w:rPr>
        <w:t>”;</w:t>
      </w:r>
    </w:p>
    <w:p w14:paraId="00000067" w14:textId="77777777" w:rsidR="005675A7" w:rsidRDefault="00B54A8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all’art.19, paragrafo 3, lett.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per il quale la Commissione deve valutare la pertinenza, l'efficacia, l'efficienza e la coerenza del </w:t>
      </w:r>
      <w:r>
        <w:rPr>
          <w:rFonts w:ascii="Times New Roman" w:eastAsia="Times New Roman" w:hAnsi="Times New Roman" w:cs="Times New Roman"/>
          <w:i/>
          <w:sz w:val="24"/>
          <w:szCs w:val="24"/>
        </w:rPr>
        <w:t>piano per la ripresa e la resilienza</w:t>
      </w:r>
      <w:r>
        <w:rPr>
          <w:rFonts w:ascii="Times New Roman" w:eastAsia="Times New Roman" w:hAnsi="Times New Roman" w:cs="Times New Roman"/>
          <w:sz w:val="24"/>
          <w:szCs w:val="24"/>
        </w:rPr>
        <w:t xml:space="preserve"> e, in particolare, se è in grado di assicurare che nessuna misura per l'attuazione delle riforme e dei progetti di investimento in esso inclusa arrechi un </w:t>
      </w:r>
      <w:r>
        <w:rPr>
          <w:rFonts w:ascii="Times New Roman" w:eastAsia="Times New Roman" w:hAnsi="Times New Roman" w:cs="Times New Roman"/>
          <w:i/>
          <w:sz w:val="24"/>
          <w:szCs w:val="24"/>
        </w:rPr>
        <w:t>danno significativo</w:t>
      </w:r>
      <w:r>
        <w:rPr>
          <w:rFonts w:ascii="Times New Roman" w:eastAsia="Times New Roman" w:hAnsi="Times New Roman" w:cs="Times New Roman"/>
          <w:sz w:val="24"/>
          <w:szCs w:val="24"/>
        </w:rPr>
        <w:t xml:space="preserve"> agli obiettivi ambientali;</w:t>
      </w:r>
    </w:p>
    <w:p w14:paraId="00000068" w14:textId="77777777" w:rsidR="005675A7" w:rsidRDefault="00B54A8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all’Allegato V, punto 2.4, che prevede che il piano per la ripresa e la resilienza deve </w:t>
      </w:r>
      <w:r>
        <w:rPr>
          <w:rFonts w:ascii="Times New Roman" w:eastAsia="Times New Roman" w:hAnsi="Times New Roman" w:cs="Times New Roman"/>
          <w:i/>
          <w:sz w:val="24"/>
          <w:szCs w:val="24"/>
        </w:rPr>
        <w:t>“assicurare che nessuna misura per l'attuazione delle riforme e dei progetti di investimento inclusa nel piano per la ripresa e la resilienza arrechi un danno significativo agli obiettivi ambientali”</w:t>
      </w:r>
      <w:r>
        <w:rPr>
          <w:rFonts w:ascii="Times New Roman" w:eastAsia="Times New Roman" w:hAnsi="Times New Roman" w:cs="Times New Roman"/>
          <w:sz w:val="24"/>
          <w:szCs w:val="24"/>
        </w:rPr>
        <w:t>.</w:t>
      </w:r>
    </w:p>
    <w:p w14:paraId="00000069" w14:textId="77777777" w:rsidR="005675A7" w:rsidRDefault="00B54A8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rilevanza di questo principio orizzontale del «</w:t>
      </w:r>
      <w:r>
        <w:rPr>
          <w:rFonts w:ascii="Times New Roman" w:eastAsia="Times New Roman" w:hAnsi="Times New Roman" w:cs="Times New Roman"/>
          <w:i/>
          <w:sz w:val="24"/>
          <w:szCs w:val="24"/>
        </w:rPr>
        <w:t>non arrecare un danno significativo</w:t>
      </w:r>
      <w:r>
        <w:rPr>
          <w:rFonts w:ascii="Times New Roman" w:eastAsia="Times New Roman" w:hAnsi="Times New Roman" w:cs="Times New Roman"/>
          <w:sz w:val="24"/>
          <w:szCs w:val="24"/>
        </w:rPr>
        <w:t xml:space="preserve">» sta non solo nel consistere in uno dei contenuti della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avviati con il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 xml:space="preserve">; ma anche nel fatto di costituire una delle </w:t>
      </w:r>
      <w:r>
        <w:rPr>
          <w:rFonts w:ascii="Times New Roman" w:eastAsia="Times New Roman" w:hAnsi="Times New Roman" w:cs="Times New Roman"/>
          <w:i/>
          <w:sz w:val="24"/>
          <w:szCs w:val="24"/>
        </w:rPr>
        <w:t>condizionalità</w:t>
      </w:r>
      <w:r>
        <w:rPr>
          <w:rFonts w:ascii="Times New Roman" w:eastAsia="Times New Roman" w:hAnsi="Times New Roman" w:cs="Times New Roman"/>
          <w:sz w:val="24"/>
          <w:szCs w:val="24"/>
        </w:rPr>
        <w:t xml:space="preserve"> cui l’Unione europea vincola i </w:t>
      </w:r>
      <w:r>
        <w:rPr>
          <w:rFonts w:ascii="Times New Roman" w:eastAsia="Times New Roman" w:hAnsi="Times New Roman" w:cs="Times New Roman"/>
          <w:i/>
          <w:sz w:val="24"/>
          <w:szCs w:val="24"/>
        </w:rPr>
        <w:t>Piani per la ripresa e la resilienza</w:t>
      </w:r>
      <w:r>
        <w:rPr>
          <w:rFonts w:ascii="Times New Roman" w:eastAsia="Times New Roman" w:hAnsi="Times New Roman" w:cs="Times New Roman"/>
          <w:sz w:val="24"/>
          <w:szCs w:val="24"/>
        </w:rPr>
        <w:t xml:space="preserve"> degli Stati membri. </w:t>
      </w:r>
    </w:p>
    <w:p w14:paraId="0000006A" w14:textId="77777777" w:rsidR="005675A7" w:rsidRDefault="00B54A8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 non facile applicazione di questo principio sono dedicate le trenta pagine di </w:t>
      </w:r>
      <w:r>
        <w:rPr>
          <w:rFonts w:ascii="Times New Roman" w:eastAsia="Times New Roman" w:hAnsi="Times New Roman" w:cs="Times New Roman"/>
          <w:i/>
          <w:sz w:val="24"/>
          <w:szCs w:val="24"/>
        </w:rPr>
        <w:t>comunicazione</w:t>
      </w:r>
      <w:r>
        <w:rPr>
          <w:rFonts w:ascii="Times New Roman" w:eastAsia="Times New Roman" w:hAnsi="Times New Roman" w:cs="Times New Roman"/>
          <w:sz w:val="24"/>
          <w:szCs w:val="24"/>
        </w:rPr>
        <w:t xml:space="preserve"> della Commissione europea del 12 febbraio 2021 (</w:t>
      </w:r>
      <w:r>
        <w:rPr>
          <w:rFonts w:ascii="Times New Roman" w:eastAsia="Times New Roman" w:hAnsi="Times New Roman" w:cs="Times New Roman"/>
          <w:i/>
          <w:sz w:val="24"/>
          <w:szCs w:val="24"/>
        </w:rPr>
        <w:t xml:space="preserve">“Orientamenti tecnici </w:t>
      </w:r>
      <w:r>
        <w:rPr>
          <w:rFonts w:ascii="Times New Roman" w:eastAsia="Times New Roman" w:hAnsi="Times New Roman" w:cs="Times New Roman"/>
          <w:i/>
          <w:sz w:val="24"/>
          <w:szCs w:val="24"/>
        </w:rPr>
        <w:lastRenderedPageBreak/>
        <w:t>sull’applicazione del principio «non arrecare un danno significativo» a norma del regolamento sul dispositivo per la ripresa e la resilienza”</w:t>
      </w:r>
      <w:r>
        <w:rPr>
          <w:rFonts w:ascii="Times New Roman" w:eastAsia="Times New Roman" w:hAnsi="Times New Roman" w:cs="Times New Roman"/>
          <w:sz w:val="24"/>
          <w:szCs w:val="24"/>
        </w:rPr>
        <w:t>) sulle quali si tornerà più avanti.</w:t>
      </w:r>
    </w:p>
    <w:p w14:paraId="0000006B" w14:textId="77777777" w:rsidR="005675A7" w:rsidRDefault="005675A7">
      <w:pPr>
        <w:ind w:firstLine="708"/>
        <w:jc w:val="both"/>
        <w:rPr>
          <w:rFonts w:ascii="Times New Roman" w:eastAsia="Times New Roman" w:hAnsi="Times New Roman" w:cs="Times New Roman"/>
          <w:sz w:val="24"/>
          <w:szCs w:val="24"/>
        </w:rPr>
      </w:pPr>
    </w:p>
    <w:p w14:paraId="0000006C" w14:textId="77777777" w:rsidR="005675A7" w:rsidRDefault="00B54A81">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w:t>
      </w:r>
      <w:r>
        <w:rPr>
          <w:rFonts w:ascii="Times New Roman" w:eastAsia="Times New Roman" w:hAnsi="Times New Roman" w:cs="Times New Roman"/>
          <w:b/>
          <w:i/>
          <w:sz w:val="24"/>
          <w:szCs w:val="24"/>
        </w:rPr>
        <w:t>Segue:</w:t>
      </w:r>
      <w:r>
        <w:rPr>
          <w:rFonts w:ascii="Times New Roman" w:eastAsia="Times New Roman" w:hAnsi="Times New Roman" w:cs="Times New Roman"/>
          <w:b/>
          <w:sz w:val="24"/>
          <w:szCs w:val="24"/>
        </w:rPr>
        <w:t xml:space="preserve"> la </w:t>
      </w:r>
      <w:r>
        <w:rPr>
          <w:rFonts w:ascii="Times New Roman" w:eastAsia="Times New Roman" w:hAnsi="Times New Roman" w:cs="Times New Roman"/>
          <w:b/>
          <w:i/>
          <w:sz w:val="24"/>
          <w:szCs w:val="24"/>
        </w:rPr>
        <w:t>transizione verde</w:t>
      </w:r>
      <w:r>
        <w:rPr>
          <w:rFonts w:ascii="Times New Roman" w:eastAsia="Times New Roman" w:hAnsi="Times New Roman" w:cs="Times New Roman"/>
          <w:b/>
          <w:sz w:val="24"/>
          <w:szCs w:val="24"/>
        </w:rPr>
        <w:t>.</w:t>
      </w:r>
    </w:p>
    <w:p w14:paraId="0000006D"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L’art.2 (Disposizioni) del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non contiene la definizione di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né gli articoli successivi recano un rinvio a precedenti regolamenti, direttive o atti </w:t>
      </w:r>
      <w:proofErr w:type="spellStart"/>
      <w:r>
        <w:rPr>
          <w:rFonts w:ascii="Times New Roman" w:eastAsia="Times New Roman" w:hAnsi="Times New Roman" w:cs="Times New Roman"/>
          <w:sz w:val="24"/>
          <w:szCs w:val="24"/>
        </w:rPr>
        <w:t>eurounitari</w:t>
      </w:r>
      <w:proofErr w:type="spellEnd"/>
      <w:r>
        <w:rPr>
          <w:rFonts w:ascii="Times New Roman" w:eastAsia="Times New Roman" w:hAnsi="Times New Roman" w:cs="Times New Roman"/>
          <w:sz w:val="24"/>
          <w:szCs w:val="24"/>
        </w:rPr>
        <w:t>.</w:t>
      </w:r>
    </w:p>
    <w:p w14:paraId="0000006E"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L’ambito di applicazione del dispositivo è indicato all’art.3 ed è individuato in quelli che sono definiti i sei </w:t>
      </w:r>
      <w:r>
        <w:rPr>
          <w:rFonts w:ascii="Times New Roman" w:eastAsia="Times New Roman" w:hAnsi="Times New Roman" w:cs="Times New Roman"/>
          <w:i/>
          <w:sz w:val="24"/>
          <w:szCs w:val="24"/>
        </w:rPr>
        <w:t>“pilastri”</w:t>
      </w:r>
      <w:r>
        <w:rPr>
          <w:rFonts w:ascii="Times New Roman" w:eastAsia="Times New Roman" w:hAnsi="Times New Roman" w:cs="Times New Roman"/>
          <w:sz w:val="24"/>
          <w:szCs w:val="24"/>
        </w:rPr>
        <w:t>: a) transizione verde; b) trasformazione digitale; c) crescita intelligente, sostenibile e inclusiva, che comprenda coesione economica, occupazione, produttività, competitività, ricerca, sviluppo e innovazione, e un mercato interno ben funzionante con PMI forti; d) coesione sociale e territoriale; e) salute e resilienza economica, sociale e istituzionale, al fine, fra l'altro, di rafforzare la capacità di risposta alle crisi e la preparazione alle crisi; f) politiche per la prossima generazione, l’infanzia e i giovani, come l'istruzione e le competenze.</w:t>
      </w:r>
    </w:p>
    <w:p w14:paraId="0000006F"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L'obiettivo generale del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si presenta come ampio e generico (da che i possibili dubbi interpretativi di cui si dirà) ed è contenuto all’art.4: </w:t>
      </w:r>
      <w:r>
        <w:rPr>
          <w:rFonts w:ascii="Times New Roman" w:eastAsia="Times New Roman" w:hAnsi="Times New Roman" w:cs="Times New Roman"/>
          <w:i/>
          <w:sz w:val="24"/>
          <w:szCs w:val="24"/>
        </w:rPr>
        <w:t>“promuovere la coesione economica, sociale e territoriale dell'Unione migliorando la resilienza, la preparazione alle crisi, la capacità di aggiustamento e il potenziale di crescita degli Stati membri, attenuando l'impatto sociale ed economico di detta crisi, in particolare sulle donne, contribuendo all'attuazione del pilastro europeo dei diritti sociali, sostenendo la transizione verde, contribuendo al raggiungimento degli obiettivi climatici dell'Unione per il 2030 stabiliti nell'articolo 2, punto 11, del regolamento (UE) 2018/1999, nonché al raggiungimento dell'obiettivo della neutralità climatica dell'UE entro il 2050 e della transizione digitale, contribuendo in tal modo alla convergenza economica e sociale verso l'alto, a ripristinare e a promuovere la crescita sostenibile e l'integrazione delle economie dell'Unione e a incentivare la creazione di posti di lavoro di alta qualità, nonché contribuendo all'autonomia strategica dell'Unione unitamente a un'economia aperta, e generando un valore aggiunto europeo”</w:t>
      </w:r>
      <w:r>
        <w:rPr>
          <w:rFonts w:ascii="Times New Roman" w:eastAsia="Times New Roman" w:hAnsi="Times New Roman" w:cs="Times New Roman"/>
          <w:sz w:val="24"/>
          <w:szCs w:val="24"/>
        </w:rPr>
        <w:t xml:space="preserve"> (art.4, paragrafo 1).</w:t>
      </w:r>
    </w:p>
    <w:p w14:paraId="00000070"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 gli obiettivi generali c’è, quindi, il </w:t>
      </w:r>
      <w:r>
        <w:rPr>
          <w:rFonts w:ascii="Times New Roman" w:eastAsia="Times New Roman" w:hAnsi="Times New Roman" w:cs="Times New Roman"/>
          <w:i/>
          <w:sz w:val="24"/>
          <w:szCs w:val="24"/>
        </w:rPr>
        <w:t>“sostegno alla transizione verde”</w:t>
      </w:r>
      <w:r>
        <w:rPr>
          <w:rFonts w:ascii="Times New Roman" w:eastAsia="Times New Roman" w:hAnsi="Times New Roman" w:cs="Times New Roman"/>
          <w:sz w:val="24"/>
          <w:szCs w:val="24"/>
        </w:rPr>
        <w:t xml:space="preserve">: il che avviene contribuendo al raggiungimento degli </w:t>
      </w:r>
      <w:r>
        <w:rPr>
          <w:rFonts w:ascii="Times New Roman" w:eastAsia="Times New Roman" w:hAnsi="Times New Roman" w:cs="Times New Roman"/>
          <w:i/>
          <w:sz w:val="24"/>
          <w:szCs w:val="24"/>
        </w:rPr>
        <w:t>obiettivi climatici</w:t>
      </w:r>
      <w:r>
        <w:rPr>
          <w:rFonts w:ascii="Times New Roman" w:eastAsia="Times New Roman" w:hAnsi="Times New Roman" w:cs="Times New Roman"/>
          <w:sz w:val="24"/>
          <w:szCs w:val="24"/>
        </w:rPr>
        <w:t xml:space="preserve"> dell'Unione per il 2030 stabiliti nell'articolo 2, punto 11, del regolamento (UE) 2018/1999 (riduzione di almeno il 40% di gas a effetto serra, poi aumentato al 55% dal Consiglio UE dell’11 dicembre 2020), nonché alla </w:t>
      </w:r>
      <w:r>
        <w:rPr>
          <w:rFonts w:ascii="Times New Roman" w:eastAsia="Times New Roman" w:hAnsi="Times New Roman" w:cs="Times New Roman"/>
          <w:i/>
          <w:sz w:val="24"/>
          <w:szCs w:val="24"/>
        </w:rPr>
        <w:t>“neutralità climatica dell’UE entro il 2050”</w:t>
      </w:r>
      <w:r>
        <w:rPr>
          <w:rFonts w:ascii="Times New Roman" w:eastAsia="Times New Roman" w:hAnsi="Times New Roman" w:cs="Times New Roman"/>
          <w:sz w:val="24"/>
          <w:szCs w:val="24"/>
        </w:rPr>
        <w:t>.</w:t>
      </w:r>
    </w:p>
    <w:p w14:paraId="00000071"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L’art.18, dedicato ai </w:t>
      </w:r>
      <w:r>
        <w:rPr>
          <w:rFonts w:ascii="Times New Roman" w:eastAsia="Times New Roman" w:hAnsi="Times New Roman" w:cs="Times New Roman"/>
          <w:i/>
          <w:sz w:val="24"/>
          <w:szCs w:val="24"/>
        </w:rPr>
        <w:t>“piani di ripresa e resilienza”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PNRR</w:t>
      </w:r>
      <w:r>
        <w:rPr>
          <w:rFonts w:ascii="Times New Roman" w:eastAsia="Times New Roman" w:hAnsi="Times New Roman" w:cs="Times New Roman"/>
          <w:sz w:val="24"/>
          <w:szCs w:val="24"/>
        </w:rPr>
        <w:t xml:space="preserve">), stabilisce che il </w:t>
      </w:r>
      <w:r>
        <w:rPr>
          <w:rFonts w:ascii="Times New Roman" w:eastAsia="Times New Roman" w:hAnsi="Times New Roman" w:cs="Times New Roman"/>
          <w:i/>
          <w:sz w:val="24"/>
          <w:szCs w:val="24"/>
        </w:rPr>
        <w:t>piano di ripresa e resilienza</w:t>
      </w:r>
      <w:r>
        <w:rPr>
          <w:rFonts w:ascii="Times New Roman" w:eastAsia="Times New Roman" w:hAnsi="Times New Roman" w:cs="Times New Roman"/>
          <w:sz w:val="24"/>
          <w:szCs w:val="24"/>
        </w:rPr>
        <w:t xml:space="preserve"> va debitamente motivato e giustificato e contenere </w:t>
      </w:r>
      <w:r>
        <w:rPr>
          <w:rFonts w:ascii="Times New Roman" w:eastAsia="Times New Roman" w:hAnsi="Times New Roman" w:cs="Times New Roman"/>
          <w:i/>
          <w:sz w:val="24"/>
          <w:szCs w:val="24"/>
        </w:rPr>
        <w:t xml:space="preserve">“una spiegazione qualitativa del modo in cui le misure previste dal piano per la ripresa e la resilienza sono in grado di contribuire alla transizione verde, compresa la biodiversità, o ad affrontare le sfide che ne conseguono, e che indichi se tali misure rappresentano almeno il 37% della dotazione totale del piano per la ripresa e la resilienza sulla base della metodologia di controllo del clima di cui all'allegato VI” </w:t>
      </w:r>
      <w:r>
        <w:rPr>
          <w:rFonts w:ascii="Times New Roman" w:eastAsia="Times New Roman" w:hAnsi="Times New Roman" w:cs="Times New Roman"/>
          <w:sz w:val="24"/>
          <w:szCs w:val="24"/>
        </w:rPr>
        <w:t xml:space="preserve">(art.18, paragrafo 4, lett. </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w:t>
      </w:r>
    </w:p>
    <w:p w14:paraId="00000072"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L’art.19, che disciplina la valutazione dei </w:t>
      </w:r>
      <w:r>
        <w:rPr>
          <w:rFonts w:ascii="Times New Roman" w:eastAsia="Times New Roman" w:hAnsi="Times New Roman" w:cs="Times New Roman"/>
          <w:i/>
          <w:sz w:val="24"/>
          <w:szCs w:val="24"/>
        </w:rPr>
        <w:t>piani di ripresa e resilienza</w:t>
      </w:r>
      <w:r>
        <w:rPr>
          <w:rFonts w:ascii="Times New Roman" w:eastAsia="Times New Roman" w:hAnsi="Times New Roman" w:cs="Times New Roman"/>
          <w:sz w:val="24"/>
          <w:szCs w:val="24"/>
        </w:rPr>
        <w:t xml:space="preserve"> sottoposti alla Commissione, stabilisce che la stessa Commissione valuta la pertinenza, l'efficacia, l'efficienza e la coerenza dello stesso </w:t>
      </w:r>
      <w:r>
        <w:rPr>
          <w:rFonts w:ascii="Times New Roman" w:eastAsia="Times New Roman" w:hAnsi="Times New Roman" w:cs="Times New Roman"/>
          <w:i/>
          <w:sz w:val="24"/>
          <w:szCs w:val="24"/>
        </w:rPr>
        <w:t xml:space="preserve">piano di ripresa e resilienza </w:t>
      </w:r>
      <w:r>
        <w:rPr>
          <w:rFonts w:ascii="Times New Roman" w:eastAsia="Times New Roman" w:hAnsi="Times New Roman" w:cs="Times New Roman"/>
          <w:sz w:val="24"/>
          <w:szCs w:val="24"/>
        </w:rPr>
        <w:t xml:space="preserve">e, con riferimento alla pertinenza, valuta </w:t>
      </w:r>
      <w:r>
        <w:rPr>
          <w:rFonts w:ascii="Times New Roman" w:eastAsia="Times New Roman" w:hAnsi="Times New Roman" w:cs="Times New Roman"/>
          <w:i/>
          <w:sz w:val="24"/>
          <w:szCs w:val="24"/>
        </w:rPr>
        <w:lastRenderedPageBreak/>
        <w:t>“se il piano per la ripresa e la resilienza prevede misure che contribuiscono efficacemente alla transizione verde, compresa la biodiversità, o ad affrontare le sfide che ne conseguono, e se tali misure rappresentano un importo pari ad almeno il 37% della dotazione totale del piano per la ripresa e la resilienza sulla base della metodologia di controllo del clima di cui all'allegato VI</w:t>
      </w:r>
      <w:r>
        <w:rPr>
          <w:rFonts w:ascii="Times New Roman" w:eastAsia="Times New Roman" w:hAnsi="Times New Roman" w:cs="Times New Roman"/>
          <w:sz w:val="24"/>
          <w:szCs w:val="24"/>
        </w:rPr>
        <w:t>” (art.19, paragrafo 3).</w:t>
      </w:r>
    </w:p>
    <w:p w14:paraId="00000073"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 due articoli si ricava che 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comprende la biodiversità e le (non meglio precisate) </w:t>
      </w:r>
      <w:r>
        <w:rPr>
          <w:rFonts w:ascii="Times New Roman" w:eastAsia="Times New Roman" w:hAnsi="Times New Roman" w:cs="Times New Roman"/>
          <w:i/>
          <w:sz w:val="24"/>
          <w:szCs w:val="24"/>
        </w:rPr>
        <w:t>“sfide che ne conseguono”</w:t>
      </w:r>
      <w:r>
        <w:rPr>
          <w:rFonts w:ascii="Times New Roman" w:eastAsia="Times New Roman" w:hAnsi="Times New Roman" w:cs="Times New Roman"/>
          <w:sz w:val="24"/>
          <w:szCs w:val="24"/>
        </w:rPr>
        <w:t xml:space="preserve">; che le misure a favore della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devono rappresentare </w:t>
      </w:r>
      <w:r>
        <w:rPr>
          <w:rFonts w:ascii="Times New Roman" w:eastAsia="Times New Roman" w:hAnsi="Times New Roman" w:cs="Times New Roman"/>
          <w:i/>
          <w:sz w:val="24"/>
          <w:szCs w:val="24"/>
        </w:rPr>
        <w:t>“almeno il 37% della dotazione totale”</w:t>
      </w:r>
      <w:r>
        <w:rPr>
          <w:rFonts w:ascii="Times New Roman" w:eastAsia="Times New Roman" w:hAnsi="Times New Roman" w:cs="Times New Roman"/>
          <w:sz w:val="24"/>
          <w:szCs w:val="24"/>
        </w:rPr>
        <w:t xml:space="preserve"> e che il calcolo di tale quota del 37% deve essere effettuato </w:t>
      </w:r>
      <w:r>
        <w:rPr>
          <w:rFonts w:ascii="Times New Roman" w:eastAsia="Times New Roman" w:hAnsi="Times New Roman" w:cs="Times New Roman"/>
          <w:i/>
          <w:sz w:val="24"/>
          <w:szCs w:val="24"/>
        </w:rPr>
        <w:t>“sulla base della metodologia di controllo del clima di cui all'allegato VI”</w:t>
      </w:r>
      <w:r>
        <w:rPr>
          <w:rFonts w:ascii="Times New Roman" w:eastAsia="Times New Roman" w:hAnsi="Times New Roman" w:cs="Times New Roman"/>
          <w:sz w:val="24"/>
          <w:szCs w:val="24"/>
        </w:rPr>
        <w:t xml:space="preserve">. </w:t>
      </w:r>
    </w:p>
    <w:p w14:paraId="00000074"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Gli importanti </w:t>
      </w:r>
      <w:r>
        <w:rPr>
          <w:rFonts w:ascii="Times New Roman" w:eastAsia="Times New Roman" w:hAnsi="Times New Roman" w:cs="Times New Roman"/>
          <w:i/>
          <w:sz w:val="24"/>
          <w:szCs w:val="24"/>
        </w:rPr>
        <w:t>obiettivi climatici</w:t>
      </w:r>
      <w:r>
        <w:rPr>
          <w:rFonts w:ascii="Times New Roman" w:eastAsia="Times New Roman" w:hAnsi="Times New Roman" w:cs="Times New Roman"/>
          <w:sz w:val="24"/>
          <w:szCs w:val="24"/>
        </w:rPr>
        <w:t xml:space="preserve"> che l’art.4 comprende nella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tra quelli generali (in coerenza con il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 xml:space="preserve"> europeo), non sono invece indicati agli artt. 18 e 19 nei quali il clima compare solo come criterio utile per la metodologia di controllo del rispetto della quota del 37%.</w:t>
      </w:r>
    </w:p>
    <w:p w14:paraId="00000075"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definizione dei contenuti della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e dei parametri in base ai quali valutare il 37% che allo stesso </w:t>
      </w:r>
      <w:r>
        <w:rPr>
          <w:rFonts w:ascii="Times New Roman" w:eastAsia="Times New Roman" w:hAnsi="Times New Roman" w:cs="Times New Roman"/>
          <w:i/>
          <w:sz w:val="24"/>
          <w:szCs w:val="24"/>
        </w:rPr>
        <w:t>pilastro</w:t>
      </w:r>
      <w:r>
        <w:rPr>
          <w:rFonts w:ascii="Times New Roman" w:eastAsia="Times New Roman" w:hAnsi="Times New Roman" w:cs="Times New Roman"/>
          <w:sz w:val="24"/>
          <w:szCs w:val="24"/>
        </w:rPr>
        <w:t xml:space="preserve"> va destinato, è di particolare rilievo per l’ammissibilità dei </w:t>
      </w:r>
      <w:r>
        <w:rPr>
          <w:rFonts w:ascii="Times New Roman" w:eastAsia="Times New Roman" w:hAnsi="Times New Roman" w:cs="Times New Roman"/>
          <w:i/>
          <w:sz w:val="24"/>
          <w:szCs w:val="24"/>
        </w:rPr>
        <w:t>piani nazionali di ripresa e resilienza</w:t>
      </w:r>
      <w:r>
        <w:rPr>
          <w:rFonts w:ascii="Times New Roman" w:eastAsia="Times New Roman" w:hAnsi="Times New Roman" w:cs="Times New Roman"/>
          <w:sz w:val="24"/>
          <w:szCs w:val="24"/>
        </w:rPr>
        <w:t xml:space="preserve"> (art.17) da presentarsi entro il 30 aprile 2021 (art.18) e che vanno valutati dalla Commissione nei successivi due mesi con possibilità per la stessa Commissione di rivedere i piani nazionali anche dopo la loro presentazione ufficiale (art.19). </w:t>
      </w:r>
    </w:p>
    <w:p w14:paraId="00000076"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detto – e questa è una delle questioni più importanti - 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non trova però una precisa e univoca definizione nel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né in altri atti dell’Unione europea. Questo dato di base rende non agevole stabilire come poi arrivare alla sua </w:t>
      </w:r>
      <w:r>
        <w:rPr>
          <w:rFonts w:ascii="Times New Roman" w:eastAsia="Times New Roman" w:hAnsi="Times New Roman" w:cs="Times New Roman"/>
          <w:i/>
          <w:sz w:val="24"/>
          <w:szCs w:val="24"/>
        </w:rPr>
        <w:t>quantificazione</w:t>
      </w:r>
      <w:r>
        <w:rPr>
          <w:rFonts w:ascii="Times New Roman" w:eastAsia="Times New Roman" w:hAnsi="Times New Roman" w:cs="Times New Roman"/>
          <w:sz w:val="24"/>
          <w:szCs w:val="24"/>
        </w:rPr>
        <w:t xml:space="preserve"> prevista in </w:t>
      </w:r>
      <w:r>
        <w:rPr>
          <w:rFonts w:ascii="Times New Roman" w:eastAsia="Times New Roman" w:hAnsi="Times New Roman" w:cs="Times New Roman"/>
          <w:i/>
          <w:sz w:val="24"/>
          <w:szCs w:val="24"/>
        </w:rPr>
        <w:t>“almeno il 37% della dotazione totale”</w:t>
      </w:r>
      <w:r>
        <w:rPr>
          <w:rFonts w:ascii="Times New Roman" w:eastAsia="Times New Roman" w:hAnsi="Times New Roman" w:cs="Times New Roman"/>
          <w:sz w:val="24"/>
          <w:szCs w:val="24"/>
        </w:rPr>
        <w:t xml:space="preserve">. Alla mancanza di definizione della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si aggiungono poi le non poche incertezze legate alla </w:t>
      </w:r>
      <w:r>
        <w:rPr>
          <w:rFonts w:ascii="Times New Roman" w:eastAsia="Times New Roman" w:hAnsi="Times New Roman" w:cs="Times New Roman"/>
          <w:i/>
          <w:sz w:val="24"/>
          <w:szCs w:val="24"/>
        </w:rPr>
        <w:t>“metodologia di controllo del clima di cui all'allegato VI”</w:t>
      </w:r>
      <w:r>
        <w:rPr>
          <w:rFonts w:ascii="Times New Roman" w:eastAsia="Times New Roman" w:hAnsi="Times New Roman" w:cs="Times New Roman"/>
          <w:sz w:val="24"/>
          <w:szCs w:val="24"/>
        </w:rPr>
        <w:t xml:space="preserve">, delle quali poi si dirà. </w:t>
      </w:r>
    </w:p>
    <w:p w14:paraId="00000077"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 in tale difficile contesto, si può comunque rilevare che 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è assunta essere un “pilastro” che include tutte quelle attività che l’ordinamento </w:t>
      </w:r>
      <w:proofErr w:type="spellStart"/>
      <w:r>
        <w:rPr>
          <w:rFonts w:ascii="Times New Roman" w:eastAsia="Times New Roman" w:hAnsi="Times New Roman" w:cs="Times New Roman"/>
          <w:sz w:val="24"/>
          <w:szCs w:val="24"/>
        </w:rPr>
        <w:t>eurounitario</w:t>
      </w:r>
      <w:proofErr w:type="spellEnd"/>
      <w:r>
        <w:rPr>
          <w:rFonts w:ascii="Times New Roman" w:eastAsia="Times New Roman" w:hAnsi="Times New Roman" w:cs="Times New Roman"/>
          <w:sz w:val="24"/>
          <w:szCs w:val="24"/>
        </w:rPr>
        <w:t xml:space="preserve"> riconduce al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 xml:space="preserve"> europeo: in particolare, 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sembra comprendere i sei obiettivi ambientali del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xml:space="preserve"> (tra i quali i due </w:t>
      </w:r>
      <w:r>
        <w:rPr>
          <w:rFonts w:ascii="Times New Roman" w:eastAsia="Times New Roman" w:hAnsi="Times New Roman" w:cs="Times New Roman"/>
          <w:i/>
          <w:sz w:val="24"/>
          <w:szCs w:val="24"/>
        </w:rPr>
        <w:t>obiettivi climatici</w:t>
      </w:r>
      <w:r>
        <w:rPr>
          <w:rFonts w:ascii="Times New Roman" w:eastAsia="Times New Roman" w:hAnsi="Times New Roman" w:cs="Times New Roman"/>
          <w:sz w:val="24"/>
          <w:szCs w:val="24"/>
        </w:rPr>
        <w:t xml:space="preserve"> della mitigazione e dell’adattamento ai cambiamenti climatici) ed il principio «</w:t>
      </w:r>
      <w:r>
        <w:rPr>
          <w:rFonts w:ascii="Times New Roman" w:eastAsia="Times New Roman" w:hAnsi="Times New Roman" w:cs="Times New Roman"/>
          <w:i/>
          <w:sz w:val="24"/>
          <w:szCs w:val="24"/>
        </w:rPr>
        <w:t>non arrecare un danno significativo</w:t>
      </w:r>
      <w:r>
        <w:rPr>
          <w:rFonts w:ascii="Times New Roman" w:eastAsia="Times New Roman" w:hAnsi="Times New Roman" w:cs="Times New Roman"/>
          <w:sz w:val="24"/>
          <w:szCs w:val="24"/>
        </w:rPr>
        <w:t xml:space="preserve">» agli stessi obiettivi ambientali. </w:t>
      </w:r>
    </w:p>
    <w:p w14:paraId="00000078"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 sia 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il </w:t>
      </w:r>
      <w:r>
        <w:rPr>
          <w:rFonts w:ascii="Times New Roman" w:eastAsia="Times New Roman" w:hAnsi="Times New Roman" w:cs="Times New Roman"/>
          <w:i/>
          <w:sz w:val="24"/>
          <w:szCs w:val="24"/>
        </w:rPr>
        <w:t>“pilastro”</w:t>
      </w:r>
      <w:r>
        <w:rPr>
          <w:rFonts w:ascii="Times New Roman" w:eastAsia="Times New Roman" w:hAnsi="Times New Roman" w:cs="Times New Roman"/>
          <w:sz w:val="24"/>
          <w:szCs w:val="24"/>
        </w:rPr>
        <w:t xml:space="preserve"> ambientale del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(e non il clima, come poi si dirà) non solo è espressamente indicato nell’art.3 dello stesso regolamento, ma lo si deduce dalla circostanza che il riferimento alla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è spesso seguito dalla frase </w:t>
      </w:r>
      <w:r>
        <w:rPr>
          <w:rFonts w:ascii="Times New Roman" w:eastAsia="Times New Roman" w:hAnsi="Times New Roman" w:cs="Times New Roman"/>
          <w:i/>
          <w:sz w:val="24"/>
          <w:szCs w:val="24"/>
        </w:rPr>
        <w:t>“compresa la biodiversità”</w:t>
      </w:r>
      <w:r>
        <w:rPr>
          <w:rFonts w:ascii="Times New Roman" w:eastAsia="Times New Roman" w:hAnsi="Times New Roman" w:cs="Times New Roman"/>
          <w:sz w:val="24"/>
          <w:szCs w:val="24"/>
        </w:rPr>
        <w:t xml:space="preserve"> e dall’attenzione che alla stessa biodiversità viene dedicata nei</w:t>
      </w:r>
      <w:r>
        <w:rPr>
          <w:rFonts w:ascii="Times New Roman" w:eastAsia="Times New Roman" w:hAnsi="Times New Roman" w:cs="Times New Roman"/>
          <w:i/>
          <w:sz w:val="24"/>
          <w:szCs w:val="24"/>
        </w:rPr>
        <w:t xml:space="preserve"> considerando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nn</w:t>
      </w:r>
      <w:proofErr w:type="spellEnd"/>
      <w:r>
        <w:rPr>
          <w:rFonts w:ascii="Times New Roman" w:eastAsia="Times New Roman" w:hAnsi="Times New Roman" w:cs="Times New Roman"/>
          <w:sz w:val="24"/>
          <w:szCs w:val="24"/>
        </w:rPr>
        <w:t>. 11, 24 e 39. In quest’ultimo</w:t>
      </w:r>
      <w:r>
        <w:rPr>
          <w:rFonts w:ascii="Times New Roman" w:eastAsia="Times New Roman" w:hAnsi="Times New Roman" w:cs="Times New Roman"/>
          <w:i/>
          <w:sz w:val="24"/>
          <w:szCs w:val="24"/>
        </w:rPr>
        <w:t xml:space="preserve"> considerando</w:t>
      </w:r>
      <w:r>
        <w:rPr>
          <w:rFonts w:ascii="Times New Roman" w:eastAsia="Times New Roman" w:hAnsi="Times New Roman" w:cs="Times New Roman"/>
          <w:sz w:val="24"/>
          <w:szCs w:val="24"/>
        </w:rPr>
        <w:t xml:space="preserve"> si legge che il </w:t>
      </w:r>
      <w:r>
        <w:rPr>
          <w:rFonts w:ascii="Times New Roman" w:eastAsia="Times New Roman" w:hAnsi="Times New Roman" w:cs="Times New Roman"/>
          <w:i/>
          <w:sz w:val="24"/>
          <w:szCs w:val="24"/>
        </w:rPr>
        <w:t xml:space="preserve">PNRR </w:t>
      </w:r>
      <w:r>
        <w:rPr>
          <w:rFonts w:ascii="Times New Roman" w:eastAsia="Times New Roman" w:hAnsi="Times New Roman" w:cs="Times New Roman"/>
          <w:sz w:val="24"/>
          <w:szCs w:val="24"/>
        </w:rPr>
        <w:t xml:space="preserve">dovrebbe prevedere misure pertinenti per 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compresa la biodiversità, e </w:t>
      </w:r>
      <w:r>
        <w:rPr>
          <w:rFonts w:ascii="Times New Roman" w:eastAsia="Times New Roman" w:hAnsi="Times New Roman" w:cs="Times New Roman"/>
          <w:i/>
          <w:sz w:val="24"/>
          <w:szCs w:val="24"/>
        </w:rPr>
        <w:t>“includere una spiegazione di come il piano per la ripresa e la resilienza garantisca che nessuna misura per l'attuazione delle riforme e degli investimenti inclusi in tale piano arrechi un danno significativo agli obiettivi ambientali”.</w:t>
      </w:r>
    </w:p>
    <w:p w14:paraId="00000079"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Inoltre, occorre ricordare che il 9 ottobre 2020 il Consiglio UE ha confermato gli elementi chiave contenuti nelle conclusioni del Consiglio europeo del 17-21 luglio e, sui Piani per la ripresa e la resilienza, ha previsto che </w:t>
      </w:r>
      <w:r>
        <w:rPr>
          <w:rFonts w:ascii="Times New Roman" w:eastAsia="Times New Roman" w:hAnsi="Times New Roman" w:cs="Times New Roman"/>
          <w:i/>
          <w:sz w:val="24"/>
          <w:szCs w:val="24"/>
        </w:rPr>
        <w:t xml:space="preserve">“almeno il 37% della dotazione dovrebbe sostenere la transizione verde”. </w:t>
      </w:r>
      <w:r>
        <w:rPr>
          <w:rFonts w:ascii="Times New Roman" w:eastAsia="Times New Roman" w:hAnsi="Times New Roman" w:cs="Times New Roman"/>
          <w:sz w:val="24"/>
          <w:szCs w:val="24"/>
        </w:rPr>
        <w:t xml:space="preserve">Stessa scelta in favore della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cui destinare il 37% è stata </w:t>
      </w:r>
      <w:r>
        <w:rPr>
          <w:rFonts w:ascii="Times New Roman" w:eastAsia="Times New Roman" w:hAnsi="Times New Roman" w:cs="Times New Roman"/>
          <w:sz w:val="24"/>
          <w:szCs w:val="24"/>
        </w:rPr>
        <w:lastRenderedPageBreak/>
        <w:t>ribadita il 19 ottobre 2020 dalla Commissione europea e il 18 dicembre 2020 dal Consiglio e dal Parlamento europeo in sede di accordo sul dispositivo per la ripresa e la resilienza.</w:t>
      </w:r>
    </w:p>
    <w:p w14:paraId="0000007A" w14:textId="77777777" w:rsidR="005675A7" w:rsidRDefault="005675A7">
      <w:pPr>
        <w:ind w:firstLine="720"/>
        <w:jc w:val="both"/>
        <w:rPr>
          <w:rFonts w:ascii="Times New Roman" w:eastAsia="Times New Roman" w:hAnsi="Times New Roman" w:cs="Times New Roman"/>
          <w:b/>
          <w:sz w:val="24"/>
          <w:szCs w:val="24"/>
        </w:rPr>
      </w:pPr>
    </w:p>
    <w:p w14:paraId="0000007B" w14:textId="77777777" w:rsidR="005675A7" w:rsidRDefault="00B54A81">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w:t>
      </w:r>
      <w:r>
        <w:rPr>
          <w:rFonts w:ascii="Times New Roman" w:eastAsia="Times New Roman" w:hAnsi="Times New Roman" w:cs="Times New Roman"/>
          <w:b/>
          <w:i/>
          <w:sz w:val="24"/>
          <w:szCs w:val="24"/>
        </w:rPr>
        <w:t>Segue:</w:t>
      </w:r>
      <w:r>
        <w:rPr>
          <w:rFonts w:ascii="Times New Roman" w:eastAsia="Times New Roman" w:hAnsi="Times New Roman" w:cs="Times New Roman"/>
          <w:b/>
          <w:sz w:val="24"/>
          <w:szCs w:val="24"/>
        </w:rPr>
        <w:t xml:space="preserve"> la valutazione quantitativa del 37% della dotazione tra </w:t>
      </w:r>
      <w:r>
        <w:rPr>
          <w:rFonts w:ascii="Times New Roman" w:eastAsia="Times New Roman" w:hAnsi="Times New Roman" w:cs="Times New Roman"/>
          <w:b/>
          <w:i/>
          <w:sz w:val="24"/>
          <w:szCs w:val="24"/>
        </w:rPr>
        <w:t>transizione verde</w:t>
      </w:r>
      <w:r>
        <w:rPr>
          <w:rFonts w:ascii="Times New Roman" w:eastAsia="Times New Roman" w:hAnsi="Times New Roman" w:cs="Times New Roman"/>
          <w:b/>
          <w:sz w:val="24"/>
          <w:szCs w:val="24"/>
        </w:rPr>
        <w:t xml:space="preserve"> e </w:t>
      </w:r>
      <w:r>
        <w:rPr>
          <w:rFonts w:ascii="Times New Roman" w:eastAsia="Times New Roman" w:hAnsi="Times New Roman" w:cs="Times New Roman"/>
          <w:b/>
          <w:i/>
          <w:sz w:val="24"/>
          <w:szCs w:val="24"/>
        </w:rPr>
        <w:t>obiettivi climatici</w:t>
      </w:r>
      <w:r>
        <w:rPr>
          <w:rFonts w:ascii="Times New Roman" w:eastAsia="Times New Roman" w:hAnsi="Times New Roman" w:cs="Times New Roman"/>
          <w:b/>
          <w:sz w:val="24"/>
          <w:szCs w:val="24"/>
        </w:rPr>
        <w:t>.</w:t>
      </w:r>
    </w:p>
    <w:p w14:paraId="0000007C"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L’art.16 del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prevede che entro il 31 luglio 2022 la Commissione deve presentare al Parlamento Europeo e al Consiglio una relazione di riesame sull’attuazione del dispositivo che deve contenere una </w:t>
      </w:r>
      <w:r>
        <w:rPr>
          <w:rFonts w:ascii="Times New Roman" w:eastAsia="Times New Roman" w:hAnsi="Times New Roman" w:cs="Times New Roman"/>
          <w:i/>
          <w:sz w:val="24"/>
          <w:szCs w:val="24"/>
        </w:rPr>
        <w:t>“valutazione quantitativa”</w:t>
      </w:r>
      <w:r>
        <w:rPr>
          <w:rFonts w:ascii="Times New Roman" w:eastAsia="Times New Roman" w:hAnsi="Times New Roman" w:cs="Times New Roman"/>
          <w:sz w:val="24"/>
          <w:szCs w:val="24"/>
        </w:rPr>
        <w:t xml:space="preserve"> del contributo dei piani per la ripresa e la resilienza al raggiungimento dell’</w:t>
      </w:r>
      <w:r>
        <w:rPr>
          <w:rFonts w:ascii="Times New Roman" w:eastAsia="Times New Roman" w:hAnsi="Times New Roman" w:cs="Times New Roman"/>
          <w:i/>
          <w:sz w:val="24"/>
          <w:szCs w:val="24"/>
        </w:rPr>
        <w:t>“obiettivo climatico per almeno il 37%”</w:t>
      </w:r>
      <w:r>
        <w:rPr>
          <w:rFonts w:ascii="Times New Roman" w:eastAsia="Times New Roman" w:hAnsi="Times New Roman" w:cs="Times New Roman"/>
          <w:sz w:val="24"/>
          <w:szCs w:val="24"/>
        </w:rPr>
        <w:t>.</w:t>
      </w:r>
    </w:p>
    <w:p w14:paraId="0000007D"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L’art.16 introduce, quindi, un diverso riferimento per la quota del 37%: non più alla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come prevedono i citati artt.18 e 19, bensì all’</w:t>
      </w:r>
      <w:r>
        <w:rPr>
          <w:rFonts w:ascii="Times New Roman" w:eastAsia="Times New Roman" w:hAnsi="Times New Roman" w:cs="Times New Roman"/>
          <w:i/>
          <w:sz w:val="24"/>
          <w:szCs w:val="24"/>
        </w:rPr>
        <w:t>obiettivo climatico</w:t>
      </w:r>
      <w:r>
        <w:rPr>
          <w:rFonts w:ascii="Times New Roman" w:eastAsia="Times New Roman" w:hAnsi="Times New Roman" w:cs="Times New Roman"/>
          <w:sz w:val="24"/>
          <w:szCs w:val="24"/>
        </w:rPr>
        <w:t>.</w:t>
      </w:r>
    </w:p>
    <w:p w14:paraId="0000007E"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lettura del successivo art. 31 va nella stessa direzione: prevede che la Commissione europea, nel presentare annualmente al Parlamento europeo e al Consiglio la relazione annuale, deve inserire le informazioni sul </w:t>
      </w:r>
      <w:r>
        <w:rPr>
          <w:rFonts w:ascii="Times New Roman" w:eastAsia="Times New Roman" w:hAnsi="Times New Roman" w:cs="Times New Roman"/>
          <w:i/>
          <w:sz w:val="24"/>
          <w:szCs w:val="24"/>
        </w:rPr>
        <w:t>“contributo del dispositivo agli obiettivi climatici e digitali”</w:t>
      </w:r>
      <w:r>
        <w:rPr>
          <w:rFonts w:ascii="Times New Roman" w:eastAsia="Times New Roman" w:hAnsi="Times New Roman" w:cs="Times New Roman"/>
          <w:sz w:val="24"/>
          <w:szCs w:val="24"/>
        </w:rPr>
        <w:t>.</w:t>
      </w:r>
    </w:p>
    <w:p w14:paraId="0000007F"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il diritto </w:t>
      </w:r>
      <w:proofErr w:type="spellStart"/>
      <w:r>
        <w:rPr>
          <w:rFonts w:ascii="Times New Roman" w:eastAsia="Times New Roman" w:hAnsi="Times New Roman" w:cs="Times New Roman"/>
          <w:sz w:val="24"/>
          <w:szCs w:val="24"/>
        </w:rPr>
        <w:t>eurounitario</w:t>
      </w:r>
      <w:proofErr w:type="spellEnd"/>
      <w:r>
        <w:rPr>
          <w:rFonts w:ascii="Times New Roman" w:eastAsia="Times New Roman" w:hAnsi="Times New Roman" w:cs="Times New Roman"/>
          <w:sz w:val="24"/>
          <w:szCs w:val="24"/>
        </w:rPr>
        <w:t xml:space="preserve"> gli </w:t>
      </w:r>
      <w:r>
        <w:rPr>
          <w:rFonts w:ascii="Times New Roman" w:eastAsia="Times New Roman" w:hAnsi="Times New Roman" w:cs="Times New Roman"/>
          <w:i/>
          <w:sz w:val="24"/>
          <w:szCs w:val="24"/>
        </w:rPr>
        <w:t>obiettivi climatici</w:t>
      </w:r>
      <w:r>
        <w:rPr>
          <w:rFonts w:ascii="Times New Roman" w:eastAsia="Times New Roman" w:hAnsi="Times New Roman" w:cs="Times New Roman"/>
          <w:sz w:val="24"/>
          <w:szCs w:val="24"/>
        </w:rPr>
        <w:t xml:space="preserve"> sono di tipo </w:t>
      </w:r>
      <w:r>
        <w:rPr>
          <w:rFonts w:ascii="Times New Roman" w:eastAsia="Times New Roman" w:hAnsi="Times New Roman" w:cs="Times New Roman"/>
          <w:i/>
          <w:sz w:val="24"/>
          <w:szCs w:val="24"/>
        </w:rPr>
        <w:t>qualitativo</w:t>
      </w:r>
      <w:r>
        <w:rPr>
          <w:rFonts w:ascii="Times New Roman" w:eastAsia="Times New Roman" w:hAnsi="Times New Roman" w:cs="Times New Roman"/>
          <w:sz w:val="24"/>
          <w:szCs w:val="24"/>
        </w:rPr>
        <w:t xml:space="preserve"> e </w:t>
      </w:r>
      <w:r>
        <w:rPr>
          <w:rFonts w:ascii="Times New Roman" w:eastAsia="Times New Roman" w:hAnsi="Times New Roman" w:cs="Times New Roman"/>
          <w:i/>
          <w:sz w:val="24"/>
          <w:szCs w:val="24"/>
        </w:rPr>
        <w:t>quantitativo</w:t>
      </w:r>
      <w:r>
        <w:rPr>
          <w:rFonts w:ascii="Times New Roman" w:eastAsia="Times New Roman" w:hAnsi="Times New Roman" w:cs="Times New Roman"/>
          <w:sz w:val="24"/>
          <w:szCs w:val="24"/>
        </w:rPr>
        <w:t xml:space="preserve">: quelli </w:t>
      </w:r>
      <w:r>
        <w:rPr>
          <w:rFonts w:ascii="Times New Roman" w:eastAsia="Times New Roman" w:hAnsi="Times New Roman" w:cs="Times New Roman"/>
          <w:i/>
          <w:sz w:val="24"/>
          <w:szCs w:val="24"/>
        </w:rPr>
        <w:t>qualitativi</w:t>
      </w:r>
      <w:r>
        <w:rPr>
          <w:rFonts w:ascii="Times New Roman" w:eastAsia="Times New Roman" w:hAnsi="Times New Roman" w:cs="Times New Roman"/>
          <w:sz w:val="24"/>
          <w:szCs w:val="24"/>
        </w:rPr>
        <w:t xml:space="preserve"> sono i due dedicati al clima (mitigazione e adattamento) del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xml:space="preserve">; i secondi sono nel regolamento (UE) 2018/1999 che stabilisce la riduzione del 40% di gas climalteranti entro il 2030, una riduzione che nell’accordo del Consiglio UE dell’11 dicembre 2020 viene aumentata al 55% entro il 2030, insieme all’obiettivo della neutralità climatica entro il 2050. </w:t>
      </w:r>
    </w:p>
    <w:p w14:paraId="00000080"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la </w:t>
      </w:r>
      <w:r>
        <w:rPr>
          <w:rFonts w:ascii="Times New Roman" w:eastAsia="Times New Roman" w:hAnsi="Times New Roman" w:cs="Times New Roman"/>
          <w:i/>
          <w:sz w:val="24"/>
          <w:szCs w:val="24"/>
        </w:rPr>
        <w:t>“valutazione quantitativa”</w:t>
      </w:r>
      <w:r>
        <w:rPr>
          <w:rFonts w:ascii="Times New Roman" w:eastAsia="Times New Roman" w:hAnsi="Times New Roman" w:cs="Times New Roman"/>
          <w:sz w:val="24"/>
          <w:szCs w:val="24"/>
        </w:rPr>
        <w:t xml:space="preserve"> dell’</w:t>
      </w:r>
      <w:r>
        <w:rPr>
          <w:rFonts w:ascii="Times New Roman" w:eastAsia="Times New Roman" w:hAnsi="Times New Roman" w:cs="Times New Roman"/>
          <w:i/>
          <w:sz w:val="24"/>
          <w:szCs w:val="24"/>
        </w:rPr>
        <w:t>obiettivo climatico</w:t>
      </w:r>
      <w:r>
        <w:rPr>
          <w:rFonts w:ascii="Times New Roman" w:eastAsia="Times New Roman" w:hAnsi="Times New Roman" w:cs="Times New Roman"/>
          <w:sz w:val="24"/>
          <w:szCs w:val="24"/>
        </w:rPr>
        <w:t xml:space="preserve"> del 37% prevista dall’art.16 occorre comunque fare riferimento all’art.19 il quale stabilisce che il criterio generale è quello dell'</w:t>
      </w:r>
      <w:r>
        <w:rPr>
          <w:rFonts w:ascii="Times New Roman" w:eastAsia="Times New Roman" w:hAnsi="Times New Roman" w:cs="Times New Roman"/>
          <w:i/>
          <w:sz w:val="24"/>
          <w:szCs w:val="24"/>
        </w:rPr>
        <w:t>Allegato V</w:t>
      </w:r>
      <w:r>
        <w:rPr>
          <w:rFonts w:ascii="Times New Roman" w:eastAsia="Times New Roman" w:hAnsi="Times New Roman" w:cs="Times New Roman"/>
          <w:sz w:val="24"/>
          <w:szCs w:val="24"/>
        </w:rPr>
        <w:t xml:space="preserve"> in base al quale la Commissione valuta la pertinenza, l'efficacia, l'efficienza e la coerenza del piano per la ripresa e la resilienza.</w:t>
      </w:r>
    </w:p>
    <w:p w14:paraId="00000081" w14:textId="77777777" w:rsidR="005675A7" w:rsidRDefault="00B54A81">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i/>
          <w:sz w:val="24"/>
          <w:szCs w:val="24"/>
        </w:rPr>
        <w:t>Allegato V</w:t>
      </w:r>
      <w:r>
        <w:rPr>
          <w:rFonts w:ascii="Times New Roman" w:eastAsia="Times New Roman" w:hAnsi="Times New Roman" w:cs="Times New Roman"/>
          <w:sz w:val="24"/>
          <w:szCs w:val="24"/>
        </w:rPr>
        <w:t xml:space="preserve"> è intitolato </w:t>
      </w:r>
      <w:r>
        <w:rPr>
          <w:rFonts w:ascii="Times New Roman" w:eastAsia="Times New Roman" w:hAnsi="Times New Roman" w:cs="Times New Roman"/>
          <w:i/>
          <w:sz w:val="24"/>
          <w:szCs w:val="24"/>
        </w:rPr>
        <w:t xml:space="preserve">“Orientamenti per la valutazione del dispositivo” </w:t>
      </w:r>
      <w:r>
        <w:rPr>
          <w:rFonts w:ascii="Times New Roman" w:eastAsia="Times New Roman" w:hAnsi="Times New Roman" w:cs="Times New Roman"/>
          <w:sz w:val="24"/>
          <w:szCs w:val="24"/>
        </w:rPr>
        <w:t>e al punto 2.5 ripete lo stesso testo degli artt.18 e 19, cioè che</w:t>
      </w:r>
      <w:r>
        <w:rPr>
          <w:rFonts w:ascii="Times New Roman" w:eastAsia="Times New Roman" w:hAnsi="Times New Roman" w:cs="Times New Roman"/>
          <w:i/>
          <w:sz w:val="24"/>
          <w:szCs w:val="24"/>
        </w:rPr>
        <w:t xml:space="preserve"> “Il piano per la ripresa e la resilienza prevede misure che contribuiscono efficacemente alla transizione verde, compresa la biodiversità, o ad affrontare le sfide che conseguono da tale transizione, e tali misure rappresentano almeno il 37% dell'assegnazione totale del piano di ripresa e resilienza sulla base della metodologia di controllo del clima di cui all'allegato VI”. </w:t>
      </w:r>
    </w:p>
    <w:p w14:paraId="00000082"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conseguenza, partendo dagli </w:t>
      </w:r>
      <w:r>
        <w:rPr>
          <w:rFonts w:ascii="Times New Roman" w:eastAsia="Times New Roman" w:hAnsi="Times New Roman" w:cs="Times New Roman"/>
          <w:i/>
          <w:sz w:val="24"/>
          <w:szCs w:val="24"/>
        </w:rPr>
        <w:t>obiettivi climatici</w:t>
      </w:r>
      <w:r>
        <w:rPr>
          <w:rFonts w:ascii="Times New Roman" w:eastAsia="Times New Roman" w:hAnsi="Times New Roman" w:cs="Times New Roman"/>
          <w:sz w:val="24"/>
          <w:szCs w:val="24"/>
        </w:rPr>
        <w:t xml:space="preserve"> per almeno il 37% dell’art.16, passando per la valutazione della Commissione sulla base del punto 2.5 dell’</w:t>
      </w:r>
      <w:r>
        <w:rPr>
          <w:rFonts w:ascii="Times New Roman" w:eastAsia="Times New Roman" w:hAnsi="Times New Roman" w:cs="Times New Roman"/>
          <w:i/>
          <w:sz w:val="24"/>
          <w:szCs w:val="24"/>
        </w:rPr>
        <w:t>Allegato V</w:t>
      </w:r>
      <w:r>
        <w:rPr>
          <w:rFonts w:ascii="Times New Roman" w:eastAsia="Times New Roman" w:hAnsi="Times New Roman" w:cs="Times New Roman"/>
          <w:sz w:val="24"/>
          <w:szCs w:val="24"/>
        </w:rPr>
        <w:t xml:space="preserve">, si torna al 37% da attribuire però alla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w:t>
      </w:r>
    </w:p>
    <w:p w14:paraId="00000083"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Pertanto, il riferimento dell’art.16 alla quota del 37% da riferire agli </w:t>
      </w:r>
      <w:r>
        <w:rPr>
          <w:rFonts w:ascii="Times New Roman" w:eastAsia="Times New Roman" w:hAnsi="Times New Roman" w:cs="Times New Roman"/>
          <w:i/>
          <w:sz w:val="24"/>
          <w:szCs w:val="24"/>
        </w:rPr>
        <w:t>obiettivi climatici</w:t>
      </w:r>
      <w:r>
        <w:rPr>
          <w:rFonts w:ascii="Times New Roman" w:eastAsia="Times New Roman" w:hAnsi="Times New Roman" w:cs="Times New Roman"/>
          <w:sz w:val="24"/>
          <w:szCs w:val="24"/>
        </w:rPr>
        <w:t xml:space="preserve"> e non alla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come fanno gli artt.18 e 19, sembrerebbe più un disallineamento formale che una contraddizione interna al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w:t>
      </w:r>
    </w:p>
    <w:p w14:paraId="00000084"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Quanto all'</w:t>
      </w:r>
      <w:r>
        <w:rPr>
          <w:rFonts w:ascii="Times New Roman" w:eastAsia="Times New Roman" w:hAnsi="Times New Roman" w:cs="Times New Roman"/>
          <w:i/>
          <w:sz w:val="24"/>
          <w:szCs w:val="24"/>
        </w:rPr>
        <w:t>Allegato VI</w:t>
      </w:r>
      <w:r>
        <w:rPr>
          <w:rFonts w:ascii="Times New Roman" w:eastAsia="Times New Roman" w:hAnsi="Times New Roman" w:cs="Times New Roman"/>
          <w:sz w:val="24"/>
          <w:szCs w:val="24"/>
        </w:rPr>
        <w:t xml:space="preserve"> dello stesso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le cose cambiano nuovamente, a partire dal titolo “</w:t>
      </w:r>
      <w:r>
        <w:rPr>
          <w:rFonts w:ascii="Times New Roman" w:eastAsia="Times New Roman" w:hAnsi="Times New Roman" w:cs="Times New Roman"/>
          <w:i/>
          <w:sz w:val="24"/>
          <w:szCs w:val="24"/>
        </w:rPr>
        <w:t>Metodologia di controllo del clima</w:t>
      </w:r>
      <w:r>
        <w:rPr>
          <w:rFonts w:ascii="Times New Roman" w:eastAsia="Times New Roman" w:hAnsi="Times New Roman" w:cs="Times New Roman"/>
          <w:sz w:val="24"/>
          <w:szCs w:val="24"/>
        </w:rPr>
        <w:t xml:space="preserve">”: conferma l’oscillazione della quota più importante del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tra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e </w:t>
      </w:r>
      <w:r>
        <w:rPr>
          <w:rFonts w:ascii="Times New Roman" w:eastAsia="Times New Roman" w:hAnsi="Times New Roman" w:cs="Times New Roman"/>
          <w:i/>
          <w:sz w:val="24"/>
          <w:szCs w:val="24"/>
        </w:rPr>
        <w:t>obiettivi climatici</w:t>
      </w:r>
      <w:r>
        <w:rPr>
          <w:rFonts w:ascii="Times New Roman" w:eastAsia="Times New Roman" w:hAnsi="Times New Roman" w:cs="Times New Roman"/>
          <w:sz w:val="24"/>
          <w:szCs w:val="24"/>
        </w:rPr>
        <w:t>.</w:t>
      </w:r>
    </w:p>
    <w:p w14:paraId="00000085"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Tale </w:t>
      </w:r>
      <w:r>
        <w:rPr>
          <w:rFonts w:ascii="Times New Roman" w:eastAsia="Times New Roman" w:hAnsi="Times New Roman" w:cs="Times New Roman"/>
          <w:i/>
          <w:sz w:val="24"/>
          <w:szCs w:val="24"/>
        </w:rPr>
        <w:t>Allegato VI</w:t>
      </w:r>
      <w:r>
        <w:rPr>
          <w:rFonts w:ascii="Times New Roman" w:eastAsia="Times New Roman" w:hAnsi="Times New Roman" w:cs="Times New Roman"/>
          <w:sz w:val="24"/>
          <w:szCs w:val="24"/>
        </w:rPr>
        <w:t xml:space="preserve"> può essere causa di ulteriori dubbi interpretativi: pur essendo intitolato “</w:t>
      </w:r>
      <w:r>
        <w:rPr>
          <w:rFonts w:ascii="Times New Roman" w:eastAsia="Times New Roman" w:hAnsi="Times New Roman" w:cs="Times New Roman"/>
          <w:i/>
          <w:sz w:val="24"/>
          <w:szCs w:val="24"/>
        </w:rPr>
        <w:t>Metodologia di controllo del clima</w:t>
      </w:r>
      <w:r>
        <w:rPr>
          <w:rFonts w:ascii="Times New Roman" w:eastAsia="Times New Roman" w:hAnsi="Times New Roman" w:cs="Times New Roman"/>
          <w:sz w:val="24"/>
          <w:szCs w:val="24"/>
        </w:rPr>
        <w:t>”, contiene due distinti coefficienti di calcolo: quello definito “</w:t>
      </w:r>
      <w:r>
        <w:rPr>
          <w:rFonts w:ascii="Times New Roman" w:eastAsia="Times New Roman" w:hAnsi="Times New Roman" w:cs="Times New Roman"/>
          <w:i/>
          <w:sz w:val="24"/>
          <w:szCs w:val="24"/>
        </w:rPr>
        <w:t xml:space="preserve">Coefficiente per il calcolo del sostegno agli obiettivi in materia di cambiamenti </w:t>
      </w:r>
      <w:r>
        <w:rPr>
          <w:rFonts w:ascii="Times New Roman" w:eastAsia="Times New Roman" w:hAnsi="Times New Roman" w:cs="Times New Roman"/>
          <w:i/>
          <w:sz w:val="24"/>
          <w:szCs w:val="24"/>
        </w:rPr>
        <w:lastRenderedPageBreak/>
        <w:t>climatici</w:t>
      </w:r>
      <w:r>
        <w:rPr>
          <w:rFonts w:ascii="Times New Roman" w:eastAsia="Times New Roman" w:hAnsi="Times New Roman" w:cs="Times New Roman"/>
          <w:sz w:val="24"/>
          <w:szCs w:val="24"/>
        </w:rPr>
        <w:t xml:space="preserve">” e quello di un, non meglio precisato e mai citato nell’articolato del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Coefficiente per il calcolo del sostegno agli obiettivi ambientali</w:t>
      </w:r>
      <w:r>
        <w:rPr>
          <w:rFonts w:ascii="Times New Roman" w:eastAsia="Times New Roman" w:hAnsi="Times New Roman" w:cs="Times New Roman"/>
          <w:sz w:val="24"/>
          <w:szCs w:val="24"/>
        </w:rPr>
        <w:t xml:space="preserve">”. </w:t>
      </w:r>
    </w:p>
    <w:p w14:paraId="00000086"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gli “</w:t>
      </w:r>
      <w:r>
        <w:rPr>
          <w:rFonts w:ascii="Times New Roman" w:eastAsia="Times New Roman" w:hAnsi="Times New Roman" w:cs="Times New Roman"/>
          <w:i/>
          <w:sz w:val="24"/>
          <w:szCs w:val="24"/>
        </w:rPr>
        <w:t>obiettivi ambientali</w:t>
      </w:r>
      <w:r>
        <w:rPr>
          <w:rFonts w:ascii="Times New Roman" w:eastAsia="Times New Roman" w:hAnsi="Times New Roman" w:cs="Times New Roman"/>
          <w:sz w:val="24"/>
          <w:szCs w:val="24"/>
        </w:rPr>
        <w:t>” sono citati con riferimento al principio «</w:t>
      </w:r>
      <w:r>
        <w:rPr>
          <w:rFonts w:ascii="Times New Roman" w:eastAsia="Times New Roman" w:hAnsi="Times New Roman" w:cs="Times New Roman"/>
          <w:i/>
          <w:sz w:val="24"/>
          <w:szCs w:val="24"/>
        </w:rPr>
        <w:t>non arrecare un danno significativo</w:t>
      </w:r>
      <w:r>
        <w:rPr>
          <w:rFonts w:ascii="Times New Roman" w:eastAsia="Times New Roman" w:hAnsi="Times New Roman" w:cs="Times New Roman"/>
          <w:sz w:val="24"/>
          <w:szCs w:val="24"/>
        </w:rPr>
        <w:t>»: sicché appaiono indicati per segnare un limite massimo da non superare piuttosto che come un obiettivo da sostenere, solo nell’</w:t>
      </w:r>
      <w:r>
        <w:rPr>
          <w:rFonts w:ascii="Times New Roman" w:eastAsia="Times New Roman" w:hAnsi="Times New Roman" w:cs="Times New Roman"/>
          <w:i/>
          <w:sz w:val="24"/>
          <w:szCs w:val="24"/>
        </w:rPr>
        <w:t>Allegato VI</w:t>
      </w:r>
      <w:r>
        <w:rPr>
          <w:rFonts w:ascii="Times New Roman" w:eastAsia="Times New Roman" w:hAnsi="Times New Roman" w:cs="Times New Roman"/>
          <w:sz w:val="24"/>
          <w:szCs w:val="24"/>
        </w:rPr>
        <w:t xml:space="preserve"> si trasformano da limite a coefficiente di calcolo per il loro sostegno.</w:t>
      </w:r>
    </w:p>
    <w:p w14:paraId="00000087"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Risulta, inoltre, difficile comprendere come possano coesistere due diversi coefficienti di calcolo per determinare la quota del 37% da riservare alla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essendo entrambi applicati agli stessi “</w:t>
      </w:r>
      <w:r>
        <w:rPr>
          <w:rFonts w:ascii="Times New Roman" w:eastAsia="Times New Roman" w:hAnsi="Times New Roman" w:cs="Times New Roman"/>
          <w:i/>
          <w:sz w:val="24"/>
          <w:szCs w:val="24"/>
        </w:rPr>
        <w:t>Campi di intervento</w:t>
      </w:r>
      <w:r>
        <w:rPr>
          <w:rFonts w:ascii="Times New Roman" w:eastAsia="Times New Roman" w:hAnsi="Times New Roman" w:cs="Times New Roman"/>
          <w:sz w:val="24"/>
          <w:szCs w:val="24"/>
        </w:rPr>
        <w:t xml:space="preserve">” e, quindi, agli stessi progetti ed investimenti. </w:t>
      </w:r>
    </w:p>
    <w:p w14:paraId="00000088"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esempio, per l’energia solare (codice 029) il coefficiente per il calcolo del sostegno agli obiettivi in materia di cambiamenti climatici è indicato nel 100%, mentre quello per gli obiettivi ambientali lo stesso intervento è valutato come utile solo per il 40%. In un possibile caso concreto di uno o più progetti per il solare del valore ipotetico di un milione di euro, quale delle due valutazioni sarà quella corretta per andare a comporre quel 37% previsto per 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il 100% degli </w:t>
      </w:r>
      <w:r>
        <w:rPr>
          <w:rFonts w:ascii="Times New Roman" w:eastAsia="Times New Roman" w:hAnsi="Times New Roman" w:cs="Times New Roman"/>
          <w:i/>
          <w:sz w:val="24"/>
          <w:szCs w:val="24"/>
        </w:rPr>
        <w:t>obiettivi climatici</w:t>
      </w:r>
      <w:r>
        <w:rPr>
          <w:rFonts w:ascii="Times New Roman" w:eastAsia="Times New Roman" w:hAnsi="Times New Roman" w:cs="Times New Roman"/>
          <w:sz w:val="24"/>
          <w:szCs w:val="24"/>
        </w:rPr>
        <w:t xml:space="preserve"> o il 40% degli obiettivi ambientali?</w:t>
      </w:r>
    </w:p>
    <w:p w14:paraId="00000089" w14:textId="77777777" w:rsidR="005675A7" w:rsidRDefault="005675A7">
      <w:pPr>
        <w:ind w:firstLine="720"/>
        <w:jc w:val="both"/>
        <w:rPr>
          <w:rFonts w:ascii="Times New Roman" w:eastAsia="Times New Roman" w:hAnsi="Times New Roman" w:cs="Times New Roman"/>
          <w:sz w:val="24"/>
          <w:szCs w:val="24"/>
        </w:rPr>
      </w:pPr>
    </w:p>
    <w:p w14:paraId="0000008A" w14:textId="77777777" w:rsidR="005675A7" w:rsidRPr="00B54A81" w:rsidRDefault="00B54A81">
      <w:pPr>
        <w:ind w:firstLine="720"/>
        <w:jc w:val="both"/>
        <w:rPr>
          <w:rFonts w:ascii="Times New Roman" w:eastAsia="Times New Roman" w:hAnsi="Times New Roman" w:cs="Times New Roman"/>
          <w:b/>
          <w:sz w:val="24"/>
          <w:szCs w:val="24"/>
          <w:lang w:val="en-US"/>
        </w:rPr>
      </w:pPr>
      <w:r w:rsidRPr="00B54A81">
        <w:rPr>
          <w:rFonts w:ascii="Times New Roman" w:eastAsia="Times New Roman" w:hAnsi="Times New Roman" w:cs="Times New Roman"/>
          <w:b/>
          <w:sz w:val="24"/>
          <w:szCs w:val="24"/>
          <w:lang w:val="en-US"/>
        </w:rPr>
        <w:t xml:space="preserve">7.3. </w:t>
      </w:r>
      <w:r w:rsidRPr="00B54A81">
        <w:rPr>
          <w:rFonts w:ascii="Times New Roman" w:eastAsia="Times New Roman" w:hAnsi="Times New Roman" w:cs="Times New Roman"/>
          <w:b/>
          <w:i/>
          <w:sz w:val="24"/>
          <w:szCs w:val="24"/>
          <w:lang w:val="en-US"/>
        </w:rPr>
        <w:t>Segue:</w:t>
      </w:r>
      <w:r w:rsidRPr="00B54A81">
        <w:rPr>
          <w:rFonts w:ascii="Times New Roman" w:eastAsia="Times New Roman" w:hAnsi="Times New Roman" w:cs="Times New Roman"/>
          <w:b/>
          <w:sz w:val="24"/>
          <w:szCs w:val="24"/>
          <w:lang w:val="en-US"/>
        </w:rPr>
        <w:t xml:space="preserve"> la “</w:t>
      </w:r>
      <w:r w:rsidRPr="00B54A81">
        <w:rPr>
          <w:rFonts w:ascii="Times New Roman" w:eastAsia="Times New Roman" w:hAnsi="Times New Roman" w:cs="Times New Roman"/>
          <w:b/>
          <w:i/>
          <w:sz w:val="24"/>
          <w:szCs w:val="24"/>
          <w:lang w:val="en-US"/>
        </w:rPr>
        <w:t>Guidance to Member States Recovery and Resilience Plans</w:t>
      </w:r>
      <w:r w:rsidRPr="00B54A81">
        <w:rPr>
          <w:rFonts w:ascii="Times New Roman" w:eastAsia="Times New Roman" w:hAnsi="Times New Roman" w:cs="Times New Roman"/>
          <w:b/>
          <w:sz w:val="24"/>
          <w:szCs w:val="24"/>
          <w:lang w:val="en-US"/>
        </w:rPr>
        <w:t>”.</w:t>
      </w:r>
    </w:p>
    <w:p w14:paraId="0000008B"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difficoltà interpretativa sull’attribuzione della quota del 37% della dotazione UE alla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oppure agli </w:t>
      </w:r>
      <w:r>
        <w:rPr>
          <w:rFonts w:ascii="Times New Roman" w:eastAsia="Times New Roman" w:hAnsi="Times New Roman" w:cs="Times New Roman"/>
          <w:i/>
          <w:sz w:val="24"/>
          <w:szCs w:val="24"/>
        </w:rPr>
        <w:t>obiettivi climatici</w:t>
      </w:r>
      <w:r>
        <w:rPr>
          <w:rFonts w:ascii="Times New Roman" w:eastAsia="Times New Roman" w:hAnsi="Times New Roman" w:cs="Times New Roman"/>
          <w:sz w:val="24"/>
          <w:szCs w:val="24"/>
        </w:rPr>
        <w:t xml:space="preserve"> trova una diversa e netta interpretazione nel “</w:t>
      </w:r>
      <w:proofErr w:type="spellStart"/>
      <w:r>
        <w:rPr>
          <w:rFonts w:ascii="Times New Roman" w:eastAsia="Times New Roman" w:hAnsi="Times New Roman" w:cs="Times New Roman"/>
          <w:i/>
          <w:sz w:val="24"/>
          <w:szCs w:val="24"/>
        </w:rPr>
        <w:t>Commission</w:t>
      </w:r>
      <w:proofErr w:type="spellEnd"/>
      <w:r>
        <w:rPr>
          <w:rFonts w:ascii="Times New Roman" w:eastAsia="Times New Roman" w:hAnsi="Times New Roman" w:cs="Times New Roman"/>
          <w:i/>
          <w:sz w:val="24"/>
          <w:szCs w:val="24"/>
        </w:rPr>
        <w:t xml:space="preserve"> Staff </w:t>
      </w:r>
      <w:proofErr w:type="spellStart"/>
      <w:r>
        <w:rPr>
          <w:rFonts w:ascii="Times New Roman" w:eastAsia="Times New Roman" w:hAnsi="Times New Roman" w:cs="Times New Roman"/>
          <w:i/>
          <w:sz w:val="24"/>
          <w:szCs w:val="24"/>
        </w:rPr>
        <w:t>Working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Document</w:t>
      </w:r>
      <w:proofErr w:type="spellEnd"/>
      <w:r>
        <w:rPr>
          <w:rFonts w:ascii="Times New Roman" w:eastAsia="Times New Roman" w:hAnsi="Times New Roman" w:cs="Times New Roman"/>
          <w:sz w:val="24"/>
          <w:szCs w:val="24"/>
        </w:rPr>
        <w:t>” della Commissione europea recante “</w:t>
      </w:r>
      <w:proofErr w:type="spellStart"/>
      <w:r>
        <w:rPr>
          <w:rFonts w:ascii="Times New Roman" w:eastAsia="Times New Roman" w:hAnsi="Times New Roman" w:cs="Times New Roman"/>
          <w:i/>
          <w:sz w:val="24"/>
          <w:szCs w:val="24"/>
        </w:rPr>
        <w:t>Guidance</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Member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States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Recovery</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Resilience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Plans</w:t>
      </w:r>
      <w:proofErr w:type="spellEnd"/>
      <w:r>
        <w:rPr>
          <w:rFonts w:ascii="Times New Roman" w:eastAsia="Times New Roman" w:hAnsi="Times New Roman" w:cs="Times New Roman"/>
          <w:sz w:val="24"/>
          <w:szCs w:val="24"/>
        </w:rPr>
        <w:t>” del 22 gennaio 2021 (</w:t>
      </w:r>
      <w:proofErr w:type="gramStart"/>
      <w:r>
        <w:rPr>
          <w:rFonts w:ascii="Times New Roman" w:eastAsia="Times New Roman" w:hAnsi="Times New Roman" w:cs="Times New Roman"/>
          <w:sz w:val="24"/>
          <w:szCs w:val="24"/>
        </w:rPr>
        <w:t>SWD(</w:t>
      </w:r>
      <w:proofErr w:type="gramEnd"/>
      <w:r>
        <w:rPr>
          <w:rFonts w:ascii="Times New Roman" w:eastAsia="Times New Roman" w:hAnsi="Times New Roman" w:cs="Times New Roman"/>
          <w:sz w:val="24"/>
          <w:szCs w:val="24"/>
        </w:rPr>
        <w:t xml:space="preserve">2021) 12 </w:t>
      </w:r>
      <w:proofErr w:type="spellStart"/>
      <w:r>
        <w:rPr>
          <w:rFonts w:ascii="Times New Roman" w:eastAsia="Times New Roman" w:hAnsi="Times New Roman" w:cs="Times New Roman"/>
          <w:sz w:val="24"/>
          <w:szCs w:val="24"/>
        </w:rPr>
        <w:t>final</w:t>
      </w:r>
      <w:proofErr w:type="spellEnd"/>
      <w:r>
        <w:rPr>
          <w:rFonts w:ascii="Times New Roman" w:eastAsia="Times New Roman" w:hAnsi="Times New Roman" w:cs="Times New Roman"/>
          <w:sz w:val="24"/>
          <w:szCs w:val="24"/>
        </w:rPr>
        <w:t xml:space="preserve">). </w:t>
      </w:r>
    </w:p>
    <w:p w14:paraId="0000008C" w14:textId="77777777" w:rsidR="005675A7" w:rsidRPr="00B54A81" w:rsidRDefault="00B54A81">
      <w:pPr>
        <w:ind w:firstLine="720"/>
        <w:jc w:val="both"/>
        <w:rPr>
          <w:rFonts w:ascii="Times New Roman" w:eastAsia="Times New Roman" w:hAnsi="Times New Roman" w:cs="Times New Roman"/>
          <w:sz w:val="24"/>
          <w:szCs w:val="24"/>
          <w:lang w:val="en-US"/>
        </w:rPr>
      </w:pPr>
      <w:r w:rsidRPr="00B54A81">
        <w:rPr>
          <w:rFonts w:ascii="Times New Roman" w:eastAsia="Times New Roman" w:hAnsi="Times New Roman" w:cs="Times New Roman"/>
          <w:sz w:val="24"/>
          <w:szCs w:val="24"/>
          <w:lang w:val="en-US"/>
        </w:rPr>
        <w:t>Nella versione inglese, la sola disponibile, si legge: “</w:t>
      </w:r>
      <w:r w:rsidRPr="00B54A81">
        <w:rPr>
          <w:rFonts w:ascii="Times New Roman" w:eastAsia="Times New Roman" w:hAnsi="Times New Roman" w:cs="Times New Roman"/>
          <w:i/>
          <w:sz w:val="24"/>
          <w:szCs w:val="24"/>
          <w:lang w:val="en-US"/>
        </w:rPr>
        <w:t>Member States should explain to what extent the plan will contribute to the green transition, including biodiversity, or address the challenges resulting from it. The green dimension of the plan’s components will be assessed under both a qualitative approach (to assess the link with the energy, climate and environmental challenges) and a quantitative approach (to verify the compliance with the 37% climate expenditure target)</w:t>
      </w:r>
      <w:r w:rsidRPr="00B54A81">
        <w:rPr>
          <w:rFonts w:ascii="Times New Roman" w:eastAsia="Times New Roman" w:hAnsi="Times New Roman" w:cs="Times New Roman"/>
          <w:sz w:val="24"/>
          <w:szCs w:val="24"/>
          <w:lang w:val="en-US"/>
        </w:rPr>
        <w:t>”.</w:t>
      </w:r>
    </w:p>
    <w:p w14:paraId="0000008D"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tale </w:t>
      </w:r>
      <w:r>
        <w:rPr>
          <w:rFonts w:ascii="Times New Roman" w:eastAsia="Times New Roman" w:hAnsi="Times New Roman" w:cs="Times New Roman"/>
          <w:i/>
          <w:sz w:val="24"/>
          <w:szCs w:val="24"/>
        </w:rPr>
        <w:t>documento di lavoro</w:t>
      </w:r>
      <w:r>
        <w:rPr>
          <w:rFonts w:ascii="Times New Roman" w:eastAsia="Times New Roman" w:hAnsi="Times New Roman" w:cs="Times New Roman"/>
          <w:sz w:val="24"/>
          <w:szCs w:val="24"/>
        </w:rPr>
        <w:t xml:space="preserve"> (che ha il valore che ha: cioè quello di un mero atto preparatorio), 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sarà quindi valutata sia con un approccio quantitativo che qualitativo; quello quantitativo servirà per dimostrare che i piani proposti contribuiscono con almeno il 37% della dotazione all’</w:t>
      </w:r>
      <w:r>
        <w:rPr>
          <w:rFonts w:ascii="Times New Roman" w:eastAsia="Times New Roman" w:hAnsi="Times New Roman" w:cs="Times New Roman"/>
          <w:i/>
          <w:sz w:val="24"/>
          <w:szCs w:val="24"/>
        </w:rPr>
        <w:t>obiettivo climatico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Member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States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should</w:t>
      </w:r>
      <w:proofErr w:type="spellEnd"/>
      <w:r>
        <w:rPr>
          <w:rFonts w:ascii="Times New Roman" w:eastAsia="Times New Roman" w:hAnsi="Times New Roman" w:cs="Times New Roman"/>
          <w:i/>
          <w:sz w:val="24"/>
          <w:szCs w:val="24"/>
        </w:rPr>
        <w:t xml:space="preserve"> use a quantitative </w:t>
      </w:r>
      <w:proofErr w:type="spellStart"/>
      <w:r>
        <w:rPr>
          <w:rFonts w:ascii="Times New Roman" w:eastAsia="Times New Roman" w:hAnsi="Times New Roman" w:cs="Times New Roman"/>
          <w:i/>
          <w:sz w:val="24"/>
          <w:szCs w:val="24"/>
        </w:rPr>
        <w:t>approach</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demonstrate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their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proposed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plans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contribute</w:t>
      </w:r>
      <w:proofErr w:type="spellEnd"/>
      <w:r>
        <w:rPr>
          <w:rFonts w:ascii="Times New Roman" w:eastAsia="Times New Roman" w:hAnsi="Times New Roman" w:cs="Times New Roman"/>
          <w:i/>
          <w:sz w:val="24"/>
          <w:szCs w:val="24"/>
        </w:rPr>
        <w:t xml:space="preserve"> with </w:t>
      </w:r>
      <w:proofErr w:type="spellStart"/>
      <w:r>
        <w:rPr>
          <w:rFonts w:ascii="Times New Roman" w:eastAsia="Times New Roman" w:hAnsi="Times New Roman" w:cs="Times New Roman"/>
          <w:i/>
          <w:sz w:val="24"/>
          <w:szCs w:val="24"/>
        </w:rPr>
        <w:t>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least</w:t>
      </w:r>
      <w:proofErr w:type="spellEnd"/>
      <w:r>
        <w:rPr>
          <w:rFonts w:ascii="Times New Roman" w:eastAsia="Times New Roman" w:hAnsi="Times New Roman" w:cs="Times New Roman"/>
          <w:i/>
          <w:sz w:val="24"/>
          <w:szCs w:val="24"/>
        </w:rPr>
        <w:t xml:space="preserve"> 37% of the </w:t>
      </w:r>
      <w:proofErr w:type="spellStart"/>
      <w:r>
        <w:rPr>
          <w:rFonts w:ascii="Times New Roman" w:eastAsia="Times New Roman" w:hAnsi="Times New Roman" w:cs="Times New Roman"/>
          <w:i/>
          <w:sz w:val="24"/>
          <w:szCs w:val="24"/>
        </w:rPr>
        <w:t>plan’s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total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allocation</w:t>
      </w:r>
      <w:proofErr w:type="spellEnd"/>
      <w:r>
        <w:rPr>
          <w:rFonts w:ascii="Times New Roman" w:eastAsia="Times New Roman" w:hAnsi="Times New Roman" w:cs="Times New Roman"/>
          <w:i/>
          <w:sz w:val="24"/>
          <w:szCs w:val="24"/>
        </w:rPr>
        <w:t xml:space="preserve"> to the </w:t>
      </w:r>
      <w:proofErr w:type="spellStart"/>
      <w:r>
        <w:rPr>
          <w:rFonts w:ascii="Times New Roman" w:eastAsia="Times New Roman" w:hAnsi="Times New Roman" w:cs="Times New Roman"/>
          <w:i/>
          <w:sz w:val="24"/>
          <w:szCs w:val="24"/>
        </w:rPr>
        <w:t>climate</w:t>
      </w:r>
      <w:proofErr w:type="spellEnd"/>
      <w:r>
        <w:rPr>
          <w:rFonts w:ascii="Times New Roman" w:eastAsia="Times New Roman" w:hAnsi="Times New Roman" w:cs="Times New Roman"/>
          <w:i/>
          <w:sz w:val="24"/>
          <w:szCs w:val="24"/>
        </w:rPr>
        <w:t xml:space="preserve"> target</w:t>
      </w:r>
      <w:r>
        <w:rPr>
          <w:rFonts w:ascii="Times New Roman" w:eastAsia="Times New Roman" w:hAnsi="Times New Roman" w:cs="Times New Roman"/>
          <w:sz w:val="24"/>
          <w:szCs w:val="24"/>
        </w:rPr>
        <w:t>”).</w:t>
      </w:r>
    </w:p>
    <w:p w14:paraId="0000008E"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Diversamente dal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nel </w:t>
      </w:r>
      <w:r>
        <w:rPr>
          <w:rFonts w:ascii="Times New Roman" w:eastAsia="Times New Roman" w:hAnsi="Times New Roman" w:cs="Times New Roman"/>
          <w:i/>
          <w:sz w:val="24"/>
          <w:szCs w:val="24"/>
        </w:rPr>
        <w:t>documento di lavoro</w:t>
      </w:r>
      <w:r>
        <w:rPr>
          <w:rFonts w:ascii="Times New Roman" w:eastAsia="Times New Roman" w:hAnsi="Times New Roman" w:cs="Times New Roman"/>
          <w:sz w:val="24"/>
          <w:szCs w:val="24"/>
        </w:rPr>
        <w:t xml:space="preserve"> non ci sono ambiguità, il 37% della dotazione è riferito </w:t>
      </w:r>
      <w:r>
        <w:rPr>
          <w:rFonts w:ascii="Times New Roman" w:eastAsia="Times New Roman" w:hAnsi="Times New Roman" w:cs="Times New Roman"/>
          <w:i/>
          <w:sz w:val="24"/>
          <w:szCs w:val="24"/>
        </w:rPr>
        <w:t>all’obiettivo climatico</w:t>
      </w:r>
      <w:r>
        <w:rPr>
          <w:rFonts w:ascii="Times New Roman" w:eastAsia="Times New Roman" w:hAnsi="Times New Roman" w:cs="Times New Roman"/>
          <w:sz w:val="24"/>
          <w:szCs w:val="24"/>
        </w:rPr>
        <w:t xml:space="preserve"> e non alla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While</w:t>
      </w:r>
      <w:proofErr w:type="spellEnd"/>
      <w:r>
        <w:rPr>
          <w:rFonts w:ascii="Times New Roman" w:eastAsia="Times New Roman" w:hAnsi="Times New Roman" w:cs="Times New Roman"/>
          <w:i/>
          <w:sz w:val="24"/>
          <w:szCs w:val="24"/>
        </w:rPr>
        <w:t xml:space="preserve"> the quantitative target of 37% </w:t>
      </w:r>
      <w:proofErr w:type="spellStart"/>
      <w:r>
        <w:rPr>
          <w:rFonts w:ascii="Times New Roman" w:eastAsia="Times New Roman" w:hAnsi="Times New Roman" w:cs="Times New Roman"/>
          <w:i/>
          <w:sz w:val="24"/>
          <w:szCs w:val="24"/>
        </w:rPr>
        <w:t>applies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only</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climate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change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related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measures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Member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States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should</w:t>
      </w:r>
      <w:proofErr w:type="spellEnd"/>
      <w:r>
        <w:rPr>
          <w:rFonts w:ascii="Times New Roman" w:eastAsia="Times New Roman" w:hAnsi="Times New Roman" w:cs="Times New Roman"/>
          <w:i/>
          <w:sz w:val="24"/>
          <w:szCs w:val="24"/>
        </w:rPr>
        <w:t xml:space="preserve"> use a qualitative </w:t>
      </w:r>
      <w:proofErr w:type="spellStart"/>
      <w:r>
        <w:rPr>
          <w:rFonts w:ascii="Times New Roman" w:eastAsia="Times New Roman" w:hAnsi="Times New Roman" w:cs="Times New Roman"/>
          <w:i/>
          <w:sz w:val="24"/>
          <w:szCs w:val="24"/>
        </w:rPr>
        <w:t>approach</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explain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how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their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plans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contribute</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broader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environmental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objectives</w:t>
      </w:r>
      <w:proofErr w:type="spellEnd"/>
      <w:r>
        <w:rPr>
          <w:rFonts w:ascii="Times New Roman" w:eastAsia="Times New Roman" w:hAnsi="Times New Roman" w:cs="Times New Roman"/>
          <w:i/>
          <w:sz w:val="24"/>
          <w:szCs w:val="24"/>
        </w:rPr>
        <w:t xml:space="preserve"> of the green </w:t>
      </w:r>
      <w:proofErr w:type="spellStart"/>
      <w:r>
        <w:rPr>
          <w:rFonts w:ascii="Times New Roman" w:eastAsia="Times New Roman" w:hAnsi="Times New Roman" w:cs="Times New Roman"/>
          <w:i/>
          <w:sz w:val="24"/>
          <w:szCs w:val="24"/>
        </w:rPr>
        <w:t>transition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including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biodiversity</w:t>
      </w:r>
      <w:proofErr w:type="spellEnd"/>
      <w:r>
        <w:rPr>
          <w:rFonts w:ascii="Times New Roman" w:eastAsia="Times New Roman" w:hAnsi="Times New Roman" w:cs="Times New Roman"/>
          <w:sz w:val="24"/>
          <w:szCs w:val="24"/>
        </w:rPr>
        <w:t xml:space="preserve">”. </w:t>
      </w:r>
    </w:p>
    <w:p w14:paraId="0000008F" w14:textId="77777777" w:rsidR="005675A7" w:rsidRPr="00B54A81" w:rsidRDefault="00B54A81">
      <w:pPr>
        <w:ind w:firstLine="720"/>
        <w:jc w:val="both"/>
        <w:rPr>
          <w:rFonts w:ascii="Times New Roman" w:eastAsia="Times New Roman" w:hAnsi="Times New Roman" w:cs="Times New Roman"/>
          <w:sz w:val="24"/>
          <w:szCs w:val="24"/>
          <w:lang w:val="en-US"/>
        </w:rPr>
      </w:pPr>
      <w:r w:rsidRPr="00B54A81">
        <w:rPr>
          <w:rFonts w:ascii="Times New Roman" w:eastAsia="Times New Roman" w:hAnsi="Times New Roman" w:cs="Times New Roman"/>
          <w:sz w:val="24"/>
          <w:szCs w:val="24"/>
          <w:lang w:val="en-US"/>
        </w:rPr>
        <w:t xml:space="preserve">Anche nella successiva </w:t>
      </w:r>
      <w:r w:rsidRPr="00B54A81">
        <w:rPr>
          <w:rFonts w:ascii="Times New Roman" w:eastAsia="Times New Roman" w:hAnsi="Times New Roman" w:cs="Times New Roman"/>
          <w:i/>
          <w:sz w:val="24"/>
          <w:szCs w:val="24"/>
          <w:lang w:val="en-US"/>
        </w:rPr>
        <w:t>comunicazione</w:t>
      </w:r>
      <w:r w:rsidRPr="00B54A81">
        <w:rPr>
          <w:rFonts w:ascii="Times New Roman" w:eastAsia="Times New Roman" w:hAnsi="Times New Roman" w:cs="Times New Roman"/>
          <w:sz w:val="24"/>
          <w:szCs w:val="24"/>
          <w:lang w:val="en-US"/>
        </w:rPr>
        <w:t xml:space="preserve"> del 24 febbraio 2021 “</w:t>
      </w:r>
      <w:r w:rsidRPr="00B54A81">
        <w:rPr>
          <w:rFonts w:ascii="Times New Roman" w:eastAsia="Times New Roman" w:hAnsi="Times New Roman" w:cs="Times New Roman"/>
          <w:i/>
          <w:sz w:val="24"/>
          <w:szCs w:val="24"/>
          <w:lang w:val="en-US"/>
        </w:rPr>
        <w:t>Forging a climate-resilient Europe - the new EU Strategy on Adaptation to Climate Change</w:t>
      </w:r>
      <w:r w:rsidRPr="00B54A81">
        <w:rPr>
          <w:rFonts w:ascii="Times New Roman" w:eastAsia="Times New Roman" w:hAnsi="Times New Roman" w:cs="Times New Roman"/>
          <w:sz w:val="24"/>
          <w:szCs w:val="24"/>
          <w:lang w:val="en-US"/>
        </w:rPr>
        <w:t>” (</w:t>
      </w:r>
      <w:proofErr w:type="gramStart"/>
      <w:r w:rsidRPr="00B54A81">
        <w:rPr>
          <w:rFonts w:ascii="Times New Roman" w:eastAsia="Times New Roman" w:hAnsi="Times New Roman" w:cs="Times New Roman"/>
          <w:sz w:val="24"/>
          <w:szCs w:val="24"/>
          <w:lang w:val="en-US"/>
        </w:rPr>
        <w:t>COM(</w:t>
      </w:r>
      <w:proofErr w:type="gramEnd"/>
      <w:r w:rsidRPr="00B54A81">
        <w:rPr>
          <w:rFonts w:ascii="Times New Roman" w:eastAsia="Times New Roman" w:hAnsi="Times New Roman" w:cs="Times New Roman"/>
          <w:sz w:val="24"/>
          <w:szCs w:val="24"/>
          <w:lang w:val="en-US"/>
        </w:rPr>
        <w:t>2021) 82 final), la Commissione europea ha precisato che “</w:t>
      </w:r>
      <w:r w:rsidRPr="00B54A81">
        <w:rPr>
          <w:rFonts w:ascii="Times New Roman" w:eastAsia="Times New Roman" w:hAnsi="Times New Roman" w:cs="Times New Roman"/>
          <w:i/>
          <w:sz w:val="24"/>
          <w:szCs w:val="24"/>
          <w:lang w:val="en-US"/>
        </w:rPr>
        <w:t>At least 37% of the allocation of the plans should be directed to climate action</w:t>
      </w:r>
      <w:r w:rsidRPr="00B54A81">
        <w:rPr>
          <w:rFonts w:ascii="Times New Roman" w:eastAsia="Times New Roman" w:hAnsi="Times New Roman" w:cs="Times New Roman"/>
          <w:sz w:val="24"/>
          <w:szCs w:val="24"/>
          <w:lang w:val="en-US"/>
        </w:rPr>
        <w:t>”.</w:t>
      </w:r>
    </w:p>
    <w:p w14:paraId="00000090"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Nel sistema delle fonti del diritto </w:t>
      </w:r>
      <w:proofErr w:type="spellStart"/>
      <w:r>
        <w:rPr>
          <w:rFonts w:ascii="Times New Roman" w:eastAsia="Times New Roman" w:hAnsi="Times New Roman" w:cs="Times New Roman"/>
          <w:sz w:val="24"/>
          <w:szCs w:val="24"/>
        </w:rPr>
        <w:t>eurounitario</w:t>
      </w:r>
      <w:proofErr w:type="spellEnd"/>
      <w:r>
        <w:rPr>
          <w:rFonts w:ascii="Times New Roman" w:eastAsia="Times New Roman" w:hAnsi="Times New Roman" w:cs="Times New Roman"/>
          <w:sz w:val="24"/>
          <w:szCs w:val="24"/>
        </w:rPr>
        <w:t xml:space="preserve"> non vi è dubbio che il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approvato dal Parlamento e dal Consiglio Europeo prevale sulle comunicazioni della Commissione europea; e che ai documenti di lavoro non può essere attribuito altro valore di quello accennato. Tuttavia, questi ultimi possono essere utili per identificare alcuni tratti secondari e marginali, pur se privi di forza giuridica per superare le previsioni del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in favore della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né quella di risolvere l’eventuale incertezza (ove la si volesse considerare come tale) nell’attribuzione della quota più importante della dotazione per la ripresa e la resilienza.</w:t>
      </w:r>
    </w:p>
    <w:p w14:paraId="00000091" w14:textId="77777777" w:rsidR="005675A7" w:rsidRDefault="005675A7">
      <w:pPr>
        <w:ind w:firstLine="720"/>
        <w:jc w:val="both"/>
        <w:rPr>
          <w:rFonts w:ascii="Times New Roman" w:eastAsia="Times New Roman" w:hAnsi="Times New Roman" w:cs="Times New Roman"/>
          <w:sz w:val="24"/>
          <w:szCs w:val="24"/>
        </w:rPr>
      </w:pPr>
    </w:p>
    <w:p w14:paraId="00000092" w14:textId="77777777" w:rsidR="005675A7" w:rsidRDefault="00B54A81">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Comunicazione della Commissione europea sul principio </w:t>
      </w:r>
      <w:r>
        <w:rPr>
          <w:rFonts w:ascii="Times New Roman" w:eastAsia="Times New Roman" w:hAnsi="Times New Roman" w:cs="Times New Roman"/>
          <w:b/>
          <w:i/>
          <w:sz w:val="24"/>
          <w:szCs w:val="24"/>
        </w:rPr>
        <w:t>«non arrecare un danno significativo»</w:t>
      </w:r>
      <w:r>
        <w:rPr>
          <w:rFonts w:ascii="Times New Roman" w:eastAsia="Times New Roman" w:hAnsi="Times New Roman" w:cs="Times New Roman"/>
          <w:b/>
          <w:sz w:val="24"/>
          <w:szCs w:val="24"/>
        </w:rPr>
        <w:t>.</w:t>
      </w:r>
    </w:p>
    <w:p w14:paraId="00000093"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 detto all’inizio, il 18 febbraio 2021 è stata pubblicata sulla Gazzetta ufficiale UE (C-058) la Comunicazione della Commissione intitolata “</w:t>
      </w:r>
      <w:r>
        <w:rPr>
          <w:rFonts w:ascii="Times New Roman" w:eastAsia="Times New Roman" w:hAnsi="Times New Roman" w:cs="Times New Roman"/>
          <w:i/>
          <w:sz w:val="24"/>
          <w:szCs w:val="24"/>
        </w:rPr>
        <w:t>Orientamenti tecnici sull’applicazione del principio «non arrecare un danno significativo» a norma del regolamento sul dispositivo per la ripresa e la resilienza</w:t>
      </w:r>
      <w:r>
        <w:rPr>
          <w:rFonts w:ascii="Times New Roman" w:eastAsia="Times New Roman" w:hAnsi="Times New Roman" w:cs="Times New Roman"/>
          <w:sz w:val="24"/>
          <w:szCs w:val="24"/>
        </w:rPr>
        <w:t>” (2021/C 58/01) (di seguito “Comunicazione”).</w:t>
      </w:r>
    </w:p>
    <w:p w14:paraId="00000094"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premessa è che la Comunicazione si basa sul testo del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però nella versione concordata a livello politico tra il Parlamento Europeo e il Consiglio nel dicembre 2020 (2020/0104 (COD)): per questo si notano talune incongruenze tra il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appena esaminato e la Comunicazione, a cominciare dalla numerazione degli articoli richiamati.</w:t>
      </w:r>
    </w:p>
    <w:p w14:paraId="00000095"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Inoltre, quello che nel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è chiamato il </w:t>
      </w:r>
      <w:r>
        <w:rPr>
          <w:rFonts w:ascii="Times New Roman" w:eastAsia="Times New Roman" w:hAnsi="Times New Roman" w:cs="Times New Roman"/>
          <w:i/>
          <w:sz w:val="24"/>
          <w:szCs w:val="24"/>
        </w:rPr>
        <w:t>“dispositivo per la ripresa e la resilienza”</w:t>
      </w:r>
      <w:r>
        <w:rPr>
          <w:rFonts w:ascii="Times New Roman" w:eastAsia="Times New Roman" w:hAnsi="Times New Roman" w:cs="Times New Roman"/>
          <w:sz w:val="24"/>
          <w:szCs w:val="24"/>
        </w:rPr>
        <w:t xml:space="preserve">, nella Comunicazione è invece definito con l’acronimo </w:t>
      </w:r>
      <w:r>
        <w:rPr>
          <w:rFonts w:ascii="Times New Roman" w:eastAsia="Times New Roman" w:hAnsi="Times New Roman" w:cs="Times New Roman"/>
          <w:i/>
          <w:sz w:val="24"/>
          <w:szCs w:val="24"/>
        </w:rPr>
        <w:t>RRF</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Recovery</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Resilience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Facility</w:t>
      </w:r>
      <w:proofErr w:type="spellEnd"/>
      <w:r>
        <w:rPr>
          <w:rFonts w:ascii="Times New Roman" w:eastAsia="Times New Roman" w:hAnsi="Times New Roman" w:cs="Times New Roman"/>
          <w:sz w:val="24"/>
          <w:szCs w:val="24"/>
        </w:rPr>
        <w:t xml:space="preserve">); invece per il </w:t>
      </w:r>
      <w:r>
        <w:rPr>
          <w:rFonts w:ascii="Times New Roman" w:eastAsia="Times New Roman" w:hAnsi="Times New Roman" w:cs="Times New Roman"/>
          <w:i/>
          <w:sz w:val="24"/>
          <w:szCs w:val="24"/>
        </w:rPr>
        <w:t>piano per la ripresa e la resilienza</w:t>
      </w:r>
      <w:r>
        <w:rPr>
          <w:rFonts w:ascii="Times New Roman" w:eastAsia="Times New Roman" w:hAnsi="Times New Roman" w:cs="Times New Roman"/>
          <w:sz w:val="24"/>
          <w:szCs w:val="24"/>
        </w:rPr>
        <w:t xml:space="preserve"> è usato l’acronimo </w:t>
      </w:r>
      <w:r>
        <w:rPr>
          <w:rFonts w:ascii="Times New Roman" w:eastAsia="Times New Roman" w:hAnsi="Times New Roman" w:cs="Times New Roman"/>
          <w:i/>
          <w:sz w:val="24"/>
          <w:szCs w:val="24"/>
        </w:rPr>
        <w:t>RRP</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Recovery</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Resilience</w:t>
      </w:r>
      <w:proofErr w:type="spellEnd"/>
      <w:r>
        <w:rPr>
          <w:rFonts w:ascii="Times New Roman" w:eastAsia="Times New Roman" w:hAnsi="Times New Roman" w:cs="Times New Roman"/>
          <w:i/>
          <w:sz w:val="24"/>
          <w:szCs w:val="24"/>
        </w:rPr>
        <w:t xml:space="preserve"> Plan</w:t>
      </w:r>
      <w:r>
        <w:rPr>
          <w:rFonts w:ascii="Times New Roman" w:eastAsia="Times New Roman" w:hAnsi="Times New Roman" w:cs="Times New Roman"/>
          <w:sz w:val="24"/>
          <w:szCs w:val="24"/>
        </w:rPr>
        <w:t>); e ancora, il principio «</w:t>
      </w:r>
      <w:r>
        <w:rPr>
          <w:rFonts w:ascii="Times New Roman" w:eastAsia="Times New Roman" w:hAnsi="Times New Roman" w:cs="Times New Roman"/>
          <w:i/>
          <w:sz w:val="24"/>
          <w:szCs w:val="24"/>
        </w:rPr>
        <w:t>non arrecare un danno significativo</w:t>
      </w:r>
      <w:r>
        <w:rPr>
          <w:rFonts w:ascii="Times New Roman" w:eastAsia="Times New Roman" w:hAnsi="Times New Roman" w:cs="Times New Roman"/>
          <w:sz w:val="24"/>
          <w:szCs w:val="24"/>
        </w:rPr>
        <w:t xml:space="preserve">» è sintetizzato nell’acronimo </w:t>
      </w:r>
      <w:r>
        <w:rPr>
          <w:rFonts w:ascii="Times New Roman" w:eastAsia="Times New Roman" w:hAnsi="Times New Roman" w:cs="Times New Roman"/>
          <w:i/>
          <w:sz w:val="24"/>
          <w:szCs w:val="24"/>
        </w:rPr>
        <w:t>DNSH</w:t>
      </w:r>
      <w:r>
        <w:rPr>
          <w:rFonts w:ascii="Times New Roman" w:eastAsia="Times New Roman" w:hAnsi="Times New Roman" w:cs="Times New Roman"/>
          <w:sz w:val="24"/>
          <w:szCs w:val="24"/>
        </w:rPr>
        <w:t xml:space="preserve"> (dall’inglese “</w:t>
      </w:r>
      <w:r>
        <w:rPr>
          <w:rFonts w:ascii="Times New Roman" w:eastAsia="Times New Roman" w:hAnsi="Times New Roman" w:cs="Times New Roman"/>
          <w:i/>
          <w:sz w:val="24"/>
          <w:szCs w:val="24"/>
        </w:rPr>
        <w:t xml:space="preserve">Do No </w:t>
      </w:r>
      <w:proofErr w:type="spellStart"/>
      <w:r>
        <w:rPr>
          <w:rFonts w:ascii="Times New Roman" w:eastAsia="Times New Roman" w:hAnsi="Times New Roman" w:cs="Times New Roman"/>
          <w:i/>
          <w:sz w:val="24"/>
          <w:szCs w:val="24"/>
        </w:rPr>
        <w:t>Significant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Harm</w:t>
      </w:r>
      <w:proofErr w:type="spellEnd"/>
      <w:r>
        <w:rPr>
          <w:rFonts w:ascii="Times New Roman" w:eastAsia="Times New Roman" w:hAnsi="Times New Roman" w:cs="Times New Roman"/>
          <w:sz w:val="24"/>
          <w:szCs w:val="24"/>
        </w:rPr>
        <w:t xml:space="preserve">”). </w:t>
      </w:r>
    </w:p>
    <w:p w14:paraId="00000096"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 prosieguo dell’esame della Comunicazione si userà quest’ultima terminologia, anche se nell’atto principale (il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la terminologia, ufficiale e definitiva, è diversa (anche in questo caso non si può fare a meno di notare come atti così importanti per l’uscita dalla crisi COVID-19, dell’ingente valore di 672,5 miliardi di euro, meriterebbero una maggiore univocità lessicale e, quindi, giuridica).</w:t>
      </w:r>
    </w:p>
    <w:p w14:paraId="00000097"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Comunicazione, dopo aver riassunto il </w:t>
      </w:r>
      <w:r>
        <w:rPr>
          <w:rFonts w:ascii="Times New Roman" w:eastAsia="Times New Roman" w:hAnsi="Times New Roman" w:cs="Times New Roman"/>
          <w:i/>
          <w:sz w:val="24"/>
          <w:szCs w:val="24"/>
        </w:rPr>
        <w:t>principio DNSH</w:t>
      </w:r>
      <w:r>
        <w:rPr>
          <w:rFonts w:ascii="Times New Roman" w:eastAsia="Times New Roman" w:hAnsi="Times New Roman" w:cs="Times New Roman"/>
          <w:sz w:val="24"/>
          <w:szCs w:val="24"/>
        </w:rPr>
        <w:t xml:space="preserve">, indica come tale principio vada applicato nel </w:t>
      </w:r>
      <w:r>
        <w:rPr>
          <w:rFonts w:ascii="Times New Roman" w:eastAsia="Times New Roman" w:hAnsi="Times New Roman" w:cs="Times New Roman"/>
          <w:i/>
          <w:sz w:val="24"/>
          <w:szCs w:val="24"/>
        </w:rPr>
        <w:t>RRF</w:t>
      </w:r>
      <w:r>
        <w:rPr>
          <w:rFonts w:ascii="Times New Roman" w:eastAsia="Times New Roman" w:hAnsi="Times New Roman" w:cs="Times New Roman"/>
          <w:sz w:val="24"/>
          <w:szCs w:val="24"/>
        </w:rPr>
        <w:t xml:space="preserve"> e precisa: “</w:t>
      </w:r>
      <w:r>
        <w:rPr>
          <w:rFonts w:ascii="Times New Roman" w:eastAsia="Times New Roman" w:hAnsi="Times New Roman" w:cs="Times New Roman"/>
          <w:i/>
          <w:sz w:val="24"/>
          <w:szCs w:val="24"/>
        </w:rPr>
        <w:t xml:space="preserve">gli Stati membri devono fornire una valutazione DNSH per ogni singola misura del rispettivo RRP. Secondo il regolamento RRF, nessuna misura </w:t>
      </w:r>
      <w:proofErr w:type="spellStart"/>
      <w:r>
        <w:rPr>
          <w:rFonts w:ascii="Times New Roman" w:eastAsia="Times New Roman" w:hAnsi="Times New Roman" w:cs="Times New Roman"/>
          <w:i/>
          <w:sz w:val="24"/>
          <w:szCs w:val="24"/>
        </w:rPr>
        <w:t>inclusa</w:t>
      </w:r>
      <w:proofErr w:type="spellEnd"/>
      <w:r>
        <w:rPr>
          <w:rFonts w:ascii="Times New Roman" w:eastAsia="Times New Roman" w:hAnsi="Times New Roman" w:cs="Times New Roman"/>
          <w:i/>
          <w:sz w:val="24"/>
          <w:szCs w:val="24"/>
        </w:rPr>
        <w:t xml:space="preserve"> in un RRP deve comportare un danno significativo agli obiettivi ambientali e la Commissione non può valutare positivamente l’RRP se una o più misure non sono conformi al principio DNSH</w:t>
      </w:r>
      <w:r>
        <w:rPr>
          <w:rFonts w:ascii="Times New Roman" w:eastAsia="Times New Roman" w:hAnsi="Times New Roman" w:cs="Times New Roman"/>
          <w:sz w:val="24"/>
          <w:szCs w:val="24"/>
        </w:rPr>
        <w:t xml:space="preserve">”. </w:t>
      </w:r>
    </w:p>
    <w:p w14:paraId="00000098"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w:t>
      </w:r>
      <w:r>
        <w:rPr>
          <w:rFonts w:ascii="Times New Roman" w:eastAsia="Times New Roman" w:hAnsi="Times New Roman" w:cs="Times New Roman"/>
          <w:i/>
          <w:sz w:val="24"/>
          <w:szCs w:val="24"/>
        </w:rPr>
        <w:t>valutazione DNSH”</w:t>
      </w:r>
      <w:r>
        <w:rPr>
          <w:rFonts w:ascii="Times New Roman" w:eastAsia="Times New Roman" w:hAnsi="Times New Roman" w:cs="Times New Roman"/>
          <w:sz w:val="24"/>
          <w:szCs w:val="24"/>
        </w:rPr>
        <w:t xml:space="preserve"> (cioè la conformità al principio </w:t>
      </w:r>
      <w:r>
        <w:rPr>
          <w:rFonts w:ascii="Times New Roman" w:eastAsia="Times New Roman" w:hAnsi="Times New Roman" w:cs="Times New Roman"/>
          <w:i/>
          <w:sz w:val="24"/>
          <w:szCs w:val="24"/>
        </w:rPr>
        <w:t>DNSH</w:t>
      </w:r>
      <w:r>
        <w:rPr>
          <w:rFonts w:ascii="Times New Roman" w:eastAsia="Times New Roman" w:hAnsi="Times New Roman" w:cs="Times New Roman"/>
          <w:sz w:val="24"/>
          <w:szCs w:val="24"/>
        </w:rPr>
        <w:t xml:space="preserve">) non dovrà essere effettuata a livello del piano o delle singole componenti del piano bensì a livello di misura, precisa la Comunicazione, e questo vale sia per le misure che si considera diano un contributo alla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sia per tutte le altre misure incluse negli </w:t>
      </w:r>
      <w:r>
        <w:rPr>
          <w:rFonts w:ascii="Times New Roman" w:eastAsia="Times New Roman" w:hAnsi="Times New Roman" w:cs="Times New Roman"/>
          <w:i/>
          <w:sz w:val="24"/>
          <w:szCs w:val="24"/>
        </w:rPr>
        <w:t>RRP</w:t>
      </w:r>
      <w:r>
        <w:rPr>
          <w:rFonts w:ascii="Times New Roman" w:eastAsia="Times New Roman" w:hAnsi="Times New Roman" w:cs="Times New Roman"/>
          <w:sz w:val="24"/>
          <w:szCs w:val="24"/>
        </w:rPr>
        <w:t>. Da precisare che per “</w:t>
      </w:r>
      <w:r>
        <w:rPr>
          <w:rFonts w:ascii="Times New Roman" w:eastAsia="Times New Roman" w:hAnsi="Times New Roman" w:cs="Times New Roman"/>
          <w:i/>
          <w:sz w:val="24"/>
          <w:szCs w:val="24"/>
        </w:rPr>
        <w:t>misura</w:t>
      </w:r>
      <w:r>
        <w:rPr>
          <w:rFonts w:ascii="Times New Roman" w:eastAsia="Times New Roman" w:hAnsi="Times New Roman" w:cs="Times New Roman"/>
          <w:sz w:val="24"/>
          <w:szCs w:val="24"/>
        </w:rPr>
        <w:t>”, chiarisce la Comunicazione, si intende “</w:t>
      </w:r>
      <w:r>
        <w:rPr>
          <w:rFonts w:ascii="Times New Roman" w:eastAsia="Times New Roman" w:hAnsi="Times New Roman" w:cs="Times New Roman"/>
          <w:i/>
          <w:sz w:val="24"/>
          <w:szCs w:val="24"/>
        </w:rPr>
        <w:t>ciascuna riforma e ciascun investimento</w:t>
      </w:r>
      <w:r>
        <w:rPr>
          <w:rFonts w:ascii="Times New Roman" w:eastAsia="Times New Roman" w:hAnsi="Times New Roman" w:cs="Times New Roman"/>
          <w:sz w:val="24"/>
          <w:szCs w:val="24"/>
        </w:rPr>
        <w:t>”; invece “</w:t>
      </w:r>
      <w:r>
        <w:rPr>
          <w:rFonts w:ascii="Times New Roman" w:eastAsia="Times New Roman" w:hAnsi="Times New Roman" w:cs="Times New Roman"/>
          <w:i/>
          <w:sz w:val="24"/>
          <w:szCs w:val="24"/>
        </w:rPr>
        <w:t>ai fini dell'RRF le attività economiche di cui all'articolo 17 del regolamento Tassonomia sono misure nei presenti orientamenti</w:t>
      </w:r>
      <w:r>
        <w:rPr>
          <w:rFonts w:ascii="Times New Roman" w:eastAsia="Times New Roman" w:hAnsi="Times New Roman" w:cs="Times New Roman"/>
          <w:sz w:val="24"/>
          <w:szCs w:val="24"/>
        </w:rPr>
        <w:t>”.</w:t>
      </w:r>
    </w:p>
    <w:p w14:paraId="00000099"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w:t>
      </w:r>
      <w:r>
        <w:rPr>
          <w:rFonts w:ascii="Times New Roman" w:eastAsia="Times New Roman" w:hAnsi="Times New Roman" w:cs="Times New Roman"/>
          <w:i/>
          <w:sz w:val="24"/>
          <w:szCs w:val="24"/>
        </w:rPr>
        <w:t>valutazione DNSH</w:t>
      </w:r>
      <w:r>
        <w:rPr>
          <w:rFonts w:ascii="Times New Roman" w:eastAsia="Times New Roman" w:hAnsi="Times New Roman" w:cs="Times New Roman"/>
          <w:sz w:val="24"/>
          <w:szCs w:val="24"/>
        </w:rPr>
        <w:t xml:space="preserve">” può avere una forma semplificata quando non ha impatti prevedibili o ha un impatto prevedibile trascurabile su tutti o alcuni dei sei obiettivi ambientali. Quando una misura risulta sostenere al 100% uno dei sei obiettivi ambientali, si legge sempre nella Comunicazione, essa è considerata conforme al principio DNSH per tale obiettivo. </w:t>
      </w:r>
    </w:p>
    <w:p w14:paraId="0000009A"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Comunicazione cita, poi, la «</w:t>
      </w:r>
      <w:r>
        <w:rPr>
          <w:rFonts w:ascii="Times New Roman" w:eastAsia="Times New Roman" w:hAnsi="Times New Roman" w:cs="Times New Roman"/>
          <w:i/>
          <w:sz w:val="24"/>
          <w:szCs w:val="24"/>
        </w:rPr>
        <w:t>Metodologia di controllo del clima</w:t>
      </w:r>
      <w:r>
        <w:rPr>
          <w:rFonts w:ascii="Times New Roman" w:eastAsia="Times New Roman" w:hAnsi="Times New Roman" w:cs="Times New Roman"/>
          <w:sz w:val="24"/>
          <w:szCs w:val="24"/>
        </w:rPr>
        <w:t xml:space="preserve">» allegata al </w:t>
      </w:r>
      <w:r>
        <w:rPr>
          <w:rFonts w:ascii="Times New Roman" w:eastAsia="Times New Roman" w:hAnsi="Times New Roman" w:cs="Times New Roman"/>
          <w:i/>
          <w:sz w:val="24"/>
          <w:szCs w:val="24"/>
        </w:rPr>
        <w:t>Regolamento Dispositivo</w:t>
      </w:r>
      <w:r>
        <w:rPr>
          <w:rFonts w:ascii="Times New Roman" w:eastAsia="Times New Roman" w:hAnsi="Times New Roman" w:cs="Times New Roman"/>
          <w:sz w:val="24"/>
          <w:szCs w:val="24"/>
        </w:rPr>
        <w:t xml:space="preserve"> e precisa: “</w:t>
      </w:r>
      <w:r>
        <w:rPr>
          <w:rFonts w:ascii="Times New Roman" w:eastAsia="Times New Roman" w:hAnsi="Times New Roman" w:cs="Times New Roman"/>
          <w:i/>
          <w:sz w:val="24"/>
          <w:szCs w:val="24"/>
        </w:rPr>
        <w:t>laddove una misura ha un coefficiente 100% di sostegno agli obiettivi relativi ai cambiamenti climatici, si considera rispettato il principio DNSH per il pertinente obiettivo relativo ai cambiamenti climatici (mitigazione o adattamento). Laddove una misura ha un coefficiente 100% di sostegno a obiettivi ambientali diversi da quelli inerenti al clima, si considera rispettato il principio DNSH per il pertinente obiettivo ambientale (acque e risorse marine, economia circolare, prevenzione e riduzione dell’inquinamento, biodiversità ed ecosistemi)</w:t>
      </w:r>
      <w:r>
        <w:rPr>
          <w:rFonts w:ascii="Times New Roman" w:eastAsia="Times New Roman" w:hAnsi="Times New Roman" w:cs="Times New Roman"/>
          <w:sz w:val="24"/>
          <w:szCs w:val="24"/>
        </w:rPr>
        <w:t xml:space="preserve">”. </w:t>
      </w:r>
    </w:p>
    <w:p w14:paraId="0000009B"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ogni caso, per la Comunicazione, gli Stati membri dovranno individuare e dimostrare quale dei sei obiettivi ambientali del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xml:space="preserve"> è sostenuto dalla misura e dovranno comunque dimostrare che la misura non arreca un danno significativo agli altri obiettivi ambientali.</w:t>
      </w:r>
    </w:p>
    <w:p w14:paraId="0000009C" w14:textId="77777777" w:rsidR="005675A7" w:rsidRDefault="005675A7">
      <w:pPr>
        <w:ind w:firstLine="720"/>
        <w:jc w:val="both"/>
        <w:rPr>
          <w:rFonts w:ascii="Times New Roman" w:eastAsia="Times New Roman" w:hAnsi="Times New Roman" w:cs="Times New Roman"/>
          <w:sz w:val="24"/>
          <w:szCs w:val="24"/>
        </w:rPr>
      </w:pPr>
    </w:p>
    <w:p w14:paraId="0000009D" w14:textId="77777777" w:rsidR="005675A7" w:rsidRDefault="00B54A81">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Pr>
          <w:rFonts w:ascii="Times New Roman" w:eastAsia="Times New Roman" w:hAnsi="Times New Roman" w:cs="Times New Roman"/>
          <w:b/>
          <w:i/>
          <w:sz w:val="24"/>
          <w:szCs w:val="24"/>
        </w:rPr>
        <w:t>Segue:</w:t>
      </w:r>
      <w:r>
        <w:rPr>
          <w:rFonts w:ascii="Times New Roman" w:eastAsia="Times New Roman" w:hAnsi="Times New Roman" w:cs="Times New Roman"/>
          <w:b/>
          <w:sz w:val="24"/>
          <w:szCs w:val="24"/>
        </w:rPr>
        <w:t xml:space="preserve"> i principi guida per la valutazione del «</w:t>
      </w:r>
      <w:r>
        <w:rPr>
          <w:rFonts w:ascii="Times New Roman" w:eastAsia="Times New Roman" w:hAnsi="Times New Roman" w:cs="Times New Roman"/>
          <w:b/>
          <w:i/>
          <w:sz w:val="24"/>
          <w:szCs w:val="24"/>
        </w:rPr>
        <w:t>non arrecare un danno significativo</w:t>
      </w:r>
      <w:r>
        <w:rPr>
          <w:rFonts w:ascii="Times New Roman" w:eastAsia="Times New Roman" w:hAnsi="Times New Roman" w:cs="Times New Roman"/>
          <w:b/>
          <w:sz w:val="24"/>
          <w:szCs w:val="24"/>
        </w:rPr>
        <w:t>».</w:t>
      </w:r>
    </w:p>
    <w:p w14:paraId="0000009E"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Nell’ambito dell’RRF, la </w:t>
      </w:r>
      <w:r>
        <w:rPr>
          <w:rFonts w:ascii="Times New Roman" w:eastAsia="Times New Roman" w:hAnsi="Times New Roman" w:cs="Times New Roman"/>
          <w:i/>
          <w:sz w:val="24"/>
          <w:szCs w:val="24"/>
        </w:rPr>
        <w:t>valutazione DNSH</w:t>
      </w:r>
      <w:r>
        <w:rPr>
          <w:rFonts w:ascii="Times New Roman" w:eastAsia="Times New Roman" w:hAnsi="Times New Roman" w:cs="Times New Roman"/>
          <w:sz w:val="24"/>
          <w:szCs w:val="24"/>
        </w:rPr>
        <w:t xml:space="preserve"> deve considerare gli effetti diretti e gli effetti indiretti primari di una misura. Per la Comunicazione, gli effetti diretti possono consistere negli effetti della misura a livello di progetto (ad esempio stabilimento di produzione, zona protetta) o a livello di sistema (ad esempio rete ferroviaria, sistema di trasporto pubblico), e si verificano al momento dell’attuazione della misura. Gli effetti indiretti primari possono consistere negli effetti che si verificano all’esterno di tali progetti o sistemi e si possono manifestare dopo l’attuazione della misura o dopo il calendario dell’RRF ma sono ragionevolmente prevedibili e pertinenti. Un esempio di effetto diretto nel settore del trasporto su strada è rappresentato dall’uso di materiali durante la costruzione della strada, mentre un esempio di effetto indiretto primario è rappresentato dalle previste future emissioni di gas a effetto serra causate da un aumento del traffico complessivo durante la fase d’uso della strada.</w:t>
      </w:r>
    </w:p>
    <w:p w14:paraId="0000009F"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i/>
          <w:sz w:val="24"/>
          <w:szCs w:val="24"/>
        </w:rPr>
        <w:t>valutazione DNSH</w:t>
      </w:r>
      <w:r>
        <w:rPr>
          <w:rFonts w:ascii="Times New Roman" w:eastAsia="Times New Roman" w:hAnsi="Times New Roman" w:cs="Times New Roman"/>
          <w:sz w:val="24"/>
          <w:szCs w:val="24"/>
        </w:rPr>
        <w:t>, sempre per la Comunicazione, deve inoltre considerare l’intero ciclo di vita dell’attività derivante dalla misura. La valutazione dovrebbe includere la fase di produzione, la fase di uso e quella di fine vita, ovunque si prevedano i maggiori danni. Ad esempio per una misura che sostiene l’acquisto di veicoli, la valutazione dovrebbe tenere conto, tra l’altro, dell’inquinamento (ad es. emissioni nell’atmosfera) generato durante il montaggio, il trasporto e l’uso dei veicoli, e della gestione adeguata dei veicoli a fine vita. In particolare, una gestione adeguata a fine vita delle batterie e dei componenti elettronici (ad es. il loro riutilizzo e/o riciclaggio di materie prime critiche ivi contenute) dovrebbe assicurare che non è arrecato alcun danno significativo all’obiettivo ambientale dell’economia circolare.</w:t>
      </w:r>
    </w:p>
    <w:p w14:paraId="000000A0"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Inoltre, il fatto che per una misura inclusa nel </w:t>
      </w:r>
      <w:r>
        <w:rPr>
          <w:rFonts w:ascii="Times New Roman" w:eastAsia="Times New Roman" w:hAnsi="Times New Roman" w:cs="Times New Roman"/>
          <w:i/>
          <w:sz w:val="24"/>
          <w:szCs w:val="24"/>
        </w:rPr>
        <w:t>RRP</w:t>
      </w:r>
      <w:r>
        <w:rPr>
          <w:rFonts w:ascii="Times New Roman" w:eastAsia="Times New Roman" w:hAnsi="Times New Roman" w:cs="Times New Roman"/>
          <w:sz w:val="24"/>
          <w:szCs w:val="24"/>
        </w:rPr>
        <w:t xml:space="preserve"> uno Stato membro abbia effettuato una valutazione dell’impatto ambientale (VIA) o una valutazione ambientale strategica (VAS), ciò non è sostitutivo della </w:t>
      </w:r>
      <w:r>
        <w:rPr>
          <w:rFonts w:ascii="Times New Roman" w:eastAsia="Times New Roman" w:hAnsi="Times New Roman" w:cs="Times New Roman"/>
          <w:i/>
          <w:sz w:val="24"/>
          <w:szCs w:val="24"/>
        </w:rPr>
        <w:t>valutazione DNSH</w:t>
      </w:r>
      <w:r>
        <w:rPr>
          <w:rFonts w:ascii="Times New Roman" w:eastAsia="Times New Roman" w:hAnsi="Times New Roman" w:cs="Times New Roman"/>
          <w:sz w:val="24"/>
          <w:szCs w:val="24"/>
        </w:rPr>
        <w:t xml:space="preserve">. </w:t>
      </w:r>
    </w:p>
    <w:p w14:paraId="000000A1"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agevolare gli Stati membri nella valutazione e presentazione del </w:t>
      </w:r>
      <w:r>
        <w:rPr>
          <w:rFonts w:ascii="Times New Roman" w:eastAsia="Times New Roman" w:hAnsi="Times New Roman" w:cs="Times New Roman"/>
          <w:i/>
          <w:sz w:val="24"/>
          <w:szCs w:val="24"/>
        </w:rPr>
        <w:t>principio DNSH</w:t>
      </w:r>
      <w:r>
        <w:rPr>
          <w:rFonts w:ascii="Times New Roman" w:eastAsia="Times New Roman" w:hAnsi="Times New Roman" w:cs="Times New Roman"/>
          <w:sz w:val="24"/>
          <w:szCs w:val="24"/>
        </w:rPr>
        <w:t xml:space="preserve"> nei loro RRP, la Comunicazione precisa che la Commissione ha preparato una lista di controllo </w:t>
      </w: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Allegato I</w:t>
      </w:r>
      <w:r>
        <w:rPr>
          <w:rFonts w:ascii="Times New Roman" w:eastAsia="Times New Roman" w:hAnsi="Times New Roman" w:cs="Times New Roman"/>
          <w:sz w:val="24"/>
          <w:szCs w:val="24"/>
        </w:rPr>
        <w:t xml:space="preserve">) che gli stessi dovrebbero usare a supporto della loro analisi del nesso tra ciascuna misura e il </w:t>
      </w:r>
      <w:r>
        <w:rPr>
          <w:rFonts w:ascii="Times New Roman" w:eastAsia="Times New Roman" w:hAnsi="Times New Roman" w:cs="Times New Roman"/>
          <w:i/>
          <w:sz w:val="24"/>
          <w:szCs w:val="24"/>
        </w:rPr>
        <w:t>principio DNSH</w:t>
      </w:r>
      <w:r>
        <w:rPr>
          <w:rFonts w:ascii="Times New Roman" w:eastAsia="Times New Roman" w:hAnsi="Times New Roman" w:cs="Times New Roman"/>
          <w:sz w:val="24"/>
          <w:szCs w:val="24"/>
        </w:rPr>
        <w:t xml:space="preserve">. La Commissione utilizzerà quindi queste informazioni per valutare se e in che modo ogni misura negli </w:t>
      </w:r>
      <w:r>
        <w:rPr>
          <w:rFonts w:ascii="Times New Roman" w:eastAsia="Times New Roman" w:hAnsi="Times New Roman" w:cs="Times New Roman"/>
          <w:i/>
          <w:sz w:val="24"/>
          <w:szCs w:val="24"/>
        </w:rPr>
        <w:t>RRP</w:t>
      </w:r>
      <w:r>
        <w:rPr>
          <w:rFonts w:ascii="Times New Roman" w:eastAsia="Times New Roman" w:hAnsi="Times New Roman" w:cs="Times New Roman"/>
          <w:sz w:val="24"/>
          <w:szCs w:val="24"/>
        </w:rPr>
        <w:t xml:space="preserve"> rispetti il </w:t>
      </w:r>
      <w:r>
        <w:rPr>
          <w:rFonts w:ascii="Times New Roman" w:eastAsia="Times New Roman" w:hAnsi="Times New Roman" w:cs="Times New Roman"/>
          <w:i/>
          <w:sz w:val="24"/>
          <w:szCs w:val="24"/>
        </w:rPr>
        <w:t>principio DNSH</w:t>
      </w:r>
      <w:r>
        <w:rPr>
          <w:rFonts w:ascii="Times New Roman" w:eastAsia="Times New Roman" w:hAnsi="Times New Roman" w:cs="Times New Roman"/>
          <w:sz w:val="24"/>
          <w:szCs w:val="24"/>
        </w:rPr>
        <w:t xml:space="preserve">, in conformità ai criteri di cui al regolamento </w:t>
      </w:r>
      <w:r>
        <w:rPr>
          <w:rFonts w:ascii="Times New Roman" w:eastAsia="Times New Roman" w:hAnsi="Times New Roman" w:cs="Times New Roman"/>
          <w:i/>
          <w:sz w:val="24"/>
          <w:szCs w:val="24"/>
        </w:rPr>
        <w:t>RRF</w:t>
      </w:r>
      <w:r>
        <w:rPr>
          <w:rFonts w:ascii="Times New Roman" w:eastAsia="Times New Roman" w:hAnsi="Times New Roman" w:cs="Times New Roman"/>
          <w:sz w:val="24"/>
          <w:szCs w:val="24"/>
        </w:rPr>
        <w:t>.</w:t>
      </w:r>
    </w:p>
    <w:p w14:paraId="000000A2"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i/>
          <w:sz w:val="24"/>
          <w:szCs w:val="24"/>
        </w:rPr>
        <w:t>Allegato II</w:t>
      </w:r>
      <w:r>
        <w:rPr>
          <w:rFonts w:ascii="Times New Roman" w:eastAsia="Times New Roman" w:hAnsi="Times New Roman" w:cs="Times New Roman"/>
          <w:sz w:val="24"/>
          <w:szCs w:val="24"/>
        </w:rPr>
        <w:t xml:space="preserve"> alla Comunicazione contiene gli “</w:t>
      </w:r>
      <w:r>
        <w:rPr>
          <w:rFonts w:ascii="Times New Roman" w:eastAsia="Times New Roman" w:hAnsi="Times New Roman" w:cs="Times New Roman"/>
          <w:i/>
          <w:sz w:val="24"/>
          <w:szCs w:val="24"/>
        </w:rPr>
        <w:t>Elementi di prova per la valutazione di fondo DNSH prevista dalla parte 2 della lista di controllo</w:t>
      </w:r>
      <w:r>
        <w:rPr>
          <w:rFonts w:ascii="Times New Roman" w:eastAsia="Times New Roman" w:hAnsi="Times New Roman" w:cs="Times New Roman"/>
          <w:sz w:val="24"/>
          <w:szCs w:val="24"/>
        </w:rPr>
        <w:t>” con gli elementi di prova trasversali ed elementi riferiti ad ogni singolo obiettivo ambientale, mentre l’</w:t>
      </w:r>
      <w:r>
        <w:rPr>
          <w:rFonts w:ascii="Times New Roman" w:eastAsia="Times New Roman" w:hAnsi="Times New Roman" w:cs="Times New Roman"/>
          <w:i/>
          <w:sz w:val="24"/>
          <w:szCs w:val="24"/>
        </w:rPr>
        <w:t>Allegato III</w:t>
      </w:r>
      <w:r>
        <w:rPr>
          <w:rFonts w:ascii="Times New Roman" w:eastAsia="Times New Roman" w:hAnsi="Times New Roman" w:cs="Times New Roman"/>
          <w:sz w:val="24"/>
          <w:szCs w:val="24"/>
        </w:rPr>
        <w:t xml:space="preserve"> contiene le “</w:t>
      </w:r>
      <w:r>
        <w:rPr>
          <w:rFonts w:ascii="Times New Roman" w:eastAsia="Times New Roman" w:hAnsi="Times New Roman" w:cs="Times New Roman"/>
          <w:i/>
          <w:sz w:val="24"/>
          <w:szCs w:val="24"/>
        </w:rPr>
        <w:t>Condizioni specifiche applicabili alla conformità all’obiettivo di mitigazione dei cambiamenti climatici del principio DNSH nel dispositivo per la ripresa e la resilienza (RRF) riguardo alle misure di produzione di energia elettrica e/o di calore a partire dal gas naturale e alle relative infrastrutture di trasmissione/trasporto e distribuzione</w:t>
      </w:r>
      <w:r>
        <w:rPr>
          <w:rFonts w:ascii="Times New Roman" w:eastAsia="Times New Roman" w:hAnsi="Times New Roman" w:cs="Times New Roman"/>
          <w:sz w:val="24"/>
          <w:szCs w:val="24"/>
        </w:rPr>
        <w:t>”.</w:t>
      </w:r>
    </w:p>
    <w:p w14:paraId="000000A3"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i/>
          <w:sz w:val="24"/>
          <w:szCs w:val="24"/>
        </w:rPr>
        <w:t>Allegato IV</w:t>
      </w:r>
      <w:r>
        <w:rPr>
          <w:rFonts w:ascii="Times New Roman" w:eastAsia="Times New Roman" w:hAnsi="Times New Roman" w:cs="Times New Roman"/>
          <w:sz w:val="24"/>
          <w:szCs w:val="24"/>
        </w:rPr>
        <w:t xml:space="preserve"> contiene le “</w:t>
      </w:r>
      <w:r>
        <w:rPr>
          <w:rFonts w:ascii="Times New Roman" w:eastAsia="Times New Roman" w:hAnsi="Times New Roman" w:cs="Times New Roman"/>
          <w:i/>
          <w:sz w:val="24"/>
          <w:szCs w:val="24"/>
        </w:rPr>
        <w:t>Simulazioni esemplificative di valutazione alla luce del principio DNSH</w:t>
      </w:r>
      <w:r>
        <w:rPr>
          <w:rFonts w:ascii="Times New Roman" w:eastAsia="Times New Roman" w:hAnsi="Times New Roman" w:cs="Times New Roman"/>
          <w:sz w:val="24"/>
          <w:szCs w:val="24"/>
        </w:rPr>
        <w:t xml:space="preserve">” con esempi di valutazione per: misure di efficienza energetica in edifici esistenti, compresa la sostituzione dei sistemi di riscaldamento e raffrescamento; gestione dei rifiuti (trattamento dei rifiuti da costruzione e demolizione) e l’ulteriore esempio di già dichiarata non conformità con il </w:t>
      </w:r>
      <w:r>
        <w:rPr>
          <w:rFonts w:ascii="Times New Roman" w:eastAsia="Times New Roman" w:hAnsi="Times New Roman" w:cs="Times New Roman"/>
          <w:i/>
          <w:sz w:val="24"/>
          <w:szCs w:val="24"/>
        </w:rPr>
        <w:t>principio DNSH</w:t>
      </w:r>
      <w:r>
        <w:rPr>
          <w:rFonts w:ascii="Times New Roman" w:eastAsia="Times New Roman" w:hAnsi="Times New Roman" w:cs="Times New Roman"/>
          <w:sz w:val="24"/>
          <w:szCs w:val="24"/>
        </w:rPr>
        <w:t xml:space="preserve"> degli inceneritori di rifiuti; infrastrutture di trasporto (strade); regimi di rottamazione delle auto (anche questo portato come esempio di non conformità al </w:t>
      </w:r>
      <w:r>
        <w:rPr>
          <w:rFonts w:ascii="Times New Roman" w:eastAsia="Times New Roman" w:hAnsi="Times New Roman" w:cs="Times New Roman"/>
          <w:i/>
          <w:sz w:val="24"/>
          <w:szCs w:val="24"/>
        </w:rPr>
        <w:t>principio DNSH</w:t>
      </w:r>
      <w:r>
        <w:rPr>
          <w:rFonts w:ascii="Times New Roman" w:eastAsia="Times New Roman" w:hAnsi="Times New Roman" w:cs="Times New Roman"/>
          <w:sz w:val="24"/>
          <w:szCs w:val="24"/>
        </w:rPr>
        <w:t>); irrigazione dei terreni.</w:t>
      </w:r>
    </w:p>
    <w:p w14:paraId="000000A4" w14:textId="77777777" w:rsidR="005675A7" w:rsidRDefault="005675A7">
      <w:pPr>
        <w:jc w:val="both"/>
        <w:rPr>
          <w:rFonts w:ascii="Times New Roman" w:eastAsia="Times New Roman" w:hAnsi="Times New Roman" w:cs="Times New Roman"/>
          <w:sz w:val="24"/>
          <w:szCs w:val="24"/>
        </w:rPr>
      </w:pPr>
    </w:p>
    <w:p w14:paraId="000000A5" w14:textId="77777777" w:rsidR="005675A7" w:rsidRDefault="00B54A81">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w:t>
      </w:r>
      <w:r>
        <w:rPr>
          <w:rFonts w:ascii="Times New Roman" w:eastAsia="Times New Roman" w:hAnsi="Times New Roman" w:cs="Times New Roman"/>
          <w:b/>
          <w:i/>
          <w:sz w:val="24"/>
          <w:szCs w:val="24"/>
        </w:rPr>
        <w:t>Green Deal</w:t>
      </w:r>
      <w:r>
        <w:rPr>
          <w:rFonts w:ascii="Times New Roman" w:eastAsia="Times New Roman" w:hAnsi="Times New Roman" w:cs="Times New Roman"/>
          <w:b/>
          <w:sz w:val="24"/>
          <w:szCs w:val="24"/>
        </w:rPr>
        <w:t xml:space="preserve"> e la </w:t>
      </w:r>
      <w:r>
        <w:rPr>
          <w:rFonts w:ascii="Times New Roman" w:eastAsia="Times New Roman" w:hAnsi="Times New Roman" w:cs="Times New Roman"/>
          <w:b/>
          <w:i/>
          <w:sz w:val="24"/>
          <w:szCs w:val="24"/>
        </w:rPr>
        <w:t>transizione verde</w:t>
      </w:r>
      <w:r>
        <w:rPr>
          <w:rFonts w:ascii="Times New Roman" w:eastAsia="Times New Roman" w:hAnsi="Times New Roman" w:cs="Times New Roman"/>
          <w:b/>
          <w:sz w:val="24"/>
          <w:szCs w:val="24"/>
        </w:rPr>
        <w:t xml:space="preserve"> verso il principio del «</w:t>
      </w:r>
      <w:r>
        <w:rPr>
          <w:rFonts w:ascii="Times New Roman" w:eastAsia="Times New Roman" w:hAnsi="Times New Roman" w:cs="Times New Roman"/>
          <w:b/>
          <w:i/>
          <w:sz w:val="24"/>
          <w:szCs w:val="24"/>
        </w:rPr>
        <w:t>guadagno netto</w:t>
      </w:r>
      <w:r>
        <w:rPr>
          <w:rFonts w:ascii="Times New Roman" w:eastAsia="Times New Roman" w:hAnsi="Times New Roman" w:cs="Times New Roman"/>
          <w:b/>
          <w:sz w:val="24"/>
          <w:szCs w:val="24"/>
        </w:rPr>
        <w:t>».</w:t>
      </w:r>
    </w:p>
    <w:p w14:paraId="000000A6"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il </w:t>
      </w:r>
      <w:r>
        <w:rPr>
          <w:rFonts w:ascii="Times New Roman" w:eastAsia="Times New Roman" w:hAnsi="Times New Roman" w:cs="Times New Roman"/>
          <w:i/>
          <w:sz w:val="24"/>
          <w:szCs w:val="24"/>
        </w:rPr>
        <w:t>Green Deal</w:t>
      </w:r>
      <w:r>
        <w:rPr>
          <w:rFonts w:ascii="Times New Roman" w:eastAsia="Times New Roman" w:hAnsi="Times New Roman" w:cs="Times New Roman"/>
          <w:sz w:val="24"/>
          <w:szCs w:val="24"/>
        </w:rPr>
        <w:t xml:space="preserve"> europeo 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è presentata come destinata a modificare sia le politiche che importanti tratti del diritto dell’Unione europea.</w:t>
      </w:r>
    </w:p>
    <w:p w14:paraId="000000A7"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 è già una dimostrazione il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xml:space="preserve"> che ha individuato per la prima volta in modo dettagliato, nei suoi aspetti di </w:t>
      </w:r>
      <w:r>
        <w:rPr>
          <w:rFonts w:ascii="Times New Roman" w:eastAsia="Times New Roman" w:hAnsi="Times New Roman" w:cs="Times New Roman"/>
          <w:i/>
          <w:sz w:val="24"/>
          <w:szCs w:val="24"/>
        </w:rPr>
        <w:t>sostegno</w:t>
      </w:r>
      <w:r>
        <w:rPr>
          <w:rFonts w:ascii="Times New Roman" w:eastAsia="Times New Roman" w:hAnsi="Times New Roman" w:cs="Times New Roman"/>
          <w:sz w:val="24"/>
          <w:szCs w:val="24"/>
        </w:rPr>
        <w:t xml:space="preserve"> e di </w:t>
      </w:r>
      <w:r>
        <w:rPr>
          <w:rFonts w:ascii="Times New Roman" w:eastAsia="Times New Roman" w:hAnsi="Times New Roman" w:cs="Times New Roman"/>
          <w:i/>
          <w:sz w:val="24"/>
          <w:szCs w:val="24"/>
        </w:rPr>
        <w:t>danno significativo</w:t>
      </w:r>
      <w:r>
        <w:rPr>
          <w:rFonts w:ascii="Times New Roman" w:eastAsia="Times New Roman" w:hAnsi="Times New Roman" w:cs="Times New Roman"/>
          <w:sz w:val="24"/>
          <w:szCs w:val="24"/>
        </w:rPr>
        <w:t xml:space="preserve">, i sei obiettivi ambientali in base ai quali misurare le qualità ambientali del continente. Per alcune norme del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xml:space="preserve"> è prevista l’entrata in vigore al 1° gennaio 2022, per altre al 1° gennaio 2023 e questo tempo lungo aveva fatto pensare ad una difficoltà o ad una scarsa determinazione nel procedere in quella direzione. </w:t>
      </w:r>
    </w:p>
    <w:p w14:paraId="000000A8"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Gli atti fondamentali pubblicati il 18 febbraio 2021 sembrano dimostrare invece il contrario: sia per la condizionalità del principio orizzontale «</w:t>
      </w:r>
      <w:r>
        <w:rPr>
          <w:rFonts w:ascii="Times New Roman" w:eastAsia="Times New Roman" w:hAnsi="Times New Roman" w:cs="Times New Roman"/>
          <w:i/>
          <w:sz w:val="24"/>
          <w:szCs w:val="24"/>
        </w:rPr>
        <w:t>non arrecare un danno significativo</w:t>
      </w:r>
      <w:r>
        <w:rPr>
          <w:rFonts w:ascii="Times New Roman" w:eastAsia="Times New Roman" w:hAnsi="Times New Roman" w:cs="Times New Roman"/>
          <w:sz w:val="24"/>
          <w:szCs w:val="24"/>
        </w:rPr>
        <w:t xml:space="preserve">» da applicare a </w:t>
      </w:r>
      <w:r>
        <w:rPr>
          <w:rFonts w:ascii="Times New Roman" w:eastAsia="Times New Roman" w:hAnsi="Times New Roman" w:cs="Times New Roman"/>
          <w:i/>
          <w:sz w:val="24"/>
          <w:szCs w:val="24"/>
        </w:rPr>
        <w:t>tutte</w:t>
      </w:r>
      <w:r>
        <w:rPr>
          <w:rFonts w:ascii="Times New Roman" w:eastAsia="Times New Roman" w:hAnsi="Times New Roman" w:cs="Times New Roman"/>
          <w:sz w:val="24"/>
          <w:szCs w:val="24"/>
        </w:rPr>
        <w:t xml:space="preserve"> le misure dei piani di ripresa e resilienza, sia per aver dato forza alla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destinandole la parte più ampia della dotazione.</w:t>
      </w:r>
    </w:p>
    <w:p w14:paraId="000000A9"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questa progressione connessa alla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un ruolo centrale è svolto dal già ricordato art.17 del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il quale, nel qualificare con l’aggettivo “</w:t>
      </w:r>
      <w:r>
        <w:rPr>
          <w:rFonts w:ascii="Times New Roman" w:eastAsia="Times New Roman" w:hAnsi="Times New Roman" w:cs="Times New Roman"/>
          <w:i/>
          <w:sz w:val="24"/>
          <w:szCs w:val="24"/>
        </w:rPr>
        <w:t>significativo</w:t>
      </w:r>
      <w:r>
        <w:rPr>
          <w:rFonts w:ascii="Times New Roman" w:eastAsia="Times New Roman" w:hAnsi="Times New Roman" w:cs="Times New Roman"/>
          <w:sz w:val="24"/>
          <w:szCs w:val="24"/>
        </w:rPr>
        <w:t>” il danno da non arrecare, opera una distinzione all’interno dei sei obiettivi ambientali. Infatti, per alcuni obiettivi ambientali la norma configura un “</w:t>
      </w:r>
      <w:r>
        <w:rPr>
          <w:rFonts w:ascii="Times New Roman" w:eastAsia="Times New Roman" w:hAnsi="Times New Roman" w:cs="Times New Roman"/>
          <w:i/>
          <w:sz w:val="24"/>
          <w:szCs w:val="24"/>
        </w:rPr>
        <w:t>danno significativo</w:t>
      </w:r>
      <w:r>
        <w:rPr>
          <w:rFonts w:ascii="Times New Roman" w:eastAsia="Times New Roman" w:hAnsi="Times New Roman" w:cs="Times New Roman"/>
          <w:sz w:val="24"/>
          <w:szCs w:val="24"/>
        </w:rPr>
        <w:t>” a prescindere dalla sua concreta entità e solo per il fatto di essere stato causato ed accertato. Si tratta dell’obiettivo ambientale della mitigazione dei cambiamenti climatici (nel caso in cui però l’attività “conduce a significative” emissioni di gas a effetto serra, art.17, paragrafo 1, lett. a)); dell’adattamento ai cambiamenti climatici (art.17, paragrafo 1, lett. b)); dell’uso sostenibile e protezione delle acque e delle risorse marine (art.17, paragrafo 1, lett. c)) e dello stato di conservazione degli habitat e delle specie (art.17, paragrafo 1, lett. f)).</w:t>
      </w:r>
    </w:p>
    <w:p w14:paraId="000000AA"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forza dello stesso art.17 del </w:t>
      </w:r>
      <w:r>
        <w:rPr>
          <w:rFonts w:ascii="Times New Roman" w:eastAsia="Times New Roman" w:hAnsi="Times New Roman" w:cs="Times New Roman"/>
          <w:i/>
          <w:sz w:val="24"/>
          <w:szCs w:val="24"/>
        </w:rPr>
        <w:t>Regolamento Tassonomia</w:t>
      </w:r>
      <w:r>
        <w:rPr>
          <w:rFonts w:ascii="Times New Roman" w:eastAsia="Times New Roman" w:hAnsi="Times New Roman" w:cs="Times New Roman"/>
          <w:sz w:val="24"/>
          <w:szCs w:val="24"/>
        </w:rPr>
        <w:t xml:space="preserve"> sembra quindi da ritenere che l’ordinamento </w:t>
      </w:r>
      <w:proofErr w:type="spellStart"/>
      <w:r>
        <w:rPr>
          <w:rFonts w:ascii="Times New Roman" w:eastAsia="Times New Roman" w:hAnsi="Times New Roman" w:cs="Times New Roman"/>
          <w:sz w:val="24"/>
          <w:szCs w:val="24"/>
        </w:rPr>
        <w:t>eurounitario</w:t>
      </w:r>
      <w:proofErr w:type="spellEnd"/>
      <w:r>
        <w:rPr>
          <w:rFonts w:ascii="Times New Roman" w:eastAsia="Times New Roman" w:hAnsi="Times New Roman" w:cs="Times New Roman"/>
          <w:sz w:val="24"/>
          <w:szCs w:val="24"/>
        </w:rPr>
        <w:t xml:space="preserve"> non ha solo individuato sei obiettivi ambientali cui dedicare </w:t>
      </w:r>
      <w:r>
        <w:rPr>
          <w:rFonts w:ascii="Times New Roman" w:eastAsia="Times New Roman" w:hAnsi="Times New Roman" w:cs="Times New Roman"/>
          <w:sz w:val="24"/>
          <w:szCs w:val="24"/>
        </w:rPr>
        <w:lastRenderedPageBreak/>
        <w:t>particolare attenzione e tutela, ma tra questi ha considerato più significativi i cambiamenti climatici, il ciclo delle acque e la biodiversità per i quali anche un danno minimo viene qualificato come “</w:t>
      </w:r>
      <w:r>
        <w:rPr>
          <w:rFonts w:ascii="Times New Roman" w:eastAsia="Times New Roman" w:hAnsi="Times New Roman" w:cs="Times New Roman"/>
          <w:i/>
          <w:sz w:val="24"/>
          <w:szCs w:val="24"/>
        </w:rPr>
        <w:t>danno significativo</w:t>
      </w:r>
      <w:r>
        <w:rPr>
          <w:rFonts w:ascii="Times New Roman" w:eastAsia="Times New Roman" w:hAnsi="Times New Roman" w:cs="Times New Roman"/>
          <w:sz w:val="24"/>
          <w:szCs w:val="24"/>
        </w:rPr>
        <w:t>”.</w:t>
      </w:r>
    </w:p>
    <w:p w14:paraId="000000AB" w14:textId="77777777" w:rsidR="005675A7" w:rsidRDefault="00B54A81">
      <w:pPr>
        <w:ind w:firstLine="708"/>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Si può comunque osservare che l’aggettivo “</w:t>
      </w:r>
      <w:r>
        <w:rPr>
          <w:rFonts w:ascii="Times New Roman" w:eastAsia="Times New Roman" w:hAnsi="Times New Roman" w:cs="Times New Roman"/>
          <w:i/>
          <w:sz w:val="24"/>
          <w:szCs w:val="24"/>
        </w:rPr>
        <w:t>significativo</w:t>
      </w:r>
      <w:r>
        <w:rPr>
          <w:rFonts w:ascii="Times New Roman" w:eastAsia="Times New Roman" w:hAnsi="Times New Roman" w:cs="Times New Roman"/>
          <w:sz w:val="24"/>
          <w:szCs w:val="24"/>
        </w:rPr>
        <w:t>” appare volto, in evidente applicazione dei principi di proporzionalità e ragionevolezza, ad evitare che qualsivoglia alterazione ambientale possa avere effetti a questi riguardi. Tuttavia, se questa precisazione è necessaria ancor prima che opportuna, resta poi aperto il tema della soglia di rilevanza della “</w:t>
      </w:r>
      <w:r>
        <w:rPr>
          <w:rFonts w:ascii="Times New Roman" w:eastAsia="Times New Roman" w:hAnsi="Times New Roman" w:cs="Times New Roman"/>
          <w:i/>
          <w:sz w:val="24"/>
          <w:szCs w:val="24"/>
        </w:rPr>
        <w:t>significatività</w:t>
      </w:r>
      <w:r>
        <w:rPr>
          <w:rFonts w:ascii="Times New Roman" w:eastAsia="Times New Roman" w:hAnsi="Times New Roman" w:cs="Times New Roman"/>
          <w:sz w:val="24"/>
          <w:szCs w:val="24"/>
        </w:rPr>
        <w:t xml:space="preserve">”: tema che necessita, per evidenti ragioni di sicurezza giuridica, di essere specificato. Questa soglia spesso potrà essere identificata – com’è sovente nel diritto ambientale – mediante parametri quantitativi. Ma, a parte la non irrilevante questione di </w:t>
      </w:r>
      <w:r>
        <w:rPr>
          <w:rFonts w:ascii="Times New Roman" w:eastAsia="Times New Roman" w:hAnsi="Times New Roman" w:cs="Times New Roman"/>
          <w:i/>
          <w:sz w:val="24"/>
          <w:szCs w:val="24"/>
        </w:rPr>
        <w:t>chi</w:t>
      </w:r>
      <w:r>
        <w:rPr>
          <w:rFonts w:ascii="Times New Roman" w:eastAsia="Times New Roman" w:hAnsi="Times New Roman" w:cs="Times New Roman"/>
          <w:sz w:val="24"/>
          <w:szCs w:val="24"/>
        </w:rPr>
        <w:t xml:space="preserve"> elabora questi parametri e del loro rapporto con i territori, a volte quei parametri non saranno adeguati e non potranno che essere adottati, invece, parametri qualitativi. È intuitivo come tutto questo darà fatalmente luogo a conflitti e controversie. </w:t>
      </w:r>
    </w:p>
    <w:p w14:paraId="000000AC"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ulteriore passo nella stessa direzione è quello dell'</w:t>
      </w:r>
      <w:r>
        <w:rPr>
          <w:rFonts w:ascii="Times New Roman" w:eastAsia="Times New Roman" w:hAnsi="Times New Roman" w:cs="Times New Roman"/>
          <w:i/>
          <w:sz w:val="24"/>
          <w:szCs w:val="24"/>
        </w:rPr>
        <w:t>Allegato VI</w:t>
      </w:r>
      <w:r>
        <w:rPr>
          <w:rFonts w:ascii="Times New Roman" w:eastAsia="Times New Roman" w:hAnsi="Times New Roman" w:cs="Times New Roman"/>
          <w:sz w:val="24"/>
          <w:szCs w:val="24"/>
        </w:rPr>
        <w:t xml:space="preserve"> del </w:t>
      </w:r>
      <w:r>
        <w:rPr>
          <w:rFonts w:ascii="Times New Roman" w:eastAsia="Times New Roman" w:hAnsi="Times New Roman" w:cs="Times New Roman"/>
          <w:i/>
          <w:sz w:val="24"/>
          <w:szCs w:val="24"/>
        </w:rPr>
        <w:t xml:space="preserve">Regolamento Dispositivo </w:t>
      </w:r>
      <w:r>
        <w:rPr>
          <w:rFonts w:ascii="Times New Roman" w:eastAsia="Times New Roman" w:hAnsi="Times New Roman" w:cs="Times New Roman"/>
          <w:sz w:val="24"/>
          <w:szCs w:val="24"/>
        </w:rPr>
        <w:t>e nella Comunicazione, nella parte, in cui insieme alla dimostrazione del rispetto del principio «</w:t>
      </w:r>
      <w:r>
        <w:rPr>
          <w:rFonts w:ascii="Times New Roman" w:eastAsia="Times New Roman" w:hAnsi="Times New Roman" w:cs="Times New Roman"/>
          <w:i/>
          <w:sz w:val="24"/>
          <w:szCs w:val="24"/>
        </w:rPr>
        <w:t>non arrecare un danno significativo</w:t>
      </w:r>
      <w:r>
        <w:rPr>
          <w:rFonts w:ascii="Times New Roman" w:eastAsia="Times New Roman" w:hAnsi="Times New Roman" w:cs="Times New Roman"/>
          <w:sz w:val="24"/>
          <w:szCs w:val="24"/>
        </w:rPr>
        <w:t>», si chiede agli Stati membri di dimostrare, in particolare per la valutazione semplificata, che le misure dei loro piani di ripresa e resilienza siano un sostegno agli obiettivi ambientali.</w:t>
      </w:r>
    </w:p>
    <w:p w14:paraId="000000AD"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strategie della Commissione e le proposte al Parlamento sul clima e sulla biodiversità, i cui atti finali sono previsti in approvazione entro il 2021, contengono l’ulteriore e definitivo passaggio che la Commissione europea ha definito come “principio del «</w:t>
      </w:r>
      <w:r>
        <w:rPr>
          <w:rFonts w:ascii="Times New Roman" w:eastAsia="Times New Roman" w:hAnsi="Times New Roman" w:cs="Times New Roman"/>
          <w:i/>
          <w:sz w:val="24"/>
          <w:szCs w:val="24"/>
        </w:rPr>
        <w:t>guadagno netto</w:t>
      </w:r>
      <w:r>
        <w:rPr>
          <w:rFonts w:ascii="Times New Roman" w:eastAsia="Times New Roman" w:hAnsi="Times New Roman" w:cs="Times New Roman"/>
          <w:sz w:val="24"/>
          <w:szCs w:val="24"/>
        </w:rPr>
        <w:t>»”.</w:t>
      </w:r>
    </w:p>
    <w:p w14:paraId="000000AE"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Commissione europea con la </w:t>
      </w:r>
      <w:r>
        <w:rPr>
          <w:rFonts w:ascii="Times New Roman" w:eastAsia="Times New Roman" w:hAnsi="Times New Roman" w:cs="Times New Roman"/>
          <w:i/>
          <w:sz w:val="24"/>
          <w:szCs w:val="24"/>
        </w:rPr>
        <w:t>Strategia sulla biodiversità 2030</w:t>
      </w:r>
      <w:r>
        <w:rPr>
          <w:rFonts w:ascii="Times New Roman" w:eastAsia="Times New Roman" w:hAnsi="Times New Roman" w:cs="Times New Roman"/>
          <w:sz w:val="24"/>
          <w:szCs w:val="24"/>
        </w:rPr>
        <w:t xml:space="preserve"> dichiara che “</w:t>
      </w:r>
      <w:r>
        <w:rPr>
          <w:rFonts w:ascii="Times New Roman" w:eastAsia="Times New Roman" w:hAnsi="Times New Roman" w:cs="Times New Roman"/>
          <w:i/>
          <w:sz w:val="24"/>
          <w:szCs w:val="24"/>
        </w:rPr>
        <w:t>il mondo intero dovrebbe abbracciare il principio del "guadagno netto" per restituire alla natura più di quanto le sottrae e, in quest'ottica, impegnarsi a scongiurare, nei limiti del possibile, estinzioni indotte dall'uomo</w:t>
      </w:r>
      <w:r>
        <w:rPr>
          <w:rFonts w:ascii="Times New Roman" w:eastAsia="Times New Roman" w:hAnsi="Times New Roman" w:cs="Times New Roman"/>
          <w:sz w:val="24"/>
          <w:szCs w:val="24"/>
        </w:rPr>
        <w:t>”.</w:t>
      </w:r>
    </w:p>
    <w:p w14:paraId="000000AF"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Un’impostazione che la stessa Commissione ha ribadito con la </w:t>
      </w:r>
      <w:r>
        <w:rPr>
          <w:rFonts w:ascii="Times New Roman" w:eastAsia="Times New Roman" w:hAnsi="Times New Roman" w:cs="Times New Roman"/>
          <w:i/>
          <w:sz w:val="24"/>
          <w:szCs w:val="24"/>
        </w:rPr>
        <w:t>Strategia annuale per la crescita sostenibile 2021</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proteggere e ripristinare la biodiversità e gli ecosistemi naturali e garantire sistemi alimentari sostenibili è fondamentale per accrescere la capacità di assorbimento del carbonio, rafforzare la resilienza e prevenire la comparsa e la diffusione di future epidemie</w:t>
      </w:r>
      <w:r>
        <w:rPr>
          <w:rFonts w:ascii="Times New Roman" w:eastAsia="Times New Roman" w:hAnsi="Times New Roman" w:cs="Times New Roman"/>
          <w:sz w:val="24"/>
          <w:szCs w:val="24"/>
        </w:rPr>
        <w:t>”.</w:t>
      </w:r>
    </w:p>
    <w:p w14:paraId="000000B0"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il clima, il cronoprogramma dell’Unione europea prevedeva che l’approvazione della proposta di regolamento del 4 marzo 2020 dovesse avvenire entro il 2020; ma è stata differita al 2021 in ragione della lunga trattativa poi conclusa favorevolmente con l'obiettivo della riduzione del 55% entro il 2030 e la conferma dell’obiettivo della neutralità climatica entro il 2050.</w:t>
      </w:r>
    </w:p>
    <w:p w14:paraId="000000B1" w14:textId="77777777"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la biodiversità, la Commissione europea ha presentato il 20 maggio 2020 la già citata Strategia sulla biodiversità 2030 con obiettivi di ripristino giuridicamente vincolanti degli ecosistemi terrestri e marini degradati, in linea con l'Agenda 2030 delle Nazioni Unite che prevede di ripristinare, rendere resilienti e proteggere adeguatamente tutti gli ecosistemi del pianeta entro il 2050. </w:t>
      </w:r>
    </w:p>
    <w:p w14:paraId="000000B2" w14:textId="5F457010" w:rsidR="005675A7" w:rsidRDefault="00B54A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sintesi, a guardare le cose in prospettiva è dato registrare che </w:t>
      </w:r>
      <w:r>
        <w:rPr>
          <w:rFonts w:ascii="Times New Roman" w:eastAsia="Times New Roman" w:hAnsi="Times New Roman" w:cs="Times New Roman"/>
          <w:i/>
          <w:sz w:val="24"/>
          <w:szCs w:val="24"/>
        </w:rPr>
        <w:t>transizione verde</w:t>
      </w:r>
      <w:r>
        <w:rPr>
          <w:rFonts w:ascii="Times New Roman" w:eastAsia="Times New Roman" w:hAnsi="Times New Roman" w:cs="Times New Roman"/>
          <w:sz w:val="24"/>
          <w:szCs w:val="24"/>
        </w:rPr>
        <w:t xml:space="preserve"> e corrispondenti istituti del diritto </w:t>
      </w:r>
      <w:proofErr w:type="spellStart"/>
      <w:r>
        <w:rPr>
          <w:rFonts w:ascii="Times New Roman" w:eastAsia="Times New Roman" w:hAnsi="Times New Roman" w:cs="Times New Roman"/>
          <w:sz w:val="24"/>
          <w:szCs w:val="24"/>
        </w:rPr>
        <w:t>eurounitario</w:t>
      </w:r>
      <w:proofErr w:type="spellEnd"/>
      <w:r>
        <w:rPr>
          <w:rFonts w:ascii="Times New Roman" w:eastAsia="Times New Roman" w:hAnsi="Times New Roman" w:cs="Times New Roman"/>
          <w:sz w:val="24"/>
          <w:szCs w:val="24"/>
        </w:rPr>
        <w:t xml:space="preserve"> stanno progressivamente passando dal contrasto ai danni ambientali al concetto di ripristino ambientale, come dall’emergenza climatica alla </w:t>
      </w:r>
      <w:r>
        <w:rPr>
          <w:rFonts w:ascii="Times New Roman" w:eastAsia="Times New Roman" w:hAnsi="Times New Roman" w:cs="Times New Roman"/>
          <w:sz w:val="24"/>
          <w:szCs w:val="24"/>
        </w:rPr>
        <w:lastRenderedPageBreak/>
        <w:t>riduzione del debito ecologico. E il concetto di sviluppo sostenibile, per il quale l’ambiente costituisce un limite allo sviluppo tradizionalmente inteso, sembrerebbe, per l’Unione europea, evolvere verso il primato di un’idea generale di crescita sostenibile e di economia circolare: per le quali l’ambiente ed il ripristino ambientale costituiscono invece un volano di sviluppo. I successivi atti e le politiche in concreto praticate dimostreranno quale sarà l’effettività che questi principi riceveranno.</w:t>
      </w:r>
    </w:p>
    <w:p w14:paraId="05E8FD11" w14:textId="46764857" w:rsidR="00682320" w:rsidRDefault="00682320">
      <w:pPr>
        <w:ind w:firstLine="720"/>
        <w:jc w:val="both"/>
        <w:rPr>
          <w:rFonts w:ascii="Times New Roman" w:eastAsia="Times New Roman" w:hAnsi="Times New Roman" w:cs="Times New Roman"/>
          <w:sz w:val="24"/>
          <w:szCs w:val="24"/>
        </w:rPr>
      </w:pPr>
    </w:p>
    <w:p w14:paraId="42C21243" w14:textId="624213F6" w:rsidR="00682320" w:rsidRDefault="00682320">
      <w:pPr>
        <w:ind w:firstLine="720"/>
        <w:jc w:val="both"/>
        <w:rPr>
          <w:rFonts w:ascii="Times New Roman" w:eastAsia="Times New Roman" w:hAnsi="Times New Roman" w:cs="Times New Roman"/>
          <w:sz w:val="24"/>
          <w:szCs w:val="24"/>
        </w:rPr>
      </w:pPr>
    </w:p>
    <w:p w14:paraId="172AC52B" w14:textId="753A2435" w:rsidR="00B35B37" w:rsidRDefault="00B35B37" w:rsidP="00B35B3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8C4CBB" w14:textId="77777777" w:rsidR="00B35B37" w:rsidRPr="00B35B37" w:rsidRDefault="00B35B37" w:rsidP="00B35B37">
      <w:pPr>
        <w:jc w:val="both"/>
        <w:rPr>
          <w:rFonts w:ascii="Times New Roman" w:eastAsia="Times New Roman" w:hAnsi="Times New Roman" w:cs="Times New Roman"/>
          <w:b/>
          <w:sz w:val="28"/>
          <w:szCs w:val="28"/>
        </w:rPr>
      </w:pPr>
      <w:r w:rsidRPr="00B35B37">
        <w:rPr>
          <w:rFonts w:ascii="Times New Roman" w:eastAsia="Times New Roman" w:hAnsi="Times New Roman" w:cs="Times New Roman"/>
          <w:b/>
          <w:sz w:val="28"/>
          <w:szCs w:val="28"/>
        </w:rPr>
        <w:t>Giuseppe Severini                                                                       Urbano Barelli</w:t>
      </w:r>
    </w:p>
    <w:p w14:paraId="475F7B43" w14:textId="7621D461" w:rsidR="00B35B37" w:rsidRPr="009C4A90" w:rsidRDefault="00B35B37" w:rsidP="00B35B37">
      <w:pPr>
        <w:jc w:val="both"/>
        <w:rPr>
          <w:rFonts w:ascii="Times New Roman" w:eastAsia="Times New Roman" w:hAnsi="Times New Roman" w:cs="Times New Roman"/>
          <w:b/>
          <w:sz w:val="24"/>
          <w:szCs w:val="24"/>
        </w:rPr>
      </w:pPr>
      <w:bookmarkStart w:id="1" w:name="_GoBack"/>
      <w:r w:rsidRPr="009C4A90">
        <w:rPr>
          <w:rFonts w:ascii="Times New Roman" w:eastAsia="Times New Roman" w:hAnsi="Times New Roman" w:cs="Times New Roman"/>
          <w:b/>
          <w:sz w:val="24"/>
          <w:szCs w:val="24"/>
        </w:rPr>
        <w:t xml:space="preserve">Presidente di sezione del Consiglio di Stato  </w:t>
      </w:r>
      <w:r w:rsidR="009C4A90" w:rsidRPr="009C4A90">
        <w:rPr>
          <w:rFonts w:ascii="Times New Roman" w:eastAsia="Times New Roman" w:hAnsi="Times New Roman" w:cs="Times New Roman"/>
          <w:b/>
          <w:sz w:val="24"/>
          <w:szCs w:val="24"/>
        </w:rPr>
        <w:t xml:space="preserve">                A</w:t>
      </w:r>
      <w:r w:rsidRPr="009C4A90">
        <w:rPr>
          <w:rFonts w:ascii="Times New Roman" w:eastAsia="Times New Roman" w:hAnsi="Times New Roman" w:cs="Times New Roman"/>
          <w:b/>
          <w:sz w:val="24"/>
          <w:szCs w:val="24"/>
        </w:rPr>
        <w:t>vvocato</w:t>
      </w:r>
      <w:r w:rsidR="009C4A90" w:rsidRPr="009C4A90">
        <w:rPr>
          <w:rFonts w:ascii="Times New Roman" w:eastAsia="Times New Roman" w:hAnsi="Times New Roman" w:cs="Times New Roman"/>
          <w:b/>
          <w:sz w:val="24"/>
          <w:szCs w:val="24"/>
        </w:rPr>
        <w:t xml:space="preserve"> esperto in diritto ambientale</w:t>
      </w:r>
    </w:p>
    <w:bookmarkEnd w:id="1"/>
    <w:p w14:paraId="65572C91" w14:textId="77777777" w:rsidR="00B35B37" w:rsidRPr="00B35B37" w:rsidRDefault="00B35B37" w:rsidP="00B35B37">
      <w:pPr>
        <w:jc w:val="center"/>
        <w:rPr>
          <w:rFonts w:ascii="Times New Roman" w:eastAsia="Times New Roman" w:hAnsi="Times New Roman" w:cs="Times New Roman"/>
          <w:sz w:val="28"/>
          <w:szCs w:val="28"/>
        </w:rPr>
      </w:pPr>
    </w:p>
    <w:p w14:paraId="09A7F651" w14:textId="613058FD" w:rsidR="00B35B37" w:rsidRPr="00B35B37" w:rsidRDefault="00B35B37" w:rsidP="00B35B37">
      <w:pPr>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Pubblicato il 22 aprile 2021</w:t>
      </w:r>
    </w:p>
    <w:p w14:paraId="1C04AE18" w14:textId="77777777" w:rsidR="00682320" w:rsidRDefault="00682320">
      <w:pPr>
        <w:ind w:firstLine="720"/>
        <w:jc w:val="both"/>
        <w:rPr>
          <w:rFonts w:ascii="Times New Roman" w:eastAsia="Times New Roman" w:hAnsi="Times New Roman" w:cs="Times New Roman"/>
          <w:sz w:val="24"/>
          <w:szCs w:val="24"/>
        </w:rPr>
      </w:pPr>
    </w:p>
    <w:sectPr w:rsidR="00682320">
      <w:headerReference w:type="default" r:id="rId7"/>
      <w:footerReference w:type="default" r:id="rId8"/>
      <w:pgSz w:w="11909" w:h="16834"/>
      <w:pgMar w:top="144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D84D1" w14:textId="77777777" w:rsidR="0087690E" w:rsidRDefault="00B54A81">
      <w:pPr>
        <w:spacing w:line="240" w:lineRule="auto"/>
      </w:pPr>
      <w:r>
        <w:separator/>
      </w:r>
    </w:p>
  </w:endnote>
  <w:endnote w:type="continuationSeparator" w:id="0">
    <w:p w14:paraId="078B3E5B" w14:textId="77777777" w:rsidR="0087690E" w:rsidRDefault="00B54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FUI-Regula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4" w14:textId="27330EB1" w:rsidR="005675A7" w:rsidRDefault="00B54A81">
    <w:pPr>
      <w:jc w:val="right"/>
    </w:pPr>
    <w:r>
      <w:fldChar w:fldCharType="begin"/>
    </w:r>
    <w:r>
      <w:instrText>PAGE</w:instrText>
    </w:r>
    <w:r>
      <w:fldChar w:fldCharType="separate"/>
    </w:r>
    <w:r w:rsidR="009C4A90">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BAC3" w14:textId="77777777" w:rsidR="0087690E" w:rsidRDefault="00B54A81">
      <w:pPr>
        <w:spacing w:line="240" w:lineRule="auto"/>
      </w:pPr>
      <w:r>
        <w:separator/>
      </w:r>
    </w:p>
  </w:footnote>
  <w:footnote w:type="continuationSeparator" w:id="0">
    <w:p w14:paraId="210E0B7B" w14:textId="77777777" w:rsidR="0087690E" w:rsidRDefault="00B54A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3" w14:textId="77777777" w:rsidR="005675A7" w:rsidRDefault="005675A7">
    <w:pPr>
      <w:rPr>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33E00"/>
    <w:multiLevelType w:val="multilevel"/>
    <w:tmpl w:val="9BAA4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52527E"/>
    <w:multiLevelType w:val="multilevel"/>
    <w:tmpl w:val="F260D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FF0D68"/>
    <w:multiLevelType w:val="multilevel"/>
    <w:tmpl w:val="DF926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A7"/>
    <w:rsid w:val="005675A7"/>
    <w:rsid w:val="00682320"/>
    <w:rsid w:val="0087690E"/>
    <w:rsid w:val="009C4A90"/>
    <w:rsid w:val="00B35B37"/>
    <w:rsid w:val="00B54A81"/>
    <w:rsid w:val="00BC5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0667"/>
  <w15:docId w15:val="{CB041D22-BBA5-4B20-BDB2-2487513F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9739</Words>
  <Characters>55513</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dc:creator>
  <cp:lastModifiedBy>FERRARI Giulia</cp:lastModifiedBy>
  <cp:revision>5</cp:revision>
  <dcterms:created xsi:type="dcterms:W3CDTF">2021-04-22T09:28:00Z</dcterms:created>
  <dcterms:modified xsi:type="dcterms:W3CDTF">2021-04-22T13:19:00Z</dcterms:modified>
</cp:coreProperties>
</file>