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43" w:rsidRDefault="00587CD9">
      <w:pPr>
        <w:rPr>
          <w:rFonts w:ascii="Times New Roman" w:hAnsi="Times New Roman" w:cs="Times New Roman"/>
          <w:sz w:val="28"/>
          <w:szCs w:val="28"/>
        </w:rPr>
      </w:pPr>
      <w:r>
        <w:rPr>
          <w:rFonts w:ascii="Times New Roman" w:hAnsi="Times New Roman" w:cs="Times New Roman"/>
          <w:sz w:val="28"/>
          <w:szCs w:val="28"/>
        </w:rPr>
        <w:t>La Carta europea dei diritti nell’ordinamento interno e in quello sovranazionale</w:t>
      </w:r>
    </w:p>
    <w:p w:rsidR="00587CD9" w:rsidRDefault="00587CD9">
      <w:pPr>
        <w:rPr>
          <w:rFonts w:ascii="Times New Roman" w:hAnsi="Times New Roman" w:cs="Times New Roman"/>
          <w:sz w:val="28"/>
          <w:szCs w:val="28"/>
        </w:rPr>
      </w:pPr>
      <w:r>
        <w:rPr>
          <w:rFonts w:ascii="Times New Roman" w:hAnsi="Times New Roman" w:cs="Times New Roman"/>
          <w:sz w:val="28"/>
          <w:szCs w:val="28"/>
        </w:rPr>
        <w:t>(Palazzo Spada, 15 novembre 2021)</w:t>
      </w:r>
    </w:p>
    <w:p w:rsidR="00587CD9" w:rsidRDefault="00587CD9" w:rsidP="00587CD9">
      <w:pPr>
        <w:jc w:val="center"/>
        <w:rPr>
          <w:rFonts w:ascii="Times New Roman" w:hAnsi="Times New Roman" w:cs="Times New Roman"/>
          <w:b/>
          <w:sz w:val="28"/>
          <w:szCs w:val="28"/>
        </w:rPr>
      </w:pPr>
    </w:p>
    <w:p w:rsidR="00587CD9" w:rsidRPr="00587CD9" w:rsidRDefault="00587CD9" w:rsidP="00587CD9">
      <w:pPr>
        <w:jc w:val="center"/>
        <w:rPr>
          <w:rFonts w:ascii="Times New Roman" w:hAnsi="Times New Roman" w:cs="Times New Roman"/>
          <w:b/>
          <w:sz w:val="28"/>
          <w:szCs w:val="28"/>
        </w:rPr>
      </w:pPr>
      <w:r w:rsidRPr="00587CD9">
        <w:rPr>
          <w:rFonts w:ascii="Times New Roman" w:hAnsi="Times New Roman" w:cs="Times New Roman"/>
          <w:b/>
          <w:sz w:val="28"/>
          <w:szCs w:val="28"/>
        </w:rPr>
        <w:t>SALUTI ISTITUZIONALI</w:t>
      </w:r>
    </w:p>
    <w:p w:rsidR="00587CD9" w:rsidRDefault="00587CD9" w:rsidP="00587CD9">
      <w:pPr>
        <w:jc w:val="right"/>
        <w:rPr>
          <w:rFonts w:ascii="Times New Roman" w:hAnsi="Times New Roman" w:cs="Times New Roman"/>
          <w:sz w:val="28"/>
          <w:szCs w:val="28"/>
        </w:rPr>
      </w:pPr>
      <w:r>
        <w:rPr>
          <w:rFonts w:ascii="Times New Roman" w:hAnsi="Times New Roman" w:cs="Times New Roman"/>
          <w:sz w:val="28"/>
          <w:szCs w:val="28"/>
        </w:rPr>
        <w:t>di Filippo Patroni Griffi</w:t>
      </w:r>
    </w:p>
    <w:p w:rsidR="00587CD9" w:rsidRDefault="00587CD9" w:rsidP="00587CD9">
      <w:pPr>
        <w:jc w:val="right"/>
        <w:rPr>
          <w:rFonts w:ascii="Times New Roman" w:hAnsi="Times New Roman" w:cs="Times New Roman"/>
          <w:sz w:val="28"/>
          <w:szCs w:val="28"/>
        </w:rPr>
      </w:pPr>
    </w:p>
    <w:p w:rsidR="00587CD9" w:rsidRDefault="00587CD9" w:rsidP="00A17E4E">
      <w:pPr>
        <w:jc w:val="both"/>
        <w:rPr>
          <w:rFonts w:ascii="Times New Roman" w:hAnsi="Times New Roman" w:cs="Times New Roman"/>
          <w:sz w:val="28"/>
          <w:szCs w:val="28"/>
        </w:rPr>
      </w:pPr>
      <w:r>
        <w:rPr>
          <w:rFonts w:ascii="Times New Roman" w:hAnsi="Times New Roman" w:cs="Times New Roman"/>
          <w:sz w:val="28"/>
          <w:szCs w:val="28"/>
        </w:rPr>
        <w:t>L’incontro di oggi -che nasce da uno scambio di idee tra noi e la Corte costituzionale, che ringrazio per aver voluto che l’incontro si svolgesse a Palazzo Spada-</w:t>
      </w:r>
      <w:r w:rsidR="00F17524">
        <w:rPr>
          <w:rFonts w:ascii="Times New Roman" w:hAnsi="Times New Roman" w:cs="Times New Roman"/>
          <w:sz w:val="28"/>
          <w:szCs w:val="28"/>
        </w:rPr>
        <w:t xml:space="preserve"> ci consente di</w:t>
      </w:r>
      <w:r>
        <w:rPr>
          <w:rFonts w:ascii="Times New Roman" w:hAnsi="Times New Roman" w:cs="Times New Roman"/>
          <w:sz w:val="28"/>
          <w:szCs w:val="28"/>
        </w:rPr>
        <w:t xml:space="preserve"> riflettere</w:t>
      </w:r>
      <w:r w:rsidR="00F17524">
        <w:rPr>
          <w:rFonts w:ascii="Times New Roman" w:hAnsi="Times New Roman" w:cs="Times New Roman"/>
          <w:sz w:val="28"/>
          <w:szCs w:val="28"/>
        </w:rPr>
        <w:t xml:space="preserve"> su una “fonte del diritto” affacciatasi relativamente di recente sullo scenario delle fonti sovranazionali: la Carta dei diritti UE, la cd. Carta di Nizza.</w:t>
      </w:r>
    </w:p>
    <w:p w:rsidR="005A1443" w:rsidRDefault="005A1443" w:rsidP="00A17E4E">
      <w:pPr>
        <w:jc w:val="both"/>
        <w:rPr>
          <w:rFonts w:ascii="Times New Roman" w:hAnsi="Times New Roman" w:cs="Times New Roman"/>
          <w:sz w:val="28"/>
          <w:szCs w:val="28"/>
        </w:rPr>
      </w:pPr>
      <w:r>
        <w:rPr>
          <w:rFonts w:ascii="Times New Roman" w:hAnsi="Times New Roman" w:cs="Times New Roman"/>
          <w:sz w:val="28"/>
          <w:szCs w:val="28"/>
        </w:rPr>
        <w:t>Ed è in relazione a questa Carta che i curatori del volume, nella relativa introduzione, si pongono una domanda di fondo: “</w:t>
      </w:r>
      <w:proofErr w:type="spellStart"/>
      <w:r>
        <w:rPr>
          <w:rFonts w:ascii="Times New Roman" w:hAnsi="Times New Roman" w:cs="Times New Roman"/>
          <w:sz w:val="28"/>
          <w:szCs w:val="28"/>
        </w:rPr>
        <w:t>what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is</w:t>
      </w:r>
      <w:proofErr w:type="spellEnd"/>
      <w:r>
        <w:rPr>
          <w:rFonts w:ascii="Times New Roman" w:hAnsi="Times New Roman" w:cs="Times New Roman"/>
          <w:sz w:val="28"/>
          <w:szCs w:val="28"/>
        </w:rPr>
        <w:t xml:space="preserve"> the reality on the </w:t>
      </w:r>
      <w:proofErr w:type="spellStart"/>
      <w:r>
        <w:rPr>
          <w:rFonts w:ascii="Times New Roman" w:hAnsi="Times New Roman" w:cs="Times New Roman"/>
          <w:sz w:val="28"/>
          <w:szCs w:val="28"/>
        </w:rPr>
        <w:t>ground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w:t>
      </w:r>
      <w:proofErr w:type="spellEnd"/>
      <w:r>
        <w:rPr>
          <w:rFonts w:ascii="Times New Roman" w:hAnsi="Times New Roman" w:cs="Times New Roman"/>
          <w:sz w:val="28"/>
          <w:szCs w:val="28"/>
        </w:rPr>
        <w:t xml:space="preserve"> the </w:t>
      </w:r>
      <w:proofErr w:type="spellStart"/>
      <w:r>
        <w:rPr>
          <w:rFonts w:ascii="Times New Roman" w:hAnsi="Times New Roman" w:cs="Times New Roman"/>
          <w:sz w:val="28"/>
          <w:szCs w:val="28"/>
        </w:rPr>
        <w:t>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level</w:t>
      </w:r>
      <w:proofErr w:type="spellEnd"/>
      <w:r>
        <w:rPr>
          <w:rFonts w:ascii="Times New Roman" w:hAnsi="Times New Roman" w:cs="Times New Roman"/>
          <w:sz w:val="28"/>
          <w:szCs w:val="28"/>
        </w:rPr>
        <w:t>?”.</w:t>
      </w:r>
    </w:p>
    <w:p w:rsidR="006E016D" w:rsidRDefault="00682D4B" w:rsidP="00A17E4E">
      <w:pPr>
        <w:jc w:val="both"/>
        <w:rPr>
          <w:rFonts w:ascii="Times New Roman" w:hAnsi="Times New Roman" w:cs="Times New Roman"/>
          <w:sz w:val="28"/>
          <w:szCs w:val="28"/>
        </w:rPr>
      </w:pPr>
      <w:r>
        <w:rPr>
          <w:rFonts w:ascii="Times New Roman" w:hAnsi="Times New Roman" w:cs="Times New Roman"/>
          <w:sz w:val="28"/>
          <w:szCs w:val="28"/>
        </w:rPr>
        <w:t>Sappiamo che, a</w:t>
      </w:r>
      <w:r w:rsidR="006E016D" w:rsidRPr="006E016D">
        <w:rPr>
          <w:rFonts w:ascii="Times New Roman" w:hAnsi="Times New Roman" w:cs="Times New Roman"/>
          <w:sz w:val="28"/>
          <w:szCs w:val="28"/>
        </w:rPr>
        <w:t>lla base d</w:t>
      </w:r>
      <w:r>
        <w:rPr>
          <w:rFonts w:ascii="Times New Roman" w:hAnsi="Times New Roman" w:cs="Times New Roman"/>
          <w:sz w:val="28"/>
          <w:szCs w:val="28"/>
        </w:rPr>
        <w:t>el processo di</w:t>
      </w:r>
      <w:r w:rsidR="006E016D" w:rsidRPr="006E016D">
        <w:rPr>
          <w:rFonts w:ascii="Times New Roman" w:hAnsi="Times New Roman" w:cs="Times New Roman"/>
          <w:sz w:val="28"/>
          <w:szCs w:val="28"/>
        </w:rPr>
        <w:t xml:space="preserve"> integrazione europea</w:t>
      </w:r>
      <w:r>
        <w:rPr>
          <w:rFonts w:ascii="Times New Roman" w:hAnsi="Times New Roman" w:cs="Times New Roman"/>
          <w:sz w:val="28"/>
          <w:szCs w:val="28"/>
        </w:rPr>
        <w:t>,</w:t>
      </w:r>
      <w:r w:rsidR="006E016D" w:rsidRPr="006E016D">
        <w:rPr>
          <w:rFonts w:ascii="Times New Roman" w:hAnsi="Times New Roman" w:cs="Times New Roman"/>
          <w:sz w:val="28"/>
          <w:szCs w:val="28"/>
        </w:rPr>
        <w:t xml:space="preserve"> si pongono i principi ge</w:t>
      </w:r>
      <w:r w:rsidR="00E37B07">
        <w:rPr>
          <w:rFonts w:ascii="Times New Roman" w:hAnsi="Times New Roman" w:cs="Times New Roman"/>
          <w:sz w:val="28"/>
          <w:szCs w:val="28"/>
        </w:rPr>
        <w:t xml:space="preserve">nerali e i diritti fondamentali, </w:t>
      </w:r>
      <w:r w:rsidR="004E4F27">
        <w:rPr>
          <w:rFonts w:ascii="Times New Roman" w:hAnsi="Times New Roman" w:cs="Times New Roman"/>
          <w:sz w:val="28"/>
          <w:szCs w:val="28"/>
        </w:rPr>
        <w:t>alla cui elaborazione ha</w:t>
      </w:r>
      <w:r w:rsidR="00E37B07">
        <w:rPr>
          <w:rFonts w:ascii="Times New Roman" w:hAnsi="Times New Roman" w:cs="Times New Roman"/>
          <w:sz w:val="28"/>
          <w:szCs w:val="28"/>
        </w:rPr>
        <w:t xml:space="preserve"> molto contribuito la Corte di g</w:t>
      </w:r>
      <w:r w:rsidR="004E4F27">
        <w:rPr>
          <w:rFonts w:ascii="Times New Roman" w:hAnsi="Times New Roman" w:cs="Times New Roman"/>
          <w:sz w:val="28"/>
          <w:szCs w:val="28"/>
        </w:rPr>
        <w:t>iustizia.</w:t>
      </w:r>
      <w:r w:rsidR="006E016D" w:rsidRPr="006E016D">
        <w:rPr>
          <w:rFonts w:ascii="Times New Roman" w:hAnsi="Times New Roman" w:cs="Times New Roman"/>
          <w:sz w:val="28"/>
          <w:szCs w:val="28"/>
        </w:rPr>
        <w:t xml:space="preserve"> </w:t>
      </w:r>
      <w:r>
        <w:rPr>
          <w:rFonts w:ascii="Times New Roman" w:hAnsi="Times New Roman" w:cs="Times New Roman"/>
          <w:sz w:val="28"/>
          <w:szCs w:val="28"/>
        </w:rPr>
        <w:t>In particolare, l</w:t>
      </w:r>
      <w:r w:rsidR="006E016D" w:rsidRPr="006E016D">
        <w:rPr>
          <w:rFonts w:ascii="Times New Roman" w:hAnsi="Times New Roman" w:cs="Times New Roman"/>
          <w:sz w:val="28"/>
          <w:szCs w:val="28"/>
        </w:rPr>
        <w:t>a vicenda dei diritti fondamentali evidenzia come ‒ una volta intrapreso liberamente il processo d’integrazione ‒ gli ordinamenti nazionali non possono pretendere di “continuare a definirsi, in modo autoreferenziale, come sistemi a sé stanti, se non in nome di una sorta di nazionalismo costituzionale che contraddirebbe non solo gli obblighi internazionali, ma gli stessi principi costituzionali che esplicitamente legittimano l’apertura dello Stato al processo d’integrazione” (</w:t>
      </w:r>
      <w:proofErr w:type="spellStart"/>
      <w:r w:rsidR="006E016D" w:rsidRPr="006E016D">
        <w:rPr>
          <w:rFonts w:ascii="Times New Roman" w:hAnsi="Times New Roman" w:cs="Times New Roman"/>
          <w:sz w:val="28"/>
          <w:szCs w:val="28"/>
        </w:rPr>
        <w:t>A.Tizzano</w:t>
      </w:r>
      <w:proofErr w:type="spellEnd"/>
      <w:r w:rsidR="006E016D" w:rsidRPr="006E016D">
        <w:rPr>
          <w:rFonts w:ascii="Times New Roman" w:hAnsi="Times New Roman" w:cs="Times New Roman"/>
          <w:sz w:val="28"/>
          <w:szCs w:val="28"/>
        </w:rPr>
        <w:t>).</w:t>
      </w:r>
    </w:p>
    <w:p w:rsidR="00682D4B" w:rsidRPr="00682D4B" w:rsidRDefault="00682D4B" w:rsidP="00A17E4E">
      <w:pPr>
        <w:jc w:val="both"/>
        <w:rPr>
          <w:rFonts w:ascii="Times New Roman" w:hAnsi="Times New Roman" w:cs="Times New Roman"/>
          <w:sz w:val="28"/>
          <w:szCs w:val="28"/>
        </w:rPr>
      </w:pPr>
      <w:r>
        <w:rPr>
          <w:rFonts w:ascii="Times New Roman" w:hAnsi="Times New Roman" w:cs="Times New Roman"/>
          <w:sz w:val="28"/>
          <w:szCs w:val="28"/>
        </w:rPr>
        <w:t>I princìpi generali,</w:t>
      </w:r>
      <w:r w:rsidRPr="00682D4B">
        <w:rPr>
          <w:rFonts w:ascii="Times New Roman" w:hAnsi="Times New Roman" w:cs="Times New Roman"/>
          <w:sz w:val="28"/>
          <w:szCs w:val="28"/>
        </w:rPr>
        <w:t xml:space="preserve"> attraverso il noto meccanismo cd. di triangolazione,</w:t>
      </w:r>
      <w:r>
        <w:rPr>
          <w:rFonts w:ascii="Times New Roman" w:hAnsi="Times New Roman" w:cs="Times New Roman"/>
          <w:sz w:val="28"/>
          <w:szCs w:val="28"/>
        </w:rPr>
        <w:t xml:space="preserve"> sono stati utilizzati</w:t>
      </w:r>
      <w:r w:rsidRPr="00682D4B">
        <w:rPr>
          <w:rFonts w:ascii="Times New Roman" w:hAnsi="Times New Roman" w:cs="Times New Roman"/>
          <w:sz w:val="28"/>
          <w:szCs w:val="28"/>
        </w:rPr>
        <w:t xml:space="preserve"> come strumento per creare un diritto europeo di princìpi e valori che, tratti dalle tradizioni costituzionali comuni degli Stati membri e fatti propri dalla Corte come princìpi dell’Unione, si riversassero negli Stati membri allo scopo di allargare il comune patrimonio di valori e princìpi.</w:t>
      </w:r>
    </w:p>
    <w:p w:rsidR="00682D4B" w:rsidRDefault="00682D4B" w:rsidP="00A17E4E">
      <w:pPr>
        <w:jc w:val="both"/>
        <w:rPr>
          <w:rFonts w:ascii="Times New Roman" w:hAnsi="Times New Roman" w:cs="Times New Roman"/>
          <w:sz w:val="28"/>
          <w:szCs w:val="28"/>
        </w:rPr>
      </w:pPr>
      <w:r w:rsidRPr="00682D4B">
        <w:rPr>
          <w:rFonts w:ascii="Times New Roman" w:hAnsi="Times New Roman" w:cs="Times New Roman"/>
          <w:sz w:val="28"/>
          <w:szCs w:val="28"/>
        </w:rPr>
        <w:t>In tale ottica, è stato addotto a esempio proprio l’articolo 47 della Carta dei diritti, che, sotto la formula del diritto a un “rimedio effettivo”, ha consentito di venire incontro a due visioni diverse dell’accesso al giudice, tanto da essere definita una sintesi appropriata del dialogo tra le due famiglie europee del diritto (</w:t>
      </w:r>
      <w:proofErr w:type="spellStart"/>
      <w:r w:rsidRPr="00682D4B">
        <w:rPr>
          <w:rFonts w:ascii="Times New Roman" w:hAnsi="Times New Roman" w:cs="Times New Roman"/>
          <w:sz w:val="28"/>
          <w:szCs w:val="28"/>
        </w:rPr>
        <w:t>Trocker</w:t>
      </w:r>
      <w:proofErr w:type="spellEnd"/>
      <w:r w:rsidRPr="00682D4B">
        <w:rPr>
          <w:rFonts w:ascii="Times New Roman" w:hAnsi="Times New Roman" w:cs="Times New Roman"/>
          <w:sz w:val="28"/>
          <w:szCs w:val="28"/>
        </w:rPr>
        <w:t xml:space="preserve">): il diritto di accedere ai tribunali (non scontato negli ordinamenti anglosassoni), che garantisce il principio di azionabilità dei singoli diritti, e il </w:t>
      </w:r>
      <w:r w:rsidRPr="00682D4B">
        <w:rPr>
          <w:rFonts w:ascii="Times New Roman" w:hAnsi="Times New Roman" w:cs="Times New Roman"/>
          <w:i/>
          <w:sz w:val="28"/>
          <w:szCs w:val="28"/>
        </w:rPr>
        <w:t>fair trial</w:t>
      </w:r>
      <w:r w:rsidRPr="00682D4B">
        <w:rPr>
          <w:rFonts w:ascii="Times New Roman" w:hAnsi="Times New Roman" w:cs="Times New Roman"/>
          <w:sz w:val="28"/>
          <w:szCs w:val="28"/>
        </w:rPr>
        <w:t>, inteso come giusto processo. Da cui la Corte di giustizia ha elaborato il diritto a strumenti processuali idonei a ottenere una garanzia effettiva dell’ordinamento comunitario e dei “diritti” da esso garantiti.</w:t>
      </w:r>
    </w:p>
    <w:p w:rsidR="00682D4B" w:rsidRPr="00682D4B" w:rsidRDefault="00682D4B" w:rsidP="00A17E4E">
      <w:pPr>
        <w:jc w:val="both"/>
        <w:rPr>
          <w:rFonts w:ascii="Times New Roman" w:hAnsi="Times New Roman" w:cs="Times New Roman"/>
          <w:sz w:val="28"/>
          <w:szCs w:val="28"/>
        </w:rPr>
      </w:pPr>
      <w:r w:rsidRPr="00682D4B">
        <w:rPr>
          <w:rFonts w:ascii="Times New Roman" w:hAnsi="Times New Roman" w:cs="Times New Roman"/>
          <w:sz w:val="28"/>
          <w:szCs w:val="28"/>
        </w:rPr>
        <w:lastRenderedPageBreak/>
        <w:t xml:space="preserve">E tra i princìpi generali è stato inserito dalla Corte il rispetto dei diritti fondamentali, sul rilievo che “i diritti fondamentali costituiscono parte integrante dei princìpi generali del diritto, di cui la Corte garantisce l’osservanza; nel garantire la tutela di tali diritti la Corte è tenuta d ispirarsi alle tradizioni comuni agli Stati membri e non potrebbe, quindi, ammettere provvedimenti incompatibili con i diritti fondamentali riconosciuti e garantiti dalle Costituzioni degli Stati” (sent.13 dicembre 1979, 44/79, </w:t>
      </w:r>
      <w:proofErr w:type="spellStart"/>
      <w:r w:rsidRPr="00682D4B">
        <w:rPr>
          <w:rFonts w:ascii="Times New Roman" w:hAnsi="Times New Roman" w:cs="Times New Roman"/>
          <w:i/>
          <w:sz w:val="28"/>
          <w:szCs w:val="28"/>
        </w:rPr>
        <w:t>Hauer</w:t>
      </w:r>
      <w:proofErr w:type="spellEnd"/>
      <w:r w:rsidRPr="00682D4B">
        <w:rPr>
          <w:rFonts w:ascii="Times New Roman" w:hAnsi="Times New Roman" w:cs="Times New Roman"/>
          <w:sz w:val="28"/>
          <w:szCs w:val="28"/>
        </w:rPr>
        <w:t xml:space="preserve">; ma affermazioni simili si rinvengono già in precedenti sentenze). Oltre che nelle Costituzioni nazionali, la Corte ha presto rinvenuto tali diritti, idonei a diventare princìpi generali UE, nella </w:t>
      </w:r>
      <w:proofErr w:type="spellStart"/>
      <w:r w:rsidRPr="00682D4B">
        <w:rPr>
          <w:rFonts w:ascii="Times New Roman" w:hAnsi="Times New Roman" w:cs="Times New Roman"/>
          <w:sz w:val="28"/>
          <w:szCs w:val="28"/>
        </w:rPr>
        <w:t>Cedu</w:t>
      </w:r>
      <w:proofErr w:type="spellEnd"/>
      <w:r>
        <w:rPr>
          <w:rFonts w:ascii="Times New Roman" w:hAnsi="Times New Roman" w:cs="Times New Roman"/>
          <w:sz w:val="28"/>
          <w:szCs w:val="28"/>
        </w:rPr>
        <w:t xml:space="preserve">, così operando </w:t>
      </w:r>
      <w:r w:rsidRPr="00682D4B">
        <w:rPr>
          <w:rFonts w:ascii="Times New Roman" w:hAnsi="Times New Roman" w:cs="Times New Roman"/>
          <w:sz w:val="28"/>
          <w:szCs w:val="28"/>
        </w:rPr>
        <w:t>una “</w:t>
      </w:r>
      <w:proofErr w:type="spellStart"/>
      <w:r w:rsidRPr="00682D4B">
        <w:rPr>
          <w:rFonts w:ascii="Times New Roman" w:hAnsi="Times New Roman" w:cs="Times New Roman"/>
          <w:sz w:val="28"/>
          <w:szCs w:val="28"/>
        </w:rPr>
        <w:t>ri</w:t>
      </w:r>
      <w:proofErr w:type="spellEnd"/>
      <w:r w:rsidRPr="00682D4B">
        <w:rPr>
          <w:rFonts w:ascii="Times New Roman" w:hAnsi="Times New Roman" w:cs="Times New Roman"/>
          <w:sz w:val="28"/>
          <w:szCs w:val="28"/>
        </w:rPr>
        <w:t>-lettura” aggiornata ai tempi nostri dei diritti della Convenzione</w:t>
      </w:r>
      <w:r>
        <w:rPr>
          <w:rFonts w:ascii="Times New Roman" w:hAnsi="Times New Roman" w:cs="Times New Roman"/>
          <w:sz w:val="28"/>
          <w:szCs w:val="28"/>
        </w:rPr>
        <w:t xml:space="preserve">; </w:t>
      </w:r>
      <w:r w:rsidRPr="00682D4B">
        <w:rPr>
          <w:rFonts w:ascii="Times New Roman" w:hAnsi="Times New Roman" w:cs="Times New Roman"/>
          <w:sz w:val="28"/>
          <w:szCs w:val="28"/>
        </w:rPr>
        <w:t xml:space="preserve">aggiornamento al quale attingerà la stessa Corte di Strasburgo per una moderna </w:t>
      </w:r>
      <w:proofErr w:type="spellStart"/>
      <w:r w:rsidRPr="00682D4B">
        <w:rPr>
          <w:rFonts w:ascii="Times New Roman" w:hAnsi="Times New Roman" w:cs="Times New Roman"/>
          <w:sz w:val="28"/>
          <w:szCs w:val="28"/>
        </w:rPr>
        <w:t>ri</w:t>
      </w:r>
      <w:proofErr w:type="spellEnd"/>
      <w:r w:rsidRPr="00682D4B">
        <w:rPr>
          <w:rFonts w:ascii="Times New Roman" w:hAnsi="Times New Roman" w:cs="Times New Roman"/>
          <w:sz w:val="28"/>
          <w:szCs w:val="28"/>
        </w:rPr>
        <w:t xml:space="preserve">-definizione dei diritti convenzionali (si pensi alla sentenza Corte EDU 11 luglio 2002, </w:t>
      </w:r>
      <w:r w:rsidRPr="00682D4B">
        <w:rPr>
          <w:rFonts w:ascii="Times New Roman" w:hAnsi="Times New Roman" w:cs="Times New Roman"/>
          <w:i/>
          <w:sz w:val="28"/>
          <w:szCs w:val="28"/>
        </w:rPr>
        <w:t>Goodwin v. UK</w:t>
      </w:r>
      <w:r w:rsidRPr="00682D4B">
        <w:rPr>
          <w:rFonts w:ascii="Times New Roman" w:hAnsi="Times New Roman" w:cs="Times New Roman"/>
          <w:sz w:val="28"/>
          <w:szCs w:val="28"/>
        </w:rPr>
        <w:t xml:space="preserve">, sul diritto dei transessuali a sposarsi, motivata con riferimento all’art. 9 della Carta, alla cui luce è </w:t>
      </w:r>
      <w:proofErr w:type="spellStart"/>
      <w:r w:rsidRPr="00682D4B">
        <w:rPr>
          <w:rFonts w:ascii="Times New Roman" w:hAnsi="Times New Roman" w:cs="Times New Roman"/>
          <w:sz w:val="28"/>
          <w:szCs w:val="28"/>
        </w:rPr>
        <w:t>ri</w:t>
      </w:r>
      <w:proofErr w:type="spellEnd"/>
      <w:r w:rsidRPr="00682D4B">
        <w:rPr>
          <w:rFonts w:ascii="Times New Roman" w:hAnsi="Times New Roman" w:cs="Times New Roman"/>
          <w:sz w:val="28"/>
          <w:szCs w:val="28"/>
        </w:rPr>
        <w:t xml:space="preserve">-letto l’art.12 della Convenzione).  </w:t>
      </w:r>
    </w:p>
    <w:p w:rsidR="00682D4B" w:rsidRPr="00682D4B" w:rsidRDefault="00682D4B" w:rsidP="00A17E4E">
      <w:pPr>
        <w:jc w:val="both"/>
        <w:rPr>
          <w:rFonts w:ascii="Times New Roman" w:hAnsi="Times New Roman" w:cs="Times New Roman"/>
          <w:sz w:val="28"/>
          <w:szCs w:val="28"/>
        </w:rPr>
      </w:pPr>
      <w:proofErr w:type="gramStart"/>
      <w:r w:rsidRPr="00682D4B">
        <w:rPr>
          <w:rFonts w:ascii="Times New Roman" w:hAnsi="Times New Roman" w:cs="Times New Roman"/>
          <w:sz w:val="28"/>
          <w:szCs w:val="28"/>
        </w:rPr>
        <w:t>E’</w:t>
      </w:r>
      <w:proofErr w:type="gramEnd"/>
      <w:r w:rsidRPr="00682D4B">
        <w:rPr>
          <w:rFonts w:ascii="Times New Roman" w:hAnsi="Times New Roman" w:cs="Times New Roman"/>
          <w:sz w:val="28"/>
          <w:szCs w:val="28"/>
        </w:rPr>
        <w:t xml:space="preserve"> necessario ora sottolineare due aspetti che si rinvengono nelle clausole finali della Carta.</w:t>
      </w:r>
    </w:p>
    <w:p w:rsidR="00682D4B" w:rsidRDefault="00682D4B" w:rsidP="00A17E4E">
      <w:pPr>
        <w:jc w:val="both"/>
        <w:rPr>
          <w:rFonts w:ascii="Times New Roman" w:hAnsi="Times New Roman" w:cs="Times New Roman"/>
          <w:sz w:val="28"/>
          <w:szCs w:val="28"/>
        </w:rPr>
      </w:pPr>
      <w:r w:rsidRPr="00682D4B">
        <w:rPr>
          <w:rFonts w:ascii="Times New Roman" w:hAnsi="Times New Roman" w:cs="Times New Roman"/>
          <w:sz w:val="28"/>
          <w:szCs w:val="28"/>
        </w:rPr>
        <w:t xml:space="preserve">Il primo aspetto –su cui non ci si soffermerà- è che l’Unione garantisce </w:t>
      </w:r>
      <w:r>
        <w:rPr>
          <w:rFonts w:ascii="Times New Roman" w:hAnsi="Times New Roman" w:cs="Times New Roman"/>
          <w:sz w:val="28"/>
          <w:szCs w:val="28"/>
        </w:rPr>
        <w:t>un</w:t>
      </w:r>
      <w:r w:rsidRPr="00682D4B">
        <w:rPr>
          <w:rFonts w:ascii="Times New Roman" w:hAnsi="Times New Roman" w:cs="Times New Roman"/>
          <w:sz w:val="28"/>
          <w:szCs w:val="28"/>
        </w:rPr>
        <w:t xml:space="preserve"> livello </w:t>
      </w:r>
      <w:r>
        <w:rPr>
          <w:rFonts w:ascii="Times New Roman" w:hAnsi="Times New Roman" w:cs="Times New Roman"/>
          <w:sz w:val="28"/>
          <w:szCs w:val="28"/>
        </w:rPr>
        <w:t>elevato</w:t>
      </w:r>
      <w:r w:rsidRPr="00682D4B">
        <w:rPr>
          <w:rFonts w:ascii="Times New Roman" w:hAnsi="Times New Roman" w:cs="Times New Roman"/>
          <w:sz w:val="28"/>
          <w:szCs w:val="28"/>
        </w:rPr>
        <w:t xml:space="preserve"> di protezione dei diritti fondamentali</w:t>
      </w:r>
      <w:r>
        <w:rPr>
          <w:rFonts w:ascii="Times New Roman" w:hAnsi="Times New Roman" w:cs="Times New Roman"/>
          <w:sz w:val="28"/>
          <w:szCs w:val="28"/>
        </w:rPr>
        <w:t>,</w:t>
      </w:r>
      <w:r w:rsidRPr="00682D4B">
        <w:rPr>
          <w:rFonts w:ascii="Times New Roman" w:hAnsi="Times New Roman" w:cs="Times New Roman"/>
          <w:sz w:val="28"/>
          <w:szCs w:val="28"/>
        </w:rPr>
        <w:t xml:space="preserve"> sempre</w:t>
      </w:r>
      <w:r>
        <w:rPr>
          <w:rFonts w:ascii="Times New Roman" w:hAnsi="Times New Roman" w:cs="Times New Roman"/>
          <w:sz w:val="28"/>
          <w:szCs w:val="28"/>
        </w:rPr>
        <w:t xml:space="preserve"> però</w:t>
      </w:r>
      <w:r w:rsidRPr="00682D4B">
        <w:rPr>
          <w:rFonts w:ascii="Times New Roman" w:hAnsi="Times New Roman" w:cs="Times New Roman"/>
          <w:sz w:val="28"/>
          <w:szCs w:val="28"/>
        </w:rPr>
        <w:t xml:space="preserve"> salvaguardando livelli di protezione più estesi (art. 52, co. 3, </w:t>
      </w:r>
      <w:proofErr w:type="spellStart"/>
      <w:r w:rsidRPr="00682D4B">
        <w:rPr>
          <w:rFonts w:ascii="Times New Roman" w:hAnsi="Times New Roman" w:cs="Times New Roman"/>
          <w:sz w:val="28"/>
          <w:szCs w:val="28"/>
        </w:rPr>
        <w:t>ult</w:t>
      </w:r>
      <w:proofErr w:type="spellEnd"/>
      <w:r w:rsidRPr="00682D4B">
        <w:rPr>
          <w:rFonts w:ascii="Times New Roman" w:hAnsi="Times New Roman" w:cs="Times New Roman"/>
          <w:sz w:val="28"/>
          <w:szCs w:val="28"/>
        </w:rPr>
        <w:t xml:space="preserve">. periodo) e posizioni più favorevoli riconosciute da altre fonti internazionali e nazionali (art. 53). </w:t>
      </w:r>
      <w:r>
        <w:rPr>
          <w:rFonts w:ascii="Times New Roman" w:hAnsi="Times New Roman" w:cs="Times New Roman"/>
          <w:sz w:val="28"/>
          <w:szCs w:val="28"/>
        </w:rPr>
        <w:t>Ciò sembra</w:t>
      </w:r>
      <w:r w:rsidRPr="00682D4B">
        <w:rPr>
          <w:rFonts w:ascii="Times New Roman" w:hAnsi="Times New Roman" w:cs="Times New Roman"/>
          <w:sz w:val="28"/>
          <w:szCs w:val="28"/>
        </w:rPr>
        <w:t xml:space="preserve"> consentire alla Corte di perseguire nel processo circolare di scambio tra diritti nazionali, diritto dell’Unione e diritto convenzionale, allo scopo di individuare “nuovi diritti”; compito questo che non appare affatto precluso dalla codificazione effettuata dalla Carta. </w:t>
      </w:r>
    </w:p>
    <w:p w:rsidR="00682D4B" w:rsidRPr="00682D4B" w:rsidRDefault="00682D4B" w:rsidP="00A17E4E">
      <w:pPr>
        <w:jc w:val="both"/>
        <w:rPr>
          <w:rFonts w:ascii="Times New Roman" w:hAnsi="Times New Roman" w:cs="Times New Roman"/>
          <w:sz w:val="28"/>
          <w:szCs w:val="28"/>
        </w:rPr>
      </w:pPr>
      <w:r w:rsidRPr="00682D4B">
        <w:rPr>
          <w:rFonts w:ascii="Times New Roman" w:hAnsi="Times New Roman" w:cs="Times New Roman"/>
          <w:sz w:val="28"/>
          <w:szCs w:val="28"/>
        </w:rPr>
        <w:t xml:space="preserve">Il secondo aspetto –ben più rilevante ai nostri fini- è che l’articolo 51 della Carta dei diritti – e prima ancora il Trattato all’articolo 6- delimita rigorosamente l’ambito di applicazione dei diritti ivi elencati nei riguardi degli Stati membri: il riconoscimento dei diritti della Carta non può comportare un allargamento delle competenze dell’Unione. Questa formula sembra testualmente limitare la vigenza e l’efficacia dei diritti della Carta alle materie o settori in cui l’Unione europea abbia una propria competenza; con la conseguente esclusione di operatività della Carta nelle materie in cui non sia rinvenibile una “competenza” dell’Unione. La Corte ha infatti chiarito (tra le varie, nella sentenza </w:t>
      </w:r>
      <w:proofErr w:type="spellStart"/>
      <w:r w:rsidRPr="00682D4B">
        <w:rPr>
          <w:rFonts w:ascii="Times New Roman" w:hAnsi="Times New Roman" w:cs="Times New Roman"/>
          <w:i/>
          <w:sz w:val="28"/>
          <w:szCs w:val="28"/>
        </w:rPr>
        <w:t>Akerberg</w:t>
      </w:r>
      <w:proofErr w:type="spellEnd"/>
      <w:r w:rsidRPr="00682D4B">
        <w:rPr>
          <w:rFonts w:ascii="Times New Roman" w:hAnsi="Times New Roman" w:cs="Times New Roman"/>
          <w:i/>
          <w:sz w:val="28"/>
          <w:szCs w:val="28"/>
        </w:rPr>
        <w:t xml:space="preserve"> </w:t>
      </w:r>
      <w:proofErr w:type="spellStart"/>
      <w:r w:rsidRPr="00682D4B">
        <w:rPr>
          <w:rFonts w:ascii="Times New Roman" w:hAnsi="Times New Roman" w:cs="Times New Roman"/>
          <w:i/>
          <w:sz w:val="28"/>
          <w:szCs w:val="28"/>
        </w:rPr>
        <w:t>Fransson</w:t>
      </w:r>
      <w:proofErr w:type="spellEnd"/>
      <w:r w:rsidRPr="00682D4B">
        <w:rPr>
          <w:rFonts w:ascii="Times New Roman" w:hAnsi="Times New Roman" w:cs="Times New Roman"/>
          <w:sz w:val="28"/>
          <w:szCs w:val="28"/>
        </w:rPr>
        <w:t xml:space="preserve"> 26 febbraio 2013, C-617/10) che essa non può valutare una normativa nazionale che non si collochi nell’ambito del diritto dell’Unione. </w:t>
      </w:r>
    </w:p>
    <w:p w:rsidR="00682D4B" w:rsidRDefault="00682D4B" w:rsidP="00A17E4E">
      <w:pPr>
        <w:jc w:val="both"/>
        <w:rPr>
          <w:rFonts w:ascii="Times New Roman" w:hAnsi="Times New Roman" w:cs="Times New Roman"/>
          <w:sz w:val="28"/>
          <w:szCs w:val="28"/>
        </w:rPr>
      </w:pPr>
      <w:r w:rsidRPr="00682D4B">
        <w:rPr>
          <w:rFonts w:ascii="Times New Roman" w:hAnsi="Times New Roman" w:cs="Times New Roman"/>
          <w:sz w:val="28"/>
          <w:szCs w:val="28"/>
        </w:rPr>
        <w:t xml:space="preserve">La conseguenza di ciò è che può crearsi una asimmetria, una mancanza di corrispondenza tra alcuni “diritti” riconosciuti dalla Carta e le singole competenze conferite all’Unione; </w:t>
      </w:r>
      <w:r>
        <w:rPr>
          <w:rFonts w:ascii="Times New Roman" w:hAnsi="Times New Roman" w:cs="Times New Roman"/>
          <w:sz w:val="28"/>
          <w:szCs w:val="28"/>
        </w:rPr>
        <w:t xml:space="preserve">ma, ancor più, potrebbe crearsi un’asimmetria all’interno degli ordinamenti nazionali, tra “diritti” riconosciuti in materie di competenza dell’Unione e </w:t>
      </w:r>
      <w:r w:rsidR="00DC17D4">
        <w:rPr>
          <w:rFonts w:ascii="Times New Roman" w:hAnsi="Times New Roman" w:cs="Times New Roman"/>
          <w:sz w:val="28"/>
          <w:szCs w:val="28"/>
        </w:rPr>
        <w:t xml:space="preserve">“diritti” non riconosciuti in materia non di competenza </w:t>
      </w:r>
      <w:proofErr w:type="spellStart"/>
      <w:r w:rsidR="00DC17D4">
        <w:rPr>
          <w:rFonts w:ascii="Times New Roman" w:hAnsi="Times New Roman" w:cs="Times New Roman"/>
          <w:sz w:val="28"/>
          <w:szCs w:val="28"/>
        </w:rPr>
        <w:t>unionale</w:t>
      </w:r>
      <w:proofErr w:type="spellEnd"/>
      <w:r w:rsidR="00DC17D4">
        <w:rPr>
          <w:rFonts w:ascii="Times New Roman" w:hAnsi="Times New Roman" w:cs="Times New Roman"/>
          <w:sz w:val="28"/>
          <w:szCs w:val="28"/>
        </w:rPr>
        <w:t xml:space="preserve">: molto dipenderà dal </w:t>
      </w:r>
      <w:r w:rsidR="00DC17D4">
        <w:rPr>
          <w:rFonts w:ascii="Times New Roman" w:hAnsi="Times New Roman" w:cs="Times New Roman"/>
          <w:sz w:val="28"/>
          <w:szCs w:val="28"/>
        </w:rPr>
        <w:lastRenderedPageBreak/>
        <w:t>grado di omogeneità delle Carte costituzionali nazionali e, soprattutto, dal grado di protezione dei diritti assicurati nei singoli Stat</w:t>
      </w:r>
      <w:r w:rsidR="00CD30C1">
        <w:rPr>
          <w:rFonts w:ascii="Times New Roman" w:hAnsi="Times New Roman" w:cs="Times New Roman"/>
          <w:sz w:val="28"/>
          <w:szCs w:val="28"/>
        </w:rPr>
        <w:t>i membri dalle Corti nazionali, allo scopo di evitare discriminazioni al contrario.</w:t>
      </w:r>
    </w:p>
    <w:p w:rsidR="00DC17D4" w:rsidRPr="005A1443" w:rsidRDefault="00DC17D4" w:rsidP="00A17E4E">
      <w:pPr>
        <w:jc w:val="both"/>
        <w:rPr>
          <w:rFonts w:ascii="Times New Roman" w:hAnsi="Times New Roman" w:cs="Times New Roman"/>
          <w:sz w:val="28"/>
          <w:szCs w:val="28"/>
        </w:rPr>
      </w:pPr>
      <w:r>
        <w:rPr>
          <w:rFonts w:ascii="Times New Roman" w:hAnsi="Times New Roman" w:cs="Times New Roman"/>
          <w:sz w:val="28"/>
          <w:szCs w:val="28"/>
        </w:rPr>
        <w:t xml:space="preserve">Se, a tale riguardo, continua ad assumere rilevanza centrale il dialogo verticale tra Corti nazionali ed europee, </w:t>
      </w:r>
      <w:r w:rsidR="00501C33" w:rsidRPr="00501C33">
        <w:rPr>
          <w:rFonts w:ascii="Times New Roman" w:hAnsi="Times New Roman" w:cs="Times New Roman"/>
          <w:sz w:val="28"/>
          <w:szCs w:val="28"/>
        </w:rPr>
        <w:t>secondo il</w:t>
      </w:r>
      <w:r>
        <w:rPr>
          <w:rFonts w:ascii="Times New Roman" w:hAnsi="Times New Roman" w:cs="Times New Roman"/>
          <w:sz w:val="28"/>
          <w:szCs w:val="28"/>
        </w:rPr>
        <w:t xml:space="preserve"> cd.</w:t>
      </w:r>
      <w:r w:rsidR="00501C33" w:rsidRPr="00501C33">
        <w:rPr>
          <w:rFonts w:ascii="Times New Roman" w:hAnsi="Times New Roman" w:cs="Times New Roman"/>
          <w:sz w:val="28"/>
          <w:szCs w:val="28"/>
        </w:rPr>
        <w:t xml:space="preserve"> meccanismo di triangolazione</w:t>
      </w:r>
      <w:r>
        <w:rPr>
          <w:rFonts w:ascii="Times New Roman" w:hAnsi="Times New Roman" w:cs="Times New Roman"/>
          <w:sz w:val="28"/>
          <w:szCs w:val="28"/>
        </w:rPr>
        <w:t>, al fine di assicurare</w:t>
      </w:r>
      <w:r w:rsidR="00501C33" w:rsidRPr="00501C33">
        <w:rPr>
          <w:rFonts w:ascii="Times New Roman" w:hAnsi="Times New Roman" w:cs="Times New Roman"/>
          <w:sz w:val="28"/>
          <w:szCs w:val="28"/>
        </w:rPr>
        <w:t xml:space="preserve"> standard e princìpi comuni nel garantire la protezione delle persone nei confronti dei poteri p</w:t>
      </w:r>
      <w:r>
        <w:rPr>
          <w:rFonts w:ascii="Times New Roman" w:hAnsi="Times New Roman" w:cs="Times New Roman"/>
          <w:sz w:val="28"/>
          <w:szCs w:val="28"/>
        </w:rPr>
        <w:t>ubblici che operano nell’Unione, mi sembra che il dialogo verticale non basti più.</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 xml:space="preserve">I cittadini vanno in primo luogo dinanzi alle Corti nazionali, anzi le Corti europee o non sono abilitate ai ricorsi individuali (Corte di giustizia) o il ricorso a loro presuppone l’esaurimento dei rimedi interni (Corte EDU). Inoltre ci sono settori non armonizzati di grande rilevanza (urbanistica ed edilizia, beni culturali e paesaggio, commercio), in cui i giudici nazionali applicano diritti nazionali. Ma questi possono rimanere immuni da influenze sovranazionali o quanto meno insensibili alle stesse? </w:t>
      </w:r>
    </w:p>
    <w:p w:rsidR="005A1443" w:rsidRDefault="0050308B" w:rsidP="00A17E4E">
      <w:pPr>
        <w:jc w:val="both"/>
        <w:rPr>
          <w:rFonts w:ascii="Times New Roman" w:hAnsi="Times New Roman" w:cs="Times New Roman"/>
          <w:sz w:val="28"/>
          <w:szCs w:val="28"/>
        </w:rPr>
      </w:pPr>
      <w:r w:rsidRPr="005A1443">
        <w:rPr>
          <w:rFonts w:ascii="Times New Roman" w:hAnsi="Times New Roman" w:cs="Times New Roman"/>
          <w:sz w:val="28"/>
          <w:szCs w:val="28"/>
        </w:rPr>
        <w:t>È</w:t>
      </w:r>
      <w:r w:rsidR="005A1443" w:rsidRPr="005A1443">
        <w:rPr>
          <w:rFonts w:ascii="Times New Roman" w:hAnsi="Times New Roman" w:cs="Times New Roman"/>
          <w:sz w:val="28"/>
          <w:szCs w:val="28"/>
        </w:rPr>
        <w:t xml:space="preserve"> per questo che negli ultimi tempi grande attenzione è stata prestata al dialogo orizzontale tra ordinamenti sul piano della dottrina e per il tramite delle Corti. Anche questo dialogo si sta rivelando centrale nel contribuire al processo di integrazione giuridica europea.</w:t>
      </w:r>
    </w:p>
    <w:p w:rsidR="00DF2976" w:rsidRDefault="00DF2976" w:rsidP="00A17E4E">
      <w:pPr>
        <w:jc w:val="both"/>
        <w:rPr>
          <w:rFonts w:ascii="Times New Roman" w:hAnsi="Times New Roman" w:cs="Times New Roman"/>
          <w:sz w:val="28"/>
          <w:szCs w:val="28"/>
        </w:rPr>
      </w:pPr>
      <w:r>
        <w:rPr>
          <w:rFonts w:ascii="Times New Roman" w:hAnsi="Times New Roman" w:cs="Times New Roman"/>
          <w:sz w:val="28"/>
          <w:szCs w:val="28"/>
        </w:rPr>
        <w:t xml:space="preserve">Come ci dice Cafaggi, </w:t>
      </w:r>
      <w:r w:rsidR="0050308B">
        <w:rPr>
          <w:rFonts w:ascii="Times New Roman" w:hAnsi="Times New Roman" w:cs="Times New Roman"/>
          <w:sz w:val="28"/>
          <w:szCs w:val="28"/>
        </w:rPr>
        <w:t xml:space="preserve">in una sua recensione al volume: la protezione </w:t>
      </w:r>
      <w:r>
        <w:rPr>
          <w:rFonts w:ascii="Times New Roman" w:hAnsi="Times New Roman" w:cs="Times New Roman"/>
          <w:sz w:val="28"/>
          <w:szCs w:val="28"/>
        </w:rPr>
        <w:t>è la risultante del dialogo verticale e orizzontale.</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 xml:space="preserve">Sul piano dottrinario, si è passati da una considerazione comparatistica del rapporto tra ordinamenti diversi, incentrato sulla diversità tra gli ordinamenti medesimi, in contrapposizione ai “mondi comunicanti” </w:t>
      </w:r>
      <w:r w:rsidR="0070694A">
        <w:rPr>
          <w:rFonts w:ascii="Times New Roman" w:hAnsi="Times New Roman" w:cs="Times New Roman"/>
          <w:sz w:val="28"/>
          <w:szCs w:val="28"/>
        </w:rPr>
        <w:t>di cui parlava Gino Gorla, e sulla</w:t>
      </w:r>
      <w:bookmarkStart w:id="0" w:name="_GoBack"/>
      <w:bookmarkEnd w:id="0"/>
      <w:r w:rsidR="000B0383">
        <w:rPr>
          <w:rFonts w:ascii="Times New Roman" w:hAnsi="Times New Roman" w:cs="Times New Roman"/>
          <w:sz w:val="28"/>
          <w:szCs w:val="28"/>
        </w:rPr>
        <w:t xml:space="preserve"> </w:t>
      </w:r>
      <w:r w:rsidRPr="005A1443">
        <w:rPr>
          <w:rFonts w:ascii="Times New Roman" w:hAnsi="Times New Roman" w:cs="Times New Roman"/>
          <w:sz w:val="28"/>
          <w:szCs w:val="28"/>
        </w:rPr>
        <w:t>conseguente negazione di un diritto comune, anche semplicemente condiviso, alla consapevolezza –per dirla con Cassese</w:t>
      </w:r>
      <w:r w:rsidRPr="005A1443">
        <w:rPr>
          <w:rFonts w:ascii="Times New Roman" w:hAnsi="Times New Roman" w:cs="Times New Roman"/>
          <w:sz w:val="28"/>
          <w:szCs w:val="28"/>
          <w:vertAlign w:val="superscript"/>
        </w:rPr>
        <w:footnoteReference w:id="1"/>
      </w:r>
      <w:r w:rsidRPr="005A1443">
        <w:rPr>
          <w:rFonts w:ascii="Times New Roman" w:hAnsi="Times New Roman" w:cs="Times New Roman"/>
          <w:sz w:val="28"/>
          <w:szCs w:val="28"/>
        </w:rPr>
        <w:t>- di un diritto comparato vero e proprio, vuoi “su base volontaria” (quando le Corti si citino tra loro), vuoi “su base necessaria” (per effetto dell’art. 10 della nostra Costituzione o dell’art. 6 del Trattato): e così “la comparazione giuridica [entra] nel processo di produzione del diritto”. Si è parlato al riguardo di uno “Stato di diritto in rete”</w:t>
      </w:r>
      <w:r w:rsidRPr="005A1443">
        <w:rPr>
          <w:rFonts w:ascii="Times New Roman" w:hAnsi="Times New Roman" w:cs="Times New Roman"/>
          <w:sz w:val="28"/>
          <w:szCs w:val="28"/>
          <w:vertAlign w:val="superscript"/>
        </w:rPr>
        <w:footnoteReference w:id="2"/>
      </w:r>
      <w:r w:rsidRPr="005A1443">
        <w:rPr>
          <w:rFonts w:ascii="Times New Roman" w:hAnsi="Times New Roman" w:cs="Times New Roman"/>
          <w:sz w:val="28"/>
          <w:szCs w:val="28"/>
        </w:rPr>
        <w:t>, cioè di una rete di Corti nazionali, caratterizzata da un dialogo “cooperativo” tra queste, che dà luogo a “un insieme di garanzie che travalicano i confini nazionali e che pur tuttavia dentro a quei confini sono inverate grazie all’azione puntuale delle magistrature nazionali”, grazie all’azione di quello che metaforicamente è stato definito “un giudice tessitore”</w:t>
      </w:r>
      <w:r w:rsidRPr="005A1443">
        <w:rPr>
          <w:rFonts w:ascii="Times New Roman" w:hAnsi="Times New Roman" w:cs="Times New Roman"/>
          <w:sz w:val="28"/>
          <w:szCs w:val="28"/>
          <w:vertAlign w:val="superscript"/>
        </w:rPr>
        <w:footnoteReference w:id="3"/>
      </w:r>
      <w:r w:rsidRPr="005A1443">
        <w:rPr>
          <w:rFonts w:ascii="Times New Roman" w:hAnsi="Times New Roman" w:cs="Times New Roman"/>
          <w:sz w:val="28"/>
          <w:szCs w:val="28"/>
        </w:rPr>
        <w:t xml:space="preserve">, capace di costituire </w:t>
      </w:r>
      <w:r w:rsidRPr="005A1443">
        <w:rPr>
          <w:rFonts w:ascii="Times New Roman" w:hAnsi="Times New Roman" w:cs="Times New Roman"/>
          <w:sz w:val="28"/>
          <w:szCs w:val="28"/>
        </w:rPr>
        <w:lastRenderedPageBreak/>
        <w:t>“ponti e dialoghi fra norme che non sono fra loro né sistematizzate, né sistematizzabili”</w:t>
      </w:r>
      <w:r w:rsidRPr="005A1443">
        <w:rPr>
          <w:rFonts w:ascii="Times New Roman" w:hAnsi="Times New Roman" w:cs="Times New Roman"/>
          <w:sz w:val="28"/>
          <w:szCs w:val="28"/>
          <w:vertAlign w:val="superscript"/>
        </w:rPr>
        <w:footnoteReference w:id="4"/>
      </w:r>
      <w:r w:rsidRPr="005A1443">
        <w:rPr>
          <w:rFonts w:ascii="Times New Roman" w:hAnsi="Times New Roman" w:cs="Times New Roman"/>
          <w:sz w:val="28"/>
          <w:szCs w:val="28"/>
        </w:rPr>
        <w:t xml:space="preserve">. Si viene così a costituire una </w:t>
      </w:r>
      <w:r w:rsidR="009F536C">
        <w:rPr>
          <w:rFonts w:ascii="Times New Roman" w:hAnsi="Times New Roman" w:cs="Times New Roman"/>
          <w:sz w:val="28"/>
          <w:szCs w:val="28"/>
        </w:rPr>
        <w:t xml:space="preserve">“Global Community of </w:t>
      </w:r>
      <w:proofErr w:type="spellStart"/>
      <w:r w:rsidR="009F536C">
        <w:rPr>
          <w:rFonts w:ascii="Times New Roman" w:hAnsi="Times New Roman" w:cs="Times New Roman"/>
          <w:sz w:val="28"/>
          <w:szCs w:val="28"/>
        </w:rPr>
        <w:t>Courts</w:t>
      </w:r>
      <w:proofErr w:type="spellEnd"/>
      <w:r w:rsidR="009F536C">
        <w:rPr>
          <w:rFonts w:ascii="Times New Roman" w:hAnsi="Times New Roman" w:cs="Times New Roman"/>
          <w:sz w:val="28"/>
          <w:szCs w:val="28"/>
        </w:rPr>
        <w:t>”, in</w:t>
      </w:r>
      <w:r w:rsidRPr="005A1443">
        <w:rPr>
          <w:rFonts w:ascii="Times New Roman" w:hAnsi="Times New Roman" w:cs="Times New Roman"/>
          <w:sz w:val="28"/>
          <w:szCs w:val="28"/>
        </w:rPr>
        <w:t xml:space="preserve"> cui il dialogo cooperativo si manifesta attraverso due “fenomeni” interconnessi: la “</w:t>
      </w:r>
      <w:proofErr w:type="spellStart"/>
      <w:r w:rsidRPr="005A1443">
        <w:rPr>
          <w:rFonts w:ascii="Times New Roman" w:hAnsi="Times New Roman" w:cs="Times New Roman"/>
          <w:i/>
          <w:sz w:val="28"/>
          <w:szCs w:val="28"/>
        </w:rPr>
        <w:t>Constitutional</w:t>
      </w:r>
      <w:proofErr w:type="spellEnd"/>
      <w:r w:rsidRPr="005A1443">
        <w:rPr>
          <w:rFonts w:ascii="Times New Roman" w:hAnsi="Times New Roman" w:cs="Times New Roman"/>
          <w:i/>
          <w:sz w:val="28"/>
          <w:szCs w:val="28"/>
        </w:rPr>
        <w:t xml:space="preserve"> cross </w:t>
      </w:r>
      <w:proofErr w:type="spellStart"/>
      <w:r w:rsidRPr="005A1443">
        <w:rPr>
          <w:rFonts w:ascii="Times New Roman" w:hAnsi="Times New Roman" w:cs="Times New Roman"/>
          <w:i/>
          <w:sz w:val="28"/>
          <w:szCs w:val="28"/>
        </w:rPr>
        <w:t>fertilisation</w:t>
      </w:r>
      <w:proofErr w:type="spellEnd"/>
      <w:r w:rsidRPr="005A1443">
        <w:rPr>
          <w:rFonts w:ascii="Times New Roman" w:hAnsi="Times New Roman" w:cs="Times New Roman"/>
          <w:i/>
          <w:sz w:val="28"/>
          <w:szCs w:val="28"/>
        </w:rPr>
        <w:t xml:space="preserve">….and a </w:t>
      </w:r>
      <w:proofErr w:type="spellStart"/>
      <w:r w:rsidRPr="005A1443">
        <w:rPr>
          <w:rFonts w:ascii="Times New Roman" w:hAnsi="Times New Roman" w:cs="Times New Roman"/>
          <w:i/>
          <w:sz w:val="28"/>
          <w:szCs w:val="28"/>
        </w:rPr>
        <w:t>combination</w:t>
      </w:r>
      <w:proofErr w:type="spellEnd"/>
      <w:r w:rsidRPr="005A1443">
        <w:rPr>
          <w:rFonts w:ascii="Times New Roman" w:hAnsi="Times New Roman" w:cs="Times New Roman"/>
          <w:i/>
          <w:sz w:val="28"/>
          <w:szCs w:val="28"/>
        </w:rPr>
        <w:t xml:space="preserve"> of </w:t>
      </w:r>
      <w:proofErr w:type="spellStart"/>
      <w:r w:rsidRPr="005A1443">
        <w:rPr>
          <w:rFonts w:ascii="Times New Roman" w:hAnsi="Times New Roman" w:cs="Times New Roman"/>
          <w:i/>
          <w:sz w:val="28"/>
          <w:szCs w:val="28"/>
        </w:rPr>
        <w:t>both</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active</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cooperation</w:t>
      </w:r>
      <w:proofErr w:type="spellEnd"/>
      <w:r w:rsidRPr="005A1443">
        <w:rPr>
          <w:rFonts w:ascii="Times New Roman" w:hAnsi="Times New Roman" w:cs="Times New Roman"/>
          <w:i/>
          <w:sz w:val="28"/>
          <w:szCs w:val="28"/>
        </w:rPr>
        <w:t xml:space="preserve"> and </w:t>
      </w:r>
      <w:proofErr w:type="spellStart"/>
      <w:r w:rsidRPr="005A1443">
        <w:rPr>
          <w:rFonts w:ascii="Times New Roman" w:hAnsi="Times New Roman" w:cs="Times New Roman"/>
          <w:i/>
          <w:sz w:val="28"/>
          <w:szCs w:val="28"/>
        </w:rPr>
        <w:t>vigorous</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conflict</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among</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national</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courts</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involved</w:t>
      </w:r>
      <w:proofErr w:type="spellEnd"/>
      <w:r w:rsidRPr="005A1443">
        <w:rPr>
          <w:rFonts w:ascii="Times New Roman" w:hAnsi="Times New Roman" w:cs="Times New Roman"/>
          <w:i/>
          <w:sz w:val="28"/>
          <w:szCs w:val="28"/>
        </w:rPr>
        <w:t xml:space="preserve"> in </w:t>
      </w:r>
      <w:proofErr w:type="spellStart"/>
      <w:r w:rsidRPr="005A1443">
        <w:rPr>
          <w:rFonts w:ascii="Times New Roman" w:hAnsi="Times New Roman" w:cs="Times New Roman"/>
          <w:i/>
          <w:sz w:val="28"/>
          <w:szCs w:val="28"/>
        </w:rPr>
        <w:t>transnational</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litigation</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between</w:t>
      </w:r>
      <w:proofErr w:type="spellEnd"/>
      <w:r w:rsidRPr="005A1443">
        <w:rPr>
          <w:rFonts w:ascii="Times New Roman" w:hAnsi="Times New Roman" w:cs="Times New Roman"/>
          <w:i/>
          <w:sz w:val="28"/>
          <w:szCs w:val="28"/>
        </w:rPr>
        <w:t xml:space="preserve"> private parties </w:t>
      </w:r>
      <w:proofErr w:type="spellStart"/>
      <w:r w:rsidRPr="005A1443">
        <w:rPr>
          <w:rFonts w:ascii="Times New Roman" w:hAnsi="Times New Roman" w:cs="Times New Roman"/>
          <w:i/>
          <w:sz w:val="28"/>
          <w:szCs w:val="28"/>
        </w:rPr>
        <w:t>across</w:t>
      </w:r>
      <w:proofErr w:type="spellEnd"/>
      <w:r w:rsidRPr="005A1443">
        <w:rPr>
          <w:rFonts w:ascii="Times New Roman" w:hAnsi="Times New Roman" w:cs="Times New Roman"/>
          <w:i/>
          <w:sz w:val="28"/>
          <w:szCs w:val="28"/>
        </w:rPr>
        <w:t xml:space="preserve"> </w:t>
      </w:r>
      <w:proofErr w:type="spellStart"/>
      <w:r w:rsidRPr="005A1443">
        <w:rPr>
          <w:rFonts w:ascii="Times New Roman" w:hAnsi="Times New Roman" w:cs="Times New Roman"/>
          <w:i/>
          <w:sz w:val="28"/>
          <w:szCs w:val="28"/>
        </w:rPr>
        <w:t>borders</w:t>
      </w:r>
      <w:proofErr w:type="spellEnd"/>
      <w:r w:rsidRPr="005A1443">
        <w:rPr>
          <w:rFonts w:ascii="Times New Roman" w:hAnsi="Times New Roman" w:cs="Times New Roman"/>
          <w:sz w:val="28"/>
          <w:szCs w:val="28"/>
          <w:vertAlign w:val="superscript"/>
        </w:rPr>
        <w:footnoteReference w:id="5"/>
      </w:r>
      <w:r w:rsidRPr="005A1443">
        <w:rPr>
          <w:rFonts w:ascii="Times New Roman" w:hAnsi="Times New Roman" w:cs="Times New Roman"/>
          <w:sz w:val="28"/>
          <w:szCs w:val="28"/>
        </w:rPr>
        <w:t>.</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Partendo, quindi, dal confronto tra i modelli di processo decisionale e di organizzazione giudiziaria, il dialogo orizzontale tra Corti amministrative supreme nazionali mira a comprendere, attraverso l’analisi e l’approfondimento del modo in cui viene garantita in ciascun sistema giurisdizionale la protezione dei diritti</w:t>
      </w:r>
      <w:r w:rsidR="009E4FCE">
        <w:rPr>
          <w:rFonts w:ascii="Times New Roman" w:hAnsi="Times New Roman" w:cs="Times New Roman"/>
          <w:sz w:val="28"/>
          <w:szCs w:val="28"/>
        </w:rPr>
        <w:t xml:space="preserve"> degli individui e delle imprese</w:t>
      </w:r>
      <w:r w:rsidRPr="005A1443">
        <w:rPr>
          <w:rFonts w:ascii="Times New Roman" w:hAnsi="Times New Roman" w:cs="Times New Roman"/>
          <w:sz w:val="28"/>
          <w:szCs w:val="28"/>
        </w:rPr>
        <w:t xml:space="preserve"> nei loro rapporti con la pubblica amministrazione, come i giudici amministrativi ragionano e decidono in merito ai poteri pubblici in tutta Europa</w:t>
      </w:r>
      <w:r w:rsidR="009F536C">
        <w:rPr>
          <w:rFonts w:ascii="Times New Roman" w:hAnsi="Times New Roman" w:cs="Times New Roman"/>
          <w:sz w:val="28"/>
          <w:szCs w:val="28"/>
        </w:rPr>
        <w:t>,</w:t>
      </w:r>
      <w:r w:rsidRPr="005A1443">
        <w:rPr>
          <w:rFonts w:ascii="Times New Roman" w:hAnsi="Times New Roman" w:cs="Times New Roman"/>
          <w:sz w:val="28"/>
          <w:szCs w:val="28"/>
        </w:rPr>
        <w:t xml:space="preserve"> vale a dire il cd. ragionamento giurisprudenziale dell’argomentazione giuridica.</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A tal fine è fondamentale non solo essere edotti di come le Corti amministrative supreme degli Stati membri hanno deciso questioni analoghe di diritto dell’Unione europea portate alla loro cognizione, ma anche e soprattutto conoscere come sono stati affrontati e risolti casi afferenti ai cosiddetti settori non armonizzati (quali ad esempio l’edilizia, il patrimonio culturale e il paesaggio, il commercio) per utilizzarli quale parametro per risolvere il caso concreto, ma soprattutto per procedere ad un’uniformizzazione dei diritti nazionali al diritto “degli europei” che non passi necessariamente attraverso la Corte di Giustizia e le sue decisioni.</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Il giudice nazionale, nell’impostare il proprio ragionamento, potrebbe, in forza degli strumenti acquisiti attraverso il dialogo orizzontale, utilizzare nel processo argomentativo i parametri offerti non solo dal diritto interno, ma anche dai precedenti esistenti su casi analoghi negli altri Stati membri al fine di addivenire ad una soluzione del caso sottoposto alla sua cognizione idonea ad assicurare una protezione uniforme di situazioni soggettive identiche a livello sovranazionale, anche laddove non esista una decisione della Corte di Giustizia dell'Unione europea o della Corte europea dei diritti dell’Uomo in materia.</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La finalità ultima del dialogo orizzontale quindi è la maggiore uniformità possibile delle modalità di protezione e di tutela dei diritti dei singoli e delle imprese nei loro rapporti con il potere pubblico, al fine di evitare che il solo fatto di azionarli in uno Stato membro piuttosto che in un altro porti ad una diversità dei livelli di tutela di situazioni giuridiche tra loro omogenee.</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lastRenderedPageBreak/>
        <w:t>Migliorare e promuovere il valore e l'esperienza del dialogo orizzontale all'interno dei Tribunali nazionali vuol dire creare un linguaggio comune di garanzie per i cittadini europei rispetto ai poteri pubblici.</w:t>
      </w:r>
    </w:p>
    <w:p w:rsidR="005A1443" w:rsidRPr="005A1443" w:rsidRDefault="005A1443" w:rsidP="00A17E4E">
      <w:pPr>
        <w:jc w:val="both"/>
        <w:rPr>
          <w:rFonts w:ascii="Times New Roman" w:hAnsi="Times New Roman" w:cs="Times New Roman"/>
          <w:sz w:val="28"/>
          <w:szCs w:val="28"/>
        </w:rPr>
      </w:pPr>
      <w:proofErr w:type="gramStart"/>
      <w:r w:rsidRPr="005A1443">
        <w:rPr>
          <w:rFonts w:ascii="Times New Roman" w:hAnsi="Times New Roman" w:cs="Times New Roman"/>
          <w:sz w:val="28"/>
          <w:szCs w:val="28"/>
        </w:rPr>
        <w:t>E’</w:t>
      </w:r>
      <w:proofErr w:type="gramEnd"/>
      <w:r w:rsidRPr="005A1443">
        <w:rPr>
          <w:rFonts w:ascii="Times New Roman" w:hAnsi="Times New Roman" w:cs="Times New Roman"/>
          <w:sz w:val="28"/>
          <w:szCs w:val="28"/>
        </w:rPr>
        <w:t xml:space="preserve"> in quest’ottica che si stanno muovendo i Consigli di Stato e le Corti Supreme amministrative dell’Unione europea, nell’ambito di una loro associazione (</w:t>
      </w:r>
      <w:r w:rsidRPr="005A1443">
        <w:rPr>
          <w:rFonts w:ascii="Times New Roman" w:hAnsi="Times New Roman" w:cs="Times New Roman"/>
          <w:i/>
          <w:sz w:val="28"/>
          <w:szCs w:val="28"/>
        </w:rPr>
        <w:t>ACA Europe</w:t>
      </w:r>
      <w:r w:rsidRPr="005A1443">
        <w:rPr>
          <w:rFonts w:ascii="Times New Roman" w:hAnsi="Times New Roman" w:cs="Times New Roman"/>
          <w:sz w:val="28"/>
          <w:szCs w:val="28"/>
        </w:rPr>
        <w:t xml:space="preserve">), da anni formalmente riconosciuta e finanziata dall’Unione, di cui il Consiglio di Stato d’Italia ha attualmente la presidenza. </w:t>
      </w:r>
      <w:proofErr w:type="gramStart"/>
      <w:r w:rsidRPr="005A1443">
        <w:rPr>
          <w:rFonts w:ascii="Times New Roman" w:hAnsi="Times New Roman" w:cs="Times New Roman"/>
          <w:sz w:val="28"/>
          <w:szCs w:val="28"/>
        </w:rPr>
        <w:t>E’</w:t>
      </w:r>
      <w:proofErr w:type="gramEnd"/>
      <w:r w:rsidRPr="005A1443">
        <w:rPr>
          <w:rFonts w:ascii="Times New Roman" w:hAnsi="Times New Roman" w:cs="Times New Roman"/>
          <w:sz w:val="28"/>
          <w:szCs w:val="28"/>
        </w:rPr>
        <w:t xml:space="preserve"> significativo che i temi in agenda della presidenza italiana siano incentrati sul modo di formazione della decisione, sulle tecniche di tutela e il sindacato per clausole generali, sui rimedi e sull’effettività delle pronunce. E che l’attenzione sia dedicata soprattutto ai settori non armonizzati, ma di grande importanza nei rapporti tra persona e potere (patrimonio culturale, salute, istruzione), per concludersi –nell’assemblea conclusiva della nostra presidenza nel 2023 a Napoli- con un focus sui diritti sociali e la loro applicazione da parte delle Corti nazionali.</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 xml:space="preserve">Questo dialogo orizzontale è dunque, in definitiva, una cooperazione fondata su prassi nazionali poste tra loro a confronto, che si muove </w:t>
      </w:r>
      <w:r w:rsidRPr="005A1443">
        <w:rPr>
          <w:rFonts w:ascii="Times New Roman" w:hAnsi="Times New Roman" w:cs="Times New Roman"/>
          <w:i/>
          <w:sz w:val="28"/>
          <w:szCs w:val="28"/>
        </w:rPr>
        <w:t>a latere</w:t>
      </w:r>
      <w:r w:rsidRPr="005A1443">
        <w:rPr>
          <w:rFonts w:ascii="Times New Roman" w:hAnsi="Times New Roman" w:cs="Times New Roman"/>
          <w:sz w:val="28"/>
          <w:szCs w:val="28"/>
        </w:rPr>
        <w:t xml:space="preserve"> del dialogo con le Corti europee ma che è indubbiamente frutto (anche) del meccanismo innescato dal confronto tra ord</w:t>
      </w:r>
      <w:r w:rsidR="009F536C">
        <w:rPr>
          <w:rFonts w:ascii="Times New Roman" w:hAnsi="Times New Roman" w:cs="Times New Roman"/>
          <w:sz w:val="28"/>
          <w:szCs w:val="28"/>
        </w:rPr>
        <w:t>inamenti nazionali e ordinamento</w:t>
      </w:r>
      <w:r w:rsidRPr="005A1443">
        <w:rPr>
          <w:rFonts w:ascii="Times New Roman" w:hAnsi="Times New Roman" w:cs="Times New Roman"/>
          <w:sz w:val="28"/>
          <w:szCs w:val="28"/>
        </w:rPr>
        <w:t xml:space="preserve"> </w:t>
      </w:r>
      <w:r w:rsidR="009F536C">
        <w:rPr>
          <w:rFonts w:ascii="Times New Roman" w:hAnsi="Times New Roman" w:cs="Times New Roman"/>
          <w:sz w:val="28"/>
          <w:szCs w:val="28"/>
        </w:rPr>
        <w:t>europeo</w:t>
      </w:r>
      <w:r w:rsidRPr="005A1443">
        <w:rPr>
          <w:rFonts w:ascii="Times New Roman" w:hAnsi="Times New Roman" w:cs="Times New Roman"/>
          <w:sz w:val="28"/>
          <w:szCs w:val="28"/>
        </w:rPr>
        <w:t>, dell’Unione e convenzionale, che ha dato la stura a</w:t>
      </w:r>
      <w:r w:rsidR="00204773">
        <w:rPr>
          <w:rFonts w:ascii="Times New Roman" w:hAnsi="Times New Roman" w:cs="Times New Roman"/>
          <w:sz w:val="28"/>
          <w:szCs w:val="28"/>
        </w:rPr>
        <w:t xml:space="preserve"> un circuito virtuoso tra Corti, </w:t>
      </w:r>
      <w:r w:rsidRPr="005A1443">
        <w:rPr>
          <w:rFonts w:ascii="Times New Roman" w:hAnsi="Times New Roman" w:cs="Times New Roman"/>
          <w:sz w:val="28"/>
          <w:szCs w:val="28"/>
        </w:rPr>
        <w:t>opera</w:t>
      </w:r>
      <w:r w:rsidR="00204773">
        <w:rPr>
          <w:rFonts w:ascii="Times New Roman" w:hAnsi="Times New Roman" w:cs="Times New Roman"/>
          <w:sz w:val="28"/>
          <w:szCs w:val="28"/>
        </w:rPr>
        <w:t>nti</w:t>
      </w:r>
      <w:r w:rsidRPr="005A1443">
        <w:rPr>
          <w:rFonts w:ascii="Times New Roman" w:hAnsi="Times New Roman" w:cs="Times New Roman"/>
          <w:sz w:val="28"/>
          <w:szCs w:val="28"/>
        </w:rPr>
        <w:t xml:space="preserve"> tutte in uno spa</w:t>
      </w:r>
      <w:r w:rsidR="00204773">
        <w:rPr>
          <w:rFonts w:ascii="Times New Roman" w:hAnsi="Times New Roman" w:cs="Times New Roman"/>
          <w:sz w:val="28"/>
          <w:szCs w:val="28"/>
        </w:rPr>
        <w:t>zio di integrazione progressiva; un</w:t>
      </w:r>
      <w:r w:rsidRPr="005A1443">
        <w:rPr>
          <w:rFonts w:ascii="Times New Roman" w:hAnsi="Times New Roman" w:cs="Times New Roman"/>
          <w:sz w:val="28"/>
          <w:szCs w:val="28"/>
        </w:rPr>
        <w:t xml:space="preserve"> circuito che ha indubbiamente favorito una europeizzazione dei diritti, anche processuali, nazionali, per addivenire a una sorta di </w:t>
      </w:r>
      <w:proofErr w:type="spellStart"/>
      <w:r w:rsidRPr="005A1443">
        <w:rPr>
          <w:rFonts w:ascii="Times New Roman" w:hAnsi="Times New Roman" w:cs="Times New Roman"/>
          <w:i/>
          <w:sz w:val="28"/>
          <w:szCs w:val="28"/>
        </w:rPr>
        <w:t>koiné</w:t>
      </w:r>
      <w:proofErr w:type="spellEnd"/>
      <w:r w:rsidRPr="005A1443">
        <w:rPr>
          <w:rFonts w:ascii="Times New Roman" w:hAnsi="Times New Roman" w:cs="Times New Roman"/>
          <w:sz w:val="28"/>
          <w:szCs w:val="28"/>
        </w:rPr>
        <w:t xml:space="preserve"> processuale degli strumenti di tutela</w:t>
      </w:r>
      <w:r w:rsidRPr="005A1443">
        <w:rPr>
          <w:rFonts w:ascii="Times New Roman" w:hAnsi="Times New Roman" w:cs="Times New Roman"/>
          <w:sz w:val="28"/>
          <w:szCs w:val="28"/>
          <w:vertAlign w:val="superscript"/>
        </w:rPr>
        <w:footnoteReference w:id="6"/>
      </w:r>
      <w:r w:rsidRPr="005A1443">
        <w:rPr>
          <w:rFonts w:ascii="Times New Roman" w:hAnsi="Times New Roman" w:cs="Times New Roman"/>
          <w:sz w:val="28"/>
          <w:szCs w:val="28"/>
        </w:rPr>
        <w:t>.</w:t>
      </w:r>
    </w:p>
    <w:p w:rsidR="005A1443" w:rsidRPr="005A1443" w:rsidRDefault="005A1443" w:rsidP="00A17E4E">
      <w:pPr>
        <w:jc w:val="both"/>
        <w:rPr>
          <w:rFonts w:ascii="Times New Roman" w:hAnsi="Times New Roman" w:cs="Times New Roman"/>
          <w:sz w:val="28"/>
          <w:szCs w:val="28"/>
        </w:rPr>
      </w:pPr>
      <w:r w:rsidRPr="005A1443">
        <w:rPr>
          <w:rFonts w:ascii="Times New Roman" w:hAnsi="Times New Roman" w:cs="Times New Roman"/>
          <w:sz w:val="28"/>
          <w:szCs w:val="28"/>
        </w:rPr>
        <w:t>Tra questi strumenti, la Carta di Nizza gioca un ruolo fondamentale, come avremo modo di vedere oggi.</w:t>
      </w:r>
    </w:p>
    <w:p w:rsidR="00587CD9" w:rsidRPr="00587CD9" w:rsidRDefault="00587CD9" w:rsidP="00A17E4E">
      <w:pPr>
        <w:jc w:val="both"/>
        <w:rPr>
          <w:rFonts w:ascii="Times New Roman" w:hAnsi="Times New Roman" w:cs="Times New Roman"/>
          <w:sz w:val="28"/>
          <w:szCs w:val="28"/>
        </w:rPr>
      </w:pPr>
    </w:p>
    <w:sectPr w:rsidR="00587CD9" w:rsidRPr="00587CD9">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524" w:rsidRDefault="00F17524" w:rsidP="00F17524">
      <w:pPr>
        <w:spacing w:after="0" w:line="240" w:lineRule="auto"/>
      </w:pPr>
      <w:r>
        <w:separator/>
      </w:r>
    </w:p>
  </w:endnote>
  <w:endnote w:type="continuationSeparator" w:id="0">
    <w:p w:rsidR="00F17524" w:rsidRDefault="00F17524" w:rsidP="00F1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267829"/>
      <w:docPartObj>
        <w:docPartGallery w:val="Page Numbers (Bottom of Page)"/>
        <w:docPartUnique/>
      </w:docPartObj>
    </w:sdtPr>
    <w:sdtEndPr/>
    <w:sdtContent>
      <w:p w:rsidR="00A17E4E" w:rsidRDefault="00A17E4E">
        <w:pPr>
          <w:pStyle w:val="Pidipagina"/>
          <w:jc w:val="right"/>
        </w:pPr>
        <w:r>
          <w:fldChar w:fldCharType="begin"/>
        </w:r>
        <w:r>
          <w:instrText>PAGE   \* MERGEFORMAT</w:instrText>
        </w:r>
        <w:r>
          <w:fldChar w:fldCharType="separate"/>
        </w:r>
        <w:r w:rsidR="0070694A">
          <w:rPr>
            <w:noProof/>
          </w:rPr>
          <w:t>5</w:t>
        </w:r>
        <w:r>
          <w:fldChar w:fldCharType="end"/>
        </w:r>
      </w:p>
    </w:sdtContent>
  </w:sdt>
  <w:p w:rsidR="00A17E4E" w:rsidRDefault="00A17E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524" w:rsidRDefault="00F17524" w:rsidP="00F17524">
      <w:pPr>
        <w:spacing w:after="0" w:line="240" w:lineRule="auto"/>
      </w:pPr>
      <w:r>
        <w:separator/>
      </w:r>
    </w:p>
  </w:footnote>
  <w:footnote w:type="continuationSeparator" w:id="0">
    <w:p w:rsidR="00F17524" w:rsidRDefault="00F17524" w:rsidP="00F17524">
      <w:pPr>
        <w:spacing w:after="0" w:line="240" w:lineRule="auto"/>
      </w:pPr>
      <w:r>
        <w:continuationSeparator/>
      </w:r>
    </w:p>
  </w:footnote>
  <w:footnote w:id="1">
    <w:p w:rsidR="005A1443" w:rsidRDefault="005A1443" w:rsidP="005A1443">
      <w:pPr>
        <w:pStyle w:val="Testonotaapidipagina"/>
        <w:jc w:val="both"/>
        <w:rPr>
          <w:rFonts w:ascii="Times New Roman" w:hAnsi="Times New Roman"/>
        </w:rPr>
      </w:pPr>
      <w:r>
        <w:rPr>
          <w:rStyle w:val="Rimandonotaapidipagina"/>
          <w:rFonts w:ascii="Times New Roman" w:hAnsi="Times New Roman"/>
        </w:rPr>
        <w:footnoteRef/>
      </w:r>
      <w:r>
        <w:rPr>
          <w:rFonts w:ascii="Times New Roman" w:hAnsi="Times New Roman"/>
        </w:rPr>
        <w:t xml:space="preserve"> S. Cassese, </w:t>
      </w:r>
      <w:r>
        <w:rPr>
          <w:rFonts w:ascii="Times New Roman" w:hAnsi="Times New Roman"/>
          <w:i/>
        </w:rPr>
        <w:t>Come opera la macchina della diversità</w:t>
      </w:r>
      <w:r>
        <w:rPr>
          <w:rFonts w:ascii="Times New Roman" w:hAnsi="Times New Roman"/>
        </w:rPr>
        <w:t xml:space="preserve">, in </w:t>
      </w:r>
      <w:r>
        <w:rPr>
          <w:rFonts w:ascii="Times New Roman" w:hAnsi="Times New Roman"/>
          <w:i/>
        </w:rPr>
        <w:t xml:space="preserve">24ore </w:t>
      </w:r>
      <w:proofErr w:type="gramStart"/>
      <w:r>
        <w:rPr>
          <w:rFonts w:ascii="Times New Roman" w:hAnsi="Times New Roman"/>
          <w:i/>
        </w:rPr>
        <w:t>Domenica</w:t>
      </w:r>
      <w:proofErr w:type="gramEnd"/>
      <w:r>
        <w:rPr>
          <w:rFonts w:ascii="Times New Roman" w:hAnsi="Times New Roman"/>
        </w:rPr>
        <w:t xml:space="preserve"> del 9 giugno 2019</w:t>
      </w:r>
    </w:p>
  </w:footnote>
  <w:footnote w:id="2">
    <w:p w:rsidR="005A1443" w:rsidRDefault="005A1443" w:rsidP="005A1443">
      <w:pPr>
        <w:pStyle w:val="Testonotaapidipagina"/>
        <w:jc w:val="both"/>
        <w:rPr>
          <w:rFonts w:ascii="Times New Roman" w:hAnsi="Times New Roman"/>
        </w:rPr>
      </w:pPr>
      <w:r>
        <w:rPr>
          <w:rStyle w:val="Rimandonotaapidipagina"/>
          <w:rFonts w:ascii="Times New Roman" w:hAnsi="Times New Roman"/>
        </w:rPr>
        <w:footnoteRef/>
      </w:r>
      <w:r>
        <w:rPr>
          <w:rFonts w:ascii="Times New Roman" w:hAnsi="Times New Roman"/>
        </w:rPr>
        <w:t xml:space="preserve"> </w:t>
      </w:r>
      <w:proofErr w:type="spellStart"/>
      <w:r>
        <w:rPr>
          <w:rFonts w:ascii="Times New Roman" w:hAnsi="Times New Roman"/>
        </w:rPr>
        <w:t>D.Piana</w:t>
      </w:r>
      <w:proofErr w:type="spellEnd"/>
      <w:r>
        <w:rPr>
          <w:rFonts w:ascii="Times New Roman" w:hAnsi="Times New Roman"/>
        </w:rPr>
        <w:t xml:space="preserve">, </w:t>
      </w:r>
      <w:r>
        <w:rPr>
          <w:rFonts w:ascii="Times New Roman" w:hAnsi="Times New Roman"/>
          <w:i/>
        </w:rPr>
        <w:t>Lo Stato di diritto in rete. Il dialogo orizzontali delle corti fra modelli e prassi</w:t>
      </w:r>
      <w:r>
        <w:rPr>
          <w:rFonts w:ascii="Times New Roman" w:hAnsi="Times New Roman"/>
        </w:rPr>
        <w:t xml:space="preserve">. Relazione al primo Congresso nazionale della Magistratura amministrativa, Roma 2019, in </w:t>
      </w:r>
      <w:hyperlink r:id="rId1" w:history="1">
        <w:r>
          <w:rPr>
            <w:rFonts w:ascii="Times New Roman" w:hAnsi="Times New Roman"/>
            <w:i/>
          </w:rPr>
          <w:t>www.giustizia-amministrativa.it</w:t>
        </w:r>
      </w:hyperlink>
      <w:r>
        <w:rPr>
          <w:rFonts w:ascii="Times New Roman" w:hAnsi="Times New Roman"/>
        </w:rPr>
        <w:t xml:space="preserve"> </w:t>
      </w:r>
    </w:p>
  </w:footnote>
  <w:footnote w:id="3">
    <w:p w:rsidR="005A1443" w:rsidRPr="00E37B07" w:rsidRDefault="005A1443" w:rsidP="005A1443">
      <w:pPr>
        <w:pStyle w:val="Testonotaapidipagina"/>
        <w:jc w:val="both"/>
        <w:rPr>
          <w:rFonts w:ascii="Times New Roman" w:hAnsi="Times New Roman"/>
          <w:lang w:val="fr-FR"/>
        </w:rPr>
      </w:pPr>
      <w:r>
        <w:rPr>
          <w:rStyle w:val="Rimandonotaapidipagina"/>
          <w:rFonts w:ascii="Times New Roman" w:hAnsi="Times New Roman"/>
        </w:rPr>
        <w:footnoteRef/>
      </w:r>
      <w:r w:rsidRPr="00E37B07">
        <w:rPr>
          <w:rFonts w:ascii="Times New Roman" w:hAnsi="Times New Roman"/>
          <w:lang w:val="fr-FR"/>
        </w:rPr>
        <w:t xml:space="preserve"> M. </w:t>
      </w:r>
      <w:proofErr w:type="spellStart"/>
      <w:r w:rsidRPr="00E37B07">
        <w:rPr>
          <w:rFonts w:ascii="Times New Roman" w:hAnsi="Times New Roman"/>
          <w:lang w:val="fr-FR"/>
        </w:rPr>
        <w:t>Vogliotti</w:t>
      </w:r>
      <w:proofErr w:type="spellEnd"/>
      <w:r w:rsidRPr="00E37B07">
        <w:rPr>
          <w:rFonts w:ascii="Times New Roman" w:hAnsi="Times New Roman"/>
          <w:lang w:val="fr-FR"/>
        </w:rPr>
        <w:t xml:space="preserve">, </w:t>
      </w:r>
      <w:r w:rsidRPr="00E37B07">
        <w:rPr>
          <w:rFonts w:ascii="Times New Roman" w:hAnsi="Times New Roman"/>
          <w:i/>
          <w:lang w:val="fr-FR"/>
        </w:rPr>
        <w:t>Production du droit en réseau et juge “tisseur”. De quelques épiphanies de l'expérience juridique médiévale au sein de la justice pénale</w:t>
      </w:r>
      <w:r w:rsidRPr="00E37B07">
        <w:rPr>
          <w:rFonts w:ascii="Times New Roman" w:hAnsi="Times New Roman"/>
          <w:lang w:val="fr-FR"/>
        </w:rPr>
        <w:t xml:space="preserve"> internationale, in M. DELMAS-MARTY, E. FRONZA- E. LAMBERT-ABDELGAWAD (a cura di), </w:t>
      </w:r>
      <w:r w:rsidRPr="00E37B07">
        <w:rPr>
          <w:rFonts w:ascii="Times New Roman" w:hAnsi="Times New Roman"/>
          <w:i/>
          <w:lang w:val="fr-FR"/>
        </w:rPr>
        <w:t xml:space="preserve">Les sources du droit international pénal, </w:t>
      </w:r>
      <w:r w:rsidRPr="00E37B07">
        <w:rPr>
          <w:rFonts w:ascii="Times New Roman" w:hAnsi="Times New Roman"/>
          <w:lang w:val="fr-FR"/>
        </w:rPr>
        <w:t xml:space="preserve">Société de législation comparée, Paris, 2004, 361 </w:t>
      </w:r>
      <w:proofErr w:type="spellStart"/>
      <w:r w:rsidRPr="00E37B07">
        <w:rPr>
          <w:rFonts w:ascii="Times New Roman" w:hAnsi="Times New Roman"/>
          <w:lang w:val="fr-FR"/>
        </w:rPr>
        <w:t>ss</w:t>
      </w:r>
      <w:proofErr w:type="spellEnd"/>
      <w:r w:rsidRPr="00E37B07">
        <w:rPr>
          <w:rFonts w:ascii="Times New Roman" w:hAnsi="Times New Roman"/>
          <w:lang w:val="fr-FR"/>
        </w:rPr>
        <w:t>.</w:t>
      </w:r>
    </w:p>
  </w:footnote>
  <w:footnote w:id="4">
    <w:p w:rsidR="005A1443" w:rsidRDefault="005A1443" w:rsidP="005A1443">
      <w:pPr>
        <w:pStyle w:val="Testonotaapidipagina"/>
        <w:jc w:val="both"/>
        <w:rPr>
          <w:rFonts w:ascii="Times New Roman" w:hAnsi="Times New Roman"/>
          <w:lang w:val="en-US"/>
        </w:rPr>
      </w:pPr>
      <w:r>
        <w:rPr>
          <w:rStyle w:val="Rimandonotaapidipagina"/>
          <w:rFonts w:ascii="Times New Roman" w:hAnsi="Times New Roman"/>
        </w:rPr>
        <w:footnoteRef/>
      </w:r>
      <w:r>
        <w:rPr>
          <w:rFonts w:ascii="Times New Roman" w:hAnsi="Times New Roman"/>
          <w:lang w:val="en-US"/>
        </w:rPr>
        <w:t xml:space="preserve"> </w:t>
      </w:r>
      <w:proofErr w:type="spellStart"/>
      <w:r>
        <w:rPr>
          <w:rFonts w:ascii="Times New Roman" w:hAnsi="Times New Roman"/>
          <w:lang w:val="en-US"/>
        </w:rPr>
        <w:t>D.Piana</w:t>
      </w:r>
      <w:proofErr w:type="spellEnd"/>
      <w:r>
        <w:rPr>
          <w:rFonts w:ascii="Times New Roman" w:hAnsi="Times New Roman"/>
          <w:lang w:val="en-US"/>
        </w:rPr>
        <w:t xml:space="preserve">, </w:t>
      </w:r>
      <w:proofErr w:type="spellStart"/>
      <w:r>
        <w:rPr>
          <w:rFonts w:ascii="Times New Roman" w:hAnsi="Times New Roman"/>
          <w:i/>
          <w:lang w:val="en-US"/>
        </w:rPr>
        <w:t>ibidem</w:t>
      </w:r>
      <w:proofErr w:type="spellEnd"/>
    </w:p>
  </w:footnote>
  <w:footnote w:id="5">
    <w:p w:rsidR="005A1443" w:rsidRDefault="005A1443" w:rsidP="005A1443">
      <w:pPr>
        <w:pStyle w:val="Testonotaapidipagina"/>
        <w:jc w:val="both"/>
        <w:rPr>
          <w:rFonts w:ascii="Times New Roman" w:hAnsi="Times New Roman"/>
          <w:lang w:val="en-US"/>
        </w:rPr>
      </w:pPr>
      <w:r>
        <w:rPr>
          <w:rStyle w:val="Rimandonotaapidipagina"/>
          <w:rFonts w:ascii="Times New Roman" w:hAnsi="Times New Roman"/>
        </w:rPr>
        <w:footnoteRef/>
      </w:r>
      <w:r>
        <w:rPr>
          <w:rFonts w:ascii="Times New Roman" w:hAnsi="Times New Roman"/>
          <w:lang w:val="en-US"/>
        </w:rPr>
        <w:t xml:space="preserve"> Anne-Marie Slaughter, </w:t>
      </w:r>
      <w:r>
        <w:rPr>
          <w:rFonts w:ascii="Times New Roman" w:hAnsi="Times New Roman"/>
          <w:i/>
          <w:lang w:val="en-US"/>
        </w:rPr>
        <w:t>A Global Community of Courts</w:t>
      </w:r>
      <w:r>
        <w:rPr>
          <w:rFonts w:ascii="Times New Roman" w:hAnsi="Times New Roman"/>
          <w:lang w:val="en-US"/>
        </w:rPr>
        <w:t xml:space="preserve">, in </w:t>
      </w:r>
      <w:r>
        <w:rPr>
          <w:rFonts w:ascii="Times New Roman" w:hAnsi="Times New Roman"/>
          <w:i/>
          <w:lang w:val="en-US"/>
        </w:rPr>
        <w:t>Harvard International Law Journal</w:t>
      </w:r>
      <w:r>
        <w:rPr>
          <w:rFonts w:ascii="Times New Roman" w:hAnsi="Times New Roman"/>
          <w:lang w:val="en-US"/>
        </w:rPr>
        <w:t xml:space="preserve">, 2003, vol. 44 </w:t>
      </w:r>
    </w:p>
  </w:footnote>
  <w:footnote w:id="6">
    <w:p w:rsidR="005A1443" w:rsidRDefault="005A1443" w:rsidP="005A1443">
      <w:pPr>
        <w:pStyle w:val="Testonotaapidipagina"/>
        <w:rPr>
          <w:rFonts w:ascii="Times New Roman" w:hAnsi="Times New Roman"/>
        </w:rPr>
      </w:pPr>
      <w:r>
        <w:rPr>
          <w:rStyle w:val="Rimandonotaapidipagina"/>
          <w:rFonts w:ascii="Times New Roman" w:hAnsi="Times New Roman"/>
        </w:rPr>
        <w:footnoteRef/>
      </w:r>
      <w:r>
        <w:rPr>
          <w:rFonts w:ascii="Times New Roman" w:hAnsi="Times New Roman"/>
        </w:rPr>
        <w:t xml:space="preserve"> </w:t>
      </w:r>
      <w:proofErr w:type="spellStart"/>
      <w:proofErr w:type="gramStart"/>
      <w:r>
        <w:rPr>
          <w:rFonts w:ascii="Times New Roman" w:hAnsi="Times New Roman"/>
        </w:rPr>
        <w:t>A.Masucci</w:t>
      </w:r>
      <w:proofErr w:type="spellEnd"/>
      <w:proofErr w:type="gramEnd"/>
      <w:r>
        <w:rPr>
          <w:rFonts w:ascii="Times New Roman" w:hAnsi="Times New Roman"/>
        </w:rPr>
        <w:t xml:space="preserve">, </w:t>
      </w:r>
      <w:r>
        <w:rPr>
          <w:rFonts w:ascii="Times New Roman" w:hAnsi="Times New Roman"/>
          <w:i/>
        </w:rPr>
        <w:t xml:space="preserve">Riforma della giustizia amministrativa in Austria e diritto europeo. Verso “l’europeizzazione” dei processi amministrativi nazionali, </w:t>
      </w:r>
      <w:r>
        <w:rPr>
          <w:rFonts w:ascii="Times New Roman" w:hAnsi="Times New Roman"/>
        </w:rPr>
        <w:t>in</w:t>
      </w:r>
      <w:r>
        <w:rPr>
          <w:rFonts w:ascii="Times New Roman" w:hAnsi="Times New Roman"/>
          <w:i/>
        </w:rPr>
        <w:t xml:space="preserve"> Riv.it.dir.pubbl.com</w:t>
      </w:r>
      <w:r>
        <w:rPr>
          <w:rFonts w:ascii="Times New Roman" w:hAnsi="Times New Roman"/>
        </w:rPr>
        <w:t>. 2018, 445 ss., spec. 472 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B6"/>
    <w:rsid w:val="000B0383"/>
    <w:rsid w:val="00204773"/>
    <w:rsid w:val="004E4F27"/>
    <w:rsid w:val="00501C33"/>
    <w:rsid w:val="0050308B"/>
    <w:rsid w:val="00587CD9"/>
    <w:rsid w:val="005A1443"/>
    <w:rsid w:val="00682D4B"/>
    <w:rsid w:val="006E016D"/>
    <w:rsid w:val="0070694A"/>
    <w:rsid w:val="00795547"/>
    <w:rsid w:val="007F3BB6"/>
    <w:rsid w:val="009E4FCE"/>
    <w:rsid w:val="009F536C"/>
    <w:rsid w:val="00A17E4E"/>
    <w:rsid w:val="00B36943"/>
    <w:rsid w:val="00CD30C1"/>
    <w:rsid w:val="00DC17D4"/>
    <w:rsid w:val="00DF2976"/>
    <w:rsid w:val="00E37B07"/>
    <w:rsid w:val="00F175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16AC"/>
  <w15:chartTrackingRefBased/>
  <w15:docId w15:val="{CBB49F5C-23BB-4F90-A295-4F9C23E8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17524"/>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17524"/>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F17524"/>
    <w:rPr>
      <w:vertAlign w:val="superscript"/>
    </w:rPr>
  </w:style>
  <w:style w:type="paragraph" w:styleId="Intestazione">
    <w:name w:val="header"/>
    <w:basedOn w:val="Normale"/>
    <w:link w:val="IntestazioneCarattere"/>
    <w:uiPriority w:val="99"/>
    <w:unhideWhenUsed/>
    <w:rsid w:val="00A17E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7E4E"/>
  </w:style>
  <w:style w:type="paragraph" w:styleId="Pidipagina">
    <w:name w:val="footer"/>
    <w:basedOn w:val="Normale"/>
    <w:link w:val="PidipaginaCarattere"/>
    <w:uiPriority w:val="99"/>
    <w:unhideWhenUsed/>
    <w:rsid w:val="00A17E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7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1903</Words>
  <Characters>10850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LO MEO Mariagrazia</cp:lastModifiedBy>
  <cp:revision>13</cp:revision>
  <dcterms:created xsi:type="dcterms:W3CDTF">2021-11-11T09:52:00Z</dcterms:created>
  <dcterms:modified xsi:type="dcterms:W3CDTF">2021-11-16T12:14:00Z</dcterms:modified>
</cp:coreProperties>
</file>