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5C4" w:rsidRPr="00B208E4" w:rsidRDefault="000E0112" w:rsidP="00FB7048">
      <w:pPr>
        <w:shd w:val="clear" w:color="auto" w:fill="FFFFFF"/>
        <w:tabs>
          <w:tab w:val="left" w:pos="0"/>
        </w:tabs>
        <w:spacing w:after="120" w:line="240" w:lineRule="auto"/>
        <w:ind w:firstLine="709"/>
        <w:jc w:val="both"/>
        <w:textAlignment w:val="baseline"/>
        <w:rPr>
          <w:rFonts w:ascii="Tahoma" w:eastAsia="Times New Roman" w:hAnsi="Tahoma" w:cs="Tahoma"/>
          <w:b/>
          <w:bCs/>
          <w:smallCaps/>
          <w:color w:val="1F4E79" w:themeColor="accent1" w:themeShade="80"/>
          <w:sz w:val="28"/>
          <w:szCs w:val="28"/>
          <w:bdr w:val="none" w:sz="0" w:space="0" w:color="auto" w:frame="1"/>
          <w:lang w:eastAsia="it-IT"/>
        </w:rPr>
      </w:pPr>
      <w:r w:rsidRPr="00E57416">
        <w:rPr>
          <w:rFonts w:ascii="Times New Roman" w:eastAsia="Times New Roman" w:hAnsi="Times New Roman" w:cs="Times New Roman"/>
          <w:b/>
          <w:color w:val="1F4E79" w:themeColor="accent1" w:themeShade="80"/>
          <w:sz w:val="36"/>
          <w:szCs w:val="36"/>
          <w:bdr w:val="none" w:sz="0" w:space="0" w:color="auto" w:frame="1"/>
          <w:lang w:eastAsia="it-IT"/>
        </w:rPr>
        <w:t xml:space="preserve">Il sindacato della Cassazione sulle decisioni del </w:t>
      </w:r>
      <w:r w:rsidR="00A23E5A" w:rsidRPr="00E57416">
        <w:rPr>
          <w:rFonts w:ascii="Times New Roman" w:eastAsia="Times New Roman" w:hAnsi="Times New Roman" w:cs="Times New Roman"/>
          <w:b/>
          <w:color w:val="1F4E79" w:themeColor="accent1" w:themeShade="80"/>
          <w:sz w:val="36"/>
          <w:szCs w:val="36"/>
          <w:bdr w:val="none" w:sz="0" w:space="0" w:color="auto" w:frame="1"/>
          <w:lang w:eastAsia="it-IT"/>
        </w:rPr>
        <w:t>Consiglio di Stato</w:t>
      </w:r>
      <w:r w:rsidRPr="00E57416">
        <w:rPr>
          <w:rFonts w:ascii="Times New Roman" w:eastAsia="Times New Roman" w:hAnsi="Times New Roman" w:cs="Times New Roman"/>
          <w:b/>
          <w:color w:val="1F4E79" w:themeColor="accent1" w:themeShade="80"/>
          <w:sz w:val="36"/>
          <w:szCs w:val="36"/>
          <w:bdr w:val="none" w:sz="0" w:space="0" w:color="auto" w:frame="1"/>
          <w:lang w:eastAsia="it-IT"/>
        </w:rPr>
        <w:t xml:space="preserve"> </w:t>
      </w:r>
      <w:r w:rsidR="00C938C6" w:rsidRPr="00E57416">
        <w:rPr>
          <w:rFonts w:ascii="Times New Roman" w:eastAsia="Times New Roman" w:hAnsi="Times New Roman" w:cs="Times New Roman"/>
          <w:b/>
          <w:color w:val="1F4E79" w:themeColor="accent1" w:themeShade="80"/>
          <w:sz w:val="36"/>
          <w:szCs w:val="36"/>
          <w:bdr w:val="none" w:sz="0" w:space="0" w:color="auto" w:frame="1"/>
          <w:lang w:eastAsia="it-IT"/>
        </w:rPr>
        <w:t xml:space="preserve">per i soli motivi inerenti </w:t>
      </w:r>
      <w:r w:rsidR="00BF1B41" w:rsidRPr="00E57416">
        <w:rPr>
          <w:rFonts w:ascii="Times New Roman" w:eastAsia="Times New Roman" w:hAnsi="Times New Roman" w:cs="Times New Roman"/>
          <w:b/>
          <w:color w:val="1F4E79" w:themeColor="accent1" w:themeShade="80"/>
          <w:sz w:val="36"/>
          <w:szCs w:val="36"/>
          <w:bdr w:val="none" w:sz="0" w:space="0" w:color="auto" w:frame="1"/>
          <w:lang w:eastAsia="it-IT"/>
        </w:rPr>
        <w:t>al</w:t>
      </w:r>
      <w:r w:rsidR="00C938C6" w:rsidRPr="00E57416">
        <w:rPr>
          <w:rFonts w:ascii="Times New Roman" w:eastAsia="Times New Roman" w:hAnsi="Times New Roman" w:cs="Times New Roman"/>
          <w:b/>
          <w:color w:val="1F4E79" w:themeColor="accent1" w:themeShade="80"/>
          <w:sz w:val="36"/>
          <w:szCs w:val="36"/>
          <w:bdr w:val="none" w:sz="0" w:space="0" w:color="auto" w:frame="1"/>
          <w:lang w:eastAsia="it-IT"/>
        </w:rPr>
        <w:t xml:space="preserve">la giurisdizione </w:t>
      </w:r>
      <w:r w:rsidR="00BF1B41" w:rsidRPr="00E57416">
        <w:rPr>
          <w:rFonts w:ascii="Times New Roman" w:eastAsia="Times New Roman" w:hAnsi="Times New Roman" w:cs="Times New Roman"/>
          <w:b/>
          <w:color w:val="1F4E79" w:themeColor="accent1" w:themeShade="80"/>
          <w:sz w:val="36"/>
          <w:szCs w:val="36"/>
          <w:bdr w:val="none" w:sz="0" w:space="0" w:color="auto" w:frame="1"/>
          <w:lang w:eastAsia="it-IT"/>
        </w:rPr>
        <w:t>tra l’art. 111, co</w:t>
      </w:r>
      <w:r w:rsidR="001814D2" w:rsidRPr="00E57416">
        <w:rPr>
          <w:rFonts w:ascii="Times New Roman" w:eastAsia="Times New Roman" w:hAnsi="Times New Roman" w:cs="Times New Roman"/>
          <w:b/>
          <w:color w:val="1F4E79" w:themeColor="accent1" w:themeShade="80"/>
          <w:sz w:val="36"/>
          <w:szCs w:val="36"/>
          <w:bdr w:val="none" w:sz="0" w:space="0" w:color="auto" w:frame="1"/>
          <w:lang w:eastAsia="it-IT"/>
        </w:rPr>
        <w:t>.</w:t>
      </w:r>
      <w:r w:rsidR="00BF1B41" w:rsidRPr="00E57416">
        <w:rPr>
          <w:rFonts w:ascii="Times New Roman" w:eastAsia="Times New Roman" w:hAnsi="Times New Roman" w:cs="Times New Roman"/>
          <w:b/>
          <w:color w:val="1F4E79" w:themeColor="accent1" w:themeShade="80"/>
          <w:sz w:val="36"/>
          <w:szCs w:val="36"/>
          <w:bdr w:val="none" w:sz="0" w:space="0" w:color="auto" w:frame="1"/>
          <w:lang w:eastAsia="it-IT"/>
        </w:rPr>
        <w:t xml:space="preserve"> </w:t>
      </w:r>
      <w:r w:rsidR="001814D2" w:rsidRPr="00E57416">
        <w:rPr>
          <w:rFonts w:ascii="Times New Roman" w:eastAsia="Times New Roman" w:hAnsi="Times New Roman" w:cs="Times New Roman"/>
          <w:b/>
          <w:color w:val="1F4E79" w:themeColor="accent1" w:themeShade="80"/>
          <w:sz w:val="36"/>
          <w:szCs w:val="36"/>
          <w:bdr w:val="none" w:sz="0" w:space="0" w:color="auto" w:frame="1"/>
          <w:lang w:eastAsia="it-IT"/>
        </w:rPr>
        <w:t>8</w:t>
      </w:r>
      <w:r w:rsidR="00930D6C" w:rsidRPr="00E57416">
        <w:rPr>
          <w:rFonts w:ascii="Times New Roman" w:eastAsia="Times New Roman" w:hAnsi="Times New Roman" w:cs="Times New Roman"/>
          <w:b/>
          <w:color w:val="1F4E79" w:themeColor="accent1" w:themeShade="80"/>
          <w:sz w:val="36"/>
          <w:szCs w:val="36"/>
          <w:bdr w:val="none" w:sz="0" w:space="0" w:color="auto" w:frame="1"/>
          <w:lang w:eastAsia="it-IT"/>
        </w:rPr>
        <w:t>,</w:t>
      </w:r>
      <w:r w:rsidR="00BF1B41" w:rsidRPr="00E57416">
        <w:rPr>
          <w:rFonts w:ascii="Times New Roman" w:eastAsia="Times New Roman" w:hAnsi="Times New Roman" w:cs="Times New Roman"/>
          <w:b/>
          <w:color w:val="1F4E79" w:themeColor="accent1" w:themeShade="80"/>
          <w:sz w:val="36"/>
          <w:szCs w:val="36"/>
          <w:bdr w:val="none" w:sz="0" w:space="0" w:color="auto" w:frame="1"/>
          <w:lang w:eastAsia="it-IT"/>
        </w:rPr>
        <w:t xml:space="preserve"> della Costituzione e</w:t>
      </w:r>
      <w:r w:rsidRPr="00E57416">
        <w:rPr>
          <w:rFonts w:ascii="Times New Roman" w:eastAsia="Times New Roman" w:hAnsi="Times New Roman" w:cs="Times New Roman"/>
          <w:b/>
          <w:color w:val="1F4E79" w:themeColor="accent1" w:themeShade="80"/>
          <w:sz w:val="36"/>
          <w:szCs w:val="36"/>
          <w:bdr w:val="none" w:sz="0" w:space="0" w:color="auto" w:frame="1"/>
          <w:lang w:eastAsia="it-IT"/>
        </w:rPr>
        <w:t xml:space="preserve"> il diritto dell’Unione europea: </w:t>
      </w:r>
      <w:r w:rsidR="00A23E5A" w:rsidRPr="00E57416">
        <w:rPr>
          <w:rFonts w:ascii="Times New Roman" w:eastAsia="Times New Roman" w:hAnsi="Times New Roman" w:cs="Times New Roman"/>
          <w:b/>
          <w:color w:val="1F4E79" w:themeColor="accent1" w:themeShade="80"/>
          <w:sz w:val="36"/>
          <w:szCs w:val="36"/>
          <w:bdr w:val="none" w:sz="0" w:space="0" w:color="auto" w:frame="1"/>
          <w:lang w:eastAsia="it-IT"/>
        </w:rPr>
        <w:t>la parola a</w:t>
      </w:r>
      <w:r w:rsidRPr="00E57416">
        <w:rPr>
          <w:rFonts w:ascii="Times New Roman" w:eastAsia="Times New Roman" w:hAnsi="Times New Roman" w:cs="Times New Roman"/>
          <w:b/>
          <w:color w:val="1F4E79" w:themeColor="accent1" w:themeShade="80"/>
          <w:sz w:val="36"/>
          <w:szCs w:val="36"/>
          <w:bdr w:val="none" w:sz="0" w:space="0" w:color="auto" w:frame="1"/>
          <w:lang w:eastAsia="it-IT"/>
        </w:rPr>
        <w:t>lla C</w:t>
      </w:r>
      <w:r w:rsidR="00051064" w:rsidRPr="00E57416">
        <w:rPr>
          <w:rFonts w:ascii="Times New Roman" w:eastAsia="Times New Roman" w:hAnsi="Times New Roman" w:cs="Times New Roman"/>
          <w:b/>
          <w:color w:val="1F4E79" w:themeColor="accent1" w:themeShade="80"/>
          <w:sz w:val="36"/>
          <w:szCs w:val="36"/>
          <w:bdr w:val="none" w:sz="0" w:space="0" w:color="auto" w:frame="1"/>
          <w:lang w:eastAsia="it-IT"/>
        </w:rPr>
        <w:t xml:space="preserve">orte di </w:t>
      </w:r>
      <w:r w:rsidRPr="00E57416">
        <w:rPr>
          <w:rFonts w:ascii="Times New Roman" w:eastAsia="Times New Roman" w:hAnsi="Times New Roman" w:cs="Times New Roman"/>
          <w:b/>
          <w:color w:val="1F4E79" w:themeColor="accent1" w:themeShade="80"/>
          <w:sz w:val="36"/>
          <w:szCs w:val="36"/>
          <w:bdr w:val="none" w:sz="0" w:space="0" w:color="auto" w:frame="1"/>
          <w:lang w:eastAsia="it-IT"/>
        </w:rPr>
        <w:t>G</w:t>
      </w:r>
      <w:r w:rsidR="00051064" w:rsidRPr="00E57416">
        <w:rPr>
          <w:rFonts w:ascii="Times New Roman" w:eastAsia="Times New Roman" w:hAnsi="Times New Roman" w:cs="Times New Roman"/>
          <w:b/>
          <w:color w:val="1F4E79" w:themeColor="accent1" w:themeShade="80"/>
          <w:sz w:val="36"/>
          <w:szCs w:val="36"/>
          <w:bdr w:val="none" w:sz="0" w:space="0" w:color="auto" w:frame="1"/>
          <w:lang w:eastAsia="it-IT"/>
        </w:rPr>
        <w:t>iustizia</w:t>
      </w:r>
      <w:r w:rsidR="004A28A6">
        <w:rPr>
          <w:rFonts w:ascii="Tahoma" w:eastAsia="Times New Roman" w:hAnsi="Tahoma" w:cs="Tahoma"/>
          <w:b/>
          <w:bCs/>
          <w:smallCaps/>
          <w:color w:val="1F4E79" w:themeColor="accent1" w:themeShade="80"/>
          <w:sz w:val="28"/>
          <w:szCs w:val="28"/>
          <w:bdr w:val="none" w:sz="0" w:space="0" w:color="auto" w:frame="1"/>
          <w:lang w:eastAsia="it-IT"/>
        </w:rPr>
        <w:t xml:space="preserve"> </w:t>
      </w:r>
      <w:r w:rsidR="004A28A6" w:rsidRPr="00E57416">
        <w:rPr>
          <w:rFonts w:ascii="Tahoma" w:eastAsia="Times New Roman" w:hAnsi="Tahoma" w:cs="Tahoma"/>
          <w:b/>
          <w:bCs/>
          <w:smallCaps/>
          <w:color w:val="1F4E79" w:themeColor="accent1" w:themeShade="80"/>
          <w:sz w:val="16"/>
          <w:szCs w:val="20"/>
          <w:bdr w:val="none" w:sz="0" w:space="0" w:color="auto" w:frame="1"/>
          <w:lang w:eastAsia="it-IT"/>
        </w:rPr>
        <w:t>(*)</w:t>
      </w:r>
    </w:p>
    <w:p w:rsidR="008318AD" w:rsidRPr="00FB7048" w:rsidRDefault="000E0112" w:rsidP="00FB7048">
      <w:pPr>
        <w:shd w:val="clear" w:color="auto" w:fill="FFFFFF"/>
        <w:tabs>
          <w:tab w:val="left" w:pos="0"/>
        </w:tabs>
        <w:spacing w:after="120" w:line="240" w:lineRule="auto"/>
        <w:ind w:firstLine="567"/>
        <w:jc w:val="both"/>
        <w:textAlignment w:val="baseline"/>
        <w:rPr>
          <w:rFonts w:ascii="Tahoma" w:eastAsia="Times New Roman" w:hAnsi="Tahoma" w:cs="Tahoma"/>
          <w:bCs/>
          <w:i/>
          <w:smallCaps/>
          <w:color w:val="1F4E79" w:themeColor="accent1" w:themeShade="80"/>
          <w:sz w:val="20"/>
          <w:szCs w:val="28"/>
          <w:bdr w:val="none" w:sz="0" w:space="0" w:color="auto" w:frame="1"/>
          <w:lang w:eastAsia="it-IT"/>
        </w:rPr>
      </w:pPr>
      <w:r w:rsidRPr="00FB7048">
        <w:rPr>
          <w:rFonts w:ascii="Tahoma" w:eastAsia="Times New Roman" w:hAnsi="Tahoma" w:cs="Tahoma"/>
          <w:bCs/>
          <w:i/>
          <w:smallCaps/>
          <w:color w:val="1F4E79" w:themeColor="accent1" w:themeShade="80"/>
          <w:sz w:val="20"/>
          <w:szCs w:val="28"/>
          <w:bdr w:val="none" w:sz="0" w:space="0" w:color="auto" w:frame="1"/>
          <w:lang w:eastAsia="it-IT"/>
        </w:rPr>
        <w:t xml:space="preserve">nota </w:t>
      </w:r>
      <w:r w:rsidR="00051064" w:rsidRPr="00FB7048">
        <w:rPr>
          <w:rFonts w:ascii="Tahoma" w:eastAsia="Times New Roman" w:hAnsi="Tahoma" w:cs="Tahoma"/>
          <w:bCs/>
          <w:i/>
          <w:smallCaps/>
          <w:color w:val="1F4E79" w:themeColor="accent1" w:themeShade="80"/>
          <w:sz w:val="20"/>
          <w:szCs w:val="28"/>
          <w:bdr w:val="none" w:sz="0" w:space="0" w:color="auto" w:frame="1"/>
          <w:lang w:eastAsia="it-IT"/>
        </w:rPr>
        <w:t xml:space="preserve">critica </w:t>
      </w:r>
      <w:r w:rsidRPr="00FB7048">
        <w:rPr>
          <w:rFonts w:ascii="Tahoma" w:eastAsia="Times New Roman" w:hAnsi="Tahoma" w:cs="Tahoma"/>
          <w:bCs/>
          <w:i/>
          <w:smallCaps/>
          <w:color w:val="1F4E79" w:themeColor="accent1" w:themeShade="80"/>
          <w:sz w:val="20"/>
          <w:szCs w:val="28"/>
          <w:bdr w:val="none" w:sz="0" w:space="0" w:color="auto" w:frame="1"/>
          <w:lang w:eastAsia="it-IT"/>
        </w:rPr>
        <w:t xml:space="preserve">all’ordinanza delle Sezioni Unite della Corte di cassazione </w:t>
      </w:r>
      <w:r w:rsidR="00051064" w:rsidRPr="00FB7048">
        <w:rPr>
          <w:rFonts w:ascii="Tahoma" w:eastAsia="Times New Roman" w:hAnsi="Tahoma" w:cs="Tahoma"/>
          <w:bCs/>
          <w:i/>
          <w:smallCaps/>
          <w:color w:val="1F4E79" w:themeColor="accent1" w:themeShade="80"/>
          <w:sz w:val="20"/>
          <w:szCs w:val="28"/>
          <w:bdr w:val="none" w:sz="0" w:space="0" w:color="auto" w:frame="1"/>
          <w:lang w:eastAsia="it-IT"/>
        </w:rPr>
        <w:t>18 settembre</w:t>
      </w:r>
      <w:r w:rsidRPr="00FB7048">
        <w:rPr>
          <w:rFonts w:ascii="Tahoma" w:eastAsia="Times New Roman" w:hAnsi="Tahoma" w:cs="Tahoma"/>
          <w:bCs/>
          <w:i/>
          <w:smallCaps/>
          <w:color w:val="1F4E79" w:themeColor="accent1" w:themeShade="80"/>
          <w:sz w:val="20"/>
          <w:szCs w:val="28"/>
          <w:bdr w:val="none" w:sz="0" w:space="0" w:color="auto" w:frame="1"/>
          <w:lang w:eastAsia="it-IT"/>
        </w:rPr>
        <w:t xml:space="preserve"> 2020</w:t>
      </w:r>
      <w:r w:rsidR="00051064" w:rsidRPr="00FB7048">
        <w:rPr>
          <w:rFonts w:ascii="Tahoma" w:eastAsia="Times New Roman" w:hAnsi="Tahoma" w:cs="Tahoma"/>
          <w:bCs/>
          <w:i/>
          <w:smallCaps/>
          <w:color w:val="1F4E79" w:themeColor="accent1" w:themeShade="80"/>
          <w:sz w:val="20"/>
          <w:szCs w:val="28"/>
          <w:bdr w:val="none" w:sz="0" w:space="0" w:color="auto" w:frame="1"/>
          <w:lang w:eastAsia="it-IT"/>
        </w:rPr>
        <w:t xml:space="preserve"> n. 19598</w:t>
      </w:r>
      <w:r w:rsidR="00FB7048">
        <w:rPr>
          <w:rStyle w:val="Rimandonotaapidipagina"/>
          <w:rFonts w:ascii="Tahoma" w:eastAsia="Times New Roman" w:hAnsi="Tahoma" w:cs="Tahoma"/>
          <w:bCs/>
          <w:i/>
          <w:smallCaps/>
          <w:color w:val="1F4E79" w:themeColor="accent1" w:themeShade="80"/>
          <w:sz w:val="20"/>
          <w:szCs w:val="28"/>
          <w:bdr w:val="none" w:sz="0" w:space="0" w:color="auto" w:frame="1"/>
          <w:lang w:eastAsia="it-IT"/>
        </w:rPr>
        <w:footnoteReference w:id="1"/>
      </w:r>
    </w:p>
    <w:p w:rsidR="000E0112" w:rsidRPr="00B208E4" w:rsidRDefault="000E0112" w:rsidP="00FB7048">
      <w:pPr>
        <w:shd w:val="clear" w:color="auto" w:fill="FFFFFF"/>
        <w:tabs>
          <w:tab w:val="left" w:pos="0"/>
        </w:tabs>
        <w:spacing w:after="120" w:line="240" w:lineRule="auto"/>
        <w:ind w:firstLine="709"/>
        <w:jc w:val="both"/>
        <w:textAlignment w:val="baseline"/>
        <w:rPr>
          <w:rFonts w:ascii="Tahoma" w:eastAsia="Times New Roman" w:hAnsi="Tahoma" w:cs="Tahoma"/>
          <w:b/>
          <w:bCs/>
          <w:smallCaps/>
          <w:color w:val="1F4E79" w:themeColor="accent1" w:themeShade="80"/>
          <w:sz w:val="28"/>
          <w:szCs w:val="28"/>
          <w:bdr w:val="none" w:sz="0" w:space="0" w:color="auto" w:frame="1"/>
          <w:lang w:eastAsia="it-IT"/>
        </w:rPr>
      </w:pPr>
    </w:p>
    <w:p w:rsidR="006A7DD1" w:rsidRPr="00FB7048" w:rsidRDefault="006A7DD1" w:rsidP="006A7DD1">
      <w:pPr>
        <w:shd w:val="clear" w:color="auto" w:fill="FFFFFF"/>
        <w:tabs>
          <w:tab w:val="left" w:pos="0"/>
        </w:tabs>
        <w:spacing w:after="120" w:line="240" w:lineRule="auto"/>
        <w:ind w:right="282" w:firstLine="709"/>
        <w:jc w:val="right"/>
        <w:textAlignment w:val="baseline"/>
        <w:rPr>
          <w:rFonts w:ascii="Tahoma" w:eastAsia="Times New Roman" w:hAnsi="Tahoma" w:cs="Tahoma"/>
          <w:color w:val="1F4E79" w:themeColor="accent1" w:themeShade="80"/>
          <w:sz w:val="24"/>
          <w:szCs w:val="28"/>
          <w:bdr w:val="none" w:sz="0" w:space="0" w:color="auto" w:frame="1"/>
          <w:lang w:eastAsia="it-IT"/>
        </w:rPr>
      </w:pPr>
    </w:p>
    <w:p w:rsidR="00981997" w:rsidRPr="00C30E5F" w:rsidRDefault="00981997" w:rsidP="00981997">
      <w:pPr>
        <w:shd w:val="clear" w:color="auto" w:fill="FFFFFF"/>
        <w:tabs>
          <w:tab w:val="left" w:pos="0"/>
        </w:tabs>
        <w:spacing w:after="120" w:line="240" w:lineRule="auto"/>
        <w:ind w:firstLine="709"/>
        <w:jc w:val="both"/>
        <w:textAlignment w:val="baseline"/>
        <w:rPr>
          <w:rFonts w:ascii="Times New Roman" w:eastAsia="Times New Roman" w:hAnsi="Times New Roman" w:cs="Times New Roman"/>
          <w:color w:val="1F4E79" w:themeColor="accent1" w:themeShade="80"/>
          <w:sz w:val="28"/>
          <w:szCs w:val="28"/>
          <w:bdr w:val="none" w:sz="0" w:space="0" w:color="auto" w:frame="1"/>
          <w:lang w:eastAsia="it-IT"/>
        </w:rPr>
      </w:pPr>
      <w:r w:rsidRPr="00913EBF">
        <w:rPr>
          <w:rFonts w:ascii="Times New Roman" w:eastAsia="Times New Roman" w:hAnsi="Times New Roman" w:cs="Times New Roman"/>
          <w:b/>
          <w:color w:val="1F4E79" w:themeColor="accent1" w:themeShade="80"/>
          <w:sz w:val="28"/>
          <w:szCs w:val="28"/>
          <w:lang w:eastAsia="it-IT"/>
        </w:rPr>
        <w:t xml:space="preserve">Sommario: </w:t>
      </w:r>
      <w:r w:rsidRPr="00913EBF">
        <w:rPr>
          <w:rFonts w:ascii="Times New Roman" w:eastAsia="Times New Roman" w:hAnsi="Times New Roman" w:cs="Times New Roman"/>
          <w:color w:val="1F4E79" w:themeColor="accent1" w:themeShade="80"/>
          <w:sz w:val="28"/>
          <w:szCs w:val="28"/>
          <w:bdr w:val="none" w:sz="0" w:space="0" w:color="auto" w:frame="1"/>
          <w:lang w:eastAsia="it-IT"/>
        </w:rPr>
        <w:t xml:space="preserve">1. </w:t>
      </w:r>
      <w:r w:rsidRPr="00C30E5F">
        <w:rPr>
          <w:rFonts w:ascii="Times New Roman" w:eastAsia="Times New Roman" w:hAnsi="Times New Roman" w:cs="Times New Roman"/>
          <w:color w:val="1F4E79" w:themeColor="accent1" w:themeShade="80"/>
          <w:sz w:val="28"/>
          <w:szCs w:val="28"/>
          <w:bdr w:val="none" w:sz="0" w:space="0" w:color="auto" w:frame="1"/>
          <w:lang w:eastAsia="it-IT"/>
        </w:rPr>
        <w:t>Il ricorso per cassazione avverso le decisioni del Consiglio di Stato e l’art. 111, comma ottavo, della Costituzione. Un punto fermo: la decisione della Corte costituzionale n. 6 del 2018. Il concetto di “</w:t>
      </w:r>
      <w:r w:rsidRPr="00C30E5F">
        <w:rPr>
          <w:rFonts w:ascii="Times New Roman" w:eastAsia="Times New Roman" w:hAnsi="Times New Roman" w:cs="Times New Roman"/>
          <w:i/>
          <w:color w:val="1F4E79" w:themeColor="accent1" w:themeShade="80"/>
          <w:sz w:val="28"/>
          <w:szCs w:val="28"/>
          <w:bdr w:val="none" w:sz="0" w:space="0" w:color="auto" w:frame="1"/>
          <w:lang w:eastAsia="it-IT"/>
        </w:rPr>
        <w:t>motivi inerenti alla giurisdizione</w:t>
      </w:r>
      <w:r w:rsidRPr="00C30E5F">
        <w:rPr>
          <w:rFonts w:ascii="Times New Roman" w:eastAsia="Times New Roman" w:hAnsi="Times New Roman" w:cs="Times New Roman"/>
          <w:color w:val="1F4E79" w:themeColor="accent1" w:themeShade="80"/>
          <w:sz w:val="28"/>
          <w:szCs w:val="28"/>
          <w:bdr w:val="none" w:sz="0" w:space="0" w:color="auto" w:frame="1"/>
          <w:lang w:eastAsia="it-IT"/>
        </w:rPr>
        <w:t>” e l’applicazione uniforme delle Sezioni Unite.</w:t>
      </w:r>
      <w:r w:rsidRPr="00913EBF">
        <w:rPr>
          <w:rFonts w:ascii="Times New Roman" w:eastAsia="Times New Roman" w:hAnsi="Times New Roman" w:cs="Times New Roman"/>
          <w:color w:val="1F4E79" w:themeColor="accent1" w:themeShade="80"/>
          <w:sz w:val="28"/>
          <w:szCs w:val="28"/>
          <w:lang w:eastAsia="it-IT"/>
        </w:rPr>
        <w:t xml:space="preserve"> - </w:t>
      </w:r>
      <w:r w:rsidRPr="00913EBF">
        <w:rPr>
          <w:rFonts w:ascii="Times New Roman" w:eastAsia="Times New Roman" w:hAnsi="Times New Roman" w:cs="Times New Roman"/>
          <w:color w:val="1F4E79" w:themeColor="accent1" w:themeShade="80"/>
          <w:sz w:val="28"/>
          <w:szCs w:val="28"/>
          <w:bdr w:val="none" w:sz="0" w:space="0" w:color="auto" w:frame="1"/>
          <w:lang w:eastAsia="it-IT"/>
        </w:rPr>
        <w:t xml:space="preserve">2. </w:t>
      </w:r>
      <w:r w:rsidRPr="00C30E5F">
        <w:rPr>
          <w:rFonts w:ascii="Times New Roman" w:eastAsia="Times New Roman" w:hAnsi="Times New Roman" w:cs="Times New Roman"/>
          <w:color w:val="1F4E79" w:themeColor="accent1" w:themeShade="80"/>
          <w:sz w:val="28"/>
          <w:szCs w:val="28"/>
          <w:bdr w:val="none" w:sz="0" w:space="0" w:color="auto" w:frame="1"/>
          <w:lang w:eastAsia="it-IT"/>
        </w:rPr>
        <w:t>Il caso concreto e le tre distinte questioni sollevate dall’ordinanza.</w:t>
      </w:r>
      <w:r w:rsidRPr="00913EBF">
        <w:rPr>
          <w:rFonts w:ascii="Times New Roman" w:eastAsia="Times New Roman" w:hAnsi="Times New Roman" w:cs="Times New Roman"/>
          <w:color w:val="1F4E79" w:themeColor="accent1" w:themeShade="80"/>
          <w:sz w:val="28"/>
          <w:szCs w:val="28"/>
          <w:bdr w:val="none" w:sz="0" w:space="0" w:color="auto" w:frame="1"/>
          <w:lang w:eastAsia="it-IT"/>
        </w:rPr>
        <w:t xml:space="preserve"> - 3. </w:t>
      </w:r>
      <w:r w:rsidRPr="00C30E5F">
        <w:rPr>
          <w:rFonts w:ascii="Times New Roman" w:eastAsia="Times New Roman" w:hAnsi="Times New Roman" w:cs="Times New Roman"/>
          <w:color w:val="1F4E79" w:themeColor="accent1" w:themeShade="80"/>
          <w:sz w:val="28"/>
          <w:szCs w:val="28"/>
          <w:bdr w:val="none" w:sz="0" w:space="0" w:color="auto" w:frame="1"/>
          <w:lang w:eastAsia="it-IT"/>
        </w:rPr>
        <w:t xml:space="preserve">La posizione della Corte costituzionale: la critica alla teoria della </w:t>
      </w:r>
      <w:r w:rsidR="008B173D" w:rsidRPr="00C30E5F">
        <w:rPr>
          <w:rFonts w:ascii="Times New Roman" w:eastAsia="Times New Roman" w:hAnsi="Times New Roman" w:cs="Times New Roman"/>
          <w:i/>
          <w:color w:val="1F4E79" w:themeColor="accent1" w:themeShade="80"/>
          <w:sz w:val="28"/>
          <w:szCs w:val="28"/>
          <w:bdr w:val="none" w:sz="0" w:space="0" w:color="auto" w:frame="1"/>
          <w:lang w:eastAsia="it-IT"/>
        </w:rPr>
        <w:t xml:space="preserve">giurisdizione </w:t>
      </w:r>
      <w:r w:rsidRPr="00C30E5F">
        <w:rPr>
          <w:rFonts w:ascii="Times New Roman" w:eastAsia="Times New Roman" w:hAnsi="Times New Roman" w:cs="Times New Roman"/>
          <w:i/>
          <w:color w:val="1F4E79" w:themeColor="accent1" w:themeShade="80"/>
          <w:sz w:val="28"/>
          <w:szCs w:val="28"/>
          <w:bdr w:val="none" w:sz="0" w:space="0" w:color="auto" w:frame="1"/>
          <w:lang w:eastAsia="it-IT"/>
        </w:rPr>
        <w:t>dinamica</w:t>
      </w:r>
      <w:r w:rsidRPr="00C30E5F">
        <w:rPr>
          <w:rFonts w:ascii="Times New Roman" w:eastAsia="Times New Roman" w:hAnsi="Times New Roman" w:cs="Times New Roman"/>
          <w:color w:val="1F4E79" w:themeColor="accent1" w:themeShade="80"/>
          <w:sz w:val="28"/>
          <w:szCs w:val="28"/>
          <w:bdr w:val="none" w:sz="0" w:space="0" w:color="auto" w:frame="1"/>
          <w:lang w:eastAsia="it-IT"/>
        </w:rPr>
        <w:t xml:space="preserve"> e la risposta della Cassazione. L’opinabile scelta del rinvio alla CGUE.</w:t>
      </w:r>
      <w:r w:rsidRPr="00913EBF">
        <w:rPr>
          <w:rFonts w:ascii="Times New Roman" w:eastAsia="Times New Roman" w:hAnsi="Times New Roman" w:cs="Times New Roman"/>
          <w:color w:val="1F4E79" w:themeColor="accent1" w:themeShade="80"/>
          <w:sz w:val="28"/>
          <w:szCs w:val="28"/>
          <w:bdr w:val="none" w:sz="0" w:space="0" w:color="auto" w:frame="1"/>
          <w:lang w:eastAsia="it-IT"/>
        </w:rPr>
        <w:t xml:space="preserve"> - 4. </w:t>
      </w:r>
      <w:r w:rsidRPr="00C30E5F">
        <w:rPr>
          <w:rFonts w:ascii="Times New Roman" w:eastAsia="Times New Roman" w:hAnsi="Times New Roman" w:cs="Times New Roman"/>
          <w:color w:val="1F4E79" w:themeColor="accent1" w:themeShade="80"/>
          <w:sz w:val="28"/>
          <w:szCs w:val="28"/>
          <w:bdr w:val="none" w:sz="0" w:space="0" w:color="auto" w:frame="1"/>
          <w:lang w:eastAsia="it-IT"/>
        </w:rPr>
        <w:t xml:space="preserve">La non improbabile </w:t>
      </w:r>
      <w:r w:rsidR="008B173D" w:rsidRPr="00C30E5F">
        <w:rPr>
          <w:rFonts w:ascii="Times New Roman" w:eastAsia="Times New Roman" w:hAnsi="Times New Roman" w:cs="Times New Roman"/>
          <w:color w:val="1F4E79" w:themeColor="accent1" w:themeShade="80"/>
          <w:sz w:val="28"/>
          <w:szCs w:val="28"/>
          <w:bdr w:val="none" w:sz="0" w:space="0" w:color="auto" w:frame="1"/>
          <w:lang w:eastAsia="it-IT"/>
        </w:rPr>
        <w:t>valutazione</w:t>
      </w:r>
      <w:r w:rsidRPr="00C30E5F">
        <w:rPr>
          <w:rFonts w:ascii="Times New Roman" w:eastAsia="Times New Roman" w:hAnsi="Times New Roman" w:cs="Times New Roman"/>
          <w:color w:val="1F4E79" w:themeColor="accent1" w:themeShade="80"/>
          <w:sz w:val="28"/>
          <w:szCs w:val="28"/>
          <w:bdr w:val="none" w:sz="0" w:space="0" w:color="auto" w:frame="1"/>
          <w:lang w:eastAsia="it-IT"/>
        </w:rPr>
        <w:t xml:space="preserve"> della CGUE di non intromettersi nel dibattito interno tra le Corti nazionali.</w:t>
      </w:r>
      <w:r w:rsidRPr="00913EBF">
        <w:rPr>
          <w:rFonts w:ascii="Times New Roman" w:eastAsia="Times New Roman" w:hAnsi="Times New Roman" w:cs="Times New Roman"/>
          <w:color w:val="1F4E79" w:themeColor="accent1" w:themeShade="80"/>
          <w:sz w:val="28"/>
          <w:szCs w:val="28"/>
          <w:bdr w:val="none" w:sz="0" w:space="0" w:color="auto" w:frame="1"/>
          <w:lang w:eastAsia="it-IT"/>
        </w:rPr>
        <w:t xml:space="preserve"> - 5. </w:t>
      </w:r>
      <w:r w:rsidRPr="00C30E5F">
        <w:rPr>
          <w:rFonts w:ascii="Times New Roman" w:eastAsia="Times New Roman" w:hAnsi="Times New Roman" w:cs="Times New Roman"/>
          <w:color w:val="1F4E79" w:themeColor="accent1" w:themeShade="80"/>
          <w:sz w:val="28"/>
          <w:szCs w:val="28"/>
          <w:bdr w:val="none" w:sz="0" w:space="0" w:color="auto" w:frame="1"/>
          <w:lang w:eastAsia="it-IT"/>
        </w:rPr>
        <w:t>L’analisi del primo quesito. La Cassazione come giudice di ultimo grado sulle violazioni del diritto UE e il chiaro disegno della Costituzione. L’irrilevanza della questione per l’ordinamento europeo. Gli argomenti espressi dall’ordinanza. L’assenza di critiche alla decisione della Corte costituzionale.</w:t>
      </w:r>
      <w:r w:rsidRPr="00913EBF">
        <w:rPr>
          <w:rFonts w:ascii="Times New Roman" w:eastAsia="Times New Roman" w:hAnsi="Times New Roman" w:cs="Times New Roman"/>
          <w:color w:val="1F4E79" w:themeColor="accent1" w:themeShade="80"/>
          <w:sz w:val="28"/>
          <w:szCs w:val="28"/>
          <w:bdr w:val="none" w:sz="0" w:space="0" w:color="auto" w:frame="1"/>
          <w:lang w:eastAsia="it-IT"/>
        </w:rPr>
        <w:t xml:space="preserve"> - 6. </w:t>
      </w:r>
      <w:r w:rsidRPr="00C30E5F">
        <w:rPr>
          <w:rFonts w:ascii="Times New Roman" w:eastAsia="Times New Roman" w:hAnsi="Times New Roman" w:cs="Times New Roman"/>
          <w:color w:val="1F4E79" w:themeColor="accent1" w:themeShade="80"/>
          <w:sz w:val="28"/>
          <w:szCs w:val="28"/>
          <w:bdr w:val="none" w:sz="0" w:space="0" w:color="auto" w:frame="1"/>
          <w:lang w:eastAsia="it-IT"/>
        </w:rPr>
        <w:t xml:space="preserve">La violazione del diritto UE integra sempre un’ipotesi di carenza di potere per esercizio di un potere normativo con contestuale violazione della sovranità dell’Unione europea? L’abbandono della tesi del </w:t>
      </w:r>
      <w:r w:rsidRPr="00C30E5F">
        <w:rPr>
          <w:rFonts w:ascii="Times New Roman" w:eastAsia="Times New Roman" w:hAnsi="Times New Roman" w:cs="Times New Roman"/>
          <w:i/>
          <w:color w:val="1F4E79" w:themeColor="accent1" w:themeShade="80"/>
          <w:sz w:val="28"/>
          <w:szCs w:val="28"/>
          <w:bdr w:val="none" w:sz="0" w:space="0" w:color="auto" w:frame="1"/>
          <w:lang w:eastAsia="it-IT"/>
        </w:rPr>
        <w:t>rifiuto</w:t>
      </w:r>
      <w:r w:rsidRPr="00C30E5F">
        <w:rPr>
          <w:rFonts w:ascii="Times New Roman" w:eastAsia="Times New Roman" w:hAnsi="Times New Roman" w:cs="Times New Roman"/>
          <w:color w:val="1F4E79" w:themeColor="accent1" w:themeShade="80"/>
          <w:sz w:val="28"/>
          <w:szCs w:val="28"/>
          <w:bdr w:val="none" w:sz="0" w:space="0" w:color="auto" w:frame="1"/>
          <w:lang w:eastAsia="it-IT"/>
        </w:rPr>
        <w:t xml:space="preserve">, o </w:t>
      </w:r>
      <w:r w:rsidRPr="00C30E5F">
        <w:rPr>
          <w:rFonts w:ascii="Times New Roman" w:eastAsia="Times New Roman" w:hAnsi="Times New Roman" w:cs="Times New Roman"/>
          <w:i/>
          <w:color w:val="1F4E79" w:themeColor="accent1" w:themeShade="80"/>
          <w:sz w:val="28"/>
          <w:szCs w:val="28"/>
          <w:bdr w:val="none" w:sz="0" w:space="0" w:color="auto" w:frame="1"/>
          <w:lang w:eastAsia="it-IT"/>
        </w:rPr>
        <w:t>arretramento</w:t>
      </w:r>
      <w:r w:rsidRPr="00C30E5F">
        <w:rPr>
          <w:rFonts w:ascii="Times New Roman" w:eastAsia="Times New Roman" w:hAnsi="Times New Roman" w:cs="Times New Roman"/>
          <w:color w:val="1F4E79" w:themeColor="accent1" w:themeShade="80"/>
          <w:sz w:val="28"/>
          <w:szCs w:val="28"/>
          <w:bdr w:val="none" w:sz="0" w:space="0" w:color="auto" w:frame="1"/>
          <w:lang w:eastAsia="it-IT"/>
        </w:rPr>
        <w:t xml:space="preserve"> di giurisdizione.</w:t>
      </w:r>
      <w:r w:rsidRPr="00913EBF">
        <w:rPr>
          <w:rFonts w:ascii="Times New Roman" w:eastAsia="Times New Roman" w:hAnsi="Times New Roman" w:cs="Times New Roman"/>
          <w:color w:val="1F4E79" w:themeColor="accent1" w:themeShade="80"/>
          <w:sz w:val="28"/>
          <w:szCs w:val="28"/>
          <w:bdr w:val="none" w:sz="0" w:space="0" w:color="auto" w:frame="1"/>
          <w:lang w:eastAsia="it-IT"/>
        </w:rPr>
        <w:t xml:space="preserve"> - 7. </w:t>
      </w:r>
      <w:r w:rsidRPr="00C30E5F">
        <w:rPr>
          <w:rFonts w:ascii="Times New Roman" w:eastAsia="Times New Roman" w:hAnsi="Times New Roman" w:cs="Times New Roman"/>
          <w:color w:val="1F4E79" w:themeColor="accent1" w:themeShade="80"/>
          <w:sz w:val="28"/>
          <w:szCs w:val="28"/>
          <w:bdr w:val="none" w:sz="0" w:space="0" w:color="auto" w:frame="1"/>
          <w:lang w:eastAsia="it-IT"/>
        </w:rPr>
        <w:t>L’asserita minaccia alla sovranità delle istituzioni europee e la posizione istituzionale della Cassazione.</w:t>
      </w:r>
      <w:r w:rsidRPr="00913EBF">
        <w:rPr>
          <w:rFonts w:ascii="Times New Roman" w:eastAsia="Times New Roman" w:hAnsi="Times New Roman" w:cs="Times New Roman"/>
          <w:color w:val="1F4E79" w:themeColor="accent1" w:themeShade="80"/>
          <w:sz w:val="28"/>
          <w:szCs w:val="28"/>
          <w:bdr w:val="none" w:sz="0" w:space="0" w:color="auto" w:frame="1"/>
          <w:lang w:eastAsia="it-IT"/>
        </w:rPr>
        <w:t xml:space="preserve"> - 8. </w:t>
      </w:r>
      <w:r w:rsidRPr="00C30E5F">
        <w:rPr>
          <w:rFonts w:ascii="Times New Roman" w:eastAsia="Times New Roman" w:hAnsi="Times New Roman" w:cs="Times New Roman"/>
          <w:color w:val="1F4E79" w:themeColor="accent1" w:themeShade="80"/>
          <w:sz w:val="28"/>
          <w:szCs w:val="28"/>
          <w:bdr w:val="none" w:sz="0" w:space="0" w:color="auto" w:frame="1"/>
          <w:lang w:eastAsia="it-IT"/>
        </w:rPr>
        <w:t>Il potere-dovere di prevenire la violazione del diritto UE, immanente fino a quando il giudizio non è definito dal giudicato. Il ruolo del giudizio di revocazione e l’asserito favore per il sindacato della cassazione.</w:t>
      </w:r>
      <w:r w:rsidRPr="00913EBF">
        <w:rPr>
          <w:rFonts w:ascii="Times New Roman" w:eastAsia="Times New Roman" w:hAnsi="Times New Roman" w:cs="Times New Roman"/>
          <w:color w:val="1F4E79" w:themeColor="accent1" w:themeShade="80"/>
          <w:sz w:val="28"/>
          <w:szCs w:val="28"/>
          <w:bdr w:val="none" w:sz="0" w:space="0" w:color="auto" w:frame="1"/>
          <w:lang w:eastAsia="it-IT"/>
        </w:rPr>
        <w:t xml:space="preserve"> - 9. </w:t>
      </w:r>
      <w:r w:rsidRPr="00C30E5F">
        <w:rPr>
          <w:rFonts w:ascii="Times New Roman" w:eastAsia="Times New Roman" w:hAnsi="Times New Roman" w:cs="Times New Roman"/>
          <w:color w:val="1F4E79" w:themeColor="accent1" w:themeShade="80"/>
          <w:sz w:val="28"/>
          <w:szCs w:val="28"/>
          <w:bdr w:val="none" w:sz="0" w:space="0" w:color="auto" w:frame="1"/>
          <w:lang w:eastAsia="it-IT"/>
        </w:rPr>
        <w:t>Il nodo centrale dell’argomentazione della Cassazione: L’autonomia procedurale degli Stati membri non giustificherebbe la soluzione dell’ordinamento italiano; non sarebbero rispettati i principi-cardine di equivalenza e di effettività della tutela giurisdizionale.</w:t>
      </w:r>
      <w:r w:rsidRPr="00913EBF">
        <w:rPr>
          <w:rFonts w:ascii="Times New Roman" w:eastAsia="Times New Roman" w:hAnsi="Times New Roman" w:cs="Times New Roman"/>
          <w:color w:val="1F4E79" w:themeColor="accent1" w:themeShade="80"/>
          <w:sz w:val="28"/>
          <w:szCs w:val="28"/>
          <w:bdr w:val="none" w:sz="0" w:space="0" w:color="auto" w:frame="1"/>
          <w:lang w:eastAsia="it-IT"/>
        </w:rPr>
        <w:t xml:space="preserve"> - </w:t>
      </w:r>
      <w:r w:rsidRPr="00913EBF">
        <w:rPr>
          <w:rFonts w:ascii="Times New Roman" w:eastAsia="Georgia" w:hAnsi="Times New Roman" w:cs="Times New Roman"/>
          <w:color w:val="1F4E79" w:themeColor="accent1" w:themeShade="80"/>
          <w:spacing w:val="1"/>
          <w:sz w:val="28"/>
          <w:szCs w:val="28"/>
        </w:rPr>
        <w:t xml:space="preserve">10. </w:t>
      </w:r>
      <w:r w:rsidRPr="00C30E5F">
        <w:rPr>
          <w:rFonts w:ascii="Times New Roman" w:eastAsia="Georgia" w:hAnsi="Times New Roman" w:cs="Times New Roman"/>
          <w:color w:val="1F4E79" w:themeColor="accent1" w:themeShade="80"/>
          <w:spacing w:val="1"/>
          <w:sz w:val="28"/>
          <w:szCs w:val="28"/>
        </w:rPr>
        <w:t xml:space="preserve">L’assetto italiano viola il principio di </w:t>
      </w:r>
      <w:r w:rsidRPr="00C30E5F">
        <w:rPr>
          <w:rFonts w:ascii="Times New Roman" w:eastAsia="Georgia" w:hAnsi="Times New Roman" w:cs="Times New Roman"/>
          <w:i/>
          <w:color w:val="1F4E79" w:themeColor="accent1" w:themeShade="80"/>
          <w:spacing w:val="1"/>
          <w:sz w:val="28"/>
          <w:szCs w:val="28"/>
        </w:rPr>
        <w:t>effettività</w:t>
      </w:r>
      <w:r w:rsidRPr="00C30E5F">
        <w:rPr>
          <w:rFonts w:ascii="Times New Roman" w:eastAsia="Georgia" w:hAnsi="Times New Roman" w:cs="Times New Roman"/>
          <w:color w:val="1F4E79" w:themeColor="accent1" w:themeShade="80"/>
          <w:spacing w:val="1"/>
          <w:sz w:val="28"/>
          <w:szCs w:val="28"/>
        </w:rPr>
        <w:t xml:space="preserve"> nella tutela giurisdizionale delle posizioni giuridiche protette dal diritto UE? L’equivoco della asserita necessità della verifica in concreto.</w:t>
      </w:r>
      <w:r w:rsidRPr="00913EBF">
        <w:rPr>
          <w:rFonts w:ascii="Times New Roman" w:eastAsia="Times New Roman" w:hAnsi="Times New Roman" w:cs="Times New Roman"/>
          <w:color w:val="1F4E79" w:themeColor="accent1" w:themeShade="80"/>
          <w:sz w:val="28"/>
          <w:szCs w:val="28"/>
          <w:bdr w:val="none" w:sz="0" w:space="0" w:color="auto" w:frame="1"/>
          <w:lang w:eastAsia="it-IT"/>
        </w:rPr>
        <w:t xml:space="preserve"> - 11. </w:t>
      </w:r>
      <w:r w:rsidRPr="00C30E5F">
        <w:rPr>
          <w:rFonts w:ascii="Times New Roman" w:eastAsia="Times New Roman" w:hAnsi="Times New Roman" w:cs="Times New Roman"/>
          <w:color w:val="1F4E79" w:themeColor="accent1" w:themeShade="80"/>
          <w:sz w:val="28"/>
          <w:szCs w:val="28"/>
          <w:bdr w:val="none" w:sz="0" w:space="0" w:color="auto" w:frame="1"/>
          <w:lang w:eastAsia="it-IT"/>
        </w:rPr>
        <w:t xml:space="preserve">La soluzione indicata dalla Costituzione italiana minerebbe la certezza del diritto. </w:t>
      </w:r>
      <w:r w:rsidRPr="00913EBF">
        <w:rPr>
          <w:rFonts w:ascii="Times New Roman" w:eastAsia="Times New Roman" w:hAnsi="Times New Roman" w:cs="Times New Roman"/>
          <w:color w:val="1F4E79" w:themeColor="accent1" w:themeShade="80"/>
          <w:sz w:val="28"/>
          <w:szCs w:val="28"/>
          <w:bdr w:val="none" w:sz="0" w:space="0" w:color="auto" w:frame="1"/>
          <w:lang w:eastAsia="it-IT"/>
        </w:rPr>
        <w:t xml:space="preserve">- 12. </w:t>
      </w:r>
      <w:r w:rsidRPr="00C30E5F">
        <w:rPr>
          <w:rFonts w:ascii="Times New Roman" w:eastAsia="Times New Roman" w:hAnsi="Times New Roman" w:cs="Times New Roman"/>
          <w:color w:val="1F4E79" w:themeColor="accent1" w:themeShade="80"/>
          <w:sz w:val="28"/>
          <w:szCs w:val="28"/>
          <w:bdr w:val="none" w:sz="0" w:space="0" w:color="auto" w:frame="1"/>
          <w:lang w:eastAsia="it-IT"/>
        </w:rPr>
        <w:t>L’oggetto della questione: l’illegittimità comunitaria dell’art. 111, comma ottavo, della Costituzione.</w:t>
      </w:r>
      <w:r w:rsidRPr="00913EBF">
        <w:rPr>
          <w:rFonts w:ascii="Times New Roman" w:eastAsia="Times New Roman" w:hAnsi="Times New Roman" w:cs="Times New Roman"/>
          <w:color w:val="1F4E79" w:themeColor="accent1" w:themeShade="80"/>
          <w:sz w:val="28"/>
          <w:szCs w:val="28"/>
          <w:bdr w:val="none" w:sz="0" w:space="0" w:color="auto" w:frame="1"/>
          <w:lang w:eastAsia="it-IT"/>
        </w:rPr>
        <w:t xml:space="preserve"> - 13. </w:t>
      </w:r>
      <w:r w:rsidRPr="00C30E5F">
        <w:rPr>
          <w:rFonts w:ascii="Times New Roman" w:eastAsia="Times New Roman" w:hAnsi="Times New Roman" w:cs="Times New Roman"/>
          <w:color w:val="1F4E79" w:themeColor="accent1" w:themeShade="80"/>
          <w:sz w:val="28"/>
          <w:szCs w:val="28"/>
          <w:bdr w:val="none" w:sz="0" w:space="0" w:color="auto" w:frame="1"/>
          <w:lang w:eastAsia="it-IT"/>
        </w:rPr>
        <w:t xml:space="preserve">Il potere della Cassazione giustificato dalla finalità di prevenzione delle violazioni del diritto dell’Unione europea prima del passaggio in giudicato della </w:t>
      </w:r>
      <w:r w:rsidRPr="00C30E5F">
        <w:rPr>
          <w:rFonts w:ascii="Times New Roman" w:eastAsia="Times New Roman" w:hAnsi="Times New Roman" w:cs="Times New Roman"/>
          <w:color w:val="1F4E79" w:themeColor="accent1" w:themeShade="80"/>
          <w:sz w:val="28"/>
          <w:szCs w:val="28"/>
          <w:bdr w:val="none" w:sz="0" w:space="0" w:color="auto" w:frame="1"/>
          <w:lang w:eastAsia="it-IT"/>
        </w:rPr>
        <w:lastRenderedPageBreak/>
        <w:t>sentenza e la responsabilità patrimoniale dello Stato</w:t>
      </w:r>
      <w:r w:rsidRPr="00913EBF">
        <w:rPr>
          <w:rFonts w:ascii="Times New Roman" w:eastAsia="Times New Roman" w:hAnsi="Times New Roman" w:cs="Times New Roman"/>
          <w:color w:val="1F4E79" w:themeColor="accent1" w:themeShade="80"/>
          <w:sz w:val="28"/>
          <w:szCs w:val="28"/>
          <w:bdr w:val="none" w:sz="0" w:space="0" w:color="auto" w:frame="1"/>
          <w:lang w:eastAsia="it-IT"/>
        </w:rPr>
        <w:t xml:space="preserve"> - 14. </w:t>
      </w:r>
      <w:r w:rsidRPr="00C30E5F">
        <w:rPr>
          <w:rFonts w:ascii="Times New Roman" w:eastAsia="Times New Roman" w:hAnsi="Times New Roman" w:cs="Times New Roman"/>
          <w:color w:val="1F4E79" w:themeColor="accent1" w:themeShade="80"/>
          <w:sz w:val="28"/>
          <w:szCs w:val="28"/>
          <w:bdr w:val="none" w:sz="0" w:space="0" w:color="auto" w:frame="1"/>
          <w:lang w:eastAsia="it-IT"/>
        </w:rPr>
        <w:t xml:space="preserve">Il problema della riparazione </w:t>
      </w:r>
      <w:r w:rsidRPr="00C30E5F">
        <w:rPr>
          <w:rFonts w:ascii="Times New Roman" w:eastAsia="Times New Roman" w:hAnsi="Times New Roman" w:cs="Times New Roman"/>
          <w:i/>
          <w:color w:val="1F4E79" w:themeColor="accent1" w:themeShade="80"/>
          <w:sz w:val="28"/>
          <w:szCs w:val="28"/>
          <w:bdr w:val="none" w:sz="0" w:space="0" w:color="auto" w:frame="1"/>
          <w:lang w:eastAsia="it-IT"/>
        </w:rPr>
        <w:t>in forma specifica</w:t>
      </w:r>
      <w:r w:rsidRPr="00C30E5F">
        <w:rPr>
          <w:rFonts w:ascii="Times New Roman" w:eastAsia="Times New Roman" w:hAnsi="Times New Roman" w:cs="Times New Roman"/>
          <w:color w:val="1F4E79" w:themeColor="accent1" w:themeShade="80"/>
          <w:sz w:val="28"/>
          <w:szCs w:val="28"/>
          <w:bdr w:val="none" w:sz="0" w:space="0" w:color="auto" w:frame="1"/>
          <w:lang w:eastAsia="it-IT"/>
        </w:rPr>
        <w:t xml:space="preserve"> delle accertate violazioni giurisdizionali del diritto UE: i limiti del sistema delineato dalla legge 117/1988 e la revocazione. Le possibili correzioni, a normazione vigente e nell’ottica di una ipotetica riforma.</w:t>
      </w:r>
      <w:r w:rsidRPr="00913EBF">
        <w:rPr>
          <w:rFonts w:ascii="Times New Roman" w:eastAsia="Times New Roman" w:hAnsi="Times New Roman" w:cs="Times New Roman"/>
          <w:color w:val="1F4E79" w:themeColor="accent1" w:themeShade="80"/>
          <w:sz w:val="28"/>
          <w:szCs w:val="28"/>
          <w:bdr w:val="none" w:sz="0" w:space="0" w:color="auto" w:frame="1"/>
          <w:lang w:eastAsia="it-IT"/>
        </w:rPr>
        <w:t xml:space="preserve"> - 15. </w:t>
      </w:r>
      <w:r w:rsidRPr="00C30E5F">
        <w:rPr>
          <w:rFonts w:ascii="Times New Roman" w:eastAsia="Times New Roman" w:hAnsi="Times New Roman" w:cs="Times New Roman"/>
          <w:color w:val="1F4E79" w:themeColor="accent1" w:themeShade="80"/>
          <w:sz w:val="28"/>
          <w:szCs w:val="28"/>
          <w:bdr w:val="none" w:sz="0" w:space="0" w:color="auto" w:frame="1"/>
          <w:lang w:eastAsia="it-IT"/>
        </w:rPr>
        <w:t>Il giudice nazionale unico della nomofilachia europea? Esiste una previsione UE in tal senso? Il favore per il controllo giurisdizionale diffuso sull’applicazione del diritto UE.</w:t>
      </w:r>
      <w:r w:rsidRPr="00913EBF">
        <w:rPr>
          <w:rFonts w:ascii="Times New Roman" w:eastAsia="Times New Roman" w:hAnsi="Times New Roman" w:cs="Times New Roman"/>
          <w:color w:val="1F4E79" w:themeColor="accent1" w:themeShade="80"/>
          <w:sz w:val="28"/>
          <w:szCs w:val="28"/>
          <w:bdr w:val="none" w:sz="0" w:space="0" w:color="auto" w:frame="1"/>
          <w:lang w:eastAsia="it-IT"/>
        </w:rPr>
        <w:t xml:space="preserve"> - 16. </w:t>
      </w:r>
      <w:r w:rsidRPr="00C30E5F">
        <w:rPr>
          <w:rFonts w:ascii="Times New Roman" w:eastAsia="Times New Roman" w:hAnsi="Times New Roman" w:cs="Times New Roman"/>
          <w:color w:val="1F4E79" w:themeColor="accent1" w:themeShade="80"/>
          <w:sz w:val="28"/>
          <w:szCs w:val="28"/>
          <w:bdr w:val="none" w:sz="0" w:space="0" w:color="auto" w:frame="1"/>
          <w:lang w:eastAsia="it-IT"/>
        </w:rPr>
        <w:t>La prospettiva europea della CEDU: Cassazione e Consiglio di Stato come Corti di ultima istanza, paritariamente garanti dell’attuazione nazionale del diritto convenzionale, abilitati a sollevare la questione pregiudiziale facoltativa davanti al giudice di Strasburgo.</w:t>
      </w:r>
      <w:r w:rsidRPr="00913EBF">
        <w:rPr>
          <w:rFonts w:ascii="Times New Roman" w:eastAsia="Times New Roman" w:hAnsi="Times New Roman" w:cs="Times New Roman"/>
          <w:color w:val="1F4E79" w:themeColor="accent1" w:themeShade="80"/>
          <w:sz w:val="28"/>
          <w:szCs w:val="28"/>
          <w:bdr w:val="none" w:sz="0" w:space="0" w:color="auto" w:frame="1"/>
          <w:lang w:eastAsia="it-IT"/>
        </w:rPr>
        <w:t xml:space="preserve"> - 17. </w:t>
      </w:r>
      <w:r w:rsidRPr="00C30E5F">
        <w:rPr>
          <w:rFonts w:ascii="Times New Roman" w:eastAsia="Times New Roman" w:hAnsi="Times New Roman" w:cs="Times New Roman"/>
          <w:color w:val="1F4E79" w:themeColor="accent1" w:themeShade="80"/>
          <w:sz w:val="28"/>
          <w:szCs w:val="28"/>
          <w:bdr w:val="none" w:sz="0" w:space="0" w:color="auto" w:frame="1"/>
          <w:lang w:eastAsia="it-IT"/>
        </w:rPr>
        <w:t>La seconda questione proposta dalla Cassazione: la violazione dell’obbligo di rinvio pregiudiziale e i suoi rimedi. L’applicabilità dell’art. 111, comma ottavo. Dubbi sull’autonomia del problema e della sua rilevanza nella precedente vicenda, in assenza di un motivo di ricorso sul punto.</w:t>
      </w:r>
      <w:r w:rsidRPr="00913EBF">
        <w:rPr>
          <w:rFonts w:ascii="Times New Roman" w:eastAsia="Times New Roman" w:hAnsi="Times New Roman" w:cs="Times New Roman"/>
          <w:color w:val="1F4E79" w:themeColor="accent1" w:themeShade="80"/>
          <w:sz w:val="28"/>
          <w:szCs w:val="28"/>
          <w:bdr w:val="none" w:sz="0" w:space="0" w:color="auto" w:frame="1"/>
          <w:lang w:eastAsia="it-IT"/>
        </w:rPr>
        <w:t xml:space="preserve"> - 18. </w:t>
      </w:r>
      <w:r w:rsidRPr="00C30E5F">
        <w:rPr>
          <w:rFonts w:ascii="Times New Roman" w:eastAsia="Times New Roman" w:hAnsi="Times New Roman" w:cs="Times New Roman"/>
          <w:color w:val="1F4E79" w:themeColor="accent1" w:themeShade="80"/>
          <w:sz w:val="28"/>
          <w:szCs w:val="28"/>
          <w:bdr w:val="none" w:sz="0" w:space="0" w:color="auto" w:frame="1"/>
          <w:lang w:eastAsia="it-IT"/>
        </w:rPr>
        <w:t>L’individuazione dei casi in cui si verifica la violazione dell’obbligo del rinvio. Le conseguenze secondo l’ordinamento comunitario e secondo il diritto interno. la difficile conciliazione logica tra la posizione di giudice di “ultima istanza” e la sindacabilità della decisione negativa davanti a un altro giudice.</w:t>
      </w:r>
      <w:r w:rsidRPr="00913EBF">
        <w:rPr>
          <w:rFonts w:ascii="Times New Roman" w:eastAsia="Times New Roman" w:hAnsi="Times New Roman" w:cs="Times New Roman"/>
          <w:color w:val="1F4E79" w:themeColor="accent1" w:themeShade="80"/>
          <w:sz w:val="28"/>
          <w:szCs w:val="28"/>
          <w:bdr w:val="none" w:sz="0" w:space="0" w:color="auto" w:frame="1"/>
          <w:lang w:eastAsia="it-IT"/>
        </w:rPr>
        <w:t xml:space="preserve"> - 19. </w:t>
      </w:r>
      <w:r w:rsidRPr="00C30E5F">
        <w:rPr>
          <w:rFonts w:ascii="Times New Roman" w:eastAsia="Times New Roman" w:hAnsi="Times New Roman" w:cs="Times New Roman"/>
          <w:color w:val="1F4E79" w:themeColor="accent1" w:themeShade="80"/>
          <w:sz w:val="28"/>
          <w:szCs w:val="28"/>
          <w:bdr w:val="none" w:sz="0" w:space="0" w:color="auto" w:frame="1"/>
          <w:lang w:eastAsia="it-IT"/>
        </w:rPr>
        <w:t xml:space="preserve">La ricerca della delimitazione dei casi di violazione dell’obbligo di rinvio pregiudiziale. I possibili rimedi: revocazione per errore sul “fatto processuale”; la tesi del ricorso per violazione dei limiti della giurisdizione nazionale: la natura meramente procedimentale del vizio. </w:t>
      </w:r>
      <w:r w:rsidRPr="00913EBF">
        <w:rPr>
          <w:rFonts w:ascii="Times New Roman" w:eastAsia="Times New Roman" w:hAnsi="Times New Roman" w:cs="Times New Roman"/>
          <w:color w:val="1F4E79" w:themeColor="accent1" w:themeShade="80"/>
          <w:sz w:val="28"/>
          <w:szCs w:val="28"/>
          <w:bdr w:val="none" w:sz="0" w:space="0" w:color="auto" w:frame="1"/>
          <w:lang w:eastAsia="it-IT"/>
        </w:rPr>
        <w:t xml:space="preserve"> - 20. </w:t>
      </w:r>
      <w:r w:rsidRPr="00C30E5F">
        <w:rPr>
          <w:rFonts w:ascii="Times New Roman" w:eastAsia="Times New Roman" w:hAnsi="Times New Roman" w:cs="Times New Roman"/>
          <w:color w:val="1F4E79" w:themeColor="accent1" w:themeShade="80"/>
          <w:sz w:val="28"/>
          <w:szCs w:val="28"/>
          <w:bdr w:val="none" w:sz="0" w:space="0" w:color="auto" w:frame="1"/>
          <w:lang w:eastAsia="it-IT"/>
        </w:rPr>
        <w:t>Il terzo quesito: il problema della legittimazione al ricorso e la complessità delle diverse fattispecie sostanziali, anche in relazione allo sviluppo processuale del contenzioso concreto.</w:t>
      </w:r>
      <w:r w:rsidRPr="00913EBF">
        <w:rPr>
          <w:rFonts w:ascii="Times New Roman" w:eastAsia="Times New Roman" w:hAnsi="Times New Roman" w:cs="Times New Roman"/>
          <w:color w:val="1F4E79" w:themeColor="accent1" w:themeShade="80"/>
          <w:sz w:val="28"/>
          <w:szCs w:val="28"/>
          <w:bdr w:val="none" w:sz="0" w:space="0" w:color="auto" w:frame="1"/>
          <w:lang w:eastAsia="it-IT"/>
        </w:rPr>
        <w:t xml:space="preserve"> - 21. </w:t>
      </w:r>
      <w:r w:rsidRPr="00C30E5F">
        <w:rPr>
          <w:rFonts w:ascii="Times New Roman" w:eastAsia="Times New Roman" w:hAnsi="Times New Roman" w:cs="Times New Roman"/>
          <w:color w:val="1F4E79" w:themeColor="accent1" w:themeShade="80"/>
          <w:sz w:val="28"/>
          <w:szCs w:val="28"/>
          <w:bdr w:val="none" w:sz="0" w:space="0" w:color="auto" w:frame="1"/>
          <w:lang w:eastAsia="it-IT"/>
        </w:rPr>
        <w:t>La riapertura del dibattito sull’ambito del sindacato della Cassazione sulle sentenze del Consiglio di Stato.</w:t>
      </w:r>
    </w:p>
    <w:p w:rsidR="009A732F" w:rsidRPr="00B208E4" w:rsidRDefault="009A732F" w:rsidP="00981997">
      <w:pPr>
        <w:shd w:val="clear" w:color="auto" w:fill="FFFFFF"/>
        <w:tabs>
          <w:tab w:val="left" w:pos="0"/>
        </w:tabs>
        <w:spacing w:after="120" w:line="240" w:lineRule="auto"/>
        <w:jc w:val="both"/>
        <w:textAlignment w:val="baseline"/>
        <w:rPr>
          <w:rFonts w:ascii="Calibri" w:eastAsia="Times New Roman" w:hAnsi="Calibri" w:cs="Segoe UI"/>
          <w:color w:val="1F4E79" w:themeColor="accent1" w:themeShade="80"/>
          <w:sz w:val="28"/>
          <w:szCs w:val="28"/>
          <w:lang w:eastAsia="it-IT"/>
        </w:rPr>
      </w:pPr>
    </w:p>
    <w:p w:rsidR="00585F14" w:rsidRPr="00B208E4" w:rsidRDefault="000E0112" w:rsidP="00FB7048">
      <w:pPr>
        <w:numPr>
          <w:ilvl w:val="0"/>
          <w:numId w:val="1"/>
        </w:numPr>
        <w:shd w:val="clear" w:color="auto" w:fill="FFFFFF"/>
        <w:tabs>
          <w:tab w:val="left" w:pos="0"/>
        </w:tabs>
        <w:spacing w:after="120" w:line="240" w:lineRule="auto"/>
        <w:ind w:left="0" w:firstLine="709"/>
        <w:jc w:val="both"/>
        <w:textAlignment w:val="baseline"/>
        <w:rPr>
          <w:rFonts w:ascii="Calibri" w:eastAsia="Times New Roman" w:hAnsi="Calibri" w:cs="Segoe UI"/>
          <w:smallCaps/>
          <w:color w:val="1F4E79" w:themeColor="accent1" w:themeShade="80"/>
          <w:sz w:val="28"/>
          <w:szCs w:val="28"/>
          <w:lang w:eastAsia="it-IT"/>
        </w:rPr>
      </w:pPr>
      <w:r w:rsidRPr="00B208E4">
        <w:rPr>
          <w:rFonts w:ascii="Tahoma" w:eastAsia="Times New Roman" w:hAnsi="Tahoma" w:cs="Tahoma"/>
          <w:smallCaps/>
          <w:color w:val="1F4E79" w:themeColor="accent1" w:themeShade="80"/>
          <w:sz w:val="28"/>
          <w:szCs w:val="28"/>
          <w:bdr w:val="none" w:sz="0" w:space="0" w:color="auto" w:frame="1"/>
          <w:lang w:eastAsia="it-IT"/>
        </w:rPr>
        <w:t>Il ricorso per cassazione avverso le decisioni del Consiglio di Stato e l’art. 1</w:t>
      </w:r>
      <w:r w:rsidR="00BF1B41">
        <w:rPr>
          <w:rFonts w:ascii="Tahoma" w:eastAsia="Times New Roman" w:hAnsi="Tahoma" w:cs="Tahoma"/>
          <w:smallCaps/>
          <w:color w:val="1F4E79" w:themeColor="accent1" w:themeShade="80"/>
          <w:sz w:val="28"/>
          <w:szCs w:val="28"/>
          <w:bdr w:val="none" w:sz="0" w:space="0" w:color="auto" w:frame="1"/>
          <w:lang w:eastAsia="it-IT"/>
        </w:rPr>
        <w:t>1</w:t>
      </w:r>
      <w:r w:rsidRPr="00B208E4">
        <w:rPr>
          <w:rFonts w:ascii="Tahoma" w:eastAsia="Times New Roman" w:hAnsi="Tahoma" w:cs="Tahoma"/>
          <w:smallCaps/>
          <w:color w:val="1F4E79" w:themeColor="accent1" w:themeShade="80"/>
          <w:sz w:val="28"/>
          <w:szCs w:val="28"/>
          <w:bdr w:val="none" w:sz="0" w:space="0" w:color="auto" w:frame="1"/>
          <w:lang w:eastAsia="it-IT"/>
        </w:rPr>
        <w:t>1, comma ottavo</w:t>
      </w:r>
      <w:r w:rsidR="00C938C6">
        <w:rPr>
          <w:rFonts w:ascii="Tahoma" w:eastAsia="Times New Roman" w:hAnsi="Tahoma" w:cs="Tahoma"/>
          <w:smallCaps/>
          <w:color w:val="1F4E79" w:themeColor="accent1" w:themeShade="80"/>
          <w:sz w:val="28"/>
          <w:szCs w:val="28"/>
          <w:bdr w:val="none" w:sz="0" w:space="0" w:color="auto" w:frame="1"/>
          <w:lang w:eastAsia="it-IT"/>
        </w:rPr>
        <w:t>,</w:t>
      </w:r>
      <w:r w:rsidRPr="00B208E4">
        <w:rPr>
          <w:rFonts w:ascii="Tahoma" w:eastAsia="Times New Roman" w:hAnsi="Tahoma" w:cs="Tahoma"/>
          <w:smallCaps/>
          <w:color w:val="1F4E79" w:themeColor="accent1" w:themeShade="80"/>
          <w:sz w:val="28"/>
          <w:szCs w:val="28"/>
          <w:bdr w:val="none" w:sz="0" w:space="0" w:color="auto" w:frame="1"/>
          <w:lang w:eastAsia="it-IT"/>
        </w:rPr>
        <w:t xml:space="preserve"> della Costituzione</w:t>
      </w:r>
      <w:r w:rsidR="00493241" w:rsidRPr="00B208E4">
        <w:rPr>
          <w:rFonts w:ascii="Tahoma" w:eastAsia="Times New Roman" w:hAnsi="Tahoma" w:cs="Tahoma"/>
          <w:smallCaps/>
          <w:color w:val="1F4E79" w:themeColor="accent1" w:themeShade="80"/>
          <w:sz w:val="28"/>
          <w:szCs w:val="28"/>
          <w:bdr w:val="none" w:sz="0" w:space="0" w:color="auto" w:frame="1"/>
          <w:lang w:eastAsia="it-IT"/>
        </w:rPr>
        <w:t>. Un punto</w:t>
      </w:r>
      <w:r w:rsidR="00930D6C">
        <w:rPr>
          <w:rFonts w:ascii="Tahoma" w:eastAsia="Times New Roman" w:hAnsi="Tahoma" w:cs="Tahoma"/>
          <w:smallCaps/>
          <w:color w:val="1F4E79" w:themeColor="accent1" w:themeShade="80"/>
          <w:sz w:val="28"/>
          <w:szCs w:val="28"/>
          <w:bdr w:val="none" w:sz="0" w:space="0" w:color="auto" w:frame="1"/>
          <w:lang w:eastAsia="it-IT"/>
        </w:rPr>
        <w:t xml:space="preserve"> fermo</w:t>
      </w:r>
      <w:r w:rsidR="00493241" w:rsidRPr="00B208E4">
        <w:rPr>
          <w:rFonts w:ascii="Tahoma" w:eastAsia="Times New Roman" w:hAnsi="Tahoma" w:cs="Tahoma"/>
          <w:smallCaps/>
          <w:color w:val="1F4E79" w:themeColor="accent1" w:themeShade="80"/>
          <w:sz w:val="28"/>
          <w:szCs w:val="28"/>
          <w:bdr w:val="none" w:sz="0" w:space="0" w:color="auto" w:frame="1"/>
          <w:lang w:eastAsia="it-IT"/>
        </w:rPr>
        <w:t>: la decisio</w:t>
      </w:r>
      <w:r w:rsidR="00CE326D" w:rsidRPr="00B208E4">
        <w:rPr>
          <w:rFonts w:ascii="Tahoma" w:eastAsia="Times New Roman" w:hAnsi="Tahoma" w:cs="Tahoma"/>
          <w:smallCaps/>
          <w:color w:val="1F4E79" w:themeColor="accent1" w:themeShade="80"/>
          <w:sz w:val="28"/>
          <w:szCs w:val="28"/>
          <w:bdr w:val="none" w:sz="0" w:space="0" w:color="auto" w:frame="1"/>
          <w:lang w:eastAsia="it-IT"/>
        </w:rPr>
        <w:t xml:space="preserve">ne della Corte costituzionale </w:t>
      </w:r>
      <w:r w:rsidR="00D57D1F" w:rsidRPr="00B208E4">
        <w:rPr>
          <w:rFonts w:ascii="Tahoma" w:eastAsia="Times New Roman" w:hAnsi="Tahoma" w:cs="Tahoma"/>
          <w:smallCaps/>
          <w:color w:val="1F4E79" w:themeColor="accent1" w:themeShade="80"/>
          <w:sz w:val="28"/>
          <w:szCs w:val="28"/>
          <w:bdr w:val="none" w:sz="0" w:space="0" w:color="auto" w:frame="1"/>
          <w:lang w:eastAsia="it-IT"/>
        </w:rPr>
        <w:t xml:space="preserve">n. 6 </w:t>
      </w:r>
      <w:r w:rsidR="00CE326D" w:rsidRPr="00B208E4">
        <w:rPr>
          <w:rFonts w:ascii="Tahoma" w:eastAsia="Times New Roman" w:hAnsi="Tahoma" w:cs="Tahoma"/>
          <w:smallCaps/>
          <w:color w:val="1F4E79" w:themeColor="accent1" w:themeShade="80"/>
          <w:sz w:val="28"/>
          <w:szCs w:val="28"/>
          <w:bdr w:val="none" w:sz="0" w:space="0" w:color="auto" w:frame="1"/>
          <w:lang w:eastAsia="it-IT"/>
        </w:rPr>
        <w:t>del 2018.</w:t>
      </w:r>
      <w:r w:rsidR="00D57D1F" w:rsidRPr="00B208E4">
        <w:rPr>
          <w:rFonts w:ascii="Tahoma" w:eastAsia="Times New Roman" w:hAnsi="Tahoma" w:cs="Tahoma"/>
          <w:smallCaps/>
          <w:color w:val="1F4E79" w:themeColor="accent1" w:themeShade="80"/>
          <w:sz w:val="28"/>
          <w:szCs w:val="28"/>
          <w:bdr w:val="none" w:sz="0" w:space="0" w:color="auto" w:frame="1"/>
          <w:lang w:eastAsia="it-IT"/>
        </w:rPr>
        <w:t xml:space="preserve"> </w:t>
      </w:r>
      <w:r w:rsidR="00177C68" w:rsidRPr="00B208E4">
        <w:rPr>
          <w:rFonts w:ascii="Tahoma" w:eastAsia="Times New Roman" w:hAnsi="Tahoma" w:cs="Tahoma"/>
          <w:smallCaps/>
          <w:color w:val="1F4E79" w:themeColor="accent1" w:themeShade="80"/>
          <w:sz w:val="28"/>
          <w:szCs w:val="28"/>
          <w:bdr w:val="none" w:sz="0" w:space="0" w:color="auto" w:frame="1"/>
          <w:lang w:eastAsia="it-IT"/>
        </w:rPr>
        <w:t>Il concetto di “</w:t>
      </w:r>
      <w:r w:rsidR="00177C68" w:rsidRPr="00C938C6">
        <w:rPr>
          <w:rFonts w:ascii="Tahoma" w:eastAsia="Times New Roman" w:hAnsi="Tahoma" w:cs="Tahoma"/>
          <w:i/>
          <w:smallCaps/>
          <w:color w:val="1F4E79" w:themeColor="accent1" w:themeShade="80"/>
          <w:sz w:val="28"/>
          <w:szCs w:val="28"/>
          <w:bdr w:val="none" w:sz="0" w:space="0" w:color="auto" w:frame="1"/>
          <w:lang w:eastAsia="it-IT"/>
        </w:rPr>
        <w:t xml:space="preserve">motivi inerenti </w:t>
      </w:r>
      <w:r w:rsidR="005820B1">
        <w:rPr>
          <w:rFonts w:ascii="Tahoma" w:eastAsia="Times New Roman" w:hAnsi="Tahoma" w:cs="Tahoma"/>
          <w:i/>
          <w:smallCaps/>
          <w:color w:val="1F4E79" w:themeColor="accent1" w:themeShade="80"/>
          <w:sz w:val="28"/>
          <w:szCs w:val="28"/>
          <w:bdr w:val="none" w:sz="0" w:space="0" w:color="auto" w:frame="1"/>
          <w:lang w:eastAsia="it-IT"/>
        </w:rPr>
        <w:t>al</w:t>
      </w:r>
      <w:r w:rsidR="00177C68" w:rsidRPr="00C938C6">
        <w:rPr>
          <w:rFonts w:ascii="Tahoma" w:eastAsia="Times New Roman" w:hAnsi="Tahoma" w:cs="Tahoma"/>
          <w:i/>
          <w:smallCaps/>
          <w:color w:val="1F4E79" w:themeColor="accent1" w:themeShade="80"/>
          <w:sz w:val="28"/>
          <w:szCs w:val="28"/>
          <w:bdr w:val="none" w:sz="0" w:space="0" w:color="auto" w:frame="1"/>
          <w:lang w:eastAsia="it-IT"/>
        </w:rPr>
        <w:t xml:space="preserve">la </w:t>
      </w:r>
      <w:r w:rsidR="00C938C6" w:rsidRPr="00C938C6">
        <w:rPr>
          <w:rFonts w:ascii="Tahoma" w:eastAsia="Times New Roman" w:hAnsi="Tahoma" w:cs="Tahoma"/>
          <w:i/>
          <w:smallCaps/>
          <w:color w:val="1F4E79" w:themeColor="accent1" w:themeShade="80"/>
          <w:sz w:val="28"/>
          <w:szCs w:val="28"/>
          <w:bdr w:val="none" w:sz="0" w:space="0" w:color="auto" w:frame="1"/>
          <w:lang w:eastAsia="it-IT"/>
        </w:rPr>
        <w:t>giurisdizione</w:t>
      </w:r>
      <w:r w:rsidR="00177C68" w:rsidRPr="00B208E4">
        <w:rPr>
          <w:rFonts w:ascii="Tahoma" w:eastAsia="Times New Roman" w:hAnsi="Tahoma" w:cs="Tahoma"/>
          <w:smallCaps/>
          <w:color w:val="1F4E79" w:themeColor="accent1" w:themeShade="80"/>
          <w:sz w:val="28"/>
          <w:szCs w:val="28"/>
          <w:bdr w:val="none" w:sz="0" w:space="0" w:color="auto" w:frame="1"/>
          <w:lang w:eastAsia="it-IT"/>
        </w:rPr>
        <w:t>” e l</w:t>
      </w:r>
      <w:r w:rsidR="00D57D1F" w:rsidRPr="00B208E4">
        <w:rPr>
          <w:rFonts w:ascii="Tahoma" w:eastAsia="Times New Roman" w:hAnsi="Tahoma" w:cs="Tahoma"/>
          <w:smallCaps/>
          <w:color w:val="1F4E79" w:themeColor="accent1" w:themeShade="80"/>
          <w:sz w:val="28"/>
          <w:szCs w:val="28"/>
          <w:bdr w:val="none" w:sz="0" w:space="0" w:color="auto" w:frame="1"/>
          <w:lang w:eastAsia="it-IT"/>
        </w:rPr>
        <w:t>’applicazione uniforme delle Sezioni Unite.</w:t>
      </w:r>
    </w:p>
    <w:p w:rsidR="0018562D" w:rsidRPr="00B208E4" w:rsidRDefault="00C32F5C"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L’ordinanza 18 settembre 2020 n. 19598 delle </w:t>
      </w:r>
      <w:r w:rsidR="0098436C" w:rsidRPr="00B208E4">
        <w:rPr>
          <w:rFonts w:ascii="Calibri" w:eastAsia="Times New Roman" w:hAnsi="Calibri" w:cs="Segoe UI"/>
          <w:color w:val="1F4E79" w:themeColor="accent1" w:themeShade="80"/>
          <w:sz w:val="28"/>
          <w:szCs w:val="28"/>
          <w:lang w:eastAsia="it-IT"/>
        </w:rPr>
        <w:t xml:space="preserve">Sezioni Unite </w:t>
      </w:r>
      <w:r w:rsidRPr="00B208E4">
        <w:rPr>
          <w:rFonts w:ascii="Calibri" w:eastAsia="Times New Roman" w:hAnsi="Calibri" w:cs="Segoe UI"/>
          <w:color w:val="1F4E79" w:themeColor="accent1" w:themeShade="80"/>
          <w:sz w:val="28"/>
          <w:szCs w:val="28"/>
          <w:lang w:eastAsia="it-IT"/>
        </w:rPr>
        <w:t xml:space="preserve">ha bruscamente acceso i riflettori sul tema dell’interpretazione </w:t>
      </w:r>
      <w:r w:rsidR="00A57465" w:rsidRPr="00B208E4">
        <w:rPr>
          <w:rFonts w:ascii="Calibri" w:eastAsia="Times New Roman" w:hAnsi="Calibri" w:cs="Segoe UI"/>
          <w:color w:val="1F4E79" w:themeColor="accent1" w:themeShade="80"/>
          <w:sz w:val="28"/>
          <w:szCs w:val="28"/>
          <w:lang w:eastAsia="it-IT"/>
        </w:rPr>
        <w:t>dell’art. 111, comma ottavo</w:t>
      </w:r>
      <w:r w:rsidR="00BF1B41">
        <w:rPr>
          <w:rFonts w:ascii="Calibri" w:eastAsia="Times New Roman" w:hAnsi="Calibri" w:cs="Segoe UI"/>
          <w:color w:val="1F4E79" w:themeColor="accent1" w:themeShade="80"/>
          <w:sz w:val="28"/>
          <w:szCs w:val="28"/>
          <w:lang w:eastAsia="it-IT"/>
        </w:rPr>
        <w:t>,</w:t>
      </w:r>
      <w:r w:rsidR="00A57465" w:rsidRPr="00B208E4">
        <w:rPr>
          <w:rFonts w:ascii="Calibri" w:eastAsia="Times New Roman" w:hAnsi="Calibri" w:cs="Segoe UI"/>
          <w:color w:val="1F4E79" w:themeColor="accent1" w:themeShade="80"/>
          <w:sz w:val="28"/>
          <w:szCs w:val="28"/>
          <w:lang w:eastAsia="it-IT"/>
        </w:rPr>
        <w:t xml:space="preserve"> della Costituzione</w:t>
      </w:r>
      <w:r w:rsidR="00177C68" w:rsidRPr="00B208E4">
        <w:rPr>
          <w:rFonts w:ascii="Calibri" w:eastAsia="Times New Roman" w:hAnsi="Calibri" w:cs="Segoe UI"/>
          <w:color w:val="1F4E79" w:themeColor="accent1" w:themeShade="80"/>
          <w:sz w:val="28"/>
          <w:szCs w:val="28"/>
          <w:lang w:eastAsia="it-IT"/>
        </w:rPr>
        <w:t>: “</w:t>
      </w:r>
      <w:r w:rsidR="00177C68" w:rsidRPr="00B208E4">
        <w:rPr>
          <w:rFonts w:ascii="Calibri" w:eastAsia="Times New Roman" w:hAnsi="Calibri" w:cs="Segoe UI"/>
          <w:i/>
          <w:color w:val="1F4E79" w:themeColor="accent1" w:themeShade="80"/>
          <w:sz w:val="28"/>
          <w:szCs w:val="28"/>
          <w:lang w:eastAsia="it-IT"/>
        </w:rPr>
        <w:t>Contro le decisioni del Consiglio di Stato e della Corte dei conti il ricorso in Cassazione è ammesso per i soli motivi inerenti alla giurisdizione</w:t>
      </w:r>
      <w:r w:rsidR="00177C68" w:rsidRPr="00B208E4">
        <w:rPr>
          <w:rFonts w:ascii="Calibri" w:eastAsia="Times New Roman" w:hAnsi="Calibri" w:cs="Segoe UI"/>
          <w:color w:val="1F4E79" w:themeColor="accent1" w:themeShade="80"/>
          <w:sz w:val="28"/>
          <w:szCs w:val="28"/>
          <w:lang w:eastAsia="it-IT"/>
        </w:rPr>
        <w:t>”</w:t>
      </w:r>
      <w:r w:rsidR="00CB2E82" w:rsidRPr="00B208E4">
        <w:rPr>
          <w:rStyle w:val="Rimandonotaapidipagina"/>
          <w:rFonts w:ascii="Calibri" w:eastAsia="Times New Roman" w:hAnsi="Calibri" w:cs="Segoe UI"/>
          <w:color w:val="1F4E79" w:themeColor="accent1" w:themeShade="80"/>
          <w:sz w:val="28"/>
          <w:szCs w:val="28"/>
          <w:lang w:eastAsia="it-IT"/>
        </w:rPr>
        <w:footnoteReference w:id="2"/>
      </w:r>
      <w:r w:rsidR="00BF1B41">
        <w:rPr>
          <w:rFonts w:ascii="Calibri" w:eastAsia="Times New Roman" w:hAnsi="Calibri" w:cs="Segoe UI"/>
          <w:color w:val="1F4E79" w:themeColor="accent1" w:themeShade="80"/>
          <w:sz w:val="28"/>
          <w:szCs w:val="28"/>
          <w:lang w:eastAsia="it-IT"/>
        </w:rPr>
        <w:t>.</w:t>
      </w:r>
    </w:p>
    <w:p w:rsidR="00177C68" w:rsidRPr="00B208E4" w:rsidRDefault="00A23E5A"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lastRenderedPageBreak/>
        <w:t>La questione</w:t>
      </w:r>
      <w:r w:rsidR="00BF1B41">
        <w:rPr>
          <w:rFonts w:ascii="Calibri" w:eastAsia="Times New Roman" w:hAnsi="Calibri" w:cs="Segoe UI"/>
          <w:color w:val="1F4E79" w:themeColor="accent1" w:themeShade="80"/>
          <w:sz w:val="28"/>
          <w:szCs w:val="28"/>
          <w:lang w:eastAsia="it-IT"/>
        </w:rPr>
        <w:t>, seppure di evidente complessità</w:t>
      </w:r>
      <w:r w:rsidR="00BF1B41">
        <w:rPr>
          <w:rStyle w:val="Rimandonotaapidipagina"/>
          <w:rFonts w:ascii="Calibri" w:eastAsia="Times New Roman" w:hAnsi="Calibri" w:cs="Segoe UI"/>
          <w:color w:val="1F4E79" w:themeColor="accent1" w:themeShade="80"/>
          <w:sz w:val="28"/>
          <w:szCs w:val="28"/>
          <w:lang w:eastAsia="it-IT"/>
        </w:rPr>
        <w:footnoteReference w:id="3"/>
      </w:r>
      <w:r w:rsidR="00BF1B41">
        <w:rPr>
          <w:rFonts w:ascii="Calibri" w:eastAsia="Times New Roman" w:hAnsi="Calibri" w:cs="Segoe UI"/>
          <w:color w:val="1F4E79" w:themeColor="accent1" w:themeShade="80"/>
          <w:sz w:val="28"/>
          <w:szCs w:val="28"/>
          <w:lang w:eastAsia="it-IT"/>
        </w:rPr>
        <w:t>,</w:t>
      </w:r>
      <w:r w:rsidRPr="00B208E4">
        <w:rPr>
          <w:rFonts w:ascii="Calibri" w:eastAsia="Times New Roman" w:hAnsi="Calibri" w:cs="Segoe UI"/>
          <w:color w:val="1F4E79" w:themeColor="accent1" w:themeShade="80"/>
          <w:sz w:val="28"/>
          <w:szCs w:val="28"/>
          <w:lang w:eastAsia="it-IT"/>
        </w:rPr>
        <w:t xml:space="preserve"> sembrava </w:t>
      </w:r>
      <w:r w:rsidR="00960000" w:rsidRPr="00B208E4">
        <w:rPr>
          <w:rFonts w:ascii="Calibri" w:eastAsia="Times New Roman" w:hAnsi="Calibri" w:cs="Segoe UI"/>
          <w:color w:val="1F4E79" w:themeColor="accent1" w:themeShade="80"/>
          <w:sz w:val="28"/>
          <w:szCs w:val="28"/>
          <w:lang w:eastAsia="it-IT"/>
        </w:rPr>
        <w:t xml:space="preserve">definitivamente </w:t>
      </w:r>
      <w:r w:rsidRPr="00B208E4">
        <w:rPr>
          <w:rFonts w:ascii="Calibri" w:eastAsia="Times New Roman" w:hAnsi="Calibri" w:cs="Segoe UI"/>
          <w:color w:val="1F4E79" w:themeColor="accent1" w:themeShade="80"/>
          <w:sz w:val="28"/>
          <w:szCs w:val="28"/>
          <w:lang w:eastAsia="it-IT"/>
        </w:rPr>
        <w:t>chiusa</w:t>
      </w:r>
      <w:r w:rsidR="00930D6C">
        <w:rPr>
          <w:rFonts w:ascii="Calibri" w:eastAsia="Times New Roman" w:hAnsi="Calibri" w:cs="Segoe UI"/>
          <w:color w:val="1F4E79" w:themeColor="accent1" w:themeShade="80"/>
          <w:sz w:val="28"/>
          <w:szCs w:val="28"/>
          <w:lang w:eastAsia="it-IT"/>
        </w:rPr>
        <w:t>, in modo coerente e lineare,</w:t>
      </w:r>
      <w:r w:rsidRPr="00B208E4">
        <w:rPr>
          <w:rFonts w:ascii="Calibri" w:eastAsia="Times New Roman" w:hAnsi="Calibri" w:cs="Segoe UI"/>
          <w:color w:val="1F4E79" w:themeColor="accent1" w:themeShade="80"/>
          <w:sz w:val="28"/>
          <w:szCs w:val="28"/>
          <w:lang w:eastAsia="it-IT"/>
        </w:rPr>
        <w:t xml:space="preserve"> dopo l’intervento chiarificatore della </w:t>
      </w:r>
      <w:r w:rsidR="00BF1B41">
        <w:rPr>
          <w:rFonts w:ascii="Calibri" w:eastAsia="Times New Roman" w:hAnsi="Calibri" w:cs="Segoe UI"/>
          <w:color w:val="1F4E79" w:themeColor="accent1" w:themeShade="80"/>
          <w:sz w:val="28"/>
          <w:szCs w:val="28"/>
          <w:lang w:eastAsia="it-IT"/>
        </w:rPr>
        <w:t xml:space="preserve">sentenza della </w:t>
      </w:r>
      <w:r w:rsidRPr="00B208E4">
        <w:rPr>
          <w:rFonts w:ascii="Calibri" w:eastAsia="Times New Roman" w:hAnsi="Calibri" w:cs="Segoe UI"/>
          <w:color w:val="1F4E79" w:themeColor="accent1" w:themeShade="80"/>
          <w:sz w:val="28"/>
          <w:szCs w:val="28"/>
          <w:lang w:eastAsia="it-IT"/>
        </w:rPr>
        <w:t xml:space="preserve">Corte Costituzionale </w:t>
      </w:r>
      <w:r w:rsidR="003561F0" w:rsidRPr="00B208E4">
        <w:rPr>
          <w:rFonts w:ascii="Calibri" w:eastAsia="Times New Roman" w:hAnsi="Calibri" w:cs="Segoe UI"/>
          <w:color w:val="1F4E79" w:themeColor="accent1" w:themeShade="80"/>
          <w:sz w:val="28"/>
          <w:szCs w:val="28"/>
          <w:lang w:eastAsia="it-IT"/>
        </w:rPr>
        <w:t xml:space="preserve">18 gennaio </w:t>
      </w:r>
      <w:r w:rsidRPr="00B208E4">
        <w:rPr>
          <w:rFonts w:ascii="Calibri" w:eastAsia="Times New Roman" w:hAnsi="Calibri" w:cs="Segoe UI"/>
          <w:color w:val="1F4E79" w:themeColor="accent1" w:themeShade="80"/>
          <w:sz w:val="28"/>
          <w:szCs w:val="28"/>
          <w:lang w:eastAsia="it-IT"/>
        </w:rPr>
        <w:t>2018</w:t>
      </w:r>
      <w:r w:rsidR="003561F0" w:rsidRPr="00B208E4">
        <w:rPr>
          <w:rFonts w:ascii="Calibri" w:eastAsia="Times New Roman" w:hAnsi="Calibri" w:cs="Segoe UI"/>
          <w:color w:val="1F4E79" w:themeColor="accent1" w:themeShade="80"/>
          <w:sz w:val="28"/>
          <w:szCs w:val="28"/>
          <w:lang w:eastAsia="it-IT"/>
        </w:rPr>
        <w:t xml:space="preserve"> n. 6</w:t>
      </w:r>
      <w:r w:rsidR="005820B1">
        <w:rPr>
          <w:rFonts w:ascii="Calibri" w:eastAsia="Times New Roman" w:hAnsi="Calibri" w:cs="Segoe UI"/>
          <w:color w:val="1F4E79" w:themeColor="accent1" w:themeShade="80"/>
          <w:sz w:val="28"/>
          <w:szCs w:val="28"/>
          <w:lang w:eastAsia="it-IT"/>
        </w:rPr>
        <w:t>.</w:t>
      </w:r>
      <w:r w:rsidRPr="00B208E4">
        <w:rPr>
          <w:rFonts w:ascii="Calibri" w:eastAsia="Times New Roman" w:hAnsi="Calibri" w:cs="Segoe UI"/>
          <w:color w:val="1F4E79" w:themeColor="accent1" w:themeShade="80"/>
          <w:sz w:val="28"/>
          <w:szCs w:val="28"/>
          <w:lang w:eastAsia="it-IT"/>
        </w:rPr>
        <w:t xml:space="preserve"> </w:t>
      </w:r>
      <w:r w:rsidR="005820B1">
        <w:rPr>
          <w:rFonts w:ascii="Calibri" w:eastAsia="Times New Roman" w:hAnsi="Calibri" w:cs="Segoe UI"/>
          <w:color w:val="1F4E79" w:themeColor="accent1" w:themeShade="80"/>
          <w:sz w:val="28"/>
          <w:szCs w:val="28"/>
          <w:lang w:eastAsia="it-IT"/>
        </w:rPr>
        <w:t xml:space="preserve">In tale occasione </w:t>
      </w:r>
      <w:r w:rsidRPr="00B208E4">
        <w:rPr>
          <w:rFonts w:ascii="Calibri" w:eastAsia="Times New Roman" w:hAnsi="Calibri" w:cs="Segoe UI"/>
          <w:color w:val="1F4E79" w:themeColor="accent1" w:themeShade="80"/>
          <w:sz w:val="28"/>
          <w:szCs w:val="28"/>
          <w:lang w:eastAsia="it-IT"/>
        </w:rPr>
        <w:t xml:space="preserve">la Consulta </w:t>
      </w:r>
      <w:r w:rsidR="006A7DD1">
        <w:rPr>
          <w:rFonts w:ascii="Calibri" w:eastAsia="Times New Roman" w:hAnsi="Calibri" w:cs="Segoe UI"/>
          <w:color w:val="1F4E79" w:themeColor="accent1" w:themeShade="80"/>
          <w:sz w:val="28"/>
          <w:szCs w:val="28"/>
          <w:lang w:eastAsia="it-IT"/>
        </w:rPr>
        <w:t>h</w:t>
      </w:r>
      <w:r w:rsidRPr="00B208E4">
        <w:rPr>
          <w:rFonts w:ascii="Calibri" w:eastAsia="Times New Roman" w:hAnsi="Calibri" w:cs="Segoe UI"/>
          <w:color w:val="1F4E79" w:themeColor="accent1" w:themeShade="80"/>
          <w:sz w:val="28"/>
          <w:szCs w:val="28"/>
          <w:lang w:eastAsia="it-IT"/>
        </w:rPr>
        <w:t xml:space="preserve">a </w:t>
      </w:r>
      <w:r w:rsidR="00177C68" w:rsidRPr="00B208E4">
        <w:rPr>
          <w:rFonts w:ascii="Calibri" w:eastAsia="Times New Roman" w:hAnsi="Calibri" w:cs="Segoe UI"/>
          <w:color w:val="1F4E79" w:themeColor="accent1" w:themeShade="80"/>
          <w:sz w:val="28"/>
          <w:szCs w:val="28"/>
          <w:lang w:eastAsia="it-IT"/>
        </w:rPr>
        <w:t xml:space="preserve">affrontato il tema in modo approfondito, </w:t>
      </w:r>
      <w:r w:rsidRPr="00B208E4">
        <w:rPr>
          <w:rFonts w:ascii="Calibri" w:eastAsia="Times New Roman" w:hAnsi="Calibri" w:cs="Segoe UI"/>
          <w:color w:val="1F4E79" w:themeColor="accent1" w:themeShade="80"/>
          <w:sz w:val="28"/>
          <w:szCs w:val="28"/>
          <w:lang w:eastAsia="it-IT"/>
        </w:rPr>
        <w:t>supera</w:t>
      </w:r>
      <w:r w:rsidR="00177C68" w:rsidRPr="00B208E4">
        <w:rPr>
          <w:rFonts w:ascii="Calibri" w:eastAsia="Times New Roman" w:hAnsi="Calibri" w:cs="Segoe UI"/>
          <w:color w:val="1F4E79" w:themeColor="accent1" w:themeShade="80"/>
          <w:sz w:val="28"/>
          <w:szCs w:val="28"/>
          <w:lang w:eastAsia="it-IT"/>
        </w:rPr>
        <w:t>ndo radicalmente</w:t>
      </w:r>
      <w:r w:rsidRPr="00B208E4">
        <w:rPr>
          <w:rFonts w:ascii="Calibri" w:eastAsia="Times New Roman" w:hAnsi="Calibri" w:cs="Segoe UI"/>
          <w:color w:val="1F4E79" w:themeColor="accent1" w:themeShade="80"/>
          <w:sz w:val="28"/>
          <w:szCs w:val="28"/>
          <w:lang w:eastAsia="it-IT"/>
        </w:rPr>
        <w:t xml:space="preserve"> </w:t>
      </w:r>
      <w:r w:rsidR="00A57465" w:rsidRPr="00B208E4">
        <w:rPr>
          <w:rFonts w:ascii="Calibri" w:eastAsia="Times New Roman" w:hAnsi="Calibri" w:cs="Segoe UI"/>
          <w:color w:val="1F4E79" w:themeColor="accent1" w:themeShade="80"/>
          <w:sz w:val="28"/>
          <w:szCs w:val="28"/>
          <w:lang w:eastAsia="it-IT"/>
        </w:rPr>
        <w:t xml:space="preserve">alcune </w:t>
      </w:r>
      <w:r w:rsidR="00960000" w:rsidRPr="00B208E4">
        <w:rPr>
          <w:rFonts w:ascii="Calibri" w:eastAsia="Times New Roman" w:hAnsi="Calibri" w:cs="Segoe UI"/>
          <w:color w:val="1F4E79" w:themeColor="accent1" w:themeShade="80"/>
          <w:sz w:val="28"/>
          <w:szCs w:val="28"/>
          <w:lang w:eastAsia="it-IT"/>
        </w:rPr>
        <w:t xml:space="preserve">precedenti </w:t>
      </w:r>
      <w:r w:rsidR="00A57465" w:rsidRPr="00B208E4">
        <w:rPr>
          <w:rFonts w:ascii="Calibri" w:eastAsia="Times New Roman" w:hAnsi="Calibri" w:cs="Segoe UI"/>
          <w:color w:val="1F4E79" w:themeColor="accent1" w:themeShade="80"/>
          <w:sz w:val="28"/>
          <w:szCs w:val="28"/>
          <w:lang w:eastAsia="it-IT"/>
        </w:rPr>
        <w:t>oscillazioni giurisprudenziali</w:t>
      </w:r>
      <w:r w:rsidRPr="00B208E4">
        <w:rPr>
          <w:rFonts w:ascii="Calibri" w:eastAsia="Times New Roman" w:hAnsi="Calibri" w:cs="Segoe UI"/>
          <w:color w:val="1F4E79" w:themeColor="accent1" w:themeShade="80"/>
          <w:sz w:val="28"/>
          <w:szCs w:val="28"/>
          <w:lang w:eastAsia="it-IT"/>
        </w:rPr>
        <w:t xml:space="preserve"> e </w:t>
      </w:r>
      <w:r w:rsidR="00177C68" w:rsidRPr="00B208E4">
        <w:rPr>
          <w:rFonts w:ascii="Calibri" w:eastAsia="Times New Roman" w:hAnsi="Calibri" w:cs="Segoe UI"/>
          <w:color w:val="1F4E79" w:themeColor="accent1" w:themeShade="80"/>
          <w:sz w:val="28"/>
          <w:szCs w:val="28"/>
          <w:lang w:eastAsia="it-IT"/>
        </w:rPr>
        <w:t xml:space="preserve">smentendo perentoriamente </w:t>
      </w:r>
      <w:r w:rsidRPr="00B208E4">
        <w:rPr>
          <w:rFonts w:ascii="Calibri" w:eastAsia="Times New Roman" w:hAnsi="Calibri" w:cs="Segoe UI"/>
          <w:color w:val="1F4E79" w:themeColor="accent1" w:themeShade="80"/>
          <w:sz w:val="28"/>
          <w:szCs w:val="28"/>
          <w:lang w:eastAsia="it-IT"/>
        </w:rPr>
        <w:t xml:space="preserve">l’orientamento </w:t>
      </w:r>
      <w:r w:rsidR="00177C68" w:rsidRPr="00B208E4">
        <w:rPr>
          <w:rFonts w:ascii="Calibri" w:eastAsia="Times New Roman" w:hAnsi="Calibri" w:cs="Segoe UI"/>
          <w:color w:val="1F4E79" w:themeColor="accent1" w:themeShade="80"/>
          <w:sz w:val="28"/>
          <w:szCs w:val="28"/>
          <w:lang w:eastAsia="it-IT"/>
        </w:rPr>
        <w:t xml:space="preserve">minoritario </w:t>
      </w:r>
      <w:r w:rsidRPr="00B208E4">
        <w:rPr>
          <w:rFonts w:ascii="Calibri" w:eastAsia="Times New Roman" w:hAnsi="Calibri" w:cs="Segoe UI"/>
          <w:color w:val="1F4E79" w:themeColor="accent1" w:themeShade="80"/>
          <w:sz w:val="28"/>
          <w:szCs w:val="28"/>
          <w:lang w:eastAsia="it-IT"/>
        </w:rPr>
        <w:t xml:space="preserve">emerso nella </w:t>
      </w:r>
      <w:r w:rsidR="005820B1">
        <w:rPr>
          <w:rFonts w:ascii="Calibri" w:eastAsia="Times New Roman" w:hAnsi="Calibri" w:cs="Segoe UI"/>
          <w:color w:val="1F4E79" w:themeColor="accent1" w:themeShade="80"/>
          <w:sz w:val="28"/>
          <w:szCs w:val="28"/>
          <w:lang w:eastAsia="it-IT"/>
        </w:rPr>
        <w:t xml:space="preserve">più recente – ma non univoca - </w:t>
      </w:r>
      <w:r w:rsidRPr="00B208E4">
        <w:rPr>
          <w:rFonts w:ascii="Calibri" w:eastAsia="Times New Roman" w:hAnsi="Calibri" w:cs="Segoe UI"/>
          <w:color w:val="1F4E79" w:themeColor="accent1" w:themeShade="80"/>
          <w:sz w:val="28"/>
          <w:szCs w:val="28"/>
          <w:lang w:eastAsia="it-IT"/>
        </w:rPr>
        <w:t>giurisprudenza della Cassazione, favorevole ad un certo ampliamento del concetto di “</w:t>
      </w:r>
      <w:r w:rsidR="00930D6C">
        <w:rPr>
          <w:rFonts w:ascii="Calibri" w:eastAsia="Times New Roman" w:hAnsi="Calibri" w:cs="Segoe UI"/>
          <w:i/>
          <w:color w:val="1F4E79" w:themeColor="accent1" w:themeShade="80"/>
          <w:sz w:val="28"/>
          <w:szCs w:val="28"/>
          <w:lang w:eastAsia="it-IT"/>
        </w:rPr>
        <w:t>motivi</w:t>
      </w:r>
      <w:r w:rsidRPr="00B208E4">
        <w:rPr>
          <w:rFonts w:ascii="Calibri" w:eastAsia="Times New Roman" w:hAnsi="Calibri" w:cs="Segoe UI"/>
          <w:i/>
          <w:color w:val="1F4E79" w:themeColor="accent1" w:themeShade="80"/>
          <w:sz w:val="28"/>
          <w:szCs w:val="28"/>
          <w:lang w:eastAsia="it-IT"/>
        </w:rPr>
        <w:t xml:space="preserve"> inerent</w:t>
      </w:r>
      <w:r w:rsidR="00930D6C">
        <w:rPr>
          <w:rFonts w:ascii="Calibri" w:eastAsia="Times New Roman" w:hAnsi="Calibri" w:cs="Segoe UI"/>
          <w:i/>
          <w:color w:val="1F4E79" w:themeColor="accent1" w:themeShade="80"/>
          <w:sz w:val="28"/>
          <w:szCs w:val="28"/>
          <w:lang w:eastAsia="it-IT"/>
        </w:rPr>
        <w:t>i</w:t>
      </w:r>
      <w:r w:rsidRPr="00B208E4">
        <w:rPr>
          <w:rFonts w:ascii="Calibri" w:eastAsia="Times New Roman" w:hAnsi="Calibri" w:cs="Segoe UI"/>
          <w:i/>
          <w:color w:val="1F4E79" w:themeColor="accent1" w:themeShade="80"/>
          <w:sz w:val="28"/>
          <w:szCs w:val="28"/>
          <w:lang w:eastAsia="it-IT"/>
        </w:rPr>
        <w:t xml:space="preserve"> la giurisdizione</w:t>
      </w:r>
      <w:r w:rsidRPr="00B208E4">
        <w:rPr>
          <w:rFonts w:ascii="Calibri" w:eastAsia="Times New Roman" w:hAnsi="Calibri" w:cs="Segoe UI"/>
          <w:color w:val="1F4E79" w:themeColor="accent1" w:themeShade="80"/>
          <w:sz w:val="28"/>
          <w:szCs w:val="28"/>
          <w:lang w:eastAsia="it-IT"/>
        </w:rPr>
        <w:t xml:space="preserve">”, </w:t>
      </w:r>
      <w:r w:rsidR="00930D6C">
        <w:rPr>
          <w:rFonts w:ascii="Calibri" w:eastAsia="Times New Roman" w:hAnsi="Calibri" w:cs="Segoe UI"/>
          <w:color w:val="1F4E79" w:themeColor="accent1" w:themeShade="80"/>
          <w:sz w:val="28"/>
          <w:szCs w:val="28"/>
          <w:lang w:eastAsia="it-IT"/>
        </w:rPr>
        <w:t>letto</w:t>
      </w:r>
      <w:r w:rsidR="00960000" w:rsidRPr="00B208E4">
        <w:rPr>
          <w:rFonts w:ascii="Calibri" w:eastAsia="Times New Roman" w:hAnsi="Calibri" w:cs="Segoe UI"/>
          <w:color w:val="1F4E79" w:themeColor="accent1" w:themeShade="80"/>
          <w:sz w:val="28"/>
          <w:szCs w:val="28"/>
          <w:lang w:eastAsia="it-IT"/>
        </w:rPr>
        <w:t xml:space="preserve"> in una chiave </w:t>
      </w:r>
      <w:r w:rsidR="00393118" w:rsidRPr="00B208E4">
        <w:rPr>
          <w:rFonts w:ascii="Calibri" w:eastAsia="Times New Roman" w:hAnsi="Calibri" w:cs="Segoe UI"/>
          <w:color w:val="1F4E79" w:themeColor="accent1" w:themeShade="80"/>
          <w:sz w:val="28"/>
          <w:szCs w:val="28"/>
          <w:lang w:eastAsia="it-IT"/>
        </w:rPr>
        <w:t>asseritamene</w:t>
      </w:r>
      <w:r w:rsidR="00960000" w:rsidRPr="00B208E4">
        <w:rPr>
          <w:rFonts w:ascii="Calibri" w:eastAsia="Times New Roman" w:hAnsi="Calibri" w:cs="Segoe UI"/>
          <w:color w:val="1F4E79" w:themeColor="accent1" w:themeShade="80"/>
          <w:sz w:val="28"/>
          <w:szCs w:val="28"/>
          <w:lang w:eastAsia="it-IT"/>
        </w:rPr>
        <w:t xml:space="preserve"> </w:t>
      </w:r>
      <w:r w:rsidR="00960000" w:rsidRPr="00B208E4">
        <w:rPr>
          <w:rFonts w:ascii="Calibri" w:eastAsia="Times New Roman" w:hAnsi="Calibri" w:cs="Segoe UI"/>
          <w:i/>
          <w:color w:val="1F4E79" w:themeColor="accent1" w:themeShade="80"/>
          <w:sz w:val="28"/>
          <w:szCs w:val="28"/>
          <w:lang w:eastAsia="it-IT"/>
        </w:rPr>
        <w:t>dinamica</w:t>
      </w:r>
      <w:r w:rsidR="00960000" w:rsidRPr="00B208E4">
        <w:rPr>
          <w:rFonts w:ascii="Calibri" w:eastAsia="Times New Roman" w:hAnsi="Calibri" w:cs="Segoe UI"/>
          <w:color w:val="1F4E79" w:themeColor="accent1" w:themeShade="80"/>
          <w:sz w:val="28"/>
          <w:szCs w:val="28"/>
          <w:lang w:eastAsia="it-IT"/>
        </w:rPr>
        <w:t xml:space="preserve"> o</w:t>
      </w:r>
      <w:r w:rsidR="00177C68" w:rsidRPr="00B208E4">
        <w:rPr>
          <w:rFonts w:ascii="Calibri" w:eastAsia="Times New Roman" w:hAnsi="Calibri" w:cs="Segoe UI"/>
          <w:color w:val="1F4E79" w:themeColor="accent1" w:themeShade="80"/>
          <w:sz w:val="28"/>
          <w:szCs w:val="28"/>
          <w:lang w:eastAsia="it-IT"/>
        </w:rPr>
        <w:t>d</w:t>
      </w:r>
      <w:r w:rsidR="00960000" w:rsidRPr="00B208E4">
        <w:rPr>
          <w:rFonts w:ascii="Calibri" w:eastAsia="Times New Roman" w:hAnsi="Calibri" w:cs="Segoe UI"/>
          <w:color w:val="1F4E79" w:themeColor="accent1" w:themeShade="80"/>
          <w:sz w:val="28"/>
          <w:szCs w:val="28"/>
          <w:lang w:eastAsia="it-IT"/>
        </w:rPr>
        <w:t xml:space="preserve"> </w:t>
      </w:r>
      <w:r w:rsidR="00960000" w:rsidRPr="00B208E4">
        <w:rPr>
          <w:rFonts w:ascii="Calibri" w:eastAsia="Times New Roman" w:hAnsi="Calibri" w:cs="Segoe UI"/>
          <w:i/>
          <w:color w:val="1F4E79" w:themeColor="accent1" w:themeShade="80"/>
          <w:sz w:val="28"/>
          <w:szCs w:val="28"/>
          <w:lang w:eastAsia="it-IT"/>
        </w:rPr>
        <w:t>evolutiva</w:t>
      </w:r>
      <w:r w:rsidR="00B70359" w:rsidRPr="00B208E4">
        <w:rPr>
          <w:rFonts w:ascii="Calibri" w:eastAsia="Times New Roman" w:hAnsi="Calibri" w:cs="Segoe UI"/>
          <w:color w:val="1F4E79" w:themeColor="accent1" w:themeShade="80"/>
          <w:sz w:val="28"/>
          <w:szCs w:val="28"/>
          <w:lang w:eastAsia="it-IT"/>
        </w:rPr>
        <w:t>, volta ad estendere il perimetro del controllo della Cassazione in ulteriori ambiti, variamente definiti dalle singole pronunce</w:t>
      </w:r>
      <w:r w:rsidR="00930D6C">
        <w:rPr>
          <w:rFonts w:ascii="Calibri" w:eastAsia="Times New Roman" w:hAnsi="Calibri" w:cs="Segoe UI"/>
          <w:color w:val="1F4E79" w:themeColor="accent1" w:themeShade="80"/>
          <w:sz w:val="28"/>
          <w:szCs w:val="28"/>
          <w:lang w:eastAsia="it-IT"/>
        </w:rPr>
        <w:t>, anche in funzione dei percorsi argomentativi prescelti</w:t>
      </w:r>
      <w:r w:rsidR="000C1102" w:rsidRPr="00B208E4">
        <w:rPr>
          <w:rStyle w:val="Rimandonotaapidipagina"/>
          <w:rFonts w:ascii="Calibri" w:eastAsia="Times New Roman" w:hAnsi="Calibri" w:cs="Segoe UI"/>
          <w:color w:val="1F4E79" w:themeColor="accent1" w:themeShade="80"/>
          <w:sz w:val="28"/>
          <w:szCs w:val="28"/>
          <w:lang w:eastAsia="it-IT"/>
        </w:rPr>
        <w:footnoteReference w:id="4"/>
      </w:r>
      <w:r w:rsidR="00177C68" w:rsidRPr="00B208E4">
        <w:rPr>
          <w:rFonts w:ascii="Calibri" w:eastAsia="Times New Roman" w:hAnsi="Calibri" w:cs="Segoe UI"/>
          <w:color w:val="1F4E79" w:themeColor="accent1" w:themeShade="80"/>
          <w:sz w:val="28"/>
          <w:szCs w:val="28"/>
          <w:lang w:eastAsia="it-IT"/>
        </w:rPr>
        <w:t>.</w:t>
      </w:r>
    </w:p>
    <w:p w:rsidR="00B70359" w:rsidRPr="00B208E4" w:rsidRDefault="00B70359"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Nella tendenza ampliatrice si possono inscrivere le pronunce che</w:t>
      </w:r>
      <w:r w:rsidR="005820B1">
        <w:rPr>
          <w:rFonts w:ascii="Calibri" w:eastAsia="Times New Roman" w:hAnsi="Calibri" w:cs="Segoe UI"/>
          <w:color w:val="1F4E79" w:themeColor="accent1" w:themeShade="80"/>
          <w:sz w:val="28"/>
          <w:szCs w:val="28"/>
          <w:lang w:eastAsia="it-IT"/>
        </w:rPr>
        <w:t>, muovendo dalla nuova formulazione dell’art. 111, comma primo</w:t>
      </w:r>
      <w:r w:rsidR="00C73DCD">
        <w:rPr>
          <w:rFonts w:ascii="Calibri" w:eastAsia="Times New Roman" w:hAnsi="Calibri" w:cs="Segoe UI"/>
          <w:color w:val="1F4E79" w:themeColor="accent1" w:themeShade="80"/>
          <w:sz w:val="28"/>
          <w:szCs w:val="28"/>
          <w:lang w:eastAsia="it-IT"/>
        </w:rPr>
        <w:t>,</w:t>
      </w:r>
      <w:r w:rsidR="005820B1">
        <w:rPr>
          <w:rFonts w:ascii="Calibri" w:eastAsia="Times New Roman" w:hAnsi="Calibri" w:cs="Segoe UI"/>
          <w:color w:val="1F4E79" w:themeColor="accent1" w:themeShade="80"/>
          <w:sz w:val="28"/>
          <w:szCs w:val="28"/>
          <w:lang w:eastAsia="it-IT"/>
        </w:rPr>
        <w:t xml:space="preserve"> della Costituzione, secondo cui “</w:t>
      </w:r>
      <w:r w:rsidR="005820B1" w:rsidRPr="005820B1">
        <w:rPr>
          <w:rFonts w:ascii="Calibri" w:eastAsia="Times New Roman" w:hAnsi="Calibri" w:cs="Segoe UI"/>
          <w:i/>
          <w:color w:val="1F4E79" w:themeColor="accent1" w:themeShade="80"/>
          <w:sz w:val="28"/>
          <w:szCs w:val="28"/>
          <w:lang w:eastAsia="it-IT"/>
        </w:rPr>
        <w:t>La giurisdizione si attua mediante il giusto processo regolato dalla legge</w:t>
      </w:r>
      <w:r w:rsidR="005820B1">
        <w:rPr>
          <w:rFonts w:ascii="Calibri" w:eastAsia="Times New Roman" w:hAnsi="Calibri" w:cs="Segoe UI"/>
          <w:color w:val="1F4E79" w:themeColor="accent1" w:themeShade="80"/>
          <w:sz w:val="28"/>
          <w:szCs w:val="28"/>
          <w:lang w:eastAsia="it-IT"/>
        </w:rPr>
        <w:t>”,</w:t>
      </w:r>
      <w:r w:rsidR="005820B1" w:rsidRPr="005820B1">
        <w:rPr>
          <w:rFonts w:ascii="Calibri" w:eastAsia="Times New Roman" w:hAnsi="Calibri" w:cs="Segoe UI"/>
          <w:color w:val="1F4E79" w:themeColor="accent1" w:themeShade="80"/>
          <w:sz w:val="28"/>
          <w:szCs w:val="28"/>
          <w:lang w:eastAsia="it-IT"/>
        </w:rPr>
        <w:t xml:space="preserve"> </w:t>
      </w:r>
      <w:r w:rsidR="005820B1" w:rsidRPr="00B208E4">
        <w:rPr>
          <w:rFonts w:ascii="Calibri" w:eastAsia="Times New Roman" w:hAnsi="Calibri" w:cs="Segoe UI"/>
          <w:color w:val="1F4E79" w:themeColor="accent1" w:themeShade="80"/>
          <w:sz w:val="28"/>
          <w:szCs w:val="28"/>
          <w:lang w:eastAsia="it-IT"/>
        </w:rPr>
        <w:t>hanno</w:t>
      </w:r>
      <w:r w:rsidR="005820B1">
        <w:rPr>
          <w:rFonts w:ascii="Calibri" w:eastAsia="Times New Roman" w:hAnsi="Calibri" w:cs="Segoe UI"/>
          <w:color w:val="1F4E79" w:themeColor="accent1" w:themeShade="80"/>
          <w:sz w:val="28"/>
          <w:szCs w:val="28"/>
          <w:lang w:eastAsia="it-IT"/>
        </w:rPr>
        <w:t>, di volta in volta:</w:t>
      </w:r>
    </w:p>
    <w:p w:rsidR="00B70359" w:rsidRPr="00B208E4" w:rsidRDefault="00B70359"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dilatato il concetto di “</w:t>
      </w:r>
      <w:r w:rsidRPr="005820B1">
        <w:rPr>
          <w:rFonts w:ascii="Calibri" w:eastAsia="Times New Roman" w:hAnsi="Calibri" w:cs="Segoe UI"/>
          <w:i/>
          <w:color w:val="1F4E79" w:themeColor="accent1" w:themeShade="80"/>
          <w:sz w:val="28"/>
          <w:szCs w:val="28"/>
          <w:lang w:eastAsia="it-IT"/>
        </w:rPr>
        <w:t>rifiuto di giurisdizione</w:t>
      </w:r>
      <w:r w:rsidRPr="00B208E4">
        <w:rPr>
          <w:rFonts w:ascii="Calibri" w:eastAsia="Times New Roman" w:hAnsi="Calibri" w:cs="Segoe UI"/>
          <w:color w:val="1F4E79" w:themeColor="accent1" w:themeShade="80"/>
          <w:sz w:val="28"/>
          <w:szCs w:val="28"/>
          <w:lang w:eastAsia="it-IT"/>
        </w:rPr>
        <w:t>”, comprendendovi il caso in cui il giudice amministrativo affermi, erroneamente, l’esistenza d</w:t>
      </w:r>
      <w:r w:rsidR="005820B1">
        <w:rPr>
          <w:rFonts w:ascii="Calibri" w:eastAsia="Times New Roman" w:hAnsi="Calibri" w:cs="Segoe UI"/>
          <w:color w:val="1F4E79" w:themeColor="accent1" w:themeShade="80"/>
          <w:sz w:val="28"/>
          <w:szCs w:val="28"/>
          <w:lang w:eastAsia="it-IT"/>
        </w:rPr>
        <w:t>i una preclusione processuale tale da impedire la</w:t>
      </w:r>
      <w:r w:rsidRPr="00B208E4">
        <w:rPr>
          <w:rFonts w:ascii="Calibri" w:eastAsia="Times New Roman" w:hAnsi="Calibri" w:cs="Segoe UI"/>
          <w:color w:val="1F4E79" w:themeColor="accent1" w:themeShade="80"/>
          <w:sz w:val="28"/>
          <w:szCs w:val="28"/>
          <w:lang w:eastAsia="it-IT"/>
        </w:rPr>
        <w:t xml:space="preserve"> valutazione del merito della domanda;</w:t>
      </w:r>
    </w:p>
    <w:p w:rsidR="00B70359" w:rsidRPr="00B208E4" w:rsidRDefault="00B70359"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ipotizzato la possibilità di sindacare pronunce del Consiglio di Stato</w:t>
      </w:r>
      <w:r w:rsidR="00930D6C" w:rsidRPr="00930D6C">
        <w:rPr>
          <w:rFonts w:ascii="Calibri" w:eastAsia="Times New Roman" w:hAnsi="Calibri" w:cs="Segoe UI"/>
          <w:color w:val="1F4E79" w:themeColor="accent1" w:themeShade="80"/>
          <w:sz w:val="28"/>
          <w:szCs w:val="28"/>
          <w:lang w:eastAsia="it-IT"/>
        </w:rPr>
        <w:t xml:space="preserve"> </w:t>
      </w:r>
      <w:r w:rsidR="00930D6C" w:rsidRPr="00B208E4">
        <w:rPr>
          <w:rFonts w:ascii="Calibri" w:eastAsia="Times New Roman" w:hAnsi="Calibri" w:cs="Segoe UI"/>
          <w:color w:val="1F4E79" w:themeColor="accent1" w:themeShade="80"/>
          <w:sz w:val="28"/>
          <w:szCs w:val="28"/>
          <w:lang w:eastAsia="it-IT"/>
        </w:rPr>
        <w:t>giudicate “</w:t>
      </w:r>
      <w:r w:rsidR="00930D6C" w:rsidRPr="005820B1">
        <w:rPr>
          <w:rFonts w:ascii="Calibri" w:eastAsia="Times New Roman" w:hAnsi="Calibri" w:cs="Segoe UI"/>
          <w:i/>
          <w:color w:val="1F4E79" w:themeColor="accent1" w:themeShade="80"/>
          <w:sz w:val="28"/>
          <w:szCs w:val="28"/>
          <w:lang w:eastAsia="it-IT"/>
        </w:rPr>
        <w:t>abnormi</w:t>
      </w:r>
      <w:r w:rsidR="00930D6C" w:rsidRPr="00B208E4">
        <w:rPr>
          <w:rFonts w:ascii="Calibri" w:eastAsia="Times New Roman" w:hAnsi="Calibri" w:cs="Segoe UI"/>
          <w:color w:val="1F4E79" w:themeColor="accent1" w:themeShade="80"/>
          <w:sz w:val="28"/>
          <w:szCs w:val="28"/>
          <w:lang w:eastAsia="it-IT"/>
        </w:rPr>
        <w:t>”</w:t>
      </w:r>
      <w:r w:rsidR="00930D6C">
        <w:rPr>
          <w:rFonts w:ascii="Calibri" w:eastAsia="Times New Roman" w:hAnsi="Calibri" w:cs="Segoe UI"/>
          <w:color w:val="1F4E79" w:themeColor="accent1" w:themeShade="80"/>
          <w:sz w:val="28"/>
          <w:szCs w:val="28"/>
          <w:lang w:eastAsia="it-IT"/>
        </w:rPr>
        <w:t>, in quanto caratterizzate dalla asserita evidenza di un errore sull’applicazione della disciplina sostanziale o processuale</w:t>
      </w:r>
      <w:r w:rsidRPr="00B208E4">
        <w:rPr>
          <w:rFonts w:ascii="Calibri" w:eastAsia="Times New Roman" w:hAnsi="Calibri" w:cs="Segoe UI"/>
          <w:color w:val="1F4E79" w:themeColor="accent1" w:themeShade="80"/>
          <w:sz w:val="28"/>
          <w:szCs w:val="28"/>
          <w:lang w:eastAsia="it-IT"/>
        </w:rPr>
        <w:t>;</w:t>
      </w:r>
    </w:p>
    <w:p w:rsidR="00B70359" w:rsidRPr="00B208E4" w:rsidRDefault="00B70359"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 hanno ritenuto </w:t>
      </w:r>
      <w:r w:rsidR="008516C7" w:rsidRPr="00B208E4">
        <w:rPr>
          <w:rFonts w:ascii="Calibri" w:eastAsia="Times New Roman" w:hAnsi="Calibri" w:cs="Segoe UI"/>
          <w:color w:val="1F4E79" w:themeColor="accent1" w:themeShade="80"/>
          <w:sz w:val="28"/>
          <w:szCs w:val="28"/>
          <w:lang w:eastAsia="it-IT"/>
        </w:rPr>
        <w:t>che la violazione di norme di derivazione europea (siano esse dell’U</w:t>
      </w:r>
      <w:r w:rsidR="00930D6C">
        <w:rPr>
          <w:rFonts w:ascii="Calibri" w:eastAsia="Times New Roman" w:hAnsi="Calibri" w:cs="Segoe UI"/>
          <w:color w:val="1F4E79" w:themeColor="accent1" w:themeShade="80"/>
          <w:sz w:val="28"/>
          <w:szCs w:val="28"/>
          <w:lang w:eastAsia="it-IT"/>
        </w:rPr>
        <w:t>E</w:t>
      </w:r>
      <w:r w:rsidR="008516C7" w:rsidRPr="00B208E4">
        <w:rPr>
          <w:rFonts w:ascii="Calibri" w:eastAsia="Times New Roman" w:hAnsi="Calibri" w:cs="Segoe UI"/>
          <w:color w:val="1F4E79" w:themeColor="accent1" w:themeShade="80"/>
          <w:sz w:val="28"/>
          <w:szCs w:val="28"/>
          <w:lang w:eastAsia="it-IT"/>
        </w:rPr>
        <w:t xml:space="preserve"> o della Convenzione europea dei diritti dell’Uomo) </w:t>
      </w:r>
      <w:r w:rsidR="00930D6C">
        <w:rPr>
          <w:rFonts w:ascii="Calibri" w:eastAsia="Times New Roman" w:hAnsi="Calibri" w:cs="Segoe UI"/>
          <w:color w:val="1F4E79" w:themeColor="accent1" w:themeShade="80"/>
          <w:sz w:val="28"/>
          <w:szCs w:val="28"/>
          <w:lang w:eastAsia="it-IT"/>
        </w:rPr>
        <w:t>comporti il travalicamento d</w:t>
      </w:r>
      <w:r w:rsidR="008516C7" w:rsidRPr="00B208E4">
        <w:rPr>
          <w:rFonts w:ascii="Calibri" w:eastAsia="Times New Roman" w:hAnsi="Calibri" w:cs="Segoe UI"/>
          <w:color w:val="1F4E79" w:themeColor="accent1" w:themeShade="80"/>
          <w:sz w:val="28"/>
          <w:szCs w:val="28"/>
          <w:lang w:eastAsia="it-IT"/>
        </w:rPr>
        <w:t>ei confini dei poteri di cognizione del giudice amministrativo</w:t>
      </w:r>
      <w:r w:rsidR="00024971" w:rsidRPr="00B208E4">
        <w:rPr>
          <w:rFonts w:ascii="Calibri" w:eastAsia="Times New Roman" w:hAnsi="Calibri" w:cs="Segoe UI"/>
          <w:color w:val="1F4E79" w:themeColor="accent1" w:themeShade="80"/>
          <w:sz w:val="28"/>
          <w:szCs w:val="28"/>
          <w:lang w:eastAsia="it-IT"/>
        </w:rPr>
        <w:t>, sia pure con riguardo al contrasto evidente con una decisione, anche successiva</w:t>
      </w:r>
      <w:r w:rsidR="005820B1">
        <w:rPr>
          <w:rFonts w:ascii="Calibri" w:eastAsia="Times New Roman" w:hAnsi="Calibri" w:cs="Segoe UI"/>
          <w:color w:val="1F4E79" w:themeColor="accent1" w:themeShade="80"/>
          <w:sz w:val="28"/>
          <w:szCs w:val="28"/>
          <w:lang w:eastAsia="it-IT"/>
        </w:rPr>
        <w:t>,</w:t>
      </w:r>
      <w:r w:rsidR="00024971" w:rsidRPr="00B208E4">
        <w:rPr>
          <w:rFonts w:ascii="Calibri" w:eastAsia="Times New Roman" w:hAnsi="Calibri" w:cs="Segoe UI"/>
          <w:color w:val="1F4E79" w:themeColor="accent1" w:themeShade="80"/>
          <w:sz w:val="28"/>
          <w:szCs w:val="28"/>
          <w:lang w:eastAsia="it-IT"/>
        </w:rPr>
        <w:t xml:space="preserve"> della C</w:t>
      </w:r>
      <w:r w:rsidR="005820B1">
        <w:rPr>
          <w:rFonts w:ascii="Calibri" w:eastAsia="Times New Roman" w:hAnsi="Calibri" w:cs="Segoe UI"/>
          <w:color w:val="1F4E79" w:themeColor="accent1" w:themeShade="80"/>
          <w:sz w:val="28"/>
          <w:szCs w:val="28"/>
          <w:lang w:eastAsia="it-IT"/>
        </w:rPr>
        <w:t>orte di giustizia dell’Unione europea (C</w:t>
      </w:r>
      <w:r w:rsidR="00024971" w:rsidRPr="00B208E4">
        <w:rPr>
          <w:rFonts w:ascii="Calibri" w:eastAsia="Times New Roman" w:hAnsi="Calibri" w:cs="Segoe UI"/>
          <w:color w:val="1F4E79" w:themeColor="accent1" w:themeShade="80"/>
          <w:sz w:val="28"/>
          <w:szCs w:val="28"/>
          <w:lang w:eastAsia="it-IT"/>
        </w:rPr>
        <w:t>GUE</w:t>
      </w:r>
      <w:r w:rsidR="005820B1">
        <w:rPr>
          <w:rFonts w:ascii="Calibri" w:eastAsia="Times New Roman" w:hAnsi="Calibri" w:cs="Segoe UI"/>
          <w:color w:val="1F4E79" w:themeColor="accent1" w:themeShade="80"/>
          <w:sz w:val="28"/>
          <w:szCs w:val="28"/>
          <w:lang w:eastAsia="it-IT"/>
        </w:rPr>
        <w:t>)</w:t>
      </w:r>
      <w:r w:rsidR="00024971" w:rsidRPr="00B208E4">
        <w:rPr>
          <w:rStyle w:val="Rimandonotaapidipagina"/>
          <w:rFonts w:ascii="Calibri" w:eastAsia="Times New Roman" w:hAnsi="Calibri" w:cs="Segoe UI"/>
          <w:color w:val="1F4E79" w:themeColor="accent1" w:themeShade="80"/>
          <w:sz w:val="28"/>
          <w:szCs w:val="28"/>
          <w:lang w:eastAsia="it-IT"/>
        </w:rPr>
        <w:footnoteReference w:id="5"/>
      </w:r>
      <w:r w:rsidR="008516C7" w:rsidRPr="00B208E4">
        <w:rPr>
          <w:rFonts w:ascii="Calibri" w:eastAsia="Times New Roman" w:hAnsi="Calibri" w:cs="Segoe UI"/>
          <w:color w:val="1F4E79" w:themeColor="accent1" w:themeShade="80"/>
          <w:sz w:val="28"/>
          <w:szCs w:val="28"/>
          <w:lang w:eastAsia="it-IT"/>
        </w:rPr>
        <w:t>.</w:t>
      </w:r>
    </w:p>
    <w:p w:rsidR="00930D6C" w:rsidRDefault="00930D6C"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 xml:space="preserve">Secondo la Corte costituzionale, nessuna di queste ipotizzate letture </w:t>
      </w:r>
      <w:r w:rsidRPr="00930D6C">
        <w:rPr>
          <w:rFonts w:ascii="Calibri" w:eastAsia="Times New Roman" w:hAnsi="Calibri" w:cs="Segoe UI"/>
          <w:i/>
          <w:color w:val="1F4E79" w:themeColor="accent1" w:themeShade="80"/>
          <w:sz w:val="28"/>
          <w:szCs w:val="28"/>
          <w:lang w:eastAsia="it-IT"/>
        </w:rPr>
        <w:t>evolutive</w:t>
      </w:r>
      <w:r>
        <w:rPr>
          <w:rFonts w:ascii="Calibri" w:eastAsia="Times New Roman" w:hAnsi="Calibri" w:cs="Segoe UI"/>
          <w:color w:val="1F4E79" w:themeColor="accent1" w:themeShade="80"/>
          <w:sz w:val="28"/>
          <w:szCs w:val="28"/>
          <w:lang w:eastAsia="it-IT"/>
        </w:rPr>
        <w:t xml:space="preserve"> è compatibile con la ratio e con la lettera dell’art. 111, co. 8, della Costituzione.</w:t>
      </w:r>
    </w:p>
    <w:p w:rsidR="00DF548B" w:rsidRPr="00B208E4" w:rsidRDefault="00C73DCD"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 xml:space="preserve">In particolare, </w:t>
      </w:r>
      <w:r w:rsidRPr="00B208E4">
        <w:rPr>
          <w:rFonts w:ascii="Calibri" w:eastAsia="Times New Roman" w:hAnsi="Calibri" w:cs="Segoe UI"/>
          <w:color w:val="1F4E79" w:themeColor="accent1" w:themeShade="80"/>
          <w:sz w:val="28"/>
          <w:szCs w:val="28"/>
          <w:lang w:eastAsia="it-IT"/>
        </w:rPr>
        <w:t xml:space="preserve">con </w:t>
      </w:r>
      <w:r w:rsidR="008516C7" w:rsidRPr="00B208E4">
        <w:rPr>
          <w:rFonts w:ascii="Calibri" w:eastAsia="Times New Roman" w:hAnsi="Calibri" w:cs="Segoe UI"/>
          <w:color w:val="1F4E79" w:themeColor="accent1" w:themeShade="80"/>
          <w:sz w:val="28"/>
          <w:szCs w:val="28"/>
          <w:lang w:eastAsia="it-IT"/>
        </w:rPr>
        <w:t>la decisione n. 6/2018</w:t>
      </w:r>
      <w:r w:rsidR="00177C68" w:rsidRPr="00B208E4">
        <w:rPr>
          <w:rFonts w:ascii="Calibri" w:eastAsia="Times New Roman" w:hAnsi="Calibri" w:cs="Segoe UI"/>
          <w:color w:val="1F4E79" w:themeColor="accent1" w:themeShade="80"/>
          <w:sz w:val="28"/>
          <w:szCs w:val="28"/>
          <w:lang w:eastAsia="it-IT"/>
        </w:rPr>
        <w:t>, la Consulta</w:t>
      </w:r>
      <w:r w:rsidR="005820B1">
        <w:rPr>
          <w:rFonts w:ascii="Calibri" w:eastAsia="Times New Roman" w:hAnsi="Calibri" w:cs="Segoe UI"/>
          <w:color w:val="1F4E79" w:themeColor="accent1" w:themeShade="80"/>
          <w:sz w:val="28"/>
          <w:szCs w:val="28"/>
          <w:lang w:eastAsia="it-IT"/>
        </w:rPr>
        <w:t>, confutando analiticamente i diversi argomenti espressi dai nuovi filoni ermeneutici emersi nella giurisprudenza della Cassazione,</w:t>
      </w:r>
      <w:r w:rsidR="00960000" w:rsidRPr="00B208E4">
        <w:rPr>
          <w:rFonts w:ascii="Calibri" w:eastAsia="Times New Roman" w:hAnsi="Calibri" w:cs="Segoe UI"/>
          <w:color w:val="1F4E79" w:themeColor="accent1" w:themeShade="80"/>
          <w:sz w:val="28"/>
          <w:szCs w:val="28"/>
          <w:lang w:eastAsia="it-IT"/>
        </w:rPr>
        <w:t xml:space="preserve"> </w:t>
      </w:r>
      <w:r w:rsidR="006A7DD1">
        <w:rPr>
          <w:rFonts w:ascii="Calibri" w:eastAsia="Times New Roman" w:hAnsi="Calibri" w:cs="Segoe UI"/>
          <w:color w:val="1F4E79" w:themeColor="accent1" w:themeShade="80"/>
          <w:sz w:val="28"/>
          <w:szCs w:val="28"/>
          <w:lang w:eastAsia="it-IT"/>
        </w:rPr>
        <w:t>h</w:t>
      </w:r>
      <w:r w:rsidR="00177C68" w:rsidRPr="00B208E4">
        <w:rPr>
          <w:rFonts w:ascii="Calibri" w:eastAsia="Times New Roman" w:hAnsi="Calibri" w:cs="Segoe UI"/>
          <w:color w:val="1F4E79" w:themeColor="accent1" w:themeShade="80"/>
          <w:sz w:val="28"/>
          <w:szCs w:val="28"/>
          <w:lang w:eastAsia="it-IT"/>
        </w:rPr>
        <w:t>a riaffermat</w:t>
      </w:r>
      <w:r w:rsidR="00A23E5A" w:rsidRPr="00B208E4">
        <w:rPr>
          <w:rFonts w:ascii="Calibri" w:eastAsia="Times New Roman" w:hAnsi="Calibri" w:cs="Segoe UI"/>
          <w:color w:val="1F4E79" w:themeColor="accent1" w:themeShade="80"/>
          <w:sz w:val="28"/>
          <w:szCs w:val="28"/>
          <w:lang w:eastAsia="it-IT"/>
        </w:rPr>
        <w:t xml:space="preserve">o </w:t>
      </w:r>
      <w:r w:rsidR="00EE173F" w:rsidRPr="00B208E4">
        <w:rPr>
          <w:rFonts w:ascii="Calibri" w:eastAsia="Times New Roman" w:hAnsi="Calibri" w:cs="Segoe UI"/>
          <w:color w:val="1F4E79" w:themeColor="accent1" w:themeShade="80"/>
          <w:sz w:val="28"/>
          <w:szCs w:val="28"/>
          <w:lang w:eastAsia="it-IT"/>
        </w:rPr>
        <w:t>la tesi più tradizionale e r</w:t>
      </w:r>
      <w:r w:rsidR="00A23E5A" w:rsidRPr="00B208E4">
        <w:rPr>
          <w:rFonts w:ascii="Calibri" w:eastAsia="Times New Roman" w:hAnsi="Calibri" w:cs="Segoe UI"/>
          <w:color w:val="1F4E79" w:themeColor="accent1" w:themeShade="80"/>
          <w:sz w:val="28"/>
          <w:szCs w:val="28"/>
          <w:lang w:eastAsia="it-IT"/>
        </w:rPr>
        <w:t>igorosa</w:t>
      </w:r>
      <w:r w:rsidR="00960000" w:rsidRPr="00B208E4">
        <w:rPr>
          <w:rFonts w:ascii="Calibri" w:eastAsia="Times New Roman" w:hAnsi="Calibri" w:cs="Segoe UI"/>
          <w:color w:val="1F4E79" w:themeColor="accent1" w:themeShade="80"/>
          <w:sz w:val="28"/>
          <w:szCs w:val="28"/>
          <w:lang w:eastAsia="it-IT"/>
        </w:rPr>
        <w:t>,</w:t>
      </w:r>
      <w:r w:rsidR="00A23E5A" w:rsidRPr="00B208E4">
        <w:rPr>
          <w:rFonts w:ascii="Calibri" w:eastAsia="Times New Roman" w:hAnsi="Calibri" w:cs="Segoe UI"/>
          <w:color w:val="1F4E79" w:themeColor="accent1" w:themeShade="80"/>
          <w:sz w:val="28"/>
          <w:szCs w:val="28"/>
          <w:lang w:eastAsia="it-IT"/>
        </w:rPr>
        <w:t xml:space="preserve"> </w:t>
      </w:r>
      <w:r w:rsidR="00177C68" w:rsidRPr="00B208E4">
        <w:rPr>
          <w:rFonts w:ascii="Calibri" w:eastAsia="Times New Roman" w:hAnsi="Calibri" w:cs="Segoe UI"/>
          <w:color w:val="1F4E79" w:themeColor="accent1" w:themeShade="80"/>
          <w:sz w:val="28"/>
          <w:szCs w:val="28"/>
          <w:lang w:eastAsia="it-IT"/>
        </w:rPr>
        <w:t xml:space="preserve">fedele alla lettera e allo spirito della disposizione costituzionale, </w:t>
      </w:r>
      <w:r w:rsidR="00960000" w:rsidRPr="00B208E4">
        <w:rPr>
          <w:rFonts w:ascii="Calibri" w:eastAsia="Times New Roman" w:hAnsi="Calibri" w:cs="Segoe UI"/>
          <w:color w:val="1F4E79" w:themeColor="accent1" w:themeShade="80"/>
          <w:sz w:val="28"/>
          <w:szCs w:val="28"/>
          <w:lang w:eastAsia="it-IT"/>
        </w:rPr>
        <w:t>tenuta ferma per</w:t>
      </w:r>
      <w:r w:rsidR="00177C68" w:rsidRPr="00B208E4">
        <w:rPr>
          <w:rFonts w:ascii="Calibri" w:eastAsia="Times New Roman" w:hAnsi="Calibri" w:cs="Segoe UI"/>
          <w:color w:val="1F4E79" w:themeColor="accent1" w:themeShade="80"/>
          <w:sz w:val="28"/>
          <w:szCs w:val="28"/>
          <w:lang w:eastAsia="it-IT"/>
        </w:rPr>
        <w:t xml:space="preserve"> oltre</w:t>
      </w:r>
      <w:r w:rsidR="00960000" w:rsidRPr="00B208E4">
        <w:rPr>
          <w:rFonts w:ascii="Calibri" w:eastAsia="Times New Roman" w:hAnsi="Calibri" w:cs="Segoe UI"/>
          <w:color w:val="1F4E79" w:themeColor="accent1" w:themeShade="80"/>
          <w:sz w:val="28"/>
          <w:szCs w:val="28"/>
          <w:lang w:eastAsia="it-IT"/>
        </w:rPr>
        <w:t xml:space="preserve"> un settantennio</w:t>
      </w:r>
      <w:r w:rsidR="005820B1">
        <w:rPr>
          <w:rStyle w:val="Rimandonotaapidipagina"/>
          <w:rFonts w:ascii="Calibri" w:eastAsia="Times New Roman" w:hAnsi="Calibri" w:cs="Segoe UI"/>
          <w:color w:val="1F4E79" w:themeColor="accent1" w:themeShade="80"/>
          <w:sz w:val="28"/>
          <w:szCs w:val="28"/>
          <w:lang w:eastAsia="it-IT"/>
        </w:rPr>
        <w:footnoteReference w:id="6"/>
      </w:r>
      <w:r w:rsidR="00960000" w:rsidRPr="00B208E4">
        <w:rPr>
          <w:rFonts w:ascii="Calibri" w:eastAsia="Times New Roman" w:hAnsi="Calibri" w:cs="Segoe UI"/>
          <w:color w:val="1F4E79" w:themeColor="accent1" w:themeShade="80"/>
          <w:sz w:val="28"/>
          <w:szCs w:val="28"/>
          <w:lang w:eastAsia="it-IT"/>
        </w:rPr>
        <w:t xml:space="preserve"> </w:t>
      </w:r>
      <w:r w:rsidR="00177C68" w:rsidRPr="00B208E4">
        <w:rPr>
          <w:rFonts w:ascii="Calibri" w:eastAsia="Times New Roman" w:hAnsi="Calibri" w:cs="Segoe UI"/>
          <w:color w:val="1F4E79" w:themeColor="accent1" w:themeShade="80"/>
          <w:sz w:val="28"/>
          <w:szCs w:val="28"/>
          <w:lang w:eastAsia="it-IT"/>
        </w:rPr>
        <w:t>dalle stesse Sezioni Unite</w:t>
      </w:r>
      <w:r w:rsidR="00960000" w:rsidRPr="00B208E4">
        <w:rPr>
          <w:rFonts w:ascii="Calibri" w:eastAsia="Times New Roman" w:hAnsi="Calibri" w:cs="Segoe UI"/>
          <w:color w:val="1F4E79" w:themeColor="accent1" w:themeShade="80"/>
          <w:sz w:val="28"/>
          <w:szCs w:val="28"/>
          <w:lang w:eastAsia="it-IT"/>
        </w:rPr>
        <w:t xml:space="preserve">, </w:t>
      </w:r>
      <w:r w:rsidR="00EE173F" w:rsidRPr="00B208E4">
        <w:rPr>
          <w:rFonts w:ascii="Calibri" w:eastAsia="Times New Roman" w:hAnsi="Calibri" w:cs="Segoe UI"/>
          <w:color w:val="1F4E79" w:themeColor="accent1" w:themeShade="80"/>
          <w:sz w:val="28"/>
          <w:szCs w:val="28"/>
          <w:lang w:eastAsia="it-IT"/>
        </w:rPr>
        <w:t xml:space="preserve">che </w:t>
      </w:r>
      <w:r w:rsidR="00960000" w:rsidRPr="00B208E4">
        <w:rPr>
          <w:rFonts w:ascii="Calibri" w:eastAsia="Times New Roman" w:hAnsi="Calibri" w:cs="Segoe UI"/>
          <w:color w:val="1F4E79" w:themeColor="accent1" w:themeShade="80"/>
          <w:sz w:val="28"/>
          <w:szCs w:val="28"/>
          <w:lang w:eastAsia="it-IT"/>
        </w:rPr>
        <w:t>delinea</w:t>
      </w:r>
      <w:r w:rsidR="00DF548B" w:rsidRPr="00B208E4">
        <w:rPr>
          <w:rFonts w:ascii="Calibri" w:eastAsia="Times New Roman" w:hAnsi="Calibri" w:cs="Segoe UI"/>
          <w:color w:val="1F4E79" w:themeColor="accent1" w:themeShade="80"/>
          <w:sz w:val="28"/>
          <w:szCs w:val="28"/>
          <w:lang w:eastAsia="it-IT"/>
        </w:rPr>
        <w:t xml:space="preserve"> la portata dello strumento del ricorso per Cassazione</w:t>
      </w:r>
      <w:r w:rsidR="00960000" w:rsidRPr="00B208E4">
        <w:rPr>
          <w:rFonts w:ascii="Calibri" w:eastAsia="Times New Roman" w:hAnsi="Calibri" w:cs="Segoe UI"/>
          <w:color w:val="1F4E79" w:themeColor="accent1" w:themeShade="80"/>
          <w:sz w:val="28"/>
          <w:szCs w:val="28"/>
          <w:lang w:eastAsia="it-IT"/>
        </w:rPr>
        <w:t>, in conformità al disegno pluralistico delle giurisdizioni, voluto dal Costituente</w:t>
      </w:r>
      <w:r w:rsidR="00DF548B" w:rsidRPr="00B208E4">
        <w:rPr>
          <w:rFonts w:ascii="Calibri" w:eastAsia="Times New Roman" w:hAnsi="Calibri" w:cs="Segoe UI"/>
          <w:color w:val="1F4E79" w:themeColor="accent1" w:themeShade="80"/>
          <w:sz w:val="28"/>
          <w:szCs w:val="28"/>
          <w:lang w:eastAsia="it-IT"/>
        </w:rPr>
        <w:t>.</w:t>
      </w:r>
    </w:p>
    <w:p w:rsidR="00B70359" w:rsidRPr="00B208E4" w:rsidRDefault="00B70359"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In questo senso, quin</w:t>
      </w:r>
      <w:r w:rsidR="00A32DA0" w:rsidRPr="00B208E4">
        <w:rPr>
          <w:rFonts w:ascii="Calibri" w:eastAsia="Times New Roman" w:hAnsi="Calibri" w:cs="Segoe UI"/>
          <w:color w:val="1F4E79" w:themeColor="accent1" w:themeShade="80"/>
          <w:sz w:val="28"/>
          <w:szCs w:val="28"/>
          <w:lang w:eastAsia="it-IT"/>
        </w:rPr>
        <w:t>d</w:t>
      </w:r>
      <w:r w:rsidRPr="00B208E4">
        <w:rPr>
          <w:rFonts w:ascii="Calibri" w:eastAsia="Times New Roman" w:hAnsi="Calibri" w:cs="Segoe UI"/>
          <w:color w:val="1F4E79" w:themeColor="accent1" w:themeShade="80"/>
          <w:sz w:val="28"/>
          <w:szCs w:val="28"/>
          <w:lang w:eastAsia="it-IT"/>
        </w:rPr>
        <w:t xml:space="preserve">i, il </w:t>
      </w:r>
      <w:r w:rsidRPr="00B208E4">
        <w:rPr>
          <w:rFonts w:ascii="Calibri" w:eastAsia="Times New Roman" w:hAnsi="Calibri" w:cs="Segoe UI"/>
          <w:i/>
          <w:color w:val="1F4E79" w:themeColor="accent1" w:themeShade="80"/>
          <w:sz w:val="28"/>
          <w:szCs w:val="28"/>
          <w:lang w:eastAsia="it-IT"/>
        </w:rPr>
        <w:t>decisum</w:t>
      </w:r>
      <w:r w:rsidRPr="00B208E4">
        <w:rPr>
          <w:rFonts w:ascii="Calibri" w:eastAsia="Times New Roman" w:hAnsi="Calibri" w:cs="Segoe UI"/>
          <w:color w:val="1F4E79" w:themeColor="accent1" w:themeShade="80"/>
          <w:sz w:val="28"/>
          <w:szCs w:val="28"/>
          <w:lang w:eastAsia="it-IT"/>
        </w:rPr>
        <w:t xml:space="preserve"> della Corte costituzionale, lungi dal rappresentare una svolta “restrittiva” del precedente diritto vivente, non fa che riprendere il filo ininterrotto di una lettura </w:t>
      </w:r>
      <w:r w:rsidR="008B7C6C">
        <w:rPr>
          <w:rFonts w:ascii="Calibri" w:eastAsia="Times New Roman" w:hAnsi="Calibri" w:cs="Segoe UI"/>
          <w:color w:val="1F4E79" w:themeColor="accent1" w:themeShade="80"/>
          <w:sz w:val="28"/>
          <w:szCs w:val="28"/>
          <w:lang w:eastAsia="it-IT"/>
        </w:rPr>
        <w:t xml:space="preserve">omogenea </w:t>
      </w:r>
      <w:r w:rsidRPr="00B208E4">
        <w:rPr>
          <w:rFonts w:ascii="Calibri" w:eastAsia="Times New Roman" w:hAnsi="Calibri" w:cs="Segoe UI"/>
          <w:color w:val="1F4E79" w:themeColor="accent1" w:themeShade="80"/>
          <w:sz w:val="28"/>
          <w:szCs w:val="28"/>
          <w:lang w:eastAsia="it-IT"/>
        </w:rPr>
        <w:t>dell’art. 111 della Costituzione, sufficientemente chiara e certa nel suo funzionamento pratico</w:t>
      </w:r>
      <w:r w:rsidRPr="00B208E4">
        <w:rPr>
          <w:rStyle w:val="Rimandonotaapidipagina"/>
          <w:rFonts w:ascii="Calibri" w:eastAsia="Times New Roman" w:hAnsi="Calibri" w:cs="Segoe UI"/>
          <w:color w:val="1F4E79" w:themeColor="accent1" w:themeShade="80"/>
          <w:sz w:val="28"/>
          <w:szCs w:val="28"/>
          <w:lang w:eastAsia="it-IT"/>
        </w:rPr>
        <w:footnoteReference w:id="7"/>
      </w:r>
      <w:r w:rsidRPr="00B208E4">
        <w:rPr>
          <w:rFonts w:ascii="Calibri" w:eastAsia="Times New Roman" w:hAnsi="Calibri" w:cs="Segoe UI"/>
          <w:color w:val="1F4E79" w:themeColor="accent1" w:themeShade="80"/>
          <w:sz w:val="28"/>
          <w:szCs w:val="28"/>
          <w:lang w:eastAsia="it-IT"/>
        </w:rPr>
        <w:t>.</w:t>
      </w:r>
    </w:p>
    <w:p w:rsidR="00960000" w:rsidRPr="00B208E4" w:rsidRDefault="00A23E5A"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La Corte costituzionale </w:t>
      </w:r>
      <w:r w:rsidR="003561F0" w:rsidRPr="00B208E4">
        <w:rPr>
          <w:rFonts w:ascii="Calibri" w:eastAsia="Times New Roman" w:hAnsi="Calibri" w:cs="Segoe UI"/>
          <w:color w:val="1F4E79" w:themeColor="accent1" w:themeShade="80"/>
          <w:sz w:val="28"/>
          <w:szCs w:val="28"/>
          <w:lang w:eastAsia="it-IT"/>
        </w:rPr>
        <w:t xml:space="preserve">afferma </w:t>
      </w:r>
      <w:r w:rsidR="00960000" w:rsidRPr="00B208E4">
        <w:rPr>
          <w:rFonts w:ascii="Calibri" w:eastAsia="Times New Roman" w:hAnsi="Calibri" w:cs="Segoe UI"/>
          <w:color w:val="1F4E79" w:themeColor="accent1" w:themeShade="80"/>
          <w:sz w:val="28"/>
          <w:szCs w:val="28"/>
          <w:lang w:eastAsia="it-IT"/>
        </w:rPr>
        <w:t xml:space="preserve">perentoriamente </w:t>
      </w:r>
      <w:r w:rsidR="003561F0" w:rsidRPr="00B208E4">
        <w:rPr>
          <w:rFonts w:ascii="Calibri" w:eastAsia="Times New Roman" w:hAnsi="Calibri" w:cs="Segoe UI"/>
          <w:color w:val="1F4E79" w:themeColor="accent1" w:themeShade="80"/>
          <w:sz w:val="28"/>
          <w:szCs w:val="28"/>
          <w:lang w:eastAsia="it-IT"/>
        </w:rPr>
        <w:t xml:space="preserve">che la tesi </w:t>
      </w:r>
      <w:r w:rsidR="00960000" w:rsidRPr="00B208E4">
        <w:rPr>
          <w:rFonts w:ascii="Calibri" w:eastAsia="Times New Roman" w:hAnsi="Calibri" w:cs="Segoe UI"/>
          <w:color w:val="1F4E79" w:themeColor="accent1" w:themeShade="80"/>
          <w:sz w:val="28"/>
          <w:szCs w:val="28"/>
          <w:lang w:eastAsia="it-IT"/>
        </w:rPr>
        <w:t>estensiva</w:t>
      </w:r>
      <w:r w:rsidR="003561F0" w:rsidRPr="00B208E4">
        <w:rPr>
          <w:rFonts w:ascii="Calibri" w:eastAsia="Times New Roman" w:hAnsi="Calibri" w:cs="Segoe UI"/>
          <w:color w:val="1F4E79" w:themeColor="accent1" w:themeShade="80"/>
          <w:sz w:val="28"/>
          <w:szCs w:val="28"/>
          <w:lang w:eastAsia="it-IT"/>
        </w:rPr>
        <w:t xml:space="preserve">, </w:t>
      </w:r>
      <w:r w:rsidR="00960000" w:rsidRPr="00B208E4">
        <w:rPr>
          <w:rFonts w:ascii="Calibri" w:eastAsia="Times New Roman" w:hAnsi="Calibri" w:cs="Segoe UI"/>
          <w:color w:val="1F4E79" w:themeColor="accent1" w:themeShade="80"/>
          <w:sz w:val="28"/>
          <w:szCs w:val="28"/>
          <w:lang w:eastAsia="it-IT"/>
        </w:rPr>
        <w:t xml:space="preserve">secondo cui </w:t>
      </w:r>
      <w:r w:rsidR="003561F0" w:rsidRPr="00B208E4">
        <w:rPr>
          <w:rFonts w:ascii="Calibri" w:eastAsia="Times New Roman" w:hAnsi="Calibri" w:cs="Segoe UI"/>
          <w:color w:val="1F4E79" w:themeColor="accent1" w:themeShade="80"/>
          <w:sz w:val="28"/>
          <w:szCs w:val="28"/>
          <w:lang w:eastAsia="it-IT"/>
        </w:rPr>
        <w:t xml:space="preserve">il ricorso in Cassazione per motivi inerenti alla giurisdizione </w:t>
      </w:r>
      <w:r w:rsidR="008B7C6C">
        <w:rPr>
          <w:rFonts w:ascii="Calibri" w:eastAsia="Times New Roman" w:hAnsi="Calibri" w:cs="Segoe UI"/>
          <w:color w:val="1F4E79" w:themeColor="accent1" w:themeShade="80"/>
          <w:sz w:val="28"/>
          <w:szCs w:val="28"/>
          <w:lang w:eastAsia="it-IT"/>
        </w:rPr>
        <w:t>dovrebbe comprendere</w:t>
      </w:r>
      <w:r w:rsidR="003561F0" w:rsidRPr="00B208E4">
        <w:rPr>
          <w:rFonts w:ascii="Calibri" w:eastAsia="Times New Roman" w:hAnsi="Calibri" w:cs="Segoe UI"/>
          <w:color w:val="1F4E79" w:themeColor="accent1" w:themeShade="80"/>
          <w:sz w:val="28"/>
          <w:szCs w:val="28"/>
          <w:lang w:eastAsia="it-IT"/>
        </w:rPr>
        <w:t xml:space="preserve"> anche il sindacato su </w:t>
      </w:r>
      <w:r w:rsidR="003561F0" w:rsidRPr="00B208E4">
        <w:rPr>
          <w:rFonts w:ascii="Calibri" w:eastAsia="Times New Roman" w:hAnsi="Calibri" w:cs="Segoe UI"/>
          <w:i/>
          <w:color w:val="1F4E79" w:themeColor="accent1" w:themeShade="80"/>
          <w:sz w:val="28"/>
          <w:szCs w:val="28"/>
          <w:lang w:eastAsia="it-IT"/>
        </w:rPr>
        <w:t xml:space="preserve">errores in procedendo </w:t>
      </w:r>
      <w:r w:rsidR="003561F0" w:rsidRPr="00B208E4">
        <w:rPr>
          <w:rFonts w:ascii="Calibri" w:eastAsia="Times New Roman" w:hAnsi="Calibri" w:cs="Segoe UI"/>
          <w:color w:val="1F4E79" w:themeColor="accent1" w:themeShade="80"/>
          <w:sz w:val="28"/>
          <w:szCs w:val="28"/>
          <w:lang w:eastAsia="it-IT"/>
        </w:rPr>
        <w:t xml:space="preserve">o </w:t>
      </w:r>
      <w:r w:rsidR="003561F0" w:rsidRPr="00B208E4">
        <w:rPr>
          <w:rFonts w:ascii="Calibri" w:eastAsia="Times New Roman" w:hAnsi="Calibri" w:cs="Segoe UI"/>
          <w:i/>
          <w:color w:val="1F4E79" w:themeColor="accent1" w:themeShade="80"/>
          <w:sz w:val="28"/>
          <w:szCs w:val="28"/>
          <w:lang w:eastAsia="it-IT"/>
        </w:rPr>
        <w:t>in iudicando</w:t>
      </w:r>
      <w:r w:rsidR="003561F0" w:rsidRPr="00B208E4">
        <w:rPr>
          <w:rFonts w:ascii="Calibri" w:eastAsia="Times New Roman" w:hAnsi="Calibri" w:cs="Segoe UI"/>
          <w:color w:val="1F4E79" w:themeColor="accent1" w:themeShade="80"/>
          <w:sz w:val="28"/>
          <w:szCs w:val="28"/>
          <w:lang w:eastAsia="it-IT"/>
        </w:rPr>
        <w:t xml:space="preserve"> </w:t>
      </w:r>
      <w:r w:rsidR="00960000" w:rsidRPr="00B208E4">
        <w:rPr>
          <w:rFonts w:ascii="Calibri" w:eastAsia="Times New Roman" w:hAnsi="Calibri" w:cs="Segoe UI"/>
          <w:color w:val="1F4E79" w:themeColor="accent1" w:themeShade="80"/>
          <w:sz w:val="28"/>
          <w:szCs w:val="28"/>
          <w:lang w:eastAsia="it-IT"/>
        </w:rPr>
        <w:t>in cui sia eventualmente incorso il giudice amministrativo di ultimo grado</w:t>
      </w:r>
      <w:r w:rsidR="00C73DCD">
        <w:rPr>
          <w:rFonts w:ascii="Calibri" w:eastAsia="Times New Roman" w:hAnsi="Calibri" w:cs="Segoe UI"/>
          <w:color w:val="1F4E79" w:themeColor="accent1" w:themeShade="80"/>
          <w:sz w:val="28"/>
          <w:szCs w:val="28"/>
          <w:lang w:eastAsia="it-IT"/>
        </w:rPr>
        <w:t>,</w:t>
      </w:r>
      <w:r w:rsidR="00960000" w:rsidRPr="00B208E4">
        <w:rPr>
          <w:rFonts w:ascii="Calibri" w:eastAsia="Times New Roman" w:hAnsi="Calibri" w:cs="Segoe UI"/>
          <w:color w:val="1F4E79" w:themeColor="accent1" w:themeShade="80"/>
          <w:sz w:val="28"/>
          <w:szCs w:val="28"/>
          <w:lang w:eastAsia="it-IT"/>
        </w:rPr>
        <w:t xml:space="preserve"> </w:t>
      </w:r>
      <w:r w:rsidR="003561F0" w:rsidRPr="00B208E4">
        <w:rPr>
          <w:rFonts w:ascii="Calibri" w:eastAsia="Times New Roman" w:hAnsi="Calibri" w:cs="Segoe UI"/>
          <w:color w:val="1F4E79" w:themeColor="accent1" w:themeShade="80"/>
          <w:sz w:val="28"/>
          <w:szCs w:val="28"/>
          <w:lang w:eastAsia="it-IT"/>
        </w:rPr>
        <w:t xml:space="preserve">non può </w:t>
      </w:r>
      <w:r w:rsidR="00960000" w:rsidRPr="00B208E4">
        <w:rPr>
          <w:rFonts w:ascii="Calibri" w:eastAsia="Times New Roman" w:hAnsi="Calibri" w:cs="Segoe UI"/>
          <w:color w:val="1F4E79" w:themeColor="accent1" w:themeShade="80"/>
          <w:sz w:val="28"/>
          <w:szCs w:val="28"/>
          <w:lang w:eastAsia="it-IT"/>
        </w:rPr>
        <w:t xml:space="preserve">affatto </w:t>
      </w:r>
      <w:r w:rsidR="003561F0" w:rsidRPr="00B208E4">
        <w:rPr>
          <w:rFonts w:ascii="Calibri" w:eastAsia="Times New Roman" w:hAnsi="Calibri" w:cs="Segoe UI"/>
          <w:color w:val="1F4E79" w:themeColor="accent1" w:themeShade="80"/>
          <w:sz w:val="28"/>
          <w:szCs w:val="28"/>
          <w:lang w:eastAsia="it-IT"/>
        </w:rPr>
        <w:t>qualificarsi "</w:t>
      </w:r>
      <w:r w:rsidR="003561F0" w:rsidRPr="00B208E4">
        <w:rPr>
          <w:rFonts w:ascii="Calibri" w:eastAsia="Times New Roman" w:hAnsi="Calibri" w:cs="Segoe UI"/>
          <w:i/>
          <w:color w:val="1F4E79" w:themeColor="accent1" w:themeShade="80"/>
          <w:sz w:val="28"/>
          <w:szCs w:val="28"/>
          <w:lang w:eastAsia="it-IT"/>
        </w:rPr>
        <w:t>evolutiva</w:t>
      </w:r>
      <w:r w:rsidR="003561F0" w:rsidRPr="00B208E4">
        <w:rPr>
          <w:rFonts w:ascii="Calibri" w:eastAsia="Times New Roman" w:hAnsi="Calibri" w:cs="Segoe UI"/>
          <w:color w:val="1F4E79" w:themeColor="accent1" w:themeShade="80"/>
          <w:sz w:val="28"/>
          <w:szCs w:val="28"/>
          <w:lang w:eastAsia="it-IT"/>
        </w:rPr>
        <w:t>" e "</w:t>
      </w:r>
      <w:r w:rsidR="003561F0" w:rsidRPr="00B208E4">
        <w:rPr>
          <w:rFonts w:ascii="Calibri" w:eastAsia="Times New Roman" w:hAnsi="Calibri" w:cs="Segoe UI"/>
          <w:i/>
          <w:color w:val="1F4E79" w:themeColor="accent1" w:themeShade="80"/>
          <w:sz w:val="28"/>
          <w:szCs w:val="28"/>
          <w:lang w:eastAsia="it-IT"/>
        </w:rPr>
        <w:t>dinamica</w:t>
      </w:r>
      <w:r w:rsidR="003561F0" w:rsidRPr="00B208E4">
        <w:rPr>
          <w:rFonts w:ascii="Calibri" w:eastAsia="Times New Roman" w:hAnsi="Calibri" w:cs="Segoe UI"/>
          <w:color w:val="1F4E79" w:themeColor="accent1" w:themeShade="80"/>
          <w:sz w:val="28"/>
          <w:szCs w:val="28"/>
          <w:lang w:eastAsia="it-IT"/>
        </w:rPr>
        <w:t xml:space="preserve">", perché </w:t>
      </w:r>
      <w:r w:rsidR="00960000" w:rsidRPr="00B208E4">
        <w:rPr>
          <w:rFonts w:ascii="Calibri" w:eastAsia="Times New Roman" w:hAnsi="Calibri" w:cs="Segoe UI"/>
          <w:color w:val="1F4E79" w:themeColor="accent1" w:themeShade="80"/>
          <w:sz w:val="28"/>
          <w:szCs w:val="28"/>
          <w:lang w:eastAsia="it-IT"/>
        </w:rPr>
        <w:t xml:space="preserve">essa è comunque </w:t>
      </w:r>
      <w:r w:rsidR="003561F0" w:rsidRPr="00B208E4">
        <w:rPr>
          <w:rFonts w:ascii="Calibri" w:eastAsia="Times New Roman" w:hAnsi="Calibri" w:cs="Segoe UI"/>
          <w:color w:val="1F4E79" w:themeColor="accent1" w:themeShade="80"/>
          <w:sz w:val="28"/>
          <w:szCs w:val="28"/>
          <w:lang w:eastAsia="it-IT"/>
        </w:rPr>
        <w:t>incompatibile</w:t>
      </w:r>
      <w:r w:rsidR="008B7C6C">
        <w:rPr>
          <w:rFonts w:ascii="Calibri" w:eastAsia="Times New Roman" w:hAnsi="Calibri" w:cs="Segoe UI"/>
          <w:color w:val="1F4E79" w:themeColor="accent1" w:themeShade="80"/>
          <w:sz w:val="28"/>
          <w:szCs w:val="28"/>
          <w:lang w:eastAsia="it-IT"/>
        </w:rPr>
        <w:t xml:space="preserve"> </w:t>
      </w:r>
      <w:r w:rsidR="003561F0" w:rsidRPr="00B208E4">
        <w:rPr>
          <w:rFonts w:ascii="Calibri" w:eastAsia="Times New Roman" w:hAnsi="Calibri" w:cs="Segoe UI"/>
          <w:color w:val="1F4E79" w:themeColor="accent1" w:themeShade="80"/>
          <w:sz w:val="28"/>
          <w:szCs w:val="28"/>
          <w:lang w:eastAsia="it-IT"/>
        </w:rPr>
        <w:t>con la lettera e lo spir</w:t>
      </w:r>
      <w:r w:rsidR="00960000" w:rsidRPr="00B208E4">
        <w:rPr>
          <w:rFonts w:ascii="Calibri" w:eastAsia="Times New Roman" w:hAnsi="Calibri" w:cs="Segoe UI"/>
          <w:color w:val="1F4E79" w:themeColor="accent1" w:themeShade="80"/>
          <w:sz w:val="28"/>
          <w:szCs w:val="28"/>
          <w:lang w:eastAsia="it-IT"/>
        </w:rPr>
        <w:t>ito della norma costituzionale.</w:t>
      </w:r>
    </w:p>
    <w:p w:rsidR="00960000" w:rsidRPr="00B208E4" w:rsidRDefault="003561F0"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Ne consegue</w:t>
      </w:r>
      <w:r w:rsidR="008B7C6C">
        <w:rPr>
          <w:rFonts w:ascii="Calibri" w:eastAsia="Times New Roman" w:hAnsi="Calibri" w:cs="Segoe UI"/>
          <w:color w:val="1F4E79" w:themeColor="accent1" w:themeShade="80"/>
          <w:sz w:val="28"/>
          <w:szCs w:val="28"/>
          <w:lang w:eastAsia="it-IT"/>
        </w:rPr>
        <w:t>, pertanto,</w:t>
      </w:r>
      <w:r w:rsidRPr="00B208E4">
        <w:rPr>
          <w:rFonts w:ascii="Calibri" w:eastAsia="Times New Roman" w:hAnsi="Calibri" w:cs="Segoe UI"/>
          <w:color w:val="1F4E79" w:themeColor="accent1" w:themeShade="80"/>
          <w:sz w:val="28"/>
          <w:szCs w:val="28"/>
          <w:lang w:eastAsia="it-IT"/>
        </w:rPr>
        <w:t xml:space="preserve"> che deve ritenersi inammissibile ogni interpretazione che consenta una più o meno completa assimilazione del ricorso in Cassazione avverso le sentenze del Consiglio di Stato e della Corte dei conti per "motivi inerenti alla giurisdizione" con il ricorso in Cassazione per violazione di legge</w:t>
      </w:r>
      <w:r w:rsidR="00960000" w:rsidRPr="00B208E4">
        <w:rPr>
          <w:rFonts w:ascii="Calibri" w:eastAsia="Times New Roman" w:hAnsi="Calibri" w:cs="Segoe UI"/>
          <w:color w:val="1F4E79" w:themeColor="accent1" w:themeShade="80"/>
          <w:sz w:val="28"/>
          <w:szCs w:val="28"/>
          <w:lang w:eastAsia="it-IT"/>
        </w:rPr>
        <w:t>, previsto dalla Costituzione solo in relazione alle decisioni dei giudici speciali</w:t>
      </w:r>
      <w:r w:rsidRPr="00B208E4">
        <w:rPr>
          <w:rFonts w:ascii="Calibri" w:eastAsia="Times New Roman" w:hAnsi="Calibri" w:cs="Segoe UI"/>
          <w:color w:val="1F4E79" w:themeColor="accent1" w:themeShade="80"/>
          <w:sz w:val="28"/>
          <w:szCs w:val="28"/>
          <w:lang w:eastAsia="it-IT"/>
        </w:rPr>
        <w:t>.</w:t>
      </w:r>
    </w:p>
    <w:p w:rsidR="00491513" w:rsidRPr="00B208E4" w:rsidRDefault="00960000"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La sentenza n. 6/2018 chiari</w:t>
      </w:r>
      <w:r w:rsidR="006A7DD1">
        <w:rPr>
          <w:rFonts w:ascii="Calibri" w:eastAsia="Times New Roman" w:hAnsi="Calibri" w:cs="Segoe UI"/>
          <w:color w:val="1F4E79" w:themeColor="accent1" w:themeShade="80"/>
          <w:sz w:val="28"/>
          <w:szCs w:val="28"/>
          <w:lang w:eastAsia="it-IT"/>
        </w:rPr>
        <w:t>sce, poi,</w:t>
      </w:r>
      <w:r w:rsidRPr="00B208E4">
        <w:rPr>
          <w:rFonts w:ascii="Calibri" w:eastAsia="Times New Roman" w:hAnsi="Calibri" w:cs="Segoe UI"/>
          <w:color w:val="1F4E79" w:themeColor="accent1" w:themeShade="80"/>
          <w:sz w:val="28"/>
          <w:szCs w:val="28"/>
          <w:lang w:eastAsia="it-IT"/>
        </w:rPr>
        <w:t xml:space="preserve"> che l</w:t>
      </w:r>
      <w:r w:rsidR="003561F0" w:rsidRPr="00B208E4">
        <w:rPr>
          <w:rFonts w:ascii="Calibri" w:eastAsia="Times New Roman" w:hAnsi="Calibri" w:cs="Segoe UI"/>
          <w:color w:val="1F4E79" w:themeColor="accent1" w:themeShade="80"/>
          <w:sz w:val="28"/>
          <w:szCs w:val="28"/>
          <w:lang w:eastAsia="it-IT"/>
        </w:rPr>
        <w:t xml:space="preserve">'intervento delle sezioni unite, in sede di controllo di giurisdizione, nemmeno può essere giustificato dalla </w:t>
      </w:r>
      <w:r w:rsidRPr="00B208E4">
        <w:rPr>
          <w:rFonts w:ascii="Calibri" w:eastAsia="Times New Roman" w:hAnsi="Calibri" w:cs="Segoe UI"/>
          <w:color w:val="1F4E79" w:themeColor="accent1" w:themeShade="80"/>
          <w:sz w:val="28"/>
          <w:szCs w:val="28"/>
          <w:lang w:eastAsia="it-IT"/>
        </w:rPr>
        <w:t xml:space="preserve">prospettata </w:t>
      </w:r>
      <w:r w:rsidR="003561F0" w:rsidRPr="00B208E4">
        <w:rPr>
          <w:rFonts w:ascii="Calibri" w:eastAsia="Times New Roman" w:hAnsi="Calibri" w:cs="Segoe UI"/>
          <w:color w:val="1F4E79" w:themeColor="accent1" w:themeShade="80"/>
          <w:sz w:val="28"/>
          <w:szCs w:val="28"/>
          <w:lang w:eastAsia="it-IT"/>
        </w:rPr>
        <w:t xml:space="preserve">violazione di norme dell'Unione </w:t>
      </w:r>
      <w:r w:rsidR="008B7C6C">
        <w:rPr>
          <w:rFonts w:ascii="Calibri" w:eastAsia="Times New Roman" w:hAnsi="Calibri" w:cs="Segoe UI"/>
          <w:color w:val="1F4E79" w:themeColor="accent1" w:themeShade="80"/>
          <w:sz w:val="28"/>
          <w:szCs w:val="28"/>
          <w:lang w:eastAsia="it-IT"/>
        </w:rPr>
        <w:t xml:space="preserve">europea </w:t>
      </w:r>
      <w:r w:rsidR="003561F0" w:rsidRPr="00B208E4">
        <w:rPr>
          <w:rFonts w:ascii="Calibri" w:eastAsia="Times New Roman" w:hAnsi="Calibri" w:cs="Segoe UI"/>
          <w:color w:val="1F4E79" w:themeColor="accent1" w:themeShade="80"/>
          <w:sz w:val="28"/>
          <w:szCs w:val="28"/>
          <w:lang w:eastAsia="it-IT"/>
        </w:rPr>
        <w:t>o della CEDU, non essendo peraltro chiaro, nell'ordinanza di rimessione e nella stessa giurisprudenza ivi richiamata, se ciò valga sempre ovvero solo in presenza di una sentenza sopravvenuta della Corte di giustizia o della Corte di Strasburgo, caso in cui la giurisprudenza costituzionale auspica la previsione di un nuovo caso di revocazion</w:t>
      </w:r>
      <w:r w:rsidR="00491513" w:rsidRPr="00B208E4">
        <w:rPr>
          <w:rFonts w:ascii="Calibri" w:eastAsia="Times New Roman" w:hAnsi="Calibri" w:cs="Segoe UI"/>
          <w:color w:val="1F4E79" w:themeColor="accent1" w:themeShade="80"/>
          <w:sz w:val="28"/>
          <w:szCs w:val="28"/>
          <w:lang w:eastAsia="it-IT"/>
        </w:rPr>
        <w:t>e ai sensi dell'art. 395 c.p.c.</w:t>
      </w:r>
      <w:r w:rsidR="008B7C6C">
        <w:rPr>
          <w:rFonts w:ascii="Calibri" w:eastAsia="Times New Roman" w:hAnsi="Calibri" w:cs="Segoe UI"/>
          <w:color w:val="1F4E79" w:themeColor="accent1" w:themeShade="80"/>
          <w:sz w:val="28"/>
          <w:szCs w:val="28"/>
          <w:lang w:eastAsia="it-IT"/>
        </w:rPr>
        <w:t xml:space="preserve">, mediante un intervento legislativo idoneo. </w:t>
      </w:r>
    </w:p>
    <w:p w:rsidR="00491513" w:rsidRPr="00B208E4" w:rsidRDefault="00491513"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In questa rigorosa prospettiva, pertanto, </w:t>
      </w:r>
      <w:r w:rsidR="008B7C6C">
        <w:rPr>
          <w:rFonts w:ascii="Calibri" w:eastAsia="Times New Roman" w:hAnsi="Calibri" w:cs="Segoe UI"/>
          <w:color w:val="1F4E79" w:themeColor="accent1" w:themeShade="80"/>
          <w:sz w:val="28"/>
          <w:szCs w:val="28"/>
          <w:lang w:eastAsia="it-IT"/>
        </w:rPr>
        <w:t xml:space="preserve">la nozione di </w:t>
      </w:r>
      <w:r w:rsidR="003561F0" w:rsidRPr="00B208E4">
        <w:rPr>
          <w:rFonts w:ascii="Calibri" w:eastAsia="Times New Roman" w:hAnsi="Calibri" w:cs="Segoe UI"/>
          <w:color w:val="1F4E79" w:themeColor="accent1" w:themeShade="80"/>
          <w:sz w:val="28"/>
          <w:szCs w:val="28"/>
          <w:lang w:eastAsia="it-IT"/>
        </w:rPr>
        <w:t>"</w:t>
      </w:r>
      <w:r w:rsidR="003561F0" w:rsidRPr="008B7C6C">
        <w:rPr>
          <w:rFonts w:ascii="Calibri" w:eastAsia="Times New Roman" w:hAnsi="Calibri" w:cs="Segoe UI"/>
          <w:i/>
          <w:color w:val="1F4E79" w:themeColor="accent1" w:themeShade="80"/>
          <w:sz w:val="28"/>
          <w:szCs w:val="28"/>
          <w:lang w:eastAsia="it-IT"/>
        </w:rPr>
        <w:t>eccesso di potere giudiziario</w:t>
      </w:r>
      <w:r w:rsidR="003561F0" w:rsidRPr="00B208E4">
        <w:rPr>
          <w:rFonts w:ascii="Calibri" w:eastAsia="Times New Roman" w:hAnsi="Calibri" w:cs="Segoe UI"/>
          <w:color w:val="1F4E79" w:themeColor="accent1" w:themeShade="80"/>
          <w:sz w:val="28"/>
          <w:szCs w:val="28"/>
          <w:lang w:eastAsia="it-IT"/>
        </w:rPr>
        <w:t>"</w:t>
      </w:r>
      <w:r w:rsidR="008B7C6C">
        <w:rPr>
          <w:rFonts w:ascii="Calibri" w:eastAsia="Times New Roman" w:hAnsi="Calibri" w:cs="Segoe UI"/>
          <w:color w:val="1F4E79" w:themeColor="accent1" w:themeShade="80"/>
          <w:sz w:val="28"/>
          <w:szCs w:val="28"/>
          <w:lang w:eastAsia="it-IT"/>
        </w:rPr>
        <w:t>, sindacabile mediante il ricorso ex art. 11</w:t>
      </w:r>
      <w:r w:rsidR="0036067E">
        <w:rPr>
          <w:rFonts w:ascii="Calibri" w:eastAsia="Times New Roman" w:hAnsi="Calibri" w:cs="Segoe UI"/>
          <w:color w:val="1F4E79" w:themeColor="accent1" w:themeShade="80"/>
          <w:sz w:val="28"/>
          <w:szCs w:val="28"/>
          <w:lang w:eastAsia="it-IT"/>
        </w:rPr>
        <w:t>1</w:t>
      </w:r>
      <w:r w:rsidR="008B7C6C">
        <w:rPr>
          <w:rFonts w:ascii="Calibri" w:eastAsia="Times New Roman" w:hAnsi="Calibri" w:cs="Segoe UI"/>
          <w:color w:val="1F4E79" w:themeColor="accent1" w:themeShade="80"/>
          <w:sz w:val="28"/>
          <w:szCs w:val="28"/>
          <w:lang w:eastAsia="it-IT"/>
        </w:rPr>
        <w:t>, comma 8,</w:t>
      </w:r>
      <w:r w:rsidR="003561F0" w:rsidRPr="00B208E4">
        <w:rPr>
          <w:rFonts w:ascii="Calibri" w:eastAsia="Times New Roman" w:hAnsi="Calibri" w:cs="Segoe UI"/>
          <w:color w:val="1F4E79" w:themeColor="accent1" w:themeShade="80"/>
          <w:sz w:val="28"/>
          <w:szCs w:val="28"/>
          <w:lang w:eastAsia="it-IT"/>
        </w:rPr>
        <w:t xml:space="preserve"> va riferito alle sole ipotesi di </w:t>
      </w:r>
      <w:r w:rsidR="003561F0" w:rsidRPr="00B208E4">
        <w:rPr>
          <w:rFonts w:ascii="Calibri" w:eastAsia="Times New Roman" w:hAnsi="Calibri" w:cs="Segoe UI"/>
          <w:i/>
          <w:color w:val="1F4E79" w:themeColor="accent1" w:themeShade="80"/>
          <w:sz w:val="28"/>
          <w:szCs w:val="28"/>
          <w:lang w:eastAsia="it-IT"/>
        </w:rPr>
        <w:t>difetto assoluto di giurisdizione</w:t>
      </w:r>
      <w:r w:rsidR="003561F0" w:rsidRPr="00B208E4">
        <w:rPr>
          <w:rFonts w:ascii="Calibri" w:eastAsia="Times New Roman" w:hAnsi="Calibri" w:cs="Segoe UI"/>
          <w:color w:val="1F4E79" w:themeColor="accent1" w:themeShade="80"/>
          <w:sz w:val="28"/>
          <w:szCs w:val="28"/>
          <w:lang w:eastAsia="it-IT"/>
        </w:rPr>
        <w:t xml:space="preserve">, e cioè quando il Consiglio di Stato o la Corte dei conti affermi la propria giurisdizione nella sfera riservata al legislatore o all'amministrazione (cosiddetta </w:t>
      </w:r>
      <w:r w:rsidR="003561F0" w:rsidRPr="00B208E4">
        <w:rPr>
          <w:rFonts w:ascii="Calibri" w:eastAsia="Times New Roman" w:hAnsi="Calibri" w:cs="Segoe UI"/>
          <w:i/>
          <w:color w:val="1F4E79" w:themeColor="accent1" w:themeShade="80"/>
          <w:sz w:val="28"/>
          <w:szCs w:val="28"/>
          <w:lang w:eastAsia="it-IT"/>
        </w:rPr>
        <w:t>invasione</w:t>
      </w:r>
      <w:r w:rsidR="003561F0" w:rsidRPr="00B208E4">
        <w:rPr>
          <w:rFonts w:ascii="Calibri" w:eastAsia="Times New Roman" w:hAnsi="Calibri" w:cs="Segoe UI"/>
          <w:color w:val="1F4E79" w:themeColor="accent1" w:themeShade="80"/>
          <w:sz w:val="28"/>
          <w:szCs w:val="28"/>
          <w:lang w:eastAsia="it-IT"/>
        </w:rPr>
        <w:t xml:space="preserve"> o </w:t>
      </w:r>
      <w:r w:rsidR="003561F0" w:rsidRPr="00B208E4">
        <w:rPr>
          <w:rFonts w:ascii="Calibri" w:eastAsia="Times New Roman" w:hAnsi="Calibri" w:cs="Segoe UI"/>
          <w:i/>
          <w:color w:val="1F4E79" w:themeColor="accent1" w:themeShade="80"/>
          <w:sz w:val="28"/>
          <w:szCs w:val="28"/>
          <w:lang w:eastAsia="it-IT"/>
        </w:rPr>
        <w:t>sconfinamento</w:t>
      </w:r>
      <w:r w:rsidR="003561F0" w:rsidRPr="00B208E4">
        <w:rPr>
          <w:rFonts w:ascii="Calibri" w:eastAsia="Times New Roman" w:hAnsi="Calibri" w:cs="Segoe UI"/>
          <w:color w:val="1F4E79" w:themeColor="accent1" w:themeShade="80"/>
          <w:sz w:val="28"/>
          <w:szCs w:val="28"/>
          <w:lang w:eastAsia="it-IT"/>
        </w:rPr>
        <w:t xml:space="preserve">), ovvero, al contrario, la neghi sull'erroneo presupposto che la materia non può formare oggetto, in via assoluta, di cognizione giurisdizionale (cosiddetto </w:t>
      </w:r>
      <w:r w:rsidR="003561F0" w:rsidRPr="00B208E4">
        <w:rPr>
          <w:rFonts w:ascii="Calibri" w:eastAsia="Times New Roman" w:hAnsi="Calibri" w:cs="Segoe UI"/>
          <w:i/>
          <w:color w:val="1F4E79" w:themeColor="accent1" w:themeShade="80"/>
          <w:sz w:val="28"/>
          <w:szCs w:val="28"/>
          <w:lang w:eastAsia="it-IT"/>
        </w:rPr>
        <w:t>arretramento</w:t>
      </w:r>
      <w:r w:rsidR="003561F0" w:rsidRPr="00B208E4">
        <w:rPr>
          <w:rFonts w:ascii="Calibri" w:eastAsia="Times New Roman" w:hAnsi="Calibri" w:cs="Segoe UI"/>
          <w:color w:val="1F4E79" w:themeColor="accent1" w:themeShade="80"/>
          <w:sz w:val="28"/>
          <w:szCs w:val="28"/>
          <w:lang w:eastAsia="it-IT"/>
        </w:rPr>
        <w:t>); nonché a</w:t>
      </w:r>
      <w:r w:rsidR="008B7C6C">
        <w:rPr>
          <w:rFonts w:ascii="Calibri" w:eastAsia="Times New Roman" w:hAnsi="Calibri" w:cs="Segoe UI"/>
          <w:color w:val="1F4E79" w:themeColor="accent1" w:themeShade="80"/>
          <w:sz w:val="28"/>
          <w:szCs w:val="28"/>
          <w:lang w:eastAsia="it-IT"/>
        </w:rPr>
        <w:t>lle fattispecie</w:t>
      </w:r>
      <w:r w:rsidR="003561F0" w:rsidRPr="00B208E4">
        <w:rPr>
          <w:rFonts w:ascii="Calibri" w:eastAsia="Times New Roman" w:hAnsi="Calibri" w:cs="Segoe UI"/>
          <w:color w:val="1F4E79" w:themeColor="accent1" w:themeShade="80"/>
          <w:sz w:val="28"/>
          <w:szCs w:val="28"/>
          <w:lang w:eastAsia="it-IT"/>
        </w:rPr>
        <w:t xml:space="preserve"> d</w:t>
      </w:r>
      <w:r w:rsidR="008B7C6C">
        <w:rPr>
          <w:rFonts w:ascii="Calibri" w:eastAsia="Times New Roman" w:hAnsi="Calibri" w:cs="Segoe UI"/>
          <w:color w:val="1F4E79" w:themeColor="accent1" w:themeShade="80"/>
          <w:sz w:val="28"/>
          <w:szCs w:val="28"/>
          <w:lang w:eastAsia="it-IT"/>
        </w:rPr>
        <w:t>el</w:t>
      </w:r>
      <w:r w:rsidR="003561F0" w:rsidRPr="00B208E4">
        <w:rPr>
          <w:rFonts w:ascii="Calibri" w:eastAsia="Times New Roman" w:hAnsi="Calibri" w:cs="Segoe UI"/>
          <w:color w:val="1F4E79" w:themeColor="accent1" w:themeShade="80"/>
          <w:sz w:val="28"/>
          <w:szCs w:val="28"/>
          <w:lang w:eastAsia="it-IT"/>
        </w:rPr>
        <w:t xml:space="preserve"> </w:t>
      </w:r>
      <w:r w:rsidR="003561F0" w:rsidRPr="00B208E4">
        <w:rPr>
          <w:rFonts w:ascii="Calibri" w:eastAsia="Times New Roman" w:hAnsi="Calibri" w:cs="Segoe UI"/>
          <w:i/>
          <w:color w:val="1F4E79" w:themeColor="accent1" w:themeShade="80"/>
          <w:sz w:val="28"/>
          <w:szCs w:val="28"/>
          <w:lang w:eastAsia="it-IT"/>
        </w:rPr>
        <w:t>difetto relativo di giurisdizione</w:t>
      </w:r>
      <w:r w:rsidR="00A32DA0" w:rsidRPr="00B208E4">
        <w:rPr>
          <w:rStyle w:val="Rimandonotaapidipagina"/>
          <w:rFonts w:ascii="Calibri" w:eastAsia="Times New Roman" w:hAnsi="Calibri" w:cs="Segoe UI"/>
          <w:i/>
          <w:color w:val="1F4E79" w:themeColor="accent1" w:themeShade="80"/>
          <w:sz w:val="28"/>
          <w:szCs w:val="28"/>
          <w:lang w:eastAsia="it-IT"/>
        </w:rPr>
        <w:footnoteReference w:id="8"/>
      </w:r>
      <w:r w:rsidR="003561F0" w:rsidRPr="00B208E4">
        <w:rPr>
          <w:rFonts w:ascii="Calibri" w:eastAsia="Times New Roman" w:hAnsi="Calibri" w:cs="Segoe UI"/>
          <w:color w:val="1F4E79" w:themeColor="accent1" w:themeShade="80"/>
          <w:sz w:val="28"/>
          <w:szCs w:val="28"/>
          <w:lang w:eastAsia="it-IT"/>
        </w:rPr>
        <w:t>.</w:t>
      </w:r>
    </w:p>
    <w:p w:rsidR="003561F0" w:rsidRPr="00B208E4" w:rsidRDefault="00491513"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La posizione coerente della Corte costituzionale si svolge anche attraverso la chiara affermazione secondo cui</w:t>
      </w:r>
      <w:r w:rsidR="003561F0" w:rsidRPr="00B208E4">
        <w:rPr>
          <w:rFonts w:ascii="Calibri" w:eastAsia="Times New Roman" w:hAnsi="Calibri" w:cs="Segoe UI"/>
          <w:color w:val="1F4E79" w:themeColor="accent1" w:themeShade="80"/>
          <w:sz w:val="28"/>
          <w:szCs w:val="28"/>
          <w:lang w:eastAsia="it-IT"/>
        </w:rPr>
        <w:t xml:space="preserve"> </w:t>
      </w:r>
      <w:r w:rsidRPr="00B208E4">
        <w:rPr>
          <w:rFonts w:ascii="Calibri" w:eastAsia="Times New Roman" w:hAnsi="Calibri" w:cs="Segoe UI"/>
          <w:color w:val="1F4E79" w:themeColor="accent1" w:themeShade="80"/>
          <w:sz w:val="28"/>
          <w:szCs w:val="28"/>
          <w:lang w:eastAsia="it-IT"/>
        </w:rPr>
        <w:t xml:space="preserve">il </w:t>
      </w:r>
      <w:r w:rsidR="003561F0" w:rsidRPr="00B208E4">
        <w:rPr>
          <w:rFonts w:ascii="Calibri" w:eastAsia="Times New Roman" w:hAnsi="Calibri" w:cs="Segoe UI"/>
          <w:color w:val="1F4E79" w:themeColor="accent1" w:themeShade="80"/>
          <w:sz w:val="28"/>
          <w:szCs w:val="28"/>
          <w:lang w:eastAsia="it-IT"/>
        </w:rPr>
        <w:t xml:space="preserve">concetto di </w:t>
      </w:r>
      <w:r w:rsidR="003561F0" w:rsidRPr="00B208E4">
        <w:rPr>
          <w:rFonts w:ascii="Calibri" w:eastAsia="Times New Roman" w:hAnsi="Calibri" w:cs="Segoe UI"/>
          <w:i/>
          <w:color w:val="1F4E79" w:themeColor="accent1" w:themeShade="80"/>
          <w:sz w:val="28"/>
          <w:szCs w:val="28"/>
          <w:lang w:eastAsia="it-IT"/>
        </w:rPr>
        <w:t>controllo di giurisdizione</w:t>
      </w:r>
      <w:r w:rsidR="008B7C6C">
        <w:rPr>
          <w:rFonts w:ascii="Calibri" w:eastAsia="Times New Roman" w:hAnsi="Calibri" w:cs="Segoe UI"/>
          <w:color w:val="1F4E79" w:themeColor="accent1" w:themeShade="80"/>
          <w:sz w:val="28"/>
          <w:szCs w:val="28"/>
          <w:lang w:eastAsia="it-IT"/>
        </w:rPr>
        <w:t xml:space="preserve"> affidato dalla Costituzione alla Cassazione</w:t>
      </w:r>
      <w:r w:rsidR="003561F0" w:rsidRPr="00B208E4">
        <w:rPr>
          <w:rFonts w:ascii="Calibri" w:eastAsia="Times New Roman" w:hAnsi="Calibri" w:cs="Segoe UI"/>
          <w:color w:val="1F4E79" w:themeColor="accent1" w:themeShade="80"/>
          <w:sz w:val="28"/>
          <w:szCs w:val="28"/>
          <w:lang w:eastAsia="it-IT"/>
        </w:rPr>
        <w:t>, così</w:t>
      </w:r>
      <w:r w:rsidR="008B7C6C">
        <w:rPr>
          <w:rFonts w:ascii="Calibri" w:eastAsia="Times New Roman" w:hAnsi="Calibri" w:cs="Segoe UI"/>
          <w:color w:val="1F4E79" w:themeColor="accent1" w:themeShade="80"/>
          <w:sz w:val="28"/>
          <w:szCs w:val="28"/>
          <w:lang w:eastAsia="it-IT"/>
        </w:rPr>
        <w:t xml:space="preserve"> puntualmente</w:t>
      </w:r>
      <w:r w:rsidR="003561F0" w:rsidRPr="00B208E4">
        <w:rPr>
          <w:rFonts w:ascii="Calibri" w:eastAsia="Times New Roman" w:hAnsi="Calibri" w:cs="Segoe UI"/>
          <w:color w:val="1F4E79" w:themeColor="accent1" w:themeShade="80"/>
          <w:sz w:val="28"/>
          <w:szCs w:val="28"/>
          <w:lang w:eastAsia="it-IT"/>
        </w:rPr>
        <w:t xml:space="preserve"> delineato, non ammette </w:t>
      </w:r>
      <w:r w:rsidR="0036067E">
        <w:rPr>
          <w:rFonts w:ascii="Calibri" w:eastAsia="Times New Roman" w:hAnsi="Calibri" w:cs="Segoe UI"/>
          <w:color w:val="1F4E79" w:themeColor="accent1" w:themeShade="80"/>
          <w:sz w:val="28"/>
          <w:szCs w:val="28"/>
          <w:lang w:eastAsia="it-IT"/>
        </w:rPr>
        <w:t xml:space="preserve">nemmeno </w:t>
      </w:r>
      <w:r w:rsidR="003561F0" w:rsidRPr="00B208E4">
        <w:rPr>
          <w:rFonts w:ascii="Calibri" w:eastAsia="Times New Roman" w:hAnsi="Calibri" w:cs="Segoe UI"/>
          <w:color w:val="1F4E79" w:themeColor="accent1" w:themeShade="80"/>
          <w:sz w:val="28"/>
          <w:szCs w:val="28"/>
          <w:lang w:eastAsia="it-IT"/>
        </w:rPr>
        <w:t xml:space="preserve">soluzioni intermedie, come quella pure proposta dal giudice </w:t>
      </w:r>
      <w:r w:rsidR="003561F0" w:rsidRPr="008B7C6C">
        <w:rPr>
          <w:rFonts w:ascii="Calibri" w:eastAsia="Times New Roman" w:hAnsi="Calibri" w:cs="Segoe UI"/>
          <w:i/>
          <w:color w:val="1F4E79" w:themeColor="accent1" w:themeShade="80"/>
          <w:sz w:val="28"/>
          <w:szCs w:val="28"/>
          <w:lang w:eastAsia="it-IT"/>
        </w:rPr>
        <w:t>a quo</w:t>
      </w:r>
      <w:r w:rsidR="003561F0" w:rsidRPr="00B208E4">
        <w:rPr>
          <w:rFonts w:ascii="Calibri" w:eastAsia="Times New Roman" w:hAnsi="Calibri" w:cs="Segoe UI"/>
          <w:color w:val="1F4E79" w:themeColor="accent1" w:themeShade="80"/>
          <w:sz w:val="28"/>
          <w:szCs w:val="28"/>
          <w:lang w:eastAsia="it-IT"/>
        </w:rPr>
        <w:t xml:space="preserve">, </w:t>
      </w:r>
      <w:r w:rsidR="008B7C6C">
        <w:rPr>
          <w:rFonts w:ascii="Calibri" w:eastAsia="Times New Roman" w:hAnsi="Calibri" w:cs="Segoe UI"/>
          <w:color w:val="1F4E79" w:themeColor="accent1" w:themeShade="80"/>
          <w:sz w:val="28"/>
          <w:szCs w:val="28"/>
          <w:lang w:eastAsia="it-IT"/>
        </w:rPr>
        <w:t xml:space="preserve">espressione di un indirizzo minoritario </w:t>
      </w:r>
      <w:r w:rsidR="0036067E">
        <w:rPr>
          <w:rFonts w:ascii="Calibri" w:eastAsia="Times New Roman" w:hAnsi="Calibri" w:cs="Segoe UI"/>
          <w:color w:val="1F4E79" w:themeColor="accent1" w:themeShade="80"/>
          <w:sz w:val="28"/>
          <w:szCs w:val="28"/>
          <w:lang w:eastAsia="it-IT"/>
        </w:rPr>
        <w:t xml:space="preserve">e “moderato” </w:t>
      </w:r>
      <w:r w:rsidR="008B7C6C">
        <w:rPr>
          <w:rFonts w:ascii="Calibri" w:eastAsia="Times New Roman" w:hAnsi="Calibri" w:cs="Segoe UI"/>
          <w:color w:val="1F4E79" w:themeColor="accent1" w:themeShade="80"/>
          <w:sz w:val="28"/>
          <w:szCs w:val="28"/>
          <w:lang w:eastAsia="it-IT"/>
        </w:rPr>
        <w:t xml:space="preserve">delle Sezioni Unite, </w:t>
      </w:r>
      <w:r w:rsidR="003561F0" w:rsidRPr="00B208E4">
        <w:rPr>
          <w:rFonts w:ascii="Calibri" w:eastAsia="Times New Roman" w:hAnsi="Calibri" w:cs="Segoe UI"/>
          <w:color w:val="1F4E79" w:themeColor="accent1" w:themeShade="80"/>
          <w:sz w:val="28"/>
          <w:szCs w:val="28"/>
          <w:lang w:eastAsia="it-IT"/>
        </w:rPr>
        <w:t xml:space="preserve">secondo cui la lettura estensiva </w:t>
      </w:r>
      <w:r w:rsidR="0036067E">
        <w:rPr>
          <w:rFonts w:ascii="Calibri" w:eastAsia="Times New Roman" w:hAnsi="Calibri" w:cs="Segoe UI"/>
          <w:color w:val="1F4E79" w:themeColor="accent1" w:themeShade="80"/>
          <w:sz w:val="28"/>
          <w:szCs w:val="28"/>
          <w:lang w:eastAsia="it-IT"/>
        </w:rPr>
        <w:t xml:space="preserve">dell’art. 111, co. 8, </w:t>
      </w:r>
      <w:r w:rsidR="003561F0" w:rsidRPr="00B208E4">
        <w:rPr>
          <w:rFonts w:ascii="Calibri" w:eastAsia="Times New Roman" w:hAnsi="Calibri" w:cs="Segoe UI"/>
          <w:color w:val="1F4E79" w:themeColor="accent1" w:themeShade="80"/>
          <w:sz w:val="28"/>
          <w:szCs w:val="28"/>
          <w:lang w:eastAsia="it-IT"/>
        </w:rPr>
        <w:t>dovrebbe essere limitata ai casi in cui si sia in presenza di sentenze "</w:t>
      </w:r>
      <w:r w:rsidR="003561F0" w:rsidRPr="00B208E4">
        <w:rPr>
          <w:rFonts w:ascii="Calibri" w:eastAsia="Times New Roman" w:hAnsi="Calibri" w:cs="Segoe UI"/>
          <w:i/>
          <w:color w:val="1F4E79" w:themeColor="accent1" w:themeShade="80"/>
          <w:sz w:val="28"/>
          <w:szCs w:val="28"/>
          <w:lang w:eastAsia="it-IT"/>
        </w:rPr>
        <w:t>abnormi</w:t>
      </w:r>
      <w:r w:rsidR="003561F0" w:rsidRPr="00B208E4">
        <w:rPr>
          <w:rFonts w:ascii="Calibri" w:eastAsia="Times New Roman" w:hAnsi="Calibri" w:cs="Segoe UI"/>
          <w:color w:val="1F4E79" w:themeColor="accent1" w:themeShade="80"/>
          <w:sz w:val="28"/>
          <w:szCs w:val="28"/>
          <w:lang w:eastAsia="it-IT"/>
        </w:rPr>
        <w:t>" o "</w:t>
      </w:r>
      <w:r w:rsidR="003561F0" w:rsidRPr="00B208E4">
        <w:rPr>
          <w:rFonts w:ascii="Calibri" w:eastAsia="Times New Roman" w:hAnsi="Calibri" w:cs="Segoe UI"/>
          <w:i/>
          <w:color w:val="1F4E79" w:themeColor="accent1" w:themeShade="80"/>
          <w:sz w:val="28"/>
          <w:szCs w:val="28"/>
          <w:lang w:eastAsia="it-IT"/>
        </w:rPr>
        <w:t>anomale</w:t>
      </w:r>
      <w:r w:rsidR="003561F0" w:rsidRPr="00B208E4">
        <w:rPr>
          <w:rFonts w:ascii="Calibri" w:eastAsia="Times New Roman" w:hAnsi="Calibri" w:cs="Segoe UI"/>
          <w:color w:val="1F4E79" w:themeColor="accent1" w:themeShade="80"/>
          <w:sz w:val="28"/>
          <w:szCs w:val="28"/>
          <w:lang w:eastAsia="it-IT"/>
        </w:rPr>
        <w:t>"</w:t>
      </w:r>
      <w:r w:rsidR="008B7C6C">
        <w:rPr>
          <w:rFonts w:ascii="Calibri" w:eastAsia="Times New Roman" w:hAnsi="Calibri" w:cs="Segoe UI"/>
          <w:color w:val="1F4E79" w:themeColor="accent1" w:themeShade="80"/>
          <w:sz w:val="28"/>
          <w:szCs w:val="28"/>
          <w:lang w:eastAsia="it-IT"/>
        </w:rPr>
        <w:t>,</w:t>
      </w:r>
      <w:r w:rsidR="003561F0" w:rsidRPr="00B208E4">
        <w:rPr>
          <w:rFonts w:ascii="Calibri" w:eastAsia="Times New Roman" w:hAnsi="Calibri" w:cs="Segoe UI"/>
          <w:color w:val="1F4E79" w:themeColor="accent1" w:themeShade="80"/>
          <w:sz w:val="28"/>
          <w:szCs w:val="28"/>
          <w:lang w:eastAsia="it-IT"/>
        </w:rPr>
        <w:t xml:space="preserve"> ovvero di un</w:t>
      </w:r>
      <w:r w:rsidR="0036067E">
        <w:rPr>
          <w:rFonts w:ascii="Calibri" w:eastAsia="Times New Roman" w:hAnsi="Calibri" w:cs="Segoe UI"/>
          <w:color w:val="1F4E79" w:themeColor="accent1" w:themeShade="80"/>
          <w:sz w:val="28"/>
          <w:szCs w:val="28"/>
          <w:lang w:eastAsia="it-IT"/>
        </w:rPr>
        <w:t xml:space="preserve"> ipotizzat</w:t>
      </w:r>
      <w:r w:rsidR="003561F0" w:rsidRPr="00B208E4">
        <w:rPr>
          <w:rFonts w:ascii="Calibri" w:eastAsia="Times New Roman" w:hAnsi="Calibri" w:cs="Segoe UI"/>
          <w:color w:val="1F4E79" w:themeColor="accent1" w:themeShade="80"/>
          <w:sz w:val="28"/>
          <w:szCs w:val="28"/>
          <w:lang w:eastAsia="it-IT"/>
        </w:rPr>
        <w:t>o "</w:t>
      </w:r>
      <w:r w:rsidR="003561F0" w:rsidRPr="00B208E4">
        <w:rPr>
          <w:rFonts w:ascii="Calibri" w:eastAsia="Times New Roman" w:hAnsi="Calibri" w:cs="Segoe UI"/>
          <w:i/>
          <w:color w:val="1F4E79" w:themeColor="accent1" w:themeShade="80"/>
          <w:sz w:val="28"/>
          <w:szCs w:val="28"/>
          <w:lang w:eastAsia="it-IT"/>
        </w:rPr>
        <w:t>stravolgimento</w:t>
      </w:r>
      <w:r w:rsidR="003561F0" w:rsidRPr="00B208E4">
        <w:rPr>
          <w:rFonts w:ascii="Calibri" w:eastAsia="Times New Roman" w:hAnsi="Calibri" w:cs="Segoe UI"/>
          <w:color w:val="1F4E79" w:themeColor="accent1" w:themeShade="80"/>
          <w:sz w:val="28"/>
          <w:szCs w:val="28"/>
          <w:lang w:eastAsia="it-IT"/>
        </w:rPr>
        <w:t xml:space="preserve">", a volte definito </w:t>
      </w:r>
      <w:r w:rsidR="0036067E">
        <w:rPr>
          <w:rFonts w:ascii="Calibri" w:eastAsia="Times New Roman" w:hAnsi="Calibri" w:cs="Segoe UI"/>
          <w:color w:val="1F4E79" w:themeColor="accent1" w:themeShade="80"/>
          <w:sz w:val="28"/>
          <w:szCs w:val="28"/>
          <w:lang w:eastAsia="it-IT"/>
        </w:rPr>
        <w:t>“</w:t>
      </w:r>
      <w:r w:rsidR="003561F0" w:rsidRPr="0036067E">
        <w:rPr>
          <w:rFonts w:ascii="Calibri" w:eastAsia="Times New Roman" w:hAnsi="Calibri" w:cs="Segoe UI"/>
          <w:i/>
          <w:color w:val="1F4E79" w:themeColor="accent1" w:themeShade="80"/>
          <w:sz w:val="28"/>
          <w:szCs w:val="28"/>
          <w:lang w:eastAsia="it-IT"/>
        </w:rPr>
        <w:t>radicale</w:t>
      </w:r>
      <w:r w:rsidR="0036067E">
        <w:rPr>
          <w:rFonts w:ascii="Calibri" w:eastAsia="Times New Roman" w:hAnsi="Calibri" w:cs="Segoe UI"/>
          <w:color w:val="1F4E79" w:themeColor="accent1" w:themeShade="80"/>
          <w:sz w:val="28"/>
          <w:szCs w:val="28"/>
          <w:lang w:eastAsia="it-IT"/>
        </w:rPr>
        <w:t>”</w:t>
      </w:r>
      <w:r w:rsidR="003561F0" w:rsidRPr="00B208E4">
        <w:rPr>
          <w:rFonts w:ascii="Calibri" w:eastAsia="Times New Roman" w:hAnsi="Calibri" w:cs="Segoe UI"/>
          <w:color w:val="1F4E79" w:themeColor="accent1" w:themeShade="80"/>
          <w:sz w:val="28"/>
          <w:szCs w:val="28"/>
          <w:lang w:eastAsia="it-IT"/>
        </w:rPr>
        <w:t xml:space="preserve">, delle "norme di riferimento". </w:t>
      </w:r>
      <w:r w:rsidRPr="00B208E4">
        <w:rPr>
          <w:rFonts w:ascii="Calibri" w:eastAsia="Times New Roman" w:hAnsi="Calibri" w:cs="Segoe UI"/>
          <w:color w:val="1F4E79" w:themeColor="accent1" w:themeShade="80"/>
          <w:sz w:val="28"/>
          <w:szCs w:val="28"/>
          <w:lang w:eastAsia="it-IT"/>
        </w:rPr>
        <w:t xml:space="preserve">Infatti, attribuire </w:t>
      </w:r>
      <w:r w:rsidR="003561F0" w:rsidRPr="00B208E4">
        <w:rPr>
          <w:rFonts w:ascii="Calibri" w:eastAsia="Times New Roman" w:hAnsi="Calibri" w:cs="Segoe UI"/>
          <w:color w:val="1F4E79" w:themeColor="accent1" w:themeShade="80"/>
          <w:sz w:val="28"/>
          <w:szCs w:val="28"/>
          <w:lang w:eastAsia="it-IT"/>
        </w:rPr>
        <w:t>rilevanza al dato qualitativo della gravità del vizio è, sul piano teorico, incompatibile con la definizione degli ambiti di competenza e, sul piano fattuale, foriero di incertezze, in quanto affidato a valut</w:t>
      </w:r>
      <w:r w:rsidR="008B7C6C">
        <w:rPr>
          <w:rFonts w:ascii="Calibri" w:eastAsia="Times New Roman" w:hAnsi="Calibri" w:cs="Segoe UI"/>
          <w:color w:val="1F4E79" w:themeColor="accent1" w:themeShade="80"/>
          <w:sz w:val="28"/>
          <w:szCs w:val="28"/>
          <w:lang w:eastAsia="it-IT"/>
        </w:rPr>
        <w:t>azioni contingenti e soggettive</w:t>
      </w:r>
      <w:r w:rsidRPr="00B208E4">
        <w:rPr>
          <w:rStyle w:val="Rimandonotaapidipagina"/>
          <w:rFonts w:ascii="Calibri" w:eastAsia="Times New Roman" w:hAnsi="Calibri" w:cs="Segoe UI"/>
          <w:i/>
          <w:color w:val="1F4E79" w:themeColor="accent1" w:themeShade="80"/>
          <w:sz w:val="28"/>
          <w:szCs w:val="28"/>
          <w:lang w:eastAsia="it-IT"/>
        </w:rPr>
        <w:footnoteReference w:id="9"/>
      </w:r>
      <w:r w:rsidR="003561F0" w:rsidRPr="00B208E4">
        <w:rPr>
          <w:rFonts w:ascii="Calibri" w:eastAsia="Times New Roman" w:hAnsi="Calibri" w:cs="Segoe UI"/>
          <w:color w:val="1F4E79" w:themeColor="accent1" w:themeShade="80"/>
          <w:sz w:val="28"/>
          <w:szCs w:val="28"/>
          <w:lang w:eastAsia="it-IT"/>
        </w:rPr>
        <w:t>.</w:t>
      </w:r>
    </w:p>
    <w:p w:rsidR="002A61DD" w:rsidRDefault="002A61DD"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La </w:t>
      </w:r>
      <w:r w:rsidR="001007AD" w:rsidRPr="00B208E4">
        <w:rPr>
          <w:rFonts w:ascii="Calibri" w:eastAsia="Times New Roman" w:hAnsi="Calibri" w:cs="Segoe UI"/>
          <w:color w:val="1F4E79" w:themeColor="accent1" w:themeShade="80"/>
          <w:sz w:val="28"/>
          <w:szCs w:val="28"/>
          <w:lang w:eastAsia="it-IT"/>
        </w:rPr>
        <w:t xml:space="preserve">lettura </w:t>
      </w:r>
      <w:r>
        <w:rPr>
          <w:rFonts w:ascii="Calibri" w:eastAsia="Times New Roman" w:hAnsi="Calibri" w:cs="Segoe UI"/>
          <w:color w:val="1F4E79" w:themeColor="accent1" w:themeShade="80"/>
          <w:sz w:val="28"/>
          <w:szCs w:val="28"/>
          <w:lang w:eastAsia="it-IT"/>
        </w:rPr>
        <w:t xml:space="preserve">dell’art. 111, co. 8 </w:t>
      </w:r>
      <w:r w:rsidR="00C73DCD">
        <w:rPr>
          <w:rFonts w:ascii="Calibri" w:eastAsia="Times New Roman" w:hAnsi="Calibri" w:cs="Segoe UI"/>
          <w:color w:val="1F4E79" w:themeColor="accent1" w:themeShade="80"/>
          <w:sz w:val="28"/>
          <w:szCs w:val="28"/>
          <w:lang w:eastAsia="it-IT"/>
        </w:rPr>
        <w:t>espos</w:t>
      </w:r>
      <w:r w:rsidR="0036067E">
        <w:rPr>
          <w:rFonts w:ascii="Calibri" w:eastAsia="Times New Roman" w:hAnsi="Calibri" w:cs="Segoe UI"/>
          <w:color w:val="1F4E79" w:themeColor="accent1" w:themeShade="80"/>
          <w:sz w:val="28"/>
          <w:szCs w:val="28"/>
          <w:lang w:eastAsia="it-IT"/>
        </w:rPr>
        <w:t xml:space="preserve">ta </w:t>
      </w:r>
      <w:r>
        <w:rPr>
          <w:rFonts w:ascii="Calibri" w:eastAsia="Times New Roman" w:hAnsi="Calibri" w:cs="Segoe UI"/>
          <w:color w:val="1F4E79" w:themeColor="accent1" w:themeShade="80"/>
          <w:sz w:val="28"/>
          <w:szCs w:val="28"/>
          <w:lang w:eastAsia="it-IT"/>
        </w:rPr>
        <w:t>da</w:t>
      </w:r>
      <w:r w:rsidR="001007AD" w:rsidRPr="00B208E4">
        <w:rPr>
          <w:rFonts w:ascii="Calibri" w:eastAsia="Times New Roman" w:hAnsi="Calibri" w:cs="Segoe UI"/>
          <w:color w:val="1F4E79" w:themeColor="accent1" w:themeShade="80"/>
          <w:sz w:val="28"/>
          <w:szCs w:val="28"/>
          <w:lang w:eastAsia="it-IT"/>
        </w:rPr>
        <w:t>lla</w:t>
      </w:r>
      <w:r w:rsidR="00261366" w:rsidRPr="00B208E4">
        <w:rPr>
          <w:rFonts w:ascii="Calibri" w:eastAsia="Times New Roman" w:hAnsi="Calibri" w:cs="Segoe UI"/>
          <w:color w:val="1F4E79" w:themeColor="accent1" w:themeShade="80"/>
          <w:sz w:val="28"/>
          <w:szCs w:val="28"/>
          <w:lang w:eastAsia="it-IT"/>
        </w:rPr>
        <w:t xml:space="preserve"> Corte costituzionale è stata costantemente confermata dalla successiva giurisprudenza delle Sezioni Unite</w:t>
      </w:r>
      <w:r w:rsidR="00261366" w:rsidRPr="00B208E4">
        <w:rPr>
          <w:rStyle w:val="Rimandonotaapidipagina"/>
          <w:rFonts w:ascii="Calibri" w:eastAsia="Times New Roman" w:hAnsi="Calibri" w:cs="Segoe UI"/>
          <w:color w:val="1F4E79" w:themeColor="accent1" w:themeShade="80"/>
          <w:sz w:val="28"/>
          <w:szCs w:val="28"/>
          <w:lang w:eastAsia="it-IT"/>
        </w:rPr>
        <w:footnoteReference w:id="10"/>
      </w:r>
      <w:r>
        <w:rPr>
          <w:rFonts w:ascii="Calibri" w:eastAsia="Times New Roman" w:hAnsi="Calibri" w:cs="Segoe UI"/>
          <w:color w:val="1F4E79" w:themeColor="accent1" w:themeShade="80"/>
          <w:sz w:val="28"/>
          <w:szCs w:val="28"/>
          <w:lang w:eastAsia="it-IT"/>
        </w:rPr>
        <w:t>, senza riserve o limiti</w:t>
      </w:r>
      <w:r w:rsidR="006A7DD1">
        <w:rPr>
          <w:rStyle w:val="Rimandonotaapidipagina"/>
          <w:rFonts w:ascii="Calibri" w:eastAsia="Times New Roman" w:hAnsi="Calibri" w:cs="Segoe UI"/>
          <w:color w:val="1F4E79" w:themeColor="accent1" w:themeShade="80"/>
          <w:sz w:val="28"/>
          <w:szCs w:val="28"/>
          <w:lang w:eastAsia="it-IT"/>
        </w:rPr>
        <w:footnoteReference w:id="11"/>
      </w:r>
      <w:r>
        <w:rPr>
          <w:rFonts w:ascii="Calibri" w:eastAsia="Times New Roman" w:hAnsi="Calibri" w:cs="Segoe UI"/>
          <w:color w:val="1F4E79" w:themeColor="accent1" w:themeShade="80"/>
          <w:sz w:val="28"/>
          <w:szCs w:val="28"/>
          <w:lang w:eastAsia="it-IT"/>
        </w:rPr>
        <w:t xml:space="preserve">, sino alla pronuncia dell’ordinanza n. </w:t>
      </w:r>
      <w:r w:rsidRPr="00A36F83">
        <w:rPr>
          <w:rFonts w:ascii="Calibri" w:eastAsia="Times New Roman" w:hAnsi="Calibri" w:cs="Segoe UI"/>
          <w:color w:val="1F4E79"/>
          <w:sz w:val="28"/>
          <w:szCs w:val="28"/>
          <w:lang w:eastAsia="it-IT"/>
        </w:rPr>
        <w:t>19598</w:t>
      </w:r>
      <w:r>
        <w:rPr>
          <w:rFonts w:ascii="Calibri" w:eastAsia="Times New Roman" w:hAnsi="Calibri" w:cs="Segoe UI"/>
          <w:color w:val="1F4E79"/>
          <w:sz w:val="28"/>
          <w:szCs w:val="28"/>
          <w:lang w:eastAsia="it-IT"/>
        </w:rPr>
        <w:t>/2020</w:t>
      </w:r>
      <w:r w:rsidR="0036067E">
        <w:rPr>
          <w:rFonts w:ascii="Calibri" w:eastAsia="Times New Roman" w:hAnsi="Calibri" w:cs="Segoe UI"/>
          <w:color w:val="1F4E79"/>
          <w:sz w:val="28"/>
          <w:szCs w:val="28"/>
          <w:lang w:eastAsia="it-IT"/>
        </w:rPr>
        <w:t xml:space="preserve">, </w:t>
      </w:r>
      <w:r>
        <w:rPr>
          <w:rFonts w:ascii="Calibri" w:eastAsia="Times New Roman" w:hAnsi="Calibri" w:cs="Segoe UI"/>
          <w:color w:val="1F4E79" w:themeColor="accent1" w:themeShade="80"/>
          <w:sz w:val="28"/>
          <w:szCs w:val="28"/>
          <w:lang w:eastAsia="it-IT"/>
        </w:rPr>
        <w:t>l</w:t>
      </w:r>
      <w:r w:rsidR="00870823" w:rsidRPr="00B208E4">
        <w:rPr>
          <w:rFonts w:ascii="Calibri" w:eastAsia="Times New Roman" w:hAnsi="Calibri" w:cs="Segoe UI"/>
          <w:color w:val="1F4E79" w:themeColor="accent1" w:themeShade="80"/>
          <w:sz w:val="28"/>
          <w:szCs w:val="28"/>
          <w:lang w:eastAsia="it-IT"/>
        </w:rPr>
        <w:t xml:space="preserve">a </w:t>
      </w:r>
      <w:r w:rsidR="0036067E">
        <w:rPr>
          <w:rFonts w:ascii="Calibri" w:eastAsia="Times New Roman" w:hAnsi="Calibri" w:cs="Segoe UI"/>
          <w:color w:val="1F4E79" w:themeColor="accent1" w:themeShade="80"/>
          <w:sz w:val="28"/>
          <w:szCs w:val="28"/>
          <w:lang w:eastAsia="it-IT"/>
        </w:rPr>
        <w:t xml:space="preserve">quale, </w:t>
      </w:r>
      <w:r>
        <w:rPr>
          <w:rFonts w:ascii="Calibri" w:eastAsia="Times New Roman" w:hAnsi="Calibri" w:cs="Segoe UI"/>
          <w:color w:val="1F4E79" w:themeColor="accent1" w:themeShade="80"/>
          <w:sz w:val="28"/>
          <w:szCs w:val="28"/>
          <w:lang w:eastAsia="it-IT"/>
        </w:rPr>
        <w:t xml:space="preserve">invece, manifesta un netto e motivato dissenso </w:t>
      </w:r>
      <w:r w:rsidR="003C7809">
        <w:rPr>
          <w:rFonts w:ascii="Calibri" w:eastAsia="Times New Roman" w:hAnsi="Calibri" w:cs="Segoe UI"/>
          <w:color w:val="1F4E79" w:themeColor="accent1" w:themeShade="80"/>
          <w:sz w:val="28"/>
          <w:szCs w:val="28"/>
          <w:lang w:eastAsia="it-IT"/>
        </w:rPr>
        <w:t>nei confronti de</w:t>
      </w:r>
      <w:r>
        <w:rPr>
          <w:rFonts w:ascii="Calibri" w:eastAsia="Times New Roman" w:hAnsi="Calibri" w:cs="Segoe UI"/>
          <w:color w:val="1F4E79" w:themeColor="accent1" w:themeShade="80"/>
          <w:sz w:val="28"/>
          <w:szCs w:val="28"/>
          <w:lang w:eastAsia="it-IT"/>
        </w:rPr>
        <w:t xml:space="preserve">lle conclusioni raggiunte dalla decisione n. 6/2018, seguendo un </w:t>
      </w:r>
      <w:r w:rsidR="0036067E">
        <w:rPr>
          <w:rFonts w:ascii="Calibri" w:eastAsia="Times New Roman" w:hAnsi="Calibri" w:cs="Segoe UI"/>
          <w:color w:val="1F4E79" w:themeColor="accent1" w:themeShade="80"/>
          <w:sz w:val="28"/>
          <w:szCs w:val="28"/>
          <w:lang w:eastAsia="it-IT"/>
        </w:rPr>
        <w:t xml:space="preserve">originale </w:t>
      </w:r>
      <w:r>
        <w:rPr>
          <w:rFonts w:ascii="Calibri" w:eastAsia="Times New Roman" w:hAnsi="Calibri" w:cs="Segoe UI"/>
          <w:color w:val="1F4E79" w:themeColor="accent1" w:themeShade="80"/>
          <w:sz w:val="28"/>
          <w:szCs w:val="28"/>
          <w:lang w:eastAsia="it-IT"/>
        </w:rPr>
        <w:t>percorso argomentativo e procedimentale.</w:t>
      </w:r>
    </w:p>
    <w:p w:rsidR="008516C7" w:rsidRPr="00B208E4" w:rsidRDefault="002A61DD"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 xml:space="preserve">La divergenza </w:t>
      </w:r>
      <w:r w:rsidR="00870823" w:rsidRPr="00B208E4">
        <w:rPr>
          <w:rFonts w:ascii="Calibri" w:eastAsia="Times New Roman" w:hAnsi="Calibri" w:cs="Segoe UI"/>
          <w:color w:val="1F4E79" w:themeColor="accent1" w:themeShade="80"/>
          <w:sz w:val="28"/>
          <w:szCs w:val="28"/>
          <w:lang w:eastAsia="it-IT"/>
        </w:rPr>
        <w:t>dalla Corte costituzio</w:t>
      </w:r>
      <w:r>
        <w:rPr>
          <w:rFonts w:ascii="Calibri" w:eastAsia="Times New Roman" w:hAnsi="Calibri" w:cs="Segoe UI"/>
          <w:color w:val="1F4E79" w:themeColor="accent1" w:themeShade="80"/>
          <w:sz w:val="28"/>
          <w:szCs w:val="28"/>
          <w:lang w:eastAsia="it-IT"/>
        </w:rPr>
        <w:t>nale</w:t>
      </w:r>
      <w:r w:rsidR="002468E5">
        <w:rPr>
          <w:rFonts w:ascii="Calibri" w:eastAsia="Times New Roman" w:hAnsi="Calibri" w:cs="Segoe UI"/>
          <w:color w:val="1F4E79" w:themeColor="accent1" w:themeShade="80"/>
          <w:sz w:val="28"/>
          <w:szCs w:val="28"/>
          <w:lang w:eastAsia="it-IT"/>
        </w:rPr>
        <w:t xml:space="preserve"> espressa dall’ordinanza in commento</w:t>
      </w:r>
      <w:r w:rsidR="00870823" w:rsidRPr="00B208E4">
        <w:rPr>
          <w:rFonts w:ascii="Calibri" w:eastAsia="Times New Roman" w:hAnsi="Calibri" w:cs="Segoe UI"/>
          <w:color w:val="1F4E79" w:themeColor="accent1" w:themeShade="80"/>
          <w:sz w:val="28"/>
          <w:szCs w:val="28"/>
          <w:lang w:eastAsia="it-IT"/>
        </w:rPr>
        <w:t xml:space="preserve"> non si riduce alla mera riproposizione d</w:t>
      </w:r>
      <w:r>
        <w:rPr>
          <w:rFonts w:ascii="Calibri" w:eastAsia="Times New Roman" w:hAnsi="Calibri" w:cs="Segoe UI"/>
          <w:color w:val="1F4E79" w:themeColor="accent1" w:themeShade="80"/>
          <w:sz w:val="28"/>
          <w:szCs w:val="28"/>
          <w:lang w:eastAsia="it-IT"/>
        </w:rPr>
        <w:t>i tutti od alcuni d</w:t>
      </w:r>
      <w:r w:rsidR="00870823" w:rsidRPr="00B208E4">
        <w:rPr>
          <w:rFonts w:ascii="Calibri" w:eastAsia="Times New Roman" w:hAnsi="Calibri" w:cs="Segoe UI"/>
          <w:color w:val="1F4E79" w:themeColor="accent1" w:themeShade="80"/>
          <w:sz w:val="28"/>
          <w:szCs w:val="28"/>
          <w:lang w:eastAsia="it-IT"/>
        </w:rPr>
        <w:t>egli indirizzi riconducibili alla tesi della “</w:t>
      </w:r>
      <w:r w:rsidR="00870823" w:rsidRPr="002A61DD">
        <w:rPr>
          <w:rFonts w:ascii="Calibri" w:eastAsia="Times New Roman" w:hAnsi="Calibri" w:cs="Segoe UI"/>
          <w:i/>
          <w:color w:val="1F4E79" w:themeColor="accent1" w:themeShade="80"/>
          <w:sz w:val="28"/>
          <w:szCs w:val="28"/>
          <w:lang w:eastAsia="it-IT"/>
        </w:rPr>
        <w:t>giurisdizione dinamica</w:t>
      </w:r>
      <w:r w:rsidR="00870823" w:rsidRPr="00B208E4">
        <w:rPr>
          <w:rFonts w:ascii="Calibri" w:eastAsia="Times New Roman" w:hAnsi="Calibri" w:cs="Segoe UI"/>
          <w:color w:val="1F4E79" w:themeColor="accent1" w:themeShade="80"/>
          <w:sz w:val="28"/>
          <w:szCs w:val="28"/>
          <w:lang w:eastAsia="it-IT"/>
        </w:rPr>
        <w:t>”</w:t>
      </w:r>
      <w:r w:rsidR="0036067E">
        <w:rPr>
          <w:rFonts w:ascii="Calibri" w:eastAsia="Times New Roman" w:hAnsi="Calibri" w:cs="Segoe UI"/>
          <w:color w:val="1F4E79" w:themeColor="accent1" w:themeShade="80"/>
          <w:sz w:val="28"/>
          <w:szCs w:val="28"/>
          <w:lang w:eastAsia="it-IT"/>
        </w:rPr>
        <w:t>, perché l’ordinanza prefigura una nuova definizione dell’ambito applicativo dell’art. 111, co., 8, corrispondente alla verifica della corretta applicazione del diritto europeo</w:t>
      </w:r>
      <w:r w:rsidR="00870823" w:rsidRPr="00B208E4">
        <w:rPr>
          <w:rFonts w:ascii="Calibri" w:eastAsia="Times New Roman" w:hAnsi="Calibri" w:cs="Segoe UI"/>
          <w:color w:val="1F4E79" w:themeColor="accent1" w:themeShade="80"/>
          <w:sz w:val="28"/>
          <w:szCs w:val="28"/>
          <w:lang w:eastAsia="it-IT"/>
        </w:rPr>
        <w:t>.</w:t>
      </w:r>
    </w:p>
    <w:p w:rsidR="00870823" w:rsidRPr="00B208E4" w:rsidRDefault="00870823"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In</w:t>
      </w:r>
      <w:r w:rsidR="002A61DD">
        <w:rPr>
          <w:rFonts w:ascii="Calibri" w:eastAsia="Times New Roman" w:hAnsi="Calibri" w:cs="Segoe UI"/>
          <w:color w:val="1F4E79" w:themeColor="accent1" w:themeShade="80"/>
          <w:sz w:val="28"/>
          <w:szCs w:val="28"/>
          <w:lang w:eastAsia="it-IT"/>
        </w:rPr>
        <w:t xml:space="preserve"> questo modo</w:t>
      </w:r>
      <w:r w:rsidRPr="00B208E4">
        <w:rPr>
          <w:rFonts w:ascii="Calibri" w:eastAsia="Times New Roman" w:hAnsi="Calibri" w:cs="Segoe UI"/>
          <w:color w:val="1F4E79" w:themeColor="accent1" w:themeShade="80"/>
          <w:sz w:val="28"/>
          <w:szCs w:val="28"/>
          <w:lang w:eastAsia="it-IT"/>
        </w:rPr>
        <w:t>, l’auspicata dilatazione del sindacato della Cassazione</w:t>
      </w:r>
      <w:r w:rsidR="003C7809">
        <w:rPr>
          <w:rFonts w:ascii="Calibri" w:eastAsia="Times New Roman" w:hAnsi="Calibri" w:cs="Segoe UI"/>
          <w:color w:val="1F4E79" w:themeColor="accent1" w:themeShade="80"/>
          <w:sz w:val="28"/>
          <w:szCs w:val="28"/>
          <w:lang w:eastAsia="it-IT"/>
        </w:rPr>
        <w:t xml:space="preserve"> sulle decisioni del Consiglio di Stato</w:t>
      </w:r>
      <w:r w:rsidRPr="00B208E4">
        <w:rPr>
          <w:rFonts w:ascii="Calibri" w:eastAsia="Times New Roman" w:hAnsi="Calibri" w:cs="Segoe UI"/>
          <w:color w:val="1F4E79" w:themeColor="accent1" w:themeShade="80"/>
          <w:sz w:val="28"/>
          <w:szCs w:val="28"/>
          <w:lang w:eastAsia="it-IT"/>
        </w:rPr>
        <w:t xml:space="preserve"> è, al tempo stesso, </w:t>
      </w:r>
      <w:r w:rsidRPr="00B208E4">
        <w:rPr>
          <w:rFonts w:ascii="Calibri" w:eastAsia="Times New Roman" w:hAnsi="Calibri" w:cs="Segoe UI"/>
          <w:i/>
          <w:color w:val="1F4E79" w:themeColor="accent1" w:themeShade="80"/>
          <w:sz w:val="28"/>
          <w:szCs w:val="28"/>
          <w:lang w:eastAsia="it-IT"/>
        </w:rPr>
        <w:t>più ampia</w:t>
      </w:r>
      <w:r w:rsidRPr="00B208E4">
        <w:rPr>
          <w:rFonts w:ascii="Calibri" w:eastAsia="Times New Roman" w:hAnsi="Calibri" w:cs="Segoe UI"/>
          <w:color w:val="1F4E79" w:themeColor="accent1" w:themeShade="80"/>
          <w:sz w:val="28"/>
          <w:szCs w:val="28"/>
          <w:lang w:eastAsia="it-IT"/>
        </w:rPr>
        <w:t xml:space="preserve"> e </w:t>
      </w:r>
      <w:r w:rsidRPr="002A61DD">
        <w:rPr>
          <w:rFonts w:ascii="Calibri" w:eastAsia="Times New Roman" w:hAnsi="Calibri" w:cs="Segoe UI"/>
          <w:i/>
          <w:color w:val="1F4E79" w:themeColor="accent1" w:themeShade="80"/>
          <w:sz w:val="28"/>
          <w:szCs w:val="28"/>
          <w:lang w:eastAsia="it-IT"/>
        </w:rPr>
        <w:t>più ristretta</w:t>
      </w:r>
      <w:r w:rsidR="0036067E">
        <w:rPr>
          <w:rFonts w:ascii="Calibri" w:eastAsia="Times New Roman" w:hAnsi="Calibri" w:cs="Segoe UI"/>
          <w:color w:val="1F4E79" w:themeColor="accent1" w:themeShade="80"/>
          <w:sz w:val="28"/>
          <w:szCs w:val="28"/>
          <w:lang w:eastAsia="it-IT"/>
        </w:rPr>
        <w:t>,</w:t>
      </w:r>
      <w:r w:rsidRPr="00B208E4">
        <w:rPr>
          <w:rFonts w:ascii="Calibri" w:eastAsia="Times New Roman" w:hAnsi="Calibri" w:cs="Segoe UI"/>
          <w:color w:val="1F4E79" w:themeColor="accent1" w:themeShade="80"/>
          <w:sz w:val="28"/>
          <w:szCs w:val="28"/>
          <w:lang w:eastAsia="it-IT"/>
        </w:rPr>
        <w:t xml:space="preserve"> rispetto a</w:t>
      </w:r>
      <w:r w:rsidR="003C7809">
        <w:rPr>
          <w:rFonts w:ascii="Calibri" w:eastAsia="Times New Roman" w:hAnsi="Calibri" w:cs="Segoe UI"/>
          <w:color w:val="1F4E79" w:themeColor="accent1" w:themeShade="80"/>
          <w:sz w:val="28"/>
          <w:szCs w:val="28"/>
          <w:lang w:eastAsia="it-IT"/>
        </w:rPr>
        <w:t xml:space="preserve"> quanto preteso</w:t>
      </w:r>
      <w:r w:rsidR="0036067E">
        <w:rPr>
          <w:rFonts w:ascii="Calibri" w:eastAsia="Times New Roman" w:hAnsi="Calibri" w:cs="Segoe UI"/>
          <w:color w:val="1F4E79" w:themeColor="accent1" w:themeShade="80"/>
          <w:sz w:val="28"/>
          <w:szCs w:val="28"/>
          <w:lang w:eastAsia="it-IT"/>
        </w:rPr>
        <w:t>, a suo tempo,</w:t>
      </w:r>
      <w:r w:rsidR="003C7809">
        <w:rPr>
          <w:rFonts w:ascii="Calibri" w:eastAsia="Times New Roman" w:hAnsi="Calibri" w:cs="Segoe UI"/>
          <w:color w:val="1F4E79" w:themeColor="accent1" w:themeShade="80"/>
          <w:sz w:val="28"/>
          <w:szCs w:val="28"/>
          <w:lang w:eastAsia="it-IT"/>
        </w:rPr>
        <w:t xml:space="preserve"> dagli orientamenti de</w:t>
      </w:r>
      <w:r w:rsidRPr="00B208E4">
        <w:rPr>
          <w:rFonts w:ascii="Calibri" w:eastAsia="Times New Roman" w:hAnsi="Calibri" w:cs="Segoe UI"/>
          <w:color w:val="1F4E79" w:themeColor="accent1" w:themeShade="80"/>
          <w:sz w:val="28"/>
          <w:szCs w:val="28"/>
          <w:lang w:eastAsia="it-IT"/>
        </w:rPr>
        <w:t xml:space="preserve">lla giurisprudenza “evolutiva” </w:t>
      </w:r>
      <w:r w:rsidR="003C7809">
        <w:rPr>
          <w:rFonts w:ascii="Calibri" w:eastAsia="Times New Roman" w:hAnsi="Calibri" w:cs="Segoe UI"/>
          <w:color w:val="1F4E79" w:themeColor="accent1" w:themeShade="80"/>
          <w:sz w:val="28"/>
          <w:szCs w:val="28"/>
          <w:lang w:eastAsia="it-IT"/>
        </w:rPr>
        <w:t xml:space="preserve">delle Sezioni Unite, </w:t>
      </w:r>
      <w:r w:rsidRPr="00B208E4">
        <w:rPr>
          <w:rFonts w:ascii="Calibri" w:eastAsia="Times New Roman" w:hAnsi="Calibri" w:cs="Segoe UI"/>
          <w:color w:val="1F4E79" w:themeColor="accent1" w:themeShade="80"/>
          <w:sz w:val="28"/>
          <w:szCs w:val="28"/>
          <w:lang w:eastAsia="it-IT"/>
        </w:rPr>
        <w:t>s</w:t>
      </w:r>
      <w:r w:rsidR="0036067E">
        <w:rPr>
          <w:rFonts w:ascii="Calibri" w:eastAsia="Times New Roman" w:hAnsi="Calibri" w:cs="Segoe UI"/>
          <w:color w:val="1F4E79" w:themeColor="accent1" w:themeShade="80"/>
          <w:sz w:val="28"/>
          <w:szCs w:val="28"/>
          <w:lang w:eastAsia="it-IT"/>
        </w:rPr>
        <w:t>tigmatizzati</w:t>
      </w:r>
      <w:r w:rsidR="003C7809">
        <w:rPr>
          <w:rFonts w:ascii="Calibri" w:eastAsia="Times New Roman" w:hAnsi="Calibri" w:cs="Segoe UI"/>
          <w:color w:val="1F4E79" w:themeColor="accent1" w:themeShade="80"/>
          <w:sz w:val="28"/>
          <w:szCs w:val="28"/>
          <w:lang w:eastAsia="it-IT"/>
        </w:rPr>
        <w:t xml:space="preserve"> </w:t>
      </w:r>
      <w:r w:rsidRPr="00B208E4">
        <w:rPr>
          <w:rFonts w:ascii="Calibri" w:eastAsia="Times New Roman" w:hAnsi="Calibri" w:cs="Segoe UI"/>
          <w:color w:val="1F4E79" w:themeColor="accent1" w:themeShade="80"/>
          <w:sz w:val="28"/>
          <w:szCs w:val="28"/>
          <w:lang w:eastAsia="it-IT"/>
        </w:rPr>
        <w:t>dalla Corte costituzionale:</w:t>
      </w:r>
    </w:p>
    <w:p w:rsidR="00870823" w:rsidRPr="00B208E4" w:rsidRDefault="00870823" w:rsidP="00FB7048">
      <w:pPr>
        <w:pStyle w:val="Paragrafoelenco"/>
        <w:numPr>
          <w:ilvl w:val="0"/>
          <w:numId w:val="13"/>
        </w:numPr>
        <w:shd w:val="clear" w:color="auto" w:fill="FFFFFF"/>
        <w:tabs>
          <w:tab w:val="left" w:pos="0"/>
        </w:tabs>
        <w:spacing w:after="120" w:line="240" w:lineRule="auto"/>
        <w:jc w:val="both"/>
        <w:textAlignment w:val="baseline"/>
        <w:rPr>
          <w:rFonts w:ascii="Calibri" w:eastAsia="Times New Roman" w:hAnsi="Calibri" w:cs="Segoe UI"/>
          <w:color w:val="1F4E79" w:themeColor="accent1" w:themeShade="80"/>
          <w:sz w:val="28"/>
          <w:szCs w:val="28"/>
          <w:lang w:eastAsia="it-IT"/>
        </w:rPr>
      </w:pPr>
      <w:r w:rsidRPr="003C7809">
        <w:rPr>
          <w:rFonts w:ascii="Calibri" w:eastAsia="Times New Roman" w:hAnsi="Calibri" w:cs="Segoe UI"/>
          <w:i/>
          <w:color w:val="1F4E79" w:themeColor="accent1" w:themeShade="80"/>
          <w:sz w:val="28"/>
          <w:szCs w:val="28"/>
          <w:lang w:eastAsia="it-IT"/>
        </w:rPr>
        <w:t>Più ampia</w:t>
      </w:r>
      <w:r w:rsidRPr="00B208E4">
        <w:rPr>
          <w:rFonts w:ascii="Calibri" w:eastAsia="Times New Roman" w:hAnsi="Calibri" w:cs="Segoe UI"/>
          <w:color w:val="1F4E79" w:themeColor="accent1" w:themeShade="80"/>
          <w:sz w:val="28"/>
          <w:szCs w:val="28"/>
          <w:lang w:eastAsia="it-IT"/>
        </w:rPr>
        <w:t>, perché</w:t>
      </w:r>
      <w:r w:rsidR="003C7809">
        <w:rPr>
          <w:rFonts w:ascii="Calibri" w:eastAsia="Times New Roman" w:hAnsi="Calibri" w:cs="Segoe UI"/>
          <w:color w:val="1F4E79" w:themeColor="accent1" w:themeShade="80"/>
          <w:sz w:val="28"/>
          <w:szCs w:val="28"/>
          <w:lang w:eastAsia="it-IT"/>
        </w:rPr>
        <w:t>, se bene si intende il ragionamento espresso dall’ordinanza, il sindacato esteso della Cassazione</w:t>
      </w:r>
      <w:r w:rsidRPr="00B208E4">
        <w:rPr>
          <w:rFonts w:ascii="Calibri" w:eastAsia="Times New Roman" w:hAnsi="Calibri" w:cs="Segoe UI"/>
          <w:color w:val="1F4E79" w:themeColor="accent1" w:themeShade="80"/>
          <w:sz w:val="28"/>
          <w:szCs w:val="28"/>
          <w:lang w:eastAsia="it-IT"/>
        </w:rPr>
        <w:t xml:space="preserve"> </w:t>
      </w:r>
      <w:r w:rsidR="003C7809">
        <w:rPr>
          <w:rFonts w:ascii="Calibri" w:eastAsia="Times New Roman" w:hAnsi="Calibri" w:cs="Segoe UI"/>
          <w:color w:val="1F4E79" w:themeColor="accent1" w:themeShade="80"/>
          <w:sz w:val="28"/>
          <w:szCs w:val="28"/>
          <w:lang w:eastAsia="it-IT"/>
        </w:rPr>
        <w:t>dovrebbe</w:t>
      </w:r>
      <w:r w:rsidRPr="00B208E4">
        <w:rPr>
          <w:rFonts w:ascii="Calibri" w:eastAsia="Times New Roman" w:hAnsi="Calibri" w:cs="Segoe UI"/>
          <w:color w:val="1F4E79" w:themeColor="accent1" w:themeShade="80"/>
          <w:sz w:val="28"/>
          <w:szCs w:val="28"/>
          <w:lang w:eastAsia="it-IT"/>
        </w:rPr>
        <w:t xml:space="preserve"> riferi</w:t>
      </w:r>
      <w:r w:rsidR="003C7809">
        <w:rPr>
          <w:rFonts w:ascii="Calibri" w:eastAsia="Times New Roman" w:hAnsi="Calibri" w:cs="Segoe UI"/>
          <w:color w:val="1F4E79" w:themeColor="accent1" w:themeShade="80"/>
          <w:sz w:val="28"/>
          <w:szCs w:val="28"/>
          <w:lang w:eastAsia="it-IT"/>
        </w:rPr>
        <w:t>rsi</w:t>
      </w:r>
      <w:r w:rsidRPr="00B208E4">
        <w:rPr>
          <w:rFonts w:ascii="Calibri" w:eastAsia="Times New Roman" w:hAnsi="Calibri" w:cs="Segoe UI"/>
          <w:color w:val="1F4E79" w:themeColor="accent1" w:themeShade="80"/>
          <w:sz w:val="28"/>
          <w:szCs w:val="28"/>
          <w:lang w:eastAsia="it-IT"/>
        </w:rPr>
        <w:t xml:space="preserve">, indistintamente, a qualsiasi ipotizzata violazione del diritto UE, sia essa </w:t>
      </w:r>
      <w:r w:rsidR="003C7809">
        <w:rPr>
          <w:rFonts w:ascii="Calibri" w:eastAsia="Times New Roman" w:hAnsi="Calibri" w:cs="Segoe UI"/>
          <w:color w:val="1F4E79" w:themeColor="accent1" w:themeShade="80"/>
          <w:sz w:val="28"/>
          <w:szCs w:val="28"/>
          <w:lang w:eastAsia="it-IT"/>
        </w:rPr>
        <w:t>di natura sostanziale o processuale. Non si tratterebbe, quindi, dei soli casi in cui l’errata applicazione del diritto UE</w:t>
      </w:r>
      <w:r w:rsidRPr="00B208E4">
        <w:rPr>
          <w:rFonts w:ascii="Calibri" w:eastAsia="Times New Roman" w:hAnsi="Calibri" w:cs="Segoe UI"/>
          <w:color w:val="1F4E79" w:themeColor="accent1" w:themeShade="80"/>
          <w:sz w:val="28"/>
          <w:szCs w:val="28"/>
          <w:lang w:eastAsia="it-IT"/>
        </w:rPr>
        <w:t xml:space="preserve"> </w:t>
      </w:r>
      <w:r w:rsidR="003C7809">
        <w:rPr>
          <w:rFonts w:ascii="Calibri" w:eastAsia="Times New Roman" w:hAnsi="Calibri" w:cs="Segoe UI"/>
          <w:color w:val="1F4E79" w:themeColor="accent1" w:themeShade="80"/>
          <w:sz w:val="28"/>
          <w:szCs w:val="28"/>
          <w:lang w:eastAsia="it-IT"/>
        </w:rPr>
        <w:t xml:space="preserve">determini un </w:t>
      </w:r>
      <w:r w:rsidRPr="00B208E4">
        <w:rPr>
          <w:rFonts w:ascii="Calibri" w:eastAsia="Times New Roman" w:hAnsi="Calibri" w:cs="Segoe UI"/>
          <w:color w:val="1F4E79" w:themeColor="accent1" w:themeShade="80"/>
          <w:sz w:val="28"/>
          <w:szCs w:val="28"/>
          <w:lang w:eastAsia="it-IT"/>
        </w:rPr>
        <w:t>“</w:t>
      </w:r>
      <w:r w:rsidRPr="0036067E">
        <w:rPr>
          <w:rFonts w:ascii="Calibri" w:eastAsia="Times New Roman" w:hAnsi="Calibri" w:cs="Segoe UI"/>
          <w:i/>
          <w:color w:val="1F4E79" w:themeColor="accent1" w:themeShade="80"/>
          <w:sz w:val="28"/>
          <w:szCs w:val="28"/>
          <w:lang w:eastAsia="it-IT"/>
        </w:rPr>
        <w:t>rifiuto di giurisdizione</w:t>
      </w:r>
      <w:r w:rsidRPr="00B208E4">
        <w:rPr>
          <w:rFonts w:ascii="Calibri" w:eastAsia="Times New Roman" w:hAnsi="Calibri" w:cs="Segoe UI"/>
          <w:color w:val="1F4E79" w:themeColor="accent1" w:themeShade="80"/>
          <w:sz w:val="28"/>
          <w:szCs w:val="28"/>
          <w:lang w:eastAsia="it-IT"/>
        </w:rPr>
        <w:t>”</w:t>
      </w:r>
      <w:r w:rsidR="005D4E85" w:rsidRPr="00B208E4">
        <w:rPr>
          <w:rStyle w:val="Rimandonotaapidipagina"/>
          <w:rFonts w:ascii="Calibri" w:eastAsia="Times New Roman" w:hAnsi="Calibri" w:cs="Segoe UI"/>
          <w:color w:val="1F4E79" w:themeColor="accent1" w:themeShade="80"/>
          <w:sz w:val="28"/>
          <w:szCs w:val="28"/>
          <w:lang w:eastAsia="it-IT"/>
        </w:rPr>
        <w:footnoteReference w:id="12"/>
      </w:r>
      <w:r w:rsidRPr="00B208E4">
        <w:rPr>
          <w:rFonts w:ascii="Calibri" w:eastAsia="Times New Roman" w:hAnsi="Calibri" w:cs="Segoe UI"/>
          <w:color w:val="1F4E79" w:themeColor="accent1" w:themeShade="80"/>
          <w:sz w:val="28"/>
          <w:szCs w:val="28"/>
          <w:lang w:eastAsia="it-IT"/>
        </w:rPr>
        <w:t xml:space="preserve">, </w:t>
      </w:r>
      <w:r w:rsidR="003C7809">
        <w:rPr>
          <w:rFonts w:ascii="Calibri" w:eastAsia="Times New Roman" w:hAnsi="Calibri" w:cs="Segoe UI"/>
          <w:color w:val="1F4E79" w:themeColor="accent1" w:themeShade="80"/>
          <w:sz w:val="28"/>
          <w:szCs w:val="28"/>
          <w:lang w:eastAsia="it-IT"/>
        </w:rPr>
        <w:t>oppure consista in “</w:t>
      </w:r>
      <w:r w:rsidR="003C7809" w:rsidRPr="0036067E">
        <w:rPr>
          <w:rFonts w:ascii="Calibri" w:eastAsia="Times New Roman" w:hAnsi="Calibri" w:cs="Segoe UI"/>
          <w:i/>
          <w:color w:val="1F4E79" w:themeColor="accent1" w:themeShade="80"/>
          <w:sz w:val="28"/>
          <w:szCs w:val="28"/>
          <w:lang w:eastAsia="it-IT"/>
        </w:rPr>
        <w:t>abnorme errore</w:t>
      </w:r>
      <w:r w:rsidR="003C7809">
        <w:rPr>
          <w:rFonts w:ascii="Calibri" w:eastAsia="Times New Roman" w:hAnsi="Calibri" w:cs="Segoe UI"/>
          <w:color w:val="1F4E79" w:themeColor="accent1" w:themeShade="80"/>
          <w:sz w:val="28"/>
          <w:szCs w:val="28"/>
          <w:lang w:eastAsia="it-IT"/>
        </w:rPr>
        <w:t>”</w:t>
      </w:r>
      <w:r w:rsidR="00C73DCD">
        <w:rPr>
          <w:rFonts w:ascii="Calibri" w:eastAsia="Times New Roman" w:hAnsi="Calibri" w:cs="Segoe UI"/>
          <w:color w:val="1F4E79" w:themeColor="accent1" w:themeShade="80"/>
          <w:sz w:val="28"/>
          <w:szCs w:val="28"/>
          <w:lang w:eastAsia="it-IT"/>
        </w:rPr>
        <w:t>,</w:t>
      </w:r>
      <w:r w:rsidR="0036067E">
        <w:rPr>
          <w:rFonts w:ascii="Calibri" w:eastAsia="Times New Roman" w:hAnsi="Calibri" w:cs="Segoe UI"/>
          <w:color w:val="1F4E79" w:themeColor="accent1" w:themeShade="80"/>
          <w:sz w:val="28"/>
          <w:szCs w:val="28"/>
          <w:lang w:eastAsia="it-IT"/>
        </w:rPr>
        <w:t xml:space="preserve"> o discenda dalla disapplicazione di una puntuale decisione della CGUE</w:t>
      </w:r>
      <w:r w:rsidR="003C7809">
        <w:rPr>
          <w:rFonts w:ascii="Calibri" w:eastAsia="Times New Roman" w:hAnsi="Calibri" w:cs="Segoe UI"/>
          <w:color w:val="1F4E79" w:themeColor="accent1" w:themeShade="80"/>
          <w:sz w:val="28"/>
          <w:szCs w:val="28"/>
          <w:lang w:eastAsia="it-IT"/>
        </w:rPr>
        <w:t xml:space="preserve">. Inoltre, il largo potere di controllo sulle pronunce del Consiglio di Stato esercitato dalla Cassazione dovrebbe estendersi anche alle fattispecie </w:t>
      </w:r>
      <w:r w:rsidRPr="00B208E4">
        <w:rPr>
          <w:rFonts w:ascii="Calibri" w:eastAsia="Times New Roman" w:hAnsi="Calibri" w:cs="Segoe UI"/>
          <w:color w:val="1F4E79" w:themeColor="accent1" w:themeShade="80"/>
          <w:sz w:val="28"/>
          <w:szCs w:val="28"/>
          <w:lang w:eastAsia="it-IT"/>
        </w:rPr>
        <w:t>del mancato rinvio di una questione pregiudiziale alla CGUE, ai sensi dell’art. 267 del TFUE</w:t>
      </w:r>
      <w:r w:rsidR="003C7809">
        <w:rPr>
          <w:rStyle w:val="Rimandonotaapidipagina"/>
          <w:rFonts w:ascii="Calibri" w:eastAsia="Times New Roman" w:hAnsi="Calibri" w:cs="Segoe UI"/>
          <w:color w:val="1F4E79" w:themeColor="accent1" w:themeShade="80"/>
          <w:sz w:val="28"/>
          <w:szCs w:val="28"/>
          <w:lang w:eastAsia="it-IT"/>
        </w:rPr>
        <w:footnoteReference w:id="13"/>
      </w:r>
      <w:r w:rsidR="003C7809">
        <w:rPr>
          <w:rFonts w:ascii="Calibri" w:eastAsia="Times New Roman" w:hAnsi="Calibri" w:cs="Segoe UI"/>
          <w:color w:val="1F4E79" w:themeColor="accent1" w:themeShade="80"/>
          <w:sz w:val="28"/>
          <w:szCs w:val="28"/>
          <w:lang w:eastAsia="it-IT"/>
        </w:rPr>
        <w:t>.</w:t>
      </w:r>
    </w:p>
    <w:p w:rsidR="004F5B8E" w:rsidRPr="00B208E4" w:rsidRDefault="004F5B8E" w:rsidP="00FB7048">
      <w:pPr>
        <w:pStyle w:val="Paragrafoelenco"/>
        <w:numPr>
          <w:ilvl w:val="0"/>
          <w:numId w:val="13"/>
        </w:numPr>
        <w:shd w:val="clear" w:color="auto" w:fill="FFFFFF"/>
        <w:tabs>
          <w:tab w:val="left" w:pos="0"/>
        </w:tabs>
        <w:spacing w:after="120" w:line="240" w:lineRule="auto"/>
        <w:jc w:val="both"/>
        <w:textAlignment w:val="baseline"/>
        <w:rPr>
          <w:rFonts w:ascii="Calibri" w:eastAsia="Times New Roman" w:hAnsi="Calibri" w:cs="Segoe UI"/>
          <w:color w:val="1F4E79" w:themeColor="accent1" w:themeShade="80"/>
          <w:sz w:val="28"/>
          <w:szCs w:val="28"/>
          <w:lang w:eastAsia="it-IT"/>
        </w:rPr>
      </w:pPr>
      <w:r w:rsidRPr="00487965">
        <w:rPr>
          <w:rFonts w:ascii="Calibri" w:eastAsia="Times New Roman" w:hAnsi="Calibri" w:cs="Segoe UI"/>
          <w:i/>
          <w:color w:val="1F4E79" w:themeColor="accent1" w:themeShade="80"/>
          <w:sz w:val="28"/>
          <w:szCs w:val="28"/>
          <w:lang w:eastAsia="it-IT"/>
        </w:rPr>
        <w:t>Più ristretta</w:t>
      </w:r>
      <w:r w:rsidRPr="00B208E4">
        <w:rPr>
          <w:rFonts w:ascii="Calibri" w:eastAsia="Times New Roman" w:hAnsi="Calibri" w:cs="Segoe UI"/>
          <w:color w:val="1F4E79" w:themeColor="accent1" w:themeShade="80"/>
          <w:sz w:val="28"/>
          <w:szCs w:val="28"/>
          <w:lang w:eastAsia="it-IT"/>
        </w:rPr>
        <w:t xml:space="preserve">, perché l’ordinanza si riferisce, indiscutibilmente, alla sola problematica </w:t>
      </w:r>
      <w:r w:rsidR="00487965">
        <w:rPr>
          <w:rFonts w:ascii="Calibri" w:eastAsia="Times New Roman" w:hAnsi="Calibri" w:cs="Segoe UI"/>
          <w:color w:val="1F4E79" w:themeColor="accent1" w:themeShade="80"/>
          <w:sz w:val="28"/>
          <w:szCs w:val="28"/>
          <w:lang w:eastAsia="it-IT"/>
        </w:rPr>
        <w:t xml:space="preserve">riguardante il potere della Cassazione di sindacare </w:t>
      </w:r>
      <w:r w:rsidRPr="00B208E4">
        <w:rPr>
          <w:rFonts w:ascii="Calibri" w:eastAsia="Times New Roman" w:hAnsi="Calibri" w:cs="Segoe UI"/>
          <w:color w:val="1F4E79" w:themeColor="accent1" w:themeShade="80"/>
          <w:sz w:val="28"/>
          <w:szCs w:val="28"/>
          <w:lang w:eastAsia="it-IT"/>
        </w:rPr>
        <w:t>la violazione del diritto dell’Unione europea, senza considerare altre eventualità</w:t>
      </w:r>
      <w:r w:rsidR="00487965">
        <w:rPr>
          <w:rFonts w:ascii="Calibri" w:eastAsia="Times New Roman" w:hAnsi="Calibri" w:cs="Segoe UI"/>
          <w:color w:val="1F4E79" w:themeColor="accent1" w:themeShade="80"/>
          <w:sz w:val="28"/>
          <w:szCs w:val="28"/>
          <w:lang w:eastAsia="it-IT"/>
        </w:rPr>
        <w:t xml:space="preserve"> disciplinate dal solo diritto nazionale</w:t>
      </w:r>
      <w:r w:rsidR="00A70AC3" w:rsidRPr="00B208E4">
        <w:rPr>
          <w:rStyle w:val="Rimandonotaapidipagina"/>
          <w:rFonts w:ascii="Calibri" w:eastAsia="Times New Roman" w:hAnsi="Calibri" w:cs="Segoe UI"/>
          <w:color w:val="1F4E79" w:themeColor="accent1" w:themeShade="80"/>
          <w:sz w:val="28"/>
          <w:szCs w:val="28"/>
          <w:lang w:eastAsia="it-IT"/>
        </w:rPr>
        <w:footnoteReference w:id="14"/>
      </w:r>
      <w:r w:rsidRPr="00B208E4">
        <w:rPr>
          <w:rFonts w:ascii="Calibri" w:eastAsia="Times New Roman" w:hAnsi="Calibri" w:cs="Segoe UI"/>
          <w:color w:val="1F4E79" w:themeColor="accent1" w:themeShade="80"/>
          <w:sz w:val="28"/>
          <w:szCs w:val="28"/>
          <w:lang w:eastAsia="it-IT"/>
        </w:rPr>
        <w:t>.</w:t>
      </w:r>
    </w:p>
    <w:p w:rsidR="004F5B8E" w:rsidRPr="00B208E4" w:rsidRDefault="004F5B8E"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In coerenza con l’impostazione interpretativa </w:t>
      </w:r>
      <w:r w:rsidR="00487965">
        <w:rPr>
          <w:rFonts w:ascii="Calibri" w:eastAsia="Times New Roman" w:hAnsi="Calibri" w:cs="Segoe UI"/>
          <w:color w:val="1F4E79" w:themeColor="accent1" w:themeShade="80"/>
          <w:sz w:val="28"/>
          <w:szCs w:val="28"/>
          <w:lang w:eastAsia="it-IT"/>
        </w:rPr>
        <w:t>e con il mezzo processuale prescelti</w:t>
      </w:r>
      <w:r w:rsidRPr="00B208E4">
        <w:rPr>
          <w:rFonts w:ascii="Calibri" w:eastAsia="Times New Roman" w:hAnsi="Calibri" w:cs="Segoe UI"/>
          <w:color w:val="1F4E79" w:themeColor="accent1" w:themeShade="80"/>
          <w:sz w:val="28"/>
          <w:szCs w:val="28"/>
          <w:lang w:eastAsia="it-IT"/>
        </w:rPr>
        <w:t>,</w:t>
      </w:r>
      <w:r w:rsidR="00477945" w:rsidRPr="00B208E4">
        <w:rPr>
          <w:rFonts w:ascii="Calibri" w:eastAsia="Times New Roman" w:hAnsi="Calibri" w:cs="Segoe UI"/>
          <w:color w:val="1F4E79" w:themeColor="accent1" w:themeShade="80"/>
          <w:sz w:val="28"/>
          <w:szCs w:val="28"/>
          <w:lang w:eastAsia="it-IT"/>
        </w:rPr>
        <w:t xml:space="preserve"> </w:t>
      </w:r>
      <w:r w:rsidRPr="00B208E4">
        <w:rPr>
          <w:rFonts w:ascii="Calibri" w:eastAsia="Times New Roman" w:hAnsi="Calibri" w:cs="Segoe UI"/>
          <w:color w:val="1F4E79" w:themeColor="accent1" w:themeShade="80"/>
          <w:sz w:val="28"/>
          <w:szCs w:val="28"/>
          <w:lang w:eastAsia="it-IT"/>
        </w:rPr>
        <w:t xml:space="preserve">l’ordinanza non spiega quali </w:t>
      </w:r>
      <w:r w:rsidR="00656A94">
        <w:rPr>
          <w:rFonts w:ascii="Calibri" w:eastAsia="Times New Roman" w:hAnsi="Calibri" w:cs="Segoe UI"/>
          <w:color w:val="1F4E79" w:themeColor="accent1" w:themeShade="80"/>
          <w:sz w:val="28"/>
          <w:szCs w:val="28"/>
          <w:lang w:eastAsia="it-IT"/>
        </w:rPr>
        <w:t xml:space="preserve">ulteriori </w:t>
      </w:r>
      <w:r w:rsidRPr="00B208E4">
        <w:rPr>
          <w:rFonts w:ascii="Calibri" w:eastAsia="Times New Roman" w:hAnsi="Calibri" w:cs="Segoe UI"/>
          <w:color w:val="1F4E79" w:themeColor="accent1" w:themeShade="80"/>
          <w:sz w:val="28"/>
          <w:szCs w:val="28"/>
          <w:lang w:eastAsia="it-IT"/>
        </w:rPr>
        <w:t xml:space="preserve">conseguenze applicative “di sistema” </w:t>
      </w:r>
      <w:r w:rsidR="00487965">
        <w:rPr>
          <w:rFonts w:ascii="Calibri" w:eastAsia="Times New Roman" w:hAnsi="Calibri" w:cs="Segoe UI"/>
          <w:color w:val="1F4E79" w:themeColor="accent1" w:themeShade="80"/>
          <w:sz w:val="28"/>
          <w:szCs w:val="28"/>
          <w:lang w:eastAsia="it-IT"/>
        </w:rPr>
        <w:t xml:space="preserve">potrebbero </w:t>
      </w:r>
      <w:r w:rsidRPr="00B208E4">
        <w:rPr>
          <w:rFonts w:ascii="Calibri" w:eastAsia="Times New Roman" w:hAnsi="Calibri" w:cs="Segoe UI"/>
          <w:color w:val="1F4E79" w:themeColor="accent1" w:themeShade="80"/>
          <w:sz w:val="28"/>
          <w:szCs w:val="28"/>
          <w:lang w:eastAsia="it-IT"/>
        </w:rPr>
        <w:t>deriva</w:t>
      </w:r>
      <w:r w:rsidR="00487965">
        <w:rPr>
          <w:rFonts w:ascii="Calibri" w:eastAsia="Times New Roman" w:hAnsi="Calibri" w:cs="Segoe UI"/>
          <w:color w:val="1F4E79" w:themeColor="accent1" w:themeShade="80"/>
          <w:sz w:val="28"/>
          <w:szCs w:val="28"/>
          <w:lang w:eastAsia="it-IT"/>
        </w:rPr>
        <w:t>re</w:t>
      </w:r>
      <w:r w:rsidRPr="00B208E4">
        <w:rPr>
          <w:rFonts w:ascii="Calibri" w:eastAsia="Times New Roman" w:hAnsi="Calibri" w:cs="Segoe UI"/>
          <w:color w:val="1F4E79" w:themeColor="accent1" w:themeShade="80"/>
          <w:sz w:val="28"/>
          <w:szCs w:val="28"/>
          <w:lang w:eastAsia="it-IT"/>
        </w:rPr>
        <w:t xml:space="preserve"> dalla </w:t>
      </w:r>
      <w:r w:rsidR="00656A94">
        <w:rPr>
          <w:rFonts w:ascii="Calibri" w:eastAsia="Times New Roman" w:hAnsi="Calibri" w:cs="Segoe UI"/>
          <w:color w:val="1F4E79" w:themeColor="accent1" w:themeShade="80"/>
          <w:sz w:val="28"/>
          <w:szCs w:val="28"/>
          <w:lang w:eastAsia="it-IT"/>
        </w:rPr>
        <w:t xml:space="preserve">auspicata </w:t>
      </w:r>
      <w:r w:rsidRPr="00B208E4">
        <w:rPr>
          <w:rFonts w:ascii="Calibri" w:eastAsia="Times New Roman" w:hAnsi="Calibri" w:cs="Segoe UI"/>
          <w:color w:val="1F4E79" w:themeColor="accent1" w:themeShade="80"/>
          <w:sz w:val="28"/>
          <w:szCs w:val="28"/>
          <w:lang w:eastAsia="it-IT"/>
        </w:rPr>
        <w:t>pronuncia della Corte di Giustizia</w:t>
      </w:r>
      <w:r w:rsidR="00656A94">
        <w:rPr>
          <w:rFonts w:ascii="Calibri" w:eastAsia="Times New Roman" w:hAnsi="Calibri" w:cs="Segoe UI"/>
          <w:color w:val="1F4E79" w:themeColor="accent1" w:themeShade="80"/>
          <w:sz w:val="28"/>
          <w:szCs w:val="28"/>
          <w:lang w:eastAsia="it-IT"/>
        </w:rPr>
        <w:t xml:space="preserve">, </w:t>
      </w:r>
      <w:r w:rsidR="00D31037">
        <w:rPr>
          <w:rFonts w:ascii="Calibri" w:eastAsia="Times New Roman" w:hAnsi="Calibri" w:cs="Segoe UI"/>
          <w:color w:val="1F4E79" w:themeColor="accent1" w:themeShade="80"/>
          <w:sz w:val="28"/>
          <w:szCs w:val="28"/>
          <w:lang w:eastAsia="it-IT"/>
        </w:rPr>
        <w:t xml:space="preserve">qualora essa dovesse risultare </w:t>
      </w:r>
      <w:r w:rsidR="00656A94">
        <w:rPr>
          <w:rFonts w:ascii="Calibri" w:eastAsia="Times New Roman" w:hAnsi="Calibri" w:cs="Segoe UI"/>
          <w:color w:val="1F4E79" w:themeColor="accent1" w:themeShade="80"/>
          <w:sz w:val="28"/>
          <w:szCs w:val="28"/>
          <w:lang w:eastAsia="it-IT"/>
        </w:rPr>
        <w:t>favorevole ad una estensi</w:t>
      </w:r>
      <w:r w:rsidR="00201143">
        <w:rPr>
          <w:rFonts w:ascii="Calibri" w:eastAsia="Times New Roman" w:hAnsi="Calibri" w:cs="Segoe UI"/>
          <w:color w:val="1F4E79" w:themeColor="accent1" w:themeShade="80"/>
          <w:sz w:val="28"/>
          <w:szCs w:val="28"/>
          <w:lang w:eastAsia="it-IT"/>
        </w:rPr>
        <w:t>one del sindacato sulle pronunce del giudice amministrativo</w:t>
      </w:r>
      <w:r w:rsidR="00487965">
        <w:rPr>
          <w:rFonts w:ascii="Calibri" w:eastAsia="Times New Roman" w:hAnsi="Calibri" w:cs="Segoe UI"/>
          <w:color w:val="1F4E79" w:themeColor="accent1" w:themeShade="80"/>
          <w:sz w:val="28"/>
          <w:szCs w:val="28"/>
          <w:lang w:eastAsia="it-IT"/>
        </w:rPr>
        <w:t xml:space="preserve"> violative delle norme UE</w:t>
      </w:r>
      <w:r w:rsidRPr="00B208E4">
        <w:rPr>
          <w:rFonts w:ascii="Calibri" w:eastAsia="Times New Roman" w:hAnsi="Calibri" w:cs="Segoe UI"/>
          <w:color w:val="1F4E79" w:themeColor="accent1" w:themeShade="80"/>
          <w:sz w:val="28"/>
          <w:szCs w:val="28"/>
          <w:lang w:eastAsia="it-IT"/>
        </w:rPr>
        <w:t>.</w:t>
      </w:r>
    </w:p>
    <w:p w:rsidR="004F5B8E" w:rsidRPr="00B208E4" w:rsidRDefault="004F5B8E"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Ma è ragionevole prevedere che, qualora la C</w:t>
      </w:r>
      <w:r w:rsidR="00487965">
        <w:rPr>
          <w:rFonts w:ascii="Calibri" w:eastAsia="Times New Roman" w:hAnsi="Calibri" w:cs="Segoe UI"/>
          <w:color w:val="1F4E79" w:themeColor="accent1" w:themeShade="80"/>
          <w:sz w:val="28"/>
          <w:szCs w:val="28"/>
          <w:lang w:eastAsia="it-IT"/>
        </w:rPr>
        <w:t>GUE</w:t>
      </w:r>
      <w:r w:rsidRPr="00B208E4">
        <w:rPr>
          <w:rFonts w:ascii="Calibri" w:eastAsia="Times New Roman" w:hAnsi="Calibri" w:cs="Segoe UI"/>
          <w:color w:val="1F4E79" w:themeColor="accent1" w:themeShade="80"/>
          <w:sz w:val="28"/>
          <w:szCs w:val="28"/>
          <w:lang w:eastAsia="it-IT"/>
        </w:rPr>
        <w:t xml:space="preserve"> dovesse</w:t>
      </w:r>
      <w:r w:rsidR="00477945" w:rsidRPr="00B208E4">
        <w:rPr>
          <w:rFonts w:ascii="Calibri" w:eastAsia="Times New Roman" w:hAnsi="Calibri" w:cs="Segoe UI"/>
          <w:color w:val="1F4E79" w:themeColor="accent1" w:themeShade="80"/>
          <w:sz w:val="28"/>
          <w:szCs w:val="28"/>
          <w:lang w:eastAsia="it-IT"/>
        </w:rPr>
        <w:t>, per avventura,</w:t>
      </w:r>
      <w:r w:rsidRPr="00B208E4">
        <w:rPr>
          <w:rFonts w:ascii="Calibri" w:eastAsia="Times New Roman" w:hAnsi="Calibri" w:cs="Segoe UI"/>
          <w:color w:val="1F4E79" w:themeColor="accent1" w:themeShade="80"/>
          <w:sz w:val="28"/>
          <w:szCs w:val="28"/>
          <w:lang w:eastAsia="it-IT"/>
        </w:rPr>
        <w:t xml:space="preserve"> ritenere illegittimo il sistema costituzionale</w:t>
      </w:r>
      <w:r w:rsidR="00487965">
        <w:rPr>
          <w:rFonts w:ascii="Calibri" w:eastAsia="Times New Roman" w:hAnsi="Calibri" w:cs="Segoe UI"/>
          <w:color w:val="1F4E79" w:themeColor="accent1" w:themeShade="80"/>
          <w:sz w:val="28"/>
          <w:szCs w:val="28"/>
          <w:lang w:eastAsia="it-IT"/>
        </w:rPr>
        <w:t xml:space="preserve"> italiano</w:t>
      </w:r>
      <w:r w:rsidRPr="00B208E4">
        <w:rPr>
          <w:rFonts w:ascii="Calibri" w:eastAsia="Times New Roman" w:hAnsi="Calibri" w:cs="Segoe UI"/>
          <w:color w:val="1F4E79" w:themeColor="accent1" w:themeShade="80"/>
          <w:sz w:val="28"/>
          <w:szCs w:val="28"/>
          <w:lang w:eastAsia="it-IT"/>
        </w:rPr>
        <w:t xml:space="preserve">, allargando </w:t>
      </w:r>
      <w:r w:rsidR="00487965">
        <w:rPr>
          <w:rFonts w:ascii="Calibri" w:eastAsia="Times New Roman" w:hAnsi="Calibri" w:cs="Segoe UI"/>
          <w:color w:val="1F4E79" w:themeColor="accent1" w:themeShade="80"/>
          <w:sz w:val="28"/>
          <w:szCs w:val="28"/>
          <w:lang w:eastAsia="it-IT"/>
        </w:rPr>
        <w:t>i</w:t>
      </w:r>
      <w:r w:rsidRPr="00B208E4">
        <w:rPr>
          <w:rFonts w:ascii="Calibri" w:eastAsia="Times New Roman" w:hAnsi="Calibri" w:cs="Segoe UI"/>
          <w:color w:val="1F4E79" w:themeColor="accent1" w:themeShade="80"/>
          <w:sz w:val="28"/>
          <w:szCs w:val="28"/>
          <w:lang w:eastAsia="it-IT"/>
        </w:rPr>
        <w:t xml:space="preserve">l sindacato della Cassazione </w:t>
      </w:r>
      <w:r w:rsidR="00487965">
        <w:rPr>
          <w:rFonts w:ascii="Calibri" w:eastAsia="Times New Roman" w:hAnsi="Calibri" w:cs="Segoe UI"/>
          <w:color w:val="1F4E79" w:themeColor="accent1" w:themeShade="80"/>
          <w:sz w:val="28"/>
          <w:szCs w:val="28"/>
          <w:lang w:eastAsia="it-IT"/>
        </w:rPr>
        <w:t xml:space="preserve">sulle pronunce del Consiglio di Stato </w:t>
      </w:r>
      <w:r w:rsidRPr="00B208E4">
        <w:rPr>
          <w:rFonts w:ascii="Calibri" w:eastAsia="Times New Roman" w:hAnsi="Calibri" w:cs="Segoe UI"/>
          <w:color w:val="1F4E79" w:themeColor="accent1" w:themeShade="80"/>
          <w:sz w:val="28"/>
          <w:szCs w:val="28"/>
          <w:lang w:eastAsia="it-IT"/>
        </w:rPr>
        <w:t xml:space="preserve">a tutte le violazioni del diritto UE, </w:t>
      </w:r>
      <w:r w:rsidR="00D31037">
        <w:rPr>
          <w:rFonts w:ascii="Calibri" w:eastAsia="Times New Roman" w:hAnsi="Calibri" w:cs="Segoe UI"/>
          <w:color w:val="1F4E79" w:themeColor="accent1" w:themeShade="80"/>
          <w:sz w:val="28"/>
          <w:szCs w:val="28"/>
          <w:lang w:eastAsia="it-IT"/>
        </w:rPr>
        <w:t>le Sezioni Unite potrebbero sostenere la necessità di rimeditare globalmente</w:t>
      </w:r>
      <w:r w:rsidR="00487965">
        <w:rPr>
          <w:rFonts w:ascii="Calibri" w:eastAsia="Times New Roman" w:hAnsi="Calibri" w:cs="Segoe UI"/>
          <w:color w:val="1F4E79" w:themeColor="accent1" w:themeShade="80"/>
          <w:sz w:val="28"/>
          <w:szCs w:val="28"/>
          <w:lang w:eastAsia="it-IT"/>
        </w:rPr>
        <w:t xml:space="preserve"> la lettura dell’art. 111, co. 8</w:t>
      </w:r>
      <w:r w:rsidR="00D31037">
        <w:rPr>
          <w:rFonts w:ascii="Calibri" w:eastAsia="Times New Roman" w:hAnsi="Calibri" w:cs="Segoe UI"/>
          <w:color w:val="1F4E79" w:themeColor="accent1" w:themeShade="80"/>
          <w:sz w:val="28"/>
          <w:szCs w:val="28"/>
          <w:lang w:eastAsia="it-IT"/>
        </w:rPr>
        <w:t xml:space="preserve">, secondo una sorta di </w:t>
      </w:r>
      <w:r w:rsidR="00D31037" w:rsidRPr="006A7DD1">
        <w:rPr>
          <w:rFonts w:ascii="Calibri" w:eastAsia="Times New Roman" w:hAnsi="Calibri" w:cs="Segoe UI"/>
          <w:i/>
          <w:color w:val="1F4E79" w:themeColor="accent1" w:themeShade="80"/>
          <w:sz w:val="28"/>
          <w:szCs w:val="28"/>
          <w:lang w:eastAsia="it-IT"/>
        </w:rPr>
        <w:t>inversione</w:t>
      </w:r>
      <w:r w:rsidR="00C73DCD">
        <w:rPr>
          <w:rFonts w:ascii="Calibri" w:eastAsia="Times New Roman" w:hAnsi="Calibri" w:cs="Segoe UI"/>
          <w:i/>
          <w:color w:val="1F4E79" w:themeColor="accent1" w:themeShade="80"/>
          <w:sz w:val="28"/>
          <w:szCs w:val="28"/>
          <w:lang w:eastAsia="it-IT"/>
        </w:rPr>
        <w:t xml:space="preserve"> logica</w:t>
      </w:r>
      <w:r w:rsidR="00D31037">
        <w:rPr>
          <w:rFonts w:ascii="Calibri" w:eastAsia="Times New Roman" w:hAnsi="Calibri" w:cs="Segoe UI"/>
          <w:color w:val="1F4E79" w:themeColor="accent1" w:themeShade="80"/>
          <w:sz w:val="28"/>
          <w:szCs w:val="28"/>
          <w:lang w:eastAsia="it-IT"/>
        </w:rPr>
        <w:t xml:space="preserve"> del principio di equivalenza </w:t>
      </w:r>
      <w:r w:rsidR="006A7DD1">
        <w:rPr>
          <w:rFonts w:ascii="Calibri" w:eastAsia="Times New Roman" w:hAnsi="Calibri" w:cs="Segoe UI"/>
          <w:color w:val="1F4E79" w:themeColor="accent1" w:themeShade="80"/>
          <w:sz w:val="28"/>
          <w:szCs w:val="28"/>
          <w:lang w:eastAsia="it-IT"/>
        </w:rPr>
        <w:t>nella</w:t>
      </w:r>
      <w:r w:rsidR="00D31037">
        <w:rPr>
          <w:rFonts w:ascii="Calibri" w:eastAsia="Times New Roman" w:hAnsi="Calibri" w:cs="Segoe UI"/>
          <w:color w:val="1F4E79" w:themeColor="accent1" w:themeShade="80"/>
          <w:sz w:val="28"/>
          <w:szCs w:val="28"/>
          <w:lang w:eastAsia="it-IT"/>
        </w:rPr>
        <w:t xml:space="preserve"> tutel</w:t>
      </w:r>
      <w:r w:rsidR="006A7DD1">
        <w:rPr>
          <w:rFonts w:ascii="Calibri" w:eastAsia="Times New Roman" w:hAnsi="Calibri" w:cs="Segoe UI"/>
          <w:color w:val="1F4E79" w:themeColor="accent1" w:themeShade="80"/>
          <w:sz w:val="28"/>
          <w:szCs w:val="28"/>
          <w:lang w:eastAsia="it-IT"/>
        </w:rPr>
        <w:t>a</w:t>
      </w:r>
      <w:r w:rsidR="00D31037">
        <w:rPr>
          <w:rFonts w:ascii="Calibri" w:eastAsia="Times New Roman" w:hAnsi="Calibri" w:cs="Segoe UI"/>
          <w:color w:val="1F4E79" w:themeColor="accent1" w:themeShade="80"/>
          <w:sz w:val="28"/>
          <w:szCs w:val="28"/>
          <w:lang w:eastAsia="it-IT"/>
        </w:rPr>
        <w:t xml:space="preserve"> di posizioni giuridiche riconosciute deal diritto UE e dal diritto nazionale</w:t>
      </w:r>
      <w:r w:rsidR="00C73DCD">
        <w:rPr>
          <w:rFonts w:ascii="Calibri" w:eastAsia="Times New Roman" w:hAnsi="Calibri" w:cs="Segoe UI"/>
          <w:color w:val="1F4E79" w:themeColor="accent1" w:themeShade="80"/>
          <w:sz w:val="28"/>
          <w:szCs w:val="28"/>
          <w:lang w:eastAsia="it-IT"/>
        </w:rPr>
        <w:t>, espresso dalla CGUE</w:t>
      </w:r>
      <w:r w:rsidR="00487965">
        <w:rPr>
          <w:rFonts w:ascii="Calibri" w:eastAsia="Times New Roman" w:hAnsi="Calibri" w:cs="Segoe UI"/>
          <w:color w:val="1F4E79" w:themeColor="accent1" w:themeShade="80"/>
          <w:sz w:val="28"/>
          <w:szCs w:val="28"/>
          <w:lang w:eastAsia="it-IT"/>
        </w:rPr>
        <w:t xml:space="preserve">. </w:t>
      </w:r>
      <w:r w:rsidR="00D31037">
        <w:rPr>
          <w:rFonts w:ascii="Calibri" w:eastAsia="Times New Roman" w:hAnsi="Calibri" w:cs="Segoe UI"/>
          <w:color w:val="1F4E79" w:themeColor="accent1" w:themeShade="80"/>
          <w:sz w:val="28"/>
          <w:szCs w:val="28"/>
          <w:lang w:eastAsia="it-IT"/>
        </w:rPr>
        <w:t xml:space="preserve">E, in effetti, restando sul piano delle supposizioni, </w:t>
      </w:r>
      <w:r w:rsidR="00D31037" w:rsidRPr="00B208E4">
        <w:rPr>
          <w:rFonts w:ascii="Calibri" w:eastAsia="Times New Roman" w:hAnsi="Calibri" w:cs="Segoe UI"/>
          <w:color w:val="1F4E79" w:themeColor="accent1" w:themeShade="80"/>
          <w:sz w:val="28"/>
          <w:szCs w:val="28"/>
          <w:lang w:eastAsia="it-IT"/>
        </w:rPr>
        <w:t xml:space="preserve">resterebbe </w:t>
      </w:r>
      <w:r w:rsidRPr="00B208E4">
        <w:rPr>
          <w:rFonts w:ascii="Calibri" w:eastAsia="Times New Roman" w:hAnsi="Calibri" w:cs="Segoe UI"/>
          <w:color w:val="1F4E79" w:themeColor="accent1" w:themeShade="80"/>
          <w:sz w:val="28"/>
          <w:szCs w:val="28"/>
          <w:lang w:eastAsia="it-IT"/>
        </w:rPr>
        <w:t xml:space="preserve">difficile spiegare il diverso trattamento delle altre violazioni: </w:t>
      </w:r>
      <w:r w:rsidRPr="00B208E4">
        <w:rPr>
          <w:rFonts w:ascii="Calibri" w:eastAsia="Times New Roman" w:hAnsi="Calibri" w:cs="Segoe UI"/>
          <w:i/>
          <w:color w:val="1F4E79" w:themeColor="accent1" w:themeShade="80"/>
          <w:sz w:val="28"/>
          <w:szCs w:val="28"/>
          <w:lang w:eastAsia="it-IT"/>
        </w:rPr>
        <w:t>in primis</w:t>
      </w:r>
      <w:r w:rsidRPr="00B208E4">
        <w:rPr>
          <w:rFonts w:ascii="Calibri" w:eastAsia="Times New Roman" w:hAnsi="Calibri" w:cs="Segoe UI"/>
          <w:color w:val="1F4E79" w:themeColor="accent1" w:themeShade="80"/>
          <w:sz w:val="28"/>
          <w:szCs w:val="28"/>
          <w:lang w:eastAsia="it-IT"/>
        </w:rPr>
        <w:t xml:space="preserve"> del diritto della CEDU e, in secondo luogo, dell’intero diritto nazionale, in forza d</w:t>
      </w:r>
      <w:r w:rsidR="00D31037">
        <w:rPr>
          <w:rFonts w:ascii="Calibri" w:eastAsia="Times New Roman" w:hAnsi="Calibri" w:cs="Segoe UI"/>
          <w:color w:val="1F4E79" w:themeColor="accent1" w:themeShade="80"/>
          <w:sz w:val="28"/>
          <w:szCs w:val="28"/>
          <w:lang w:eastAsia="it-IT"/>
        </w:rPr>
        <w:t>e</w:t>
      </w:r>
      <w:r w:rsidRPr="00B208E4">
        <w:rPr>
          <w:rFonts w:ascii="Calibri" w:eastAsia="Times New Roman" w:hAnsi="Calibri" w:cs="Segoe UI"/>
          <w:color w:val="1F4E79" w:themeColor="accent1" w:themeShade="80"/>
          <w:sz w:val="28"/>
          <w:szCs w:val="28"/>
          <w:lang w:eastAsia="it-IT"/>
        </w:rPr>
        <w:t>l principio di eguaglianza di cui all’art. 3 della Cost.</w:t>
      </w:r>
      <w:r w:rsidRPr="00B208E4">
        <w:rPr>
          <w:rStyle w:val="Rimandonotaapidipagina"/>
          <w:rFonts w:ascii="Calibri" w:eastAsia="Times New Roman" w:hAnsi="Calibri" w:cs="Segoe UI"/>
          <w:color w:val="1F4E79" w:themeColor="accent1" w:themeShade="80"/>
          <w:sz w:val="28"/>
          <w:szCs w:val="28"/>
          <w:lang w:eastAsia="it-IT"/>
        </w:rPr>
        <w:footnoteReference w:id="15"/>
      </w:r>
    </w:p>
    <w:p w:rsidR="00487965" w:rsidRPr="00A36F83" w:rsidRDefault="00487965"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sz w:val="28"/>
          <w:szCs w:val="28"/>
          <w:lang w:eastAsia="it-IT"/>
        </w:rPr>
      </w:pPr>
      <w:r w:rsidRPr="00A36F83">
        <w:rPr>
          <w:rFonts w:ascii="Calibri" w:eastAsia="Times New Roman" w:hAnsi="Calibri" w:cs="Segoe UI"/>
          <w:color w:val="1F4E79"/>
          <w:sz w:val="28"/>
          <w:szCs w:val="28"/>
          <w:lang w:eastAsia="it-IT"/>
        </w:rPr>
        <w:t>Come già rilevato dai primi commenti</w:t>
      </w:r>
      <w:r w:rsidRPr="00A36F83">
        <w:rPr>
          <w:rFonts w:ascii="Calibri" w:eastAsia="Times New Roman" w:hAnsi="Calibri" w:cs="Segoe UI"/>
          <w:color w:val="1F4E79"/>
          <w:sz w:val="28"/>
          <w:szCs w:val="28"/>
          <w:vertAlign w:val="superscript"/>
          <w:lang w:eastAsia="it-IT"/>
        </w:rPr>
        <w:footnoteReference w:id="16"/>
      </w:r>
      <w:r w:rsidRPr="00A36F83">
        <w:rPr>
          <w:rFonts w:ascii="Calibri" w:eastAsia="Times New Roman" w:hAnsi="Calibri" w:cs="Segoe UI"/>
          <w:color w:val="1F4E79"/>
          <w:sz w:val="28"/>
          <w:szCs w:val="28"/>
          <w:lang w:eastAsia="it-IT"/>
        </w:rPr>
        <w:t>, l’ordinanza della Cassazione n. 19598</w:t>
      </w:r>
      <w:r>
        <w:rPr>
          <w:rFonts w:ascii="Calibri" w:eastAsia="Times New Roman" w:hAnsi="Calibri" w:cs="Segoe UI"/>
          <w:color w:val="1F4E79"/>
          <w:sz w:val="28"/>
          <w:szCs w:val="28"/>
          <w:lang w:eastAsia="it-IT"/>
        </w:rPr>
        <w:t>/2020</w:t>
      </w:r>
      <w:r w:rsidRPr="00A36F83">
        <w:rPr>
          <w:rFonts w:ascii="Calibri" w:eastAsia="Times New Roman" w:hAnsi="Calibri" w:cs="Segoe UI"/>
          <w:color w:val="1F4E79"/>
          <w:sz w:val="28"/>
          <w:szCs w:val="28"/>
          <w:lang w:eastAsia="it-IT"/>
        </w:rPr>
        <w:t xml:space="preserve"> è certamente molto motivata ed articolata</w:t>
      </w:r>
      <w:r w:rsidRPr="00A36F83">
        <w:rPr>
          <w:rFonts w:ascii="Calibri" w:eastAsia="Times New Roman" w:hAnsi="Calibri" w:cs="Segoe UI"/>
          <w:color w:val="1F4E79"/>
          <w:sz w:val="28"/>
          <w:szCs w:val="28"/>
          <w:vertAlign w:val="superscript"/>
          <w:lang w:eastAsia="it-IT"/>
        </w:rPr>
        <w:footnoteReference w:id="17"/>
      </w:r>
      <w:r w:rsidRPr="00A36F83">
        <w:rPr>
          <w:rFonts w:ascii="Calibri" w:eastAsia="Times New Roman" w:hAnsi="Calibri" w:cs="Segoe UI"/>
          <w:color w:val="1F4E79"/>
          <w:sz w:val="28"/>
          <w:szCs w:val="28"/>
          <w:lang w:eastAsia="it-IT"/>
        </w:rPr>
        <w:t xml:space="preserve"> (forse anche </w:t>
      </w:r>
      <w:r w:rsidRPr="00A36F83">
        <w:rPr>
          <w:rFonts w:ascii="Calibri" w:eastAsia="Times New Roman" w:hAnsi="Calibri" w:cs="Segoe UI"/>
          <w:i/>
          <w:color w:val="1F4E79"/>
          <w:sz w:val="28"/>
          <w:szCs w:val="28"/>
          <w:lang w:eastAsia="it-IT"/>
        </w:rPr>
        <w:t>troppo</w:t>
      </w:r>
      <w:r w:rsidR="006A7DD1">
        <w:rPr>
          <w:rFonts w:ascii="Calibri" w:eastAsia="Times New Roman" w:hAnsi="Calibri" w:cs="Segoe UI"/>
          <w:i/>
          <w:color w:val="1F4E79"/>
          <w:sz w:val="28"/>
          <w:szCs w:val="28"/>
          <w:lang w:eastAsia="it-IT"/>
        </w:rPr>
        <w:t xml:space="preserve"> motivata</w:t>
      </w:r>
      <w:r w:rsidRPr="00A36F83">
        <w:rPr>
          <w:rFonts w:ascii="Calibri" w:eastAsia="Times New Roman" w:hAnsi="Calibri" w:cs="Segoe UI"/>
          <w:color w:val="1F4E79"/>
          <w:sz w:val="28"/>
          <w:szCs w:val="28"/>
          <w:lang w:eastAsia="it-IT"/>
        </w:rPr>
        <w:t xml:space="preserve">, dal punto di vista </w:t>
      </w:r>
      <w:r w:rsidRPr="00D31037">
        <w:rPr>
          <w:rFonts w:ascii="Calibri" w:eastAsia="Times New Roman" w:hAnsi="Calibri" w:cs="Segoe UI"/>
          <w:i/>
          <w:color w:val="1F4E79"/>
          <w:sz w:val="28"/>
          <w:szCs w:val="28"/>
          <w:lang w:eastAsia="it-IT"/>
        </w:rPr>
        <w:t>quantitativo</w:t>
      </w:r>
      <w:r w:rsidRPr="00A36F83">
        <w:rPr>
          <w:rFonts w:ascii="Calibri" w:eastAsia="Times New Roman" w:hAnsi="Calibri" w:cs="Segoe UI"/>
          <w:color w:val="1F4E79"/>
          <w:sz w:val="28"/>
          <w:szCs w:val="28"/>
          <w:lang w:eastAsia="it-IT"/>
        </w:rPr>
        <w:t>, per gli standard redazionali della CGUE, che</w:t>
      </w:r>
      <w:r w:rsidR="00D31037">
        <w:rPr>
          <w:rFonts w:ascii="Calibri" w:eastAsia="Times New Roman" w:hAnsi="Calibri" w:cs="Segoe UI"/>
          <w:color w:val="1F4E79"/>
          <w:sz w:val="28"/>
          <w:szCs w:val="28"/>
          <w:lang w:eastAsia="it-IT"/>
        </w:rPr>
        <w:t>, se confermasse la propria prassi,</w:t>
      </w:r>
      <w:r w:rsidRPr="00A36F83">
        <w:rPr>
          <w:rFonts w:ascii="Calibri" w:eastAsia="Times New Roman" w:hAnsi="Calibri" w:cs="Segoe UI"/>
          <w:color w:val="1F4E79"/>
          <w:sz w:val="28"/>
          <w:szCs w:val="28"/>
          <w:lang w:eastAsia="it-IT"/>
        </w:rPr>
        <w:t xml:space="preserve"> potrebbe </w:t>
      </w:r>
      <w:r w:rsidR="00D31037">
        <w:rPr>
          <w:rFonts w:ascii="Calibri" w:eastAsia="Times New Roman" w:hAnsi="Calibri" w:cs="Segoe UI"/>
          <w:color w:val="1F4E79"/>
          <w:sz w:val="28"/>
          <w:szCs w:val="28"/>
          <w:lang w:eastAsia="it-IT"/>
        </w:rPr>
        <w:t xml:space="preserve">anche </w:t>
      </w:r>
      <w:r w:rsidRPr="00A36F83">
        <w:rPr>
          <w:rFonts w:ascii="Calibri" w:eastAsia="Times New Roman" w:hAnsi="Calibri" w:cs="Segoe UI"/>
          <w:color w:val="1F4E79"/>
          <w:sz w:val="28"/>
          <w:szCs w:val="28"/>
          <w:lang w:eastAsia="it-IT"/>
        </w:rPr>
        <w:t>procedere a vigorosi tagli dell’ordinanza in sede di traduzione nelle altre lingue ufficiali).</w:t>
      </w:r>
    </w:p>
    <w:p w:rsidR="00487965" w:rsidRPr="00A36F83" w:rsidRDefault="00487965"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sz w:val="28"/>
          <w:szCs w:val="28"/>
          <w:lang w:eastAsia="it-IT"/>
        </w:rPr>
      </w:pPr>
      <w:r w:rsidRPr="00A36F83">
        <w:rPr>
          <w:rFonts w:ascii="Calibri" w:eastAsia="Times New Roman" w:hAnsi="Calibri" w:cs="Segoe UI"/>
          <w:color w:val="1F4E79"/>
          <w:sz w:val="28"/>
          <w:szCs w:val="28"/>
          <w:lang w:eastAsia="it-IT"/>
        </w:rPr>
        <w:t>E</w:t>
      </w:r>
      <w:r w:rsidR="00D31037">
        <w:rPr>
          <w:rFonts w:ascii="Calibri" w:eastAsia="Times New Roman" w:hAnsi="Calibri" w:cs="Segoe UI"/>
          <w:color w:val="1F4E79"/>
          <w:sz w:val="28"/>
          <w:szCs w:val="28"/>
          <w:lang w:eastAsia="it-IT"/>
        </w:rPr>
        <w:t xml:space="preserve"> la pronuncia </w:t>
      </w:r>
      <w:r w:rsidRPr="00A36F83">
        <w:rPr>
          <w:rFonts w:ascii="Calibri" w:eastAsia="Times New Roman" w:hAnsi="Calibri" w:cs="Segoe UI"/>
          <w:color w:val="1F4E79"/>
          <w:sz w:val="28"/>
          <w:szCs w:val="28"/>
          <w:lang w:eastAsia="it-IT"/>
        </w:rPr>
        <w:t xml:space="preserve">è </w:t>
      </w:r>
      <w:r>
        <w:rPr>
          <w:rFonts w:ascii="Calibri" w:eastAsia="Times New Roman" w:hAnsi="Calibri" w:cs="Segoe UI"/>
          <w:color w:val="1F4E79"/>
          <w:sz w:val="28"/>
          <w:szCs w:val="28"/>
          <w:lang w:eastAsia="it-IT"/>
        </w:rPr>
        <w:t xml:space="preserve">senz’altro </w:t>
      </w:r>
      <w:r w:rsidRPr="00A36F83">
        <w:rPr>
          <w:rFonts w:ascii="Calibri" w:eastAsia="Times New Roman" w:hAnsi="Calibri" w:cs="Segoe UI"/>
          <w:color w:val="1F4E79"/>
          <w:sz w:val="28"/>
          <w:szCs w:val="28"/>
          <w:lang w:eastAsia="it-IT"/>
        </w:rPr>
        <w:t>animata dal lodevole scopo di assicurare la massima tutela giurisdizionale del cittadino, nella prospettiva di assicurare il più incisivo ed armonico ingresso del diritto europeo nell’ordinamento interno</w:t>
      </w:r>
      <w:r w:rsidR="00D31037">
        <w:rPr>
          <w:rFonts w:ascii="Calibri" w:eastAsia="Times New Roman" w:hAnsi="Calibri" w:cs="Segoe UI"/>
          <w:color w:val="1F4E79"/>
          <w:sz w:val="28"/>
          <w:szCs w:val="28"/>
          <w:lang w:eastAsia="it-IT"/>
        </w:rPr>
        <w:t>, correggendo gli errori commessi nei gradi precedenti di giudizio</w:t>
      </w:r>
      <w:r w:rsidRPr="00A36F83">
        <w:rPr>
          <w:rFonts w:ascii="Calibri" w:eastAsia="Times New Roman" w:hAnsi="Calibri" w:cs="Segoe UI"/>
          <w:color w:val="1F4E79"/>
          <w:sz w:val="28"/>
          <w:szCs w:val="28"/>
          <w:vertAlign w:val="superscript"/>
          <w:lang w:eastAsia="it-IT"/>
        </w:rPr>
        <w:footnoteReference w:id="18"/>
      </w:r>
      <w:r w:rsidRPr="00A36F83">
        <w:rPr>
          <w:rFonts w:ascii="Calibri" w:eastAsia="Times New Roman" w:hAnsi="Calibri" w:cs="Segoe UI"/>
          <w:color w:val="1F4E79"/>
          <w:sz w:val="28"/>
          <w:szCs w:val="28"/>
          <w:lang w:eastAsia="it-IT"/>
        </w:rPr>
        <w:t>.</w:t>
      </w:r>
    </w:p>
    <w:p w:rsidR="00487965" w:rsidRPr="00A36F83" w:rsidRDefault="00487965"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sz w:val="28"/>
          <w:szCs w:val="28"/>
          <w:lang w:eastAsia="it-IT"/>
        </w:rPr>
      </w:pPr>
      <w:r w:rsidRPr="00A36F83">
        <w:rPr>
          <w:rFonts w:ascii="Calibri" w:eastAsia="Times New Roman" w:hAnsi="Calibri" w:cs="Segoe UI"/>
          <w:color w:val="1F4E79"/>
          <w:sz w:val="28"/>
          <w:szCs w:val="28"/>
          <w:lang w:eastAsia="it-IT"/>
        </w:rPr>
        <w:t>Ha anche l’ulteriore pregio di approfondire l’aspetto del rapporto tra giurisdizione e verifica della corretta applicazione del diritto UE, secondo i parametri dell’art. 111, comma ottavo</w:t>
      </w:r>
      <w:r w:rsidR="00B117F6">
        <w:rPr>
          <w:rFonts w:ascii="Calibri" w:eastAsia="Times New Roman" w:hAnsi="Calibri" w:cs="Segoe UI"/>
          <w:color w:val="1F4E79"/>
          <w:sz w:val="28"/>
          <w:szCs w:val="28"/>
          <w:lang w:eastAsia="it-IT"/>
        </w:rPr>
        <w:t>,</w:t>
      </w:r>
      <w:r w:rsidRPr="00A36F83">
        <w:rPr>
          <w:rFonts w:ascii="Calibri" w:eastAsia="Times New Roman" w:hAnsi="Calibri" w:cs="Segoe UI"/>
          <w:color w:val="1F4E79"/>
          <w:sz w:val="28"/>
          <w:szCs w:val="28"/>
          <w:lang w:eastAsia="it-IT"/>
        </w:rPr>
        <w:t xml:space="preserve"> della Costituzione.</w:t>
      </w:r>
    </w:p>
    <w:p w:rsidR="00B117F6" w:rsidRDefault="00B117F6"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La decisione, però, si espone a numerose obie</w:t>
      </w:r>
      <w:r w:rsidR="00D31037">
        <w:rPr>
          <w:rFonts w:ascii="Calibri" w:eastAsia="Times New Roman" w:hAnsi="Calibri" w:cs="Segoe UI"/>
          <w:color w:val="1F4E79" w:themeColor="accent1" w:themeShade="80"/>
          <w:sz w:val="28"/>
          <w:szCs w:val="28"/>
          <w:lang w:eastAsia="it-IT"/>
        </w:rPr>
        <w:t>zioni e, con ogni probabilità, n</w:t>
      </w:r>
      <w:r>
        <w:rPr>
          <w:rFonts w:ascii="Calibri" w:eastAsia="Times New Roman" w:hAnsi="Calibri" w:cs="Segoe UI"/>
          <w:color w:val="1F4E79" w:themeColor="accent1" w:themeShade="80"/>
          <w:sz w:val="28"/>
          <w:szCs w:val="28"/>
          <w:lang w:eastAsia="it-IT"/>
        </w:rPr>
        <w:t>on permetterà di ottenere i risultati sperati.</w:t>
      </w:r>
    </w:p>
    <w:p w:rsidR="003561F0" w:rsidRDefault="003561F0"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Anche le stesse Sezioni Unite, con </w:t>
      </w:r>
      <w:r w:rsidR="00B117F6">
        <w:rPr>
          <w:rFonts w:ascii="Calibri" w:eastAsia="Times New Roman" w:hAnsi="Calibri" w:cs="Segoe UI"/>
          <w:color w:val="1F4E79" w:themeColor="accent1" w:themeShade="80"/>
          <w:sz w:val="28"/>
          <w:szCs w:val="28"/>
          <w:lang w:eastAsia="it-IT"/>
        </w:rPr>
        <w:t>l</w:t>
      </w:r>
      <w:r w:rsidRPr="00B208E4">
        <w:rPr>
          <w:rFonts w:ascii="Calibri" w:eastAsia="Times New Roman" w:hAnsi="Calibri" w:cs="Segoe UI"/>
          <w:color w:val="1F4E79" w:themeColor="accent1" w:themeShade="80"/>
          <w:sz w:val="28"/>
          <w:szCs w:val="28"/>
          <w:lang w:eastAsia="it-IT"/>
        </w:rPr>
        <w:t xml:space="preserve">a pronuncia </w:t>
      </w:r>
      <w:r w:rsidR="00B117F6" w:rsidRPr="00B208E4">
        <w:rPr>
          <w:rFonts w:ascii="Calibri" w:eastAsia="Times New Roman" w:hAnsi="Calibri" w:cs="Segoe UI"/>
          <w:color w:val="1F4E79" w:themeColor="accent1" w:themeShade="80"/>
          <w:sz w:val="28"/>
          <w:szCs w:val="28"/>
          <w:lang w:eastAsia="it-IT"/>
        </w:rPr>
        <w:t>30 ottobre 2020 n. 24107</w:t>
      </w:r>
      <w:r w:rsidR="00B117F6">
        <w:rPr>
          <w:rFonts w:ascii="Calibri" w:eastAsia="Times New Roman" w:hAnsi="Calibri" w:cs="Segoe UI"/>
          <w:color w:val="1F4E79" w:themeColor="accent1" w:themeShade="80"/>
          <w:sz w:val="28"/>
          <w:szCs w:val="28"/>
          <w:lang w:eastAsia="it-IT"/>
        </w:rPr>
        <w:t xml:space="preserve">, </w:t>
      </w:r>
      <w:r w:rsidR="00B117F6" w:rsidRPr="00B208E4">
        <w:rPr>
          <w:rFonts w:ascii="Calibri" w:eastAsia="Times New Roman" w:hAnsi="Calibri" w:cs="Segoe UI"/>
          <w:color w:val="1F4E79" w:themeColor="accent1" w:themeShade="80"/>
          <w:sz w:val="28"/>
          <w:szCs w:val="28"/>
          <w:lang w:eastAsia="it-IT"/>
        </w:rPr>
        <w:t>resa da un diverso collegio</w:t>
      </w:r>
      <w:r w:rsidRPr="00B208E4">
        <w:rPr>
          <w:rFonts w:ascii="Calibri" w:eastAsia="Times New Roman" w:hAnsi="Calibri" w:cs="Segoe UI"/>
          <w:color w:val="1F4E79" w:themeColor="accent1" w:themeShade="80"/>
          <w:sz w:val="28"/>
          <w:szCs w:val="28"/>
          <w:lang w:eastAsia="it-IT"/>
        </w:rPr>
        <w:t xml:space="preserve">, </w:t>
      </w:r>
      <w:r w:rsidR="00D31037">
        <w:rPr>
          <w:rFonts w:ascii="Calibri" w:eastAsia="Times New Roman" w:hAnsi="Calibri" w:cs="Segoe UI"/>
          <w:color w:val="1F4E79" w:themeColor="accent1" w:themeShade="80"/>
          <w:sz w:val="28"/>
          <w:szCs w:val="28"/>
          <w:lang w:eastAsia="it-IT"/>
        </w:rPr>
        <w:t xml:space="preserve">del resto, </w:t>
      </w:r>
      <w:r w:rsidRPr="00B208E4">
        <w:rPr>
          <w:rFonts w:ascii="Calibri" w:eastAsia="Times New Roman" w:hAnsi="Calibri" w:cs="Segoe UI"/>
          <w:color w:val="1F4E79" w:themeColor="accent1" w:themeShade="80"/>
          <w:sz w:val="28"/>
          <w:szCs w:val="28"/>
          <w:lang w:eastAsia="it-IT"/>
        </w:rPr>
        <w:t>hanno</w:t>
      </w:r>
      <w:r w:rsidR="00D31037">
        <w:rPr>
          <w:rFonts w:ascii="Calibri" w:eastAsia="Times New Roman" w:hAnsi="Calibri" w:cs="Segoe UI"/>
          <w:color w:val="1F4E79" w:themeColor="accent1" w:themeShade="80"/>
          <w:sz w:val="28"/>
          <w:szCs w:val="28"/>
          <w:lang w:eastAsia="it-IT"/>
        </w:rPr>
        <w:t xml:space="preserve"> vistosamente</w:t>
      </w:r>
      <w:r w:rsidRPr="00B208E4">
        <w:rPr>
          <w:rFonts w:ascii="Calibri" w:eastAsia="Times New Roman" w:hAnsi="Calibri" w:cs="Segoe UI"/>
          <w:color w:val="1F4E79" w:themeColor="accent1" w:themeShade="80"/>
          <w:sz w:val="28"/>
          <w:szCs w:val="28"/>
          <w:lang w:eastAsia="it-IT"/>
        </w:rPr>
        <w:t xml:space="preserve"> preso le distanze dall’ordinanza</w:t>
      </w:r>
      <w:r w:rsidR="00B117F6">
        <w:rPr>
          <w:rFonts w:ascii="Calibri" w:eastAsia="Times New Roman" w:hAnsi="Calibri" w:cs="Segoe UI"/>
          <w:color w:val="1F4E79" w:themeColor="accent1" w:themeShade="80"/>
          <w:sz w:val="28"/>
          <w:szCs w:val="28"/>
          <w:lang w:eastAsia="it-IT"/>
        </w:rPr>
        <w:t xml:space="preserve"> in commento</w:t>
      </w:r>
      <w:r w:rsidRPr="00B208E4">
        <w:rPr>
          <w:rFonts w:ascii="Calibri" w:eastAsia="Times New Roman" w:hAnsi="Calibri" w:cs="Segoe UI"/>
          <w:color w:val="1F4E79" w:themeColor="accent1" w:themeShade="80"/>
          <w:sz w:val="28"/>
          <w:szCs w:val="28"/>
          <w:lang w:eastAsia="it-IT"/>
        </w:rPr>
        <w:t>, manifestando un motivato</w:t>
      </w:r>
      <w:r w:rsidR="005D7BD5" w:rsidRPr="00B208E4">
        <w:rPr>
          <w:rFonts w:ascii="Calibri" w:eastAsia="Times New Roman" w:hAnsi="Calibri" w:cs="Segoe UI"/>
          <w:color w:val="1F4E79" w:themeColor="accent1" w:themeShade="80"/>
          <w:sz w:val="28"/>
          <w:szCs w:val="28"/>
          <w:lang w:eastAsia="it-IT"/>
        </w:rPr>
        <w:t xml:space="preserve"> e significativo dissenso</w:t>
      </w:r>
      <w:r w:rsidRPr="00B208E4">
        <w:rPr>
          <w:rFonts w:ascii="Calibri" w:eastAsia="Times New Roman" w:hAnsi="Calibri" w:cs="Segoe UI"/>
          <w:color w:val="1F4E79" w:themeColor="accent1" w:themeShade="80"/>
          <w:sz w:val="28"/>
          <w:szCs w:val="28"/>
          <w:lang w:eastAsia="it-IT"/>
        </w:rPr>
        <w:t>, per quanto cauto e parzialmente giustificato dalla asserita diversità dei casi</w:t>
      </w:r>
      <w:r w:rsidR="00CF3936">
        <w:rPr>
          <w:rFonts w:ascii="Calibri" w:eastAsia="Times New Roman" w:hAnsi="Calibri" w:cs="Segoe UI"/>
          <w:color w:val="1F4E79" w:themeColor="accent1" w:themeShade="80"/>
          <w:sz w:val="28"/>
          <w:szCs w:val="28"/>
          <w:lang w:eastAsia="it-IT"/>
        </w:rPr>
        <w:t xml:space="preserve"> esaminati</w:t>
      </w:r>
      <w:r w:rsidR="005D7BD5" w:rsidRPr="00B208E4">
        <w:rPr>
          <w:rStyle w:val="Rimandonotaapidipagina"/>
          <w:rFonts w:ascii="Calibri" w:eastAsia="Times New Roman" w:hAnsi="Calibri" w:cs="Segoe UI"/>
          <w:color w:val="1F4E79" w:themeColor="accent1" w:themeShade="80"/>
          <w:sz w:val="28"/>
          <w:szCs w:val="28"/>
          <w:lang w:eastAsia="it-IT"/>
        </w:rPr>
        <w:footnoteReference w:id="19"/>
      </w:r>
      <w:r w:rsidRPr="00B208E4">
        <w:rPr>
          <w:rFonts w:ascii="Calibri" w:eastAsia="Times New Roman" w:hAnsi="Calibri" w:cs="Segoe UI"/>
          <w:color w:val="1F4E79" w:themeColor="accent1" w:themeShade="80"/>
          <w:sz w:val="28"/>
          <w:szCs w:val="28"/>
          <w:lang w:eastAsia="it-IT"/>
        </w:rPr>
        <w:t>.</w:t>
      </w:r>
      <w:r w:rsidR="00412D46" w:rsidRPr="00B208E4">
        <w:rPr>
          <w:rFonts w:ascii="Calibri" w:eastAsia="Times New Roman" w:hAnsi="Calibri" w:cs="Segoe UI"/>
          <w:color w:val="1F4E79" w:themeColor="accent1" w:themeShade="80"/>
          <w:sz w:val="28"/>
          <w:szCs w:val="28"/>
          <w:lang w:eastAsia="it-IT"/>
        </w:rPr>
        <w:t xml:space="preserve"> </w:t>
      </w:r>
    </w:p>
    <w:p w:rsidR="002468E5" w:rsidRPr="00B208E4" w:rsidRDefault="002468E5"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p>
    <w:p w:rsidR="003561F0" w:rsidRPr="00B208E4" w:rsidRDefault="002B5930" w:rsidP="00FB7048">
      <w:pPr>
        <w:numPr>
          <w:ilvl w:val="0"/>
          <w:numId w:val="1"/>
        </w:numPr>
        <w:shd w:val="clear" w:color="auto" w:fill="FFFFFF"/>
        <w:tabs>
          <w:tab w:val="left" w:pos="0"/>
        </w:tabs>
        <w:spacing w:after="120" w:line="240" w:lineRule="auto"/>
        <w:ind w:left="0" w:firstLine="709"/>
        <w:jc w:val="both"/>
        <w:textAlignment w:val="baseline"/>
        <w:rPr>
          <w:rFonts w:ascii="Tahoma" w:eastAsia="Times New Roman" w:hAnsi="Tahoma" w:cs="Tahoma"/>
          <w:smallCaps/>
          <w:color w:val="1F4E79" w:themeColor="accent1" w:themeShade="80"/>
          <w:sz w:val="28"/>
          <w:szCs w:val="28"/>
          <w:bdr w:val="none" w:sz="0" w:space="0" w:color="auto" w:frame="1"/>
          <w:lang w:eastAsia="it-IT"/>
        </w:rPr>
      </w:pPr>
      <w:r>
        <w:rPr>
          <w:rFonts w:ascii="Tahoma" w:eastAsia="Times New Roman" w:hAnsi="Tahoma" w:cs="Tahoma"/>
          <w:smallCaps/>
          <w:color w:val="1F4E79" w:themeColor="accent1" w:themeShade="80"/>
          <w:sz w:val="28"/>
          <w:szCs w:val="28"/>
          <w:bdr w:val="none" w:sz="0" w:space="0" w:color="auto" w:frame="1"/>
          <w:lang w:eastAsia="it-IT"/>
        </w:rPr>
        <w:t xml:space="preserve">Il caso concreto e </w:t>
      </w:r>
      <w:r w:rsidRPr="00B208E4">
        <w:rPr>
          <w:rFonts w:ascii="Tahoma" w:eastAsia="Times New Roman" w:hAnsi="Tahoma" w:cs="Tahoma"/>
          <w:smallCaps/>
          <w:color w:val="1F4E79" w:themeColor="accent1" w:themeShade="80"/>
          <w:sz w:val="28"/>
          <w:szCs w:val="28"/>
          <w:bdr w:val="none" w:sz="0" w:space="0" w:color="auto" w:frame="1"/>
          <w:lang w:eastAsia="it-IT"/>
        </w:rPr>
        <w:t xml:space="preserve">le </w:t>
      </w:r>
      <w:r w:rsidR="003561F0" w:rsidRPr="00B208E4">
        <w:rPr>
          <w:rFonts w:ascii="Tahoma" w:eastAsia="Times New Roman" w:hAnsi="Tahoma" w:cs="Tahoma"/>
          <w:smallCaps/>
          <w:color w:val="1F4E79" w:themeColor="accent1" w:themeShade="80"/>
          <w:sz w:val="28"/>
          <w:szCs w:val="28"/>
          <w:bdr w:val="none" w:sz="0" w:space="0" w:color="auto" w:frame="1"/>
          <w:lang w:eastAsia="it-IT"/>
        </w:rPr>
        <w:t xml:space="preserve">tre </w:t>
      </w:r>
      <w:r w:rsidR="00C07298" w:rsidRPr="00B208E4">
        <w:rPr>
          <w:rFonts w:ascii="Tahoma" w:eastAsia="Times New Roman" w:hAnsi="Tahoma" w:cs="Tahoma"/>
          <w:smallCaps/>
          <w:color w:val="1F4E79" w:themeColor="accent1" w:themeShade="80"/>
          <w:sz w:val="28"/>
          <w:szCs w:val="28"/>
          <w:bdr w:val="none" w:sz="0" w:space="0" w:color="auto" w:frame="1"/>
          <w:lang w:eastAsia="it-IT"/>
        </w:rPr>
        <w:t xml:space="preserve">distinte </w:t>
      </w:r>
      <w:r w:rsidR="003561F0" w:rsidRPr="00B208E4">
        <w:rPr>
          <w:rFonts w:ascii="Tahoma" w:eastAsia="Times New Roman" w:hAnsi="Tahoma" w:cs="Tahoma"/>
          <w:smallCaps/>
          <w:color w:val="1F4E79" w:themeColor="accent1" w:themeShade="80"/>
          <w:sz w:val="28"/>
          <w:szCs w:val="28"/>
          <w:bdr w:val="none" w:sz="0" w:space="0" w:color="auto" w:frame="1"/>
          <w:lang w:eastAsia="it-IT"/>
        </w:rPr>
        <w:t>questioni sollevate dall’ordinanza.</w:t>
      </w:r>
    </w:p>
    <w:p w:rsidR="00C46B75" w:rsidRPr="00B208E4" w:rsidRDefault="00C46B75"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Per analizzare in modo puntuale l’ordinanza in commento, è utile schematizzare subito il caso concreto, salvi alcuni ulteriori approfondimenti di fatto, connessi alla valutazione del terzo quesito formulato dalla Cassazione.</w:t>
      </w:r>
    </w:p>
    <w:p w:rsidR="00C46B75" w:rsidRPr="00B208E4" w:rsidRDefault="00C46B75"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Un operatore economico partecipa alla gara per l’affidamento di un servizio.</w:t>
      </w:r>
    </w:p>
    <w:p w:rsidR="00C46B75" w:rsidRPr="00B208E4" w:rsidRDefault="00C46B75"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Nella fase di valutazione tecnica delle offerte, svolta da una commissione giudicatrice, secondo il metodo del </w:t>
      </w:r>
      <w:r w:rsidRPr="00147DA7">
        <w:rPr>
          <w:rFonts w:ascii="Calibri" w:eastAsia="Times New Roman" w:hAnsi="Calibri" w:cs="Segoe UI"/>
          <w:i/>
          <w:color w:val="1F4E79" w:themeColor="accent1" w:themeShade="80"/>
          <w:sz w:val="28"/>
          <w:szCs w:val="28"/>
          <w:lang w:eastAsia="it-IT"/>
        </w:rPr>
        <w:t>confronto a coppie</w:t>
      </w:r>
      <w:r w:rsidRPr="00B208E4">
        <w:rPr>
          <w:rFonts w:ascii="Calibri" w:eastAsia="Times New Roman" w:hAnsi="Calibri" w:cs="Segoe UI"/>
          <w:color w:val="1F4E79" w:themeColor="accent1" w:themeShade="80"/>
          <w:sz w:val="28"/>
          <w:szCs w:val="28"/>
          <w:lang w:eastAsia="it-IT"/>
        </w:rPr>
        <w:t xml:space="preserve">, </w:t>
      </w:r>
      <w:r w:rsidR="00147DA7">
        <w:rPr>
          <w:rFonts w:ascii="Calibri" w:eastAsia="Times New Roman" w:hAnsi="Calibri" w:cs="Segoe UI"/>
          <w:color w:val="1F4E79" w:themeColor="accent1" w:themeShade="80"/>
          <w:sz w:val="28"/>
          <w:szCs w:val="28"/>
          <w:lang w:eastAsia="it-IT"/>
        </w:rPr>
        <w:t xml:space="preserve">l’operatore </w:t>
      </w:r>
      <w:r w:rsidRPr="00B208E4">
        <w:rPr>
          <w:rFonts w:ascii="Calibri" w:eastAsia="Times New Roman" w:hAnsi="Calibri" w:cs="Segoe UI"/>
          <w:color w:val="1F4E79" w:themeColor="accent1" w:themeShade="80"/>
          <w:sz w:val="28"/>
          <w:szCs w:val="28"/>
          <w:lang w:eastAsia="it-IT"/>
        </w:rPr>
        <w:t>ottiene un punteggio “insufficiente”</w:t>
      </w:r>
      <w:r w:rsidR="00147DA7">
        <w:rPr>
          <w:rFonts w:ascii="Calibri" w:eastAsia="Times New Roman" w:hAnsi="Calibri" w:cs="Segoe UI"/>
          <w:color w:val="1F4E79" w:themeColor="accent1" w:themeShade="80"/>
          <w:sz w:val="28"/>
          <w:szCs w:val="28"/>
          <w:lang w:eastAsia="it-IT"/>
        </w:rPr>
        <w:t xml:space="preserve"> rispetto alla cosiddetta </w:t>
      </w:r>
      <w:r w:rsidR="00147DA7" w:rsidRPr="00147DA7">
        <w:rPr>
          <w:rFonts w:ascii="Calibri" w:eastAsia="Times New Roman" w:hAnsi="Calibri" w:cs="Segoe UI"/>
          <w:i/>
          <w:color w:val="1F4E79" w:themeColor="accent1" w:themeShade="80"/>
          <w:sz w:val="28"/>
          <w:szCs w:val="28"/>
          <w:lang w:eastAsia="it-IT"/>
        </w:rPr>
        <w:t>soglia di sbarramento</w:t>
      </w:r>
      <w:r w:rsidRPr="00B208E4">
        <w:rPr>
          <w:rFonts w:ascii="Calibri" w:eastAsia="Times New Roman" w:hAnsi="Calibri" w:cs="Segoe UI"/>
          <w:color w:val="1F4E79" w:themeColor="accent1" w:themeShade="80"/>
          <w:sz w:val="28"/>
          <w:szCs w:val="28"/>
          <w:lang w:eastAsia="it-IT"/>
        </w:rPr>
        <w:t>.</w:t>
      </w:r>
    </w:p>
    <w:p w:rsidR="00C46B75" w:rsidRPr="00B208E4" w:rsidRDefault="00C46B75"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Pertanto, la sua offerta </w:t>
      </w:r>
      <w:r w:rsidR="00147DA7">
        <w:rPr>
          <w:rFonts w:ascii="Calibri" w:eastAsia="Times New Roman" w:hAnsi="Calibri" w:cs="Segoe UI"/>
          <w:color w:val="1F4E79" w:themeColor="accent1" w:themeShade="80"/>
          <w:sz w:val="28"/>
          <w:szCs w:val="28"/>
          <w:lang w:eastAsia="it-IT"/>
        </w:rPr>
        <w:t xml:space="preserve">è esclusa dall’ulteriore corso della procedura selettiva </w:t>
      </w:r>
      <w:r w:rsidR="006A7DD1">
        <w:rPr>
          <w:rFonts w:ascii="Calibri" w:eastAsia="Times New Roman" w:hAnsi="Calibri" w:cs="Segoe UI"/>
          <w:color w:val="1F4E79" w:themeColor="accent1" w:themeShade="80"/>
          <w:sz w:val="28"/>
          <w:szCs w:val="28"/>
          <w:lang w:eastAsia="it-IT"/>
        </w:rPr>
        <w:t xml:space="preserve">e </w:t>
      </w:r>
      <w:r w:rsidRPr="00B208E4">
        <w:rPr>
          <w:rFonts w:ascii="Calibri" w:eastAsia="Times New Roman" w:hAnsi="Calibri" w:cs="Segoe UI"/>
          <w:color w:val="1F4E79" w:themeColor="accent1" w:themeShade="80"/>
          <w:sz w:val="28"/>
          <w:szCs w:val="28"/>
          <w:lang w:eastAsia="it-IT"/>
        </w:rPr>
        <w:t>non è valutata in relazione alla componente economica.</w:t>
      </w:r>
      <w:r w:rsidR="00147DA7">
        <w:rPr>
          <w:rFonts w:ascii="Calibri" w:eastAsia="Times New Roman" w:hAnsi="Calibri" w:cs="Segoe UI"/>
          <w:color w:val="1F4E79" w:themeColor="accent1" w:themeShade="80"/>
          <w:sz w:val="28"/>
          <w:szCs w:val="28"/>
          <w:lang w:eastAsia="it-IT"/>
        </w:rPr>
        <w:t xml:space="preserve"> L’appalto è quindi affidato all’impresa collocata al primo posto della graduatoria di merito.</w:t>
      </w:r>
    </w:p>
    <w:p w:rsidR="00C46B75" w:rsidRPr="00B208E4" w:rsidRDefault="00C46B75"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L’operatore</w:t>
      </w:r>
      <w:r w:rsidR="00147DA7">
        <w:rPr>
          <w:rFonts w:ascii="Calibri" w:eastAsia="Times New Roman" w:hAnsi="Calibri" w:cs="Segoe UI"/>
          <w:color w:val="1F4E79" w:themeColor="accent1" w:themeShade="80"/>
          <w:sz w:val="28"/>
          <w:szCs w:val="28"/>
          <w:lang w:eastAsia="it-IT"/>
        </w:rPr>
        <w:t xml:space="preserve"> </w:t>
      </w:r>
      <w:r w:rsidR="00147DA7" w:rsidRPr="00147DA7">
        <w:rPr>
          <w:rFonts w:ascii="Calibri" w:eastAsia="Times New Roman" w:hAnsi="Calibri" w:cs="Segoe UI"/>
          <w:i/>
          <w:color w:val="1F4E79" w:themeColor="accent1" w:themeShade="80"/>
          <w:sz w:val="28"/>
          <w:szCs w:val="28"/>
          <w:lang w:eastAsia="it-IT"/>
        </w:rPr>
        <w:t>escluso</w:t>
      </w:r>
      <w:r w:rsidRPr="00B208E4">
        <w:rPr>
          <w:rFonts w:ascii="Calibri" w:eastAsia="Times New Roman" w:hAnsi="Calibri" w:cs="Segoe UI"/>
          <w:color w:val="1F4E79" w:themeColor="accent1" w:themeShade="80"/>
          <w:sz w:val="28"/>
          <w:szCs w:val="28"/>
          <w:lang w:eastAsia="it-IT"/>
        </w:rPr>
        <w:t xml:space="preserve"> </w:t>
      </w:r>
      <w:r w:rsidR="00147DA7">
        <w:rPr>
          <w:rFonts w:ascii="Calibri" w:eastAsia="Times New Roman" w:hAnsi="Calibri" w:cs="Segoe UI"/>
          <w:color w:val="1F4E79" w:themeColor="accent1" w:themeShade="80"/>
          <w:sz w:val="28"/>
          <w:szCs w:val="28"/>
          <w:lang w:eastAsia="it-IT"/>
        </w:rPr>
        <w:t xml:space="preserve">propone un ricorso al TAR, con cui </w:t>
      </w:r>
      <w:r w:rsidRPr="00B208E4">
        <w:rPr>
          <w:rFonts w:ascii="Calibri" w:eastAsia="Times New Roman" w:hAnsi="Calibri" w:cs="Segoe UI"/>
          <w:color w:val="1F4E79" w:themeColor="accent1" w:themeShade="80"/>
          <w:sz w:val="28"/>
          <w:szCs w:val="28"/>
          <w:lang w:eastAsia="it-IT"/>
        </w:rPr>
        <w:t>censura gli atti di gara, articolando una pluralità di vizi:</w:t>
      </w:r>
    </w:p>
    <w:p w:rsidR="00C46B75" w:rsidRPr="00B208E4" w:rsidRDefault="00147DA7" w:rsidP="00FB7048">
      <w:pPr>
        <w:pStyle w:val="Paragrafoelenco"/>
        <w:numPr>
          <w:ilvl w:val="0"/>
          <w:numId w:val="13"/>
        </w:numPr>
        <w:shd w:val="clear" w:color="auto" w:fill="FFFFFF"/>
        <w:tabs>
          <w:tab w:val="left" w:pos="0"/>
        </w:tabs>
        <w:spacing w:after="120" w:line="240" w:lineRule="auto"/>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L’erroneità del giudizio di insufficienza</w:t>
      </w:r>
      <w:r w:rsidR="00C46B75" w:rsidRPr="00B208E4">
        <w:rPr>
          <w:rFonts w:ascii="Calibri" w:eastAsia="Times New Roman" w:hAnsi="Calibri" w:cs="Segoe UI"/>
          <w:color w:val="1F4E79" w:themeColor="accent1" w:themeShade="80"/>
          <w:sz w:val="28"/>
          <w:szCs w:val="28"/>
          <w:lang w:eastAsia="it-IT"/>
        </w:rPr>
        <w:t xml:space="preserve"> della sua offerta tecnica</w:t>
      </w:r>
      <w:r>
        <w:rPr>
          <w:rFonts w:ascii="Calibri" w:eastAsia="Times New Roman" w:hAnsi="Calibri" w:cs="Segoe UI"/>
          <w:color w:val="1F4E79" w:themeColor="accent1" w:themeShade="80"/>
          <w:sz w:val="28"/>
          <w:szCs w:val="28"/>
          <w:lang w:eastAsia="it-IT"/>
        </w:rPr>
        <w:t>, determinante l’esclusione dalla fase di</w:t>
      </w:r>
      <w:r w:rsidRPr="00147DA7">
        <w:rPr>
          <w:rFonts w:ascii="Calibri" w:eastAsia="Times New Roman" w:hAnsi="Calibri" w:cs="Segoe UI"/>
          <w:color w:val="1F4E79" w:themeColor="accent1" w:themeShade="80"/>
          <w:sz w:val="28"/>
          <w:szCs w:val="28"/>
          <w:lang w:eastAsia="it-IT"/>
        </w:rPr>
        <w:t xml:space="preserve"> </w:t>
      </w:r>
      <w:r w:rsidRPr="00B208E4">
        <w:rPr>
          <w:rFonts w:ascii="Calibri" w:eastAsia="Times New Roman" w:hAnsi="Calibri" w:cs="Segoe UI"/>
          <w:color w:val="1F4E79" w:themeColor="accent1" w:themeShade="80"/>
          <w:sz w:val="28"/>
          <w:szCs w:val="28"/>
          <w:lang w:eastAsia="it-IT"/>
        </w:rPr>
        <w:t>valutazione</w:t>
      </w:r>
      <w:r>
        <w:rPr>
          <w:rFonts w:ascii="Calibri" w:eastAsia="Times New Roman" w:hAnsi="Calibri" w:cs="Segoe UI"/>
          <w:color w:val="1F4E79" w:themeColor="accent1" w:themeShade="80"/>
          <w:sz w:val="28"/>
          <w:szCs w:val="28"/>
          <w:lang w:eastAsia="it-IT"/>
        </w:rPr>
        <w:t xml:space="preserve"> delle offerte economiche</w:t>
      </w:r>
      <w:r w:rsidR="00C46B75" w:rsidRPr="00B208E4">
        <w:rPr>
          <w:rFonts w:ascii="Calibri" w:eastAsia="Times New Roman" w:hAnsi="Calibri" w:cs="Segoe UI"/>
          <w:color w:val="1F4E79" w:themeColor="accent1" w:themeShade="80"/>
          <w:sz w:val="28"/>
          <w:szCs w:val="28"/>
          <w:lang w:eastAsia="it-IT"/>
        </w:rPr>
        <w:t>;</w:t>
      </w:r>
    </w:p>
    <w:p w:rsidR="00C46B75" w:rsidRPr="00B208E4" w:rsidRDefault="00C46B75" w:rsidP="00FB7048">
      <w:pPr>
        <w:pStyle w:val="Paragrafoelenco"/>
        <w:numPr>
          <w:ilvl w:val="0"/>
          <w:numId w:val="13"/>
        </w:numPr>
        <w:shd w:val="clear" w:color="auto" w:fill="FFFFFF"/>
        <w:tabs>
          <w:tab w:val="left" w:pos="0"/>
        </w:tabs>
        <w:spacing w:after="120" w:line="240" w:lineRule="auto"/>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L’illegittima composizione della commissione giudicatrice</w:t>
      </w:r>
      <w:r w:rsidR="006A7DD1">
        <w:rPr>
          <w:rFonts w:ascii="Calibri" w:eastAsia="Times New Roman" w:hAnsi="Calibri" w:cs="Segoe UI"/>
          <w:color w:val="1F4E79" w:themeColor="accent1" w:themeShade="80"/>
          <w:sz w:val="28"/>
          <w:szCs w:val="28"/>
          <w:lang w:eastAsia="it-IT"/>
        </w:rPr>
        <w:t>, sotto distinti profili</w:t>
      </w:r>
      <w:r w:rsidRPr="00B208E4">
        <w:rPr>
          <w:rFonts w:ascii="Calibri" w:eastAsia="Times New Roman" w:hAnsi="Calibri" w:cs="Segoe UI"/>
          <w:color w:val="1F4E79" w:themeColor="accent1" w:themeShade="80"/>
          <w:sz w:val="28"/>
          <w:szCs w:val="28"/>
          <w:lang w:eastAsia="it-IT"/>
        </w:rPr>
        <w:t>;</w:t>
      </w:r>
    </w:p>
    <w:p w:rsidR="00C46B75" w:rsidRPr="00B208E4" w:rsidRDefault="00C46B75" w:rsidP="00FB7048">
      <w:pPr>
        <w:pStyle w:val="Paragrafoelenco"/>
        <w:numPr>
          <w:ilvl w:val="0"/>
          <w:numId w:val="13"/>
        </w:numPr>
        <w:shd w:val="clear" w:color="auto" w:fill="FFFFFF"/>
        <w:tabs>
          <w:tab w:val="left" w:pos="0"/>
        </w:tabs>
        <w:spacing w:after="120" w:line="240" w:lineRule="auto"/>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L’irragionevolezza dei criteri di assegnazione dei punteggi</w:t>
      </w:r>
      <w:r w:rsidR="006A7DD1">
        <w:rPr>
          <w:rFonts w:ascii="Calibri" w:eastAsia="Times New Roman" w:hAnsi="Calibri" w:cs="Segoe UI"/>
          <w:color w:val="1F4E79" w:themeColor="accent1" w:themeShade="80"/>
          <w:sz w:val="28"/>
          <w:szCs w:val="28"/>
          <w:lang w:eastAsia="it-IT"/>
        </w:rPr>
        <w:t>, compresi quelli relativi alla valutazione delle offerte tecniche</w:t>
      </w:r>
      <w:r w:rsidRPr="00B208E4">
        <w:rPr>
          <w:rFonts w:ascii="Calibri" w:eastAsia="Times New Roman" w:hAnsi="Calibri" w:cs="Segoe UI"/>
          <w:color w:val="1F4E79" w:themeColor="accent1" w:themeShade="80"/>
          <w:sz w:val="28"/>
          <w:szCs w:val="28"/>
          <w:lang w:eastAsia="it-IT"/>
        </w:rPr>
        <w:t>;</w:t>
      </w:r>
    </w:p>
    <w:p w:rsidR="00C46B75" w:rsidRPr="00B208E4" w:rsidRDefault="00C46B75" w:rsidP="00FB7048">
      <w:pPr>
        <w:pStyle w:val="Paragrafoelenco"/>
        <w:numPr>
          <w:ilvl w:val="0"/>
          <w:numId w:val="13"/>
        </w:numPr>
        <w:shd w:val="clear" w:color="auto" w:fill="FFFFFF"/>
        <w:tabs>
          <w:tab w:val="left" w:pos="0"/>
        </w:tabs>
        <w:spacing w:after="120" w:line="240" w:lineRule="auto"/>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L’illegittimità della mancata suddivisione in lotti dell’appalto.</w:t>
      </w:r>
    </w:p>
    <w:p w:rsidR="00147DA7" w:rsidRDefault="006A7DD1"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 xml:space="preserve">A fronte delle difese articolate dalle parti resistenti e controinteressate, il </w:t>
      </w:r>
      <w:r w:rsidR="00147DA7">
        <w:rPr>
          <w:rFonts w:ascii="Calibri" w:eastAsia="Times New Roman" w:hAnsi="Calibri" w:cs="Segoe UI"/>
          <w:color w:val="1F4E79" w:themeColor="accent1" w:themeShade="80"/>
          <w:sz w:val="28"/>
          <w:szCs w:val="28"/>
          <w:lang w:eastAsia="it-IT"/>
        </w:rPr>
        <w:t>TAR</w:t>
      </w:r>
      <w:r w:rsidR="002236DC">
        <w:rPr>
          <w:rFonts w:ascii="Calibri" w:eastAsia="Times New Roman" w:hAnsi="Calibri" w:cs="Segoe UI"/>
          <w:color w:val="1F4E79" w:themeColor="accent1" w:themeShade="80"/>
          <w:sz w:val="28"/>
          <w:szCs w:val="28"/>
          <w:lang w:eastAsia="it-IT"/>
        </w:rPr>
        <w:t xml:space="preserve">, dopo avere confermato la legittimità della </w:t>
      </w:r>
      <w:r w:rsidR="002236DC" w:rsidRPr="002236DC">
        <w:rPr>
          <w:rFonts w:ascii="Calibri" w:eastAsia="Times New Roman" w:hAnsi="Calibri" w:cs="Segoe UI"/>
          <w:i/>
          <w:color w:val="1F4E79" w:themeColor="accent1" w:themeShade="80"/>
          <w:sz w:val="28"/>
          <w:szCs w:val="28"/>
          <w:lang w:eastAsia="it-IT"/>
        </w:rPr>
        <w:t>esclusione</w:t>
      </w:r>
      <w:r w:rsidR="002236DC">
        <w:rPr>
          <w:rFonts w:ascii="Calibri" w:eastAsia="Times New Roman" w:hAnsi="Calibri" w:cs="Segoe UI"/>
          <w:color w:val="1F4E79" w:themeColor="accent1" w:themeShade="80"/>
          <w:sz w:val="28"/>
          <w:szCs w:val="28"/>
          <w:lang w:eastAsia="it-IT"/>
        </w:rPr>
        <w:t xml:space="preserve"> del ricorrente, </w:t>
      </w:r>
      <w:r w:rsidR="00147DA7">
        <w:rPr>
          <w:rFonts w:ascii="Calibri" w:eastAsia="Times New Roman" w:hAnsi="Calibri" w:cs="Segoe UI"/>
          <w:color w:val="1F4E79" w:themeColor="accent1" w:themeShade="80"/>
          <w:sz w:val="28"/>
          <w:szCs w:val="28"/>
          <w:lang w:eastAsia="it-IT"/>
        </w:rPr>
        <w:t>dichiara espressamente ammissibili tutte le</w:t>
      </w:r>
      <w:r w:rsidR="002236DC">
        <w:rPr>
          <w:rFonts w:ascii="Calibri" w:eastAsia="Times New Roman" w:hAnsi="Calibri" w:cs="Segoe UI"/>
          <w:color w:val="1F4E79" w:themeColor="accent1" w:themeShade="80"/>
          <w:sz w:val="28"/>
          <w:szCs w:val="28"/>
          <w:lang w:eastAsia="it-IT"/>
        </w:rPr>
        <w:t xml:space="preserve"> altre</w:t>
      </w:r>
      <w:r w:rsidR="00147DA7">
        <w:rPr>
          <w:rFonts w:ascii="Calibri" w:eastAsia="Times New Roman" w:hAnsi="Calibri" w:cs="Segoe UI"/>
          <w:color w:val="1F4E79" w:themeColor="accent1" w:themeShade="80"/>
          <w:sz w:val="28"/>
          <w:szCs w:val="28"/>
          <w:lang w:eastAsia="it-IT"/>
        </w:rPr>
        <w:t xml:space="preserve"> censure, ma le respinge nel merito, giudicando tardivo il motivo riguardante la mancata suddivisione in lotti, perché a suo dire, la relativa clausola del bando doveva ritenersi immediatamente lesiva.</w:t>
      </w:r>
    </w:p>
    <w:p w:rsidR="00C46B75" w:rsidRPr="00B208E4" w:rsidRDefault="00C46B75"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All’esito del giudizio di appello, il Consiglio di Stato:</w:t>
      </w:r>
    </w:p>
    <w:p w:rsidR="00C46B75" w:rsidRPr="00B208E4" w:rsidRDefault="00C46B75" w:rsidP="00FB7048">
      <w:pPr>
        <w:pStyle w:val="Paragrafoelenco"/>
        <w:numPr>
          <w:ilvl w:val="0"/>
          <w:numId w:val="13"/>
        </w:numPr>
        <w:shd w:val="clear" w:color="auto" w:fill="FFFFFF"/>
        <w:tabs>
          <w:tab w:val="left" w:pos="0"/>
        </w:tabs>
        <w:spacing w:after="120" w:line="240" w:lineRule="auto"/>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Giudica infondato il primo motivo</w:t>
      </w:r>
      <w:r w:rsidR="00147DA7">
        <w:rPr>
          <w:rFonts w:ascii="Calibri" w:eastAsia="Times New Roman" w:hAnsi="Calibri" w:cs="Segoe UI"/>
          <w:color w:val="1F4E79" w:themeColor="accent1" w:themeShade="80"/>
          <w:sz w:val="28"/>
          <w:szCs w:val="28"/>
          <w:lang w:eastAsia="it-IT"/>
        </w:rPr>
        <w:t xml:space="preserve"> riproposto </w:t>
      </w:r>
      <w:r w:rsidR="002236DC">
        <w:rPr>
          <w:rFonts w:ascii="Calibri" w:eastAsia="Times New Roman" w:hAnsi="Calibri" w:cs="Segoe UI"/>
          <w:color w:val="1F4E79" w:themeColor="accent1" w:themeShade="80"/>
          <w:sz w:val="28"/>
          <w:szCs w:val="28"/>
          <w:lang w:eastAsia="it-IT"/>
        </w:rPr>
        <w:t xml:space="preserve">con l’appello principale </w:t>
      </w:r>
      <w:r w:rsidR="00147DA7">
        <w:rPr>
          <w:rFonts w:ascii="Calibri" w:eastAsia="Times New Roman" w:hAnsi="Calibri" w:cs="Segoe UI"/>
          <w:color w:val="1F4E79" w:themeColor="accent1" w:themeShade="80"/>
          <w:sz w:val="28"/>
          <w:szCs w:val="28"/>
          <w:lang w:eastAsia="it-IT"/>
        </w:rPr>
        <w:t>dall’operatore economico</w:t>
      </w:r>
      <w:r w:rsidR="002236DC">
        <w:rPr>
          <w:rFonts w:ascii="Calibri" w:eastAsia="Times New Roman" w:hAnsi="Calibri" w:cs="Segoe UI"/>
          <w:color w:val="1F4E79" w:themeColor="accent1" w:themeShade="80"/>
          <w:sz w:val="28"/>
          <w:szCs w:val="28"/>
          <w:lang w:eastAsia="it-IT"/>
        </w:rPr>
        <w:t xml:space="preserve"> </w:t>
      </w:r>
      <w:r w:rsidR="002236DC" w:rsidRPr="002236DC">
        <w:rPr>
          <w:rFonts w:ascii="Calibri" w:eastAsia="Times New Roman" w:hAnsi="Calibri" w:cs="Segoe UI"/>
          <w:i/>
          <w:color w:val="1F4E79" w:themeColor="accent1" w:themeShade="80"/>
          <w:sz w:val="28"/>
          <w:szCs w:val="28"/>
          <w:lang w:eastAsia="it-IT"/>
        </w:rPr>
        <w:t>escluso</w:t>
      </w:r>
      <w:r w:rsidRPr="00B208E4">
        <w:rPr>
          <w:rFonts w:ascii="Calibri" w:eastAsia="Times New Roman" w:hAnsi="Calibri" w:cs="Segoe UI"/>
          <w:color w:val="1F4E79" w:themeColor="accent1" w:themeShade="80"/>
          <w:sz w:val="28"/>
          <w:szCs w:val="28"/>
          <w:lang w:eastAsia="it-IT"/>
        </w:rPr>
        <w:t>, riferito alla valutazione insufficiente dell’offerta tecnica;</w:t>
      </w:r>
    </w:p>
    <w:p w:rsidR="00C46B75" w:rsidRPr="00B208E4" w:rsidRDefault="002236DC" w:rsidP="00FB7048">
      <w:pPr>
        <w:pStyle w:val="Paragrafoelenco"/>
        <w:numPr>
          <w:ilvl w:val="0"/>
          <w:numId w:val="13"/>
        </w:numPr>
        <w:shd w:val="clear" w:color="auto" w:fill="FFFFFF"/>
        <w:tabs>
          <w:tab w:val="left" w:pos="0"/>
        </w:tabs>
        <w:spacing w:after="120" w:line="240" w:lineRule="auto"/>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In accoglimento del</w:t>
      </w:r>
      <w:r w:rsidR="00147DA7">
        <w:rPr>
          <w:rFonts w:ascii="Calibri" w:eastAsia="Times New Roman" w:hAnsi="Calibri" w:cs="Segoe UI"/>
          <w:color w:val="1F4E79" w:themeColor="accent1" w:themeShade="80"/>
          <w:sz w:val="28"/>
          <w:szCs w:val="28"/>
          <w:lang w:eastAsia="it-IT"/>
        </w:rPr>
        <w:t xml:space="preserve">l’appello incidentale proposto dall’aggiudicatario dell’appalto, </w:t>
      </w:r>
      <w:r>
        <w:rPr>
          <w:rFonts w:ascii="Calibri" w:eastAsia="Times New Roman" w:hAnsi="Calibri" w:cs="Segoe UI"/>
          <w:color w:val="1F4E79" w:themeColor="accent1" w:themeShade="80"/>
          <w:sz w:val="28"/>
          <w:szCs w:val="28"/>
          <w:lang w:eastAsia="it-IT"/>
        </w:rPr>
        <w:t xml:space="preserve">riforma parzialmente la sentenza di primo grado e </w:t>
      </w:r>
      <w:r w:rsidR="00147DA7" w:rsidRPr="00B208E4">
        <w:rPr>
          <w:rFonts w:ascii="Calibri" w:eastAsia="Times New Roman" w:hAnsi="Calibri" w:cs="Segoe UI"/>
          <w:color w:val="1F4E79" w:themeColor="accent1" w:themeShade="80"/>
          <w:sz w:val="28"/>
          <w:szCs w:val="28"/>
          <w:lang w:eastAsia="it-IT"/>
        </w:rPr>
        <w:t xml:space="preserve">dichiara </w:t>
      </w:r>
      <w:r w:rsidR="00C46B75" w:rsidRPr="00B208E4">
        <w:rPr>
          <w:rFonts w:ascii="Calibri" w:eastAsia="Times New Roman" w:hAnsi="Calibri" w:cs="Segoe UI"/>
          <w:color w:val="1F4E79" w:themeColor="accent1" w:themeShade="80"/>
          <w:sz w:val="28"/>
          <w:szCs w:val="28"/>
          <w:lang w:eastAsia="it-IT"/>
        </w:rPr>
        <w:t>inammissibili i restanti tre motivi, senza esaminarli nel merito</w:t>
      </w:r>
      <w:r w:rsidR="00147DA7">
        <w:rPr>
          <w:rFonts w:ascii="Calibri" w:eastAsia="Times New Roman" w:hAnsi="Calibri" w:cs="Segoe UI"/>
          <w:color w:val="1F4E79" w:themeColor="accent1" w:themeShade="80"/>
          <w:sz w:val="28"/>
          <w:szCs w:val="28"/>
          <w:lang w:eastAsia="it-IT"/>
        </w:rPr>
        <w:t xml:space="preserve">, </w:t>
      </w:r>
      <w:r>
        <w:rPr>
          <w:rFonts w:ascii="Calibri" w:eastAsia="Times New Roman" w:hAnsi="Calibri" w:cs="Segoe UI"/>
          <w:color w:val="1F4E79" w:themeColor="accent1" w:themeShade="80"/>
          <w:sz w:val="28"/>
          <w:szCs w:val="28"/>
          <w:lang w:eastAsia="it-IT"/>
        </w:rPr>
        <w:t xml:space="preserve">con </w:t>
      </w:r>
      <w:r w:rsidR="00147DA7">
        <w:rPr>
          <w:rFonts w:ascii="Calibri" w:eastAsia="Times New Roman" w:hAnsi="Calibri" w:cs="Segoe UI"/>
          <w:color w:val="1F4E79" w:themeColor="accent1" w:themeShade="80"/>
          <w:sz w:val="28"/>
          <w:szCs w:val="28"/>
          <w:lang w:eastAsia="it-IT"/>
        </w:rPr>
        <w:t>assorb</w:t>
      </w:r>
      <w:r>
        <w:rPr>
          <w:rFonts w:ascii="Calibri" w:eastAsia="Times New Roman" w:hAnsi="Calibri" w:cs="Segoe UI"/>
          <w:color w:val="1F4E79" w:themeColor="accent1" w:themeShade="80"/>
          <w:sz w:val="28"/>
          <w:szCs w:val="28"/>
          <w:lang w:eastAsia="it-IT"/>
        </w:rPr>
        <w:t>iment</w:t>
      </w:r>
      <w:r w:rsidR="00147DA7">
        <w:rPr>
          <w:rFonts w:ascii="Calibri" w:eastAsia="Times New Roman" w:hAnsi="Calibri" w:cs="Segoe UI"/>
          <w:color w:val="1F4E79" w:themeColor="accent1" w:themeShade="80"/>
          <w:sz w:val="28"/>
          <w:szCs w:val="28"/>
          <w:lang w:eastAsia="it-IT"/>
        </w:rPr>
        <w:t>o</w:t>
      </w:r>
      <w:r>
        <w:rPr>
          <w:rFonts w:ascii="Calibri" w:eastAsia="Times New Roman" w:hAnsi="Calibri" w:cs="Segoe UI"/>
          <w:color w:val="1F4E79" w:themeColor="accent1" w:themeShade="80"/>
          <w:sz w:val="28"/>
          <w:szCs w:val="28"/>
          <w:lang w:eastAsia="it-IT"/>
        </w:rPr>
        <w:t xml:space="preserve"> – implicito -</w:t>
      </w:r>
      <w:r w:rsidR="00147DA7">
        <w:rPr>
          <w:rFonts w:ascii="Calibri" w:eastAsia="Times New Roman" w:hAnsi="Calibri" w:cs="Segoe UI"/>
          <w:color w:val="1F4E79" w:themeColor="accent1" w:themeShade="80"/>
          <w:sz w:val="28"/>
          <w:szCs w:val="28"/>
          <w:lang w:eastAsia="it-IT"/>
        </w:rPr>
        <w:t xml:space="preserve"> </w:t>
      </w:r>
      <w:r>
        <w:rPr>
          <w:rFonts w:ascii="Calibri" w:eastAsia="Times New Roman" w:hAnsi="Calibri" w:cs="Segoe UI"/>
          <w:color w:val="1F4E79" w:themeColor="accent1" w:themeShade="80"/>
          <w:sz w:val="28"/>
          <w:szCs w:val="28"/>
          <w:lang w:eastAsia="it-IT"/>
        </w:rPr>
        <w:t>del</w:t>
      </w:r>
      <w:r w:rsidR="00147DA7">
        <w:rPr>
          <w:rFonts w:ascii="Calibri" w:eastAsia="Times New Roman" w:hAnsi="Calibri" w:cs="Segoe UI"/>
          <w:color w:val="1F4E79" w:themeColor="accent1" w:themeShade="80"/>
          <w:sz w:val="28"/>
          <w:szCs w:val="28"/>
          <w:lang w:eastAsia="it-IT"/>
        </w:rPr>
        <w:t>la questione relativa alla tardività del motivo concernente la mancata suddivisione in lotti</w:t>
      </w:r>
      <w:r w:rsidR="00C46B75" w:rsidRPr="00B208E4">
        <w:rPr>
          <w:rFonts w:ascii="Calibri" w:eastAsia="Times New Roman" w:hAnsi="Calibri" w:cs="Segoe UI"/>
          <w:color w:val="1F4E79" w:themeColor="accent1" w:themeShade="80"/>
          <w:sz w:val="28"/>
          <w:szCs w:val="28"/>
          <w:lang w:eastAsia="it-IT"/>
        </w:rPr>
        <w:t>.</w:t>
      </w:r>
    </w:p>
    <w:p w:rsidR="00C46B75" w:rsidRPr="00B208E4" w:rsidRDefault="00C46B75"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La pronuncia di inammissibilità</w:t>
      </w:r>
      <w:r w:rsidR="00147DA7">
        <w:rPr>
          <w:rFonts w:ascii="Calibri" w:eastAsia="Times New Roman" w:hAnsi="Calibri" w:cs="Segoe UI"/>
          <w:color w:val="1F4E79" w:themeColor="accent1" w:themeShade="80"/>
          <w:sz w:val="28"/>
          <w:szCs w:val="28"/>
          <w:lang w:eastAsia="it-IT"/>
        </w:rPr>
        <w:t xml:space="preserve"> dei motivi</w:t>
      </w:r>
      <w:r w:rsidRPr="00B208E4">
        <w:rPr>
          <w:rFonts w:ascii="Calibri" w:eastAsia="Times New Roman" w:hAnsi="Calibri" w:cs="Segoe UI"/>
          <w:color w:val="1F4E79" w:themeColor="accent1" w:themeShade="80"/>
          <w:sz w:val="28"/>
          <w:szCs w:val="28"/>
          <w:lang w:eastAsia="it-IT"/>
        </w:rPr>
        <w:t xml:space="preserve"> si basa su un preciso argomento:</w:t>
      </w:r>
    </w:p>
    <w:p w:rsidR="00C46B75" w:rsidRPr="00B208E4" w:rsidRDefault="002236DC"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i</w:t>
      </w:r>
      <w:r w:rsidR="00C46B75" w:rsidRPr="00B208E4">
        <w:rPr>
          <w:rFonts w:ascii="Calibri" w:eastAsia="Times New Roman" w:hAnsi="Calibri" w:cs="Segoe UI"/>
          <w:color w:val="1F4E79" w:themeColor="accent1" w:themeShade="80"/>
          <w:sz w:val="28"/>
          <w:szCs w:val="28"/>
          <w:lang w:eastAsia="it-IT"/>
        </w:rPr>
        <w:t xml:space="preserve">l concorrente che non ottiene un punteggio sufficiente per l’offerta tecnica (e quindi non supera la </w:t>
      </w:r>
      <w:r w:rsidR="00C46B75" w:rsidRPr="00B208E4">
        <w:rPr>
          <w:rFonts w:ascii="Calibri" w:eastAsia="Times New Roman" w:hAnsi="Calibri" w:cs="Segoe UI"/>
          <w:i/>
          <w:color w:val="1F4E79" w:themeColor="accent1" w:themeShade="80"/>
          <w:sz w:val="28"/>
          <w:szCs w:val="28"/>
          <w:lang w:eastAsia="it-IT"/>
        </w:rPr>
        <w:t>soglia di sbarramento</w:t>
      </w:r>
      <w:r w:rsidR="00C46B75" w:rsidRPr="00B208E4">
        <w:rPr>
          <w:rFonts w:ascii="Calibri" w:eastAsia="Times New Roman" w:hAnsi="Calibri" w:cs="Segoe UI"/>
          <w:color w:val="1F4E79" w:themeColor="accent1" w:themeShade="80"/>
          <w:sz w:val="28"/>
          <w:szCs w:val="28"/>
          <w:lang w:eastAsia="it-IT"/>
        </w:rPr>
        <w:t xml:space="preserve">) è </w:t>
      </w:r>
      <w:r w:rsidR="00C46B75" w:rsidRPr="00B208E4">
        <w:rPr>
          <w:rFonts w:ascii="Calibri" w:eastAsia="Times New Roman" w:hAnsi="Calibri" w:cs="Segoe UI"/>
          <w:i/>
          <w:color w:val="1F4E79" w:themeColor="accent1" w:themeShade="80"/>
          <w:sz w:val="28"/>
          <w:szCs w:val="28"/>
          <w:lang w:eastAsia="it-IT"/>
        </w:rPr>
        <w:t>escluso</w:t>
      </w:r>
      <w:r w:rsidR="00147DA7">
        <w:rPr>
          <w:rFonts w:ascii="Calibri" w:eastAsia="Times New Roman" w:hAnsi="Calibri" w:cs="Segoe UI"/>
          <w:color w:val="1F4E79" w:themeColor="accent1" w:themeShade="80"/>
          <w:sz w:val="28"/>
          <w:szCs w:val="28"/>
          <w:lang w:eastAsia="it-IT"/>
        </w:rPr>
        <w:t xml:space="preserve"> dalla procedura.</w:t>
      </w:r>
    </w:p>
    <w:p w:rsidR="00C46B75" w:rsidRPr="00B208E4" w:rsidRDefault="00C46B75"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Pertanto, una volta accertata </w:t>
      </w:r>
      <w:r w:rsidR="002236DC">
        <w:rPr>
          <w:rFonts w:ascii="Calibri" w:eastAsia="Times New Roman" w:hAnsi="Calibri" w:cs="Segoe UI"/>
          <w:color w:val="1F4E79" w:themeColor="accent1" w:themeShade="80"/>
          <w:sz w:val="28"/>
          <w:szCs w:val="28"/>
          <w:lang w:eastAsia="it-IT"/>
        </w:rPr>
        <w:t xml:space="preserve">in giudizio </w:t>
      </w:r>
      <w:r w:rsidRPr="00B208E4">
        <w:rPr>
          <w:rFonts w:ascii="Calibri" w:eastAsia="Times New Roman" w:hAnsi="Calibri" w:cs="Segoe UI"/>
          <w:color w:val="1F4E79" w:themeColor="accent1" w:themeShade="80"/>
          <w:sz w:val="28"/>
          <w:szCs w:val="28"/>
          <w:lang w:eastAsia="it-IT"/>
        </w:rPr>
        <w:t>la legittimità dell’esclusione, questo soggetto è privo della legittimazione a proporre altre censure avverso gli atti di gara</w:t>
      </w:r>
      <w:r w:rsidR="00AD5B29">
        <w:rPr>
          <w:rFonts w:ascii="Calibri" w:eastAsia="Times New Roman" w:hAnsi="Calibri" w:cs="Segoe UI"/>
          <w:color w:val="1F4E79" w:themeColor="accent1" w:themeShade="80"/>
          <w:sz w:val="28"/>
          <w:szCs w:val="28"/>
          <w:lang w:eastAsia="it-IT"/>
        </w:rPr>
        <w:t xml:space="preserve">, </w:t>
      </w:r>
      <w:r w:rsidR="002236DC">
        <w:rPr>
          <w:rFonts w:ascii="Calibri" w:eastAsia="Times New Roman" w:hAnsi="Calibri" w:cs="Segoe UI"/>
          <w:color w:val="1F4E79" w:themeColor="accent1" w:themeShade="80"/>
          <w:sz w:val="28"/>
          <w:szCs w:val="28"/>
          <w:lang w:eastAsia="it-IT"/>
        </w:rPr>
        <w:t xml:space="preserve">ancorché finalizzati alla caducazione dell’intera procedura, </w:t>
      </w:r>
      <w:r w:rsidR="00AD5B29">
        <w:rPr>
          <w:rFonts w:ascii="Calibri" w:eastAsia="Times New Roman" w:hAnsi="Calibri" w:cs="Segoe UI"/>
          <w:color w:val="1F4E79" w:themeColor="accent1" w:themeShade="80"/>
          <w:sz w:val="28"/>
          <w:szCs w:val="28"/>
          <w:lang w:eastAsia="it-IT"/>
        </w:rPr>
        <w:t>poiché perde la posizione differenziata derivante dalla partecipazione al procedimen</w:t>
      </w:r>
      <w:r w:rsidR="00C73DCD">
        <w:rPr>
          <w:rFonts w:ascii="Calibri" w:eastAsia="Times New Roman" w:hAnsi="Calibri" w:cs="Segoe UI"/>
          <w:color w:val="1F4E79" w:themeColor="accent1" w:themeShade="80"/>
          <w:sz w:val="28"/>
          <w:szCs w:val="28"/>
          <w:lang w:eastAsia="it-IT"/>
        </w:rPr>
        <w:t xml:space="preserve"> </w:t>
      </w:r>
      <w:r w:rsidR="00AD5B29">
        <w:rPr>
          <w:rFonts w:ascii="Calibri" w:eastAsia="Times New Roman" w:hAnsi="Calibri" w:cs="Segoe UI"/>
          <w:color w:val="1F4E79" w:themeColor="accent1" w:themeShade="80"/>
          <w:sz w:val="28"/>
          <w:szCs w:val="28"/>
          <w:lang w:eastAsia="it-IT"/>
        </w:rPr>
        <w:t>to, diventando titolare di un mero interesse di fatto a far valere censure il cui accollamento che potrebbero determinare il travolgimento della gara e la sua riedizione</w:t>
      </w:r>
      <w:r w:rsidRPr="00B208E4">
        <w:rPr>
          <w:rFonts w:ascii="Calibri" w:eastAsia="Times New Roman" w:hAnsi="Calibri" w:cs="Segoe UI"/>
          <w:color w:val="1F4E79" w:themeColor="accent1" w:themeShade="80"/>
          <w:sz w:val="28"/>
          <w:szCs w:val="28"/>
          <w:lang w:eastAsia="it-IT"/>
        </w:rPr>
        <w:t>.</w:t>
      </w:r>
    </w:p>
    <w:p w:rsidR="00C46B75" w:rsidRPr="00B208E4" w:rsidRDefault="00C46B75"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L’operatore impugna la decisione del Consiglio di Stato, richiamando la giurisprudenza della CGUE, orientata, a suo dire, a riconoscere un’ampia legittimazione al ricorso, anche in capo al concorrente legittimamente escluso da una gara.</w:t>
      </w:r>
    </w:p>
    <w:p w:rsidR="00C46B75" w:rsidRPr="00B208E4" w:rsidRDefault="00C46B75"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Ma le altre parti, oltre a difendersi nel merito, replicano che le censure non sono ammissibili, alla luce del chiaro indirizzo espresso dalla Corte costituzionale n. 6/2018 e della conforme giu</w:t>
      </w:r>
      <w:r w:rsidR="00AD5B29">
        <w:rPr>
          <w:rFonts w:ascii="Calibri" w:eastAsia="Times New Roman" w:hAnsi="Calibri" w:cs="Segoe UI"/>
          <w:color w:val="1F4E79" w:themeColor="accent1" w:themeShade="80"/>
          <w:sz w:val="28"/>
          <w:szCs w:val="28"/>
          <w:lang w:eastAsia="it-IT"/>
        </w:rPr>
        <w:t>risprudenza delle Sezioni Unite, che non consente di sindacare le decisioni del Consiglio di Stato per motivi non attinenti alla giurisdizione, da intendersi in senso stretto e rigoroso.</w:t>
      </w:r>
    </w:p>
    <w:p w:rsidR="00C46B75" w:rsidRPr="00B208E4" w:rsidRDefault="00C46B75"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L’ordinanza </w:t>
      </w:r>
      <w:r w:rsidR="00AD5B29">
        <w:rPr>
          <w:rFonts w:ascii="Calibri" w:eastAsia="Times New Roman" w:hAnsi="Calibri" w:cs="Segoe UI"/>
          <w:color w:val="1F4E79" w:themeColor="accent1" w:themeShade="80"/>
          <w:sz w:val="28"/>
          <w:szCs w:val="28"/>
          <w:lang w:eastAsia="it-IT"/>
        </w:rPr>
        <w:t xml:space="preserve">in commento </w:t>
      </w:r>
      <w:r w:rsidRPr="00B208E4">
        <w:rPr>
          <w:rFonts w:ascii="Calibri" w:eastAsia="Times New Roman" w:hAnsi="Calibri" w:cs="Segoe UI"/>
          <w:color w:val="1F4E79" w:themeColor="accent1" w:themeShade="80"/>
          <w:sz w:val="28"/>
          <w:szCs w:val="28"/>
          <w:lang w:eastAsia="it-IT"/>
        </w:rPr>
        <w:t>espone con chiarezza il proprio avviso</w:t>
      </w:r>
      <w:r w:rsidR="00AD5B29">
        <w:rPr>
          <w:rFonts w:ascii="Calibri" w:eastAsia="Times New Roman" w:hAnsi="Calibri" w:cs="Segoe UI"/>
          <w:color w:val="1F4E79" w:themeColor="accent1" w:themeShade="80"/>
          <w:sz w:val="28"/>
          <w:szCs w:val="28"/>
          <w:lang w:eastAsia="it-IT"/>
        </w:rPr>
        <w:t xml:space="preserve"> sul tema controverso tra le parti</w:t>
      </w:r>
      <w:r w:rsidRPr="00B208E4">
        <w:rPr>
          <w:rFonts w:ascii="Calibri" w:eastAsia="Times New Roman" w:hAnsi="Calibri" w:cs="Segoe UI"/>
          <w:color w:val="1F4E79" w:themeColor="accent1" w:themeShade="80"/>
          <w:sz w:val="28"/>
          <w:szCs w:val="28"/>
          <w:lang w:eastAsia="it-IT"/>
        </w:rPr>
        <w:t>:</w:t>
      </w:r>
    </w:p>
    <w:p w:rsidR="00C46B75" w:rsidRPr="00B208E4" w:rsidRDefault="00C46B75" w:rsidP="00FB7048">
      <w:pPr>
        <w:pStyle w:val="Paragrafoelenco"/>
        <w:numPr>
          <w:ilvl w:val="0"/>
          <w:numId w:val="13"/>
        </w:numPr>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Le censure proposte dal ricorrente mettono in luce l’esistenza di una violazione (qualificata come </w:t>
      </w:r>
      <w:r w:rsidRPr="00B208E4">
        <w:rPr>
          <w:rFonts w:ascii="Calibri" w:eastAsia="Times New Roman" w:hAnsi="Calibri" w:cs="Segoe UI"/>
          <w:i/>
          <w:color w:val="1F4E79" w:themeColor="accent1" w:themeShade="80"/>
          <w:sz w:val="28"/>
          <w:szCs w:val="28"/>
          <w:lang w:eastAsia="it-IT"/>
        </w:rPr>
        <w:t>grave</w:t>
      </w:r>
      <w:r w:rsidRPr="00B208E4">
        <w:rPr>
          <w:rFonts w:ascii="Calibri" w:eastAsia="Times New Roman" w:hAnsi="Calibri" w:cs="Segoe UI"/>
          <w:color w:val="1F4E79" w:themeColor="accent1" w:themeShade="80"/>
          <w:sz w:val="28"/>
          <w:szCs w:val="28"/>
          <w:lang w:eastAsia="it-IT"/>
        </w:rPr>
        <w:t>) del diritto UE</w:t>
      </w:r>
      <w:r w:rsidR="00AD5B29">
        <w:rPr>
          <w:rFonts w:ascii="Calibri" w:eastAsia="Times New Roman" w:hAnsi="Calibri" w:cs="Segoe UI"/>
          <w:color w:val="1F4E79" w:themeColor="accent1" w:themeShade="80"/>
          <w:sz w:val="28"/>
          <w:szCs w:val="28"/>
          <w:lang w:eastAsia="it-IT"/>
        </w:rPr>
        <w:t>, compiuta dalla sentenza impugnata</w:t>
      </w:r>
      <w:r w:rsidRPr="00B208E4">
        <w:rPr>
          <w:rFonts w:ascii="Calibri" w:eastAsia="Times New Roman" w:hAnsi="Calibri" w:cs="Segoe UI"/>
          <w:color w:val="1F4E79" w:themeColor="accent1" w:themeShade="80"/>
          <w:sz w:val="28"/>
          <w:szCs w:val="28"/>
          <w:lang w:eastAsia="it-IT"/>
        </w:rPr>
        <w:t>;</w:t>
      </w:r>
    </w:p>
    <w:p w:rsidR="00C46B75" w:rsidRPr="00B208E4" w:rsidRDefault="00AD5B29" w:rsidP="00FB7048">
      <w:pPr>
        <w:pStyle w:val="Paragrafoelenco"/>
        <w:numPr>
          <w:ilvl w:val="0"/>
          <w:numId w:val="13"/>
        </w:numPr>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Tuttavia, l</w:t>
      </w:r>
      <w:r w:rsidR="00C46B75" w:rsidRPr="00B208E4">
        <w:rPr>
          <w:rFonts w:ascii="Calibri" w:eastAsia="Times New Roman" w:hAnsi="Calibri" w:cs="Segoe UI"/>
          <w:color w:val="1F4E79" w:themeColor="accent1" w:themeShade="80"/>
          <w:sz w:val="28"/>
          <w:szCs w:val="28"/>
          <w:lang w:eastAsia="it-IT"/>
        </w:rPr>
        <w:t xml:space="preserve">’ammissibilità </w:t>
      </w:r>
      <w:r>
        <w:rPr>
          <w:rFonts w:ascii="Calibri" w:eastAsia="Times New Roman" w:hAnsi="Calibri" w:cs="Segoe UI"/>
          <w:color w:val="1F4E79" w:themeColor="accent1" w:themeShade="80"/>
          <w:sz w:val="28"/>
          <w:szCs w:val="28"/>
          <w:lang w:eastAsia="it-IT"/>
        </w:rPr>
        <w:t>di tali censure, mediante i</w:t>
      </w:r>
      <w:r w:rsidR="00C46B75" w:rsidRPr="00B208E4">
        <w:rPr>
          <w:rFonts w:ascii="Calibri" w:eastAsia="Times New Roman" w:hAnsi="Calibri" w:cs="Segoe UI"/>
          <w:color w:val="1F4E79" w:themeColor="accent1" w:themeShade="80"/>
          <w:sz w:val="28"/>
          <w:szCs w:val="28"/>
          <w:lang w:eastAsia="it-IT"/>
        </w:rPr>
        <w:t xml:space="preserve">l ricorso per cassazione </w:t>
      </w:r>
      <w:r>
        <w:rPr>
          <w:rFonts w:ascii="Calibri" w:eastAsia="Times New Roman" w:hAnsi="Calibri" w:cs="Segoe UI"/>
          <w:color w:val="1F4E79" w:themeColor="accent1" w:themeShade="80"/>
          <w:sz w:val="28"/>
          <w:szCs w:val="28"/>
          <w:lang w:eastAsia="it-IT"/>
        </w:rPr>
        <w:t xml:space="preserve">ai sensi dell’art. 111, co. 8, </w:t>
      </w:r>
      <w:r w:rsidR="00C46B75" w:rsidRPr="00B208E4">
        <w:rPr>
          <w:rFonts w:ascii="Calibri" w:eastAsia="Times New Roman" w:hAnsi="Calibri" w:cs="Segoe UI"/>
          <w:color w:val="1F4E79" w:themeColor="accent1" w:themeShade="80"/>
          <w:sz w:val="28"/>
          <w:szCs w:val="28"/>
          <w:lang w:eastAsia="it-IT"/>
        </w:rPr>
        <w:t>andrebbe esclusa, in applicazione della “prassi interpretativa” inaugurata dalla pronuncia n. 6/2018;</w:t>
      </w:r>
    </w:p>
    <w:p w:rsidR="00C46B75" w:rsidRPr="00B208E4" w:rsidRDefault="00C46B75" w:rsidP="00FB7048">
      <w:pPr>
        <w:pStyle w:val="Paragrafoelenco"/>
        <w:numPr>
          <w:ilvl w:val="0"/>
          <w:numId w:val="13"/>
        </w:numPr>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Questo assetto normativo, tuttavia, </w:t>
      </w:r>
      <w:r w:rsidR="00AD5B29">
        <w:rPr>
          <w:rFonts w:ascii="Calibri" w:eastAsia="Times New Roman" w:hAnsi="Calibri" w:cs="Segoe UI"/>
          <w:color w:val="1F4E79" w:themeColor="accent1" w:themeShade="80"/>
          <w:sz w:val="28"/>
          <w:szCs w:val="28"/>
          <w:lang w:eastAsia="it-IT"/>
        </w:rPr>
        <w:t xml:space="preserve">seppure ritenuto condivisibile in termini generali, </w:t>
      </w:r>
      <w:r w:rsidR="00C73DCD">
        <w:rPr>
          <w:rFonts w:ascii="Calibri" w:eastAsia="Times New Roman" w:hAnsi="Calibri" w:cs="Segoe UI"/>
          <w:color w:val="1F4E79" w:themeColor="accent1" w:themeShade="80"/>
          <w:sz w:val="28"/>
          <w:szCs w:val="28"/>
          <w:lang w:eastAsia="it-IT"/>
        </w:rPr>
        <w:t xml:space="preserve">riferiti al diritto interno, </w:t>
      </w:r>
      <w:r w:rsidRPr="00B208E4">
        <w:rPr>
          <w:rFonts w:ascii="Calibri" w:eastAsia="Times New Roman" w:hAnsi="Calibri" w:cs="Segoe UI"/>
          <w:color w:val="1F4E79" w:themeColor="accent1" w:themeShade="80"/>
          <w:sz w:val="28"/>
          <w:szCs w:val="28"/>
          <w:lang w:eastAsia="it-IT"/>
        </w:rPr>
        <w:t xml:space="preserve">impedisce di </w:t>
      </w:r>
      <w:r w:rsidR="00AD5B29">
        <w:rPr>
          <w:rFonts w:ascii="Calibri" w:eastAsia="Times New Roman" w:hAnsi="Calibri" w:cs="Segoe UI"/>
          <w:color w:val="1F4E79" w:themeColor="accent1" w:themeShade="80"/>
          <w:sz w:val="28"/>
          <w:szCs w:val="28"/>
          <w:lang w:eastAsia="it-IT"/>
        </w:rPr>
        <w:t>ripar</w:t>
      </w:r>
      <w:r w:rsidRPr="00B208E4">
        <w:rPr>
          <w:rFonts w:ascii="Calibri" w:eastAsia="Times New Roman" w:hAnsi="Calibri" w:cs="Segoe UI"/>
          <w:color w:val="1F4E79" w:themeColor="accent1" w:themeShade="80"/>
          <w:sz w:val="28"/>
          <w:szCs w:val="28"/>
          <w:lang w:eastAsia="it-IT"/>
        </w:rPr>
        <w:t xml:space="preserve">are una </w:t>
      </w:r>
      <w:r w:rsidR="00AD5B29">
        <w:rPr>
          <w:rFonts w:ascii="Calibri" w:eastAsia="Times New Roman" w:hAnsi="Calibri" w:cs="Segoe UI"/>
          <w:color w:val="1F4E79" w:themeColor="accent1" w:themeShade="80"/>
          <w:sz w:val="28"/>
          <w:szCs w:val="28"/>
          <w:lang w:eastAsia="it-IT"/>
        </w:rPr>
        <w:t>grave violazione del diritto UE e, quindi,</w:t>
      </w:r>
      <w:r w:rsidRPr="00B208E4">
        <w:rPr>
          <w:rFonts w:ascii="Calibri" w:eastAsia="Times New Roman" w:hAnsi="Calibri" w:cs="Segoe UI"/>
          <w:color w:val="1F4E79" w:themeColor="accent1" w:themeShade="80"/>
          <w:sz w:val="28"/>
          <w:szCs w:val="28"/>
          <w:lang w:eastAsia="it-IT"/>
        </w:rPr>
        <w:t xml:space="preserve"> risulta di dubbia compatibilità con l’ordinamento eurounitario.</w:t>
      </w:r>
    </w:p>
    <w:p w:rsidR="003561F0" w:rsidRPr="00B208E4" w:rsidRDefault="003561F0"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L’ordinanza solleva</w:t>
      </w:r>
      <w:r w:rsidR="00036ECD" w:rsidRPr="00B208E4">
        <w:rPr>
          <w:rFonts w:ascii="Calibri" w:eastAsia="Times New Roman" w:hAnsi="Calibri" w:cs="Segoe UI"/>
          <w:color w:val="1F4E79" w:themeColor="accent1" w:themeShade="80"/>
          <w:sz w:val="28"/>
          <w:szCs w:val="28"/>
          <w:lang w:eastAsia="it-IT"/>
        </w:rPr>
        <w:t>, quindi,</w:t>
      </w:r>
      <w:r w:rsidRPr="00B208E4">
        <w:rPr>
          <w:rFonts w:ascii="Calibri" w:eastAsia="Times New Roman" w:hAnsi="Calibri" w:cs="Segoe UI"/>
          <w:color w:val="1F4E79" w:themeColor="accent1" w:themeShade="80"/>
          <w:sz w:val="28"/>
          <w:szCs w:val="28"/>
          <w:lang w:eastAsia="it-IT"/>
        </w:rPr>
        <w:t xml:space="preserve"> tre distinte questioni</w:t>
      </w:r>
      <w:r w:rsidR="00AD5B29">
        <w:rPr>
          <w:rFonts w:ascii="Calibri" w:eastAsia="Times New Roman" w:hAnsi="Calibri" w:cs="Segoe UI"/>
          <w:color w:val="1F4E79" w:themeColor="accent1" w:themeShade="80"/>
          <w:sz w:val="28"/>
          <w:szCs w:val="28"/>
          <w:lang w:eastAsia="it-IT"/>
        </w:rPr>
        <w:t xml:space="preserve"> pregiudiziali, ai sensi dell’art. 267 del TFUE</w:t>
      </w:r>
      <w:r w:rsidRPr="00B208E4">
        <w:rPr>
          <w:rFonts w:ascii="Calibri" w:eastAsia="Times New Roman" w:hAnsi="Calibri" w:cs="Segoe UI"/>
          <w:color w:val="1F4E79" w:themeColor="accent1" w:themeShade="80"/>
          <w:sz w:val="28"/>
          <w:szCs w:val="28"/>
          <w:lang w:eastAsia="it-IT"/>
        </w:rPr>
        <w:t>.</w:t>
      </w:r>
    </w:p>
    <w:p w:rsidR="00537DE8" w:rsidRPr="00C73DCD" w:rsidRDefault="003561F0" w:rsidP="00C73DCD">
      <w:pPr>
        <w:pStyle w:val="Paragrafoelenco"/>
        <w:numPr>
          <w:ilvl w:val="1"/>
          <w:numId w:val="1"/>
        </w:numPr>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C73DCD">
        <w:rPr>
          <w:rFonts w:ascii="Calibri" w:eastAsia="Times New Roman" w:hAnsi="Calibri" w:cs="Segoe UI"/>
          <w:color w:val="1F4E79" w:themeColor="accent1" w:themeShade="80"/>
          <w:sz w:val="28"/>
          <w:szCs w:val="28"/>
          <w:lang w:eastAsia="it-IT"/>
        </w:rPr>
        <w:t>La prima, di portata più generale ed ampia</w:t>
      </w:r>
      <w:r w:rsidR="00AD5B29" w:rsidRPr="00C73DCD">
        <w:rPr>
          <w:rFonts w:ascii="Calibri" w:eastAsia="Times New Roman" w:hAnsi="Calibri" w:cs="Segoe UI"/>
          <w:color w:val="1F4E79" w:themeColor="accent1" w:themeShade="80"/>
          <w:sz w:val="28"/>
          <w:szCs w:val="28"/>
          <w:lang w:eastAsia="it-IT"/>
        </w:rPr>
        <w:t>,</w:t>
      </w:r>
      <w:r w:rsidR="00036ECD" w:rsidRPr="00C73DCD">
        <w:rPr>
          <w:rFonts w:ascii="Calibri" w:eastAsia="Times New Roman" w:hAnsi="Calibri" w:cs="Segoe UI"/>
          <w:color w:val="1F4E79" w:themeColor="accent1" w:themeShade="80"/>
          <w:sz w:val="28"/>
          <w:szCs w:val="28"/>
          <w:lang w:eastAsia="it-IT"/>
        </w:rPr>
        <w:t xml:space="preserve"> </w:t>
      </w:r>
      <w:r w:rsidRPr="00C73DCD">
        <w:rPr>
          <w:rFonts w:ascii="Calibri" w:eastAsia="Times New Roman" w:hAnsi="Calibri" w:cs="Segoe UI"/>
          <w:color w:val="1F4E79" w:themeColor="accent1" w:themeShade="80"/>
          <w:sz w:val="28"/>
          <w:szCs w:val="28"/>
          <w:lang w:eastAsia="it-IT"/>
        </w:rPr>
        <w:t xml:space="preserve">riguarda la compatibilità con il diritto europeo della normativa nazionale (anche di rango costituzionale e </w:t>
      </w:r>
      <w:r w:rsidR="005D7BD5" w:rsidRPr="00C73DCD">
        <w:rPr>
          <w:rFonts w:ascii="Calibri" w:eastAsia="Times New Roman" w:hAnsi="Calibri" w:cs="Segoe UI"/>
          <w:color w:val="1F4E79" w:themeColor="accent1" w:themeShade="80"/>
          <w:sz w:val="28"/>
          <w:szCs w:val="28"/>
          <w:lang w:eastAsia="it-IT"/>
        </w:rPr>
        <w:t>formata</w:t>
      </w:r>
      <w:r w:rsidRPr="00C73DCD">
        <w:rPr>
          <w:rFonts w:ascii="Calibri" w:eastAsia="Times New Roman" w:hAnsi="Calibri" w:cs="Segoe UI"/>
          <w:color w:val="1F4E79" w:themeColor="accent1" w:themeShade="80"/>
          <w:sz w:val="28"/>
          <w:szCs w:val="28"/>
          <w:lang w:eastAsia="it-IT"/>
        </w:rPr>
        <w:t xml:space="preserve"> </w:t>
      </w:r>
      <w:r w:rsidR="005D7BD5" w:rsidRPr="00C73DCD">
        <w:rPr>
          <w:rFonts w:ascii="Calibri" w:eastAsia="Times New Roman" w:hAnsi="Calibri" w:cs="Segoe UI"/>
          <w:color w:val="1F4E79" w:themeColor="accent1" w:themeShade="80"/>
          <w:sz w:val="28"/>
          <w:szCs w:val="28"/>
          <w:lang w:eastAsia="it-IT"/>
        </w:rPr>
        <w:t xml:space="preserve">altresì </w:t>
      </w:r>
      <w:r w:rsidRPr="00C73DCD">
        <w:rPr>
          <w:rFonts w:ascii="Calibri" w:eastAsia="Times New Roman" w:hAnsi="Calibri" w:cs="Segoe UI"/>
          <w:color w:val="1F4E79" w:themeColor="accent1" w:themeShade="80"/>
          <w:sz w:val="28"/>
          <w:szCs w:val="28"/>
          <w:lang w:eastAsia="it-IT"/>
        </w:rPr>
        <w:t>dalla “prassi interpretativa”</w:t>
      </w:r>
      <w:r w:rsidRPr="00B208E4">
        <w:rPr>
          <w:rStyle w:val="Rimandonotaapidipagina"/>
          <w:rFonts w:ascii="Calibri" w:eastAsia="Times New Roman" w:hAnsi="Calibri" w:cs="Segoe UI"/>
          <w:color w:val="1F4E79" w:themeColor="accent1" w:themeShade="80"/>
          <w:sz w:val="28"/>
          <w:szCs w:val="28"/>
          <w:lang w:eastAsia="it-IT"/>
        </w:rPr>
        <w:footnoteReference w:id="20"/>
      </w:r>
      <w:r w:rsidRPr="00C73DCD">
        <w:rPr>
          <w:rFonts w:ascii="Calibri" w:eastAsia="Times New Roman" w:hAnsi="Calibri" w:cs="Segoe UI"/>
          <w:color w:val="1F4E79" w:themeColor="accent1" w:themeShade="80"/>
          <w:sz w:val="28"/>
          <w:szCs w:val="28"/>
          <w:lang w:eastAsia="it-IT"/>
        </w:rPr>
        <w:t xml:space="preserve"> imposta dalla Corte costituzionale e seguita dalle Sezioni Unite della Cassazione) che impedisce il ricorso per cassazione avverso le pronunce del Consiglio di Stato </w:t>
      </w:r>
      <w:r w:rsidR="00537DE8" w:rsidRPr="00C73DCD">
        <w:rPr>
          <w:rFonts w:ascii="Calibri" w:eastAsia="Times New Roman" w:hAnsi="Calibri" w:cs="Segoe UI"/>
          <w:color w:val="1F4E79" w:themeColor="accent1" w:themeShade="80"/>
          <w:sz w:val="28"/>
          <w:szCs w:val="28"/>
          <w:lang w:eastAsia="it-IT"/>
        </w:rPr>
        <w:t>in contrasto con il diritto UE.</w:t>
      </w:r>
    </w:p>
    <w:p w:rsidR="00FD14F1" w:rsidRPr="00B208E4" w:rsidRDefault="00FD14F1"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Non è mancato chi ha notato la singolarità dell’argomento della Cassazione che, per alcuni versi, sembra proprio voler censurare la legittimità comunitaria della propria “giurisprudenza consolidata”, seppure “vincolata” dal </w:t>
      </w:r>
      <w:r w:rsidRPr="00B208E4">
        <w:rPr>
          <w:rFonts w:ascii="Calibri" w:eastAsia="Times New Roman" w:hAnsi="Calibri" w:cs="Segoe UI"/>
          <w:i/>
          <w:color w:val="1F4E79" w:themeColor="accent1" w:themeShade="80"/>
          <w:sz w:val="28"/>
          <w:szCs w:val="28"/>
          <w:lang w:eastAsia="it-IT"/>
        </w:rPr>
        <w:t>dictum</w:t>
      </w:r>
      <w:r w:rsidRPr="00B208E4">
        <w:rPr>
          <w:rFonts w:ascii="Calibri" w:eastAsia="Times New Roman" w:hAnsi="Calibri" w:cs="Segoe UI"/>
          <w:color w:val="1F4E79" w:themeColor="accent1" w:themeShade="80"/>
          <w:sz w:val="28"/>
          <w:szCs w:val="28"/>
          <w:lang w:eastAsia="it-IT"/>
        </w:rPr>
        <w:t xml:space="preserve"> della Corte costituzionale.</w:t>
      </w:r>
      <w:r w:rsidRPr="00B208E4">
        <w:rPr>
          <w:rStyle w:val="Rimandonotaapidipagina"/>
          <w:rFonts w:ascii="Calibri" w:eastAsia="Times New Roman" w:hAnsi="Calibri" w:cs="Segoe UI"/>
          <w:color w:val="1F4E79" w:themeColor="accent1" w:themeShade="80"/>
          <w:sz w:val="28"/>
          <w:szCs w:val="28"/>
          <w:lang w:eastAsia="it-IT"/>
        </w:rPr>
        <w:footnoteReference w:id="21"/>
      </w:r>
    </w:p>
    <w:p w:rsidR="00537DE8" w:rsidRDefault="003561F0"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Il quesito, pur originato</w:t>
      </w:r>
      <w:r w:rsidR="00537DE8">
        <w:rPr>
          <w:rFonts w:ascii="Calibri" w:eastAsia="Times New Roman" w:hAnsi="Calibri" w:cs="Segoe UI"/>
          <w:color w:val="1F4E79" w:themeColor="accent1" w:themeShade="80"/>
          <w:sz w:val="28"/>
          <w:szCs w:val="28"/>
          <w:lang w:eastAsia="it-IT"/>
        </w:rPr>
        <w:t xml:space="preserve">, in concreto, </w:t>
      </w:r>
      <w:r w:rsidRPr="00B208E4">
        <w:rPr>
          <w:rFonts w:ascii="Calibri" w:eastAsia="Times New Roman" w:hAnsi="Calibri" w:cs="Segoe UI"/>
          <w:color w:val="1F4E79" w:themeColor="accent1" w:themeShade="80"/>
          <w:sz w:val="28"/>
          <w:szCs w:val="28"/>
          <w:lang w:eastAsia="it-IT"/>
        </w:rPr>
        <w:t>da un</w:t>
      </w:r>
      <w:r w:rsidR="00537DE8">
        <w:rPr>
          <w:rFonts w:ascii="Calibri" w:eastAsia="Times New Roman" w:hAnsi="Calibri" w:cs="Segoe UI"/>
          <w:color w:val="1F4E79" w:themeColor="accent1" w:themeShade="80"/>
          <w:sz w:val="28"/>
          <w:szCs w:val="28"/>
          <w:lang w:eastAsia="it-IT"/>
        </w:rPr>
        <w:t xml:space="preserve"> </w:t>
      </w:r>
      <w:r w:rsidR="00D31037">
        <w:rPr>
          <w:rFonts w:ascii="Calibri" w:eastAsia="Times New Roman" w:hAnsi="Calibri" w:cs="Segoe UI"/>
          <w:color w:val="1F4E79" w:themeColor="accent1" w:themeShade="80"/>
          <w:sz w:val="28"/>
          <w:szCs w:val="28"/>
          <w:lang w:eastAsia="it-IT"/>
        </w:rPr>
        <w:t xml:space="preserve">ricorso </w:t>
      </w:r>
      <w:r w:rsidR="00537DE8">
        <w:rPr>
          <w:rFonts w:ascii="Calibri" w:eastAsia="Times New Roman" w:hAnsi="Calibri" w:cs="Segoe UI"/>
          <w:color w:val="1F4E79" w:themeColor="accent1" w:themeShade="80"/>
          <w:sz w:val="28"/>
          <w:szCs w:val="28"/>
          <w:lang w:eastAsia="it-IT"/>
        </w:rPr>
        <w:t>che prospetta l</w:t>
      </w:r>
      <w:r w:rsidRPr="00B208E4">
        <w:rPr>
          <w:rFonts w:ascii="Calibri" w:eastAsia="Times New Roman" w:hAnsi="Calibri" w:cs="Segoe UI"/>
          <w:color w:val="1F4E79" w:themeColor="accent1" w:themeShade="80"/>
          <w:sz w:val="28"/>
          <w:szCs w:val="28"/>
          <w:lang w:eastAsia="it-IT"/>
        </w:rPr>
        <w:t>a lesione del diritto di difesa definito dalla normativa UE, pare assumere una dimensione estesa a qualsiasi contrasto con il di</w:t>
      </w:r>
      <w:r w:rsidR="00C73DCD">
        <w:rPr>
          <w:rFonts w:ascii="Calibri" w:eastAsia="Times New Roman" w:hAnsi="Calibri" w:cs="Segoe UI"/>
          <w:color w:val="1F4E79" w:themeColor="accent1" w:themeShade="80"/>
          <w:sz w:val="28"/>
          <w:szCs w:val="28"/>
          <w:lang w:eastAsia="it-IT"/>
        </w:rPr>
        <w:t>ritto UE, sia esso sostanziale o</w:t>
      </w:r>
      <w:r w:rsidRPr="00B208E4">
        <w:rPr>
          <w:rFonts w:ascii="Calibri" w:eastAsia="Times New Roman" w:hAnsi="Calibri" w:cs="Segoe UI"/>
          <w:color w:val="1F4E79" w:themeColor="accent1" w:themeShade="80"/>
          <w:sz w:val="28"/>
          <w:szCs w:val="28"/>
          <w:lang w:eastAsia="it-IT"/>
        </w:rPr>
        <w:t xml:space="preserve"> processuale, senza ridursi, quindi, ai soli casi riconducibili alla nozione – peraltro controversa -  di “</w:t>
      </w:r>
      <w:r w:rsidRPr="00B208E4">
        <w:rPr>
          <w:rFonts w:ascii="Calibri" w:eastAsia="Times New Roman" w:hAnsi="Calibri" w:cs="Segoe UI"/>
          <w:i/>
          <w:color w:val="1F4E79" w:themeColor="accent1" w:themeShade="80"/>
          <w:sz w:val="28"/>
          <w:szCs w:val="28"/>
          <w:lang w:eastAsia="it-IT"/>
        </w:rPr>
        <w:t>rifiuto di giurisdizione</w:t>
      </w:r>
      <w:r w:rsidRPr="00B208E4">
        <w:rPr>
          <w:rFonts w:ascii="Calibri" w:eastAsia="Times New Roman" w:hAnsi="Calibri" w:cs="Segoe UI"/>
          <w:color w:val="1F4E79" w:themeColor="accent1" w:themeShade="80"/>
          <w:sz w:val="28"/>
          <w:szCs w:val="28"/>
          <w:lang w:eastAsia="it-IT"/>
        </w:rPr>
        <w:t>”</w:t>
      </w:r>
      <w:r w:rsidR="005D7BD5" w:rsidRPr="00B208E4">
        <w:rPr>
          <w:rFonts w:ascii="Calibri" w:eastAsia="Times New Roman" w:hAnsi="Calibri" w:cs="Segoe UI"/>
          <w:color w:val="1F4E79" w:themeColor="accent1" w:themeShade="80"/>
          <w:sz w:val="28"/>
          <w:szCs w:val="28"/>
          <w:lang w:eastAsia="it-IT"/>
        </w:rPr>
        <w:t xml:space="preserve"> o di </w:t>
      </w:r>
      <w:r w:rsidR="005D7BD5" w:rsidRPr="00B208E4">
        <w:rPr>
          <w:rFonts w:ascii="Calibri" w:eastAsia="Times New Roman" w:hAnsi="Calibri" w:cs="Segoe UI"/>
          <w:i/>
          <w:color w:val="1F4E79" w:themeColor="accent1" w:themeShade="80"/>
          <w:sz w:val="28"/>
          <w:szCs w:val="28"/>
          <w:lang w:eastAsia="it-IT"/>
        </w:rPr>
        <w:t>arretramento</w:t>
      </w:r>
      <w:r w:rsidR="00537DE8">
        <w:rPr>
          <w:rFonts w:ascii="Calibri" w:eastAsia="Times New Roman" w:hAnsi="Calibri" w:cs="Segoe UI"/>
          <w:color w:val="1F4E79" w:themeColor="accent1" w:themeShade="80"/>
          <w:sz w:val="28"/>
          <w:szCs w:val="28"/>
          <w:lang w:eastAsia="it-IT"/>
        </w:rPr>
        <w:t>.</w:t>
      </w:r>
    </w:p>
    <w:p w:rsidR="003561F0" w:rsidRPr="00B208E4" w:rsidRDefault="00537DE8"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Non </w:t>
      </w:r>
      <w:r w:rsidR="005D7BD5" w:rsidRPr="00B208E4">
        <w:rPr>
          <w:rFonts w:ascii="Calibri" w:eastAsia="Times New Roman" w:hAnsi="Calibri" w:cs="Segoe UI"/>
          <w:color w:val="1F4E79" w:themeColor="accent1" w:themeShade="80"/>
          <w:sz w:val="28"/>
          <w:szCs w:val="28"/>
          <w:lang w:eastAsia="it-IT"/>
        </w:rPr>
        <w:t xml:space="preserve">solo, ma il sindacato </w:t>
      </w:r>
      <w:r w:rsidR="00FD14F1">
        <w:rPr>
          <w:rFonts w:ascii="Calibri" w:eastAsia="Times New Roman" w:hAnsi="Calibri" w:cs="Segoe UI"/>
          <w:color w:val="1F4E79" w:themeColor="accent1" w:themeShade="80"/>
          <w:sz w:val="28"/>
          <w:szCs w:val="28"/>
          <w:lang w:eastAsia="it-IT"/>
        </w:rPr>
        <w:t xml:space="preserve">esteso ipotizzato dall’ordinanza dovrebbe </w:t>
      </w:r>
      <w:r w:rsidR="005D7BD5" w:rsidRPr="00B208E4">
        <w:rPr>
          <w:rFonts w:ascii="Calibri" w:eastAsia="Times New Roman" w:hAnsi="Calibri" w:cs="Segoe UI"/>
          <w:color w:val="1F4E79" w:themeColor="accent1" w:themeShade="80"/>
          <w:sz w:val="28"/>
          <w:szCs w:val="28"/>
          <w:lang w:eastAsia="it-IT"/>
        </w:rPr>
        <w:t>riguard</w:t>
      </w:r>
      <w:r w:rsidR="00FD14F1">
        <w:rPr>
          <w:rFonts w:ascii="Calibri" w:eastAsia="Times New Roman" w:hAnsi="Calibri" w:cs="Segoe UI"/>
          <w:color w:val="1F4E79" w:themeColor="accent1" w:themeShade="80"/>
          <w:sz w:val="28"/>
          <w:szCs w:val="28"/>
          <w:lang w:eastAsia="it-IT"/>
        </w:rPr>
        <w:t>ar</w:t>
      </w:r>
      <w:r w:rsidR="005D7BD5" w:rsidRPr="00B208E4">
        <w:rPr>
          <w:rFonts w:ascii="Calibri" w:eastAsia="Times New Roman" w:hAnsi="Calibri" w:cs="Segoe UI"/>
          <w:color w:val="1F4E79" w:themeColor="accent1" w:themeShade="80"/>
          <w:sz w:val="28"/>
          <w:szCs w:val="28"/>
          <w:lang w:eastAsia="it-IT"/>
        </w:rPr>
        <w:t xml:space="preserve">e non solo i casi di </w:t>
      </w:r>
      <w:r w:rsidR="00FD14F1">
        <w:rPr>
          <w:rFonts w:ascii="Calibri" w:eastAsia="Times New Roman" w:hAnsi="Calibri" w:cs="Segoe UI"/>
          <w:color w:val="1F4E79" w:themeColor="accent1" w:themeShade="80"/>
          <w:sz w:val="28"/>
          <w:szCs w:val="28"/>
          <w:lang w:eastAsia="it-IT"/>
        </w:rPr>
        <w:t xml:space="preserve">evidente </w:t>
      </w:r>
      <w:r w:rsidR="005D7BD5" w:rsidRPr="00B208E4">
        <w:rPr>
          <w:rFonts w:ascii="Calibri" w:eastAsia="Times New Roman" w:hAnsi="Calibri" w:cs="Segoe UI"/>
          <w:color w:val="1F4E79" w:themeColor="accent1" w:themeShade="80"/>
          <w:sz w:val="28"/>
          <w:szCs w:val="28"/>
          <w:lang w:eastAsia="it-IT"/>
        </w:rPr>
        <w:t xml:space="preserve">contrasto </w:t>
      </w:r>
      <w:r w:rsidR="005D7BD5" w:rsidRPr="00B208E4">
        <w:rPr>
          <w:rFonts w:ascii="Calibri" w:eastAsia="Times New Roman" w:hAnsi="Calibri" w:cs="Segoe UI"/>
          <w:i/>
          <w:color w:val="1F4E79" w:themeColor="accent1" w:themeShade="80"/>
          <w:sz w:val="28"/>
          <w:szCs w:val="28"/>
          <w:lang w:eastAsia="it-IT"/>
        </w:rPr>
        <w:t>frontale</w:t>
      </w:r>
      <w:r w:rsidR="005D7BD5" w:rsidRPr="00B208E4">
        <w:rPr>
          <w:rFonts w:ascii="Calibri" w:eastAsia="Times New Roman" w:hAnsi="Calibri" w:cs="Segoe UI"/>
          <w:color w:val="1F4E79" w:themeColor="accent1" w:themeShade="80"/>
          <w:sz w:val="28"/>
          <w:szCs w:val="28"/>
          <w:lang w:eastAsia="it-IT"/>
        </w:rPr>
        <w:t>, desumibile da una pronuncia della CGUE, anteriore o successiva alla sentenza impugnata</w:t>
      </w:r>
      <w:r w:rsidR="00D31037">
        <w:rPr>
          <w:rFonts w:ascii="Calibri" w:eastAsia="Times New Roman" w:hAnsi="Calibri" w:cs="Segoe UI"/>
          <w:color w:val="1F4E79" w:themeColor="accent1" w:themeShade="80"/>
          <w:sz w:val="28"/>
          <w:szCs w:val="28"/>
          <w:lang w:eastAsia="it-IT"/>
        </w:rPr>
        <w:t xml:space="preserve"> (ancorché alcuni passaggi della motivazione</w:t>
      </w:r>
      <w:r w:rsidR="002A17C4">
        <w:rPr>
          <w:rFonts w:ascii="Calibri" w:eastAsia="Times New Roman" w:hAnsi="Calibri" w:cs="Segoe UI"/>
          <w:color w:val="1F4E79" w:themeColor="accent1" w:themeShade="80"/>
          <w:sz w:val="28"/>
          <w:szCs w:val="28"/>
          <w:lang w:eastAsia="it-IT"/>
        </w:rPr>
        <w:t xml:space="preserve"> sembrino inclini a censurare la sentenza del Consiglio di Stato </w:t>
      </w:r>
      <w:r w:rsidR="00C73DCD">
        <w:rPr>
          <w:rFonts w:ascii="Calibri" w:eastAsia="Times New Roman" w:hAnsi="Calibri" w:cs="Segoe UI"/>
          <w:color w:val="1F4E79" w:themeColor="accent1" w:themeShade="80"/>
          <w:sz w:val="28"/>
          <w:szCs w:val="28"/>
          <w:lang w:eastAsia="it-IT"/>
        </w:rPr>
        <w:t xml:space="preserve">proprio </w:t>
      </w:r>
      <w:r w:rsidR="002A17C4">
        <w:rPr>
          <w:rFonts w:ascii="Calibri" w:eastAsia="Times New Roman" w:hAnsi="Calibri" w:cs="Segoe UI"/>
          <w:color w:val="1F4E79" w:themeColor="accent1" w:themeShade="80"/>
          <w:sz w:val="28"/>
          <w:szCs w:val="28"/>
          <w:lang w:eastAsia="it-IT"/>
        </w:rPr>
        <w:t xml:space="preserve">per la sua </w:t>
      </w:r>
      <w:r w:rsidR="00C73DCD">
        <w:rPr>
          <w:rFonts w:ascii="Calibri" w:eastAsia="Times New Roman" w:hAnsi="Calibri" w:cs="Segoe UI"/>
          <w:color w:val="1F4E79" w:themeColor="accent1" w:themeShade="80"/>
          <w:sz w:val="28"/>
          <w:szCs w:val="28"/>
          <w:lang w:eastAsia="it-IT"/>
        </w:rPr>
        <w:t xml:space="preserve">ipotizzata </w:t>
      </w:r>
      <w:r w:rsidR="002A17C4">
        <w:rPr>
          <w:rFonts w:ascii="Calibri" w:eastAsia="Times New Roman" w:hAnsi="Calibri" w:cs="Segoe UI"/>
          <w:color w:val="1F4E79" w:themeColor="accent1" w:themeShade="80"/>
          <w:sz w:val="28"/>
          <w:szCs w:val="28"/>
          <w:lang w:eastAsia="it-IT"/>
        </w:rPr>
        <w:t>contrarietà ad una serie di pronunce della CGUE)</w:t>
      </w:r>
      <w:r w:rsidR="005D7BD5" w:rsidRPr="00B208E4">
        <w:rPr>
          <w:rFonts w:ascii="Calibri" w:eastAsia="Times New Roman" w:hAnsi="Calibri" w:cs="Segoe UI"/>
          <w:color w:val="1F4E79" w:themeColor="accent1" w:themeShade="80"/>
          <w:sz w:val="28"/>
          <w:szCs w:val="28"/>
          <w:lang w:eastAsia="it-IT"/>
        </w:rPr>
        <w:t>,</w:t>
      </w:r>
      <w:r w:rsidR="00ED5DE8" w:rsidRPr="00B208E4">
        <w:rPr>
          <w:rFonts w:ascii="Calibri" w:eastAsia="Times New Roman" w:hAnsi="Calibri" w:cs="Segoe UI"/>
          <w:color w:val="1F4E79" w:themeColor="accent1" w:themeShade="80"/>
          <w:sz w:val="28"/>
          <w:szCs w:val="28"/>
          <w:lang w:eastAsia="it-IT"/>
        </w:rPr>
        <w:t xml:space="preserve"> ma anche le </w:t>
      </w:r>
      <w:r w:rsidR="00C73DCD" w:rsidRPr="00B208E4">
        <w:rPr>
          <w:rFonts w:ascii="Calibri" w:eastAsia="Times New Roman" w:hAnsi="Calibri" w:cs="Segoe UI"/>
          <w:color w:val="1F4E79" w:themeColor="accent1" w:themeShade="80"/>
          <w:sz w:val="28"/>
          <w:szCs w:val="28"/>
          <w:lang w:eastAsia="it-IT"/>
        </w:rPr>
        <w:t>ci</w:t>
      </w:r>
      <w:r w:rsidR="00C73DCD">
        <w:rPr>
          <w:rFonts w:ascii="Calibri" w:eastAsia="Times New Roman" w:hAnsi="Calibri" w:cs="Segoe UI"/>
          <w:color w:val="1F4E79" w:themeColor="accent1" w:themeShade="80"/>
          <w:sz w:val="28"/>
          <w:szCs w:val="28"/>
          <w:lang w:eastAsia="it-IT"/>
        </w:rPr>
        <w:t>rcostanze</w:t>
      </w:r>
      <w:r w:rsidR="00ED5DE8" w:rsidRPr="00B208E4">
        <w:rPr>
          <w:rFonts w:ascii="Calibri" w:eastAsia="Times New Roman" w:hAnsi="Calibri" w:cs="Segoe UI"/>
          <w:color w:val="1F4E79" w:themeColor="accent1" w:themeShade="80"/>
          <w:sz w:val="28"/>
          <w:szCs w:val="28"/>
          <w:lang w:eastAsia="it-IT"/>
        </w:rPr>
        <w:t xml:space="preserve"> in cui la denunciata violazione implichi un’operazione ermeneutica  più complessa e articolata, come avviene quando sussiste un dubbio comportante la necessità di sollevare la questione pregiudiziale davanti</w:t>
      </w:r>
      <w:r w:rsidR="00FD14F1">
        <w:rPr>
          <w:rFonts w:ascii="Calibri" w:eastAsia="Times New Roman" w:hAnsi="Calibri" w:cs="Segoe UI"/>
          <w:color w:val="1F4E79" w:themeColor="accent1" w:themeShade="80"/>
          <w:sz w:val="28"/>
          <w:szCs w:val="28"/>
          <w:lang w:eastAsia="it-IT"/>
        </w:rPr>
        <w:t xml:space="preserve"> alla stessa Corte di Giustizia.</w:t>
      </w:r>
      <w:r w:rsidR="00ED5DE8" w:rsidRPr="00B208E4">
        <w:rPr>
          <w:rFonts w:ascii="Calibri" w:eastAsia="Times New Roman" w:hAnsi="Calibri" w:cs="Segoe UI"/>
          <w:color w:val="1F4E79" w:themeColor="accent1" w:themeShade="80"/>
          <w:sz w:val="28"/>
          <w:szCs w:val="28"/>
          <w:lang w:eastAsia="it-IT"/>
        </w:rPr>
        <w:t xml:space="preserve"> </w:t>
      </w:r>
      <w:r w:rsidR="00FD14F1" w:rsidRPr="00B208E4">
        <w:rPr>
          <w:rFonts w:ascii="Calibri" w:eastAsia="Times New Roman" w:hAnsi="Calibri" w:cs="Segoe UI"/>
          <w:color w:val="1F4E79" w:themeColor="accent1" w:themeShade="80"/>
          <w:sz w:val="28"/>
          <w:szCs w:val="28"/>
          <w:lang w:eastAsia="it-IT"/>
        </w:rPr>
        <w:t xml:space="preserve">Detta </w:t>
      </w:r>
      <w:r w:rsidR="00ED5DE8" w:rsidRPr="00B208E4">
        <w:rPr>
          <w:rFonts w:ascii="Calibri" w:eastAsia="Times New Roman" w:hAnsi="Calibri" w:cs="Segoe UI"/>
          <w:color w:val="1F4E79" w:themeColor="accent1" w:themeShade="80"/>
          <w:sz w:val="28"/>
          <w:szCs w:val="28"/>
          <w:lang w:eastAsia="it-IT"/>
        </w:rPr>
        <w:t>situazione è quella che la Cassazione ritiene sussistere nella presente vicenda, poiché</w:t>
      </w:r>
      <w:r w:rsidR="00C73DCD">
        <w:rPr>
          <w:rFonts w:ascii="Calibri" w:eastAsia="Times New Roman" w:hAnsi="Calibri" w:cs="Segoe UI"/>
          <w:color w:val="1F4E79" w:themeColor="accent1" w:themeShade="80"/>
          <w:sz w:val="28"/>
          <w:szCs w:val="28"/>
          <w:lang w:eastAsia="it-IT"/>
        </w:rPr>
        <w:t>,</w:t>
      </w:r>
      <w:r w:rsidR="00ED5DE8" w:rsidRPr="00B208E4">
        <w:rPr>
          <w:rFonts w:ascii="Calibri" w:eastAsia="Times New Roman" w:hAnsi="Calibri" w:cs="Segoe UI"/>
          <w:color w:val="1F4E79" w:themeColor="accent1" w:themeShade="80"/>
          <w:sz w:val="28"/>
          <w:szCs w:val="28"/>
          <w:lang w:eastAsia="it-IT"/>
        </w:rPr>
        <w:t xml:space="preserve"> pur partendo dal presupposto che si sia in presenza di una </w:t>
      </w:r>
      <w:r w:rsidR="00ED5DE8" w:rsidRPr="00FD14F1">
        <w:rPr>
          <w:rFonts w:ascii="Calibri" w:eastAsia="Times New Roman" w:hAnsi="Calibri" w:cs="Segoe UI"/>
          <w:i/>
          <w:color w:val="1F4E79" w:themeColor="accent1" w:themeShade="80"/>
          <w:sz w:val="28"/>
          <w:szCs w:val="28"/>
          <w:lang w:eastAsia="it-IT"/>
        </w:rPr>
        <w:t>grave violazione</w:t>
      </w:r>
      <w:r w:rsidR="00ED5DE8" w:rsidRPr="00B208E4">
        <w:rPr>
          <w:rFonts w:ascii="Calibri" w:eastAsia="Times New Roman" w:hAnsi="Calibri" w:cs="Segoe UI"/>
          <w:color w:val="1F4E79" w:themeColor="accent1" w:themeShade="80"/>
          <w:sz w:val="28"/>
          <w:szCs w:val="28"/>
          <w:lang w:eastAsia="it-IT"/>
        </w:rPr>
        <w:t xml:space="preserve"> del diritto UE, preferisce demandare </w:t>
      </w:r>
      <w:r w:rsidR="00FD14F1">
        <w:rPr>
          <w:rFonts w:ascii="Calibri" w:eastAsia="Times New Roman" w:hAnsi="Calibri" w:cs="Segoe UI"/>
          <w:color w:val="1F4E79" w:themeColor="accent1" w:themeShade="80"/>
          <w:sz w:val="28"/>
          <w:szCs w:val="28"/>
          <w:lang w:eastAsia="it-IT"/>
        </w:rPr>
        <w:t>un</w:t>
      </w:r>
      <w:r w:rsidR="00ED5DE8" w:rsidRPr="00B208E4">
        <w:rPr>
          <w:rFonts w:ascii="Calibri" w:eastAsia="Times New Roman" w:hAnsi="Calibri" w:cs="Segoe UI"/>
          <w:color w:val="1F4E79" w:themeColor="accent1" w:themeShade="80"/>
          <w:sz w:val="28"/>
          <w:szCs w:val="28"/>
          <w:lang w:eastAsia="it-IT"/>
        </w:rPr>
        <w:t xml:space="preserve"> quesito interpretativo</w:t>
      </w:r>
      <w:r w:rsidR="00FD14F1">
        <w:rPr>
          <w:rFonts w:ascii="Calibri" w:eastAsia="Times New Roman" w:hAnsi="Calibri" w:cs="Segoe UI"/>
          <w:color w:val="1F4E79" w:themeColor="accent1" w:themeShade="80"/>
          <w:sz w:val="28"/>
          <w:szCs w:val="28"/>
          <w:lang w:eastAsia="it-IT"/>
        </w:rPr>
        <w:t xml:space="preserve"> “di merito”</w:t>
      </w:r>
      <w:r w:rsidR="00ED5DE8" w:rsidRPr="00B208E4">
        <w:rPr>
          <w:rFonts w:ascii="Calibri" w:eastAsia="Times New Roman" w:hAnsi="Calibri" w:cs="Segoe UI"/>
          <w:color w:val="1F4E79" w:themeColor="accent1" w:themeShade="80"/>
          <w:sz w:val="28"/>
          <w:szCs w:val="28"/>
          <w:lang w:eastAsia="it-IT"/>
        </w:rPr>
        <w:t xml:space="preserve"> alla Corte</w:t>
      </w:r>
      <w:r w:rsidR="00ED5DE8" w:rsidRPr="00B208E4">
        <w:rPr>
          <w:rStyle w:val="Rimandonotaapidipagina"/>
          <w:rFonts w:ascii="Calibri" w:eastAsia="Times New Roman" w:hAnsi="Calibri" w:cs="Segoe UI"/>
          <w:color w:val="1F4E79" w:themeColor="accent1" w:themeShade="80"/>
          <w:sz w:val="28"/>
          <w:szCs w:val="28"/>
          <w:lang w:eastAsia="it-IT"/>
        </w:rPr>
        <w:footnoteReference w:id="22"/>
      </w:r>
      <w:r w:rsidR="00ED5DE8" w:rsidRPr="00B208E4">
        <w:rPr>
          <w:rFonts w:ascii="Calibri" w:eastAsia="Times New Roman" w:hAnsi="Calibri" w:cs="Segoe UI"/>
          <w:color w:val="1F4E79" w:themeColor="accent1" w:themeShade="80"/>
          <w:sz w:val="28"/>
          <w:szCs w:val="28"/>
          <w:lang w:eastAsia="it-IT"/>
        </w:rPr>
        <w:t>.</w:t>
      </w:r>
    </w:p>
    <w:p w:rsidR="00036ECD" w:rsidRPr="00C73DCD" w:rsidRDefault="003561F0" w:rsidP="004A28A6">
      <w:pPr>
        <w:pStyle w:val="Paragrafoelenco"/>
        <w:numPr>
          <w:ilvl w:val="1"/>
          <w:numId w:val="1"/>
        </w:numPr>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C73DCD">
        <w:rPr>
          <w:rFonts w:ascii="Calibri" w:eastAsia="Times New Roman" w:hAnsi="Calibri" w:cs="Segoe UI"/>
          <w:color w:val="1F4E79" w:themeColor="accent1" w:themeShade="80"/>
          <w:sz w:val="28"/>
          <w:szCs w:val="28"/>
          <w:lang w:eastAsia="it-IT"/>
        </w:rPr>
        <w:t>La seconda</w:t>
      </w:r>
      <w:r w:rsidR="00FD14F1" w:rsidRPr="00C73DCD">
        <w:rPr>
          <w:rFonts w:ascii="Calibri" w:eastAsia="Times New Roman" w:hAnsi="Calibri" w:cs="Segoe UI"/>
          <w:color w:val="1F4E79" w:themeColor="accent1" w:themeShade="80"/>
          <w:sz w:val="28"/>
          <w:szCs w:val="28"/>
          <w:lang w:eastAsia="it-IT"/>
        </w:rPr>
        <w:t xml:space="preserve"> questione</w:t>
      </w:r>
      <w:r w:rsidRPr="00C73DCD">
        <w:rPr>
          <w:rFonts w:ascii="Calibri" w:eastAsia="Times New Roman" w:hAnsi="Calibri" w:cs="Segoe UI"/>
          <w:color w:val="1F4E79" w:themeColor="accent1" w:themeShade="80"/>
          <w:sz w:val="28"/>
          <w:szCs w:val="28"/>
          <w:lang w:eastAsia="it-IT"/>
        </w:rPr>
        <w:t>, di portata più limitata, riguarda la compatibilità comunitaria delle regole nazionali che impediscono di censurare, in cassazione, la violazione –“</w:t>
      </w:r>
      <w:r w:rsidRPr="00C73DCD">
        <w:rPr>
          <w:rFonts w:ascii="Calibri" w:eastAsia="Times New Roman" w:hAnsi="Calibri" w:cs="Segoe UI"/>
          <w:i/>
          <w:color w:val="1F4E79" w:themeColor="accent1" w:themeShade="80"/>
          <w:sz w:val="28"/>
          <w:szCs w:val="28"/>
          <w:lang w:eastAsia="it-IT"/>
        </w:rPr>
        <w:t>immotivata</w:t>
      </w:r>
      <w:r w:rsidRPr="00C73DCD">
        <w:rPr>
          <w:rFonts w:ascii="Calibri" w:eastAsia="Times New Roman" w:hAnsi="Calibri" w:cs="Segoe UI"/>
          <w:color w:val="1F4E79" w:themeColor="accent1" w:themeShade="80"/>
          <w:sz w:val="28"/>
          <w:szCs w:val="28"/>
          <w:lang w:eastAsia="it-IT"/>
        </w:rPr>
        <w:t>” – dell’obbligo di rin</w:t>
      </w:r>
      <w:r w:rsidR="00C07298" w:rsidRPr="00C73DCD">
        <w:rPr>
          <w:rFonts w:ascii="Calibri" w:eastAsia="Times New Roman" w:hAnsi="Calibri" w:cs="Segoe UI"/>
          <w:color w:val="1F4E79" w:themeColor="accent1" w:themeShade="80"/>
          <w:sz w:val="28"/>
          <w:szCs w:val="28"/>
          <w:lang w:eastAsia="it-IT"/>
        </w:rPr>
        <w:t>vio pregiudiziale alla Corte UE. Si tratta, quindi, di un’ipotesi “specifica</w:t>
      </w:r>
      <w:r w:rsidR="00036ECD" w:rsidRPr="00C73DCD">
        <w:rPr>
          <w:rFonts w:ascii="Calibri" w:eastAsia="Times New Roman" w:hAnsi="Calibri" w:cs="Segoe UI"/>
          <w:color w:val="1F4E79" w:themeColor="accent1" w:themeShade="80"/>
          <w:sz w:val="28"/>
          <w:szCs w:val="28"/>
          <w:lang w:eastAsia="it-IT"/>
        </w:rPr>
        <w:t>” di violazione del diritto UE.</w:t>
      </w:r>
    </w:p>
    <w:p w:rsidR="002A17C4" w:rsidRDefault="002A17C4"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Come si dirà meglio nei paragrafi successivi, però, non è chiaro quale sia il rapporto tra il primo e il secondo quesito. Pare di comprendere che il primo, concernendo qualsivoglia violazione del diritto UE, sia idoneo a comprendere anche il mancato rinvio, sia esso motivato o immotivato. Invece, il secondo quesito avrebbe senso solo se la CGUE dovesse respingere la prospettazione della Cassazione riguardante il generale sindacato delle violazioni UE: in tal caso, nell’ottica dell’</w:t>
      </w:r>
      <w:r w:rsidR="00F718C9">
        <w:rPr>
          <w:rFonts w:ascii="Calibri" w:eastAsia="Times New Roman" w:hAnsi="Calibri" w:cs="Segoe UI"/>
          <w:color w:val="1F4E79" w:themeColor="accent1" w:themeShade="80"/>
          <w:sz w:val="28"/>
          <w:szCs w:val="28"/>
          <w:lang w:eastAsia="it-IT"/>
        </w:rPr>
        <w:t xml:space="preserve">ordinanza, potrebbe rilevare, allora, il rifiuto del rinvio, ma solo se </w:t>
      </w:r>
      <w:r w:rsidR="00F718C9" w:rsidRPr="00F718C9">
        <w:rPr>
          <w:rFonts w:ascii="Calibri" w:eastAsia="Times New Roman" w:hAnsi="Calibri" w:cs="Segoe UI"/>
          <w:i/>
          <w:color w:val="1F4E79" w:themeColor="accent1" w:themeShade="80"/>
          <w:sz w:val="28"/>
          <w:szCs w:val="28"/>
          <w:lang w:eastAsia="it-IT"/>
        </w:rPr>
        <w:t>immotivato</w:t>
      </w:r>
      <w:r w:rsidR="00F718C9">
        <w:rPr>
          <w:rFonts w:ascii="Calibri" w:eastAsia="Times New Roman" w:hAnsi="Calibri" w:cs="Segoe UI"/>
          <w:color w:val="1F4E79" w:themeColor="accent1" w:themeShade="80"/>
          <w:sz w:val="28"/>
          <w:szCs w:val="28"/>
          <w:lang w:eastAsia="it-IT"/>
        </w:rPr>
        <w:t>, in quanto espressione di una gravissima trasgressione del potere di decisione riservato alla CGUE.</w:t>
      </w:r>
    </w:p>
    <w:p w:rsidR="00F718C9" w:rsidRDefault="00F718C9"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Tuttavia, l’ordinanza non esplicita questa posizione. Si potrebbe immaginare, allora, che il secondo quesito abbia una funzione per così dire “limitatrice”, del primo: la violazione dell’obbligo di rinvio dovrebbe essere sindacata solo se totalmente “immotivata”.</w:t>
      </w:r>
    </w:p>
    <w:p w:rsidR="00F718C9" w:rsidRDefault="00F718C9"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 xml:space="preserve">Resta però da osservare che, qualora la Corte dovesse accogliere la prospettiva “massimalista” del primo quesito formulato dall’ordinanza, il tema del sindacato del mancato rinvio perderebbe </w:t>
      </w:r>
      <w:r w:rsidR="004F330F">
        <w:rPr>
          <w:rFonts w:ascii="Calibri" w:eastAsia="Times New Roman" w:hAnsi="Calibri" w:cs="Segoe UI"/>
          <w:color w:val="1F4E79" w:themeColor="accent1" w:themeShade="80"/>
          <w:sz w:val="28"/>
          <w:szCs w:val="28"/>
          <w:lang w:eastAsia="it-IT"/>
        </w:rPr>
        <w:t xml:space="preserve">in ogni caso </w:t>
      </w:r>
      <w:r>
        <w:rPr>
          <w:rFonts w:ascii="Calibri" w:eastAsia="Times New Roman" w:hAnsi="Calibri" w:cs="Segoe UI"/>
          <w:color w:val="1F4E79" w:themeColor="accent1" w:themeShade="80"/>
          <w:sz w:val="28"/>
          <w:szCs w:val="28"/>
          <w:lang w:eastAsia="it-IT"/>
        </w:rPr>
        <w:t>di consistenza, per due ovvie ragioni concorrenti.</w:t>
      </w:r>
    </w:p>
    <w:p w:rsidR="00F718C9" w:rsidRDefault="00F718C9" w:rsidP="00FB7048">
      <w:pPr>
        <w:pStyle w:val="Paragrafoelenco"/>
        <w:numPr>
          <w:ilvl w:val="0"/>
          <w:numId w:val="21"/>
        </w:numPr>
        <w:shd w:val="clear" w:color="auto" w:fill="FFFFFF"/>
        <w:tabs>
          <w:tab w:val="left" w:pos="0"/>
        </w:tabs>
        <w:spacing w:after="120" w:line="240" w:lineRule="auto"/>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 xml:space="preserve">Verosimilmente, la Cassazione, chiamata a verificare la corretta applicazione del diritto UE, non avrebbe ostacoli di sorta ad interrogare </w:t>
      </w:r>
      <w:r w:rsidR="004F330F">
        <w:rPr>
          <w:rFonts w:ascii="Calibri" w:eastAsia="Times New Roman" w:hAnsi="Calibri" w:cs="Segoe UI"/>
          <w:color w:val="1F4E79" w:themeColor="accent1" w:themeShade="80"/>
          <w:sz w:val="28"/>
          <w:szCs w:val="28"/>
          <w:lang w:eastAsia="it-IT"/>
        </w:rPr>
        <w:t xml:space="preserve">direttamente </w:t>
      </w:r>
      <w:r>
        <w:rPr>
          <w:rFonts w:ascii="Calibri" w:eastAsia="Times New Roman" w:hAnsi="Calibri" w:cs="Segoe UI"/>
          <w:color w:val="1F4E79" w:themeColor="accent1" w:themeShade="80"/>
          <w:sz w:val="28"/>
          <w:szCs w:val="28"/>
          <w:lang w:eastAsia="it-IT"/>
        </w:rPr>
        <w:t>la CGUE, in presenza di dubbi interpretativi.</w:t>
      </w:r>
    </w:p>
    <w:p w:rsidR="00F718C9" w:rsidRPr="00B208E4" w:rsidRDefault="00F718C9" w:rsidP="00FB7048">
      <w:pPr>
        <w:pStyle w:val="Paragrafoelenco"/>
        <w:numPr>
          <w:ilvl w:val="0"/>
          <w:numId w:val="21"/>
        </w:numPr>
        <w:shd w:val="clear" w:color="auto" w:fill="FFFFFF"/>
        <w:tabs>
          <w:tab w:val="left" w:pos="0"/>
        </w:tabs>
        <w:spacing w:after="120" w:line="240" w:lineRule="auto"/>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 xml:space="preserve">Ma, più in radice, non sarebbe </w:t>
      </w:r>
      <w:r w:rsidR="004F330F">
        <w:rPr>
          <w:rFonts w:ascii="Calibri" w:eastAsia="Times New Roman" w:hAnsi="Calibri" w:cs="Segoe UI"/>
          <w:color w:val="1F4E79" w:themeColor="accent1" w:themeShade="80"/>
          <w:sz w:val="28"/>
          <w:szCs w:val="28"/>
          <w:lang w:eastAsia="it-IT"/>
        </w:rPr>
        <w:t xml:space="preserve">nemmeno </w:t>
      </w:r>
      <w:r>
        <w:rPr>
          <w:rFonts w:ascii="Calibri" w:eastAsia="Times New Roman" w:hAnsi="Calibri" w:cs="Segoe UI"/>
          <w:color w:val="1F4E79" w:themeColor="accent1" w:themeShade="80"/>
          <w:sz w:val="28"/>
          <w:szCs w:val="28"/>
          <w:lang w:eastAsia="it-IT"/>
        </w:rPr>
        <w:t>ipotizzabile la violazione dell’obbligo di rinvio in capo al Consiglio di Stato, perché il giudice di ultimo grado, in relazione alla corretta applicazione del diritto UE</w:t>
      </w:r>
      <w:r w:rsidR="004F330F">
        <w:rPr>
          <w:rFonts w:ascii="Calibri" w:eastAsia="Times New Roman" w:hAnsi="Calibri" w:cs="Segoe UI"/>
          <w:color w:val="1F4E79" w:themeColor="accent1" w:themeShade="80"/>
          <w:sz w:val="28"/>
          <w:szCs w:val="28"/>
          <w:lang w:eastAsia="it-IT"/>
        </w:rPr>
        <w:t>,</w:t>
      </w:r>
      <w:r>
        <w:rPr>
          <w:rFonts w:ascii="Calibri" w:eastAsia="Times New Roman" w:hAnsi="Calibri" w:cs="Segoe UI"/>
          <w:color w:val="1F4E79" w:themeColor="accent1" w:themeShade="80"/>
          <w:sz w:val="28"/>
          <w:szCs w:val="28"/>
          <w:lang w:eastAsia="it-IT"/>
        </w:rPr>
        <w:t xml:space="preserve"> diventerebbe la stessa </w:t>
      </w:r>
      <w:r w:rsidR="004F330F">
        <w:rPr>
          <w:rFonts w:ascii="Calibri" w:eastAsia="Times New Roman" w:hAnsi="Calibri" w:cs="Segoe UI"/>
          <w:color w:val="1F4E79" w:themeColor="accent1" w:themeShade="80"/>
          <w:sz w:val="28"/>
          <w:szCs w:val="28"/>
          <w:lang w:eastAsia="it-IT"/>
        </w:rPr>
        <w:t>Cassazione</w:t>
      </w:r>
      <w:r>
        <w:rPr>
          <w:rFonts w:ascii="Calibri" w:eastAsia="Times New Roman" w:hAnsi="Calibri" w:cs="Segoe UI"/>
          <w:color w:val="1F4E79" w:themeColor="accent1" w:themeShade="80"/>
          <w:sz w:val="28"/>
          <w:szCs w:val="28"/>
          <w:lang w:eastAsia="it-IT"/>
        </w:rPr>
        <w:t>.</w:t>
      </w:r>
    </w:p>
    <w:p w:rsidR="003561F0" w:rsidRPr="00B208E4" w:rsidRDefault="003561F0" w:rsidP="00FB7048">
      <w:pPr>
        <w:pStyle w:val="Paragrafoelenco"/>
        <w:numPr>
          <w:ilvl w:val="1"/>
          <w:numId w:val="1"/>
        </w:numPr>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Infine, il terzo quesito – la cui ammissibilità</w:t>
      </w:r>
      <w:r w:rsidR="00C07298" w:rsidRPr="00B208E4">
        <w:rPr>
          <w:rFonts w:ascii="Calibri" w:eastAsia="Times New Roman" w:hAnsi="Calibri" w:cs="Segoe UI"/>
          <w:color w:val="1F4E79" w:themeColor="accent1" w:themeShade="80"/>
          <w:sz w:val="28"/>
          <w:szCs w:val="28"/>
          <w:lang w:eastAsia="it-IT"/>
        </w:rPr>
        <w:t>, per come prospettato dalla stessa Cassazione,</w:t>
      </w:r>
      <w:r w:rsidR="00D84D6C" w:rsidRPr="00B208E4">
        <w:rPr>
          <w:rFonts w:ascii="Calibri" w:eastAsia="Times New Roman" w:hAnsi="Calibri" w:cs="Segoe UI"/>
          <w:color w:val="1F4E79" w:themeColor="accent1" w:themeShade="80"/>
          <w:sz w:val="28"/>
          <w:szCs w:val="28"/>
          <w:lang w:eastAsia="it-IT"/>
        </w:rPr>
        <w:t xml:space="preserve"> sembrerebbe assolutamente</w:t>
      </w:r>
      <w:r w:rsidRPr="00B208E4">
        <w:rPr>
          <w:rFonts w:ascii="Calibri" w:eastAsia="Times New Roman" w:hAnsi="Calibri" w:cs="Segoe UI"/>
          <w:color w:val="1F4E79" w:themeColor="accent1" w:themeShade="80"/>
          <w:sz w:val="28"/>
          <w:szCs w:val="28"/>
          <w:lang w:eastAsia="it-IT"/>
        </w:rPr>
        <w:t xml:space="preserve"> condizionato dalla risposta positiva al primo e al secondo - riguarda la coerenza con il diritto UE della “prassi interpretativa” </w:t>
      </w:r>
      <w:r w:rsidR="00F718C9">
        <w:rPr>
          <w:rFonts w:ascii="Calibri" w:eastAsia="Times New Roman" w:hAnsi="Calibri" w:cs="Segoe UI"/>
          <w:color w:val="1F4E79" w:themeColor="accent1" w:themeShade="80"/>
          <w:sz w:val="28"/>
          <w:szCs w:val="28"/>
          <w:lang w:eastAsia="it-IT"/>
        </w:rPr>
        <w:t xml:space="preserve">del giudice amministrativo </w:t>
      </w:r>
      <w:r w:rsidRPr="00B208E4">
        <w:rPr>
          <w:rFonts w:ascii="Calibri" w:eastAsia="Times New Roman" w:hAnsi="Calibri" w:cs="Segoe UI"/>
          <w:color w:val="1F4E79" w:themeColor="accent1" w:themeShade="80"/>
          <w:sz w:val="28"/>
          <w:szCs w:val="28"/>
          <w:lang w:eastAsia="it-IT"/>
        </w:rPr>
        <w:t>che nega all’operatore economico escluso da una procedura di gara il diritto di agire in giudizio per ottenere l’annullamento integrale della procedura e la sua riedizione</w:t>
      </w:r>
      <w:r w:rsidR="00D84D6C" w:rsidRPr="00B208E4">
        <w:rPr>
          <w:rFonts w:ascii="Calibri" w:eastAsia="Times New Roman" w:hAnsi="Calibri" w:cs="Segoe UI"/>
          <w:color w:val="1F4E79" w:themeColor="accent1" w:themeShade="80"/>
          <w:sz w:val="28"/>
          <w:szCs w:val="28"/>
          <w:lang w:eastAsia="it-IT"/>
        </w:rPr>
        <w:t xml:space="preserve">, facendo valere il proprio </w:t>
      </w:r>
      <w:r w:rsidR="00D84D6C" w:rsidRPr="00B208E4">
        <w:rPr>
          <w:rFonts w:ascii="Calibri" w:eastAsia="Times New Roman" w:hAnsi="Calibri" w:cs="Segoe UI"/>
          <w:i/>
          <w:color w:val="1F4E79" w:themeColor="accent1" w:themeShade="80"/>
          <w:sz w:val="28"/>
          <w:szCs w:val="28"/>
          <w:lang w:eastAsia="it-IT"/>
        </w:rPr>
        <w:t>interesse strumentale</w:t>
      </w:r>
      <w:r w:rsidR="00F718C9">
        <w:rPr>
          <w:rFonts w:ascii="Calibri" w:eastAsia="Times New Roman" w:hAnsi="Calibri" w:cs="Segoe UI"/>
          <w:color w:val="1F4E79" w:themeColor="accent1" w:themeShade="80"/>
          <w:sz w:val="28"/>
          <w:szCs w:val="28"/>
          <w:lang w:eastAsia="it-IT"/>
        </w:rPr>
        <w:t xml:space="preserve"> al conseguimento di un </w:t>
      </w:r>
      <w:r w:rsidR="00F718C9" w:rsidRPr="00C50C93">
        <w:rPr>
          <w:rFonts w:ascii="Calibri" w:eastAsia="Times New Roman" w:hAnsi="Calibri" w:cs="Segoe UI"/>
          <w:i/>
          <w:color w:val="1F4E79" w:themeColor="accent1" w:themeShade="80"/>
          <w:sz w:val="28"/>
          <w:szCs w:val="28"/>
          <w:lang w:eastAsia="it-IT"/>
        </w:rPr>
        <w:t>determinato appalto</w:t>
      </w:r>
      <w:r w:rsidRPr="00B208E4">
        <w:rPr>
          <w:rFonts w:ascii="Calibri" w:eastAsia="Times New Roman" w:hAnsi="Calibri" w:cs="Segoe UI"/>
          <w:color w:val="1F4E79" w:themeColor="accent1" w:themeShade="80"/>
          <w:sz w:val="28"/>
          <w:szCs w:val="28"/>
          <w:lang w:eastAsia="it-IT"/>
        </w:rPr>
        <w:t>.</w:t>
      </w:r>
      <w:r w:rsidR="00C07298" w:rsidRPr="00B208E4">
        <w:rPr>
          <w:rFonts w:ascii="Calibri" w:eastAsia="Times New Roman" w:hAnsi="Calibri" w:cs="Segoe UI"/>
          <w:color w:val="1F4E79" w:themeColor="accent1" w:themeShade="80"/>
          <w:sz w:val="28"/>
          <w:szCs w:val="28"/>
          <w:lang w:eastAsia="it-IT"/>
        </w:rPr>
        <w:t xml:space="preserve"> </w:t>
      </w:r>
    </w:p>
    <w:p w:rsidR="00DD65BA" w:rsidRPr="00B208E4" w:rsidRDefault="00A82420"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Senza </w:t>
      </w:r>
      <w:r w:rsidR="00141D2E" w:rsidRPr="00B208E4">
        <w:rPr>
          <w:rFonts w:ascii="Calibri" w:eastAsia="Times New Roman" w:hAnsi="Calibri" w:cs="Segoe UI"/>
          <w:color w:val="1F4E79" w:themeColor="accent1" w:themeShade="80"/>
          <w:sz w:val="28"/>
          <w:szCs w:val="28"/>
          <w:lang w:eastAsia="it-IT"/>
        </w:rPr>
        <w:t xml:space="preserve">potere </w:t>
      </w:r>
      <w:r w:rsidR="002B5930">
        <w:rPr>
          <w:rFonts w:ascii="Calibri" w:eastAsia="Times New Roman" w:hAnsi="Calibri" w:cs="Segoe UI"/>
          <w:color w:val="1F4E79" w:themeColor="accent1" w:themeShade="80"/>
          <w:sz w:val="28"/>
          <w:szCs w:val="28"/>
          <w:lang w:eastAsia="it-IT"/>
        </w:rPr>
        <w:t xml:space="preserve">affrontare </w:t>
      </w:r>
      <w:r w:rsidR="00C50C93">
        <w:rPr>
          <w:rFonts w:ascii="Calibri" w:eastAsia="Times New Roman" w:hAnsi="Calibri" w:cs="Segoe UI"/>
          <w:color w:val="1F4E79" w:themeColor="accent1" w:themeShade="80"/>
          <w:sz w:val="28"/>
          <w:szCs w:val="28"/>
          <w:lang w:eastAsia="it-IT"/>
        </w:rPr>
        <w:t xml:space="preserve">dettagliatamente tutti </w:t>
      </w:r>
      <w:r w:rsidR="002B5930">
        <w:rPr>
          <w:rFonts w:ascii="Calibri" w:eastAsia="Times New Roman" w:hAnsi="Calibri" w:cs="Segoe UI"/>
          <w:color w:val="1F4E79" w:themeColor="accent1" w:themeShade="80"/>
          <w:sz w:val="28"/>
          <w:szCs w:val="28"/>
          <w:lang w:eastAsia="it-IT"/>
        </w:rPr>
        <w:t>i</w:t>
      </w:r>
      <w:r w:rsidRPr="00B208E4">
        <w:rPr>
          <w:rFonts w:ascii="Calibri" w:eastAsia="Times New Roman" w:hAnsi="Calibri" w:cs="Segoe UI"/>
          <w:color w:val="1F4E79" w:themeColor="accent1" w:themeShade="80"/>
          <w:sz w:val="28"/>
          <w:szCs w:val="28"/>
          <w:lang w:eastAsia="it-IT"/>
        </w:rPr>
        <w:t xml:space="preserve"> tem</w:t>
      </w:r>
      <w:r w:rsidR="002B5930">
        <w:rPr>
          <w:rFonts w:ascii="Calibri" w:eastAsia="Times New Roman" w:hAnsi="Calibri" w:cs="Segoe UI"/>
          <w:color w:val="1F4E79" w:themeColor="accent1" w:themeShade="80"/>
          <w:sz w:val="28"/>
          <w:szCs w:val="28"/>
          <w:lang w:eastAsia="it-IT"/>
        </w:rPr>
        <w:t>i agitati dall’ordinanza</w:t>
      </w:r>
      <w:r w:rsidR="00C50C93">
        <w:rPr>
          <w:rFonts w:ascii="Calibri" w:eastAsia="Times New Roman" w:hAnsi="Calibri" w:cs="Segoe UI"/>
          <w:color w:val="1F4E79" w:themeColor="accent1" w:themeShade="80"/>
          <w:sz w:val="28"/>
          <w:szCs w:val="28"/>
          <w:lang w:eastAsia="it-IT"/>
        </w:rPr>
        <w:t>, nelle loro</w:t>
      </w:r>
      <w:r w:rsidRPr="00B208E4">
        <w:rPr>
          <w:rFonts w:ascii="Calibri" w:eastAsia="Times New Roman" w:hAnsi="Calibri" w:cs="Segoe UI"/>
          <w:color w:val="1F4E79" w:themeColor="accent1" w:themeShade="80"/>
          <w:sz w:val="28"/>
          <w:szCs w:val="28"/>
          <w:lang w:eastAsia="it-IT"/>
        </w:rPr>
        <w:t xml:space="preserve"> </w:t>
      </w:r>
      <w:r w:rsidR="00141D2E" w:rsidRPr="00B208E4">
        <w:rPr>
          <w:rFonts w:ascii="Calibri" w:eastAsia="Times New Roman" w:hAnsi="Calibri" w:cs="Segoe UI"/>
          <w:color w:val="1F4E79" w:themeColor="accent1" w:themeShade="80"/>
          <w:sz w:val="28"/>
          <w:szCs w:val="28"/>
          <w:lang w:eastAsia="it-IT"/>
        </w:rPr>
        <w:t xml:space="preserve">molteplici </w:t>
      </w:r>
      <w:r w:rsidRPr="00B208E4">
        <w:rPr>
          <w:rFonts w:ascii="Calibri" w:eastAsia="Times New Roman" w:hAnsi="Calibri" w:cs="Segoe UI"/>
          <w:color w:val="1F4E79" w:themeColor="accent1" w:themeShade="80"/>
          <w:sz w:val="28"/>
          <w:szCs w:val="28"/>
          <w:lang w:eastAsia="it-IT"/>
        </w:rPr>
        <w:t>implicazioni, costituzionali, comunitarie, processuali, amministrative,</w:t>
      </w:r>
      <w:r w:rsidR="00C07298" w:rsidRPr="00B208E4">
        <w:rPr>
          <w:rFonts w:ascii="Calibri" w:eastAsia="Times New Roman" w:hAnsi="Calibri" w:cs="Segoe UI"/>
          <w:color w:val="1F4E79" w:themeColor="accent1" w:themeShade="80"/>
          <w:sz w:val="28"/>
          <w:szCs w:val="28"/>
          <w:lang w:eastAsia="it-IT"/>
        </w:rPr>
        <w:t xml:space="preserve"> financo di diritto internazionale,</w:t>
      </w:r>
      <w:r w:rsidRPr="00B208E4">
        <w:rPr>
          <w:rFonts w:ascii="Calibri" w:eastAsia="Times New Roman" w:hAnsi="Calibri" w:cs="Segoe UI"/>
          <w:color w:val="1F4E79" w:themeColor="accent1" w:themeShade="80"/>
          <w:sz w:val="28"/>
          <w:szCs w:val="28"/>
          <w:lang w:eastAsia="it-IT"/>
        </w:rPr>
        <w:t xml:space="preserve"> è opportuno concentrare l’attenzione </w:t>
      </w:r>
      <w:r w:rsidR="00141D2E" w:rsidRPr="00B208E4">
        <w:rPr>
          <w:rFonts w:ascii="Calibri" w:eastAsia="Times New Roman" w:hAnsi="Calibri" w:cs="Segoe UI"/>
          <w:color w:val="1F4E79" w:themeColor="accent1" w:themeShade="80"/>
          <w:sz w:val="28"/>
          <w:szCs w:val="28"/>
          <w:lang w:eastAsia="it-IT"/>
        </w:rPr>
        <w:t xml:space="preserve">soltanto </w:t>
      </w:r>
      <w:r w:rsidR="00171396" w:rsidRPr="00B208E4">
        <w:rPr>
          <w:rFonts w:ascii="Calibri" w:eastAsia="Times New Roman" w:hAnsi="Calibri" w:cs="Segoe UI"/>
          <w:color w:val="1F4E79" w:themeColor="accent1" w:themeShade="80"/>
          <w:sz w:val="28"/>
          <w:szCs w:val="28"/>
          <w:lang w:eastAsia="it-IT"/>
        </w:rPr>
        <w:t>su</w:t>
      </w:r>
      <w:r w:rsidR="00C50C93">
        <w:rPr>
          <w:rFonts w:ascii="Calibri" w:eastAsia="Times New Roman" w:hAnsi="Calibri" w:cs="Segoe UI"/>
          <w:color w:val="1F4E79" w:themeColor="accent1" w:themeShade="80"/>
          <w:sz w:val="28"/>
          <w:szCs w:val="28"/>
          <w:lang w:eastAsia="it-IT"/>
        </w:rPr>
        <w:t>i nodi essenziali del suo itinerario argomentativo, svolgendo le pertinenti notazioni critiche, relative ai seguenti punti.</w:t>
      </w:r>
      <w:r w:rsidR="00F35611">
        <w:rPr>
          <w:rFonts w:ascii="Calibri" w:eastAsia="Times New Roman" w:hAnsi="Calibri" w:cs="Segoe UI"/>
          <w:color w:val="1F4E79" w:themeColor="accent1" w:themeShade="80"/>
          <w:sz w:val="28"/>
          <w:szCs w:val="28"/>
          <w:lang w:eastAsia="it-IT"/>
        </w:rPr>
        <w:t xml:space="preserve"> </w:t>
      </w:r>
    </w:p>
    <w:p w:rsidR="00171396" w:rsidRPr="00B208E4" w:rsidRDefault="00171396" w:rsidP="00FB7048">
      <w:pPr>
        <w:pStyle w:val="Paragrafoelenco"/>
        <w:numPr>
          <w:ilvl w:val="0"/>
          <w:numId w:val="4"/>
        </w:numPr>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La </w:t>
      </w:r>
      <w:r w:rsidR="006E7F90" w:rsidRPr="00B208E4">
        <w:rPr>
          <w:rFonts w:ascii="Calibri" w:eastAsia="Times New Roman" w:hAnsi="Calibri" w:cs="Segoe UI"/>
          <w:color w:val="1F4E79" w:themeColor="accent1" w:themeShade="80"/>
          <w:sz w:val="28"/>
          <w:szCs w:val="28"/>
          <w:lang w:eastAsia="it-IT"/>
        </w:rPr>
        <w:t xml:space="preserve">verifica della </w:t>
      </w:r>
      <w:r w:rsidRPr="00B208E4">
        <w:rPr>
          <w:rFonts w:ascii="Calibri" w:eastAsia="Times New Roman" w:hAnsi="Calibri" w:cs="Segoe UI"/>
          <w:color w:val="1F4E79" w:themeColor="accent1" w:themeShade="80"/>
          <w:sz w:val="28"/>
          <w:szCs w:val="28"/>
          <w:lang w:eastAsia="it-IT"/>
        </w:rPr>
        <w:t xml:space="preserve">ritualità </w:t>
      </w:r>
      <w:r w:rsidR="00D7295E" w:rsidRPr="00B208E4">
        <w:rPr>
          <w:rFonts w:ascii="Calibri" w:eastAsia="Times New Roman" w:hAnsi="Calibri" w:cs="Segoe UI"/>
          <w:color w:val="1F4E79" w:themeColor="accent1" w:themeShade="80"/>
          <w:sz w:val="28"/>
          <w:szCs w:val="28"/>
          <w:lang w:eastAsia="it-IT"/>
        </w:rPr>
        <w:t xml:space="preserve">e utilità </w:t>
      </w:r>
      <w:r w:rsidRPr="00B208E4">
        <w:rPr>
          <w:rFonts w:ascii="Calibri" w:eastAsia="Times New Roman" w:hAnsi="Calibri" w:cs="Segoe UI"/>
          <w:color w:val="1F4E79" w:themeColor="accent1" w:themeShade="80"/>
          <w:sz w:val="28"/>
          <w:szCs w:val="28"/>
          <w:lang w:eastAsia="it-IT"/>
        </w:rPr>
        <w:t xml:space="preserve">del percorso processuale del rinvio alla Corte </w:t>
      </w:r>
      <w:r w:rsidR="00297CB4" w:rsidRPr="00B208E4">
        <w:rPr>
          <w:rFonts w:ascii="Calibri" w:eastAsia="Times New Roman" w:hAnsi="Calibri" w:cs="Segoe UI"/>
          <w:color w:val="1F4E79" w:themeColor="accent1" w:themeShade="80"/>
          <w:sz w:val="28"/>
          <w:szCs w:val="28"/>
          <w:lang w:eastAsia="it-IT"/>
        </w:rPr>
        <w:t>GUE</w:t>
      </w:r>
      <w:r w:rsidR="006411BA" w:rsidRPr="00B208E4">
        <w:rPr>
          <w:rFonts w:ascii="Calibri" w:eastAsia="Times New Roman" w:hAnsi="Calibri" w:cs="Segoe UI"/>
          <w:color w:val="1F4E79" w:themeColor="accent1" w:themeShade="80"/>
          <w:sz w:val="28"/>
          <w:szCs w:val="28"/>
          <w:lang w:eastAsia="it-IT"/>
        </w:rPr>
        <w:t xml:space="preserve">, prescelto dalla Cassazione e le </w:t>
      </w:r>
      <w:r w:rsidR="00D84D6C" w:rsidRPr="00B208E4">
        <w:rPr>
          <w:rFonts w:ascii="Calibri" w:eastAsia="Times New Roman" w:hAnsi="Calibri" w:cs="Segoe UI"/>
          <w:color w:val="1F4E79" w:themeColor="accent1" w:themeShade="80"/>
          <w:sz w:val="28"/>
          <w:szCs w:val="28"/>
          <w:lang w:eastAsia="it-IT"/>
        </w:rPr>
        <w:t xml:space="preserve">effettive </w:t>
      </w:r>
      <w:r w:rsidR="006411BA" w:rsidRPr="00B208E4">
        <w:rPr>
          <w:rFonts w:ascii="Calibri" w:eastAsia="Times New Roman" w:hAnsi="Calibri" w:cs="Segoe UI"/>
          <w:color w:val="1F4E79" w:themeColor="accent1" w:themeShade="80"/>
          <w:sz w:val="28"/>
          <w:szCs w:val="28"/>
          <w:lang w:eastAsia="it-IT"/>
        </w:rPr>
        <w:t xml:space="preserve">probabilità di un esito </w:t>
      </w:r>
      <w:r w:rsidR="006E7F90" w:rsidRPr="00B208E4">
        <w:rPr>
          <w:rFonts w:ascii="Calibri" w:eastAsia="Times New Roman" w:hAnsi="Calibri" w:cs="Segoe UI"/>
          <w:color w:val="1F4E79" w:themeColor="accent1" w:themeShade="80"/>
          <w:sz w:val="28"/>
          <w:szCs w:val="28"/>
          <w:lang w:eastAsia="it-IT"/>
        </w:rPr>
        <w:t>chiarificatore, nel senso voluto dall</w:t>
      </w:r>
      <w:r w:rsidR="00F35611">
        <w:rPr>
          <w:rFonts w:ascii="Calibri" w:eastAsia="Times New Roman" w:hAnsi="Calibri" w:cs="Segoe UI"/>
          <w:color w:val="1F4E79" w:themeColor="accent1" w:themeShade="80"/>
          <w:sz w:val="28"/>
          <w:szCs w:val="28"/>
          <w:lang w:eastAsia="it-IT"/>
        </w:rPr>
        <w:t>e Sezioni Unite</w:t>
      </w:r>
      <w:r w:rsidR="00297CB4" w:rsidRPr="00B208E4">
        <w:rPr>
          <w:rFonts w:ascii="Calibri" w:eastAsia="Times New Roman" w:hAnsi="Calibri" w:cs="Segoe UI"/>
          <w:color w:val="1F4E79" w:themeColor="accent1" w:themeShade="80"/>
          <w:sz w:val="28"/>
          <w:szCs w:val="28"/>
          <w:lang w:eastAsia="it-IT"/>
        </w:rPr>
        <w:t>;</w:t>
      </w:r>
    </w:p>
    <w:p w:rsidR="00297CB4" w:rsidRDefault="00297CB4" w:rsidP="00FB7048">
      <w:pPr>
        <w:pStyle w:val="Paragrafoelenco"/>
        <w:numPr>
          <w:ilvl w:val="0"/>
          <w:numId w:val="4"/>
        </w:numPr>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La persuasività de</w:t>
      </w:r>
      <w:r w:rsidR="00C07298" w:rsidRPr="00B208E4">
        <w:rPr>
          <w:rFonts w:ascii="Calibri" w:eastAsia="Times New Roman" w:hAnsi="Calibri" w:cs="Segoe UI"/>
          <w:color w:val="1F4E79" w:themeColor="accent1" w:themeShade="80"/>
          <w:sz w:val="28"/>
          <w:szCs w:val="28"/>
          <w:lang w:eastAsia="it-IT"/>
        </w:rPr>
        <w:t>gl</w:t>
      </w:r>
      <w:r w:rsidRPr="00B208E4">
        <w:rPr>
          <w:rFonts w:ascii="Calibri" w:eastAsia="Times New Roman" w:hAnsi="Calibri" w:cs="Segoe UI"/>
          <w:color w:val="1F4E79" w:themeColor="accent1" w:themeShade="80"/>
          <w:sz w:val="28"/>
          <w:szCs w:val="28"/>
          <w:lang w:eastAsia="it-IT"/>
        </w:rPr>
        <w:t>i argomenti</w:t>
      </w:r>
      <w:r w:rsidR="00141D2E" w:rsidRPr="00B208E4">
        <w:rPr>
          <w:rFonts w:ascii="Calibri" w:eastAsia="Times New Roman" w:hAnsi="Calibri" w:cs="Segoe UI"/>
          <w:color w:val="1F4E79" w:themeColor="accent1" w:themeShade="80"/>
          <w:sz w:val="28"/>
          <w:szCs w:val="28"/>
          <w:lang w:eastAsia="it-IT"/>
        </w:rPr>
        <w:t>,</w:t>
      </w:r>
      <w:r w:rsidRPr="00B208E4">
        <w:rPr>
          <w:rFonts w:ascii="Calibri" w:eastAsia="Times New Roman" w:hAnsi="Calibri" w:cs="Segoe UI"/>
          <w:color w:val="1F4E79" w:themeColor="accent1" w:themeShade="80"/>
          <w:sz w:val="28"/>
          <w:szCs w:val="28"/>
          <w:lang w:eastAsia="it-IT"/>
        </w:rPr>
        <w:t xml:space="preserve"> </w:t>
      </w:r>
      <w:r w:rsidR="00C07298" w:rsidRPr="00B208E4">
        <w:rPr>
          <w:rFonts w:ascii="Calibri" w:eastAsia="Times New Roman" w:hAnsi="Calibri" w:cs="Segoe UI"/>
          <w:i/>
          <w:color w:val="1F4E79" w:themeColor="accent1" w:themeShade="80"/>
          <w:sz w:val="28"/>
          <w:szCs w:val="28"/>
          <w:lang w:eastAsia="it-IT"/>
        </w:rPr>
        <w:t>nuovi</w:t>
      </w:r>
      <w:r w:rsidR="00C07298" w:rsidRPr="00B208E4">
        <w:rPr>
          <w:rFonts w:ascii="Calibri" w:eastAsia="Times New Roman" w:hAnsi="Calibri" w:cs="Segoe UI"/>
          <w:color w:val="1F4E79" w:themeColor="accent1" w:themeShade="80"/>
          <w:sz w:val="28"/>
          <w:szCs w:val="28"/>
          <w:lang w:eastAsia="it-IT"/>
        </w:rPr>
        <w:t xml:space="preserve"> e vecchi, </w:t>
      </w:r>
      <w:r w:rsidRPr="00B208E4">
        <w:rPr>
          <w:rFonts w:ascii="Calibri" w:eastAsia="Times New Roman" w:hAnsi="Calibri" w:cs="Segoe UI"/>
          <w:color w:val="1F4E79" w:themeColor="accent1" w:themeShade="80"/>
          <w:sz w:val="28"/>
          <w:szCs w:val="28"/>
          <w:lang w:eastAsia="it-IT"/>
        </w:rPr>
        <w:t>esposti dalla Cassazione</w:t>
      </w:r>
      <w:r w:rsidR="006E7F90" w:rsidRPr="00B208E4">
        <w:rPr>
          <w:rFonts w:ascii="Calibri" w:eastAsia="Times New Roman" w:hAnsi="Calibri" w:cs="Segoe UI"/>
          <w:color w:val="1F4E79" w:themeColor="accent1" w:themeShade="80"/>
          <w:sz w:val="28"/>
          <w:szCs w:val="28"/>
          <w:lang w:eastAsia="it-IT"/>
        </w:rPr>
        <w:t xml:space="preserve">, per sostenere la </w:t>
      </w:r>
      <w:r w:rsidR="00C50C93">
        <w:rPr>
          <w:rFonts w:ascii="Calibri" w:eastAsia="Times New Roman" w:hAnsi="Calibri" w:cs="Segoe UI"/>
          <w:color w:val="1F4E79" w:themeColor="accent1" w:themeShade="80"/>
          <w:sz w:val="28"/>
          <w:szCs w:val="28"/>
          <w:lang w:eastAsia="it-IT"/>
        </w:rPr>
        <w:t xml:space="preserve">ventilata </w:t>
      </w:r>
      <w:r w:rsidR="006E7F90" w:rsidRPr="00B208E4">
        <w:rPr>
          <w:rFonts w:ascii="Calibri" w:eastAsia="Times New Roman" w:hAnsi="Calibri" w:cs="Segoe UI"/>
          <w:color w:val="1F4E79" w:themeColor="accent1" w:themeShade="80"/>
          <w:sz w:val="28"/>
          <w:szCs w:val="28"/>
          <w:lang w:eastAsia="it-IT"/>
        </w:rPr>
        <w:t>tesi ampliatrice del sindacato sulle decisioni amministrative</w:t>
      </w:r>
      <w:r w:rsidR="00395F17" w:rsidRPr="00B208E4">
        <w:rPr>
          <w:rFonts w:ascii="Calibri" w:eastAsia="Times New Roman" w:hAnsi="Calibri" w:cs="Segoe UI"/>
          <w:color w:val="1F4E79" w:themeColor="accent1" w:themeShade="80"/>
          <w:sz w:val="28"/>
          <w:szCs w:val="28"/>
          <w:lang w:eastAsia="it-IT"/>
        </w:rPr>
        <w:t xml:space="preserve">, con particolare riguardo alla </w:t>
      </w:r>
      <w:r w:rsidR="00141D2E" w:rsidRPr="00B208E4">
        <w:rPr>
          <w:rFonts w:ascii="Calibri" w:eastAsia="Times New Roman" w:hAnsi="Calibri" w:cs="Segoe UI"/>
          <w:color w:val="1F4E79" w:themeColor="accent1" w:themeShade="80"/>
          <w:sz w:val="28"/>
          <w:szCs w:val="28"/>
          <w:lang w:eastAsia="it-IT"/>
        </w:rPr>
        <w:t xml:space="preserve">enunciata </w:t>
      </w:r>
      <w:r w:rsidR="00395F17" w:rsidRPr="00B208E4">
        <w:rPr>
          <w:rFonts w:ascii="Calibri" w:eastAsia="Times New Roman" w:hAnsi="Calibri" w:cs="Segoe UI"/>
          <w:color w:val="1F4E79" w:themeColor="accent1" w:themeShade="80"/>
          <w:sz w:val="28"/>
          <w:szCs w:val="28"/>
          <w:lang w:eastAsia="it-IT"/>
        </w:rPr>
        <w:t>finalità di “</w:t>
      </w:r>
      <w:r w:rsidR="00395F17" w:rsidRPr="00B208E4">
        <w:rPr>
          <w:rFonts w:ascii="Calibri" w:eastAsia="Times New Roman" w:hAnsi="Calibri" w:cs="Segoe UI"/>
          <w:i/>
          <w:color w:val="1F4E79" w:themeColor="accent1" w:themeShade="80"/>
          <w:sz w:val="28"/>
          <w:szCs w:val="28"/>
          <w:lang w:eastAsia="it-IT"/>
        </w:rPr>
        <w:t>prevenire il consolidamento delle violazioni del diritto UE</w:t>
      </w:r>
      <w:r w:rsidR="00395F17" w:rsidRPr="00B208E4">
        <w:rPr>
          <w:rFonts w:ascii="Calibri" w:eastAsia="Times New Roman" w:hAnsi="Calibri" w:cs="Segoe UI"/>
          <w:color w:val="1F4E79" w:themeColor="accent1" w:themeShade="80"/>
          <w:sz w:val="28"/>
          <w:szCs w:val="28"/>
          <w:lang w:eastAsia="it-IT"/>
        </w:rPr>
        <w:t>”</w:t>
      </w:r>
      <w:r w:rsidR="005E65C3" w:rsidRPr="00B208E4">
        <w:rPr>
          <w:rFonts w:ascii="Calibri" w:eastAsia="Times New Roman" w:hAnsi="Calibri" w:cs="Segoe UI"/>
          <w:color w:val="1F4E79" w:themeColor="accent1" w:themeShade="80"/>
          <w:sz w:val="28"/>
          <w:szCs w:val="28"/>
          <w:lang w:eastAsia="it-IT"/>
        </w:rPr>
        <w:t>;</w:t>
      </w:r>
    </w:p>
    <w:p w:rsidR="00F35611" w:rsidRPr="00B208E4" w:rsidRDefault="00F35611" w:rsidP="00FB7048">
      <w:pPr>
        <w:pStyle w:val="Paragrafoelenco"/>
        <w:numPr>
          <w:ilvl w:val="0"/>
          <w:numId w:val="4"/>
        </w:numPr>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La debolezza degli argomenti riguardanti il rispetto dell’autonomia procedurale degli Stati membri, in coerenza</w:t>
      </w:r>
      <w:r w:rsidRPr="00F35611">
        <w:rPr>
          <w:rFonts w:ascii="Calibri" w:eastAsia="Times New Roman" w:hAnsi="Calibri" w:cs="Segoe UI"/>
          <w:color w:val="1F4E79" w:themeColor="accent1" w:themeShade="80"/>
          <w:sz w:val="28"/>
          <w:szCs w:val="28"/>
          <w:lang w:eastAsia="it-IT"/>
        </w:rPr>
        <w:t xml:space="preserve"> </w:t>
      </w:r>
      <w:r>
        <w:rPr>
          <w:rFonts w:ascii="Calibri" w:eastAsia="Times New Roman" w:hAnsi="Calibri" w:cs="Segoe UI"/>
          <w:color w:val="1F4E79" w:themeColor="accent1" w:themeShade="80"/>
          <w:sz w:val="28"/>
          <w:szCs w:val="28"/>
          <w:lang w:eastAsia="it-IT"/>
        </w:rPr>
        <w:t>ai principi di equivalenza ed efficacia della tutela giurisdizionale assicurata dall’ordinamento italiano;</w:t>
      </w:r>
    </w:p>
    <w:p w:rsidR="00135562" w:rsidRPr="00B208E4" w:rsidRDefault="008C608D" w:rsidP="00FB7048">
      <w:pPr>
        <w:pStyle w:val="Paragrafoelenco"/>
        <w:numPr>
          <w:ilvl w:val="0"/>
          <w:numId w:val="4"/>
        </w:numPr>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Le numerose criticità riguardanti la seconda que</w:t>
      </w:r>
      <w:r w:rsidR="00414827" w:rsidRPr="00B208E4">
        <w:rPr>
          <w:rFonts w:ascii="Calibri" w:eastAsia="Times New Roman" w:hAnsi="Calibri" w:cs="Segoe UI"/>
          <w:color w:val="1F4E79" w:themeColor="accent1" w:themeShade="80"/>
          <w:sz w:val="28"/>
          <w:szCs w:val="28"/>
          <w:lang w:eastAsia="it-IT"/>
        </w:rPr>
        <w:t xml:space="preserve">stione proposta, concernente </w:t>
      </w:r>
      <w:r w:rsidR="00D84D6C" w:rsidRPr="00B208E4">
        <w:rPr>
          <w:rFonts w:ascii="Calibri" w:eastAsia="Times New Roman" w:hAnsi="Calibri" w:cs="Segoe UI"/>
          <w:color w:val="1F4E79" w:themeColor="accent1" w:themeShade="80"/>
          <w:sz w:val="28"/>
          <w:szCs w:val="28"/>
          <w:lang w:eastAsia="it-IT"/>
        </w:rPr>
        <w:t xml:space="preserve">l’individuazione </w:t>
      </w:r>
      <w:r w:rsidR="00414827" w:rsidRPr="00B208E4">
        <w:rPr>
          <w:rFonts w:ascii="Calibri" w:eastAsia="Times New Roman" w:hAnsi="Calibri" w:cs="Segoe UI"/>
          <w:color w:val="1F4E79" w:themeColor="accent1" w:themeShade="80"/>
          <w:sz w:val="28"/>
          <w:szCs w:val="28"/>
          <w:lang w:eastAsia="it-IT"/>
        </w:rPr>
        <w:t>gli strumenti di reazione alla violazione dell’obbligo di rinvio pregiudiziale</w:t>
      </w:r>
      <w:r w:rsidR="00D84D6C" w:rsidRPr="00B208E4">
        <w:rPr>
          <w:rFonts w:ascii="Calibri" w:eastAsia="Times New Roman" w:hAnsi="Calibri" w:cs="Segoe UI"/>
          <w:color w:val="1F4E79" w:themeColor="accent1" w:themeShade="80"/>
          <w:sz w:val="28"/>
          <w:szCs w:val="28"/>
          <w:lang w:eastAsia="it-IT"/>
        </w:rPr>
        <w:t xml:space="preserve"> ex art. 267 TFUE,</w:t>
      </w:r>
      <w:r w:rsidR="00414827" w:rsidRPr="00B208E4">
        <w:rPr>
          <w:rFonts w:ascii="Calibri" w:eastAsia="Times New Roman" w:hAnsi="Calibri" w:cs="Segoe UI"/>
          <w:color w:val="1F4E79" w:themeColor="accent1" w:themeShade="80"/>
          <w:sz w:val="28"/>
          <w:szCs w:val="28"/>
          <w:lang w:eastAsia="it-IT"/>
        </w:rPr>
        <w:t xml:space="preserve"> </w:t>
      </w:r>
      <w:r w:rsidR="00977C6D" w:rsidRPr="00B208E4">
        <w:rPr>
          <w:rFonts w:ascii="Calibri" w:eastAsia="Times New Roman" w:hAnsi="Calibri" w:cs="Segoe UI"/>
          <w:color w:val="1F4E79" w:themeColor="accent1" w:themeShade="80"/>
          <w:sz w:val="28"/>
          <w:szCs w:val="28"/>
          <w:lang w:eastAsia="it-IT"/>
        </w:rPr>
        <w:t>imposto agli organi giurisdizionali di ultima istanza;</w:t>
      </w:r>
    </w:p>
    <w:p w:rsidR="00297CB4" w:rsidRPr="00B208E4" w:rsidRDefault="00297CB4" w:rsidP="00FB7048">
      <w:pPr>
        <w:pStyle w:val="Paragrafoelenco"/>
        <w:numPr>
          <w:ilvl w:val="0"/>
          <w:numId w:val="4"/>
        </w:numPr>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L’effettiva rilevanza </w:t>
      </w:r>
      <w:r w:rsidR="00C07298" w:rsidRPr="00B208E4">
        <w:rPr>
          <w:rFonts w:ascii="Calibri" w:eastAsia="Times New Roman" w:hAnsi="Calibri" w:cs="Segoe UI"/>
          <w:color w:val="1F4E79" w:themeColor="accent1" w:themeShade="80"/>
          <w:sz w:val="28"/>
          <w:szCs w:val="28"/>
          <w:lang w:eastAsia="it-IT"/>
        </w:rPr>
        <w:t>e pertinenza delle questioni “sostanziali</w:t>
      </w:r>
      <w:r w:rsidRPr="00B208E4">
        <w:rPr>
          <w:rFonts w:ascii="Calibri" w:eastAsia="Times New Roman" w:hAnsi="Calibri" w:cs="Segoe UI"/>
          <w:color w:val="1F4E79" w:themeColor="accent1" w:themeShade="80"/>
          <w:sz w:val="28"/>
          <w:szCs w:val="28"/>
          <w:lang w:eastAsia="it-IT"/>
        </w:rPr>
        <w:t>” sollevate dalla Cassazione</w:t>
      </w:r>
      <w:r w:rsidR="00C07298" w:rsidRPr="00B208E4">
        <w:rPr>
          <w:rFonts w:ascii="Calibri" w:eastAsia="Times New Roman" w:hAnsi="Calibri" w:cs="Segoe UI"/>
          <w:color w:val="1F4E79" w:themeColor="accent1" w:themeShade="80"/>
          <w:sz w:val="28"/>
          <w:szCs w:val="28"/>
          <w:lang w:eastAsia="it-IT"/>
        </w:rPr>
        <w:t xml:space="preserve"> con il terzo quesito, con specifico riferimento all’intima connessione con il merito della controversia</w:t>
      </w:r>
      <w:r w:rsidR="00F35611">
        <w:rPr>
          <w:rFonts w:ascii="Calibri" w:eastAsia="Times New Roman" w:hAnsi="Calibri" w:cs="Segoe UI"/>
          <w:color w:val="1F4E79" w:themeColor="accent1" w:themeShade="80"/>
          <w:sz w:val="28"/>
          <w:szCs w:val="28"/>
          <w:lang w:eastAsia="it-IT"/>
        </w:rPr>
        <w:t xml:space="preserve"> e con le regole processuali del giudizio;</w:t>
      </w:r>
    </w:p>
    <w:p w:rsidR="005E65C3" w:rsidRPr="00B208E4" w:rsidRDefault="005E65C3" w:rsidP="00FB7048">
      <w:pPr>
        <w:pStyle w:val="Paragrafoelenco"/>
        <w:numPr>
          <w:ilvl w:val="0"/>
          <w:numId w:val="4"/>
        </w:numPr>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Le </w:t>
      </w:r>
      <w:r w:rsidR="00D84D6C" w:rsidRPr="00B208E4">
        <w:rPr>
          <w:rFonts w:ascii="Calibri" w:eastAsia="Times New Roman" w:hAnsi="Calibri" w:cs="Segoe UI"/>
          <w:color w:val="1F4E79" w:themeColor="accent1" w:themeShade="80"/>
          <w:sz w:val="28"/>
          <w:szCs w:val="28"/>
          <w:lang w:eastAsia="it-IT"/>
        </w:rPr>
        <w:t xml:space="preserve">possibili </w:t>
      </w:r>
      <w:r w:rsidRPr="00B208E4">
        <w:rPr>
          <w:rFonts w:ascii="Calibri" w:eastAsia="Times New Roman" w:hAnsi="Calibri" w:cs="Segoe UI"/>
          <w:color w:val="1F4E79" w:themeColor="accent1" w:themeShade="80"/>
          <w:sz w:val="28"/>
          <w:szCs w:val="28"/>
          <w:lang w:eastAsia="it-IT"/>
        </w:rPr>
        <w:t>implicazioni che la pronuncia</w:t>
      </w:r>
      <w:r w:rsidR="00D84D6C" w:rsidRPr="00B208E4">
        <w:rPr>
          <w:rFonts w:ascii="Calibri" w:eastAsia="Times New Roman" w:hAnsi="Calibri" w:cs="Segoe UI"/>
          <w:color w:val="1F4E79" w:themeColor="accent1" w:themeShade="80"/>
          <w:sz w:val="28"/>
          <w:szCs w:val="28"/>
          <w:lang w:eastAsia="it-IT"/>
        </w:rPr>
        <w:t xml:space="preserve"> in esame potrebbe</w:t>
      </w:r>
      <w:r w:rsidRPr="00B208E4">
        <w:rPr>
          <w:rFonts w:ascii="Calibri" w:eastAsia="Times New Roman" w:hAnsi="Calibri" w:cs="Segoe UI"/>
          <w:color w:val="1F4E79" w:themeColor="accent1" w:themeShade="80"/>
          <w:sz w:val="28"/>
          <w:szCs w:val="28"/>
          <w:lang w:eastAsia="it-IT"/>
        </w:rPr>
        <w:t xml:space="preserve"> determina</w:t>
      </w:r>
      <w:r w:rsidR="00D84D6C" w:rsidRPr="00B208E4">
        <w:rPr>
          <w:rFonts w:ascii="Calibri" w:eastAsia="Times New Roman" w:hAnsi="Calibri" w:cs="Segoe UI"/>
          <w:color w:val="1F4E79" w:themeColor="accent1" w:themeShade="80"/>
          <w:sz w:val="28"/>
          <w:szCs w:val="28"/>
          <w:lang w:eastAsia="it-IT"/>
        </w:rPr>
        <w:t>re</w:t>
      </w:r>
      <w:r w:rsidRPr="00B208E4">
        <w:rPr>
          <w:rFonts w:ascii="Calibri" w:eastAsia="Times New Roman" w:hAnsi="Calibri" w:cs="Segoe UI"/>
          <w:color w:val="1F4E79" w:themeColor="accent1" w:themeShade="80"/>
          <w:sz w:val="28"/>
          <w:szCs w:val="28"/>
          <w:lang w:eastAsia="it-IT"/>
        </w:rPr>
        <w:t xml:space="preserve"> sullo sviluppo del dibattito in atto</w:t>
      </w:r>
      <w:r w:rsidR="00135562" w:rsidRPr="00B208E4">
        <w:rPr>
          <w:rFonts w:ascii="Calibri" w:eastAsia="Times New Roman" w:hAnsi="Calibri" w:cs="Segoe UI"/>
          <w:color w:val="1F4E79" w:themeColor="accent1" w:themeShade="80"/>
          <w:sz w:val="28"/>
          <w:szCs w:val="28"/>
          <w:lang w:eastAsia="it-IT"/>
        </w:rPr>
        <w:t>, anche al di fuori del solco del diritto UE</w:t>
      </w:r>
      <w:r w:rsidRPr="00B208E4">
        <w:rPr>
          <w:rFonts w:ascii="Calibri" w:eastAsia="Times New Roman" w:hAnsi="Calibri" w:cs="Segoe UI"/>
          <w:color w:val="1F4E79" w:themeColor="accent1" w:themeShade="80"/>
          <w:sz w:val="28"/>
          <w:szCs w:val="28"/>
          <w:lang w:eastAsia="it-IT"/>
        </w:rPr>
        <w:t>.</w:t>
      </w:r>
    </w:p>
    <w:p w:rsidR="00C07298" w:rsidRPr="00B208E4" w:rsidRDefault="00C07298"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p>
    <w:p w:rsidR="00D61007" w:rsidRPr="00B208E4" w:rsidRDefault="00D61007" w:rsidP="00FB7048">
      <w:pPr>
        <w:numPr>
          <w:ilvl w:val="0"/>
          <w:numId w:val="1"/>
        </w:numPr>
        <w:shd w:val="clear" w:color="auto" w:fill="FFFFFF"/>
        <w:tabs>
          <w:tab w:val="left" w:pos="0"/>
        </w:tabs>
        <w:spacing w:after="120" w:line="240" w:lineRule="auto"/>
        <w:ind w:left="0" w:firstLine="709"/>
        <w:jc w:val="both"/>
        <w:textAlignment w:val="baseline"/>
        <w:rPr>
          <w:rFonts w:ascii="Tahoma" w:eastAsia="Times New Roman" w:hAnsi="Tahoma" w:cs="Tahoma"/>
          <w:smallCaps/>
          <w:color w:val="1F4E79" w:themeColor="accent1" w:themeShade="80"/>
          <w:sz w:val="28"/>
          <w:szCs w:val="28"/>
          <w:bdr w:val="none" w:sz="0" w:space="0" w:color="auto" w:frame="1"/>
          <w:lang w:eastAsia="it-IT"/>
        </w:rPr>
      </w:pPr>
      <w:r w:rsidRPr="00B208E4">
        <w:rPr>
          <w:rFonts w:ascii="Tahoma" w:eastAsia="Times New Roman" w:hAnsi="Tahoma" w:cs="Tahoma"/>
          <w:smallCaps/>
          <w:color w:val="1F4E79" w:themeColor="accent1" w:themeShade="80"/>
          <w:sz w:val="28"/>
          <w:szCs w:val="28"/>
          <w:bdr w:val="none" w:sz="0" w:space="0" w:color="auto" w:frame="1"/>
          <w:lang w:eastAsia="it-IT"/>
        </w:rPr>
        <w:t xml:space="preserve">La posizione della Corte costituzionale: la critica alla teoria della </w:t>
      </w:r>
      <w:r w:rsidRPr="00B208E4">
        <w:rPr>
          <w:rFonts w:ascii="Tahoma" w:eastAsia="Times New Roman" w:hAnsi="Tahoma" w:cs="Tahoma"/>
          <w:i/>
          <w:smallCaps/>
          <w:color w:val="1F4E79" w:themeColor="accent1" w:themeShade="80"/>
          <w:sz w:val="28"/>
          <w:szCs w:val="28"/>
          <w:bdr w:val="none" w:sz="0" w:space="0" w:color="auto" w:frame="1"/>
          <w:lang w:eastAsia="it-IT"/>
        </w:rPr>
        <w:t xml:space="preserve">Giurisdizione </w:t>
      </w:r>
      <w:r w:rsidR="00981997" w:rsidRPr="00B208E4">
        <w:rPr>
          <w:rFonts w:ascii="Tahoma" w:eastAsia="Times New Roman" w:hAnsi="Tahoma" w:cs="Tahoma"/>
          <w:i/>
          <w:smallCaps/>
          <w:color w:val="1F4E79" w:themeColor="accent1" w:themeShade="80"/>
          <w:sz w:val="28"/>
          <w:szCs w:val="28"/>
          <w:bdr w:val="none" w:sz="0" w:space="0" w:color="auto" w:frame="1"/>
          <w:lang w:eastAsia="it-IT"/>
        </w:rPr>
        <w:t>dinamica</w:t>
      </w:r>
      <w:r w:rsidR="00981997" w:rsidRPr="00B208E4">
        <w:rPr>
          <w:rFonts w:ascii="Tahoma" w:eastAsia="Times New Roman" w:hAnsi="Tahoma" w:cs="Tahoma"/>
          <w:smallCaps/>
          <w:color w:val="1F4E79" w:themeColor="accent1" w:themeShade="80"/>
          <w:sz w:val="28"/>
          <w:szCs w:val="28"/>
          <w:bdr w:val="none" w:sz="0" w:space="0" w:color="auto" w:frame="1"/>
          <w:lang w:eastAsia="it-IT"/>
        </w:rPr>
        <w:t xml:space="preserve"> </w:t>
      </w:r>
      <w:r w:rsidRPr="00B208E4">
        <w:rPr>
          <w:rFonts w:ascii="Tahoma" w:eastAsia="Times New Roman" w:hAnsi="Tahoma" w:cs="Tahoma"/>
          <w:smallCaps/>
          <w:color w:val="1F4E79" w:themeColor="accent1" w:themeShade="80"/>
          <w:sz w:val="28"/>
          <w:szCs w:val="28"/>
          <w:bdr w:val="none" w:sz="0" w:space="0" w:color="auto" w:frame="1"/>
          <w:lang w:eastAsia="it-IT"/>
        </w:rPr>
        <w:t>e la risposta della Cassazione. L’opinabile scelta del rinvio alla CGUE.</w:t>
      </w:r>
    </w:p>
    <w:p w:rsidR="00AB5ED0" w:rsidRPr="00B208E4" w:rsidRDefault="00AB5ED0"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La prima riserva riguarda il mezzo </w:t>
      </w:r>
      <w:r w:rsidR="00D61007" w:rsidRPr="00B208E4">
        <w:rPr>
          <w:rFonts w:ascii="Calibri" w:eastAsia="Times New Roman" w:hAnsi="Calibri" w:cs="Segoe UI"/>
          <w:color w:val="1F4E79" w:themeColor="accent1" w:themeShade="80"/>
          <w:sz w:val="28"/>
          <w:szCs w:val="28"/>
          <w:lang w:eastAsia="it-IT"/>
        </w:rPr>
        <w:t xml:space="preserve">processuale </w:t>
      </w:r>
      <w:r w:rsidRPr="00B208E4">
        <w:rPr>
          <w:rFonts w:ascii="Calibri" w:eastAsia="Times New Roman" w:hAnsi="Calibri" w:cs="Segoe UI"/>
          <w:color w:val="1F4E79" w:themeColor="accent1" w:themeShade="80"/>
          <w:sz w:val="28"/>
          <w:szCs w:val="28"/>
          <w:lang w:eastAsia="it-IT"/>
        </w:rPr>
        <w:t>scelto dalla Cassazione per manifestare il proprio indirizzo</w:t>
      </w:r>
      <w:r w:rsidR="00D61007" w:rsidRPr="00B208E4">
        <w:rPr>
          <w:rFonts w:ascii="Calibri" w:eastAsia="Times New Roman" w:hAnsi="Calibri" w:cs="Segoe UI"/>
          <w:color w:val="1F4E79" w:themeColor="accent1" w:themeShade="80"/>
          <w:sz w:val="28"/>
          <w:szCs w:val="28"/>
          <w:lang w:eastAsia="it-IT"/>
        </w:rPr>
        <w:t xml:space="preserve"> frontalmente critico della lettura interpretativa consolidatasi per effetto della sentenza n. 6/2018</w:t>
      </w:r>
      <w:r w:rsidR="00B460CD">
        <w:rPr>
          <w:rFonts w:ascii="Calibri" w:eastAsia="Times New Roman" w:hAnsi="Calibri" w:cs="Segoe UI"/>
          <w:color w:val="1F4E79" w:themeColor="accent1" w:themeShade="80"/>
          <w:sz w:val="28"/>
          <w:szCs w:val="28"/>
          <w:lang w:eastAsia="it-IT"/>
        </w:rPr>
        <w:t>: il rinvio pregiudiziale alla CGUE</w:t>
      </w:r>
      <w:r w:rsidR="002468E5">
        <w:rPr>
          <w:rFonts w:ascii="Calibri" w:eastAsia="Times New Roman" w:hAnsi="Calibri" w:cs="Segoe UI"/>
          <w:color w:val="1F4E79" w:themeColor="accent1" w:themeShade="80"/>
          <w:sz w:val="28"/>
          <w:szCs w:val="28"/>
          <w:lang w:eastAsia="it-IT"/>
        </w:rPr>
        <w:t xml:space="preserve"> ex art. 267 TFUE, teso a denunciare la sospetta illegittimità co</w:t>
      </w:r>
      <w:r w:rsidR="004F330F">
        <w:rPr>
          <w:rFonts w:ascii="Calibri" w:eastAsia="Times New Roman" w:hAnsi="Calibri" w:cs="Segoe UI"/>
          <w:color w:val="1F4E79" w:themeColor="accent1" w:themeShade="80"/>
          <w:sz w:val="28"/>
          <w:szCs w:val="28"/>
          <w:lang w:eastAsia="it-IT"/>
        </w:rPr>
        <w:t>munitaria del vigente assetto c</w:t>
      </w:r>
      <w:r w:rsidR="002468E5">
        <w:rPr>
          <w:rFonts w:ascii="Calibri" w:eastAsia="Times New Roman" w:hAnsi="Calibri" w:cs="Segoe UI"/>
          <w:color w:val="1F4E79" w:themeColor="accent1" w:themeShade="80"/>
          <w:sz w:val="28"/>
          <w:szCs w:val="28"/>
          <w:lang w:eastAsia="it-IT"/>
        </w:rPr>
        <w:t>ostituzionale</w:t>
      </w:r>
      <w:r w:rsidR="00B460CD">
        <w:rPr>
          <w:rFonts w:ascii="Calibri" w:eastAsia="Times New Roman" w:hAnsi="Calibri" w:cs="Segoe UI"/>
          <w:color w:val="1F4E79" w:themeColor="accent1" w:themeShade="80"/>
          <w:sz w:val="28"/>
          <w:szCs w:val="28"/>
          <w:lang w:eastAsia="it-IT"/>
        </w:rPr>
        <w:t>.</w:t>
      </w:r>
    </w:p>
    <w:p w:rsidR="00B460CD" w:rsidRDefault="009B2574"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Il dubbio non attiene tanto alla astratta</w:t>
      </w:r>
      <w:r w:rsidR="00412386">
        <w:rPr>
          <w:rFonts w:ascii="Calibri" w:eastAsia="Times New Roman" w:hAnsi="Calibri" w:cs="Segoe UI"/>
          <w:color w:val="1F4E79" w:themeColor="accent1" w:themeShade="80"/>
          <w:sz w:val="28"/>
          <w:szCs w:val="28"/>
          <w:lang w:eastAsia="it-IT"/>
        </w:rPr>
        <w:t xml:space="preserve"> ritualità e</w:t>
      </w:r>
      <w:r w:rsidRPr="00B208E4">
        <w:rPr>
          <w:rFonts w:ascii="Calibri" w:eastAsia="Times New Roman" w:hAnsi="Calibri" w:cs="Segoe UI"/>
          <w:color w:val="1F4E79" w:themeColor="accent1" w:themeShade="80"/>
          <w:sz w:val="28"/>
          <w:szCs w:val="28"/>
          <w:lang w:eastAsia="it-IT"/>
        </w:rPr>
        <w:t xml:space="preserve"> legittimità della decisione</w:t>
      </w:r>
      <w:r w:rsidR="00412386">
        <w:rPr>
          <w:rFonts w:ascii="Calibri" w:eastAsia="Times New Roman" w:hAnsi="Calibri" w:cs="Segoe UI"/>
          <w:color w:val="1F4E79" w:themeColor="accent1" w:themeShade="80"/>
          <w:sz w:val="28"/>
          <w:szCs w:val="28"/>
          <w:lang w:eastAsia="it-IT"/>
        </w:rPr>
        <w:t xml:space="preserve"> </w:t>
      </w:r>
      <w:r w:rsidR="00FD14F1">
        <w:rPr>
          <w:rFonts w:ascii="Calibri" w:eastAsia="Times New Roman" w:hAnsi="Calibri" w:cs="Segoe UI"/>
          <w:color w:val="1F4E79" w:themeColor="accent1" w:themeShade="80"/>
          <w:sz w:val="28"/>
          <w:szCs w:val="28"/>
          <w:lang w:eastAsia="it-IT"/>
        </w:rPr>
        <w:t>adottata</w:t>
      </w:r>
      <w:r w:rsidR="00DB355F">
        <w:rPr>
          <w:rFonts w:ascii="Calibri" w:eastAsia="Times New Roman" w:hAnsi="Calibri" w:cs="Segoe UI"/>
          <w:color w:val="1F4E79" w:themeColor="accent1" w:themeShade="80"/>
          <w:sz w:val="28"/>
          <w:szCs w:val="28"/>
          <w:lang w:eastAsia="it-IT"/>
        </w:rPr>
        <w:t xml:space="preserve"> dal collegio</w:t>
      </w:r>
      <w:r w:rsidR="00B460CD">
        <w:rPr>
          <w:rFonts w:ascii="Calibri" w:eastAsia="Times New Roman" w:hAnsi="Calibri" w:cs="Segoe UI"/>
          <w:color w:val="1F4E79" w:themeColor="accent1" w:themeShade="80"/>
          <w:sz w:val="28"/>
          <w:szCs w:val="28"/>
          <w:lang w:eastAsia="it-IT"/>
        </w:rPr>
        <w:t xml:space="preserve">, quanto alla </w:t>
      </w:r>
      <w:r w:rsidR="00B460CD" w:rsidRPr="00DB355F">
        <w:rPr>
          <w:rFonts w:ascii="Calibri" w:eastAsia="Times New Roman" w:hAnsi="Calibri" w:cs="Segoe UI"/>
          <w:i/>
          <w:color w:val="1F4E79" w:themeColor="accent1" w:themeShade="80"/>
          <w:sz w:val="28"/>
          <w:szCs w:val="28"/>
          <w:lang w:eastAsia="it-IT"/>
        </w:rPr>
        <w:t>opportunità</w:t>
      </w:r>
      <w:r w:rsidR="00DB355F">
        <w:rPr>
          <w:rFonts w:ascii="Calibri" w:eastAsia="Times New Roman" w:hAnsi="Calibri" w:cs="Segoe UI"/>
          <w:color w:val="1F4E79" w:themeColor="accent1" w:themeShade="80"/>
          <w:sz w:val="28"/>
          <w:szCs w:val="28"/>
          <w:lang w:eastAsia="it-IT"/>
        </w:rPr>
        <w:t>,</w:t>
      </w:r>
      <w:r w:rsidR="00B460CD">
        <w:rPr>
          <w:rFonts w:ascii="Calibri" w:eastAsia="Times New Roman" w:hAnsi="Calibri" w:cs="Segoe UI"/>
          <w:color w:val="1F4E79" w:themeColor="accent1" w:themeShade="80"/>
          <w:sz w:val="28"/>
          <w:szCs w:val="28"/>
          <w:lang w:eastAsia="it-IT"/>
        </w:rPr>
        <w:t xml:space="preserve"> in relazione al consueto svolgimento del dialogo tra le Corti e alla effettiva idoneità dell’itinerario seguito a realizzare l’auspicato chiarimento interpretativo, </w:t>
      </w:r>
      <w:r w:rsidR="00DB355F">
        <w:rPr>
          <w:rFonts w:ascii="Calibri" w:eastAsia="Times New Roman" w:hAnsi="Calibri" w:cs="Segoe UI"/>
          <w:color w:val="1F4E79" w:themeColor="accent1" w:themeShade="80"/>
          <w:sz w:val="28"/>
          <w:szCs w:val="28"/>
          <w:lang w:eastAsia="it-IT"/>
        </w:rPr>
        <w:t>consistente ne</w:t>
      </w:r>
      <w:r w:rsidR="00B460CD">
        <w:rPr>
          <w:rFonts w:ascii="Calibri" w:eastAsia="Times New Roman" w:hAnsi="Calibri" w:cs="Segoe UI"/>
          <w:color w:val="1F4E79" w:themeColor="accent1" w:themeShade="80"/>
          <w:sz w:val="28"/>
          <w:szCs w:val="28"/>
          <w:lang w:eastAsia="it-IT"/>
        </w:rPr>
        <w:t>ll’allargamento del sindacato della Cassazione</w:t>
      </w:r>
      <w:r w:rsidR="00DB355F">
        <w:rPr>
          <w:rFonts w:ascii="Calibri" w:eastAsia="Times New Roman" w:hAnsi="Calibri" w:cs="Segoe UI"/>
          <w:color w:val="1F4E79" w:themeColor="accent1" w:themeShade="80"/>
          <w:sz w:val="28"/>
          <w:szCs w:val="28"/>
          <w:lang w:eastAsia="it-IT"/>
        </w:rPr>
        <w:t xml:space="preserve"> sulle pronunce del Consiglio di Stato</w:t>
      </w:r>
      <w:r w:rsidR="00B460CD">
        <w:rPr>
          <w:rFonts w:ascii="Calibri" w:eastAsia="Times New Roman" w:hAnsi="Calibri" w:cs="Segoe UI"/>
          <w:color w:val="1F4E79" w:themeColor="accent1" w:themeShade="80"/>
          <w:sz w:val="28"/>
          <w:szCs w:val="28"/>
          <w:lang w:eastAsia="it-IT"/>
        </w:rPr>
        <w:t>.</w:t>
      </w:r>
    </w:p>
    <w:p w:rsidR="009B2574" w:rsidRPr="00B208E4" w:rsidRDefault="00B460CD"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La possibilità di rivolgersi alla CGUE è indiscutibilmente riconosciuta dall’ordinamento</w:t>
      </w:r>
      <w:r w:rsidR="009B2574" w:rsidRPr="00B208E4">
        <w:rPr>
          <w:rFonts w:ascii="Calibri" w:eastAsia="Times New Roman" w:hAnsi="Calibri" w:cs="Segoe UI"/>
          <w:color w:val="1F4E79" w:themeColor="accent1" w:themeShade="80"/>
          <w:sz w:val="28"/>
          <w:szCs w:val="28"/>
          <w:lang w:eastAsia="it-IT"/>
        </w:rPr>
        <w:t xml:space="preserve">: </w:t>
      </w:r>
      <w:r>
        <w:rPr>
          <w:rFonts w:ascii="Calibri" w:eastAsia="Times New Roman" w:hAnsi="Calibri" w:cs="Segoe UI"/>
          <w:color w:val="1F4E79" w:themeColor="accent1" w:themeShade="80"/>
          <w:sz w:val="28"/>
          <w:szCs w:val="28"/>
          <w:lang w:eastAsia="it-IT"/>
        </w:rPr>
        <w:t xml:space="preserve">infatti, </w:t>
      </w:r>
      <w:r w:rsidR="009B2574" w:rsidRPr="00B208E4">
        <w:rPr>
          <w:rFonts w:ascii="Calibri" w:eastAsia="Times New Roman" w:hAnsi="Calibri" w:cs="Segoe UI"/>
          <w:color w:val="1F4E79" w:themeColor="accent1" w:themeShade="80"/>
          <w:sz w:val="28"/>
          <w:szCs w:val="28"/>
          <w:lang w:eastAsia="it-IT"/>
        </w:rPr>
        <w:t>se il collegio nutre ragionevoli</w:t>
      </w:r>
      <w:r>
        <w:rPr>
          <w:rFonts w:ascii="Calibri" w:eastAsia="Times New Roman" w:hAnsi="Calibri" w:cs="Segoe UI"/>
          <w:color w:val="1F4E79" w:themeColor="accent1" w:themeShade="80"/>
          <w:sz w:val="28"/>
          <w:szCs w:val="28"/>
          <w:lang w:eastAsia="it-IT"/>
        </w:rPr>
        <w:t xml:space="preserve"> e serie </w:t>
      </w:r>
      <w:r w:rsidR="009B2574" w:rsidRPr="00B208E4">
        <w:rPr>
          <w:rFonts w:ascii="Calibri" w:eastAsia="Times New Roman" w:hAnsi="Calibri" w:cs="Segoe UI"/>
          <w:color w:val="1F4E79" w:themeColor="accent1" w:themeShade="80"/>
          <w:sz w:val="28"/>
          <w:szCs w:val="28"/>
          <w:lang w:eastAsia="it-IT"/>
        </w:rPr>
        <w:t xml:space="preserve">perplessità sulla compatibilità dell’ordinamento nazionale </w:t>
      </w:r>
      <w:r w:rsidR="00DB355F">
        <w:rPr>
          <w:rFonts w:ascii="Calibri" w:eastAsia="Times New Roman" w:hAnsi="Calibri" w:cs="Segoe UI"/>
          <w:color w:val="1F4E79" w:themeColor="accent1" w:themeShade="80"/>
          <w:sz w:val="28"/>
          <w:szCs w:val="28"/>
          <w:lang w:eastAsia="it-IT"/>
        </w:rPr>
        <w:t xml:space="preserve">– anche di rango costituzionale - </w:t>
      </w:r>
      <w:r w:rsidR="009B2574" w:rsidRPr="00B208E4">
        <w:rPr>
          <w:rFonts w:ascii="Calibri" w:eastAsia="Times New Roman" w:hAnsi="Calibri" w:cs="Segoe UI"/>
          <w:color w:val="1F4E79" w:themeColor="accent1" w:themeShade="80"/>
          <w:sz w:val="28"/>
          <w:szCs w:val="28"/>
          <w:lang w:eastAsia="it-IT"/>
        </w:rPr>
        <w:t>con quello europeo, il passaggio attraverso la valutazione pregiudiziale della CGUE è consentito, o addirittura doveroso, considerata la posizione della Cassazione, quale giudice di ultima istanza.</w:t>
      </w:r>
    </w:p>
    <w:p w:rsidR="009B2574" w:rsidRPr="00B208E4" w:rsidRDefault="009B2574"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Tuttavia, per contrastare la lettura </w:t>
      </w:r>
      <w:r w:rsidR="001814D2">
        <w:rPr>
          <w:rFonts w:ascii="Calibri" w:eastAsia="Times New Roman" w:hAnsi="Calibri" w:cs="Segoe UI"/>
          <w:color w:val="1F4E79" w:themeColor="accent1" w:themeShade="80"/>
          <w:sz w:val="28"/>
          <w:szCs w:val="28"/>
          <w:lang w:eastAsia="it-IT"/>
        </w:rPr>
        <w:t>segui</w:t>
      </w:r>
      <w:r w:rsidRPr="00B208E4">
        <w:rPr>
          <w:rFonts w:ascii="Calibri" w:eastAsia="Times New Roman" w:hAnsi="Calibri" w:cs="Segoe UI"/>
          <w:color w:val="1F4E79" w:themeColor="accent1" w:themeShade="80"/>
          <w:sz w:val="28"/>
          <w:szCs w:val="28"/>
          <w:lang w:eastAsia="it-IT"/>
        </w:rPr>
        <w:t xml:space="preserve">ta </w:t>
      </w:r>
      <w:r w:rsidR="007F1666" w:rsidRPr="00B208E4">
        <w:rPr>
          <w:rFonts w:ascii="Calibri" w:eastAsia="Times New Roman" w:hAnsi="Calibri" w:cs="Segoe UI"/>
          <w:color w:val="1F4E79" w:themeColor="accent1" w:themeShade="80"/>
          <w:sz w:val="28"/>
          <w:szCs w:val="28"/>
          <w:lang w:eastAsia="it-IT"/>
        </w:rPr>
        <w:t>dalla</w:t>
      </w:r>
      <w:r w:rsidRPr="00B208E4">
        <w:rPr>
          <w:rFonts w:ascii="Calibri" w:eastAsia="Times New Roman" w:hAnsi="Calibri" w:cs="Segoe UI"/>
          <w:color w:val="1F4E79" w:themeColor="accent1" w:themeShade="80"/>
          <w:sz w:val="28"/>
          <w:szCs w:val="28"/>
          <w:lang w:eastAsia="it-IT"/>
        </w:rPr>
        <w:t xml:space="preserve"> Corte costituzionale, </w:t>
      </w:r>
      <w:r w:rsidR="00B460CD">
        <w:rPr>
          <w:rFonts w:ascii="Calibri" w:eastAsia="Times New Roman" w:hAnsi="Calibri" w:cs="Segoe UI"/>
          <w:color w:val="1F4E79" w:themeColor="accent1" w:themeShade="80"/>
          <w:sz w:val="28"/>
          <w:szCs w:val="28"/>
          <w:lang w:eastAsia="it-IT"/>
        </w:rPr>
        <w:t xml:space="preserve">anche soltanto in relazione al circoscritto tema della </w:t>
      </w:r>
      <w:r w:rsidR="00DB355F">
        <w:rPr>
          <w:rFonts w:ascii="Calibri" w:eastAsia="Times New Roman" w:hAnsi="Calibri" w:cs="Segoe UI"/>
          <w:color w:val="1F4E79" w:themeColor="accent1" w:themeShade="80"/>
          <w:sz w:val="28"/>
          <w:szCs w:val="28"/>
          <w:lang w:eastAsia="it-IT"/>
        </w:rPr>
        <w:t>sindacabilità in cassazione delle violazioni</w:t>
      </w:r>
      <w:r w:rsidR="00B460CD">
        <w:rPr>
          <w:rFonts w:ascii="Calibri" w:eastAsia="Times New Roman" w:hAnsi="Calibri" w:cs="Segoe UI"/>
          <w:color w:val="1F4E79" w:themeColor="accent1" w:themeShade="80"/>
          <w:sz w:val="28"/>
          <w:szCs w:val="28"/>
          <w:lang w:eastAsia="it-IT"/>
        </w:rPr>
        <w:t xml:space="preserve"> del diritto UE, </w:t>
      </w:r>
      <w:r w:rsidRPr="00B208E4">
        <w:rPr>
          <w:rFonts w:ascii="Calibri" w:eastAsia="Times New Roman" w:hAnsi="Calibri" w:cs="Segoe UI"/>
          <w:color w:val="1F4E79" w:themeColor="accent1" w:themeShade="80"/>
          <w:sz w:val="28"/>
          <w:szCs w:val="28"/>
          <w:lang w:eastAsia="it-IT"/>
        </w:rPr>
        <w:t xml:space="preserve">si </w:t>
      </w:r>
      <w:r w:rsidR="00077931" w:rsidRPr="00B208E4">
        <w:rPr>
          <w:rFonts w:ascii="Calibri" w:eastAsia="Times New Roman" w:hAnsi="Calibri" w:cs="Segoe UI"/>
          <w:color w:val="1F4E79" w:themeColor="accent1" w:themeShade="80"/>
          <w:sz w:val="28"/>
          <w:szCs w:val="28"/>
          <w:lang w:eastAsia="it-IT"/>
        </w:rPr>
        <w:t>potevano ipotizzare</w:t>
      </w:r>
      <w:r w:rsidR="005020C4" w:rsidRPr="00B208E4">
        <w:rPr>
          <w:rFonts w:ascii="Calibri" w:eastAsia="Times New Roman" w:hAnsi="Calibri" w:cs="Segoe UI"/>
          <w:color w:val="1F4E79" w:themeColor="accent1" w:themeShade="80"/>
          <w:sz w:val="28"/>
          <w:szCs w:val="28"/>
          <w:lang w:eastAsia="it-IT"/>
        </w:rPr>
        <w:t>, ragionevolmente,</w:t>
      </w:r>
      <w:r w:rsidR="00077931" w:rsidRPr="00B208E4">
        <w:rPr>
          <w:rFonts w:ascii="Calibri" w:eastAsia="Times New Roman" w:hAnsi="Calibri" w:cs="Segoe UI"/>
          <w:color w:val="1F4E79" w:themeColor="accent1" w:themeShade="80"/>
          <w:sz w:val="28"/>
          <w:szCs w:val="28"/>
          <w:lang w:eastAsia="it-IT"/>
        </w:rPr>
        <w:t xml:space="preserve"> </w:t>
      </w:r>
      <w:r w:rsidRPr="00B208E4">
        <w:rPr>
          <w:rFonts w:ascii="Calibri" w:eastAsia="Times New Roman" w:hAnsi="Calibri" w:cs="Segoe UI"/>
          <w:color w:val="1F4E79" w:themeColor="accent1" w:themeShade="80"/>
          <w:sz w:val="28"/>
          <w:szCs w:val="28"/>
          <w:lang w:eastAsia="it-IT"/>
        </w:rPr>
        <w:t xml:space="preserve">altre </w:t>
      </w:r>
      <w:r w:rsidR="00077931" w:rsidRPr="00B208E4">
        <w:rPr>
          <w:rFonts w:ascii="Calibri" w:eastAsia="Times New Roman" w:hAnsi="Calibri" w:cs="Segoe UI"/>
          <w:color w:val="1F4E79" w:themeColor="accent1" w:themeShade="80"/>
          <w:sz w:val="28"/>
          <w:szCs w:val="28"/>
          <w:lang w:eastAsia="it-IT"/>
        </w:rPr>
        <w:t xml:space="preserve">due </w:t>
      </w:r>
      <w:r w:rsidR="005020C4" w:rsidRPr="00B208E4">
        <w:rPr>
          <w:rFonts w:ascii="Calibri" w:eastAsia="Times New Roman" w:hAnsi="Calibri" w:cs="Segoe UI"/>
          <w:color w:val="1F4E79" w:themeColor="accent1" w:themeShade="80"/>
          <w:sz w:val="28"/>
          <w:szCs w:val="28"/>
          <w:lang w:eastAsia="it-IT"/>
        </w:rPr>
        <w:t xml:space="preserve">principali </w:t>
      </w:r>
      <w:r w:rsidR="00077931" w:rsidRPr="00B208E4">
        <w:rPr>
          <w:rFonts w:ascii="Calibri" w:eastAsia="Times New Roman" w:hAnsi="Calibri" w:cs="Segoe UI"/>
          <w:color w:val="1F4E79" w:themeColor="accent1" w:themeShade="80"/>
          <w:sz w:val="28"/>
          <w:szCs w:val="28"/>
          <w:lang w:eastAsia="it-IT"/>
        </w:rPr>
        <w:t xml:space="preserve">strade </w:t>
      </w:r>
      <w:r w:rsidRPr="00B208E4">
        <w:rPr>
          <w:rFonts w:ascii="Calibri" w:eastAsia="Times New Roman" w:hAnsi="Calibri" w:cs="Segoe UI"/>
          <w:color w:val="1F4E79" w:themeColor="accent1" w:themeShade="80"/>
          <w:sz w:val="28"/>
          <w:szCs w:val="28"/>
          <w:lang w:eastAsia="it-IT"/>
        </w:rPr>
        <w:t>alternative.</w:t>
      </w:r>
    </w:p>
    <w:p w:rsidR="00681DC1" w:rsidRPr="00B208E4" w:rsidRDefault="00077931"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La prima, </w:t>
      </w:r>
      <w:r w:rsidR="00DB355F">
        <w:rPr>
          <w:rFonts w:ascii="Calibri" w:eastAsia="Times New Roman" w:hAnsi="Calibri" w:cs="Segoe UI"/>
          <w:color w:val="1F4E79" w:themeColor="accent1" w:themeShade="80"/>
          <w:sz w:val="28"/>
          <w:szCs w:val="28"/>
          <w:lang w:eastAsia="it-IT"/>
        </w:rPr>
        <w:t xml:space="preserve">sicuramente </w:t>
      </w:r>
      <w:r w:rsidRPr="00B208E4">
        <w:rPr>
          <w:rFonts w:ascii="Calibri" w:eastAsia="Times New Roman" w:hAnsi="Calibri" w:cs="Segoe UI"/>
          <w:color w:val="1F4E79" w:themeColor="accent1" w:themeShade="80"/>
          <w:sz w:val="28"/>
          <w:szCs w:val="28"/>
          <w:lang w:eastAsia="it-IT"/>
        </w:rPr>
        <w:t xml:space="preserve">molto rischiosa, </w:t>
      </w:r>
      <w:r w:rsidR="005020C4" w:rsidRPr="00B208E4">
        <w:rPr>
          <w:rFonts w:ascii="Calibri" w:eastAsia="Times New Roman" w:hAnsi="Calibri" w:cs="Segoe UI"/>
          <w:color w:val="1F4E79" w:themeColor="accent1" w:themeShade="80"/>
          <w:sz w:val="28"/>
          <w:szCs w:val="28"/>
          <w:lang w:eastAsia="it-IT"/>
        </w:rPr>
        <w:t xml:space="preserve">avrebbe potuto essere </w:t>
      </w:r>
      <w:r w:rsidRPr="00B208E4">
        <w:rPr>
          <w:rFonts w:ascii="Calibri" w:eastAsia="Times New Roman" w:hAnsi="Calibri" w:cs="Segoe UI"/>
          <w:color w:val="1F4E79" w:themeColor="accent1" w:themeShade="80"/>
          <w:sz w:val="28"/>
          <w:szCs w:val="28"/>
          <w:lang w:eastAsia="it-IT"/>
        </w:rPr>
        <w:t xml:space="preserve">quella di </w:t>
      </w:r>
      <w:r w:rsidR="00F5780C" w:rsidRPr="00B208E4">
        <w:rPr>
          <w:rFonts w:ascii="Calibri" w:eastAsia="Times New Roman" w:hAnsi="Calibri" w:cs="Segoe UI"/>
          <w:color w:val="1F4E79" w:themeColor="accent1" w:themeShade="80"/>
          <w:sz w:val="28"/>
          <w:szCs w:val="28"/>
          <w:lang w:eastAsia="it-IT"/>
        </w:rPr>
        <w:t xml:space="preserve">contrapporsi, in tutto o in parte, all’orientamento della Corte costituzionale, </w:t>
      </w:r>
      <w:r w:rsidR="00AB5ED0" w:rsidRPr="00B208E4">
        <w:rPr>
          <w:rFonts w:ascii="Calibri" w:eastAsia="Times New Roman" w:hAnsi="Calibri" w:cs="Segoe UI"/>
          <w:color w:val="1F4E79" w:themeColor="accent1" w:themeShade="80"/>
          <w:sz w:val="28"/>
          <w:szCs w:val="28"/>
          <w:lang w:eastAsia="it-IT"/>
        </w:rPr>
        <w:t xml:space="preserve">attraverso decisioni </w:t>
      </w:r>
      <w:r w:rsidR="00556435" w:rsidRPr="00B208E4">
        <w:rPr>
          <w:rFonts w:ascii="Calibri" w:eastAsia="Times New Roman" w:hAnsi="Calibri" w:cs="Segoe UI"/>
          <w:color w:val="1F4E79" w:themeColor="accent1" w:themeShade="80"/>
          <w:sz w:val="28"/>
          <w:szCs w:val="28"/>
          <w:lang w:eastAsia="it-IT"/>
        </w:rPr>
        <w:t xml:space="preserve">di </w:t>
      </w:r>
      <w:r w:rsidR="009B2574" w:rsidRPr="00B208E4">
        <w:rPr>
          <w:rFonts w:ascii="Calibri" w:eastAsia="Times New Roman" w:hAnsi="Calibri" w:cs="Segoe UI"/>
          <w:color w:val="1F4E79" w:themeColor="accent1" w:themeShade="80"/>
          <w:sz w:val="28"/>
          <w:szCs w:val="28"/>
          <w:lang w:eastAsia="it-IT"/>
        </w:rPr>
        <w:t xml:space="preserve">sostanziale </w:t>
      </w:r>
      <w:r w:rsidR="00DB355F">
        <w:rPr>
          <w:rFonts w:ascii="Calibri" w:eastAsia="Times New Roman" w:hAnsi="Calibri" w:cs="Segoe UI"/>
          <w:color w:val="1F4E79" w:themeColor="accent1" w:themeShade="80"/>
          <w:sz w:val="28"/>
          <w:szCs w:val="28"/>
          <w:lang w:eastAsia="it-IT"/>
        </w:rPr>
        <w:t>riproposizione degli indirizzi ruotanti</w:t>
      </w:r>
      <w:r w:rsidRPr="00B208E4">
        <w:rPr>
          <w:rFonts w:ascii="Calibri" w:eastAsia="Times New Roman" w:hAnsi="Calibri" w:cs="Segoe UI"/>
          <w:color w:val="1F4E79" w:themeColor="accent1" w:themeShade="80"/>
          <w:sz w:val="28"/>
          <w:szCs w:val="28"/>
          <w:lang w:eastAsia="it-IT"/>
        </w:rPr>
        <w:t xml:space="preserve"> intorno all’idea </w:t>
      </w:r>
      <w:r w:rsidR="001376B2" w:rsidRPr="00B208E4">
        <w:rPr>
          <w:rFonts w:ascii="Calibri" w:eastAsia="Times New Roman" w:hAnsi="Calibri" w:cs="Segoe UI"/>
          <w:color w:val="1F4E79" w:themeColor="accent1" w:themeShade="80"/>
          <w:sz w:val="28"/>
          <w:szCs w:val="28"/>
          <w:lang w:eastAsia="it-IT"/>
        </w:rPr>
        <w:t>della “</w:t>
      </w:r>
      <w:r w:rsidR="001376B2" w:rsidRPr="00C70D4C">
        <w:rPr>
          <w:rFonts w:ascii="Calibri" w:eastAsia="Times New Roman" w:hAnsi="Calibri" w:cs="Segoe UI"/>
          <w:i/>
          <w:color w:val="1F4E79" w:themeColor="accent1" w:themeShade="80"/>
          <w:sz w:val="28"/>
          <w:szCs w:val="28"/>
          <w:lang w:eastAsia="it-IT"/>
        </w:rPr>
        <w:t>giurisdizione dinamica</w:t>
      </w:r>
      <w:r w:rsidR="001376B2" w:rsidRPr="00B208E4">
        <w:rPr>
          <w:rFonts w:ascii="Calibri" w:eastAsia="Times New Roman" w:hAnsi="Calibri" w:cs="Segoe UI"/>
          <w:color w:val="1F4E79" w:themeColor="accent1" w:themeShade="80"/>
          <w:sz w:val="28"/>
          <w:szCs w:val="28"/>
          <w:lang w:eastAsia="it-IT"/>
        </w:rPr>
        <w:t>”, rafforzat</w:t>
      </w:r>
      <w:r w:rsidR="00DB355F">
        <w:rPr>
          <w:rFonts w:ascii="Calibri" w:eastAsia="Times New Roman" w:hAnsi="Calibri" w:cs="Segoe UI"/>
          <w:color w:val="1F4E79" w:themeColor="accent1" w:themeShade="80"/>
          <w:sz w:val="28"/>
          <w:szCs w:val="28"/>
          <w:lang w:eastAsia="it-IT"/>
        </w:rPr>
        <w:t>a, o perfezionata</w:t>
      </w:r>
      <w:r w:rsidR="000E0112" w:rsidRPr="00B208E4">
        <w:rPr>
          <w:rFonts w:ascii="Calibri" w:eastAsia="Times New Roman" w:hAnsi="Calibri" w:cs="Segoe UI"/>
          <w:color w:val="1F4E79" w:themeColor="accent1" w:themeShade="80"/>
          <w:sz w:val="28"/>
          <w:szCs w:val="28"/>
          <w:lang w:eastAsia="it-IT"/>
        </w:rPr>
        <w:t>,</w:t>
      </w:r>
      <w:r w:rsidR="00DB355F">
        <w:rPr>
          <w:rFonts w:ascii="Calibri" w:eastAsia="Times New Roman" w:hAnsi="Calibri" w:cs="Segoe UI"/>
          <w:color w:val="1F4E79" w:themeColor="accent1" w:themeShade="80"/>
          <w:sz w:val="28"/>
          <w:szCs w:val="28"/>
          <w:lang w:eastAsia="it-IT"/>
        </w:rPr>
        <w:t xml:space="preserve"> attraverso la necessaria </w:t>
      </w:r>
      <w:r w:rsidR="001376B2" w:rsidRPr="00B208E4">
        <w:rPr>
          <w:rFonts w:ascii="Calibri" w:eastAsia="Times New Roman" w:hAnsi="Calibri" w:cs="Segoe UI"/>
          <w:color w:val="1F4E79" w:themeColor="accent1" w:themeShade="80"/>
          <w:sz w:val="28"/>
          <w:szCs w:val="28"/>
          <w:lang w:eastAsia="it-IT"/>
        </w:rPr>
        <w:t xml:space="preserve">enunciazione di nuovi argomenti critici e l’affermazione perentoria del ruolo </w:t>
      </w:r>
      <w:r w:rsidR="001814D2">
        <w:rPr>
          <w:rFonts w:ascii="Calibri" w:eastAsia="Times New Roman" w:hAnsi="Calibri" w:cs="Segoe UI"/>
          <w:color w:val="1F4E79" w:themeColor="accent1" w:themeShade="80"/>
          <w:sz w:val="28"/>
          <w:szCs w:val="28"/>
          <w:lang w:eastAsia="it-IT"/>
        </w:rPr>
        <w:t>attribui</w:t>
      </w:r>
      <w:r w:rsidR="001376B2" w:rsidRPr="00B208E4">
        <w:rPr>
          <w:rFonts w:ascii="Calibri" w:eastAsia="Times New Roman" w:hAnsi="Calibri" w:cs="Segoe UI"/>
          <w:color w:val="1F4E79" w:themeColor="accent1" w:themeShade="80"/>
          <w:sz w:val="28"/>
          <w:szCs w:val="28"/>
          <w:lang w:eastAsia="it-IT"/>
        </w:rPr>
        <w:t xml:space="preserve">to </w:t>
      </w:r>
      <w:r w:rsidR="001814D2" w:rsidRPr="00B208E4">
        <w:rPr>
          <w:rFonts w:ascii="Calibri" w:eastAsia="Times New Roman" w:hAnsi="Calibri" w:cs="Segoe UI"/>
          <w:color w:val="1F4E79" w:themeColor="accent1" w:themeShade="80"/>
          <w:sz w:val="28"/>
          <w:szCs w:val="28"/>
          <w:lang w:eastAsia="it-IT"/>
        </w:rPr>
        <w:t xml:space="preserve">dalla stessa Costituzione </w:t>
      </w:r>
      <w:r w:rsidR="001376B2" w:rsidRPr="00B208E4">
        <w:rPr>
          <w:rFonts w:ascii="Calibri" w:eastAsia="Times New Roman" w:hAnsi="Calibri" w:cs="Segoe UI"/>
          <w:color w:val="1F4E79" w:themeColor="accent1" w:themeShade="80"/>
          <w:sz w:val="28"/>
          <w:szCs w:val="28"/>
          <w:lang w:eastAsia="it-IT"/>
        </w:rPr>
        <w:t>alla Cassazione</w:t>
      </w:r>
      <w:r w:rsidR="009B2574" w:rsidRPr="00B208E4">
        <w:rPr>
          <w:rFonts w:ascii="Calibri" w:eastAsia="Times New Roman" w:hAnsi="Calibri" w:cs="Segoe UI"/>
          <w:color w:val="1F4E79" w:themeColor="accent1" w:themeShade="80"/>
          <w:sz w:val="28"/>
          <w:szCs w:val="28"/>
          <w:lang w:eastAsia="it-IT"/>
        </w:rPr>
        <w:t xml:space="preserve">, quanto meno </w:t>
      </w:r>
      <w:r w:rsidR="001814D2">
        <w:rPr>
          <w:rFonts w:ascii="Calibri" w:eastAsia="Times New Roman" w:hAnsi="Calibri" w:cs="Segoe UI"/>
          <w:color w:val="1F4E79" w:themeColor="accent1" w:themeShade="80"/>
          <w:sz w:val="28"/>
          <w:szCs w:val="28"/>
          <w:lang w:eastAsia="it-IT"/>
        </w:rPr>
        <w:t>in concorrenza</w:t>
      </w:r>
      <w:r w:rsidR="009B2574" w:rsidRPr="00B208E4">
        <w:rPr>
          <w:rFonts w:ascii="Calibri" w:eastAsia="Times New Roman" w:hAnsi="Calibri" w:cs="Segoe UI"/>
          <w:color w:val="1F4E79" w:themeColor="accent1" w:themeShade="80"/>
          <w:sz w:val="28"/>
          <w:szCs w:val="28"/>
          <w:lang w:eastAsia="it-IT"/>
        </w:rPr>
        <w:t xml:space="preserve"> a quello del giudice delle leggi</w:t>
      </w:r>
      <w:r w:rsidR="00B47F33">
        <w:rPr>
          <w:rFonts w:ascii="Calibri" w:eastAsia="Times New Roman" w:hAnsi="Calibri" w:cs="Segoe UI"/>
          <w:color w:val="1F4E79" w:themeColor="accent1" w:themeShade="80"/>
          <w:sz w:val="28"/>
          <w:szCs w:val="28"/>
          <w:lang w:eastAsia="it-IT"/>
        </w:rPr>
        <w:t>,</w:t>
      </w:r>
      <w:r w:rsidR="001376B2" w:rsidRPr="00B208E4">
        <w:rPr>
          <w:rFonts w:ascii="Calibri" w:eastAsia="Times New Roman" w:hAnsi="Calibri" w:cs="Segoe UI"/>
          <w:color w:val="1F4E79" w:themeColor="accent1" w:themeShade="80"/>
          <w:sz w:val="28"/>
          <w:szCs w:val="28"/>
          <w:lang w:eastAsia="it-IT"/>
        </w:rPr>
        <w:t xml:space="preserve"> nella interpretazione del concetto di </w:t>
      </w:r>
      <w:r w:rsidR="001376B2" w:rsidRPr="00B208E4">
        <w:rPr>
          <w:rFonts w:ascii="Calibri" w:eastAsia="Times New Roman" w:hAnsi="Calibri" w:cs="Segoe UI"/>
          <w:i/>
          <w:color w:val="1F4E79" w:themeColor="accent1" w:themeShade="80"/>
          <w:sz w:val="28"/>
          <w:szCs w:val="28"/>
          <w:lang w:eastAsia="it-IT"/>
        </w:rPr>
        <w:t>giurisdizione</w:t>
      </w:r>
      <w:r w:rsidR="00D61007" w:rsidRPr="00B208E4">
        <w:rPr>
          <w:rFonts w:ascii="Calibri" w:eastAsia="Times New Roman" w:hAnsi="Calibri" w:cs="Segoe UI"/>
          <w:color w:val="1F4E79" w:themeColor="accent1" w:themeShade="80"/>
          <w:sz w:val="28"/>
          <w:szCs w:val="28"/>
          <w:lang w:eastAsia="it-IT"/>
        </w:rPr>
        <w:t xml:space="preserve"> ex art. 111</w:t>
      </w:r>
      <w:r w:rsidR="001376B2" w:rsidRPr="00B208E4">
        <w:rPr>
          <w:rFonts w:ascii="Calibri" w:eastAsia="Times New Roman" w:hAnsi="Calibri" w:cs="Segoe UI"/>
          <w:color w:val="1F4E79" w:themeColor="accent1" w:themeShade="80"/>
          <w:sz w:val="28"/>
          <w:szCs w:val="28"/>
          <w:lang w:eastAsia="it-IT"/>
        </w:rPr>
        <w:t>.</w:t>
      </w:r>
    </w:p>
    <w:p w:rsidR="009B2574" w:rsidRPr="00B208E4" w:rsidRDefault="00FE4A4F"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Una tale </w:t>
      </w:r>
      <w:r w:rsidR="00B47F33">
        <w:rPr>
          <w:rFonts w:ascii="Calibri" w:eastAsia="Times New Roman" w:hAnsi="Calibri" w:cs="Segoe UI"/>
          <w:color w:val="1F4E79" w:themeColor="accent1" w:themeShade="80"/>
          <w:sz w:val="28"/>
          <w:szCs w:val="28"/>
          <w:lang w:eastAsia="it-IT"/>
        </w:rPr>
        <w:t xml:space="preserve">immediata </w:t>
      </w:r>
      <w:r w:rsidRPr="00B208E4">
        <w:rPr>
          <w:rFonts w:ascii="Calibri" w:eastAsia="Times New Roman" w:hAnsi="Calibri" w:cs="Segoe UI"/>
          <w:color w:val="1F4E79" w:themeColor="accent1" w:themeShade="80"/>
          <w:sz w:val="28"/>
          <w:szCs w:val="28"/>
          <w:lang w:eastAsia="it-IT"/>
        </w:rPr>
        <w:t xml:space="preserve">“ribellione” della Cassazione, tuttavia, avrebbe </w:t>
      </w:r>
      <w:r w:rsidR="00DB355F">
        <w:rPr>
          <w:rFonts w:ascii="Calibri" w:eastAsia="Times New Roman" w:hAnsi="Calibri" w:cs="Segoe UI"/>
          <w:color w:val="1F4E79" w:themeColor="accent1" w:themeShade="80"/>
          <w:sz w:val="28"/>
          <w:szCs w:val="28"/>
          <w:lang w:eastAsia="it-IT"/>
        </w:rPr>
        <w:t>potuto comportare</w:t>
      </w:r>
      <w:r w:rsidRPr="00B208E4">
        <w:rPr>
          <w:rFonts w:ascii="Calibri" w:eastAsia="Times New Roman" w:hAnsi="Calibri" w:cs="Segoe UI"/>
          <w:color w:val="1F4E79" w:themeColor="accent1" w:themeShade="80"/>
          <w:sz w:val="28"/>
          <w:szCs w:val="28"/>
          <w:lang w:eastAsia="it-IT"/>
        </w:rPr>
        <w:t xml:space="preserve"> una </w:t>
      </w:r>
      <w:r w:rsidR="00D61007" w:rsidRPr="00B208E4">
        <w:rPr>
          <w:rFonts w:ascii="Calibri" w:eastAsia="Times New Roman" w:hAnsi="Calibri" w:cs="Segoe UI"/>
          <w:color w:val="1F4E79" w:themeColor="accent1" w:themeShade="80"/>
          <w:sz w:val="28"/>
          <w:szCs w:val="28"/>
          <w:lang w:eastAsia="it-IT"/>
        </w:rPr>
        <w:t xml:space="preserve">deleteria </w:t>
      </w:r>
      <w:r w:rsidRPr="00B208E4">
        <w:rPr>
          <w:rFonts w:ascii="Calibri" w:eastAsia="Times New Roman" w:hAnsi="Calibri" w:cs="Segoe UI"/>
          <w:color w:val="1F4E79" w:themeColor="accent1" w:themeShade="80"/>
          <w:sz w:val="28"/>
          <w:szCs w:val="28"/>
          <w:lang w:eastAsia="it-IT"/>
        </w:rPr>
        <w:t>crisi</w:t>
      </w:r>
      <w:r w:rsidR="00D61007" w:rsidRPr="00B208E4">
        <w:rPr>
          <w:rFonts w:ascii="Calibri" w:eastAsia="Times New Roman" w:hAnsi="Calibri" w:cs="Segoe UI"/>
          <w:color w:val="1F4E79" w:themeColor="accent1" w:themeShade="80"/>
          <w:sz w:val="28"/>
          <w:szCs w:val="28"/>
          <w:lang w:eastAsia="it-IT"/>
        </w:rPr>
        <w:t xml:space="preserve"> istituzionale</w:t>
      </w:r>
      <w:r w:rsidRPr="00B208E4">
        <w:rPr>
          <w:rFonts w:ascii="Calibri" w:eastAsia="Times New Roman" w:hAnsi="Calibri" w:cs="Segoe UI"/>
          <w:color w:val="1F4E79" w:themeColor="accent1" w:themeShade="80"/>
          <w:sz w:val="28"/>
          <w:szCs w:val="28"/>
          <w:lang w:eastAsia="it-IT"/>
        </w:rPr>
        <w:t xml:space="preserve"> nel rapporto con la Corte costituzionale, esponendosi anche all’ulteriore pericolo di </w:t>
      </w:r>
      <w:r w:rsidR="00D61007" w:rsidRPr="00B208E4">
        <w:rPr>
          <w:rFonts w:ascii="Calibri" w:eastAsia="Times New Roman" w:hAnsi="Calibri" w:cs="Segoe UI"/>
          <w:color w:val="1F4E79" w:themeColor="accent1" w:themeShade="80"/>
          <w:sz w:val="28"/>
          <w:szCs w:val="28"/>
          <w:lang w:eastAsia="it-IT"/>
        </w:rPr>
        <w:t xml:space="preserve">suscitare </w:t>
      </w:r>
      <w:r w:rsidRPr="00B208E4">
        <w:rPr>
          <w:rFonts w:ascii="Calibri" w:eastAsia="Times New Roman" w:hAnsi="Calibri" w:cs="Segoe UI"/>
          <w:color w:val="1F4E79" w:themeColor="accent1" w:themeShade="80"/>
          <w:sz w:val="28"/>
          <w:szCs w:val="28"/>
          <w:lang w:eastAsia="it-IT"/>
        </w:rPr>
        <w:t xml:space="preserve">un </w:t>
      </w:r>
      <w:r w:rsidR="00D61007" w:rsidRPr="00B208E4">
        <w:rPr>
          <w:rFonts w:ascii="Calibri" w:eastAsia="Times New Roman" w:hAnsi="Calibri" w:cs="Segoe UI"/>
          <w:color w:val="1F4E79" w:themeColor="accent1" w:themeShade="80"/>
          <w:sz w:val="28"/>
          <w:szCs w:val="28"/>
          <w:lang w:eastAsia="it-IT"/>
        </w:rPr>
        <w:t xml:space="preserve">possibile </w:t>
      </w:r>
      <w:r w:rsidRPr="00B208E4">
        <w:rPr>
          <w:rFonts w:ascii="Calibri" w:eastAsia="Times New Roman" w:hAnsi="Calibri" w:cs="Segoe UI"/>
          <w:color w:val="1F4E79" w:themeColor="accent1" w:themeShade="80"/>
          <w:sz w:val="28"/>
          <w:szCs w:val="28"/>
          <w:lang w:eastAsia="it-IT"/>
        </w:rPr>
        <w:t>conflitto di attribuzioni azionato dal Consiglio di Stato</w:t>
      </w:r>
      <w:r w:rsidR="00DF0DB6" w:rsidRPr="00B208E4">
        <w:rPr>
          <w:rFonts w:ascii="Calibri" w:eastAsia="Times New Roman" w:hAnsi="Calibri" w:cs="Segoe UI"/>
          <w:color w:val="1F4E79" w:themeColor="accent1" w:themeShade="80"/>
          <w:sz w:val="28"/>
          <w:szCs w:val="28"/>
          <w:lang w:eastAsia="it-IT"/>
        </w:rPr>
        <w:t>, a tutela delle prerogative asse</w:t>
      </w:r>
      <w:r w:rsidR="00C70D4C">
        <w:rPr>
          <w:rFonts w:ascii="Calibri" w:eastAsia="Times New Roman" w:hAnsi="Calibri" w:cs="Segoe UI"/>
          <w:color w:val="1F4E79" w:themeColor="accent1" w:themeShade="80"/>
          <w:sz w:val="28"/>
          <w:szCs w:val="28"/>
          <w:lang w:eastAsia="it-IT"/>
        </w:rPr>
        <w:t>gnate</w:t>
      </w:r>
      <w:r w:rsidR="00DF0DB6" w:rsidRPr="00B208E4">
        <w:rPr>
          <w:rFonts w:ascii="Calibri" w:eastAsia="Times New Roman" w:hAnsi="Calibri" w:cs="Segoe UI"/>
          <w:color w:val="1F4E79" w:themeColor="accent1" w:themeShade="80"/>
          <w:sz w:val="28"/>
          <w:szCs w:val="28"/>
          <w:lang w:eastAsia="it-IT"/>
        </w:rPr>
        <w:t>gli dalla Costituzione</w:t>
      </w:r>
      <w:r w:rsidR="00EE1020">
        <w:rPr>
          <w:rFonts w:ascii="Calibri" w:eastAsia="Times New Roman" w:hAnsi="Calibri" w:cs="Segoe UI"/>
          <w:color w:val="1F4E79" w:themeColor="accent1" w:themeShade="80"/>
          <w:sz w:val="28"/>
          <w:szCs w:val="28"/>
          <w:lang w:eastAsia="it-IT"/>
        </w:rPr>
        <w:t>.</w:t>
      </w:r>
      <w:r w:rsidR="00AD073D" w:rsidRPr="00B208E4">
        <w:rPr>
          <w:rStyle w:val="Rimandonotaapidipagina"/>
          <w:rFonts w:ascii="Calibri" w:eastAsia="Times New Roman" w:hAnsi="Calibri" w:cs="Segoe UI"/>
          <w:color w:val="1F4E79" w:themeColor="accent1" w:themeShade="80"/>
          <w:sz w:val="28"/>
          <w:szCs w:val="28"/>
          <w:lang w:eastAsia="it-IT"/>
        </w:rPr>
        <w:footnoteReference w:id="23"/>
      </w:r>
    </w:p>
    <w:p w:rsidR="001376B2" w:rsidRPr="00B208E4" w:rsidRDefault="001376B2"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La seconda strada, decisamente più trasparente e lineare</w:t>
      </w:r>
      <w:r w:rsidR="00CF5053" w:rsidRPr="00B208E4">
        <w:rPr>
          <w:rFonts w:ascii="Calibri" w:eastAsia="Times New Roman" w:hAnsi="Calibri" w:cs="Segoe UI"/>
          <w:color w:val="1F4E79" w:themeColor="accent1" w:themeShade="80"/>
          <w:sz w:val="28"/>
          <w:szCs w:val="28"/>
          <w:lang w:eastAsia="it-IT"/>
        </w:rPr>
        <w:t xml:space="preserve">, </w:t>
      </w:r>
      <w:r w:rsidR="00C259DB" w:rsidRPr="00B208E4">
        <w:rPr>
          <w:rFonts w:ascii="Calibri" w:eastAsia="Times New Roman" w:hAnsi="Calibri" w:cs="Segoe UI"/>
          <w:color w:val="1F4E79" w:themeColor="accent1" w:themeShade="80"/>
          <w:sz w:val="28"/>
          <w:szCs w:val="28"/>
          <w:lang w:eastAsia="it-IT"/>
        </w:rPr>
        <w:t xml:space="preserve">benché </w:t>
      </w:r>
      <w:r w:rsidR="00DF0DB6" w:rsidRPr="00B208E4">
        <w:rPr>
          <w:rFonts w:ascii="Calibri" w:eastAsia="Times New Roman" w:hAnsi="Calibri" w:cs="Segoe UI"/>
          <w:color w:val="1F4E79" w:themeColor="accent1" w:themeShade="80"/>
          <w:sz w:val="28"/>
          <w:szCs w:val="28"/>
          <w:lang w:eastAsia="it-IT"/>
        </w:rPr>
        <w:t xml:space="preserve">non priva </w:t>
      </w:r>
      <w:r w:rsidR="00C259DB" w:rsidRPr="00B208E4">
        <w:rPr>
          <w:rFonts w:ascii="Calibri" w:eastAsia="Times New Roman" w:hAnsi="Calibri" w:cs="Segoe UI"/>
          <w:color w:val="1F4E79" w:themeColor="accent1" w:themeShade="80"/>
          <w:sz w:val="28"/>
          <w:szCs w:val="28"/>
          <w:lang w:eastAsia="it-IT"/>
        </w:rPr>
        <w:t xml:space="preserve">anch’essa di incognite, </w:t>
      </w:r>
      <w:r w:rsidR="00CF5053" w:rsidRPr="00B208E4">
        <w:rPr>
          <w:rFonts w:ascii="Calibri" w:eastAsia="Times New Roman" w:hAnsi="Calibri" w:cs="Segoe UI"/>
          <w:color w:val="1F4E79" w:themeColor="accent1" w:themeShade="80"/>
          <w:sz w:val="28"/>
          <w:szCs w:val="28"/>
          <w:lang w:eastAsia="it-IT"/>
        </w:rPr>
        <w:t>sarebbe stata quella di interrogare proprio la Corte costituzionale, provocando una nuova decisione sul tema</w:t>
      </w:r>
      <w:r w:rsidR="000E0112" w:rsidRPr="00B208E4">
        <w:rPr>
          <w:rFonts w:ascii="Calibri" w:eastAsia="Times New Roman" w:hAnsi="Calibri" w:cs="Segoe UI"/>
          <w:color w:val="1F4E79" w:themeColor="accent1" w:themeShade="80"/>
          <w:sz w:val="28"/>
          <w:szCs w:val="28"/>
          <w:lang w:eastAsia="it-IT"/>
        </w:rPr>
        <w:t xml:space="preserve">, basata su una confutazione </w:t>
      </w:r>
      <w:r w:rsidR="00C259DB" w:rsidRPr="00B208E4">
        <w:rPr>
          <w:rFonts w:ascii="Calibri" w:eastAsia="Times New Roman" w:hAnsi="Calibri" w:cs="Segoe UI"/>
          <w:color w:val="1F4E79" w:themeColor="accent1" w:themeShade="80"/>
          <w:sz w:val="28"/>
          <w:szCs w:val="28"/>
          <w:lang w:eastAsia="it-IT"/>
        </w:rPr>
        <w:t xml:space="preserve">puntuale </w:t>
      </w:r>
      <w:r w:rsidR="00B47F33">
        <w:rPr>
          <w:rFonts w:ascii="Calibri" w:eastAsia="Times New Roman" w:hAnsi="Calibri" w:cs="Segoe UI"/>
          <w:color w:val="1F4E79" w:themeColor="accent1" w:themeShade="80"/>
          <w:sz w:val="28"/>
          <w:szCs w:val="28"/>
          <w:lang w:eastAsia="it-IT"/>
        </w:rPr>
        <w:t xml:space="preserve">e circostanziata </w:t>
      </w:r>
      <w:r w:rsidR="000E0112" w:rsidRPr="00B208E4">
        <w:rPr>
          <w:rFonts w:ascii="Calibri" w:eastAsia="Times New Roman" w:hAnsi="Calibri" w:cs="Segoe UI"/>
          <w:color w:val="1F4E79" w:themeColor="accent1" w:themeShade="80"/>
          <w:sz w:val="28"/>
          <w:szCs w:val="28"/>
          <w:lang w:eastAsia="it-IT"/>
        </w:rPr>
        <w:t>degli argomenti espressi nella decisione</w:t>
      </w:r>
      <w:r w:rsidR="00C259DB" w:rsidRPr="00B208E4">
        <w:rPr>
          <w:rFonts w:ascii="Calibri" w:eastAsia="Times New Roman" w:hAnsi="Calibri" w:cs="Segoe UI"/>
          <w:color w:val="1F4E79" w:themeColor="accent1" w:themeShade="80"/>
          <w:sz w:val="28"/>
          <w:szCs w:val="28"/>
          <w:lang w:eastAsia="it-IT"/>
        </w:rPr>
        <w:t xml:space="preserve"> e sull’illustrazione di </w:t>
      </w:r>
      <w:r w:rsidR="00556435" w:rsidRPr="00B208E4">
        <w:rPr>
          <w:rFonts w:ascii="Calibri" w:eastAsia="Times New Roman" w:hAnsi="Calibri" w:cs="Segoe UI"/>
          <w:color w:val="1F4E79" w:themeColor="accent1" w:themeShade="80"/>
          <w:sz w:val="28"/>
          <w:szCs w:val="28"/>
          <w:lang w:eastAsia="it-IT"/>
        </w:rPr>
        <w:t xml:space="preserve">eventuali </w:t>
      </w:r>
      <w:r w:rsidR="00C259DB" w:rsidRPr="00B208E4">
        <w:rPr>
          <w:rFonts w:ascii="Calibri" w:eastAsia="Times New Roman" w:hAnsi="Calibri" w:cs="Segoe UI"/>
          <w:color w:val="1F4E79" w:themeColor="accent1" w:themeShade="80"/>
          <w:sz w:val="28"/>
          <w:szCs w:val="28"/>
          <w:lang w:eastAsia="it-IT"/>
        </w:rPr>
        <w:t>ragioni nuove</w:t>
      </w:r>
      <w:r w:rsidR="00CF5053" w:rsidRPr="00B208E4">
        <w:rPr>
          <w:rFonts w:ascii="Calibri" w:eastAsia="Times New Roman" w:hAnsi="Calibri" w:cs="Segoe UI"/>
          <w:color w:val="1F4E79" w:themeColor="accent1" w:themeShade="80"/>
          <w:sz w:val="28"/>
          <w:szCs w:val="28"/>
          <w:lang w:eastAsia="it-IT"/>
        </w:rPr>
        <w:t>.</w:t>
      </w:r>
      <w:r w:rsidR="000E0112" w:rsidRPr="00B208E4">
        <w:rPr>
          <w:rFonts w:ascii="Calibri" w:eastAsia="Times New Roman" w:hAnsi="Calibri" w:cs="Segoe UI"/>
          <w:color w:val="1F4E79" w:themeColor="accent1" w:themeShade="80"/>
          <w:sz w:val="28"/>
          <w:szCs w:val="28"/>
          <w:lang w:eastAsia="it-IT"/>
        </w:rPr>
        <w:t xml:space="preserve"> </w:t>
      </w:r>
      <w:r w:rsidR="00B47F33">
        <w:rPr>
          <w:rFonts w:ascii="Calibri" w:eastAsia="Times New Roman" w:hAnsi="Calibri" w:cs="Segoe UI"/>
          <w:color w:val="1F4E79" w:themeColor="accent1" w:themeShade="80"/>
          <w:sz w:val="28"/>
          <w:szCs w:val="28"/>
          <w:lang w:eastAsia="it-IT"/>
        </w:rPr>
        <w:t>E tra queste</w:t>
      </w:r>
      <w:r w:rsidR="00D317B1">
        <w:rPr>
          <w:rFonts w:ascii="Calibri" w:eastAsia="Times New Roman" w:hAnsi="Calibri" w:cs="Segoe UI"/>
          <w:color w:val="1F4E79" w:themeColor="accent1" w:themeShade="80"/>
          <w:sz w:val="28"/>
          <w:szCs w:val="28"/>
          <w:lang w:eastAsia="it-IT"/>
        </w:rPr>
        <w:t xml:space="preserve"> si potrebber</w:t>
      </w:r>
      <w:r w:rsidR="00AD073D" w:rsidRPr="00B208E4">
        <w:rPr>
          <w:rFonts w:ascii="Calibri" w:eastAsia="Times New Roman" w:hAnsi="Calibri" w:cs="Segoe UI"/>
          <w:color w:val="1F4E79" w:themeColor="accent1" w:themeShade="80"/>
          <w:sz w:val="28"/>
          <w:szCs w:val="28"/>
          <w:lang w:eastAsia="it-IT"/>
        </w:rPr>
        <w:t>o cer</w:t>
      </w:r>
      <w:r w:rsidR="00B47F33">
        <w:rPr>
          <w:rFonts w:ascii="Calibri" w:eastAsia="Times New Roman" w:hAnsi="Calibri" w:cs="Segoe UI"/>
          <w:color w:val="1F4E79" w:themeColor="accent1" w:themeShade="80"/>
          <w:sz w:val="28"/>
          <w:szCs w:val="28"/>
          <w:lang w:eastAsia="it-IT"/>
        </w:rPr>
        <w:t>tamente annoverare anche quelle</w:t>
      </w:r>
      <w:r w:rsidR="00AD073D" w:rsidRPr="00B208E4">
        <w:rPr>
          <w:rFonts w:ascii="Calibri" w:eastAsia="Times New Roman" w:hAnsi="Calibri" w:cs="Segoe UI"/>
          <w:color w:val="1F4E79" w:themeColor="accent1" w:themeShade="80"/>
          <w:sz w:val="28"/>
          <w:szCs w:val="28"/>
          <w:lang w:eastAsia="it-IT"/>
        </w:rPr>
        <w:t xml:space="preserve"> derivanti dal</w:t>
      </w:r>
      <w:r w:rsidR="00B47F33">
        <w:rPr>
          <w:rFonts w:ascii="Calibri" w:eastAsia="Times New Roman" w:hAnsi="Calibri" w:cs="Segoe UI"/>
          <w:color w:val="1F4E79" w:themeColor="accent1" w:themeShade="80"/>
          <w:sz w:val="28"/>
          <w:szCs w:val="28"/>
          <w:lang w:eastAsia="it-IT"/>
        </w:rPr>
        <w:t>l’approfondimento del</w:t>
      </w:r>
      <w:r w:rsidR="004F330F">
        <w:rPr>
          <w:rFonts w:ascii="Calibri" w:eastAsia="Times New Roman" w:hAnsi="Calibri" w:cs="Segoe UI"/>
          <w:color w:val="1F4E79" w:themeColor="accent1" w:themeShade="80"/>
          <w:sz w:val="28"/>
          <w:szCs w:val="28"/>
          <w:lang w:eastAsia="it-IT"/>
        </w:rPr>
        <w:t xml:space="preserve"> quadro euro</w:t>
      </w:r>
      <w:r w:rsidR="00AD073D" w:rsidRPr="00B208E4">
        <w:rPr>
          <w:rFonts w:ascii="Calibri" w:eastAsia="Times New Roman" w:hAnsi="Calibri" w:cs="Segoe UI"/>
          <w:color w:val="1F4E79" w:themeColor="accent1" w:themeShade="80"/>
          <w:sz w:val="28"/>
          <w:szCs w:val="28"/>
          <w:lang w:eastAsia="it-IT"/>
        </w:rPr>
        <w:t>unitario, illustrati dall’ordinanza</w:t>
      </w:r>
      <w:r w:rsidR="00D317B1">
        <w:rPr>
          <w:rFonts w:ascii="Calibri" w:eastAsia="Times New Roman" w:hAnsi="Calibri" w:cs="Segoe UI"/>
          <w:color w:val="1F4E79" w:themeColor="accent1" w:themeShade="80"/>
          <w:sz w:val="28"/>
          <w:szCs w:val="28"/>
          <w:lang w:eastAsia="it-IT"/>
        </w:rPr>
        <w:t>, salva la verifica della loro effettiva pertinenza e persuasività</w:t>
      </w:r>
      <w:r w:rsidR="00AD073D" w:rsidRPr="00B208E4">
        <w:rPr>
          <w:rFonts w:ascii="Calibri" w:eastAsia="Times New Roman" w:hAnsi="Calibri" w:cs="Segoe UI"/>
          <w:color w:val="1F4E79" w:themeColor="accent1" w:themeShade="80"/>
          <w:sz w:val="28"/>
          <w:szCs w:val="28"/>
          <w:lang w:eastAsia="it-IT"/>
        </w:rPr>
        <w:t>.</w:t>
      </w:r>
    </w:p>
    <w:p w:rsidR="007F1666" w:rsidRPr="00B208E4" w:rsidRDefault="007F1666"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Una tale opzione, del resto, avrebbe consentito di comprendere se le Sezioni Unite intendano conformarsi</w:t>
      </w:r>
      <w:r w:rsidR="0091795F" w:rsidRPr="00B208E4">
        <w:rPr>
          <w:rFonts w:ascii="Calibri" w:eastAsia="Times New Roman" w:hAnsi="Calibri" w:cs="Segoe UI"/>
          <w:color w:val="1F4E79" w:themeColor="accent1" w:themeShade="80"/>
          <w:sz w:val="28"/>
          <w:szCs w:val="28"/>
          <w:lang w:eastAsia="it-IT"/>
        </w:rPr>
        <w:t>, o meno,</w:t>
      </w:r>
      <w:r w:rsidRPr="00B208E4">
        <w:rPr>
          <w:rFonts w:ascii="Calibri" w:eastAsia="Times New Roman" w:hAnsi="Calibri" w:cs="Segoe UI"/>
          <w:color w:val="1F4E79" w:themeColor="accent1" w:themeShade="80"/>
          <w:sz w:val="28"/>
          <w:szCs w:val="28"/>
          <w:lang w:eastAsia="it-IT"/>
        </w:rPr>
        <w:t xml:space="preserve"> </w:t>
      </w:r>
      <w:r w:rsidR="0091795F" w:rsidRPr="00B208E4">
        <w:rPr>
          <w:rFonts w:ascii="Calibri" w:eastAsia="Times New Roman" w:hAnsi="Calibri" w:cs="Segoe UI"/>
          <w:color w:val="1F4E79" w:themeColor="accent1" w:themeShade="80"/>
          <w:sz w:val="28"/>
          <w:szCs w:val="28"/>
          <w:lang w:eastAsia="it-IT"/>
        </w:rPr>
        <w:t xml:space="preserve">al </w:t>
      </w:r>
      <w:r w:rsidR="0091795F" w:rsidRPr="00B208E4">
        <w:rPr>
          <w:rFonts w:ascii="Calibri" w:eastAsia="Times New Roman" w:hAnsi="Calibri" w:cs="Segoe UI"/>
          <w:i/>
          <w:color w:val="1F4E79" w:themeColor="accent1" w:themeShade="80"/>
          <w:sz w:val="28"/>
          <w:szCs w:val="28"/>
          <w:lang w:eastAsia="it-IT"/>
        </w:rPr>
        <w:t>dictum</w:t>
      </w:r>
      <w:r w:rsidR="0091795F" w:rsidRPr="00B208E4">
        <w:rPr>
          <w:rFonts w:ascii="Calibri" w:eastAsia="Times New Roman" w:hAnsi="Calibri" w:cs="Segoe UI"/>
          <w:color w:val="1F4E79" w:themeColor="accent1" w:themeShade="80"/>
          <w:sz w:val="28"/>
          <w:szCs w:val="28"/>
          <w:lang w:eastAsia="it-IT"/>
        </w:rPr>
        <w:t xml:space="preserve"> della Corte costituzionale nella sua dimensione generale</w:t>
      </w:r>
      <w:r w:rsidR="00D317B1">
        <w:rPr>
          <w:rFonts w:ascii="Calibri" w:eastAsia="Times New Roman" w:hAnsi="Calibri" w:cs="Segoe UI"/>
          <w:color w:val="1F4E79" w:themeColor="accent1" w:themeShade="80"/>
          <w:sz w:val="28"/>
          <w:szCs w:val="28"/>
          <w:lang w:eastAsia="it-IT"/>
        </w:rPr>
        <w:t>, riferita al diritto</w:t>
      </w:r>
      <w:r w:rsidR="004F330F">
        <w:rPr>
          <w:rFonts w:ascii="Calibri" w:eastAsia="Times New Roman" w:hAnsi="Calibri" w:cs="Segoe UI"/>
          <w:color w:val="1F4E79" w:themeColor="accent1" w:themeShade="80"/>
          <w:sz w:val="28"/>
          <w:szCs w:val="28"/>
          <w:lang w:eastAsia="it-IT"/>
        </w:rPr>
        <w:t xml:space="preserve"> interno</w:t>
      </w:r>
      <w:r w:rsidR="00D317B1">
        <w:rPr>
          <w:rFonts w:ascii="Calibri" w:eastAsia="Times New Roman" w:hAnsi="Calibri" w:cs="Segoe UI"/>
          <w:color w:val="1F4E79" w:themeColor="accent1" w:themeShade="80"/>
          <w:sz w:val="28"/>
          <w:szCs w:val="28"/>
          <w:lang w:eastAsia="it-IT"/>
        </w:rPr>
        <w:t>,</w:t>
      </w:r>
      <w:r w:rsidR="0091795F" w:rsidRPr="00B208E4">
        <w:rPr>
          <w:rFonts w:ascii="Calibri" w:eastAsia="Times New Roman" w:hAnsi="Calibri" w:cs="Segoe UI"/>
          <w:color w:val="1F4E79" w:themeColor="accent1" w:themeShade="80"/>
          <w:sz w:val="28"/>
          <w:szCs w:val="28"/>
          <w:lang w:eastAsia="it-IT"/>
        </w:rPr>
        <w:t xml:space="preserve"> e</w:t>
      </w:r>
      <w:r w:rsidR="004F330F">
        <w:rPr>
          <w:rFonts w:ascii="Calibri" w:eastAsia="Times New Roman" w:hAnsi="Calibri" w:cs="Segoe UI"/>
          <w:color w:val="1F4E79" w:themeColor="accent1" w:themeShade="80"/>
          <w:sz w:val="28"/>
          <w:szCs w:val="28"/>
          <w:lang w:eastAsia="it-IT"/>
        </w:rPr>
        <w:t xml:space="preserve"> se</w:t>
      </w:r>
      <w:r w:rsidR="0091795F" w:rsidRPr="00B208E4">
        <w:rPr>
          <w:rFonts w:ascii="Calibri" w:eastAsia="Times New Roman" w:hAnsi="Calibri" w:cs="Segoe UI"/>
          <w:color w:val="1F4E79" w:themeColor="accent1" w:themeShade="80"/>
          <w:sz w:val="28"/>
          <w:szCs w:val="28"/>
          <w:lang w:eastAsia="it-IT"/>
        </w:rPr>
        <w:t xml:space="preserve"> il loro dissenso riguardi, o no, il solo </w:t>
      </w:r>
      <w:r w:rsidR="00B47F33">
        <w:rPr>
          <w:rFonts w:ascii="Calibri" w:eastAsia="Times New Roman" w:hAnsi="Calibri" w:cs="Segoe UI"/>
          <w:color w:val="1F4E79" w:themeColor="accent1" w:themeShade="80"/>
          <w:sz w:val="28"/>
          <w:szCs w:val="28"/>
          <w:lang w:eastAsia="it-IT"/>
        </w:rPr>
        <w:t>t</w:t>
      </w:r>
      <w:r w:rsidR="0091795F" w:rsidRPr="00B208E4">
        <w:rPr>
          <w:rFonts w:ascii="Calibri" w:eastAsia="Times New Roman" w:hAnsi="Calibri" w:cs="Segoe UI"/>
          <w:color w:val="1F4E79" w:themeColor="accent1" w:themeShade="80"/>
          <w:sz w:val="28"/>
          <w:szCs w:val="28"/>
          <w:lang w:eastAsia="it-IT"/>
        </w:rPr>
        <w:t>ema della violazione del diritto UE.</w:t>
      </w:r>
    </w:p>
    <w:p w:rsidR="00AD073D" w:rsidRPr="00B208E4" w:rsidRDefault="00AD073D"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Questa </w:t>
      </w:r>
      <w:r w:rsidR="00B47F33">
        <w:rPr>
          <w:rFonts w:ascii="Calibri" w:eastAsia="Times New Roman" w:hAnsi="Calibri" w:cs="Segoe UI"/>
          <w:color w:val="1F4E79" w:themeColor="accent1" w:themeShade="80"/>
          <w:sz w:val="28"/>
          <w:szCs w:val="28"/>
          <w:lang w:eastAsia="it-IT"/>
        </w:rPr>
        <w:t xml:space="preserve">via </w:t>
      </w:r>
      <w:r w:rsidRPr="00B208E4">
        <w:rPr>
          <w:rFonts w:ascii="Calibri" w:eastAsia="Times New Roman" w:hAnsi="Calibri" w:cs="Segoe UI"/>
          <w:color w:val="1F4E79" w:themeColor="accent1" w:themeShade="80"/>
          <w:sz w:val="28"/>
          <w:szCs w:val="28"/>
          <w:lang w:eastAsia="it-IT"/>
        </w:rPr>
        <w:t>procedimentale sembrerebbe coerente con l’atteggiamento più recente della Corte costituzionale, favorevole all’esercizio di un “</w:t>
      </w:r>
      <w:r w:rsidRPr="00D317B1">
        <w:rPr>
          <w:rFonts w:ascii="Calibri" w:eastAsia="Times New Roman" w:hAnsi="Calibri" w:cs="Segoe UI"/>
          <w:i/>
          <w:color w:val="1F4E79" w:themeColor="accent1" w:themeShade="80"/>
          <w:sz w:val="28"/>
          <w:szCs w:val="28"/>
          <w:lang w:eastAsia="it-IT"/>
        </w:rPr>
        <w:t>doppio sindacato</w:t>
      </w:r>
      <w:r w:rsidRPr="00B208E4">
        <w:rPr>
          <w:rFonts w:ascii="Calibri" w:eastAsia="Times New Roman" w:hAnsi="Calibri" w:cs="Segoe UI"/>
          <w:color w:val="1F4E79" w:themeColor="accent1" w:themeShade="80"/>
          <w:sz w:val="28"/>
          <w:szCs w:val="28"/>
          <w:lang w:eastAsia="it-IT"/>
        </w:rPr>
        <w:t>” sulle norme nazionali sospettate di illegittimità comunitaria</w:t>
      </w:r>
      <w:r w:rsidR="00D317B1">
        <w:rPr>
          <w:rFonts w:ascii="Calibri" w:eastAsia="Times New Roman" w:hAnsi="Calibri" w:cs="Segoe UI"/>
          <w:color w:val="1F4E79" w:themeColor="accent1" w:themeShade="80"/>
          <w:sz w:val="28"/>
          <w:szCs w:val="28"/>
          <w:lang w:eastAsia="it-IT"/>
        </w:rPr>
        <w:t xml:space="preserve"> (e quindi, incostituzionali in base all’art. 117 della Cost.)</w:t>
      </w:r>
      <w:r w:rsidRPr="00B208E4">
        <w:rPr>
          <w:rFonts w:ascii="Calibri" w:eastAsia="Times New Roman" w:hAnsi="Calibri" w:cs="Segoe UI"/>
          <w:color w:val="1F4E79" w:themeColor="accent1" w:themeShade="80"/>
          <w:sz w:val="28"/>
          <w:szCs w:val="28"/>
          <w:lang w:eastAsia="it-IT"/>
        </w:rPr>
        <w:t xml:space="preserve">, e ormai </w:t>
      </w:r>
      <w:r w:rsidR="00980F45" w:rsidRPr="00B208E4">
        <w:rPr>
          <w:rFonts w:ascii="Calibri" w:eastAsia="Times New Roman" w:hAnsi="Calibri" w:cs="Segoe UI"/>
          <w:color w:val="1F4E79" w:themeColor="accent1" w:themeShade="80"/>
          <w:sz w:val="28"/>
          <w:szCs w:val="28"/>
          <w:lang w:eastAsia="it-IT"/>
        </w:rPr>
        <w:t>propensa ad utilizzare essa stessa lo strumento del rinvio pregiudiziale alla Corte di Giustizia</w:t>
      </w:r>
      <w:r w:rsidR="00B47F33">
        <w:rPr>
          <w:rFonts w:ascii="Calibri" w:eastAsia="Times New Roman" w:hAnsi="Calibri" w:cs="Segoe UI"/>
          <w:color w:val="1F4E79" w:themeColor="accent1" w:themeShade="80"/>
          <w:sz w:val="28"/>
          <w:szCs w:val="28"/>
          <w:lang w:eastAsia="it-IT"/>
        </w:rPr>
        <w:t>, qualora entri in gioco un problema interpretativo della disciplina UE</w:t>
      </w:r>
      <w:r w:rsidR="00980F45" w:rsidRPr="00B208E4">
        <w:rPr>
          <w:rFonts w:ascii="Calibri" w:eastAsia="Times New Roman" w:hAnsi="Calibri" w:cs="Segoe UI"/>
          <w:color w:val="1F4E79" w:themeColor="accent1" w:themeShade="80"/>
          <w:sz w:val="28"/>
          <w:szCs w:val="28"/>
          <w:lang w:eastAsia="it-IT"/>
        </w:rPr>
        <w:t>.</w:t>
      </w:r>
    </w:p>
    <w:p w:rsidR="00CF5053" w:rsidRPr="00B208E4" w:rsidRDefault="00916E1C"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Anche questa via, peraltro, si espone a notevoli insidie, perché molte ragioni, anche non strettamente giuridiche, </w:t>
      </w:r>
      <w:r w:rsidR="000E0112" w:rsidRPr="00B208E4">
        <w:rPr>
          <w:rFonts w:ascii="Calibri" w:eastAsia="Times New Roman" w:hAnsi="Calibri" w:cs="Segoe UI"/>
          <w:color w:val="1F4E79" w:themeColor="accent1" w:themeShade="80"/>
          <w:sz w:val="28"/>
          <w:szCs w:val="28"/>
          <w:lang w:eastAsia="it-IT"/>
        </w:rPr>
        <w:t>indurre</w:t>
      </w:r>
      <w:r w:rsidR="004F330F">
        <w:rPr>
          <w:rFonts w:ascii="Calibri" w:eastAsia="Times New Roman" w:hAnsi="Calibri" w:cs="Segoe UI"/>
          <w:color w:val="1F4E79" w:themeColor="accent1" w:themeShade="80"/>
          <w:sz w:val="28"/>
          <w:szCs w:val="28"/>
          <w:lang w:eastAsia="it-IT"/>
        </w:rPr>
        <w:t>bbero</w:t>
      </w:r>
      <w:r w:rsidRPr="00B208E4">
        <w:rPr>
          <w:rFonts w:ascii="Calibri" w:eastAsia="Times New Roman" w:hAnsi="Calibri" w:cs="Segoe UI"/>
          <w:color w:val="1F4E79" w:themeColor="accent1" w:themeShade="80"/>
          <w:sz w:val="28"/>
          <w:szCs w:val="28"/>
          <w:lang w:eastAsia="it-IT"/>
        </w:rPr>
        <w:t xml:space="preserve"> a ritenere che la Corte costituzionale</w:t>
      </w:r>
      <w:r w:rsidR="00D317B1">
        <w:rPr>
          <w:rFonts w:ascii="Calibri" w:eastAsia="Times New Roman" w:hAnsi="Calibri" w:cs="Segoe UI"/>
          <w:color w:val="1F4E79" w:themeColor="accent1" w:themeShade="80"/>
          <w:sz w:val="28"/>
          <w:szCs w:val="28"/>
          <w:lang w:eastAsia="it-IT"/>
        </w:rPr>
        <w:t>, ne</w:t>
      </w:r>
      <w:r w:rsidR="00980F45" w:rsidRPr="00B208E4">
        <w:rPr>
          <w:rFonts w:ascii="Calibri" w:eastAsia="Times New Roman" w:hAnsi="Calibri" w:cs="Segoe UI"/>
          <w:color w:val="1F4E79" w:themeColor="accent1" w:themeShade="80"/>
          <w:sz w:val="28"/>
          <w:szCs w:val="28"/>
          <w:lang w:eastAsia="it-IT"/>
        </w:rPr>
        <w:t>l momento</w:t>
      </w:r>
      <w:r w:rsidR="00B47F33">
        <w:rPr>
          <w:rFonts w:ascii="Calibri" w:eastAsia="Times New Roman" w:hAnsi="Calibri" w:cs="Segoe UI"/>
          <w:color w:val="1F4E79" w:themeColor="accent1" w:themeShade="80"/>
          <w:sz w:val="28"/>
          <w:szCs w:val="28"/>
          <w:lang w:eastAsia="it-IT"/>
        </w:rPr>
        <w:t xml:space="preserve"> attuale</w:t>
      </w:r>
      <w:r w:rsidR="00980F45" w:rsidRPr="00B208E4">
        <w:rPr>
          <w:rFonts w:ascii="Calibri" w:eastAsia="Times New Roman" w:hAnsi="Calibri" w:cs="Segoe UI"/>
          <w:color w:val="1F4E79" w:themeColor="accent1" w:themeShade="80"/>
          <w:sz w:val="28"/>
          <w:szCs w:val="28"/>
          <w:lang w:eastAsia="it-IT"/>
        </w:rPr>
        <w:t>,</w:t>
      </w:r>
      <w:r w:rsidRPr="00B208E4">
        <w:rPr>
          <w:rFonts w:ascii="Calibri" w:eastAsia="Times New Roman" w:hAnsi="Calibri" w:cs="Segoe UI"/>
          <w:color w:val="1F4E79" w:themeColor="accent1" w:themeShade="80"/>
          <w:sz w:val="28"/>
          <w:szCs w:val="28"/>
          <w:lang w:eastAsia="it-IT"/>
        </w:rPr>
        <w:t xml:space="preserve"> </w:t>
      </w:r>
      <w:r w:rsidR="00B47F33">
        <w:rPr>
          <w:rFonts w:ascii="Calibri" w:eastAsia="Times New Roman" w:hAnsi="Calibri" w:cs="Segoe UI"/>
          <w:color w:val="1F4E79" w:themeColor="accent1" w:themeShade="80"/>
          <w:sz w:val="28"/>
          <w:szCs w:val="28"/>
          <w:lang w:eastAsia="it-IT"/>
        </w:rPr>
        <w:t>potrebbe essere propensa a non</w:t>
      </w:r>
      <w:r w:rsidRPr="00B208E4">
        <w:rPr>
          <w:rFonts w:ascii="Calibri" w:eastAsia="Times New Roman" w:hAnsi="Calibri" w:cs="Segoe UI"/>
          <w:color w:val="1F4E79" w:themeColor="accent1" w:themeShade="80"/>
          <w:sz w:val="28"/>
          <w:szCs w:val="28"/>
          <w:lang w:eastAsia="it-IT"/>
        </w:rPr>
        <w:t xml:space="preserve"> smentire sé stessa, </w:t>
      </w:r>
      <w:r w:rsidR="00D317B1">
        <w:rPr>
          <w:rFonts w:ascii="Calibri" w:eastAsia="Times New Roman" w:hAnsi="Calibri" w:cs="Segoe UI"/>
          <w:color w:val="1F4E79" w:themeColor="accent1" w:themeShade="80"/>
          <w:sz w:val="28"/>
          <w:szCs w:val="28"/>
          <w:lang w:eastAsia="it-IT"/>
        </w:rPr>
        <w:t xml:space="preserve">nemmeno per limitati aspetti, </w:t>
      </w:r>
      <w:r w:rsidRPr="00B208E4">
        <w:rPr>
          <w:rFonts w:ascii="Calibri" w:eastAsia="Times New Roman" w:hAnsi="Calibri" w:cs="Segoe UI"/>
          <w:color w:val="1F4E79" w:themeColor="accent1" w:themeShade="80"/>
          <w:sz w:val="28"/>
          <w:szCs w:val="28"/>
          <w:lang w:eastAsia="it-IT"/>
        </w:rPr>
        <w:t xml:space="preserve">a così breve distanza dal </w:t>
      </w:r>
      <w:r w:rsidR="00A2455A" w:rsidRPr="00B208E4">
        <w:rPr>
          <w:rFonts w:ascii="Calibri" w:eastAsia="Times New Roman" w:hAnsi="Calibri" w:cs="Segoe UI"/>
          <w:color w:val="1F4E79" w:themeColor="accent1" w:themeShade="80"/>
          <w:sz w:val="28"/>
          <w:szCs w:val="28"/>
          <w:lang w:eastAsia="it-IT"/>
        </w:rPr>
        <w:t xml:space="preserve">proprio </w:t>
      </w:r>
      <w:r w:rsidRPr="00B208E4">
        <w:rPr>
          <w:rFonts w:ascii="Calibri" w:eastAsia="Times New Roman" w:hAnsi="Calibri" w:cs="Segoe UI"/>
          <w:color w:val="1F4E79" w:themeColor="accent1" w:themeShade="80"/>
          <w:sz w:val="28"/>
          <w:szCs w:val="28"/>
          <w:lang w:eastAsia="it-IT"/>
        </w:rPr>
        <w:t xml:space="preserve">precedente e meditato </w:t>
      </w:r>
      <w:r w:rsidRPr="00B208E4">
        <w:rPr>
          <w:rFonts w:ascii="Calibri" w:eastAsia="Times New Roman" w:hAnsi="Calibri" w:cs="Segoe UI"/>
          <w:i/>
          <w:color w:val="1F4E79" w:themeColor="accent1" w:themeShade="80"/>
          <w:sz w:val="28"/>
          <w:szCs w:val="28"/>
          <w:lang w:eastAsia="it-IT"/>
        </w:rPr>
        <w:t>decisum</w:t>
      </w:r>
      <w:r w:rsidR="00B47F33">
        <w:rPr>
          <w:rFonts w:ascii="Calibri" w:eastAsia="Times New Roman" w:hAnsi="Calibri" w:cs="Segoe UI"/>
          <w:color w:val="1F4E79" w:themeColor="accent1" w:themeShade="80"/>
          <w:sz w:val="28"/>
          <w:szCs w:val="28"/>
          <w:lang w:eastAsia="it-IT"/>
        </w:rPr>
        <w:t>, innestando confusione e incertezza in una materia che esige regole precise e prevedibili nella loro applicazione</w:t>
      </w:r>
      <w:r w:rsidRPr="00B208E4">
        <w:rPr>
          <w:rFonts w:ascii="Calibri" w:eastAsia="Times New Roman" w:hAnsi="Calibri" w:cs="Segoe UI"/>
          <w:color w:val="1F4E79" w:themeColor="accent1" w:themeShade="80"/>
          <w:sz w:val="28"/>
          <w:szCs w:val="28"/>
          <w:lang w:eastAsia="it-IT"/>
        </w:rPr>
        <w:t>.</w:t>
      </w:r>
    </w:p>
    <w:p w:rsidR="00916E1C" w:rsidRPr="00B208E4" w:rsidRDefault="00916E1C"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Una seconda “bocciatura” della idea estensiva della giurisdizione propugnata dalla Cassazione</w:t>
      </w:r>
      <w:r w:rsidR="004F330F">
        <w:rPr>
          <w:rFonts w:ascii="Calibri" w:eastAsia="Times New Roman" w:hAnsi="Calibri" w:cs="Segoe UI"/>
          <w:color w:val="1F4E79" w:themeColor="accent1" w:themeShade="80"/>
          <w:sz w:val="28"/>
          <w:szCs w:val="28"/>
          <w:lang w:eastAsia="it-IT"/>
        </w:rPr>
        <w:t>, inoltre,</w:t>
      </w:r>
      <w:r w:rsidRPr="00B208E4">
        <w:rPr>
          <w:rFonts w:ascii="Calibri" w:eastAsia="Times New Roman" w:hAnsi="Calibri" w:cs="Segoe UI"/>
          <w:color w:val="1F4E79" w:themeColor="accent1" w:themeShade="80"/>
          <w:sz w:val="28"/>
          <w:szCs w:val="28"/>
          <w:lang w:eastAsia="it-IT"/>
        </w:rPr>
        <w:t xml:space="preserve"> </w:t>
      </w:r>
      <w:r w:rsidR="00B47F33">
        <w:rPr>
          <w:rFonts w:ascii="Calibri" w:eastAsia="Times New Roman" w:hAnsi="Calibri" w:cs="Segoe UI"/>
          <w:color w:val="1F4E79" w:themeColor="accent1" w:themeShade="80"/>
          <w:sz w:val="28"/>
          <w:szCs w:val="28"/>
          <w:lang w:eastAsia="it-IT"/>
        </w:rPr>
        <w:t xml:space="preserve">potrebbe </w:t>
      </w:r>
      <w:r w:rsidRPr="00B208E4">
        <w:rPr>
          <w:rFonts w:ascii="Calibri" w:eastAsia="Times New Roman" w:hAnsi="Calibri" w:cs="Segoe UI"/>
          <w:color w:val="1F4E79" w:themeColor="accent1" w:themeShade="80"/>
          <w:sz w:val="28"/>
          <w:szCs w:val="28"/>
          <w:lang w:eastAsia="it-IT"/>
        </w:rPr>
        <w:t>comport</w:t>
      </w:r>
      <w:r w:rsidR="00B47F33">
        <w:rPr>
          <w:rFonts w:ascii="Calibri" w:eastAsia="Times New Roman" w:hAnsi="Calibri" w:cs="Segoe UI"/>
          <w:color w:val="1F4E79" w:themeColor="accent1" w:themeShade="80"/>
          <w:sz w:val="28"/>
          <w:szCs w:val="28"/>
          <w:lang w:eastAsia="it-IT"/>
        </w:rPr>
        <w:t>are</w:t>
      </w:r>
      <w:r w:rsidRPr="00B208E4">
        <w:rPr>
          <w:rFonts w:ascii="Calibri" w:eastAsia="Times New Roman" w:hAnsi="Calibri" w:cs="Segoe UI"/>
          <w:color w:val="1F4E79" w:themeColor="accent1" w:themeShade="80"/>
          <w:sz w:val="28"/>
          <w:szCs w:val="28"/>
          <w:lang w:eastAsia="it-IT"/>
        </w:rPr>
        <w:t xml:space="preserve"> una cristallizzazione</w:t>
      </w:r>
      <w:r w:rsidR="000E0112" w:rsidRPr="00B208E4">
        <w:rPr>
          <w:rFonts w:ascii="Calibri" w:eastAsia="Times New Roman" w:hAnsi="Calibri" w:cs="Segoe UI"/>
          <w:color w:val="1F4E79" w:themeColor="accent1" w:themeShade="80"/>
          <w:sz w:val="28"/>
          <w:szCs w:val="28"/>
          <w:lang w:eastAsia="it-IT"/>
        </w:rPr>
        <w:t>,</w:t>
      </w:r>
      <w:r w:rsidRPr="00B208E4">
        <w:rPr>
          <w:rFonts w:ascii="Calibri" w:eastAsia="Times New Roman" w:hAnsi="Calibri" w:cs="Segoe UI"/>
          <w:color w:val="1F4E79" w:themeColor="accent1" w:themeShade="80"/>
          <w:sz w:val="28"/>
          <w:szCs w:val="28"/>
          <w:lang w:eastAsia="it-IT"/>
        </w:rPr>
        <w:t xml:space="preserve"> pressoché definitiva</w:t>
      </w:r>
      <w:r w:rsidR="00980F45" w:rsidRPr="00B208E4">
        <w:rPr>
          <w:rFonts w:ascii="Calibri" w:eastAsia="Times New Roman" w:hAnsi="Calibri" w:cs="Segoe UI"/>
          <w:color w:val="1F4E79" w:themeColor="accent1" w:themeShade="80"/>
          <w:sz w:val="28"/>
          <w:szCs w:val="28"/>
          <w:lang w:eastAsia="it-IT"/>
        </w:rPr>
        <w:t>,</w:t>
      </w:r>
      <w:r w:rsidRPr="00B208E4">
        <w:rPr>
          <w:rFonts w:ascii="Calibri" w:eastAsia="Times New Roman" w:hAnsi="Calibri" w:cs="Segoe UI"/>
          <w:color w:val="1F4E79" w:themeColor="accent1" w:themeShade="80"/>
          <w:sz w:val="28"/>
          <w:szCs w:val="28"/>
          <w:lang w:eastAsia="it-IT"/>
        </w:rPr>
        <w:t xml:space="preserve"> della lettura seguita dai giudici della Consulta</w:t>
      </w:r>
      <w:r w:rsidR="00980F45" w:rsidRPr="00B208E4">
        <w:rPr>
          <w:rFonts w:ascii="Calibri" w:eastAsia="Times New Roman" w:hAnsi="Calibri" w:cs="Segoe UI"/>
          <w:color w:val="1F4E79" w:themeColor="accent1" w:themeShade="80"/>
          <w:sz w:val="28"/>
          <w:szCs w:val="28"/>
          <w:lang w:eastAsia="it-IT"/>
        </w:rPr>
        <w:t xml:space="preserve">, </w:t>
      </w:r>
      <w:r w:rsidR="00B47F33">
        <w:rPr>
          <w:rFonts w:ascii="Calibri" w:eastAsia="Times New Roman" w:hAnsi="Calibri" w:cs="Segoe UI"/>
          <w:color w:val="1F4E79" w:themeColor="accent1" w:themeShade="80"/>
          <w:sz w:val="28"/>
          <w:szCs w:val="28"/>
          <w:lang w:eastAsia="it-IT"/>
        </w:rPr>
        <w:t xml:space="preserve">chiudendo ogni </w:t>
      </w:r>
      <w:r w:rsidR="00980F45" w:rsidRPr="00B208E4">
        <w:rPr>
          <w:rFonts w:ascii="Calibri" w:eastAsia="Times New Roman" w:hAnsi="Calibri" w:cs="Segoe UI"/>
          <w:color w:val="1F4E79" w:themeColor="accent1" w:themeShade="80"/>
          <w:sz w:val="28"/>
          <w:szCs w:val="28"/>
          <w:lang w:eastAsia="it-IT"/>
        </w:rPr>
        <w:t>ragionevole spiraglio di apertura od “evoluzione”</w:t>
      </w:r>
      <w:r w:rsidR="00D317B1">
        <w:rPr>
          <w:rFonts w:ascii="Calibri" w:eastAsia="Times New Roman" w:hAnsi="Calibri" w:cs="Segoe UI"/>
          <w:color w:val="1F4E79" w:themeColor="accent1" w:themeShade="80"/>
          <w:sz w:val="28"/>
          <w:szCs w:val="28"/>
          <w:lang w:eastAsia="it-IT"/>
        </w:rPr>
        <w:t>, cui potrebbe anelare una parte degli interpreti</w:t>
      </w:r>
      <w:r w:rsidRPr="00B208E4">
        <w:rPr>
          <w:rFonts w:ascii="Calibri" w:eastAsia="Times New Roman" w:hAnsi="Calibri" w:cs="Segoe UI"/>
          <w:color w:val="1F4E79" w:themeColor="accent1" w:themeShade="80"/>
          <w:sz w:val="28"/>
          <w:szCs w:val="28"/>
          <w:lang w:eastAsia="it-IT"/>
        </w:rPr>
        <w:t>.</w:t>
      </w:r>
    </w:p>
    <w:p w:rsidR="007A6629" w:rsidRPr="00B208E4" w:rsidRDefault="007A6629"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L’ordinanza</w:t>
      </w:r>
      <w:r w:rsidR="00A0485B" w:rsidRPr="00B208E4">
        <w:rPr>
          <w:rFonts w:ascii="Calibri" w:eastAsia="Times New Roman" w:hAnsi="Calibri" w:cs="Segoe UI"/>
          <w:color w:val="1F4E79" w:themeColor="accent1" w:themeShade="80"/>
          <w:sz w:val="28"/>
          <w:szCs w:val="28"/>
          <w:lang w:eastAsia="it-IT"/>
        </w:rPr>
        <w:t xml:space="preserve"> in commento</w:t>
      </w:r>
      <w:r w:rsidRPr="00B208E4">
        <w:rPr>
          <w:rFonts w:ascii="Calibri" w:eastAsia="Times New Roman" w:hAnsi="Calibri" w:cs="Segoe UI"/>
          <w:color w:val="1F4E79" w:themeColor="accent1" w:themeShade="80"/>
          <w:sz w:val="28"/>
          <w:szCs w:val="28"/>
          <w:lang w:eastAsia="it-IT"/>
        </w:rPr>
        <w:t>, invece, un p</w:t>
      </w:r>
      <w:r w:rsidR="009E4D6D" w:rsidRPr="00B208E4">
        <w:rPr>
          <w:rFonts w:ascii="Calibri" w:eastAsia="Times New Roman" w:hAnsi="Calibri" w:cs="Segoe UI"/>
          <w:color w:val="1F4E79" w:themeColor="accent1" w:themeShade="80"/>
          <w:sz w:val="28"/>
          <w:szCs w:val="28"/>
          <w:lang w:eastAsia="it-IT"/>
        </w:rPr>
        <w:t>o’ a sorpresa</w:t>
      </w:r>
      <w:r w:rsidR="00343FA9" w:rsidRPr="00B208E4">
        <w:rPr>
          <w:rFonts w:ascii="Calibri" w:eastAsia="Times New Roman" w:hAnsi="Calibri" w:cs="Segoe UI"/>
          <w:color w:val="1F4E79" w:themeColor="accent1" w:themeShade="80"/>
          <w:sz w:val="28"/>
          <w:szCs w:val="28"/>
          <w:lang w:eastAsia="it-IT"/>
        </w:rPr>
        <w:t xml:space="preserve"> (ma forse pienamente consapevole delle difficoltà dei due indicati percorsi</w:t>
      </w:r>
      <w:r w:rsidR="006454BE">
        <w:rPr>
          <w:rFonts w:ascii="Calibri" w:eastAsia="Times New Roman" w:hAnsi="Calibri" w:cs="Segoe UI"/>
          <w:color w:val="1F4E79" w:themeColor="accent1" w:themeShade="80"/>
          <w:sz w:val="28"/>
          <w:szCs w:val="28"/>
          <w:lang w:eastAsia="it-IT"/>
        </w:rPr>
        <w:t xml:space="preserve"> alternativi</w:t>
      </w:r>
      <w:r w:rsidR="00343FA9" w:rsidRPr="00B208E4">
        <w:rPr>
          <w:rFonts w:ascii="Calibri" w:eastAsia="Times New Roman" w:hAnsi="Calibri" w:cs="Segoe UI"/>
          <w:color w:val="1F4E79" w:themeColor="accent1" w:themeShade="80"/>
          <w:sz w:val="28"/>
          <w:szCs w:val="28"/>
          <w:lang w:eastAsia="it-IT"/>
        </w:rPr>
        <w:t>)</w:t>
      </w:r>
      <w:r w:rsidR="00D317B1">
        <w:rPr>
          <w:rFonts w:ascii="Calibri" w:eastAsia="Times New Roman" w:hAnsi="Calibri" w:cs="Segoe UI"/>
          <w:color w:val="1F4E79" w:themeColor="accent1" w:themeShade="80"/>
          <w:sz w:val="28"/>
          <w:szCs w:val="28"/>
          <w:lang w:eastAsia="it-IT"/>
        </w:rPr>
        <w:t>,</w:t>
      </w:r>
      <w:r w:rsidR="00343FA9" w:rsidRPr="00B208E4">
        <w:rPr>
          <w:rFonts w:ascii="Calibri" w:eastAsia="Times New Roman" w:hAnsi="Calibri" w:cs="Segoe UI"/>
          <w:color w:val="1F4E79" w:themeColor="accent1" w:themeShade="80"/>
          <w:sz w:val="28"/>
          <w:szCs w:val="28"/>
          <w:lang w:eastAsia="it-IT"/>
        </w:rPr>
        <w:t xml:space="preserve"> sceglie un</w:t>
      </w:r>
      <w:r w:rsidR="00B47F33">
        <w:rPr>
          <w:rFonts w:ascii="Calibri" w:eastAsia="Times New Roman" w:hAnsi="Calibri" w:cs="Segoe UI"/>
          <w:color w:val="1F4E79" w:themeColor="accent1" w:themeShade="80"/>
          <w:sz w:val="28"/>
          <w:szCs w:val="28"/>
          <w:lang w:eastAsia="it-IT"/>
        </w:rPr>
        <w:t xml:space="preserve">a terza </w:t>
      </w:r>
      <w:r w:rsidR="00343FA9" w:rsidRPr="00B208E4">
        <w:rPr>
          <w:rFonts w:ascii="Calibri" w:eastAsia="Times New Roman" w:hAnsi="Calibri" w:cs="Segoe UI"/>
          <w:color w:val="1F4E79" w:themeColor="accent1" w:themeShade="80"/>
          <w:sz w:val="28"/>
          <w:szCs w:val="28"/>
          <w:lang w:eastAsia="it-IT"/>
        </w:rPr>
        <w:t>opzione e</w:t>
      </w:r>
      <w:r w:rsidR="009E4D6D" w:rsidRPr="00B208E4">
        <w:rPr>
          <w:rFonts w:ascii="Calibri" w:eastAsia="Times New Roman" w:hAnsi="Calibri" w:cs="Segoe UI"/>
          <w:color w:val="1F4E79" w:themeColor="accent1" w:themeShade="80"/>
          <w:sz w:val="28"/>
          <w:szCs w:val="28"/>
          <w:lang w:eastAsia="it-IT"/>
        </w:rPr>
        <w:t xml:space="preserve"> ritiene di coinvolgere</w:t>
      </w:r>
      <w:r w:rsidR="007236B7" w:rsidRPr="00B208E4">
        <w:rPr>
          <w:rFonts w:ascii="Calibri" w:eastAsia="Times New Roman" w:hAnsi="Calibri" w:cs="Segoe UI"/>
          <w:color w:val="1F4E79" w:themeColor="accent1" w:themeShade="80"/>
          <w:sz w:val="28"/>
          <w:szCs w:val="28"/>
          <w:lang w:eastAsia="it-IT"/>
        </w:rPr>
        <w:t xml:space="preserve"> </w:t>
      </w:r>
      <w:r w:rsidR="009E4D6D" w:rsidRPr="00B208E4">
        <w:rPr>
          <w:rFonts w:ascii="Calibri" w:eastAsia="Times New Roman" w:hAnsi="Calibri" w:cs="Segoe UI"/>
          <w:color w:val="1F4E79" w:themeColor="accent1" w:themeShade="80"/>
          <w:sz w:val="28"/>
          <w:szCs w:val="28"/>
          <w:lang w:eastAsia="it-IT"/>
        </w:rPr>
        <w:t xml:space="preserve">la Corte di Giustizia dell’UE, prospettando l’idea che l’art. 111, comma 8, così come interpretato dalla </w:t>
      </w:r>
      <w:r w:rsidR="005109D9" w:rsidRPr="00B208E4">
        <w:rPr>
          <w:rFonts w:ascii="Calibri" w:eastAsia="Times New Roman" w:hAnsi="Calibri" w:cs="Segoe UI"/>
          <w:color w:val="1F4E79" w:themeColor="accent1" w:themeShade="80"/>
          <w:sz w:val="28"/>
          <w:szCs w:val="28"/>
          <w:lang w:eastAsia="it-IT"/>
        </w:rPr>
        <w:t>Corte costituzionale, si ponga in contrasto con svariate regole e numerosi principi di matrice europea</w:t>
      </w:r>
      <w:r w:rsidR="007236B7" w:rsidRPr="00B208E4">
        <w:rPr>
          <w:rFonts w:ascii="Calibri" w:eastAsia="Times New Roman" w:hAnsi="Calibri" w:cs="Segoe UI"/>
          <w:color w:val="1F4E79" w:themeColor="accent1" w:themeShade="80"/>
          <w:sz w:val="28"/>
          <w:szCs w:val="28"/>
          <w:lang w:eastAsia="it-IT"/>
        </w:rPr>
        <w:t>, impedendo di contrastare efficacemente le violazioni del diritto</w:t>
      </w:r>
      <w:r w:rsidR="00B47F33">
        <w:rPr>
          <w:rFonts w:ascii="Calibri" w:eastAsia="Times New Roman" w:hAnsi="Calibri" w:cs="Segoe UI"/>
          <w:color w:val="1F4E79" w:themeColor="accent1" w:themeShade="80"/>
          <w:sz w:val="28"/>
          <w:szCs w:val="28"/>
          <w:lang w:eastAsia="it-IT"/>
        </w:rPr>
        <w:t xml:space="preserve"> UE</w:t>
      </w:r>
      <w:r w:rsidR="00D317B1">
        <w:rPr>
          <w:rFonts w:ascii="Calibri" w:eastAsia="Times New Roman" w:hAnsi="Calibri" w:cs="Segoe UI"/>
          <w:color w:val="1F4E79" w:themeColor="accent1" w:themeShade="80"/>
          <w:sz w:val="28"/>
          <w:szCs w:val="28"/>
          <w:lang w:eastAsia="it-IT"/>
        </w:rPr>
        <w:t xml:space="preserve"> – anche particolarmente gravi – asseritamente commesse dal giudice amministrativo</w:t>
      </w:r>
      <w:r w:rsidR="005109D9" w:rsidRPr="00B208E4">
        <w:rPr>
          <w:rFonts w:ascii="Calibri" w:eastAsia="Times New Roman" w:hAnsi="Calibri" w:cs="Segoe UI"/>
          <w:color w:val="1F4E79" w:themeColor="accent1" w:themeShade="80"/>
          <w:sz w:val="28"/>
          <w:szCs w:val="28"/>
          <w:lang w:eastAsia="it-IT"/>
        </w:rPr>
        <w:t>.</w:t>
      </w:r>
    </w:p>
    <w:p w:rsidR="000E0112" w:rsidRPr="00B208E4" w:rsidRDefault="00B47F33"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La </w:t>
      </w:r>
      <w:r w:rsidR="000E0112" w:rsidRPr="00B208E4">
        <w:rPr>
          <w:rFonts w:ascii="Calibri" w:eastAsia="Times New Roman" w:hAnsi="Calibri" w:cs="Segoe UI"/>
          <w:color w:val="1F4E79" w:themeColor="accent1" w:themeShade="80"/>
          <w:sz w:val="28"/>
          <w:szCs w:val="28"/>
          <w:lang w:eastAsia="it-IT"/>
        </w:rPr>
        <w:t xml:space="preserve">pronuncia, </w:t>
      </w:r>
      <w:r w:rsidR="00D317B1">
        <w:rPr>
          <w:rFonts w:ascii="Calibri" w:eastAsia="Times New Roman" w:hAnsi="Calibri" w:cs="Segoe UI"/>
          <w:color w:val="1F4E79" w:themeColor="accent1" w:themeShade="80"/>
          <w:sz w:val="28"/>
          <w:szCs w:val="28"/>
          <w:lang w:eastAsia="it-IT"/>
        </w:rPr>
        <w:t xml:space="preserve">peraltro, </w:t>
      </w:r>
      <w:r w:rsidR="000E0112" w:rsidRPr="00B208E4">
        <w:rPr>
          <w:rFonts w:ascii="Calibri" w:eastAsia="Times New Roman" w:hAnsi="Calibri" w:cs="Segoe UI"/>
          <w:color w:val="1F4E79" w:themeColor="accent1" w:themeShade="80"/>
          <w:sz w:val="28"/>
          <w:szCs w:val="28"/>
          <w:lang w:eastAsia="it-IT"/>
        </w:rPr>
        <w:t xml:space="preserve">lungi dal prospettare un mero </w:t>
      </w:r>
      <w:r w:rsidR="000E0112" w:rsidRPr="00B47F33">
        <w:rPr>
          <w:rFonts w:ascii="Calibri" w:eastAsia="Times New Roman" w:hAnsi="Calibri" w:cs="Segoe UI"/>
          <w:i/>
          <w:color w:val="1F4E79" w:themeColor="accent1" w:themeShade="80"/>
          <w:sz w:val="28"/>
          <w:szCs w:val="28"/>
          <w:lang w:eastAsia="it-IT"/>
        </w:rPr>
        <w:t>ammorbidimento</w:t>
      </w:r>
      <w:r w:rsidR="000E0112" w:rsidRPr="00B208E4">
        <w:rPr>
          <w:rFonts w:ascii="Calibri" w:eastAsia="Times New Roman" w:hAnsi="Calibri" w:cs="Segoe UI"/>
          <w:color w:val="1F4E79" w:themeColor="accent1" w:themeShade="80"/>
          <w:sz w:val="28"/>
          <w:szCs w:val="28"/>
          <w:lang w:eastAsia="it-IT"/>
        </w:rPr>
        <w:t xml:space="preserve"> dei </w:t>
      </w:r>
      <w:r w:rsidR="00DF0DB6" w:rsidRPr="00B208E4">
        <w:rPr>
          <w:rFonts w:ascii="Calibri" w:eastAsia="Times New Roman" w:hAnsi="Calibri" w:cs="Segoe UI"/>
          <w:color w:val="1F4E79" w:themeColor="accent1" w:themeShade="80"/>
          <w:sz w:val="28"/>
          <w:szCs w:val="28"/>
          <w:lang w:eastAsia="it-IT"/>
        </w:rPr>
        <w:t xml:space="preserve">severi e nitidi </w:t>
      </w:r>
      <w:r w:rsidR="000E0112" w:rsidRPr="00B208E4">
        <w:rPr>
          <w:rFonts w:ascii="Calibri" w:eastAsia="Times New Roman" w:hAnsi="Calibri" w:cs="Segoe UI"/>
          <w:color w:val="1F4E79" w:themeColor="accent1" w:themeShade="80"/>
          <w:sz w:val="28"/>
          <w:szCs w:val="28"/>
          <w:lang w:eastAsia="it-IT"/>
        </w:rPr>
        <w:t xml:space="preserve">principi espressi dalla Consulta, sembra voler sostenere un concetto di </w:t>
      </w:r>
      <w:r w:rsidR="00F827CF" w:rsidRPr="00F827CF">
        <w:rPr>
          <w:rFonts w:ascii="Calibri" w:eastAsia="Times New Roman" w:hAnsi="Calibri" w:cs="Segoe UI"/>
          <w:i/>
          <w:color w:val="1F4E79" w:themeColor="accent1" w:themeShade="80"/>
          <w:sz w:val="28"/>
          <w:szCs w:val="28"/>
          <w:lang w:eastAsia="it-IT"/>
        </w:rPr>
        <w:t xml:space="preserve">motivi inerenti alla </w:t>
      </w:r>
      <w:r w:rsidR="000E0112" w:rsidRPr="00F827CF">
        <w:rPr>
          <w:rFonts w:ascii="Calibri" w:eastAsia="Times New Roman" w:hAnsi="Calibri" w:cs="Segoe UI"/>
          <w:i/>
          <w:color w:val="1F4E79" w:themeColor="accent1" w:themeShade="80"/>
          <w:sz w:val="28"/>
          <w:szCs w:val="28"/>
          <w:lang w:eastAsia="it-IT"/>
        </w:rPr>
        <w:t>giurisdizione</w:t>
      </w:r>
      <w:r w:rsidR="000E0112" w:rsidRPr="00B208E4">
        <w:rPr>
          <w:rFonts w:ascii="Calibri" w:eastAsia="Times New Roman" w:hAnsi="Calibri" w:cs="Segoe UI"/>
          <w:color w:val="1F4E79" w:themeColor="accent1" w:themeShade="80"/>
          <w:sz w:val="28"/>
          <w:szCs w:val="28"/>
          <w:lang w:eastAsia="it-IT"/>
        </w:rPr>
        <w:t xml:space="preserve"> sensibilmente più ampio</w:t>
      </w:r>
      <w:r w:rsidR="00F0469C" w:rsidRPr="00B208E4">
        <w:rPr>
          <w:rStyle w:val="Rimandonotaapidipagina"/>
          <w:rFonts w:ascii="Calibri" w:eastAsia="Times New Roman" w:hAnsi="Calibri" w:cs="Segoe UI"/>
          <w:color w:val="1F4E79" w:themeColor="accent1" w:themeShade="80"/>
          <w:sz w:val="28"/>
          <w:szCs w:val="28"/>
          <w:lang w:eastAsia="it-IT"/>
        </w:rPr>
        <w:footnoteReference w:id="24"/>
      </w:r>
      <w:r w:rsidR="000E0112" w:rsidRPr="00B208E4">
        <w:rPr>
          <w:rFonts w:ascii="Calibri" w:eastAsia="Times New Roman" w:hAnsi="Calibri" w:cs="Segoe UI"/>
          <w:color w:val="1F4E79" w:themeColor="accent1" w:themeShade="80"/>
          <w:sz w:val="28"/>
          <w:szCs w:val="28"/>
          <w:lang w:eastAsia="it-IT"/>
        </w:rPr>
        <w:t xml:space="preserve"> di quello affermato dalla tradizionale giurisprudenza della Corte di Cassazione</w:t>
      </w:r>
      <w:r w:rsidR="00D317B1">
        <w:rPr>
          <w:rFonts w:ascii="Calibri" w:eastAsia="Times New Roman" w:hAnsi="Calibri" w:cs="Segoe UI"/>
          <w:color w:val="1F4E79" w:themeColor="accent1" w:themeShade="80"/>
          <w:sz w:val="28"/>
          <w:szCs w:val="28"/>
          <w:lang w:eastAsia="it-IT"/>
        </w:rPr>
        <w:t xml:space="preserve"> ascrivibile ai filoni della </w:t>
      </w:r>
      <w:r w:rsidR="00D317B1" w:rsidRPr="00D317B1">
        <w:rPr>
          <w:rFonts w:ascii="Calibri" w:eastAsia="Times New Roman" w:hAnsi="Calibri" w:cs="Segoe UI"/>
          <w:i/>
          <w:color w:val="1F4E79" w:themeColor="accent1" w:themeShade="80"/>
          <w:sz w:val="28"/>
          <w:szCs w:val="28"/>
          <w:lang w:eastAsia="it-IT"/>
        </w:rPr>
        <w:t>giurisdizione dinamica</w:t>
      </w:r>
      <w:r w:rsidR="00AA2874" w:rsidRPr="00B208E4">
        <w:rPr>
          <w:rFonts w:ascii="Calibri" w:eastAsia="Times New Roman" w:hAnsi="Calibri" w:cs="Segoe UI"/>
          <w:color w:val="1F4E79" w:themeColor="accent1" w:themeShade="80"/>
          <w:sz w:val="28"/>
          <w:szCs w:val="28"/>
          <w:lang w:eastAsia="it-IT"/>
        </w:rPr>
        <w:t xml:space="preserve">, quanto meno con riferimento ai casi in cui </w:t>
      </w:r>
      <w:r w:rsidR="00F827CF">
        <w:rPr>
          <w:rFonts w:ascii="Calibri" w:eastAsia="Times New Roman" w:hAnsi="Calibri" w:cs="Segoe UI"/>
          <w:color w:val="1F4E79" w:themeColor="accent1" w:themeShade="80"/>
          <w:sz w:val="28"/>
          <w:szCs w:val="28"/>
          <w:lang w:eastAsia="it-IT"/>
        </w:rPr>
        <w:t xml:space="preserve">si tratti di sindacare la corretta </w:t>
      </w:r>
      <w:r w:rsidR="00AA2874" w:rsidRPr="00B208E4">
        <w:rPr>
          <w:rFonts w:ascii="Calibri" w:eastAsia="Times New Roman" w:hAnsi="Calibri" w:cs="Segoe UI"/>
          <w:color w:val="1F4E79" w:themeColor="accent1" w:themeShade="80"/>
          <w:sz w:val="28"/>
          <w:szCs w:val="28"/>
          <w:lang w:eastAsia="it-IT"/>
        </w:rPr>
        <w:t>applicazione del diritto europeo, sia esso sostanziale o processuale</w:t>
      </w:r>
      <w:r w:rsidR="000E0112" w:rsidRPr="00B208E4">
        <w:rPr>
          <w:rFonts w:ascii="Calibri" w:eastAsia="Times New Roman" w:hAnsi="Calibri" w:cs="Segoe UI"/>
          <w:color w:val="1F4E79" w:themeColor="accent1" w:themeShade="80"/>
          <w:sz w:val="28"/>
          <w:szCs w:val="28"/>
          <w:lang w:eastAsia="it-IT"/>
        </w:rPr>
        <w:t>.</w:t>
      </w:r>
    </w:p>
    <w:p w:rsidR="005128D5" w:rsidRPr="00B208E4" w:rsidRDefault="005128D5"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p>
    <w:p w:rsidR="005128D5" w:rsidRPr="00B208E4" w:rsidRDefault="005128D5" w:rsidP="00FB7048">
      <w:pPr>
        <w:numPr>
          <w:ilvl w:val="0"/>
          <w:numId w:val="1"/>
        </w:numPr>
        <w:shd w:val="clear" w:color="auto" w:fill="FFFFFF"/>
        <w:tabs>
          <w:tab w:val="left" w:pos="0"/>
        </w:tabs>
        <w:spacing w:after="120" w:line="240" w:lineRule="auto"/>
        <w:ind w:left="0" w:firstLine="709"/>
        <w:jc w:val="both"/>
        <w:textAlignment w:val="baseline"/>
        <w:rPr>
          <w:rFonts w:ascii="Tahoma" w:eastAsia="Times New Roman" w:hAnsi="Tahoma" w:cs="Tahoma"/>
          <w:smallCaps/>
          <w:color w:val="1F4E79" w:themeColor="accent1" w:themeShade="80"/>
          <w:sz w:val="28"/>
          <w:szCs w:val="28"/>
          <w:bdr w:val="none" w:sz="0" w:space="0" w:color="auto" w:frame="1"/>
          <w:lang w:eastAsia="it-IT"/>
        </w:rPr>
      </w:pPr>
      <w:r w:rsidRPr="00B208E4">
        <w:rPr>
          <w:rFonts w:ascii="Tahoma" w:eastAsia="Times New Roman" w:hAnsi="Tahoma" w:cs="Tahoma"/>
          <w:smallCaps/>
          <w:color w:val="1F4E79" w:themeColor="accent1" w:themeShade="80"/>
          <w:sz w:val="28"/>
          <w:szCs w:val="28"/>
          <w:bdr w:val="none" w:sz="0" w:space="0" w:color="auto" w:frame="1"/>
          <w:lang w:eastAsia="it-IT"/>
        </w:rPr>
        <w:t xml:space="preserve">La non improbabile </w:t>
      </w:r>
      <w:r w:rsidR="008B173D">
        <w:rPr>
          <w:rFonts w:ascii="Tahoma" w:eastAsia="Times New Roman" w:hAnsi="Tahoma" w:cs="Tahoma"/>
          <w:smallCaps/>
          <w:color w:val="1F4E79" w:themeColor="accent1" w:themeShade="80"/>
          <w:sz w:val="28"/>
          <w:szCs w:val="28"/>
          <w:bdr w:val="none" w:sz="0" w:space="0" w:color="auto" w:frame="1"/>
          <w:lang w:eastAsia="it-IT"/>
        </w:rPr>
        <w:t xml:space="preserve">valutazione </w:t>
      </w:r>
      <w:r w:rsidRPr="00B208E4">
        <w:rPr>
          <w:rFonts w:ascii="Tahoma" w:eastAsia="Times New Roman" w:hAnsi="Tahoma" w:cs="Tahoma"/>
          <w:smallCaps/>
          <w:color w:val="1F4E79" w:themeColor="accent1" w:themeShade="80"/>
          <w:sz w:val="28"/>
          <w:szCs w:val="28"/>
          <w:bdr w:val="none" w:sz="0" w:space="0" w:color="auto" w:frame="1"/>
          <w:lang w:eastAsia="it-IT"/>
        </w:rPr>
        <w:t xml:space="preserve">della CGUE di non </w:t>
      </w:r>
      <w:r w:rsidR="00F071E0" w:rsidRPr="00B208E4">
        <w:rPr>
          <w:rFonts w:ascii="Tahoma" w:eastAsia="Times New Roman" w:hAnsi="Tahoma" w:cs="Tahoma"/>
          <w:smallCaps/>
          <w:color w:val="1F4E79" w:themeColor="accent1" w:themeShade="80"/>
          <w:sz w:val="28"/>
          <w:szCs w:val="28"/>
          <w:bdr w:val="none" w:sz="0" w:space="0" w:color="auto" w:frame="1"/>
          <w:lang w:eastAsia="it-IT"/>
        </w:rPr>
        <w:t xml:space="preserve">intromettersi </w:t>
      </w:r>
      <w:r w:rsidRPr="00B208E4">
        <w:rPr>
          <w:rFonts w:ascii="Tahoma" w:eastAsia="Times New Roman" w:hAnsi="Tahoma" w:cs="Tahoma"/>
          <w:smallCaps/>
          <w:color w:val="1F4E79" w:themeColor="accent1" w:themeShade="80"/>
          <w:sz w:val="28"/>
          <w:szCs w:val="28"/>
          <w:bdr w:val="none" w:sz="0" w:space="0" w:color="auto" w:frame="1"/>
          <w:lang w:eastAsia="it-IT"/>
        </w:rPr>
        <w:t>nel</w:t>
      </w:r>
      <w:r w:rsidR="00C25678" w:rsidRPr="00B208E4">
        <w:rPr>
          <w:rFonts w:ascii="Tahoma" w:eastAsia="Times New Roman" w:hAnsi="Tahoma" w:cs="Tahoma"/>
          <w:smallCaps/>
          <w:color w:val="1F4E79" w:themeColor="accent1" w:themeShade="80"/>
          <w:sz w:val="28"/>
          <w:szCs w:val="28"/>
          <w:bdr w:val="none" w:sz="0" w:space="0" w:color="auto" w:frame="1"/>
          <w:lang w:eastAsia="it-IT"/>
        </w:rPr>
        <w:t xml:space="preserve"> dibattito interno tra le Corti nazionali.</w:t>
      </w:r>
    </w:p>
    <w:p w:rsidR="005109D9" w:rsidRPr="00B208E4" w:rsidRDefault="008D171F"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Prima di entrare nel merito del ragionamento sviluppato dalla Cassazione, </w:t>
      </w:r>
      <w:r w:rsidR="00C840EC">
        <w:rPr>
          <w:rFonts w:ascii="Calibri" w:eastAsia="Times New Roman" w:hAnsi="Calibri" w:cs="Segoe UI"/>
          <w:color w:val="1F4E79" w:themeColor="accent1" w:themeShade="80"/>
          <w:sz w:val="28"/>
          <w:szCs w:val="28"/>
          <w:lang w:eastAsia="it-IT"/>
        </w:rPr>
        <w:t xml:space="preserve">e </w:t>
      </w:r>
      <w:r w:rsidR="008B173D">
        <w:rPr>
          <w:rFonts w:ascii="Calibri" w:eastAsia="Times New Roman" w:hAnsi="Calibri" w:cs="Segoe UI"/>
          <w:color w:val="1F4E79" w:themeColor="accent1" w:themeShade="80"/>
          <w:sz w:val="28"/>
          <w:szCs w:val="28"/>
          <w:lang w:eastAsia="it-IT"/>
        </w:rPr>
        <w:t xml:space="preserve">dei </w:t>
      </w:r>
      <w:r w:rsidR="005C6F1B" w:rsidRPr="00B208E4">
        <w:rPr>
          <w:rFonts w:ascii="Calibri" w:eastAsia="Times New Roman" w:hAnsi="Calibri" w:cs="Segoe UI"/>
          <w:color w:val="1F4E79" w:themeColor="accent1" w:themeShade="80"/>
          <w:sz w:val="28"/>
          <w:szCs w:val="28"/>
          <w:lang w:eastAsia="it-IT"/>
        </w:rPr>
        <w:t xml:space="preserve">nuovi argomenti proposti, </w:t>
      </w:r>
      <w:r w:rsidRPr="00B208E4">
        <w:rPr>
          <w:rFonts w:ascii="Calibri" w:eastAsia="Times New Roman" w:hAnsi="Calibri" w:cs="Segoe UI"/>
          <w:color w:val="1F4E79" w:themeColor="accent1" w:themeShade="80"/>
          <w:sz w:val="28"/>
          <w:szCs w:val="28"/>
          <w:lang w:eastAsia="it-IT"/>
        </w:rPr>
        <w:t>potrebbe essere azzar</w:t>
      </w:r>
      <w:r w:rsidR="00C840EC">
        <w:rPr>
          <w:rFonts w:ascii="Calibri" w:eastAsia="Times New Roman" w:hAnsi="Calibri" w:cs="Segoe UI"/>
          <w:color w:val="1F4E79" w:themeColor="accent1" w:themeShade="80"/>
          <w:sz w:val="28"/>
          <w:szCs w:val="28"/>
          <w:lang w:eastAsia="it-IT"/>
        </w:rPr>
        <w:t>data subito una previsione sulla scarsa probabilità che la CGUE adotti una decisione conforme ai desiderata della Cassazione.</w:t>
      </w:r>
    </w:p>
    <w:p w:rsidR="00D317B1" w:rsidRDefault="0090136C"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È assai pr</w:t>
      </w:r>
      <w:r w:rsidR="008B173D">
        <w:rPr>
          <w:rFonts w:ascii="Calibri" w:eastAsia="Times New Roman" w:hAnsi="Calibri" w:cs="Segoe UI"/>
          <w:color w:val="1F4E79" w:themeColor="accent1" w:themeShade="80"/>
          <w:sz w:val="28"/>
          <w:szCs w:val="28"/>
          <w:lang w:eastAsia="it-IT"/>
        </w:rPr>
        <w:t>evedi</w:t>
      </w:r>
      <w:r w:rsidRPr="00B208E4">
        <w:rPr>
          <w:rFonts w:ascii="Calibri" w:eastAsia="Times New Roman" w:hAnsi="Calibri" w:cs="Segoe UI"/>
          <w:color w:val="1F4E79" w:themeColor="accent1" w:themeShade="80"/>
          <w:sz w:val="28"/>
          <w:szCs w:val="28"/>
          <w:lang w:eastAsia="it-IT"/>
        </w:rPr>
        <w:t>bile</w:t>
      </w:r>
      <w:r w:rsidR="00D317B1">
        <w:rPr>
          <w:rFonts w:ascii="Calibri" w:eastAsia="Times New Roman" w:hAnsi="Calibri" w:cs="Segoe UI"/>
          <w:color w:val="1F4E79" w:themeColor="accent1" w:themeShade="80"/>
          <w:sz w:val="28"/>
          <w:szCs w:val="28"/>
          <w:lang w:eastAsia="it-IT"/>
        </w:rPr>
        <w:t>, infatti,</w:t>
      </w:r>
      <w:r w:rsidRPr="00B208E4">
        <w:rPr>
          <w:rFonts w:ascii="Calibri" w:eastAsia="Times New Roman" w:hAnsi="Calibri" w:cs="Segoe UI"/>
          <w:color w:val="1F4E79" w:themeColor="accent1" w:themeShade="80"/>
          <w:sz w:val="28"/>
          <w:szCs w:val="28"/>
          <w:lang w:eastAsia="it-IT"/>
        </w:rPr>
        <w:t xml:space="preserve"> che la Corte </w:t>
      </w:r>
      <w:r w:rsidR="00B90DF8" w:rsidRPr="00B208E4">
        <w:rPr>
          <w:rFonts w:ascii="Calibri" w:eastAsia="Times New Roman" w:hAnsi="Calibri" w:cs="Segoe UI"/>
          <w:color w:val="1F4E79" w:themeColor="accent1" w:themeShade="80"/>
          <w:sz w:val="28"/>
          <w:szCs w:val="28"/>
          <w:lang w:eastAsia="it-IT"/>
        </w:rPr>
        <w:t xml:space="preserve">comprenderà </w:t>
      </w:r>
      <w:r w:rsidR="00D62A76" w:rsidRPr="00B208E4">
        <w:rPr>
          <w:rFonts w:ascii="Calibri" w:eastAsia="Times New Roman" w:hAnsi="Calibri" w:cs="Segoe UI"/>
          <w:color w:val="1F4E79" w:themeColor="accent1" w:themeShade="80"/>
          <w:sz w:val="28"/>
          <w:szCs w:val="28"/>
          <w:lang w:eastAsia="it-IT"/>
        </w:rPr>
        <w:t xml:space="preserve">agevolmente </w:t>
      </w:r>
      <w:r w:rsidR="00B90DF8" w:rsidRPr="00B208E4">
        <w:rPr>
          <w:rFonts w:ascii="Calibri" w:eastAsia="Times New Roman" w:hAnsi="Calibri" w:cs="Segoe UI"/>
          <w:color w:val="1F4E79" w:themeColor="accent1" w:themeShade="80"/>
          <w:sz w:val="28"/>
          <w:szCs w:val="28"/>
          <w:lang w:eastAsia="it-IT"/>
        </w:rPr>
        <w:t>la portata tutta “interna”</w:t>
      </w:r>
      <w:r w:rsidR="00C840EC">
        <w:rPr>
          <w:rFonts w:ascii="Calibri" w:eastAsia="Times New Roman" w:hAnsi="Calibri" w:cs="Segoe UI"/>
          <w:color w:val="1F4E79" w:themeColor="accent1" w:themeShade="80"/>
          <w:sz w:val="28"/>
          <w:szCs w:val="28"/>
          <w:lang w:eastAsia="it-IT"/>
        </w:rPr>
        <w:t xml:space="preserve"> all’ordinamento italiano</w:t>
      </w:r>
      <w:r w:rsidR="00B90DF8" w:rsidRPr="00B208E4">
        <w:rPr>
          <w:rFonts w:ascii="Calibri" w:eastAsia="Times New Roman" w:hAnsi="Calibri" w:cs="Segoe UI"/>
          <w:color w:val="1F4E79" w:themeColor="accent1" w:themeShade="80"/>
          <w:sz w:val="28"/>
          <w:szCs w:val="28"/>
          <w:lang w:eastAsia="it-IT"/>
        </w:rPr>
        <w:t xml:space="preserve"> del contrasto interpretativ</w:t>
      </w:r>
      <w:r w:rsidR="004F330F">
        <w:rPr>
          <w:rFonts w:ascii="Calibri" w:eastAsia="Times New Roman" w:hAnsi="Calibri" w:cs="Segoe UI"/>
          <w:color w:val="1F4E79" w:themeColor="accent1" w:themeShade="80"/>
          <w:sz w:val="28"/>
          <w:szCs w:val="28"/>
          <w:lang w:eastAsia="it-IT"/>
        </w:rPr>
        <w:t>o in atto e che, contrariamente</w:t>
      </w:r>
      <w:r w:rsidR="00B90DF8" w:rsidRPr="00B208E4">
        <w:rPr>
          <w:rFonts w:ascii="Calibri" w:eastAsia="Times New Roman" w:hAnsi="Calibri" w:cs="Segoe UI"/>
          <w:color w:val="1F4E79" w:themeColor="accent1" w:themeShade="80"/>
          <w:sz w:val="28"/>
          <w:szCs w:val="28"/>
          <w:lang w:eastAsia="it-IT"/>
        </w:rPr>
        <w:t xml:space="preserve"> alle aspettative della Cassazione, non </w:t>
      </w:r>
      <w:r w:rsidR="000E0112" w:rsidRPr="00B208E4">
        <w:rPr>
          <w:rFonts w:ascii="Calibri" w:eastAsia="Times New Roman" w:hAnsi="Calibri" w:cs="Segoe UI"/>
          <w:color w:val="1F4E79" w:themeColor="accent1" w:themeShade="80"/>
          <w:sz w:val="28"/>
          <w:szCs w:val="28"/>
          <w:lang w:eastAsia="it-IT"/>
        </w:rPr>
        <w:t>si appassionerà affatto al dibattito in corso nell’ambiente</w:t>
      </w:r>
      <w:r w:rsidR="00C840EC">
        <w:rPr>
          <w:rFonts w:ascii="Calibri" w:eastAsia="Times New Roman" w:hAnsi="Calibri" w:cs="Segoe UI"/>
          <w:color w:val="1F4E79" w:themeColor="accent1" w:themeShade="80"/>
          <w:sz w:val="28"/>
          <w:szCs w:val="28"/>
          <w:lang w:eastAsia="it-IT"/>
        </w:rPr>
        <w:t xml:space="preserve"> nazionale</w:t>
      </w:r>
      <w:r w:rsidR="00D317B1">
        <w:rPr>
          <w:rFonts w:ascii="Calibri" w:eastAsia="Times New Roman" w:hAnsi="Calibri" w:cs="Segoe UI"/>
          <w:color w:val="1F4E79" w:themeColor="accent1" w:themeShade="80"/>
          <w:sz w:val="28"/>
          <w:szCs w:val="28"/>
          <w:lang w:eastAsia="it-IT"/>
        </w:rPr>
        <w:t>.</w:t>
      </w:r>
    </w:p>
    <w:p w:rsidR="00C840EC" w:rsidRDefault="000E0112"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Pur apprezzandone l’importanza, </w:t>
      </w:r>
      <w:r w:rsidR="005C6F1B" w:rsidRPr="00B208E4">
        <w:rPr>
          <w:rFonts w:ascii="Calibri" w:eastAsia="Times New Roman" w:hAnsi="Calibri" w:cs="Segoe UI"/>
          <w:color w:val="1F4E79" w:themeColor="accent1" w:themeShade="80"/>
          <w:sz w:val="28"/>
          <w:szCs w:val="28"/>
          <w:lang w:eastAsia="it-IT"/>
        </w:rPr>
        <w:t xml:space="preserve">infatti, </w:t>
      </w:r>
      <w:r w:rsidR="00DF0DB6" w:rsidRPr="00B208E4">
        <w:rPr>
          <w:rFonts w:ascii="Calibri" w:eastAsia="Times New Roman" w:hAnsi="Calibri" w:cs="Segoe UI"/>
          <w:color w:val="1F4E79" w:themeColor="accent1" w:themeShade="80"/>
          <w:sz w:val="28"/>
          <w:szCs w:val="28"/>
          <w:lang w:eastAsia="it-IT"/>
        </w:rPr>
        <w:t xml:space="preserve">la CGUE </w:t>
      </w:r>
      <w:r w:rsidRPr="00B208E4">
        <w:rPr>
          <w:rFonts w:ascii="Calibri" w:eastAsia="Times New Roman" w:hAnsi="Calibri" w:cs="Segoe UI"/>
          <w:color w:val="1F4E79" w:themeColor="accent1" w:themeShade="80"/>
          <w:sz w:val="28"/>
          <w:szCs w:val="28"/>
          <w:lang w:eastAsia="it-IT"/>
        </w:rPr>
        <w:t xml:space="preserve">non lo dovrebbe considerare </w:t>
      </w:r>
      <w:r w:rsidR="00D317B1">
        <w:rPr>
          <w:rFonts w:ascii="Calibri" w:eastAsia="Times New Roman" w:hAnsi="Calibri" w:cs="Segoe UI"/>
          <w:color w:val="1F4E79" w:themeColor="accent1" w:themeShade="80"/>
          <w:sz w:val="28"/>
          <w:szCs w:val="28"/>
          <w:lang w:eastAsia="it-IT"/>
        </w:rPr>
        <w:t xml:space="preserve">particolarmente </w:t>
      </w:r>
      <w:r w:rsidR="007666E8" w:rsidRPr="00B208E4">
        <w:rPr>
          <w:rFonts w:ascii="Calibri" w:eastAsia="Times New Roman" w:hAnsi="Calibri" w:cs="Segoe UI"/>
          <w:color w:val="1F4E79" w:themeColor="accent1" w:themeShade="80"/>
          <w:sz w:val="28"/>
          <w:szCs w:val="28"/>
          <w:lang w:eastAsia="it-IT"/>
        </w:rPr>
        <w:t>rilevante</w:t>
      </w:r>
      <w:r w:rsidRPr="00B208E4">
        <w:rPr>
          <w:rFonts w:ascii="Calibri" w:eastAsia="Times New Roman" w:hAnsi="Calibri" w:cs="Segoe UI"/>
          <w:color w:val="1F4E79" w:themeColor="accent1" w:themeShade="80"/>
          <w:sz w:val="28"/>
          <w:szCs w:val="28"/>
          <w:lang w:eastAsia="it-IT"/>
        </w:rPr>
        <w:t xml:space="preserve"> ai fini delle valutazioni di sua </w:t>
      </w:r>
      <w:r w:rsidR="00C840EC">
        <w:rPr>
          <w:rFonts w:ascii="Calibri" w:eastAsia="Times New Roman" w:hAnsi="Calibri" w:cs="Segoe UI"/>
          <w:color w:val="1F4E79" w:themeColor="accent1" w:themeShade="80"/>
          <w:sz w:val="28"/>
          <w:szCs w:val="28"/>
          <w:lang w:eastAsia="it-IT"/>
        </w:rPr>
        <w:t xml:space="preserve">stretta </w:t>
      </w:r>
      <w:r w:rsidRPr="00B208E4">
        <w:rPr>
          <w:rFonts w:ascii="Calibri" w:eastAsia="Times New Roman" w:hAnsi="Calibri" w:cs="Segoe UI"/>
          <w:color w:val="1F4E79" w:themeColor="accent1" w:themeShade="80"/>
          <w:sz w:val="28"/>
          <w:szCs w:val="28"/>
          <w:lang w:eastAsia="it-IT"/>
        </w:rPr>
        <w:t>competenza</w:t>
      </w:r>
      <w:r w:rsidR="00C840EC">
        <w:rPr>
          <w:rFonts w:ascii="Calibri" w:eastAsia="Times New Roman" w:hAnsi="Calibri" w:cs="Segoe UI"/>
          <w:color w:val="1F4E79" w:themeColor="accent1" w:themeShade="80"/>
          <w:sz w:val="28"/>
          <w:szCs w:val="28"/>
          <w:lang w:eastAsia="it-IT"/>
        </w:rPr>
        <w:t>.</w:t>
      </w:r>
    </w:p>
    <w:p w:rsidR="0090136C" w:rsidRPr="00B208E4" w:rsidRDefault="00C840EC"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La CGUE</w:t>
      </w:r>
      <w:r w:rsidR="005C6F1B" w:rsidRPr="00B208E4">
        <w:rPr>
          <w:rFonts w:ascii="Calibri" w:eastAsia="Times New Roman" w:hAnsi="Calibri" w:cs="Segoe UI"/>
          <w:color w:val="1F4E79" w:themeColor="accent1" w:themeShade="80"/>
          <w:sz w:val="28"/>
          <w:szCs w:val="28"/>
          <w:lang w:eastAsia="it-IT"/>
        </w:rPr>
        <w:t xml:space="preserve"> n</w:t>
      </w:r>
      <w:r>
        <w:rPr>
          <w:rFonts w:ascii="Calibri" w:eastAsia="Times New Roman" w:hAnsi="Calibri" w:cs="Segoe UI"/>
          <w:color w:val="1F4E79" w:themeColor="accent1" w:themeShade="80"/>
          <w:sz w:val="28"/>
          <w:szCs w:val="28"/>
          <w:lang w:eastAsia="it-IT"/>
        </w:rPr>
        <w:t>on</w:t>
      </w:r>
      <w:r w:rsidR="005C6F1B" w:rsidRPr="00B208E4">
        <w:rPr>
          <w:rFonts w:ascii="Calibri" w:eastAsia="Times New Roman" w:hAnsi="Calibri" w:cs="Segoe UI"/>
          <w:color w:val="1F4E79" w:themeColor="accent1" w:themeShade="80"/>
          <w:sz w:val="28"/>
          <w:szCs w:val="28"/>
          <w:lang w:eastAsia="it-IT"/>
        </w:rPr>
        <w:t xml:space="preserve"> ha motivo per assumere una posizione </w:t>
      </w:r>
      <w:r w:rsidR="00D62A76" w:rsidRPr="00B208E4">
        <w:rPr>
          <w:rFonts w:ascii="Calibri" w:eastAsia="Times New Roman" w:hAnsi="Calibri" w:cs="Segoe UI"/>
          <w:color w:val="1F4E79" w:themeColor="accent1" w:themeShade="80"/>
          <w:sz w:val="28"/>
          <w:szCs w:val="28"/>
          <w:lang w:eastAsia="it-IT"/>
        </w:rPr>
        <w:t xml:space="preserve">rigida, di accoglimento o di reiezione della prospettazione della Cassazione, </w:t>
      </w:r>
      <w:r w:rsidR="005C6F1B" w:rsidRPr="00B208E4">
        <w:rPr>
          <w:rFonts w:ascii="Calibri" w:eastAsia="Times New Roman" w:hAnsi="Calibri" w:cs="Segoe UI"/>
          <w:color w:val="1F4E79" w:themeColor="accent1" w:themeShade="80"/>
          <w:sz w:val="28"/>
          <w:szCs w:val="28"/>
          <w:lang w:eastAsia="it-IT"/>
        </w:rPr>
        <w:t xml:space="preserve">destinata </w:t>
      </w:r>
      <w:r w:rsidR="00A55E33" w:rsidRPr="00B208E4">
        <w:rPr>
          <w:rFonts w:ascii="Calibri" w:eastAsia="Times New Roman" w:hAnsi="Calibri" w:cs="Segoe UI"/>
          <w:color w:val="1F4E79" w:themeColor="accent1" w:themeShade="80"/>
          <w:sz w:val="28"/>
          <w:szCs w:val="28"/>
          <w:lang w:eastAsia="it-IT"/>
        </w:rPr>
        <w:t>a segnare la sconfitta per una delle due Corti, con riflessi ordinamentali rilevantissimi anche sul ruolo della giurisdizione superiore amministrativa.</w:t>
      </w:r>
      <w:r w:rsidR="00D62A76" w:rsidRPr="00B208E4">
        <w:rPr>
          <w:rFonts w:ascii="Calibri" w:eastAsia="Times New Roman" w:hAnsi="Calibri" w:cs="Segoe UI"/>
          <w:color w:val="1F4E79" w:themeColor="accent1" w:themeShade="80"/>
          <w:sz w:val="28"/>
          <w:szCs w:val="28"/>
          <w:lang w:eastAsia="it-IT"/>
        </w:rPr>
        <w:t xml:space="preserve"> Alimentare la crisi nei rapporti interni </w:t>
      </w:r>
      <w:r w:rsidR="004F330F">
        <w:rPr>
          <w:rFonts w:ascii="Calibri" w:eastAsia="Times New Roman" w:hAnsi="Calibri" w:cs="Segoe UI"/>
          <w:color w:val="1F4E79" w:themeColor="accent1" w:themeShade="80"/>
          <w:sz w:val="28"/>
          <w:szCs w:val="28"/>
          <w:lang w:eastAsia="it-IT"/>
        </w:rPr>
        <w:t xml:space="preserve">tra le giurisdizioni </w:t>
      </w:r>
      <w:r w:rsidR="00D62A76" w:rsidRPr="00B208E4">
        <w:rPr>
          <w:rFonts w:ascii="Calibri" w:eastAsia="Times New Roman" w:hAnsi="Calibri" w:cs="Segoe UI"/>
          <w:color w:val="1F4E79" w:themeColor="accent1" w:themeShade="80"/>
          <w:sz w:val="28"/>
          <w:szCs w:val="28"/>
          <w:lang w:eastAsia="it-IT"/>
        </w:rPr>
        <w:t>non potrebbe che danneggiare la stessa armonica e lineare applicazione del diritto UE.</w:t>
      </w:r>
    </w:p>
    <w:p w:rsidR="000E0112" w:rsidRPr="00B208E4" w:rsidRDefault="00A55E33"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La previsione di una soluzione </w:t>
      </w:r>
      <w:r w:rsidR="00C840EC">
        <w:rPr>
          <w:rFonts w:ascii="Calibri" w:eastAsia="Times New Roman" w:hAnsi="Calibri" w:cs="Segoe UI"/>
          <w:color w:val="1F4E79" w:themeColor="accent1" w:themeShade="80"/>
          <w:sz w:val="28"/>
          <w:szCs w:val="28"/>
          <w:lang w:eastAsia="it-IT"/>
        </w:rPr>
        <w:t>misurata</w:t>
      </w:r>
      <w:r w:rsidRPr="00B208E4">
        <w:rPr>
          <w:rFonts w:ascii="Calibri" w:eastAsia="Times New Roman" w:hAnsi="Calibri" w:cs="Segoe UI"/>
          <w:color w:val="1F4E79" w:themeColor="accent1" w:themeShade="80"/>
          <w:sz w:val="28"/>
          <w:szCs w:val="28"/>
          <w:lang w:eastAsia="it-IT"/>
        </w:rPr>
        <w:t xml:space="preserve"> e </w:t>
      </w:r>
      <w:r w:rsidRPr="004F330F">
        <w:rPr>
          <w:rFonts w:ascii="Calibri" w:eastAsia="Times New Roman" w:hAnsi="Calibri" w:cs="Segoe UI"/>
          <w:i/>
          <w:color w:val="1F4E79" w:themeColor="accent1" w:themeShade="80"/>
          <w:sz w:val="28"/>
          <w:szCs w:val="28"/>
          <w:lang w:eastAsia="it-IT"/>
        </w:rPr>
        <w:t>leggera</w:t>
      </w:r>
      <w:r w:rsidRPr="00B208E4">
        <w:rPr>
          <w:rFonts w:ascii="Calibri" w:eastAsia="Times New Roman" w:hAnsi="Calibri" w:cs="Segoe UI"/>
          <w:color w:val="1F4E79" w:themeColor="accent1" w:themeShade="80"/>
          <w:sz w:val="28"/>
          <w:szCs w:val="28"/>
          <w:lang w:eastAsia="it-IT"/>
        </w:rPr>
        <w:t xml:space="preserve"> della CGUE d</w:t>
      </w:r>
      <w:r w:rsidR="00E54835" w:rsidRPr="00B208E4">
        <w:rPr>
          <w:rFonts w:ascii="Calibri" w:eastAsia="Times New Roman" w:hAnsi="Calibri" w:cs="Segoe UI"/>
          <w:color w:val="1F4E79" w:themeColor="accent1" w:themeShade="80"/>
          <w:sz w:val="28"/>
          <w:szCs w:val="28"/>
          <w:lang w:eastAsia="it-IT"/>
        </w:rPr>
        <w:t>e</w:t>
      </w:r>
      <w:r w:rsidRPr="00B208E4">
        <w:rPr>
          <w:rFonts w:ascii="Calibri" w:eastAsia="Times New Roman" w:hAnsi="Calibri" w:cs="Segoe UI"/>
          <w:color w:val="1F4E79" w:themeColor="accent1" w:themeShade="80"/>
          <w:sz w:val="28"/>
          <w:szCs w:val="28"/>
          <w:lang w:eastAsia="it-IT"/>
        </w:rPr>
        <w:t>riva da</w:t>
      </w:r>
      <w:r w:rsidR="000E0112" w:rsidRPr="00B208E4">
        <w:rPr>
          <w:rFonts w:ascii="Calibri" w:eastAsia="Times New Roman" w:hAnsi="Calibri" w:cs="Segoe UI"/>
          <w:color w:val="1F4E79" w:themeColor="accent1" w:themeShade="80"/>
          <w:sz w:val="28"/>
          <w:szCs w:val="28"/>
          <w:lang w:eastAsia="it-IT"/>
        </w:rPr>
        <w:t xml:space="preserve"> due ragioni solo apparentemente contraddittorie: la questione </w:t>
      </w:r>
      <w:r w:rsidR="00706D0D" w:rsidRPr="00B208E4">
        <w:rPr>
          <w:rFonts w:ascii="Calibri" w:eastAsia="Times New Roman" w:hAnsi="Calibri" w:cs="Segoe UI"/>
          <w:color w:val="1F4E79" w:themeColor="accent1" w:themeShade="80"/>
          <w:sz w:val="28"/>
          <w:szCs w:val="28"/>
          <w:lang w:eastAsia="it-IT"/>
        </w:rPr>
        <w:t xml:space="preserve">sollevata dalla Cassazione </w:t>
      </w:r>
      <w:r w:rsidR="000E0112" w:rsidRPr="00B208E4">
        <w:rPr>
          <w:rFonts w:ascii="Calibri" w:eastAsia="Times New Roman" w:hAnsi="Calibri" w:cs="Segoe UI"/>
          <w:color w:val="1F4E79" w:themeColor="accent1" w:themeShade="80"/>
          <w:sz w:val="28"/>
          <w:szCs w:val="28"/>
          <w:lang w:eastAsia="it-IT"/>
        </w:rPr>
        <w:t xml:space="preserve">è, al tempo stesso, </w:t>
      </w:r>
      <w:r w:rsidR="000E0112" w:rsidRPr="00C840EC">
        <w:rPr>
          <w:rFonts w:ascii="Calibri" w:eastAsia="Times New Roman" w:hAnsi="Calibri" w:cs="Segoe UI"/>
          <w:i/>
          <w:color w:val="1F4E79" w:themeColor="accent1" w:themeShade="80"/>
          <w:sz w:val="28"/>
          <w:szCs w:val="28"/>
          <w:lang w:eastAsia="it-IT"/>
        </w:rPr>
        <w:t>troppo semplice</w:t>
      </w:r>
      <w:r w:rsidR="000E0112" w:rsidRPr="00B208E4">
        <w:rPr>
          <w:rFonts w:ascii="Calibri" w:eastAsia="Times New Roman" w:hAnsi="Calibri" w:cs="Segoe UI"/>
          <w:color w:val="1F4E79" w:themeColor="accent1" w:themeShade="80"/>
          <w:sz w:val="28"/>
          <w:szCs w:val="28"/>
          <w:lang w:eastAsia="it-IT"/>
        </w:rPr>
        <w:t xml:space="preserve"> e </w:t>
      </w:r>
      <w:r w:rsidR="000E0112" w:rsidRPr="00C840EC">
        <w:rPr>
          <w:rFonts w:ascii="Calibri" w:eastAsia="Times New Roman" w:hAnsi="Calibri" w:cs="Segoe UI"/>
          <w:i/>
          <w:color w:val="1F4E79" w:themeColor="accent1" w:themeShade="80"/>
          <w:sz w:val="28"/>
          <w:szCs w:val="28"/>
          <w:lang w:eastAsia="it-IT"/>
        </w:rPr>
        <w:t>troppo complicata</w:t>
      </w:r>
      <w:r w:rsidR="000E0112" w:rsidRPr="00B208E4">
        <w:rPr>
          <w:rFonts w:ascii="Calibri" w:eastAsia="Times New Roman" w:hAnsi="Calibri" w:cs="Segoe UI"/>
          <w:color w:val="1F4E79" w:themeColor="accent1" w:themeShade="80"/>
          <w:sz w:val="28"/>
          <w:szCs w:val="28"/>
          <w:lang w:eastAsia="it-IT"/>
        </w:rPr>
        <w:t xml:space="preserve"> per </w:t>
      </w:r>
      <w:r w:rsidR="00E31EE6" w:rsidRPr="00B208E4">
        <w:rPr>
          <w:rFonts w:ascii="Calibri" w:eastAsia="Times New Roman" w:hAnsi="Calibri" w:cs="Segoe UI"/>
          <w:color w:val="1F4E79" w:themeColor="accent1" w:themeShade="80"/>
          <w:sz w:val="28"/>
          <w:szCs w:val="28"/>
          <w:lang w:eastAsia="it-IT"/>
        </w:rPr>
        <w:t>giustificare un’analisi approfondita</w:t>
      </w:r>
      <w:r w:rsidR="00706D0D" w:rsidRPr="00B208E4">
        <w:rPr>
          <w:rFonts w:ascii="Calibri" w:eastAsia="Times New Roman" w:hAnsi="Calibri" w:cs="Segoe UI"/>
          <w:color w:val="1F4E79" w:themeColor="accent1" w:themeShade="80"/>
          <w:sz w:val="28"/>
          <w:szCs w:val="28"/>
          <w:lang w:eastAsia="it-IT"/>
        </w:rPr>
        <w:t xml:space="preserve"> de</w:t>
      </w:r>
      <w:r w:rsidR="00D62A76" w:rsidRPr="00B208E4">
        <w:rPr>
          <w:rFonts w:ascii="Calibri" w:eastAsia="Times New Roman" w:hAnsi="Calibri" w:cs="Segoe UI"/>
          <w:color w:val="1F4E79" w:themeColor="accent1" w:themeShade="80"/>
          <w:sz w:val="28"/>
          <w:szCs w:val="28"/>
          <w:lang w:eastAsia="it-IT"/>
        </w:rPr>
        <w:t>l concetto</w:t>
      </w:r>
      <w:r w:rsidR="00706D0D" w:rsidRPr="00B208E4">
        <w:rPr>
          <w:rFonts w:ascii="Calibri" w:eastAsia="Times New Roman" w:hAnsi="Calibri" w:cs="Segoe UI"/>
          <w:color w:val="1F4E79" w:themeColor="accent1" w:themeShade="80"/>
          <w:sz w:val="28"/>
          <w:szCs w:val="28"/>
          <w:lang w:eastAsia="it-IT"/>
        </w:rPr>
        <w:t xml:space="preserve"> di </w:t>
      </w:r>
      <w:r w:rsidR="00706D0D" w:rsidRPr="00B208E4">
        <w:rPr>
          <w:rFonts w:ascii="Calibri" w:eastAsia="Times New Roman" w:hAnsi="Calibri" w:cs="Segoe UI"/>
          <w:i/>
          <w:color w:val="1F4E79" w:themeColor="accent1" w:themeShade="80"/>
          <w:sz w:val="28"/>
          <w:szCs w:val="28"/>
          <w:lang w:eastAsia="it-IT"/>
        </w:rPr>
        <w:t>giurisdizione</w:t>
      </w:r>
      <w:r w:rsidR="00D62A76" w:rsidRPr="00B208E4">
        <w:rPr>
          <w:rFonts w:ascii="Calibri" w:eastAsia="Times New Roman" w:hAnsi="Calibri" w:cs="Segoe UI"/>
          <w:color w:val="1F4E79" w:themeColor="accent1" w:themeShade="80"/>
          <w:sz w:val="28"/>
          <w:szCs w:val="28"/>
          <w:lang w:eastAsia="it-IT"/>
        </w:rPr>
        <w:t xml:space="preserve"> nel sistema italiano</w:t>
      </w:r>
      <w:r w:rsidR="00706D0D" w:rsidRPr="00B208E4">
        <w:rPr>
          <w:rFonts w:ascii="Calibri" w:eastAsia="Times New Roman" w:hAnsi="Calibri" w:cs="Segoe UI"/>
          <w:color w:val="1F4E79" w:themeColor="accent1" w:themeShade="80"/>
          <w:sz w:val="28"/>
          <w:szCs w:val="28"/>
          <w:lang w:eastAsia="it-IT"/>
        </w:rPr>
        <w:t xml:space="preserve">, </w:t>
      </w:r>
      <w:r w:rsidR="00DF0DB6" w:rsidRPr="00B208E4">
        <w:rPr>
          <w:rFonts w:ascii="Calibri" w:eastAsia="Times New Roman" w:hAnsi="Calibri" w:cs="Segoe UI"/>
          <w:color w:val="1F4E79" w:themeColor="accent1" w:themeShade="80"/>
          <w:sz w:val="28"/>
          <w:szCs w:val="28"/>
          <w:lang w:eastAsia="it-IT"/>
        </w:rPr>
        <w:t xml:space="preserve">e del correlato </w:t>
      </w:r>
      <w:r w:rsidR="00D62A76" w:rsidRPr="00B208E4">
        <w:rPr>
          <w:rFonts w:ascii="Calibri" w:eastAsia="Times New Roman" w:hAnsi="Calibri" w:cs="Segoe UI"/>
          <w:color w:val="1F4E79" w:themeColor="accent1" w:themeShade="80"/>
          <w:sz w:val="28"/>
          <w:szCs w:val="28"/>
          <w:lang w:eastAsia="it-IT"/>
        </w:rPr>
        <w:t xml:space="preserve">ambito del </w:t>
      </w:r>
      <w:r w:rsidR="00706D0D" w:rsidRPr="00B208E4">
        <w:rPr>
          <w:rFonts w:ascii="Calibri" w:eastAsia="Times New Roman" w:hAnsi="Calibri" w:cs="Segoe UI"/>
          <w:color w:val="1F4E79" w:themeColor="accent1" w:themeShade="80"/>
          <w:sz w:val="28"/>
          <w:szCs w:val="28"/>
          <w:lang w:eastAsia="it-IT"/>
        </w:rPr>
        <w:t>sindacato della Cassazione</w:t>
      </w:r>
      <w:r w:rsidR="00DF0DB6" w:rsidRPr="00B208E4">
        <w:rPr>
          <w:rFonts w:ascii="Calibri" w:eastAsia="Times New Roman" w:hAnsi="Calibri" w:cs="Segoe UI"/>
          <w:color w:val="1F4E79" w:themeColor="accent1" w:themeShade="80"/>
          <w:sz w:val="28"/>
          <w:szCs w:val="28"/>
          <w:lang w:eastAsia="it-IT"/>
        </w:rPr>
        <w:t xml:space="preserve"> ex art. 111, co. </w:t>
      </w:r>
      <w:r w:rsidR="00C840EC" w:rsidRPr="00B208E4">
        <w:rPr>
          <w:rFonts w:ascii="Calibri" w:eastAsia="Times New Roman" w:hAnsi="Calibri" w:cs="Segoe UI"/>
          <w:color w:val="1F4E79" w:themeColor="accent1" w:themeShade="80"/>
          <w:sz w:val="28"/>
          <w:szCs w:val="28"/>
          <w:lang w:eastAsia="it-IT"/>
        </w:rPr>
        <w:t>O</w:t>
      </w:r>
      <w:r w:rsidR="00DF0DB6" w:rsidRPr="00B208E4">
        <w:rPr>
          <w:rFonts w:ascii="Calibri" w:eastAsia="Times New Roman" w:hAnsi="Calibri" w:cs="Segoe UI"/>
          <w:color w:val="1F4E79" w:themeColor="accent1" w:themeShade="80"/>
          <w:sz w:val="28"/>
          <w:szCs w:val="28"/>
          <w:lang w:eastAsia="it-IT"/>
        </w:rPr>
        <w:t>ttavo</w:t>
      </w:r>
      <w:r w:rsidR="00C840EC">
        <w:rPr>
          <w:rFonts w:ascii="Calibri" w:eastAsia="Times New Roman" w:hAnsi="Calibri" w:cs="Segoe UI"/>
          <w:color w:val="1F4E79" w:themeColor="accent1" w:themeShade="80"/>
          <w:sz w:val="28"/>
          <w:szCs w:val="28"/>
          <w:lang w:eastAsia="it-IT"/>
        </w:rPr>
        <w:t>,</w:t>
      </w:r>
      <w:r w:rsidR="00DF0DB6" w:rsidRPr="00B208E4">
        <w:rPr>
          <w:rFonts w:ascii="Calibri" w:eastAsia="Times New Roman" w:hAnsi="Calibri" w:cs="Segoe UI"/>
          <w:color w:val="1F4E79" w:themeColor="accent1" w:themeShade="80"/>
          <w:sz w:val="28"/>
          <w:szCs w:val="28"/>
          <w:lang w:eastAsia="it-IT"/>
        </w:rPr>
        <w:t xml:space="preserve"> della Cost</w:t>
      </w:r>
      <w:r w:rsidR="00E31EE6" w:rsidRPr="00B208E4">
        <w:rPr>
          <w:rFonts w:ascii="Calibri" w:eastAsia="Times New Roman" w:hAnsi="Calibri" w:cs="Segoe UI"/>
          <w:color w:val="1F4E79" w:themeColor="accent1" w:themeShade="80"/>
          <w:sz w:val="28"/>
          <w:szCs w:val="28"/>
          <w:lang w:eastAsia="it-IT"/>
        </w:rPr>
        <w:t>.</w:t>
      </w:r>
    </w:p>
    <w:p w:rsidR="00C840EC" w:rsidRDefault="00E31EE6"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C840EC">
        <w:rPr>
          <w:rFonts w:ascii="Calibri" w:eastAsia="Times New Roman" w:hAnsi="Calibri" w:cs="Segoe UI"/>
          <w:i/>
          <w:color w:val="1F4E79" w:themeColor="accent1" w:themeShade="80"/>
          <w:sz w:val="28"/>
          <w:szCs w:val="28"/>
          <w:lang w:eastAsia="it-IT"/>
        </w:rPr>
        <w:t>Troppo semplice</w:t>
      </w:r>
      <w:r w:rsidRPr="00B208E4">
        <w:rPr>
          <w:rFonts w:ascii="Calibri" w:eastAsia="Times New Roman" w:hAnsi="Calibri" w:cs="Segoe UI"/>
          <w:color w:val="1F4E79" w:themeColor="accent1" w:themeShade="80"/>
          <w:sz w:val="28"/>
          <w:szCs w:val="28"/>
          <w:lang w:eastAsia="it-IT"/>
        </w:rPr>
        <w:t xml:space="preserve">, perché, in </w:t>
      </w:r>
      <w:r w:rsidR="007666E8" w:rsidRPr="00B208E4">
        <w:rPr>
          <w:rFonts w:ascii="Calibri" w:eastAsia="Times New Roman" w:hAnsi="Calibri" w:cs="Segoe UI"/>
          <w:color w:val="1F4E79" w:themeColor="accent1" w:themeShade="80"/>
          <w:sz w:val="28"/>
          <w:szCs w:val="28"/>
          <w:lang w:eastAsia="it-IT"/>
        </w:rPr>
        <w:t>fondo, dal punto di vista del diritto europeo, si tratta</w:t>
      </w:r>
      <w:r w:rsidR="00D317B1">
        <w:rPr>
          <w:rFonts w:ascii="Calibri" w:eastAsia="Times New Roman" w:hAnsi="Calibri" w:cs="Segoe UI"/>
          <w:color w:val="1F4E79" w:themeColor="accent1" w:themeShade="80"/>
          <w:sz w:val="28"/>
          <w:szCs w:val="28"/>
          <w:lang w:eastAsia="it-IT"/>
        </w:rPr>
        <w:t xml:space="preserve"> solo</w:t>
      </w:r>
      <w:r w:rsidR="007666E8" w:rsidRPr="00B208E4">
        <w:rPr>
          <w:rFonts w:ascii="Calibri" w:eastAsia="Times New Roman" w:hAnsi="Calibri" w:cs="Segoe UI"/>
          <w:color w:val="1F4E79" w:themeColor="accent1" w:themeShade="80"/>
          <w:sz w:val="28"/>
          <w:szCs w:val="28"/>
          <w:lang w:eastAsia="it-IT"/>
        </w:rPr>
        <w:t xml:space="preserve"> di stabilire </w:t>
      </w:r>
      <w:r w:rsidR="00F36C2E" w:rsidRPr="00B208E4">
        <w:rPr>
          <w:rFonts w:ascii="Calibri" w:eastAsia="Times New Roman" w:hAnsi="Calibri" w:cs="Segoe UI"/>
          <w:color w:val="1F4E79" w:themeColor="accent1" w:themeShade="80"/>
          <w:sz w:val="28"/>
          <w:szCs w:val="28"/>
          <w:lang w:eastAsia="it-IT"/>
        </w:rPr>
        <w:t xml:space="preserve">se </w:t>
      </w:r>
      <w:r w:rsidR="00C840EC">
        <w:rPr>
          <w:rFonts w:ascii="Calibri" w:eastAsia="Times New Roman" w:hAnsi="Calibri" w:cs="Segoe UI"/>
          <w:color w:val="1F4E79" w:themeColor="accent1" w:themeShade="80"/>
          <w:sz w:val="28"/>
          <w:szCs w:val="28"/>
          <w:lang w:eastAsia="it-IT"/>
        </w:rPr>
        <w:t xml:space="preserve">nella propria autonomia procedurale, l’ordinamento italiano abbia rispettato gli standard europei di </w:t>
      </w:r>
      <w:r w:rsidR="00C840EC" w:rsidRPr="00D317B1">
        <w:rPr>
          <w:rFonts w:ascii="Calibri" w:eastAsia="Times New Roman" w:hAnsi="Calibri" w:cs="Segoe UI"/>
          <w:i/>
          <w:color w:val="1F4E79" w:themeColor="accent1" w:themeShade="80"/>
          <w:sz w:val="28"/>
          <w:szCs w:val="28"/>
          <w:lang w:eastAsia="it-IT"/>
        </w:rPr>
        <w:t>equivalenza</w:t>
      </w:r>
      <w:r w:rsidR="00C840EC">
        <w:rPr>
          <w:rFonts w:ascii="Calibri" w:eastAsia="Times New Roman" w:hAnsi="Calibri" w:cs="Segoe UI"/>
          <w:color w:val="1F4E79" w:themeColor="accent1" w:themeShade="80"/>
          <w:sz w:val="28"/>
          <w:szCs w:val="28"/>
          <w:lang w:eastAsia="it-IT"/>
        </w:rPr>
        <w:t xml:space="preserve"> ed </w:t>
      </w:r>
      <w:r w:rsidR="00C840EC" w:rsidRPr="00D317B1">
        <w:rPr>
          <w:rFonts w:ascii="Calibri" w:eastAsia="Times New Roman" w:hAnsi="Calibri" w:cs="Segoe UI"/>
          <w:i/>
          <w:color w:val="1F4E79" w:themeColor="accent1" w:themeShade="80"/>
          <w:sz w:val="28"/>
          <w:szCs w:val="28"/>
          <w:lang w:eastAsia="it-IT"/>
        </w:rPr>
        <w:t>efficacia</w:t>
      </w:r>
      <w:r w:rsidR="00C840EC">
        <w:rPr>
          <w:rFonts w:ascii="Calibri" w:eastAsia="Times New Roman" w:hAnsi="Calibri" w:cs="Segoe UI"/>
          <w:color w:val="1F4E79" w:themeColor="accent1" w:themeShade="80"/>
          <w:sz w:val="28"/>
          <w:szCs w:val="28"/>
          <w:lang w:eastAsia="it-IT"/>
        </w:rPr>
        <w:t>, garantendo strumenti di tutela idonei a garantire la piena attuazione del diritto UE.</w:t>
      </w:r>
    </w:p>
    <w:p w:rsidR="00A85E28" w:rsidRPr="00B208E4" w:rsidRDefault="00C840EC"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Al riguardo,</w:t>
      </w:r>
      <w:r w:rsidR="004F330F">
        <w:rPr>
          <w:rFonts w:ascii="Calibri" w:eastAsia="Times New Roman" w:hAnsi="Calibri" w:cs="Segoe UI"/>
          <w:color w:val="1F4E79" w:themeColor="accent1" w:themeShade="80"/>
          <w:sz w:val="28"/>
          <w:szCs w:val="28"/>
          <w:lang w:eastAsia="it-IT"/>
        </w:rPr>
        <w:t xml:space="preserve"> tuttavia,</w:t>
      </w:r>
      <w:r>
        <w:rPr>
          <w:rFonts w:ascii="Calibri" w:eastAsia="Times New Roman" w:hAnsi="Calibri" w:cs="Segoe UI"/>
          <w:color w:val="1F4E79" w:themeColor="accent1" w:themeShade="80"/>
          <w:sz w:val="28"/>
          <w:szCs w:val="28"/>
          <w:lang w:eastAsia="it-IT"/>
        </w:rPr>
        <w:t xml:space="preserve"> </w:t>
      </w:r>
      <w:r w:rsidR="00A85E28" w:rsidRPr="00B208E4">
        <w:rPr>
          <w:rFonts w:ascii="Calibri" w:eastAsia="Times New Roman" w:hAnsi="Calibri" w:cs="Segoe UI"/>
          <w:color w:val="1F4E79" w:themeColor="accent1" w:themeShade="80"/>
          <w:sz w:val="28"/>
          <w:szCs w:val="28"/>
          <w:lang w:eastAsia="it-IT"/>
        </w:rPr>
        <w:t xml:space="preserve">l’ordinanza della Cassazione non </w:t>
      </w:r>
      <w:r w:rsidR="00DF0DB6" w:rsidRPr="00B208E4">
        <w:rPr>
          <w:rFonts w:ascii="Calibri" w:eastAsia="Times New Roman" w:hAnsi="Calibri" w:cs="Segoe UI"/>
          <w:color w:val="1F4E79" w:themeColor="accent1" w:themeShade="80"/>
          <w:sz w:val="28"/>
          <w:szCs w:val="28"/>
          <w:lang w:eastAsia="it-IT"/>
        </w:rPr>
        <w:t xml:space="preserve">menziona </w:t>
      </w:r>
      <w:r w:rsidR="00A85E28" w:rsidRPr="00B208E4">
        <w:rPr>
          <w:rFonts w:ascii="Calibri" w:eastAsia="Times New Roman" w:hAnsi="Calibri" w:cs="Segoe UI"/>
          <w:color w:val="1F4E79" w:themeColor="accent1" w:themeShade="80"/>
          <w:sz w:val="28"/>
          <w:szCs w:val="28"/>
          <w:lang w:eastAsia="it-IT"/>
        </w:rPr>
        <w:t xml:space="preserve">precedenti della giurisprudenza della CGUE che potrebbero </w:t>
      </w:r>
      <w:r w:rsidR="00040150" w:rsidRPr="00B208E4">
        <w:rPr>
          <w:rFonts w:ascii="Calibri" w:eastAsia="Times New Roman" w:hAnsi="Calibri" w:cs="Segoe UI"/>
          <w:color w:val="1F4E79" w:themeColor="accent1" w:themeShade="80"/>
          <w:sz w:val="28"/>
          <w:szCs w:val="28"/>
          <w:lang w:eastAsia="it-IT"/>
        </w:rPr>
        <w:t>giustificare l’esito interpretativo auspicato.</w:t>
      </w:r>
    </w:p>
    <w:p w:rsidR="00E54835" w:rsidRPr="00B208E4" w:rsidRDefault="008D598C"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Anzi, in senso contrario alla tesi sostenuta dall’ordinanza</w:t>
      </w:r>
      <w:r w:rsidR="00D317B1">
        <w:rPr>
          <w:rFonts w:ascii="Calibri" w:eastAsia="Times New Roman" w:hAnsi="Calibri" w:cs="Segoe UI"/>
          <w:color w:val="1F4E79" w:themeColor="accent1" w:themeShade="80"/>
          <w:sz w:val="28"/>
          <w:szCs w:val="28"/>
          <w:lang w:eastAsia="it-IT"/>
        </w:rPr>
        <w:t>,</w:t>
      </w:r>
      <w:r w:rsidRPr="00B208E4">
        <w:rPr>
          <w:rFonts w:ascii="Calibri" w:eastAsia="Times New Roman" w:hAnsi="Calibri" w:cs="Segoe UI"/>
          <w:color w:val="1F4E79" w:themeColor="accent1" w:themeShade="80"/>
          <w:sz w:val="28"/>
          <w:szCs w:val="28"/>
          <w:lang w:eastAsia="it-IT"/>
        </w:rPr>
        <w:t xml:space="preserve"> potrebbe esser</w:t>
      </w:r>
      <w:r w:rsidR="005128D5" w:rsidRPr="00B208E4">
        <w:rPr>
          <w:rFonts w:ascii="Calibri" w:eastAsia="Times New Roman" w:hAnsi="Calibri" w:cs="Segoe UI"/>
          <w:color w:val="1F4E79" w:themeColor="accent1" w:themeShade="80"/>
          <w:sz w:val="28"/>
          <w:szCs w:val="28"/>
          <w:lang w:eastAsia="it-IT"/>
        </w:rPr>
        <w:t>e</w:t>
      </w:r>
      <w:r w:rsidRPr="00B208E4">
        <w:rPr>
          <w:rFonts w:ascii="Calibri" w:eastAsia="Times New Roman" w:hAnsi="Calibri" w:cs="Segoe UI"/>
          <w:color w:val="1F4E79" w:themeColor="accent1" w:themeShade="80"/>
          <w:sz w:val="28"/>
          <w:szCs w:val="28"/>
          <w:lang w:eastAsia="it-IT"/>
        </w:rPr>
        <w:t xml:space="preserve"> sufficiente richiamare un precedente particolarmente calzante della CGUE, secondo la quale</w:t>
      </w:r>
      <w:r w:rsidR="00E54835" w:rsidRPr="00B208E4">
        <w:rPr>
          <w:rFonts w:ascii="Calibri" w:eastAsia="Times New Roman" w:hAnsi="Calibri" w:cs="Segoe UI"/>
          <w:color w:val="1F4E79" w:themeColor="accent1" w:themeShade="80"/>
          <w:sz w:val="28"/>
          <w:szCs w:val="28"/>
          <w:lang w:eastAsia="it-IT"/>
        </w:rPr>
        <w:t xml:space="preserve"> </w:t>
      </w:r>
      <w:r w:rsidRPr="00B208E4">
        <w:rPr>
          <w:rFonts w:ascii="Calibri" w:eastAsia="Times New Roman" w:hAnsi="Calibri" w:cs="Segoe UI"/>
          <w:color w:val="1F4E79" w:themeColor="accent1" w:themeShade="80"/>
          <w:sz w:val="28"/>
          <w:szCs w:val="28"/>
          <w:lang w:eastAsia="it-IT"/>
        </w:rPr>
        <w:t>“</w:t>
      </w:r>
      <w:r w:rsidRPr="00B208E4">
        <w:rPr>
          <w:rFonts w:ascii="Calibri" w:eastAsia="Times New Roman" w:hAnsi="Calibri" w:cs="Segoe UI"/>
          <w:i/>
          <w:color w:val="1F4E79" w:themeColor="accent1" w:themeShade="80"/>
          <w:sz w:val="28"/>
          <w:szCs w:val="28"/>
          <w:lang w:eastAsia="it-IT"/>
        </w:rPr>
        <w:t xml:space="preserve">il </w:t>
      </w:r>
      <w:r w:rsidR="00E54835" w:rsidRPr="00B208E4">
        <w:rPr>
          <w:rFonts w:ascii="Calibri" w:eastAsia="Times New Roman" w:hAnsi="Calibri" w:cs="Segoe UI"/>
          <w:i/>
          <w:color w:val="1F4E79" w:themeColor="accent1" w:themeShade="80"/>
          <w:sz w:val="28"/>
          <w:szCs w:val="28"/>
          <w:lang w:eastAsia="it-IT"/>
        </w:rPr>
        <w:t>diritto dell’Unione, in linea di principio, non osta a che gli Stati membri, conformemente al principio dell’autonomia processuale, limitino o subordinino a condizione i motivi che possono essere dedotti nei procedimenti per cassazione, purché siano rispettati i principi di effettività e di equivalenza</w:t>
      </w:r>
      <w:r w:rsidRPr="00B208E4">
        <w:rPr>
          <w:rFonts w:ascii="Calibri" w:eastAsia="Times New Roman" w:hAnsi="Calibri" w:cs="Segoe UI"/>
          <w:color w:val="1F4E79" w:themeColor="accent1" w:themeShade="80"/>
          <w:sz w:val="28"/>
          <w:szCs w:val="28"/>
          <w:lang w:eastAsia="it-IT"/>
        </w:rPr>
        <w:t>”</w:t>
      </w:r>
      <w:r w:rsidR="00E54835" w:rsidRPr="00B208E4">
        <w:rPr>
          <w:rFonts w:ascii="Calibri" w:eastAsia="Times New Roman" w:hAnsi="Calibri" w:cs="Segoe UI"/>
          <w:color w:val="1F4E79" w:themeColor="accent1" w:themeShade="80"/>
          <w:sz w:val="28"/>
          <w:szCs w:val="28"/>
          <w:lang w:eastAsia="it-IT"/>
        </w:rPr>
        <w:t xml:space="preserve"> (Corte di giustizia, sezione prima, 17 marzo 2016, </w:t>
      </w:r>
      <w:r w:rsidR="00E54835" w:rsidRPr="00B208E4">
        <w:rPr>
          <w:rFonts w:ascii="Calibri" w:eastAsia="Times New Roman" w:hAnsi="Calibri" w:cs="Segoe UI"/>
          <w:i/>
          <w:color w:val="1F4E79" w:themeColor="accent1" w:themeShade="80"/>
          <w:sz w:val="28"/>
          <w:szCs w:val="28"/>
          <w:lang w:eastAsia="it-IT"/>
        </w:rPr>
        <w:t>Abdelhafid Bensada Benallal</w:t>
      </w:r>
      <w:r w:rsidR="00E54835" w:rsidRPr="00B208E4">
        <w:rPr>
          <w:rFonts w:ascii="Calibri" w:eastAsia="Times New Roman" w:hAnsi="Calibri" w:cs="Segoe UI"/>
          <w:color w:val="1F4E79" w:themeColor="accent1" w:themeShade="80"/>
          <w:sz w:val="28"/>
          <w:szCs w:val="28"/>
          <w:lang w:eastAsia="it-IT"/>
        </w:rPr>
        <w:t>, C-161/15).</w:t>
      </w:r>
    </w:p>
    <w:p w:rsidR="00294AAE" w:rsidRDefault="00040150"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Ma la questione </w:t>
      </w:r>
      <w:r w:rsidR="00C840EC">
        <w:rPr>
          <w:rFonts w:ascii="Calibri" w:eastAsia="Times New Roman" w:hAnsi="Calibri" w:cs="Segoe UI"/>
          <w:color w:val="1F4E79" w:themeColor="accent1" w:themeShade="80"/>
          <w:sz w:val="28"/>
          <w:szCs w:val="28"/>
          <w:lang w:eastAsia="it-IT"/>
        </w:rPr>
        <w:t xml:space="preserve">delineata dalla Cassazione </w:t>
      </w:r>
      <w:r w:rsidRPr="00B208E4">
        <w:rPr>
          <w:rFonts w:ascii="Calibri" w:eastAsia="Times New Roman" w:hAnsi="Calibri" w:cs="Segoe UI"/>
          <w:color w:val="1F4E79" w:themeColor="accent1" w:themeShade="80"/>
          <w:sz w:val="28"/>
          <w:szCs w:val="28"/>
          <w:lang w:eastAsia="it-IT"/>
        </w:rPr>
        <w:t xml:space="preserve">è anche </w:t>
      </w:r>
      <w:r w:rsidRPr="00B208E4">
        <w:rPr>
          <w:rFonts w:ascii="Calibri" w:eastAsia="Times New Roman" w:hAnsi="Calibri" w:cs="Segoe UI"/>
          <w:i/>
          <w:color w:val="1F4E79" w:themeColor="accent1" w:themeShade="80"/>
          <w:sz w:val="28"/>
          <w:szCs w:val="28"/>
          <w:lang w:eastAsia="it-IT"/>
        </w:rPr>
        <w:t xml:space="preserve">troppo </w:t>
      </w:r>
      <w:r w:rsidR="00E31EE6" w:rsidRPr="00B208E4">
        <w:rPr>
          <w:rFonts w:ascii="Calibri" w:eastAsia="Times New Roman" w:hAnsi="Calibri" w:cs="Segoe UI"/>
          <w:i/>
          <w:color w:val="1F4E79" w:themeColor="accent1" w:themeShade="80"/>
          <w:sz w:val="28"/>
          <w:szCs w:val="28"/>
          <w:lang w:eastAsia="it-IT"/>
        </w:rPr>
        <w:t>complicata</w:t>
      </w:r>
      <w:r w:rsidR="00E31EE6" w:rsidRPr="00B208E4">
        <w:rPr>
          <w:rFonts w:ascii="Calibri" w:eastAsia="Times New Roman" w:hAnsi="Calibri" w:cs="Segoe UI"/>
          <w:color w:val="1F4E79" w:themeColor="accent1" w:themeShade="80"/>
          <w:sz w:val="28"/>
          <w:szCs w:val="28"/>
          <w:lang w:eastAsia="it-IT"/>
        </w:rPr>
        <w:t xml:space="preserve">, </w:t>
      </w:r>
      <w:r w:rsidR="008D598C" w:rsidRPr="00B208E4">
        <w:rPr>
          <w:rFonts w:ascii="Calibri" w:eastAsia="Times New Roman" w:hAnsi="Calibri" w:cs="Segoe UI"/>
          <w:color w:val="1F4E79" w:themeColor="accent1" w:themeShade="80"/>
          <w:sz w:val="28"/>
          <w:szCs w:val="28"/>
          <w:lang w:eastAsia="it-IT"/>
        </w:rPr>
        <w:t xml:space="preserve">per giustificare l’impegno della Corte, </w:t>
      </w:r>
      <w:r w:rsidR="00E31EE6" w:rsidRPr="00B208E4">
        <w:rPr>
          <w:rFonts w:ascii="Calibri" w:eastAsia="Times New Roman" w:hAnsi="Calibri" w:cs="Segoe UI"/>
          <w:color w:val="1F4E79" w:themeColor="accent1" w:themeShade="80"/>
          <w:sz w:val="28"/>
          <w:szCs w:val="28"/>
          <w:lang w:eastAsia="it-IT"/>
        </w:rPr>
        <w:t xml:space="preserve">perché investe gli equilibri </w:t>
      </w:r>
      <w:r w:rsidRPr="00B208E4">
        <w:rPr>
          <w:rFonts w:ascii="Calibri" w:eastAsia="Times New Roman" w:hAnsi="Calibri" w:cs="Segoe UI"/>
          <w:color w:val="1F4E79" w:themeColor="accent1" w:themeShade="80"/>
          <w:sz w:val="28"/>
          <w:szCs w:val="28"/>
          <w:lang w:eastAsia="it-IT"/>
        </w:rPr>
        <w:t xml:space="preserve">istituzionali </w:t>
      </w:r>
      <w:r w:rsidR="00E31EE6" w:rsidRPr="00B208E4">
        <w:rPr>
          <w:rFonts w:ascii="Calibri" w:eastAsia="Times New Roman" w:hAnsi="Calibri" w:cs="Segoe UI"/>
          <w:color w:val="1F4E79" w:themeColor="accent1" w:themeShade="80"/>
          <w:sz w:val="28"/>
          <w:szCs w:val="28"/>
          <w:lang w:eastAsia="it-IT"/>
        </w:rPr>
        <w:t xml:space="preserve">nel sistema della giustizia italiana. E </w:t>
      </w:r>
      <w:r w:rsidR="007A73E8" w:rsidRPr="00B208E4">
        <w:rPr>
          <w:rFonts w:ascii="Calibri" w:eastAsia="Times New Roman" w:hAnsi="Calibri" w:cs="Segoe UI"/>
          <w:color w:val="1F4E79" w:themeColor="accent1" w:themeShade="80"/>
          <w:sz w:val="28"/>
          <w:szCs w:val="28"/>
          <w:lang w:eastAsia="it-IT"/>
        </w:rPr>
        <w:t xml:space="preserve">non è certo pronosticabile che la CGUE intenda “arbitrare” il conclamato dissidio tra la Corte di cassazione e la Corte costituzionale, né che </w:t>
      </w:r>
      <w:r w:rsidR="00174D14">
        <w:rPr>
          <w:rFonts w:ascii="Calibri" w:eastAsia="Times New Roman" w:hAnsi="Calibri" w:cs="Segoe UI"/>
          <w:color w:val="1F4E79" w:themeColor="accent1" w:themeShade="80"/>
          <w:sz w:val="28"/>
          <w:szCs w:val="28"/>
          <w:lang w:eastAsia="it-IT"/>
        </w:rPr>
        <w:t xml:space="preserve">desideri </w:t>
      </w:r>
      <w:r w:rsidR="00EE7846" w:rsidRPr="00B208E4">
        <w:rPr>
          <w:rFonts w:ascii="Calibri" w:eastAsia="Times New Roman" w:hAnsi="Calibri" w:cs="Segoe UI"/>
          <w:color w:val="1F4E79" w:themeColor="accent1" w:themeShade="80"/>
          <w:sz w:val="28"/>
          <w:szCs w:val="28"/>
          <w:lang w:eastAsia="it-IT"/>
        </w:rPr>
        <w:t>occuparsi del possibile contrasto tra la Costituzione italiana e il diritto UE.</w:t>
      </w:r>
    </w:p>
    <w:p w:rsidR="00CA3ACC" w:rsidRPr="00B208E4" w:rsidRDefault="00CA3ACC"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La CGUE, poi, non si sentirà in alcun modo vincolata alla prospettazione dell’ordinanza, secondo la quale l’ammissibilità del terzo quesito “di merito” sarebbe subordinato all’esito dei primi due quesiti. Infatti, la Corte, con ogni probabilità, dirà semplicemente che il suo compito è quello di garantire la corretta interpretazione generale del diritto UE, mentre la rilevanza del principio espresso dovrà essere vagliata dal giudice nazionale</w:t>
      </w:r>
      <w:r w:rsidR="004F330F" w:rsidRPr="004F330F">
        <w:rPr>
          <w:rFonts w:ascii="Calibri" w:eastAsia="Times New Roman" w:hAnsi="Calibri" w:cs="Segoe UI"/>
          <w:color w:val="1F4E79" w:themeColor="accent1" w:themeShade="80"/>
          <w:sz w:val="28"/>
          <w:szCs w:val="28"/>
          <w:lang w:eastAsia="it-IT"/>
        </w:rPr>
        <w:t xml:space="preserve"> </w:t>
      </w:r>
      <w:r w:rsidR="004F330F">
        <w:rPr>
          <w:rFonts w:ascii="Calibri" w:eastAsia="Times New Roman" w:hAnsi="Calibri" w:cs="Segoe UI"/>
          <w:color w:val="1F4E79" w:themeColor="accent1" w:themeShade="80"/>
          <w:sz w:val="28"/>
          <w:szCs w:val="28"/>
          <w:lang w:eastAsia="it-IT"/>
        </w:rPr>
        <w:t xml:space="preserve">nel giudizio </w:t>
      </w:r>
      <w:r w:rsidR="004F330F" w:rsidRPr="004F330F">
        <w:rPr>
          <w:rFonts w:ascii="Calibri" w:eastAsia="Times New Roman" w:hAnsi="Calibri" w:cs="Segoe UI"/>
          <w:i/>
          <w:color w:val="1F4E79" w:themeColor="accent1" w:themeShade="80"/>
          <w:sz w:val="28"/>
          <w:szCs w:val="28"/>
          <w:lang w:eastAsia="it-IT"/>
        </w:rPr>
        <w:t>a quo</w:t>
      </w:r>
      <w:r w:rsidR="004F330F">
        <w:rPr>
          <w:rFonts w:ascii="Calibri" w:eastAsia="Times New Roman" w:hAnsi="Calibri" w:cs="Segoe UI"/>
          <w:color w:val="1F4E79" w:themeColor="accent1" w:themeShade="80"/>
          <w:sz w:val="28"/>
          <w:szCs w:val="28"/>
          <w:lang w:eastAsia="it-IT"/>
        </w:rPr>
        <w:t xml:space="preserve"> </w:t>
      </w:r>
      <w:r>
        <w:rPr>
          <w:rStyle w:val="Rimandonotaapidipagina"/>
          <w:rFonts w:ascii="Calibri" w:eastAsia="Times New Roman" w:hAnsi="Calibri" w:cs="Segoe UI"/>
          <w:color w:val="1F4E79" w:themeColor="accent1" w:themeShade="80"/>
          <w:sz w:val="28"/>
          <w:szCs w:val="28"/>
          <w:lang w:eastAsia="it-IT"/>
        </w:rPr>
        <w:footnoteReference w:id="25"/>
      </w:r>
      <w:r>
        <w:rPr>
          <w:rFonts w:ascii="Calibri" w:eastAsia="Times New Roman" w:hAnsi="Calibri" w:cs="Segoe UI"/>
          <w:color w:val="1F4E79" w:themeColor="accent1" w:themeShade="80"/>
          <w:sz w:val="28"/>
          <w:szCs w:val="28"/>
          <w:lang w:eastAsia="it-IT"/>
        </w:rPr>
        <w:t>.</w:t>
      </w:r>
    </w:p>
    <w:p w:rsidR="00D760E0" w:rsidRPr="00B208E4" w:rsidRDefault="00D760E0"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Dunque, in estrema sintesi, molteplici elementi lasciano presagire che la CGUE </w:t>
      </w:r>
      <w:r w:rsidR="00174D14">
        <w:rPr>
          <w:rFonts w:ascii="Calibri" w:eastAsia="Times New Roman" w:hAnsi="Calibri" w:cs="Segoe UI"/>
          <w:color w:val="1F4E79" w:themeColor="accent1" w:themeShade="80"/>
          <w:sz w:val="28"/>
          <w:szCs w:val="28"/>
          <w:lang w:eastAsia="it-IT"/>
        </w:rPr>
        <w:t xml:space="preserve">potrebbe </w:t>
      </w:r>
      <w:r w:rsidRPr="00B208E4">
        <w:rPr>
          <w:rFonts w:ascii="Calibri" w:eastAsia="Times New Roman" w:hAnsi="Calibri" w:cs="Segoe UI"/>
          <w:color w:val="1F4E79" w:themeColor="accent1" w:themeShade="80"/>
          <w:sz w:val="28"/>
          <w:szCs w:val="28"/>
          <w:lang w:eastAsia="it-IT"/>
        </w:rPr>
        <w:t>adott</w:t>
      </w:r>
      <w:r w:rsidR="00174D14">
        <w:rPr>
          <w:rFonts w:ascii="Calibri" w:eastAsia="Times New Roman" w:hAnsi="Calibri" w:cs="Segoe UI"/>
          <w:color w:val="1F4E79" w:themeColor="accent1" w:themeShade="80"/>
          <w:sz w:val="28"/>
          <w:szCs w:val="28"/>
          <w:lang w:eastAsia="it-IT"/>
        </w:rPr>
        <w:t>are</w:t>
      </w:r>
      <w:r w:rsidRPr="00B208E4">
        <w:rPr>
          <w:rFonts w:ascii="Calibri" w:eastAsia="Times New Roman" w:hAnsi="Calibri" w:cs="Segoe UI"/>
          <w:color w:val="1F4E79" w:themeColor="accent1" w:themeShade="80"/>
          <w:sz w:val="28"/>
          <w:szCs w:val="28"/>
          <w:lang w:eastAsia="it-IT"/>
        </w:rPr>
        <w:t xml:space="preserve"> una pronuncia del seguente contenuto:</w:t>
      </w:r>
    </w:p>
    <w:p w:rsidR="00964D16" w:rsidRPr="00B208E4" w:rsidRDefault="00964D16" w:rsidP="00FB7048">
      <w:pPr>
        <w:pStyle w:val="Paragrafoelenco"/>
        <w:numPr>
          <w:ilvl w:val="0"/>
          <w:numId w:val="13"/>
        </w:numPr>
        <w:shd w:val="clear" w:color="auto" w:fill="FFFFFF"/>
        <w:tabs>
          <w:tab w:val="left" w:pos="0"/>
        </w:tabs>
        <w:spacing w:after="120" w:line="240" w:lineRule="auto"/>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Una </w:t>
      </w:r>
      <w:r w:rsidRPr="004F330F">
        <w:rPr>
          <w:rFonts w:ascii="Calibri" w:eastAsia="Times New Roman" w:hAnsi="Calibri" w:cs="Segoe UI"/>
          <w:i/>
          <w:color w:val="1F4E79" w:themeColor="accent1" w:themeShade="80"/>
          <w:sz w:val="28"/>
          <w:szCs w:val="28"/>
          <w:lang w:eastAsia="it-IT"/>
        </w:rPr>
        <w:t>neutrale</w:t>
      </w:r>
      <w:r w:rsidRPr="00B208E4">
        <w:rPr>
          <w:rFonts w:ascii="Calibri" w:eastAsia="Times New Roman" w:hAnsi="Calibri" w:cs="Segoe UI"/>
          <w:color w:val="1F4E79" w:themeColor="accent1" w:themeShade="80"/>
          <w:sz w:val="28"/>
          <w:szCs w:val="28"/>
          <w:lang w:eastAsia="it-IT"/>
        </w:rPr>
        <w:t xml:space="preserve"> presa di posizione sul</w:t>
      </w:r>
      <w:r w:rsidR="00174D14">
        <w:rPr>
          <w:rFonts w:ascii="Calibri" w:eastAsia="Times New Roman" w:hAnsi="Calibri" w:cs="Segoe UI"/>
          <w:color w:val="1F4E79" w:themeColor="accent1" w:themeShade="80"/>
          <w:sz w:val="28"/>
          <w:szCs w:val="28"/>
          <w:lang w:eastAsia="it-IT"/>
        </w:rPr>
        <w:t>la legittimità del</w:t>
      </w:r>
      <w:r w:rsidRPr="00B208E4">
        <w:rPr>
          <w:rFonts w:ascii="Calibri" w:eastAsia="Times New Roman" w:hAnsi="Calibri" w:cs="Segoe UI"/>
          <w:color w:val="1F4E79" w:themeColor="accent1" w:themeShade="80"/>
          <w:sz w:val="28"/>
          <w:szCs w:val="28"/>
          <w:lang w:eastAsia="it-IT"/>
        </w:rPr>
        <w:t xml:space="preserve"> sistema costituzionale italiano</w:t>
      </w:r>
      <w:r w:rsidR="00174D14">
        <w:rPr>
          <w:rFonts w:ascii="Calibri" w:eastAsia="Times New Roman" w:hAnsi="Calibri" w:cs="Segoe UI"/>
          <w:color w:val="1F4E79" w:themeColor="accent1" w:themeShade="80"/>
          <w:sz w:val="28"/>
          <w:szCs w:val="28"/>
          <w:lang w:eastAsia="it-IT"/>
        </w:rPr>
        <w:t xml:space="preserve"> riferito ai poteri della Cassazione, in conformità al criterio dell’autonomia procedurale degli Stati membr</w:t>
      </w:r>
      <w:r w:rsidR="00D317B1">
        <w:rPr>
          <w:rFonts w:ascii="Calibri" w:eastAsia="Times New Roman" w:hAnsi="Calibri" w:cs="Segoe UI"/>
          <w:color w:val="1F4E79" w:themeColor="accent1" w:themeShade="80"/>
          <w:sz w:val="28"/>
          <w:szCs w:val="28"/>
          <w:lang w:eastAsia="it-IT"/>
        </w:rPr>
        <w:t>i</w:t>
      </w:r>
      <w:r w:rsidRPr="00B208E4">
        <w:rPr>
          <w:rFonts w:ascii="Calibri" w:eastAsia="Times New Roman" w:hAnsi="Calibri" w:cs="Segoe UI"/>
          <w:color w:val="1F4E79" w:themeColor="accent1" w:themeShade="80"/>
          <w:sz w:val="28"/>
          <w:szCs w:val="28"/>
          <w:lang w:eastAsia="it-IT"/>
        </w:rPr>
        <w:t xml:space="preserve">, demandando </w:t>
      </w:r>
      <w:r w:rsidR="00D317B1">
        <w:rPr>
          <w:rFonts w:ascii="Calibri" w:eastAsia="Times New Roman" w:hAnsi="Calibri" w:cs="Segoe UI"/>
          <w:color w:val="1F4E79" w:themeColor="accent1" w:themeShade="80"/>
          <w:sz w:val="28"/>
          <w:szCs w:val="28"/>
          <w:lang w:eastAsia="it-IT"/>
        </w:rPr>
        <w:t xml:space="preserve">però </w:t>
      </w:r>
      <w:r w:rsidRPr="00B208E4">
        <w:rPr>
          <w:rFonts w:ascii="Calibri" w:eastAsia="Times New Roman" w:hAnsi="Calibri" w:cs="Segoe UI"/>
          <w:color w:val="1F4E79" w:themeColor="accent1" w:themeShade="80"/>
          <w:sz w:val="28"/>
          <w:szCs w:val="28"/>
          <w:lang w:eastAsia="it-IT"/>
        </w:rPr>
        <w:t>al giudice nazionale</w:t>
      </w:r>
      <w:r w:rsidR="00D317B1">
        <w:rPr>
          <w:rFonts w:ascii="Calibri" w:eastAsia="Times New Roman" w:hAnsi="Calibri" w:cs="Segoe UI"/>
          <w:color w:val="1F4E79" w:themeColor="accent1" w:themeShade="80"/>
          <w:sz w:val="28"/>
          <w:szCs w:val="28"/>
          <w:lang w:eastAsia="it-IT"/>
        </w:rPr>
        <w:t xml:space="preserve"> il compito di svolgere</w:t>
      </w:r>
      <w:r w:rsidRPr="00B208E4">
        <w:rPr>
          <w:rFonts w:ascii="Calibri" w:eastAsia="Times New Roman" w:hAnsi="Calibri" w:cs="Segoe UI"/>
          <w:color w:val="1F4E79" w:themeColor="accent1" w:themeShade="80"/>
          <w:sz w:val="28"/>
          <w:szCs w:val="28"/>
          <w:lang w:eastAsia="it-IT"/>
        </w:rPr>
        <w:t xml:space="preserve"> una serrata verifica del pieno rispetto dei principi di equivalenza ed efficacia della tutela;</w:t>
      </w:r>
    </w:p>
    <w:p w:rsidR="00964D16" w:rsidRDefault="00964D16" w:rsidP="00FB7048">
      <w:pPr>
        <w:pStyle w:val="Paragrafoelenco"/>
        <w:numPr>
          <w:ilvl w:val="0"/>
          <w:numId w:val="13"/>
        </w:numPr>
        <w:shd w:val="clear" w:color="auto" w:fill="FFFFFF"/>
        <w:tabs>
          <w:tab w:val="left" w:pos="0"/>
        </w:tabs>
        <w:spacing w:after="120" w:line="240" w:lineRule="auto"/>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Una decisione </w:t>
      </w:r>
      <w:r w:rsidRPr="00174D14">
        <w:rPr>
          <w:rFonts w:ascii="Calibri" w:eastAsia="Times New Roman" w:hAnsi="Calibri" w:cs="Segoe UI"/>
          <w:i/>
          <w:color w:val="1F4E79" w:themeColor="accent1" w:themeShade="80"/>
          <w:sz w:val="28"/>
          <w:szCs w:val="28"/>
          <w:lang w:eastAsia="it-IT"/>
        </w:rPr>
        <w:t>di merito</w:t>
      </w:r>
      <w:r w:rsidRPr="00B208E4">
        <w:rPr>
          <w:rFonts w:ascii="Calibri" w:eastAsia="Times New Roman" w:hAnsi="Calibri" w:cs="Segoe UI"/>
          <w:color w:val="1F4E79" w:themeColor="accent1" w:themeShade="80"/>
          <w:sz w:val="28"/>
          <w:szCs w:val="28"/>
          <w:lang w:eastAsia="it-IT"/>
        </w:rPr>
        <w:t xml:space="preserve"> sul terzo quesito, orientata a riconoscere</w:t>
      </w:r>
      <w:r w:rsidR="00D317B1">
        <w:rPr>
          <w:rFonts w:ascii="Calibri" w:eastAsia="Times New Roman" w:hAnsi="Calibri" w:cs="Segoe UI"/>
          <w:color w:val="1F4E79" w:themeColor="accent1" w:themeShade="80"/>
          <w:sz w:val="28"/>
          <w:szCs w:val="28"/>
          <w:lang w:eastAsia="it-IT"/>
        </w:rPr>
        <w:t xml:space="preserve">, in termini molto generali e assai distaccati dalla peculiare situazione concreta </w:t>
      </w:r>
      <w:r w:rsidR="00CA3ACC">
        <w:rPr>
          <w:rFonts w:ascii="Calibri" w:eastAsia="Times New Roman" w:hAnsi="Calibri" w:cs="Segoe UI"/>
          <w:color w:val="1F4E79" w:themeColor="accent1" w:themeShade="80"/>
          <w:sz w:val="28"/>
          <w:szCs w:val="28"/>
          <w:lang w:eastAsia="it-IT"/>
        </w:rPr>
        <w:t>oggetto di contenzioso,</w:t>
      </w:r>
      <w:r w:rsidRPr="00B208E4">
        <w:rPr>
          <w:rFonts w:ascii="Calibri" w:eastAsia="Times New Roman" w:hAnsi="Calibri" w:cs="Segoe UI"/>
          <w:color w:val="1F4E79" w:themeColor="accent1" w:themeShade="80"/>
          <w:sz w:val="28"/>
          <w:szCs w:val="28"/>
          <w:lang w:eastAsia="it-IT"/>
        </w:rPr>
        <w:t xml:space="preserve"> la </w:t>
      </w:r>
      <w:r w:rsidR="00174D14">
        <w:rPr>
          <w:rFonts w:ascii="Calibri" w:eastAsia="Times New Roman" w:hAnsi="Calibri" w:cs="Segoe UI"/>
          <w:color w:val="1F4E79" w:themeColor="accent1" w:themeShade="80"/>
          <w:sz w:val="28"/>
          <w:szCs w:val="28"/>
          <w:lang w:eastAsia="it-IT"/>
        </w:rPr>
        <w:t xml:space="preserve">piena </w:t>
      </w:r>
      <w:r w:rsidRPr="00B208E4">
        <w:rPr>
          <w:rFonts w:ascii="Calibri" w:eastAsia="Times New Roman" w:hAnsi="Calibri" w:cs="Segoe UI"/>
          <w:color w:val="1F4E79" w:themeColor="accent1" w:themeShade="80"/>
          <w:sz w:val="28"/>
          <w:szCs w:val="28"/>
          <w:lang w:eastAsia="it-IT"/>
        </w:rPr>
        <w:t>legittimazione al ricorso del concorrente escluso in qualsiasi fase, che faccia valere il proprio interesse strumentale alla ripetizione della gara, purché la legittimità della sua esclusione non sia già stata definitivamente accertata con decisione già passata in giudicato</w:t>
      </w:r>
      <w:r w:rsidR="00ED7CEE" w:rsidRPr="00B208E4">
        <w:rPr>
          <w:rStyle w:val="Rimandonotaapidipagina"/>
          <w:rFonts w:ascii="Calibri" w:eastAsia="Times New Roman" w:hAnsi="Calibri" w:cs="Segoe UI"/>
          <w:color w:val="1F4E79" w:themeColor="accent1" w:themeShade="80"/>
          <w:sz w:val="28"/>
          <w:szCs w:val="28"/>
          <w:lang w:eastAsia="it-IT"/>
        </w:rPr>
        <w:footnoteReference w:id="26"/>
      </w:r>
      <w:r w:rsidRPr="00B208E4">
        <w:rPr>
          <w:rFonts w:ascii="Calibri" w:eastAsia="Times New Roman" w:hAnsi="Calibri" w:cs="Segoe UI"/>
          <w:color w:val="1F4E79" w:themeColor="accent1" w:themeShade="80"/>
          <w:sz w:val="28"/>
          <w:szCs w:val="28"/>
          <w:lang w:eastAsia="it-IT"/>
        </w:rPr>
        <w:t>.</w:t>
      </w:r>
    </w:p>
    <w:p w:rsidR="00174D14" w:rsidRDefault="00174D14"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A tale ultimo riguardo, va precisato che, secondo l’ordinanza di rinvio, l’esame del terzo quesito è subordinato all’esito dei primi due.</w:t>
      </w:r>
    </w:p>
    <w:p w:rsidR="00174D14" w:rsidRPr="00E2150A" w:rsidRDefault="00174D14"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sz w:val="28"/>
          <w:szCs w:val="28"/>
          <w:lang w:eastAsia="it-IT"/>
        </w:rPr>
      </w:pPr>
      <w:r>
        <w:rPr>
          <w:rFonts w:ascii="Calibri" w:eastAsia="Times New Roman" w:hAnsi="Calibri" w:cs="Segoe UI"/>
          <w:color w:val="1F4E79" w:themeColor="accent1" w:themeShade="80"/>
          <w:sz w:val="28"/>
          <w:szCs w:val="28"/>
          <w:lang w:eastAsia="it-IT"/>
        </w:rPr>
        <w:t xml:space="preserve">Tuttavia, </w:t>
      </w:r>
      <w:r>
        <w:rPr>
          <w:rFonts w:ascii="Calibri" w:eastAsia="Times New Roman" w:hAnsi="Calibri" w:cs="Segoe UI"/>
          <w:color w:val="1F4E79"/>
          <w:sz w:val="28"/>
          <w:szCs w:val="28"/>
          <w:lang w:eastAsia="it-IT"/>
        </w:rPr>
        <w:t>è</w:t>
      </w:r>
      <w:r w:rsidRPr="00E2150A">
        <w:rPr>
          <w:rFonts w:ascii="Calibri" w:eastAsia="Times New Roman" w:hAnsi="Calibri" w:cs="Segoe UI"/>
          <w:color w:val="1F4E79"/>
          <w:sz w:val="28"/>
          <w:szCs w:val="28"/>
          <w:lang w:eastAsia="it-IT"/>
        </w:rPr>
        <w:t xml:space="preserve"> molto probabile che la Corte</w:t>
      </w:r>
      <w:r>
        <w:rPr>
          <w:rFonts w:ascii="Calibri" w:eastAsia="Times New Roman" w:hAnsi="Calibri" w:cs="Segoe UI"/>
          <w:color w:val="1F4E79"/>
          <w:sz w:val="28"/>
          <w:szCs w:val="28"/>
          <w:lang w:eastAsia="it-IT"/>
        </w:rPr>
        <w:t xml:space="preserve"> non si sentirà affatto condizionata da questa “subordinazione” e</w:t>
      </w:r>
      <w:r w:rsidRPr="00E2150A">
        <w:rPr>
          <w:rFonts w:ascii="Calibri" w:eastAsia="Times New Roman" w:hAnsi="Calibri" w:cs="Segoe UI"/>
          <w:color w:val="1F4E79"/>
          <w:sz w:val="28"/>
          <w:szCs w:val="28"/>
          <w:lang w:eastAsia="it-IT"/>
        </w:rPr>
        <w:t>, anche per ragioni di opportunità ed economia processuale, deciderà comunque il terzo quesito.</w:t>
      </w:r>
    </w:p>
    <w:p w:rsidR="00174D14" w:rsidRPr="00E2150A" w:rsidRDefault="00174D14"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sz w:val="28"/>
          <w:szCs w:val="28"/>
          <w:lang w:eastAsia="it-IT"/>
        </w:rPr>
      </w:pPr>
      <w:r w:rsidRPr="00E2150A">
        <w:rPr>
          <w:rFonts w:ascii="Calibri" w:eastAsia="Times New Roman" w:hAnsi="Calibri" w:cs="Segoe UI"/>
          <w:color w:val="1F4E79"/>
          <w:sz w:val="28"/>
          <w:szCs w:val="28"/>
          <w:lang w:eastAsia="it-IT"/>
        </w:rPr>
        <w:t>A sostegno di questa conclusione la Corte</w:t>
      </w:r>
      <w:r>
        <w:rPr>
          <w:rFonts w:ascii="Calibri" w:eastAsia="Times New Roman" w:hAnsi="Calibri" w:cs="Segoe UI"/>
          <w:color w:val="1F4E79"/>
          <w:sz w:val="28"/>
          <w:szCs w:val="28"/>
          <w:lang w:eastAsia="it-IT"/>
        </w:rPr>
        <w:t>, inoltre, potrà aggiungere</w:t>
      </w:r>
      <w:r w:rsidRPr="00E2150A">
        <w:rPr>
          <w:rFonts w:ascii="Calibri" w:eastAsia="Times New Roman" w:hAnsi="Calibri" w:cs="Segoe UI"/>
          <w:color w:val="1F4E79"/>
          <w:sz w:val="28"/>
          <w:szCs w:val="28"/>
          <w:lang w:eastAsia="it-IT"/>
        </w:rPr>
        <w:t>, quasi certamente, che il suo compito è</w:t>
      </w:r>
      <w:r w:rsidR="004F330F">
        <w:rPr>
          <w:rFonts w:ascii="Calibri" w:eastAsia="Times New Roman" w:hAnsi="Calibri" w:cs="Segoe UI"/>
          <w:color w:val="1F4E79"/>
          <w:sz w:val="28"/>
          <w:szCs w:val="28"/>
          <w:lang w:eastAsia="it-IT"/>
        </w:rPr>
        <w:t xml:space="preserve"> quello di</w:t>
      </w:r>
      <w:r w:rsidRPr="00E2150A">
        <w:rPr>
          <w:rFonts w:ascii="Calibri" w:eastAsia="Times New Roman" w:hAnsi="Calibri" w:cs="Segoe UI"/>
          <w:color w:val="1F4E79"/>
          <w:sz w:val="28"/>
          <w:szCs w:val="28"/>
          <w:lang w:eastAsia="it-IT"/>
        </w:rPr>
        <w:t xml:space="preserve"> affermare principi di carattere generale</w:t>
      </w:r>
      <w:r>
        <w:rPr>
          <w:rFonts w:ascii="Calibri" w:eastAsia="Times New Roman" w:hAnsi="Calibri" w:cs="Segoe UI"/>
          <w:color w:val="1F4E79"/>
          <w:sz w:val="28"/>
          <w:szCs w:val="28"/>
          <w:lang w:eastAsia="it-IT"/>
        </w:rPr>
        <w:t>, in relazione alle sollecitazioni derivanti dalle iniziative del giudice nazionale</w:t>
      </w:r>
      <w:r w:rsidRPr="00E2150A">
        <w:rPr>
          <w:rFonts w:ascii="Calibri" w:eastAsia="Times New Roman" w:hAnsi="Calibri" w:cs="Segoe UI"/>
          <w:color w:val="1F4E79"/>
          <w:sz w:val="28"/>
          <w:szCs w:val="28"/>
          <w:lang w:eastAsia="it-IT"/>
        </w:rPr>
        <w:t>. Sicché, l’utilizzabilità dell’esito interpretativo del terzo quesito da parte del giudice di rinvio resta una questione riservata alla disciplina processuale dell’ordinamento nazionale.</w:t>
      </w:r>
    </w:p>
    <w:p w:rsidR="00964D16" w:rsidRPr="00B208E4" w:rsidRDefault="00964D16"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Occorre riflettere attentamente su questo futuro scenario, perché </w:t>
      </w:r>
      <w:r w:rsidR="00CA3ACC">
        <w:rPr>
          <w:rFonts w:ascii="Calibri" w:eastAsia="Times New Roman" w:hAnsi="Calibri" w:cs="Segoe UI"/>
          <w:color w:val="1F4E79" w:themeColor="accent1" w:themeShade="80"/>
          <w:sz w:val="28"/>
          <w:szCs w:val="28"/>
          <w:lang w:eastAsia="it-IT"/>
        </w:rPr>
        <w:t xml:space="preserve">esso </w:t>
      </w:r>
      <w:r w:rsidRPr="00B208E4">
        <w:rPr>
          <w:rFonts w:ascii="Calibri" w:eastAsia="Times New Roman" w:hAnsi="Calibri" w:cs="Segoe UI"/>
          <w:color w:val="1F4E79" w:themeColor="accent1" w:themeShade="80"/>
          <w:sz w:val="28"/>
          <w:szCs w:val="28"/>
          <w:lang w:eastAsia="it-IT"/>
        </w:rPr>
        <w:t>risulta, allo stato, fortemente probabile e, al tempo stesso, foriero di possibili incertezze</w:t>
      </w:r>
      <w:r w:rsidR="00ED7CEE" w:rsidRPr="00B208E4">
        <w:rPr>
          <w:rFonts w:ascii="Calibri" w:eastAsia="Times New Roman" w:hAnsi="Calibri" w:cs="Segoe UI"/>
          <w:color w:val="1F4E79" w:themeColor="accent1" w:themeShade="80"/>
          <w:sz w:val="28"/>
          <w:szCs w:val="28"/>
          <w:lang w:eastAsia="it-IT"/>
        </w:rPr>
        <w:t>, sia sul giudizio in corso, sia, in generale, sull’orientamento che assumeranno le Sezioni Unite</w:t>
      </w:r>
      <w:r w:rsidRPr="00B208E4">
        <w:rPr>
          <w:rFonts w:ascii="Calibri" w:eastAsia="Times New Roman" w:hAnsi="Calibri" w:cs="Segoe UI"/>
          <w:color w:val="1F4E79" w:themeColor="accent1" w:themeShade="80"/>
          <w:sz w:val="28"/>
          <w:szCs w:val="28"/>
          <w:lang w:eastAsia="it-IT"/>
        </w:rPr>
        <w:t>.</w:t>
      </w:r>
    </w:p>
    <w:p w:rsidR="00964D16" w:rsidRPr="00B208E4" w:rsidRDefault="00ED7CEE"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La </w:t>
      </w:r>
      <w:r w:rsidR="00964D16" w:rsidRPr="00B208E4">
        <w:rPr>
          <w:rFonts w:ascii="Calibri" w:eastAsia="Times New Roman" w:hAnsi="Calibri" w:cs="Segoe UI"/>
          <w:color w:val="1F4E79" w:themeColor="accent1" w:themeShade="80"/>
          <w:sz w:val="28"/>
          <w:szCs w:val="28"/>
          <w:lang w:eastAsia="it-IT"/>
        </w:rPr>
        <w:t>Cassazione avrebbe dinanzi a sé varie opzioni, correlate, tuttavia, anche alle p</w:t>
      </w:r>
      <w:r w:rsidRPr="00B208E4">
        <w:rPr>
          <w:rFonts w:ascii="Calibri" w:eastAsia="Times New Roman" w:hAnsi="Calibri" w:cs="Segoe UI"/>
          <w:color w:val="1F4E79" w:themeColor="accent1" w:themeShade="80"/>
          <w:sz w:val="28"/>
          <w:szCs w:val="28"/>
          <w:lang w:eastAsia="it-IT"/>
        </w:rPr>
        <w:t>ossibili iniziative delle parti, che dovrebbero essere messe in grado, evidentemente, di precisare le rispettive posizioni.</w:t>
      </w:r>
    </w:p>
    <w:p w:rsidR="00ED7CEE" w:rsidRPr="00B208E4" w:rsidRDefault="00ED7CEE"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A stretto rigore, la Cassazione, restando coerente con l’impostazione dell’ordinanza, </w:t>
      </w:r>
      <w:r w:rsidR="00CA3ACC">
        <w:rPr>
          <w:rFonts w:ascii="Calibri" w:eastAsia="Times New Roman" w:hAnsi="Calibri" w:cs="Segoe UI"/>
          <w:color w:val="1F4E79" w:themeColor="accent1" w:themeShade="80"/>
          <w:sz w:val="28"/>
          <w:szCs w:val="28"/>
          <w:lang w:eastAsia="it-IT"/>
        </w:rPr>
        <w:t xml:space="preserve">a fronte di una pronuncia della CGUE che non affermi la prospettata illegittimità comunitaria del sistema italiano, </w:t>
      </w:r>
      <w:r w:rsidRPr="00B208E4">
        <w:rPr>
          <w:rFonts w:ascii="Calibri" w:eastAsia="Times New Roman" w:hAnsi="Calibri" w:cs="Segoe UI"/>
          <w:color w:val="1F4E79" w:themeColor="accent1" w:themeShade="80"/>
          <w:sz w:val="28"/>
          <w:szCs w:val="28"/>
          <w:lang w:eastAsia="it-IT"/>
        </w:rPr>
        <w:t xml:space="preserve">dovrebbe dichiarare </w:t>
      </w:r>
      <w:r w:rsidR="00174D14">
        <w:rPr>
          <w:rFonts w:ascii="Calibri" w:eastAsia="Times New Roman" w:hAnsi="Calibri" w:cs="Segoe UI"/>
          <w:color w:val="1F4E79" w:themeColor="accent1" w:themeShade="80"/>
          <w:sz w:val="28"/>
          <w:szCs w:val="28"/>
          <w:lang w:eastAsia="it-IT"/>
        </w:rPr>
        <w:t xml:space="preserve">comunque </w:t>
      </w:r>
      <w:r w:rsidRPr="00B208E4">
        <w:rPr>
          <w:rFonts w:ascii="Calibri" w:eastAsia="Times New Roman" w:hAnsi="Calibri" w:cs="Segoe UI"/>
          <w:color w:val="1F4E79" w:themeColor="accent1" w:themeShade="80"/>
          <w:sz w:val="28"/>
          <w:szCs w:val="28"/>
          <w:lang w:eastAsia="it-IT"/>
        </w:rPr>
        <w:t xml:space="preserve">l’inammissibilità del ricorso per cassazione, non avendo ricevuto lo sperato avallo della CGUE, circa la lettura ampliatrice ed evolutiva dell’art. </w:t>
      </w:r>
      <w:r w:rsidR="00F85D8A" w:rsidRPr="00B208E4">
        <w:rPr>
          <w:rFonts w:ascii="Calibri" w:eastAsia="Times New Roman" w:hAnsi="Calibri" w:cs="Segoe UI"/>
          <w:color w:val="1F4E79" w:themeColor="accent1" w:themeShade="80"/>
          <w:sz w:val="28"/>
          <w:szCs w:val="28"/>
          <w:lang w:eastAsia="it-IT"/>
        </w:rPr>
        <w:t>111, comma ottavo</w:t>
      </w:r>
      <w:r w:rsidR="008256BF">
        <w:rPr>
          <w:rStyle w:val="Rimandonotaapidipagina"/>
          <w:rFonts w:ascii="Calibri" w:eastAsia="Times New Roman" w:hAnsi="Calibri" w:cs="Segoe UI"/>
          <w:color w:val="1F4E79" w:themeColor="accent1" w:themeShade="80"/>
          <w:sz w:val="28"/>
          <w:szCs w:val="28"/>
          <w:lang w:eastAsia="it-IT"/>
        </w:rPr>
        <w:footnoteReference w:id="27"/>
      </w:r>
      <w:r w:rsidRPr="00B208E4">
        <w:rPr>
          <w:rFonts w:ascii="Calibri" w:eastAsia="Times New Roman" w:hAnsi="Calibri" w:cs="Segoe UI"/>
          <w:color w:val="1F4E79" w:themeColor="accent1" w:themeShade="80"/>
          <w:sz w:val="28"/>
          <w:szCs w:val="28"/>
          <w:lang w:eastAsia="it-IT"/>
        </w:rPr>
        <w:t>.</w:t>
      </w:r>
    </w:p>
    <w:p w:rsidR="00F85D8A" w:rsidRPr="00B208E4" w:rsidRDefault="00F85D8A"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La pronuncia della CGUE</w:t>
      </w:r>
      <w:r w:rsidR="00CA3ACC">
        <w:rPr>
          <w:rFonts w:ascii="Calibri" w:eastAsia="Times New Roman" w:hAnsi="Calibri" w:cs="Segoe UI"/>
          <w:color w:val="1F4E79" w:themeColor="accent1" w:themeShade="80"/>
          <w:sz w:val="28"/>
          <w:szCs w:val="28"/>
          <w:lang w:eastAsia="it-IT"/>
        </w:rPr>
        <w:t xml:space="preserve"> sul terzo quesito</w:t>
      </w:r>
      <w:r w:rsidRPr="00B208E4">
        <w:rPr>
          <w:rFonts w:ascii="Calibri" w:eastAsia="Times New Roman" w:hAnsi="Calibri" w:cs="Segoe UI"/>
          <w:color w:val="1F4E79" w:themeColor="accent1" w:themeShade="80"/>
          <w:sz w:val="28"/>
          <w:szCs w:val="28"/>
          <w:lang w:eastAsia="it-IT"/>
        </w:rPr>
        <w:t xml:space="preserve"> conserverebbe rilevanza soltanto ai fini dell’eventuale azione di responsabilità della parte interessata, ai sensi della legge n. 117/1988.</w:t>
      </w:r>
    </w:p>
    <w:p w:rsidR="00504AA4" w:rsidRPr="00B208E4" w:rsidRDefault="00F85D8A"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La situazione così creata, tuttavia, apparirebbe davvero singolare</w:t>
      </w:r>
      <w:r w:rsidR="0006304B">
        <w:rPr>
          <w:rStyle w:val="Rimandonotaapidipagina"/>
          <w:rFonts w:ascii="Calibri" w:eastAsia="Times New Roman" w:hAnsi="Calibri" w:cs="Segoe UI"/>
          <w:color w:val="1F4E79" w:themeColor="accent1" w:themeShade="80"/>
          <w:sz w:val="28"/>
          <w:szCs w:val="28"/>
          <w:lang w:eastAsia="it-IT"/>
        </w:rPr>
        <w:footnoteReference w:id="28"/>
      </w:r>
      <w:r w:rsidR="00CA3ACC">
        <w:rPr>
          <w:rFonts w:ascii="Calibri" w:eastAsia="Times New Roman" w:hAnsi="Calibri" w:cs="Segoe UI"/>
          <w:color w:val="1F4E79" w:themeColor="accent1" w:themeShade="80"/>
          <w:sz w:val="28"/>
          <w:szCs w:val="28"/>
          <w:lang w:eastAsia="it-IT"/>
        </w:rPr>
        <w:t>, ancorché</w:t>
      </w:r>
      <w:r w:rsidR="00504AA4" w:rsidRPr="00B208E4">
        <w:rPr>
          <w:rFonts w:ascii="Calibri" w:eastAsia="Times New Roman" w:hAnsi="Calibri" w:cs="Segoe UI"/>
          <w:color w:val="1F4E79" w:themeColor="accent1" w:themeShade="80"/>
          <w:sz w:val="28"/>
          <w:szCs w:val="28"/>
          <w:lang w:eastAsia="it-IT"/>
        </w:rPr>
        <w:t xml:space="preserve"> destinata a non ripetersi più, una volta appurato che la Cassazione non ha il potere di sindacare la violazione del diritto UE e, conseguentemente, di attivare il rinvio pregiudiziale</w:t>
      </w:r>
      <w:r w:rsidR="00CA3ACC">
        <w:rPr>
          <w:rFonts w:ascii="Calibri" w:eastAsia="Times New Roman" w:hAnsi="Calibri" w:cs="Segoe UI"/>
          <w:color w:val="1F4E79" w:themeColor="accent1" w:themeShade="80"/>
          <w:sz w:val="28"/>
          <w:szCs w:val="28"/>
          <w:lang w:eastAsia="it-IT"/>
        </w:rPr>
        <w:t xml:space="preserve"> su questioni riservate alla cognizione del giudice amministrativo</w:t>
      </w:r>
      <w:r w:rsidR="00504AA4" w:rsidRPr="00B208E4">
        <w:rPr>
          <w:rStyle w:val="Rimandonotaapidipagina"/>
          <w:rFonts w:ascii="Calibri" w:eastAsia="Times New Roman" w:hAnsi="Calibri" w:cs="Segoe UI"/>
          <w:color w:val="1F4E79" w:themeColor="accent1" w:themeShade="80"/>
          <w:sz w:val="28"/>
          <w:szCs w:val="28"/>
          <w:lang w:eastAsia="it-IT"/>
        </w:rPr>
        <w:footnoteReference w:id="29"/>
      </w:r>
      <w:r w:rsidR="00504AA4" w:rsidRPr="00B208E4">
        <w:rPr>
          <w:rFonts w:ascii="Calibri" w:eastAsia="Times New Roman" w:hAnsi="Calibri" w:cs="Segoe UI"/>
          <w:color w:val="1F4E79" w:themeColor="accent1" w:themeShade="80"/>
          <w:sz w:val="28"/>
          <w:szCs w:val="28"/>
          <w:lang w:eastAsia="it-IT"/>
        </w:rPr>
        <w:t>.</w:t>
      </w:r>
    </w:p>
    <w:p w:rsidR="00A315FE" w:rsidRPr="00B208E4" w:rsidRDefault="00A315FE"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Vero è che l’appassionata </w:t>
      </w:r>
      <w:r w:rsidR="00E31EE6" w:rsidRPr="00B208E4">
        <w:rPr>
          <w:rFonts w:ascii="Calibri" w:eastAsia="Times New Roman" w:hAnsi="Calibri" w:cs="Segoe UI"/>
          <w:color w:val="1F4E79" w:themeColor="accent1" w:themeShade="80"/>
          <w:sz w:val="28"/>
          <w:szCs w:val="28"/>
          <w:lang w:eastAsia="it-IT"/>
        </w:rPr>
        <w:t xml:space="preserve">e ampia </w:t>
      </w:r>
      <w:r w:rsidRPr="00B208E4">
        <w:rPr>
          <w:rFonts w:ascii="Calibri" w:eastAsia="Times New Roman" w:hAnsi="Calibri" w:cs="Segoe UI"/>
          <w:color w:val="1F4E79" w:themeColor="accent1" w:themeShade="80"/>
          <w:sz w:val="28"/>
          <w:szCs w:val="28"/>
          <w:lang w:eastAsia="it-IT"/>
        </w:rPr>
        <w:t xml:space="preserve">motivazione dell’ordinanza di rinvio </w:t>
      </w:r>
      <w:r w:rsidR="000A31C0" w:rsidRPr="00B208E4">
        <w:rPr>
          <w:rFonts w:ascii="Calibri" w:eastAsia="Times New Roman" w:hAnsi="Calibri" w:cs="Segoe UI"/>
          <w:color w:val="1F4E79" w:themeColor="accent1" w:themeShade="80"/>
          <w:sz w:val="28"/>
          <w:szCs w:val="28"/>
          <w:lang w:eastAsia="it-IT"/>
        </w:rPr>
        <w:t>descrive una situazione che potrebbe allarmare un lettore distratto</w:t>
      </w:r>
      <w:r w:rsidR="00200EC8" w:rsidRPr="00B208E4">
        <w:rPr>
          <w:rFonts w:ascii="Calibri" w:eastAsia="Times New Roman" w:hAnsi="Calibri" w:cs="Segoe UI"/>
          <w:color w:val="1F4E79" w:themeColor="accent1" w:themeShade="80"/>
          <w:sz w:val="28"/>
          <w:szCs w:val="28"/>
          <w:lang w:eastAsia="it-IT"/>
        </w:rPr>
        <w:t xml:space="preserve"> e </w:t>
      </w:r>
      <w:r w:rsidR="008256BF">
        <w:rPr>
          <w:rFonts w:ascii="Calibri" w:eastAsia="Times New Roman" w:hAnsi="Calibri" w:cs="Segoe UI"/>
          <w:color w:val="1F4E79" w:themeColor="accent1" w:themeShade="80"/>
          <w:sz w:val="28"/>
          <w:szCs w:val="28"/>
          <w:lang w:eastAsia="it-IT"/>
        </w:rPr>
        <w:t xml:space="preserve">pare destinata a </w:t>
      </w:r>
      <w:r w:rsidR="00200EC8" w:rsidRPr="00B208E4">
        <w:rPr>
          <w:rFonts w:ascii="Calibri" w:eastAsia="Times New Roman" w:hAnsi="Calibri" w:cs="Segoe UI"/>
          <w:color w:val="1F4E79" w:themeColor="accent1" w:themeShade="80"/>
          <w:sz w:val="28"/>
          <w:szCs w:val="28"/>
          <w:lang w:eastAsia="it-IT"/>
        </w:rPr>
        <w:t>colpire la stessa Corte</w:t>
      </w:r>
      <w:r w:rsidR="000A31C0" w:rsidRPr="00B208E4">
        <w:rPr>
          <w:rFonts w:ascii="Calibri" w:eastAsia="Times New Roman" w:hAnsi="Calibri" w:cs="Segoe UI"/>
          <w:color w:val="1F4E79" w:themeColor="accent1" w:themeShade="80"/>
          <w:sz w:val="28"/>
          <w:szCs w:val="28"/>
          <w:lang w:eastAsia="it-IT"/>
        </w:rPr>
        <w:t xml:space="preserve">: </w:t>
      </w:r>
      <w:r w:rsidR="00535BE1" w:rsidRPr="00B208E4">
        <w:rPr>
          <w:rFonts w:ascii="Calibri" w:eastAsia="Times New Roman" w:hAnsi="Calibri" w:cs="Segoe UI"/>
          <w:color w:val="1F4E79" w:themeColor="accent1" w:themeShade="80"/>
          <w:sz w:val="28"/>
          <w:szCs w:val="28"/>
          <w:lang w:eastAsia="it-IT"/>
        </w:rPr>
        <w:t xml:space="preserve">si ha quasi l’impressione che </w:t>
      </w:r>
      <w:r w:rsidR="000A31C0" w:rsidRPr="00B208E4">
        <w:rPr>
          <w:rFonts w:ascii="Calibri" w:eastAsia="Times New Roman" w:hAnsi="Calibri" w:cs="Segoe UI"/>
          <w:color w:val="1F4E79" w:themeColor="accent1" w:themeShade="80"/>
          <w:sz w:val="28"/>
          <w:szCs w:val="28"/>
          <w:lang w:eastAsia="it-IT"/>
        </w:rPr>
        <w:t xml:space="preserve">la Cassazione </w:t>
      </w:r>
      <w:r w:rsidR="00535BE1" w:rsidRPr="00B208E4">
        <w:rPr>
          <w:rFonts w:ascii="Calibri" w:eastAsia="Times New Roman" w:hAnsi="Calibri" w:cs="Segoe UI"/>
          <w:color w:val="1F4E79" w:themeColor="accent1" w:themeShade="80"/>
          <w:sz w:val="28"/>
          <w:szCs w:val="28"/>
          <w:lang w:eastAsia="it-IT"/>
        </w:rPr>
        <w:t xml:space="preserve">sia </w:t>
      </w:r>
      <w:r w:rsidR="008256BF">
        <w:rPr>
          <w:rFonts w:ascii="Calibri" w:eastAsia="Times New Roman" w:hAnsi="Calibri" w:cs="Segoe UI"/>
          <w:color w:val="1F4E79" w:themeColor="accent1" w:themeShade="80"/>
          <w:sz w:val="28"/>
          <w:szCs w:val="28"/>
          <w:lang w:eastAsia="it-IT"/>
        </w:rPr>
        <w:t xml:space="preserve">rimasto, in Italia, </w:t>
      </w:r>
      <w:r w:rsidR="00535BE1" w:rsidRPr="00B208E4">
        <w:rPr>
          <w:rFonts w:ascii="Calibri" w:eastAsia="Times New Roman" w:hAnsi="Calibri" w:cs="Segoe UI"/>
          <w:color w:val="1F4E79" w:themeColor="accent1" w:themeShade="80"/>
          <w:sz w:val="28"/>
          <w:szCs w:val="28"/>
          <w:lang w:eastAsia="it-IT"/>
        </w:rPr>
        <w:t>l’unico baluardo di difesa de</w:t>
      </w:r>
      <w:r w:rsidR="000A31C0" w:rsidRPr="00B208E4">
        <w:rPr>
          <w:rFonts w:ascii="Calibri" w:eastAsia="Times New Roman" w:hAnsi="Calibri" w:cs="Segoe UI"/>
          <w:color w:val="1F4E79" w:themeColor="accent1" w:themeShade="80"/>
          <w:sz w:val="28"/>
          <w:szCs w:val="28"/>
          <w:lang w:eastAsia="it-IT"/>
        </w:rPr>
        <w:t xml:space="preserve">l diritto dell’Unione europea, </w:t>
      </w:r>
      <w:r w:rsidR="008256BF">
        <w:rPr>
          <w:rFonts w:ascii="Calibri" w:eastAsia="Times New Roman" w:hAnsi="Calibri" w:cs="Segoe UI"/>
          <w:color w:val="1F4E79" w:themeColor="accent1" w:themeShade="80"/>
          <w:sz w:val="28"/>
          <w:szCs w:val="28"/>
          <w:lang w:eastAsia="it-IT"/>
        </w:rPr>
        <w:t>e che la sua funzione di estremo garante del diritto eurounitario le sia</w:t>
      </w:r>
      <w:r w:rsidR="00F64068" w:rsidRPr="00B208E4">
        <w:rPr>
          <w:rFonts w:ascii="Calibri" w:eastAsia="Times New Roman" w:hAnsi="Calibri" w:cs="Segoe UI"/>
          <w:color w:val="1F4E79" w:themeColor="accent1" w:themeShade="80"/>
          <w:sz w:val="28"/>
          <w:szCs w:val="28"/>
          <w:lang w:eastAsia="it-IT"/>
        </w:rPr>
        <w:t xml:space="preserve"> impedito da una Corte costituzionale, </w:t>
      </w:r>
      <w:r w:rsidR="00E31EE6" w:rsidRPr="00B208E4">
        <w:rPr>
          <w:rFonts w:ascii="Calibri" w:eastAsia="Times New Roman" w:hAnsi="Calibri" w:cs="Segoe UI"/>
          <w:color w:val="1F4E79" w:themeColor="accent1" w:themeShade="80"/>
          <w:sz w:val="28"/>
          <w:szCs w:val="28"/>
          <w:lang w:eastAsia="it-IT"/>
        </w:rPr>
        <w:t xml:space="preserve">inspiegabilmente </w:t>
      </w:r>
      <w:r w:rsidR="00F64068" w:rsidRPr="00B208E4">
        <w:rPr>
          <w:rFonts w:ascii="Calibri" w:eastAsia="Times New Roman" w:hAnsi="Calibri" w:cs="Segoe UI"/>
          <w:color w:val="1F4E79" w:themeColor="accent1" w:themeShade="80"/>
          <w:sz w:val="28"/>
          <w:szCs w:val="28"/>
          <w:lang w:eastAsia="it-IT"/>
        </w:rPr>
        <w:t xml:space="preserve">arroccata sulla difesa </w:t>
      </w:r>
      <w:r w:rsidR="008D598C" w:rsidRPr="00B208E4">
        <w:rPr>
          <w:rFonts w:ascii="Calibri" w:eastAsia="Times New Roman" w:hAnsi="Calibri" w:cs="Segoe UI"/>
          <w:color w:val="1F4E79" w:themeColor="accent1" w:themeShade="80"/>
          <w:sz w:val="28"/>
          <w:szCs w:val="28"/>
          <w:lang w:eastAsia="it-IT"/>
        </w:rPr>
        <w:t xml:space="preserve">formale </w:t>
      </w:r>
      <w:r w:rsidR="00F64068" w:rsidRPr="00B208E4">
        <w:rPr>
          <w:rFonts w:ascii="Calibri" w:eastAsia="Times New Roman" w:hAnsi="Calibri" w:cs="Segoe UI"/>
          <w:color w:val="1F4E79" w:themeColor="accent1" w:themeShade="80"/>
          <w:sz w:val="28"/>
          <w:szCs w:val="28"/>
          <w:lang w:eastAsia="it-IT"/>
        </w:rPr>
        <w:t>dell’art. 111, comma ottavo</w:t>
      </w:r>
      <w:r w:rsidR="00E31EE6" w:rsidRPr="00B208E4">
        <w:rPr>
          <w:rFonts w:ascii="Calibri" w:eastAsia="Times New Roman" w:hAnsi="Calibri" w:cs="Segoe UI"/>
          <w:color w:val="1F4E79" w:themeColor="accent1" w:themeShade="80"/>
          <w:sz w:val="28"/>
          <w:szCs w:val="28"/>
          <w:lang w:eastAsia="it-IT"/>
        </w:rPr>
        <w:t>, a suo dire male applicato e interpretato</w:t>
      </w:r>
      <w:r w:rsidR="008256BF">
        <w:rPr>
          <w:rFonts w:ascii="Calibri" w:eastAsia="Times New Roman" w:hAnsi="Calibri" w:cs="Segoe UI"/>
          <w:color w:val="1F4E79" w:themeColor="accent1" w:themeShade="80"/>
          <w:sz w:val="28"/>
          <w:szCs w:val="28"/>
          <w:lang w:eastAsia="it-IT"/>
        </w:rPr>
        <w:t xml:space="preserve">, con la conseguente moltiplicazione delle violazioni del diritto UE da parte del giudice amministrativo, </w:t>
      </w:r>
      <w:r w:rsidR="0006304B">
        <w:rPr>
          <w:rFonts w:ascii="Calibri" w:eastAsia="Times New Roman" w:hAnsi="Calibri" w:cs="Segoe UI"/>
          <w:color w:val="1F4E79" w:themeColor="accent1" w:themeShade="80"/>
          <w:sz w:val="28"/>
          <w:szCs w:val="28"/>
          <w:lang w:eastAsia="it-IT"/>
        </w:rPr>
        <w:t xml:space="preserve">a sua volta ritenuto </w:t>
      </w:r>
      <w:r w:rsidR="002E6FD6">
        <w:rPr>
          <w:rFonts w:ascii="Calibri" w:eastAsia="Times New Roman" w:hAnsi="Calibri" w:cs="Segoe UI"/>
          <w:color w:val="1F4E79" w:themeColor="accent1" w:themeShade="80"/>
          <w:sz w:val="28"/>
          <w:szCs w:val="28"/>
          <w:lang w:eastAsia="it-IT"/>
        </w:rPr>
        <w:t xml:space="preserve">oggettivamente </w:t>
      </w:r>
      <w:r w:rsidR="008256BF">
        <w:rPr>
          <w:rFonts w:ascii="Calibri" w:eastAsia="Times New Roman" w:hAnsi="Calibri" w:cs="Segoe UI"/>
          <w:color w:val="1F4E79" w:themeColor="accent1" w:themeShade="80"/>
          <w:sz w:val="28"/>
          <w:szCs w:val="28"/>
          <w:lang w:eastAsia="it-IT"/>
        </w:rPr>
        <w:t>non adeguato al compito di tutelare la piena e corretta attuazione della normativa UE</w:t>
      </w:r>
      <w:r w:rsidR="00F64068" w:rsidRPr="00B208E4">
        <w:rPr>
          <w:rFonts w:ascii="Calibri" w:eastAsia="Times New Roman" w:hAnsi="Calibri" w:cs="Segoe UI"/>
          <w:color w:val="1F4E79" w:themeColor="accent1" w:themeShade="80"/>
          <w:sz w:val="28"/>
          <w:szCs w:val="28"/>
          <w:lang w:eastAsia="it-IT"/>
        </w:rPr>
        <w:t>.</w:t>
      </w:r>
    </w:p>
    <w:p w:rsidR="00E31EE6" w:rsidRPr="00B208E4" w:rsidRDefault="00E31EE6"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Ma l</w:t>
      </w:r>
      <w:r w:rsidR="004E1E89" w:rsidRPr="00B208E4">
        <w:rPr>
          <w:rFonts w:ascii="Calibri" w:eastAsia="Times New Roman" w:hAnsi="Calibri" w:cs="Segoe UI"/>
          <w:color w:val="1F4E79" w:themeColor="accent1" w:themeShade="80"/>
          <w:sz w:val="28"/>
          <w:szCs w:val="28"/>
          <w:lang w:eastAsia="it-IT"/>
        </w:rPr>
        <w:t xml:space="preserve">a Corte </w:t>
      </w:r>
      <w:r w:rsidRPr="00B208E4">
        <w:rPr>
          <w:rFonts w:ascii="Calibri" w:eastAsia="Times New Roman" w:hAnsi="Calibri" w:cs="Segoe UI"/>
          <w:color w:val="1F4E79" w:themeColor="accent1" w:themeShade="80"/>
          <w:sz w:val="28"/>
          <w:szCs w:val="28"/>
          <w:lang w:eastAsia="it-IT"/>
        </w:rPr>
        <w:t xml:space="preserve">del Lussemburgo </w:t>
      </w:r>
      <w:r w:rsidR="004E1E89" w:rsidRPr="00B208E4">
        <w:rPr>
          <w:rFonts w:ascii="Calibri" w:eastAsia="Times New Roman" w:hAnsi="Calibri" w:cs="Segoe UI"/>
          <w:color w:val="1F4E79" w:themeColor="accent1" w:themeShade="80"/>
          <w:sz w:val="28"/>
          <w:szCs w:val="28"/>
          <w:lang w:eastAsia="it-IT"/>
        </w:rPr>
        <w:t>ha ben compreso che</w:t>
      </w:r>
      <w:r w:rsidRPr="00B208E4">
        <w:rPr>
          <w:rFonts w:ascii="Calibri" w:eastAsia="Times New Roman" w:hAnsi="Calibri" w:cs="Segoe UI"/>
          <w:color w:val="1F4E79" w:themeColor="accent1" w:themeShade="80"/>
          <w:sz w:val="28"/>
          <w:szCs w:val="28"/>
          <w:lang w:eastAsia="it-IT"/>
        </w:rPr>
        <w:t xml:space="preserve"> già</w:t>
      </w:r>
      <w:r w:rsidR="004E1E89" w:rsidRPr="00B208E4">
        <w:rPr>
          <w:rFonts w:ascii="Calibri" w:eastAsia="Times New Roman" w:hAnsi="Calibri" w:cs="Segoe UI"/>
          <w:color w:val="1F4E79" w:themeColor="accent1" w:themeShade="80"/>
          <w:sz w:val="28"/>
          <w:szCs w:val="28"/>
          <w:lang w:eastAsia="it-IT"/>
        </w:rPr>
        <w:t xml:space="preserve"> troppe volte è stata </w:t>
      </w:r>
      <w:r w:rsidRPr="00B208E4">
        <w:rPr>
          <w:rFonts w:ascii="Calibri" w:eastAsia="Times New Roman" w:hAnsi="Calibri" w:cs="Segoe UI"/>
          <w:color w:val="1F4E79" w:themeColor="accent1" w:themeShade="80"/>
          <w:sz w:val="28"/>
          <w:szCs w:val="28"/>
          <w:lang w:eastAsia="it-IT"/>
        </w:rPr>
        <w:t xml:space="preserve">impropriamente </w:t>
      </w:r>
      <w:r w:rsidR="004E1E89" w:rsidRPr="00B208E4">
        <w:rPr>
          <w:rFonts w:ascii="Calibri" w:eastAsia="Times New Roman" w:hAnsi="Calibri" w:cs="Segoe UI"/>
          <w:color w:val="1F4E79" w:themeColor="accent1" w:themeShade="80"/>
          <w:sz w:val="28"/>
          <w:szCs w:val="28"/>
          <w:lang w:eastAsia="it-IT"/>
        </w:rPr>
        <w:t xml:space="preserve">tirata in ballo dai giudici nazionali </w:t>
      </w:r>
      <w:r w:rsidR="004C4A2C" w:rsidRPr="00B208E4">
        <w:rPr>
          <w:rFonts w:ascii="Calibri" w:eastAsia="Times New Roman" w:hAnsi="Calibri" w:cs="Segoe UI"/>
          <w:color w:val="1F4E79" w:themeColor="accent1" w:themeShade="80"/>
          <w:sz w:val="28"/>
          <w:szCs w:val="28"/>
          <w:lang w:eastAsia="it-IT"/>
        </w:rPr>
        <w:t>che</w:t>
      </w:r>
      <w:r w:rsidRPr="00B208E4">
        <w:rPr>
          <w:rFonts w:ascii="Calibri" w:eastAsia="Times New Roman" w:hAnsi="Calibri" w:cs="Segoe UI"/>
          <w:color w:val="1F4E79" w:themeColor="accent1" w:themeShade="80"/>
          <w:sz w:val="28"/>
          <w:szCs w:val="28"/>
          <w:lang w:eastAsia="it-IT"/>
        </w:rPr>
        <w:t>, a torto o ragione,</w:t>
      </w:r>
      <w:r w:rsidR="004C4A2C" w:rsidRPr="00B208E4">
        <w:rPr>
          <w:rFonts w:ascii="Calibri" w:eastAsia="Times New Roman" w:hAnsi="Calibri" w:cs="Segoe UI"/>
          <w:color w:val="1F4E79" w:themeColor="accent1" w:themeShade="80"/>
          <w:sz w:val="28"/>
          <w:szCs w:val="28"/>
          <w:lang w:eastAsia="it-IT"/>
        </w:rPr>
        <w:t xml:space="preserve"> intendono </w:t>
      </w:r>
      <w:r w:rsidR="00EE4938" w:rsidRPr="00B208E4">
        <w:rPr>
          <w:rFonts w:ascii="Calibri" w:eastAsia="Times New Roman" w:hAnsi="Calibri" w:cs="Segoe UI"/>
          <w:color w:val="1F4E79" w:themeColor="accent1" w:themeShade="80"/>
          <w:sz w:val="28"/>
          <w:szCs w:val="28"/>
          <w:lang w:eastAsia="it-IT"/>
        </w:rPr>
        <w:t xml:space="preserve">contrastare </w:t>
      </w:r>
      <w:r w:rsidR="004C4A2C" w:rsidRPr="00B208E4">
        <w:rPr>
          <w:rFonts w:ascii="Calibri" w:eastAsia="Times New Roman" w:hAnsi="Calibri" w:cs="Segoe UI"/>
          <w:color w:val="1F4E79" w:themeColor="accent1" w:themeShade="80"/>
          <w:sz w:val="28"/>
          <w:szCs w:val="28"/>
          <w:lang w:eastAsia="it-IT"/>
        </w:rPr>
        <w:t>la giurisprudenza degli organi di appello e di cassazione.</w:t>
      </w:r>
    </w:p>
    <w:p w:rsidR="0013393A" w:rsidRPr="00B208E4" w:rsidRDefault="008D598C"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Sia chiaro, come ha opportunamente rilevato TRAVI,</w:t>
      </w:r>
      <w:r w:rsidR="0013393A" w:rsidRPr="00B208E4">
        <w:rPr>
          <w:rFonts w:ascii="Calibri" w:eastAsia="Times New Roman" w:hAnsi="Calibri" w:cs="Segoe UI"/>
          <w:color w:val="1F4E79" w:themeColor="accent1" w:themeShade="80"/>
          <w:sz w:val="28"/>
          <w:szCs w:val="28"/>
          <w:lang w:eastAsia="it-IT"/>
        </w:rPr>
        <w:t xml:space="preserve"> la tecnica del rinvio alla Corte di giustizia, per porre in discussione orientamenti non condivisi di altri giudici</w:t>
      </w:r>
      <w:r w:rsidR="0006304B">
        <w:rPr>
          <w:rFonts w:ascii="Calibri" w:eastAsia="Times New Roman" w:hAnsi="Calibri" w:cs="Segoe UI"/>
          <w:color w:val="1F4E79" w:themeColor="accent1" w:themeShade="80"/>
          <w:sz w:val="28"/>
          <w:szCs w:val="28"/>
          <w:lang w:eastAsia="it-IT"/>
        </w:rPr>
        <w:t xml:space="preserve"> non è, di per sé, illegittima o inopportuna</w:t>
      </w:r>
      <w:r w:rsidR="0013393A" w:rsidRPr="00B208E4">
        <w:rPr>
          <w:rFonts w:ascii="Calibri" w:eastAsia="Times New Roman" w:hAnsi="Calibri" w:cs="Segoe UI"/>
          <w:color w:val="1F4E79" w:themeColor="accent1" w:themeShade="80"/>
          <w:sz w:val="28"/>
          <w:szCs w:val="28"/>
          <w:lang w:eastAsia="it-IT"/>
        </w:rPr>
        <w:t xml:space="preserve">. </w:t>
      </w:r>
      <w:r w:rsidR="0006304B">
        <w:rPr>
          <w:rFonts w:ascii="Calibri" w:eastAsia="Times New Roman" w:hAnsi="Calibri" w:cs="Segoe UI"/>
          <w:color w:val="1F4E79" w:themeColor="accent1" w:themeShade="80"/>
          <w:sz w:val="28"/>
          <w:szCs w:val="28"/>
          <w:lang w:eastAsia="it-IT"/>
        </w:rPr>
        <w:t>“</w:t>
      </w:r>
      <w:r w:rsidR="0013393A" w:rsidRPr="0006304B">
        <w:rPr>
          <w:rFonts w:ascii="Calibri" w:eastAsia="Times New Roman" w:hAnsi="Calibri" w:cs="Segoe UI"/>
          <w:i/>
          <w:color w:val="1F4E79" w:themeColor="accent1" w:themeShade="80"/>
          <w:sz w:val="28"/>
          <w:szCs w:val="28"/>
          <w:lang w:eastAsia="it-IT"/>
        </w:rPr>
        <w:t xml:space="preserve">Questa tecnica spesso è stata criticata, anche di recente, quasi fosse ‘eversiva’, per la tendenza dei giudici di merito a ricorrere al giudice di Lussemburgo per porre in discussione orientamenti non condivisi delle nostre giurisdizioni superiori. La rimessione alla Corte di giustizia è una prerogativa riconosciuta dal Trattato anche ai giudici di merito: di conseguenza non è criticabile di per sé la rimessione, se realmente giustificata dal diritto dell’Unione; piuttosto dovrebbe far riflettere la circostanza che talvolta solo l’intervento della Corte di giustizia abbia consentito di superare </w:t>
      </w:r>
      <w:r w:rsidR="00535BE1" w:rsidRPr="0006304B">
        <w:rPr>
          <w:rFonts w:ascii="Calibri" w:eastAsia="Times New Roman" w:hAnsi="Calibri" w:cs="Segoe UI"/>
          <w:i/>
          <w:color w:val="1F4E79" w:themeColor="accent1" w:themeShade="80"/>
          <w:sz w:val="28"/>
          <w:szCs w:val="28"/>
          <w:lang w:eastAsia="it-IT"/>
        </w:rPr>
        <w:t>incrostazioni</w:t>
      </w:r>
      <w:r w:rsidR="0013393A" w:rsidRPr="0006304B">
        <w:rPr>
          <w:rFonts w:ascii="Calibri" w:eastAsia="Times New Roman" w:hAnsi="Calibri" w:cs="Segoe UI"/>
          <w:i/>
          <w:color w:val="1F4E79" w:themeColor="accent1" w:themeShade="80"/>
          <w:sz w:val="28"/>
          <w:szCs w:val="28"/>
          <w:lang w:eastAsia="it-IT"/>
        </w:rPr>
        <w:t xml:space="preserve"> giurisprudenziali insostenibili e che senza tale intervento la giurisprudenza interna non sarebbe riuscita ad emendarsi</w:t>
      </w:r>
      <w:r w:rsidR="0013393A" w:rsidRPr="00B208E4">
        <w:rPr>
          <w:rFonts w:ascii="Calibri" w:eastAsia="Times New Roman" w:hAnsi="Calibri" w:cs="Segoe UI"/>
          <w:color w:val="1F4E79" w:themeColor="accent1" w:themeShade="80"/>
          <w:sz w:val="28"/>
          <w:szCs w:val="28"/>
          <w:lang w:eastAsia="it-IT"/>
        </w:rPr>
        <w:t>.</w:t>
      </w:r>
      <w:r w:rsidR="0006304B">
        <w:rPr>
          <w:rFonts w:ascii="Calibri" w:eastAsia="Times New Roman" w:hAnsi="Calibri" w:cs="Segoe UI"/>
          <w:color w:val="1F4E79" w:themeColor="accent1" w:themeShade="80"/>
          <w:sz w:val="28"/>
          <w:szCs w:val="28"/>
          <w:lang w:eastAsia="it-IT"/>
        </w:rPr>
        <w:t>”</w:t>
      </w:r>
      <w:r w:rsidR="0006304B">
        <w:rPr>
          <w:rStyle w:val="Rimandonotaapidipagina"/>
          <w:rFonts w:ascii="Calibri" w:eastAsia="Times New Roman" w:hAnsi="Calibri" w:cs="Segoe UI"/>
          <w:color w:val="1F4E79" w:themeColor="accent1" w:themeShade="80"/>
          <w:sz w:val="28"/>
          <w:szCs w:val="28"/>
          <w:lang w:eastAsia="it-IT"/>
        </w:rPr>
        <w:footnoteReference w:id="30"/>
      </w:r>
    </w:p>
    <w:p w:rsidR="008D598C" w:rsidRDefault="008D598C"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La Corte conosce altrettanto bene le criticità emerse in alcune realtà giurisdizionali dei Paesi membri, nei quali i giudici di ultima istanza hanno manifestato atteggiamenti </w:t>
      </w:r>
      <w:r w:rsidR="009C1B91">
        <w:rPr>
          <w:rFonts w:ascii="Calibri" w:eastAsia="Times New Roman" w:hAnsi="Calibri" w:cs="Segoe UI"/>
          <w:color w:val="1F4E79" w:themeColor="accent1" w:themeShade="80"/>
          <w:sz w:val="28"/>
          <w:szCs w:val="28"/>
          <w:lang w:eastAsia="it-IT"/>
        </w:rPr>
        <w:t xml:space="preserve">smaccatamente </w:t>
      </w:r>
      <w:r w:rsidRPr="00B208E4">
        <w:rPr>
          <w:rFonts w:ascii="Calibri" w:eastAsia="Times New Roman" w:hAnsi="Calibri" w:cs="Segoe UI"/>
          <w:color w:val="1F4E79" w:themeColor="accent1" w:themeShade="80"/>
          <w:sz w:val="28"/>
          <w:szCs w:val="28"/>
          <w:lang w:eastAsia="it-IT"/>
        </w:rPr>
        <w:t xml:space="preserve">ostili alla penetrazione del diritto europeo, a fronte di </w:t>
      </w:r>
      <w:r w:rsidR="00C02671">
        <w:rPr>
          <w:rFonts w:ascii="Calibri" w:eastAsia="Times New Roman" w:hAnsi="Calibri" w:cs="Segoe UI"/>
          <w:color w:val="1F4E79" w:themeColor="accent1" w:themeShade="80"/>
          <w:sz w:val="28"/>
          <w:szCs w:val="28"/>
          <w:lang w:eastAsia="it-IT"/>
        </w:rPr>
        <w:t>indirizz</w:t>
      </w:r>
      <w:r w:rsidRPr="00B208E4">
        <w:rPr>
          <w:rFonts w:ascii="Calibri" w:eastAsia="Times New Roman" w:hAnsi="Calibri" w:cs="Segoe UI"/>
          <w:color w:val="1F4E79" w:themeColor="accent1" w:themeShade="80"/>
          <w:sz w:val="28"/>
          <w:szCs w:val="28"/>
          <w:lang w:eastAsia="it-IT"/>
        </w:rPr>
        <w:t>i più aperti dei giudici di merito.</w:t>
      </w:r>
    </w:p>
    <w:p w:rsidR="002E6FD6" w:rsidRPr="00B208E4" w:rsidRDefault="002E6FD6"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Ma non sembra questo il caso dell’ordinamento italiano: anche negli ambienti delle istituzioni europee, il giudice italiano (ordinario e amministrativo) è unanimamente apprezzato per la sua capacità di far vivere il diritto europeo nell’ordinamento nazionale, in modo efficace e costante.</w:t>
      </w:r>
    </w:p>
    <w:p w:rsidR="009C1B91" w:rsidRDefault="009C1B91"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 xml:space="preserve">Sarebbe del tutto ingeneroso </w:t>
      </w:r>
      <w:r w:rsidR="00C02671">
        <w:rPr>
          <w:rFonts w:ascii="Calibri" w:eastAsia="Times New Roman" w:hAnsi="Calibri" w:cs="Segoe UI"/>
          <w:color w:val="1F4E79" w:themeColor="accent1" w:themeShade="80"/>
          <w:sz w:val="28"/>
          <w:szCs w:val="28"/>
          <w:lang w:eastAsia="it-IT"/>
        </w:rPr>
        <w:t xml:space="preserve">ed errato </w:t>
      </w:r>
      <w:r>
        <w:rPr>
          <w:rFonts w:ascii="Calibri" w:eastAsia="Times New Roman" w:hAnsi="Calibri" w:cs="Segoe UI"/>
          <w:color w:val="1F4E79" w:themeColor="accent1" w:themeShade="80"/>
          <w:sz w:val="28"/>
          <w:szCs w:val="28"/>
          <w:lang w:eastAsia="it-IT"/>
        </w:rPr>
        <w:t xml:space="preserve">sospettare che la Corte costituzionale </w:t>
      </w:r>
      <w:r w:rsidR="00C02671">
        <w:rPr>
          <w:rFonts w:ascii="Calibri" w:eastAsia="Times New Roman" w:hAnsi="Calibri" w:cs="Segoe UI"/>
          <w:color w:val="1F4E79" w:themeColor="accent1" w:themeShade="80"/>
          <w:sz w:val="28"/>
          <w:szCs w:val="28"/>
          <w:lang w:eastAsia="it-IT"/>
        </w:rPr>
        <w:t xml:space="preserve">italiana </w:t>
      </w:r>
      <w:r>
        <w:rPr>
          <w:rFonts w:ascii="Calibri" w:eastAsia="Times New Roman" w:hAnsi="Calibri" w:cs="Segoe UI"/>
          <w:color w:val="1F4E79" w:themeColor="accent1" w:themeShade="80"/>
          <w:sz w:val="28"/>
          <w:szCs w:val="28"/>
          <w:lang w:eastAsia="it-IT"/>
        </w:rPr>
        <w:t xml:space="preserve">abbia </w:t>
      </w:r>
      <w:r w:rsidR="00C02671">
        <w:rPr>
          <w:rFonts w:ascii="Calibri" w:eastAsia="Times New Roman" w:hAnsi="Calibri" w:cs="Segoe UI"/>
          <w:color w:val="1F4E79" w:themeColor="accent1" w:themeShade="80"/>
          <w:sz w:val="28"/>
          <w:szCs w:val="28"/>
          <w:lang w:eastAsia="it-IT"/>
        </w:rPr>
        <w:t xml:space="preserve">assunto </w:t>
      </w:r>
      <w:r>
        <w:rPr>
          <w:rFonts w:ascii="Calibri" w:eastAsia="Times New Roman" w:hAnsi="Calibri" w:cs="Segoe UI"/>
          <w:color w:val="1F4E79" w:themeColor="accent1" w:themeShade="80"/>
          <w:sz w:val="28"/>
          <w:szCs w:val="28"/>
          <w:lang w:eastAsia="it-IT"/>
        </w:rPr>
        <w:t>un</w:t>
      </w:r>
      <w:r w:rsidR="00C02671">
        <w:rPr>
          <w:rFonts w:ascii="Calibri" w:eastAsia="Times New Roman" w:hAnsi="Calibri" w:cs="Segoe UI"/>
          <w:color w:val="1F4E79" w:themeColor="accent1" w:themeShade="80"/>
          <w:sz w:val="28"/>
          <w:szCs w:val="28"/>
          <w:lang w:eastAsia="it-IT"/>
        </w:rPr>
        <w:t>a</w:t>
      </w:r>
      <w:r>
        <w:rPr>
          <w:rFonts w:ascii="Calibri" w:eastAsia="Times New Roman" w:hAnsi="Calibri" w:cs="Segoe UI"/>
          <w:color w:val="1F4E79" w:themeColor="accent1" w:themeShade="80"/>
          <w:sz w:val="28"/>
          <w:szCs w:val="28"/>
          <w:lang w:eastAsia="it-IT"/>
        </w:rPr>
        <w:t xml:space="preserve"> </w:t>
      </w:r>
      <w:r w:rsidR="00C02671">
        <w:rPr>
          <w:rFonts w:ascii="Calibri" w:eastAsia="Times New Roman" w:hAnsi="Calibri" w:cs="Segoe UI"/>
          <w:color w:val="1F4E79" w:themeColor="accent1" w:themeShade="80"/>
          <w:sz w:val="28"/>
          <w:szCs w:val="28"/>
          <w:lang w:eastAsia="it-IT"/>
        </w:rPr>
        <w:t>posizione</w:t>
      </w:r>
      <w:r>
        <w:rPr>
          <w:rFonts w:ascii="Calibri" w:eastAsia="Times New Roman" w:hAnsi="Calibri" w:cs="Segoe UI"/>
          <w:color w:val="1F4E79" w:themeColor="accent1" w:themeShade="80"/>
          <w:sz w:val="28"/>
          <w:szCs w:val="28"/>
          <w:lang w:eastAsia="it-IT"/>
        </w:rPr>
        <w:t xml:space="preserve"> “culturale” di resistenza al diritto europeo. Quando sono emersi oggettivi problemi di coordinamento tra </w:t>
      </w:r>
      <w:r w:rsidR="00C02671">
        <w:rPr>
          <w:rFonts w:ascii="Calibri" w:eastAsia="Times New Roman" w:hAnsi="Calibri" w:cs="Segoe UI"/>
          <w:color w:val="1F4E79" w:themeColor="accent1" w:themeShade="80"/>
          <w:sz w:val="28"/>
          <w:szCs w:val="28"/>
          <w:lang w:eastAsia="it-IT"/>
        </w:rPr>
        <w:t xml:space="preserve">la </w:t>
      </w:r>
      <w:r>
        <w:rPr>
          <w:rFonts w:ascii="Calibri" w:eastAsia="Times New Roman" w:hAnsi="Calibri" w:cs="Segoe UI"/>
          <w:color w:val="1F4E79" w:themeColor="accent1" w:themeShade="80"/>
          <w:sz w:val="28"/>
          <w:szCs w:val="28"/>
          <w:lang w:eastAsia="it-IT"/>
        </w:rPr>
        <w:t xml:space="preserve">Costituzione e </w:t>
      </w:r>
      <w:r w:rsidR="00C02671">
        <w:rPr>
          <w:rFonts w:ascii="Calibri" w:eastAsia="Times New Roman" w:hAnsi="Calibri" w:cs="Segoe UI"/>
          <w:color w:val="1F4E79" w:themeColor="accent1" w:themeShade="80"/>
          <w:sz w:val="28"/>
          <w:szCs w:val="28"/>
          <w:lang w:eastAsia="it-IT"/>
        </w:rPr>
        <w:t xml:space="preserve">il </w:t>
      </w:r>
      <w:r>
        <w:rPr>
          <w:rFonts w:ascii="Calibri" w:eastAsia="Times New Roman" w:hAnsi="Calibri" w:cs="Segoe UI"/>
          <w:color w:val="1F4E79" w:themeColor="accent1" w:themeShade="80"/>
          <w:sz w:val="28"/>
          <w:szCs w:val="28"/>
          <w:lang w:eastAsia="it-IT"/>
        </w:rPr>
        <w:t xml:space="preserve">diritto UE, la Consulta ha percorso la strada </w:t>
      </w:r>
      <w:r w:rsidR="00C02671">
        <w:rPr>
          <w:rFonts w:ascii="Calibri" w:eastAsia="Times New Roman" w:hAnsi="Calibri" w:cs="Segoe UI"/>
          <w:color w:val="1F4E79" w:themeColor="accent1" w:themeShade="80"/>
          <w:sz w:val="28"/>
          <w:szCs w:val="28"/>
          <w:lang w:eastAsia="it-IT"/>
        </w:rPr>
        <w:t xml:space="preserve">costruttiva </w:t>
      </w:r>
      <w:r>
        <w:rPr>
          <w:rFonts w:ascii="Calibri" w:eastAsia="Times New Roman" w:hAnsi="Calibri" w:cs="Segoe UI"/>
          <w:color w:val="1F4E79" w:themeColor="accent1" w:themeShade="80"/>
          <w:sz w:val="28"/>
          <w:szCs w:val="28"/>
          <w:lang w:eastAsia="it-IT"/>
        </w:rPr>
        <w:t xml:space="preserve">del dialogo, come dimostra esemplarmente la delicata vicenda del caso </w:t>
      </w:r>
      <w:r w:rsidRPr="00C02671">
        <w:rPr>
          <w:rFonts w:ascii="Calibri" w:eastAsia="Times New Roman" w:hAnsi="Calibri" w:cs="Segoe UI"/>
          <w:i/>
          <w:color w:val="1F4E79" w:themeColor="accent1" w:themeShade="80"/>
          <w:sz w:val="28"/>
          <w:szCs w:val="28"/>
          <w:lang w:eastAsia="it-IT"/>
        </w:rPr>
        <w:t>Taricco</w:t>
      </w:r>
      <w:r>
        <w:rPr>
          <w:rFonts w:ascii="Calibri" w:eastAsia="Times New Roman" w:hAnsi="Calibri" w:cs="Segoe UI"/>
          <w:color w:val="1F4E79" w:themeColor="accent1" w:themeShade="80"/>
          <w:sz w:val="28"/>
          <w:szCs w:val="28"/>
          <w:lang w:eastAsia="it-IT"/>
        </w:rPr>
        <w:t>, affrontata cercando</w:t>
      </w:r>
      <w:r w:rsidR="002E6FD6">
        <w:rPr>
          <w:rFonts w:ascii="Calibri" w:eastAsia="Times New Roman" w:hAnsi="Calibri" w:cs="Segoe UI"/>
          <w:color w:val="1F4E79" w:themeColor="accent1" w:themeShade="80"/>
          <w:sz w:val="28"/>
          <w:szCs w:val="28"/>
          <w:lang w:eastAsia="it-IT"/>
        </w:rPr>
        <w:t xml:space="preserve"> –ed ottenendo -</w:t>
      </w:r>
      <w:r>
        <w:rPr>
          <w:rFonts w:ascii="Calibri" w:eastAsia="Times New Roman" w:hAnsi="Calibri" w:cs="Segoe UI"/>
          <w:color w:val="1F4E79" w:themeColor="accent1" w:themeShade="80"/>
          <w:sz w:val="28"/>
          <w:szCs w:val="28"/>
          <w:lang w:eastAsia="it-IT"/>
        </w:rPr>
        <w:t xml:space="preserve"> la convergenza e non lo scontro con la CGUE.</w:t>
      </w:r>
    </w:p>
    <w:p w:rsidR="00ED27F7" w:rsidRDefault="009C1B91"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 xml:space="preserve">E sarebbe profondamente sbagliato rappresentare il Consiglio di Stato come un giudice </w:t>
      </w:r>
      <w:r w:rsidR="00ED27F7">
        <w:rPr>
          <w:rFonts w:ascii="Calibri" w:eastAsia="Times New Roman" w:hAnsi="Calibri" w:cs="Segoe UI"/>
          <w:color w:val="1F4E79" w:themeColor="accent1" w:themeShade="80"/>
          <w:sz w:val="28"/>
          <w:szCs w:val="28"/>
          <w:lang w:eastAsia="it-IT"/>
        </w:rPr>
        <w:t>poco sensibile al diritto dell’UE o addirittura “ribelle” alle sentenze della CGUE.</w:t>
      </w:r>
    </w:p>
    <w:p w:rsidR="00ED27F7" w:rsidRDefault="00ED27F7"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Al riguardo, basterebbe considerare l’elevatissimo numero (assoluto e relativo) delle ordinanze di rinvio pregiudiziale</w:t>
      </w:r>
      <w:r w:rsidR="00C02671">
        <w:rPr>
          <w:rFonts w:ascii="Calibri" w:eastAsia="Times New Roman" w:hAnsi="Calibri" w:cs="Segoe UI"/>
          <w:color w:val="1F4E79" w:themeColor="accent1" w:themeShade="80"/>
          <w:sz w:val="28"/>
          <w:szCs w:val="28"/>
          <w:lang w:eastAsia="it-IT"/>
        </w:rPr>
        <w:t xml:space="preserve"> pronunciate dal giudice amministrativo</w:t>
      </w:r>
      <w:r w:rsidR="00C02671">
        <w:rPr>
          <w:rStyle w:val="Rimandonotaapidipagina"/>
          <w:rFonts w:ascii="Calibri" w:eastAsia="Times New Roman" w:hAnsi="Calibri" w:cs="Segoe UI"/>
          <w:color w:val="1F4E79" w:themeColor="accent1" w:themeShade="80"/>
          <w:sz w:val="28"/>
          <w:szCs w:val="28"/>
          <w:lang w:eastAsia="it-IT"/>
        </w:rPr>
        <w:footnoteReference w:id="31"/>
      </w:r>
      <w:r>
        <w:rPr>
          <w:rFonts w:ascii="Calibri" w:eastAsia="Times New Roman" w:hAnsi="Calibri" w:cs="Segoe UI"/>
          <w:color w:val="1F4E79" w:themeColor="accent1" w:themeShade="80"/>
          <w:sz w:val="28"/>
          <w:szCs w:val="28"/>
          <w:lang w:eastAsia="it-IT"/>
        </w:rPr>
        <w:t>.</w:t>
      </w:r>
    </w:p>
    <w:p w:rsidR="00ED27F7" w:rsidRDefault="00ED27F7"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Ed anche il delicato tema della legittimazione al ricorso</w:t>
      </w:r>
      <w:r w:rsidR="002E6FD6">
        <w:rPr>
          <w:rFonts w:ascii="Calibri" w:eastAsia="Times New Roman" w:hAnsi="Calibri" w:cs="Segoe UI"/>
          <w:color w:val="1F4E79" w:themeColor="accent1" w:themeShade="80"/>
          <w:sz w:val="28"/>
          <w:szCs w:val="28"/>
          <w:lang w:eastAsia="it-IT"/>
        </w:rPr>
        <w:t>, alla base dell’ordinanza in commento</w:t>
      </w:r>
      <w:r>
        <w:rPr>
          <w:rFonts w:ascii="Calibri" w:eastAsia="Times New Roman" w:hAnsi="Calibri" w:cs="Segoe UI"/>
          <w:color w:val="1F4E79" w:themeColor="accent1" w:themeShade="80"/>
          <w:sz w:val="28"/>
          <w:szCs w:val="28"/>
          <w:lang w:eastAsia="it-IT"/>
        </w:rPr>
        <w:t>, seppure fa emergere un problema di non uniformità di vedute tra la CGUE e il Consiglio di Stato,</w:t>
      </w:r>
      <w:r w:rsidR="002E6FD6">
        <w:rPr>
          <w:rFonts w:ascii="Calibri" w:eastAsia="Times New Roman" w:hAnsi="Calibri" w:cs="Segoe UI"/>
          <w:color w:val="1F4E79" w:themeColor="accent1" w:themeShade="80"/>
          <w:sz w:val="28"/>
          <w:szCs w:val="28"/>
          <w:lang w:eastAsia="it-IT"/>
        </w:rPr>
        <w:t xml:space="preserve"> testimonia la tendenza all’armonizzazione degli ordinamenti e delle decisioni.</w:t>
      </w:r>
      <w:r>
        <w:rPr>
          <w:rFonts w:ascii="Calibri" w:eastAsia="Times New Roman" w:hAnsi="Calibri" w:cs="Segoe UI"/>
          <w:color w:val="1F4E79" w:themeColor="accent1" w:themeShade="80"/>
          <w:sz w:val="28"/>
          <w:szCs w:val="28"/>
          <w:lang w:eastAsia="it-IT"/>
        </w:rPr>
        <w:t xml:space="preserve"> </w:t>
      </w:r>
      <w:r w:rsidR="002E6FD6">
        <w:rPr>
          <w:rFonts w:ascii="Calibri" w:eastAsia="Times New Roman" w:hAnsi="Calibri" w:cs="Segoe UI"/>
          <w:color w:val="1F4E79" w:themeColor="accent1" w:themeShade="80"/>
          <w:sz w:val="28"/>
          <w:szCs w:val="28"/>
          <w:lang w:eastAsia="it-IT"/>
        </w:rPr>
        <w:t xml:space="preserve">La </w:t>
      </w:r>
      <w:r>
        <w:rPr>
          <w:rFonts w:ascii="Calibri" w:eastAsia="Times New Roman" w:hAnsi="Calibri" w:cs="Segoe UI"/>
          <w:color w:val="1F4E79" w:themeColor="accent1" w:themeShade="80"/>
          <w:sz w:val="28"/>
          <w:szCs w:val="28"/>
          <w:lang w:eastAsia="it-IT"/>
        </w:rPr>
        <w:t>semplice lettura dell’ordine in cui sono intervenute le principa</w:t>
      </w:r>
      <w:r w:rsidR="00C02671">
        <w:rPr>
          <w:rFonts w:ascii="Calibri" w:eastAsia="Times New Roman" w:hAnsi="Calibri" w:cs="Segoe UI"/>
          <w:color w:val="1F4E79" w:themeColor="accent1" w:themeShade="80"/>
          <w:sz w:val="28"/>
          <w:szCs w:val="28"/>
          <w:lang w:eastAsia="it-IT"/>
        </w:rPr>
        <w:t xml:space="preserve">li decisioni in materia </w:t>
      </w:r>
      <w:r>
        <w:rPr>
          <w:rFonts w:ascii="Calibri" w:eastAsia="Times New Roman" w:hAnsi="Calibri" w:cs="Segoe UI"/>
          <w:color w:val="1F4E79" w:themeColor="accent1" w:themeShade="80"/>
          <w:sz w:val="28"/>
          <w:szCs w:val="28"/>
          <w:lang w:eastAsia="it-IT"/>
        </w:rPr>
        <w:t>evidenzia che il giudice amministrativo si è sempre uniformato</w:t>
      </w:r>
      <w:r w:rsidR="002E6FD6">
        <w:rPr>
          <w:rFonts w:ascii="Calibri" w:eastAsia="Times New Roman" w:hAnsi="Calibri" w:cs="Segoe UI"/>
          <w:color w:val="1F4E79" w:themeColor="accent1" w:themeShade="80"/>
          <w:sz w:val="28"/>
          <w:szCs w:val="28"/>
          <w:lang w:eastAsia="it-IT"/>
        </w:rPr>
        <w:t>,</w:t>
      </w:r>
      <w:r>
        <w:rPr>
          <w:rFonts w:ascii="Calibri" w:eastAsia="Times New Roman" w:hAnsi="Calibri" w:cs="Segoe UI"/>
          <w:color w:val="1F4E79" w:themeColor="accent1" w:themeShade="80"/>
          <w:sz w:val="28"/>
          <w:szCs w:val="28"/>
          <w:lang w:eastAsia="it-IT"/>
        </w:rPr>
        <w:t xml:space="preserve"> tempestivamente</w:t>
      </w:r>
      <w:r w:rsidR="002E6FD6">
        <w:rPr>
          <w:rFonts w:ascii="Calibri" w:eastAsia="Times New Roman" w:hAnsi="Calibri" w:cs="Segoe UI"/>
          <w:color w:val="1F4E79" w:themeColor="accent1" w:themeShade="80"/>
          <w:sz w:val="28"/>
          <w:szCs w:val="28"/>
          <w:lang w:eastAsia="it-IT"/>
        </w:rPr>
        <w:t xml:space="preserve"> e compiutamente,</w:t>
      </w:r>
      <w:r>
        <w:rPr>
          <w:rFonts w:ascii="Calibri" w:eastAsia="Times New Roman" w:hAnsi="Calibri" w:cs="Segoe UI"/>
          <w:color w:val="1F4E79" w:themeColor="accent1" w:themeShade="80"/>
          <w:sz w:val="28"/>
          <w:szCs w:val="28"/>
          <w:lang w:eastAsia="it-IT"/>
        </w:rPr>
        <w:t xml:space="preserve"> ai mutamenti della giurisprudenza della Corte del Lussemburgo.</w:t>
      </w:r>
    </w:p>
    <w:p w:rsidR="00C02671" w:rsidRDefault="00C02671"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La sentenza dell’Adunanza Plenaria n. 4/20</w:t>
      </w:r>
      <w:r w:rsidR="002E6FD6">
        <w:rPr>
          <w:rFonts w:ascii="Calibri" w:eastAsia="Times New Roman" w:hAnsi="Calibri" w:cs="Segoe UI"/>
          <w:color w:val="1F4E79" w:themeColor="accent1" w:themeShade="80"/>
          <w:sz w:val="28"/>
          <w:szCs w:val="28"/>
          <w:lang w:eastAsia="it-IT"/>
        </w:rPr>
        <w:t>1</w:t>
      </w:r>
      <w:r>
        <w:rPr>
          <w:rFonts w:ascii="Calibri" w:eastAsia="Times New Roman" w:hAnsi="Calibri" w:cs="Segoe UI"/>
          <w:color w:val="1F4E79" w:themeColor="accent1" w:themeShade="80"/>
          <w:sz w:val="28"/>
          <w:szCs w:val="28"/>
          <w:lang w:eastAsia="it-IT"/>
        </w:rPr>
        <w:t xml:space="preserve">1, che aveva affermato il difetto di legittimazione del ricorrente illegittimamente ammesso alla gara, infatti, risultava pienamente conforme al diritto eurounitario all’epoca vigente, </w:t>
      </w:r>
      <w:r w:rsidR="002E6FD6">
        <w:rPr>
          <w:rFonts w:ascii="Calibri" w:eastAsia="Times New Roman" w:hAnsi="Calibri" w:cs="Segoe UI"/>
          <w:color w:val="1F4E79" w:themeColor="accent1" w:themeShade="80"/>
          <w:sz w:val="28"/>
          <w:szCs w:val="28"/>
          <w:lang w:eastAsia="it-IT"/>
        </w:rPr>
        <w:t xml:space="preserve">espresso dalla decisione della Corte </w:t>
      </w:r>
      <w:r w:rsidRPr="00C02671">
        <w:rPr>
          <w:rFonts w:ascii="Calibri" w:eastAsia="Times New Roman" w:hAnsi="Calibri" w:cs="Segoe UI"/>
          <w:color w:val="1F4E79" w:themeColor="accent1" w:themeShade="80"/>
          <w:sz w:val="28"/>
          <w:szCs w:val="28"/>
          <w:lang w:eastAsia="it-IT"/>
        </w:rPr>
        <w:t xml:space="preserve">19 giugno 2003, </w:t>
      </w:r>
      <w:r w:rsidRPr="00C02671">
        <w:rPr>
          <w:rFonts w:ascii="Calibri" w:eastAsia="Times New Roman" w:hAnsi="Calibri" w:cs="Segoe UI"/>
          <w:i/>
          <w:color w:val="1F4E79" w:themeColor="accent1" w:themeShade="80"/>
          <w:sz w:val="28"/>
          <w:szCs w:val="28"/>
          <w:lang w:eastAsia="it-IT"/>
        </w:rPr>
        <w:t>Hackermüller</w:t>
      </w:r>
      <w:r w:rsidRPr="00C02671">
        <w:rPr>
          <w:rFonts w:ascii="Calibri" w:eastAsia="Times New Roman" w:hAnsi="Calibri" w:cs="Segoe UI"/>
          <w:color w:val="1F4E79" w:themeColor="accent1" w:themeShade="80"/>
          <w:sz w:val="28"/>
          <w:szCs w:val="28"/>
          <w:lang w:eastAsia="it-IT"/>
        </w:rPr>
        <w:t>, C 249/01</w:t>
      </w:r>
      <w:r>
        <w:rPr>
          <w:rFonts w:ascii="Calibri" w:eastAsia="Times New Roman" w:hAnsi="Calibri" w:cs="Segoe UI"/>
          <w:color w:val="1F4E79" w:themeColor="accent1" w:themeShade="80"/>
          <w:sz w:val="28"/>
          <w:szCs w:val="28"/>
          <w:lang w:eastAsia="it-IT"/>
        </w:rPr>
        <w:t>.</w:t>
      </w:r>
    </w:p>
    <w:p w:rsidR="00C02671" w:rsidRDefault="00C02671"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 xml:space="preserve">La successiva sentenza </w:t>
      </w:r>
      <w:r w:rsidRPr="00C02671">
        <w:rPr>
          <w:rFonts w:ascii="Calibri" w:eastAsia="Times New Roman" w:hAnsi="Calibri" w:cs="Segoe UI"/>
          <w:color w:val="1F4E79" w:themeColor="accent1" w:themeShade="80"/>
          <w:sz w:val="28"/>
          <w:szCs w:val="28"/>
          <w:lang w:eastAsia="it-IT"/>
        </w:rPr>
        <w:t xml:space="preserve">4 luglio 2013, </w:t>
      </w:r>
      <w:r w:rsidRPr="00C02671">
        <w:rPr>
          <w:rFonts w:ascii="Calibri" w:eastAsia="Times New Roman" w:hAnsi="Calibri" w:cs="Segoe UI"/>
          <w:i/>
          <w:color w:val="1F4E79" w:themeColor="accent1" w:themeShade="80"/>
          <w:sz w:val="28"/>
          <w:szCs w:val="28"/>
          <w:lang w:eastAsia="it-IT"/>
        </w:rPr>
        <w:t>Fastweb</w:t>
      </w:r>
      <w:r w:rsidRPr="00C02671">
        <w:rPr>
          <w:rFonts w:ascii="Calibri" w:eastAsia="Times New Roman" w:hAnsi="Calibri" w:cs="Segoe UI"/>
          <w:color w:val="1F4E79" w:themeColor="accent1" w:themeShade="80"/>
          <w:sz w:val="28"/>
          <w:szCs w:val="28"/>
          <w:lang w:eastAsia="it-IT"/>
        </w:rPr>
        <w:t>, C100/12</w:t>
      </w:r>
      <w:r>
        <w:rPr>
          <w:rFonts w:ascii="Calibri" w:eastAsia="Times New Roman" w:hAnsi="Calibri" w:cs="Segoe UI"/>
          <w:color w:val="1F4E79" w:themeColor="accent1" w:themeShade="80"/>
          <w:sz w:val="28"/>
          <w:szCs w:val="28"/>
          <w:lang w:eastAsia="it-IT"/>
        </w:rPr>
        <w:t xml:space="preserve">, originata da un caso particolarissimo, probabilmente non rientrante nello spettro applicativo </w:t>
      </w:r>
      <w:r w:rsidR="005E5FD0">
        <w:rPr>
          <w:rFonts w:ascii="Calibri" w:eastAsia="Times New Roman" w:hAnsi="Calibri" w:cs="Segoe UI"/>
          <w:color w:val="1F4E79" w:themeColor="accent1" w:themeShade="80"/>
          <w:sz w:val="28"/>
          <w:szCs w:val="28"/>
          <w:lang w:eastAsia="it-IT"/>
        </w:rPr>
        <w:t>della sentenza n. 4/2011, ha segnato, comunque, un mutamento di indirizzo della giurisprudenza della CGUE.</w:t>
      </w:r>
    </w:p>
    <w:p w:rsidR="005E5FD0" w:rsidRDefault="005E5FD0"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L’Adunanza Plenaria, con la sentenza n. 9/2014 ha puntualmente recepito il nuovo indirizzo della Corte, estendendone la portata</w:t>
      </w:r>
      <w:r w:rsidR="002E6FD6">
        <w:rPr>
          <w:rFonts w:ascii="Calibri" w:eastAsia="Times New Roman" w:hAnsi="Calibri" w:cs="Segoe UI"/>
          <w:color w:val="1F4E79" w:themeColor="accent1" w:themeShade="80"/>
          <w:sz w:val="28"/>
          <w:szCs w:val="28"/>
          <w:lang w:eastAsia="it-IT"/>
        </w:rPr>
        <w:t xml:space="preserve"> anche al di là dei limiti indicati espressamente definiti dalla pronuncia del giudice europeo</w:t>
      </w:r>
      <w:r>
        <w:rPr>
          <w:rFonts w:ascii="Calibri" w:eastAsia="Times New Roman" w:hAnsi="Calibri" w:cs="Segoe UI"/>
          <w:color w:val="1F4E79" w:themeColor="accent1" w:themeShade="80"/>
          <w:sz w:val="28"/>
          <w:szCs w:val="28"/>
          <w:lang w:eastAsia="it-IT"/>
        </w:rPr>
        <w:t>.</w:t>
      </w:r>
    </w:p>
    <w:p w:rsidR="005E5FD0" w:rsidRDefault="005E5FD0"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 xml:space="preserve">La sentenza della CGUE </w:t>
      </w:r>
      <w:r w:rsidRPr="005E5FD0">
        <w:rPr>
          <w:rFonts w:ascii="Calibri" w:eastAsia="Times New Roman" w:hAnsi="Calibri" w:cs="Segoe UI"/>
          <w:color w:val="1F4E79" w:themeColor="accent1" w:themeShade="80"/>
          <w:sz w:val="28"/>
          <w:szCs w:val="28"/>
          <w:lang w:eastAsia="it-IT"/>
        </w:rPr>
        <w:t xml:space="preserve">5 aprile 2016, </w:t>
      </w:r>
      <w:r w:rsidRPr="005E5FD0">
        <w:rPr>
          <w:rFonts w:ascii="Calibri" w:eastAsia="Times New Roman" w:hAnsi="Calibri" w:cs="Segoe UI"/>
          <w:i/>
          <w:color w:val="1F4E79" w:themeColor="accent1" w:themeShade="80"/>
          <w:sz w:val="28"/>
          <w:szCs w:val="28"/>
          <w:lang w:eastAsia="it-IT"/>
        </w:rPr>
        <w:t>Puligienica</w:t>
      </w:r>
      <w:r w:rsidRPr="005E5FD0">
        <w:rPr>
          <w:rFonts w:ascii="Calibri" w:eastAsia="Times New Roman" w:hAnsi="Calibri" w:cs="Segoe UI"/>
          <w:color w:val="1F4E79" w:themeColor="accent1" w:themeShade="80"/>
          <w:sz w:val="28"/>
          <w:szCs w:val="28"/>
          <w:lang w:eastAsia="it-IT"/>
        </w:rPr>
        <w:t>, C-689/13</w:t>
      </w:r>
      <w:r>
        <w:rPr>
          <w:rFonts w:ascii="Calibri" w:eastAsia="Times New Roman" w:hAnsi="Calibri" w:cs="Segoe UI"/>
          <w:color w:val="1F4E79" w:themeColor="accent1" w:themeShade="80"/>
          <w:sz w:val="28"/>
          <w:szCs w:val="28"/>
          <w:lang w:eastAsia="it-IT"/>
        </w:rPr>
        <w:t xml:space="preserve"> ha ulteriormente dilatato la nozione di legittimazione al ricorso, </w:t>
      </w:r>
      <w:r w:rsidR="002E6FD6">
        <w:rPr>
          <w:rFonts w:ascii="Calibri" w:eastAsia="Times New Roman" w:hAnsi="Calibri" w:cs="Segoe UI"/>
          <w:color w:val="1F4E79" w:themeColor="accent1" w:themeShade="80"/>
          <w:sz w:val="28"/>
          <w:szCs w:val="28"/>
          <w:lang w:eastAsia="it-IT"/>
        </w:rPr>
        <w:t xml:space="preserve">segnando una nuova modifica dell’orientamento del giudice europeo, </w:t>
      </w:r>
      <w:r>
        <w:rPr>
          <w:rFonts w:ascii="Calibri" w:eastAsia="Times New Roman" w:hAnsi="Calibri" w:cs="Segoe UI"/>
          <w:color w:val="1F4E79" w:themeColor="accent1" w:themeShade="80"/>
          <w:sz w:val="28"/>
          <w:szCs w:val="28"/>
          <w:lang w:eastAsia="it-IT"/>
        </w:rPr>
        <w:t xml:space="preserve">provocando, però, alcune obiettive difficoltà applicative, linearmente esposte dal Consiglio di Stato, la quale ha </w:t>
      </w:r>
      <w:r w:rsidR="002E6FD6">
        <w:rPr>
          <w:rFonts w:ascii="Calibri" w:eastAsia="Times New Roman" w:hAnsi="Calibri" w:cs="Segoe UI"/>
          <w:color w:val="1F4E79" w:themeColor="accent1" w:themeShade="80"/>
          <w:sz w:val="28"/>
          <w:szCs w:val="28"/>
          <w:lang w:eastAsia="it-IT"/>
        </w:rPr>
        <w:t>sollecit</w:t>
      </w:r>
      <w:r>
        <w:rPr>
          <w:rFonts w:ascii="Calibri" w:eastAsia="Times New Roman" w:hAnsi="Calibri" w:cs="Segoe UI"/>
          <w:color w:val="1F4E79" w:themeColor="accent1" w:themeShade="80"/>
          <w:sz w:val="28"/>
          <w:szCs w:val="28"/>
          <w:lang w:eastAsia="it-IT"/>
        </w:rPr>
        <w:t>ato</w:t>
      </w:r>
      <w:r w:rsidR="002E6FD6">
        <w:rPr>
          <w:rFonts w:ascii="Calibri" w:eastAsia="Times New Roman" w:hAnsi="Calibri" w:cs="Segoe UI"/>
          <w:color w:val="1F4E79" w:themeColor="accent1" w:themeShade="80"/>
          <w:sz w:val="28"/>
          <w:szCs w:val="28"/>
          <w:lang w:eastAsia="it-IT"/>
        </w:rPr>
        <w:t xml:space="preserve"> un nuovo intervento della Corte, attuato con</w:t>
      </w:r>
      <w:r>
        <w:rPr>
          <w:rFonts w:ascii="Calibri" w:eastAsia="Times New Roman" w:hAnsi="Calibri" w:cs="Segoe UI"/>
          <w:color w:val="1F4E79" w:themeColor="accent1" w:themeShade="80"/>
          <w:sz w:val="28"/>
          <w:szCs w:val="28"/>
          <w:lang w:eastAsia="it-IT"/>
        </w:rPr>
        <w:t xml:space="preserve"> la sentenza della CGUE </w:t>
      </w:r>
      <w:r w:rsidRPr="005E5FD0">
        <w:rPr>
          <w:rFonts w:ascii="Calibri" w:eastAsia="Times New Roman" w:hAnsi="Calibri" w:cs="Segoe UI"/>
          <w:color w:val="1F4E79" w:themeColor="accent1" w:themeShade="80"/>
          <w:sz w:val="28"/>
          <w:szCs w:val="28"/>
          <w:lang w:eastAsia="it-IT"/>
        </w:rPr>
        <w:t xml:space="preserve">5 settembre 2019, </w:t>
      </w:r>
      <w:r w:rsidRPr="005E5FD0">
        <w:rPr>
          <w:rFonts w:ascii="Calibri" w:eastAsia="Times New Roman" w:hAnsi="Calibri" w:cs="Segoe UI"/>
          <w:i/>
          <w:color w:val="1F4E79" w:themeColor="accent1" w:themeShade="80"/>
          <w:sz w:val="28"/>
          <w:szCs w:val="28"/>
          <w:lang w:eastAsia="it-IT"/>
        </w:rPr>
        <w:t>Lombardi</w:t>
      </w:r>
      <w:r w:rsidRPr="005E5FD0">
        <w:rPr>
          <w:rFonts w:ascii="Calibri" w:eastAsia="Times New Roman" w:hAnsi="Calibri" w:cs="Segoe UI"/>
          <w:color w:val="1F4E79" w:themeColor="accent1" w:themeShade="80"/>
          <w:sz w:val="28"/>
          <w:szCs w:val="28"/>
          <w:lang w:eastAsia="it-IT"/>
        </w:rPr>
        <w:t>, C-333/18</w:t>
      </w:r>
      <w:r>
        <w:rPr>
          <w:rFonts w:ascii="Calibri" w:eastAsia="Times New Roman" w:hAnsi="Calibri" w:cs="Segoe UI"/>
          <w:color w:val="1F4E79" w:themeColor="accent1" w:themeShade="80"/>
          <w:sz w:val="28"/>
          <w:szCs w:val="28"/>
          <w:lang w:eastAsia="it-IT"/>
        </w:rPr>
        <w:t>.</w:t>
      </w:r>
    </w:p>
    <w:p w:rsidR="002E6FD6" w:rsidRDefault="002E6FD6"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Insomma, nella vicenda, sicuramente articolata e complessa, non pare esatto riscontrar</w:t>
      </w:r>
      <w:r w:rsidR="00197D8C">
        <w:rPr>
          <w:rFonts w:ascii="Calibri" w:eastAsia="Times New Roman" w:hAnsi="Calibri" w:cs="Segoe UI"/>
          <w:color w:val="1F4E79" w:themeColor="accent1" w:themeShade="80"/>
          <w:sz w:val="28"/>
          <w:szCs w:val="28"/>
          <w:lang w:eastAsia="it-IT"/>
        </w:rPr>
        <w:t>e un’ostilità del giudice amministrativo al diritto dell’Unione europea.</w:t>
      </w:r>
    </w:p>
    <w:p w:rsidR="005E5FD0" w:rsidRDefault="005E5FD0"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 xml:space="preserve">Quale che sia la valutazione sulla correttezza dell’uno o dell’altro orientamento, </w:t>
      </w:r>
      <w:r w:rsidR="002E6FD6">
        <w:rPr>
          <w:rFonts w:ascii="Calibri" w:eastAsia="Times New Roman" w:hAnsi="Calibri" w:cs="Segoe UI"/>
          <w:color w:val="1F4E79" w:themeColor="accent1" w:themeShade="80"/>
          <w:sz w:val="28"/>
          <w:szCs w:val="28"/>
          <w:lang w:eastAsia="it-IT"/>
        </w:rPr>
        <w:t xml:space="preserve">emerso attraverso il dialogo tra le Corti, </w:t>
      </w:r>
      <w:r>
        <w:rPr>
          <w:rFonts w:ascii="Calibri" w:eastAsia="Times New Roman" w:hAnsi="Calibri" w:cs="Segoe UI"/>
          <w:color w:val="1F4E79" w:themeColor="accent1" w:themeShade="80"/>
          <w:sz w:val="28"/>
          <w:szCs w:val="28"/>
          <w:lang w:eastAsia="it-IT"/>
        </w:rPr>
        <w:t>anche in relazione ai valori in gioco e alla bontà dei contrapposti argomenti proposti, resta indiscutibile un dato. Il Consiglio di Stato non ha mai ostacolato la piena operatività del diritto UE, formato dalla giurisprudenza della CGUE, progressivamente formatasi sul tema della legittimazione al ricorso.</w:t>
      </w:r>
    </w:p>
    <w:p w:rsidR="005E5FD0" w:rsidRDefault="005E5FD0"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Quando ha riscontrato significativi</w:t>
      </w:r>
      <w:r w:rsidR="00197D8C">
        <w:rPr>
          <w:rFonts w:ascii="Calibri" w:eastAsia="Times New Roman" w:hAnsi="Calibri" w:cs="Segoe UI"/>
          <w:color w:val="1F4E79" w:themeColor="accent1" w:themeShade="80"/>
          <w:sz w:val="28"/>
          <w:szCs w:val="28"/>
          <w:lang w:eastAsia="it-IT"/>
        </w:rPr>
        <w:t xml:space="preserve"> ed oggettivi</w:t>
      </w:r>
      <w:r>
        <w:rPr>
          <w:rFonts w:ascii="Calibri" w:eastAsia="Times New Roman" w:hAnsi="Calibri" w:cs="Segoe UI"/>
          <w:color w:val="1F4E79" w:themeColor="accent1" w:themeShade="80"/>
          <w:sz w:val="28"/>
          <w:szCs w:val="28"/>
          <w:lang w:eastAsia="it-IT"/>
        </w:rPr>
        <w:t xml:space="preserve"> dubbi interpretativi sulla portata della normativa europea</w:t>
      </w:r>
      <w:r w:rsidR="00197D8C">
        <w:rPr>
          <w:rFonts w:ascii="Calibri" w:eastAsia="Times New Roman" w:hAnsi="Calibri" w:cs="Segoe UI"/>
          <w:color w:val="1F4E79" w:themeColor="accent1" w:themeShade="80"/>
          <w:sz w:val="28"/>
          <w:szCs w:val="28"/>
          <w:lang w:eastAsia="it-IT"/>
        </w:rPr>
        <w:t>, il Consiglio di Stato</w:t>
      </w:r>
      <w:r>
        <w:rPr>
          <w:rFonts w:ascii="Calibri" w:eastAsia="Times New Roman" w:hAnsi="Calibri" w:cs="Segoe UI"/>
          <w:color w:val="1F4E79" w:themeColor="accent1" w:themeShade="80"/>
          <w:sz w:val="28"/>
          <w:szCs w:val="28"/>
          <w:lang w:eastAsia="it-IT"/>
        </w:rPr>
        <w:t xml:space="preserve"> ha seguito la strada lineare del rinvio pregiudiziale, adeguandosi</w:t>
      </w:r>
      <w:r w:rsidR="00197D8C">
        <w:rPr>
          <w:rFonts w:ascii="Calibri" w:eastAsia="Times New Roman" w:hAnsi="Calibri" w:cs="Segoe UI"/>
          <w:color w:val="1F4E79" w:themeColor="accent1" w:themeShade="80"/>
          <w:sz w:val="28"/>
          <w:szCs w:val="28"/>
          <w:lang w:eastAsia="it-IT"/>
        </w:rPr>
        <w:t>, poi,</w:t>
      </w:r>
      <w:r>
        <w:rPr>
          <w:rFonts w:ascii="Calibri" w:eastAsia="Times New Roman" w:hAnsi="Calibri" w:cs="Segoe UI"/>
          <w:color w:val="1F4E79" w:themeColor="accent1" w:themeShade="80"/>
          <w:sz w:val="28"/>
          <w:szCs w:val="28"/>
          <w:lang w:eastAsia="it-IT"/>
        </w:rPr>
        <w:t xml:space="preserve"> senza difficoltà </w:t>
      </w:r>
      <w:r w:rsidR="00197D8C">
        <w:rPr>
          <w:rFonts w:ascii="Calibri" w:eastAsia="Times New Roman" w:hAnsi="Calibri" w:cs="Segoe UI"/>
          <w:color w:val="1F4E79" w:themeColor="accent1" w:themeShade="80"/>
          <w:sz w:val="28"/>
          <w:szCs w:val="28"/>
          <w:lang w:eastAsia="it-IT"/>
        </w:rPr>
        <w:t xml:space="preserve">o resistenze, </w:t>
      </w:r>
      <w:r>
        <w:rPr>
          <w:rFonts w:ascii="Calibri" w:eastAsia="Times New Roman" w:hAnsi="Calibri" w:cs="Segoe UI"/>
          <w:color w:val="1F4E79" w:themeColor="accent1" w:themeShade="80"/>
          <w:sz w:val="28"/>
          <w:szCs w:val="28"/>
          <w:lang w:eastAsia="it-IT"/>
        </w:rPr>
        <w:t xml:space="preserve">al </w:t>
      </w:r>
      <w:r w:rsidRPr="005E5FD0">
        <w:rPr>
          <w:rFonts w:ascii="Calibri" w:eastAsia="Times New Roman" w:hAnsi="Calibri" w:cs="Segoe UI"/>
          <w:i/>
          <w:color w:val="1F4E79" w:themeColor="accent1" w:themeShade="80"/>
          <w:sz w:val="28"/>
          <w:szCs w:val="28"/>
          <w:lang w:eastAsia="it-IT"/>
        </w:rPr>
        <w:t>dictum</w:t>
      </w:r>
      <w:r>
        <w:rPr>
          <w:rFonts w:ascii="Calibri" w:eastAsia="Times New Roman" w:hAnsi="Calibri" w:cs="Segoe UI"/>
          <w:color w:val="1F4E79" w:themeColor="accent1" w:themeShade="80"/>
          <w:sz w:val="28"/>
          <w:szCs w:val="28"/>
          <w:lang w:eastAsia="it-IT"/>
        </w:rPr>
        <w:t xml:space="preserve"> della CGUE</w:t>
      </w:r>
      <w:r>
        <w:rPr>
          <w:rStyle w:val="Rimandonotaapidipagina"/>
          <w:rFonts w:ascii="Calibri" w:eastAsia="Times New Roman" w:hAnsi="Calibri" w:cs="Segoe UI"/>
          <w:color w:val="1F4E79" w:themeColor="accent1" w:themeShade="80"/>
          <w:sz w:val="28"/>
          <w:szCs w:val="28"/>
          <w:lang w:eastAsia="it-IT"/>
        </w:rPr>
        <w:footnoteReference w:id="32"/>
      </w:r>
      <w:r>
        <w:rPr>
          <w:rFonts w:ascii="Calibri" w:eastAsia="Times New Roman" w:hAnsi="Calibri" w:cs="Segoe UI"/>
          <w:color w:val="1F4E79" w:themeColor="accent1" w:themeShade="80"/>
          <w:sz w:val="28"/>
          <w:szCs w:val="28"/>
          <w:lang w:eastAsia="it-IT"/>
        </w:rPr>
        <w:t>.</w:t>
      </w:r>
    </w:p>
    <w:p w:rsidR="004F3514" w:rsidRPr="00B208E4" w:rsidRDefault="004F3514"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p>
    <w:p w:rsidR="00851E58" w:rsidRPr="00B208E4" w:rsidRDefault="00ED27F7" w:rsidP="00FB7048">
      <w:pPr>
        <w:numPr>
          <w:ilvl w:val="0"/>
          <w:numId w:val="1"/>
        </w:numPr>
        <w:shd w:val="clear" w:color="auto" w:fill="FFFFFF"/>
        <w:tabs>
          <w:tab w:val="left" w:pos="0"/>
        </w:tabs>
        <w:spacing w:after="120" w:line="240" w:lineRule="auto"/>
        <w:ind w:left="0" w:firstLine="709"/>
        <w:jc w:val="both"/>
        <w:textAlignment w:val="baseline"/>
        <w:rPr>
          <w:rFonts w:ascii="Tahoma" w:eastAsia="Times New Roman" w:hAnsi="Tahoma" w:cs="Tahoma"/>
          <w:smallCaps/>
          <w:color w:val="1F4E79" w:themeColor="accent1" w:themeShade="80"/>
          <w:sz w:val="28"/>
          <w:szCs w:val="28"/>
          <w:bdr w:val="none" w:sz="0" w:space="0" w:color="auto" w:frame="1"/>
          <w:lang w:eastAsia="it-IT"/>
        </w:rPr>
      </w:pPr>
      <w:r>
        <w:rPr>
          <w:rFonts w:ascii="Tahoma" w:eastAsia="Times New Roman" w:hAnsi="Tahoma" w:cs="Tahoma"/>
          <w:smallCaps/>
          <w:color w:val="1F4E79" w:themeColor="accent1" w:themeShade="80"/>
          <w:sz w:val="28"/>
          <w:szCs w:val="28"/>
          <w:bdr w:val="none" w:sz="0" w:space="0" w:color="auto" w:frame="1"/>
          <w:lang w:eastAsia="it-IT"/>
        </w:rPr>
        <w:t xml:space="preserve">L’analisi del primo quesito. </w:t>
      </w:r>
      <w:r w:rsidR="00423219" w:rsidRPr="00B208E4">
        <w:rPr>
          <w:rFonts w:ascii="Tahoma" w:eastAsia="Times New Roman" w:hAnsi="Tahoma" w:cs="Tahoma"/>
          <w:smallCaps/>
          <w:color w:val="1F4E79" w:themeColor="accent1" w:themeShade="80"/>
          <w:sz w:val="28"/>
          <w:szCs w:val="28"/>
          <w:bdr w:val="none" w:sz="0" w:space="0" w:color="auto" w:frame="1"/>
          <w:lang w:eastAsia="it-IT"/>
        </w:rPr>
        <w:t xml:space="preserve">La Cassazione come giudice di ultimo grado </w:t>
      </w:r>
      <w:r w:rsidR="001B706A">
        <w:rPr>
          <w:rFonts w:ascii="Tahoma" w:eastAsia="Times New Roman" w:hAnsi="Tahoma" w:cs="Tahoma"/>
          <w:smallCaps/>
          <w:color w:val="1F4E79" w:themeColor="accent1" w:themeShade="80"/>
          <w:sz w:val="28"/>
          <w:szCs w:val="28"/>
          <w:bdr w:val="none" w:sz="0" w:space="0" w:color="auto" w:frame="1"/>
          <w:lang w:eastAsia="it-IT"/>
        </w:rPr>
        <w:t>sulle violazioni</w:t>
      </w:r>
      <w:r w:rsidR="005128D5" w:rsidRPr="00B208E4">
        <w:rPr>
          <w:rFonts w:ascii="Tahoma" w:eastAsia="Times New Roman" w:hAnsi="Tahoma" w:cs="Tahoma"/>
          <w:smallCaps/>
          <w:color w:val="1F4E79" w:themeColor="accent1" w:themeShade="80"/>
          <w:sz w:val="28"/>
          <w:szCs w:val="28"/>
          <w:bdr w:val="none" w:sz="0" w:space="0" w:color="auto" w:frame="1"/>
          <w:lang w:eastAsia="it-IT"/>
        </w:rPr>
        <w:t xml:space="preserve"> del diritto UE e il chiaro disegno della Costituzione. L’irrilevanza della questione per l’ordinamento europeo. Gli argomenti espressi dall’ordinanza.</w:t>
      </w:r>
      <w:r w:rsidR="00A75B2E" w:rsidRPr="00B208E4">
        <w:rPr>
          <w:rFonts w:ascii="Tahoma" w:eastAsia="Times New Roman" w:hAnsi="Tahoma" w:cs="Tahoma"/>
          <w:smallCaps/>
          <w:color w:val="1F4E79" w:themeColor="accent1" w:themeShade="80"/>
          <w:sz w:val="28"/>
          <w:szCs w:val="28"/>
          <w:bdr w:val="none" w:sz="0" w:space="0" w:color="auto" w:frame="1"/>
          <w:lang w:eastAsia="it-IT"/>
        </w:rPr>
        <w:t xml:space="preserve"> L’assenza di critiche alla decisione della Corte costituzionale.</w:t>
      </w:r>
    </w:p>
    <w:p w:rsidR="00077EBA" w:rsidRPr="00B208E4" w:rsidRDefault="00851E58"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La prima questione </w:t>
      </w:r>
      <w:r w:rsidR="001B706A">
        <w:rPr>
          <w:rFonts w:ascii="Calibri" w:eastAsia="Times New Roman" w:hAnsi="Calibri" w:cs="Segoe UI"/>
          <w:color w:val="1F4E79" w:themeColor="accent1" w:themeShade="80"/>
          <w:sz w:val="28"/>
          <w:szCs w:val="28"/>
          <w:lang w:eastAsia="it-IT"/>
        </w:rPr>
        <w:t xml:space="preserve">sollevata dall’ordinanza </w:t>
      </w:r>
      <w:r w:rsidRPr="00B208E4">
        <w:rPr>
          <w:rFonts w:ascii="Calibri" w:eastAsia="Times New Roman" w:hAnsi="Calibri" w:cs="Segoe UI"/>
          <w:color w:val="1F4E79" w:themeColor="accent1" w:themeShade="80"/>
          <w:sz w:val="28"/>
          <w:szCs w:val="28"/>
          <w:lang w:eastAsia="it-IT"/>
        </w:rPr>
        <w:t>occupa la parte pi</w:t>
      </w:r>
      <w:r w:rsidR="00490A6E" w:rsidRPr="00B208E4">
        <w:rPr>
          <w:rFonts w:ascii="Calibri" w:eastAsia="Times New Roman" w:hAnsi="Calibri" w:cs="Segoe UI"/>
          <w:color w:val="1F4E79" w:themeColor="accent1" w:themeShade="80"/>
          <w:sz w:val="28"/>
          <w:szCs w:val="28"/>
          <w:lang w:eastAsia="it-IT"/>
        </w:rPr>
        <w:t>ù</w:t>
      </w:r>
      <w:r w:rsidRPr="00B208E4">
        <w:rPr>
          <w:rFonts w:ascii="Calibri" w:eastAsia="Times New Roman" w:hAnsi="Calibri" w:cs="Segoe UI"/>
          <w:color w:val="1F4E79" w:themeColor="accent1" w:themeShade="80"/>
          <w:sz w:val="28"/>
          <w:szCs w:val="28"/>
          <w:lang w:eastAsia="it-IT"/>
        </w:rPr>
        <w:t xml:space="preserve"> consistente</w:t>
      </w:r>
      <w:r w:rsidR="00490A6E" w:rsidRPr="00B208E4">
        <w:rPr>
          <w:rFonts w:ascii="Calibri" w:eastAsia="Times New Roman" w:hAnsi="Calibri" w:cs="Segoe UI"/>
          <w:color w:val="1F4E79" w:themeColor="accent1" w:themeShade="80"/>
          <w:sz w:val="28"/>
          <w:szCs w:val="28"/>
          <w:lang w:eastAsia="it-IT"/>
        </w:rPr>
        <w:t xml:space="preserve"> della motivazione, anche in considerazione del suo </w:t>
      </w:r>
      <w:r w:rsidR="00AA7B6A" w:rsidRPr="00B208E4">
        <w:rPr>
          <w:rFonts w:ascii="Calibri" w:eastAsia="Times New Roman" w:hAnsi="Calibri" w:cs="Segoe UI"/>
          <w:color w:val="1F4E79" w:themeColor="accent1" w:themeShade="80"/>
          <w:sz w:val="28"/>
          <w:szCs w:val="28"/>
          <w:lang w:eastAsia="it-IT"/>
        </w:rPr>
        <w:t xml:space="preserve">asserito </w:t>
      </w:r>
      <w:r w:rsidR="001B706A">
        <w:rPr>
          <w:rFonts w:ascii="Calibri" w:eastAsia="Times New Roman" w:hAnsi="Calibri" w:cs="Segoe UI"/>
          <w:color w:val="1F4E79" w:themeColor="accent1" w:themeShade="80"/>
          <w:sz w:val="28"/>
          <w:szCs w:val="28"/>
          <w:lang w:eastAsia="it-IT"/>
        </w:rPr>
        <w:t xml:space="preserve">carattere </w:t>
      </w:r>
      <w:r w:rsidR="00490A6E" w:rsidRPr="00B208E4">
        <w:rPr>
          <w:rFonts w:ascii="Calibri" w:eastAsia="Times New Roman" w:hAnsi="Calibri" w:cs="Segoe UI"/>
          <w:color w:val="1F4E79" w:themeColor="accent1" w:themeShade="80"/>
          <w:sz w:val="28"/>
          <w:szCs w:val="28"/>
          <w:lang w:eastAsia="it-IT"/>
        </w:rPr>
        <w:t>pregiudiziale rispetto all’ammissibilità del terzo quesito</w:t>
      </w:r>
      <w:r w:rsidR="001B706A" w:rsidRPr="001B706A">
        <w:rPr>
          <w:rFonts w:ascii="Calibri" w:eastAsia="Times New Roman" w:hAnsi="Calibri" w:cs="Segoe UI"/>
          <w:color w:val="1F4E79" w:themeColor="accent1" w:themeShade="80"/>
          <w:sz w:val="28"/>
          <w:szCs w:val="28"/>
          <w:lang w:eastAsia="it-IT"/>
        </w:rPr>
        <w:t xml:space="preserve"> </w:t>
      </w:r>
      <w:r w:rsidR="001B706A">
        <w:rPr>
          <w:rFonts w:ascii="Calibri" w:eastAsia="Times New Roman" w:hAnsi="Calibri" w:cs="Segoe UI"/>
          <w:color w:val="1F4E79" w:themeColor="accent1" w:themeShade="80"/>
          <w:sz w:val="28"/>
          <w:szCs w:val="28"/>
          <w:lang w:eastAsia="it-IT"/>
        </w:rPr>
        <w:t xml:space="preserve">e, sotto altri profili, anche rispetto al </w:t>
      </w:r>
      <w:r w:rsidR="001B706A" w:rsidRPr="00B208E4">
        <w:rPr>
          <w:rFonts w:ascii="Calibri" w:eastAsia="Times New Roman" w:hAnsi="Calibri" w:cs="Segoe UI"/>
          <w:color w:val="1F4E79" w:themeColor="accent1" w:themeShade="80"/>
          <w:sz w:val="28"/>
          <w:szCs w:val="28"/>
          <w:lang w:eastAsia="it-IT"/>
        </w:rPr>
        <w:t>secondo</w:t>
      </w:r>
      <w:r w:rsidR="001B706A">
        <w:rPr>
          <w:rFonts w:ascii="Calibri" w:eastAsia="Times New Roman" w:hAnsi="Calibri" w:cs="Segoe UI"/>
          <w:color w:val="1F4E79" w:themeColor="accent1" w:themeShade="80"/>
          <w:sz w:val="28"/>
          <w:szCs w:val="28"/>
          <w:lang w:eastAsia="it-IT"/>
        </w:rPr>
        <w:t>.</w:t>
      </w:r>
    </w:p>
    <w:p w:rsidR="001B706A" w:rsidRDefault="0055452A"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L</w:t>
      </w:r>
      <w:r w:rsidR="001B706A">
        <w:rPr>
          <w:rFonts w:ascii="Calibri" w:eastAsia="Times New Roman" w:hAnsi="Calibri" w:cs="Segoe UI"/>
          <w:color w:val="1F4E79" w:themeColor="accent1" w:themeShade="80"/>
          <w:sz w:val="28"/>
          <w:szCs w:val="28"/>
          <w:lang w:eastAsia="it-IT"/>
        </w:rPr>
        <w:t>a pronuncia in esame prende una posizione piuttosto netta, nel senso della affermata prevalenza della normativa europea, la quale dovrebbe imporre la correzione dell’orientamento ermeneutico espresso dalla Corte costituzionale.</w:t>
      </w:r>
    </w:p>
    <w:p w:rsidR="001B706A" w:rsidRPr="00B208E4" w:rsidRDefault="001B706A"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 xml:space="preserve">Pertanto, </w:t>
      </w:r>
      <w:r w:rsidR="0055452A" w:rsidRPr="00B208E4">
        <w:rPr>
          <w:rFonts w:ascii="Calibri" w:eastAsia="Times New Roman" w:hAnsi="Calibri" w:cs="Segoe UI"/>
          <w:color w:val="1F4E79" w:themeColor="accent1" w:themeShade="80"/>
          <w:sz w:val="28"/>
          <w:szCs w:val="28"/>
          <w:lang w:eastAsia="it-IT"/>
        </w:rPr>
        <w:t>elenca una serie di argomenti</w:t>
      </w:r>
      <w:r w:rsidR="00B8149E" w:rsidRPr="00B208E4">
        <w:rPr>
          <w:rFonts w:ascii="Calibri" w:eastAsia="Times New Roman" w:hAnsi="Calibri" w:cs="Segoe UI"/>
          <w:color w:val="1F4E79" w:themeColor="accent1" w:themeShade="80"/>
          <w:sz w:val="28"/>
          <w:szCs w:val="28"/>
          <w:lang w:eastAsia="it-IT"/>
        </w:rPr>
        <w:t xml:space="preserve"> diretti a sostenere </w:t>
      </w:r>
      <w:r>
        <w:rPr>
          <w:rFonts w:ascii="Calibri" w:eastAsia="Times New Roman" w:hAnsi="Calibri" w:cs="Segoe UI"/>
          <w:color w:val="1F4E79" w:themeColor="accent1" w:themeShade="80"/>
          <w:sz w:val="28"/>
          <w:szCs w:val="28"/>
          <w:lang w:eastAsia="it-IT"/>
        </w:rPr>
        <w:t xml:space="preserve">la tesi della illegittimità comunitaria dell’assetto nazionale. </w:t>
      </w:r>
    </w:p>
    <w:p w:rsidR="00B8149E" w:rsidRPr="00B208E4" w:rsidRDefault="001B706A"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Non </w:t>
      </w:r>
      <w:r w:rsidR="00B8149E" w:rsidRPr="00B208E4">
        <w:rPr>
          <w:rFonts w:ascii="Calibri" w:eastAsia="Times New Roman" w:hAnsi="Calibri" w:cs="Segoe UI"/>
          <w:color w:val="1F4E79" w:themeColor="accent1" w:themeShade="80"/>
          <w:sz w:val="28"/>
          <w:szCs w:val="28"/>
          <w:lang w:eastAsia="it-IT"/>
        </w:rPr>
        <w:t>sono esposti particolari dubb</w:t>
      </w:r>
      <w:r w:rsidR="008E286A" w:rsidRPr="00B208E4">
        <w:rPr>
          <w:rFonts w:ascii="Calibri" w:eastAsia="Times New Roman" w:hAnsi="Calibri" w:cs="Segoe UI"/>
          <w:color w:val="1F4E79" w:themeColor="accent1" w:themeShade="80"/>
          <w:sz w:val="28"/>
          <w:szCs w:val="28"/>
          <w:lang w:eastAsia="it-IT"/>
        </w:rPr>
        <w:t>i in ordine alle possibili opzioni alternative.</w:t>
      </w:r>
    </w:p>
    <w:p w:rsidR="008E286A" w:rsidRPr="00B208E4" w:rsidRDefault="008E286A"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In questo senso, va notata l’assenza </w:t>
      </w:r>
      <w:r w:rsidR="00AA7B6A" w:rsidRPr="00B208E4">
        <w:rPr>
          <w:rFonts w:ascii="Calibri" w:eastAsia="Times New Roman" w:hAnsi="Calibri" w:cs="Segoe UI"/>
          <w:color w:val="1F4E79" w:themeColor="accent1" w:themeShade="80"/>
          <w:sz w:val="28"/>
          <w:szCs w:val="28"/>
          <w:lang w:eastAsia="it-IT"/>
        </w:rPr>
        <w:t>n</w:t>
      </w:r>
      <w:r w:rsidR="00423219" w:rsidRPr="00B208E4">
        <w:rPr>
          <w:rFonts w:ascii="Calibri" w:eastAsia="Times New Roman" w:hAnsi="Calibri" w:cs="Segoe UI"/>
          <w:color w:val="1F4E79" w:themeColor="accent1" w:themeShade="80"/>
          <w:sz w:val="28"/>
          <w:szCs w:val="28"/>
          <w:lang w:eastAsia="it-IT"/>
        </w:rPr>
        <w:t xml:space="preserve">on solo </w:t>
      </w:r>
      <w:r w:rsidRPr="00B208E4">
        <w:rPr>
          <w:rFonts w:ascii="Calibri" w:eastAsia="Times New Roman" w:hAnsi="Calibri" w:cs="Segoe UI"/>
          <w:color w:val="1F4E79" w:themeColor="accent1" w:themeShade="80"/>
          <w:sz w:val="28"/>
          <w:szCs w:val="28"/>
          <w:lang w:eastAsia="it-IT"/>
        </w:rPr>
        <w:t>di una contestazione specifica degli argomenti esp</w:t>
      </w:r>
      <w:r w:rsidR="003F5462" w:rsidRPr="00B208E4">
        <w:rPr>
          <w:rFonts w:ascii="Calibri" w:eastAsia="Times New Roman" w:hAnsi="Calibri" w:cs="Segoe UI"/>
          <w:color w:val="1F4E79" w:themeColor="accent1" w:themeShade="80"/>
          <w:sz w:val="28"/>
          <w:szCs w:val="28"/>
          <w:lang w:eastAsia="it-IT"/>
        </w:rPr>
        <w:t>osti dalla Corte costituzionale, ma anche la</w:t>
      </w:r>
      <w:r w:rsidR="00197D8C">
        <w:rPr>
          <w:rFonts w:ascii="Calibri" w:eastAsia="Times New Roman" w:hAnsi="Calibri" w:cs="Segoe UI"/>
          <w:color w:val="1F4E79" w:themeColor="accent1" w:themeShade="80"/>
          <w:sz w:val="28"/>
          <w:szCs w:val="28"/>
          <w:lang w:eastAsia="it-IT"/>
        </w:rPr>
        <w:t xml:space="preserve"> stessa mancanza di</w:t>
      </w:r>
      <w:r w:rsidR="003F5462" w:rsidRPr="00B208E4">
        <w:rPr>
          <w:rFonts w:ascii="Calibri" w:eastAsia="Times New Roman" w:hAnsi="Calibri" w:cs="Segoe UI"/>
          <w:color w:val="1F4E79" w:themeColor="accent1" w:themeShade="80"/>
          <w:sz w:val="28"/>
          <w:szCs w:val="28"/>
          <w:lang w:eastAsia="it-IT"/>
        </w:rPr>
        <w:t xml:space="preserve"> </w:t>
      </w:r>
      <w:r w:rsidR="00197D8C">
        <w:rPr>
          <w:rFonts w:ascii="Calibri" w:eastAsia="Times New Roman" w:hAnsi="Calibri" w:cs="Segoe UI"/>
          <w:color w:val="1F4E79" w:themeColor="accent1" w:themeShade="80"/>
          <w:sz w:val="28"/>
          <w:szCs w:val="28"/>
          <w:lang w:eastAsia="it-IT"/>
        </w:rPr>
        <w:t>un’</w:t>
      </w:r>
      <w:r w:rsidR="00423219" w:rsidRPr="00B208E4">
        <w:rPr>
          <w:rFonts w:ascii="Calibri" w:eastAsia="Times New Roman" w:hAnsi="Calibri" w:cs="Segoe UI"/>
          <w:color w:val="1F4E79" w:themeColor="accent1" w:themeShade="80"/>
          <w:sz w:val="28"/>
          <w:szCs w:val="28"/>
          <w:lang w:eastAsia="it-IT"/>
        </w:rPr>
        <w:t>analitica</w:t>
      </w:r>
      <w:r w:rsidR="003F5462" w:rsidRPr="00B208E4">
        <w:rPr>
          <w:rFonts w:ascii="Calibri" w:eastAsia="Times New Roman" w:hAnsi="Calibri" w:cs="Segoe UI"/>
          <w:color w:val="1F4E79" w:themeColor="accent1" w:themeShade="80"/>
          <w:sz w:val="28"/>
          <w:szCs w:val="28"/>
          <w:lang w:eastAsia="it-IT"/>
        </w:rPr>
        <w:t xml:space="preserve"> </w:t>
      </w:r>
      <w:r w:rsidR="001B706A">
        <w:rPr>
          <w:rFonts w:ascii="Calibri" w:eastAsia="Times New Roman" w:hAnsi="Calibri" w:cs="Segoe UI"/>
          <w:color w:val="1F4E79" w:themeColor="accent1" w:themeShade="80"/>
          <w:sz w:val="28"/>
          <w:szCs w:val="28"/>
          <w:lang w:eastAsia="it-IT"/>
        </w:rPr>
        <w:t>illustra</w:t>
      </w:r>
      <w:r w:rsidR="003F5462" w:rsidRPr="00B208E4">
        <w:rPr>
          <w:rFonts w:ascii="Calibri" w:eastAsia="Times New Roman" w:hAnsi="Calibri" w:cs="Segoe UI"/>
          <w:color w:val="1F4E79" w:themeColor="accent1" w:themeShade="80"/>
          <w:sz w:val="28"/>
          <w:szCs w:val="28"/>
          <w:lang w:eastAsia="it-IT"/>
        </w:rPr>
        <w:t>zione</w:t>
      </w:r>
      <w:r w:rsidR="00197D8C">
        <w:rPr>
          <w:rFonts w:ascii="Calibri" w:eastAsia="Times New Roman" w:hAnsi="Calibri" w:cs="Segoe UI"/>
          <w:color w:val="1F4E79" w:themeColor="accent1" w:themeShade="80"/>
          <w:sz w:val="28"/>
          <w:szCs w:val="28"/>
          <w:lang w:eastAsia="it-IT"/>
        </w:rPr>
        <w:t xml:space="preserve"> delle ragioni espresse dall’ordinanza n. 6/2018</w:t>
      </w:r>
      <w:r w:rsidR="003F5462" w:rsidRPr="00B208E4">
        <w:rPr>
          <w:rFonts w:ascii="Calibri" w:eastAsia="Times New Roman" w:hAnsi="Calibri" w:cs="Segoe UI"/>
          <w:color w:val="1F4E79" w:themeColor="accent1" w:themeShade="80"/>
          <w:sz w:val="28"/>
          <w:szCs w:val="28"/>
          <w:lang w:eastAsia="it-IT"/>
        </w:rPr>
        <w:t>.</w:t>
      </w:r>
    </w:p>
    <w:p w:rsidR="00AA7B6A" w:rsidRPr="00B208E4" w:rsidRDefault="001B706A"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 xml:space="preserve">La sottovalutazione degli argomenti espressi dalla Corte costituzionale potrebbe essere in parte </w:t>
      </w:r>
      <w:r w:rsidR="00AA7B6A" w:rsidRPr="00B208E4">
        <w:rPr>
          <w:rFonts w:ascii="Calibri" w:eastAsia="Times New Roman" w:hAnsi="Calibri" w:cs="Segoe UI"/>
          <w:color w:val="1F4E79" w:themeColor="accent1" w:themeShade="80"/>
          <w:sz w:val="28"/>
          <w:szCs w:val="28"/>
          <w:lang w:eastAsia="it-IT"/>
        </w:rPr>
        <w:t>giustificat</w:t>
      </w:r>
      <w:r>
        <w:rPr>
          <w:rFonts w:ascii="Calibri" w:eastAsia="Times New Roman" w:hAnsi="Calibri" w:cs="Segoe UI"/>
          <w:color w:val="1F4E79" w:themeColor="accent1" w:themeShade="80"/>
          <w:sz w:val="28"/>
          <w:szCs w:val="28"/>
          <w:lang w:eastAsia="it-IT"/>
        </w:rPr>
        <w:t>a</w:t>
      </w:r>
      <w:r w:rsidR="00AA7B6A" w:rsidRPr="00B208E4">
        <w:rPr>
          <w:rFonts w:ascii="Calibri" w:eastAsia="Times New Roman" w:hAnsi="Calibri" w:cs="Segoe UI"/>
          <w:color w:val="1F4E79" w:themeColor="accent1" w:themeShade="80"/>
          <w:sz w:val="28"/>
          <w:szCs w:val="28"/>
          <w:lang w:eastAsia="it-IT"/>
        </w:rPr>
        <w:t xml:space="preserve"> dalla scelta di affrontare il tema dal solo angolo visuale del diritto eurounitario, che non richiederebbe di approfondire gli altri profili “interni”.</w:t>
      </w:r>
    </w:p>
    <w:p w:rsidR="00AA7B6A" w:rsidRPr="00B208E4" w:rsidRDefault="00AA7B6A"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D’altro canto, la Cassazione intende rafforzare il proprio punto di vista, come à certamente legittimo, piuttosto che segnalare una oggettiva incertezza ermeneutica.</w:t>
      </w:r>
    </w:p>
    <w:p w:rsidR="00724AC3" w:rsidRPr="00B208E4" w:rsidRDefault="00AA7B6A"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Gli argomenti </w:t>
      </w:r>
      <w:r w:rsidR="00724AC3" w:rsidRPr="00B208E4">
        <w:rPr>
          <w:rFonts w:ascii="Calibri" w:eastAsia="Times New Roman" w:hAnsi="Calibri" w:cs="Segoe UI"/>
          <w:color w:val="1F4E79" w:themeColor="accent1" w:themeShade="80"/>
          <w:sz w:val="28"/>
          <w:szCs w:val="28"/>
          <w:lang w:eastAsia="it-IT"/>
        </w:rPr>
        <w:t>indicati dall’ordinanza</w:t>
      </w:r>
      <w:r w:rsidRPr="00B208E4">
        <w:rPr>
          <w:rFonts w:ascii="Calibri" w:eastAsia="Times New Roman" w:hAnsi="Calibri" w:cs="Segoe UI"/>
          <w:color w:val="1F4E79" w:themeColor="accent1" w:themeShade="80"/>
          <w:sz w:val="28"/>
          <w:szCs w:val="28"/>
          <w:lang w:eastAsia="it-IT"/>
        </w:rPr>
        <w:t>, per sostenere il primo quesito,</w:t>
      </w:r>
      <w:r w:rsidR="00724AC3" w:rsidRPr="00B208E4">
        <w:rPr>
          <w:rFonts w:ascii="Calibri" w:eastAsia="Times New Roman" w:hAnsi="Calibri" w:cs="Segoe UI"/>
          <w:color w:val="1F4E79" w:themeColor="accent1" w:themeShade="80"/>
          <w:sz w:val="28"/>
          <w:szCs w:val="28"/>
          <w:lang w:eastAsia="it-IT"/>
        </w:rPr>
        <w:t xml:space="preserve"> sono molteplici.</w:t>
      </w:r>
    </w:p>
    <w:p w:rsidR="00724AC3" w:rsidRPr="00B208E4" w:rsidRDefault="00724AC3"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Non tutti, peraltro, sembra</w:t>
      </w:r>
      <w:r w:rsidR="00AB0C9C" w:rsidRPr="00B208E4">
        <w:rPr>
          <w:rFonts w:ascii="Calibri" w:eastAsia="Times New Roman" w:hAnsi="Calibri" w:cs="Segoe UI"/>
          <w:color w:val="1F4E79" w:themeColor="accent1" w:themeShade="80"/>
          <w:sz w:val="28"/>
          <w:szCs w:val="28"/>
          <w:lang w:eastAsia="it-IT"/>
        </w:rPr>
        <w:t>no riallacciarsi con evidenza ad aspetti di</w:t>
      </w:r>
      <w:r w:rsidR="00AA7B6A" w:rsidRPr="00B208E4">
        <w:rPr>
          <w:rFonts w:ascii="Calibri" w:eastAsia="Times New Roman" w:hAnsi="Calibri" w:cs="Segoe UI"/>
          <w:color w:val="1F4E79" w:themeColor="accent1" w:themeShade="80"/>
          <w:sz w:val="28"/>
          <w:szCs w:val="28"/>
          <w:lang w:eastAsia="it-IT"/>
        </w:rPr>
        <w:t xml:space="preserve"> sicura </w:t>
      </w:r>
      <w:r w:rsidR="00AB0C9C" w:rsidRPr="00B208E4">
        <w:rPr>
          <w:rFonts w:ascii="Calibri" w:eastAsia="Times New Roman" w:hAnsi="Calibri" w:cs="Segoe UI"/>
          <w:color w:val="1F4E79" w:themeColor="accent1" w:themeShade="80"/>
          <w:sz w:val="28"/>
          <w:szCs w:val="28"/>
          <w:lang w:eastAsia="it-IT"/>
        </w:rPr>
        <w:t>rilevanza comunitaria, riguardando</w:t>
      </w:r>
      <w:r w:rsidR="00F42E42">
        <w:rPr>
          <w:rFonts w:ascii="Calibri" w:eastAsia="Times New Roman" w:hAnsi="Calibri" w:cs="Segoe UI"/>
          <w:color w:val="1F4E79" w:themeColor="accent1" w:themeShade="80"/>
          <w:sz w:val="28"/>
          <w:szCs w:val="28"/>
          <w:lang w:eastAsia="it-IT"/>
        </w:rPr>
        <w:t>,</w:t>
      </w:r>
      <w:r w:rsidR="00AB0C9C" w:rsidRPr="00B208E4">
        <w:rPr>
          <w:rFonts w:ascii="Calibri" w:eastAsia="Times New Roman" w:hAnsi="Calibri" w:cs="Segoe UI"/>
          <w:color w:val="1F4E79" w:themeColor="accent1" w:themeShade="80"/>
          <w:sz w:val="28"/>
          <w:szCs w:val="28"/>
          <w:lang w:eastAsia="it-IT"/>
        </w:rPr>
        <w:t xml:space="preserve"> piuttosto, la ricostruzione del diritto interno.</w:t>
      </w:r>
    </w:p>
    <w:p w:rsidR="00AB0C9C" w:rsidRPr="00B208E4" w:rsidRDefault="00AA7B6A"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In particolare, sul </w:t>
      </w:r>
      <w:r w:rsidR="00AB0C9C" w:rsidRPr="00B208E4">
        <w:rPr>
          <w:rFonts w:ascii="Calibri" w:eastAsia="Times New Roman" w:hAnsi="Calibri" w:cs="Segoe UI"/>
          <w:color w:val="1F4E79" w:themeColor="accent1" w:themeShade="80"/>
          <w:sz w:val="28"/>
          <w:szCs w:val="28"/>
          <w:lang w:eastAsia="it-IT"/>
        </w:rPr>
        <w:t xml:space="preserve">piano del diritto UE potrebbero richiedere approfondimento </w:t>
      </w:r>
      <w:r w:rsidRPr="00B208E4">
        <w:rPr>
          <w:rFonts w:ascii="Calibri" w:eastAsia="Times New Roman" w:hAnsi="Calibri" w:cs="Segoe UI"/>
          <w:color w:val="1F4E79" w:themeColor="accent1" w:themeShade="80"/>
          <w:sz w:val="28"/>
          <w:szCs w:val="28"/>
          <w:lang w:eastAsia="it-IT"/>
        </w:rPr>
        <w:t xml:space="preserve">soltanto </w:t>
      </w:r>
      <w:r w:rsidR="00AB0C9C" w:rsidRPr="00B208E4">
        <w:rPr>
          <w:rFonts w:ascii="Calibri" w:eastAsia="Times New Roman" w:hAnsi="Calibri" w:cs="Segoe UI"/>
          <w:color w:val="1F4E79" w:themeColor="accent1" w:themeShade="80"/>
          <w:sz w:val="28"/>
          <w:szCs w:val="28"/>
          <w:lang w:eastAsia="it-IT"/>
        </w:rPr>
        <w:t xml:space="preserve">gli argomenti incentrati sulla </w:t>
      </w:r>
      <w:r w:rsidR="00F42E42">
        <w:rPr>
          <w:rFonts w:ascii="Calibri" w:eastAsia="Times New Roman" w:hAnsi="Calibri" w:cs="Segoe UI"/>
          <w:color w:val="1F4E79" w:themeColor="accent1" w:themeShade="80"/>
          <w:sz w:val="28"/>
          <w:szCs w:val="28"/>
          <w:lang w:eastAsia="it-IT"/>
        </w:rPr>
        <w:t xml:space="preserve">asserita </w:t>
      </w:r>
      <w:r w:rsidR="00AB0C9C" w:rsidRPr="00B208E4">
        <w:rPr>
          <w:rFonts w:ascii="Calibri" w:eastAsia="Times New Roman" w:hAnsi="Calibri" w:cs="Segoe UI"/>
          <w:color w:val="1F4E79" w:themeColor="accent1" w:themeShade="80"/>
          <w:sz w:val="28"/>
          <w:szCs w:val="28"/>
          <w:lang w:eastAsia="it-IT"/>
        </w:rPr>
        <w:t>posizione di “sovranità”</w:t>
      </w:r>
      <w:r w:rsidR="008949E2" w:rsidRPr="00B208E4">
        <w:rPr>
          <w:rFonts w:ascii="Calibri" w:eastAsia="Times New Roman" w:hAnsi="Calibri" w:cs="Segoe UI"/>
          <w:color w:val="1F4E79" w:themeColor="accent1" w:themeShade="80"/>
          <w:sz w:val="28"/>
          <w:szCs w:val="28"/>
          <w:lang w:eastAsia="it-IT"/>
        </w:rPr>
        <w:t xml:space="preserve"> assegnata a</w:t>
      </w:r>
      <w:r w:rsidR="00197D8C">
        <w:rPr>
          <w:rFonts w:ascii="Calibri" w:eastAsia="Times New Roman" w:hAnsi="Calibri" w:cs="Segoe UI"/>
          <w:color w:val="1F4E79" w:themeColor="accent1" w:themeShade="80"/>
          <w:sz w:val="28"/>
          <w:szCs w:val="28"/>
          <w:lang w:eastAsia="it-IT"/>
        </w:rPr>
        <w:t>gli organi deputati alla formazione e all’applicazione de</w:t>
      </w:r>
      <w:r w:rsidR="008949E2" w:rsidRPr="00B208E4">
        <w:rPr>
          <w:rFonts w:ascii="Calibri" w:eastAsia="Times New Roman" w:hAnsi="Calibri" w:cs="Segoe UI"/>
          <w:color w:val="1F4E79" w:themeColor="accent1" w:themeShade="80"/>
          <w:sz w:val="28"/>
          <w:szCs w:val="28"/>
          <w:lang w:eastAsia="it-IT"/>
        </w:rPr>
        <w:t>l diritto europeo, nonché quell</w:t>
      </w:r>
      <w:r w:rsidR="00F42E42">
        <w:rPr>
          <w:rFonts w:ascii="Calibri" w:eastAsia="Times New Roman" w:hAnsi="Calibri" w:cs="Segoe UI"/>
          <w:color w:val="1F4E79" w:themeColor="accent1" w:themeShade="80"/>
          <w:sz w:val="28"/>
          <w:szCs w:val="28"/>
          <w:lang w:eastAsia="it-IT"/>
        </w:rPr>
        <w:t>i riguardanti</w:t>
      </w:r>
      <w:r w:rsidR="008949E2" w:rsidRPr="00B208E4">
        <w:rPr>
          <w:rFonts w:ascii="Calibri" w:eastAsia="Times New Roman" w:hAnsi="Calibri" w:cs="Segoe UI"/>
          <w:color w:val="1F4E79" w:themeColor="accent1" w:themeShade="80"/>
          <w:sz w:val="28"/>
          <w:szCs w:val="28"/>
          <w:lang w:eastAsia="it-IT"/>
        </w:rPr>
        <w:t xml:space="preserve"> l’asserita violazione dei principi di </w:t>
      </w:r>
      <w:r w:rsidR="008949E2" w:rsidRPr="00B208E4">
        <w:rPr>
          <w:rFonts w:ascii="Calibri" w:eastAsia="Times New Roman" w:hAnsi="Calibri" w:cs="Segoe UI"/>
          <w:i/>
          <w:color w:val="1F4E79" w:themeColor="accent1" w:themeShade="80"/>
          <w:sz w:val="28"/>
          <w:szCs w:val="28"/>
          <w:lang w:eastAsia="it-IT"/>
        </w:rPr>
        <w:t>equivalenza</w:t>
      </w:r>
      <w:r w:rsidR="008949E2" w:rsidRPr="00B208E4">
        <w:rPr>
          <w:rFonts w:ascii="Calibri" w:eastAsia="Times New Roman" w:hAnsi="Calibri" w:cs="Segoe UI"/>
          <w:color w:val="1F4E79" w:themeColor="accent1" w:themeShade="80"/>
          <w:sz w:val="28"/>
          <w:szCs w:val="28"/>
          <w:lang w:eastAsia="it-IT"/>
        </w:rPr>
        <w:t xml:space="preserve"> ed </w:t>
      </w:r>
      <w:r w:rsidR="008949E2" w:rsidRPr="00B208E4">
        <w:rPr>
          <w:rFonts w:ascii="Calibri" w:eastAsia="Times New Roman" w:hAnsi="Calibri" w:cs="Segoe UI"/>
          <w:i/>
          <w:color w:val="1F4E79" w:themeColor="accent1" w:themeShade="80"/>
          <w:sz w:val="28"/>
          <w:szCs w:val="28"/>
          <w:lang w:eastAsia="it-IT"/>
        </w:rPr>
        <w:t>efficacia</w:t>
      </w:r>
      <w:r w:rsidR="008949E2" w:rsidRPr="00B208E4">
        <w:rPr>
          <w:rFonts w:ascii="Calibri" w:eastAsia="Times New Roman" w:hAnsi="Calibri" w:cs="Segoe UI"/>
          <w:color w:val="1F4E79" w:themeColor="accent1" w:themeShade="80"/>
          <w:sz w:val="28"/>
          <w:szCs w:val="28"/>
          <w:lang w:eastAsia="it-IT"/>
        </w:rPr>
        <w:t xml:space="preserve"> dei mezzi di tutela previsti dall’ordinamento</w:t>
      </w:r>
      <w:r w:rsidR="003372F2" w:rsidRPr="00B208E4">
        <w:rPr>
          <w:rFonts w:ascii="Calibri" w:eastAsia="Times New Roman" w:hAnsi="Calibri" w:cs="Segoe UI"/>
          <w:color w:val="1F4E79" w:themeColor="accent1" w:themeShade="80"/>
          <w:sz w:val="28"/>
          <w:szCs w:val="28"/>
          <w:lang w:eastAsia="it-IT"/>
        </w:rPr>
        <w:t xml:space="preserve"> nazionale</w:t>
      </w:r>
      <w:r w:rsidR="008949E2" w:rsidRPr="00B208E4">
        <w:rPr>
          <w:rFonts w:ascii="Calibri" w:eastAsia="Times New Roman" w:hAnsi="Calibri" w:cs="Segoe UI"/>
          <w:color w:val="1F4E79" w:themeColor="accent1" w:themeShade="80"/>
          <w:sz w:val="28"/>
          <w:szCs w:val="28"/>
          <w:lang w:eastAsia="it-IT"/>
        </w:rPr>
        <w:t>.</w:t>
      </w:r>
    </w:p>
    <w:p w:rsidR="00851E58" w:rsidRPr="00B208E4" w:rsidRDefault="00423219"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Si può tentare di vagliarli analiticamente, nel loro ordine di esposizione.</w:t>
      </w:r>
    </w:p>
    <w:p w:rsidR="00C25678" w:rsidRPr="00B208E4" w:rsidRDefault="00C25678"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p>
    <w:p w:rsidR="00C25678" w:rsidRDefault="00A75B2E" w:rsidP="00FB7048">
      <w:pPr>
        <w:numPr>
          <w:ilvl w:val="0"/>
          <w:numId w:val="1"/>
        </w:numPr>
        <w:shd w:val="clear" w:color="auto" w:fill="FFFFFF"/>
        <w:tabs>
          <w:tab w:val="left" w:pos="0"/>
        </w:tabs>
        <w:spacing w:after="120" w:line="240" w:lineRule="auto"/>
        <w:ind w:left="0" w:firstLine="709"/>
        <w:jc w:val="both"/>
        <w:textAlignment w:val="baseline"/>
        <w:rPr>
          <w:rFonts w:ascii="Tahoma" w:eastAsia="Times New Roman" w:hAnsi="Tahoma" w:cs="Tahoma"/>
          <w:smallCaps/>
          <w:color w:val="1F4E79" w:themeColor="accent1" w:themeShade="80"/>
          <w:sz w:val="28"/>
          <w:szCs w:val="28"/>
          <w:bdr w:val="none" w:sz="0" w:space="0" w:color="auto" w:frame="1"/>
          <w:lang w:eastAsia="it-IT"/>
        </w:rPr>
      </w:pPr>
      <w:r w:rsidRPr="00B208E4">
        <w:rPr>
          <w:rFonts w:ascii="Tahoma" w:eastAsia="Times New Roman" w:hAnsi="Tahoma" w:cs="Tahoma"/>
          <w:smallCaps/>
          <w:color w:val="1F4E79" w:themeColor="accent1" w:themeShade="80"/>
          <w:sz w:val="28"/>
          <w:szCs w:val="28"/>
          <w:bdr w:val="none" w:sz="0" w:space="0" w:color="auto" w:frame="1"/>
          <w:lang w:eastAsia="it-IT"/>
        </w:rPr>
        <w:t xml:space="preserve">La violazione del diritto UE integra sempre un’ipotesi di </w:t>
      </w:r>
      <w:r w:rsidR="00981997" w:rsidRPr="00B208E4">
        <w:rPr>
          <w:rFonts w:ascii="Tahoma" w:eastAsia="Times New Roman" w:hAnsi="Tahoma" w:cs="Tahoma"/>
          <w:smallCaps/>
          <w:color w:val="1F4E79" w:themeColor="accent1" w:themeShade="80"/>
          <w:sz w:val="28"/>
          <w:szCs w:val="28"/>
          <w:bdr w:val="none" w:sz="0" w:space="0" w:color="auto" w:frame="1"/>
          <w:lang w:eastAsia="it-IT"/>
        </w:rPr>
        <w:t xml:space="preserve">carenza </w:t>
      </w:r>
      <w:r w:rsidR="00C25678" w:rsidRPr="00B208E4">
        <w:rPr>
          <w:rFonts w:ascii="Tahoma" w:eastAsia="Times New Roman" w:hAnsi="Tahoma" w:cs="Tahoma"/>
          <w:smallCaps/>
          <w:color w:val="1F4E79" w:themeColor="accent1" w:themeShade="80"/>
          <w:sz w:val="28"/>
          <w:szCs w:val="28"/>
          <w:bdr w:val="none" w:sz="0" w:space="0" w:color="auto" w:frame="1"/>
          <w:lang w:eastAsia="it-IT"/>
        </w:rPr>
        <w:t xml:space="preserve">di potere per esercizio di </w:t>
      </w:r>
      <w:r w:rsidR="00254F3B" w:rsidRPr="00B208E4">
        <w:rPr>
          <w:rFonts w:ascii="Tahoma" w:eastAsia="Times New Roman" w:hAnsi="Tahoma" w:cs="Tahoma"/>
          <w:smallCaps/>
          <w:color w:val="1F4E79" w:themeColor="accent1" w:themeShade="80"/>
          <w:sz w:val="28"/>
          <w:szCs w:val="28"/>
          <w:bdr w:val="none" w:sz="0" w:space="0" w:color="auto" w:frame="1"/>
          <w:lang w:eastAsia="it-IT"/>
        </w:rPr>
        <w:t xml:space="preserve">un potere normativo </w:t>
      </w:r>
      <w:r w:rsidRPr="00B208E4">
        <w:rPr>
          <w:rFonts w:ascii="Tahoma" w:eastAsia="Times New Roman" w:hAnsi="Tahoma" w:cs="Tahoma"/>
          <w:smallCaps/>
          <w:color w:val="1F4E79" w:themeColor="accent1" w:themeShade="80"/>
          <w:sz w:val="28"/>
          <w:szCs w:val="28"/>
          <w:bdr w:val="none" w:sz="0" w:space="0" w:color="auto" w:frame="1"/>
          <w:lang w:eastAsia="it-IT"/>
        </w:rPr>
        <w:t xml:space="preserve">con contestuale </w:t>
      </w:r>
      <w:r w:rsidR="00254F3B" w:rsidRPr="00B208E4">
        <w:rPr>
          <w:rFonts w:ascii="Tahoma" w:eastAsia="Times New Roman" w:hAnsi="Tahoma" w:cs="Tahoma"/>
          <w:smallCaps/>
          <w:color w:val="1F4E79" w:themeColor="accent1" w:themeShade="80"/>
          <w:sz w:val="28"/>
          <w:szCs w:val="28"/>
          <w:bdr w:val="none" w:sz="0" w:space="0" w:color="auto" w:frame="1"/>
          <w:lang w:eastAsia="it-IT"/>
        </w:rPr>
        <w:t xml:space="preserve">violazione della </w:t>
      </w:r>
      <w:r w:rsidR="00F42E42" w:rsidRPr="00F42E42">
        <w:rPr>
          <w:rFonts w:ascii="Tahoma" w:eastAsia="Times New Roman" w:hAnsi="Tahoma" w:cs="Tahoma"/>
          <w:smallCaps/>
          <w:color w:val="1F4E79" w:themeColor="accent1" w:themeShade="80"/>
          <w:sz w:val="28"/>
          <w:szCs w:val="28"/>
          <w:bdr w:val="none" w:sz="0" w:space="0" w:color="auto" w:frame="1"/>
          <w:lang w:eastAsia="it-IT"/>
        </w:rPr>
        <w:t>sovranità</w:t>
      </w:r>
      <w:r w:rsidR="00F42E42" w:rsidRPr="00B208E4">
        <w:rPr>
          <w:rFonts w:ascii="Tahoma" w:eastAsia="Times New Roman" w:hAnsi="Tahoma" w:cs="Tahoma"/>
          <w:smallCaps/>
          <w:color w:val="1F4E79" w:themeColor="accent1" w:themeShade="80"/>
          <w:sz w:val="28"/>
          <w:szCs w:val="28"/>
          <w:bdr w:val="none" w:sz="0" w:space="0" w:color="auto" w:frame="1"/>
          <w:lang w:eastAsia="it-IT"/>
        </w:rPr>
        <w:t xml:space="preserve"> </w:t>
      </w:r>
      <w:r w:rsidR="00254F3B" w:rsidRPr="00B208E4">
        <w:rPr>
          <w:rFonts w:ascii="Tahoma" w:eastAsia="Times New Roman" w:hAnsi="Tahoma" w:cs="Tahoma"/>
          <w:smallCaps/>
          <w:color w:val="1F4E79" w:themeColor="accent1" w:themeShade="80"/>
          <w:sz w:val="28"/>
          <w:szCs w:val="28"/>
          <w:bdr w:val="none" w:sz="0" w:space="0" w:color="auto" w:frame="1"/>
          <w:lang w:eastAsia="it-IT"/>
        </w:rPr>
        <w:t>dell’Unione europea?</w:t>
      </w:r>
      <w:r w:rsidRPr="00B208E4">
        <w:rPr>
          <w:rFonts w:ascii="Tahoma" w:eastAsia="Times New Roman" w:hAnsi="Tahoma" w:cs="Tahoma"/>
          <w:smallCaps/>
          <w:color w:val="1F4E79" w:themeColor="accent1" w:themeShade="80"/>
          <w:sz w:val="28"/>
          <w:szCs w:val="28"/>
          <w:bdr w:val="none" w:sz="0" w:space="0" w:color="auto" w:frame="1"/>
          <w:lang w:eastAsia="it-IT"/>
        </w:rPr>
        <w:t xml:space="preserve"> L’abbandono della tesi del </w:t>
      </w:r>
      <w:r w:rsidRPr="0014301F">
        <w:rPr>
          <w:rFonts w:ascii="Tahoma" w:eastAsia="Times New Roman" w:hAnsi="Tahoma" w:cs="Tahoma"/>
          <w:i/>
          <w:smallCaps/>
          <w:color w:val="1F4E79" w:themeColor="accent1" w:themeShade="80"/>
          <w:sz w:val="28"/>
          <w:szCs w:val="28"/>
          <w:bdr w:val="none" w:sz="0" w:space="0" w:color="auto" w:frame="1"/>
          <w:lang w:eastAsia="it-IT"/>
        </w:rPr>
        <w:t>rifiuto</w:t>
      </w:r>
      <w:r w:rsidRPr="00B208E4">
        <w:rPr>
          <w:rFonts w:ascii="Tahoma" w:eastAsia="Times New Roman" w:hAnsi="Tahoma" w:cs="Tahoma"/>
          <w:smallCaps/>
          <w:color w:val="1F4E79" w:themeColor="accent1" w:themeShade="80"/>
          <w:sz w:val="28"/>
          <w:szCs w:val="28"/>
          <w:bdr w:val="none" w:sz="0" w:space="0" w:color="auto" w:frame="1"/>
          <w:lang w:eastAsia="it-IT"/>
        </w:rPr>
        <w:t xml:space="preserve">, o </w:t>
      </w:r>
      <w:r w:rsidRPr="0014301F">
        <w:rPr>
          <w:rFonts w:ascii="Tahoma" w:eastAsia="Times New Roman" w:hAnsi="Tahoma" w:cs="Tahoma"/>
          <w:i/>
          <w:smallCaps/>
          <w:color w:val="1F4E79" w:themeColor="accent1" w:themeShade="80"/>
          <w:sz w:val="28"/>
          <w:szCs w:val="28"/>
          <w:bdr w:val="none" w:sz="0" w:space="0" w:color="auto" w:frame="1"/>
          <w:lang w:eastAsia="it-IT"/>
        </w:rPr>
        <w:t>arretramento</w:t>
      </w:r>
      <w:r w:rsidRPr="00B208E4">
        <w:rPr>
          <w:rFonts w:ascii="Tahoma" w:eastAsia="Times New Roman" w:hAnsi="Tahoma" w:cs="Tahoma"/>
          <w:smallCaps/>
          <w:color w:val="1F4E79" w:themeColor="accent1" w:themeShade="80"/>
          <w:sz w:val="28"/>
          <w:szCs w:val="28"/>
          <w:bdr w:val="none" w:sz="0" w:space="0" w:color="auto" w:frame="1"/>
          <w:lang w:eastAsia="it-IT"/>
        </w:rPr>
        <w:t xml:space="preserve"> di giurisdizione.</w:t>
      </w:r>
    </w:p>
    <w:p w:rsidR="001B7157" w:rsidRPr="00B208E4" w:rsidRDefault="00AA7B6A"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Anzitutto, l’ordinanza sostiene la tesi secondo cui la </w:t>
      </w:r>
      <w:r w:rsidR="00423219" w:rsidRPr="00B208E4">
        <w:rPr>
          <w:rFonts w:ascii="Calibri" w:eastAsia="Times New Roman" w:hAnsi="Calibri" w:cs="Segoe UI"/>
          <w:color w:val="1F4E79" w:themeColor="accent1" w:themeShade="80"/>
          <w:sz w:val="28"/>
          <w:szCs w:val="28"/>
          <w:lang w:eastAsia="it-IT"/>
        </w:rPr>
        <w:t xml:space="preserve">decisione </w:t>
      </w:r>
      <w:r w:rsidR="00197D8C">
        <w:rPr>
          <w:rFonts w:ascii="Calibri" w:eastAsia="Times New Roman" w:hAnsi="Calibri" w:cs="Segoe UI"/>
          <w:color w:val="1F4E79" w:themeColor="accent1" w:themeShade="80"/>
          <w:sz w:val="28"/>
          <w:szCs w:val="28"/>
          <w:lang w:eastAsia="it-IT"/>
        </w:rPr>
        <w:t xml:space="preserve">del Consiglio di Stato </w:t>
      </w:r>
      <w:r w:rsidR="00423219" w:rsidRPr="00B208E4">
        <w:rPr>
          <w:rFonts w:ascii="Calibri" w:eastAsia="Times New Roman" w:hAnsi="Calibri" w:cs="Segoe UI"/>
          <w:color w:val="1F4E79" w:themeColor="accent1" w:themeShade="80"/>
          <w:sz w:val="28"/>
          <w:szCs w:val="28"/>
          <w:lang w:eastAsia="it-IT"/>
        </w:rPr>
        <w:t>che viola il diritto UE è emessa</w:t>
      </w:r>
      <w:r w:rsidRPr="00B208E4">
        <w:rPr>
          <w:rFonts w:ascii="Calibri" w:eastAsia="Times New Roman" w:hAnsi="Calibri" w:cs="Segoe UI"/>
          <w:color w:val="1F4E79" w:themeColor="accent1" w:themeShade="80"/>
          <w:sz w:val="28"/>
          <w:szCs w:val="28"/>
          <w:lang w:eastAsia="it-IT"/>
        </w:rPr>
        <w:t>, sempre,</w:t>
      </w:r>
      <w:r w:rsidR="00423219" w:rsidRPr="00B208E4">
        <w:rPr>
          <w:rFonts w:ascii="Calibri" w:eastAsia="Times New Roman" w:hAnsi="Calibri" w:cs="Segoe UI"/>
          <w:color w:val="1F4E79" w:themeColor="accent1" w:themeShade="80"/>
          <w:sz w:val="28"/>
          <w:szCs w:val="28"/>
          <w:lang w:eastAsia="it-IT"/>
        </w:rPr>
        <w:t xml:space="preserve"> in </w:t>
      </w:r>
      <w:r w:rsidR="00F42E42" w:rsidRPr="00197D8C">
        <w:rPr>
          <w:rFonts w:ascii="Calibri" w:eastAsia="Times New Roman" w:hAnsi="Calibri" w:cs="Segoe UI"/>
          <w:i/>
          <w:color w:val="1F4E79" w:themeColor="accent1" w:themeShade="80"/>
          <w:sz w:val="28"/>
          <w:szCs w:val="28"/>
          <w:lang w:eastAsia="it-IT"/>
        </w:rPr>
        <w:t>carenza di potere giurisdizionale</w:t>
      </w:r>
      <w:r w:rsidR="00F42E42">
        <w:rPr>
          <w:rFonts w:ascii="Calibri" w:eastAsia="Times New Roman" w:hAnsi="Calibri" w:cs="Segoe UI"/>
          <w:color w:val="1F4E79" w:themeColor="accent1" w:themeShade="80"/>
          <w:sz w:val="28"/>
          <w:szCs w:val="28"/>
          <w:lang w:eastAsia="it-IT"/>
        </w:rPr>
        <w:t>, perché si risolve nell’</w:t>
      </w:r>
      <w:r w:rsidRPr="00B208E4">
        <w:rPr>
          <w:rFonts w:ascii="Calibri" w:eastAsia="Times New Roman" w:hAnsi="Calibri" w:cs="Segoe UI"/>
          <w:color w:val="1F4E79" w:themeColor="accent1" w:themeShade="80"/>
          <w:sz w:val="28"/>
          <w:szCs w:val="28"/>
          <w:lang w:eastAsia="it-IT"/>
        </w:rPr>
        <w:t xml:space="preserve">attività di </w:t>
      </w:r>
      <w:r w:rsidR="00423219" w:rsidRPr="00B208E4">
        <w:rPr>
          <w:rFonts w:ascii="Calibri" w:eastAsia="Times New Roman" w:hAnsi="Calibri" w:cs="Segoe UI"/>
          <w:color w:val="1F4E79" w:themeColor="accent1" w:themeShade="80"/>
          <w:sz w:val="28"/>
          <w:szCs w:val="28"/>
          <w:lang w:eastAsia="it-IT"/>
        </w:rPr>
        <w:t>diretta produzione di norme</w:t>
      </w:r>
      <w:r w:rsidRPr="00B208E4">
        <w:rPr>
          <w:rFonts w:ascii="Calibri" w:eastAsia="Times New Roman" w:hAnsi="Calibri" w:cs="Segoe UI"/>
          <w:color w:val="1F4E79" w:themeColor="accent1" w:themeShade="80"/>
          <w:sz w:val="28"/>
          <w:szCs w:val="28"/>
          <w:lang w:eastAsia="it-IT"/>
        </w:rPr>
        <w:t>,</w:t>
      </w:r>
      <w:r w:rsidR="00423219" w:rsidRPr="00B208E4">
        <w:rPr>
          <w:rFonts w:ascii="Calibri" w:eastAsia="Times New Roman" w:hAnsi="Calibri" w:cs="Segoe UI"/>
          <w:color w:val="1F4E79" w:themeColor="accent1" w:themeShade="80"/>
          <w:sz w:val="28"/>
          <w:szCs w:val="28"/>
          <w:lang w:eastAsia="it-IT"/>
        </w:rPr>
        <w:t xml:space="preserve"> riservata al legislatore comunitario.</w:t>
      </w:r>
    </w:p>
    <w:p w:rsidR="001B7157" w:rsidRPr="00B208E4" w:rsidRDefault="00423219"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Per la Cassazione, </w:t>
      </w:r>
      <w:r w:rsidR="001B7157" w:rsidRPr="00B208E4">
        <w:rPr>
          <w:rFonts w:ascii="Calibri" w:eastAsia="Times New Roman" w:hAnsi="Calibri" w:cs="Segoe UI"/>
          <w:color w:val="1F4E79" w:themeColor="accent1" w:themeShade="80"/>
          <w:sz w:val="28"/>
          <w:szCs w:val="28"/>
          <w:lang w:eastAsia="it-IT"/>
        </w:rPr>
        <w:t xml:space="preserve">il giudice nazionale </w:t>
      </w:r>
      <w:r w:rsidR="00F42E42">
        <w:rPr>
          <w:rFonts w:ascii="Calibri" w:eastAsia="Times New Roman" w:hAnsi="Calibri" w:cs="Segoe UI"/>
          <w:color w:val="1F4E79" w:themeColor="accent1" w:themeShade="80"/>
          <w:sz w:val="28"/>
          <w:szCs w:val="28"/>
          <w:lang w:eastAsia="it-IT"/>
        </w:rPr>
        <w:t xml:space="preserve">il quale </w:t>
      </w:r>
      <w:r w:rsidR="001B7157" w:rsidRPr="00B208E4">
        <w:rPr>
          <w:rFonts w:ascii="Calibri" w:eastAsia="Times New Roman" w:hAnsi="Calibri" w:cs="Segoe UI"/>
          <w:color w:val="1F4E79" w:themeColor="accent1" w:themeShade="80"/>
          <w:sz w:val="28"/>
          <w:szCs w:val="28"/>
          <w:lang w:eastAsia="it-IT"/>
        </w:rPr>
        <w:t>faccia applicazione di normative nazionali (sostanziali o processuali) o di interpretazioni elaborate in ambito nazionale che risultino incompatibili con disposizioni del diritto dell’Unione, come interpretate dalla Corte di giustizia, «</w:t>
      </w:r>
      <w:r w:rsidR="001B7157" w:rsidRPr="00F42E42">
        <w:rPr>
          <w:rFonts w:ascii="Calibri" w:eastAsia="Times New Roman" w:hAnsi="Calibri" w:cs="Segoe UI"/>
          <w:i/>
          <w:color w:val="1F4E79" w:themeColor="accent1" w:themeShade="80"/>
          <w:sz w:val="28"/>
          <w:szCs w:val="28"/>
          <w:lang w:eastAsia="it-IT"/>
        </w:rPr>
        <w:t>esercita un potere giurisdizionale di cui è radicalmente privo, ravvisandosi un caso tipico di difetto assoluto di giurisdizione</w:t>
      </w:r>
      <w:r w:rsidRPr="00F42E42">
        <w:rPr>
          <w:rFonts w:ascii="Calibri" w:eastAsia="Times New Roman" w:hAnsi="Calibri" w:cs="Segoe UI"/>
          <w:i/>
          <w:color w:val="1F4E79" w:themeColor="accent1" w:themeShade="80"/>
          <w:sz w:val="28"/>
          <w:szCs w:val="28"/>
          <w:lang w:eastAsia="it-IT"/>
        </w:rPr>
        <w:t xml:space="preserve"> </w:t>
      </w:r>
      <w:r w:rsidR="001B7157" w:rsidRPr="00F42E42">
        <w:rPr>
          <w:rFonts w:ascii="Calibri" w:eastAsia="Times New Roman" w:hAnsi="Calibri" w:cs="Segoe UI"/>
          <w:i/>
          <w:color w:val="1F4E79" w:themeColor="accent1" w:themeShade="80"/>
          <w:sz w:val="28"/>
          <w:szCs w:val="28"/>
          <w:lang w:eastAsia="it-IT"/>
        </w:rPr>
        <w:t>— per avere compiuto un’attività di diretta produzione normativa non consentita nemmeno al legislatore nazionale — censurabile per cassazione con motiv</w:t>
      </w:r>
      <w:r w:rsidRPr="00F42E42">
        <w:rPr>
          <w:rFonts w:ascii="Calibri" w:eastAsia="Times New Roman" w:hAnsi="Calibri" w:cs="Segoe UI"/>
          <w:i/>
          <w:color w:val="1F4E79" w:themeColor="accent1" w:themeShade="80"/>
          <w:sz w:val="28"/>
          <w:szCs w:val="28"/>
          <w:lang w:eastAsia="it-IT"/>
        </w:rPr>
        <w:t>o inerente alla giurisdizione</w:t>
      </w:r>
      <w:r w:rsidRPr="00B208E4">
        <w:rPr>
          <w:rFonts w:ascii="Calibri" w:eastAsia="Times New Roman" w:hAnsi="Calibri" w:cs="Segoe UI"/>
          <w:color w:val="1F4E79" w:themeColor="accent1" w:themeShade="80"/>
          <w:sz w:val="28"/>
          <w:szCs w:val="28"/>
          <w:lang w:eastAsia="it-IT"/>
        </w:rPr>
        <w:t>».</w:t>
      </w:r>
    </w:p>
    <w:p w:rsidR="00423219" w:rsidRPr="00B208E4" w:rsidRDefault="00423219"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Questa tesi è suggestiva e si riallaccia ad un certo filone teorico</w:t>
      </w:r>
      <w:r w:rsidR="00E215CA">
        <w:rPr>
          <w:rFonts w:ascii="Calibri" w:eastAsia="Times New Roman" w:hAnsi="Calibri" w:cs="Segoe UI"/>
          <w:color w:val="1F4E79" w:themeColor="accent1" w:themeShade="80"/>
          <w:sz w:val="28"/>
          <w:szCs w:val="28"/>
          <w:lang w:eastAsia="it-IT"/>
        </w:rPr>
        <w:t>, non del tutto nuovo, portato alle sue estreme conseguenze</w:t>
      </w:r>
      <w:r w:rsidRPr="00B208E4">
        <w:rPr>
          <w:rFonts w:ascii="Calibri" w:eastAsia="Times New Roman" w:hAnsi="Calibri" w:cs="Segoe UI"/>
          <w:color w:val="1F4E79" w:themeColor="accent1" w:themeShade="80"/>
          <w:sz w:val="28"/>
          <w:szCs w:val="28"/>
          <w:lang w:eastAsia="it-IT"/>
        </w:rPr>
        <w:t>. Ma risulta visibilmente assiomatica nella sua perentorietà</w:t>
      </w:r>
      <w:r w:rsidR="00F42E42">
        <w:rPr>
          <w:rFonts w:ascii="Calibri" w:eastAsia="Times New Roman" w:hAnsi="Calibri" w:cs="Segoe UI"/>
          <w:color w:val="1F4E79" w:themeColor="accent1" w:themeShade="80"/>
          <w:sz w:val="28"/>
          <w:szCs w:val="28"/>
          <w:lang w:eastAsia="it-IT"/>
        </w:rPr>
        <w:t xml:space="preserve"> e</w:t>
      </w:r>
      <w:r w:rsidRPr="00B208E4">
        <w:rPr>
          <w:rFonts w:ascii="Calibri" w:eastAsia="Times New Roman" w:hAnsi="Calibri" w:cs="Segoe UI"/>
          <w:color w:val="1F4E79" w:themeColor="accent1" w:themeShade="80"/>
          <w:sz w:val="28"/>
          <w:szCs w:val="28"/>
          <w:lang w:eastAsia="it-IT"/>
        </w:rPr>
        <w:t xml:space="preserve"> non dà conto delle numerose e fondate obiezioni che le si oppongono</w:t>
      </w:r>
      <w:r w:rsidR="00F42E42">
        <w:rPr>
          <w:rFonts w:ascii="Calibri" w:eastAsia="Times New Roman" w:hAnsi="Calibri" w:cs="Segoe UI"/>
          <w:color w:val="1F4E79" w:themeColor="accent1" w:themeShade="80"/>
          <w:sz w:val="28"/>
          <w:szCs w:val="28"/>
          <w:lang w:eastAsia="it-IT"/>
        </w:rPr>
        <w:t xml:space="preserve">, pure alla stregua delle valutazioni espresse al riguardo dalla dottrina, assai attenta a distinguere il procedimento di interpretazione delle norme dallo stravolgimento operato dal giudice che si sostituisca al legislatore, </w:t>
      </w:r>
      <w:r w:rsidR="00F42E42" w:rsidRPr="00F42E42">
        <w:rPr>
          <w:rFonts w:ascii="Calibri" w:eastAsia="Times New Roman" w:hAnsi="Calibri" w:cs="Segoe UI"/>
          <w:i/>
          <w:color w:val="1F4E79" w:themeColor="accent1" w:themeShade="80"/>
          <w:sz w:val="28"/>
          <w:szCs w:val="28"/>
          <w:lang w:eastAsia="it-IT"/>
        </w:rPr>
        <w:t>inventando</w:t>
      </w:r>
      <w:r w:rsidR="00F42E42">
        <w:rPr>
          <w:rFonts w:ascii="Calibri" w:eastAsia="Times New Roman" w:hAnsi="Calibri" w:cs="Segoe UI"/>
          <w:color w:val="1F4E79" w:themeColor="accent1" w:themeShade="80"/>
          <w:sz w:val="28"/>
          <w:szCs w:val="28"/>
          <w:lang w:eastAsia="it-IT"/>
        </w:rPr>
        <w:t xml:space="preserve"> una norma inesistente</w:t>
      </w:r>
      <w:r w:rsidRPr="00B208E4">
        <w:rPr>
          <w:rFonts w:ascii="Calibri" w:eastAsia="Times New Roman" w:hAnsi="Calibri" w:cs="Segoe UI"/>
          <w:color w:val="1F4E79" w:themeColor="accent1" w:themeShade="80"/>
          <w:sz w:val="28"/>
          <w:szCs w:val="28"/>
          <w:lang w:eastAsia="it-IT"/>
        </w:rPr>
        <w:t>.</w:t>
      </w:r>
    </w:p>
    <w:p w:rsidR="00423219" w:rsidRPr="00B208E4" w:rsidRDefault="00F42E42"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Va </w:t>
      </w:r>
      <w:r>
        <w:rPr>
          <w:rFonts w:ascii="Calibri" w:eastAsia="Times New Roman" w:hAnsi="Calibri" w:cs="Segoe UI"/>
          <w:color w:val="1F4E79" w:themeColor="accent1" w:themeShade="80"/>
          <w:sz w:val="28"/>
          <w:szCs w:val="28"/>
          <w:lang w:eastAsia="it-IT"/>
        </w:rPr>
        <w:t xml:space="preserve">comunque </w:t>
      </w:r>
      <w:r w:rsidR="00423219" w:rsidRPr="00B208E4">
        <w:rPr>
          <w:rFonts w:ascii="Calibri" w:eastAsia="Times New Roman" w:hAnsi="Calibri" w:cs="Segoe UI"/>
          <w:color w:val="1F4E79" w:themeColor="accent1" w:themeShade="80"/>
          <w:sz w:val="28"/>
          <w:szCs w:val="28"/>
          <w:lang w:eastAsia="it-IT"/>
        </w:rPr>
        <w:t xml:space="preserve">evidenziato che la Corte europea non sembra mai essersi spinta ad affermare una siffatta tesi, </w:t>
      </w:r>
      <w:r>
        <w:rPr>
          <w:rFonts w:ascii="Calibri" w:eastAsia="Times New Roman" w:hAnsi="Calibri" w:cs="Segoe UI"/>
          <w:color w:val="1F4E79" w:themeColor="accent1" w:themeShade="80"/>
          <w:sz w:val="28"/>
          <w:szCs w:val="28"/>
          <w:lang w:eastAsia="it-IT"/>
        </w:rPr>
        <w:t xml:space="preserve">ritenendo che la violazione del diritto UE integri indefettibilmente un’usurpazione del potere normativo delle Istituzioni comunitarie, </w:t>
      </w:r>
      <w:r w:rsidR="00423219" w:rsidRPr="00B208E4">
        <w:rPr>
          <w:rFonts w:ascii="Calibri" w:eastAsia="Times New Roman" w:hAnsi="Calibri" w:cs="Segoe UI"/>
          <w:color w:val="1F4E79" w:themeColor="accent1" w:themeShade="80"/>
          <w:sz w:val="28"/>
          <w:szCs w:val="28"/>
          <w:lang w:eastAsia="it-IT"/>
        </w:rPr>
        <w:t>anche perché</w:t>
      </w:r>
      <w:r>
        <w:rPr>
          <w:rFonts w:ascii="Calibri" w:eastAsia="Times New Roman" w:hAnsi="Calibri" w:cs="Segoe UI"/>
          <w:color w:val="1F4E79" w:themeColor="accent1" w:themeShade="80"/>
          <w:sz w:val="28"/>
          <w:szCs w:val="28"/>
          <w:lang w:eastAsia="it-IT"/>
        </w:rPr>
        <w:t xml:space="preserve"> tale ricostruzione del sistema</w:t>
      </w:r>
      <w:r w:rsidR="00423219" w:rsidRPr="00B208E4">
        <w:rPr>
          <w:rFonts w:ascii="Calibri" w:eastAsia="Times New Roman" w:hAnsi="Calibri" w:cs="Segoe UI"/>
          <w:color w:val="1F4E79" w:themeColor="accent1" w:themeShade="80"/>
          <w:sz w:val="28"/>
          <w:szCs w:val="28"/>
          <w:lang w:eastAsia="it-IT"/>
        </w:rPr>
        <w:t xml:space="preserve"> non pare in alcun modo influenzare il problema dei gradi di impugnazione che gli ordinamenti nazionali devono prevedere per assicurare l’applicazione </w:t>
      </w:r>
      <w:r>
        <w:rPr>
          <w:rFonts w:ascii="Calibri" w:eastAsia="Times New Roman" w:hAnsi="Calibri" w:cs="Segoe UI"/>
          <w:color w:val="1F4E79" w:themeColor="accent1" w:themeShade="80"/>
          <w:sz w:val="28"/>
          <w:szCs w:val="28"/>
          <w:lang w:eastAsia="it-IT"/>
        </w:rPr>
        <w:t xml:space="preserve">corretta </w:t>
      </w:r>
      <w:r w:rsidR="00423219" w:rsidRPr="00B208E4">
        <w:rPr>
          <w:rFonts w:ascii="Calibri" w:eastAsia="Times New Roman" w:hAnsi="Calibri" w:cs="Segoe UI"/>
          <w:color w:val="1F4E79" w:themeColor="accent1" w:themeShade="80"/>
          <w:sz w:val="28"/>
          <w:szCs w:val="28"/>
          <w:lang w:eastAsia="it-IT"/>
        </w:rPr>
        <w:t>del diritto europeo.</w:t>
      </w:r>
    </w:p>
    <w:p w:rsidR="00B7540F" w:rsidRPr="00B208E4" w:rsidRDefault="00B7540F"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Né si vedono particolari differenze tra la violazione di legge nazionale e la violazione del diritto UE: l’operazione logica compiuta dal giudice </w:t>
      </w:r>
      <w:r w:rsidR="00F42E42">
        <w:rPr>
          <w:rFonts w:ascii="Calibri" w:eastAsia="Times New Roman" w:hAnsi="Calibri" w:cs="Segoe UI"/>
          <w:color w:val="1F4E79" w:themeColor="accent1" w:themeShade="80"/>
          <w:sz w:val="28"/>
          <w:szCs w:val="28"/>
          <w:lang w:eastAsia="it-IT"/>
        </w:rPr>
        <w:t xml:space="preserve">che interpreta erroneamente la normativa </w:t>
      </w:r>
      <w:r w:rsidRPr="00B208E4">
        <w:rPr>
          <w:rFonts w:ascii="Calibri" w:eastAsia="Times New Roman" w:hAnsi="Calibri" w:cs="Segoe UI"/>
          <w:color w:val="1F4E79" w:themeColor="accent1" w:themeShade="80"/>
          <w:sz w:val="28"/>
          <w:szCs w:val="28"/>
          <w:lang w:eastAsia="it-IT"/>
        </w:rPr>
        <w:t>è identica in entrambi i casi</w:t>
      </w:r>
      <w:r w:rsidR="00E215CA">
        <w:rPr>
          <w:rStyle w:val="Rimandonotaapidipagina"/>
          <w:rFonts w:ascii="Calibri" w:eastAsia="Times New Roman" w:hAnsi="Calibri" w:cs="Segoe UI"/>
          <w:color w:val="1F4E79" w:themeColor="accent1" w:themeShade="80"/>
          <w:sz w:val="28"/>
          <w:szCs w:val="28"/>
          <w:lang w:eastAsia="it-IT"/>
        </w:rPr>
        <w:footnoteReference w:id="33"/>
      </w:r>
      <w:r w:rsidR="00AA7B6A" w:rsidRPr="00B208E4">
        <w:rPr>
          <w:rFonts w:ascii="Calibri" w:eastAsia="Times New Roman" w:hAnsi="Calibri" w:cs="Segoe UI"/>
          <w:color w:val="1F4E79" w:themeColor="accent1" w:themeShade="80"/>
          <w:sz w:val="28"/>
          <w:szCs w:val="28"/>
          <w:lang w:eastAsia="it-IT"/>
        </w:rPr>
        <w:t xml:space="preserve">: </w:t>
      </w:r>
      <w:r w:rsidR="00F42E42">
        <w:rPr>
          <w:rFonts w:ascii="Calibri" w:eastAsia="Times New Roman" w:hAnsi="Calibri" w:cs="Segoe UI"/>
          <w:color w:val="1F4E79" w:themeColor="accent1" w:themeShade="80"/>
          <w:sz w:val="28"/>
          <w:szCs w:val="28"/>
          <w:lang w:eastAsia="it-IT"/>
        </w:rPr>
        <w:t xml:space="preserve">essa </w:t>
      </w:r>
      <w:r w:rsidR="00AA7B6A" w:rsidRPr="00B208E4">
        <w:rPr>
          <w:rFonts w:ascii="Calibri" w:eastAsia="Times New Roman" w:hAnsi="Calibri" w:cs="Segoe UI"/>
          <w:color w:val="1F4E79" w:themeColor="accent1" w:themeShade="80"/>
          <w:sz w:val="28"/>
          <w:szCs w:val="28"/>
          <w:lang w:eastAsia="it-IT"/>
        </w:rPr>
        <w:t>può qualificarsi, o meno, come sostanziale produzione di norme</w:t>
      </w:r>
      <w:r w:rsidR="00F42E42">
        <w:rPr>
          <w:rFonts w:ascii="Calibri" w:eastAsia="Times New Roman" w:hAnsi="Calibri" w:cs="Segoe UI"/>
          <w:color w:val="1F4E79" w:themeColor="accent1" w:themeShade="80"/>
          <w:sz w:val="28"/>
          <w:szCs w:val="28"/>
          <w:lang w:eastAsia="it-IT"/>
        </w:rPr>
        <w:t>, in entrambi i casi</w:t>
      </w:r>
      <w:r w:rsidRPr="00B208E4">
        <w:rPr>
          <w:rFonts w:ascii="Calibri" w:eastAsia="Times New Roman" w:hAnsi="Calibri" w:cs="Segoe UI"/>
          <w:color w:val="1F4E79" w:themeColor="accent1" w:themeShade="80"/>
          <w:sz w:val="28"/>
          <w:szCs w:val="28"/>
          <w:lang w:eastAsia="it-IT"/>
        </w:rPr>
        <w:t>.</w:t>
      </w:r>
    </w:p>
    <w:p w:rsidR="00B7540F" w:rsidRPr="00B208E4" w:rsidRDefault="00AA7B6A"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Non è chiaro, p</w:t>
      </w:r>
      <w:r w:rsidR="00F42E42">
        <w:rPr>
          <w:rFonts w:ascii="Calibri" w:eastAsia="Times New Roman" w:hAnsi="Calibri" w:cs="Segoe UI"/>
          <w:color w:val="1F4E79" w:themeColor="accent1" w:themeShade="80"/>
          <w:sz w:val="28"/>
          <w:szCs w:val="28"/>
          <w:lang w:eastAsia="it-IT"/>
        </w:rPr>
        <w:t>oi</w:t>
      </w:r>
      <w:r w:rsidRPr="00B208E4">
        <w:rPr>
          <w:rFonts w:ascii="Calibri" w:eastAsia="Times New Roman" w:hAnsi="Calibri" w:cs="Segoe UI"/>
          <w:color w:val="1F4E79" w:themeColor="accent1" w:themeShade="80"/>
          <w:sz w:val="28"/>
          <w:szCs w:val="28"/>
          <w:lang w:eastAsia="it-IT"/>
        </w:rPr>
        <w:t xml:space="preserve">, se la Cassazione intenda affermare che questa </w:t>
      </w:r>
      <w:r w:rsidR="00F42E42">
        <w:rPr>
          <w:rFonts w:ascii="Calibri" w:eastAsia="Times New Roman" w:hAnsi="Calibri" w:cs="Segoe UI"/>
          <w:color w:val="1F4E79" w:themeColor="accent1" w:themeShade="80"/>
          <w:sz w:val="28"/>
          <w:szCs w:val="28"/>
          <w:lang w:eastAsia="it-IT"/>
        </w:rPr>
        <w:t xml:space="preserve">inammissibile </w:t>
      </w:r>
      <w:r w:rsidRPr="00B208E4">
        <w:rPr>
          <w:rFonts w:ascii="Calibri" w:eastAsia="Times New Roman" w:hAnsi="Calibri" w:cs="Segoe UI"/>
          <w:color w:val="1F4E79" w:themeColor="accent1" w:themeShade="80"/>
          <w:sz w:val="28"/>
          <w:szCs w:val="28"/>
          <w:lang w:eastAsia="it-IT"/>
        </w:rPr>
        <w:t>“invasione” del potere normativo si verifichi solo in presenza della creazione di un “diritto vivente”, correlato ad una reiterata e consolidata “prassi giurisprudenziale”</w:t>
      </w:r>
      <w:r w:rsidR="00E215CA">
        <w:rPr>
          <w:rFonts w:ascii="Calibri" w:eastAsia="Times New Roman" w:hAnsi="Calibri" w:cs="Segoe UI"/>
          <w:color w:val="1F4E79" w:themeColor="accent1" w:themeShade="80"/>
          <w:sz w:val="28"/>
          <w:szCs w:val="28"/>
          <w:lang w:eastAsia="it-IT"/>
        </w:rPr>
        <w:t xml:space="preserve"> seguita dal Consiglio di Stato</w:t>
      </w:r>
      <w:r w:rsidR="00F42E42">
        <w:rPr>
          <w:rFonts w:ascii="Calibri" w:eastAsia="Times New Roman" w:hAnsi="Calibri" w:cs="Segoe UI"/>
          <w:color w:val="1F4E79" w:themeColor="accent1" w:themeShade="80"/>
          <w:sz w:val="28"/>
          <w:szCs w:val="28"/>
          <w:lang w:eastAsia="it-IT"/>
        </w:rPr>
        <w:t>, o derivi, comunque, pure da un’isolata decisione errata</w:t>
      </w:r>
      <w:r w:rsidRPr="00B208E4">
        <w:rPr>
          <w:rFonts w:ascii="Calibri" w:eastAsia="Times New Roman" w:hAnsi="Calibri" w:cs="Segoe UI"/>
          <w:color w:val="1F4E79" w:themeColor="accent1" w:themeShade="80"/>
          <w:sz w:val="28"/>
          <w:szCs w:val="28"/>
          <w:lang w:eastAsia="it-IT"/>
        </w:rPr>
        <w:t>.</w:t>
      </w:r>
    </w:p>
    <w:p w:rsidR="00AA7B6A" w:rsidRPr="00B208E4" w:rsidRDefault="0058649B"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Questa</w:t>
      </w:r>
      <w:r w:rsidR="00AA7B6A" w:rsidRPr="00B208E4">
        <w:rPr>
          <w:rFonts w:ascii="Calibri" w:eastAsia="Times New Roman" w:hAnsi="Calibri" w:cs="Segoe UI"/>
          <w:color w:val="1F4E79" w:themeColor="accent1" w:themeShade="80"/>
          <w:sz w:val="28"/>
          <w:szCs w:val="28"/>
          <w:lang w:eastAsia="it-IT"/>
        </w:rPr>
        <w:t xml:space="preserve"> </w:t>
      </w:r>
      <w:r>
        <w:rPr>
          <w:rFonts w:ascii="Calibri" w:eastAsia="Times New Roman" w:hAnsi="Calibri" w:cs="Segoe UI"/>
          <w:color w:val="1F4E79" w:themeColor="accent1" w:themeShade="80"/>
          <w:sz w:val="28"/>
          <w:szCs w:val="28"/>
          <w:lang w:eastAsia="it-IT"/>
        </w:rPr>
        <w:t>incertezza</w:t>
      </w:r>
      <w:r w:rsidR="00AA7B6A" w:rsidRPr="00B208E4">
        <w:rPr>
          <w:rFonts w:ascii="Calibri" w:eastAsia="Times New Roman" w:hAnsi="Calibri" w:cs="Segoe UI"/>
          <w:color w:val="1F4E79" w:themeColor="accent1" w:themeShade="80"/>
          <w:sz w:val="28"/>
          <w:szCs w:val="28"/>
          <w:lang w:eastAsia="it-IT"/>
        </w:rPr>
        <w:t xml:space="preserve"> emerge anche in relazione al terzo quesito, in maniera ancora più vistosa: l’ordinanza </w:t>
      </w:r>
      <w:r w:rsidR="00302F2A" w:rsidRPr="00B208E4">
        <w:rPr>
          <w:rFonts w:ascii="Calibri" w:eastAsia="Times New Roman" w:hAnsi="Calibri" w:cs="Segoe UI"/>
          <w:color w:val="1F4E79" w:themeColor="accent1" w:themeShade="80"/>
          <w:sz w:val="28"/>
          <w:szCs w:val="28"/>
          <w:lang w:eastAsia="it-IT"/>
        </w:rPr>
        <w:t>sottopone alla verifica di compatibilità con il diritto eurounitario non una disposizione di legge specificamente individuata, ma una asserita “prassi giurisprudenziale”</w:t>
      </w:r>
      <w:r>
        <w:rPr>
          <w:rFonts w:ascii="Calibri" w:eastAsia="Times New Roman" w:hAnsi="Calibri" w:cs="Segoe UI"/>
          <w:color w:val="1F4E79" w:themeColor="accent1" w:themeShade="80"/>
          <w:sz w:val="28"/>
          <w:szCs w:val="28"/>
          <w:lang w:eastAsia="it-IT"/>
        </w:rPr>
        <w:t xml:space="preserve"> nazionale, quasi a voler dire che, in tal modo, il Consiglio di Stato ha creato una norma nazionale consuetudinaria, contrastante con il diritto UE</w:t>
      </w:r>
      <w:r w:rsidR="00302F2A" w:rsidRPr="00B208E4">
        <w:rPr>
          <w:rFonts w:ascii="Calibri" w:eastAsia="Times New Roman" w:hAnsi="Calibri" w:cs="Segoe UI"/>
          <w:color w:val="1F4E79" w:themeColor="accent1" w:themeShade="80"/>
          <w:sz w:val="28"/>
          <w:szCs w:val="28"/>
          <w:lang w:eastAsia="it-IT"/>
        </w:rPr>
        <w:t>.</w:t>
      </w:r>
    </w:p>
    <w:p w:rsidR="0058649B" w:rsidRDefault="00302F2A"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Il passaggio argomentativo è piuttosto delicato, correlandosi anche al</w:t>
      </w:r>
      <w:r w:rsidR="0058649B">
        <w:rPr>
          <w:rFonts w:ascii="Calibri" w:eastAsia="Times New Roman" w:hAnsi="Calibri" w:cs="Segoe UI"/>
          <w:color w:val="1F4E79" w:themeColor="accent1" w:themeShade="80"/>
          <w:sz w:val="28"/>
          <w:szCs w:val="28"/>
          <w:lang w:eastAsia="it-IT"/>
        </w:rPr>
        <w:t>la valutazione del</w:t>
      </w:r>
      <w:r w:rsidRPr="00B208E4">
        <w:rPr>
          <w:rFonts w:ascii="Calibri" w:eastAsia="Times New Roman" w:hAnsi="Calibri" w:cs="Segoe UI"/>
          <w:color w:val="1F4E79" w:themeColor="accent1" w:themeShade="80"/>
          <w:sz w:val="28"/>
          <w:szCs w:val="28"/>
          <w:lang w:eastAsia="it-IT"/>
        </w:rPr>
        <w:t xml:space="preserve"> modo in sui si esprime la giurisprudenza del Consiglio di Stato</w:t>
      </w:r>
      <w:r w:rsidR="0058649B">
        <w:rPr>
          <w:rFonts w:ascii="Calibri" w:eastAsia="Times New Roman" w:hAnsi="Calibri" w:cs="Segoe UI"/>
          <w:color w:val="1F4E79" w:themeColor="accent1" w:themeShade="80"/>
          <w:sz w:val="28"/>
          <w:szCs w:val="28"/>
          <w:lang w:eastAsia="it-IT"/>
        </w:rPr>
        <w:t>, giudice amministrativo di ultimo grado, che cumula le funzioni dell’appello con quelle di legittimità e nomofilattiche</w:t>
      </w:r>
      <w:r w:rsidRPr="00B208E4">
        <w:rPr>
          <w:rFonts w:ascii="Calibri" w:eastAsia="Times New Roman" w:hAnsi="Calibri" w:cs="Segoe UI"/>
          <w:color w:val="1F4E79" w:themeColor="accent1" w:themeShade="80"/>
          <w:sz w:val="28"/>
          <w:szCs w:val="28"/>
          <w:lang w:eastAsia="it-IT"/>
        </w:rPr>
        <w:t>.</w:t>
      </w:r>
    </w:p>
    <w:p w:rsidR="00302F2A" w:rsidRPr="00B208E4" w:rsidRDefault="00302F2A"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Al riguardo, va rammentato che l’esplicita formulazione di un “</w:t>
      </w:r>
      <w:r w:rsidRPr="00E215CA">
        <w:rPr>
          <w:rFonts w:ascii="Calibri" w:eastAsia="Times New Roman" w:hAnsi="Calibri" w:cs="Segoe UI"/>
          <w:i/>
          <w:color w:val="1F4E79" w:themeColor="accent1" w:themeShade="80"/>
          <w:sz w:val="28"/>
          <w:szCs w:val="28"/>
          <w:lang w:eastAsia="it-IT"/>
        </w:rPr>
        <w:t>principio di diritto</w:t>
      </w:r>
      <w:r w:rsidRPr="00B208E4">
        <w:rPr>
          <w:rFonts w:ascii="Calibri" w:eastAsia="Times New Roman" w:hAnsi="Calibri" w:cs="Segoe UI"/>
          <w:color w:val="1F4E79" w:themeColor="accent1" w:themeShade="80"/>
          <w:sz w:val="28"/>
          <w:szCs w:val="28"/>
          <w:lang w:eastAsia="it-IT"/>
        </w:rPr>
        <w:t xml:space="preserve">”, vincolante </w:t>
      </w:r>
      <w:r w:rsidR="00E215CA">
        <w:rPr>
          <w:rFonts w:ascii="Calibri" w:eastAsia="Times New Roman" w:hAnsi="Calibri" w:cs="Segoe UI"/>
          <w:color w:val="1F4E79" w:themeColor="accent1" w:themeShade="80"/>
          <w:sz w:val="28"/>
          <w:szCs w:val="28"/>
          <w:lang w:eastAsia="it-IT"/>
        </w:rPr>
        <w:t xml:space="preserve">secondo specifici </w:t>
      </w:r>
      <w:r w:rsidRPr="00B208E4">
        <w:rPr>
          <w:rFonts w:ascii="Calibri" w:eastAsia="Times New Roman" w:hAnsi="Calibri" w:cs="Segoe UI"/>
          <w:color w:val="1F4E79" w:themeColor="accent1" w:themeShade="80"/>
          <w:sz w:val="28"/>
          <w:szCs w:val="28"/>
          <w:lang w:eastAsia="it-IT"/>
        </w:rPr>
        <w:t>limiti procedurali, è stabilita solo dall’art. 99 del CPA</w:t>
      </w:r>
      <w:r w:rsidR="00E215CA">
        <w:rPr>
          <w:rStyle w:val="Rimandonotaapidipagina"/>
          <w:rFonts w:ascii="Calibri" w:eastAsia="Times New Roman" w:hAnsi="Calibri" w:cs="Segoe UI"/>
          <w:color w:val="1F4E79" w:themeColor="accent1" w:themeShade="80"/>
          <w:sz w:val="28"/>
          <w:szCs w:val="28"/>
          <w:lang w:eastAsia="it-IT"/>
        </w:rPr>
        <w:footnoteReference w:id="34"/>
      </w:r>
      <w:r w:rsidRPr="00B208E4">
        <w:rPr>
          <w:rFonts w:ascii="Calibri" w:eastAsia="Times New Roman" w:hAnsi="Calibri" w:cs="Segoe UI"/>
          <w:color w:val="1F4E79" w:themeColor="accent1" w:themeShade="80"/>
          <w:sz w:val="28"/>
          <w:szCs w:val="28"/>
          <w:lang w:eastAsia="it-IT"/>
        </w:rPr>
        <w:t xml:space="preserve">. Non è invece previsto che le pronunce delle Sezioni semplici statuiscano un puntuale </w:t>
      </w:r>
      <w:r w:rsidRPr="0058649B">
        <w:rPr>
          <w:rFonts w:ascii="Calibri" w:eastAsia="Times New Roman" w:hAnsi="Calibri" w:cs="Segoe UI"/>
          <w:i/>
          <w:color w:val="1F4E79" w:themeColor="accent1" w:themeShade="80"/>
          <w:sz w:val="28"/>
          <w:szCs w:val="28"/>
          <w:lang w:eastAsia="it-IT"/>
        </w:rPr>
        <w:t>principio di diritto</w:t>
      </w:r>
      <w:r w:rsidRPr="00B208E4">
        <w:rPr>
          <w:rFonts w:ascii="Calibri" w:eastAsia="Times New Roman" w:hAnsi="Calibri" w:cs="Segoe UI"/>
          <w:color w:val="1F4E79" w:themeColor="accent1" w:themeShade="80"/>
          <w:sz w:val="28"/>
          <w:szCs w:val="28"/>
          <w:lang w:eastAsia="it-IT"/>
        </w:rPr>
        <w:t>, nemmeno nei casi in cui la decisione si concentri su un aspetto di interpretazione del diritto e non su una questione di fatto.</w:t>
      </w:r>
    </w:p>
    <w:p w:rsidR="00302F2A" w:rsidRPr="00B208E4" w:rsidRDefault="00302F2A"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Va da sé che la CGUE non avverte la necessità di sottilizzare troppo</w:t>
      </w:r>
      <w:r w:rsidR="0058649B">
        <w:rPr>
          <w:rFonts w:ascii="Calibri" w:eastAsia="Times New Roman" w:hAnsi="Calibri" w:cs="Segoe UI"/>
          <w:color w:val="1F4E79" w:themeColor="accent1" w:themeShade="80"/>
          <w:sz w:val="28"/>
          <w:szCs w:val="28"/>
          <w:lang w:eastAsia="it-IT"/>
        </w:rPr>
        <w:t xml:space="preserve"> in ordine all’oggetto del diritto nazionale sottoposto al vaglio di compatibilità con la normativa UE</w:t>
      </w:r>
      <w:r w:rsidRPr="00B208E4">
        <w:rPr>
          <w:rFonts w:ascii="Calibri" w:eastAsia="Times New Roman" w:hAnsi="Calibri" w:cs="Segoe UI"/>
          <w:color w:val="1F4E79" w:themeColor="accent1" w:themeShade="80"/>
          <w:sz w:val="28"/>
          <w:szCs w:val="28"/>
          <w:lang w:eastAsia="it-IT"/>
        </w:rPr>
        <w:t>, poiché intende conservare un controllo esteso sulla corretta applicazione del diritto dell’Unione europea e, pertanto, non pone seriamente in discussione la prospettazione del giudice comune.</w:t>
      </w:r>
    </w:p>
    <w:p w:rsidR="00302F2A" w:rsidRDefault="00B0664E"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Quindi, per la CGUE può costituire </w:t>
      </w:r>
      <w:r w:rsidRPr="00197D8C">
        <w:rPr>
          <w:rFonts w:ascii="Calibri" w:eastAsia="Times New Roman" w:hAnsi="Calibri" w:cs="Segoe UI"/>
          <w:i/>
          <w:color w:val="1F4E79" w:themeColor="accent1" w:themeShade="80"/>
          <w:sz w:val="28"/>
          <w:szCs w:val="28"/>
          <w:lang w:eastAsia="it-IT"/>
        </w:rPr>
        <w:t>diritto nazionale</w:t>
      </w:r>
      <w:r w:rsidRPr="00B208E4">
        <w:rPr>
          <w:rFonts w:ascii="Calibri" w:eastAsia="Times New Roman" w:hAnsi="Calibri" w:cs="Segoe UI"/>
          <w:color w:val="1F4E79" w:themeColor="accent1" w:themeShade="80"/>
          <w:sz w:val="28"/>
          <w:szCs w:val="28"/>
          <w:lang w:eastAsia="it-IT"/>
        </w:rPr>
        <w:t xml:space="preserve"> non solo una norma scritta, ma anche una “prassi giurisprudenziale”, se il giudice di rinvio prospetta la questione in questi termini. Men che mai il giudice del Lussemburgo si attribuisce il compito di appurare se si sia effettivamente in presenza di una </w:t>
      </w:r>
      <w:r w:rsidRPr="00B208E4">
        <w:rPr>
          <w:rFonts w:ascii="Calibri" w:eastAsia="Times New Roman" w:hAnsi="Calibri" w:cs="Segoe UI"/>
          <w:i/>
          <w:color w:val="1F4E79" w:themeColor="accent1" w:themeShade="80"/>
          <w:sz w:val="28"/>
          <w:szCs w:val="28"/>
          <w:lang w:eastAsia="it-IT"/>
        </w:rPr>
        <w:t>prassi giurisprudenziale</w:t>
      </w:r>
      <w:r w:rsidR="00E215CA">
        <w:rPr>
          <w:rFonts w:ascii="Calibri" w:eastAsia="Times New Roman" w:hAnsi="Calibri" w:cs="Segoe UI"/>
          <w:color w:val="1F4E79" w:themeColor="accent1" w:themeShade="80"/>
          <w:sz w:val="28"/>
          <w:szCs w:val="28"/>
          <w:lang w:eastAsia="it-IT"/>
        </w:rPr>
        <w:t xml:space="preserve"> derivante dal consolidarsi di un indirizzo ermeneutico</w:t>
      </w:r>
      <w:r w:rsidRPr="00B208E4">
        <w:rPr>
          <w:rFonts w:ascii="Calibri" w:eastAsia="Times New Roman" w:hAnsi="Calibri" w:cs="Segoe UI"/>
          <w:color w:val="1F4E79" w:themeColor="accent1" w:themeShade="80"/>
          <w:sz w:val="28"/>
          <w:szCs w:val="28"/>
          <w:lang w:eastAsia="it-IT"/>
        </w:rPr>
        <w:t xml:space="preserve">. </w:t>
      </w:r>
      <w:r w:rsidR="0058649B">
        <w:rPr>
          <w:rFonts w:ascii="Calibri" w:eastAsia="Times New Roman" w:hAnsi="Calibri" w:cs="Segoe UI"/>
          <w:color w:val="1F4E79" w:themeColor="accent1" w:themeShade="80"/>
          <w:sz w:val="28"/>
          <w:szCs w:val="28"/>
          <w:lang w:eastAsia="it-IT"/>
        </w:rPr>
        <w:t xml:space="preserve">Per la CGUE </w:t>
      </w:r>
      <w:r w:rsidR="0058649B" w:rsidRPr="00B208E4">
        <w:rPr>
          <w:rFonts w:ascii="Calibri" w:eastAsia="Times New Roman" w:hAnsi="Calibri" w:cs="Segoe UI"/>
          <w:color w:val="1F4E79" w:themeColor="accent1" w:themeShade="80"/>
          <w:sz w:val="28"/>
          <w:szCs w:val="28"/>
          <w:lang w:eastAsia="it-IT"/>
        </w:rPr>
        <w:t xml:space="preserve">è </w:t>
      </w:r>
      <w:r w:rsidRPr="00B208E4">
        <w:rPr>
          <w:rFonts w:ascii="Calibri" w:eastAsia="Times New Roman" w:hAnsi="Calibri" w:cs="Segoe UI"/>
          <w:color w:val="1F4E79" w:themeColor="accent1" w:themeShade="80"/>
          <w:sz w:val="28"/>
          <w:szCs w:val="28"/>
          <w:lang w:eastAsia="it-IT"/>
        </w:rPr>
        <w:t>utile affermare il principio, quale che sia l’effettiva incidenza sulla vicenda in corso</w:t>
      </w:r>
      <w:r w:rsidR="0058649B">
        <w:rPr>
          <w:rFonts w:ascii="Calibri" w:eastAsia="Times New Roman" w:hAnsi="Calibri" w:cs="Segoe UI"/>
          <w:color w:val="1F4E79" w:themeColor="accent1" w:themeShade="80"/>
          <w:sz w:val="28"/>
          <w:szCs w:val="28"/>
          <w:lang w:eastAsia="it-IT"/>
        </w:rPr>
        <w:t xml:space="preserve"> e il carattere isolato o reiterato della lamentata violazione</w:t>
      </w:r>
      <w:r w:rsidRPr="00B208E4">
        <w:rPr>
          <w:rFonts w:ascii="Calibri" w:eastAsia="Times New Roman" w:hAnsi="Calibri" w:cs="Segoe UI"/>
          <w:color w:val="1F4E79" w:themeColor="accent1" w:themeShade="80"/>
          <w:sz w:val="28"/>
          <w:szCs w:val="28"/>
          <w:lang w:eastAsia="it-IT"/>
        </w:rPr>
        <w:t>.</w:t>
      </w:r>
    </w:p>
    <w:p w:rsidR="00B0664E" w:rsidRPr="00B208E4" w:rsidRDefault="00B0664E"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La Corte considererà inammissibili solo questioni pregiudiziali che si strutturino, anche formalmente, come </w:t>
      </w:r>
      <w:r w:rsidR="00E215CA">
        <w:rPr>
          <w:rFonts w:ascii="Calibri" w:eastAsia="Times New Roman" w:hAnsi="Calibri" w:cs="Segoe UI"/>
          <w:color w:val="1F4E79" w:themeColor="accent1" w:themeShade="80"/>
          <w:sz w:val="28"/>
          <w:szCs w:val="28"/>
          <w:lang w:eastAsia="it-IT"/>
        </w:rPr>
        <w:t xml:space="preserve">esplicite </w:t>
      </w:r>
      <w:r w:rsidRPr="00B208E4">
        <w:rPr>
          <w:rFonts w:ascii="Calibri" w:eastAsia="Times New Roman" w:hAnsi="Calibri" w:cs="Segoe UI"/>
          <w:color w:val="1F4E79" w:themeColor="accent1" w:themeShade="80"/>
          <w:sz w:val="28"/>
          <w:szCs w:val="28"/>
          <w:lang w:eastAsia="it-IT"/>
        </w:rPr>
        <w:t>richieste di soluzione del caso concreto</w:t>
      </w:r>
      <w:r w:rsidR="00E215CA">
        <w:rPr>
          <w:rFonts w:ascii="Calibri" w:eastAsia="Times New Roman" w:hAnsi="Calibri" w:cs="Segoe UI"/>
          <w:color w:val="1F4E79" w:themeColor="accent1" w:themeShade="80"/>
          <w:sz w:val="28"/>
          <w:szCs w:val="28"/>
          <w:lang w:eastAsia="it-IT"/>
        </w:rPr>
        <w:t>, senza delineare un problema interpretativo</w:t>
      </w:r>
      <w:r w:rsidRPr="00B208E4">
        <w:rPr>
          <w:rFonts w:ascii="Calibri" w:eastAsia="Times New Roman" w:hAnsi="Calibri" w:cs="Segoe UI"/>
          <w:color w:val="1F4E79" w:themeColor="accent1" w:themeShade="80"/>
          <w:sz w:val="28"/>
          <w:szCs w:val="28"/>
          <w:lang w:eastAsia="it-IT"/>
        </w:rPr>
        <w:t>.</w:t>
      </w:r>
    </w:p>
    <w:p w:rsidR="00B0664E" w:rsidRPr="00B208E4" w:rsidRDefault="0058649B"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 xml:space="preserve">Ciò chiarito, </w:t>
      </w:r>
      <w:r w:rsidRPr="00B208E4">
        <w:rPr>
          <w:rFonts w:ascii="Calibri" w:eastAsia="Times New Roman" w:hAnsi="Calibri" w:cs="Segoe UI"/>
          <w:color w:val="1F4E79" w:themeColor="accent1" w:themeShade="80"/>
          <w:sz w:val="28"/>
          <w:szCs w:val="28"/>
          <w:lang w:eastAsia="it-IT"/>
        </w:rPr>
        <w:t xml:space="preserve">resta </w:t>
      </w:r>
      <w:r>
        <w:rPr>
          <w:rFonts w:ascii="Calibri" w:eastAsia="Times New Roman" w:hAnsi="Calibri" w:cs="Segoe UI"/>
          <w:color w:val="1F4E79" w:themeColor="accent1" w:themeShade="80"/>
          <w:sz w:val="28"/>
          <w:szCs w:val="28"/>
          <w:lang w:eastAsia="it-IT"/>
        </w:rPr>
        <w:t xml:space="preserve">ferma, </w:t>
      </w:r>
      <w:r w:rsidR="00B0664E" w:rsidRPr="00B208E4">
        <w:rPr>
          <w:rFonts w:ascii="Calibri" w:eastAsia="Times New Roman" w:hAnsi="Calibri" w:cs="Segoe UI"/>
          <w:color w:val="1F4E79" w:themeColor="accent1" w:themeShade="80"/>
          <w:sz w:val="28"/>
          <w:szCs w:val="28"/>
          <w:lang w:eastAsia="it-IT"/>
        </w:rPr>
        <w:t>però</w:t>
      </w:r>
      <w:r>
        <w:rPr>
          <w:rFonts w:ascii="Calibri" w:eastAsia="Times New Roman" w:hAnsi="Calibri" w:cs="Segoe UI"/>
          <w:color w:val="1F4E79" w:themeColor="accent1" w:themeShade="80"/>
          <w:sz w:val="28"/>
          <w:szCs w:val="28"/>
          <w:lang w:eastAsia="it-IT"/>
        </w:rPr>
        <w:t>,</w:t>
      </w:r>
      <w:r w:rsidR="00B0664E" w:rsidRPr="00B208E4">
        <w:rPr>
          <w:rFonts w:ascii="Calibri" w:eastAsia="Times New Roman" w:hAnsi="Calibri" w:cs="Segoe UI"/>
          <w:color w:val="1F4E79" w:themeColor="accent1" w:themeShade="80"/>
          <w:sz w:val="28"/>
          <w:szCs w:val="28"/>
          <w:lang w:eastAsia="it-IT"/>
        </w:rPr>
        <w:t xml:space="preserve"> la criticità dell’argomento</w:t>
      </w:r>
      <w:r>
        <w:rPr>
          <w:rFonts w:ascii="Calibri" w:eastAsia="Times New Roman" w:hAnsi="Calibri" w:cs="Segoe UI"/>
          <w:color w:val="1F4E79" w:themeColor="accent1" w:themeShade="80"/>
          <w:sz w:val="28"/>
          <w:szCs w:val="28"/>
          <w:lang w:eastAsia="it-IT"/>
        </w:rPr>
        <w:t xml:space="preserve"> speso dall’ordinanza</w:t>
      </w:r>
      <w:r w:rsidR="00B0664E" w:rsidRPr="00B208E4">
        <w:rPr>
          <w:rFonts w:ascii="Calibri" w:eastAsia="Times New Roman" w:hAnsi="Calibri" w:cs="Segoe UI"/>
          <w:color w:val="1F4E79" w:themeColor="accent1" w:themeShade="80"/>
          <w:sz w:val="28"/>
          <w:szCs w:val="28"/>
          <w:lang w:eastAsia="it-IT"/>
        </w:rPr>
        <w:t xml:space="preserve">, secondo la prospettiva del diritto interno. </w:t>
      </w:r>
      <w:r>
        <w:rPr>
          <w:rFonts w:ascii="Calibri" w:eastAsia="Times New Roman" w:hAnsi="Calibri" w:cs="Segoe UI"/>
          <w:color w:val="1F4E79" w:themeColor="accent1" w:themeShade="80"/>
          <w:sz w:val="28"/>
          <w:szCs w:val="28"/>
          <w:lang w:eastAsia="it-IT"/>
        </w:rPr>
        <w:t xml:space="preserve">Una </w:t>
      </w:r>
      <w:r w:rsidRPr="0058649B">
        <w:rPr>
          <w:rFonts w:ascii="Calibri" w:eastAsia="Times New Roman" w:hAnsi="Calibri" w:cs="Segoe UI"/>
          <w:i/>
          <w:color w:val="1F4E79" w:themeColor="accent1" w:themeShade="80"/>
          <w:sz w:val="28"/>
          <w:szCs w:val="28"/>
          <w:lang w:eastAsia="it-IT"/>
        </w:rPr>
        <w:t>prassi giurisprudenziale</w:t>
      </w:r>
      <w:r>
        <w:rPr>
          <w:rFonts w:ascii="Calibri" w:eastAsia="Times New Roman" w:hAnsi="Calibri" w:cs="Segoe UI"/>
          <w:color w:val="1F4E79" w:themeColor="accent1" w:themeShade="80"/>
          <w:sz w:val="28"/>
          <w:szCs w:val="28"/>
          <w:lang w:eastAsia="it-IT"/>
        </w:rPr>
        <w:t xml:space="preserve"> non è “produzione di norme”, effettuata invadendo il potere legislativo. A maggior ragione non lo è una sporadica, </w:t>
      </w:r>
      <w:r w:rsidR="00B0664E" w:rsidRPr="00B208E4">
        <w:rPr>
          <w:rFonts w:ascii="Calibri" w:eastAsia="Times New Roman" w:hAnsi="Calibri" w:cs="Segoe UI"/>
          <w:color w:val="1F4E79" w:themeColor="accent1" w:themeShade="80"/>
          <w:sz w:val="28"/>
          <w:szCs w:val="28"/>
          <w:lang w:eastAsia="it-IT"/>
        </w:rPr>
        <w:t>singola, o minoritaria</w:t>
      </w:r>
      <w:r w:rsidR="00197D8C">
        <w:rPr>
          <w:rFonts w:ascii="Calibri" w:eastAsia="Times New Roman" w:hAnsi="Calibri" w:cs="Segoe UI"/>
          <w:color w:val="1F4E79" w:themeColor="accent1" w:themeShade="80"/>
          <w:sz w:val="28"/>
          <w:szCs w:val="28"/>
          <w:lang w:eastAsia="it-IT"/>
        </w:rPr>
        <w:t>,</w:t>
      </w:r>
      <w:r w:rsidR="00B0664E" w:rsidRPr="00B208E4">
        <w:rPr>
          <w:rFonts w:ascii="Calibri" w:eastAsia="Times New Roman" w:hAnsi="Calibri" w:cs="Segoe UI"/>
          <w:color w:val="1F4E79" w:themeColor="accent1" w:themeShade="80"/>
          <w:sz w:val="28"/>
          <w:szCs w:val="28"/>
          <w:lang w:eastAsia="it-IT"/>
        </w:rPr>
        <w:t xml:space="preserve"> tesi giurisprudenziale.</w:t>
      </w:r>
    </w:p>
    <w:p w:rsidR="005F06F0" w:rsidRPr="00B208E4" w:rsidRDefault="00B0664E"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Ma ancor meno persuasiva potrebbe essere l’affermazione secondo cui l’enunciazione di un principio di diritto (da parte dell’Adunanza Plenaria, o anche per ipotesi, di una Sezione semplice), in ipotetica violazione del diritto UE, consista nell’usurpazione di un potere normativo, dal momento che si tratterebbe pur sempre di una funzione espressamente assegnata </w:t>
      </w:r>
      <w:r w:rsidR="0058649B">
        <w:rPr>
          <w:rFonts w:ascii="Calibri" w:eastAsia="Times New Roman" w:hAnsi="Calibri" w:cs="Segoe UI"/>
          <w:color w:val="1F4E79" w:themeColor="accent1" w:themeShade="80"/>
          <w:sz w:val="28"/>
          <w:szCs w:val="28"/>
          <w:lang w:eastAsia="it-IT"/>
        </w:rPr>
        <w:t xml:space="preserve">al giudice </w:t>
      </w:r>
      <w:r w:rsidRPr="00B208E4">
        <w:rPr>
          <w:rFonts w:ascii="Calibri" w:eastAsia="Times New Roman" w:hAnsi="Calibri" w:cs="Segoe UI"/>
          <w:color w:val="1F4E79" w:themeColor="accent1" w:themeShade="80"/>
          <w:sz w:val="28"/>
          <w:szCs w:val="28"/>
          <w:lang w:eastAsia="it-IT"/>
        </w:rPr>
        <w:t>dal CPA.</w:t>
      </w:r>
      <w:r w:rsidR="005F06F0" w:rsidRPr="00B208E4">
        <w:rPr>
          <w:rFonts w:ascii="Calibri" w:eastAsia="Times New Roman" w:hAnsi="Calibri" w:cs="Segoe UI"/>
          <w:color w:val="1F4E79" w:themeColor="accent1" w:themeShade="80"/>
          <w:sz w:val="28"/>
          <w:szCs w:val="28"/>
          <w:lang w:eastAsia="it-IT"/>
        </w:rPr>
        <w:t xml:space="preserve"> Si può anche discutere, in astratto, se la decisione dell’Adunanza Plenaria sia, o meno, esercizio di una funzione </w:t>
      </w:r>
      <w:r w:rsidR="005F06F0" w:rsidRPr="0058649B">
        <w:rPr>
          <w:rFonts w:ascii="Calibri" w:eastAsia="Times New Roman" w:hAnsi="Calibri" w:cs="Segoe UI"/>
          <w:i/>
          <w:color w:val="1F4E79" w:themeColor="accent1" w:themeShade="80"/>
          <w:sz w:val="28"/>
          <w:szCs w:val="28"/>
          <w:lang w:eastAsia="it-IT"/>
        </w:rPr>
        <w:t>materialmente</w:t>
      </w:r>
      <w:r w:rsidR="005F06F0" w:rsidRPr="00B208E4">
        <w:rPr>
          <w:rFonts w:ascii="Calibri" w:eastAsia="Times New Roman" w:hAnsi="Calibri" w:cs="Segoe UI"/>
          <w:color w:val="1F4E79" w:themeColor="accent1" w:themeShade="80"/>
          <w:sz w:val="28"/>
          <w:szCs w:val="28"/>
          <w:lang w:eastAsia="it-IT"/>
        </w:rPr>
        <w:t xml:space="preserve"> normativa, </w:t>
      </w:r>
      <w:r w:rsidR="0058649B">
        <w:rPr>
          <w:rFonts w:ascii="Calibri" w:eastAsia="Times New Roman" w:hAnsi="Calibri" w:cs="Segoe UI"/>
          <w:color w:val="1F4E79" w:themeColor="accent1" w:themeShade="80"/>
          <w:sz w:val="28"/>
          <w:szCs w:val="28"/>
          <w:lang w:eastAsia="it-IT"/>
        </w:rPr>
        <w:t xml:space="preserve">con effetti parzialmente vincolanti, </w:t>
      </w:r>
      <w:r w:rsidR="005F06F0" w:rsidRPr="00B208E4">
        <w:rPr>
          <w:rFonts w:ascii="Calibri" w:eastAsia="Times New Roman" w:hAnsi="Calibri" w:cs="Segoe UI"/>
          <w:color w:val="1F4E79" w:themeColor="accent1" w:themeShade="80"/>
          <w:sz w:val="28"/>
          <w:szCs w:val="28"/>
          <w:lang w:eastAsia="it-IT"/>
        </w:rPr>
        <w:t>ma è chiaro che essa è previ</w:t>
      </w:r>
      <w:r w:rsidR="0070507D">
        <w:rPr>
          <w:rFonts w:ascii="Calibri" w:eastAsia="Times New Roman" w:hAnsi="Calibri" w:cs="Segoe UI"/>
          <w:color w:val="1F4E79" w:themeColor="accent1" w:themeShade="80"/>
          <w:sz w:val="28"/>
          <w:szCs w:val="28"/>
          <w:lang w:eastAsia="it-IT"/>
        </w:rPr>
        <w:t xml:space="preserve">sta e regolamentata </w:t>
      </w:r>
      <w:r w:rsidR="0014301F">
        <w:rPr>
          <w:rFonts w:ascii="Calibri" w:eastAsia="Times New Roman" w:hAnsi="Calibri" w:cs="Segoe UI"/>
          <w:color w:val="1F4E79" w:themeColor="accent1" w:themeShade="80"/>
          <w:sz w:val="28"/>
          <w:szCs w:val="28"/>
          <w:lang w:eastAsia="it-IT"/>
        </w:rPr>
        <w:t xml:space="preserve">espressamente </w:t>
      </w:r>
      <w:r w:rsidR="0070507D">
        <w:rPr>
          <w:rFonts w:ascii="Calibri" w:eastAsia="Times New Roman" w:hAnsi="Calibri" w:cs="Segoe UI"/>
          <w:color w:val="1F4E79" w:themeColor="accent1" w:themeShade="80"/>
          <w:sz w:val="28"/>
          <w:szCs w:val="28"/>
          <w:lang w:eastAsia="it-IT"/>
        </w:rPr>
        <w:t xml:space="preserve">dalla legge: </w:t>
      </w:r>
      <w:r w:rsidR="0014301F">
        <w:rPr>
          <w:rFonts w:ascii="Calibri" w:eastAsia="Times New Roman" w:hAnsi="Calibri" w:cs="Segoe UI"/>
          <w:color w:val="1F4E79" w:themeColor="accent1" w:themeShade="80"/>
          <w:sz w:val="28"/>
          <w:szCs w:val="28"/>
          <w:lang w:eastAsia="it-IT"/>
        </w:rPr>
        <w:t xml:space="preserve">pertanto </w:t>
      </w:r>
      <w:r w:rsidR="0070507D">
        <w:rPr>
          <w:rFonts w:ascii="Calibri" w:eastAsia="Times New Roman" w:hAnsi="Calibri" w:cs="Segoe UI"/>
          <w:color w:val="1F4E79" w:themeColor="accent1" w:themeShade="80"/>
          <w:sz w:val="28"/>
          <w:szCs w:val="28"/>
          <w:lang w:eastAsia="it-IT"/>
        </w:rPr>
        <w:t xml:space="preserve">essa non può mai considerarsi, </w:t>
      </w:r>
      <w:r w:rsidR="0070507D" w:rsidRPr="0070507D">
        <w:rPr>
          <w:rFonts w:ascii="Calibri" w:eastAsia="Times New Roman" w:hAnsi="Calibri" w:cs="Segoe UI"/>
          <w:i/>
          <w:color w:val="1F4E79" w:themeColor="accent1" w:themeShade="80"/>
          <w:sz w:val="28"/>
          <w:szCs w:val="28"/>
          <w:lang w:eastAsia="it-IT"/>
        </w:rPr>
        <w:t>ex se</w:t>
      </w:r>
      <w:r w:rsidR="0070507D">
        <w:rPr>
          <w:rFonts w:ascii="Calibri" w:eastAsia="Times New Roman" w:hAnsi="Calibri" w:cs="Segoe UI"/>
          <w:color w:val="1F4E79" w:themeColor="accent1" w:themeShade="80"/>
          <w:sz w:val="28"/>
          <w:szCs w:val="28"/>
          <w:lang w:eastAsia="it-IT"/>
        </w:rPr>
        <w:t>, invasiva di un potere</w:t>
      </w:r>
      <w:r w:rsidR="00197D8C">
        <w:rPr>
          <w:rFonts w:ascii="Calibri" w:eastAsia="Times New Roman" w:hAnsi="Calibri" w:cs="Segoe UI"/>
          <w:color w:val="1F4E79" w:themeColor="accent1" w:themeShade="80"/>
          <w:sz w:val="28"/>
          <w:szCs w:val="28"/>
          <w:lang w:eastAsia="it-IT"/>
        </w:rPr>
        <w:t xml:space="preserve"> spettante ad altri organi.</w:t>
      </w:r>
      <w:r w:rsidR="0070507D">
        <w:rPr>
          <w:rStyle w:val="Rimandonotaapidipagina"/>
          <w:rFonts w:ascii="Calibri" w:eastAsia="Times New Roman" w:hAnsi="Calibri" w:cs="Segoe UI"/>
          <w:color w:val="1F4E79" w:themeColor="accent1" w:themeShade="80"/>
          <w:sz w:val="28"/>
          <w:szCs w:val="28"/>
          <w:lang w:eastAsia="it-IT"/>
        </w:rPr>
        <w:footnoteReference w:id="35"/>
      </w:r>
      <w:r w:rsidR="0070507D">
        <w:rPr>
          <w:rFonts w:ascii="Calibri" w:eastAsia="Times New Roman" w:hAnsi="Calibri" w:cs="Segoe UI"/>
          <w:color w:val="1F4E79" w:themeColor="accent1" w:themeShade="80"/>
          <w:sz w:val="28"/>
          <w:szCs w:val="28"/>
          <w:lang w:eastAsia="it-IT"/>
        </w:rPr>
        <w:t>.</w:t>
      </w:r>
    </w:p>
    <w:p w:rsidR="0014301F" w:rsidRDefault="0014301F"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p>
    <w:p w:rsidR="0014301F" w:rsidRPr="00B208E4" w:rsidRDefault="0014301F" w:rsidP="00FB7048">
      <w:pPr>
        <w:numPr>
          <w:ilvl w:val="0"/>
          <w:numId w:val="1"/>
        </w:numPr>
        <w:shd w:val="clear" w:color="auto" w:fill="FFFFFF"/>
        <w:tabs>
          <w:tab w:val="left" w:pos="0"/>
        </w:tabs>
        <w:spacing w:after="120" w:line="240" w:lineRule="auto"/>
        <w:ind w:left="0" w:firstLine="709"/>
        <w:jc w:val="both"/>
        <w:textAlignment w:val="baseline"/>
        <w:rPr>
          <w:rFonts w:ascii="Tahoma" w:eastAsia="Times New Roman" w:hAnsi="Tahoma" w:cs="Tahoma"/>
          <w:smallCaps/>
          <w:color w:val="1F4E79" w:themeColor="accent1" w:themeShade="80"/>
          <w:sz w:val="28"/>
          <w:szCs w:val="28"/>
          <w:bdr w:val="none" w:sz="0" w:space="0" w:color="auto" w:frame="1"/>
          <w:lang w:eastAsia="it-IT"/>
        </w:rPr>
      </w:pPr>
      <w:r>
        <w:rPr>
          <w:rFonts w:ascii="Tahoma" w:eastAsia="Times New Roman" w:hAnsi="Tahoma" w:cs="Tahoma"/>
          <w:smallCaps/>
          <w:color w:val="1F4E79" w:themeColor="accent1" w:themeShade="80"/>
          <w:sz w:val="28"/>
          <w:szCs w:val="28"/>
          <w:bdr w:val="none" w:sz="0" w:space="0" w:color="auto" w:frame="1"/>
          <w:lang w:eastAsia="it-IT"/>
        </w:rPr>
        <w:t>L’asserita minaccia alla sovranità delle istituzioni europee e la posizione istituzionale della Cassazione.</w:t>
      </w:r>
    </w:p>
    <w:p w:rsidR="00B7540F" w:rsidRPr="00B208E4" w:rsidRDefault="005F06F0"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Un secondo argomento espresso dall’ordinanza è il seguente: la </w:t>
      </w:r>
      <w:r w:rsidR="00B7540F" w:rsidRPr="00B208E4">
        <w:rPr>
          <w:rFonts w:ascii="Calibri" w:eastAsia="Times New Roman" w:hAnsi="Calibri" w:cs="Segoe UI"/>
          <w:color w:val="1F4E79" w:themeColor="accent1" w:themeShade="80"/>
          <w:sz w:val="28"/>
          <w:szCs w:val="28"/>
          <w:lang w:eastAsia="it-IT"/>
        </w:rPr>
        <w:t xml:space="preserve">decisione contrastante con il diritto UE determina una lesione della </w:t>
      </w:r>
      <w:r w:rsidR="005959BC" w:rsidRPr="00B208E4">
        <w:rPr>
          <w:rFonts w:ascii="Calibri" w:eastAsia="Times New Roman" w:hAnsi="Calibri" w:cs="Segoe UI"/>
          <w:i/>
          <w:color w:val="1F4E79" w:themeColor="accent1" w:themeShade="80"/>
          <w:sz w:val="28"/>
          <w:szCs w:val="28"/>
          <w:lang w:eastAsia="it-IT"/>
        </w:rPr>
        <w:t>sovranità comunitaria</w:t>
      </w:r>
      <w:r w:rsidR="0014301F">
        <w:rPr>
          <w:rFonts w:ascii="Calibri" w:eastAsia="Times New Roman" w:hAnsi="Calibri" w:cs="Segoe UI"/>
          <w:color w:val="1F4E79" w:themeColor="accent1" w:themeShade="80"/>
          <w:sz w:val="28"/>
          <w:szCs w:val="28"/>
          <w:lang w:eastAsia="it-IT"/>
        </w:rPr>
        <w:t>.</w:t>
      </w:r>
      <w:r w:rsidR="001B7157" w:rsidRPr="00B208E4">
        <w:rPr>
          <w:rFonts w:ascii="Calibri" w:eastAsia="Times New Roman" w:hAnsi="Calibri" w:cs="Segoe UI"/>
          <w:color w:val="1F4E79" w:themeColor="accent1" w:themeShade="80"/>
          <w:sz w:val="28"/>
          <w:szCs w:val="28"/>
          <w:lang w:eastAsia="it-IT"/>
        </w:rPr>
        <w:t xml:space="preserve"> </w:t>
      </w:r>
      <w:r w:rsidR="0014301F" w:rsidRPr="00B208E4">
        <w:rPr>
          <w:rFonts w:ascii="Calibri" w:eastAsia="Times New Roman" w:hAnsi="Calibri" w:cs="Segoe UI"/>
          <w:color w:val="1F4E79" w:themeColor="accent1" w:themeShade="80"/>
          <w:sz w:val="28"/>
          <w:szCs w:val="28"/>
          <w:lang w:eastAsia="it-IT"/>
        </w:rPr>
        <w:t xml:space="preserve">In </w:t>
      </w:r>
      <w:r w:rsidRPr="00B208E4">
        <w:rPr>
          <w:rFonts w:ascii="Calibri" w:eastAsia="Times New Roman" w:hAnsi="Calibri" w:cs="Segoe UI"/>
          <w:color w:val="1F4E79" w:themeColor="accent1" w:themeShade="80"/>
          <w:sz w:val="28"/>
          <w:szCs w:val="28"/>
          <w:lang w:eastAsia="it-IT"/>
        </w:rPr>
        <w:t>tale eventualità</w:t>
      </w:r>
      <w:r w:rsidR="0070507D">
        <w:rPr>
          <w:rFonts w:ascii="Calibri" w:eastAsia="Times New Roman" w:hAnsi="Calibri" w:cs="Segoe UI"/>
          <w:color w:val="1F4E79" w:themeColor="accent1" w:themeShade="80"/>
          <w:sz w:val="28"/>
          <w:szCs w:val="28"/>
          <w:lang w:eastAsia="it-IT"/>
        </w:rPr>
        <w:t>, si dice,</w:t>
      </w:r>
      <w:r w:rsidRPr="00B208E4">
        <w:rPr>
          <w:rFonts w:ascii="Calibri" w:eastAsia="Times New Roman" w:hAnsi="Calibri" w:cs="Segoe UI"/>
          <w:color w:val="1F4E79" w:themeColor="accent1" w:themeShade="80"/>
          <w:sz w:val="28"/>
          <w:szCs w:val="28"/>
          <w:lang w:eastAsia="it-IT"/>
        </w:rPr>
        <w:t xml:space="preserve"> </w:t>
      </w:r>
      <w:r w:rsidR="00B7540F" w:rsidRPr="00B208E4">
        <w:rPr>
          <w:rFonts w:ascii="Calibri" w:eastAsia="Times New Roman" w:hAnsi="Calibri" w:cs="Segoe UI"/>
          <w:color w:val="1F4E79" w:themeColor="accent1" w:themeShade="80"/>
          <w:sz w:val="28"/>
          <w:szCs w:val="28"/>
          <w:lang w:eastAsia="it-IT"/>
        </w:rPr>
        <w:t xml:space="preserve">il giudice invade il potere riservato non solo ad un altro organo, ma addirittura si intromette nelle prerogative di un </w:t>
      </w:r>
      <w:r w:rsidR="0070507D">
        <w:rPr>
          <w:rFonts w:ascii="Calibri" w:eastAsia="Times New Roman" w:hAnsi="Calibri" w:cs="Segoe UI"/>
          <w:color w:val="1F4E79" w:themeColor="accent1" w:themeShade="80"/>
          <w:sz w:val="28"/>
          <w:szCs w:val="28"/>
          <w:lang w:eastAsia="it-IT"/>
        </w:rPr>
        <w:t>distinto</w:t>
      </w:r>
      <w:r w:rsidR="00B7540F" w:rsidRPr="00B208E4">
        <w:rPr>
          <w:rFonts w:ascii="Calibri" w:eastAsia="Times New Roman" w:hAnsi="Calibri" w:cs="Segoe UI"/>
          <w:color w:val="1F4E79" w:themeColor="accent1" w:themeShade="80"/>
          <w:sz w:val="28"/>
          <w:szCs w:val="28"/>
          <w:lang w:eastAsia="it-IT"/>
        </w:rPr>
        <w:t xml:space="preserve"> </w:t>
      </w:r>
      <w:r w:rsidR="00B7540F" w:rsidRPr="0070507D">
        <w:rPr>
          <w:rFonts w:ascii="Calibri" w:eastAsia="Times New Roman" w:hAnsi="Calibri" w:cs="Segoe UI"/>
          <w:i/>
          <w:color w:val="1F4E79" w:themeColor="accent1" w:themeShade="80"/>
          <w:sz w:val="28"/>
          <w:szCs w:val="28"/>
          <w:lang w:eastAsia="it-IT"/>
        </w:rPr>
        <w:t>ente sovrano</w:t>
      </w:r>
      <w:r w:rsidR="0014301F">
        <w:rPr>
          <w:rFonts w:ascii="Calibri" w:eastAsia="Times New Roman" w:hAnsi="Calibri" w:cs="Segoe UI"/>
          <w:color w:val="1F4E79" w:themeColor="accent1" w:themeShade="80"/>
          <w:sz w:val="28"/>
          <w:szCs w:val="28"/>
          <w:lang w:eastAsia="it-IT"/>
        </w:rPr>
        <w:t>, titolare di poteri propri, nell’ordinamento internazionale, o, quanto meno, in quello eurounitario</w:t>
      </w:r>
      <w:r w:rsidR="00B7540F" w:rsidRPr="00B208E4">
        <w:rPr>
          <w:rFonts w:ascii="Calibri" w:eastAsia="Times New Roman" w:hAnsi="Calibri" w:cs="Segoe UI"/>
          <w:color w:val="1F4E79" w:themeColor="accent1" w:themeShade="80"/>
          <w:sz w:val="28"/>
          <w:szCs w:val="28"/>
          <w:lang w:eastAsia="it-IT"/>
        </w:rPr>
        <w:t>.</w:t>
      </w:r>
    </w:p>
    <w:p w:rsidR="00626F79" w:rsidRPr="00B208E4" w:rsidRDefault="00B7540F"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Questo argomento risulta oggettivamente nuovo</w:t>
      </w:r>
      <w:r w:rsidR="00E9040C" w:rsidRPr="00B208E4">
        <w:rPr>
          <w:rFonts w:ascii="Calibri" w:eastAsia="Times New Roman" w:hAnsi="Calibri" w:cs="Segoe UI"/>
          <w:color w:val="1F4E79" w:themeColor="accent1" w:themeShade="80"/>
          <w:sz w:val="28"/>
          <w:szCs w:val="28"/>
          <w:lang w:eastAsia="it-IT"/>
        </w:rPr>
        <w:t xml:space="preserve"> e affascinante</w:t>
      </w:r>
      <w:r w:rsidRPr="00B208E4">
        <w:rPr>
          <w:rFonts w:ascii="Calibri" w:eastAsia="Times New Roman" w:hAnsi="Calibri" w:cs="Segoe UI"/>
          <w:color w:val="1F4E79" w:themeColor="accent1" w:themeShade="80"/>
          <w:sz w:val="28"/>
          <w:szCs w:val="28"/>
          <w:lang w:eastAsia="it-IT"/>
        </w:rPr>
        <w:t>, ma anche francamente piuttosto oscuro, nella sua formulazione</w:t>
      </w:r>
      <w:r w:rsidR="00E9040C" w:rsidRPr="00B208E4">
        <w:rPr>
          <w:rFonts w:ascii="Calibri" w:eastAsia="Times New Roman" w:hAnsi="Calibri" w:cs="Segoe UI"/>
          <w:color w:val="1F4E79" w:themeColor="accent1" w:themeShade="80"/>
          <w:sz w:val="28"/>
          <w:szCs w:val="28"/>
          <w:lang w:eastAsia="it-IT"/>
        </w:rPr>
        <w:t>, e, inevitabilmente, poco persuasivo nelle sue implicazioni, vuoi di diritto nazionale processuale, vuoi di diritto internazionale ed europeo</w:t>
      </w:r>
      <w:r w:rsidR="00626F79" w:rsidRPr="00B208E4">
        <w:rPr>
          <w:rFonts w:ascii="Calibri" w:eastAsia="Times New Roman" w:hAnsi="Calibri" w:cs="Segoe UI"/>
          <w:color w:val="1F4E79" w:themeColor="accent1" w:themeShade="80"/>
          <w:sz w:val="28"/>
          <w:szCs w:val="28"/>
          <w:lang w:eastAsia="it-IT"/>
        </w:rPr>
        <w:t>.</w:t>
      </w:r>
    </w:p>
    <w:p w:rsidR="001B7157" w:rsidRPr="00B208E4" w:rsidRDefault="00B7540F"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Secondo l’ordinanza</w:t>
      </w:r>
      <w:r w:rsidR="001B7157" w:rsidRPr="00B208E4">
        <w:rPr>
          <w:rFonts w:ascii="Calibri" w:eastAsia="Times New Roman" w:hAnsi="Calibri" w:cs="Segoe UI"/>
          <w:color w:val="1F4E79" w:themeColor="accent1" w:themeShade="80"/>
          <w:sz w:val="28"/>
          <w:szCs w:val="28"/>
          <w:lang w:eastAsia="it-IT"/>
        </w:rPr>
        <w:t xml:space="preserve"> diversamente </w:t>
      </w:r>
      <w:r w:rsidRPr="00B208E4">
        <w:rPr>
          <w:rFonts w:ascii="Calibri" w:eastAsia="Times New Roman" w:hAnsi="Calibri" w:cs="Segoe UI"/>
          <w:color w:val="1F4E79" w:themeColor="accent1" w:themeShade="80"/>
          <w:sz w:val="28"/>
          <w:szCs w:val="28"/>
          <w:lang w:eastAsia="it-IT"/>
        </w:rPr>
        <w:t>“</w:t>
      </w:r>
      <w:r w:rsidR="001B7157" w:rsidRPr="00B208E4">
        <w:rPr>
          <w:rFonts w:ascii="Calibri" w:eastAsia="Times New Roman" w:hAnsi="Calibri" w:cs="Segoe UI"/>
          <w:color w:val="1F4E79" w:themeColor="accent1" w:themeShade="80"/>
          <w:sz w:val="28"/>
          <w:szCs w:val="28"/>
          <w:lang w:eastAsia="it-IT"/>
        </w:rPr>
        <w:t xml:space="preserve">dalla sentenza affetta da semplice violazione di legge in fattispecie regolate dal diritto nazionale, ove la erronea interpretazione o applicazione della legge è, di regola (tranne in casi eccezionali), pur sempre riferibile a un organo giurisdizionale che è emanazione della sovranità dello Stato, </w:t>
      </w:r>
      <w:r w:rsidR="001B7157" w:rsidRPr="00B208E4">
        <w:rPr>
          <w:rFonts w:ascii="Calibri" w:eastAsia="Times New Roman" w:hAnsi="Calibri" w:cs="Segoe UI"/>
          <w:i/>
          <w:color w:val="1F4E79" w:themeColor="accent1" w:themeShade="80"/>
          <w:sz w:val="28"/>
          <w:szCs w:val="28"/>
          <w:lang w:eastAsia="it-IT"/>
        </w:rPr>
        <w:t>nelle controversie disciplinate dal diritto dell’Unione lo Stato ha rinunciato all’esercizio della sovranità,</w:t>
      </w:r>
      <w:r w:rsidRPr="00B208E4">
        <w:rPr>
          <w:rFonts w:ascii="Calibri" w:eastAsia="Times New Roman" w:hAnsi="Calibri" w:cs="Segoe UI"/>
          <w:i/>
          <w:color w:val="1F4E79" w:themeColor="accent1" w:themeShade="80"/>
          <w:sz w:val="28"/>
          <w:szCs w:val="28"/>
          <w:lang w:eastAsia="it-IT"/>
        </w:rPr>
        <w:t xml:space="preserve"> </w:t>
      </w:r>
      <w:r w:rsidR="001B7157" w:rsidRPr="00B208E4">
        <w:rPr>
          <w:rFonts w:ascii="Calibri" w:eastAsia="Times New Roman" w:hAnsi="Calibri" w:cs="Segoe UI"/>
          <w:i/>
          <w:color w:val="1F4E79" w:themeColor="accent1" w:themeShade="80"/>
          <w:sz w:val="28"/>
          <w:szCs w:val="28"/>
          <w:lang w:eastAsia="it-IT"/>
        </w:rPr>
        <w:t>la quale è esercitata dall’Unione tramite i giudici nazionali, il cui potere giurisdizionale esiste esclusivamente in funzione dell’applicazione del diritto dell’Unione</w:t>
      </w:r>
      <w:r w:rsidR="001B7157" w:rsidRPr="00B208E4">
        <w:rPr>
          <w:rFonts w:ascii="Calibri" w:eastAsia="Times New Roman" w:hAnsi="Calibri" w:cs="Segoe UI"/>
          <w:color w:val="1F4E79" w:themeColor="accent1" w:themeShade="80"/>
          <w:sz w:val="28"/>
          <w:szCs w:val="28"/>
          <w:lang w:eastAsia="it-IT"/>
        </w:rPr>
        <w:t>.</w:t>
      </w:r>
      <w:r w:rsidRPr="00B208E4">
        <w:rPr>
          <w:rFonts w:ascii="Calibri" w:eastAsia="Times New Roman" w:hAnsi="Calibri" w:cs="Segoe UI"/>
          <w:color w:val="1F4E79" w:themeColor="accent1" w:themeShade="80"/>
          <w:sz w:val="28"/>
          <w:szCs w:val="28"/>
          <w:lang w:eastAsia="it-IT"/>
        </w:rPr>
        <w:t>”</w:t>
      </w:r>
    </w:p>
    <w:p w:rsidR="00141D2E" w:rsidRPr="00B208E4" w:rsidRDefault="001502CC"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Ora, anche ammettendo che sia effettivamente così, e cioè che la violazione del diritto </w:t>
      </w:r>
      <w:r w:rsidR="008553D6" w:rsidRPr="00B208E4">
        <w:rPr>
          <w:rFonts w:ascii="Calibri" w:eastAsia="Times New Roman" w:hAnsi="Calibri" w:cs="Segoe UI"/>
          <w:color w:val="1F4E79" w:themeColor="accent1" w:themeShade="80"/>
          <w:sz w:val="28"/>
          <w:szCs w:val="28"/>
          <w:lang w:eastAsia="it-IT"/>
        </w:rPr>
        <w:t xml:space="preserve">UE determini </w:t>
      </w:r>
      <w:r w:rsidR="0070507D">
        <w:rPr>
          <w:rFonts w:ascii="Calibri" w:eastAsia="Times New Roman" w:hAnsi="Calibri" w:cs="Segoe UI"/>
          <w:color w:val="1F4E79" w:themeColor="accent1" w:themeShade="80"/>
          <w:sz w:val="28"/>
          <w:szCs w:val="28"/>
          <w:lang w:eastAsia="it-IT"/>
        </w:rPr>
        <w:t xml:space="preserve">– automaticamente - </w:t>
      </w:r>
      <w:r w:rsidR="008553D6" w:rsidRPr="00B208E4">
        <w:rPr>
          <w:rFonts w:ascii="Calibri" w:eastAsia="Times New Roman" w:hAnsi="Calibri" w:cs="Segoe UI"/>
          <w:color w:val="1F4E79" w:themeColor="accent1" w:themeShade="80"/>
          <w:sz w:val="28"/>
          <w:szCs w:val="28"/>
          <w:lang w:eastAsia="it-IT"/>
        </w:rPr>
        <w:t xml:space="preserve">una lesione della </w:t>
      </w:r>
      <w:r w:rsidR="008553D6" w:rsidRPr="0014301F">
        <w:rPr>
          <w:rFonts w:ascii="Calibri" w:eastAsia="Times New Roman" w:hAnsi="Calibri" w:cs="Segoe UI"/>
          <w:i/>
          <w:color w:val="1F4E79" w:themeColor="accent1" w:themeShade="80"/>
          <w:sz w:val="28"/>
          <w:szCs w:val="28"/>
          <w:lang w:eastAsia="it-IT"/>
        </w:rPr>
        <w:t>sovranità</w:t>
      </w:r>
      <w:r w:rsidR="008553D6" w:rsidRPr="00B208E4">
        <w:rPr>
          <w:rFonts w:ascii="Calibri" w:eastAsia="Times New Roman" w:hAnsi="Calibri" w:cs="Segoe UI"/>
          <w:color w:val="1F4E79" w:themeColor="accent1" w:themeShade="80"/>
          <w:sz w:val="28"/>
          <w:szCs w:val="28"/>
          <w:lang w:eastAsia="it-IT"/>
        </w:rPr>
        <w:t xml:space="preserve"> riservata alle Istituzioni europee, non si comprende quale riflesso po</w:t>
      </w:r>
      <w:r w:rsidR="0070507D">
        <w:rPr>
          <w:rFonts w:ascii="Calibri" w:eastAsia="Times New Roman" w:hAnsi="Calibri" w:cs="Segoe UI"/>
          <w:color w:val="1F4E79" w:themeColor="accent1" w:themeShade="80"/>
          <w:sz w:val="28"/>
          <w:szCs w:val="28"/>
          <w:lang w:eastAsia="it-IT"/>
        </w:rPr>
        <w:t>trebbe</w:t>
      </w:r>
      <w:r w:rsidR="008553D6" w:rsidRPr="00B208E4">
        <w:rPr>
          <w:rFonts w:ascii="Calibri" w:eastAsia="Times New Roman" w:hAnsi="Calibri" w:cs="Segoe UI"/>
          <w:color w:val="1F4E79" w:themeColor="accent1" w:themeShade="80"/>
          <w:sz w:val="28"/>
          <w:szCs w:val="28"/>
          <w:lang w:eastAsia="it-IT"/>
        </w:rPr>
        <w:t xml:space="preserve"> </w:t>
      </w:r>
      <w:r w:rsidR="0014301F">
        <w:rPr>
          <w:rFonts w:ascii="Calibri" w:eastAsia="Times New Roman" w:hAnsi="Calibri" w:cs="Segoe UI"/>
          <w:color w:val="1F4E79" w:themeColor="accent1" w:themeShade="80"/>
          <w:sz w:val="28"/>
          <w:szCs w:val="28"/>
          <w:lang w:eastAsia="it-IT"/>
        </w:rPr>
        <w:t xml:space="preserve">determinarsi </w:t>
      </w:r>
      <w:r w:rsidR="008553D6" w:rsidRPr="00B208E4">
        <w:rPr>
          <w:rFonts w:ascii="Calibri" w:eastAsia="Times New Roman" w:hAnsi="Calibri" w:cs="Segoe UI"/>
          <w:color w:val="1F4E79" w:themeColor="accent1" w:themeShade="80"/>
          <w:sz w:val="28"/>
          <w:szCs w:val="28"/>
          <w:lang w:eastAsia="it-IT"/>
        </w:rPr>
        <w:t>in ordine alla definizione dei rimedi giurisdizionali di diritto interno</w:t>
      </w:r>
      <w:r w:rsidR="0070507D">
        <w:rPr>
          <w:rFonts w:ascii="Calibri" w:eastAsia="Times New Roman" w:hAnsi="Calibri" w:cs="Segoe UI"/>
          <w:color w:val="1F4E79" w:themeColor="accent1" w:themeShade="80"/>
          <w:sz w:val="28"/>
          <w:szCs w:val="28"/>
          <w:lang w:eastAsia="it-IT"/>
        </w:rPr>
        <w:t xml:space="preserve"> e alla </w:t>
      </w:r>
      <w:r w:rsidR="0014301F">
        <w:rPr>
          <w:rFonts w:ascii="Calibri" w:eastAsia="Times New Roman" w:hAnsi="Calibri" w:cs="Segoe UI"/>
          <w:color w:val="1F4E79" w:themeColor="accent1" w:themeShade="80"/>
          <w:sz w:val="28"/>
          <w:szCs w:val="28"/>
          <w:lang w:eastAsia="it-IT"/>
        </w:rPr>
        <w:t>proclamata necessità di realizzare un’</w:t>
      </w:r>
      <w:r w:rsidR="0070507D">
        <w:rPr>
          <w:rFonts w:ascii="Calibri" w:eastAsia="Times New Roman" w:hAnsi="Calibri" w:cs="Segoe UI"/>
          <w:color w:val="1F4E79" w:themeColor="accent1" w:themeShade="80"/>
          <w:sz w:val="28"/>
          <w:szCs w:val="28"/>
          <w:lang w:eastAsia="it-IT"/>
        </w:rPr>
        <w:t>espansione del ruolo assegnato alla Cassazione</w:t>
      </w:r>
      <w:r w:rsidR="008553D6" w:rsidRPr="00B208E4">
        <w:rPr>
          <w:rFonts w:ascii="Calibri" w:eastAsia="Times New Roman" w:hAnsi="Calibri" w:cs="Segoe UI"/>
          <w:color w:val="1F4E79" w:themeColor="accent1" w:themeShade="80"/>
          <w:sz w:val="28"/>
          <w:szCs w:val="28"/>
          <w:lang w:eastAsia="it-IT"/>
        </w:rPr>
        <w:t>.</w:t>
      </w:r>
    </w:p>
    <w:p w:rsidR="008553D6" w:rsidRPr="00B208E4" w:rsidRDefault="007D1E8C"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Né risulta chiaro perché il potere di tutelare la sovranità dell’Unione debba essere intestato alla Cassazione</w:t>
      </w:r>
      <w:r w:rsidR="0070507D">
        <w:rPr>
          <w:rFonts w:ascii="Calibri" w:eastAsia="Times New Roman" w:hAnsi="Calibri" w:cs="Segoe UI"/>
          <w:color w:val="1F4E79" w:themeColor="accent1" w:themeShade="80"/>
          <w:sz w:val="28"/>
          <w:szCs w:val="28"/>
          <w:lang w:eastAsia="it-IT"/>
        </w:rPr>
        <w:t>, che è, indiscutibilmente, organo di vertice della so</w:t>
      </w:r>
      <w:r w:rsidR="0014301F">
        <w:rPr>
          <w:rFonts w:ascii="Calibri" w:eastAsia="Times New Roman" w:hAnsi="Calibri" w:cs="Segoe UI"/>
          <w:color w:val="1F4E79" w:themeColor="accent1" w:themeShade="80"/>
          <w:sz w:val="28"/>
          <w:szCs w:val="28"/>
          <w:lang w:eastAsia="it-IT"/>
        </w:rPr>
        <w:t xml:space="preserve">vranità giurisdizionale statale. Né si comprende </w:t>
      </w:r>
      <w:r w:rsidR="0070507D">
        <w:rPr>
          <w:rFonts w:ascii="Calibri" w:eastAsia="Times New Roman" w:hAnsi="Calibri" w:cs="Segoe UI"/>
          <w:color w:val="1F4E79" w:themeColor="accent1" w:themeShade="80"/>
          <w:sz w:val="28"/>
          <w:szCs w:val="28"/>
          <w:lang w:eastAsia="it-IT"/>
        </w:rPr>
        <w:t>per quale ragione la funzione di protezione della sovranità eurounitaria debba essere</w:t>
      </w:r>
      <w:r w:rsidRPr="00B208E4">
        <w:rPr>
          <w:rFonts w:ascii="Calibri" w:eastAsia="Times New Roman" w:hAnsi="Calibri" w:cs="Segoe UI"/>
          <w:color w:val="1F4E79" w:themeColor="accent1" w:themeShade="80"/>
          <w:sz w:val="28"/>
          <w:szCs w:val="28"/>
          <w:lang w:eastAsia="it-IT"/>
        </w:rPr>
        <w:t xml:space="preserve"> svolt</w:t>
      </w:r>
      <w:r w:rsidR="0070507D">
        <w:rPr>
          <w:rFonts w:ascii="Calibri" w:eastAsia="Times New Roman" w:hAnsi="Calibri" w:cs="Segoe UI"/>
          <w:color w:val="1F4E79" w:themeColor="accent1" w:themeShade="80"/>
          <w:sz w:val="28"/>
          <w:szCs w:val="28"/>
          <w:lang w:eastAsia="it-IT"/>
        </w:rPr>
        <w:t>a</w:t>
      </w:r>
      <w:r w:rsidRPr="00B208E4">
        <w:rPr>
          <w:rFonts w:ascii="Calibri" w:eastAsia="Times New Roman" w:hAnsi="Calibri" w:cs="Segoe UI"/>
          <w:color w:val="1F4E79" w:themeColor="accent1" w:themeShade="80"/>
          <w:sz w:val="28"/>
          <w:szCs w:val="28"/>
          <w:lang w:eastAsia="it-IT"/>
        </w:rPr>
        <w:t xml:space="preserve"> attraverso l’estensione del ricorso ex art. 1</w:t>
      </w:r>
      <w:r w:rsidR="003B210C" w:rsidRPr="00B208E4">
        <w:rPr>
          <w:rFonts w:ascii="Calibri" w:eastAsia="Times New Roman" w:hAnsi="Calibri" w:cs="Segoe UI"/>
          <w:color w:val="1F4E79" w:themeColor="accent1" w:themeShade="80"/>
          <w:sz w:val="28"/>
          <w:szCs w:val="28"/>
          <w:lang w:eastAsia="it-IT"/>
        </w:rPr>
        <w:t>1</w:t>
      </w:r>
      <w:r w:rsidRPr="00B208E4">
        <w:rPr>
          <w:rFonts w:ascii="Calibri" w:eastAsia="Times New Roman" w:hAnsi="Calibri" w:cs="Segoe UI"/>
          <w:color w:val="1F4E79" w:themeColor="accent1" w:themeShade="80"/>
          <w:sz w:val="28"/>
          <w:szCs w:val="28"/>
          <w:lang w:eastAsia="it-IT"/>
        </w:rPr>
        <w:t>1, comma ottavo</w:t>
      </w:r>
      <w:r w:rsidR="0014301F">
        <w:rPr>
          <w:rFonts w:ascii="Calibri" w:eastAsia="Times New Roman" w:hAnsi="Calibri" w:cs="Segoe UI"/>
          <w:color w:val="1F4E79" w:themeColor="accent1" w:themeShade="80"/>
          <w:sz w:val="28"/>
          <w:szCs w:val="28"/>
          <w:lang w:eastAsia="it-IT"/>
        </w:rPr>
        <w:t>, della Cost</w:t>
      </w:r>
      <w:r w:rsidR="003B210C" w:rsidRPr="00B208E4">
        <w:rPr>
          <w:rFonts w:ascii="Calibri" w:eastAsia="Times New Roman" w:hAnsi="Calibri" w:cs="Segoe UI"/>
          <w:color w:val="1F4E79" w:themeColor="accent1" w:themeShade="80"/>
          <w:sz w:val="28"/>
          <w:szCs w:val="28"/>
          <w:lang w:eastAsia="it-IT"/>
        </w:rPr>
        <w:t>.</w:t>
      </w:r>
    </w:p>
    <w:p w:rsidR="0071691C" w:rsidRPr="00B208E4" w:rsidRDefault="003B210C"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Non sembra che la Corte di Cassazione, sotto l’aspetto strutturale, </w:t>
      </w:r>
      <w:r w:rsidR="0071691C" w:rsidRPr="00B208E4">
        <w:rPr>
          <w:rFonts w:ascii="Calibri" w:eastAsia="Times New Roman" w:hAnsi="Calibri" w:cs="Segoe UI"/>
          <w:color w:val="1F4E79" w:themeColor="accent1" w:themeShade="80"/>
          <w:sz w:val="28"/>
          <w:szCs w:val="28"/>
          <w:lang w:eastAsia="it-IT"/>
        </w:rPr>
        <w:t>sia titolare di una particolare legittimazione</w:t>
      </w:r>
      <w:r w:rsidR="0014301F">
        <w:rPr>
          <w:rFonts w:ascii="Calibri" w:eastAsia="Times New Roman" w:hAnsi="Calibri" w:cs="Segoe UI"/>
          <w:color w:val="1F4E79" w:themeColor="accent1" w:themeShade="80"/>
          <w:sz w:val="28"/>
          <w:szCs w:val="28"/>
          <w:lang w:eastAsia="it-IT"/>
        </w:rPr>
        <w:t xml:space="preserve"> eurounitaria</w:t>
      </w:r>
      <w:r w:rsidR="0071691C" w:rsidRPr="00B208E4">
        <w:rPr>
          <w:rFonts w:ascii="Calibri" w:eastAsia="Times New Roman" w:hAnsi="Calibri" w:cs="Segoe UI"/>
          <w:color w:val="1F4E79" w:themeColor="accent1" w:themeShade="80"/>
          <w:sz w:val="28"/>
          <w:szCs w:val="28"/>
          <w:lang w:eastAsia="it-IT"/>
        </w:rPr>
        <w:t>, quale “garante naturale” della sovranità europea</w:t>
      </w:r>
      <w:r w:rsidR="003527E2" w:rsidRPr="00B208E4">
        <w:rPr>
          <w:rFonts w:ascii="Calibri" w:eastAsia="Times New Roman" w:hAnsi="Calibri" w:cs="Segoe UI"/>
          <w:color w:val="1F4E79" w:themeColor="accent1" w:themeShade="80"/>
          <w:sz w:val="28"/>
          <w:szCs w:val="28"/>
          <w:lang w:eastAsia="it-IT"/>
        </w:rPr>
        <w:t>, diversa da quella spettante al Consiglio di Stato, nel quadro costituzionale de</w:t>
      </w:r>
      <w:r w:rsidR="0070507D">
        <w:rPr>
          <w:rFonts w:ascii="Calibri" w:eastAsia="Times New Roman" w:hAnsi="Calibri" w:cs="Segoe UI"/>
          <w:color w:val="1F4E79" w:themeColor="accent1" w:themeShade="80"/>
          <w:sz w:val="28"/>
          <w:szCs w:val="28"/>
          <w:lang w:eastAsia="it-IT"/>
        </w:rPr>
        <w:t>l pluralismo delle giurisdizioni</w:t>
      </w:r>
      <w:r w:rsidR="0071691C" w:rsidRPr="00B208E4">
        <w:rPr>
          <w:rFonts w:ascii="Calibri" w:eastAsia="Times New Roman" w:hAnsi="Calibri" w:cs="Segoe UI"/>
          <w:color w:val="1F4E79" w:themeColor="accent1" w:themeShade="80"/>
          <w:sz w:val="28"/>
          <w:szCs w:val="28"/>
          <w:lang w:eastAsia="it-IT"/>
        </w:rPr>
        <w:t>.</w:t>
      </w:r>
    </w:p>
    <w:p w:rsidR="00006CA1" w:rsidRPr="00B208E4" w:rsidRDefault="008C30C1"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Né pare convincente la prospettata contrapposizione funzion</w:t>
      </w:r>
      <w:r w:rsidR="003527E2" w:rsidRPr="00B208E4">
        <w:rPr>
          <w:rFonts w:ascii="Calibri" w:eastAsia="Times New Roman" w:hAnsi="Calibri" w:cs="Segoe UI"/>
          <w:color w:val="1F4E79" w:themeColor="accent1" w:themeShade="80"/>
          <w:sz w:val="28"/>
          <w:szCs w:val="28"/>
          <w:lang w:eastAsia="it-IT"/>
        </w:rPr>
        <w:t>al</w:t>
      </w:r>
      <w:r w:rsidRPr="00B208E4">
        <w:rPr>
          <w:rFonts w:ascii="Calibri" w:eastAsia="Times New Roman" w:hAnsi="Calibri" w:cs="Segoe UI"/>
          <w:color w:val="1F4E79" w:themeColor="accent1" w:themeShade="80"/>
          <w:sz w:val="28"/>
          <w:szCs w:val="28"/>
          <w:lang w:eastAsia="it-IT"/>
        </w:rPr>
        <w:t xml:space="preserve">e tra l’applicazione del diritto nazionale e quella del diritto europeo, </w:t>
      </w:r>
      <w:r w:rsidR="00EE6E76" w:rsidRPr="00B208E4">
        <w:rPr>
          <w:rFonts w:ascii="Calibri" w:eastAsia="Times New Roman" w:hAnsi="Calibri" w:cs="Segoe UI"/>
          <w:color w:val="1F4E79" w:themeColor="accent1" w:themeShade="80"/>
          <w:sz w:val="28"/>
          <w:szCs w:val="28"/>
          <w:lang w:eastAsia="it-IT"/>
        </w:rPr>
        <w:t xml:space="preserve">perché </w:t>
      </w:r>
      <w:r w:rsidRPr="00B208E4">
        <w:rPr>
          <w:rFonts w:ascii="Calibri" w:eastAsia="Times New Roman" w:hAnsi="Calibri" w:cs="Segoe UI"/>
          <w:color w:val="1F4E79" w:themeColor="accent1" w:themeShade="80"/>
          <w:sz w:val="28"/>
          <w:szCs w:val="28"/>
          <w:lang w:eastAsia="it-IT"/>
        </w:rPr>
        <w:t>entrambe</w:t>
      </w:r>
      <w:r w:rsidR="00006CA1" w:rsidRPr="00B208E4">
        <w:rPr>
          <w:rFonts w:ascii="Calibri" w:eastAsia="Times New Roman" w:hAnsi="Calibri" w:cs="Segoe UI"/>
          <w:color w:val="1F4E79" w:themeColor="accent1" w:themeShade="80"/>
          <w:sz w:val="28"/>
          <w:szCs w:val="28"/>
          <w:lang w:eastAsia="it-IT"/>
        </w:rPr>
        <w:t xml:space="preserve"> </w:t>
      </w:r>
      <w:r w:rsidR="0014301F">
        <w:rPr>
          <w:rFonts w:ascii="Calibri" w:eastAsia="Times New Roman" w:hAnsi="Calibri" w:cs="Segoe UI"/>
          <w:color w:val="1F4E79" w:themeColor="accent1" w:themeShade="80"/>
          <w:sz w:val="28"/>
          <w:szCs w:val="28"/>
          <w:lang w:eastAsia="it-IT"/>
        </w:rPr>
        <w:t xml:space="preserve">le attività </w:t>
      </w:r>
      <w:r w:rsidR="00EE6E76" w:rsidRPr="00B208E4">
        <w:rPr>
          <w:rFonts w:ascii="Calibri" w:eastAsia="Times New Roman" w:hAnsi="Calibri" w:cs="Segoe UI"/>
          <w:color w:val="1F4E79" w:themeColor="accent1" w:themeShade="80"/>
          <w:sz w:val="28"/>
          <w:szCs w:val="28"/>
          <w:lang w:eastAsia="it-IT"/>
        </w:rPr>
        <w:t xml:space="preserve">sono </w:t>
      </w:r>
      <w:r w:rsidR="00006CA1" w:rsidRPr="00B208E4">
        <w:rPr>
          <w:rFonts w:ascii="Calibri" w:eastAsia="Times New Roman" w:hAnsi="Calibri" w:cs="Segoe UI"/>
          <w:color w:val="1F4E79" w:themeColor="accent1" w:themeShade="80"/>
          <w:sz w:val="28"/>
          <w:szCs w:val="28"/>
          <w:lang w:eastAsia="it-IT"/>
        </w:rPr>
        <w:t>riconducibili ad una funzione giurisdizionale unitaria.</w:t>
      </w:r>
    </w:p>
    <w:p w:rsidR="00EE6E76" w:rsidRPr="00B208E4" w:rsidRDefault="00EE6E76"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Sul piano culturale, prima ancora che giuridico, il giudice tende ad armonizzare diritto interno e diritto europeo in un unico sistema multilivello, valorizzando le convergenze, anziché esaltare ipotetiche antitesi.</w:t>
      </w:r>
    </w:p>
    <w:p w:rsidR="00006CA1" w:rsidRPr="00B208E4" w:rsidRDefault="00006CA1"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L’idea di una doppia anima del giudice comune, emanazione dell’Unione europea o dello Stato</w:t>
      </w:r>
      <w:r w:rsidR="0014301F">
        <w:rPr>
          <w:rFonts w:ascii="Calibri" w:eastAsia="Times New Roman" w:hAnsi="Calibri" w:cs="Segoe UI"/>
          <w:color w:val="1F4E79" w:themeColor="accent1" w:themeShade="80"/>
          <w:sz w:val="28"/>
          <w:szCs w:val="28"/>
          <w:lang w:eastAsia="it-IT"/>
        </w:rPr>
        <w:t>,</w:t>
      </w:r>
      <w:r w:rsidRPr="00B208E4">
        <w:rPr>
          <w:rFonts w:ascii="Calibri" w:eastAsia="Times New Roman" w:hAnsi="Calibri" w:cs="Segoe UI"/>
          <w:color w:val="1F4E79" w:themeColor="accent1" w:themeShade="80"/>
          <w:sz w:val="28"/>
          <w:szCs w:val="28"/>
          <w:lang w:eastAsia="it-IT"/>
        </w:rPr>
        <w:t xml:space="preserve"> a seconda della norma applicata, appare davvero forzata</w:t>
      </w:r>
      <w:r w:rsidR="0014301F">
        <w:rPr>
          <w:rFonts w:ascii="Calibri" w:eastAsia="Times New Roman" w:hAnsi="Calibri" w:cs="Segoe UI"/>
          <w:color w:val="1F4E79" w:themeColor="accent1" w:themeShade="80"/>
          <w:sz w:val="28"/>
          <w:szCs w:val="28"/>
          <w:lang w:eastAsia="it-IT"/>
        </w:rPr>
        <w:t xml:space="preserve"> e non corrisponde affatto dal fisiologico modo di pensare del giudice</w:t>
      </w:r>
      <w:r w:rsidRPr="00B208E4">
        <w:rPr>
          <w:rFonts w:ascii="Calibri" w:eastAsia="Times New Roman" w:hAnsi="Calibri" w:cs="Segoe UI"/>
          <w:color w:val="1F4E79" w:themeColor="accent1" w:themeShade="80"/>
          <w:sz w:val="28"/>
          <w:szCs w:val="28"/>
          <w:lang w:eastAsia="it-IT"/>
        </w:rPr>
        <w:t>.</w:t>
      </w:r>
      <w:r w:rsidR="008C30C1" w:rsidRPr="00B208E4">
        <w:rPr>
          <w:rFonts w:ascii="Calibri" w:eastAsia="Times New Roman" w:hAnsi="Calibri" w:cs="Segoe UI"/>
          <w:color w:val="1F4E79" w:themeColor="accent1" w:themeShade="80"/>
          <w:sz w:val="28"/>
          <w:szCs w:val="28"/>
          <w:lang w:eastAsia="it-IT"/>
        </w:rPr>
        <w:t xml:space="preserve"> </w:t>
      </w:r>
      <w:r w:rsidRPr="00B208E4">
        <w:rPr>
          <w:rFonts w:ascii="Calibri" w:eastAsia="Times New Roman" w:hAnsi="Calibri" w:cs="Segoe UI"/>
          <w:color w:val="1F4E79" w:themeColor="accent1" w:themeShade="80"/>
          <w:sz w:val="28"/>
          <w:szCs w:val="28"/>
          <w:lang w:eastAsia="it-IT"/>
        </w:rPr>
        <w:t>Senza dire che, in concreto, non sono poi così frequenti le materie regolate, alternativamente, solo dal diritto europeo o solo dal diritto nazionale.</w:t>
      </w:r>
    </w:p>
    <w:p w:rsidR="00752CFC" w:rsidRPr="00B208E4" w:rsidRDefault="00122FFC"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Da ultimo va ricordato che la violazione del diritto europeo è pienamente equiparata, ormai, alla violazione del diritto nazionale, in relazione al regime di invalidità dell’atto amministrativo.</w:t>
      </w:r>
    </w:p>
    <w:p w:rsidR="00434A65" w:rsidRPr="00B208E4" w:rsidRDefault="0014301F"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 xml:space="preserve">Dopo qualche iniziale incertezza ermeneutica, </w:t>
      </w:r>
      <w:r w:rsidRPr="00B208E4">
        <w:rPr>
          <w:rFonts w:ascii="Calibri" w:eastAsia="Times New Roman" w:hAnsi="Calibri" w:cs="Segoe UI"/>
          <w:color w:val="1F4E79" w:themeColor="accent1" w:themeShade="80"/>
          <w:sz w:val="28"/>
          <w:szCs w:val="28"/>
          <w:lang w:eastAsia="it-IT"/>
        </w:rPr>
        <w:t xml:space="preserve">nessuno </w:t>
      </w:r>
      <w:r w:rsidR="00197D8C">
        <w:rPr>
          <w:rFonts w:ascii="Calibri" w:eastAsia="Times New Roman" w:hAnsi="Calibri" w:cs="Segoe UI"/>
          <w:color w:val="1F4E79" w:themeColor="accent1" w:themeShade="80"/>
          <w:sz w:val="28"/>
          <w:szCs w:val="28"/>
          <w:lang w:eastAsia="it-IT"/>
        </w:rPr>
        <w:t xml:space="preserve">sostiene </w:t>
      </w:r>
      <w:r>
        <w:rPr>
          <w:rFonts w:ascii="Calibri" w:eastAsia="Times New Roman" w:hAnsi="Calibri" w:cs="Segoe UI"/>
          <w:color w:val="1F4E79" w:themeColor="accent1" w:themeShade="80"/>
          <w:sz w:val="28"/>
          <w:szCs w:val="28"/>
          <w:lang w:eastAsia="it-IT"/>
        </w:rPr>
        <w:t>più</w:t>
      </w:r>
      <w:r w:rsidR="00752CFC" w:rsidRPr="00B208E4">
        <w:rPr>
          <w:rFonts w:ascii="Calibri" w:eastAsia="Times New Roman" w:hAnsi="Calibri" w:cs="Segoe UI"/>
          <w:color w:val="1F4E79" w:themeColor="accent1" w:themeShade="80"/>
          <w:sz w:val="28"/>
          <w:szCs w:val="28"/>
          <w:lang w:eastAsia="it-IT"/>
        </w:rPr>
        <w:t xml:space="preserve"> che l’atto amministrativo in contrasto con il diritto UE </w:t>
      </w:r>
      <w:r w:rsidR="00197D8C">
        <w:rPr>
          <w:rFonts w:ascii="Calibri" w:eastAsia="Times New Roman" w:hAnsi="Calibri" w:cs="Segoe UI"/>
          <w:color w:val="1F4E79" w:themeColor="accent1" w:themeShade="80"/>
          <w:sz w:val="28"/>
          <w:szCs w:val="28"/>
          <w:lang w:eastAsia="it-IT"/>
        </w:rPr>
        <w:t xml:space="preserve">possa provocare </w:t>
      </w:r>
      <w:r w:rsidR="00752CFC" w:rsidRPr="00B208E4">
        <w:rPr>
          <w:rFonts w:ascii="Calibri" w:eastAsia="Times New Roman" w:hAnsi="Calibri" w:cs="Segoe UI"/>
          <w:color w:val="1F4E79" w:themeColor="accent1" w:themeShade="80"/>
          <w:sz w:val="28"/>
          <w:szCs w:val="28"/>
          <w:lang w:eastAsia="it-IT"/>
        </w:rPr>
        <w:t>una lesione de</w:t>
      </w:r>
      <w:r w:rsidR="00E27546" w:rsidRPr="00B208E4">
        <w:rPr>
          <w:rFonts w:ascii="Calibri" w:eastAsia="Times New Roman" w:hAnsi="Calibri" w:cs="Segoe UI"/>
          <w:color w:val="1F4E79" w:themeColor="accent1" w:themeShade="80"/>
          <w:sz w:val="28"/>
          <w:szCs w:val="28"/>
          <w:lang w:eastAsia="it-IT"/>
        </w:rPr>
        <w:t>lla sovranità dell’Unione, determinante una reazione speciale dell’ordinamento, concretantesi nell</w:t>
      </w:r>
      <w:r w:rsidR="00434A65" w:rsidRPr="00B208E4">
        <w:rPr>
          <w:rFonts w:ascii="Calibri" w:eastAsia="Times New Roman" w:hAnsi="Calibri" w:cs="Segoe UI"/>
          <w:color w:val="1F4E79" w:themeColor="accent1" w:themeShade="80"/>
          <w:sz w:val="28"/>
          <w:szCs w:val="28"/>
          <w:lang w:eastAsia="it-IT"/>
        </w:rPr>
        <w:t>a sanzione della nullità.</w:t>
      </w:r>
      <w:r>
        <w:rPr>
          <w:rFonts w:ascii="Calibri" w:eastAsia="Times New Roman" w:hAnsi="Calibri" w:cs="Segoe UI"/>
          <w:color w:val="1F4E79" w:themeColor="accent1" w:themeShade="80"/>
          <w:sz w:val="28"/>
          <w:szCs w:val="28"/>
          <w:lang w:eastAsia="it-IT"/>
        </w:rPr>
        <w:t xml:space="preserve"> Infatti, l</w:t>
      </w:r>
      <w:r w:rsidR="00434A65" w:rsidRPr="00B208E4">
        <w:rPr>
          <w:rFonts w:ascii="Calibri" w:eastAsia="Times New Roman" w:hAnsi="Calibri" w:cs="Segoe UI"/>
          <w:color w:val="1F4E79" w:themeColor="accent1" w:themeShade="80"/>
          <w:sz w:val="28"/>
          <w:szCs w:val="28"/>
          <w:lang w:eastAsia="it-IT"/>
        </w:rPr>
        <w:t xml:space="preserve">a violazione del diritto UE non è un’ipotesi di </w:t>
      </w:r>
      <w:r w:rsidR="00434A65" w:rsidRPr="00B208E4">
        <w:rPr>
          <w:rFonts w:ascii="Calibri" w:eastAsia="Times New Roman" w:hAnsi="Calibri" w:cs="Segoe UI"/>
          <w:i/>
          <w:color w:val="1F4E79" w:themeColor="accent1" w:themeShade="80"/>
          <w:sz w:val="28"/>
          <w:szCs w:val="28"/>
          <w:lang w:eastAsia="it-IT"/>
        </w:rPr>
        <w:t>carenza di potere</w:t>
      </w:r>
      <w:r w:rsidR="00434A65" w:rsidRPr="00B208E4">
        <w:rPr>
          <w:rFonts w:ascii="Calibri" w:eastAsia="Times New Roman" w:hAnsi="Calibri" w:cs="Segoe UI"/>
          <w:color w:val="1F4E79" w:themeColor="accent1" w:themeShade="80"/>
          <w:sz w:val="28"/>
          <w:szCs w:val="28"/>
          <w:lang w:eastAsia="it-IT"/>
        </w:rPr>
        <w:t xml:space="preserve"> e non comporta </w:t>
      </w:r>
      <w:r w:rsidR="00574FBC" w:rsidRPr="00B208E4">
        <w:rPr>
          <w:rFonts w:ascii="Calibri" w:eastAsia="Times New Roman" w:hAnsi="Calibri" w:cs="Segoe UI"/>
          <w:color w:val="1F4E79" w:themeColor="accent1" w:themeShade="80"/>
          <w:sz w:val="28"/>
          <w:szCs w:val="28"/>
          <w:lang w:eastAsia="it-IT"/>
        </w:rPr>
        <w:t>la necessità di una disciplina processuale speciale e “rafforzata”.</w:t>
      </w:r>
    </w:p>
    <w:p w:rsidR="001B7157" w:rsidRPr="00B208E4" w:rsidRDefault="0014301F"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 xml:space="preserve">A tutto concedere, allora, </w:t>
      </w:r>
      <w:r w:rsidR="00197D8C" w:rsidRPr="00B208E4">
        <w:rPr>
          <w:rFonts w:ascii="Calibri" w:eastAsia="Times New Roman" w:hAnsi="Calibri" w:cs="Segoe UI"/>
          <w:color w:val="1F4E79" w:themeColor="accent1" w:themeShade="80"/>
          <w:sz w:val="28"/>
          <w:szCs w:val="28"/>
          <w:lang w:eastAsia="it-IT"/>
        </w:rPr>
        <w:t xml:space="preserve">impostata </w:t>
      </w:r>
      <w:r w:rsidR="00574FBC" w:rsidRPr="00B208E4">
        <w:rPr>
          <w:rFonts w:ascii="Calibri" w:eastAsia="Times New Roman" w:hAnsi="Calibri" w:cs="Segoe UI"/>
          <w:color w:val="1F4E79" w:themeColor="accent1" w:themeShade="80"/>
          <w:sz w:val="28"/>
          <w:szCs w:val="28"/>
          <w:lang w:eastAsia="it-IT"/>
        </w:rPr>
        <w:t xml:space="preserve">in termini di lesione della </w:t>
      </w:r>
      <w:r w:rsidR="00574FBC" w:rsidRPr="00B208E4">
        <w:rPr>
          <w:rFonts w:ascii="Calibri" w:eastAsia="Times New Roman" w:hAnsi="Calibri" w:cs="Segoe UI"/>
          <w:i/>
          <w:color w:val="1F4E79" w:themeColor="accent1" w:themeShade="80"/>
          <w:sz w:val="28"/>
          <w:szCs w:val="28"/>
          <w:lang w:eastAsia="it-IT"/>
        </w:rPr>
        <w:t>sovranità eurounitaria</w:t>
      </w:r>
      <w:r w:rsidR="00574FBC" w:rsidRPr="00B208E4">
        <w:rPr>
          <w:rFonts w:ascii="Calibri" w:eastAsia="Times New Roman" w:hAnsi="Calibri" w:cs="Segoe UI"/>
          <w:color w:val="1F4E79" w:themeColor="accent1" w:themeShade="80"/>
          <w:sz w:val="28"/>
          <w:szCs w:val="28"/>
          <w:lang w:eastAsia="it-IT"/>
        </w:rPr>
        <w:t xml:space="preserve">, incidente sui rapporti internazionali tra Stato e Unione, la violazione del diritto </w:t>
      </w:r>
      <w:r w:rsidR="00BF000D" w:rsidRPr="00B208E4">
        <w:rPr>
          <w:rFonts w:ascii="Calibri" w:eastAsia="Times New Roman" w:hAnsi="Calibri" w:cs="Segoe UI"/>
          <w:color w:val="1F4E79" w:themeColor="accent1" w:themeShade="80"/>
          <w:sz w:val="28"/>
          <w:szCs w:val="28"/>
          <w:lang w:eastAsia="it-IT"/>
        </w:rPr>
        <w:t xml:space="preserve">europeo potrebbe giustificare l’attribuzione ad un organo extrastatale il compito di accertare tale illegittimità, ma non </w:t>
      </w:r>
      <w:r w:rsidR="00672A50" w:rsidRPr="00B208E4">
        <w:rPr>
          <w:rFonts w:ascii="Calibri" w:eastAsia="Times New Roman" w:hAnsi="Calibri" w:cs="Segoe UI"/>
          <w:color w:val="1F4E79" w:themeColor="accent1" w:themeShade="80"/>
          <w:sz w:val="28"/>
          <w:szCs w:val="28"/>
          <w:lang w:eastAsia="it-IT"/>
        </w:rPr>
        <w:t xml:space="preserve">l’assegnazione </w:t>
      </w:r>
      <w:r w:rsidR="00197D8C">
        <w:rPr>
          <w:rFonts w:ascii="Calibri" w:eastAsia="Times New Roman" w:hAnsi="Calibri" w:cs="Segoe UI"/>
          <w:color w:val="1F4E79" w:themeColor="accent1" w:themeShade="80"/>
          <w:sz w:val="28"/>
          <w:szCs w:val="28"/>
          <w:lang w:eastAsia="it-IT"/>
        </w:rPr>
        <w:t xml:space="preserve">di tale compito </w:t>
      </w:r>
      <w:r w:rsidR="00672A50" w:rsidRPr="00B208E4">
        <w:rPr>
          <w:rFonts w:ascii="Calibri" w:eastAsia="Times New Roman" w:hAnsi="Calibri" w:cs="Segoe UI"/>
          <w:color w:val="1F4E79" w:themeColor="accent1" w:themeShade="80"/>
          <w:sz w:val="28"/>
          <w:szCs w:val="28"/>
          <w:lang w:eastAsia="it-IT"/>
        </w:rPr>
        <w:t>ad un’autorità giurisdizionale nazionale, investita di un potere capace di derogare alla regola fissata dall’art. 111</w:t>
      </w:r>
      <w:r w:rsidR="0070507D">
        <w:rPr>
          <w:rFonts w:ascii="Calibri" w:eastAsia="Times New Roman" w:hAnsi="Calibri" w:cs="Segoe UI"/>
          <w:color w:val="1F4E79" w:themeColor="accent1" w:themeShade="80"/>
          <w:sz w:val="28"/>
          <w:szCs w:val="28"/>
          <w:lang w:eastAsia="it-IT"/>
        </w:rPr>
        <w:t>, co. 8,</w:t>
      </w:r>
      <w:r w:rsidR="00672A50" w:rsidRPr="00B208E4">
        <w:rPr>
          <w:rFonts w:ascii="Calibri" w:eastAsia="Times New Roman" w:hAnsi="Calibri" w:cs="Segoe UI"/>
          <w:color w:val="1F4E79" w:themeColor="accent1" w:themeShade="80"/>
          <w:sz w:val="28"/>
          <w:szCs w:val="28"/>
          <w:lang w:eastAsia="it-IT"/>
        </w:rPr>
        <w:t xml:space="preserve"> della Costituzione.</w:t>
      </w:r>
    </w:p>
    <w:p w:rsidR="001B7157" w:rsidRPr="00B208E4" w:rsidRDefault="001B7157" w:rsidP="00FB7048">
      <w:pPr>
        <w:tabs>
          <w:tab w:val="left" w:pos="0"/>
        </w:tabs>
        <w:spacing w:after="120" w:line="240" w:lineRule="auto"/>
        <w:ind w:firstLine="709"/>
        <w:jc w:val="both"/>
        <w:textAlignment w:val="baseline"/>
        <w:rPr>
          <w:rFonts w:ascii="Georgia" w:eastAsia="Georgia" w:hAnsi="Georgia"/>
          <w:color w:val="1F4E79" w:themeColor="accent1" w:themeShade="80"/>
          <w:spacing w:val="1"/>
          <w:sz w:val="28"/>
          <w:szCs w:val="28"/>
        </w:rPr>
      </w:pPr>
    </w:p>
    <w:p w:rsidR="00254F3B" w:rsidRPr="00B208E4" w:rsidRDefault="00254F3B" w:rsidP="00FB7048">
      <w:pPr>
        <w:numPr>
          <w:ilvl w:val="0"/>
          <w:numId w:val="1"/>
        </w:numPr>
        <w:shd w:val="clear" w:color="auto" w:fill="FFFFFF"/>
        <w:tabs>
          <w:tab w:val="left" w:pos="0"/>
        </w:tabs>
        <w:spacing w:after="120" w:line="240" w:lineRule="auto"/>
        <w:ind w:left="0" w:firstLine="709"/>
        <w:jc w:val="both"/>
        <w:textAlignment w:val="baseline"/>
        <w:rPr>
          <w:rFonts w:ascii="Tahoma" w:eastAsia="Times New Roman" w:hAnsi="Tahoma" w:cs="Tahoma"/>
          <w:smallCaps/>
          <w:color w:val="1F4E79" w:themeColor="accent1" w:themeShade="80"/>
          <w:sz w:val="28"/>
          <w:szCs w:val="28"/>
          <w:bdr w:val="none" w:sz="0" w:space="0" w:color="auto" w:frame="1"/>
          <w:lang w:eastAsia="it-IT"/>
        </w:rPr>
      </w:pPr>
      <w:r w:rsidRPr="00B208E4">
        <w:rPr>
          <w:rFonts w:ascii="Tahoma" w:eastAsia="Times New Roman" w:hAnsi="Tahoma" w:cs="Tahoma"/>
          <w:smallCaps/>
          <w:color w:val="1F4E79" w:themeColor="accent1" w:themeShade="80"/>
          <w:sz w:val="28"/>
          <w:szCs w:val="28"/>
          <w:bdr w:val="none" w:sz="0" w:space="0" w:color="auto" w:frame="1"/>
          <w:lang w:eastAsia="it-IT"/>
        </w:rPr>
        <w:t xml:space="preserve">Il </w:t>
      </w:r>
      <w:r w:rsidR="00981997" w:rsidRPr="00B208E4">
        <w:rPr>
          <w:rFonts w:ascii="Tahoma" w:eastAsia="Times New Roman" w:hAnsi="Tahoma" w:cs="Tahoma"/>
          <w:smallCaps/>
          <w:color w:val="1F4E79" w:themeColor="accent1" w:themeShade="80"/>
          <w:sz w:val="28"/>
          <w:szCs w:val="28"/>
          <w:bdr w:val="none" w:sz="0" w:space="0" w:color="auto" w:frame="1"/>
          <w:lang w:eastAsia="it-IT"/>
        </w:rPr>
        <w:t>potere</w:t>
      </w:r>
      <w:r w:rsidR="00576E0D" w:rsidRPr="00B208E4">
        <w:rPr>
          <w:rFonts w:ascii="Tahoma" w:eastAsia="Times New Roman" w:hAnsi="Tahoma" w:cs="Tahoma"/>
          <w:smallCaps/>
          <w:color w:val="1F4E79" w:themeColor="accent1" w:themeShade="80"/>
          <w:sz w:val="28"/>
          <w:szCs w:val="28"/>
          <w:bdr w:val="none" w:sz="0" w:space="0" w:color="auto" w:frame="1"/>
          <w:lang w:eastAsia="it-IT"/>
        </w:rPr>
        <w:t>-</w:t>
      </w:r>
      <w:r w:rsidRPr="00B208E4">
        <w:rPr>
          <w:rFonts w:ascii="Tahoma" w:eastAsia="Times New Roman" w:hAnsi="Tahoma" w:cs="Tahoma"/>
          <w:smallCaps/>
          <w:color w:val="1F4E79" w:themeColor="accent1" w:themeShade="80"/>
          <w:sz w:val="28"/>
          <w:szCs w:val="28"/>
          <w:bdr w:val="none" w:sz="0" w:space="0" w:color="auto" w:frame="1"/>
          <w:lang w:eastAsia="it-IT"/>
        </w:rPr>
        <w:t>dovere di prevenire la violazione del diritto UE</w:t>
      </w:r>
      <w:r w:rsidR="00576E0D" w:rsidRPr="00B208E4">
        <w:rPr>
          <w:rFonts w:ascii="Tahoma" w:eastAsia="Times New Roman" w:hAnsi="Tahoma" w:cs="Tahoma"/>
          <w:smallCaps/>
          <w:color w:val="1F4E79" w:themeColor="accent1" w:themeShade="80"/>
          <w:sz w:val="28"/>
          <w:szCs w:val="28"/>
          <w:bdr w:val="none" w:sz="0" w:space="0" w:color="auto" w:frame="1"/>
          <w:lang w:eastAsia="it-IT"/>
        </w:rPr>
        <w:t>, immanente fino a quando il giudizio non è definito dal giudicato</w:t>
      </w:r>
      <w:r w:rsidRPr="00B208E4">
        <w:rPr>
          <w:rFonts w:ascii="Tahoma" w:eastAsia="Times New Roman" w:hAnsi="Tahoma" w:cs="Tahoma"/>
          <w:smallCaps/>
          <w:color w:val="1F4E79" w:themeColor="accent1" w:themeShade="80"/>
          <w:sz w:val="28"/>
          <w:szCs w:val="28"/>
          <w:bdr w:val="none" w:sz="0" w:space="0" w:color="auto" w:frame="1"/>
          <w:lang w:eastAsia="it-IT"/>
        </w:rPr>
        <w:t>.</w:t>
      </w:r>
      <w:r w:rsidR="002F42B9" w:rsidRPr="00B208E4">
        <w:rPr>
          <w:rFonts w:ascii="Tahoma" w:eastAsia="Times New Roman" w:hAnsi="Tahoma" w:cs="Tahoma"/>
          <w:smallCaps/>
          <w:color w:val="1F4E79" w:themeColor="accent1" w:themeShade="80"/>
          <w:sz w:val="28"/>
          <w:szCs w:val="28"/>
          <w:bdr w:val="none" w:sz="0" w:space="0" w:color="auto" w:frame="1"/>
          <w:lang w:eastAsia="it-IT"/>
        </w:rPr>
        <w:t xml:space="preserve"> Il ruolo del giudizio di revocazione e</w:t>
      </w:r>
      <w:r w:rsidR="00576E0D" w:rsidRPr="00B208E4">
        <w:rPr>
          <w:rFonts w:ascii="Tahoma" w:eastAsia="Times New Roman" w:hAnsi="Tahoma" w:cs="Tahoma"/>
          <w:smallCaps/>
          <w:color w:val="1F4E79" w:themeColor="accent1" w:themeShade="80"/>
          <w:sz w:val="28"/>
          <w:szCs w:val="28"/>
          <w:bdr w:val="none" w:sz="0" w:space="0" w:color="auto" w:frame="1"/>
          <w:lang w:eastAsia="it-IT"/>
        </w:rPr>
        <w:t xml:space="preserve"> l’asserito favore</w:t>
      </w:r>
      <w:r w:rsidR="002F42B9" w:rsidRPr="00B208E4">
        <w:rPr>
          <w:rFonts w:ascii="Tahoma" w:eastAsia="Times New Roman" w:hAnsi="Tahoma" w:cs="Tahoma"/>
          <w:smallCaps/>
          <w:color w:val="1F4E79" w:themeColor="accent1" w:themeShade="80"/>
          <w:sz w:val="28"/>
          <w:szCs w:val="28"/>
          <w:bdr w:val="none" w:sz="0" w:space="0" w:color="auto" w:frame="1"/>
          <w:lang w:eastAsia="it-IT"/>
        </w:rPr>
        <w:t xml:space="preserve"> </w:t>
      </w:r>
      <w:r w:rsidR="00576E0D" w:rsidRPr="00B208E4">
        <w:rPr>
          <w:rFonts w:ascii="Tahoma" w:eastAsia="Times New Roman" w:hAnsi="Tahoma" w:cs="Tahoma"/>
          <w:smallCaps/>
          <w:color w:val="1F4E79" w:themeColor="accent1" w:themeShade="80"/>
          <w:sz w:val="28"/>
          <w:szCs w:val="28"/>
          <w:bdr w:val="none" w:sz="0" w:space="0" w:color="auto" w:frame="1"/>
          <w:lang w:eastAsia="it-IT"/>
        </w:rPr>
        <w:t>per i</w:t>
      </w:r>
      <w:r w:rsidR="002F42B9" w:rsidRPr="00B208E4">
        <w:rPr>
          <w:rFonts w:ascii="Tahoma" w:eastAsia="Times New Roman" w:hAnsi="Tahoma" w:cs="Tahoma"/>
          <w:smallCaps/>
          <w:color w:val="1F4E79" w:themeColor="accent1" w:themeShade="80"/>
          <w:sz w:val="28"/>
          <w:szCs w:val="28"/>
          <w:bdr w:val="none" w:sz="0" w:space="0" w:color="auto" w:frame="1"/>
          <w:lang w:eastAsia="it-IT"/>
        </w:rPr>
        <w:t xml:space="preserve">l </w:t>
      </w:r>
      <w:r w:rsidR="00576E0D" w:rsidRPr="00B208E4">
        <w:rPr>
          <w:rFonts w:ascii="Tahoma" w:eastAsia="Times New Roman" w:hAnsi="Tahoma" w:cs="Tahoma"/>
          <w:smallCaps/>
          <w:color w:val="1F4E79" w:themeColor="accent1" w:themeShade="80"/>
          <w:sz w:val="28"/>
          <w:szCs w:val="28"/>
          <w:bdr w:val="none" w:sz="0" w:space="0" w:color="auto" w:frame="1"/>
          <w:lang w:eastAsia="it-IT"/>
        </w:rPr>
        <w:t>sindacato della</w:t>
      </w:r>
      <w:r w:rsidR="002F42B9" w:rsidRPr="00B208E4">
        <w:rPr>
          <w:rFonts w:ascii="Tahoma" w:eastAsia="Times New Roman" w:hAnsi="Tahoma" w:cs="Tahoma"/>
          <w:smallCaps/>
          <w:color w:val="1F4E79" w:themeColor="accent1" w:themeShade="80"/>
          <w:sz w:val="28"/>
          <w:szCs w:val="28"/>
          <w:bdr w:val="none" w:sz="0" w:space="0" w:color="auto" w:frame="1"/>
          <w:lang w:eastAsia="it-IT"/>
        </w:rPr>
        <w:t xml:space="preserve"> cassazione.</w:t>
      </w:r>
    </w:p>
    <w:p w:rsidR="001B7157" w:rsidRPr="00B208E4" w:rsidRDefault="00C60048"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Un terzo argomento esposto dall’ordinanza richiama il dovere </w:t>
      </w:r>
      <w:r w:rsidR="003248AD" w:rsidRPr="00B208E4">
        <w:rPr>
          <w:rFonts w:ascii="Calibri" w:eastAsia="Times New Roman" w:hAnsi="Calibri" w:cs="Segoe UI"/>
          <w:color w:val="1F4E79" w:themeColor="accent1" w:themeShade="80"/>
          <w:sz w:val="28"/>
          <w:szCs w:val="28"/>
          <w:lang w:eastAsia="it-IT"/>
        </w:rPr>
        <w:t xml:space="preserve">del giudice </w:t>
      </w:r>
      <w:r w:rsidRPr="00B208E4">
        <w:rPr>
          <w:rFonts w:ascii="Calibri" w:eastAsia="Times New Roman" w:hAnsi="Calibri" w:cs="Segoe UI"/>
          <w:color w:val="1F4E79" w:themeColor="accent1" w:themeShade="80"/>
          <w:sz w:val="28"/>
          <w:szCs w:val="28"/>
          <w:lang w:eastAsia="it-IT"/>
        </w:rPr>
        <w:t>di intervenire</w:t>
      </w:r>
      <w:r w:rsidR="003248AD" w:rsidRPr="00B208E4">
        <w:rPr>
          <w:rFonts w:ascii="Calibri" w:eastAsia="Times New Roman" w:hAnsi="Calibri" w:cs="Segoe UI"/>
          <w:color w:val="1F4E79" w:themeColor="accent1" w:themeShade="80"/>
          <w:sz w:val="28"/>
          <w:szCs w:val="28"/>
          <w:lang w:eastAsia="it-IT"/>
        </w:rPr>
        <w:t xml:space="preserve"> per contrastare la violazione del diritto UE in atto,</w:t>
      </w:r>
      <w:r w:rsidRPr="00B208E4">
        <w:rPr>
          <w:rFonts w:ascii="Calibri" w:eastAsia="Times New Roman" w:hAnsi="Calibri" w:cs="Segoe UI"/>
          <w:color w:val="1F4E79" w:themeColor="accent1" w:themeShade="80"/>
          <w:sz w:val="28"/>
          <w:szCs w:val="28"/>
          <w:lang w:eastAsia="it-IT"/>
        </w:rPr>
        <w:t xml:space="preserve"> </w:t>
      </w:r>
      <w:r w:rsidRPr="00B208E4">
        <w:rPr>
          <w:rFonts w:ascii="Calibri" w:eastAsia="Times New Roman" w:hAnsi="Calibri" w:cs="Segoe UI"/>
          <w:i/>
          <w:color w:val="1F4E79" w:themeColor="accent1" w:themeShade="80"/>
          <w:sz w:val="28"/>
          <w:szCs w:val="28"/>
          <w:lang w:eastAsia="it-IT"/>
        </w:rPr>
        <w:t>finc</w:t>
      </w:r>
      <w:r w:rsidR="001B7157" w:rsidRPr="00B208E4">
        <w:rPr>
          <w:rFonts w:ascii="Calibri" w:eastAsia="Times New Roman" w:hAnsi="Calibri" w:cs="Segoe UI"/>
          <w:i/>
          <w:color w:val="1F4E79" w:themeColor="accent1" w:themeShade="80"/>
          <w:sz w:val="28"/>
          <w:szCs w:val="28"/>
          <w:lang w:eastAsia="it-IT"/>
        </w:rPr>
        <w:t>hé la decisione non è passata in giudicato</w:t>
      </w:r>
      <w:r w:rsidR="001B7157" w:rsidRPr="00B208E4">
        <w:rPr>
          <w:rFonts w:ascii="Calibri" w:eastAsia="Times New Roman" w:hAnsi="Calibri" w:cs="Segoe UI"/>
          <w:color w:val="1F4E79" w:themeColor="accent1" w:themeShade="80"/>
          <w:sz w:val="28"/>
          <w:szCs w:val="28"/>
          <w:lang w:eastAsia="it-IT"/>
        </w:rPr>
        <w:t xml:space="preserve">. </w:t>
      </w:r>
      <w:r w:rsidR="003248AD" w:rsidRPr="00B208E4">
        <w:rPr>
          <w:rFonts w:ascii="Calibri" w:eastAsia="Times New Roman" w:hAnsi="Calibri" w:cs="Segoe UI"/>
          <w:color w:val="1F4E79" w:themeColor="accent1" w:themeShade="80"/>
          <w:sz w:val="28"/>
          <w:szCs w:val="28"/>
          <w:lang w:eastAsia="it-IT"/>
        </w:rPr>
        <w:t xml:space="preserve">La Cassazione sottolinea, al riguardo, </w:t>
      </w:r>
      <w:r w:rsidR="001B7157" w:rsidRPr="00B208E4">
        <w:rPr>
          <w:rFonts w:ascii="Calibri" w:eastAsia="Times New Roman" w:hAnsi="Calibri" w:cs="Segoe UI"/>
          <w:color w:val="1F4E79" w:themeColor="accent1" w:themeShade="80"/>
          <w:sz w:val="28"/>
          <w:szCs w:val="28"/>
          <w:lang w:eastAsia="it-IT"/>
        </w:rPr>
        <w:t>«</w:t>
      </w:r>
      <w:r w:rsidR="001B7157" w:rsidRPr="00B208E4">
        <w:rPr>
          <w:rFonts w:ascii="Calibri" w:eastAsia="Times New Roman" w:hAnsi="Calibri" w:cs="Segoe UI"/>
          <w:i/>
          <w:color w:val="1F4E79" w:themeColor="accent1" w:themeShade="80"/>
          <w:sz w:val="28"/>
          <w:szCs w:val="28"/>
          <w:lang w:eastAsia="it-IT"/>
        </w:rPr>
        <w:t>l’esigenza di scongiurare il consolidamento di una violazione del diritto comunitario da parte del Consiglio di Stato tramite lo strumento del ricorso per cassazione è ineludibile fintanto che ciò sia possibile, come accade quando il giudicato non si sia ancora formato, essendo pendente il giudizio di impugnazione della sentenza amministrativa cui sia imputata quella violazione</w:t>
      </w:r>
      <w:r w:rsidR="001667D4" w:rsidRPr="00B208E4">
        <w:rPr>
          <w:rFonts w:ascii="Calibri" w:eastAsia="Times New Roman" w:hAnsi="Calibri" w:cs="Segoe UI"/>
          <w:color w:val="1F4E79" w:themeColor="accent1" w:themeShade="80"/>
          <w:sz w:val="28"/>
          <w:szCs w:val="28"/>
          <w:lang w:eastAsia="it-IT"/>
        </w:rPr>
        <w:t>».</w:t>
      </w:r>
    </w:p>
    <w:p w:rsidR="001B7157" w:rsidRPr="00B208E4" w:rsidRDefault="0014301F"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 xml:space="preserve">La pronuncia </w:t>
      </w:r>
      <w:r w:rsidRPr="00B208E4">
        <w:rPr>
          <w:rFonts w:ascii="Calibri" w:eastAsia="Times New Roman" w:hAnsi="Calibri" w:cs="Segoe UI"/>
          <w:color w:val="1F4E79" w:themeColor="accent1" w:themeShade="80"/>
          <w:sz w:val="28"/>
          <w:szCs w:val="28"/>
          <w:lang w:eastAsia="it-IT"/>
        </w:rPr>
        <w:t>aggiunge</w:t>
      </w:r>
      <w:r w:rsidR="001667D4" w:rsidRPr="00B208E4">
        <w:rPr>
          <w:rFonts w:ascii="Calibri" w:eastAsia="Times New Roman" w:hAnsi="Calibri" w:cs="Segoe UI"/>
          <w:color w:val="1F4E79" w:themeColor="accent1" w:themeShade="80"/>
          <w:sz w:val="28"/>
          <w:szCs w:val="28"/>
          <w:lang w:eastAsia="it-IT"/>
        </w:rPr>
        <w:t xml:space="preserve"> che</w:t>
      </w:r>
      <w:r>
        <w:rPr>
          <w:rFonts w:ascii="Calibri" w:eastAsia="Times New Roman" w:hAnsi="Calibri" w:cs="Segoe UI"/>
          <w:color w:val="1F4E79" w:themeColor="accent1" w:themeShade="80"/>
          <w:sz w:val="28"/>
          <w:szCs w:val="28"/>
          <w:lang w:eastAsia="it-IT"/>
        </w:rPr>
        <w:t>,</w:t>
      </w:r>
      <w:r w:rsidR="001667D4" w:rsidRPr="00B208E4">
        <w:rPr>
          <w:rFonts w:ascii="Calibri" w:eastAsia="Times New Roman" w:hAnsi="Calibri" w:cs="Segoe UI"/>
          <w:color w:val="1F4E79" w:themeColor="accent1" w:themeShade="80"/>
          <w:sz w:val="28"/>
          <w:szCs w:val="28"/>
          <w:lang w:eastAsia="it-IT"/>
        </w:rPr>
        <w:t xml:space="preserve"> altrimenti</w:t>
      </w:r>
      <w:r>
        <w:rPr>
          <w:rFonts w:ascii="Calibri" w:eastAsia="Times New Roman" w:hAnsi="Calibri" w:cs="Segoe UI"/>
          <w:color w:val="1F4E79" w:themeColor="accent1" w:themeShade="80"/>
          <w:sz w:val="28"/>
          <w:szCs w:val="28"/>
          <w:lang w:eastAsia="it-IT"/>
        </w:rPr>
        <w:t>,</w:t>
      </w:r>
      <w:r w:rsidR="001667D4" w:rsidRPr="00B208E4">
        <w:rPr>
          <w:rFonts w:ascii="Calibri" w:eastAsia="Times New Roman" w:hAnsi="Calibri" w:cs="Segoe UI"/>
          <w:color w:val="1F4E79" w:themeColor="accent1" w:themeShade="80"/>
          <w:sz w:val="28"/>
          <w:szCs w:val="28"/>
          <w:lang w:eastAsia="it-IT"/>
        </w:rPr>
        <w:t xml:space="preserve"> </w:t>
      </w:r>
      <w:r w:rsidR="001B7157" w:rsidRPr="00B208E4">
        <w:rPr>
          <w:rFonts w:ascii="Calibri" w:eastAsia="Times New Roman" w:hAnsi="Calibri" w:cs="Segoe UI"/>
          <w:color w:val="1F4E79" w:themeColor="accent1" w:themeShade="80"/>
          <w:sz w:val="28"/>
          <w:szCs w:val="28"/>
          <w:lang w:eastAsia="it-IT"/>
        </w:rPr>
        <w:t>verrebbe eluso l'obbligo, imposto agli Stati membri dall'articolo 1, terzo comma, della direttiva</w:t>
      </w:r>
      <w:r w:rsidR="003D0531" w:rsidRPr="00B208E4">
        <w:rPr>
          <w:rFonts w:ascii="Calibri" w:eastAsia="Times New Roman" w:hAnsi="Calibri" w:cs="Segoe UI"/>
          <w:color w:val="1F4E79" w:themeColor="accent1" w:themeShade="80"/>
          <w:sz w:val="28"/>
          <w:szCs w:val="28"/>
          <w:lang w:eastAsia="it-IT"/>
        </w:rPr>
        <w:t xml:space="preserve"> ricorsi</w:t>
      </w:r>
      <w:r w:rsidR="00645AD7">
        <w:rPr>
          <w:rStyle w:val="Rimandonotaapidipagina"/>
          <w:rFonts w:ascii="Calibri" w:eastAsia="Times New Roman" w:hAnsi="Calibri" w:cs="Segoe UI"/>
          <w:color w:val="1F4E79" w:themeColor="accent1" w:themeShade="80"/>
          <w:sz w:val="28"/>
          <w:szCs w:val="28"/>
          <w:lang w:eastAsia="it-IT"/>
        </w:rPr>
        <w:footnoteReference w:id="36"/>
      </w:r>
      <w:r w:rsidR="001B7157" w:rsidRPr="00B208E4">
        <w:rPr>
          <w:rFonts w:ascii="Calibri" w:eastAsia="Times New Roman" w:hAnsi="Calibri" w:cs="Segoe UI"/>
          <w:color w:val="1F4E79" w:themeColor="accent1" w:themeShade="80"/>
          <w:sz w:val="28"/>
          <w:szCs w:val="28"/>
          <w:lang w:eastAsia="it-IT"/>
        </w:rPr>
        <w:t>, di garantire che «le decisioni prese dalle autorità aggiudicatrici possano essere oggetto di un ricorso efficace e, in particolare, quanto più rapido possibile».</w:t>
      </w:r>
    </w:p>
    <w:p w:rsidR="0067657E" w:rsidRDefault="0014301F"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 xml:space="preserve">Questo passaggio della motivazione muove da una premessa incontrovertibile, ma non ne trae le </w:t>
      </w:r>
      <w:r w:rsidR="0067657E">
        <w:rPr>
          <w:rFonts w:ascii="Calibri" w:eastAsia="Times New Roman" w:hAnsi="Calibri" w:cs="Segoe UI"/>
          <w:color w:val="1F4E79" w:themeColor="accent1" w:themeShade="80"/>
          <w:sz w:val="28"/>
          <w:szCs w:val="28"/>
          <w:lang w:eastAsia="it-IT"/>
        </w:rPr>
        <w:t xml:space="preserve">corrette conseguenze applicative. </w:t>
      </w:r>
    </w:p>
    <w:p w:rsidR="001B7157" w:rsidRDefault="0067657E"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Infatti,</w:t>
      </w:r>
      <w:r w:rsidR="00DC391C" w:rsidRPr="00B208E4">
        <w:rPr>
          <w:rFonts w:ascii="Calibri" w:eastAsia="Times New Roman" w:hAnsi="Calibri" w:cs="Segoe UI"/>
          <w:color w:val="1F4E79" w:themeColor="accent1" w:themeShade="80"/>
          <w:sz w:val="28"/>
          <w:szCs w:val="28"/>
          <w:lang w:eastAsia="it-IT"/>
        </w:rPr>
        <w:t xml:space="preserve"> il potere</w:t>
      </w:r>
      <w:r>
        <w:rPr>
          <w:rFonts w:ascii="Calibri" w:eastAsia="Times New Roman" w:hAnsi="Calibri" w:cs="Segoe UI"/>
          <w:color w:val="1F4E79" w:themeColor="accent1" w:themeShade="80"/>
          <w:sz w:val="28"/>
          <w:szCs w:val="28"/>
          <w:lang w:eastAsia="it-IT"/>
        </w:rPr>
        <w:t>-dovere</w:t>
      </w:r>
      <w:r w:rsidR="00DC391C" w:rsidRPr="00B208E4">
        <w:rPr>
          <w:rFonts w:ascii="Calibri" w:eastAsia="Times New Roman" w:hAnsi="Calibri" w:cs="Segoe UI"/>
          <w:color w:val="1F4E79" w:themeColor="accent1" w:themeShade="80"/>
          <w:sz w:val="28"/>
          <w:szCs w:val="28"/>
          <w:lang w:eastAsia="it-IT"/>
        </w:rPr>
        <w:t xml:space="preserve"> di intervento del giudice deve esser strettamente correlato proprio alle regole che disciplinano lo svolgimento del processo</w:t>
      </w:r>
      <w:r>
        <w:rPr>
          <w:rFonts w:ascii="Calibri" w:eastAsia="Times New Roman" w:hAnsi="Calibri" w:cs="Segoe UI"/>
          <w:color w:val="1F4E79" w:themeColor="accent1" w:themeShade="80"/>
          <w:sz w:val="28"/>
          <w:szCs w:val="28"/>
          <w:lang w:eastAsia="it-IT"/>
        </w:rPr>
        <w:t>,</w:t>
      </w:r>
      <w:r w:rsidR="00DC391C" w:rsidRPr="00B208E4">
        <w:rPr>
          <w:rFonts w:ascii="Calibri" w:eastAsia="Times New Roman" w:hAnsi="Calibri" w:cs="Segoe UI"/>
          <w:color w:val="1F4E79" w:themeColor="accent1" w:themeShade="80"/>
          <w:sz w:val="28"/>
          <w:szCs w:val="28"/>
          <w:lang w:eastAsia="it-IT"/>
        </w:rPr>
        <w:t xml:space="preserve"> nei suoi vari gradi, definendo l’ambito della cognizione riservata, di volta in volta, a</w:t>
      </w:r>
      <w:r w:rsidR="00391ECE" w:rsidRPr="00B208E4">
        <w:rPr>
          <w:rFonts w:ascii="Calibri" w:eastAsia="Times New Roman" w:hAnsi="Calibri" w:cs="Segoe UI"/>
          <w:color w:val="1F4E79" w:themeColor="accent1" w:themeShade="80"/>
          <w:sz w:val="28"/>
          <w:szCs w:val="28"/>
          <w:lang w:eastAsia="it-IT"/>
        </w:rPr>
        <w:t>l giudizio di impugnazione.</w:t>
      </w:r>
    </w:p>
    <w:p w:rsidR="0067657E" w:rsidRPr="00B208E4" w:rsidRDefault="0067657E"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Si tratta, quindi, di un potere che sussiste solo nella misura in cui non si siano verificate preclusioni processuali che impediscono la cognizione del profilo della vicenda regolato dal diritto UE.</w:t>
      </w:r>
    </w:p>
    <w:p w:rsidR="00391ECE" w:rsidRPr="00B208E4" w:rsidRDefault="00391ECE"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È certamente vero che il ricorso per cassazione impedisce che la decisione del Consiglio di Stato passi in giudicato, ma questo non significa affatto che</w:t>
      </w:r>
      <w:r w:rsidR="0067657E">
        <w:rPr>
          <w:rFonts w:ascii="Calibri" w:eastAsia="Times New Roman" w:hAnsi="Calibri" w:cs="Segoe UI"/>
          <w:color w:val="1F4E79" w:themeColor="accent1" w:themeShade="80"/>
          <w:sz w:val="28"/>
          <w:szCs w:val="28"/>
          <w:lang w:eastAsia="it-IT"/>
        </w:rPr>
        <w:t>, per tale ragione,</w:t>
      </w:r>
      <w:r w:rsidRPr="00B208E4">
        <w:rPr>
          <w:rFonts w:ascii="Calibri" w:eastAsia="Times New Roman" w:hAnsi="Calibri" w:cs="Segoe UI"/>
          <w:color w:val="1F4E79" w:themeColor="accent1" w:themeShade="80"/>
          <w:sz w:val="28"/>
          <w:szCs w:val="28"/>
          <w:lang w:eastAsia="it-IT"/>
        </w:rPr>
        <w:t xml:space="preserve"> </w:t>
      </w:r>
      <w:r w:rsidR="00206783" w:rsidRPr="00B208E4">
        <w:rPr>
          <w:rFonts w:ascii="Calibri" w:eastAsia="Times New Roman" w:hAnsi="Calibri" w:cs="Segoe UI"/>
          <w:color w:val="1F4E79" w:themeColor="accent1" w:themeShade="80"/>
          <w:sz w:val="28"/>
          <w:szCs w:val="28"/>
          <w:lang w:eastAsia="it-IT"/>
        </w:rPr>
        <w:t xml:space="preserve">la Cassazione possa </w:t>
      </w:r>
      <w:r w:rsidR="003C5AED">
        <w:rPr>
          <w:rFonts w:ascii="Calibri" w:eastAsia="Times New Roman" w:hAnsi="Calibri" w:cs="Segoe UI"/>
          <w:color w:val="1F4E79" w:themeColor="accent1" w:themeShade="80"/>
          <w:sz w:val="28"/>
          <w:szCs w:val="28"/>
          <w:lang w:eastAsia="it-IT"/>
        </w:rPr>
        <w:t xml:space="preserve">automaticamente </w:t>
      </w:r>
      <w:r w:rsidR="00206783" w:rsidRPr="00B208E4">
        <w:rPr>
          <w:rFonts w:ascii="Calibri" w:eastAsia="Times New Roman" w:hAnsi="Calibri" w:cs="Segoe UI"/>
          <w:color w:val="1F4E79" w:themeColor="accent1" w:themeShade="80"/>
          <w:sz w:val="28"/>
          <w:szCs w:val="28"/>
          <w:lang w:eastAsia="it-IT"/>
        </w:rPr>
        <w:t>estendere il proprio sindacato a questioni non rientran</w:t>
      </w:r>
      <w:r w:rsidR="00FA140C">
        <w:rPr>
          <w:rFonts w:ascii="Calibri" w:eastAsia="Times New Roman" w:hAnsi="Calibri" w:cs="Segoe UI"/>
          <w:color w:val="1F4E79" w:themeColor="accent1" w:themeShade="80"/>
          <w:sz w:val="28"/>
          <w:szCs w:val="28"/>
          <w:lang w:eastAsia="it-IT"/>
        </w:rPr>
        <w:t>ti</w:t>
      </w:r>
      <w:r w:rsidR="00206783" w:rsidRPr="00B208E4">
        <w:rPr>
          <w:rFonts w:ascii="Calibri" w:eastAsia="Times New Roman" w:hAnsi="Calibri" w:cs="Segoe UI"/>
          <w:color w:val="1F4E79" w:themeColor="accent1" w:themeShade="80"/>
          <w:sz w:val="28"/>
          <w:szCs w:val="28"/>
          <w:lang w:eastAsia="it-IT"/>
        </w:rPr>
        <w:t xml:space="preserve"> nel concetto di </w:t>
      </w:r>
      <w:r w:rsidR="0070507D" w:rsidRPr="0070507D">
        <w:rPr>
          <w:rFonts w:ascii="Calibri" w:eastAsia="Times New Roman" w:hAnsi="Calibri" w:cs="Segoe UI"/>
          <w:i/>
          <w:color w:val="1F4E79" w:themeColor="accent1" w:themeShade="80"/>
          <w:sz w:val="28"/>
          <w:szCs w:val="28"/>
          <w:lang w:eastAsia="it-IT"/>
        </w:rPr>
        <w:t>motivi inerenti alla</w:t>
      </w:r>
      <w:r w:rsidR="0070507D">
        <w:rPr>
          <w:rFonts w:ascii="Calibri" w:eastAsia="Times New Roman" w:hAnsi="Calibri" w:cs="Segoe UI"/>
          <w:color w:val="1F4E79" w:themeColor="accent1" w:themeShade="80"/>
          <w:sz w:val="28"/>
          <w:szCs w:val="28"/>
          <w:lang w:eastAsia="it-IT"/>
        </w:rPr>
        <w:t xml:space="preserve"> </w:t>
      </w:r>
      <w:r w:rsidR="00206783" w:rsidRPr="00B208E4">
        <w:rPr>
          <w:rFonts w:ascii="Calibri" w:eastAsia="Times New Roman" w:hAnsi="Calibri" w:cs="Segoe UI"/>
          <w:i/>
          <w:color w:val="1F4E79" w:themeColor="accent1" w:themeShade="80"/>
          <w:sz w:val="28"/>
          <w:szCs w:val="28"/>
          <w:lang w:eastAsia="it-IT"/>
        </w:rPr>
        <w:t>giurisdizione</w:t>
      </w:r>
      <w:r w:rsidR="0070507D">
        <w:rPr>
          <w:rFonts w:ascii="Calibri" w:eastAsia="Times New Roman" w:hAnsi="Calibri" w:cs="Segoe UI"/>
          <w:color w:val="1F4E79" w:themeColor="accent1" w:themeShade="80"/>
          <w:sz w:val="28"/>
          <w:szCs w:val="28"/>
          <w:lang w:eastAsia="it-IT"/>
        </w:rPr>
        <w:t>, ampliando i suoi poteri di cognizione</w:t>
      </w:r>
      <w:r w:rsidR="0067657E">
        <w:rPr>
          <w:rFonts w:ascii="Calibri" w:eastAsia="Times New Roman" w:hAnsi="Calibri" w:cs="Segoe UI"/>
          <w:color w:val="1F4E79" w:themeColor="accent1" w:themeShade="80"/>
          <w:sz w:val="28"/>
          <w:szCs w:val="28"/>
          <w:lang w:eastAsia="it-IT"/>
        </w:rPr>
        <w:t xml:space="preserve"> oltre i limiti costituzionali</w:t>
      </w:r>
      <w:r w:rsidR="00206783" w:rsidRPr="00B208E4">
        <w:rPr>
          <w:rFonts w:ascii="Calibri" w:eastAsia="Times New Roman" w:hAnsi="Calibri" w:cs="Segoe UI"/>
          <w:color w:val="1F4E79" w:themeColor="accent1" w:themeShade="80"/>
          <w:sz w:val="28"/>
          <w:szCs w:val="28"/>
          <w:lang w:eastAsia="it-IT"/>
        </w:rPr>
        <w:t>.</w:t>
      </w:r>
    </w:p>
    <w:p w:rsidR="009D196E" w:rsidRPr="00B208E4" w:rsidRDefault="00206783"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La stessa </w:t>
      </w:r>
      <w:r w:rsidR="0067657E">
        <w:rPr>
          <w:rFonts w:ascii="Calibri" w:eastAsia="Times New Roman" w:hAnsi="Calibri" w:cs="Segoe UI"/>
          <w:color w:val="1F4E79" w:themeColor="accent1" w:themeShade="80"/>
          <w:sz w:val="28"/>
          <w:szCs w:val="28"/>
          <w:lang w:eastAsia="it-IT"/>
        </w:rPr>
        <w:t xml:space="preserve">ordinanza, poi, </w:t>
      </w:r>
      <w:r w:rsidRPr="00B208E4">
        <w:rPr>
          <w:rFonts w:ascii="Calibri" w:eastAsia="Times New Roman" w:hAnsi="Calibri" w:cs="Segoe UI"/>
          <w:color w:val="1F4E79" w:themeColor="accent1" w:themeShade="80"/>
          <w:sz w:val="28"/>
          <w:szCs w:val="28"/>
          <w:lang w:eastAsia="it-IT"/>
        </w:rPr>
        <w:t xml:space="preserve">evidenzia che </w:t>
      </w:r>
      <w:r w:rsidR="009D196E" w:rsidRPr="00B208E4">
        <w:rPr>
          <w:rFonts w:ascii="Calibri" w:eastAsia="Times New Roman" w:hAnsi="Calibri" w:cs="Segoe UI"/>
          <w:color w:val="1F4E79" w:themeColor="accent1" w:themeShade="80"/>
          <w:sz w:val="28"/>
          <w:szCs w:val="28"/>
          <w:lang w:eastAsia="it-IT"/>
        </w:rPr>
        <w:t xml:space="preserve">la </w:t>
      </w:r>
      <w:r w:rsidR="009D196E" w:rsidRPr="000A5B85">
        <w:rPr>
          <w:rFonts w:ascii="Calibri" w:eastAsia="Times New Roman" w:hAnsi="Calibri" w:cs="Segoe UI"/>
          <w:i/>
          <w:color w:val="1F4E79" w:themeColor="accent1" w:themeShade="80"/>
          <w:sz w:val="28"/>
          <w:szCs w:val="28"/>
          <w:lang w:eastAsia="it-IT"/>
        </w:rPr>
        <w:t>direttiva</w:t>
      </w:r>
      <w:r w:rsidR="000A5B85" w:rsidRPr="000A5B85">
        <w:rPr>
          <w:rFonts w:ascii="Calibri" w:eastAsia="Times New Roman" w:hAnsi="Calibri" w:cs="Segoe UI"/>
          <w:i/>
          <w:color w:val="1F4E79" w:themeColor="accent1" w:themeShade="80"/>
          <w:sz w:val="28"/>
          <w:szCs w:val="28"/>
          <w:lang w:eastAsia="it-IT"/>
        </w:rPr>
        <w:t xml:space="preserve"> ricorsi</w:t>
      </w:r>
      <w:r w:rsidR="009D196E" w:rsidRPr="00B208E4">
        <w:rPr>
          <w:rFonts w:ascii="Calibri" w:eastAsia="Times New Roman" w:hAnsi="Calibri" w:cs="Segoe UI"/>
          <w:color w:val="1F4E79" w:themeColor="accent1" w:themeShade="80"/>
          <w:sz w:val="28"/>
          <w:szCs w:val="28"/>
          <w:lang w:eastAsia="it-IT"/>
        </w:rPr>
        <w:t xml:space="preserve"> esige la massima rapidità del giudizio relativo alla violazione del diritto UE. In questa prospettiva, </w:t>
      </w:r>
      <w:r w:rsidR="0067657E">
        <w:rPr>
          <w:rFonts w:ascii="Calibri" w:eastAsia="Times New Roman" w:hAnsi="Calibri" w:cs="Segoe UI"/>
          <w:color w:val="1F4E79" w:themeColor="accent1" w:themeShade="80"/>
          <w:sz w:val="28"/>
          <w:szCs w:val="28"/>
          <w:lang w:eastAsia="it-IT"/>
        </w:rPr>
        <w:t xml:space="preserve">allora, </w:t>
      </w:r>
      <w:r w:rsidR="009D196E" w:rsidRPr="00B208E4">
        <w:rPr>
          <w:rFonts w:ascii="Calibri" w:eastAsia="Times New Roman" w:hAnsi="Calibri" w:cs="Segoe UI"/>
          <w:color w:val="1F4E79" w:themeColor="accent1" w:themeShade="80"/>
          <w:sz w:val="28"/>
          <w:szCs w:val="28"/>
          <w:lang w:eastAsia="it-IT"/>
        </w:rPr>
        <w:t>l’aggiunta di un terzo grado comporterebbe un palese rallentamento della definizione del giudizio</w:t>
      </w:r>
      <w:r w:rsidR="0067657E">
        <w:rPr>
          <w:rFonts w:ascii="Calibri" w:eastAsia="Times New Roman" w:hAnsi="Calibri" w:cs="Segoe UI"/>
          <w:color w:val="1F4E79" w:themeColor="accent1" w:themeShade="80"/>
          <w:sz w:val="28"/>
          <w:szCs w:val="28"/>
          <w:lang w:eastAsia="it-IT"/>
        </w:rPr>
        <w:t>, senza necessariamente garantire una maggiore efficacia nella tutela</w:t>
      </w:r>
      <w:r w:rsidR="009D196E" w:rsidRPr="00B208E4">
        <w:rPr>
          <w:rFonts w:ascii="Calibri" w:eastAsia="Times New Roman" w:hAnsi="Calibri" w:cs="Segoe UI"/>
          <w:color w:val="1F4E79" w:themeColor="accent1" w:themeShade="80"/>
          <w:sz w:val="28"/>
          <w:szCs w:val="28"/>
          <w:lang w:eastAsia="it-IT"/>
        </w:rPr>
        <w:t>.</w:t>
      </w:r>
    </w:p>
    <w:p w:rsidR="00953CE8" w:rsidRPr="00B208E4" w:rsidRDefault="009D196E"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Tale esito</w:t>
      </w:r>
      <w:r w:rsidR="0067657E">
        <w:rPr>
          <w:rFonts w:ascii="Calibri" w:eastAsia="Times New Roman" w:hAnsi="Calibri" w:cs="Segoe UI"/>
          <w:color w:val="1F4E79" w:themeColor="accent1" w:themeShade="80"/>
          <w:sz w:val="28"/>
          <w:szCs w:val="28"/>
          <w:lang w:eastAsia="it-IT"/>
        </w:rPr>
        <w:t>, inoltre,</w:t>
      </w:r>
      <w:r w:rsidRPr="00B208E4">
        <w:rPr>
          <w:rFonts w:ascii="Calibri" w:eastAsia="Times New Roman" w:hAnsi="Calibri" w:cs="Segoe UI"/>
          <w:color w:val="1F4E79" w:themeColor="accent1" w:themeShade="80"/>
          <w:sz w:val="28"/>
          <w:szCs w:val="28"/>
          <w:lang w:eastAsia="it-IT"/>
        </w:rPr>
        <w:t xml:space="preserve"> comporterebbe anche una </w:t>
      </w:r>
      <w:r w:rsidR="0067657E">
        <w:rPr>
          <w:rFonts w:ascii="Calibri" w:eastAsia="Times New Roman" w:hAnsi="Calibri" w:cs="Segoe UI"/>
          <w:color w:val="1F4E79" w:themeColor="accent1" w:themeShade="80"/>
          <w:sz w:val="28"/>
          <w:szCs w:val="28"/>
          <w:lang w:eastAsia="it-IT"/>
        </w:rPr>
        <w:t xml:space="preserve">evidente </w:t>
      </w:r>
      <w:r w:rsidRPr="00B208E4">
        <w:rPr>
          <w:rFonts w:ascii="Calibri" w:eastAsia="Times New Roman" w:hAnsi="Calibri" w:cs="Segoe UI"/>
          <w:color w:val="1F4E79" w:themeColor="accent1" w:themeShade="80"/>
          <w:sz w:val="28"/>
          <w:szCs w:val="28"/>
          <w:lang w:eastAsia="it-IT"/>
        </w:rPr>
        <w:t>violazione del principio di equivalenza, poiché determinerebbe un</w:t>
      </w:r>
      <w:r w:rsidR="00953CE8" w:rsidRPr="00B208E4">
        <w:rPr>
          <w:rFonts w:ascii="Calibri" w:eastAsia="Times New Roman" w:hAnsi="Calibri" w:cs="Segoe UI"/>
          <w:color w:val="1F4E79" w:themeColor="accent1" w:themeShade="80"/>
          <w:sz w:val="28"/>
          <w:szCs w:val="28"/>
          <w:lang w:eastAsia="it-IT"/>
        </w:rPr>
        <w:t xml:space="preserve"> appesantimento del processo </w:t>
      </w:r>
      <w:r w:rsidR="00FA140C">
        <w:rPr>
          <w:rFonts w:ascii="Calibri" w:eastAsia="Times New Roman" w:hAnsi="Calibri" w:cs="Segoe UI"/>
          <w:color w:val="1F4E79" w:themeColor="accent1" w:themeShade="80"/>
          <w:sz w:val="28"/>
          <w:szCs w:val="28"/>
          <w:lang w:eastAsia="it-IT"/>
        </w:rPr>
        <w:t xml:space="preserve">riguardante il diritto dell’Unione europeo, </w:t>
      </w:r>
      <w:r w:rsidR="00953CE8" w:rsidRPr="00B208E4">
        <w:rPr>
          <w:rFonts w:ascii="Calibri" w:eastAsia="Times New Roman" w:hAnsi="Calibri" w:cs="Segoe UI"/>
          <w:color w:val="1F4E79" w:themeColor="accent1" w:themeShade="80"/>
          <w:sz w:val="28"/>
          <w:szCs w:val="28"/>
          <w:lang w:eastAsia="it-IT"/>
        </w:rPr>
        <w:t>non prevista, invece, nei casi in cui entri in gioco il</w:t>
      </w:r>
      <w:r w:rsidR="0067657E">
        <w:rPr>
          <w:rFonts w:ascii="Calibri" w:eastAsia="Times New Roman" w:hAnsi="Calibri" w:cs="Segoe UI"/>
          <w:color w:val="1F4E79" w:themeColor="accent1" w:themeShade="80"/>
          <w:sz w:val="28"/>
          <w:szCs w:val="28"/>
          <w:lang w:eastAsia="it-IT"/>
        </w:rPr>
        <w:t xml:space="preserve"> solo</w:t>
      </w:r>
      <w:r w:rsidR="00953CE8" w:rsidRPr="00B208E4">
        <w:rPr>
          <w:rFonts w:ascii="Calibri" w:eastAsia="Times New Roman" w:hAnsi="Calibri" w:cs="Segoe UI"/>
          <w:color w:val="1F4E79" w:themeColor="accent1" w:themeShade="80"/>
          <w:sz w:val="28"/>
          <w:szCs w:val="28"/>
          <w:lang w:eastAsia="it-IT"/>
        </w:rPr>
        <w:t xml:space="preserve"> diritto nazionale</w:t>
      </w:r>
      <w:r w:rsidR="00FA140C">
        <w:rPr>
          <w:rStyle w:val="Rimandonotaapidipagina"/>
          <w:rFonts w:ascii="Calibri" w:eastAsia="Times New Roman" w:hAnsi="Calibri" w:cs="Segoe UI"/>
          <w:color w:val="1F4E79" w:themeColor="accent1" w:themeShade="80"/>
          <w:sz w:val="28"/>
          <w:szCs w:val="28"/>
          <w:lang w:eastAsia="it-IT"/>
        </w:rPr>
        <w:footnoteReference w:id="37"/>
      </w:r>
      <w:r w:rsidR="00953CE8" w:rsidRPr="00B208E4">
        <w:rPr>
          <w:rFonts w:ascii="Calibri" w:eastAsia="Times New Roman" w:hAnsi="Calibri" w:cs="Segoe UI"/>
          <w:color w:val="1F4E79" w:themeColor="accent1" w:themeShade="80"/>
          <w:sz w:val="28"/>
          <w:szCs w:val="28"/>
          <w:lang w:eastAsia="it-IT"/>
        </w:rPr>
        <w:t>.</w:t>
      </w:r>
    </w:p>
    <w:p w:rsidR="00A97658" w:rsidRPr="00B208E4" w:rsidRDefault="00953CE8"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Né si deve dimenticare che, seguendo la prospettiva della </w:t>
      </w:r>
      <w:r w:rsidR="005959BC" w:rsidRPr="00B208E4">
        <w:rPr>
          <w:rFonts w:ascii="Calibri" w:eastAsia="Times New Roman" w:hAnsi="Calibri" w:cs="Segoe UI"/>
          <w:color w:val="1F4E79" w:themeColor="accent1" w:themeShade="80"/>
          <w:sz w:val="28"/>
          <w:szCs w:val="28"/>
          <w:lang w:eastAsia="it-IT"/>
        </w:rPr>
        <w:t>Cassazione</w:t>
      </w:r>
      <w:r w:rsidRPr="00B208E4">
        <w:rPr>
          <w:rFonts w:ascii="Calibri" w:eastAsia="Times New Roman" w:hAnsi="Calibri" w:cs="Segoe UI"/>
          <w:color w:val="1F4E79" w:themeColor="accent1" w:themeShade="80"/>
          <w:sz w:val="28"/>
          <w:szCs w:val="28"/>
          <w:lang w:eastAsia="it-IT"/>
        </w:rPr>
        <w:t xml:space="preserve">, il terzo grado del processo non è necessariamente destinato a garantire l’applicazione del diritto eurounitario che si assume disconosciuto dal Consiglio di Stato. Al contrario, il ricorso per </w:t>
      </w:r>
      <w:r w:rsidR="00A22F87" w:rsidRPr="00B208E4">
        <w:rPr>
          <w:rFonts w:ascii="Calibri" w:eastAsia="Times New Roman" w:hAnsi="Calibri" w:cs="Segoe UI"/>
          <w:color w:val="1F4E79" w:themeColor="accent1" w:themeShade="80"/>
          <w:sz w:val="28"/>
          <w:szCs w:val="28"/>
          <w:lang w:eastAsia="it-IT"/>
        </w:rPr>
        <w:t>cassazione</w:t>
      </w:r>
      <w:r w:rsidRPr="00B208E4">
        <w:rPr>
          <w:rFonts w:ascii="Calibri" w:eastAsia="Times New Roman" w:hAnsi="Calibri" w:cs="Segoe UI"/>
          <w:color w:val="1F4E79" w:themeColor="accent1" w:themeShade="80"/>
          <w:sz w:val="28"/>
          <w:szCs w:val="28"/>
          <w:lang w:eastAsia="it-IT"/>
        </w:rPr>
        <w:t xml:space="preserve">, così </w:t>
      </w:r>
      <w:r w:rsidR="0067657E" w:rsidRPr="00B208E4">
        <w:rPr>
          <w:rFonts w:ascii="Calibri" w:eastAsia="Times New Roman" w:hAnsi="Calibri" w:cs="Segoe UI"/>
          <w:color w:val="1F4E79" w:themeColor="accent1" w:themeShade="80"/>
          <w:sz w:val="28"/>
          <w:szCs w:val="28"/>
          <w:lang w:eastAsia="it-IT"/>
        </w:rPr>
        <w:t>allargato</w:t>
      </w:r>
      <w:r w:rsidRPr="00B208E4">
        <w:rPr>
          <w:rFonts w:ascii="Calibri" w:eastAsia="Times New Roman" w:hAnsi="Calibri" w:cs="Segoe UI"/>
          <w:color w:val="1F4E79" w:themeColor="accent1" w:themeShade="80"/>
          <w:sz w:val="28"/>
          <w:szCs w:val="28"/>
          <w:lang w:eastAsia="it-IT"/>
        </w:rPr>
        <w:t xml:space="preserve">, </w:t>
      </w:r>
      <w:r w:rsidR="00FB5EBF" w:rsidRPr="00B208E4">
        <w:rPr>
          <w:rFonts w:ascii="Calibri" w:eastAsia="Times New Roman" w:hAnsi="Calibri" w:cs="Segoe UI"/>
          <w:color w:val="1F4E79" w:themeColor="accent1" w:themeShade="80"/>
          <w:sz w:val="28"/>
          <w:szCs w:val="28"/>
          <w:lang w:eastAsia="it-IT"/>
        </w:rPr>
        <w:t>finirebbe per costituire l’arma dilatoria con cui le parti soccombenti davanti al giu</w:t>
      </w:r>
      <w:r w:rsidR="0067657E">
        <w:rPr>
          <w:rFonts w:ascii="Calibri" w:eastAsia="Times New Roman" w:hAnsi="Calibri" w:cs="Segoe UI"/>
          <w:color w:val="1F4E79" w:themeColor="accent1" w:themeShade="80"/>
          <w:sz w:val="28"/>
          <w:szCs w:val="28"/>
          <w:lang w:eastAsia="it-IT"/>
        </w:rPr>
        <w:t>dice amministrativo potrebbero dedurre che</w:t>
      </w:r>
      <w:r w:rsidR="00FB5EBF" w:rsidRPr="00B208E4">
        <w:rPr>
          <w:rFonts w:ascii="Calibri" w:eastAsia="Times New Roman" w:hAnsi="Calibri" w:cs="Segoe UI"/>
          <w:color w:val="1F4E79" w:themeColor="accent1" w:themeShade="80"/>
          <w:sz w:val="28"/>
          <w:szCs w:val="28"/>
          <w:lang w:eastAsia="it-IT"/>
        </w:rPr>
        <w:t xml:space="preserve"> la sentenza del Consiglio di Stato abbia </w:t>
      </w:r>
      <w:r w:rsidR="00A22F87" w:rsidRPr="00B208E4">
        <w:rPr>
          <w:rFonts w:ascii="Calibri" w:eastAsia="Times New Roman" w:hAnsi="Calibri" w:cs="Segoe UI"/>
          <w:color w:val="1F4E79" w:themeColor="accent1" w:themeShade="80"/>
          <w:sz w:val="28"/>
          <w:szCs w:val="28"/>
          <w:lang w:eastAsia="it-IT"/>
        </w:rPr>
        <w:t>erroneamente</w:t>
      </w:r>
      <w:r w:rsidR="00FB5EBF" w:rsidRPr="00B208E4">
        <w:rPr>
          <w:rFonts w:ascii="Calibri" w:eastAsia="Times New Roman" w:hAnsi="Calibri" w:cs="Segoe UI"/>
          <w:color w:val="1F4E79" w:themeColor="accent1" w:themeShade="80"/>
          <w:sz w:val="28"/>
          <w:szCs w:val="28"/>
          <w:lang w:eastAsia="it-IT"/>
        </w:rPr>
        <w:t xml:space="preserve"> applicato il diritto europeo.</w:t>
      </w:r>
    </w:p>
    <w:p w:rsidR="009268D5" w:rsidRPr="00B208E4" w:rsidRDefault="00A22F87"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La Cassazione anticipa la scontata obiezione, derivante anche da un preciso spunto contenuto nella sentenza n. 6/2018</w:t>
      </w:r>
      <w:r w:rsidR="0067657E">
        <w:rPr>
          <w:rFonts w:ascii="Calibri" w:eastAsia="Times New Roman" w:hAnsi="Calibri" w:cs="Segoe UI"/>
          <w:color w:val="1F4E79" w:themeColor="accent1" w:themeShade="80"/>
          <w:sz w:val="28"/>
          <w:szCs w:val="28"/>
          <w:lang w:eastAsia="it-IT"/>
        </w:rPr>
        <w:t>, la quale non disconosce l’utilità di un possibile rimedio processuale di diritto interno per reagire alle violazioni delle norme UE</w:t>
      </w:r>
      <w:r w:rsidR="009268D5" w:rsidRPr="00B208E4">
        <w:rPr>
          <w:rFonts w:ascii="Calibri" w:eastAsia="Times New Roman" w:hAnsi="Calibri" w:cs="Segoe UI"/>
          <w:color w:val="1F4E79" w:themeColor="accent1" w:themeShade="80"/>
          <w:sz w:val="28"/>
          <w:szCs w:val="28"/>
          <w:lang w:eastAsia="it-IT"/>
        </w:rPr>
        <w:t xml:space="preserve">: il passaggio in giudicato è impedito anche dal ricorso per revocazione avverso le </w:t>
      </w:r>
      <w:r w:rsidR="0067657E">
        <w:rPr>
          <w:rFonts w:ascii="Calibri" w:eastAsia="Times New Roman" w:hAnsi="Calibri" w:cs="Segoe UI"/>
          <w:color w:val="1F4E79" w:themeColor="accent1" w:themeShade="80"/>
          <w:sz w:val="28"/>
          <w:szCs w:val="28"/>
          <w:lang w:eastAsia="it-IT"/>
        </w:rPr>
        <w:t>pronunce del Consiglio di Stato; pertanto, potrebbe essere questo giudizio e non il ricorso per cassazione, lo strumento migliore per garantire la riparazione dell’errore.</w:t>
      </w:r>
    </w:p>
    <w:p w:rsidR="001B7157" w:rsidRPr="00B208E4" w:rsidRDefault="00576E0D"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Secondo l’ordinanza, </w:t>
      </w:r>
      <w:r w:rsidR="0067657E">
        <w:rPr>
          <w:rFonts w:ascii="Calibri" w:eastAsia="Times New Roman" w:hAnsi="Calibri" w:cs="Segoe UI"/>
          <w:color w:val="1F4E79" w:themeColor="accent1" w:themeShade="80"/>
          <w:sz w:val="28"/>
          <w:szCs w:val="28"/>
          <w:lang w:eastAsia="it-IT"/>
        </w:rPr>
        <w:t>invece</w:t>
      </w:r>
      <w:r w:rsidRPr="00B208E4">
        <w:rPr>
          <w:rFonts w:ascii="Calibri" w:eastAsia="Times New Roman" w:hAnsi="Calibri" w:cs="Segoe UI"/>
          <w:color w:val="1F4E79" w:themeColor="accent1" w:themeShade="80"/>
          <w:sz w:val="28"/>
          <w:szCs w:val="28"/>
          <w:lang w:eastAsia="it-IT"/>
        </w:rPr>
        <w:t xml:space="preserve">, </w:t>
      </w:r>
      <w:r w:rsidR="000A5B85">
        <w:rPr>
          <w:rFonts w:ascii="Calibri" w:eastAsia="Times New Roman" w:hAnsi="Calibri" w:cs="Segoe UI"/>
          <w:color w:val="1F4E79" w:themeColor="accent1" w:themeShade="80"/>
          <w:sz w:val="28"/>
          <w:szCs w:val="28"/>
          <w:lang w:eastAsia="it-IT"/>
        </w:rPr>
        <w:t>l’</w:t>
      </w:r>
      <w:r w:rsidR="001B7157" w:rsidRPr="00B208E4">
        <w:rPr>
          <w:rFonts w:ascii="Calibri" w:eastAsia="Times New Roman" w:hAnsi="Calibri" w:cs="Segoe UI"/>
          <w:color w:val="1F4E79" w:themeColor="accent1" w:themeShade="80"/>
          <w:sz w:val="28"/>
          <w:szCs w:val="28"/>
          <w:lang w:eastAsia="it-IT"/>
        </w:rPr>
        <w:t xml:space="preserve">esigenza </w:t>
      </w:r>
      <w:r w:rsidR="000A5B85">
        <w:rPr>
          <w:rFonts w:ascii="Calibri" w:eastAsia="Times New Roman" w:hAnsi="Calibri" w:cs="Segoe UI"/>
          <w:color w:val="1F4E79" w:themeColor="accent1" w:themeShade="80"/>
          <w:sz w:val="28"/>
          <w:szCs w:val="28"/>
          <w:lang w:eastAsia="it-IT"/>
        </w:rPr>
        <w:t>di una tutela processuale preventiva non può essere soddisfatta mediante</w:t>
      </w:r>
      <w:r w:rsidR="001B7157" w:rsidRPr="00B208E4">
        <w:rPr>
          <w:rFonts w:ascii="Calibri" w:eastAsia="Times New Roman" w:hAnsi="Calibri" w:cs="Segoe UI"/>
          <w:color w:val="1F4E79" w:themeColor="accent1" w:themeShade="80"/>
          <w:sz w:val="28"/>
          <w:szCs w:val="28"/>
          <w:lang w:eastAsia="it-IT"/>
        </w:rPr>
        <w:t xml:space="preserve"> lo strumento della revocazione, sia per la sua configurazione attuale</w:t>
      </w:r>
      <w:r w:rsidR="00B53C17" w:rsidRPr="00B208E4">
        <w:rPr>
          <w:rFonts w:ascii="Calibri" w:eastAsia="Times New Roman" w:hAnsi="Calibri" w:cs="Segoe UI"/>
          <w:color w:val="1F4E79" w:themeColor="accent1" w:themeShade="80"/>
          <w:sz w:val="28"/>
          <w:szCs w:val="28"/>
          <w:lang w:eastAsia="it-IT"/>
        </w:rPr>
        <w:t>,</w:t>
      </w:r>
      <w:r w:rsidR="001B7157" w:rsidRPr="00B208E4">
        <w:rPr>
          <w:rFonts w:ascii="Calibri" w:eastAsia="Times New Roman" w:hAnsi="Calibri" w:cs="Segoe UI"/>
          <w:color w:val="1F4E79" w:themeColor="accent1" w:themeShade="80"/>
          <w:sz w:val="28"/>
          <w:szCs w:val="28"/>
          <w:lang w:eastAsia="it-IT"/>
        </w:rPr>
        <w:t xml:space="preserve"> che per suoi non modificabili limiti strutturali</w:t>
      </w:r>
      <w:r w:rsidR="00E57664" w:rsidRPr="00B208E4">
        <w:rPr>
          <w:rStyle w:val="Rimandonotaapidipagina"/>
          <w:rFonts w:ascii="Calibri" w:eastAsia="Times New Roman" w:hAnsi="Calibri" w:cs="Segoe UI"/>
          <w:color w:val="1F4E79" w:themeColor="accent1" w:themeShade="80"/>
          <w:sz w:val="28"/>
          <w:szCs w:val="28"/>
          <w:lang w:eastAsia="it-IT"/>
        </w:rPr>
        <w:footnoteReference w:id="38"/>
      </w:r>
      <w:r w:rsidR="001B7157" w:rsidRPr="00B208E4">
        <w:rPr>
          <w:rFonts w:ascii="Calibri" w:eastAsia="Times New Roman" w:hAnsi="Calibri" w:cs="Segoe UI"/>
          <w:color w:val="1F4E79" w:themeColor="accent1" w:themeShade="80"/>
          <w:sz w:val="28"/>
          <w:szCs w:val="28"/>
          <w:lang w:eastAsia="it-IT"/>
        </w:rPr>
        <w:t xml:space="preserve">, non potendosi escludere che «anche la sentenza emessa ipoteticamente in sede di revocazione possa incorrere in violazione </w:t>
      </w:r>
      <w:r w:rsidR="00B53C17" w:rsidRPr="00B208E4">
        <w:rPr>
          <w:rFonts w:ascii="Calibri" w:eastAsia="Times New Roman" w:hAnsi="Calibri" w:cs="Segoe UI"/>
          <w:color w:val="1F4E79" w:themeColor="accent1" w:themeShade="80"/>
          <w:sz w:val="28"/>
          <w:szCs w:val="28"/>
          <w:lang w:eastAsia="it-IT"/>
        </w:rPr>
        <w:t>dei limiti della giurisdizione».</w:t>
      </w:r>
    </w:p>
    <w:p w:rsidR="00212A1B" w:rsidRPr="00B208E4" w:rsidRDefault="00512F9A"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Ora, non sembra contestabile che, secondo la disciplina nazionale vigente, il ricorso per revocazione sia </w:t>
      </w:r>
      <w:r w:rsidR="0067657E">
        <w:rPr>
          <w:rFonts w:ascii="Calibri" w:eastAsia="Times New Roman" w:hAnsi="Calibri" w:cs="Segoe UI"/>
          <w:color w:val="1F4E79" w:themeColor="accent1" w:themeShade="80"/>
          <w:sz w:val="28"/>
          <w:szCs w:val="28"/>
          <w:lang w:eastAsia="it-IT"/>
        </w:rPr>
        <w:t xml:space="preserve">attualmente </w:t>
      </w:r>
      <w:r w:rsidRPr="00B208E4">
        <w:rPr>
          <w:rFonts w:ascii="Calibri" w:eastAsia="Times New Roman" w:hAnsi="Calibri" w:cs="Segoe UI"/>
          <w:color w:val="1F4E79" w:themeColor="accent1" w:themeShade="80"/>
          <w:sz w:val="28"/>
          <w:szCs w:val="28"/>
          <w:lang w:eastAsia="it-IT"/>
        </w:rPr>
        <w:t>limitato a determinati vizi della sentenza del Consiglio di Stato</w:t>
      </w:r>
      <w:r w:rsidR="00212A1B" w:rsidRPr="00B208E4">
        <w:rPr>
          <w:rFonts w:ascii="Calibri" w:eastAsia="Times New Roman" w:hAnsi="Calibri" w:cs="Segoe UI"/>
          <w:color w:val="1F4E79" w:themeColor="accent1" w:themeShade="80"/>
          <w:sz w:val="28"/>
          <w:szCs w:val="28"/>
          <w:lang w:eastAsia="it-IT"/>
        </w:rPr>
        <w:t xml:space="preserve">, tra i quali non è prevista </w:t>
      </w:r>
      <w:r w:rsidR="0067657E">
        <w:rPr>
          <w:rFonts w:ascii="Calibri" w:eastAsia="Times New Roman" w:hAnsi="Calibri" w:cs="Segoe UI"/>
          <w:color w:val="1F4E79" w:themeColor="accent1" w:themeShade="80"/>
          <w:sz w:val="28"/>
          <w:szCs w:val="28"/>
          <w:lang w:eastAsia="it-IT"/>
        </w:rPr>
        <w:t xml:space="preserve">espressamente </w:t>
      </w:r>
      <w:r w:rsidR="00212A1B" w:rsidRPr="00B208E4">
        <w:rPr>
          <w:rFonts w:ascii="Calibri" w:eastAsia="Times New Roman" w:hAnsi="Calibri" w:cs="Segoe UI"/>
          <w:color w:val="1F4E79" w:themeColor="accent1" w:themeShade="80"/>
          <w:sz w:val="28"/>
          <w:szCs w:val="28"/>
          <w:lang w:eastAsia="it-IT"/>
        </w:rPr>
        <w:t>la violazione del diritto UE.</w:t>
      </w:r>
    </w:p>
    <w:p w:rsidR="007F4037" w:rsidRPr="00B208E4" w:rsidRDefault="00212A1B"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Ma la stessa situazione si verifica</w:t>
      </w:r>
      <w:r w:rsidR="0067657E">
        <w:rPr>
          <w:rFonts w:ascii="Calibri" w:eastAsia="Times New Roman" w:hAnsi="Calibri" w:cs="Segoe UI"/>
          <w:color w:val="1F4E79" w:themeColor="accent1" w:themeShade="80"/>
          <w:sz w:val="28"/>
          <w:szCs w:val="28"/>
          <w:lang w:eastAsia="it-IT"/>
        </w:rPr>
        <w:t>, in modo ancora più netto,</w:t>
      </w:r>
      <w:r w:rsidRPr="00B208E4">
        <w:rPr>
          <w:rFonts w:ascii="Calibri" w:eastAsia="Times New Roman" w:hAnsi="Calibri" w:cs="Segoe UI"/>
          <w:color w:val="1F4E79" w:themeColor="accent1" w:themeShade="80"/>
          <w:sz w:val="28"/>
          <w:szCs w:val="28"/>
          <w:lang w:eastAsia="it-IT"/>
        </w:rPr>
        <w:t xml:space="preserve"> anche per il ricorso per cassazione</w:t>
      </w:r>
      <w:r w:rsidR="000A5B85">
        <w:rPr>
          <w:rFonts w:ascii="Calibri" w:eastAsia="Times New Roman" w:hAnsi="Calibri" w:cs="Segoe UI"/>
          <w:color w:val="1F4E79" w:themeColor="accent1" w:themeShade="80"/>
          <w:sz w:val="28"/>
          <w:szCs w:val="28"/>
          <w:lang w:eastAsia="it-IT"/>
        </w:rPr>
        <w:t xml:space="preserve">, che l’ordinamento vigente limita ai </w:t>
      </w:r>
      <w:r w:rsidR="000A5B85" w:rsidRPr="000A5B85">
        <w:rPr>
          <w:rFonts w:ascii="Calibri" w:eastAsia="Times New Roman" w:hAnsi="Calibri" w:cs="Segoe UI"/>
          <w:i/>
          <w:color w:val="1F4E79" w:themeColor="accent1" w:themeShade="80"/>
          <w:sz w:val="28"/>
          <w:szCs w:val="28"/>
          <w:lang w:eastAsia="it-IT"/>
        </w:rPr>
        <w:t>soli motivi inerenti alla giurisdizione</w:t>
      </w:r>
      <w:r w:rsidRPr="00B208E4">
        <w:rPr>
          <w:rFonts w:ascii="Calibri" w:eastAsia="Times New Roman" w:hAnsi="Calibri" w:cs="Segoe UI"/>
          <w:color w:val="1F4E79" w:themeColor="accent1" w:themeShade="80"/>
          <w:sz w:val="28"/>
          <w:szCs w:val="28"/>
          <w:lang w:eastAsia="it-IT"/>
        </w:rPr>
        <w:t>. Non si comprende allora perché</w:t>
      </w:r>
      <w:r w:rsidR="007F4037" w:rsidRPr="00B208E4">
        <w:rPr>
          <w:rFonts w:ascii="Calibri" w:eastAsia="Times New Roman" w:hAnsi="Calibri" w:cs="Segoe UI"/>
          <w:color w:val="1F4E79" w:themeColor="accent1" w:themeShade="80"/>
          <w:sz w:val="28"/>
          <w:szCs w:val="28"/>
          <w:lang w:eastAsia="it-IT"/>
        </w:rPr>
        <w:t xml:space="preserve"> andrebbe accordata prevalenza al giudizio per cassazione, caratterizzato, a ben vedere, da limiti intrinseci </w:t>
      </w:r>
      <w:r w:rsidR="0053344B">
        <w:rPr>
          <w:rFonts w:ascii="Calibri" w:eastAsia="Times New Roman" w:hAnsi="Calibri" w:cs="Segoe UI"/>
          <w:color w:val="1F4E79" w:themeColor="accent1" w:themeShade="80"/>
          <w:sz w:val="28"/>
          <w:szCs w:val="28"/>
          <w:lang w:eastAsia="it-IT"/>
        </w:rPr>
        <w:t xml:space="preserve">assai </w:t>
      </w:r>
      <w:r w:rsidR="007F4037" w:rsidRPr="00B208E4">
        <w:rPr>
          <w:rFonts w:ascii="Calibri" w:eastAsia="Times New Roman" w:hAnsi="Calibri" w:cs="Segoe UI"/>
          <w:color w:val="1F4E79" w:themeColor="accent1" w:themeShade="80"/>
          <w:sz w:val="28"/>
          <w:szCs w:val="28"/>
          <w:lang w:eastAsia="it-IT"/>
        </w:rPr>
        <w:t xml:space="preserve">più stringenti, attesa la </w:t>
      </w:r>
      <w:r w:rsidR="0053344B">
        <w:rPr>
          <w:rFonts w:ascii="Calibri" w:eastAsia="Times New Roman" w:hAnsi="Calibri" w:cs="Segoe UI"/>
          <w:color w:val="1F4E79" w:themeColor="accent1" w:themeShade="80"/>
          <w:sz w:val="28"/>
          <w:szCs w:val="28"/>
          <w:lang w:eastAsia="it-IT"/>
        </w:rPr>
        <w:t xml:space="preserve">radicale </w:t>
      </w:r>
      <w:r w:rsidR="007F4037" w:rsidRPr="00B208E4">
        <w:rPr>
          <w:rFonts w:ascii="Calibri" w:eastAsia="Times New Roman" w:hAnsi="Calibri" w:cs="Segoe UI"/>
          <w:color w:val="1F4E79" w:themeColor="accent1" w:themeShade="80"/>
          <w:sz w:val="28"/>
          <w:szCs w:val="28"/>
          <w:lang w:eastAsia="it-IT"/>
        </w:rPr>
        <w:t>preclusione costituzionale di un sindacato sul merito della sentenza del Consiglio di Stato.</w:t>
      </w:r>
    </w:p>
    <w:p w:rsidR="00E87D44" w:rsidRPr="00B208E4" w:rsidRDefault="00E87D44"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I vigenti limiti strutturali</w:t>
      </w:r>
      <w:r w:rsidR="0053344B">
        <w:rPr>
          <w:rFonts w:ascii="Calibri" w:eastAsia="Times New Roman" w:hAnsi="Calibri" w:cs="Segoe UI"/>
          <w:color w:val="1F4E79" w:themeColor="accent1" w:themeShade="80"/>
          <w:sz w:val="28"/>
          <w:szCs w:val="28"/>
          <w:lang w:eastAsia="it-IT"/>
        </w:rPr>
        <w:t xml:space="preserve"> della revocazione</w:t>
      </w:r>
      <w:r w:rsidRPr="00B208E4">
        <w:rPr>
          <w:rFonts w:ascii="Calibri" w:eastAsia="Times New Roman" w:hAnsi="Calibri" w:cs="Segoe UI"/>
          <w:color w:val="1F4E79" w:themeColor="accent1" w:themeShade="80"/>
          <w:sz w:val="28"/>
          <w:szCs w:val="28"/>
          <w:lang w:eastAsia="it-IT"/>
        </w:rPr>
        <w:t xml:space="preserve">, del resto, </w:t>
      </w:r>
      <w:r w:rsidR="0053344B">
        <w:rPr>
          <w:rFonts w:ascii="Calibri" w:eastAsia="Times New Roman" w:hAnsi="Calibri" w:cs="Segoe UI"/>
          <w:color w:val="1F4E79" w:themeColor="accent1" w:themeShade="80"/>
          <w:sz w:val="28"/>
          <w:szCs w:val="28"/>
          <w:lang w:eastAsia="it-IT"/>
        </w:rPr>
        <w:t xml:space="preserve">dipendono esclusivamente dalla conformazione di diritto positivo stabilita dalla legge ordinaria e non già dalle prescrizioni di livello costituzionale racchiuse nell’art. 111 che modellano inderogabilmente i poteri della Cassazione. Ne consegue che gli attuali limiti della revocazione </w:t>
      </w:r>
      <w:r w:rsidRPr="00B208E4">
        <w:rPr>
          <w:rFonts w:ascii="Calibri" w:eastAsia="Times New Roman" w:hAnsi="Calibri" w:cs="Segoe UI"/>
          <w:color w:val="1F4E79" w:themeColor="accent1" w:themeShade="80"/>
          <w:sz w:val="28"/>
          <w:szCs w:val="28"/>
          <w:lang w:eastAsia="it-IT"/>
        </w:rPr>
        <w:t>potrebbero essere superati</w:t>
      </w:r>
      <w:r w:rsidR="0053344B">
        <w:rPr>
          <w:rFonts w:ascii="Calibri" w:eastAsia="Times New Roman" w:hAnsi="Calibri" w:cs="Segoe UI"/>
          <w:color w:val="1F4E79" w:themeColor="accent1" w:themeShade="80"/>
          <w:sz w:val="28"/>
          <w:szCs w:val="28"/>
          <w:lang w:eastAsia="it-IT"/>
        </w:rPr>
        <w:t xml:space="preserve"> non solo</w:t>
      </w:r>
      <w:r w:rsidRPr="00B208E4">
        <w:rPr>
          <w:rFonts w:ascii="Calibri" w:eastAsia="Times New Roman" w:hAnsi="Calibri" w:cs="Segoe UI"/>
          <w:color w:val="1F4E79" w:themeColor="accent1" w:themeShade="80"/>
          <w:sz w:val="28"/>
          <w:szCs w:val="28"/>
          <w:lang w:eastAsia="it-IT"/>
        </w:rPr>
        <w:t xml:space="preserve"> attraverso una ipotizzabile pronuncia additiva della Corte costituzionale, </w:t>
      </w:r>
      <w:r w:rsidR="00C60A41" w:rsidRPr="00B208E4">
        <w:rPr>
          <w:rFonts w:ascii="Calibri" w:eastAsia="Times New Roman" w:hAnsi="Calibri" w:cs="Segoe UI"/>
          <w:color w:val="1F4E79" w:themeColor="accent1" w:themeShade="80"/>
          <w:sz w:val="28"/>
          <w:szCs w:val="28"/>
          <w:lang w:eastAsia="it-IT"/>
        </w:rPr>
        <w:t xml:space="preserve">superando alcuni ostacoli manifestati dalla </w:t>
      </w:r>
      <w:r w:rsidR="000A5B85">
        <w:rPr>
          <w:rFonts w:ascii="Calibri" w:eastAsia="Times New Roman" w:hAnsi="Calibri" w:cs="Segoe UI"/>
          <w:color w:val="1F4E79" w:themeColor="accent1" w:themeShade="80"/>
          <w:sz w:val="28"/>
          <w:szCs w:val="28"/>
          <w:lang w:eastAsia="it-IT"/>
        </w:rPr>
        <w:t xml:space="preserve">stessa </w:t>
      </w:r>
      <w:r w:rsidR="00C60A41" w:rsidRPr="00B208E4">
        <w:rPr>
          <w:rFonts w:ascii="Calibri" w:eastAsia="Times New Roman" w:hAnsi="Calibri" w:cs="Segoe UI"/>
          <w:color w:val="1F4E79" w:themeColor="accent1" w:themeShade="80"/>
          <w:sz w:val="28"/>
          <w:szCs w:val="28"/>
          <w:lang w:eastAsia="it-IT"/>
        </w:rPr>
        <w:t xml:space="preserve">Consulta, con riguardo al limitrofo tema della violazione della Convenzione CEDU, </w:t>
      </w:r>
      <w:r w:rsidR="0053344B">
        <w:rPr>
          <w:rFonts w:ascii="Calibri" w:eastAsia="Times New Roman" w:hAnsi="Calibri" w:cs="Segoe UI"/>
          <w:color w:val="1F4E79" w:themeColor="accent1" w:themeShade="80"/>
          <w:sz w:val="28"/>
          <w:szCs w:val="28"/>
          <w:lang w:eastAsia="it-IT"/>
        </w:rPr>
        <w:t>ma anche, più semplicemente,</w:t>
      </w:r>
      <w:r w:rsidRPr="00B208E4">
        <w:rPr>
          <w:rFonts w:ascii="Calibri" w:eastAsia="Times New Roman" w:hAnsi="Calibri" w:cs="Segoe UI"/>
          <w:color w:val="1F4E79" w:themeColor="accent1" w:themeShade="80"/>
          <w:sz w:val="28"/>
          <w:szCs w:val="28"/>
          <w:lang w:eastAsia="it-IT"/>
        </w:rPr>
        <w:t xml:space="preserve"> mediante un intervento legislativo </w:t>
      </w:r>
      <w:r w:rsidRPr="000A5B85">
        <w:rPr>
          <w:rFonts w:ascii="Calibri" w:eastAsia="Times New Roman" w:hAnsi="Calibri" w:cs="Segoe UI"/>
          <w:i/>
          <w:color w:val="1F4E79" w:themeColor="accent1" w:themeShade="80"/>
          <w:sz w:val="28"/>
          <w:szCs w:val="28"/>
          <w:lang w:eastAsia="it-IT"/>
        </w:rPr>
        <w:t>ad hoc</w:t>
      </w:r>
      <w:r w:rsidR="0053344B">
        <w:rPr>
          <w:rFonts w:ascii="Calibri" w:eastAsia="Times New Roman" w:hAnsi="Calibri" w:cs="Segoe UI"/>
          <w:color w:val="1F4E79" w:themeColor="accent1" w:themeShade="80"/>
          <w:sz w:val="28"/>
          <w:szCs w:val="28"/>
          <w:lang w:eastAsia="it-IT"/>
        </w:rPr>
        <w:t xml:space="preserve">, come meglio si illustrerà </w:t>
      </w:r>
      <w:r w:rsidR="0053344B" w:rsidRPr="0053344B">
        <w:rPr>
          <w:rFonts w:ascii="Calibri" w:eastAsia="Times New Roman" w:hAnsi="Calibri" w:cs="Segoe UI"/>
          <w:i/>
          <w:color w:val="1F4E79" w:themeColor="accent1" w:themeShade="80"/>
          <w:sz w:val="28"/>
          <w:szCs w:val="28"/>
          <w:lang w:eastAsia="it-IT"/>
        </w:rPr>
        <w:t>infra</w:t>
      </w:r>
      <w:r w:rsidRPr="00B208E4">
        <w:rPr>
          <w:rFonts w:ascii="Calibri" w:eastAsia="Times New Roman" w:hAnsi="Calibri" w:cs="Segoe UI"/>
          <w:color w:val="1F4E79" w:themeColor="accent1" w:themeShade="80"/>
          <w:sz w:val="28"/>
          <w:szCs w:val="28"/>
          <w:lang w:eastAsia="it-IT"/>
        </w:rPr>
        <w:t>.</w:t>
      </w:r>
    </w:p>
    <w:p w:rsidR="002218FC" w:rsidRPr="00B208E4" w:rsidRDefault="002218FC"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È appena il caso di sottolineare</w:t>
      </w:r>
      <w:r w:rsidR="000A5B85">
        <w:rPr>
          <w:rFonts w:ascii="Calibri" w:eastAsia="Times New Roman" w:hAnsi="Calibri" w:cs="Segoe UI"/>
          <w:color w:val="1F4E79" w:themeColor="accent1" w:themeShade="80"/>
          <w:sz w:val="28"/>
          <w:szCs w:val="28"/>
          <w:lang w:eastAsia="it-IT"/>
        </w:rPr>
        <w:t>, infine,</w:t>
      </w:r>
      <w:r w:rsidRPr="00B208E4">
        <w:rPr>
          <w:rFonts w:ascii="Calibri" w:eastAsia="Times New Roman" w:hAnsi="Calibri" w:cs="Segoe UI"/>
          <w:color w:val="1F4E79" w:themeColor="accent1" w:themeShade="80"/>
          <w:sz w:val="28"/>
          <w:szCs w:val="28"/>
          <w:lang w:eastAsia="it-IT"/>
        </w:rPr>
        <w:t xml:space="preserve"> la scarsa consistenza dell’argomento secondo cui la decisione pronunciata in sede di revocazione potrebbe risultare anch’essa emessa in contrasto con il diritto UE, perché questa eventualità, evidentemente, potrebbe verificarsi anche per le sentenze della Cassazione.</w:t>
      </w:r>
      <w:r w:rsidR="000A5B85">
        <w:rPr>
          <w:rFonts w:ascii="Calibri" w:eastAsia="Times New Roman" w:hAnsi="Calibri" w:cs="Segoe UI"/>
          <w:color w:val="1F4E79" w:themeColor="accent1" w:themeShade="80"/>
          <w:sz w:val="28"/>
          <w:szCs w:val="28"/>
          <w:lang w:eastAsia="it-IT"/>
        </w:rPr>
        <w:t xml:space="preserve"> A meno che non si voglia affermare che esistano dati oggettivi capaci di far prevedere che la Cassazione abbia un minore tasso di fallibilità.</w:t>
      </w:r>
    </w:p>
    <w:p w:rsidR="001B7157" w:rsidRPr="00B208E4" w:rsidRDefault="001B7157" w:rsidP="00FB7048">
      <w:pPr>
        <w:tabs>
          <w:tab w:val="left" w:pos="0"/>
        </w:tabs>
        <w:spacing w:after="120" w:line="240" w:lineRule="auto"/>
        <w:ind w:firstLine="709"/>
        <w:jc w:val="both"/>
        <w:textAlignment w:val="baseline"/>
        <w:rPr>
          <w:rFonts w:ascii="Georgia" w:eastAsia="Georgia" w:hAnsi="Georgia"/>
          <w:color w:val="1F4E79" w:themeColor="accent1" w:themeShade="80"/>
          <w:spacing w:val="1"/>
          <w:sz w:val="28"/>
          <w:szCs w:val="28"/>
        </w:rPr>
      </w:pPr>
    </w:p>
    <w:p w:rsidR="002F42B9" w:rsidRPr="00B208E4" w:rsidRDefault="002F42B9" w:rsidP="00FB7048">
      <w:pPr>
        <w:numPr>
          <w:ilvl w:val="0"/>
          <w:numId w:val="1"/>
        </w:numPr>
        <w:shd w:val="clear" w:color="auto" w:fill="FFFFFF"/>
        <w:tabs>
          <w:tab w:val="left" w:pos="0"/>
        </w:tabs>
        <w:spacing w:after="120" w:line="240" w:lineRule="auto"/>
        <w:ind w:left="0" w:firstLine="709"/>
        <w:jc w:val="both"/>
        <w:textAlignment w:val="baseline"/>
        <w:rPr>
          <w:rFonts w:ascii="Tahoma" w:eastAsia="Times New Roman" w:hAnsi="Tahoma" w:cs="Tahoma"/>
          <w:smallCaps/>
          <w:color w:val="1F4E79" w:themeColor="accent1" w:themeShade="80"/>
          <w:sz w:val="28"/>
          <w:szCs w:val="28"/>
          <w:bdr w:val="none" w:sz="0" w:space="0" w:color="auto" w:frame="1"/>
          <w:lang w:eastAsia="it-IT"/>
        </w:rPr>
      </w:pPr>
      <w:r w:rsidRPr="00B208E4">
        <w:rPr>
          <w:rFonts w:ascii="Tahoma" w:eastAsia="Times New Roman" w:hAnsi="Tahoma" w:cs="Tahoma"/>
          <w:smallCaps/>
          <w:color w:val="1F4E79" w:themeColor="accent1" w:themeShade="80"/>
          <w:sz w:val="28"/>
          <w:szCs w:val="28"/>
          <w:bdr w:val="none" w:sz="0" w:space="0" w:color="auto" w:frame="1"/>
          <w:lang w:eastAsia="it-IT"/>
        </w:rPr>
        <w:t>Il nodo centrale dell’argomentazione</w:t>
      </w:r>
      <w:r w:rsidR="00576E0D" w:rsidRPr="00B208E4">
        <w:rPr>
          <w:rFonts w:ascii="Tahoma" w:eastAsia="Times New Roman" w:hAnsi="Tahoma" w:cs="Tahoma"/>
          <w:smallCaps/>
          <w:color w:val="1F4E79" w:themeColor="accent1" w:themeShade="80"/>
          <w:sz w:val="28"/>
          <w:szCs w:val="28"/>
          <w:bdr w:val="none" w:sz="0" w:space="0" w:color="auto" w:frame="1"/>
          <w:lang w:eastAsia="it-IT"/>
        </w:rPr>
        <w:t xml:space="preserve"> della Cassazione</w:t>
      </w:r>
      <w:r w:rsidRPr="00B208E4">
        <w:rPr>
          <w:rFonts w:ascii="Tahoma" w:eastAsia="Times New Roman" w:hAnsi="Tahoma" w:cs="Tahoma"/>
          <w:smallCaps/>
          <w:color w:val="1F4E79" w:themeColor="accent1" w:themeShade="80"/>
          <w:sz w:val="28"/>
          <w:szCs w:val="28"/>
          <w:bdr w:val="none" w:sz="0" w:space="0" w:color="auto" w:frame="1"/>
          <w:lang w:eastAsia="it-IT"/>
        </w:rPr>
        <w:t xml:space="preserve">: </w:t>
      </w:r>
      <w:r w:rsidR="00576E0D" w:rsidRPr="00B208E4">
        <w:rPr>
          <w:rFonts w:ascii="Tahoma" w:eastAsia="Times New Roman" w:hAnsi="Tahoma" w:cs="Tahoma"/>
          <w:smallCaps/>
          <w:color w:val="1F4E79" w:themeColor="accent1" w:themeShade="80"/>
          <w:sz w:val="28"/>
          <w:szCs w:val="28"/>
          <w:bdr w:val="none" w:sz="0" w:space="0" w:color="auto" w:frame="1"/>
          <w:lang w:eastAsia="it-IT"/>
        </w:rPr>
        <w:t>L’</w:t>
      </w:r>
      <w:r w:rsidRPr="00B208E4">
        <w:rPr>
          <w:rFonts w:ascii="Tahoma" w:eastAsia="Times New Roman" w:hAnsi="Tahoma" w:cs="Tahoma"/>
          <w:smallCaps/>
          <w:color w:val="1F4E79" w:themeColor="accent1" w:themeShade="80"/>
          <w:sz w:val="28"/>
          <w:szCs w:val="28"/>
          <w:bdr w:val="none" w:sz="0" w:space="0" w:color="auto" w:frame="1"/>
          <w:lang w:eastAsia="it-IT"/>
        </w:rPr>
        <w:t xml:space="preserve">autonomia procedurale degli </w:t>
      </w:r>
      <w:r w:rsidRPr="000A5B85">
        <w:rPr>
          <w:rFonts w:ascii="Tahoma" w:eastAsia="Times New Roman" w:hAnsi="Tahoma" w:cs="Tahoma"/>
          <w:smallCaps/>
          <w:color w:val="1F4E79" w:themeColor="accent1" w:themeShade="80"/>
          <w:sz w:val="28"/>
          <w:szCs w:val="28"/>
          <w:bdr w:val="none" w:sz="0" w:space="0" w:color="auto" w:frame="1"/>
          <w:lang w:eastAsia="it-IT"/>
        </w:rPr>
        <w:t>Stati membri</w:t>
      </w:r>
      <w:r w:rsidR="00576E0D" w:rsidRPr="000A5B85">
        <w:rPr>
          <w:rFonts w:ascii="Tahoma" w:eastAsia="Times New Roman" w:hAnsi="Tahoma" w:cs="Tahoma"/>
          <w:smallCaps/>
          <w:color w:val="1F4E79" w:themeColor="accent1" w:themeShade="80"/>
          <w:sz w:val="28"/>
          <w:szCs w:val="28"/>
          <w:bdr w:val="none" w:sz="0" w:space="0" w:color="auto" w:frame="1"/>
          <w:lang w:eastAsia="it-IT"/>
        </w:rPr>
        <w:t xml:space="preserve"> non giustificherebbe la soluzione dell’ordinamento italiano</w:t>
      </w:r>
      <w:r w:rsidRPr="000A5B85">
        <w:rPr>
          <w:rFonts w:ascii="Tahoma" w:eastAsia="Times New Roman" w:hAnsi="Tahoma" w:cs="Tahoma"/>
          <w:smallCaps/>
          <w:color w:val="1F4E79" w:themeColor="accent1" w:themeShade="80"/>
          <w:sz w:val="28"/>
          <w:szCs w:val="28"/>
          <w:bdr w:val="none" w:sz="0" w:space="0" w:color="auto" w:frame="1"/>
          <w:lang w:eastAsia="it-IT"/>
        </w:rPr>
        <w:t xml:space="preserve">; </w:t>
      </w:r>
      <w:r w:rsidR="00576E0D" w:rsidRPr="000A5B85">
        <w:rPr>
          <w:rFonts w:ascii="Tahoma" w:eastAsia="Times New Roman" w:hAnsi="Tahoma" w:cs="Tahoma"/>
          <w:smallCaps/>
          <w:color w:val="1F4E79" w:themeColor="accent1" w:themeShade="80"/>
          <w:sz w:val="28"/>
          <w:szCs w:val="28"/>
          <w:bdr w:val="none" w:sz="0" w:space="0" w:color="auto" w:frame="1"/>
          <w:lang w:eastAsia="it-IT"/>
        </w:rPr>
        <w:t xml:space="preserve">Non sarebbero rispettati i </w:t>
      </w:r>
      <w:r w:rsidRPr="000A5B85">
        <w:rPr>
          <w:rFonts w:ascii="Tahoma" w:eastAsia="Times New Roman" w:hAnsi="Tahoma" w:cs="Tahoma"/>
          <w:smallCaps/>
          <w:color w:val="1F4E79" w:themeColor="accent1" w:themeShade="80"/>
          <w:sz w:val="28"/>
          <w:szCs w:val="28"/>
          <w:bdr w:val="none" w:sz="0" w:space="0" w:color="auto" w:frame="1"/>
          <w:lang w:eastAsia="it-IT"/>
        </w:rPr>
        <w:t>principi</w:t>
      </w:r>
      <w:r w:rsidR="00576E0D" w:rsidRPr="000A5B85">
        <w:rPr>
          <w:rFonts w:ascii="Tahoma" w:eastAsia="Times New Roman" w:hAnsi="Tahoma" w:cs="Tahoma"/>
          <w:smallCaps/>
          <w:color w:val="1F4E79" w:themeColor="accent1" w:themeShade="80"/>
          <w:sz w:val="28"/>
          <w:szCs w:val="28"/>
          <w:bdr w:val="none" w:sz="0" w:space="0" w:color="auto" w:frame="1"/>
          <w:lang w:eastAsia="it-IT"/>
        </w:rPr>
        <w:t>-cardine</w:t>
      </w:r>
      <w:r w:rsidRPr="000A5B85">
        <w:rPr>
          <w:rFonts w:ascii="Tahoma" w:eastAsia="Times New Roman" w:hAnsi="Tahoma" w:cs="Tahoma"/>
          <w:smallCaps/>
          <w:color w:val="1F4E79" w:themeColor="accent1" w:themeShade="80"/>
          <w:sz w:val="28"/>
          <w:szCs w:val="28"/>
          <w:bdr w:val="none" w:sz="0" w:space="0" w:color="auto" w:frame="1"/>
          <w:lang w:eastAsia="it-IT"/>
        </w:rPr>
        <w:t xml:space="preserve"> di equivalenza e di effettività della</w:t>
      </w:r>
      <w:r w:rsidRPr="00B208E4">
        <w:rPr>
          <w:rFonts w:ascii="Tahoma" w:eastAsia="Times New Roman" w:hAnsi="Tahoma" w:cs="Tahoma"/>
          <w:smallCaps/>
          <w:color w:val="1F4E79" w:themeColor="accent1" w:themeShade="80"/>
          <w:sz w:val="28"/>
          <w:szCs w:val="28"/>
          <w:bdr w:val="none" w:sz="0" w:space="0" w:color="auto" w:frame="1"/>
          <w:lang w:eastAsia="it-IT"/>
        </w:rPr>
        <w:t xml:space="preserve"> tutela</w:t>
      </w:r>
      <w:r w:rsidR="0053344B">
        <w:rPr>
          <w:rFonts w:ascii="Tahoma" w:eastAsia="Times New Roman" w:hAnsi="Tahoma" w:cs="Tahoma"/>
          <w:smallCaps/>
          <w:color w:val="1F4E79" w:themeColor="accent1" w:themeShade="80"/>
          <w:sz w:val="28"/>
          <w:szCs w:val="28"/>
          <w:bdr w:val="none" w:sz="0" w:space="0" w:color="auto" w:frame="1"/>
          <w:lang w:eastAsia="it-IT"/>
        </w:rPr>
        <w:t xml:space="preserve"> giurisdizionale</w:t>
      </w:r>
      <w:r w:rsidRPr="00B208E4">
        <w:rPr>
          <w:rFonts w:ascii="Tahoma" w:eastAsia="Times New Roman" w:hAnsi="Tahoma" w:cs="Tahoma"/>
          <w:smallCaps/>
          <w:color w:val="1F4E79" w:themeColor="accent1" w:themeShade="80"/>
          <w:sz w:val="28"/>
          <w:szCs w:val="28"/>
          <w:bdr w:val="none" w:sz="0" w:space="0" w:color="auto" w:frame="1"/>
          <w:lang w:eastAsia="it-IT"/>
        </w:rPr>
        <w:t>.</w:t>
      </w:r>
    </w:p>
    <w:p w:rsidR="00E73F68" w:rsidRPr="00B208E4" w:rsidRDefault="00A97658"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Finalmente, poi, l</w:t>
      </w:r>
      <w:r w:rsidR="00A72028" w:rsidRPr="00B208E4">
        <w:rPr>
          <w:rFonts w:ascii="Calibri" w:eastAsia="Times New Roman" w:hAnsi="Calibri" w:cs="Segoe UI"/>
          <w:color w:val="1F4E79" w:themeColor="accent1" w:themeShade="80"/>
          <w:sz w:val="28"/>
          <w:szCs w:val="28"/>
          <w:lang w:eastAsia="it-IT"/>
        </w:rPr>
        <w:t>’ordinanza</w:t>
      </w:r>
      <w:r w:rsidRPr="00B208E4">
        <w:rPr>
          <w:rFonts w:ascii="Calibri" w:eastAsia="Times New Roman" w:hAnsi="Calibri" w:cs="Segoe UI"/>
          <w:color w:val="1F4E79" w:themeColor="accent1" w:themeShade="80"/>
          <w:sz w:val="28"/>
          <w:szCs w:val="28"/>
          <w:lang w:eastAsia="it-IT"/>
        </w:rPr>
        <w:t xml:space="preserve"> </w:t>
      </w:r>
      <w:r w:rsidR="00A72028" w:rsidRPr="00B208E4">
        <w:rPr>
          <w:rFonts w:ascii="Calibri" w:eastAsia="Times New Roman" w:hAnsi="Calibri" w:cs="Segoe UI"/>
          <w:color w:val="1F4E79" w:themeColor="accent1" w:themeShade="80"/>
          <w:sz w:val="28"/>
          <w:szCs w:val="28"/>
          <w:lang w:eastAsia="it-IT"/>
        </w:rPr>
        <w:t>affronta i</w:t>
      </w:r>
      <w:r w:rsidRPr="00B208E4">
        <w:rPr>
          <w:rFonts w:ascii="Calibri" w:eastAsia="Times New Roman" w:hAnsi="Calibri" w:cs="Segoe UI"/>
          <w:color w:val="1F4E79" w:themeColor="accent1" w:themeShade="80"/>
          <w:sz w:val="28"/>
          <w:szCs w:val="28"/>
          <w:lang w:eastAsia="it-IT"/>
        </w:rPr>
        <w:t>l punto centrale</w:t>
      </w:r>
      <w:r w:rsidR="0053344B">
        <w:rPr>
          <w:rFonts w:ascii="Calibri" w:eastAsia="Times New Roman" w:hAnsi="Calibri" w:cs="Segoe UI"/>
          <w:color w:val="1F4E79" w:themeColor="accent1" w:themeShade="80"/>
          <w:sz w:val="28"/>
          <w:szCs w:val="28"/>
          <w:lang w:eastAsia="it-IT"/>
        </w:rPr>
        <w:t xml:space="preserve"> di tutta l’argomentazione</w:t>
      </w:r>
      <w:r w:rsidRPr="00B208E4">
        <w:rPr>
          <w:rFonts w:ascii="Calibri" w:eastAsia="Times New Roman" w:hAnsi="Calibri" w:cs="Segoe UI"/>
          <w:color w:val="1F4E79" w:themeColor="accent1" w:themeShade="80"/>
          <w:sz w:val="28"/>
          <w:szCs w:val="28"/>
          <w:lang w:eastAsia="it-IT"/>
        </w:rPr>
        <w:t>, riguardante la verifica del rispetto del canone di autonomia procedurale</w:t>
      </w:r>
      <w:r w:rsidR="00A72028" w:rsidRPr="00B208E4">
        <w:rPr>
          <w:rFonts w:ascii="Calibri" w:eastAsia="Times New Roman" w:hAnsi="Calibri" w:cs="Segoe UI"/>
          <w:color w:val="1F4E79" w:themeColor="accent1" w:themeShade="80"/>
          <w:sz w:val="28"/>
          <w:szCs w:val="28"/>
          <w:lang w:eastAsia="it-IT"/>
        </w:rPr>
        <w:t xml:space="preserve"> degli Stati membri, nella determinazione degli strumenti, anche giurisdizionali, attraverso cui va data attuazione e garanzia al diritto dell’Unione europea</w:t>
      </w:r>
      <w:r w:rsidRPr="00B208E4">
        <w:rPr>
          <w:rFonts w:ascii="Calibri" w:eastAsia="Times New Roman" w:hAnsi="Calibri" w:cs="Segoe UI"/>
          <w:color w:val="1F4E79" w:themeColor="accent1" w:themeShade="80"/>
          <w:sz w:val="28"/>
          <w:szCs w:val="28"/>
          <w:lang w:eastAsia="it-IT"/>
        </w:rPr>
        <w:t>.</w:t>
      </w:r>
    </w:p>
    <w:p w:rsidR="00556D0C" w:rsidRPr="00B208E4" w:rsidRDefault="00E73F68"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A ben vedere, infatti, i precedenti argomenti, più o meno convincenti, non mettono in luce apprezzabili profili di contrasto con il diritto UE</w:t>
      </w:r>
      <w:r w:rsidR="00556D0C" w:rsidRPr="00B208E4">
        <w:rPr>
          <w:rFonts w:ascii="Calibri" w:eastAsia="Times New Roman" w:hAnsi="Calibri" w:cs="Segoe UI"/>
          <w:color w:val="1F4E79" w:themeColor="accent1" w:themeShade="80"/>
          <w:sz w:val="28"/>
          <w:szCs w:val="28"/>
          <w:lang w:eastAsia="it-IT"/>
        </w:rPr>
        <w:t>, perché si risolvono, in ultima analisi, nella affermazione di una preferenza, secondo l’organizzazione italiana, di un controllo esteso della Cassazione sull’applicazione del diritto UE.</w:t>
      </w:r>
    </w:p>
    <w:p w:rsidR="00FC3B13" w:rsidRPr="00B208E4" w:rsidRDefault="00556D0C"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Il tema</w:t>
      </w:r>
      <w:r w:rsidR="0053344B">
        <w:rPr>
          <w:rFonts w:ascii="Calibri" w:eastAsia="Times New Roman" w:hAnsi="Calibri" w:cs="Segoe UI"/>
          <w:color w:val="1F4E79" w:themeColor="accent1" w:themeShade="80"/>
          <w:sz w:val="28"/>
          <w:szCs w:val="28"/>
          <w:lang w:eastAsia="it-IT"/>
        </w:rPr>
        <w:t xml:space="preserve"> dell’autonomia procedurale degli Stati membri</w:t>
      </w:r>
      <w:r w:rsidRPr="00B208E4">
        <w:rPr>
          <w:rFonts w:ascii="Calibri" w:eastAsia="Times New Roman" w:hAnsi="Calibri" w:cs="Segoe UI"/>
          <w:color w:val="1F4E79" w:themeColor="accent1" w:themeShade="80"/>
          <w:sz w:val="28"/>
          <w:szCs w:val="28"/>
          <w:lang w:eastAsia="it-IT"/>
        </w:rPr>
        <w:t xml:space="preserve"> è affrontato</w:t>
      </w:r>
      <w:r w:rsidR="0053344B">
        <w:rPr>
          <w:rFonts w:ascii="Calibri" w:eastAsia="Times New Roman" w:hAnsi="Calibri" w:cs="Segoe UI"/>
          <w:color w:val="1F4E79" w:themeColor="accent1" w:themeShade="80"/>
          <w:sz w:val="28"/>
          <w:szCs w:val="28"/>
          <w:lang w:eastAsia="it-IT"/>
        </w:rPr>
        <w:t xml:space="preserve"> dalla Cassazione</w:t>
      </w:r>
      <w:r w:rsidRPr="00B208E4">
        <w:rPr>
          <w:rFonts w:ascii="Calibri" w:eastAsia="Times New Roman" w:hAnsi="Calibri" w:cs="Segoe UI"/>
          <w:color w:val="1F4E79" w:themeColor="accent1" w:themeShade="80"/>
          <w:sz w:val="28"/>
          <w:szCs w:val="28"/>
          <w:lang w:eastAsia="it-IT"/>
        </w:rPr>
        <w:t xml:space="preserve"> forse in modo </w:t>
      </w:r>
      <w:r w:rsidR="004763A7" w:rsidRPr="00B208E4">
        <w:rPr>
          <w:rFonts w:ascii="Calibri" w:eastAsia="Times New Roman" w:hAnsi="Calibri" w:cs="Segoe UI"/>
          <w:color w:val="1F4E79" w:themeColor="accent1" w:themeShade="80"/>
          <w:sz w:val="28"/>
          <w:szCs w:val="28"/>
          <w:lang w:eastAsia="it-IT"/>
        </w:rPr>
        <w:t xml:space="preserve">troppo sintetico, sia per quanto riguarda la ricognizione della giurisprudenza UE che definisce il principio, sia con riferimento alla individuazione degli argomenti in forza dei quali </w:t>
      </w:r>
      <w:r w:rsidR="00FC3B13" w:rsidRPr="00B208E4">
        <w:rPr>
          <w:rFonts w:ascii="Calibri" w:eastAsia="Times New Roman" w:hAnsi="Calibri" w:cs="Segoe UI"/>
          <w:color w:val="1F4E79" w:themeColor="accent1" w:themeShade="80"/>
          <w:sz w:val="28"/>
          <w:szCs w:val="28"/>
          <w:lang w:eastAsia="it-IT"/>
        </w:rPr>
        <w:t>l’autonomia procedurale nazionale dovrebbe cedere il passo a regole europee sul funzionamento della giustizia.</w:t>
      </w:r>
    </w:p>
    <w:p w:rsidR="00C33DA7" w:rsidRPr="00B208E4" w:rsidRDefault="00F779D8"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E va notato come l’atteggiamento dell’ordinanza sia visibilmente sbilanciato </w:t>
      </w:r>
      <w:r w:rsidR="009857C6" w:rsidRPr="00B208E4">
        <w:rPr>
          <w:rFonts w:ascii="Calibri" w:eastAsia="Times New Roman" w:hAnsi="Calibri" w:cs="Segoe UI"/>
          <w:color w:val="1F4E79" w:themeColor="accent1" w:themeShade="80"/>
          <w:sz w:val="28"/>
          <w:szCs w:val="28"/>
          <w:lang w:eastAsia="it-IT"/>
        </w:rPr>
        <w:t>verso una sola opzione interpretativa. Da parte del giudice nazionale</w:t>
      </w:r>
      <w:r w:rsidR="0053344B">
        <w:rPr>
          <w:rFonts w:ascii="Calibri" w:eastAsia="Times New Roman" w:hAnsi="Calibri" w:cs="Segoe UI"/>
          <w:color w:val="1F4E79" w:themeColor="accent1" w:themeShade="80"/>
          <w:sz w:val="28"/>
          <w:szCs w:val="28"/>
          <w:lang w:eastAsia="it-IT"/>
        </w:rPr>
        <w:t xml:space="preserve"> italiano</w:t>
      </w:r>
      <w:r w:rsidR="009857C6" w:rsidRPr="00B208E4">
        <w:rPr>
          <w:rFonts w:ascii="Calibri" w:eastAsia="Times New Roman" w:hAnsi="Calibri" w:cs="Segoe UI"/>
          <w:color w:val="1F4E79" w:themeColor="accent1" w:themeShade="80"/>
          <w:sz w:val="28"/>
          <w:szCs w:val="28"/>
          <w:lang w:eastAsia="it-IT"/>
        </w:rPr>
        <w:t xml:space="preserve">, titolare del potere di nomofilachia generale, ci si poteva aspettare, probabilmente, una posizione </w:t>
      </w:r>
      <w:r w:rsidR="0053344B">
        <w:rPr>
          <w:rFonts w:ascii="Calibri" w:eastAsia="Times New Roman" w:hAnsi="Calibri" w:cs="Segoe UI"/>
          <w:color w:val="1F4E79" w:themeColor="accent1" w:themeShade="80"/>
          <w:sz w:val="28"/>
          <w:szCs w:val="28"/>
          <w:lang w:eastAsia="it-IT"/>
        </w:rPr>
        <w:t xml:space="preserve">almeno </w:t>
      </w:r>
      <w:r w:rsidR="00C33DA7" w:rsidRPr="00B208E4">
        <w:rPr>
          <w:rFonts w:ascii="Calibri" w:eastAsia="Times New Roman" w:hAnsi="Calibri" w:cs="Segoe UI"/>
          <w:color w:val="1F4E79" w:themeColor="accent1" w:themeShade="80"/>
          <w:sz w:val="28"/>
          <w:szCs w:val="28"/>
          <w:lang w:eastAsia="it-IT"/>
        </w:rPr>
        <w:t xml:space="preserve">equidistante tra le possibili soluzioni ermeneutiche, se non una </w:t>
      </w:r>
      <w:r w:rsidR="0053344B">
        <w:rPr>
          <w:rFonts w:ascii="Calibri" w:eastAsia="Times New Roman" w:hAnsi="Calibri" w:cs="Segoe UI"/>
          <w:color w:val="1F4E79" w:themeColor="accent1" w:themeShade="80"/>
          <w:sz w:val="28"/>
          <w:szCs w:val="28"/>
          <w:lang w:eastAsia="it-IT"/>
        </w:rPr>
        <w:t xml:space="preserve">maggiore attenzione verso la </w:t>
      </w:r>
      <w:r w:rsidR="00C33DA7" w:rsidRPr="00B208E4">
        <w:rPr>
          <w:rFonts w:ascii="Calibri" w:eastAsia="Times New Roman" w:hAnsi="Calibri" w:cs="Segoe UI"/>
          <w:color w:val="1F4E79" w:themeColor="accent1" w:themeShade="80"/>
          <w:sz w:val="28"/>
          <w:szCs w:val="28"/>
          <w:lang w:eastAsia="it-IT"/>
        </w:rPr>
        <w:t xml:space="preserve">difesa delle prerogative </w:t>
      </w:r>
      <w:r w:rsidR="0053344B">
        <w:rPr>
          <w:rFonts w:ascii="Calibri" w:eastAsia="Times New Roman" w:hAnsi="Calibri" w:cs="Segoe UI"/>
          <w:color w:val="1F4E79" w:themeColor="accent1" w:themeShade="80"/>
          <w:sz w:val="28"/>
          <w:szCs w:val="28"/>
          <w:lang w:eastAsia="it-IT"/>
        </w:rPr>
        <w:t>ordinament</w:t>
      </w:r>
      <w:r w:rsidR="00C33DA7" w:rsidRPr="00B208E4">
        <w:rPr>
          <w:rFonts w:ascii="Calibri" w:eastAsia="Times New Roman" w:hAnsi="Calibri" w:cs="Segoe UI"/>
          <w:color w:val="1F4E79" w:themeColor="accent1" w:themeShade="80"/>
          <w:sz w:val="28"/>
          <w:szCs w:val="28"/>
          <w:lang w:eastAsia="it-IT"/>
        </w:rPr>
        <w:t>ali sancite dalla Costituzione italiana</w:t>
      </w:r>
      <w:r w:rsidR="00B3459B" w:rsidRPr="00B208E4">
        <w:rPr>
          <w:rStyle w:val="Rimandonotaapidipagina"/>
          <w:rFonts w:ascii="Calibri" w:eastAsia="Times New Roman" w:hAnsi="Calibri" w:cs="Segoe UI"/>
          <w:color w:val="1F4E79" w:themeColor="accent1" w:themeShade="80"/>
          <w:sz w:val="28"/>
          <w:szCs w:val="28"/>
          <w:lang w:eastAsia="it-IT"/>
        </w:rPr>
        <w:footnoteReference w:id="39"/>
      </w:r>
      <w:r w:rsidR="00C33DA7" w:rsidRPr="00B208E4">
        <w:rPr>
          <w:rFonts w:ascii="Calibri" w:eastAsia="Times New Roman" w:hAnsi="Calibri" w:cs="Segoe UI"/>
          <w:color w:val="1F4E79" w:themeColor="accent1" w:themeShade="80"/>
          <w:sz w:val="28"/>
          <w:szCs w:val="28"/>
          <w:lang w:eastAsia="it-IT"/>
        </w:rPr>
        <w:t>.</w:t>
      </w:r>
    </w:p>
    <w:p w:rsidR="001B7157" w:rsidRPr="00B208E4" w:rsidRDefault="00BA23BF"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L’ordinanza</w:t>
      </w:r>
      <w:r w:rsidR="005959BC" w:rsidRPr="00B208E4">
        <w:rPr>
          <w:rFonts w:ascii="Calibri" w:eastAsia="Times New Roman" w:hAnsi="Calibri" w:cs="Segoe UI"/>
          <w:color w:val="1F4E79" w:themeColor="accent1" w:themeShade="80"/>
          <w:sz w:val="28"/>
          <w:szCs w:val="28"/>
          <w:lang w:eastAsia="it-IT"/>
        </w:rPr>
        <w:t xml:space="preserve"> in commento</w:t>
      </w:r>
      <w:r w:rsidRPr="00B208E4">
        <w:rPr>
          <w:rFonts w:ascii="Calibri" w:eastAsia="Times New Roman" w:hAnsi="Calibri" w:cs="Segoe UI"/>
          <w:color w:val="1F4E79" w:themeColor="accent1" w:themeShade="80"/>
          <w:sz w:val="28"/>
          <w:szCs w:val="28"/>
          <w:lang w:eastAsia="it-IT"/>
        </w:rPr>
        <w:t xml:space="preserve"> parte dal rilievo, assolutamente pacifico, secondo cui </w:t>
      </w:r>
      <w:r w:rsidR="001B7157" w:rsidRPr="00B208E4">
        <w:rPr>
          <w:rFonts w:ascii="Calibri" w:eastAsia="Times New Roman" w:hAnsi="Calibri" w:cs="Segoe UI"/>
          <w:color w:val="1F4E79" w:themeColor="accent1" w:themeShade="80"/>
          <w:sz w:val="28"/>
          <w:szCs w:val="28"/>
          <w:lang w:eastAsia="it-IT"/>
        </w:rPr>
        <w:t xml:space="preserve">l’autonomia procedurale riconosciuta agli Stati membri, in base alla quale è rimessa ad essi l’individuazione degli strumenti processuali per assicurare tutela ai diritti riconosciuti dall’Unione, può essere </w:t>
      </w:r>
      <w:r w:rsidR="0053344B">
        <w:rPr>
          <w:rFonts w:ascii="Calibri" w:eastAsia="Times New Roman" w:hAnsi="Calibri" w:cs="Segoe UI"/>
          <w:color w:val="1F4E79" w:themeColor="accent1" w:themeShade="80"/>
          <w:sz w:val="28"/>
          <w:szCs w:val="28"/>
          <w:lang w:eastAsia="it-IT"/>
        </w:rPr>
        <w:t xml:space="preserve">sempre </w:t>
      </w:r>
      <w:r w:rsidR="001B7157" w:rsidRPr="00B208E4">
        <w:rPr>
          <w:rFonts w:ascii="Calibri" w:eastAsia="Times New Roman" w:hAnsi="Calibri" w:cs="Segoe UI"/>
          <w:color w:val="1F4E79" w:themeColor="accent1" w:themeShade="80"/>
          <w:sz w:val="28"/>
          <w:szCs w:val="28"/>
          <w:lang w:eastAsia="it-IT"/>
        </w:rPr>
        <w:t>invocata</w:t>
      </w:r>
      <w:r w:rsidR="0053344B">
        <w:rPr>
          <w:rFonts w:ascii="Calibri" w:eastAsia="Times New Roman" w:hAnsi="Calibri" w:cs="Segoe UI"/>
          <w:color w:val="1F4E79" w:themeColor="accent1" w:themeShade="80"/>
          <w:sz w:val="28"/>
          <w:szCs w:val="28"/>
          <w:lang w:eastAsia="it-IT"/>
        </w:rPr>
        <w:t>, ma soltanto</w:t>
      </w:r>
      <w:r w:rsidR="001B7157" w:rsidRPr="00B208E4">
        <w:rPr>
          <w:rFonts w:ascii="Calibri" w:eastAsia="Times New Roman" w:hAnsi="Calibri" w:cs="Segoe UI"/>
          <w:color w:val="1F4E79" w:themeColor="accent1" w:themeShade="80"/>
          <w:sz w:val="28"/>
          <w:szCs w:val="28"/>
          <w:lang w:eastAsia="it-IT"/>
        </w:rPr>
        <w:t xml:space="preserve"> alla duplice condizione che le modalità prescelte non siano meno favorevoli rispetto a quelle relative a situazioni analoghe assoggettate al diritto interno (</w:t>
      </w:r>
      <w:r w:rsidR="001B7157" w:rsidRPr="000A5B85">
        <w:rPr>
          <w:rFonts w:ascii="Calibri" w:eastAsia="Times New Roman" w:hAnsi="Calibri" w:cs="Segoe UI"/>
          <w:i/>
          <w:color w:val="1F4E79" w:themeColor="accent1" w:themeShade="80"/>
          <w:sz w:val="28"/>
          <w:szCs w:val="28"/>
          <w:lang w:eastAsia="it-IT"/>
        </w:rPr>
        <w:t>principio di equivalenza</w:t>
      </w:r>
      <w:r w:rsidR="001B7157" w:rsidRPr="00B208E4">
        <w:rPr>
          <w:rFonts w:ascii="Calibri" w:eastAsia="Times New Roman" w:hAnsi="Calibri" w:cs="Segoe UI"/>
          <w:color w:val="1F4E79" w:themeColor="accent1" w:themeShade="80"/>
          <w:sz w:val="28"/>
          <w:szCs w:val="28"/>
          <w:lang w:eastAsia="it-IT"/>
        </w:rPr>
        <w:t>) e non rendano in pratica impossibile o eccessivamente difficile l’esercizio dei diritti conferiti dal diritto dell’Unione (</w:t>
      </w:r>
      <w:r w:rsidR="001B7157" w:rsidRPr="000A5B85">
        <w:rPr>
          <w:rFonts w:ascii="Calibri" w:eastAsia="Times New Roman" w:hAnsi="Calibri" w:cs="Segoe UI"/>
          <w:i/>
          <w:color w:val="1F4E79" w:themeColor="accent1" w:themeShade="80"/>
          <w:sz w:val="28"/>
          <w:szCs w:val="28"/>
          <w:lang w:eastAsia="it-IT"/>
        </w:rPr>
        <w:t xml:space="preserve">principio di </w:t>
      </w:r>
      <w:r w:rsidR="00A97658" w:rsidRPr="000A5B85">
        <w:rPr>
          <w:rFonts w:ascii="Calibri" w:eastAsia="Times New Roman" w:hAnsi="Calibri" w:cs="Segoe UI"/>
          <w:i/>
          <w:color w:val="1F4E79" w:themeColor="accent1" w:themeShade="80"/>
          <w:sz w:val="28"/>
          <w:szCs w:val="28"/>
          <w:lang w:eastAsia="it-IT"/>
        </w:rPr>
        <w:t>effettività</w:t>
      </w:r>
      <w:r w:rsidRPr="00B208E4">
        <w:rPr>
          <w:rFonts w:ascii="Calibri" w:eastAsia="Times New Roman" w:hAnsi="Calibri" w:cs="Segoe UI"/>
          <w:color w:val="1F4E79" w:themeColor="accent1" w:themeShade="80"/>
          <w:sz w:val="28"/>
          <w:szCs w:val="28"/>
          <w:lang w:eastAsia="it-IT"/>
        </w:rPr>
        <w:t>).</w:t>
      </w:r>
    </w:p>
    <w:p w:rsidR="00810017" w:rsidRPr="00B208E4" w:rsidRDefault="00810017"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Nell’enunciazione di questa </w:t>
      </w:r>
      <w:r w:rsidR="0053344B">
        <w:rPr>
          <w:rFonts w:ascii="Calibri" w:eastAsia="Times New Roman" w:hAnsi="Calibri" w:cs="Segoe UI"/>
          <w:color w:val="1F4E79" w:themeColor="accent1" w:themeShade="80"/>
          <w:sz w:val="28"/>
          <w:szCs w:val="28"/>
          <w:lang w:eastAsia="it-IT"/>
        </w:rPr>
        <w:t xml:space="preserve">esatta </w:t>
      </w:r>
      <w:r w:rsidRPr="00B208E4">
        <w:rPr>
          <w:rFonts w:ascii="Calibri" w:eastAsia="Times New Roman" w:hAnsi="Calibri" w:cs="Segoe UI"/>
          <w:color w:val="1F4E79" w:themeColor="accent1" w:themeShade="80"/>
          <w:sz w:val="28"/>
          <w:szCs w:val="28"/>
          <w:lang w:eastAsia="it-IT"/>
        </w:rPr>
        <w:t>premessa interpretativa, peraltro, l’ordinanza trascura di evidenziare che la giurisprudenza della Corte è stata molto attenta a verificare il rispetto dei limiti dell’autonomia procedurale</w:t>
      </w:r>
      <w:r w:rsidR="0053344B">
        <w:rPr>
          <w:rFonts w:ascii="Calibri" w:eastAsia="Times New Roman" w:hAnsi="Calibri" w:cs="Segoe UI"/>
          <w:color w:val="1F4E79" w:themeColor="accent1" w:themeShade="80"/>
          <w:sz w:val="28"/>
          <w:szCs w:val="28"/>
          <w:lang w:eastAsia="it-IT"/>
        </w:rPr>
        <w:t>,</w:t>
      </w:r>
      <w:r w:rsidRPr="00B208E4">
        <w:rPr>
          <w:rFonts w:ascii="Calibri" w:eastAsia="Times New Roman" w:hAnsi="Calibri" w:cs="Segoe UI"/>
          <w:color w:val="1F4E79" w:themeColor="accent1" w:themeShade="80"/>
          <w:sz w:val="28"/>
          <w:szCs w:val="28"/>
          <w:lang w:eastAsia="it-IT"/>
        </w:rPr>
        <w:t xml:space="preserve"> verificando le regole procedurali “oggettive”, </w:t>
      </w:r>
      <w:r w:rsidR="00646438" w:rsidRPr="00B208E4">
        <w:rPr>
          <w:rFonts w:ascii="Calibri" w:eastAsia="Times New Roman" w:hAnsi="Calibri" w:cs="Segoe UI"/>
          <w:color w:val="1F4E79" w:themeColor="accent1" w:themeShade="80"/>
          <w:sz w:val="28"/>
          <w:szCs w:val="28"/>
          <w:lang w:eastAsia="it-IT"/>
        </w:rPr>
        <w:t xml:space="preserve">assumendo, invece, un atteggiamento molto </w:t>
      </w:r>
      <w:r w:rsidR="0053344B">
        <w:rPr>
          <w:rFonts w:ascii="Calibri" w:eastAsia="Times New Roman" w:hAnsi="Calibri" w:cs="Segoe UI"/>
          <w:color w:val="1F4E79" w:themeColor="accent1" w:themeShade="80"/>
          <w:sz w:val="28"/>
          <w:szCs w:val="28"/>
          <w:lang w:eastAsia="it-IT"/>
        </w:rPr>
        <w:t xml:space="preserve">*iù </w:t>
      </w:r>
      <w:r w:rsidR="00646438" w:rsidRPr="00B208E4">
        <w:rPr>
          <w:rFonts w:ascii="Calibri" w:eastAsia="Times New Roman" w:hAnsi="Calibri" w:cs="Segoe UI"/>
          <w:color w:val="1F4E79" w:themeColor="accent1" w:themeShade="80"/>
          <w:sz w:val="28"/>
          <w:szCs w:val="28"/>
          <w:lang w:eastAsia="it-IT"/>
        </w:rPr>
        <w:t xml:space="preserve">prudente </w:t>
      </w:r>
      <w:r w:rsidR="004E2319" w:rsidRPr="00B208E4">
        <w:rPr>
          <w:rFonts w:ascii="Calibri" w:eastAsia="Times New Roman" w:hAnsi="Calibri" w:cs="Segoe UI"/>
          <w:color w:val="1F4E79" w:themeColor="accent1" w:themeShade="80"/>
          <w:sz w:val="28"/>
          <w:szCs w:val="28"/>
          <w:lang w:eastAsia="it-IT"/>
        </w:rPr>
        <w:t>con riguardo al</w:t>
      </w:r>
      <w:r w:rsidR="0053344B">
        <w:rPr>
          <w:rFonts w:ascii="Calibri" w:eastAsia="Times New Roman" w:hAnsi="Calibri" w:cs="Segoe UI"/>
          <w:color w:val="1F4E79" w:themeColor="accent1" w:themeShade="80"/>
          <w:sz w:val="28"/>
          <w:szCs w:val="28"/>
          <w:lang w:eastAsia="it-IT"/>
        </w:rPr>
        <w:t xml:space="preserve"> sindacato del</w:t>
      </w:r>
      <w:r w:rsidR="004E2319" w:rsidRPr="00B208E4">
        <w:rPr>
          <w:rFonts w:ascii="Calibri" w:eastAsia="Times New Roman" w:hAnsi="Calibri" w:cs="Segoe UI"/>
          <w:color w:val="1F4E79" w:themeColor="accent1" w:themeShade="80"/>
          <w:sz w:val="28"/>
          <w:szCs w:val="28"/>
          <w:lang w:eastAsia="it-IT"/>
        </w:rPr>
        <w:t>l</w:t>
      </w:r>
      <w:r w:rsidR="000A5B85">
        <w:rPr>
          <w:rFonts w:ascii="Calibri" w:eastAsia="Times New Roman" w:hAnsi="Calibri" w:cs="Segoe UI"/>
          <w:color w:val="1F4E79" w:themeColor="accent1" w:themeShade="80"/>
          <w:sz w:val="28"/>
          <w:szCs w:val="28"/>
          <w:lang w:eastAsia="it-IT"/>
        </w:rPr>
        <w:t>a organizzazione strutturale dei sistemi</w:t>
      </w:r>
      <w:r w:rsidR="004E2319" w:rsidRPr="00B208E4">
        <w:rPr>
          <w:rFonts w:ascii="Calibri" w:eastAsia="Times New Roman" w:hAnsi="Calibri" w:cs="Segoe UI"/>
          <w:color w:val="1F4E79" w:themeColor="accent1" w:themeShade="80"/>
          <w:sz w:val="28"/>
          <w:szCs w:val="28"/>
          <w:lang w:eastAsia="it-IT"/>
        </w:rPr>
        <w:t xml:space="preserve"> di giustizia degli Stati membri.</w:t>
      </w:r>
    </w:p>
    <w:p w:rsidR="004E2319" w:rsidRPr="00B208E4" w:rsidRDefault="004E2319"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Ed è molto indicativa la </w:t>
      </w:r>
      <w:r w:rsidR="000A5B85">
        <w:rPr>
          <w:rFonts w:ascii="Calibri" w:eastAsia="Times New Roman" w:hAnsi="Calibri" w:cs="Segoe UI"/>
          <w:color w:val="1F4E79" w:themeColor="accent1" w:themeShade="80"/>
          <w:sz w:val="28"/>
          <w:szCs w:val="28"/>
          <w:lang w:eastAsia="it-IT"/>
        </w:rPr>
        <w:t xml:space="preserve">già citata </w:t>
      </w:r>
      <w:r w:rsidRPr="00B208E4">
        <w:rPr>
          <w:rFonts w:ascii="Calibri" w:eastAsia="Times New Roman" w:hAnsi="Calibri" w:cs="Segoe UI"/>
          <w:color w:val="1F4E79" w:themeColor="accent1" w:themeShade="80"/>
          <w:sz w:val="28"/>
          <w:szCs w:val="28"/>
          <w:lang w:eastAsia="it-IT"/>
        </w:rPr>
        <w:t xml:space="preserve">specifica giurisprudenza </w:t>
      </w:r>
      <w:r w:rsidR="000A5B85">
        <w:rPr>
          <w:rFonts w:ascii="Calibri" w:eastAsia="Times New Roman" w:hAnsi="Calibri" w:cs="Segoe UI"/>
          <w:color w:val="1F4E79" w:themeColor="accent1" w:themeShade="80"/>
          <w:sz w:val="28"/>
          <w:szCs w:val="28"/>
          <w:lang w:eastAsia="it-IT"/>
        </w:rPr>
        <w:t xml:space="preserve">della CGUE, la quale </w:t>
      </w:r>
      <w:r w:rsidRPr="00B208E4">
        <w:rPr>
          <w:rFonts w:ascii="Calibri" w:eastAsia="Times New Roman" w:hAnsi="Calibri" w:cs="Segoe UI"/>
          <w:color w:val="1F4E79" w:themeColor="accent1" w:themeShade="80"/>
          <w:sz w:val="28"/>
          <w:szCs w:val="28"/>
          <w:lang w:eastAsia="it-IT"/>
        </w:rPr>
        <w:t>ha ritenuto</w:t>
      </w:r>
      <w:r w:rsidR="000A5B85">
        <w:rPr>
          <w:rFonts w:ascii="Calibri" w:eastAsia="Times New Roman" w:hAnsi="Calibri" w:cs="Segoe UI"/>
          <w:color w:val="1F4E79" w:themeColor="accent1" w:themeShade="80"/>
          <w:sz w:val="28"/>
          <w:szCs w:val="28"/>
          <w:lang w:eastAsia="it-IT"/>
        </w:rPr>
        <w:t xml:space="preserve"> perfettamente </w:t>
      </w:r>
      <w:r w:rsidRPr="00B208E4">
        <w:rPr>
          <w:rFonts w:ascii="Calibri" w:eastAsia="Times New Roman" w:hAnsi="Calibri" w:cs="Segoe UI"/>
          <w:color w:val="1F4E79" w:themeColor="accent1" w:themeShade="80"/>
          <w:sz w:val="28"/>
          <w:szCs w:val="28"/>
          <w:lang w:eastAsia="it-IT"/>
        </w:rPr>
        <w:t>compatibile con i</w:t>
      </w:r>
      <w:r w:rsidR="0053344B">
        <w:rPr>
          <w:rFonts w:ascii="Calibri" w:eastAsia="Times New Roman" w:hAnsi="Calibri" w:cs="Segoe UI"/>
          <w:color w:val="1F4E79" w:themeColor="accent1" w:themeShade="80"/>
          <w:sz w:val="28"/>
          <w:szCs w:val="28"/>
          <w:lang w:eastAsia="it-IT"/>
        </w:rPr>
        <w:t>l diritto eurounitario proprio un</w:t>
      </w:r>
      <w:r w:rsidRPr="00B208E4">
        <w:rPr>
          <w:rFonts w:ascii="Calibri" w:eastAsia="Times New Roman" w:hAnsi="Calibri" w:cs="Segoe UI"/>
          <w:color w:val="1F4E79" w:themeColor="accent1" w:themeShade="80"/>
          <w:sz w:val="28"/>
          <w:szCs w:val="28"/>
          <w:lang w:eastAsia="it-IT"/>
        </w:rPr>
        <w:t>a normativa interna che non prevede specifici mezzi di impugnazione ulteriori</w:t>
      </w:r>
      <w:r w:rsidR="0053344B">
        <w:rPr>
          <w:rFonts w:ascii="Calibri" w:eastAsia="Times New Roman" w:hAnsi="Calibri" w:cs="Segoe UI"/>
          <w:color w:val="1F4E79" w:themeColor="accent1" w:themeShade="80"/>
          <w:sz w:val="28"/>
          <w:szCs w:val="28"/>
          <w:lang w:eastAsia="it-IT"/>
        </w:rPr>
        <w:t xml:space="preserve"> delle sentenze</w:t>
      </w:r>
      <w:r w:rsidRPr="00B208E4">
        <w:rPr>
          <w:rFonts w:ascii="Calibri" w:eastAsia="Times New Roman" w:hAnsi="Calibri" w:cs="Segoe UI"/>
          <w:color w:val="1F4E79" w:themeColor="accent1" w:themeShade="80"/>
          <w:sz w:val="28"/>
          <w:szCs w:val="28"/>
          <w:lang w:eastAsia="it-IT"/>
        </w:rPr>
        <w:t>, per la sola violazione del diritto UE.</w:t>
      </w:r>
    </w:p>
    <w:p w:rsidR="001B7157" w:rsidRPr="00B208E4" w:rsidRDefault="00E21B9C"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L’ordinanza in commento, pur consapevole della decisività del passaggio argomentativo</w:t>
      </w:r>
      <w:r w:rsidR="0053344B">
        <w:rPr>
          <w:rFonts w:ascii="Calibri" w:eastAsia="Times New Roman" w:hAnsi="Calibri" w:cs="Segoe UI"/>
          <w:color w:val="1F4E79" w:themeColor="accent1" w:themeShade="80"/>
          <w:sz w:val="28"/>
          <w:szCs w:val="28"/>
          <w:lang w:eastAsia="it-IT"/>
        </w:rPr>
        <w:t xml:space="preserve"> relativo all’autonomia procedurale</w:t>
      </w:r>
      <w:r w:rsidRPr="00B208E4">
        <w:rPr>
          <w:rFonts w:ascii="Calibri" w:eastAsia="Times New Roman" w:hAnsi="Calibri" w:cs="Segoe UI"/>
          <w:color w:val="1F4E79" w:themeColor="accent1" w:themeShade="80"/>
          <w:sz w:val="28"/>
          <w:szCs w:val="28"/>
          <w:lang w:eastAsia="it-IT"/>
        </w:rPr>
        <w:t xml:space="preserve">, fornisce elementi di giudizio alquanto </w:t>
      </w:r>
      <w:r w:rsidR="004E5EA2" w:rsidRPr="00B208E4">
        <w:rPr>
          <w:rFonts w:ascii="Calibri" w:eastAsia="Times New Roman" w:hAnsi="Calibri" w:cs="Segoe UI"/>
          <w:color w:val="1F4E79" w:themeColor="accent1" w:themeShade="80"/>
          <w:sz w:val="28"/>
          <w:szCs w:val="28"/>
          <w:lang w:eastAsia="it-IT"/>
        </w:rPr>
        <w:t xml:space="preserve">esigui, </w:t>
      </w:r>
      <w:r w:rsidR="00A97658" w:rsidRPr="00B208E4">
        <w:rPr>
          <w:rFonts w:ascii="Calibri" w:eastAsia="Times New Roman" w:hAnsi="Calibri" w:cs="Segoe UI"/>
          <w:color w:val="1F4E79" w:themeColor="accent1" w:themeShade="80"/>
          <w:sz w:val="28"/>
          <w:szCs w:val="28"/>
          <w:lang w:eastAsia="it-IT"/>
        </w:rPr>
        <w:t xml:space="preserve">sia sul piano </w:t>
      </w:r>
      <w:r w:rsidR="00A97658" w:rsidRPr="00B208E4">
        <w:rPr>
          <w:rFonts w:ascii="Calibri" w:eastAsia="Times New Roman" w:hAnsi="Calibri" w:cs="Segoe UI"/>
          <w:i/>
          <w:color w:val="1F4E79" w:themeColor="accent1" w:themeShade="80"/>
          <w:sz w:val="28"/>
          <w:szCs w:val="28"/>
          <w:lang w:eastAsia="it-IT"/>
        </w:rPr>
        <w:t>qualitiativo</w:t>
      </w:r>
      <w:r w:rsidR="00A97658" w:rsidRPr="00B208E4">
        <w:rPr>
          <w:rFonts w:ascii="Calibri" w:eastAsia="Times New Roman" w:hAnsi="Calibri" w:cs="Segoe UI"/>
          <w:color w:val="1F4E79" w:themeColor="accent1" w:themeShade="80"/>
          <w:sz w:val="28"/>
          <w:szCs w:val="28"/>
          <w:lang w:eastAsia="it-IT"/>
        </w:rPr>
        <w:t xml:space="preserve"> che </w:t>
      </w:r>
      <w:r w:rsidR="004E5EA2" w:rsidRPr="00B208E4">
        <w:rPr>
          <w:rFonts w:ascii="Calibri" w:eastAsia="Times New Roman" w:hAnsi="Calibri" w:cs="Segoe UI"/>
          <w:color w:val="1F4E79" w:themeColor="accent1" w:themeShade="80"/>
          <w:sz w:val="28"/>
          <w:szCs w:val="28"/>
          <w:lang w:eastAsia="it-IT"/>
        </w:rPr>
        <w:t xml:space="preserve">su quello </w:t>
      </w:r>
      <w:r w:rsidR="00A97658" w:rsidRPr="00B208E4">
        <w:rPr>
          <w:rFonts w:ascii="Calibri" w:eastAsia="Times New Roman" w:hAnsi="Calibri" w:cs="Segoe UI"/>
          <w:i/>
          <w:color w:val="1F4E79" w:themeColor="accent1" w:themeShade="80"/>
          <w:sz w:val="28"/>
          <w:szCs w:val="28"/>
          <w:lang w:eastAsia="it-IT"/>
        </w:rPr>
        <w:t>quantitativo</w:t>
      </w:r>
      <w:r w:rsidR="0053344B">
        <w:rPr>
          <w:rFonts w:ascii="Calibri" w:eastAsia="Times New Roman" w:hAnsi="Calibri" w:cs="Segoe UI"/>
          <w:color w:val="1F4E79" w:themeColor="accent1" w:themeShade="80"/>
          <w:sz w:val="28"/>
          <w:szCs w:val="28"/>
          <w:lang w:eastAsia="it-IT"/>
        </w:rPr>
        <w:t>: e gli argomenti indicati</w:t>
      </w:r>
      <w:r w:rsidR="000A5B85">
        <w:rPr>
          <w:rFonts w:ascii="Calibri" w:eastAsia="Times New Roman" w:hAnsi="Calibri" w:cs="Segoe UI"/>
          <w:color w:val="1F4E79" w:themeColor="accent1" w:themeShade="80"/>
          <w:sz w:val="28"/>
          <w:szCs w:val="28"/>
          <w:lang w:eastAsia="it-IT"/>
        </w:rPr>
        <w:t xml:space="preserve"> </w:t>
      </w:r>
      <w:r w:rsidR="00C73A28" w:rsidRPr="00B208E4">
        <w:rPr>
          <w:rFonts w:ascii="Calibri" w:eastAsia="Times New Roman" w:hAnsi="Calibri" w:cs="Segoe UI"/>
          <w:color w:val="1F4E79" w:themeColor="accent1" w:themeShade="80"/>
          <w:sz w:val="28"/>
          <w:szCs w:val="28"/>
          <w:lang w:eastAsia="it-IT"/>
        </w:rPr>
        <w:t>non sembrano evidenziare</w:t>
      </w:r>
      <w:r w:rsidR="000A5B85">
        <w:rPr>
          <w:rFonts w:ascii="Calibri" w:eastAsia="Times New Roman" w:hAnsi="Calibri" w:cs="Segoe UI"/>
          <w:color w:val="1F4E79" w:themeColor="accent1" w:themeShade="80"/>
          <w:sz w:val="28"/>
          <w:szCs w:val="28"/>
          <w:lang w:eastAsia="it-IT"/>
        </w:rPr>
        <w:t xml:space="preserve"> il paventato rischio di violazione dei criteri di equivalenza ed efficienza</w:t>
      </w:r>
      <w:r w:rsidR="00C73A28" w:rsidRPr="00B208E4">
        <w:rPr>
          <w:rFonts w:ascii="Calibri" w:eastAsia="Times New Roman" w:hAnsi="Calibri" w:cs="Segoe UI"/>
          <w:color w:val="1F4E79" w:themeColor="accent1" w:themeShade="80"/>
          <w:sz w:val="28"/>
          <w:szCs w:val="28"/>
          <w:lang w:eastAsia="it-IT"/>
        </w:rPr>
        <w:t>.</w:t>
      </w:r>
    </w:p>
    <w:p w:rsidR="001B7157" w:rsidRPr="00B208E4" w:rsidRDefault="004E5EA2"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Anzitutto , l’ordinanza sostiene che </w:t>
      </w:r>
      <w:r w:rsidR="001B7157" w:rsidRPr="00B208E4">
        <w:rPr>
          <w:rFonts w:ascii="Calibri" w:eastAsia="Times New Roman" w:hAnsi="Calibri" w:cs="Segoe UI"/>
          <w:color w:val="1F4E79" w:themeColor="accent1" w:themeShade="80"/>
          <w:sz w:val="28"/>
          <w:szCs w:val="28"/>
          <w:lang w:eastAsia="it-IT"/>
        </w:rPr>
        <w:t xml:space="preserve">nel caso di specie, il principio di </w:t>
      </w:r>
      <w:r w:rsidR="001B7157" w:rsidRPr="004B3CA0">
        <w:rPr>
          <w:rFonts w:ascii="Calibri" w:eastAsia="Times New Roman" w:hAnsi="Calibri" w:cs="Segoe UI"/>
          <w:i/>
          <w:color w:val="1F4E79" w:themeColor="accent1" w:themeShade="80"/>
          <w:sz w:val="28"/>
          <w:szCs w:val="28"/>
          <w:lang w:eastAsia="it-IT"/>
        </w:rPr>
        <w:t>equivalenza</w:t>
      </w:r>
      <w:r w:rsidR="001B7157" w:rsidRPr="00B208E4">
        <w:rPr>
          <w:rFonts w:ascii="Calibri" w:eastAsia="Times New Roman" w:hAnsi="Calibri" w:cs="Segoe UI"/>
          <w:color w:val="1F4E79" w:themeColor="accent1" w:themeShade="80"/>
          <w:sz w:val="28"/>
          <w:szCs w:val="28"/>
          <w:lang w:eastAsia="it-IT"/>
        </w:rPr>
        <w:t xml:space="preserve"> non sarebbe rispettato, poiché nelle controversie aventi ad oggetto l’applicazione del diritto nazionale è ammesso il ricorso per cassazione per difetto di potere giurisdizionale avverso le sentenze del Consiglio di Stato, «cui si imputi di avere svolto un’attività di produzione normativa invasiva delle attribuzioni del legislatore», mentre, nelle controversie aventi ad oggetto l’applicazione del diritto dell’Unione, sarebbero inammissibili i ricorsi per cassazione «volti a denunciare il difetto di potere giurisdizionale del giudice che, elaborando ed applicando regole processuali di diritto nazionale, eserciti poteri di produzione normativa preclusi allo stesso legislatore nazionale, essendo esclusivamente riservati al legislatore comunitario sotto il cont</w:t>
      </w:r>
      <w:r w:rsidR="005825D9" w:rsidRPr="00B208E4">
        <w:rPr>
          <w:rFonts w:ascii="Calibri" w:eastAsia="Times New Roman" w:hAnsi="Calibri" w:cs="Segoe UI"/>
          <w:color w:val="1F4E79" w:themeColor="accent1" w:themeShade="80"/>
          <w:sz w:val="28"/>
          <w:szCs w:val="28"/>
          <w:lang w:eastAsia="it-IT"/>
        </w:rPr>
        <w:t>rollo della Corte di giustizia».</w:t>
      </w:r>
    </w:p>
    <w:p w:rsidR="005825D9" w:rsidRPr="00B208E4" w:rsidRDefault="005825D9"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Ora, una siffatta rappresentazione della stessa giurisprudenza della Cassazione</w:t>
      </w:r>
      <w:r w:rsidR="004B3CA0">
        <w:rPr>
          <w:rFonts w:ascii="Calibri" w:eastAsia="Times New Roman" w:hAnsi="Calibri" w:cs="Segoe UI"/>
          <w:color w:val="1F4E79" w:themeColor="accent1" w:themeShade="80"/>
          <w:sz w:val="28"/>
          <w:szCs w:val="28"/>
          <w:lang w:eastAsia="it-IT"/>
        </w:rPr>
        <w:t>, che sarebbe caratterizzata da una irrazionale divaricazione tra le due situazioni, a detrimento del diritto UE,</w:t>
      </w:r>
      <w:r w:rsidRPr="00B208E4">
        <w:rPr>
          <w:rFonts w:ascii="Calibri" w:eastAsia="Times New Roman" w:hAnsi="Calibri" w:cs="Segoe UI"/>
          <w:color w:val="1F4E79" w:themeColor="accent1" w:themeShade="80"/>
          <w:sz w:val="28"/>
          <w:szCs w:val="28"/>
          <w:lang w:eastAsia="it-IT"/>
        </w:rPr>
        <w:t xml:space="preserve"> non è affatto convincente e la stessa ordinanza non cita le pronunce che manifesterebbero l’ipotizzata </w:t>
      </w:r>
      <w:r w:rsidR="00A15047" w:rsidRPr="00B208E4">
        <w:rPr>
          <w:rFonts w:ascii="Calibri" w:eastAsia="Times New Roman" w:hAnsi="Calibri" w:cs="Segoe UI"/>
          <w:color w:val="1F4E79" w:themeColor="accent1" w:themeShade="80"/>
          <w:sz w:val="28"/>
          <w:szCs w:val="28"/>
          <w:lang w:eastAsia="it-IT"/>
        </w:rPr>
        <w:t>contrapposizione.</w:t>
      </w:r>
    </w:p>
    <w:p w:rsidR="00A15047" w:rsidRPr="00B208E4" w:rsidRDefault="004B3CA0"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 xml:space="preserve">A ben vedere, </w:t>
      </w:r>
      <w:r w:rsidRPr="00B208E4">
        <w:rPr>
          <w:rFonts w:ascii="Calibri" w:eastAsia="Times New Roman" w:hAnsi="Calibri" w:cs="Segoe UI"/>
          <w:color w:val="1F4E79" w:themeColor="accent1" w:themeShade="80"/>
          <w:sz w:val="28"/>
          <w:szCs w:val="28"/>
          <w:lang w:eastAsia="it-IT"/>
        </w:rPr>
        <w:t xml:space="preserve">non </w:t>
      </w:r>
      <w:r w:rsidR="00A15047" w:rsidRPr="00B208E4">
        <w:rPr>
          <w:rFonts w:ascii="Calibri" w:eastAsia="Times New Roman" w:hAnsi="Calibri" w:cs="Segoe UI"/>
          <w:color w:val="1F4E79" w:themeColor="accent1" w:themeShade="80"/>
          <w:sz w:val="28"/>
          <w:szCs w:val="28"/>
          <w:lang w:eastAsia="it-IT"/>
        </w:rPr>
        <w:t>pare</w:t>
      </w:r>
      <w:r>
        <w:rPr>
          <w:rFonts w:ascii="Calibri" w:eastAsia="Times New Roman" w:hAnsi="Calibri" w:cs="Segoe UI"/>
          <w:color w:val="1F4E79" w:themeColor="accent1" w:themeShade="80"/>
          <w:sz w:val="28"/>
          <w:szCs w:val="28"/>
          <w:lang w:eastAsia="it-IT"/>
        </w:rPr>
        <w:t xml:space="preserve"> proprio</w:t>
      </w:r>
      <w:r w:rsidR="00A15047" w:rsidRPr="00B208E4">
        <w:rPr>
          <w:rFonts w:ascii="Calibri" w:eastAsia="Times New Roman" w:hAnsi="Calibri" w:cs="Segoe UI"/>
          <w:color w:val="1F4E79" w:themeColor="accent1" w:themeShade="80"/>
          <w:sz w:val="28"/>
          <w:szCs w:val="28"/>
          <w:lang w:eastAsia="it-IT"/>
        </w:rPr>
        <w:t xml:space="preserve"> che, dopo la sentenza n. 6/2018, le Sezioni Unite abbiano mai riproposto l’idea secondo cui la violazione di legge interna si </w:t>
      </w:r>
      <w:r w:rsidR="009B008A" w:rsidRPr="00B208E4">
        <w:rPr>
          <w:rFonts w:ascii="Calibri" w:eastAsia="Times New Roman" w:hAnsi="Calibri" w:cs="Segoe UI"/>
          <w:color w:val="1F4E79" w:themeColor="accent1" w:themeShade="80"/>
          <w:sz w:val="28"/>
          <w:szCs w:val="28"/>
          <w:lang w:eastAsia="it-IT"/>
        </w:rPr>
        <w:t>concretizzi sempre in un difetto assoluto di giurisdizione, per invasione del potere normativo spettante al legislatore.</w:t>
      </w:r>
    </w:p>
    <w:p w:rsidR="00D80DA3" w:rsidRPr="00B208E4" w:rsidRDefault="009B008A"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Meno che mai si riscontrano decisioni che abbiano teorizzato la possibilità di riservare alla violazione del diritto UE un trattamento</w:t>
      </w:r>
      <w:r w:rsidR="00D80DA3" w:rsidRPr="00B208E4">
        <w:rPr>
          <w:rFonts w:ascii="Calibri" w:eastAsia="Times New Roman" w:hAnsi="Calibri" w:cs="Segoe UI"/>
          <w:color w:val="1F4E79" w:themeColor="accent1" w:themeShade="80"/>
          <w:sz w:val="28"/>
          <w:szCs w:val="28"/>
          <w:lang w:eastAsia="it-IT"/>
        </w:rPr>
        <w:t xml:space="preserve"> addirittura deteriore rispetto alle</w:t>
      </w:r>
      <w:r w:rsidR="004B3CA0">
        <w:rPr>
          <w:rFonts w:ascii="Calibri" w:eastAsia="Times New Roman" w:hAnsi="Calibri" w:cs="Segoe UI"/>
          <w:color w:val="1F4E79" w:themeColor="accent1" w:themeShade="80"/>
          <w:sz w:val="28"/>
          <w:szCs w:val="28"/>
          <w:lang w:eastAsia="it-IT"/>
        </w:rPr>
        <w:t xml:space="preserve"> violazioni del diritto interno, sostenendo l’opinione riportata dall’ordinanza.</w:t>
      </w:r>
    </w:p>
    <w:p w:rsidR="00D80DA3" w:rsidRPr="00B208E4" w:rsidRDefault="00D80DA3"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Ma se </w:t>
      </w:r>
      <w:r w:rsidR="000A5B85">
        <w:rPr>
          <w:rFonts w:ascii="Calibri" w:eastAsia="Times New Roman" w:hAnsi="Calibri" w:cs="Segoe UI"/>
          <w:color w:val="1F4E79" w:themeColor="accent1" w:themeShade="80"/>
          <w:sz w:val="28"/>
          <w:szCs w:val="28"/>
          <w:lang w:eastAsia="it-IT"/>
        </w:rPr>
        <w:t>anche così fosse, resterebbe</w:t>
      </w:r>
      <w:r w:rsidRPr="00B208E4">
        <w:rPr>
          <w:rFonts w:ascii="Calibri" w:eastAsia="Times New Roman" w:hAnsi="Calibri" w:cs="Segoe UI"/>
          <w:color w:val="1F4E79" w:themeColor="accent1" w:themeShade="80"/>
          <w:sz w:val="28"/>
          <w:szCs w:val="28"/>
          <w:lang w:eastAsia="it-IT"/>
        </w:rPr>
        <w:t xml:space="preserve"> evidente che spetta alla Cassazione il compito di definire in modo omogeneo la propria posizione, eliminando le ventilate incertezze applicative</w:t>
      </w:r>
      <w:r w:rsidR="000A5B85">
        <w:rPr>
          <w:rFonts w:ascii="Calibri" w:eastAsia="Times New Roman" w:hAnsi="Calibri" w:cs="Segoe UI"/>
          <w:color w:val="1F4E79" w:themeColor="accent1" w:themeShade="80"/>
          <w:sz w:val="28"/>
          <w:szCs w:val="28"/>
          <w:lang w:eastAsia="it-IT"/>
        </w:rPr>
        <w:t xml:space="preserve"> e correggendo ingiustificate asimmetrie</w:t>
      </w:r>
      <w:r w:rsidR="004B3CA0">
        <w:rPr>
          <w:rFonts w:ascii="Calibri" w:eastAsia="Times New Roman" w:hAnsi="Calibri" w:cs="Segoe UI"/>
          <w:color w:val="1F4E79" w:themeColor="accent1" w:themeShade="80"/>
          <w:sz w:val="28"/>
          <w:szCs w:val="28"/>
          <w:lang w:eastAsia="it-IT"/>
        </w:rPr>
        <w:t xml:space="preserve"> di interpretazione.</w:t>
      </w:r>
    </w:p>
    <w:p w:rsidR="00073FD3" w:rsidRPr="00B208E4" w:rsidRDefault="00D80DA3"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E, in tale </w:t>
      </w:r>
      <w:r w:rsidR="00824446" w:rsidRPr="00B208E4">
        <w:rPr>
          <w:rFonts w:ascii="Calibri" w:eastAsia="Times New Roman" w:hAnsi="Calibri" w:cs="Segoe UI"/>
          <w:color w:val="1F4E79" w:themeColor="accent1" w:themeShade="80"/>
          <w:sz w:val="28"/>
          <w:szCs w:val="28"/>
          <w:lang w:eastAsia="it-IT"/>
        </w:rPr>
        <w:t>prospettiva</w:t>
      </w:r>
      <w:r w:rsidRPr="00B208E4">
        <w:rPr>
          <w:rFonts w:ascii="Calibri" w:eastAsia="Times New Roman" w:hAnsi="Calibri" w:cs="Segoe UI"/>
          <w:color w:val="1F4E79" w:themeColor="accent1" w:themeShade="80"/>
          <w:sz w:val="28"/>
          <w:szCs w:val="28"/>
          <w:lang w:eastAsia="it-IT"/>
        </w:rPr>
        <w:t xml:space="preserve">, </w:t>
      </w:r>
      <w:r w:rsidR="00824446" w:rsidRPr="00B208E4">
        <w:rPr>
          <w:rFonts w:ascii="Calibri" w:eastAsia="Times New Roman" w:hAnsi="Calibri" w:cs="Segoe UI"/>
          <w:color w:val="1F4E79" w:themeColor="accent1" w:themeShade="80"/>
          <w:sz w:val="28"/>
          <w:szCs w:val="28"/>
          <w:lang w:eastAsia="it-IT"/>
        </w:rPr>
        <w:t xml:space="preserve">riesce davvero difficile sospettare che le Sezioni Unite possano </w:t>
      </w:r>
      <w:r w:rsidR="000A5B85">
        <w:rPr>
          <w:rFonts w:ascii="Calibri" w:eastAsia="Times New Roman" w:hAnsi="Calibri" w:cs="Segoe UI"/>
          <w:color w:val="1F4E79" w:themeColor="accent1" w:themeShade="80"/>
          <w:sz w:val="28"/>
          <w:szCs w:val="28"/>
          <w:lang w:eastAsia="it-IT"/>
        </w:rPr>
        <w:t xml:space="preserve">mai </w:t>
      </w:r>
      <w:r w:rsidR="00824446" w:rsidRPr="00B208E4">
        <w:rPr>
          <w:rFonts w:ascii="Calibri" w:eastAsia="Times New Roman" w:hAnsi="Calibri" w:cs="Segoe UI"/>
          <w:color w:val="1F4E79" w:themeColor="accent1" w:themeShade="80"/>
          <w:sz w:val="28"/>
          <w:szCs w:val="28"/>
          <w:lang w:eastAsia="it-IT"/>
        </w:rPr>
        <w:t>affermare</w:t>
      </w:r>
      <w:r w:rsidR="004B3CA0">
        <w:rPr>
          <w:rFonts w:ascii="Calibri" w:eastAsia="Times New Roman" w:hAnsi="Calibri" w:cs="Segoe UI"/>
          <w:color w:val="1F4E79" w:themeColor="accent1" w:themeShade="80"/>
          <w:sz w:val="28"/>
          <w:szCs w:val="28"/>
          <w:lang w:eastAsia="it-IT"/>
        </w:rPr>
        <w:t>, o addirittura consolidare,</w:t>
      </w:r>
      <w:r w:rsidR="00824446" w:rsidRPr="00B208E4">
        <w:rPr>
          <w:rFonts w:ascii="Calibri" w:eastAsia="Times New Roman" w:hAnsi="Calibri" w:cs="Segoe UI"/>
          <w:color w:val="1F4E79" w:themeColor="accent1" w:themeShade="80"/>
          <w:sz w:val="28"/>
          <w:szCs w:val="28"/>
          <w:lang w:eastAsia="it-IT"/>
        </w:rPr>
        <w:t xml:space="preserve"> una così clamorosa e </w:t>
      </w:r>
      <w:r w:rsidR="000A5B85" w:rsidRPr="00B208E4">
        <w:rPr>
          <w:rFonts w:ascii="Calibri" w:eastAsia="Times New Roman" w:hAnsi="Calibri" w:cs="Segoe UI"/>
          <w:color w:val="1F4E79" w:themeColor="accent1" w:themeShade="80"/>
          <w:sz w:val="28"/>
          <w:szCs w:val="28"/>
          <w:lang w:eastAsia="it-IT"/>
        </w:rPr>
        <w:t>arbitraria</w:t>
      </w:r>
      <w:r w:rsidR="00824446" w:rsidRPr="00B208E4">
        <w:rPr>
          <w:rFonts w:ascii="Calibri" w:eastAsia="Times New Roman" w:hAnsi="Calibri" w:cs="Segoe UI"/>
          <w:color w:val="1F4E79" w:themeColor="accent1" w:themeShade="80"/>
          <w:sz w:val="28"/>
          <w:szCs w:val="28"/>
          <w:lang w:eastAsia="it-IT"/>
        </w:rPr>
        <w:t xml:space="preserve"> </w:t>
      </w:r>
      <w:r w:rsidR="00073FD3" w:rsidRPr="00B208E4">
        <w:rPr>
          <w:rFonts w:ascii="Calibri" w:eastAsia="Times New Roman" w:hAnsi="Calibri" w:cs="Segoe UI"/>
          <w:color w:val="1F4E79" w:themeColor="accent1" w:themeShade="80"/>
          <w:sz w:val="28"/>
          <w:szCs w:val="28"/>
          <w:lang w:eastAsia="it-IT"/>
        </w:rPr>
        <w:t>trasgressione del principio di equivalenza.</w:t>
      </w:r>
    </w:p>
    <w:p w:rsidR="0025194B" w:rsidRPr="00B208E4" w:rsidRDefault="00073FD3"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Va ricordato, comunque, che la CGU</w:t>
      </w:r>
      <w:r w:rsidR="004B3CA0">
        <w:rPr>
          <w:rFonts w:ascii="Calibri" w:eastAsia="Times New Roman" w:hAnsi="Calibri" w:cs="Segoe UI"/>
          <w:color w:val="1F4E79" w:themeColor="accent1" w:themeShade="80"/>
          <w:sz w:val="28"/>
          <w:szCs w:val="28"/>
          <w:lang w:eastAsia="it-IT"/>
        </w:rPr>
        <w:t>E, nello spettro fisiologicamente limitato del propri</w:t>
      </w:r>
      <w:r w:rsidRPr="00B208E4">
        <w:rPr>
          <w:rFonts w:ascii="Calibri" w:eastAsia="Times New Roman" w:hAnsi="Calibri" w:cs="Segoe UI"/>
          <w:color w:val="1F4E79" w:themeColor="accent1" w:themeShade="80"/>
          <w:sz w:val="28"/>
          <w:szCs w:val="28"/>
          <w:lang w:eastAsia="it-IT"/>
        </w:rPr>
        <w:t>o giudizio, ben potrebbe attestarsi sulla rappresentazione fornita dal giudice remittente</w:t>
      </w:r>
      <w:r w:rsidR="00DF65F0" w:rsidRPr="00B208E4">
        <w:rPr>
          <w:rFonts w:ascii="Calibri" w:eastAsia="Times New Roman" w:hAnsi="Calibri" w:cs="Segoe UI"/>
          <w:color w:val="1F4E79" w:themeColor="accent1" w:themeShade="80"/>
          <w:sz w:val="28"/>
          <w:szCs w:val="28"/>
          <w:lang w:eastAsia="it-IT"/>
        </w:rPr>
        <w:t>. Dunque, non è da escludere che la CGUE possa anche affermare</w:t>
      </w:r>
      <w:r w:rsidR="000A5B85">
        <w:rPr>
          <w:rFonts w:ascii="Calibri" w:eastAsia="Times New Roman" w:hAnsi="Calibri" w:cs="Segoe UI"/>
          <w:color w:val="1F4E79" w:themeColor="accent1" w:themeShade="80"/>
          <w:sz w:val="28"/>
          <w:szCs w:val="28"/>
          <w:lang w:eastAsia="it-IT"/>
        </w:rPr>
        <w:t>, in via ipotetica,</w:t>
      </w:r>
      <w:r w:rsidR="00DF65F0" w:rsidRPr="00B208E4">
        <w:rPr>
          <w:rFonts w:ascii="Calibri" w:eastAsia="Times New Roman" w:hAnsi="Calibri" w:cs="Segoe UI"/>
          <w:color w:val="1F4E79" w:themeColor="accent1" w:themeShade="80"/>
          <w:sz w:val="28"/>
          <w:szCs w:val="28"/>
          <w:lang w:eastAsia="it-IT"/>
        </w:rPr>
        <w:t xml:space="preserve"> che se</w:t>
      </w:r>
      <w:r w:rsidR="004B3CA0">
        <w:rPr>
          <w:rFonts w:ascii="Calibri" w:eastAsia="Times New Roman" w:hAnsi="Calibri" w:cs="Segoe UI"/>
          <w:color w:val="1F4E79" w:themeColor="accent1" w:themeShade="80"/>
          <w:sz w:val="28"/>
          <w:szCs w:val="28"/>
          <w:lang w:eastAsia="it-IT"/>
        </w:rPr>
        <w:t>,</w:t>
      </w:r>
      <w:r w:rsidR="00DF65F0" w:rsidRPr="00B208E4">
        <w:rPr>
          <w:rFonts w:ascii="Calibri" w:eastAsia="Times New Roman" w:hAnsi="Calibri" w:cs="Segoe UI"/>
          <w:color w:val="1F4E79" w:themeColor="accent1" w:themeShade="80"/>
          <w:sz w:val="28"/>
          <w:szCs w:val="28"/>
          <w:lang w:eastAsia="it-IT"/>
        </w:rPr>
        <w:t xml:space="preserve"> effettivamente</w:t>
      </w:r>
      <w:r w:rsidR="004B3CA0">
        <w:rPr>
          <w:rFonts w:ascii="Calibri" w:eastAsia="Times New Roman" w:hAnsi="Calibri" w:cs="Segoe UI"/>
          <w:color w:val="1F4E79" w:themeColor="accent1" w:themeShade="80"/>
          <w:sz w:val="28"/>
          <w:szCs w:val="28"/>
          <w:lang w:eastAsia="it-IT"/>
        </w:rPr>
        <w:t>,</w:t>
      </w:r>
      <w:r w:rsidR="00DF65F0" w:rsidRPr="00B208E4">
        <w:rPr>
          <w:rFonts w:ascii="Calibri" w:eastAsia="Times New Roman" w:hAnsi="Calibri" w:cs="Segoe UI"/>
          <w:color w:val="1F4E79" w:themeColor="accent1" w:themeShade="80"/>
          <w:sz w:val="28"/>
          <w:szCs w:val="28"/>
          <w:lang w:eastAsia="it-IT"/>
        </w:rPr>
        <w:t xml:space="preserve"> la Cassazione ha</w:t>
      </w:r>
      <w:r w:rsidR="00F77ADC" w:rsidRPr="00B208E4">
        <w:rPr>
          <w:rFonts w:ascii="Calibri" w:eastAsia="Times New Roman" w:hAnsi="Calibri" w:cs="Segoe UI"/>
          <w:color w:val="1F4E79" w:themeColor="accent1" w:themeShade="80"/>
          <w:sz w:val="28"/>
          <w:szCs w:val="28"/>
          <w:lang w:eastAsia="it-IT"/>
        </w:rPr>
        <w:t xml:space="preserve"> consolidato un </w:t>
      </w:r>
      <w:r w:rsidR="004B3CA0">
        <w:rPr>
          <w:rFonts w:ascii="Calibri" w:eastAsia="Times New Roman" w:hAnsi="Calibri" w:cs="Segoe UI"/>
          <w:color w:val="1F4E79" w:themeColor="accent1" w:themeShade="80"/>
          <w:sz w:val="28"/>
          <w:szCs w:val="28"/>
          <w:lang w:eastAsia="it-IT"/>
        </w:rPr>
        <w:t xml:space="preserve">singolare </w:t>
      </w:r>
      <w:r w:rsidR="00F77ADC" w:rsidRPr="00B208E4">
        <w:rPr>
          <w:rFonts w:ascii="Calibri" w:eastAsia="Times New Roman" w:hAnsi="Calibri" w:cs="Segoe UI"/>
          <w:color w:val="1F4E79" w:themeColor="accent1" w:themeShade="80"/>
          <w:sz w:val="28"/>
          <w:szCs w:val="28"/>
          <w:lang w:eastAsia="it-IT"/>
        </w:rPr>
        <w:t xml:space="preserve">indirizzo interpretativo penalizzante il diritto UE, il sistema </w:t>
      </w:r>
      <w:r w:rsidR="000A5B85">
        <w:rPr>
          <w:rFonts w:ascii="Calibri" w:eastAsia="Times New Roman" w:hAnsi="Calibri" w:cs="Segoe UI"/>
          <w:color w:val="1F4E79" w:themeColor="accent1" w:themeShade="80"/>
          <w:sz w:val="28"/>
          <w:szCs w:val="28"/>
          <w:lang w:eastAsia="it-IT"/>
        </w:rPr>
        <w:t xml:space="preserve">processuale </w:t>
      </w:r>
      <w:r w:rsidR="00F77ADC" w:rsidRPr="00B208E4">
        <w:rPr>
          <w:rFonts w:ascii="Calibri" w:eastAsia="Times New Roman" w:hAnsi="Calibri" w:cs="Segoe UI"/>
          <w:color w:val="1F4E79" w:themeColor="accent1" w:themeShade="80"/>
          <w:sz w:val="28"/>
          <w:szCs w:val="28"/>
          <w:lang w:eastAsia="it-IT"/>
        </w:rPr>
        <w:t>nazionale italiano deve essere riallineato,</w:t>
      </w:r>
      <w:r w:rsidR="000A5B85">
        <w:rPr>
          <w:rFonts w:ascii="Calibri" w:eastAsia="Times New Roman" w:hAnsi="Calibri" w:cs="Segoe UI"/>
          <w:color w:val="1F4E79" w:themeColor="accent1" w:themeShade="80"/>
          <w:sz w:val="28"/>
          <w:szCs w:val="28"/>
          <w:lang w:eastAsia="it-IT"/>
        </w:rPr>
        <w:t xml:space="preserve"> consentendo il ricorso per cassazione diretto a censurare una violazione del diritto UE</w:t>
      </w:r>
      <w:r w:rsidR="004B3CA0">
        <w:rPr>
          <w:rFonts w:ascii="Calibri" w:eastAsia="Times New Roman" w:hAnsi="Calibri" w:cs="Segoe UI"/>
          <w:color w:val="1F4E79" w:themeColor="accent1" w:themeShade="80"/>
          <w:sz w:val="28"/>
          <w:szCs w:val="28"/>
          <w:lang w:eastAsia="it-IT"/>
        </w:rPr>
        <w:t xml:space="preserve"> alle</w:t>
      </w:r>
      <w:r w:rsidR="00F05182">
        <w:rPr>
          <w:rFonts w:ascii="Calibri" w:eastAsia="Times New Roman" w:hAnsi="Calibri" w:cs="Segoe UI"/>
          <w:color w:val="1F4E79" w:themeColor="accent1" w:themeShade="80"/>
          <w:sz w:val="28"/>
          <w:szCs w:val="28"/>
          <w:lang w:eastAsia="it-IT"/>
        </w:rPr>
        <w:t xml:space="preserve"> medesime condizioni previste per la proposizione del ricorso che lamenti la trasgressione del diritto nazionale</w:t>
      </w:r>
      <w:r w:rsidR="00F77ADC" w:rsidRPr="00B208E4">
        <w:rPr>
          <w:rFonts w:ascii="Calibri" w:eastAsia="Times New Roman" w:hAnsi="Calibri" w:cs="Segoe UI"/>
          <w:color w:val="1F4E79" w:themeColor="accent1" w:themeShade="80"/>
          <w:sz w:val="28"/>
          <w:szCs w:val="28"/>
          <w:lang w:eastAsia="it-IT"/>
        </w:rPr>
        <w:t>.</w:t>
      </w:r>
      <w:r w:rsidR="004B3CA0">
        <w:rPr>
          <w:rFonts w:ascii="Calibri" w:eastAsia="Times New Roman" w:hAnsi="Calibri" w:cs="Segoe UI"/>
          <w:color w:val="1F4E79" w:themeColor="accent1" w:themeShade="80"/>
          <w:sz w:val="28"/>
          <w:szCs w:val="28"/>
          <w:lang w:eastAsia="it-IT"/>
        </w:rPr>
        <w:t xml:space="preserve"> Una eventuale pronuncia di tale contenuto, tuttavia, sarebbe </w:t>
      </w:r>
      <w:r w:rsidR="004B3CA0" w:rsidRPr="004B3CA0">
        <w:rPr>
          <w:rFonts w:ascii="Calibri" w:eastAsia="Times New Roman" w:hAnsi="Calibri" w:cs="Segoe UI"/>
          <w:i/>
          <w:color w:val="1F4E79" w:themeColor="accent1" w:themeShade="80"/>
          <w:sz w:val="28"/>
          <w:szCs w:val="28"/>
          <w:lang w:eastAsia="it-IT"/>
        </w:rPr>
        <w:t>inutiliter data</w:t>
      </w:r>
      <w:r w:rsidR="004B3CA0">
        <w:rPr>
          <w:rFonts w:ascii="Calibri" w:eastAsia="Times New Roman" w:hAnsi="Calibri" w:cs="Segoe UI"/>
          <w:color w:val="1F4E79" w:themeColor="accent1" w:themeShade="80"/>
          <w:sz w:val="28"/>
          <w:szCs w:val="28"/>
          <w:lang w:eastAsia="it-IT"/>
        </w:rPr>
        <w:t>, dal momento che l’ipotizzata mancanza di equivalenza non sembra sussistere nella realtà.</w:t>
      </w:r>
    </w:p>
    <w:p w:rsidR="00D45908" w:rsidRPr="00B208E4" w:rsidRDefault="004B3CA0"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Sarebbe </w:t>
      </w:r>
      <w:r w:rsidR="0025194B" w:rsidRPr="00B208E4">
        <w:rPr>
          <w:rFonts w:ascii="Calibri" w:eastAsia="Times New Roman" w:hAnsi="Calibri" w:cs="Segoe UI"/>
          <w:color w:val="1F4E79" w:themeColor="accent1" w:themeShade="80"/>
          <w:sz w:val="28"/>
          <w:szCs w:val="28"/>
          <w:lang w:eastAsia="it-IT"/>
        </w:rPr>
        <w:t>preferibile</w:t>
      </w:r>
      <w:r>
        <w:rPr>
          <w:rFonts w:ascii="Calibri" w:eastAsia="Times New Roman" w:hAnsi="Calibri" w:cs="Segoe UI"/>
          <w:color w:val="1F4E79" w:themeColor="accent1" w:themeShade="80"/>
          <w:sz w:val="28"/>
          <w:szCs w:val="28"/>
          <w:lang w:eastAsia="it-IT"/>
        </w:rPr>
        <w:t>, comunque,</w:t>
      </w:r>
      <w:r w:rsidR="0025194B" w:rsidRPr="00B208E4">
        <w:rPr>
          <w:rFonts w:ascii="Calibri" w:eastAsia="Times New Roman" w:hAnsi="Calibri" w:cs="Segoe UI"/>
          <w:color w:val="1F4E79" w:themeColor="accent1" w:themeShade="80"/>
          <w:sz w:val="28"/>
          <w:szCs w:val="28"/>
          <w:lang w:eastAsia="it-IT"/>
        </w:rPr>
        <w:t xml:space="preserve"> che il giudizio dinanzi alla Corte non sia caratterizzato da fraintendimenti e deformazioni dei suoi presupposti. Allo stato, non sembra proprio che, nella normativa vigente e nella prassi delle Sezioni Unite, </w:t>
      </w:r>
      <w:r w:rsidR="00D45908" w:rsidRPr="00B208E4">
        <w:rPr>
          <w:rFonts w:ascii="Calibri" w:eastAsia="Times New Roman" w:hAnsi="Calibri" w:cs="Segoe UI"/>
          <w:color w:val="1F4E79" w:themeColor="accent1" w:themeShade="80"/>
          <w:sz w:val="28"/>
          <w:szCs w:val="28"/>
          <w:lang w:eastAsia="it-IT"/>
        </w:rPr>
        <w:t>vi siano minacce</w:t>
      </w:r>
      <w:r w:rsidR="00F05182">
        <w:rPr>
          <w:rFonts w:ascii="Calibri" w:eastAsia="Times New Roman" w:hAnsi="Calibri" w:cs="Segoe UI"/>
          <w:color w:val="1F4E79" w:themeColor="accent1" w:themeShade="80"/>
          <w:sz w:val="28"/>
          <w:szCs w:val="28"/>
          <w:lang w:eastAsia="it-IT"/>
        </w:rPr>
        <w:t>, anche remote, o solo potenziali,</w:t>
      </w:r>
      <w:r w:rsidR="00D45908" w:rsidRPr="00B208E4">
        <w:rPr>
          <w:rFonts w:ascii="Calibri" w:eastAsia="Times New Roman" w:hAnsi="Calibri" w:cs="Segoe UI"/>
          <w:color w:val="1F4E79" w:themeColor="accent1" w:themeShade="80"/>
          <w:sz w:val="28"/>
          <w:szCs w:val="28"/>
          <w:lang w:eastAsia="it-IT"/>
        </w:rPr>
        <w:t xml:space="preserve"> al principio di equivalenza.</w:t>
      </w:r>
    </w:p>
    <w:p w:rsidR="001B7157" w:rsidRPr="00B208E4" w:rsidRDefault="001B7157"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p>
    <w:p w:rsidR="00576E0D" w:rsidRPr="00207D69" w:rsidRDefault="003C1C9B" w:rsidP="00FB7048">
      <w:pPr>
        <w:numPr>
          <w:ilvl w:val="0"/>
          <w:numId w:val="1"/>
        </w:numPr>
        <w:shd w:val="clear" w:color="auto" w:fill="FFFFFF"/>
        <w:tabs>
          <w:tab w:val="left" w:pos="0"/>
        </w:tabs>
        <w:spacing w:after="120" w:line="240" w:lineRule="auto"/>
        <w:ind w:left="0" w:firstLine="709"/>
        <w:jc w:val="both"/>
        <w:textAlignment w:val="baseline"/>
        <w:rPr>
          <w:rFonts w:eastAsia="Times New Roman" w:cs="Tahoma"/>
          <w:smallCaps/>
          <w:color w:val="1F4E79" w:themeColor="accent1" w:themeShade="80"/>
          <w:sz w:val="28"/>
          <w:szCs w:val="28"/>
          <w:bdr w:val="none" w:sz="0" w:space="0" w:color="auto" w:frame="1"/>
          <w:lang w:eastAsia="it-IT"/>
        </w:rPr>
      </w:pPr>
      <w:r w:rsidRPr="00207D69">
        <w:rPr>
          <w:rFonts w:eastAsia="Georgia"/>
          <w:smallCaps/>
          <w:color w:val="1F4E79" w:themeColor="accent1" w:themeShade="80"/>
          <w:spacing w:val="1"/>
          <w:sz w:val="28"/>
          <w:szCs w:val="28"/>
        </w:rPr>
        <w:t xml:space="preserve">L’assetto italiano viola il principio di </w:t>
      </w:r>
      <w:r w:rsidRPr="00207D69">
        <w:rPr>
          <w:rFonts w:eastAsia="Georgia"/>
          <w:i/>
          <w:smallCaps/>
          <w:color w:val="1F4E79" w:themeColor="accent1" w:themeShade="80"/>
          <w:spacing w:val="1"/>
          <w:sz w:val="28"/>
          <w:szCs w:val="28"/>
        </w:rPr>
        <w:t>effettività</w:t>
      </w:r>
      <w:r w:rsidRPr="00207D69">
        <w:rPr>
          <w:rFonts w:eastAsia="Georgia"/>
          <w:smallCaps/>
          <w:color w:val="1F4E79" w:themeColor="accent1" w:themeShade="80"/>
          <w:spacing w:val="1"/>
          <w:sz w:val="28"/>
          <w:szCs w:val="28"/>
        </w:rPr>
        <w:t xml:space="preserve"> nella tutela giurisdizionale delle posizioni giuridiche protette dal diritto UE</w:t>
      </w:r>
      <w:r w:rsidR="00442BDA" w:rsidRPr="00207D69">
        <w:rPr>
          <w:rFonts w:eastAsia="Georgia"/>
          <w:smallCaps/>
          <w:color w:val="1F4E79" w:themeColor="accent1" w:themeShade="80"/>
          <w:spacing w:val="1"/>
          <w:sz w:val="28"/>
          <w:szCs w:val="28"/>
        </w:rPr>
        <w:t>?</w:t>
      </w:r>
      <w:r w:rsidR="004B3CA0" w:rsidRPr="00207D69">
        <w:rPr>
          <w:rFonts w:eastAsia="Georgia"/>
          <w:smallCaps/>
          <w:color w:val="1F4E79" w:themeColor="accent1" w:themeShade="80"/>
          <w:spacing w:val="1"/>
          <w:sz w:val="28"/>
          <w:szCs w:val="28"/>
        </w:rPr>
        <w:t xml:space="preserve"> L’equivoco della asserita necessità della verifica in concreto.</w:t>
      </w:r>
    </w:p>
    <w:p w:rsidR="000472F0" w:rsidRPr="00B208E4" w:rsidRDefault="000472F0"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Sgombrato il campo da una insussistente violazione del principi di </w:t>
      </w:r>
      <w:r w:rsidRPr="00442BDA">
        <w:rPr>
          <w:rFonts w:ascii="Calibri" w:eastAsia="Times New Roman" w:hAnsi="Calibri" w:cs="Segoe UI"/>
          <w:i/>
          <w:color w:val="1F4E79" w:themeColor="accent1" w:themeShade="80"/>
          <w:sz w:val="28"/>
          <w:szCs w:val="28"/>
          <w:lang w:eastAsia="it-IT"/>
        </w:rPr>
        <w:t>equivalenza</w:t>
      </w:r>
      <w:r w:rsidRPr="00B208E4">
        <w:rPr>
          <w:rFonts w:ascii="Calibri" w:eastAsia="Times New Roman" w:hAnsi="Calibri" w:cs="Segoe UI"/>
          <w:color w:val="1F4E79" w:themeColor="accent1" w:themeShade="80"/>
          <w:sz w:val="28"/>
          <w:szCs w:val="28"/>
          <w:lang w:eastAsia="it-IT"/>
        </w:rPr>
        <w:t xml:space="preserve">, non resta che esaminare </w:t>
      </w:r>
      <w:r w:rsidR="00F05182">
        <w:rPr>
          <w:rFonts w:ascii="Calibri" w:eastAsia="Times New Roman" w:hAnsi="Calibri" w:cs="Segoe UI"/>
          <w:color w:val="1F4E79" w:themeColor="accent1" w:themeShade="80"/>
          <w:sz w:val="28"/>
          <w:szCs w:val="28"/>
          <w:lang w:eastAsia="it-IT"/>
        </w:rPr>
        <w:t>il breve passaggio motivazionale del</w:t>
      </w:r>
      <w:r w:rsidR="00F05182" w:rsidRPr="00B208E4">
        <w:rPr>
          <w:rFonts w:ascii="Calibri" w:eastAsia="Times New Roman" w:hAnsi="Calibri" w:cs="Segoe UI"/>
          <w:color w:val="1F4E79" w:themeColor="accent1" w:themeShade="80"/>
          <w:sz w:val="28"/>
          <w:szCs w:val="28"/>
          <w:lang w:eastAsia="it-IT"/>
        </w:rPr>
        <w:t xml:space="preserve">l’ordinanza </w:t>
      </w:r>
      <w:r w:rsidR="00442BDA">
        <w:rPr>
          <w:rFonts w:ascii="Calibri" w:eastAsia="Times New Roman" w:hAnsi="Calibri" w:cs="Segoe UI"/>
          <w:color w:val="1F4E79" w:themeColor="accent1" w:themeShade="80"/>
          <w:sz w:val="28"/>
          <w:szCs w:val="28"/>
          <w:lang w:eastAsia="it-IT"/>
        </w:rPr>
        <w:t xml:space="preserve">riguardante la compatibilità tra </w:t>
      </w:r>
      <w:r w:rsidR="004B3CA0">
        <w:rPr>
          <w:rFonts w:ascii="Calibri" w:eastAsia="Times New Roman" w:hAnsi="Calibri" w:cs="Segoe UI"/>
          <w:color w:val="1F4E79" w:themeColor="accent1" w:themeShade="80"/>
          <w:sz w:val="28"/>
          <w:szCs w:val="28"/>
          <w:lang w:eastAsia="it-IT"/>
        </w:rPr>
        <w:t>l’</w:t>
      </w:r>
      <w:r w:rsidR="00442BDA">
        <w:rPr>
          <w:rFonts w:ascii="Calibri" w:eastAsia="Times New Roman" w:hAnsi="Calibri" w:cs="Segoe UI"/>
          <w:color w:val="1F4E79" w:themeColor="accent1" w:themeShade="80"/>
          <w:sz w:val="28"/>
          <w:szCs w:val="28"/>
          <w:lang w:eastAsia="it-IT"/>
        </w:rPr>
        <w:t>autonomia procedurale degli Stati membri e</w:t>
      </w:r>
      <w:r w:rsidRPr="00B208E4">
        <w:rPr>
          <w:rFonts w:ascii="Calibri" w:eastAsia="Times New Roman" w:hAnsi="Calibri" w:cs="Segoe UI"/>
          <w:color w:val="1F4E79" w:themeColor="accent1" w:themeShade="80"/>
          <w:sz w:val="28"/>
          <w:szCs w:val="28"/>
          <w:lang w:eastAsia="it-IT"/>
        </w:rPr>
        <w:t xml:space="preserve"> </w:t>
      </w:r>
      <w:r w:rsidR="004B3CA0">
        <w:rPr>
          <w:rFonts w:ascii="Calibri" w:eastAsia="Times New Roman" w:hAnsi="Calibri" w:cs="Segoe UI"/>
          <w:color w:val="1F4E79" w:themeColor="accent1" w:themeShade="80"/>
          <w:sz w:val="28"/>
          <w:szCs w:val="28"/>
          <w:lang w:eastAsia="it-IT"/>
        </w:rPr>
        <w:t xml:space="preserve">il </w:t>
      </w:r>
      <w:r w:rsidRPr="00B208E4">
        <w:rPr>
          <w:rFonts w:ascii="Calibri" w:eastAsia="Times New Roman" w:hAnsi="Calibri" w:cs="Segoe UI"/>
          <w:color w:val="1F4E79" w:themeColor="accent1" w:themeShade="80"/>
          <w:sz w:val="28"/>
          <w:szCs w:val="28"/>
          <w:lang w:eastAsia="it-IT"/>
        </w:rPr>
        <w:t>principio di effettività della tutela giurisdizionale.</w:t>
      </w:r>
    </w:p>
    <w:p w:rsidR="00F05182" w:rsidRDefault="000472F0"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Non vi è dubbio che la CGUE</w:t>
      </w:r>
      <w:r w:rsidR="004B3CA0">
        <w:rPr>
          <w:rFonts w:ascii="Calibri" w:eastAsia="Times New Roman" w:hAnsi="Calibri" w:cs="Segoe UI"/>
          <w:color w:val="1F4E79" w:themeColor="accent1" w:themeShade="80"/>
          <w:sz w:val="28"/>
          <w:szCs w:val="28"/>
          <w:lang w:eastAsia="it-IT"/>
        </w:rPr>
        <w:t>, qualora decida di affrontare il merito del quesito, ancorché in modo sommario,</w:t>
      </w:r>
      <w:r w:rsidRPr="00B208E4">
        <w:rPr>
          <w:rFonts w:ascii="Calibri" w:eastAsia="Times New Roman" w:hAnsi="Calibri" w:cs="Segoe UI"/>
          <w:color w:val="1F4E79" w:themeColor="accent1" w:themeShade="80"/>
          <w:sz w:val="28"/>
          <w:szCs w:val="28"/>
          <w:lang w:eastAsia="it-IT"/>
        </w:rPr>
        <w:t xml:space="preserve"> concentrerà l’attenzione su questo</w:t>
      </w:r>
      <w:r w:rsidR="00C30F7C">
        <w:rPr>
          <w:rFonts w:ascii="Calibri" w:eastAsia="Times New Roman" w:hAnsi="Calibri" w:cs="Segoe UI"/>
          <w:color w:val="1F4E79" w:themeColor="accent1" w:themeShade="80"/>
          <w:sz w:val="28"/>
          <w:szCs w:val="28"/>
          <w:lang w:eastAsia="it-IT"/>
        </w:rPr>
        <w:t xml:space="preserve"> </w:t>
      </w:r>
      <w:r w:rsidR="00F05182">
        <w:rPr>
          <w:rFonts w:ascii="Calibri" w:eastAsia="Times New Roman" w:hAnsi="Calibri" w:cs="Segoe UI"/>
          <w:color w:val="1F4E79" w:themeColor="accent1" w:themeShade="80"/>
          <w:sz w:val="28"/>
          <w:szCs w:val="28"/>
          <w:lang w:eastAsia="it-IT"/>
        </w:rPr>
        <w:t xml:space="preserve">essenziale </w:t>
      </w:r>
      <w:r w:rsidRPr="00B208E4">
        <w:rPr>
          <w:rFonts w:ascii="Calibri" w:eastAsia="Times New Roman" w:hAnsi="Calibri" w:cs="Segoe UI"/>
          <w:color w:val="1F4E79" w:themeColor="accent1" w:themeShade="80"/>
          <w:sz w:val="28"/>
          <w:szCs w:val="28"/>
          <w:lang w:eastAsia="it-IT"/>
        </w:rPr>
        <w:t>aspetto e non su</w:t>
      </w:r>
      <w:r w:rsidR="00EC2D2C" w:rsidRPr="00B208E4">
        <w:rPr>
          <w:rFonts w:ascii="Calibri" w:eastAsia="Times New Roman" w:hAnsi="Calibri" w:cs="Segoe UI"/>
          <w:color w:val="1F4E79" w:themeColor="accent1" w:themeShade="80"/>
          <w:sz w:val="28"/>
          <w:szCs w:val="28"/>
          <w:lang w:eastAsia="it-IT"/>
        </w:rPr>
        <w:t>gli altri argomenti</w:t>
      </w:r>
      <w:r w:rsidR="00F05182">
        <w:rPr>
          <w:rFonts w:ascii="Calibri" w:eastAsia="Times New Roman" w:hAnsi="Calibri" w:cs="Segoe UI"/>
          <w:color w:val="1F4E79" w:themeColor="accent1" w:themeShade="80"/>
          <w:sz w:val="28"/>
          <w:szCs w:val="28"/>
          <w:lang w:eastAsia="it-IT"/>
        </w:rPr>
        <w:t xml:space="preserve">, considerando la loro scarsa persuasività e </w:t>
      </w:r>
      <w:r w:rsidR="004B3CA0">
        <w:rPr>
          <w:rFonts w:ascii="Calibri" w:eastAsia="Times New Roman" w:hAnsi="Calibri" w:cs="Segoe UI"/>
          <w:color w:val="1F4E79" w:themeColor="accent1" w:themeShade="80"/>
          <w:sz w:val="28"/>
          <w:szCs w:val="28"/>
          <w:lang w:eastAsia="it-IT"/>
        </w:rPr>
        <w:t>l’</w:t>
      </w:r>
      <w:r w:rsidR="00F05182">
        <w:rPr>
          <w:rFonts w:ascii="Calibri" w:eastAsia="Times New Roman" w:hAnsi="Calibri" w:cs="Segoe UI"/>
          <w:color w:val="1F4E79" w:themeColor="accent1" w:themeShade="80"/>
          <w:sz w:val="28"/>
          <w:szCs w:val="28"/>
          <w:lang w:eastAsia="it-IT"/>
        </w:rPr>
        <w:t xml:space="preserve">assenza di </w:t>
      </w:r>
      <w:r w:rsidR="004B3CA0">
        <w:rPr>
          <w:rFonts w:ascii="Calibri" w:eastAsia="Times New Roman" w:hAnsi="Calibri" w:cs="Segoe UI"/>
          <w:color w:val="1F4E79" w:themeColor="accent1" w:themeShade="80"/>
          <w:sz w:val="28"/>
          <w:szCs w:val="28"/>
          <w:lang w:eastAsia="it-IT"/>
        </w:rPr>
        <w:t xml:space="preserve">sufficiente </w:t>
      </w:r>
      <w:r w:rsidR="00F05182">
        <w:rPr>
          <w:rFonts w:ascii="Calibri" w:eastAsia="Times New Roman" w:hAnsi="Calibri" w:cs="Segoe UI"/>
          <w:color w:val="1F4E79" w:themeColor="accent1" w:themeShade="80"/>
          <w:sz w:val="28"/>
          <w:szCs w:val="28"/>
          <w:lang w:eastAsia="it-IT"/>
        </w:rPr>
        <w:t>pertinenza rispetto alla logica del diritto eurounitario</w:t>
      </w:r>
      <w:r w:rsidR="00EC2D2C" w:rsidRPr="00B208E4">
        <w:rPr>
          <w:rFonts w:ascii="Calibri" w:eastAsia="Times New Roman" w:hAnsi="Calibri" w:cs="Segoe UI"/>
          <w:color w:val="1F4E79" w:themeColor="accent1" w:themeShade="80"/>
          <w:sz w:val="28"/>
          <w:szCs w:val="28"/>
          <w:lang w:eastAsia="it-IT"/>
        </w:rPr>
        <w:t>.</w:t>
      </w:r>
    </w:p>
    <w:p w:rsidR="001F2D19" w:rsidRPr="00B208E4" w:rsidRDefault="00EC2D2C"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Pertanto, ci si sarebbe potuti attendere </w:t>
      </w:r>
      <w:r w:rsidR="004B3CA0">
        <w:rPr>
          <w:rFonts w:ascii="Calibri" w:eastAsia="Times New Roman" w:hAnsi="Calibri" w:cs="Segoe UI"/>
          <w:color w:val="1F4E79" w:themeColor="accent1" w:themeShade="80"/>
          <w:sz w:val="28"/>
          <w:szCs w:val="28"/>
          <w:lang w:eastAsia="it-IT"/>
        </w:rPr>
        <w:t xml:space="preserve">dall’ordinanza </w:t>
      </w:r>
      <w:r w:rsidRPr="00B208E4">
        <w:rPr>
          <w:rFonts w:ascii="Calibri" w:eastAsia="Times New Roman" w:hAnsi="Calibri" w:cs="Segoe UI"/>
          <w:color w:val="1F4E79" w:themeColor="accent1" w:themeShade="80"/>
          <w:sz w:val="28"/>
          <w:szCs w:val="28"/>
          <w:lang w:eastAsia="it-IT"/>
        </w:rPr>
        <w:t xml:space="preserve">un’analisi ampia e </w:t>
      </w:r>
      <w:r w:rsidR="001F2D19" w:rsidRPr="00B208E4">
        <w:rPr>
          <w:rFonts w:ascii="Calibri" w:eastAsia="Times New Roman" w:hAnsi="Calibri" w:cs="Segoe UI"/>
          <w:color w:val="1F4E79" w:themeColor="accent1" w:themeShade="80"/>
          <w:sz w:val="28"/>
          <w:szCs w:val="28"/>
          <w:lang w:eastAsia="it-IT"/>
        </w:rPr>
        <w:t>diffusa</w:t>
      </w:r>
      <w:r w:rsidR="004B3CA0">
        <w:rPr>
          <w:rFonts w:ascii="Calibri" w:eastAsia="Times New Roman" w:hAnsi="Calibri" w:cs="Segoe UI"/>
          <w:color w:val="1F4E79" w:themeColor="accent1" w:themeShade="80"/>
          <w:sz w:val="28"/>
          <w:szCs w:val="28"/>
          <w:lang w:eastAsia="it-IT"/>
        </w:rPr>
        <w:t xml:space="preserve"> del problema</w:t>
      </w:r>
      <w:r w:rsidR="001F2D19" w:rsidRPr="00B208E4">
        <w:rPr>
          <w:rFonts w:ascii="Calibri" w:eastAsia="Times New Roman" w:hAnsi="Calibri" w:cs="Segoe UI"/>
          <w:color w:val="1F4E79" w:themeColor="accent1" w:themeShade="80"/>
          <w:sz w:val="28"/>
          <w:szCs w:val="28"/>
          <w:lang w:eastAsia="it-IT"/>
        </w:rPr>
        <w:t xml:space="preserve">, accompagnata dalla chiara enunciazione dei punti </w:t>
      </w:r>
      <w:r w:rsidR="00F05182">
        <w:rPr>
          <w:rFonts w:ascii="Calibri" w:eastAsia="Times New Roman" w:hAnsi="Calibri" w:cs="Segoe UI"/>
          <w:color w:val="1F4E79" w:themeColor="accent1" w:themeShade="80"/>
          <w:sz w:val="28"/>
          <w:szCs w:val="28"/>
          <w:lang w:eastAsia="it-IT"/>
        </w:rPr>
        <w:t xml:space="preserve">ritenuti </w:t>
      </w:r>
      <w:r w:rsidR="001F2D19" w:rsidRPr="00B208E4">
        <w:rPr>
          <w:rFonts w:ascii="Calibri" w:eastAsia="Times New Roman" w:hAnsi="Calibri" w:cs="Segoe UI"/>
          <w:color w:val="1F4E79" w:themeColor="accent1" w:themeShade="80"/>
          <w:sz w:val="28"/>
          <w:szCs w:val="28"/>
          <w:lang w:eastAsia="it-IT"/>
        </w:rPr>
        <w:t xml:space="preserve">critici del </w:t>
      </w:r>
      <w:r w:rsidR="004B3CA0">
        <w:rPr>
          <w:rFonts w:ascii="Calibri" w:eastAsia="Times New Roman" w:hAnsi="Calibri" w:cs="Segoe UI"/>
          <w:color w:val="1F4E79" w:themeColor="accent1" w:themeShade="80"/>
          <w:sz w:val="28"/>
          <w:szCs w:val="28"/>
          <w:lang w:eastAsia="it-IT"/>
        </w:rPr>
        <w:t xml:space="preserve">vigente </w:t>
      </w:r>
      <w:r w:rsidR="001F2D19" w:rsidRPr="00B208E4">
        <w:rPr>
          <w:rFonts w:ascii="Calibri" w:eastAsia="Times New Roman" w:hAnsi="Calibri" w:cs="Segoe UI"/>
          <w:color w:val="1F4E79" w:themeColor="accent1" w:themeShade="80"/>
          <w:sz w:val="28"/>
          <w:szCs w:val="28"/>
          <w:lang w:eastAsia="it-IT"/>
        </w:rPr>
        <w:t xml:space="preserve">sistema </w:t>
      </w:r>
      <w:r w:rsidR="00F05182">
        <w:rPr>
          <w:rFonts w:ascii="Calibri" w:eastAsia="Times New Roman" w:hAnsi="Calibri" w:cs="Segoe UI"/>
          <w:color w:val="1F4E79" w:themeColor="accent1" w:themeShade="80"/>
          <w:sz w:val="28"/>
          <w:szCs w:val="28"/>
          <w:lang w:eastAsia="it-IT"/>
        </w:rPr>
        <w:t xml:space="preserve">processuale </w:t>
      </w:r>
      <w:r w:rsidR="00C30F7C" w:rsidRPr="00B208E4">
        <w:rPr>
          <w:rFonts w:ascii="Calibri" w:eastAsia="Times New Roman" w:hAnsi="Calibri" w:cs="Segoe UI"/>
          <w:color w:val="1F4E79" w:themeColor="accent1" w:themeShade="80"/>
          <w:sz w:val="28"/>
          <w:szCs w:val="28"/>
          <w:lang w:eastAsia="it-IT"/>
        </w:rPr>
        <w:t>italiano</w:t>
      </w:r>
      <w:r w:rsidR="004B3CA0">
        <w:rPr>
          <w:rFonts w:ascii="Calibri" w:eastAsia="Times New Roman" w:hAnsi="Calibri" w:cs="Segoe UI"/>
          <w:color w:val="1F4E79" w:themeColor="accent1" w:themeShade="80"/>
          <w:sz w:val="28"/>
          <w:szCs w:val="28"/>
          <w:lang w:eastAsia="it-IT"/>
        </w:rPr>
        <w:t>, per la parte in cui prevede due gradi fi giurisdizione amministrativa, oltre al ricorso in cassazione per i soli motivi inerenti alla giurisdizione</w:t>
      </w:r>
      <w:r w:rsidR="001F2D19" w:rsidRPr="00B208E4">
        <w:rPr>
          <w:rFonts w:ascii="Calibri" w:eastAsia="Times New Roman" w:hAnsi="Calibri" w:cs="Segoe UI"/>
          <w:color w:val="1F4E79" w:themeColor="accent1" w:themeShade="80"/>
          <w:sz w:val="28"/>
          <w:szCs w:val="28"/>
          <w:lang w:eastAsia="it-IT"/>
        </w:rPr>
        <w:t>.</w:t>
      </w:r>
    </w:p>
    <w:p w:rsidR="001B7157" w:rsidRPr="00B208E4" w:rsidRDefault="00C1602C"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L’ordinanza in esame, invece, risolve la propria argomentazione nell’</w:t>
      </w:r>
      <w:r w:rsidR="00F05182">
        <w:rPr>
          <w:rFonts w:ascii="Calibri" w:eastAsia="Times New Roman" w:hAnsi="Calibri" w:cs="Segoe UI"/>
          <w:color w:val="1F4E79" w:themeColor="accent1" w:themeShade="80"/>
          <w:sz w:val="28"/>
          <w:szCs w:val="28"/>
          <w:lang w:eastAsia="it-IT"/>
        </w:rPr>
        <w:t xml:space="preserve">assiomatico </w:t>
      </w:r>
      <w:r w:rsidRPr="00B208E4">
        <w:rPr>
          <w:rFonts w:ascii="Calibri" w:eastAsia="Times New Roman" w:hAnsi="Calibri" w:cs="Segoe UI"/>
          <w:color w:val="1F4E79" w:themeColor="accent1" w:themeShade="80"/>
          <w:sz w:val="28"/>
          <w:szCs w:val="28"/>
          <w:lang w:eastAsia="it-IT"/>
        </w:rPr>
        <w:t xml:space="preserve">enunciato secondo cui non </w:t>
      </w:r>
      <w:r w:rsidR="001B7157" w:rsidRPr="00B208E4">
        <w:rPr>
          <w:rFonts w:ascii="Calibri" w:eastAsia="Times New Roman" w:hAnsi="Calibri" w:cs="Segoe UI"/>
          <w:color w:val="1F4E79" w:themeColor="accent1" w:themeShade="80"/>
          <w:sz w:val="28"/>
          <w:szCs w:val="28"/>
          <w:lang w:eastAsia="it-IT"/>
        </w:rPr>
        <w:t>sarebbe rispettato il principio di effettività, poiché esso, inteso «</w:t>
      </w:r>
      <w:r w:rsidR="001B7157" w:rsidRPr="00C30F7C">
        <w:rPr>
          <w:rFonts w:ascii="Calibri" w:eastAsia="Times New Roman" w:hAnsi="Calibri" w:cs="Segoe UI"/>
          <w:i/>
          <w:color w:val="1F4E79" w:themeColor="accent1" w:themeShade="80"/>
          <w:sz w:val="28"/>
          <w:szCs w:val="28"/>
          <w:lang w:eastAsia="it-IT"/>
        </w:rPr>
        <w:t>non in astratto ma in concreto, in relazione al procedimento di formazione della decisione giurisdizionale</w:t>
      </w:r>
      <w:r w:rsidR="001B7157" w:rsidRPr="00B208E4">
        <w:rPr>
          <w:rFonts w:ascii="Calibri" w:eastAsia="Times New Roman" w:hAnsi="Calibri" w:cs="Segoe UI"/>
          <w:color w:val="1F4E79" w:themeColor="accent1" w:themeShade="80"/>
          <w:sz w:val="28"/>
          <w:szCs w:val="28"/>
          <w:lang w:eastAsia="it-IT"/>
        </w:rPr>
        <w:t>»</w:t>
      </w:r>
      <w:r w:rsidR="00F05182">
        <w:rPr>
          <w:rFonts w:ascii="Calibri" w:eastAsia="Times New Roman" w:hAnsi="Calibri" w:cs="Segoe UI"/>
          <w:color w:val="1F4E79" w:themeColor="accent1" w:themeShade="80"/>
          <w:sz w:val="28"/>
          <w:szCs w:val="28"/>
          <w:lang w:eastAsia="it-IT"/>
        </w:rPr>
        <w:t xml:space="preserve"> (punto 43 della motivazione)</w:t>
      </w:r>
      <w:r w:rsidR="001B7157" w:rsidRPr="00B208E4">
        <w:rPr>
          <w:rFonts w:ascii="Calibri" w:eastAsia="Times New Roman" w:hAnsi="Calibri" w:cs="Segoe UI"/>
          <w:color w:val="1F4E79" w:themeColor="accent1" w:themeShade="80"/>
          <w:sz w:val="28"/>
          <w:szCs w:val="28"/>
          <w:lang w:eastAsia="it-IT"/>
        </w:rPr>
        <w:t xml:space="preserve">, </w:t>
      </w:r>
      <w:r w:rsidR="00F05182">
        <w:rPr>
          <w:rFonts w:ascii="Calibri" w:eastAsia="Times New Roman" w:hAnsi="Calibri" w:cs="Segoe UI"/>
          <w:color w:val="1F4E79" w:themeColor="accent1" w:themeShade="80"/>
          <w:sz w:val="28"/>
          <w:szCs w:val="28"/>
          <w:lang w:eastAsia="it-IT"/>
        </w:rPr>
        <w:t xml:space="preserve">dovrebbe sempre </w:t>
      </w:r>
      <w:r w:rsidR="001B7157" w:rsidRPr="00B208E4">
        <w:rPr>
          <w:rFonts w:ascii="Calibri" w:eastAsia="Times New Roman" w:hAnsi="Calibri" w:cs="Segoe UI"/>
          <w:color w:val="1F4E79" w:themeColor="accent1" w:themeShade="80"/>
          <w:sz w:val="28"/>
          <w:szCs w:val="28"/>
          <w:lang w:eastAsia="it-IT"/>
        </w:rPr>
        <w:t>imporre un esame del merito della controversia</w:t>
      </w:r>
      <w:r w:rsidR="00C30F7C">
        <w:rPr>
          <w:rFonts w:ascii="Calibri" w:eastAsia="Times New Roman" w:hAnsi="Calibri" w:cs="Segoe UI"/>
          <w:color w:val="1F4E79" w:themeColor="accent1" w:themeShade="80"/>
          <w:sz w:val="28"/>
          <w:szCs w:val="28"/>
          <w:lang w:eastAsia="it-IT"/>
        </w:rPr>
        <w:t>, in relazione agli aspetti di rilevanza comunitaria,</w:t>
      </w:r>
      <w:r w:rsidRPr="00B208E4">
        <w:rPr>
          <w:rFonts w:ascii="Calibri" w:eastAsia="Times New Roman" w:hAnsi="Calibri" w:cs="Segoe UI"/>
          <w:color w:val="1F4E79" w:themeColor="accent1" w:themeShade="80"/>
          <w:sz w:val="28"/>
          <w:szCs w:val="28"/>
          <w:lang w:eastAsia="it-IT"/>
        </w:rPr>
        <w:t xml:space="preserve"> anche </w:t>
      </w:r>
      <w:r w:rsidR="00A730B3">
        <w:rPr>
          <w:rFonts w:ascii="Calibri" w:eastAsia="Times New Roman" w:hAnsi="Calibri" w:cs="Segoe UI"/>
          <w:color w:val="1F4E79" w:themeColor="accent1" w:themeShade="80"/>
          <w:sz w:val="28"/>
          <w:szCs w:val="28"/>
          <w:lang w:eastAsia="it-IT"/>
        </w:rPr>
        <w:t xml:space="preserve">nel giudizio di </w:t>
      </w:r>
      <w:r w:rsidR="00A730B3" w:rsidRPr="00B208E4">
        <w:rPr>
          <w:rFonts w:ascii="Calibri" w:eastAsia="Times New Roman" w:hAnsi="Calibri" w:cs="Segoe UI"/>
          <w:color w:val="1F4E79" w:themeColor="accent1" w:themeShade="80"/>
          <w:sz w:val="28"/>
          <w:szCs w:val="28"/>
          <w:lang w:eastAsia="it-IT"/>
        </w:rPr>
        <w:t>cassazione</w:t>
      </w:r>
      <w:r w:rsidR="00C30F7C">
        <w:rPr>
          <w:rFonts w:ascii="Calibri" w:eastAsia="Times New Roman" w:hAnsi="Calibri" w:cs="Segoe UI"/>
          <w:color w:val="1F4E79" w:themeColor="accent1" w:themeShade="80"/>
          <w:sz w:val="28"/>
          <w:szCs w:val="28"/>
          <w:lang w:eastAsia="it-IT"/>
        </w:rPr>
        <w:t>, in</w:t>
      </w:r>
      <w:r w:rsidR="00A730B3">
        <w:rPr>
          <w:rFonts w:ascii="Calibri" w:eastAsia="Times New Roman" w:hAnsi="Calibri" w:cs="Segoe UI"/>
          <w:color w:val="1F4E79" w:themeColor="accent1" w:themeShade="80"/>
          <w:sz w:val="28"/>
          <w:szCs w:val="28"/>
          <w:lang w:eastAsia="it-IT"/>
        </w:rPr>
        <w:t xml:space="preserve"> seguito alla proposizione </w:t>
      </w:r>
      <w:r w:rsidR="00C30F7C">
        <w:rPr>
          <w:rFonts w:ascii="Calibri" w:eastAsia="Times New Roman" w:hAnsi="Calibri" w:cs="Segoe UI"/>
          <w:color w:val="1F4E79" w:themeColor="accent1" w:themeShade="80"/>
          <w:sz w:val="28"/>
          <w:szCs w:val="28"/>
          <w:lang w:eastAsia="it-IT"/>
        </w:rPr>
        <w:t xml:space="preserve">del ricorso </w:t>
      </w:r>
      <w:r w:rsidR="00C30F7C" w:rsidRPr="00A730B3">
        <w:rPr>
          <w:rFonts w:ascii="Calibri" w:eastAsia="Times New Roman" w:hAnsi="Calibri" w:cs="Segoe UI"/>
          <w:i/>
          <w:color w:val="1F4E79" w:themeColor="accent1" w:themeShade="80"/>
          <w:sz w:val="28"/>
          <w:szCs w:val="28"/>
          <w:lang w:eastAsia="it-IT"/>
        </w:rPr>
        <w:t>ex</w:t>
      </w:r>
      <w:r w:rsidR="00C30F7C">
        <w:rPr>
          <w:rFonts w:ascii="Calibri" w:eastAsia="Times New Roman" w:hAnsi="Calibri" w:cs="Segoe UI"/>
          <w:color w:val="1F4E79" w:themeColor="accent1" w:themeShade="80"/>
          <w:sz w:val="28"/>
          <w:szCs w:val="28"/>
          <w:lang w:eastAsia="it-IT"/>
        </w:rPr>
        <w:t xml:space="preserve"> art. 111, comma ottavo</w:t>
      </w:r>
      <w:r w:rsidR="001B7157" w:rsidRPr="00B208E4">
        <w:rPr>
          <w:rFonts w:ascii="Calibri" w:eastAsia="Times New Roman" w:hAnsi="Calibri" w:cs="Segoe UI"/>
          <w:color w:val="1F4E79" w:themeColor="accent1" w:themeShade="80"/>
          <w:sz w:val="28"/>
          <w:szCs w:val="28"/>
          <w:lang w:eastAsia="it-IT"/>
        </w:rPr>
        <w:t>.</w:t>
      </w:r>
    </w:p>
    <w:p w:rsidR="002F3964" w:rsidRPr="00B208E4" w:rsidRDefault="002F3964"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Sembra di capire che l</w:t>
      </w:r>
      <w:r w:rsidR="00A730B3">
        <w:rPr>
          <w:rFonts w:ascii="Calibri" w:eastAsia="Times New Roman" w:hAnsi="Calibri" w:cs="Segoe UI"/>
          <w:color w:val="1F4E79" w:themeColor="accent1" w:themeShade="80"/>
          <w:sz w:val="28"/>
          <w:szCs w:val="28"/>
          <w:lang w:eastAsia="it-IT"/>
        </w:rPr>
        <w:t xml:space="preserve">’ordinanza </w:t>
      </w:r>
      <w:r w:rsidRPr="00B208E4">
        <w:rPr>
          <w:rFonts w:ascii="Calibri" w:eastAsia="Times New Roman" w:hAnsi="Calibri" w:cs="Segoe UI"/>
          <w:color w:val="1F4E79" w:themeColor="accent1" w:themeShade="80"/>
          <w:sz w:val="28"/>
          <w:szCs w:val="28"/>
          <w:lang w:eastAsia="it-IT"/>
        </w:rPr>
        <w:t>svolga questo ragionamento: poiché</w:t>
      </w:r>
      <w:r w:rsidR="00BE7983">
        <w:rPr>
          <w:rFonts w:ascii="Calibri" w:eastAsia="Times New Roman" w:hAnsi="Calibri" w:cs="Segoe UI"/>
          <w:color w:val="1F4E79" w:themeColor="accent1" w:themeShade="80"/>
          <w:sz w:val="28"/>
          <w:szCs w:val="28"/>
          <w:lang w:eastAsia="it-IT"/>
        </w:rPr>
        <w:t>, nella concreta vicenda in esame,</w:t>
      </w:r>
      <w:r w:rsidRPr="00B208E4">
        <w:rPr>
          <w:rFonts w:ascii="Calibri" w:eastAsia="Times New Roman" w:hAnsi="Calibri" w:cs="Segoe UI"/>
          <w:color w:val="1F4E79" w:themeColor="accent1" w:themeShade="80"/>
          <w:sz w:val="28"/>
          <w:szCs w:val="28"/>
          <w:lang w:eastAsia="it-IT"/>
        </w:rPr>
        <w:t xml:space="preserve"> il motivo di ricorso proposto dall’interessato ha messo in luce una </w:t>
      </w:r>
      <w:r w:rsidR="00A730B3">
        <w:rPr>
          <w:rFonts w:ascii="Calibri" w:eastAsia="Times New Roman" w:hAnsi="Calibri" w:cs="Segoe UI"/>
          <w:color w:val="1F4E79" w:themeColor="accent1" w:themeShade="80"/>
          <w:sz w:val="28"/>
          <w:szCs w:val="28"/>
          <w:lang w:eastAsia="it-IT"/>
        </w:rPr>
        <w:t xml:space="preserve">violazione del diritto UE, </w:t>
      </w:r>
      <w:r w:rsidR="00D5761B" w:rsidRPr="00B208E4">
        <w:rPr>
          <w:rFonts w:ascii="Calibri" w:eastAsia="Times New Roman" w:hAnsi="Calibri" w:cs="Segoe UI"/>
          <w:color w:val="1F4E79" w:themeColor="accent1" w:themeShade="80"/>
          <w:sz w:val="28"/>
          <w:szCs w:val="28"/>
          <w:lang w:eastAsia="it-IT"/>
        </w:rPr>
        <w:t>che la Cassazione stessa ritiene “grave”</w:t>
      </w:r>
      <w:r w:rsidR="00F05182">
        <w:rPr>
          <w:rFonts w:ascii="Calibri" w:eastAsia="Times New Roman" w:hAnsi="Calibri" w:cs="Segoe UI"/>
          <w:color w:val="1F4E79" w:themeColor="accent1" w:themeShade="80"/>
          <w:sz w:val="28"/>
          <w:szCs w:val="28"/>
          <w:lang w:eastAsia="it-IT"/>
        </w:rPr>
        <w:t>, in quanto incidente sul diritto di azione, compiuta dall’impugnata decisione del Consiglio di Stato</w:t>
      </w:r>
      <w:r w:rsidR="00D5761B" w:rsidRPr="00B208E4">
        <w:rPr>
          <w:rFonts w:ascii="Calibri" w:eastAsia="Times New Roman" w:hAnsi="Calibri" w:cs="Segoe UI"/>
          <w:color w:val="1F4E79" w:themeColor="accent1" w:themeShade="80"/>
          <w:sz w:val="28"/>
          <w:szCs w:val="28"/>
          <w:lang w:eastAsia="it-IT"/>
        </w:rPr>
        <w:t xml:space="preserve">, il principio di </w:t>
      </w:r>
      <w:r w:rsidR="00D5761B" w:rsidRPr="00BE7983">
        <w:rPr>
          <w:rFonts w:ascii="Calibri" w:eastAsia="Times New Roman" w:hAnsi="Calibri" w:cs="Segoe UI"/>
          <w:i/>
          <w:color w:val="1F4E79" w:themeColor="accent1" w:themeShade="80"/>
          <w:sz w:val="28"/>
          <w:szCs w:val="28"/>
          <w:lang w:eastAsia="it-IT"/>
        </w:rPr>
        <w:t>effettività</w:t>
      </w:r>
      <w:r w:rsidR="00F05182">
        <w:rPr>
          <w:rFonts w:ascii="Calibri" w:eastAsia="Times New Roman" w:hAnsi="Calibri" w:cs="Segoe UI"/>
          <w:color w:val="1F4E79" w:themeColor="accent1" w:themeShade="80"/>
          <w:sz w:val="28"/>
          <w:szCs w:val="28"/>
          <w:lang w:eastAsia="it-IT"/>
        </w:rPr>
        <w:t xml:space="preserve"> risulta</w:t>
      </w:r>
      <w:r w:rsidR="00F47FAB" w:rsidRPr="00B208E4">
        <w:rPr>
          <w:rFonts w:ascii="Calibri" w:eastAsia="Times New Roman" w:hAnsi="Calibri" w:cs="Segoe UI"/>
          <w:color w:val="1F4E79" w:themeColor="accent1" w:themeShade="80"/>
          <w:sz w:val="28"/>
          <w:szCs w:val="28"/>
          <w:lang w:eastAsia="it-IT"/>
        </w:rPr>
        <w:t xml:space="preserve"> per ciò solo compromesso, </w:t>
      </w:r>
      <w:r w:rsidR="00A730B3">
        <w:rPr>
          <w:rFonts w:ascii="Calibri" w:eastAsia="Times New Roman" w:hAnsi="Calibri" w:cs="Segoe UI"/>
          <w:color w:val="1F4E79" w:themeColor="accent1" w:themeShade="80"/>
          <w:sz w:val="28"/>
          <w:szCs w:val="28"/>
          <w:lang w:eastAsia="it-IT"/>
        </w:rPr>
        <w:t>giac</w:t>
      </w:r>
      <w:r w:rsidR="00F47FAB" w:rsidRPr="00B208E4">
        <w:rPr>
          <w:rFonts w:ascii="Calibri" w:eastAsia="Times New Roman" w:hAnsi="Calibri" w:cs="Segoe UI"/>
          <w:color w:val="1F4E79" w:themeColor="accent1" w:themeShade="80"/>
          <w:sz w:val="28"/>
          <w:szCs w:val="28"/>
          <w:lang w:eastAsia="it-IT"/>
        </w:rPr>
        <w:t xml:space="preserve">ché la parte </w:t>
      </w:r>
      <w:r w:rsidR="00A730B3">
        <w:rPr>
          <w:rFonts w:ascii="Calibri" w:eastAsia="Times New Roman" w:hAnsi="Calibri" w:cs="Segoe UI"/>
          <w:color w:val="1F4E79" w:themeColor="accent1" w:themeShade="80"/>
          <w:sz w:val="28"/>
          <w:szCs w:val="28"/>
          <w:lang w:eastAsia="it-IT"/>
        </w:rPr>
        <w:t xml:space="preserve">interessata </w:t>
      </w:r>
      <w:r w:rsidR="00F47FAB" w:rsidRPr="00B208E4">
        <w:rPr>
          <w:rFonts w:ascii="Calibri" w:eastAsia="Times New Roman" w:hAnsi="Calibri" w:cs="Segoe UI"/>
          <w:color w:val="1F4E79" w:themeColor="accent1" w:themeShade="80"/>
          <w:sz w:val="28"/>
          <w:szCs w:val="28"/>
          <w:lang w:eastAsia="it-IT"/>
        </w:rPr>
        <w:t>ha diritto ad una decisione su questo aspetto</w:t>
      </w:r>
      <w:r w:rsidR="00BE7983">
        <w:rPr>
          <w:rFonts w:ascii="Calibri" w:eastAsia="Times New Roman" w:hAnsi="Calibri" w:cs="Segoe UI"/>
          <w:color w:val="1F4E79" w:themeColor="accent1" w:themeShade="80"/>
          <w:sz w:val="28"/>
          <w:szCs w:val="28"/>
          <w:lang w:eastAsia="it-IT"/>
        </w:rPr>
        <w:t xml:space="preserve"> del contenzioso</w:t>
      </w:r>
      <w:r w:rsidR="00A730B3">
        <w:rPr>
          <w:rFonts w:ascii="Calibri" w:eastAsia="Times New Roman" w:hAnsi="Calibri" w:cs="Segoe UI"/>
          <w:color w:val="1F4E79" w:themeColor="accent1" w:themeShade="80"/>
          <w:sz w:val="28"/>
          <w:szCs w:val="28"/>
          <w:lang w:eastAsia="it-IT"/>
        </w:rPr>
        <w:t>, ora al vaglio della Cassazione</w:t>
      </w:r>
      <w:r w:rsidR="00F47FAB" w:rsidRPr="00B208E4">
        <w:rPr>
          <w:rFonts w:ascii="Calibri" w:eastAsia="Times New Roman" w:hAnsi="Calibri" w:cs="Segoe UI"/>
          <w:color w:val="1F4E79" w:themeColor="accent1" w:themeShade="80"/>
          <w:sz w:val="28"/>
          <w:szCs w:val="28"/>
          <w:lang w:eastAsia="it-IT"/>
        </w:rPr>
        <w:t>.</w:t>
      </w:r>
    </w:p>
    <w:p w:rsidR="00F47FAB" w:rsidRPr="00B208E4" w:rsidRDefault="00F47FAB"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In altri te</w:t>
      </w:r>
      <w:r w:rsidR="00935D71" w:rsidRPr="00B208E4">
        <w:rPr>
          <w:rFonts w:ascii="Calibri" w:eastAsia="Times New Roman" w:hAnsi="Calibri" w:cs="Segoe UI"/>
          <w:color w:val="1F4E79" w:themeColor="accent1" w:themeShade="80"/>
          <w:sz w:val="28"/>
          <w:szCs w:val="28"/>
          <w:lang w:eastAsia="it-IT"/>
        </w:rPr>
        <w:t xml:space="preserve">rmini, </w:t>
      </w:r>
      <w:r w:rsidR="00A730B3">
        <w:rPr>
          <w:rFonts w:ascii="Calibri" w:eastAsia="Times New Roman" w:hAnsi="Calibri" w:cs="Segoe UI"/>
          <w:color w:val="1F4E79" w:themeColor="accent1" w:themeShade="80"/>
          <w:sz w:val="28"/>
          <w:szCs w:val="28"/>
          <w:lang w:eastAsia="it-IT"/>
        </w:rPr>
        <w:t xml:space="preserve">secondo questo assunto, </w:t>
      </w:r>
      <w:r w:rsidR="00935D71" w:rsidRPr="00B208E4">
        <w:rPr>
          <w:rFonts w:ascii="Calibri" w:eastAsia="Times New Roman" w:hAnsi="Calibri" w:cs="Segoe UI"/>
          <w:color w:val="1F4E79" w:themeColor="accent1" w:themeShade="80"/>
          <w:sz w:val="28"/>
          <w:szCs w:val="28"/>
          <w:lang w:eastAsia="it-IT"/>
        </w:rPr>
        <w:t>poiché il doppio grado del</w:t>
      </w:r>
      <w:r w:rsidRPr="00B208E4">
        <w:rPr>
          <w:rFonts w:ascii="Calibri" w:eastAsia="Times New Roman" w:hAnsi="Calibri" w:cs="Segoe UI"/>
          <w:color w:val="1F4E79" w:themeColor="accent1" w:themeShade="80"/>
          <w:sz w:val="28"/>
          <w:szCs w:val="28"/>
          <w:lang w:eastAsia="it-IT"/>
        </w:rPr>
        <w:t xml:space="preserve"> giudizio </w:t>
      </w:r>
      <w:r w:rsidR="00935D71" w:rsidRPr="00B208E4">
        <w:rPr>
          <w:rFonts w:ascii="Calibri" w:eastAsia="Times New Roman" w:hAnsi="Calibri" w:cs="Segoe UI"/>
          <w:color w:val="1F4E79" w:themeColor="accent1" w:themeShade="80"/>
          <w:sz w:val="28"/>
          <w:szCs w:val="28"/>
          <w:lang w:eastAsia="it-IT"/>
        </w:rPr>
        <w:t xml:space="preserve">amministrativo </w:t>
      </w:r>
      <w:r w:rsidRPr="00B208E4">
        <w:rPr>
          <w:rFonts w:ascii="Calibri" w:eastAsia="Times New Roman" w:hAnsi="Calibri" w:cs="Segoe UI"/>
          <w:color w:val="1F4E79" w:themeColor="accent1" w:themeShade="80"/>
          <w:sz w:val="28"/>
          <w:szCs w:val="28"/>
          <w:lang w:eastAsia="it-IT"/>
        </w:rPr>
        <w:t>non ha</w:t>
      </w:r>
      <w:r w:rsidR="00A730B3">
        <w:rPr>
          <w:rFonts w:ascii="Calibri" w:eastAsia="Times New Roman" w:hAnsi="Calibri" w:cs="Segoe UI"/>
          <w:color w:val="1F4E79" w:themeColor="accent1" w:themeShade="80"/>
          <w:sz w:val="28"/>
          <w:szCs w:val="28"/>
          <w:lang w:eastAsia="it-IT"/>
        </w:rPr>
        <w:t xml:space="preserve"> impedito la consumazione dell’</w:t>
      </w:r>
      <w:r w:rsidR="00F05182">
        <w:rPr>
          <w:rFonts w:ascii="Calibri" w:eastAsia="Times New Roman" w:hAnsi="Calibri" w:cs="Segoe UI"/>
          <w:color w:val="1F4E79" w:themeColor="accent1" w:themeShade="80"/>
          <w:sz w:val="28"/>
          <w:szCs w:val="28"/>
          <w:lang w:eastAsia="it-IT"/>
        </w:rPr>
        <w:t xml:space="preserve">asserita </w:t>
      </w:r>
      <w:r w:rsidRPr="00B208E4">
        <w:rPr>
          <w:rFonts w:ascii="Calibri" w:eastAsia="Times New Roman" w:hAnsi="Calibri" w:cs="Segoe UI"/>
          <w:color w:val="1F4E79" w:themeColor="accent1" w:themeShade="80"/>
          <w:sz w:val="28"/>
          <w:szCs w:val="28"/>
          <w:lang w:eastAsia="it-IT"/>
        </w:rPr>
        <w:t xml:space="preserve">violazione </w:t>
      </w:r>
      <w:r w:rsidR="00F05182">
        <w:rPr>
          <w:rFonts w:ascii="Calibri" w:eastAsia="Times New Roman" w:hAnsi="Calibri" w:cs="Segoe UI"/>
          <w:color w:val="1F4E79" w:themeColor="accent1" w:themeShade="80"/>
          <w:sz w:val="28"/>
          <w:szCs w:val="28"/>
          <w:lang w:eastAsia="it-IT"/>
        </w:rPr>
        <w:t>del diritto UE, risulterebbe</w:t>
      </w:r>
      <w:r w:rsidR="00935D71" w:rsidRPr="00B208E4">
        <w:rPr>
          <w:rFonts w:ascii="Calibri" w:eastAsia="Times New Roman" w:hAnsi="Calibri" w:cs="Segoe UI"/>
          <w:color w:val="1F4E79" w:themeColor="accent1" w:themeShade="80"/>
          <w:sz w:val="28"/>
          <w:szCs w:val="28"/>
          <w:lang w:eastAsia="it-IT"/>
        </w:rPr>
        <w:t xml:space="preserve"> dimostrato, </w:t>
      </w:r>
      <w:r w:rsidR="00935D71" w:rsidRPr="00B208E4">
        <w:rPr>
          <w:rFonts w:ascii="Calibri" w:eastAsia="Times New Roman" w:hAnsi="Calibri" w:cs="Segoe UI"/>
          <w:i/>
          <w:color w:val="1F4E79" w:themeColor="accent1" w:themeShade="80"/>
          <w:sz w:val="28"/>
          <w:szCs w:val="28"/>
          <w:lang w:eastAsia="it-IT"/>
        </w:rPr>
        <w:t>per tabulas</w:t>
      </w:r>
      <w:r w:rsidR="00935D71" w:rsidRPr="00B208E4">
        <w:rPr>
          <w:rFonts w:ascii="Calibri" w:eastAsia="Times New Roman" w:hAnsi="Calibri" w:cs="Segoe UI"/>
          <w:color w:val="1F4E79" w:themeColor="accent1" w:themeShade="80"/>
          <w:sz w:val="28"/>
          <w:szCs w:val="28"/>
          <w:lang w:eastAsia="it-IT"/>
        </w:rPr>
        <w:t xml:space="preserve">, che il sistema italiano non </w:t>
      </w:r>
      <w:r w:rsidR="00601E1A">
        <w:rPr>
          <w:rFonts w:ascii="Calibri" w:eastAsia="Times New Roman" w:hAnsi="Calibri" w:cs="Segoe UI"/>
          <w:color w:val="1F4E79" w:themeColor="accent1" w:themeShade="80"/>
          <w:sz w:val="28"/>
          <w:szCs w:val="28"/>
          <w:lang w:eastAsia="it-IT"/>
        </w:rPr>
        <w:t xml:space="preserve">ha </w:t>
      </w:r>
      <w:r w:rsidR="00A730B3">
        <w:rPr>
          <w:rFonts w:ascii="Calibri" w:eastAsia="Times New Roman" w:hAnsi="Calibri" w:cs="Segoe UI"/>
          <w:color w:val="1F4E79" w:themeColor="accent1" w:themeShade="80"/>
          <w:sz w:val="28"/>
          <w:szCs w:val="28"/>
          <w:lang w:eastAsia="it-IT"/>
        </w:rPr>
        <w:t xml:space="preserve">saputo </w:t>
      </w:r>
      <w:r w:rsidR="00601E1A">
        <w:rPr>
          <w:rFonts w:ascii="Calibri" w:eastAsia="Times New Roman" w:hAnsi="Calibri" w:cs="Segoe UI"/>
          <w:color w:val="1F4E79" w:themeColor="accent1" w:themeShade="80"/>
          <w:sz w:val="28"/>
          <w:szCs w:val="28"/>
          <w:lang w:eastAsia="it-IT"/>
        </w:rPr>
        <w:t>garantito</w:t>
      </w:r>
      <w:r w:rsidR="00935D71" w:rsidRPr="00B208E4">
        <w:rPr>
          <w:rFonts w:ascii="Calibri" w:eastAsia="Times New Roman" w:hAnsi="Calibri" w:cs="Segoe UI"/>
          <w:color w:val="1F4E79" w:themeColor="accent1" w:themeShade="80"/>
          <w:sz w:val="28"/>
          <w:szCs w:val="28"/>
          <w:lang w:eastAsia="it-IT"/>
        </w:rPr>
        <w:t xml:space="preserve"> l’effettività della tutela</w:t>
      </w:r>
      <w:r w:rsidR="00601E1A">
        <w:rPr>
          <w:rFonts w:ascii="Calibri" w:eastAsia="Times New Roman" w:hAnsi="Calibri" w:cs="Segoe UI"/>
          <w:color w:val="1F4E79" w:themeColor="accent1" w:themeShade="80"/>
          <w:sz w:val="28"/>
          <w:szCs w:val="28"/>
          <w:lang w:eastAsia="it-IT"/>
        </w:rPr>
        <w:t xml:space="preserve"> di posizioni giuridiche di rilevanza comunitaria</w:t>
      </w:r>
      <w:r w:rsidR="00935D71" w:rsidRPr="00B208E4">
        <w:rPr>
          <w:rFonts w:ascii="Calibri" w:eastAsia="Times New Roman" w:hAnsi="Calibri" w:cs="Segoe UI"/>
          <w:color w:val="1F4E79" w:themeColor="accent1" w:themeShade="80"/>
          <w:sz w:val="28"/>
          <w:szCs w:val="28"/>
          <w:lang w:eastAsia="it-IT"/>
        </w:rPr>
        <w:t>.</w:t>
      </w:r>
      <w:r w:rsidR="00A730B3">
        <w:rPr>
          <w:rFonts w:ascii="Calibri" w:eastAsia="Times New Roman" w:hAnsi="Calibri" w:cs="Segoe UI"/>
          <w:color w:val="1F4E79" w:themeColor="accent1" w:themeShade="80"/>
          <w:sz w:val="28"/>
          <w:szCs w:val="28"/>
          <w:lang w:eastAsia="it-IT"/>
        </w:rPr>
        <w:t xml:space="preserve"> Ciò sarebbe possibile, invece, assicurando all’interessato la possibilità di far valere la violazione dinanzi alla Cassazione.</w:t>
      </w:r>
    </w:p>
    <w:p w:rsidR="00935D71" w:rsidRPr="00B208E4" w:rsidRDefault="00456CE1"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Non vi è bisogno di sottolineare l’erroneità di questo argomento.</w:t>
      </w:r>
    </w:p>
    <w:p w:rsidR="00456CE1" w:rsidRPr="00B208E4" w:rsidRDefault="00456CE1"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La necessità di una verifica per così dire “sostanziale” </w:t>
      </w:r>
      <w:r w:rsidR="00355CC8" w:rsidRPr="00B208E4">
        <w:rPr>
          <w:rFonts w:ascii="Calibri" w:eastAsia="Times New Roman" w:hAnsi="Calibri" w:cs="Segoe UI"/>
          <w:color w:val="1F4E79" w:themeColor="accent1" w:themeShade="80"/>
          <w:sz w:val="28"/>
          <w:szCs w:val="28"/>
          <w:lang w:eastAsia="it-IT"/>
        </w:rPr>
        <w:t xml:space="preserve">della efficacia </w:t>
      </w:r>
      <w:r w:rsidRPr="00B208E4">
        <w:rPr>
          <w:rFonts w:ascii="Calibri" w:eastAsia="Times New Roman" w:hAnsi="Calibri" w:cs="Segoe UI"/>
          <w:color w:val="1F4E79" w:themeColor="accent1" w:themeShade="80"/>
          <w:sz w:val="28"/>
          <w:szCs w:val="28"/>
          <w:lang w:eastAsia="it-IT"/>
        </w:rPr>
        <w:t>delle regol</w:t>
      </w:r>
      <w:r w:rsidR="00B642AF" w:rsidRPr="00B208E4">
        <w:rPr>
          <w:rFonts w:ascii="Calibri" w:eastAsia="Times New Roman" w:hAnsi="Calibri" w:cs="Segoe UI"/>
          <w:color w:val="1F4E79" w:themeColor="accent1" w:themeShade="80"/>
          <w:sz w:val="28"/>
          <w:szCs w:val="28"/>
          <w:lang w:eastAsia="it-IT"/>
        </w:rPr>
        <w:t>e processuali interne è fuori di</w:t>
      </w:r>
      <w:r w:rsidRPr="00B208E4">
        <w:rPr>
          <w:rFonts w:ascii="Calibri" w:eastAsia="Times New Roman" w:hAnsi="Calibri" w:cs="Segoe UI"/>
          <w:color w:val="1F4E79" w:themeColor="accent1" w:themeShade="80"/>
          <w:sz w:val="28"/>
          <w:szCs w:val="28"/>
          <w:lang w:eastAsia="it-IT"/>
        </w:rPr>
        <w:t>scussione</w:t>
      </w:r>
      <w:r w:rsidR="00B642AF" w:rsidRPr="00B208E4">
        <w:rPr>
          <w:rFonts w:ascii="Calibri" w:eastAsia="Times New Roman" w:hAnsi="Calibri" w:cs="Segoe UI"/>
          <w:color w:val="1F4E79" w:themeColor="accent1" w:themeShade="80"/>
          <w:sz w:val="28"/>
          <w:szCs w:val="28"/>
          <w:lang w:eastAsia="it-IT"/>
        </w:rPr>
        <w:t xml:space="preserve">. </w:t>
      </w:r>
      <w:r w:rsidR="00A730B3">
        <w:rPr>
          <w:rFonts w:ascii="Calibri" w:eastAsia="Times New Roman" w:hAnsi="Calibri" w:cs="Segoe UI"/>
          <w:color w:val="1F4E79" w:themeColor="accent1" w:themeShade="80"/>
          <w:sz w:val="28"/>
          <w:szCs w:val="28"/>
          <w:lang w:eastAsia="it-IT"/>
        </w:rPr>
        <w:t xml:space="preserve">Occorre comprendere, infatti, il funzionamento pratico del processo, in tutti i suoi aspetti. </w:t>
      </w:r>
      <w:r w:rsidR="00B642AF" w:rsidRPr="00B208E4">
        <w:rPr>
          <w:rFonts w:ascii="Calibri" w:eastAsia="Times New Roman" w:hAnsi="Calibri" w:cs="Segoe UI"/>
          <w:color w:val="1F4E79" w:themeColor="accent1" w:themeShade="80"/>
          <w:sz w:val="28"/>
          <w:szCs w:val="28"/>
          <w:lang w:eastAsia="it-IT"/>
        </w:rPr>
        <w:t xml:space="preserve">Ma </w:t>
      </w:r>
      <w:r w:rsidR="00355CC8" w:rsidRPr="00B208E4">
        <w:rPr>
          <w:rFonts w:ascii="Calibri" w:eastAsia="Times New Roman" w:hAnsi="Calibri" w:cs="Segoe UI"/>
          <w:color w:val="1F4E79" w:themeColor="accent1" w:themeShade="80"/>
          <w:sz w:val="28"/>
          <w:szCs w:val="28"/>
          <w:lang w:eastAsia="it-IT"/>
        </w:rPr>
        <w:t xml:space="preserve">non è certamente condivisibile l’idea </w:t>
      </w:r>
      <w:r w:rsidR="00A730B3">
        <w:rPr>
          <w:rFonts w:ascii="Calibri" w:eastAsia="Times New Roman" w:hAnsi="Calibri" w:cs="Segoe UI"/>
          <w:color w:val="1F4E79" w:themeColor="accent1" w:themeShade="80"/>
          <w:sz w:val="28"/>
          <w:szCs w:val="28"/>
          <w:lang w:eastAsia="it-IT"/>
        </w:rPr>
        <w:t xml:space="preserve">secondo cui </w:t>
      </w:r>
      <w:r w:rsidR="000F3C36" w:rsidRPr="00B208E4">
        <w:rPr>
          <w:rFonts w:ascii="Calibri" w:eastAsia="Times New Roman" w:hAnsi="Calibri" w:cs="Segoe UI"/>
          <w:color w:val="1F4E79" w:themeColor="accent1" w:themeShade="80"/>
          <w:sz w:val="28"/>
          <w:szCs w:val="28"/>
          <w:lang w:eastAsia="it-IT"/>
        </w:rPr>
        <w:t>il sistema si dimostra inefficace</w:t>
      </w:r>
      <w:r w:rsidR="00C92FF5">
        <w:rPr>
          <w:rFonts w:ascii="Calibri" w:eastAsia="Times New Roman" w:hAnsi="Calibri" w:cs="Segoe UI"/>
          <w:color w:val="1F4E79" w:themeColor="accent1" w:themeShade="80"/>
          <w:sz w:val="28"/>
          <w:szCs w:val="28"/>
          <w:lang w:eastAsia="it-IT"/>
        </w:rPr>
        <w:t xml:space="preserve"> solo</w:t>
      </w:r>
      <w:r w:rsidR="000F3C36" w:rsidRPr="00B208E4">
        <w:rPr>
          <w:rFonts w:ascii="Calibri" w:eastAsia="Times New Roman" w:hAnsi="Calibri" w:cs="Segoe UI"/>
          <w:color w:val="1F4E79" w:themeColor="accent1" w:themeShade="80"/>
          <w:sz w:val="28"/>
          <w:szCs w:val="28"/>
          <w:lang w:eastAsia="it-IT"/>
        </w:rPr>
        <w:t xml:space="preserve"> perché si è verificata, in concreto</w:t>
      </w:r>
      <w:r w:rsidR="00C92FF5">
        <w:rPr>
          <w:rFonts w:ascii="Calibri" w:eastAsia="Times New Roman" w:hAnsi="Calibri" w:cs="Segoe UI"/>
          <w:color w:val="1F4E79" w:themeColor="accent1" w:themeShade="80"/>
          <w:sz w:val="28"/>
          <w:szCs w:val="28"/>
          <w:lang w:eastAsia="it-IT"/>
        </w:rPr>
        <w:t>,</w:t>
      </w:r>
      <w:r w:rsidR="000F3C36" w:rsidRPr="00B208E4">
        <w:rPr>
          <w:rFonts w:ascii="Calibri" w:eastAsia="Times New Roman" w:hAnsi="Calibri" w:cs="Segoe UI"/>
          <w:color w:val="1F4E79" w:themeColor="accent1" w:themeShade="80"/>
          <w:sz w:val="28"/>
          <w:szCs w:val="28"/>
          <w:lang w:eastAsia="it-IT"/>
        </w:rPr>
        <w:t xml:space="preserve"> una violazione.</w:t>
      </w:r>
    </w:p>
    <w:p w:rsidR="00A730B3" w:rsidRDefault="003016D5"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Occorre verificare, semmai, se l’ordinamento processuale abbia garantito, o meno, la possibilità di tutelare posizioni giuridiche </w:t>
      </w:r>
      <w:r w:rsidR="00F12C5E" w:rsidRPr="00B208E4">
        <w:rPr>
          <w:rFonts w:ascii="Calibri" w:eastAsia="Times New Roman" w:hAnsi="Calibri" w:cs="Segoe UI"/>
          <w:color w:val="1F4E79" w:themeColor="accent1" w:themeShade="80"/>
          <w:sz w:val="28"/>
          <w:szCs w:val="28"/>
          <w:lang w:eastAsia="it-IT"/>
        </w:rPr>
        <w:t>protette dal diritto europeo</w:t>
      </w:r>
      <w:r w:rsidR="00C92FF5">
        <w:rPr>
          <w:rFonts w:ascii="Calibri" w:eastAsia="Times New Roman" w:hAnsi="Calibri" w:cs="Segoe UI"/>
          <w:color w:val="1F4E79" w:themeColor="accent1" w:themeShade="80"/>
          <w:sz w:val="28"/>
          <w:szCs w:val="28"/>
          <w:lang w:eastAsia="it-IT"/>
        </w:rPr>
        <w:t>, senza frapporre ostacoli od ingiustificate preclusioni</w:t>
      </w:r>
      <w:r w:rsidR="00A730B3">
        <w:rPr>
          <w:rFonts w:ascii="Calibri" w:eastAsia="Times New Roman" w:hAnsi="Calibri" w:cs="Segoe UI"/>
          <w:color w:val="1F4E79" w:themeColor="accent1" w:themeShade="80"/>
          <w:sz w:val="28"/>
          <w:szCs w:val="28"/>
          <w:lang w:eastAsia="it-IT"/>
        </w:rPr>
        <w:t>.</w:t>
      </w:r>
    </w:p>
    <w:p w:rsidR="000F3C36" w:rsidRPr="00B208E4" w:rsidRDefault="00A730B3"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Ed allora, in questo senso, l</w:t>
      </w:r>
      <w:r w:rsidR="00F12C5E" w:rsidRPr="00B208E4">
        <w:rPr>
          <w:rFonts w:ascii="Calibri" w:eastAsia="Times New Roman" w:hAnsi="Calibri" w:cs="Segoe UI"/>
          <w:color w:val="1F4E79" w:themeColor="accent1" w:themeShade="80"/>
          <w:sz w:val="28"/>
          <w:szCs w:val="28"/>
          <w:lang w:eastAsia="it-IT"/>
        </w:rPr>
        <w:t>’esistenza di un doppio grado di giudizio</w:t>
      </w:r>
      <w:r>
        <w:rPr>
          <w:rFonts w:ascii="Calibri" w:eastAsia="Times New Roman" w:hAnsi="Calibri" w:cs="Segoe UI"/>
          <w:color w:val="1F4E79" w:themeColor="accent1" w:themeShade="80"/>
          <w:sz w:val="28"/>
          <w:szCs w:val="28"/>
          <w:lang w:eastAsia="it-IT"/>
        </w:rPr>
        <w:t xml:space="preserve"> amministrativo</w:t>
      </w:r>
      <w:r w:rsidR="00F12C5E" w:rsidRPr="00B208E4">
        <w:rPr>
          <w:rFonts w:ascii="Calibri" w:eastAsia="Times New Roman" w:hAnsi="Calibri" w:cs="Segoe UI"/>
          <w:color w:val="1F4E79" w:themeColor="accent1" w:themeShade="80"/>
          <w:sz w:val="28"/>
          <w:szCs w:val="28"/>
          <w:lang w:eastAsia="it-IT"/>
        </w:rPr>
        <w:t>, con un appello pienamente devolutivo, in questo senso, è condizione pacificamente</w:t>
      </w:r>
      <w:r w:rsidR="00647277" w:rsidRPr="00B208E4">
        <w:rPr>
          <w:rFonts w:ascii="Calibri" w:eastAsia="Times New Roman" w:hAnsi="Calibri" w:cs="Segoe UI"/>
          <w:color w:val="1F4E79" w:themeColor="accent1" w:themeShade="80"/>
          <w:sz w:val="28"/>
          <w:szCs w:val="28"/>
          <w:lang w:eastAsia="it-IT"/>
        </w:rPr>
        <w:t xml:space="preserve"> idonea a ad assicurare l’effettività della tutela. Anzi, determina un livello di protezione superiore </w:t>
      </w:r>
      <w:r w:rsidR="005950E7" w:rsidRPr="00B208E4">
        <w:rPr>
          <w:rFonts w:ascii="Calibri" w:eastAsia="Times New Roman" w:hAnsi="Calibri" w:cs="Segoe UI"/>
          <w:color w:val="1F4E79" w:themeColor="accent1" w:themeShade="80"/>
          <w:sz w:val="28"/>
          <w:szCs w:val="28"/>
          <w:lang w:eastAsia="it-IT"/>
        </w:rPr>
        <w:t xml:space="preserve">a quello richiesto dagli </w:t>
      </w:r>
      <w:r w:rsidR="005950E7" w:rsidRPr="004523D7">
        <w:rPr>
          <w:rFonts w:ascii="Calibri" w:eastAsia="Times New Roman" w:hAnsi="Calibri" w:cs="Segoe UI"/>
          <w:i/>
          <w:color w:val="1F4E79" w:themeColor="accent1" w:themeShade="80"/>
          <w:sz w:val="28"/>
          <w:szCs w:val="28"/>
          <w:lang w:eastAsia="it-IT"/>
        </w:rPr>
        <w:t>standard</w:t>
      </w:r>
      <w:r w:rsidR="005950E7" w:rsidRPr="00B208E4">
        <w:rPr>
          <w:rFonts w:ascii="Calibri" w:eastAsia="Times New Roman" w:hAnsi="Calibri" w:cs="Segoe UI"/>
          <w:color w:val="1F4E79" w:themeColor="accent1" w:themeShade="80"/>
          <w:sz w:val="28"/>
          <w:szCs w:val="28"/>
          <w:lang w:eastAsia="it-IT"/>
        </w:rPr>
        <w:t xml:space="preserve"> europei</w:t>
      </w:r>
      <w:r w:rsidR="004523D7">
        <w:rPr>
          <w:rFonts w:ascii="Calibri" w:eastAsia="Times New Roman" w:hAnsi="Calibri" w:cs="Segoe UI"/>
          <w:color w:val="1F4E79" w:themeColor="accent1" w:themeShade="80"/>
          <w:sz w:val="28"/>
          <w:szCs w:val="28"/>
          <w:lang w:eastAsia="it-IT"/>
        </w:rPr>
        <w:t>, considerando che la CGUE non ha mai dubitato della legittimità di sistemi processuali caratterizzati da un unico grado di</w:t>
      </w:r>
      <w:r w:rsidR="005611A6">
        <w:rPr>
          <w:rFonts w:ascii="Calibri" w:eastAsia="Times New Roman" w:hAnsi="Calibri" w:cs="Segoe UI"/>
          <w:color w:val="1F4E79" w:themeColor="accent1" w:themeShade="80"/>
          <w:sz w:val="28"/>
          <w:szCs w:val="28"/>
          <w:lang w:eastAsia="it-IT"/>
        </w:rPr>
        <w:t xml:space="preserve"> </w:t>
      </w:r>
      <w:r w:rsidR="004523D7">
        <w:rPr>
          <w:rFonts w:ascii="Calibri" w:eastAsia="Times New Roman" w:hAnsi="Calibri" w:cs="Segoe UI"/>
          <w:color w:val="1F4E79" w:themeColor="accent1" w:themeShade="80"/>
          <w:sz w:val="28"/>
          <w:szCs w:val="28"/>
          <w:lang w:eastAsia="it-IT"/>
        </w:rPr>
        <w:t>giudizio</w:t>
      </w:r>
      <w:r w:rsidR="005950E7" w:rsidRPr="00B208E4">
        <w:rPr>
          <w:rFonts w:ascii="Calibri" w:eastAsia="Times New Roman" w:hAnsi="Calibri" w:cs="Segoe UI"/>
          <w:color w:val="1F4E79" w:themeColor="accent1" w:themeShade="80"/>
          <w:sz w:val="28"/>
          <w:szCs w:val="28"/>
          <w:lang w:eastAsia="it-IT"/>
        </w:rPr>
        <w:t>.</w:t>
      </w:r>
    </w:p>
    <w:p w:rsidR="005950E7" w:rsidRPr="00B208E4" w:rsidRDefault="00885F1B"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Il rispetto del principio di efficacia della normativa europea in ordine all’articolazione del giudizio in due gradi</w:t>
      </w:r>
      <w:r w:rsidR="00A730B3">
        <w:rPr>
          <w:rFonts w:ascii="Calibri" w:eastAsia="Times New Roman" w:hAnsi="Calibri" w:cs="Segoe UI"/>
          <w:color w:val="1F4E79" w:themeColor="accent1" w:themeShade="80"/>
          <w:sz w:val="28"/>
          <w:szCs w:val="28"/>
          <w:lang w:eastAsia="it-IT"/>
        </w:rPr>
        <w:t>,</w:t>
      </w:r>
      <w:r w:rsidRPr="00B208E4">
        <w:rPr>
          <w:rFonts w:ascii="Calibri" w:eastAsia="Times New Roman" w:hAnsi="Calibri" w:cs="Segoe UI"/>
          <w:color w:val="1F4E79" w:themeColor="accent1" w:themeShade="80"/>
          <w:sz w:val="28"/>
          <w:szCs w:val="28"/>
          <w:lang w:eastAsia="it-IT"/>
        </w:rPr>
        <w:t xml:space="preserve"> anziché in tre, ovviamente, lascia impregiudicata la distinta questione </w:t>
      </w:r>
      <w:r w:rsidR="001715EB" w:rsidRPr="00B208E4">
        <w:rPr>
          <w:rFonts w:ascii="Calibri" w:eastAsia="Times New Roman" w:hAnsi="Calibri" w:cs="Segoe UI"/>
          <w:color w:val="1F4E79" w:themeColor="accent1" w:themeShade="80"/>
          <w:sz w:val="28"/>
          <w:szCs w:val="28"/>
          <w:lang w:eastAsia="it-IT"/>
        </w:rPr>
        <w:t xml:space="preserve">relativa alla </w:t>
      </w:r>
      <w:r w:rsidR="00A730B3">
        <w:rPr>
          <w:rFonts w:ascii="Calibri" w:eastAsia="Times New Roman" w:hAnsi="Calibri" w:cs="Segoe UI"/>
          <w:color w:val="1F4E79" w:themeColor="accent1" w:themeShade="80"/>
          <w:sz w:val="28"/>
          <w:szCs w:val="28"/>
          <w:lang w:eastAsia="it-IT"/>
        </w:rPr>
        <w:t xml:space="preserve">legittimità comunitaria dalla normativa italiana che stabilisce i presupposti </w:t>
      </w:r>
      <w:r w:rsidR="001715EB" w:rsidRPr="00B208E4">
        <w:rPr>
          <w:rFonts w:ascii="Calibri" w:eastAsia="Times New Roman" w:hAnsi="Calibri" w:cs="Segoe UI"/>
          <w:color w:val="1F4E79" w:themeColor="accent1" w:themeShade="80"/>
          <w:sz w:val="28"/>
          <w:szCs w:val="28"/>
          <w:lang w:eastAsia="it-IT"/>
        </w:rPr>
        <w:t>de</w:t>
      </w:r>
      <w:r w:rsidRPr="00B208E4">
        <w:rPr>
          <w:rFonts w:ascii="Calibri" w:eastAsia="Times New Roman" w:hAnsi="Calibri" w:cs="Segoe UI"/>
          <w:color w:val="1F4E79" w:themeColor="accent1" w:themeShade="80"/>
          <w:sz w:val="28"/>
          <w:szCs w:val="28"/>
          <w:lang w:eastAsia="it-IT"/>
        </w:rPr>
        <w:t>lla legittimazione al ricorso</w:t>
      </w:r>
      <w:r w:rsidR="001715EB" w:rsidRPr="00B208E4">
        <w:rPr>
          <w:rFonts w:ascii="Calibri" w:eastAsia="Times New Roman" w:hAnsi="Calibri" w:cs="Segoe UI"/>
          <w:color w:val="1F4E79" w:themeColor="accent1" w:themeShade="80"/>
          <w:sz w:val="28"/>
          <w:szCs w:val="28"/>
          <w:lang w:eastAsia="it-IT"/>
        </w:rPr>
        <w:t>.</w:t>
      </w:r>
    </w:p>
    <w:p w:rsidR="001715EB" w:rsidRDefault="001715EB"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Forse l’ordinanza </w:t>
      </w:r>
      <w:r w:rsidR="00A730B3">
        <w:rPr>
          <w:rFonts w:ascii="Calibri" w:eastAsia="Times New Roman" w:hAnsi="Calibri" w:cs="Segoe UI"/>
          <w:color w:val="1F4E79" w:themeColor="accent1" w:themeShade="80"/>
          <w:sz w:val="28"/>
          <w:szCs w:val="28"/>
          <w:lang w:eastAsia="it-IT"/>
        </w:rPr>
        <w:t xml:space="preserve">in commento </w:t>
      </w:r>
      <w:r w:rsidRPr="00B208E4">
        <w:rPr>
          <w:rFonts w:ascii="Calibri" w:eastAsia="Times New Roman" w:hAnsi="Calibri" w:cs="Segoe UI"/>
          <w:color w:val="1F4E79" w:themeColor="accent1" w:themeShade="80"/>
          <w:sz w:val="28"/>
          <w:szCs w:val="28"/>
          <w:lang w:eastAsia="it-IT"/>
        </w:rPr>
        <w:t>ha equivocato proprio su questo punto</w:t>
      </w:r>
      <w:r w:rsidR="00893EBA" w:rsidRPr="00B208E4">
        <w:rPr>
          <w:rFonts w:ascii="Calibri" w:eastAsia="Times New Roman" w:hAnsi="Calibri" w:cs="Segoe UI"/>
          <w:color w:val="1F4E79" w:themeColor="accent1" w:themeShade="80"/>
          <w:sz w:val="28"/>
          <w:szCs w:val="28"/>
          <w:lang w:eastAsia="it-IT"/>
        </w:rPr>
        <w:t xml:space="preserve">, sovrapponendo i due temi. Ma è chiaro che l’eventuale affermazione della illegittimità comunitaria della norma </w:t>
      </w:r>
      <w:r w:rsidR="00F05182">
        <w:rPr>
          <w:rFonts w:ascii="Calibri" w:eastAsia="Times New Roman" w:hAnsi="Calibri" w:cs="Segoe UI"/>
          <w:color w:val="1F4E79" w:themeColor="accent1" w:themeShade="80"/>
          <w:sz w:val="28"/>
          <w:szCs w:val="28"/>
          <w:lang w:eastAsia="it-IT"/>
        </w:rPr>
        <w:t xml:space="preserve">nazionale </w:t>
      </w:r>
      <w:r w:rsidR="00893EBA" w:rsidRPr="00B208E4">
        <w:rPr>
          <w:rFonts w:ascii="Calibri" w:eastAsia="Times New Roman" w:hAnsi="Calibri" w:cs="Segoe UI"/>
          <w:color w:val="1F4E79" w:themeColor="accent1" w:themeShade="80"/>
          <w:sz w:val="28"/>
          <w:szCs w:val="28"/>
          <w:lang w:eastAsia="it-IT"/>
        </w:rPr>
        <w:t>che restringe la legittimazione al ricorso non ha nulla a che vedere con la diversa questione riguardante il numero dei gradi di giudizio in cui</w:t>
      </w:r>
      <w:r w:rsidR="004B3412" w:rsidRPr="00B208E4">
        <w:rPr>
          <w:rFonts w:ascii="Calibri" w:eastAsia="Times New Roman" w:hAnsi="Calibri" w:cs="Segoe UI"/>
          <w:color w:val="1F4E79" w:themeColor="accent1" w:themeShade="80"/>
          <w:sz w:val="28"/>
          <w:szCs w:val="28"/>
          <w:lang w:eastAsia="it-IT"/>
        </w:rPr>
        <w:t>, secondo il diritto interno,</w:t>
      </w:r>
      <w:r w:rsidR="00893EBA" w:rsidRPr="00B208E4">
        <w:rPr>
          <w:rFonts w:ascii="Calibri" w:eastAsia="Times New Roman" w:hAnsi="Calibri" w:cs="Segoe UI"/>
          <w:color w:val="1F4E79" w:themeColor="accent1" w:themeShade="80"/>
          <w:sz w:val="28"/>
          <w:szCs w:val="28"/>
          <w:lang w:eastAsia="it-IT"/>
        </w:rPr>
        <w:t xml:space="preserve"> tale questione </w:t>
      </w:r>
      <w:r w:rsidR="00A730B3">
        <w:rPr>
          <w:rFonts w:ascii="Calibri" w:eastAsia="Times New Roman" w:hAnsi="Calibri" w:cs="Segoe UI"/>
          <w:color w:val="1F4E79" w:themeColor="accent1" w:themeShade="80"/>
          <w:sz w:val="28"/>
          <w:szCs w:val="28"/>
          <w:lang w:eastAsia="it-IT"/>
        </w:rPr>
        <w:t>deve</w:t>
      </w:r>
      <w:r w:rsidR="004B3412" w:rsidRPr="00B208E4">
        <w:rPr>
          <w:rFonts w:ascii="Calibri" w:eastAsia="Times New Roman" w:hAnsi="Calibri" w:cs="Segoe UI"/>
          <w:color w:val="1F4E79" w:themeColor="accent1" w:themeShade="80"/>
          <w:sz w:val="28"/>
          <w:szCs w:val="28"/>
          <w:lang w:eastAsia="it-IT"/>
        </w:rPr>
        <w:t xml:space="preserve"> essere esaminata e decisa, nel rispetto del diritto di difesa delle parti.</w:t>
      </w:r>
    </w:p>
    <w:p w:rsidR="00A730B3" w:rsidRPr="00B208E4" w:rsidRDefault="00A730B3"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Insomma, non sembra che la proposta argomentativa sviluppata dall’ordinanza in esame possa determinare significativi dubbi circa l’efficacia complessiva del sistema italiano di giustizia amministrativa.</w:t>
      </w:r>
    </w:p>
    <w:p w:rsidR="001B7157" w:rsidRPr="00B208E4" w:rsidRDefault="001B7157" w:rsidP="00FB7048">
      <w:pPr>
        <w:tabs>
          <w:tab w:val="left" w:pos="0"/>
        </w:tabs>
        <w:spacing w:after="120" w:line="240" w:lineRule="auto"/>
        <w:ind w:firstLine="709"/>
        <w:jc w:val="both"/>
        <w:textAlignment w:val="baseline"/>
        <w:rPr>
          <w:rFonts w:ascii="Georgia" w:eastAsia="Georgia" w:hAnsi="Georgia"/>
          <w:color w:val="1F4E79" w:themeColor="accent1" w:themeShade="80"/>
          <w:sz w:val="28"/>
          <w:szCs w:val="28"/>
        </w:rPr>
      </w:pPr>
    </w:p>
    <w:p w:rsidR="009332F7" w:rsidRDefault="009332F7" w:rsidP="00FB7048">
      <w:pPr>
        <w:numPr>
          <w:ilvl w:val="0"/>
          <w:numId w:val="1"/>
        </w:numPr>
        <w:shd w:val="clear" w:color="auto" w:fill="FFFFFF"/>
        <w:tabs>
          <w:tab w:val="left" w:pos="0"/>
        </w:tabs>
        <w:spacing w:after="120" w:line="240" w:lineRule="auto"/>
        <w:ind w:left="0" w:firstLine="709"/>
        <w:jc w:val="both"/>
        <w:textAlignment w:val="baseline"/>
        <w:rPr>
          <w:rFonts w:ascii="Tahoma" w:eastAsia="Times New Roman" w:hAnsi="Tahoma" w:cs="Tahoma"/>
          <w:smallCaps/>
          <w:color w:val="1F4E79" w:themeColor="accent1" w:themeShade="80"/>
          <w:sz w:val="28"/>
          <w:szCs w:val="28"/>
          <w:bdr w:val="none" w:sz="0" w:space="0" w:color="auto" w:frame="1"/>
          <w:lang w:eastAsia="it-IT"/>
        </w:rPr>
      </w:pPr>
      <w:r w:rsidRPr="00B208E4">
        <w:rPr>
          <w:rFonts w:ascii="Tahoma" w:eastAsia="Times New Roman" w:hAnsi="Tahoma" w:cs="Tahoma"/>
          <w:smallCaps/>
          <w:color w:val="1F4E79" w:themeColor="accent1" w:themeShade="80"/>
          <w:sz w:val="28"/>
          <w:szCs w:val="28"/>
          <w:bdr w:val="none" w:sz="0" w:space="0" w:color="auto" w:frame="1"/>
          <w:lang w:eastAsia="it-IT"/>
        </w:rPr>
        <w:t xml:space="preserve">La </w:t>
      </w:r>
      <w:r w:rsidR="00576E0D" w:rsidRPr="00B208E4">
        <w:rPr>
          <w:rFonts w:ascii="Tahoma" w:eastAsia="Times New Roman" w:hAnsi="Tahoma" w:cs="Tahoma"/>
          <w:smallCaps/>
          <w:color w:val="1F4E79" w:themeColor="accent1" w:themeShade="80"/>
          <w:sz w:val="28"/>
          <w:szCs w:val="28"/>
          <w:bdr w:val="none" w:sz="0" w:space="0" w:color="auto" w:frame="1"/>
          <w:lang w:eastAsia="it-IT"/>
        </w:rPr>
        <w:t xml:space="preserve">soluzione indicata dalla Costituzione italiana minerebbe la </w:t>
      </w:r>
      <w:r w:rsidRPr="00B208E4">
        <w:rPr>
          <w:rFonts w:ascii="Tahoma" w:eastAsia="Times New Roman" w:hAnsi="Tahoma" w:cs="Tahoma"/>
          <w:smallCaps/>
          <w:color w:val="1F4E79" w:themeColor="accent1" w:themeShade="80"/>
          <w:sz w:val="28"/>
          <w:szCs w:val="28"/>
          <w:bdr w:val="none" w:sz="0" w:space="0" w:color="auto" w:frame="1"/>
          <w:lang w:eastAsia="it-IT"/>
        </w:rPr>
        <w:t xml:space="preserve">certezza del diritto. </w:t>
      </w:r>
    </w:p>
    <w:p w:rsidR="003C1C9B" w:rsidRPr="00B208E4" w:rsidRDefault="008C5528"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L’ordinanza aggiunge un ulteriore argomento, in forza del quale l</w:t>
      </w:r>
      <w:r w:rsidR="003C1C9B" w:rsidRPr="00B208E4">
        <w:rPr>
          <w:rFonts w:ascii="Calibri" w:eastAsia="Times New Roman" w:hAnsi="Calibri" w:cs="Segoe UI"/>
          <w:color w:val="1F4E79" w:themeColor="accent1" w:themeShade="80"/>
          <w:sz w:val="28"/>
          <w:szCs w:val="28"/>
          <w:lang w:eastAsia="it-IT"/>
        </w:rPr>
        <w:t>’assetto italiano non garantirebbe</w:t>
      </w:r>
      <w:r w:rsidR="00F05182">
        <w:rPr>
          <w:rFonts w:ascii="Calibri" w:eastAsia="Times New Roman" w:hAnsi="Calibri" w:cs="Segoe UI"/>
          <w:color w:val="1F4E79" w:themeColor="accent1" w:themeShade="80"/>
          <w:sz w:val="28"/>
          <w:szCs w:val="28"/>
          <w:lang w:eastAsia="it-IT"/>
        </w:rPr>
        <w:t xml:space="preserve"> nemmeno la</w:t>
      </w:r>
      <w:r w:rsidR="003C1C9B" w:rsidRPr="00B208E4">
        <w:rPr>
          <w:rFonts w:ascii="Calibri" w:eastAsia="Times New Roman" w:hAnsi="Calibri" w:cs="Segoe UI"/>
          <w:color w:val="1F4E79" w:themeColor="accent1" w:themeShade="80"/>
          <w:sz w:val="28"/>
          <w:szCs w:val="28"/>
          <w:lang w:eastAsia="it-IT"/>
        </w:rPr>
        <w:t xml:space="preserve"> </w:t>
      </w:r>
      <w:r w:rsidR="003C1C9B" w:rsidRPr="00CD78DD">
        <w:rPr>
          <w:rFonts w:ascii="Calibri" w:eastAsia="Times New Roman" w:hAnsi="Calibri" w:cs="Segoe UI"/>
          <w:i/>
          <w:color w:val="1F4E79" w:themeColor="accent1" w:themeShade="80"/>
          <w:sz w:val="28"/>
          <w:szCs w:val="28"/>
          <w:lang w:eastAsia="it-IT"/>
        </w:rPr>
        <w:t>certezza</w:t>
      </w:r>
      <w:r w:rsidR="00F05182" w:rsidRPr="00CD78DD">
        <w:rPr>
          <w:rFonts w:ascii="Calibri" w:eastAsia="Times New Roman" w:hAnsi="Calibri" w:cs="Segoe UI"/>
          <w:i/>
          <w:color w:val="1F4E79" w:themeColor="accent1" w:themeShade="80"/>
          <w:sz w:val="28"/>
          <w:szCs w:val="28"/>
          <w:lang w:eastAsia="it-IT"/>
        </w:rPr>
        <w:t xml:space="preserve"> del diritto</w:t>
      </w:r>
      <w:r w:rsidR="003C1C9B" w:rsidRPr="00B208E4">
        <w:rPr>
          <w:rFonts w:ascii="Calibri" w:eastAsia="Times New Roman" w:hAnsi="Calibri" w:cs="Segoe UI"/>
          <w:color w:val="1F4E79" w:themeColor="accent1" w:themeShade="80"/>
          <w:sz w:val="28"/>
          <w:szCs w:val="28"/>
          <w:lang w:eastAsia="it-IT"/>
        </w:rPr>
        <w:t xml:space="preserve"> e lederebbe l’affidamento dei cittadini</w:t>
      </w:r>
      <w:r w:rsidR="00F05182">
        <w:rPr>
          <w:rFonts w:ascii="Calibri" w:eastAsia="Times New Roman" w:hAnsi="Calibri" w:cs="Segoe UI"/>
          <w:color w:val="1F4E79" w:themeColor="accent1" w:themeShade="80"/>
          <w:sz w:val="28"/>
          <w:szCs w:val="28"/>
          <w:lang w:eastAsia="it-IT"/>
        </w:rPr>
        <w:t>, così minando uno dei principi cardine del diritto eurounitario.</w:t>
      </w:r>
    </w:p>
    <w:p w:rsidR="001B7157" w:rsidRPr="00B208E4" w:rsidRDefault="008C5528"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Si sostiene, al proposito che </w:t>
      </w:r>
      <w:r w:rsidR="001F7D02" w:rsidRPr="00B208E4">
        <w:rPr>
          <w:rFonts w:ascii="Calibri" w:eastAsia="Times New Roman" w:hAnsi="Calibri" w:cs="Segoe UI"/>
          <w:color w:val="1F4E79" w:themeColor="accent1" w:themeShade="80"/>
          <w:sz w:val="28"/>
          <w:szCs w:val="28"/>
          <w:lang w:eastAsia="it-IT"/>
        </w:rPr>
        <w:t>un</w:t>
      </w:r>
      <w:r w:rsidR="001B7157" w:rsidRPr="00B208E4">
        <w:rPr>
          <w:rFonts w:ascii="Calibri" w:eastAsia="Times New Roman" w:hAnsi="Calibri" w:cs="Segoe UI"/>
          <w:color w:val="1F4E79" w:themeColor="accent1" w:themeShade="80"/>
          <w:sz w:val="28"/>
          <w:szCs w:val="28"/>
          <w:lang w:eastAsia="it-IT"/>
        </w:rPr>
        <w:t xml:space="preserve"> </w:t>
      </w:r>
      <w:r w:rsidR="001F7D02" w:rsidRPr="00B208E4">
        <w:rPr>
          <w:rFonts w:ascii="Calibri" w:eastAsia="Times New Roman" w:hAnsi="Calibri" w:cs="Segoe UI"/>
          <w:color w:val="1F4E79" w:themeColor="accent1" w:themeShade="80"/>
          <w:sz w:val="28"/>
          <w:szCs w:val="28"/>
          <w:lang w:eastAsia="it-IT"/>
        </w:rPr>
        <w:t>“</w:t>
      </w:r>
      <w:r w:rsidR="001F7D02" w:rsidRPr="00B208E4">
        <w:rPr>
          <w:rFonts w:ascii="Calibri" w:eastAsia="Times New Roman" w:hAnsi="Calibri" w:cs="Segoe UI"/>
          <w:i/>
          <w:color w:val="1F4E79" w:themeColor="accent1" w:themeShade="80"/>
          <w:sz w:val="28"/>
          <w:szCs w:val="28"/>
          <w:lang w:eastAsia="it-IT"/>
        </w:rPr>
        <w:t>a</w:t>
      </w:r>
      <w:r w:rsidR="001B7157" w:rsidRPr="00B208E4">
        <w:rPr>
          <w:rFonts w:ascii="Calibri" w:eastAsia="Times New Roman" w:hAnsi="Calibri" w:cs="Segoe UI"/>
          <w:i/>
          <w:color w:val="1F4E79" w:themeColor="accent1" w:themeShade="80"/>
          <w:sz w:val="28"/>
          <w:szCs w:val="28"/>
          <w:lang w:eastAsia="it-IT"/>
        </w:rPr>
        <w:t>nalogo dubbio</w:t>
      </w:r>
      <w:r w:rsidR="001F7D02" w:rsidRPr="00B208E4">
        <w:rPr>
          <w:rFonts w:ascii="Calibri" w:eastAsia="Times New Roman" w:hAnsi="Calibri" w:cs="Segoe UI"/>
          <w:i/>
          <w:color w:val="1F4E79" w:themeColor="accent1" w:themeShade="80"/>
          <w:sz w:val="28"/>
          <w:szCs w:val="28"/>
          <w:lang w:eastAsia="it-IT"/>
        </w:rPr>
        <w:t xml:space="preserve"> di legittimità comunitaria</w:t>
      </w:r>
      <w:r w:rsidR="001B7157" w:rsidRPr="00B208E4">
        <w:rPr>
          <w:rFonts w:ascii="Calibri" w:eastAsia="Times New Roman" w:hAnsi="Calibri" w:cs="Segoe UI"/>
          <w:i/>
          <w:color w:val="1F4E79" w:themeColor="accent1" w:themeShade="80"/>
          <w:sz w:val="28"/>
          <w:szCs w:val="28"/>
          <w:lang w:eastAsia="it-IT"/>
        </w:rPr>
        <w:t xml:space="preserve"> può essere avanzato con riguardo ai principi di certezza del diritto e di affidamento dei cittadini, se si considera che analoghi ricorsi per cassazione, in controversie similari aventi ad oggetto l'impugnazione degli atti di esclusione e aggiudicazione di gare di appalto disciplinate dal diritto dell'Unione, sono stati dichiarati ammissibili e accolti quando decisi dalle Sezioni Unite prima del 18 gennaio 2018 (data della sentenza della Corte costituzionale n. 6 del 2018), mentre sono stati dichiarati inammissibili quando decisi dopo tale data (v. Cass., Sez. Un., n. 13243 del 2019), pur se presentati in epoca precedente</w:t>
      </w:r>
      <w:r w:rsidR="001F7D02" w:rsidRPr="00B208E4">
        <w:rPr>
          <w:rFonts w:ascii="Calibri" w:eastAsia="Times New Roman" w:hAnsi="Calibri" w:cs="Segoe UI"/>
          <w:color w:val="1F4E79" w:themeColor="accent1" w:themeShade="80"/>
          <w:sz w:val="28"/>
          <w:szCs w:val="28"/>
          <w:lang w:eastAsia="it-IT"/>
        </w:rPr>
        <w:t>.”</w:t>
      </w:r>
    </w:p>
    <w:p w:rsidR="001B7157" w:rsidRPr="00B208E4" w:rsidRDefault="001F7D02"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Non emerge, tuttavia, </w:t>
      </w:r>
      <w:r w:rsidR="00FB487E">
        <w:rPr>
          <w:rFonts w:ascii="Calibri" w:eastAsia="Times New Roman" w:hAnsi="Calibri" w:cs="Segoe UI"/>
          <w:color w:val="1F4E79" w:themeColor="accent1" w:themeShade="80"/>
          <w:sz w:val="28"/>
          <w:szCs w:val="28"/>
          <w:lang w:eastAsia="it-IT"/>
        </w:rPr>
        <w:t xml:space="preserve">né </w:t>
      </w:r>
      <w:r w:rsidRPr="00B208E4">
        <w:rPr>
          <w:rFonts w:ascii="Calibri" w:eastAsia="Times New Roman" w:hAnsi="Calibri" w:cs="Segoe UI"/>
          <w:color w:val="1F4E79" w:themeColor="accent1" w:themeShade="80"/>
          <w:sz w:val="28"/>
          <w:szCs w:val="28"/>
          <w:lang w:eastAsia="it-IT"/>
        </w:rPr>
        <w:t>la pertinenza di questo argomento e</w:t>
      </w:r>
      <w:r w:rsidR="00FB487E">
        <w:rPr>
          <w:rFonts w:ascii="Calibri" w:eastAsia="Times New Roman" w:hAnsi="Calibri" w:cs="Segoe UI"/>
          <w:color w:val="1F4E79" w:themeColor="accent1" w:themeShade="80"/>
          <w:sz w:val="28"/>
          <w:szCs w:val="28"/>
          <w:lang w:eastAsia="it-IT"/>
        </w:rPr>
        <w:t>, né</w:t>
      </w:r>
      <w:r w:rsidR="00CD78DD">
        <w:rPr>
          <w:rFonts w:ascii="Calibri" w:eastAsia="Times New Roman" w:hAnsi="Calibri" w:cs="Segoe UI"/>
          <w:color w:val="1F4E79" w:themeColor="accent1" w:themeShade="80"/>
          <w:sz w:val="28"/>
          <w:szCs w:val="28"/>
          <w:lang w:eastAsia="it-IT"/>
        </w:rPr>
        <w:t>, tanto meno,</w:t>
      </w:r>
      <w:r w:rsidRPr="00B208E4">
        <w:rPr>
          <w:rFonts w:ascii="Calibri" w:eastAsia="Times New Roman" w:hAnsi="Calibri" w:cs="Segoe UI"/>
          <w:color w:val="1F4E79" w:themeColor="accent1" w:themeShade="80"/>
          <w:sz w:val="28"/>
          <w:szCs w:val="28"/>
          <w:lang w:eastAsia="it-IT"/>
        </w:rPr>
        <w:t xml:space="preserve"> la sua </w:t>
      </w:r>
      <w:r w:rsidRPr="00CD78DD">
        <w:rPr>
          <w:rFonts w:ascii="Calibri" w:eastAsia="Times New Roman" w:hAnsi="Calibri" w:cs="Segoe UI"/>
          <w:i/>
          <w:color w:val="1F4E79" w:themeColor="accent1" w:themeShade="80"/>
          <w:sz w:val="28"/>
          <w:szCs w:val="28"/>
          <w:lang w:eastAsia="it-IT"/>
        </w:rPr>
        <w:t>esat</w:t>
      </w:r>
      <w:r w:rsidR="008242E1" w:rsidRPr="00CD78DD">
        <w:rPr>
          <w:rFonts w:ascii="Calibri" w:eastAsia="Times New Roman" w:hAnsi="Calibri" w:cs="Segoe UI"/>
          <w:i/>
          <w:color w:val="1F4E79" w:themeColor="accent1" w:themeShade="80"/>
          <w:sz w:val="28"/>
          <w:szCs w:val="28"/>
          <w:lang w:eastAsia="it-IT"/>
        </w:rPr>
        <w:t>t</w:t>
      </w:r>
      <w:r w:rsidRPr="00CD78DD">
        <w:rPr>
          <w:rFonts w:ascii="Calibri" w:eastAsia="Times New Roman" w:hAnsi="Calibri" w:cs="Segoe UI"/>
          <w:i/>
          <w:color w:val="1F4E79" w:themeColor="accent1" w:themeShade="80"/>
          <w:sz w:val="28"/>
          <w:szCs w:val="28"/>
          <w:lang w:eastAsia="it-IT"/>
        </w:rPr>
        <w:t>ezza</w:t>
      </w:r>
      <w:r w:rsidRPr="00B208E4">
        <w:rPr>
          <w:rFonts w:ascii="Calibri" w:eastAsia="Times New Roman" w:hAnsi="Calibri" w:cs="Segoe UI"/>
          <w:color w:val="1F4E79" w:themeColor="accent1" w:themeShade="80"/>
          <w:sz w:val="28"/>
          <w:szCs w:val="28"/>
          <w:lang w:eastAsia="it-IT"/>
        </w:rPr>
        <w:t>.</w:t>
      </w:r>
    </w:p>
    <w:p w:rsidR="001F7D02" w:rsidRPr="00B208E4" w:rsidRDefault="008242E1"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Infatti, a partire dalla sentenza n. 6/2018, l’assetto italiano è caratterizzato </w:t>
      </w:r>
      <w:r w:rsidR="00FB487E">
        <w:rPr>
          <w:rFonts w:ascii="Calibri" w:eastAsia="Times New Roman" w:hAnsi="Calibri" w:cs="Segoe UI"/>
          <w:color w:val="1F4E79" w:themeColor="accent1" w:themeShade="80"/>
          <w:sz w:val="28"/>
          <w:szCs w:val="28"/>
          <w:lang w:eastAsia="it-IT"/>
        </w:rPr>
        <w:t xml:space="preserve">senz’altro </w:t>
      </w:r>
      <w:r w:rsidRPr="00B208E4">
        <w:rPr>
          <w:rFonts w:ascii="Calibri" w:eastAsia="Times New Roman" w:hAnsi="Calibri" w:cs="Segoe UI"/>
          <w:color w:val="1F4E79" w:themeColor="accent1" w:themeShade="80"/>
          <w:sz w:val="28"/>
          <w:szCs w:val="28"/>
          <w:lang w:eastAsia="it-IT"/>
        </w:rPr>
        <w:t xml:space="preserve">da certezza e </w:t>
      </w:r>
      <w:r w:rsidR="00FB487E">
        <w:rPr>
          <w:rFonts w:ascii="Calibri" w:eastAsia="Times New Roman" w:hAnsi="Calibri" w:cs="Segoe UI"/>
          <w:color w:val="1F4E79" w:themeColor="accent1" w:themeShade="80"/>
          <w:sz w:val="28"/>
          <w:szCs w:val="28"/>
          <w:lang w:eastAsia="it-IT"/>
        </w:rPr>
        <w:t xml:space="preserve">da </w:t>
      </w:r>
      <w:r w:rsidRPr="00B208E4">
        <w:rPr>
          <w:rFonts w:ascii="Calibri" w:eastAsia="Times New Roman" w:hAnsi="Calibri" w:cs="Segoe UI"/>
          <w:color w:val="1F4E79" w:themeColor="accent1" w:themeShade="80"/>
          <w:sz w:val="28"/>
          <w:szCs w:val="28"/>
          <w:lang w:eastAsia="it-IT"/>
        </w:rPr>
        <w:t xml:space="preserve">omogeneità. L’intervento della Corte è stato motivato, fra l’altro, proprio dall’esigenza di ripristinare </w:t>
      </w:r>
      <w:r w:rsidR="00980670" w:rsidRPr="00B208E4">
        <w:rPr>
          <w:rFonts w:ascii="Calibri" w:eastAsia="Times New Roman" w:hAnsi="Calibri" w:cs="Segoe UI"/>
          <w:color w:val="1F4E79" w:themeColor="accent1" w:themeShade="80"/>
          <w:sz w:val="28"/>
          <w:szCs w:val="28"/>
          <w:lang w:eastAsia="it-IT"/>
        </w:rPr>
        <w:t>l’ordine messo in crisi dalle oscillazioni giu</w:t>
      </w:r>
      <w:r w:rsidR="00CD78DD">
        <w:rPr>
          <w:rFonts w:ascii="Calibri" w:eastAsia="Times New Roman" w:hAnsi="Calibri" w:cs="Segoe UI"/>
          <w:color w:val="1F4E79" w:themeColor="accent1" w:themeShade="80"/>
          <w:sz w:val="28"/>
          <w:szCs w:val="28"/>
          <w:lang w:eastAsia="it-IT"/>
        </w:rPr>
        <w:t>risprudenziali determinate dalle teorie</w:t>
      </w:r>
      <w:r w:rsidR="00980670" w:rsidRPr="00B208E4">
        <w:rPr>
          <w:rFonts w:ascii="Calibri" w:eastAsia="Times New Roman" w:hAnsi="Calibri" w:cs="Segoe UI"/>
          <w:color w:val="1F4E79" w:themeColor="accent1" w:themeShade="80"/>
          <w:sz w:val="28"/>
          <w:szCs w:val="28"/>
          <w:lang w:eastAsia="it-IT"/>
        </w:rPr>
        <w:t xml:space="preserve"> della </w:t>
      </w:r>
      <w:r w:rsidR="00980670" w:rsidRPr="00FB487E">
        <w:rPr>
          <w:rFonts w:ascii="Calibri" w:eastAsia="Times New Roman" w:hAnsi="Calibri" w:cs="Segoe UI"/>
          <w:i/>
          <w:color w:val="1F4E79" w:themeColor="accent1" w:themeShade="80"/>
          <w:sz w:val="28"/>
          <w:szCs w:val="28"/>
          <w:lang w:eastAsia="it-IT"/>
        </w:rPr>
        <w:t>giurisdizione dinamica</w:t>
      </w:r>
      <w:r w:rsidR="00980670" w:rsidRPr="00B208E4">
        <w:rPr>
          <w:rFonts w:ascii="Calibri" w:eastAsia="Times New Roman" w:hAnsi="Calibri" w:cs="Segoe UI"/>
          <w:color w:val="1F4E79" w:themeColor="accent1" w:themeShade="80"/>
          <w:sz w:val="28"/>
          <w:szCs w:val="28"/>
          <w:lang w:eastAsia="it-IT"/>
        </w:rPr>
        <w:t>.</w:t>
      </w:r>
      <w:r w:rsidR="00FB487E">
        <w:rPr>
          <w:rFonts w:ascii="Calibri" w:eastAsia="Times New Roman" w:hAnsi="Calibri" w:cs="Segoe UI"/>
          <w:color w:val="1F4E79" w:themeColor="accent1" w:themeShade="80"/>
          <w:sz w:val="28"/>
          <w:szCs w:val="28"/>
          <w:lang w:eastAsia="it-IT"/>
        </w:rPr>
        <w:t xml:space="preserve"> In questo senso, è significativa la contestazione delle tesi “intermedie”, pure a suo tempo sostenute da un </w:t>
      </w:r>
      <w:r w:rsidR="00CD78DD">
        <w:rPr>
          <w:rFonts w:ascii="Calibri" w:eastAsia="Times New Roman" w:hAnsi="Calibri" w:cs="Segoe UI"/>
          <w:color w:val="1F4E79" w:themeColor="accent1" w:themeShade="80"/>
          <w:sz w:val="28"/>
          <w:szCs w:val="28"/>
          <w:lang w:eastAsia="it-IT"/>
        </w:rPr>
        <w:t xml:space="preserve">certo </w:t>
      </w:r>
      <w:r w:rsidR="00FB487E">
        <w:rPr>
          <w:rFonts w:ascii="Calibri" w:eastAsia="Times New Roman" w:hAnsi="Calibri" w:cs="Segoe UI"/>
          <w:color w:val="1F4E79" w:themeColor="accent1" w:themeShade="80"/>
          <w:sz w:val="28"/>
          <w:szCs w:val="28"/>
          <w:lang w:eastAsia="it-IT"/>
        </w:rPr>
        <w:t xml:space="preserve">indirizzo delle Sezioni Unite, ma </w:t>
      </w:r>
      <w:r w:rsidR="00CD78DD">
        <w:rPr>
          <w:rFonts w:ascii="Calibri" w:eastAsia="Times New Roman" w:hAnsi="Calibri" w:cs="Segoe UI"/>
          <w:color w:val="1F4E79" w:themeColor="accent1" w:themeShade="80"/>
          <w:sz w:val="28"/>
          <w:szCs w:val="28"/>
          <w:lang w:eastAsia="it-IT"/>
        </w:rPr>
        <w:t xml:space="preserve">fortemente </w:t>
      </w:r>
      <w:r w:rsidR="00FB487E">
        <w:rPr>
          <w:rFonts w:ascii="Calibri" w:eastAsia="Times New Roman" w:hAnsi="Calibri" w:cs="Segoe UI"/>
          <w:color w:val="1F4E79" w:themeColor="accent1" w:themeShade="80"/>
          <w:sz w:val="28"/>
          <w:szCs w:val="28"/>
          <w:lang w:eastAsia="it-IT"/>
        </w:rPr>
        <w:t>stigmatizzate dalla Corte, proprio per la loro attitudine a generare confusione.</w:t>
      </w:r>
    </w:p>
    <w:p w:rsidR="00980670" w:rsidRDefault="00980670"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La decisione della </w:t>
      </w:r>
      <w:r w:rsidR="00FB487E" w:rsidRPr="00B208E4">
        <w:rPr>
          <w:rFonts w:ascii="Calibri" w:eastAsia="Times New Roman" w:hAnsi="Calibri" w:cs="Segoe UI"/>
          <w:color w:val="1F4E79" w:themeColor="accent1" w:themeShade="80"/>
          <w:sz w:val="28"/>
          <w:szCs w:val="28"/>
          <w:lang w:eastAsia="it-IT"/>
        </w:rPr>
        <w:t xml:space="preserve">Corte </w:t>
      </w:r>
      <w:r w:rsidRPr="00B208E4">
        <w:rPr>
          <w:rFonts w:ascii="Calibri" w:eastAsia="Times New Roman" w:hAnsi="Calibri" w:cs="Segoe UI"/>
          <w:color w:val="1F4E79" w:themeColor="accent1" w:themeShade="80"/>
          <w:sz w:val="28"/>
          <w:szCs w:val="28"/>
          <w:lang w:eastAsia="it-IT"/>
        </w:rPr>
        <w:t>costituzionale può essere contestata,</w:t>
      </w:r>
      <w:r w:rsidR="00FB487E">
        <w:rPr>
          <w:rFonts w:ascii="Calibri" w:eastAsia="Times New Roman" w:hAnsi="Calibri" w:cs="Segoe UI"/>
          <w:color w:val="1F4E79" w:themeColor="accent1" w:themeShade="80"/>
          <w:sz w:val="28"/>
          <w:szCs w:val="28"/>
          <w:lang w:eastAsia="it-IT"/>
        </w:rPr>
        <w:t xml:space="preserve"> ovviamente,</w:t>
      </w:r>
      <w:r w:rsidRPr="00B208E4">
        <w:rPr>
          <w:rFonts w:ascii="Calibri" w:eastAsia="Times New Roman" w:hAnsi="Calibri" w:cs="Segoe UI"/>
          <w:color w:val="1F4E79" w:themeColor="accent1" w:themeShade="80"/>
          <w:sz w:val="28"/>
          <w:szCs w:val="28"/>
          <w:lang w:eastAsia="it-IT"/>
        </w:rPr>
        <w:t xml:space="preserve"> ma non le si possono imputare vizi di </w:t>
      </w:r>
      <w:r w:rsidRPr="00CD78DD">
        <w:rPr>
          <w:rFonts w:ascii="Calibri" w:eastAsia="Times New Roman" w:hAnsi="Calibri" w:cs="Segoe UI"/>
          <w:i/>
          <w:color w:val="1F4E79" w:themeColor="accent1" w:themeShade="80"/>
          <w:sz w:val="28"/>
          <w:szCs w:val="28"/>
          <w:lang w:eastAsia="it-IT"/>
        </w:rPr>
        <w:t>indeterminatezza</w:t>
      </w:r>
      <w:r w:rsidR="00FB487E">
        <w:rPr>
          <w:rStyle w:val="Rimandonotaapidipagina"/>
          <w:rFonts w:ascii="Calibri" w:eastAsia="Times New Roman" w:hAnsi="Calibri" w:cs="Segoe UI"/>
          <w:color w:val="1F4E79" w:themeColor="accent1" w:themeShade="80"/>
          <w:sz w:val="28"/>
          <w:szCs w:val="28"/>
          <w:lang w:eastAsia="it-IT"/>
        </w:rPr>
        <w:footnoteReference w:id="40"/>
      </w:r>
      <w:r w:rsidRPr="00B208E4">
        <w:rPr>
          <w:rFonts w:ascii="Calibri" w:eastAsia="Times New Roman" w:hAnsi="Calibri" w:cs="Segoe UI"/>
          <w:color w:val="1F4E79" w:themeColor="accent1" w:themeShade="80"/>
          <w:sz w:val="28"/>
          <w:szCs w:val="28"/>
          <w:lang w:eastAsia="it-IT"/>
        </w:rPr>
        <w:t>.</w:t>
      </w:r>
      <w:r w:rsidR="00106F7F" w:rsidRPr="00B208E4">
        <w:rPr>
          <w:rFonts w:ascii="Calibri" w:eastAsia="Times New Roman" w:hAnsi="Calibri" w:cs="Segoe UI"/>
          <w:color w:val="1F4E79" w:themeColor="accent1" w:themeShade="80"/>
          <w:sz w:val="28"/>
          <w:szCs w:val="28"/>
          <w:lang w:eastAsia="it-IT"/>
        </w:rPr>
        <w:t xml:space="preserve"> Senza dimenticare che, come già ricordato, la decisione della Corte costituzionale, lungi dal </w:t>
      </w:r>
      <w:r w:rsidR="00FB487E">
        <w:rPr>
          <w:rFonts w:ascii="Calibri" w:eastAsia="Times New Roman" w:hAnsi="Calibri" w:cs="Segoe UI"/>
          <w:color w:val="1F4E79" w:themeColor="accent1" w:themeShade="80"/>
          <w:sz w:val="28"/>
          <w:szCs w:val="28"/>
          <w:lang w:eastAsia="it-IT"/>
        </w:rPr>
        <w:t>comport</w:t>
      </w:r>
      <w:r w:rsidR="00106F7F" w:rsidRPr="00B208E4">
        <w:rPr>
          <w:rFonts w:ascii="Calibri" w:eastAsia="Times New Roman" w:hAnsi="Calibri" w:cs="Segoe UI"/>
          <w:color w:val="1F4E79" w:themeColor="accent1" w:themeShade="80"/>
          <w:sz w:val="28"/>
          <w:szCs w:val="28"/>
          <w:lang w:eastAsia="it-IT"/>
        </w:rPr>
        <w:t>are inaspettati capovolgimenti di indirizzi</w:t>
      </w:r>
      <w:r w:rsidR="00CD78DD">
        <w:rPr>
          <w:rFonts w:ascii="Calibri" w:eastAsia="Times New Roman" w:hAnsi="Calibri" w:cs="Segoe UI"/>
          <w:color w:val="1F4E79" w:themeColor="accent1" w:themeShade="80"/>
          <w:sz w:val="28"/>
          <w:szCs w:val="28"/>
          <w:lang w:eastAsia="it-IT"/>
        </w:rPr>
        <w:t xml:space="preserve"> interpretativi risalenti nel tempo</w:t>
      </w:r>
      <w:r w:rsidR="00106F7F" w:rsidRPr="00B208E4">
        <w:rPr>
          <w:rFonts w:ascii="Calibri" w:eastAsia="Times New Roman" w:hAnsi="Calibri" w:cs="Segoe UI"/>
          <w:color w:val="1F4E79" w:themeColor="accent1" w:themeShade="80"/>
          <w:sz w:val="28"/>
          <w:szCs w:val="28"/>
          <w:lang w:eastAsia="it-IT"/>
        </w:rPr>
        <w:t>, non ha fatto altro che ripristinare il consolidato orientamento ermeneutico, circa la portata dell’art. 111, comma ottavo</w:t>
      </w:r>
      <w:r w:rsidR="00CD78DD">
        <w:rPr>
          <w:rFonts w:ascii="Calibri" w:eastAsia="Times New Roman" w:hAnsi="Calibri" w:cs="Segoe UI"/>
          <w:color w:val="1F4E79" w:themeColor="accent1" w:themeShade="80"/>
          <w:sz w:val="28"/>
          <w:szCs w:val="28"/>
          <w:lang w:eastAsia="it-IT"/>
        </w:rPr>
        <w:t>, della Cost</w:t>
      </w:r>
      <w:r w:rsidR="00106F7F" w:rsidRPr="00B208E4">
        <w:rPr>
          <w:rFonts w:ascii="Calibri" w:eastAsia="Times New Roman" w:hAnsi="Calibri" w:cs="Segoe UI"/>
          <w:color w:val="1F4E79" w:themeColor="accent1" w:themeShade="80"/>
          <w:sz w:val="28"/>
          <w:szCs w:val="28"/>
          <w:lang w:eastAsia="it-IT"/>
        </w:rPr>
        <w:t>.</w:t>
      </w:r>
    </w:p>
    <w:p w:rsidR="00CD78DD" w:rsidRDefault="00CD78DD"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In ogni caso, la vicenda del mutamento di giurisprudenza non può considerarsi lesiva di alcun principio di diritto eurounitatio, a meno che non si voglia sostenere che la nomofilachia consista nella pietrificazione dell’interpretazione affermata dalla Corte superiore.</w:t>
      </w:r>
    </w:p>
    <w:p w:rsidR="00CD78DD" w:rsidRDefault="00CD78DD" w:rsidP="00FB7048">
      <w:pPr>
        <w:shd w:val="clear" w:color="auto" w:fill="FFFFFF"/>
        <w:tabs>
          <w:tab w:val="left" w:pos="0"/>
        </w:tabs>
        <w:spacing w:after="120" w:line="240" w:lineRule="auto"/>
        <w:ind w:firstLine="709"/>
        <w:jc w:val="both"/>
        <w:textAlignment w:val="baseline"/>
        <w:rPr>
          <w:rFonts w:ascii="Tahoma" w:eastAsia="Times New Roman" w:hAnsi="Tahoma" w:cs="Tahoma"/>
          <w:smallCaps/>
          <w:color w:val="1F4E79" w:themeColor="accent1" w:themeShade="80"/>
          <w:sz w:val="28"/>
          <w:szCs w:val="28"/>
          <w:bdr w:val="none" w:sz="0" w:space="0" w:color="auto" w:frame="1"/>
          <w:lang w:eastAsia="it-IT"/>
        </w:rPr>
      </w:pPr>
    </w:p>
    <w:p w:rsidR="00CD78DD" w:rsidRPr="00CD78DD" w:rsidRDefault="00CD78DD" w:rsidP="00FB7048">
      <w:pPr>
        <w:numPr>
          <w:ilvl w:val="0"/>
          <w:numId w:val="1"/>
        </w:numPr>
        <w:shd w:val="clear" w:color="auto" w:fill="FFFFFF"/>
        <w:tabs>
          <w:tab w:val="left" w:pos="0"/>
        </w:tabs>
        <w:spacing w:after="120" w:line="240" w:lineRule="auto"/>
        <w:ind w:left="0" w:firstLine="709"/>
        <w:jc w:val="both"/>
        <w:textAlignment w:val="baseline"/>
        <w:rPr>
          <w:rFonts w:ascii="Tahoma" w:eastAsia="Times New Roman" w:hAnsi="Tahoma" w:cs="Tahoma"/>
          <w:smallCaps/>
          <w:color w:val="1F4E79" w:themeColor="accent1" w:themeShade="80"/>
          <w:sz w:val="28"/>
          <w:szCs w:val="28"/>
          <w:bdr w:val="none" w:sz="0" w:space="0" w:color="auto" w:frame="1"/>
          <w:lang w:eastAsia="it-IT"/>
        </w:rPr>
      </w:pPr>
      <w:r w:rsidRPr="00CD78DD">
        <w:rPr>
          <w:rFonts w:ascii="Tahoma" w:eastAsia="Times New Roman" w:hAnsi="Tahoma" w:cs="Tahoma"/>
          <w:smallCaps/>
          <w:color w:val="1F4E79" w:themeColor="accent1" w:themeShade="80"/>
          <w:sz w:val="28"/>
          <w:szCs w:val="28"/>
          <w:bdr w:val="none" w:sz="0" w:space="0" w:color="auto" w:frame="1"/>
          <w:lang w:eastAsia="it-IT"/>
        </w:rPr>
        <w:t>L’oggetto della questione: l’illegittimità comunitaria dell’art. 111, comma ottavo</w:t>
      </w:r>
      <w:r w:rsidR="00207D69">
        <w:rPr>
          <w:rFonts w:ascii="Tahoma" w:eastAsia="Times New Roman" w:hAnsi="Tahoma" w:cs="Tahoma"/>
          <w:smallCaps/>
          <w:color w:val="1F4E79" w:themeColor="accent1" w:themeShade="80"/>
          <w:sz w:val="28"/>
          <w:szCs w:val="28"/>
          <w:bdr w:val="none" w:sz="0" w:space="0" w:color="auto" w:frame="1"/>
          <w:lang w:eastAsia="it-IT"/>
        </w:rPr>
        <w:t>,</w:t>
      </w:r>
      <w:r w:rsidRPr="00CD78DD">
        <w:rPr>
          <w:rFonts w:ascii="Tahoma" w:eastAsia="Times New Roman" w:hAnsi="Tahoma" w:cs="Tahoma"/>
          <w:smallCaps/>
          <w:color w:val="1F4E79" w:themeColor="accent1" w:themeShade="80"/>
          <w:sz w:val="28"/>
          <w:szCs w:val="28"/>
          <w:bdr w:val="none" w:sz="0" w:space="0" w:color="auto" w:frame="1"/>
          <w:lang w:eastAsia="it-IT"/>
        </w:rPr>
        <w:t xml:space="preserve"> della Costituzione.</w:t>
      </w:r>
    </w:p>
    <w:p w:rsidR="001B7157" w:rsidRPr="00B208E4" w:rsidRDefault="00CA60A3"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Da ultimo, la Cassazione tocca un altro aspetto nevralgico della propria opzione interpretativa: la dimensione costituzionale della norma nazionale di cui dubita la compati</w:t>
      </w:r>
      <w:r w:rsidR="005611A6">
        <w:rPr>
          <w:rFonts w:ascii="Calibri" w:eastAsia="Times New Roman" w:hAnsi="Calibri" w:cs="Segoe UI"/>
          <w:color w:val="1F4E79" w:themeColor="accent1" w:themeShade="80"/>
          <w:sz w:val="28"/>
          <w:szCs w:val="28"/>
          <w:lang w:eastAsia="it-IT"/>
        </w:rPr>
        <w:t>bilità con il sistema eurounitar</w:t>
      </w:r>
      <w:r w:rsidRPr="00B208E4">
        <w:rPr>
          <w:rFonts w:ascii="Calibri" w:eastAsia="Times New Roman" w:hAnsi="Calibri" w:cs="Segoe UI"/>
          <w:color w:val="1F4E79" w:themeColor="accent1" w:themeShade="80"/>
          <w:sz w:val="28"/>
          <w:szCs w:val="28"/>
          <w:lang w:eastAsia="it-IT"/>
        </w:rPr>
        <w:t>io.</w:t>
      </w:r>
    </w:p>
    <w:p w:rsidR="001B7157" w:rsidRPr="00B208E4" w:rsidRDefault="00CA60A3"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Al paragrafo </w:t>
      </w:r>
      <w:r w:rsidR="001B7157" w:rsidRPr="00B208E4">
        <w:rPr>
          <w:rFonts w:ascii="Calibri" w:eastAsia="Times New Roman" w:hAnsi="Calibri" w:cs="Segoe UI"/>
          <w:color w:val="1F4E79" w:themeColor="accent1" w:themeShade="80"/>
          <w:sz w:val="28"/>
          <w:szCs w:val="28"/>
          <w:lang w:eastAsia="it-IT"/>
        </w:rPr>
        <w:t>45</w:t>
      </w:r>
      <w:r w:rsidR="00CD78DD">
        <w:rPr>
          <w:rFonts w:ascii="Calibri" w:eastAsia="Times New Roman" w:hAnsi="Calibri" w:cs="Segoe UI"/>
          <w:color w:val="1F4E79" w:themeColor="accent1" w:themeShade="80"/>
          <w:sz w:val="28"/>
          <w:szCs w:val="28"/>
          <w:lang w:eastAsia="it-IT"/>
        </w:rPr>
        <w:t xml:space="preserve">, si afferma quanto segue. </w:t>
      </w:r>
      <w:r w:rsidR="00CD78DD" w:rsidRPr="00B208E4">
        <w:rPr>
          <w:rFonts w:ascii="Calibri" w:eastAsia="Times New Roman" w:hAnsi="Calibri" w:cs="Segoe UI"/>
          <w:color w:val="1F4E79" w:themeColor="accent1" w:themeShade="80"/>
          <w:sz w:val="28"/>
          <w:szCs w:val="28"/>
          <w:lang w:eastAsia="it-IT"/>
        </w:rPr>
        <w:t>«</w:t>
      </w:r>
      <w:r w:rsidR="001B7157" w:rsidRPr="00CD78DD">
        <w:rPr>
          <w:rFonts w:ascii="Calibri" w:eastAsia="Times New Roman" w:hAnsi="Calibri" w:cs="Segoe UI"/>
          <w:i/>
          <w:color w:val="1F4E79" w:themeColor="accent1" w:themeShade="80"/>
          <w:sz w:val="28"/>
          <w:szCs w:val="28"/>
          <w:lang w:eastAsia="it-IT"/>
        </w:rPr>
        <w:t>Infine non sembra che possa assumere rilievo determinante la natura costituzionale della disposizione (art. 111, ottavo comma, della Costituzione), la cui interpretazione da parte della Corte costituzionale italiana (con sentenza n. 6 del 2018) ha determinato la prassi giurisprudenziale che è oggetto della questione pregiudiziale in esame.</w:t>
      </w:r>
      <w:r w:rsidR="00CD78DD" w:rsidRPr="00B208E4">
        <w:rPr>
          <w:rFonts w:ascii="Calibri" w:eastAsia="Times New Roman" w:hAnsi="Calibri" w:cs="Segoe UI"/>
          <w:color w:val="1F4E79" w:themeColor="accent1" w:themeShade="80"/>
          <w:sz w:val="28"/>
          <w:szCs w:val="28"/>
          <w:lang w:eastAsia="it-IT"/>
        </w:rPr>
        <w:t>»</w:t>
      </w:r>
    </w:p>
    <w:p w:rsidR="001B7157" w:rsidRPr="00B208E4" w:rsidRDefault="001B7157" w:rsidP="00FB7048">
      <w:pPr>
        <w:shd w:val="clear" w:color="auto" w:fill="FFFFFF"/>
        <w:tabs>
          <w:tab w:val="left" w:pos="0"/>
          <w:tab w:val="left" w:pos="2127"/>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w:t>
      </w:r>
      <w:r w:rsidR="003C1C9B" w:rsidRPr="00CD78DD">
        <w:rPr>
          <w:rFonts w:ascii="Calibri" w:eastAsia="Times New Roman" w:hAnsi="Calibri" w:cs="Segoe UI"/>
          <w:i/>
          <w:color w:val="1F4E79" w:themeColor="accent1" w:themeShade="80"/>
          <w:sz w:val="28"/>
          <w:szCs w:val="28"/>
          <w:lang w:eastAsia="it-IT"/>
        </w:rPr>
        <w:t>È</w:t>
      </w:r>
      <w:r w:rsidRPr="00CD78DD">
        <w:rPr>
          <w:rFonts w:ascii="Calibri" w:eastAsia="Times New Roman" w:hAnsi="Calibri" w:cs="Segoe UI"/>
          <w:i/>
          <w:color w:val="1F4E79" w:themeColor="accent1" w:themeShade="80"/>
          <w:sz w:val="28"/>
          <w:szCs w:val="28"/>
          <w:lang w:eastAsia="it-IT"/>
        </w:rPr>
        <w:t xml:space="preserve"> infatti inammissibile che norme di diritto nazionale, quand'anche di rango costituzionale, possano menomare l'unità e l'efficacia del diritto dell'Unione.</w:t>
      </w:r>
      <w:r w:rsidR="000B3A3D" w:rsidRPr="00B208E4">
        <w:rPr>
          <w:rFonts w:ascii="Calibri" w:eastAsia="Times New Roman" w:hAnsi="Calibri" w:cs="Segoe UI"/>
          <w:color w:val="1F4E79" w:themeColor="accent1" w:themeShade="80"/>
          <w:sz w:val="28"/>
          <w:szCs w:val="28"/>
          <w:lang w:eastAsia="it-IT"/>
        </w:rPr>
        <w:t>»</w:t>
      </w:r>
    </w:p>
    <w:p w:rsidR="00486692" w:rsidRPr="00B208E4" w:rsidRDefault="00CD78DD"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Secondo l’ordinanza, t</w:t>
      </w:r>
      <w:r w:rsidR="00486692" w:rsidRPr="00B208E4">
        <w:rPr>
          <w:rFonts w:ascii="Calibri" w:eastAsia="Times New Roman" w:hAnsi="Calibri" w:cs="Segoe UI"/>
          <w:color w:val="1F4E79" w:themeColor="accent1" w:themeShade="80"/>
          <w:sz w:val="28"/>
          <w:szCs w:val="28"/>
          <w:lang w:eastAsia="it-IT"/>
        </w:rPr>
        <w:t>utte queste considerazioni, pertanto, porterebbero a ritenere che l’estremo rimedio a tutela del diritto dell’Unione violato dai giudici amministrativi (e contabili) sia dato dal ricorso per cassazione per motivi inerenti alla giurisdizione, senza che rilevi la sua ristretta conformazione voluta dalla Costituzione (a tutela della pluralità delle giurisdizioni), perché anche le norme costituzionali devono essere disapplicate se lesive dei principi di primazia ed efficacia diretta del diritto dell’Unione.</w:t>
      </w:r>
    </w:p>
    <w:p w:rsidR="001B7157" w:rsidRPr="00B208E4" w:rsidRDefault="001434FA"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Questa parte della motivazione suscita senz’altro riflessioni di carattere più generale</w:t>
      </w:r>
      <w:r w:rsidR="000349AB" w:rsidRPr="00B208E4">
        <w:rPr>
          <w:rFonts w:ascii="Calibri" w:eastAsia="Times New Roman" w:hAnsi="Calibri" w:cs="Segoe UI"/>
          <w:color w:val="1F4E79" w:themeColor="accent1" w:themeShade="80"/>
          <w:sz w:val="28"/>
          <w:szCs w:val="28"/>
          <w:lang w:eastAsia="it-IT"/>
        </w:rPr>
        <w:t>.</w:t>
      </w:r>
    </w:p>
    <w:p w:rsidR="00072F0A" w:rsidRPr="00B208E4" w:rsidRDefault="00072F0A"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Come sottolineato da TRAVI, in questa parte l’ordinanza non dà atto delle ragioni contrarie della Corte costituzionale e descrive come “</w:t>
      </w:r>
      <w:r w:rsidRPr="00CD78DD">
        <w:rPr>
          <w:rFonts w:ascii="Calibri" w:eastAsia="Times New Roman" w:hAnsi="Calibri" w:cs="Segoe UI"/>
          <w:i/>
          <w:color w:val="1F4E79" w:themeColor="accent1" w:themeShade="80"/>
          <w:sz w:val="28"/>
          <w:szCs w:val="28"/>
          <w:lang w:eastAsia="it-IT"/>
        </w:rPr>
        <w:t>prassi giurisprudenziale</w:t>
      </w:r>
      <w:r w:rsidRPr="00B208E4">
        <w:rPr>
          <w:rFonts w:ascii="Calibri" w:eastAsia="Times New Roman" w:hAnsi="Calibri" w:cs="Segoe UI"/>
          <w:color w:val="1F4E79" w:themeColor="accent1" w:themeShade="80"/>
          <w:sz w:val="28"/>
          <w:szCs w:val="28"/>
          <w:lang w:eastAsia="it-IT"/>
        </w:rPr>
        <w:t xml:space="preserve">” l’orientamento </w:t>
      </w:r>
      <w:r w:rsidR="00CD78DD">
        <w:rPr>
          <w:rFonts w:ascii="Calibri" w:eastAsia="Times New Roman" w:hAnsi="Calibri" w:cs="Segoe UI"/>
          <w:color w:val="1F4E79" w:themeColor="accent1" w:themeShade="80"/>
          <w:sz w:val="28"/>
          <w:szCs w:val="28"/>
          <w:lang w:eastAsia="it-IT"/>
        </w:rPr>
        <w:t xml:space="preserve">delle Sezioni Unite, </w:t>
      </w:r>
      <w:r w:rsidRPr="00B208E4">
        <w:rPr>
          <w:rFonts w:ascii="Calibri" w:eastAsia="Times New Roman" w:hAnsi="Calibri" w:cs="Segoe UI"/>
          <w:color w:val="1F4E79" w:themeColor="accent1" w:themeShade="80"/>
          <w:sz w:val="28"/>
          <w:szCs w:val="28"/>
          <w:lang w:eastAsia="it-IT"/>
        </w:rPr>
        <w:t>che</w:t>
      </w:r>
      <w:r w:rsidR="00CD78DD">
        <w:rPr>
          <w:rFonts w:ascii="Calibri" w:eastAsia="Times New Roman" w:hAnsi="Calibri" w:cs="Segoe UI"/>
          <w:color w:val="1F4E79" w:themeColor="accent1" w:themeShade="80"/>
          <w:sz w:val="28"/>
          <w:szCs w:val="28"/>
          <w:lang w:eastAsia="it-IT"/>
        </w:rPr>
        <w:t>,</w:t>
      </w:r>
      <w:r w:rsidRPr="00B208E4">
        <w:rPr>
          <w:rFonts w:ascii="Calibri" w:eastAsia="Times New Roman" w:hAnsi="Calibri" w:cs="Segoe UI"/>
          <w:color w:val="1F4E79" w:themeColor="accent1" w:themeShade="80"/>
          <w:sz w:val="28"/>
          <w:szCs w:val="28"/>
          <w:lang w:eastAsia="it-IT"/>
        </w:rPr>
        <w:t xml:space="preserve"> attraverso l’intervento della Corte di giustizia</w:t>
      </w:r>
      <w:r w:rsidR="00D56311">
        <w:rPr>
          <w:rFonts w:ascii="Calibri" w:eastAsia="Times New Roman" w:hAnsi="Calibri" w:cs="Segoe UI"/>
          <w:color w:val="1F4E79" w:themeColor="accent1" w:themeShade="80"/>
          <w:sz w:val="28"/>
          <w:szCs w:val="28"/>
          <w:lang w:eastAsia="it-IT"/>
        </w:rPr>
        <w:t>,</w:t>
      </w:r>
      <w:r w:rsidRPr="00B208E4">
        <w:rPr>
          <w:rFonts w:ascii="Calibri" w:eastAsia="Times New Roman" w:hAnsi="Calibri" w:cs="Segoe UI"/>
          <w:color w:val="1F4E79" w:themeColor="accent1" w:themeShade="80"/>
          <w:sz w:val="28"/>
          <w:szCs w:val="28"/>
          <w:lang w:eastAsia="it-IT"/>
        </w:rPr>
        <w:t xml:space="preserve"> si vorrebbe superare.</w:t>
      </w:r>
    </w:p>
    <w:p w:rsidR="000349AB" w:rsidRPr="00B208E4" w:rsidRDefault="000349AB"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Proprio questa </w:t>
      </w:r>
      <w:r w:rsidR="00BF633A" w:rsidRPr="00B208E4">
        <w:rPr>
          <w:rFonts w:ascii="Calibri" w:eastAsia="Times New Roman" w:hAnsi="Calibri" w:cs="Segoe UI"/>
          <w:color w:val="1F4E79" w:themeColor="accent1" w:themeShade="80"/>
          <w:sz w:val="28"/>
          <w:szCs w:val="28"/>
          <w:lang w:eastAsia="it-IT"/>
        </w:rPr>
        <w:t>puntualizzazione induce a chiedersi</w:t>
      </w:r>
      <w:r w:rsidR="00D56311">
        <w:rPr>
          <w:rFonts w:ascii="Calibri" w:eastAsia="Times New Roman" w:hAnsi="Calibri" w:cs="Segoe UI"/>
          <w:color w:val="1F4E79" w:themeColor="accent1" w:themeShade="80"/>
          <w:sz w:val="28"/>
          <w:szCs w:val="28"/>
          <w:lang w:eastAsia="it-IT"/>
        </w:rPr>
        <w:t>, di nuovo,</w:t>
      </w:r>
      <w:r w:rsidR="00BF633A" w:rsidRPr="00B208E4">
        <w:rPr>
          <w:rFonts w:ascii="Calibri" w:eastAsia="Times New Roman" w:hAnsi="Calibri" w:cs="Segoe UI"/>
          <w:color w:val="1F4E79" w:themeColor="accent1" w:themeShade="80"/>
          <w:sz w:val="28"/>
          <w:szCs w:val="28"/>
          <w:lang w:eastAsia="it-IT"/>
        </w:rPr>
        <w:t xml:space="preserve"> se non sarebbe stato preferibile manifestare queste</w:t>
      </w:r>
      <w:r w:rsidR="00D56311">
        <w:rPr>
          <w:rFonts w:ascii="Calibri" w:eastAsia="Times New Roman" w:hAnsi="Calibri" w:cs="Segoe UI"/>
          <w:color w:val="1F4E79" w:themeColor="accent1" w:themeShade="80"/>
          <w:sz w:val="28"/>
          <w:szCs w:val="28"/>
          <w:lang w:eastAsia="it-IT"/>
        </w:rPr>
        <w:t xml:space="preserve"> gravissime</w:t>
      </w:r>
      <w:r w:rsidR="00BF633A" w:rsidRPr="00B208E4">
        <w:rPr>
          <w:rFonts w:ascii="Calibri" w:eastAsia="Times New Roman" w:hAnsi="Calibri" w:cs="Segoe UI"/>
          <w:color w:val="1F4E79" w:themeColor="accent1" w:themeShade="80"/>
          <w:sz w:val="28"/>
          <w:szCs w:val="28"/>
          <w:lang w:eastAsia="it-IT"/>
        </w:rPr>
        <w:t xml:space="preserve"> perplessità alla stessa Corte costituzionale, prima di rivolg</w:t>
      </w:r>
      <w:r w:rsidR="00D56311">
        <w:rPr>
          <w:rFonts w:ascii="Calibri" w:eastAsia="Times New Roman" w:hAnsi="Calibri" w:cs="Segoe UI"/>
          <w:color w:val="1F4E79" w:themeColor="accent1" w:themeShade="80"/>
          <w:sz w:val="28"/>
          <w:szCs w:val="28"/>
          <w:lang w:eastAsia="it-IT"/>
        </w:rPr>
        <w:t>ersi, direttamente al giudice del Lussemburgo</w:t>
      </w:r>
      <w:r w:rsidR="00BF633A" w:rsidRPr="00B208E4">
        <w:rPr>
          <w:rFonts w:ascii="Calibri" w:eastAsia="Times New Roman" w:hAnsi="Calibri" w:cs="Segoe UI"/>
          <w:color w:val="1F4E79" w:themeColor="accent1" w:themeShade="80"/>
          <w:sz w:val="28"/>
          <w:szCs w:val="28"/>
          <w:lang w:eastAsia="it-IT"/>
        </w:rPr>
        <w:t>.</w:t>
      </w:r>
    </w:p>
    <w:p w:rsidR="003C1C9B" w:rsidRPr="00B208E4" w:rsidRDefault="00416980"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In tale eventualità, l</w:t>
      </w:r>
      <w:r w:rsidR="003C1C9B" w:rsidRPr="00B208E4">
        <w:rPr>
          <w:rFonts w:ascii="Calibri" w:eastAsia="Times New Roman" w:hAnsi="Calibri" w:cs="Segoe UI"/>
          <w:color w:val="1F4E79" w:themeColor="accent1" w:themeShade="80"/>
          <w:sz w:val="28"/>
          <w:szCs w:val="28"/>
          <w:lang w:eastAsia="it-IT"/>
        </w:rPr>
        <w:t>a Corte</w:t>
      </w:r>
      <w:r w:rsidR="00D56311">
        <w:rPr>
          <w:rFonts w:ascii="Calibri" w:eastAsia="Times New Roman" w:hAnsi="Calibri" w:cs="Segoe UI"/>
          <w:color w:val="1F4E79" w:themeColor="accent1" w:themeShade="80"/>
          <w:sz w:val="28"/>
          <w:szCs w:val="28"/>
          <w:lang w:eastAsia="it-IT"/>
        </w:rPr>
        <w:t>, opportunamente investita dei dubbi ermeneutici</w:t>
      </w:r>
      <w:r w:rsidRPr="00B208E4">
        <w:rPr>
          <w:rFonts w:ascii="Calibri" w:eastAsia="Times New Roman" w:hAnsi="Calibri" w:cs="Segoe UI"/>
          <w:color w:val="1F4E79" w:themeColor="accent1" w:themeShade="80"/>
          <w:sz w:val="28"/>
          <w:szCs w:val="28"/>
          <w:lang w:eastAsia="it-IT"/>
        </w:rPr>
        <w:t xml:space="preserve"> </w:t>
      </w:r>
      <w:r w:rsidR="00D56311">
        <w:rPr>
          <w:rFonts w:ascii="Calibri" w:eastAsia="Times New Roman" w:hAnsi="Calibri" w:cs="Segoe UI"/>
          <w:color w:val="1F4E79" w:themeColor="accent1" w:themeShade="80"/>
          <w:sz w:val="28"/>
          <w:szCs w:val="28"/>
          <w:lang w:eastAsia="it-IT"/>
        </w:rPr>
        <w:t xml:space="preserve">affiorati nelle Sezioni Unite, </w:t>
      </w:r>
      <w:r w:rsidRPr="00B208E4">
        <w:rPr>
          <w:rFonts w:ascii="Calibri" w:eastAsia="Times New Roman" w:hAnsi="Calibri" w:cs="Segoe UI"/>
          <w:color w:val="1F4E79" w:themeColor="accent1" w:themeShade="80"/>
          <w:sz w:val="28"/>
          <w:szCs w:val="28"/>
          <w:lang w:eastAsia="it-IT"/>
        </w:rPr>
        <w:t>avrebbe potuto stabilire se, alternativamente:</w:t>
      </w:r>
    </w:p>
    <w:p w:rsidR="003C1C9B" w:rsidRPr="00FB487E" w:rsidRDefault="003C1C9B" w:rsidP="00FB7048">
      <w:pPr>
        <w:pStyle w:val="Paragrafoelenco"/>
        <w:numPr>
          <w:ilvl w:val="0"/>
          <w:numId w:val="19"/>
        </w:numPr>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FB487E">
        <w:rPr>
          <w:rFonts w:ascii="Calibri" w:eastAsia="Times New Roman" w:hAnsi="Calibri" w:cs="Segoe UI"/>
          <w:color w:val="1F4E79" w:themeColor="accent1" w:themeShade="80"/>
          <w:sz w:val="28"/>
          <w:szCs w:val="28"/>
          <w:lang w:eastAsia="it-IT"/>
        </w:rPr>
        <w:t>Rimeditare autonomamente il proprio indirizzo</w:t>
      </w:r>
      <w:r w:rsidR="00D56311">
        <w:rPr>
          <w:rFonts w:ascii="Calibri" w:eastAsia="Times New Roman" w:hAnsi="Calibri" w:cs="Segoe UI"/>
          <w:color w:val="1F4E79" w:themeColor="accent1" w:themeShade="80"/>
          <w:sz w:val="28"/>
          <w:szCs w:val="28"/>
          <w:lang w:eastAsia="it-IT"/>
        </w:rPr>
        <w:t>, in tutto o in parte</w:t>
      </w:r>
      <w:r w:rsidRPr="00FB487E">
        <w:rPr>
          <w:rFonts w:ascii="Calibri" w:eastAsia="Times New Roman" w:hAnsi="Calibri" w:cs="Segoe UI"/>
          <w:color w:val="1F4E79" w:themeColor="accent1" w:themeShade="80"/>
          <w:sz w:val="28"/>
          <w:szCs w:val="28"/>
          <w:lang w:eastAsia="it-IT"/>
        </w:rPr>
        <w:t>;</w:t>
      </w:r>
    </w:p>
    <w:p w:rsidR="003C1C9B" w:rsidRPr="00FB487E" w:rsidRDefault="003C1C9B" w:rsidP="00FB7048">
      <w:pPr>
        <w:pStyle w:val="Paragrafoelenco"/>
        <w:numPr>
          <w:ilvl w:val="0"/>
          <w:numId w:val="19"/>
        </w:numPr>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FB487E">
        <w:rPr>
          <w:rFonts w:ascii="Calibri" w:eastAsia="Times New Roman" w:hAnsi="Calibri" w:cs="Segoe UI"/>
          <w:color w:val="1F4E79" w:themeColor="accent1" w:themeShade="80"/>
          <w:sz w:val="28"/>
          <w:szCs w:val="28"/>
          <w:lang w:eastAsia="it-IT"/>
        </w:rPr>
        <w:t xml:space="preserve">Rinviare essa </w:t>
      </w:r>
      <w:r w:rsidR="00D211B4" w:rsidRPr="00FB487E">
        <w:rPr>
          <w:rFonts w:ascii="Calibri" w:eastAsia="Times New Roman" w:hAnsi="Calibri" w:cs="Segoe UI"/>
          <w:color w:val="1F4E79" w:themeColor="accent1" w:themeShade="80"/>
          <w:sz w:val="28"/>
          <w:szCs w:val="28"/>
          <w:lang w:eastAsia="it-IT"/>
        </w:rPr>
        <w:t xml:space="preserve">stessa la questione della compatibilità comunitaria dell’art. 111, comma ottavo, </w:t>
      </w:r>
      <w:r w:rsidRPr="00FB487E">
        <w:rPr>
          <w:rFonts w:ascii="Calibri" w:eastAsia="Times New Roman" w:hAnsi="Calibri" w:cs="Segoe UI"/>
          <w:color w:val="1F4E79" w:themeColor="accent1" w:themeShade="80"/>
          <w:sz w:val="28"/>
          <w:szCs w:val="28"/>
          <w:lang w:eastAsia="it-IT"/>
        </w:rPr>
        <w:t xml:space="preserve">alla CGUE, </w:t>
      </w:r>
      <w:r w:rsidR="00D211B4" w:rsidRPr="00FB487E">
        <w:rPr>
          <w:rFonts w:ascii="Calibri" w:eastAsia="Times New Roman" w:hAnsi="Calibri" w:cs="Segoe UI"/>
          <w:color w:val="1F4E79" w:themeColor="accent1" w:themeShade="80"/>
          <w:sz w:val="28"/>
          <w:szCs w:val="28"/>
          <w:lang w:eastAsia="it-IT"/>
        </w:rPr>
        <w:t xml:space="preserve">eventualmente </w:t>
      </w:r>
      <w:r w:rsidRPr="00FB487E">
        <w:rPr>
          <w:rFonts w:ascii="Calibri" w:eastAsia="Times New Roman" w:hAnsi="Calibri" w:cs="Segoe UI"/>
          <w:color w:val="1F4E79" w:themeColor="accent1" w:themeShade="80"/>
          <w:sz w:val="28"/>
          <w:szCs w:val="28"/>
          <w:lang w:eastAsia="it-IT"/>
        </w:rPr>
        <w:t>con argomenti “bilaterali”</w:t>
      </w:r>
      <w:r w:rsidR="00FB487E">
        <w:rPr>
          <w:rFonts w:ascii="Calibri" w:eastAsia="Times New Roman" w:hAnsi="Calibri" w:cs="Segoe UI"/>
          <w:color w:val="1F4E79" w:themeColor="accent1" w:themeShade="80"/>
          <w:sz w:val="28"/>
          <w:szCs w:val="28"/>
          <w:lang w:eastAsia="it-IT"/>
        </w:rPr>
        <w:t>, capaci di difendere l’assetto costituzionale vigente, allo scopo di eliminare in radice le perplessità della Cassazione;</w:t>
      </w:r>
    </w:p>
    <w:p w:rsidR="003C1C9B" w:rsidRPr="00FB487E" w:rsidRDefault="003C1C9B" w:rsidP="00FB7048">
      <w:pPr>
        <w:pStyle w:val="Paragrafoelenco"/>
        <w:numPr>
          <w:ilvl w:val="0"/>
          <w:numId w:val="19"/>
        </w:numPr>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FB487E">
        <w:rPr>
          <w:rFonts w:ascii="Calibri" w:eastAsia="Times New Roman" w:hAnsi="Calibri" w:cs="Segoe UI"/>
          <w:color w:val="1F4E79" w:themeColor="accent1" w:themeShade="80"/>
          <w:sz w:val="28"/>
          <w:szCs w:val="28"/>
          <w:lang w:eastAsia="it-IT"/>
        </w:rPr>
        <w:t xml:space="preserve">Confermare </w:t>
      </w:r>
      <w:r w:rsidR="00D56311">
        <w:rPr>
          <w:rFonts w:ascii="Calibri" w:eastAsia="Times New Roman" w:hAnsi="Calibri" w:cs="Segoe UI"/>
          <w:color w:val="1F4E79" w:themeColor="accent1" w:themeShade="80"/>
          <w:sz w:val="28"/>
          <w:szCs w:val="28"/>
          <w:lang w:eastAsia="it-IT"/>
        </w:rPr>
        <w:t xml:space="preserve">integralmente </w:t>
      </w:r>
      <w:r w:rsidRPr="00FB487E">
        <w:rPr>
          <w:rFonts w:ascii="Calibri" w:eastAsia="Times New Roman" w:hAnsi="Calibri" w:cs="Segoe UI"/>
          <w:color w:val="1F4E79" w:themeColor="accent1" w:themeShade="80"/>
          <w:sz w:val="28"/>
          <w:szCs w:val="28"/>
          <w:lang w:eastAsia="it-IT"/>
        </w:rPr>
        <w:t>il proprio orientamento</w:t>
      </w:r>
      <w:r w:rsidR="00FB487E">
        <w:rPr>
          <w:rFonts w:ascii="Calibri" w:eastAsia="Times New Roman" w:hAnsi="Calibri" w:cs="Segoe UI"/>
          <w:color w:val="1F4E79" w:themeColor="accent1" w:themeShade="80"/>
          <w:sz w:val="28"/>
          <w:szCs w:val="28"/>
          <w:lang w:eastAsia="it-IT"/>
        </w:rPr>
        <w:t xml:space="preserve"> espresso con la pronuncia n. 6/2018</w:t>
      </w:r>
      <w:r w:rsidRPr="00FB487E">
        <w:rPr>
          <w:rFonts w:ascii="Calibri" w:eastAsia="Times New Roman" w:hAnsi="Calibri" w:cs="Segoe UI"/>
          <w:color w:val="1F4E79" w:themeColor="accent1" w:themeShade="80"/>
          <w:sz w:val="28"/>
          <w:szCs w:val="28"/>
          <w:lang w:eastAsia="it-IT"/>
        </w:rPr>
        <w:t>.</w:t>
      </w:r>
    </w:p>
    <w:p w:rsidR="003C1C9B" w:rsidRPr="00B208E4" w:rsidRDefault="003C1C9B"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Solo in questa terza eventualità, il giudice nazionale </w:t>
      </w:r>
      <w:r w:rsidR="00486692" w:rsidRPr="00B208E4">
        <w:rPr>
          <w:rFonts w:ascii="Calibri" w:eastAsia="Times New Roman" w:hAnsi="Calibri" w:cs="Segoe UI"/>
          <w:color w:val="1F4E79" w:themeColor="accent1" w:themeShade="80"/>
          <w:sz w:val="28"/>
          <w:szCs w:val="28"/>
          <w:lang w:eastAsia="it-IT"/>
        </w:rPr>
        <w:t xml:space="preserve">avrebbe poi </w:t>
      </w:r>
      <w:r w:rsidRPr="00B208E4">
        <w:rPr>
          <w:rFonts w:ascii="Calibri" w:eastAsia="Times New Roman" w:hAnsi="Calibri" w:cs="Segoe UI"/>
          <w:color w:val="1F4E79" w:themeColor="accent1" w:themeShade="80"/>
          <w:sz w:val="28"/>
          <w:szCs w:val="28"/>
          <w:lang w:eastAsia="it-IT"/>
        </w:rPr>
        <w:t>pot</w:t>
      </w:r>
      <w:r w:rsidR="00486692" w:rsidRPr="00B208E4">
        <w:rPr>
          <w:rFonts w:ascii="Calibri" w:eastAsia="Times New Roman" w:hAnsi="Calibri" w:cs="Segoe UI"/>
          <w:color w:val="1F4E79" w:themeColor="accent1" w:themeShade="80"/>
          <w:sz w:val="28"/>
          <w:szCs w:val="28"/>
          <w:lang w:eastAsia="it-IT"/>
        </w:rPr>
        <w:t>uto</w:t>
      </w:r>
      <w:r w:rsidRPr="00B208E4">
        <w:rPr>
          <w:rFonts w:ascii="Calibri" w:eastAsia="Times New Roman" w:hAnsi="Calibri" w:cs="Segoe UI"/>
          <w:color w:val="1F4E79" w:themeColor="accent1" w:themeShade="80"/>
          <w:sz w:val="28"/>
          <w:szCs w:val="28"/>
          <w:lang w:eastAsia="it-IT"/>
        </w:rPr>
        <w:t xml:space="preserve"> valutare l’opportunità di rivolgersi </w:t>
      </w:r>
      <w:r w:rsidR="00486692" w:rsidRPr="00B208E4">
        <w:rPr>
          <w:rFonts w:ascii="Calibri" w:eastAsia="Times New Roman" w:hAnsi="Calibri" w:cs="Segoe UI"/>
          <w:color w:val="1F4E79" w:themeColor="accent1" w:themeShade="80"/>
          <w:sz w:val="28"/>
          <w:szCs w:val="28"/>
          <w:lang w:eastAsia="it-IT"/>
        </w:rPr>
        <w:t xml:space="preserve">direttamente </w:t>
      </w:r>
      <w:r w:rsidRPr="00B208E4">
        <w:rPr>
          <w:rFonts w:ascii="Calibri" w:eastAsia="Times New Roman" w:hAnsi="Calibri" w:cs="Segoe UI"/>
          <w:color w:val="1F4E79" w:themeColor="accent1" w:themeShade="80"/>
          <w:sz w:val="28"/>
          <w:szCs w:val="28"/>
          <w:lang w:eastAsia="it-IT"/>
        </w:rPr>
        <w:t>al Lussemburgo, o di seguire, a sua volta, un diverso orientamento.</w:t>
      </w:r>
    </w:p>
    <w:p w:rsidR="001B7157" w:rsidRPr="00B208E4" w:rsidRDefault="001B7157"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p>
    <w:p w:rsidR="004F3514" w:rsidRPr="00B208E4" w:rsidRDefault="00DA3DD6" w:rsidP="00FB7048">
      <w:pPr>
        <w:numPr>
          <w:ilvl w:val="0"/>
          <w:numId w:val="1"/>
        </w:numPr>
        <w:shd w:val="clear" w:color="auto" w:fill="FFFFFF"/>
        <w:tabs>
          <w:tab w:val="left" w:pos="0"/>
        </w:tabs>
        <w:spacing w:after="120" w:line="240" w:lineRule="auto"/>
        <w:ind w:left="0" w:firstLine="709"/>
        <w:jc w:val="both"/>
        <w:textAlignment w:val="baseline"/>
        <w:rPr>
          <w:rFonts w:ascii="Tahoma" w:eastAsia="Times New Roman" w:hAnsi="Tahoma" w:cs="Tahoma"/>
          <w:smallCaps/>
          <w:color w:val="1F4E79" w:themeColor="accent1" w:themeShade="80"/>
          <w:sz w:val="28"/>
          <w:szCs w:val="28"/>
          <w:bdr w:val="none" w:sz="0" w:space="0" w:color="auto" w:frame="1"/>
          <w:lang w:eastAsia="it-IT"/>
        </w:rPr>
      </w:pPr>
      <w:r w:rsidRPr="00B208E4">
        <w:rPr>
          <w:rFonts w:ascii="Tahoma" w:eastAsia="Times New Roman" w:hAnsi="Tahoma" w:cs="Tahoma"/>
          <w:smallCaps/>
          <w:color w:val="1F4E79" w:themeColor="accent1" w:themeShade="80"/>
          <w:sz w:val="28"/>
          <w:szCs w:val="28"/>
          <w:bdr w:val="none" w:sz="0" w:space="0" w:color="auto" w:frame="1"/>
          <w:lang w:eastAsia="it-IT"/>
        </w:rPr>
        <w:t>Il potere della Cassazione giustificato dalla finalità di prevenzione delle violazioni del diritto dell’Unione europea prima del passaggio in giudicato della sentenza e la responsabilità patrimoniale dello Stato</w:t>
      </w:r>
    </w:p>
    <w:p w:rsidR="00131CBF" w:rsidRDefault="00EE1F39"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Fra i diversi argomenti espressi dalla Cassazione, meritano di essere ulteriormente approfonditi quelli incentrati sulla necessità di assicurare </w:t>
      </w:r>
      <w:r w:rsidR="00D120E9" w:rsidRPr="00B208E4">
        <w:rPr>
          <w:rFonts w:ascii="Calibri" w:eastAsia="Times New Roman" w:hAnsi="Calibri" w:cs="Segoe UI"/>
          <w:color w:val="1F4E79" w:themeColor="accent1" w:themeShade="80"/>
          <w:sz w:val="28"/>
          <w:szCs w:val="28"/>
          <w:lang w:eastAsia="it-IT"/>
        </w:rPr>
        <w:t>la riparazione rapida della violazione del diritto UE, anche</w:t>
      </w:r>
      <w:r w:rsidR="00FB487E">
        <w:rPr>
          <w:rFonts w:ascii="Calibri" w:eastAsia="Times New Roman" w:hAnsi="Calibri" w:cs="Segoe UI"/>
          <w:color w:val="1F4E79" w:themeColor="accent1" w:themeShade="80"/>
          <w:sz w:val="28"/>
          <w:szCs w:val="28"/>
          <w:lang w:eastAsia="it-IT"/>
        </w:rPr>
        <w:t xml:space="preserve"> in chiave di prevenzione dell’</w:t>
      </w:r>
      <w:r w:rsidR="00D120E9" w:rsidRPr="00B208E4">
        <w:rPr>
          <w:rFonts w:ascii="Calibri" w:eastAsia="Times New Roman" w:hAnsi="Calibri" w:cs="Segoe UI"/>
          <w:color w:val="1F4E79" w:themeColor="accent1" w:themeShade="80"/>
          <w:sz w:val="28"/>
          <w:szCs w:val="28"/>
          <w:lang w:eastAsia="it-IT"/>
        </w:rPr>
        <w:t>eventuale responsabilità patrimoniale dello Stato</w:t>
      </w:r>
      <w:r w:rsidR="00D56311">
        <w:rPr>
          <w:rFonts w:ascii="Calibri" w:eastAsia="Times New Roman" w:hAnsi="Calibri" w:cs="Segoe UI"/>
          <w:color w:val="1F4E79" w:themeColor="accent1" w:themeShade="80"/>
          <w:sz w:val="28"/>
          <w:szCs w:val="28"/>
          <w:lang w:eastAsia="it-IT"/>
        </w:rPr>
        <w:t>,</w:t>
      </w:r>
      <w:r w:rsidR="00D56311" w:rsidRPr="00D56311">
        <w:rPr>
          <w:rFonts w:ascii="Calibri" w:eastAsia="Times New Roman" w:hAnsi="Calibri" w:cs="Segoe UI"/>
          <w:color w:val="1F4E79" w:themeColor="accent1" w:themeShade="80"/>
          <w:sz w:val="28"/>
          <w:szCs w:val="28"/>
          <w:lang w:eastAsia="it-IT"/>
        </w:rPr>
        <w:t xml:space="preserve"> </w:t>
      </w:r>
      <w:r w:rsidR="00D56311" w:rsidRPr="00B208E4">
        <w:rPr>
          <w:rFonts w:ascii="Calibri" w:eastAsia="Times New Roman" w:hAnsi="Calibri" w:cs="Segoe UI"/>
          <w:color w:val="1F4E79" w:themeColor="accent1" w:themeShade="80"/>
          <w:sz w:val="28"/>
          <w:szCs w:val="28"/>
          <w:lang w:eastAsia="it-IT"/>
        </w:rPr>
        <w:t xml:space="preserve">ai sensi della legge n. 117/1988, come </w:t>
      </w:r>
      <w:r w:rsidR="00D56311">
        <w:rPr>
          <w:rFonts w:ascii="Calibri" w:eastAsia="Times New Roman" w:hAnsi="Calibri" w:cs="Segoe UI"/>
          <w:color w:val="1F4E79" w:themeColor="accent1" w:themeShade="80"/>
          <w:sz w:val="28"/>
          <w:szCs w:val="28"/>
          <w:lang w:eastAsia="it-IT"/>
        </w:rPr>
        <w:t>modificato dalla legge del 2014</w:t>
      </w:r>
      <w:r w:rsidR="007E1652" w:rsidRPr="00B208E4">
        <w:rPr>
          <w:rStyle w:val="Rimandonotaapidipagina"/>
          <w:rFonts w:ascii="Calibri" w:eastAsia="Times New Roman" w:hAnsi="Calibri" w:cs="Segoe UI"/>
          <w:color w:val="1F4E79" w:themeColor="accent1" w:themeShade="80"/>
          <w:sz w:val="28"/>
          <w:szCs w:val="28"/>
          <w:lang w:eastAsia="it-IT"/>
        </w:rPr>
        <w:footnoteReference w:id="41"/>
      </w:r>
      <w:r w:rsidR="00D120E9" w:rsidRPr="00B208E4">
        <w:rPr>
          <w:rFonts w:ascii="Calibri" w:eastAsia="Times New Roman" w:hAnsi="Calibri" w:cs="Segoe UI"/>
          <w:color w:val="1F4E79" w:themeColor="accent1" w:themeShade="80"/>
          <w:sz w:val="28"/>
          <w:szCs w:val="28"/>
          <w:lang w:eastAsia="it-IT"/>
        </w:rPr>
        <w:t>.</w:t>
      </w:r>
    </w:p>
    <w:p w:rsidR="00287FEE" w:rsidRPr="00B208E4" w:rsidRDefault="00287FEE"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L’argomento espresso dalla Cassazione, </w:t>
      </w:r>
      <w:r w:rsidR="00990AB9" w:rsidRPr="00B208E4">
        <w:rPr>
          <w:rFonts w:ascii="Calibri" w:eastAsia="Times New Roman" w:hAnsi="Calibri" w:cs="Segoe UI"/>
          <w:color w:val="1F4E79" w:themeColor="accent1" w:themeShade="80"/>
          <w:sz w:val="28"/>
          <w:szCs w:val="28"/>
          <w:lang w:eastAsia="it-IT"/>
        </w:rPr>
        <w:t>presenta</w:t>
      </w:r>
      <w:r w:rsidR="00D56311">
        <w:rPr>
          <w:rFonts w:ascii="Calibri" w:eastAsia="Times New Roman" w:hAnsi="Calibri" w:cs="Segoe UI"/>
          <w:color w:val="1F4E79" w:themeColor="accent1" w:themeShade="80"/>
          <w:sz w:val="28"/>
          <w:szCs w:val="28"/>
          <w:lang w:eastAsia="it-IT"/>
        </w:rPr>
        <w:t>, a prima vista,</w:t>
      </w:r>
      <w:r w:rsidR="00990AB9" w:rsidRPr="00B208E4">
        <w:rPr>
          <w:rFonts w:ascii="Calibri" w:eastAsia="Times New Roman" w:hAnsi="Calibri" w:cs="Segoe UI"/>
          <w:color w:val="1F4E79" w:themeColor="accent1" w:themeShade="80"/>
          <w:sz w:val="28"/>
          <w:szCs w:val="28"/>
          <w:lang w:eastAsia="it-IT"/>
        </w:rPr>
        <w:t xml:space="preserve"> notevoli elementi di suggestione.</w:t>
      </w:r>
    </w:p>
    <w:p w:rsidR="00990AB9" w:rsidRPr="00B208E4" w:rsidRDefault="00990AB9"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Chi potrebbe negare il buon senso di regole </w:t>
      </w:r>
      <w:r w:rsidR="00CD0275" w:rsidRPr="00B208E4">
        <w:rPr>
          <w:rFonts w:ascii="Calibri" w:eastAsia="Times New Roman" w:hAnsi="Calibri" w:cs="Segoe UI"/>
          <w:color w:val="1F4E79" w:themeColor="accent1" w:themeShade="80"/>
          <w:sz w:val="28"/>
          <w:szCs w:val="28"/>
          <w:lang w:eastAsia="it-IT"/>
        </w:rPr>
        <w:t xml:space="preserve">volte a </w:t>
      </w:r>
      <w:r w:rsidRPr="00B208E4">
        <w:rPr>
          <w:rFonts w:ascii="Calibri" w:eastAsia="Times New Roman" w:hAnsi="Calibri" w:cs="Segoe UI"/>
          <w:color w:val="1F4E79" w:themeColor="accent1" w:themeShade="80"/>
          <w:sz w:val="28"/>
          <w:szCs w:val="28"/>
          <w:lang w:eastAsia="it-IT"/>
        </w:rPr>
        <w:t>“preven</w:t>
      </w:r>
      <w:r w:rsidR="00CD0275" w:rsidRPr="00B208E4">
        <w:rPr>
          <w:rFonts w:ascii="Calibri" w:eastAsia="Times New Roman" w:hAnsi="Calibri" w:cs="Segoe UI"/>
          <w:color w:val="1F4E79" w:themeColor="accent1" w:themeShade="80"/>
          <w:sz w:val="28"/>
          <w:szCs w:val="28"/>
          <w:lang w:eastAsia="it-IT"/>
        </w:rPr>
        <w:t>ire</w:t>
      </w:r>
      <w:r w:rsidRPr="00B208E4">
        <w:rPr>
          <w:rFonts w:ascii="Calibri" w:eastAsia="Times New Roman" w:hAnsi="Calibri" w:cs="Segoe UI"/>
          <w:color w:val="1F4E79" w:themeColor="accent1" w:themeShade="80"/>
          <w:sz w:val="28"/>
          <w:szCs w:val="28"/>
          <w:lang w:eastAsia="it-IT"/>
        </w:rPr>
        <w:t xml:space="preserve">” gli illeciti, anziché </w:t>
      </w:r>
      <w:r w:rsidR="00D56311">
        <w:rPr>
          <w:rFonts w:ascii="Calibri" w:eastAsia="Times New Roman" w:hAnsi="Calibri" w:cs="Segoe UI"/>
          <w:color w:val="1F4E79" w:themeColor="accent1" w:themeShade="80"/>
          <w:sz w:val="28"/>
          <w:szCs w:val="28"/>
          <w:lang w:eastAsia="it-IT"/>
        </w:rPr>
        <w:t xml:space="preserve">a </w:t>
      </w:r>
      <w:r w:rsidRPr="00B208E4">
        <w:rPr>
          <w:rFonts w:ascii="Calibri" w:eastAsia="Times New Roman" w:hAnsi="Calibri" w:cs="Segoe UI"/>
          <w:color w:val="1F4E79" w:themeColor="accent1" w:themeShade="80"/>
          <w:sz w:val="28"/>
          <w:szCs w:val="28"/>
          <w:lang w:eastAsia="it-IT"/>
        </w:rPr>
        <w:t xml:space="preserve">sanzionarli </w:t>
      </w:r>
      <w:r w:rsidR="00D56311">
        <w:rPr>
          <w:rFonts w:ascii="Calibri" w:eastAsia="Times New Roman" w:hAnsi="Calibri" w:cs="Segoe UI"/>
          <w:color w:val="1F4E79" w:themeColor="accent1" w:themeShade="80"/>
          <w:sz w:val="28"/>
          <w:szCs w:val="28"/>
          <w:lang w:eastAsia="it-IT"/>
        </w:rPr>
        <w:t xml:space="preserve">soltanto </w:t>
      </w:r>
      <w:r w:rsidRPr="00B208E4">
        <w:rPr>
          <w:rFonts w:ascii="Calibri" w:eastAsia="Times New Roman" w:hAnsi="Calibri" w:cs="Segoe UI"/>
          <w:i/>
          <w:color w:val="1F4E79" w:themeColor="accent1" w:themeShade="80"/>
          <w:sz w:val="28"/>
          <w:szCs w:val="28"/>
          <w:lang w:eastAsia="it-IT"/>
        </w:rPr>
        <w:t>ex post</w:t>
      </w:r>
      <w:r w:rsidR="00BB735F" w:rsidRPr="00B208E4">
        <w:rPr>
          <w:rFonts w:ascii="Calibri" w:eastAsia="Times New Roman" w:hAnsi="Calibri" w:cs="Segoe UI"/>
          <w:color w:val="1F4E79" w:themeColor="accent1" w:themeShade="80"/>
          <w:sz w:val="28"/>
          <w:szCs w:val="28"/>
          <w:lang w:eastAsia="it-IT"/>
        </w:rPr>
        <w:t xml:space="preserve">, realizzando </w:t>
      </w:r>
      <w:r w:rsidR="00596E41" w:rsidRPr="00B208E4">
        <w:rPr>
          <w:rFonts w:ascii="Calibri" w:eastAsia="Times New Roman" w:hAnsi="Calibri" w:cs="Segoe UI"/>
          <w:color w:val="1F4E79" w:themeColor="accent1" w:themeShade="80"/>
          <w:sz w:val="28"/>
          <w:szCs w:val="28"/>
          <w:lang w:eastAsia="it-IT"/>
        </w:rPr>
        <w:t xml:space="preserve">direttamente e </w:t>
      </w:r>
      <w:r w:rsidR="00596E41" w:rsidRPr="00B208E4">
        <w:rPr>
          <w:rFonts w:ascii="Calibri" w:eastAsia="Times New Roman" w:hAnsi="Calibri" w:cs="Segoe UI"/>
          <w:i/>
          <w:color w:val="1F4E79" w:themeColor="accent1" w:themeShade="80"/>
          <w:sz w:val="28"/>
          <w:szCs w:val="28"/>
          <w:lang w:eastAsia="it-IT"/>
        </w:rPr>
        <w:t>in forma specifica</w:t>
      </w:r>
      <w:r w:rsidR="00596E41" w:rsidRPr="00B208E4">
        <w:rPr>
          <w:rFonts w:ascii="Calibri" w:eastAsia="Times New Roman" w:hAnsi="Calibri" w:cs="Segoe UI"/>
          <w:color w:val="1F4E79" w:themeColor="accent1" w:themeShade="80"/>
          <w:sz w:val="28"/>
          <w:szCs w:val="28"/>
          <w:lang w:eastAsia="it-IT"/>
        </w:rPr>
        <w:t xml:space="preserve"> </w:t>
      </w:r>
      <w:r w:rsidR="00BB735F" w:rsidRPr="00B208E4">
        <w:rPr>
          <w:rFonts w:ascii="Calibri" w:eastAsia="Times New Roman" w:hAnsi="Calibri" w:cs="Segoe UI"/>
          <w:color w:val="1F4E79" w:themeColor="accent1" w:themeShade="80"/>
          <w:sz w:val="28"/>
          <w:szCs w:val="28"/>
          <w:lang w:eastAsia="it-IT"/>
        </w:rPr>
        <w:t>gli interessi delle parti, con significativo risparmio dello Stato</w:t>
      </w:r>
      <w:r w:rsidR="00D56311">
        <w:rPr>
          <w:rFonts w:ascii="Calibri" w:eastAsia="Times New Roman" w:hAnsi="Calibri" w:cs="Segoe UI"/>
          <w:color w:val="1F4E79" w:themeColor="accent1" w:themeShade="80"/>
          <w:sz w:val="28"/>
          <w:szCs w:val="28"/>
          <w:lang w:eastAsia="it-IT"/>
        </w:rPr>
        <w:t xml:space="preserve">, nonché, </w:t>
      </w:r>
      <w:r w:rsidR="00596E41" w:rsidRPr="00B208E4">
        <w:rPr>
          <w:rFonts w:ascii="Calibri" w:eastAsia="Times New Roman" w:hAnsi="Calibri" w:cs="Segoe UI"/>
          <w:color w:val="1F4E79" w:themeColor="accent1" w:themeShade="80"/>
          <w:sz w:val="28"/>
          <w:szCs w:val="28"/>
          <w:lang w:eastAsia="it-IT"/>
        </w:rPr>
        <w:t>e si potre</w:t>
      </w:r>
      <w:r w:rsidR="006854B3" w:rsidRPr="00B208E4">
        <w:rPr>
          <w:rFonts w:ascii="Calibri" w:eastAsia="Times New Roman" w:hAnsi="Calibri" w:cs="Segoe UI"/>
          <w:color w:val="1F4E79" w:themeColor="accent1" w:themeShade="80"/>
          <w:sz w:val="28"/>
          <w:szCs w:val="28"/>
          <w:lang w:eastAsia="it-IT"/>
        </w:rPr>
        <w:t xml:space="preserve">bbe aggiungere, </w:t>
      </w:r>
      <w:r w:rsidR="00D56311">
        <w:rPr>
          <w:rFonts w:ascii="Calibri" w:eastAsia="Times New Roman" w:hAnsi="Calibri" w:cs="Segoe UI"/>
          <w:color w:val="1F4E79" w:themeColor="accent1" w:themeShade="80"/>
          <w:sz w:val="28"/>
          <w:szCs w:val="28"/>
          <w:lang w:eastAsia="it-IT"/>
        </w:rPr>
        <w:t xml:space="preserve">con l’ulteriore non trascurabile vantaggio di </w:t>
      </w:r>
      <w:r w:rsidR="006854B3" w:rsidRPr="00B208E4">
        <w:rPr>
          <w:rFonts w:ascii="Calibri" w:eastAsia="Times New Roman" w:hAnsi="Calibri" w:cs="Segoe UI"/>
          <w:color w:val="1F4E79" w:themeColor="accent1" w:themeShade="80"/>
          <w:sz w:val="28"/>
          <w:szCs w:val="28"/>
          <w:lang w:eastAsia="it-IT"/>
        </w:rPr>
        <w:t>protegge</w:t>
      </w:r>
      <w:r w:rsidR="00D56311">
        <w:rPr>
          <w:rFonts w:ascii="Calibri" w:eastAsia="Times New Roman" w:hAnsi="Calibri" w:cs="Segoe UI"/>
          <w:color w:val="1F4E79" w:themeColor="accent1" w:themeShade="80"/>
          <w:sz w:val="28"/>
          <w:szCs w:val="28"/>
          <w:lang w:eastAsia="it-IT"/>
        </w:rPr>
        <w:t>re</w:t>
      </w:r>
      <w:r w:rsidR="006854B3" w:rsidRPr="00B208E4">
        <w:rPr>
          <w:rFonts w:ascii="Calibri" w:eastAsia="Times New Roman" w:hAnsi="Calibri" w:cs="Segoe UI"/>
          <w:color w:val="1F4E79" w:themeColor="accent1" w:themeShade="80"/>
          <w:sz w:val="28"/>
          <w:szCs w:val="28"/>
          <w:lang w:eastAsia="it-IT"/>
        </w:rPr>
        <w:t xml:space="preserve"> i singoli magistrati </w:t>
      </w:r>
      <w:r w:rsidR="00D56311">
        <w:rPr>
          <w:rFonts w:ascii="Calibri" w:eastAsia="Times New Roman" w:hAnsi="Calibri" w:cs="Segoe UI"/>
          <w:color w:val="1F4E79" w:themeColor="accent1" w:themeShade="80"/>
          <w:sz w:val="28"/>
          <w:szCs w:val="28"/>
          <w:lang w:eastAsia="it-IT"/>
        </w:rPr>
        <w:t xml:space="preserve">autori delle violazioni, </w:t>
      </w:r>
      <w:r w:rsidR="006854B3" w:rsidRPr="00B208E4">
        <w:rPr>
          <w:rFonts w:ascii="Calibri" w:eastAsia="Times New Roman" w:hAnsi="Calibri" w:cs="Segoe UI"/>
          <w:color w:val="1F4E79" w:themeColor="accent1" w:themeShade="80"/>
          <w:sz w:val="28"/>
          <w:szCs w:val="28"/>
          <w:lang w:eastAsia="it-IT"/>
        </w:rPr>
        <w:t>dalle azioni di rivalsa e disciplinari</w:t>
      </w:r>
      <w:r w:rsidRPr="00B208E4">
        <w:rPr>
          <w:rFonts w:ascii="Calibri" w:eastAsia="Times New Roman" w:hAnsi="Calibri" w:cs="Segoe UI"/>
          <w:color w:val="1F4E79" w:themeColor="accent1" w:themeShade="80"/>
          <w:sz w:val="28"/>
          <w:szCs w:val="28"/>
          <w:lang w:eastAsia="it-IT"/>
        </w:rPr>
        <w:t>?</w:t>
      </w:r>
      <w:r w:rsidR="00E10FB4" w:rsidRPr="00B208E4">
        <w:rPr>
          <w:rStyle w:val="Rimandonotaapidipagina"/>
          <w:rFonts w:ascii="Calibri" w:eastAsia="Times New Roman" w:hAnsi="Calibri" w:cs="Segoe UI"/>
          <w:color w:val="1F4E79" w:themeColor="accent1" w:themeShade="80"/>
          <w:sz w:val="28"/>
          <w:szCs w:val="28"/>
          <w:lang w:eastAsia="it-IT"/>
        </w:rPr>
        <w:footnoteReference w:id="42"/>
      </w:r>
    </w:p>
    <w:p w:rsidR="00120266" w:rsidRPr="00B208E4" w:rsidRDefault="00D56311"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Tuttavia</w:t>
      </w:r>
      <w:r w:rsidR="00120266" w:rsidRPr="00B208E4">
        <w:rPr>
          <w:rFonts w:ascii="Calibri" w:eastAsia="Times New Roman" w:hAnsi="Calibri" w:cs="Segoe UI"/>
          <w:color w:val="1F4E79" w:themeColor="accent1" w:themeShade="80"/>
          <w:sz w:val="28"/>
          <w:szCs w:val="28"/>
          <w:lang w:eastAsia="it-IT"/>
        </w:rPr>
        <w:t>, il ragionamento della Cassazione non</w:t>
      </w:r>
      <w:r w:rsidR="0051125C" w:rsidRPr="00B208E4">
        <w:rPr>
          <w:rFonts w:ascii="Calibri" w:eastAsia="Times New Roman" w:hAnsi="Calibri" w:cs="Segoe UI"/>
          <w:color w:val="1F4E79" w:themeColor="accent1" w:themeShade="80"/>
          <w:sz w:val="28"/>
          <w:szCs w:val="28"/>
          <w:lang w:eastAsia="it-IT"/>
        </w:rPr>
        <w:t xml:space="preserve"> è idoneo a dimostrare la lamentata illegittimità comunitaria</w:t>
      </w:r>
      <w:r w:rsidR="006854B3" w:rsidRPr="00B208E4">
        <w:rPr>
          <w:rFonts w:ascii="Calibri" w:eastAsia="Times New Roman" w:hAnsi="Calibri" w:cs="Segoe UI"/>
          <w:color w:val="1F4E79" w:themeColor="accent1" w:themeShade="80"/>
          <w:sz w:val="28"/>
          <w:szCs w:val="28"/>
          <w:lang w:eastAsia="it-IT"/>
        </w:rPr>
        <w:t>, per una serie di motivi</w:t>
      </w:r>
      <w:r w:rsidR="0051125C" w:rsidRPr="00B208E4">
        <w:rPr>
          <w:rFonts w:ascii="Calibri" w:eastAsia="Times New Roman" w:hAnsi="Calibri" w:cs="Segoe UI"/>
          <w:color w:val="1F4E79" w:themeColor="accent1" w:themeShade="80"/>
          <w:sz w:val="28"/>
          <w:szCs w:val="28"/>
          <w:lang w:eastAsia="it-IT"/>
        </w:rPr>
        <w:t xml:space="preserve"> convergenti</w:t>
      </w:r>
      <w:r w:rsidR="00120266" w:rsidRPr="00B208E4">
        <w:rPr>
          <w:rFonts w:ascii="Calibri" w:eastAsia="Times New Roman" w:hAnsi="Calibri" w:cs="Segoe UI"/>
          <w:color w:val="1F4E79" w:themeColor="accent1" w:themeShade="80"/>
          <w:sz w:val="28"/>
          <w:szCs w:val="28"/>
          <w:lang w:eastAsia="it-IT"/>
        </w:rPr>
        <w:t>.</w:t>
      </w:r>
    </w:p>
    <w:p w:rsidR="006854B3" w:rsidRPr="00B208E4" w:rsidRDefault="006854B3"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Ancora una volta, è assorbente il rilevo riguardante </w:t>
      </w:r>
      <w:r w:rsidR="00BE2647" w:rsidRPr="00B208E4">
        <w:rPr>
          <w:rFonts w:ascii="Calibri" w:eastAsia="Times New Roman" w:hAnsi="Calibri" w:cs="Segoe UI"/>
          <w:color w:val="1F4E79" w:themeColor="accent1" w:themeShade="80"/>
          <w:sz w:val="28"/>
          <w:szCs w:val="28"/>
          <w:lang w:eastAsia="it-IT"/>
        </w:rPr>
        <w:t xml:space="preserve">la </w:t>
      </w:r>
      <w:r w:rsidR="00617970" w:rsidRPr="00B208E4">
        <w:rPr>
          <w:rFonts w:ascii="Calibri" w:eastAsia="Times New Roman" w:hAnsi="Calibri" w:cs="Segoe UI"/>
          <w:color w:val="1F4E79" w:themeColor="accent1" w:themeShade="80"/>
          <w:sz w:val="28"/>
          <w:szCs w:val="28"/>
          <w:lang w:eastAsia="it-IT"/>
        </w:rPr>
        <w:t xml:space="preserve">piena </w:t>
      </w:r>
      <w:r w:rsidR="00BE2647" w:rsidRPr="00B208E4">
        <w:rPr>
          <w:rFonts w:ascii="Calibri" w:eastAsia="Times New Roman" w:hAnsi="Calibri" w:cs="Segoe UI"/>
          <w:color w:val="1F4E79" w:themeColor="accent1" w:themeShade="80"/>
          <w:sz w:val="28"/>
          <w:szCs w:val="28"/>
          <w:lang w:eastAsia="it-IT"/>
        </w:rPr>
        <w:t>compatibilità comunitaria dell’assetto definito dal sistema italiano.</w:t>
      </w:r>
      <w:r w:rsidR="00617970" w:rsidRPr="00B208E4">
        <w:rPr>
          <w:rFonts w:ascii="Calibri" w:eastAsia="Times New Roman" w:hAnsi="Calibri" w:cs="Segoe UI"/>
          <w:color w:val="1F4E79" w:themeColor="accent1" w:themeShade="80"/>
          <w:sz w:val="28"/>
          <w:szCs w:val="28"/>
          <w:lang w:eastAsia="it-IT"/>
        </w:rPr>
        <w:t xml:space="preserve"> Le esigenze “di opportunità” descritte dall’ordinanza</w:t>
      </w:r>
      <w:r w:rsidR="00D56311">
        <w:rPr>
          <w:rFonts w:ascii="Calibri" w:eastAsia="Times New Roman" w:hAnsi="Calibri" w:cs="Segoe UI"/>
          <w:color w:val="1F4E79" w:themeColor="accent1" w:themeShade="80"/>
          <w:sz w:val="28"/>
          <w:szCs w:val="28"/>
          <w:lang w:eastAsia="it-IT"/>
        </w:rPr>
        <w:t xml:space="preserve">, per quanto significative nel dibattito </w:t>
      </w:r>
      <w:r w:rsidR="00D56311" w:rsidRPr="00D56311">
        <w:rPr>
          <w:rFonts w:ascii="Calibri" w:eastAsia="Times New Roman" w:hAnsi="Calibri" w:cs="Segoe UI"/>
          <w:i/>
          <w:color w:val="1F4E79" w:themeColor="accent1" w:themeShade="80"/>
          <w:sz w:val="28"/>
          <w:szCs w:val="28"/>
          <w:lang w:eastAsia="it-IT"/>
        </w:rPr>
        <w:t>de iure condendo</w:t>
      </w:r>
      <w:r w:rsidR="00D56311">
        <w:rPr>
          <w:rFonts w:ascii="Calibri" w:eastAsia="Times New Roman" w:hAnsi="Calibri" w:cs="Segoe UI"/>
          <w:color w:val="1F4E79" w:themeColor="accent1" w:themeShade="80"/>
          <w:sz w:val="28"/>
          <w:szCs w:val="28"/>
          <w:lang w:eastAsia="it-IT"/>
        </w:rPr>
        <w:t>,</w:t>
      </w:r>
      <w:r w:rsidR="00617970" w:rsidRPr="00B208E4">
        <w:rPr>
          <w:rFonts w:ascii="Calibri" w:eastAsia="Times New Roman" w:hAnsi="Calibri" w:cs="Segoe UI"/>
          <w:color w:val="1F4E79" w:themeColor="accent1" w:themeShade="80"/>
          <w:sz w:val="28"/>
          <w:szCs w:val="28"/>
          <w:lang w:eastAsia="it-IT"/>
        </w:rPr>
        <w:t xml:space="preserve"> non si </w:t>
      </w:r>
      <w:r w:rsidR="00CA5669" w:rsidRPr="00B208E4">
        <w:rPr>
          <w:rFonts w:ascii="Calibri" w:eastAsia="Times New Roman" w:hAnsi="Calibri" w:cs="Segoe UI"/>
          <w:color w:val="1F4E79" w:themeColor="accent1" w:themeShade="80"/>
          <w:sz w:val="28"/>
          <w:szCs w:val="28"/>
          <w:lang w:eastAsia="it-IT"/>
        </w:rPr>
        <w:t>traducono in alcun modo in fondati sospetti di illegittimità comunitaria.</w:t>
      </w:r>
    </w:p>
    <w:p w:rsidR="00BE2647" w:rsidRPr="00B208E4" w:rsidRDefault="00120266" w:rsidP="00FB7048">
      <w:pPr>
        <w:pStyle w:val="Paragrafoelenco"/>
        <w:numPr>
          <w:ilvl w:val="0"/>
          <w:numId w:val="5"/>
        </w:numPr>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Anzitutto, è vero che anche le Istituzioni </w:t>
      </w:r>
      <w:r w:rsidR="0085645E" w:rsidRPr="00B208E4">
        <w:rPr>
          <w:rFonts w:ascii="Calibri" w:eastAsia="Times New Roman" w:hAnsi="Calibri" w:cs="Segoe UI"/>
          <w:color w:val="1F4E79" w:themeColor="accent1" w:themeShade="80"/>
          <w:sz w:val="28"/>
          <w:szCs w:val="28"/>
          <w:lang w:eastAsia="it-IT"/>
        </w:rPr>
        <w:t xml:space="preserve">comunitarie </w:t>
      </w:r>
      <w:r w:rsidRPr="00B208E4">
        <w:rPr>
          <w:rFonts w:ascii="Calibri" w:eastAsia="Times New Roman" w:hAnsi="Calibri" w:cs="Segoe UI"/>
          <w:color w:val="1F4E79" w:themeColor="accent1" w:themeShade="80"/>
          <w:sz w:val="28"/>
          <w:szCs w:val="28"/>
          <w:lang w:eastAsia="it-IT"/>
        </w:rPr>
        <w:t xml:space="preserve">caldeggiano regole nazionali volte ad assicurare la più incisiva </w:t>
      </w:r>
      <w:r w:rsidR="009B76CC" w:rsidRPr="00B208E4">
        <w:rPr>
          <w:rFonts w:ascii="Calibri" w:eastAsia="Times New Roman" w:hAnsi="Calibri" w:cs="Segoe UI"/>
          <w:color w:val="1F4E79" w:themeColor="accent1" w:themeShade="80"/>
          <w:sz w:val="28"/>
          <w:szCs w:val="28"/>
          <w:lang w:eastAsia="it-IT"/>
        </w:rPr>
        <w:t>operatività del diritto europeo</w:t>
      </w:r>
      <w:r w:rsidR="00BB735F" w:rsidRPr="00B208E4">
        <w:rPr>
          <w:rFonts w:ascii="Calibri" w:eastAsia="Times New Roman" w:hAnsi="Calibri" w:cs="Segoe UI"/>
          <w:color w:val="1F4E79" w:themeColor="accent1" w:themeShade="80"/>
          <w:sz w:val="28"/>
          <w:szCs w:val="28"/>
          <w:lang w:eastAsia="it-IT"/>
        </w:rPr>
        <w:t xml:space="preserve"> </w:t>
      </w:r>
      <w:r w:rsidR="001B7157" w:rsidRPr="00B208E4">
        <w:rPr>
          <w:rFonts w:ascii="Calibri" w:eastAsia="Times New Roman" w:hAnsi="Calibri" w:cs="Segoe UI"/>
          <w:color w:val="1F4E79" w:themeColor="accent1" w:themeShade="80"/>
          <w:sz w:val="28"/>
          <w:szCs w:val="28"/>
          <w:lang w:eastAsia="it-IT"/>
        </w:rPr>
        <w:t xml:space="preserve">già </w:t>
      </w:r>
      <w:r w:rsidR="00BB735F" w:rsidRPr="00B208E4">
        <w:rPr>
          <w:rFonts w:ascii="Calibri" w:eastAsia="Times New Roman" w:hAnsi="Calibri" w:cs="Segoe UI"/>
          <w:color w:val="1F4E79" w:themeColor="accent1" w:themeShade="80"/>
          <w:sz w:val="28"/>
          <w:szCs w:val="28"/>
          <w:lang w:eastAsia="it-IT"/>
        </w:rPr>
        <w:t>nella fase di “prima applicazione”</w:t>
      </w:r>
      <w:r w:rsidR="001B7157" w:rsidRPr="00B208E4">
        <w:rPr>
          <w:rFonts w:ascii="Calibri" w:eastAsia="Times New Roman" w:hAnsi="Calibri" w:cs="Segoe UI"/>
          <w:color w:val="1F4E79" w:themeColor="accent1" w:themeShade="80"/>
          <w:sz w:val="28"/>
          <w:szCs w:val="28"/>
          <w:lang w:eastAsia="it-IT"/>
        </w:rPr>
        <w:t xml:space="preserve"> in sede giurisdizionale</w:t>
      </w:r>
      <w:r w:rsidR="00D56311">
        <w:rPr>
          <w:rFonts w:ascii="Calibri" w:eastAsia="Times New Roman" w:hAnsi="Calibri" w:cs="Segoe UI"/>
          <w:color w:val="1F4E79" w:themeColor="accent1" w:themeShade="80"/>
          <w:sz w:val="28"/>
          <w:szCs w:val="28"/>
          <w:lang w:eastAsia="it-IT"/>
        </w:rPr>
        <w:t>. Tuttavia,</w:t>
      </w:r>
      <w:r w:rsidR="009B76CC" w:rsidRPr="00B208E4">
        <w:rPr>
          <w:rFonts w:ascii="Calibri" w:eastAsia="Times New Roman" w:hAnsi="Calibri" w:cs="Segoe UI"/>
          <w:color w:val="1F4E79" w:themeColor="accent1" w:themeShade="80"/>
          <w:sz w:val="28"/>
          <w:szCs w:val="28"/>
          <w:lang w:eastAsia="it-IT"/>
        </w:rPr>
        <w:t xml:space="preserve"> i vincoli </w:t>
      </w:r>
      <w:r w:rsidR="0085645E" w:rsidRPr="00B208E4">
        <w:rPr>
          <w:rFonts w:ascii="Calibri" w:eastAsia="Times New Roman" w:hAnsi="Calibri" w:cs="Segoe UI"/>
          <w:color w:val="1F4E79" w:themeColor="accent1" w:themeShade="80"/>
          <w:sz w:val="28"/>
          <w:szCs w:val="28"/>
          <w:lang w:eastAsia="it-IT"/>
        </w:rPr>
        <w:t xml:space="preserve">puntuali </w:t>
      </w:r>
      <w:r w:rsidR="009B76CC" w:rsidRPr="00B208E4">
        <w:rPr>
          <w:rFonts w:ascii="Calibri" w:eastAsia="Times New Roman" w:hAnsi="Calibri" w:cs="Segoe UI"/>
          <w:color w:val="1F4E79" w:themeColor="accent1" w:themeShade="80"/>
          <w:sz w:val="28"/>
          <w:szCs w:val="28"/>
          <w:lang w:eastAsia="it-IT"/>
        </w:rPr>
        <w:t xml:space="preserve">imposti al legislatore </w:t>
      </w:r>
      <w:r w:rsidR="0085645E" w:rsidRPr="00B208E4">
        <w:rPr>
          <w:rFonts w:ascii="Calibri" w:eastAsia="Times New Roman" w:hAnsi="Calibri" w:cs="Segoe UI"/>
          <w:color w:val="1F4E79" w:themeColor="accent1" w:themeShade="80"/>
          <w:sz w:val="28"/>
          <w:szCs w:val="28"/>
          <w:lang w:eastAsia="it-IT"/>
        </w:rPr>
        <w:t xml:space="preserve">nazionale </w:t>
      </w:r>
      <w:r w:rsidR="009B76CC" w:rsidRPr="00B208E4">
        <w:rPr>
          <w:rFonts w:ascii="Calibri" w:eastAsia="Times New Roman" w:hAnsi="Calibri" w:cs="Segoe UI"/>
          <w:color w:val="1F4E79" w:themeColor="accent1" w:themeShade="80"/>
          <w:sz w:val="28"/>
          <w:szCs w:val="28"/>
          <w:lang w:eastAsia="it-IT"/>
        </w:rPr>
        <w:t xml:space="preserve">sono </w:t>
      </w:r>
      <w:r w:rsidR="00D56311">
        <w:rPr>
          <w:rFonts w:ascii="Calibri" w:eastAsia="Times New Roman" w:hAnsi="Calibri" w:cs="Segoe UI"/>
          <w:color w:val="1F4E79" w:themeColor="accent1" w:themeShade="80"/>
          <w:sz w:val="28"/>
          <w:szCs w:val="28"/>
          <w:lang w:eastAsia="it-IT"/>
        </w:rPr>
        <w:t xml:space="preserve">soltanto </w:t>
      </w:r>
      <w:r w:rsidR="009B76CC" w:rsidRPr="00B208E4">
        <w:rPr>
          <w:rFonts w:ascii="Calibri" w:eastAsia="Times New Roman" w:hAnsi="Calibri" w:cs="Segoe UI"/>
          <w:color w:val="1F4E79" w:themeColor="accent1" w:themeShade="80"/>
          <w:sz w:val="28"/>
          <w:szCs w:val="28"/>
          <w:lang w:eastAsia="it-IT"/>
        </w:rPr>
        <w:t>quelli relativi alla previsione di efficaci rimedi riparatori</w:t>
      </w:r>
      <w:r w:rsidR="009A7452">
        <w:rPr>
          <w:rStyle w:val="Rimandonotaapidipagina"/>
          <w:rFonts w:ascii="Calibri" w:eastAsia="Times New Roman" w:hAnsi="Calibri" w:cs="Segoe UI"/>
          <w:color w:val="1F4E79" w:themeColor="accent1" w:themeShade="80"/>
          <w:sz w:val="28"/>
          <w:szCs w:val="28"/>
          <w:lang w:eastAsia="it-IT"/>
        </w:rPr>
        <w:footnoteReference w:id="43"/>
      </w:r>
      <w:r w:rsidR="009B76CC" w:rsidRPr="00B208E4">
        <w:rPr>
          <w:rFonts w:ascii="Calibri" w:eastAsia="Times New Roman" w:hAnsi="Calibri" w:cs="Segoe UI"/>
          <w:color w:val="1F4E79" w:themeColor="accent1" w:themeShade="80"/>
          <w:sz w:val="28"/>
          <w:szCs w:val="28"/>
          <w:lang w:eastAsia="it-IT"/>
        </w:rPr>
        <w:t xml:space="preserve">, senza </w:t>
      </w:r>
      <w:r w:rsidR="00D56311">
        <w:rPr>
          <w:rFonts w:ascii="Calibri" w:eastAsia="Times New Roman" w:hAnsi="Calibri" w:cs="Segoe UI"/>
          <w:color w:val="1F4E79" w:themeColor="accent1" w:themeShade="80"/>
          <w:sz w:val="28"/>
          <w:szCs w:val="28"/>
          <w:lang w:eastAsia="it-IT"/>
        </w:rPr>
        <w:t xml:space="preserve">alcuna necessità di </w:t>
      </w:r>
      <w:r w:rsidR="006921E2" w:rsidRPr="00B208E4">
        <w:rPr>
          <w:rFonts w:ascii="Calibri" w:eastAsia="Times New Roman" w:hAnsi="Calibri" w:cs="Segoe UI"/>
          <w:color w:val="1F4E79" w:themeColor="accent1" w:themeShade="80"/>
          <w:sz w:val="28"/>
          <w:szCs w:val="28"/>
          <w:lang w:eastAsia="it-IT"/>
        </w:rPr>
        <w:t>stabili</w:t>
      </w:r>
      <w:r w:rsidR="00BE2647" w:rsidRPr="00B208E4">
        <w:rPr>
          <w:rFonts w:ascii="Calibri" w:eastAsia="Times New Roman" w:hAnsi="Calibri" w:cs="Segoe UI"/>
          <w:color w:val="1F4E79" w:themeColor="accent1" w:themeShade="80"/>
          <w:sz w:val="28"/>
          <w:szCs w:val="28"/>
          <w:lang w:eastAsia="it-IT"/>
        </w:rPr>
        <w:t xml:space="preserve">re </w:t>
      </w:r>
      <w:r w:rsidR="00D56311">
        <w:rPr>
          <w:rFonts w:ascii="Calibri" w:eastAsia="Times New Roman" w:hAnsi="Calibri" w:cs="Segoe UI"/>
          <w:color w:val="1F4E79" w:themeColor="accent1" w:themeShade="80"/>
          <w:sz w:val="28"/>
          <w:szCs w:val="28"/>
          <w:lang w:eastAsia="it-IT"/>
        </w:rPr>
        <w:t xml:space="preserve">anche ulteriori mezzi processuali </w:t>
      </w:r>
      <w:r w:rsidR="00BE2647" w:rsidRPr="00B208E4">
        <w:rPr>
          <w:rFonts w:ascii="Calibri" w:eastAsia="Times New Roman" w:hAnsi="Calibri" w:cs="Segoe UI"/>
          <w:i/>
          <w:color w:val="1F4E79" w:themeColor="accent1" w:themeShade="80"/>
          <w:sz w:val="28"/>
          <w:szCs w:val="28"/>
          <w:lang w:eastAsia="it-IT"/>
        </w:rPr>
        <w:t>preventivi</w:t>
      </w:r>
      <w:r w:rsidR="00BE2647" w:rsidRPr="00B208E4">
        <w:rPr>
          <w:rFonts w:ascii="Calibri" w:eastAsia="Times New Roman" w:hAnsi="Calibri" w:cs="Segoe UI"/>
          <w:color w:val="1F4E79" w:themeColor="accent1" w:themeShade="80"/>
          <w:sz w:val="28"/>
          <w:szCs w:val="28"/>
          <w:lang w:eastAsia="it-IT"/>
        </w:rPr>
        <w:t xml:space="preserve"> altrettanto precisi e rigorosi.</w:t>
      </w:r>
    </w:p>
    <w:p w:rsidR="00120266" w:rsidRPr="00B208E4" w:rsidRDefault="006921E2"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E, </w:t>
      </w:r>
      <w:r w:rsidR="00ED3BA5" w:rsidRPr="00B208E4">
        <w:rPr>
          <w:rFonts w:ascii="Calibri" w:eastAsia="Times New Roman" w:hAnsi="Calibri" w:cs="Segoe UI"/>
          <w:color w:val="1F4E79" w:themeColor="accent1" w:themeShade="80"/>
          <w:sz w:val="28"/>
          <w:szCs w:val="28"/>
          <w:lang w:eastAsia="it-IT"/>
        </w:rPr>
        <w:t xml:space="preserve">in ogni caso, </w:t>
      </w:r>
      <w:r w:rsidRPr="00B208E4">
        <w:rPr>
          <w:rFonts w:ascii="Calibri" w:eastAsia="Times New Roman" w:hAnsi="Calibri" w:cs="Segoe UI"/>
          <w:color w:val="1F4E79" w:themeColor="accent1" w:themeShade="80"/>
          <w:sz w:val="28"/>
          <w:szCs w:val="28"/>
          <w:lang w:eastAsia="it-IT"/>
        </w:rPr>
        <w:t>tra</w:t>
      </w:r>
      <w:r w:rsidR="00D56311">
        <w:rPr>
          <w:rFonts w:ascii="Calibri" w:eastAsia="Times New Roman" w:hAnsi="Calibri" w:cs="Segoe UI"/>
          <w:color w:val="1F4E79" w:themeColor="accent1" w:themeShade="80"/>
          <w:sz w:val="28"/>
          <w:szCs w:val="28"/>
          <w:lang w:eastAsia="it-IT"/>
        </w:rPr>
        <w:t xml:space="preserve"> i mezzi indispensabile per garantire la piena efficacia della tutela giurisdizionale</w:t>
      </w:r>
      <w:r w:rsidR="0085645E" w:rsidRPr="00B208E4">
        <w:rPr>
          <w:rFonts w:ascii="Calibri" w:eastAsia="Times New Roman" w:hAnsi="Calibri" w:cs="Segoe UI"/>
          <w:color w:val="1F4E79" w:themeColor="accent1" w:themeShade="80"/>
          <w:sz w:val="28"/>
          <w:szCs w:val="28"/>
          <w:lang w:eastAsia="it-IT"/>
        </w:rPr>
        <w:t xml:space="preserve">, non pare certo compresa la necessità di </w:t>
      </w:r>
      <w:r w:rsidR="00ED3BA5" w:rsidRPr="00B208E4">
        <w:rPr>
          <w:rFonts w:ascii="Calibri" w:eastAsia="Times New Roman" w:hAnsi="Calibri" w:cs="Segoe UI"/>
          <w:color w:val="1F4E79" w:themeColor="accent1" w:themeShade="80"/>
          <w:sz w:val="28"/>
          <w:szCs w:val="28"/>
          <w:lang w:eastAsia="it-IT"/>
        </w:rPr>
        <w:t xml:space="preserve">istituire, per il contenzioso affidato alla giurisdizione amministrativa, </w:t>
      </w:r>
      <w:r w:rsidR="0085645E" w:rsidRPr="00B208E4">
        <w:rPr>
          <w:rFonts w:ascii="Calibri" w:eastAsia="Times New Roman" w:hAnsi="Calibri" w:cs="Segoe UI"/>
          <w:color w:val="1F4E79" w:themeColor="accent1" w:themeShade="80"/>
          <w:sz w:val="28"/>
          <w:szCs w:val="28"/>
          <w:lang w:eastAsia="it-IT"/>
        </w:rPr>
        <w:t>un</w:t>
      </w:r>
      <w:r w:rsidRPr="00B208E4">
        <w:rPr>
          <w:rFonts w:ascii="Calibri" w:eastAsia="Times New Roman" w:hAnsi="Calibri" w:cs="Segoe UI"/>
          <w:color w:val="1F4E79" w:themeColor="accent1" w:themeShade="80"/>
          <w:sz w:val="28"/>
          <w:szCs w:val="28"/>
          <w:lang w:eastAsia="it-IT"/>
        </w:rPr>
        <w:t xml:space="preserve"> terz</w:t>
      </w:r>
      <w:r w:rsidR="005659AD" w:rsidRPr="00B208E4">
        <w:rPr>
          <w:rFonts w:ascii="Calibri" w:eastAsia="Times New Roman" w:hAnsi="Calibri" w:cs="Segoe UI"/>
          <w:color w:val="1F4E79" w:themeColor="accent1" w:themeShade="80"/>
          <w:sz w:val="28"/>
          <w:szCs w:val="28"/>
          <w:lang w:eastAsia="it-IT"/>
        </w:rPr>
        <w:t>o grado davanti alla Cassazione, una volta riconosciuto che il sistema nazionale conosce due gradi di cognizione piena della controversia.</w:t>
      </w:r>
    </w:p>
    <w:p w:rsidR="005659AD" w:rsidRPr="00B208E4" w:rsidRDefault="005659AD"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Né, tanto meno, il diritto UE impone che la previsione di un ulteriore grado di impugnazione, a cognizione limitata, </w:t>
      </w:r>
      <w:r w:rsidR="00D56311">
        <w:rPr>
          <w:rFonts w:ascii="Calibri" w:eastAsia="Times New Roman" w:hAnsi="Calibri" w:cs="Segoe UI"/>
          <w:color w:val="1F4E79" w:themeColor="accent1" w:themeShade="80"/>
          <w:sz w:val="28"/>
          <w:szCs w:val="28"/>
          <w:lang w:eastAsia="it-IT"/>
        </w:rPr>
        <w:t xml:space="preserve">secondo le regole costituzionali interne, </w:t>
      </w:r>
      <w:r w:rsidRPr="00B208E4">
        <w:rPr>
          <w:rFonts w:ascii="Calibri" w:eastAsia="Times New Roman" w:hAnsi="Calibri" w:cs="Segoe UI"/>
          <w:color w:val="1F4E79" w:themeColor="accent1" w:themeShade="80"/>
          <w:sz w:val="28"/>
          <w:szCs w:val="28"/>
          <w:lang w:eastAsia="it-IT"/>
        </w:rPr>
        <w:t>debba dilatarsi in un giudizio esteso all’esame del rispetto del diritto UE.</w:t>
      </w:r>
    </w:p>
    <w:p w:rsidR="00F62DFF" w:rsidRPr="00B208E4" w:rsidRDefault="00F62DFF"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Se la CGUE “limita” la tutela risarcitoria a</w:t>
      </w:r>
      <w:r w:rsidR="00F616D2">
        <w:rPr>
          <w:rFonts w:ascii="Calibri" w:eastAsia="Times New Roman" w:hAnsi="Calibri" w:cs="Segoe UI"/>
          <w:color w:val="1F4E79" w:themeColor="accent1" w:themeShade="80"/>
          <w:sz w:val="28"/>
          <w:szCs w:val="28"/>
          <w:lang w:eastAsia="it-IT"/>
        </w:rPr>
        <w:t>lla ricorrenza di</w:t>
      </w:r>
      <w:r w:rsidRPr="00B208E4">
        <w:rPr>
          <w:rFonts w:ascii="Calibri" w:eastAsia="Times New Roman" w:hAnsi="Calibri" w:cs="Segoe UI"/>
          <w:color w:val="1F4E79" w:themeColor="accent1" w:themeShade="80"/>
          <w:sz w:val="28"/>
          <w:szCs w:val="28"/>
          <w:lang w:eastAsia="it-IT"/>
        </w:rPr>
        <w:t xml:space="preserve"> determinati presupposti</w:t>
      </w:r>
      <w:r w:rsidR="00F616D2">
        <w:rPr>
          <w:rFonts w:ascii="Calibri" w:eastAsia="Times New Roman" w:hAnsi="Calibri" w:cs="Segoe UI"/>
          <w:color w:val="1F4E79" w:themeColor="accent1" w:themeShade="80"/>
          <w:sz w:val="28"/>
          <w:szCs w:val="28"/>
          <w:lang w:eastAsia="it-IT"/>
        </w:rPr>
        <w:t xml:space="preserve"> sostanziali</w:t>
      </w:r>
      <w:r w:rsidRPr="00B208E4">
        <w:rPr>
          <w:rFonts w:ascii="Calibri" w:eastAsia="Times New Roman" w:hAnsi="Calibri" w:cs="Segoe UI"/>
          <w:color w:val="1F4E79" w:themeColor="accent1" w:themeShade="80"/>
          <w:sz w:val="28"/>
          <w:szCs w:val="28"/>
          <w:lang w:eastAsia="it-IT"/>
        </w:rPr>
        <w:t xml:space="preserve">, questo non può significare affatto la necessità di </w:t>
      </w:r>
      <w:r w:rsidR="00981C55" w:rsidRPr="00B208E4">
        <w:rPr>
          <w:rFonts w:ascii="Calibri" w:eastAsia="Times New Roman" w:hAnsi="Calibri" w:cs="Segoe UI"/>
          <w:color w:val="1F4E79" w:themeColor="accent1" w:themeShade="80"/>
          <w:sz w:val="28"/>
          <w:szCs w:val="28"/>
          <w:lang w:eastAsia="it-IT"/>
        </w:rPr>
        <w:t>colmare, attraverso la molt</w:t>
      </w:r>
      <w:r w:rsidR="00047A11" w:rsidRPr="00B208E4">
        <w:rPr>
          <w:rFonts w:ascii="Calibri" w:eastAsia="Times New Roman" w:hAnsi="Calibri" w:cs="Segoe UI"/>
          <w:color w:val="1F4E79" w:themeColor="accent1" w:themeShade="80"/>
          <w:sz w:val="28"/>
          <w:szCs w:val="28"/>
          <w:lang w:eastAsia="it-IT"/>
        </w:rPr>
        <w:t>iplicazione dei rimedi interni “preventivi”, l’asserita insufficienza dei mezzi di reazione successiva.</w:t>
      </w:r>
    </w:p>
    <w:p w:rsidR="00545750" w:rsidRDefault="006921E2" w:rsidP="00FB7048">
      <w:pPr>
        <w:pStyle w:val="Paragrafoelenco"/>
        <w:numPr>
          <w:ilvl w:val="0"/>
          <w:numId w:val="5"/>
        </w:numPr>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Questa obiezione vale anche dall’angolo visuale del</w:t>
      </w:r>
      <w:r w:rsidR="00D56311">
        <w:rPr>
          <w:rFonts w:ascii="Calibri" w:eastAsia="Times New Roman" w:hAnsi="Calibri" w:cs="Segoe UI"/>
          <w:color w:val="1F4E79" w:themeColor="accent1" w:themeShade="80"/>
          <w:sz w:val="28"/>
          <w:szCs w:val="28"/>
          <w:lang w:eastAsia="it-IT"/>
        </w:rPr>
        <w:t>la coerenza del</w:t>
      </w:r>
      <w:r w:rsidRPr="00B208E4">
        <w:rPr>
          <w:rFonts w:ascii="Calibri" w:eastAsia="Times New Roman" w:hAnsi="Calibri" w:cs="Segoe UI"/>
          <w:color w:val="1F4E79" w:themeColor="accent1" w:themeShade="80"/>
          <w:sz w:val="28"/>
          <w:szCs w:val="28"/>
          <w:lang w:eastAsia="it-IT"/>
        </w:rPr>
        <w:t xml:space="preserve"> diritto interno. La previsione di un rimedio “successivo” tipico</w:t>
      </w:r>
      <w:r w:rsidR="008B6FE7" w:rsidRPr="00B208E4">
        <w:rPr>
          <w:rFonts w:ascii="Calibri" w:eastAsia="Times New Roman" w:hAnsi="Calibri" w:cs="Segoe UI"/>
          <w:color w:val="1F4E79" w:themeColor="accent1" w:themeShade="80"/>
          <w:sz w:val="28"/>
          <w:szCs w:val="28"/>
          <w:lang w:eastAsia="it-IT"/>
        </w:rPr>
        <w:t>,</w:t>
      </w:r>
      <w:r w:rsidRPr="00B208E4">
        <w:rPr>
          <w:rFonts w:ascii="Calibri" w:eastAsia="Times New Roman" w:hAnsi="Calibri" w:cs="Segoe UI"/>
          <w:color w:val="1F4E79" w:themeColor="accent1" w:themeShade="80"/>
          <w:sz w:val="28"/>
          <w:szCs w:val="28"/>
          <w:lang w:eastAsia="it-IT"/>
        </w:rPr>
        <w:t xml:space="preserve"> per il caso della violazione del diritto europeo, rappresentato dalla tutela risarcitoria</w:t>
      </w:r>
      <w:r w:rsidR="00D56311">
        <w:rPr>
          <w:rFonts w:ascii="Calibri" w:eastAsia="Times New Roman" w:hAnsi="Calibri" w:cs="Segoe UI"/>
          <w:color w:val="1F4E79" w:themeColor="accent1" w:themeShade="80"/>
          <w:sz w:val="28"/>
          <w:szCs w:val="28"/>
          <w:lang w:eastAsia="it-IT"/>
        </w:rPr>
        <w:t>, introdotta</w:t>
      </w:r>
      <w:r w:rsidR="0039633C" w:rsidRPr="00B208E4">
        <w:rPr>
          <w:rFonts w:ascii="Calibri" w:eastAsia="Times New Roman" w:hAnsi="Calibri" w:cs="Segoe UI"/>
          <w:color w:val="1F4E79" w:themeColor="accent1" w:themeShade="80"/>
          <w:sz w:val="28"/>
          <w:szCs w:val="28"/>
          <w:lang w:eastAsia="it-IT"/>
        </w:rPr>
        <w:t xml:space="preserve"> dal legislatore del 2014</w:t>
      </w:r>
      <w:r w:rsidR="0085645E" w:rsidRPr="00B208E4">
        <w:rPr>
          <w:rFonts w:ascii="Calibri" w:eastAsia="Times New Roman" w:hAnsi="Calibri" w:cs="Segoe UI"/>
          <w:color w:val="1F4E79" w:themeColor="accent1" w:themeShade="80"/>
          <w:sz w:val="28"/>
          <w:szCs w:val="28"/>
          <w:lang w:eastAsia="it-IT"/>
        </w:rPr>
        <w:t>,</w:t>
      </w:r>
      <w:r w:rsidR="0039633C" w:rsidRPr="00B208E4">
        <w:rPr>
          <w:rFonts w:ascii="Calibri" w:eastAsia="Times New Roman" w:hAnsi="Calibri" w:cs="Segoe UI"/>
          <w:color w:val="1F4E79" w:themeColor="accent1" w:themeShade="80"/>
          <w:sz w:val="28"/>
          <w:szCs w:val="28"/>
          <w:lang w:eastAsia="it-IT"/>
        </w:rPr>
        <w:t xml:space="preserve"> proprio al conclamato scopo di uniformarsi alle prescrizioni del</w:t>
      </w:r>
      <w:r w:rsidR="00D56311">
        <w:rPr>
          <w:rFonts w:ascii="Calibri" w:eastAsia="Times New Roman" w:hAnsi="Calibri" w:cs="Segoe UI"/>
          <w:color w:val="1F4E79" w:themeColor="accent1" w:themeShade="80"/>
          <w:sz w:val="28"/>
          <w:szCs w:val="28"/>
          <w:lang w:eastAsia="it-IT"/>
        </w:rPr>
        <w:t>l’ordinamento UE</w:t>
      </w:r>
      <w:r w:rsidR="0039633C" w:rsidRPr="00B208E4">
        <w:rPr>
          <w:rFonts w:ascii="Calibri" w:eastAsia="Times New Roman" w:hAnsi="Calibri" w:cs="Segoe UI"/>
          <w:color w:val="1F4E79" w:themeColor="accent1" w:themeShade="80"/>
          <w:sz w:val="28"/>
          <w:szCs w:val="28"/>
          <w:lang w:eastAsia="it-IT"/>
        </w:rPr>
        <w:t>, non può certo significare la</w:t>
      </w:r>
      <w:r w:rsidR="00405169" w:rsidRPr="00B208E4">
        <w:rPr>
          <w:rFonts w:ascii="Calibri" w:eastAsia="Times New Roman" w:hAnsi="Calibri" w:cs="Segoe UI"/>
          <w:color w:val="1F4E79" w:themeColor="accent1" w:themeShade="80"/>
          <w:sz w:val="28"/>
          <w:szCs w:val="28"/>
          <w:lang w:eastAsia="it-IT"/>
        </w:rPr>
        <w:t xml:space="preserve"> contestuale</w:t>
      </w:r>
      <w:r w:rsidR="0039633C" w:rsidRPr="00B208E4">
        <w:rPr>
          <w:rFonts w:ascii="Calibri" w:eastAsia="Times New Roman" w:hAnsi="Calibri" w:cs="Segoe UI"/>
          <w:color w:val="1F4E79" w:themeColor="accent1" w:themeShade="80"/>
          <w:sz w:val="28"/>
          <w:szCs w:val="28"/>
          <w:lang w:eastAsia="it-IT"/>
        </w:rPr>
        <w:t xml:space="preserve"> necessità di </w:t>
      </w:r>
      <w:r w:rsidR="000457CA" w:rsidRPr="00B208E4">
        <w:rPr>
          <w:rFonts w:ascii="Calibri" w:eastAsia="Times New Roman" w:hAnsi="Calibri" w:cs="Segoe UI"/>
          <w:color w:val="1F4E79" w:themeColor="accent1" w:themeShade="80"/>
          <w:sz w:val="28"/>
          <w:szCs w:val="28"/>
          <w:lang w:eastAsia="it-IT"/>
        </w:rPr>
        <w:t xml:space="preserve">prevedere </w:t>
      </w:r>
      <w:r w:rsidR="0085645E" w:rsidRPr="00B208E4">
        <w:rPr>
          <w:rFonts w:ascii="Calibri" w:eastAsia="Times New Roman" w:hAnsi="Calibri" w:cs="Segoe UI"/>
          <w:color w:val="1F4E79" w:themeColor="accent1" w:themeShade="80"/>
          <w:sz w:val="28"/>
          <w:szCs w:val="28"/>
          <w:lang w:eastAsia="it-IT"/>
        </w:rPr>
        <w:t xml:space="preserve">anche </w:t>
      </w:r>
      <w:r w:rsidR="0039633C" w:rsidRPr="00B208E4">
        <w:rPr>
          <w:rFonts w:ascii="Calibri" w:eastAsia="Times New Roman" w:hAnsi="Calibri" w:cs="Segoe UI"/>
          <w:color w:val="1F4E79" w:themeColor="accent1" w:themeShade="80"/>
          <w:sz w:val="28"/>
          <w:szCs w:val="28"/>
          <w:lang w:eastAsia="it-IT"/>
        </w:rPr>
        <w:t xml:space="preserve">un </w:t>
      </w:r>
      <w:r w:rsidR="00405169" w:rsidRPr="00B208E4">
        <w:rPr>
          <w:rFonts w:ascii="Calibri" w:eastAsia="Times New Roman" w:hAnsi="Calibri" w:cs="Segoe UI"/>
          <w:color w:val="1F4E79" w:themeColor="accent1" w:themeShade="80"/>
          <w:sz w:val="28"/>
          <w:szCs w:val="28"/>
          <w:lang w:eastAsia="it-IT"/>
        </w:rPr>
        <w:t xml:space="preserve">ulteriore </w:t>
      </w:r>
      <w:r w:rsidR="0039633C" w:rsidRPr="00B208E4">
        <w:rPr>
          <w:rFonts w:ascii="Calibri" w:eastAsia="Times New Roman" w:hAnsi="Calibri" w:cs="Segoe UI"/>
          <w:color w:val="1F4E79" w:themeColor="accent1" w:themeShade="80"/>
          <w:sz w:val="28"/>
          <w:szCs w:val="28"/>
          <w:lang w:eastAsia="it-IT"/>
        </w:rPr>
        <w:t>rimedio pretorio</w:t>
      </w:r>
      <w:r w:rsidR="008B6FE7" w:rsidRPr="00B208E4">
        <w:rPr>
          <w:rFonts w:ascii="Calibri" w:eastAsia="Times New Roman" w:hAnsi="Calibri" w:cs="Segoe UI"/>
          <w:color w:val="1F4E79" w:themeColor="accent1" w:themeShade="80"/>
          <w:sz w:val="28"/>
          <w:szCs w:val="28"/>
          <w:lang w:eastAsia="it-IT"/>
        </w:rPr>
        <w:t>, costituito dallo stravolgimento del ricorso per cassazione ex art. 1</w:t>
      </w:r>
      <w:r w:rsidR="00F616D2">
        <w:rPr>
          <w:rFonts w:ascii="Calibri" w:eastAsia="Times New Roman" w:hAnsi="Calibri" w:cs="Segoe UI"/>
          <w:color w:val="1F4E79" w:themeColor="accent1" w:themeShade="80"/>
          <w:sz w:val="28"/>
          <w:szCs w:val="28"/>
          <w:lang w:eastAsia="it-IT"/>
        </w:rPr>
        <w:t>1</w:t>
      </w:r>
      <w:r w:rsidR="008B6FE7" w:rsidRPr="00B208E4">
        <w:rPr>
          <w:rFonts w:ascii="Calibri" w:eastAsia="Times New Roman" w:hAnsi="Calibri" w:cs="Segoe UI"/>
          <w:color w:val="1F4E79" w:themeColor="accent1" w:themeShade="80"/>
          <w:sz w:val="28"/>
          <w:szCs w:val="28"/>
          <w:lang w:eastAsia="it-IT"/>
        </w:rPr>
        <w:t xml:space="preserve">1, comma ottavo, </w:t>
      </w:r>
      <w:r w:rsidR="0039633C" w:rsidRPr="00B208E4">
        <w:rPr>
          <w:rFonts w:ascii="Calibri" w:eastAsia="Times New Roman" w:hAnsi="Calibri" w:cs="Segoe UI"/>
          <w:color w:val="1F4E79" w:themeColor="accent1" w:themeShade="80"/>
          <w:sz w:val="28"/>
          <w:szCs w:val="28"/>
          <w:lang w:eastAsia="it-IT"/>
        </w:rPr>
        <w:t>non previsto dall’ordinamento.</w:t>
      </w:r>
    </w:p>
    <w:p w:rsidR="006921E2" w:rsidRPr="00545750" w:rsidRDefault="00545750"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 xml:space="preserve">Il legislatore nazionale </w:t>
      </w:r>
      <w:r w:rsidR="000457CA" w:rsidRPr="00545750">
        <w:rPr>
          <w:rFonts w:ascii="Calibri" w:eastAsia="Times New Roman" w:hAnsi="Calibri" w:cs="Segoe UI"/>
          <w:color w:val="1F4E79" w:themeColor="accent1" w:themeShade="80"/>
          <w:sz w:val="28"/>
          <w:szCs w:val="28"/>
          <w:lang w:eastAsia="it-IT"/>
        </w:rPr>
        <w:t>avrebbe potuto forse</w:t>
      </w:r>
      <w:r>
        <w:rPr>
          <w:rFonts w:ascii="Calibri" w:eastAsia="Times New Roman" w:hAnsi="Calibri" w:cs="Segoe UI"/>
          <w:color w:val="1F4E79" w:themeColor="accent1" w:themeShade="80"/>
          <w:sz w:val="28"/>
          <w:szCs w:val="28"/>
          <w:lang w:eastAsia="it-IT"/>
        </w:rPr>
        <w:t xml:space="preserve"> introdurre anche dei rimedi processuali preventivi</w:t>
      </w:r>
      <w:r w:rsidR="000457CA" w:rsidRPr="00545750">
        <w:rPr>
          <w:rFonts w:ascii="Calibri" w:eastAsia="Times New Roman" w:hAnsi="Calibri" w:cs="Segoe UI"/>
          <w:color w:val="1F4E79" w:themeColor="accent1" w:themeShade="80"/>
          <w:sz w:val="28"/>
          <w:szCs w:val="28"/>
          <w:lang w:eastAsia="it-IT"/>
        </w:rPr>
        <w:t>, ma</w:t>
      </w:r>
      <w:r>
        <w:rPr>
          <w:rFonts w:ascii="Calibri" w:eastAsia="Times New Roman" w:hAnsi="Calibri" w:cs="Segoe UI"/>
          <w:color w:val="1F4E79" w:themeColor="accent1" w:themeShade="80"/>
          <w:sz w:val="28"/>
          <w:szCs w:val="28"/>
          <w:lang w:eastAsia="it-IT"/>
        </w:rPr>
        <w:t>, al momento, ha scelto di limitarsi</w:t>
      </w:r>
      <w:r w:rsidR="00992A5C" w:rsidRPr="00545750">
        <w:rPr>
          <w:rFonts w:ascii="Calibri" w:eastAsia="Times New Roman" w:hAnsi="Calibri" w:cs="Segoe UI"/>
          <w:color w:val="1F4E79" w:themeColor="accent1" w:themeShade="80"/>
          <w:sz w:val="28"/>
          <w:szCs w:val="28"/>
          <w:lang w:eastAsia="it-IT"/>
        </w:rPr>
        <w:t xml:space="preserve"> alla </w:t>
      </w:r>
      <w:r w:rsidR="00405169" w:rsidRPr="00545750">
        <w:rPr>
          <w:rFonts w:ascii="Calibri" w:eastAsia="Times New Roman" w:hAnsi="Calibri" w:cs="Segoe UI"/>
          <w:color w:val="1F4E79" w:themeColor="accent1" w:themeShade="80"/>
          <w:sz w:val="28"/>
          <w:szCs w:val="28"/>
          <w:lang w:eastAsia="it-IT"/>
        </w:rPr>
        <w:t xml:space="preserve">codificazione nazionale </w:t>
      </w:r>
      <w:r w:rsidR="00992A5C" w:rsidRPr="00545750">
        <w:rPr>
          <w:rFonts w:ascii="Calibri" w:eastAsia="Times New Roman" w:hAnsi="Calibri" w:cs="Segoe UI"/>
          <w:color w:val="1F4E79" w:themeColor="accent1" w:themeShade="80"/>
          <w:sz w:val="28"/>
          <w:szCs w:val="28"/>
          <w:lang w:eastAsia="it-IT"/>
        </w:rPr>
        <w:t>di una nuova fattispecie di responsabilità patrimoniale</w:t>
      </w:r>
      <w:r w:rsidR="00405169" w:rsidRPr="00545750">
        <w:rPr>
          <w:rFonts w:ascii="Calibri" w:eastAsia="Times New Roman" w:hAnsi="Calibri" w:cs="Segoe UI"/>
          <w:color w:val="1F4E79" w:themeColor="accent1" w:themeShade="80"/>
          <w:sz w:val="28"/>
          <w:szCs w:val="28"/>
          <w:lang w:eastAsia="it-IT"/>
        </w:rPr>
        <w:t>, imposta dal diritto UE</w:t>
      </w:r>
      <w:r w:rsidR="00992A5C" w:rsidRPr="00545750">
        <w:rPr>
          <w:rFonts w:ascii="Calibri" w:eastAsia="Times New Roman" w:hAnsi="Calibri" w:cs="Segoe UI"/>
          <w:color w:val="1F4E79" w:themeColor="accent1" w:themeShade="80"/>
          <w:sz w:val="28"/>
          <w:szCs w:val="28"/>
          <w:lang w:eastAsia="it-IT"/>
        </w:rPr>
        <w:t>.</w:t>
      </w:r>
    </w:p>
    <w:p w:rsidR="0039633C" w:rsidRPr="00B208E4" w:rsidRDefault="00583105" w:rsidP="00FB7048">
      <w:pPr>
        <w:pStyle w:val="Paragrafoelenco"/>
        <w:numPr>
          <w:ilvl w:val="0"/>
          <w:numId w:val="5"/>
        </w:numPr>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Seguendo il ragionamento</w:t>
      </w:r>
      <w:r w:rsidR="0073476E" w:rsidRPr="00B208E4">
        <w:rPr>
          <w:rFonts w:ascii="Calibri" w:eastAsia="Times New Roman" w:hAnsi="Calibri" w:cs="Segoe UI"/>
          <w:color w:val="1F4E79" w:themeColor="accent1" w:themeShade="80"/>
          <w:sz w:val="28"/>
          <w:szCs w:val="28"/>
          <w:lang w:eastAsia="it-IT"/>
        </w:rPr>
        <w:t xml:space="preserve"> “funzionale e finalistico”</w:t>
      </w:r>
      <w:r w:rsidRPr="00B208E4">
        <w:rPr>
          <w:rFonts w:ascii="Calibri" w:eastAsia="Times New Roman" w:hAnsi="Calibri" w:cs="Segoe UI"/>
          <w:color w:val="1F4E79" w:themeColor="accent1" w:themeShade="80"/>
          <w:sz w:val="28"/>
          <w:szCs w:val="28"/>
          <w:lang w:eastAsia="it-IT"/>
        </w:rPr>
        <w:t xml:space="preserve"> della Cassazione, la dilatazione del ricorso ex art. 111 Cost.</w:t>
      </w:r>
      <w:r w:rsidR="0073476E" w:rsidRPr="00B208E4">
        <w:rPr>
          <w:rFonts w:ascii="Calibri" w:eastAsia="Times New Roman" w:hAnsi="Calibri" w:cs="Segoe UI"/>
          <w:color w:val="1F4E79" w:themeColor="accent1" w:themeShade="80"/>
          <w:sz w:val="28"/>
          <w:szCs w:val="28"/>
          <w:lang w:eastAsia="it-IT"/>
        </w:rPr>
        <w:t>, allora,</w:t>
      </w:r>
      <w:r w:rsidRPr="00B208E4">
        <w:rPr>
          <w:rFonts w:ascii="Calibri" w:eastAsia="Times New Roman" w:hAnsi="Calibri" w:cs="Segoe UI"/>
          <w:color w:val="1F4E79" w:themeColor="accent1" w:themeShade="80"/>
          <w:sz w:val="28"/>
          <w:szCs w:val="28"/>
          <w:lang w:eastAsia="it-IT"/>
        </w:rPr>
        <w:t xml:space="preserve"> dovrebbe predicarsi in relazione a tutte le fattispecie contemplate dalla legge n. </w:t>
      </w:r>
      <w:r w:rsidR="00666672" w:rsidRPr="00B208E4">
        <w:rPr>
          <w:rFonts w:ascii="Calibri" w:eastAsia="Times New Roman" w:hAnsi="Calibri" w:cs="Segoe UI"/>
          <w:color w:val="1F4E79" w:themeColor="accent1" w:themeShade="80"/>
          <w:sz w:val="28"/>
          <w:szCs w:val="28"/>
          <w:lang w:eastAsia="it-IT"/>
        </w:rPr>
        <w:t>117</w:t>
      </w:r>
      <w:r w:rsidR="00F616D2">
        <w:rPr>
          <w:rFonts w:ascii="Calibri" w:eastAsia="Times New Roman" w:hAnsi="Calibri" w:cs="Segoe UI"/>
          <w:color w:val="1F4E79" w:themeColor="accent1" w:themeShade="80"/>
          <w:sz w:val="28"/>
          <w:szCs w:val="28"/>
          <w:lang w:eastAsia="it-IT"/>
        </w:rPr>
        <w:t>/1988</w:t>
      </w:r>
      <w:r w:rsidR="00666672" w:rsidRPr="00B208E4">
        <w:rPr>
          <w:rFonts w:ascii="Calibri" w:eastAsia="Times New Roman" w:hAnsi="Calibri" w:cs="Segoe UI"/>
          <w:color w:val="1F4E79" w:themeColor="accent1" w:themeShade="80"/>
          <w:sz w:val="28"/>
          <w:szCs w:val="28"/>
          <w:lang w:eastAsia="it-IT"/>
        </w:rPr>
        <w:t>, compresi i casi di errori di fatto</w:t>
      </w:r>
      <w:r w:rsidR="00674A22" w:rsidRPr="00B208E4">
        <w:rPr>
          <w:rFonts w:ascii="Calibri" w:eastAsia="Times New Roman" w:hAnsi="Calibri" w:cs="Segoe UI"/>
          <w:color w:val="1F4E79" w:themeColor="accent1" w:themeShade="80"/>
          <w:sz w:val="28"/>
          <w:szCs w:val="28"/>
          <w:lang w:eastAsia="it-IT"/>
        </w:rPr>
        <w:t xml:space="preserve"> del giudice ordinario</w:t>
      </w:r>
      <w:r w:rsidR="00666672" w:rsidRPr="00B208E4">
        <w:rPr>
          <w:rFonts w:ascii="Calibri" w:eastAsia="Times New Roman" w:hAnsi="Calibri" w:cs="Segoe UI"/>
          <w:color w:val="1F4E79" w:themeColor="accent1" w:themeShade="80"/>
          <w:sz w:val="28"/>
          <w:szCs w:val="28"/>
          <w:lang w:eastAsia="it-IT"/>
        </w:rPr>
        <w:t>, tradizionalmente esclusi dalla cognizione della Cassazione.</w:t>
      </w:r>
      <w:r w:rsidR="0073476E" w:rsidRPr="00B208E4">
        <w:rPr>
          <w:rFonts w:ascii="Calibri" w:eastAsia="Times New Roman" w:hAnsi="Calibri" w:cs="Segoe UI"/>
          <w:color w:val="1F4E79" w:themeColor="accent1" w:themeShade="80"/>
          <w:sz w:val="28"/>
          <w:szCs w:val="28"/>
          <w:lang w:eastAsia="it-IT"/>
        </w:rPr>
        <w:t xml:space="preserve"> Ma questo significherebbe riscrivere tutto il sistema delle impugnazioni, con ricadute sistemiche </w:t>
      </w:r>
      <w:r w:rsidR="00BB2735" w:rsidRPr="00B208E4">
        <w:rPr>
          <w:rFonts w:ascii="Calibri" w:eastAsia="Times New Roman" w:hAnsi="Calibri" w:cs="Segoe UI"/>
          <w:color w:val="1F4E79" w:themeColor="accent1" w:themeShade="80"/>
          <w:sz w:val="28"/>
          <w:szCs w:val="28"/>
          <w:lang w:eastAsia="it-IT"/>
        </w:rPr>
        <w:t>catastrofiche.</w:t>
      </w:r>
    </w:p>
    <w:p w:rsidR="0085645E" w:rsidRPr="00B208E4" w:rsidRDefault="007E1CFD" w:rsidP="00FB7048">
      <w:pPr>
        <w:pStyle w:val="Paragrafoelenco"/>
        <w:numPr>
          <w:ilvl w:val="0"/>
          <w:numId w:val="5"/>
        </w:numPr>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Come si è detto, l</w:t>
      </w:r>
      <w:r w:rsidR="00666672" w:rsidRPr="00B208E4">
        <w:rPr>
          <w:rFonts w:ascii="Calibri" w:eastAsia="Times New Roman" w:hAnsi="Calibri" w:cs="Segoe UI"/>
          <w:color w:val="1F4E79" w:themeColor="accent1" w:themeShade="80"/>
          <w:sz w:val="28"/>
          <w:szCs w:val="28"/>
          <w:lang w:eastAsia="it-IT"/>
        </w:rPr>
        <w:t>’obiettivo della “prevenzione”</w:t>
      </w:r>
      <w:r w:rsidR="008531BB" w:rsidRPr="00B208E4">
        <w:rPr>
          <w:rFonts w:ascii="Calibri" w:eastAsia="Times New Roman" w:hAnsi="Calibri" w:cs="Segoe UI"/>
          <w:color w:val="1F4E79" w:themeColor="accent1" w:themeShade="80"/>
          <w:sz w:val="28"/>
          <w:szCs w:val="28"/>
          <w:lang w:eastAsia="it-IT"/>
        </w:rPr>
        <w:t xml:space="preserve"> dell’illecito comunitario</w:t>
      </w:r>
      <w:r w:rsidR="00666672" w:rsidRPr="00B208E4">
        <w:rPr>
          <w:rFonts w:ascii="Calibri" w:eastAsia="Times New Roman" w:hAnsi="Calibri" w:cs="Segoe UI"/>
          <w:color w:val="1F4E79" w:themeColor="accent1" w:themeShade="80"/>
          <w:sz w:val="28"/>
          <w:szCs w:val="28"/>
          <w:lang w:eastAsia="it-IT"/>
        </w:rPr>
        <w:t>, se anche ritenuto praticabile in via interpretativa, non necessariamente dovrebbe passare attrav</w:t>
      </w:r>
      <w:r w:rsidR="0085645E" w:rsidRPr="00B208E4">
        <w:rPr>
          <w:rFonts w:ascii="Calibri" w:eastAsia="Times New Roman" w:hAnsi="Calibri" w:cs="Segoe UI"/>
          <w:color w:val="1F4E79" w:themeColor="accent1" w:themeShade="80"/>
          <w:sz w:val="28"/>
          <w:szCs w:val="28"/>
          <w:lang w:eastAsia="it-IT"/>
        </w:rPr>
        <w:t xml:space="preserve">erso il </w:t>
      </w:r>
      <w:r w:rsidR="0085645E" w:rsidRPr="00B208E4">
        <w:rPr>
          <w:rFonts w:ascii="Calibri" w:eastAsia="Times New Roman" w:hAnsi="Calibri" w:cs="Segoe UI"/>
          <w:i/>
          <w:color w:val="1F4E79" w:themeColor="accent1" w:themeShade="80"/>
          <w:sz w:val="28"/>
          <w:szCs w:val="28"/>
          <w:lang w:eastAsia="it-IT"/>
        </w:rPr>
        <w:t>ricorso per cassazione</w:t>
      </w:r>
      <w:r w:rsidR="00BB2735" w:rsidRPr="00B208E4">
        <w:rPr>
          <w:rFonts w:ascii="Calibri" w:eastAsia="Times New Roman" w:hAnsi="Calibri" w:cs="Segoe UI"/>
          <w:color w:val="1F4E79" w:themeColor="accent1" w:themeShade="80"/>
          <w:sz w:val="28"/>
          <w:szCs w:val="28"/>
          <w:lang w:eastAsia="it-IT"/>
        </w:rPr>
        <w:t>, che ha “limiti” intrinseci evidenti, non meno di altri strumenti</w:t>
      </w:r>
      <w:r w:rsidR="00A61BAF" w:rsidRPr="00B208E4">
        <w:rPr>
          <w:rFonts w:ascii="Calibri" w:eastAsia="Times New Roman" w:hAnsi="Calibri" w:cs="Segoe UI"/>
          <w:color w:val="1F4E79" w:themeColor="accent1" w:themeShade="80"/>
          <w:sz w:val="28"/>
          <w:szCs w:val="28"/>
          <w:lang w:eastAsia="it-IT"/>
        </w:rPr>
        <w:t>, volti a sterilizzare gli effetti di una decisione violativa del diritto UE</w:t>
      </w:r>
      <w:r w:rsidR="00BB2735" w:rsidRPr="00B208E4">
        <w:rPr>
          <w:rFonts w:ascii="Calibri" w:eastAsia="Times New Roman" w:hAnsi="Calibri" w:cs="Segoe UI"/>
          <w:color w:val="1F4E79" w:themeColor="accent1" w:themeShade="80"/>
          <w:sz w:val="28"/>
          <w:szCs w:val="28"/>
          <w:lang w:eastAsia="it-IT"/>
        </w:rPr>
        <w:t>.</w:t>
      </w:r>
      <w:r w:rsidR="00545750">
        <w:rPr>
          <w:rFonts w:ascii="Calibri" w:eastAsia="Times New Roman" w:hAnsi="Calibri" w:cs="Segoe UI"/>
          <w:color w:val="1F4E79" w:themeColor="accent1" w:themeShade="80"/>
          <w:sz w:val="28"/>
          <w:szCs w:val="28"/>
          <w:lang w:eastAsia="it-IT"/>
        </w:rPr>
        <w:t xml:space="preserve"> Anzi, i confini del sindacato della Cassazione sulle decisioni del Consiglio di Stato sono stabiliti dalla Costituzione, e, quindi, sono assai più difficili da superare.</w:t>
      </w:r>
    </w:p>
    <w:p w:rsidR="00880001" w:rsidRPr="00B208E4" w:rsidRDefault="00545750"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In ogni caso, una volta ritenuta l’opportunità di rimedi processuali preventivi, non sarebbe più semplice,</w:t>
      </w:r>
      <w:r w:rsidR="00880001" w:rsidRPr="00B208E4">
        <w:rPr>
          <w:rFonts w:ascii="Calibri" w:eastAsia="Times New Roman" w:hAnsi="Calibri" w:cs="Segoe UI"/>
          <w:color w:val="1F4E79" w:themeColor="accent1" w:themeShade="80"/>
          <w:sz w:val="28"/>
          <w:szCs w:val="28"/>
          <w:lang w:eastAsia="it-IT"/>
        </w:rPr>
        <w:t xml:space="preserve"> come ventilato</w:t>
      </w:r>
      <w:r w:rsidR="0085645E" w:rsidRPr="00B208E4">
        <w:rPr>
          <w:rFonts w:ascii="Calibri" w:eastAsia="Times New Roman" w:hAnsi="Calibri" w:cs="Segoe UI"/>
          <w:color w:val="1F4E79" w:themeColor="accent1" w:themeShade="80"/>
          <w:sz w:val="28"/>
          <w:szCs w:val="28"/>
          <w:lang w:eastAsia="it-IT"/>
        </w:rPr>
        <w:t xml:space="preserve"> proprio</w:t>
      </w:r>
      <w:r w:rsidR="00880001" w:rsidRPr="00B208E4">
        <w:rPr>
          <w:rFonts w:ascii="Calibri" w:eastAsia="Times New Roman" w:hAnsi="Calibri" w:cs="Segoe UI"/>
          <w:color w:val="1F4E79" w:themeColor="accent1" w:themeShade="80"/>
          <w:sz w:val="28"/>
          <w:szCs w:val="28"/>
          <w:lang w:eastAsia="it-IT"/>
        </w:rPr>
        <w:t xml:space="preserve"> dalla Corte costituzionale, </w:t>
      </w:r>
      <w:r>
        <w:rPr>
          <w:rFonts w:ascii="Calibri" w:eastAsia="Times New Roman" w:hAnsi="Calibri" w:cs="Segoe UI"/>
          <w:color w:val="1F4E79" w:themeColor="accent1" w:themeShade="80"/>
          <w:sz w:val="28"/>
          <w:szCs w:val="28"/>
          <w:lang w:eastAsia="it-IT"/>
        </w:rPr>
        <w:t>l’estensione dello strumento del</w:t>
      </w:r>
      <w:r w:rsidR="00880001" w:rsidRPr="00B208E4">
        <w:rPr>
          <w:rFonts w:ascii="Calibri" w:eastAsia="Times New Roman" w:hAnsi="Calibri" w:cs="Segoe UI"/>
          <w:color w:val="1F4E79" w:themeColor="accent1" w:themeShade="80"/>
          <w:sz w:val="28"/>
          <w:szCs w:val="28"/>
          <w:lang w:eastAsia="it-IT"/>
        </w:rPr>
        <w:t>la revocazione</w:t>
      </w:r>
      <w:r w:rsidR="0085645E" w:rsidRPr="00B208E4">
        <w:rPr>
          <w:rFonts w:ascii="Calibri" w:eastAsia="Times New Roman" w:hAnsi="Calibri" w:cs="Segoe UI"/>
          <w:color w:val="1F4E79" w:themeColor="accent1" w:themeShade="80"/>
          <w:sz w:val="28"/>
          <w:szCs w:val="28"/>
          <w:lang w:eastAsia="it-IT"/>
        </w:rPr>
        <w:t>, che consente di entrare nel merito della controversia in modo assai più efficace</w:t>
      </w:r>
      <w:r w:rsidR="00880001" w:rsidRPr="00B208E4">
        <w:rPr>
          <w:rFonts w:ascii="Calibri" w:eastAsia="Times New Roman" w:hAnsi="Calibri" w:cs="Segoe UI"/>
          <w:color w:val="1F4E79" w:themeColor="accent1" w:themeShade="80"/>
          <w:sz w:val="28"/>
          <w:szCs w:val="28"/>
          <w:lang w:eastAsia="it-IT"/>
        </w:rPr>
        <w:t>?</w:t>
      </w:r>
      <w:r w:rsidR="00CF70BC" w:rsidRPr="00B208E4">
        <w:rPr>
          <w:rStyle w:val="Rimandonotaapidipagina"/>
          <w:rFonts w:ascii="Calibri" w:eastAsia="Times New Roman" w:hAnsi="Calibri" w:cs="Segoe UI"/>
          <w:color w:val="1F4E79" w:themeColor="accent1" w:themeShade="80"/>
          <w:sz w:val="28"/>
          <w:szCs w:val="28"/>
          <w:lang w:eastAsia="it-IT"/>
        </w:rPr>
        <w:footnoteReference w:id="44"/>
      </w:r>
    </w:p>
    <w:p w:rsidR="00A61BAF" w:rsidRPr="00B208E4" w:rsidRDefault="00A61BAF"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p>
    <w:p w:rsidR="005F5CF2" w:rsidRPr="00E94D9B" w:rsidRDefault="00186BD1" w:rsidP="00FB7048">
      <w:pPr>
        <w:numPr>
          <w:ilvl w:val="0"/>
          <w:numId w:val="1"/>
        </w:numPr>
        <w:shd w:val="clear" w:color="auto" w:fill="FFFFFF"/>
        <w:tabs>
          <w:tab w:val="left" w:pos="0"/>
        </w:tabs>
        <w:spacing w:after="120" w:line="240" w:lineRule="auto"/>
        <w:ind w:left="0" w:firstLine="709"/>
        <w:jc w:val="both"/>
        <w:textAlignment w:val="baseline"/>
        <w:rPr>
          <w:rFonts w:ascii="Tahoma" w:eastAsia="Times New Roman" w:hAnsi="Tahoma" w:cs="Tahoma"/>
          <w:smallCaps/>
          <w:color w:val="1F4E79" w:themeColor="accent1" w:themeShade="80"/>
          <w:sz w:val="28"/>
          <w:szCs w:val="28"/>
          <w:bdr w:val="none" w:sz="0" w:space="0" w:color="auto" w:frame="1"/>
          <w:lang w:eastAsia="it-IT"/>
        </w:rPr>
      </w:pPr>
      <w:r w:rsidRPr="00B208E4">
        <w:rPr>
          <w:rFonts w:ascii="Tahoma" w:eastAsia="Times New Roman" w:hAnsi="Tahoma" w:cs="Tahoma"/>
          <w:smallCaps/>
          <w:color w:val="1F4E79" w:themeColor="accent1" w:themeShade="80"/>
          <w:sz w:val="28"/>
          <w:szCs w:val="28"/>
          <w:bdr w:val="none" w:sz="0" w:space="0" w:color="auto" w:frame="1"/>
          <w:lang w:eastAsia="it-IT"/>
        </w:rPr>
        <w:t xml:space="preserve">Il problema della riparazione </w:t>
      </w:r>
      <w:r w:rsidRPr="00545750">
        <w:rPr>
          <w:rFonts w:ascii="Tahoma" w:eastAsia="Times New Roman" w:hAnsi="Tahoma" w:cs="Tahoma"/>
          <w:i/>
          <w:smallCaps/>
          <w:color w:val="1F4E79" w:themeColor="accent1" w:themeShade="80"/>
          <w:sz w:val="28"/>
          <w:szCs w:val="28"/>
          <w:bdr w:val="none" w:sz="0" w:space="0" w:color="auto" w:frame="1"/>
          <w:lang w:eastAsia="it-IT"/>
        </w:rPr>
        <w:t>in forma specifica</w:t>
      </w:r>
      <w:r w:rsidRPr="00B208E4">
        <w:rPr>
          <w:rFonts w:ascii="Tahoma" w:eastAsia="Times New Roman" w:hAnsi="Tahoma" w:cs="Tahoma"/>
          <w:smallCaps/>
          <w:color w:val="1F4E79" w:themeColor="accent1" w:themeShade="80"/>
          <w:sz w:val="28"/>
          <w:szCs w:val="28"/>
          <w:bdr w:val="none" w:sz="0" w:space="0" w:color="auto" w:frame="1"/>
          <w:lang w:eastAsia="it-IT"/>
        </w:rPr>
        <w:t xml:space="preserve"> delle accertate violazioni giurisdizionali del diritto UE: i limiti del sistema delineato dalla legge 117/1988 e la revocazione.</w:t>
      </w:r>
      <w:r w:rsidR="00E94D9B">
        <w:rPr>
          <w:rFonts w:ascii="Tahoma" w:eastAsia="Times New Roman" w:hAnsi="Tahoma" w:cs="Tahoma"/>
          <w:smallCaps/>
          <w:color w:val="1F4E79" w:themeColor="accent1" w:themeShade="80"/>
          <w:sz w:val="28"/>
          <w:szCs w:val="28"/>
          <w:bdr w:val="none" w:sz="0" w:space="0" w:color="auto" w:frame="1"/>
          <w:lang w:eastAsia="it-IT"/>
        </w:rPr>
        <w:t xml:space="preserve"> </w:t>
      </w:r>
      <w:r w:rsidR="005F5CF2" w:rsidRPr="00E94D9B">
        <w:rPr>
          <w:rFonts w:ascii="Tahoma" w:eastAsia="Times New Roman" w:hAnsi="Tahoma" w:cs="Tahoma"/>
          <w:smallCaps/>
          <w:color w:val="1F4E79" w:themeColor="accent1" w:themeShade="80"/>
          <w:sz w:val="28"/>
          <w:szCs w:val="28"/>
          <w:bdr w:val="none" w:sz="0" w:space="0" w:color="auto" w:frame="1"/>
          <w:lang w:eastAsia="it-IT"/>
        </w:rPr>
        <w:t>Le possibili correzioni, a normazione vigente e nell’ottica di una ipotetica riforma.</w:t>
      </w:r>
    </w:p>
    <w:p w:rsidR="00880001" w:rsidRPr="00B208E4" w:rsidRDefault="000E6CA4"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Ferma restando l’assenza di una illegittimità comunitaria della legislazione italian</w:t>
      </w:r>
      <w:r w:rsidR="005C15FE" w:rsidRPr="00B208E4">
        <w:rPr>
          <w:rFonts w:ascii="Calibri" w:eastAsia="Times New Roman" w:hAnsi="Calibri" w:cs="Segoe UI"/>
          <w:color w:val="1F4E79" w:themeColor="accent1" w:themeShade="80"/>
          <w:sz w:val="28"/>
          <w:szCs w:val="28"/>
          <w:lang w:eastAsia="it-IT"/>
        </w:rPr>
        <w:t>a</w:t>
      </w:r>
      <w:r w:rsidR="00880001" w:rsidRPr="00B208E4">
        <w:rPr>
          <w:rFonts w:ascii="Calibri" w:eastAsia="Times New Roman" w:hAnsi="Calibri" w:cs="Segoe UI"/>
          <w:color w:val="1F4E79" w:themeColor="accent1" w:themeShade="80"/>
          <w:sz w:val="28"/>
          <w:szCs w:val="28"/>
          <w:lang w:eastAsia="it-IT"/>
        </w:rPr>
        <w:t xml:space="preserve">, va riconosciuto che la Cassazione ha individuato un problema reale, </w:t>
      </w:r>
      <w:r w:rsidR="005C15FE" w:rsidRPr="00B208E4">
        <w:rPr>
          <w:rFonts w:ascii="Calibri" w:eastAsia="Times New Roman" w:hAnsi="Calibri" w:cs="Segoe UI"/>
          <w:color w:val="1F4E79" w:themeColor="accent1" w:themeShade="80"/>
          <w:sz w:val="28"/>
          <w:szCs w:val="28"/>
          <w:lang w:eastAsia="it-IT"/>
        </w:rPr>
        <w:t>tutto di diritto interno</w:t>
      </w:r>
      <w:r w:rsidR="00F616D2">
        <w:rPr>
          <w:rFonts w:ascii="Calibri" w:eastAsia="Times New Roman" w:hAnsi="Calibri" w:cs="Segoe UI"/>
          <w:color w:val="1F4E79" w:themeColor="accent1" w:themeShade="80"/>
          <w:sz w:val="28"/>
          <w:szCs w:val="28"/>
          <w:lang w:eastAsia="it-IT"/>
        </w:rPr>
        <w:t xml:space="preserve"> e di opportunità</w:t>
      </w:r>
      <w:r w:rsidR="005C15FE" w:rsidRPr="00B208E4">
        <w:rPr>
          <w:rFonts w:ascii="Calibri" w:eastAsia="Times New Roman" w:hAnsi="Calibri" w:cs="Segoe UI"/>
          <w:color w:val="1F4E79" w:themeColor="accent1" w:themeShade="80"/>
          <w:sz w:val="28"/>
          <w:szCs w:val="28"/>
          <w:lang w:eastAsia="it-IT"/>
        </w:rPr>
        <w:t>, l</w:t>
      </w:r>
      <w:r w:rsidR="00880001" w:rsidRPr="00B208E4">
        <w:rPr>
          <w:rFonts w:ascii="Calibri" w:eastAsia="Times New Roman" w:hAnsi="Calibri" w:cs="Segoe UI"/>
          <w:color w:val="1F4E79" w:themeColor="accent1" w:themeShade="80"/>
          <w:sz w:val="28"/>
          <w:szCs w:val="28"/>
          <w:lang w:eastAsia="it-IT"/>
        </w:rPr>
        <w:t xml:space="preserve">a cui soluzione, però andrebbe ricercata in una direzione </w:t>
      </w:r>
      <w:r w:rsidR="00545750">
        <w:rPr>
          <w:rFonts w:ascii="Calibri" w:eastAsia="Times New Roman" w:hAnsi="Calibri" w:cs="Segoe UI"/>
          <w:color w:val="1F4E79" w:themeColor="accent1" w:themeShade="80"/>
          <w:sz w:val="28"/>
          <w:szCs w:val="28"/>
          <w:lang w:eastAsia="it-IT"/>
        </w:rPr>
        <w:t xml:space="preserve">completamente </w:t>
      </w:r>
      <w:r w:rsidR="00880001" w:rsidRPr="00B208E4">
        <w:rPr>
          <w:rFonts w:ascii="Calibri" w:eastAsia="Times New Roman" w:hAnsi="Calibri" w:cs="Segoe UI"/>
          <w:color w:val="1F4E79" w:themeColor="accent1" w:themeShade="80"/>
          <w:sz w:val="28"/>
          <w:szCs w:val="28"/>
          <w:lang w:eastAsia="it-IT"/>
        </w:rPr>
        <w:t>diversa da quella ipotizzata dall’</w:t>
      </w:r>
      <w:r w:rsidR="00545750">
        <w:rPr>
          <w:rFonts w:ascii="Calibri" w:eastAsia="Times New Roman" w:hAnsi="Calibri" w:cs="Segoe UI"/>
          <w:color w:val="1F4E79" w:themeColor="accent1" w:themeShade="80"/>
          <w:sz w:val="28"/>
          <w:szCs w:val="28"/>
          <w:lang w:eastAsia="it-IT"/>
        </w:rPr>
        <w:t xml:space="preserve">ordinanza. Si tratta di evidenziare </w:t>
      </w:r>
      <w:r w:rsidR="00E85917" w:rsidRPr="00B208E4">
        <w:rPr>
          <w:rFonts w:ascii="Calibri" w:eastAsia="Times New Roman" w:hAnsi="Calibri" w:cs="Segoe UI"/>
          <w:color w:val="1F4E79" w:themeColor="accent1" w:themeShade="80"/>
          <w:sz w:val="28"/>
          <w:szCs w:val="28"/>
          <w:lang w:eastAsia="it-IT"/>
        </w:rPr>
        <w:t xml:space="preserve">le </w:t>
      </w:r>
      <w:r w:rsidR="0085645E" w:rsidRPr="00B208E4">
        <w:rPr>
          <w:rFonts w:ascii="Calibri" w:eastAsia="Times New Roman" w:hAnsi="Calibri" w:cs="Segoe UI"/>
          <w:color w:val="1F4E79" w:themeColor="accent1" w:themeShade="80"/>
          <w:sz w:val="28"/>
          <w:szCs w:val="28"/>
          <w:lang w:eastAsia="it-IT"/>
        </w:rPr>
        <w:t xml:space="preserve">palesi </w:t>
      </w:r>
      <w:r w:rsidR="00E85917" w:rsidRPr="00B208E4">
        <w:rPr>
          <w:rFonts w:ascii="Calibri" w:eastAsia="Times New Roman" w:hAnsi="Calibri" w:cs="Segoe UI"/>
          <w:color w:val="1F4E79" w:themeColor="accent1" w:themeShade="80"/>
          <w:sz w:val="28"/>
          <w:szCs w:val="28"/>
          <w:lang w:eastAsia="it-IT"/>
        </w:rPr>
        <w:t xml:space="preserve">incongruenze dell’impianto </w:t>
      </w:r>
      <w:r w:rsidR="005C15FE" w:rsidRPr="00B208E4">
        <w:rPr>
          <w:rFonts w:ascii="Calibri" w:eastAsia="Times New Roman" w:hAnsi="Calibri" w:cs="Segoe UI"/>
          <w:color w:val="1F4E79" w:themeColor="accent1" w:themeShade="80"/>
          <w:sz w:val="28"/>
          <w:szCs w:val="28"/>
          <w:lang w:eastAsia="it-IT"/>
        </w:rPr>
        <w:t xml:space="preserve">attuale </w:t>
      </w:r>
      <w:r w:rsidR="00E85917" w:rsidRPr="00B208E4">
        <w:rPr>
          <w:rFonts w:ascii="Calibri" w:eastAsia="Times New Roman" w:hAnsi="Calibri" w:cs="Segoe UI"/>
          <w:color w:val="1F4E79" w:themeColor="accent1" w:themeShade="80"/>
          <w:sz w:val="28"/>
          <w:szCs w:val="28"/>
          <w:lang w:eastAsia="it-IT"/>
        </w:rPr>
        <w:t xml:space="preserve">della legge </w:t>
      </w:r>
      <w:r w:rsidR="00F616D2">
        <w:rPr>
          <w:rFonts w:ascii="Calibri" w:eastAsia="Times New Roman" w:hAnsi="Calibri" w:cs="Segoe UI"/>
          <w:color w:val="1F4E79" w:themeColor="accent1" w:themeShade="80"/>
          <w:sz w:val="28"/>
          <w:szCs w:val="28"/>
          <w:lang w:eastAsia="it-IT"/>
        </w:rPr>
        <w:t xml:space="preserve">n. </w:t>
      </w:r>
      <w:r w:rsidR="00E85917" w:rsidRPr="00B208E4">
        <w:rPr>
          <w:rFonts w:ascii="Calibri" w:eastAsia="Times New Roman" w:hAnsi="Calibri" w:cs="Segoe UI"/>
          <w:color w:val="1F4E79" w:themeColor="accent1" w:themeShade="80"/>
          <w:sz w:val="28"/>
          <w:szCs w:val="28"/>
          <w:lang w:eastAsia="it-IT"/>
        </w:rPr>
        <w:t>117</w:t>
      </w:r>
      <w:r w:rsidR="00F616D2">
        <w:rPr>
          <w:rFonts w:ascii="Calibri" w:eastAsia="Times New Roman" w:hAnsi="Calibri" w:cs="Segoe UI"/>
          <w:color w:val="1F4E79" w:themeColor="accent1" w:themeShade="80"/>
          <w:sz w:val="28"/>
          <w:szCs w:val="28"/>
          <w:lang w:eastAsia="it-IT"/>
        </w:rPr>
        <w:t>/1988</w:t>
      </w:r>
      <w:r w:rsidR="005C15FE" w:rsidRPr="00B208E4">
        <w:rPr>
          <w:rFonts w:ascii="Calibri" w:eastAsia="Times New Roman" w:hAnsi="Calibri" w:cs="Segoe UI"/>
          <w:color w:val="1F4E79" w:themeColor="accent1" w:themeShade="80"/>
          <w:sz w:val="28"/>
          <w:szCs w:val="28"/>
          <w:lang w:eastAsia="it-IT"/>
        </w:rPr>
        <w:t>, ulteriormente aggravate dall’affrettato intervento modificativo del 2014</w:t>
      </w:r>
      <w:r w:rsidR="00E85917" w:rsidRPr="00B208E4">
        <w:rPr>
          <w:rFonts w:ascii="Calibri" w:eastAsia="Times New Roman" w:hAnsi="Calibri" w:cs="Segoe UI"/>
          <w:color w:val="1F4E79" w:themeColor="accent1" w:themeShade="80"/>
          <w:sz w:val="28"/>
          <w:szCs w:val="28"/>
          <w:lang w:eastAsia="it-IT"/>
        </w:rPr>
        <w:t>.</w:t>
      </w:r>
    </w:p>
    <w:p w:rsidR="00F26F89" w:rsidRPr="00B208E4" w:rsidRDefault="00F26F89"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A fronte di un</w:t>
      </w:r>
      <w:r w:rsidR="00F616D2">
        <w:rPr>
          <w:rFonts w:ascii="Calibri" w:eastAsia="Times New Roman" w:hAnsi="Calibri" w:cs="Segoe UI"/>
          <w:color w:val="1F4E79" w:themeColor="accent1" w:themeShade="80"/>
          <w:sz w:val="28"/>
          <w:szCs w:val="28"/>
          <w:lang w:eastAsia="it-IT"/>
        </w:rPr>
        <w:t>a violazione del diritto europeo</w:t>
      </w:r>
      <w:r w:rsidRPr="00B208E4">
        <w:rPr>
          <w:rFonts w:ascii="Calibri" w:eastAsia="Times New Roman" w:hAnsi="Calibri" w:cs="Segoe UI"/>
          <w:color w:val="1F4E79" w:themeColor="accent1" w:themeShade="80"/>
          <w:sz w:val="28"/>
          <w:szCs w:val="28"/>
          <w:lang w:eastAsia="it-IT"/>
        </w:rPr>
        <w:t xml:space="preserve"> commessa dal giudice amministrativo, il diritto al risarcimento del danno </w:t>
      </w:r>
      <w:r w:rsidR="00545750">
        <w:rPr>
          <w:rFonts w:ascii="Calibri" w:eastAsia="Times New Roman" w:hAnsi="Calibri" w:cs="Segoe UI"/>
          <w:color w:val="1F4E79" w:themeColor="accent1" w:themeShade="80"/>
          <w:sz w:val="28"/>
          <w:szCs w:val="28"/>
          <w:lang w:eastAsia="it-IT"/>
        </w:rPr>
        <w:t xml:space="preserve">può </w:t>
      </w:r>
      <w:r w:rsidR="00375675" w:rsidRPr="00B208E4">
        <w:rPr>
          <w:rFonts w:ascii="Calibri" w:eastAsia="Times New Roman" w:hAnsi="Calibri" w:cs="Segoe UI"/>
          <w:color w:val="1F4E79" w:themeColor="accent1" w:themeShade="80"/>
          <w:sz w:val="28"/>
          <w:szCs w:val="28"/>
          <w:lang w:eastAsia="it-IT"/>
        </w:rPr>
        <w:t>esercitato attraverso un percorso lungo</w:t>
      </w:r>
      <w:r w:rsidR="00F616D2">
        <w:rPr>
          <w:rFonts w:ascii="Calibri" w:eastAsia="Times New Roman" w:hAnsi="Calibri" w:cs="Segoe UI"/>
          <w:color w:val="1F4E79" w:themeColor="accent1" w:themeShade="80"/>
          <w:sz w:val="28"/>
          <w:szCs w:val="28"/>
          <w:lang w:eastAsia="it-IT"/>
        </w:rPr>
        <w:t xml:space="preserve"> e accidentato</w:t>
      </w:r>
      <w:r w:rsidR="00375675" w:rsidRPr="00B208E4">
        <w:rPr>
          <w:rFonts w:ascii="Calibri" w:eastAsia="Times New Roman" w:hAnsi="Calibri" w:cs="Segoe UI"/>
          <w:color w:val="1F4E79" w:themeColor="accent1" w:themeShade="80"/>
          <w:sz w:val="28"/>
          <w:szCs w:val="28"/>
          <w:lang w:eastAsia="it-IT"/>
        </w:rPr>
        <w:t xml:space="preserve">, affidato alla cognizione di un </w:t>
      </w:r>
      <w:r w:rsidR="00F616D2">
        <w:rPr>
          <w:rFonts w:ascii="Calibri" w:eastAsia="Times New Roman" w:hAnsi="Calibri" w:cs="Segoe UI"/>
          <w:color w:val="1F4E79" w:themeColor="accent1" w:themeShade="80"/>
          <w:sz w:val="28"/>
          <w:szCs w:val="28"/>
          <w:lang w:eastAsia="it-IT"/>
        </w:rPr>
        <w:t xml:space="preserve">organo </w:t>
      </w:r>
      <w:r w:rsidR="00375675" w:rsidRPr="00B208E4">
        <w:rPr>
          <w:rFonts w:ascii="Calibri" w:eastAsia="Times New Roman" w:hAnsi="Calibri" w:cs="Segoe UI"/>
          <w:color w:val="1F4E79" w:themeColor="accent1" w:themeShade="80"/>
          <w:sz w:val="28"/>
          <w:szCs w:val="28"/>
          <w:lang w:eastAsia="it-IT"/>
        </w:rPr>
        <w:t xml:space="preserve">che </w:t>
      </w:r>
      <w:r w:rsidR="00F616D2">
        <w:rPr>
          <w:rFonts w:ascii="Calibri" w:eastAsia="Times New Roman" w:hAnsi="Calibri" w:cs="Segoe UI"/>
          <w:color w:val="1F4E79" w:themeColor="accent1" w:themeShade="80"/>
          <w:sz w:val="28"/>
          <w:szCs w:val="28"/>
          <w:lang w:eastAsia="it-IT"/>
        </w:rPr>
        <w:t xml:space="preserve">non </w:t>
      </w:r>
      <w:r w:rsidR="00375675" w:rsidRPr="00B208E4">
        <w:rPr>
          <w:rFonts w:ascii="Calibri" w:eastAsia="Times New Roman" w:hAnsi="Calibri" w:cs="Segoe UI"/>
          <w:color w:val="1F4E79" w:themeColor="accent1" w:themeShade="80"/>
          <w:sz w:val="28"/>
          <w:szCs w:val="28"/>
          <w:lang w:eastAsia="it-IT"/>
        </w:rPr>
        <w:t>sembra possedere la fisionomia del giudice naturale della controversia.</w:t>
      </w:r>
    </w:p>
    <w:p w:rsidR="00C614D0" w:rsidRPr="00B208E4" w:rsidRDefault="00C614D0"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La complessità del tema è evidente e</w:t>
      </w:r>
      <w:r w:rsidR="00F616D2">
        <w:rPr>
          <w:rFonts w:ascii="Calibri" w:eastAsia="Times New Roman" w:hAnsi="Calibri" w:cs="Segoe UI"/>
          <w:color w:val="1F4E79" w:themeColor="accent1" w:themeShade="80"/>
          <w:sz w:val="28"/>
          <w:szCs w:val="28"/>
          <w:lang w:eastAsia="it-IT"/>
        </w:rPr>
        <w:t>, al riguardo,</w:t>
      </w:r>
      <w:r w:rsidRPr="00B208E4">
        <w:rPr>
          <w:rFonts w:ascii="Calibri" w:eastAsia="Times New Roman" w:hAnsi="Calibri" w:cs="Segoe UI"/>
          <w:color w:val="1F4E79" w:themeColor="accent1" w:themeShade="80"/>
          <w:sz w:val="28"/>
          <w:szCs w:val="28"/>
          <w:lang w:eastAsia="it-IT"/>
        </w:rPr>
        <w:t xml:space="preserve"> la discussione è aperta.</w:t>
      </w:r>
    </w:p>
    <w:p w:rsidR="00C614D0" w:rsidRPr="00B208E4" w:rsidRDefault="00C614D0"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M</w:t>
      </w:r>
      <w:r w:rsidR="00F616D2">
        <w:rPr>
          <w:rFonts w:ascii="Calibri" w:eastAsia="Times New Roman" w:hAnsi="Calibri" w:cs="Segoe UI"/>
          <w:color w:val="1F4E79" w:themeColor="accent1" w:themeShade="80"/>
          <w:sz w:val="28"/>
          <w:szCs w:val="28"/>
          <w:lang w:eastAsia="it-IT"/>
        </w:rPr>
        <w:t>a è certo singolare che, dopo l</w:t>
      </w:r>
      <w:r w:rsidRPr="00B208E4">
        <w:rPr>
          <w:rFonts w:ascii="Calibri" w:eastAsia="Times New Roman" w:hAnsi="Calibri" w:cs="Segoe UI"/>
          <w:color w:val="1F4E79" w:themeColor="accent1" w:themeShade="80"/>
          <w:sz w:val="28"/>
          <w:szCs w:val="28"/>
          <w:lang w:eastAsia="it-IT"/>
        </w:rPr>
        <w:t>a pronuncia del Consiglio di Stato</w:t>
      </w:r>
      <w:r w:rsidR="00F616D2">
        <w:rPr>
          <w:rFonts w:ascii="Calibri" w:eastAsia="Times New Roman" w:hAnsi="Calibri" w:cs="Segoe UI"/>
          <w:color w:val="1F4E79" w:themeColor="accent1" w:themeShade="80"/>
          <w:sz w:val="28"/>
          <w:szCs w:val="28"/>
          <w:lang w:eastAsia="it-IT"/>
        </w:rPr>
        <w:t xml:space="preserve"> che definisce il giudizio</w:t>
      </w:r>
      <w:r w:rsidRPr="00B208E4">
        <w:rPr>
          <w:rFonts w:ascii="Calibri" w:eastAsia="Times New Roman" w:hAnsi="Calibri" w:cs="Segoe UI"/>
          <w:color w:val="1F4E79" w:themeColor="accent1" w:themeShade="80"/>
          <w:sz w:val="28"/>
          <w:szCs w:val="28"/>
          <w:lang w:eastAsia="it-IT"/>
        </w:rPr>
        <w:t>, si</w:t>
      </w:r>
      <w:r w:rsidR="00F616D2">
        <w:rPr>
          <w:rFonts w:ascii="Calibri" w:eastAsia="Times New Roman" w:hAnsi="Calibri" w:cs="Segoe UI"/>
          <w:color w:val="1F4E79" w:themeColor="accent1" w:themeShade="80"/>
          <w:sz w:val="28"/>
          <w:szCs w:val="28"/>
          <w:lang w:eastAsia="it-IT"/>
        </w:rPr>
        <w:t xml:space="preserve"> possa</w:t>
      </w:r>
      <w:r w:rsidRPr="00B208E4">
        <w:rPr>
          <w:rFonts w:ascii="Calibri" w:eastAsia="Times New Roman" w:hAnsi="Calibri" w:cs="Segoe UI"/>
          <w:color w:val="1F4E79" w:themeColor="accent1" w:themeShade="80"/>
          <w:sz w:val="28"/>
          <w:szCs w:val="28"/>
          <w:lang w:eastAsia="it-IT"/>
        </w:rPr>
        <w:t xml:space="preserve"> riapr</w:t>
      </w:r>
      <w:r w:rsidR="00F616D2">
        <w:rPr>
          <w:rFonts w:ascii="Calibri" w:eastAsia="Times New Roman" w:hAnsi="Calibri" w:cs="Segoe UI"/>
          <w:color w:val="1F4E79" w:themeColor="accent1" w:themeShade="80"/>
          <w:sz w:val="28"/>
          <w:szCs w:val="28"/>
          <w:lang w:eastAsia="it-IT"/>
        </w:rPr>
        <w:t>ire</w:t>
      </w:r>
      <w:r w:rsidRPr="00B208E4">
        <w:rPr>
          <w:rFonts w:ascii="Calibri" w:eastAsia="Times New Roman" w:hAnsi="Calibri" w:cs="Segoe UI"/>
          <w:color w:val="1F4E79" w:themeColor="accent1" w:themeShade="80"/>
          <w:sz w:val="28"/>
          <w:szCs w:val="28"/>
          <w:lang w:eastAsia="it-IT"/>
        </w:rPr>
        <w:t xml:space="preserve"> lo stesso contenzioso, </w:t>
      </w:r>
      <w:r w:rsidR="00F616D2">
        <w:rPr>
          <w:rFonts w:ascii="Calibri" w:eastAsia="Times New Roman" w:hAnsi="Calibri" w:cs="Segoe UI"/>
          <w:color w:val="1F4E79" w:themeColor="accent1" w:themeShade="80"/>
          <w:sz w:val="28"/>
          <w:szCs w:val="28"/>
          <w:lang w:eastAsia="it-IT"/>
        </w:rPr>
        <w:t xml:space="preserve">ma </w:t>
      </w:r>
      <w:r w:rsidRPr="00B208E4">
        <w:rPr>
          <w:rFonts w:ascii="Calibri" w:eastAsia="Times New Roman" w:hAnsi="Calibri" w:cs="Segoe UI"/>
          <w:color w:val="1F4E79" w:themeColor="accent1" w:themeShade="80"/>
          <w:sz w:val="28"/>
          <w:szCs w:val="28"/>
          <w:lang w:eastAsia="it-IT"/>
        </w:rPr>
        <w:t xml:space="preserve">davanti ad un </w:t>
      </w:r>
      <w:r w:rsidR="00F616D2">
        <w:rPr>
          <w:rFonts w:ascii="Calibri" w:eastAsia="Times New Roman" w:hAnsi="Calibri" w:cs="Segoe UI"/>
          <w:color w:val="1F4E79" w:themeColor="accent1" w:themeShade="80"/>
          <w:sz w:val="28"/>
          <w:szCs w:val="28"/>
          <w:lang w:eastAsia="it-IT"/>
        </w:rPr>
        <w:t xml:space="preserve">altro plesso </w:t>
      </w:r>
      <w:r w:rsidRPr="00B208E4">
        <w:rPr>
          <w:rFonts w:ascii="Calibri" w:eastAsia="Times New Roman" w:hAnsi="Calibri" w:cs="Segoe UI"/>
          <w:color w:val="1F4E79" w:themeColor="accent1" w:themeShade="80"/>
          <w:sz w:val="28"/>
          <w:szCs w:val="28"/>
          <w:lang w:eastAsia="it-IT"/>
        </w:rPr>
        <w:t>giu</w:t>
      </w:r>
      <w:r w:rsidR="00F616D2">
        <w:rPr>
          <w:rFonts w:ascii="Calibri" w:eastAsia="Times New Roman" w:hAnsi="Calibri" w:cs="Segoe UI"/>
          <w:color w:val="1F4E79" w:themeColor="accent1" w:themeShade="80"/>
          <w:sz w:val="28"/>
          <w:szCs w:val="28"/>
          <w:lang w:eastAsia="it-IT"/>
        </w:rPr>
        <w:t>risdizionale</w:t>
      </w:r>
      <w:r w:rsidRPr="00B208E4">
        <w:rPr>
          <w:rFonts w:ascii="Calibri" w:eastAsia="Times New Roman" w:hAnsi="Calibri" w:cs="Segoe UI"/>
          <w:color w:val="1F4E79" w:themeColor="accent1" w:themeShade="80"/>
          <w:sz w:val="28"/>
          <w:szCs w:val="28"/>
          <w:lang w:eastAsia="it-IT"/>
        </w:rPr>
        <w:t>.</w:t>
      </w:r>
    </w:p>
    <w:p w:rsidR="00C614D0" w:rsidRPr="00B208E4" w:rsidRDefault="00C614D0"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Al di là del contenuto formale dell’azione</w:t>
      </w:r>
      <w:r w:rsidR="00F616D2">
        <w:rPr>
          <w:rFonts w:ascii="Calibri" w:eastAsia="Times New Roman" w:hAnsi="Calibri" w:cs="Segoe UI"/>
          <w:color w:val="1F4E79" w:themeColor="accent1" w:themeShade="80"/>
          <w:sz w:val="28"/>
          <w:szCs w:val="28"/>
          <w:lang w:eastAsia="it-IT"/>
        </w:rPr>
        <w:t xml:space="preserve"> risarcitoria</w:t>
      </w:r>
      <w:r w:rsidRPr="00B208E4">
        <w:rPr>
          <w:rFonts w:ascii="Calibri" w:eastAsia="Times New Roman" w:hAnsi="Calibri" w:cs="Segoe UI"/>
          <w:color w:val="1F4E79" w:themeColor="accent1" w:themeShade="80"/>
          <w:sz w:val="28"/>
          <w:szCs w:val="28"/>
          <w:lang w:eastAsia="it-IT"/>
        </w:rPr>
        <w:t>, è ind</w:t>
      </w:r>
      <w:r w:rsidR="00F616D2">
        <w:rPr>
          <w:rFonts w:ascii="Calibri" w:eastAsia="Times New Roman" w:hAnsi="Calibri" w:cs="Segoe UI"/>
          <w:color w:val="1F4E79" w:themeColor="accent1" w:themeShade="80"/>
          <w:sz w:val="28"/>
          <w:szCs w:val="28"/>
          <w:lang w:eastAsia="it-IT"/>
        </w:rPr>
        <w:t xml:space="preserve">iscutibile che il nocciolo della domanda </w:t>
      </w:r>
      <w:r w:rsidR="00545750">
        <w:rPr>
          <w:rFonts w:ascii="Calibri" w:eastAsia="Times New Roman" w:hAnsi="Calibri" w:cs="Segoe UI"/>
          <w:color w:val="1F4E79" w:themeColor="accent1" w:themeShade="80"/>
          <w:sz w:val="28"/>
          <w:szCs w:val="28"/>
          <w:lang w:eastAsia="it-IT"/>
        </w:rPr>
        <w:t xml:space="preserve">con cui si prospetta l’errata applicazione del diritto UE, </w:t>
      </w:r>
      <w:r w:rsidR="00F616D2">
        <w:rPr>
          <w:rFonts w:ascii="Calibri" w:eastAsia="Times New Roman" w:hAnsi="Calibri" w:cs="Segoe UI"/>
          <w:color w:val="1F4E79" w:themeColor="accent1" w:themeShade="80"/>
          <w:sz w:val="28"/>
          <w:szCs w:val="28"/>
          <w:lang w:eastAsia="it-IT"/>
        </w:rPr>
        <w:t>concerne, né più, né meno,</w:t>
      </w:r>
      <w:r w:rsidRPr="00B208E4">
        <w:rPr>
          <w:rFonts w:ascii="Calibri" w:eastAsia="Times New Roman" w:hAnsi="Calibri" w:cs="Segoe UI"/>
          <w:color w:val="1F4E79" w:themeColor="accent1" w:themeShade="80"/>
          <w:sz w:val="28"/>
          <w:szCs w:val="28"/>
          <w:lang w:eastAsia="it-IT"/>
        </w:rPr>
        <w:t xml:space="preserve"> la revisione, nel merito, della decisione del giudice amministrativo</w:t>
      </w:r>
      <w:r w:rsidR="00F616D2">
        <w:rPr>
          <w:rFonts w:ascii="Calibri" w:eastAsia="Times New Roman" w:hAnsi="Calibri" w:cs="Segoe UI"/>
          <w:color w:val="1F4E79" w:themeColor="accent1" w:themeShade="80"/>
          <w:sz w:val="28"/>
          <w:szCs w:val="28"/>
          <w:lang w:eastAsia="it-IT"/>
        </w:rPr>
        <w:t>, il cui esito è considerato violativo del diritto UE</w:t>
      </w:r>
      <w:r w:rsidR="00D66F4B" w:rsidRPr="00B208E4">
        <w:rPr>
          <w:rFonts w:ascii="Calibri" w:eastAsia="Times New Roman" w:hAnsi="Calibri" w:cs="Segoe UI"/>
          <w:color w:val="1F4E79" w:themeColor="accent1" w:themeShade="80"/>
          <w:sz w:val="28"/>
          <w:szCs w:val="28"/>
          <w:lang w:eastAsia="it-IT"/>
        </w:rPr>
        <w:t>.</w:t>
      </w:r>
    </w:p>
    <w:p w:rsidR="00D66F4B" w:rsidRPr="00B208E4" w:rsidRDefault="00545750"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Per </w:t>
      </w:r>
      <w:r w:rsidR="00D66F4B" w:rsidRPr="00B208E4">
        <w:rPr>
          <w:rFonts w:ascii="Calibri" w:eastAsia="Times New Roman" w:hAnsi="Calibri" w:cs="Segoe UI"/>
          <w:color w:val="1F4E79" w:themeColor="accent1" w:themeShade="80"/>
          <w:sz w:val="28"/>
          <w:szCs w:val="28"/>
          <w:lang w:eastAsia="it-IT"/>
        </w:rPr>
        <w:t xml:space="preserve">quale ragione tale compito </w:t>
      </w:r>
      <w:r w:rsidR="00F616D2">
        <w:rPr>
          <w:rFonts w:ascii="Calibri" w:eastAsia="Times New Roman" w:hAnsi="Calibri" w:cs="Segoe UI"/>
          <w:color w:val="1F4E79" w:themeColor="accent1" w:themeShade="80"/>
          <w:sz w:val="28"/>
          <w:szCs w:val="28"/>
          <w:lang w:eastAsia="it-IT"/>
        </w:rPr>
        <w:t xml:space="preserve">di revisione sostanziale della decisione </w:t>
      </w:r>
      <w:r>
        <w:rPr>
          <w:rFonts w:ascii="Calibri" w:eastAsia="Times New Roman" w:hAnsi="Calibri" w:cs="Segoe UI"/>
          <w:color w:val="1F4E79" w:themeColor="accent1" w:themeShade="80"/>
          <w:sz w:val="28"/>
          <w:szCs w:val="28"/>
          <w:lang w:eastAsia="it-IT"/>
        </w:rPr>
        <w:t xml:space="preserve">amministrativa, sia pure ai soli fini risarcitori, </w:t>
      </w:r>
      <w:r w:rsidR="00D66F4B" w:rsidRPr="00B208E4">
        <w:rPr>
          <w:rFonts w:ascii="Calibri" w:eastAsia="Times New Roman" w:hAnsi="Calibri" w:cs="Segoe UI"/>
          <w:color w:val="1F4E79" w:themeColor="accent1" w:themeShade="80"/>
          <w:sz w:val="28"/>
          <w:szCs w:val="28"/>
          <w:lang w:eastAsia="it-IT"/>
        </w:rPr>
        <w:t>spetta al giudice ordinario?</w:t>
      </w:r>
    </w:p>
    <w:p w:rsidR="00D66F4B" w:rsidRPr="00B208E4" w:rsidRDefault="00D66F4B"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Si potrebbe affermare che l’oggetto “reale”</w:t>
      </w:r>
      <w:r w:rsidR="002541F7" w:rsidRPr="00B208E4">
        <w:rPr>
          <w:rFonts w:ascii="Calibri" w:eastAsia="Times New Roman" w:hAnsi="Calibri" w:cs="Segoe UI"/>
          <w:color w:val="1F4E79" w:themeColor="accent1" w:themeShade="80"/>
          <w:sz w:val="28"/>
          <w:szCs w:val="28"/>
          <w:lang w:eastAsia="it-IT"/>
        </w:rPr>
        <w:t xml:space="preserve"> sia la contestazione della funzione giurisdizionale in sé considerata, a fronte della quale si pongono solo “diritti”, con la conseguente giurisdizione ordinaria</w:t>
      </w:r>
      <w:r w:rsidR="00F616D2">
        <w:rPr>
          <w:rFonts w:ascii="Calibri" w:eastAsia="Times New Roman" w:hAnsi="Calibri" w:cs="Segoe UI"/>
          <w:color w:val="1F4E79" w:themeColor="accent1" w:themeShade="80"/>
          <w:sz w:val="28"/>
          <w:szCs w:val="28"/>
          <w:lang w:eastAsia="it-IT"/>
        </w:rPr>
        <w:t xml:space="preserve"> “fisiologica”</w:t>
      </w:r>
      <w:r w:rsidR="002541F7" w:rsidRPr="00B208E4">
        <w:rPr>
          <w:rFonts w:ascii="Calibri" w:eastAsia="Times New Roman" w:hAnsi="Calibri" w:cs="Segoe UI"/>
          <w:color w:val="1F4E79" w:themeColor="accent1" w:themeShade="80"/>
          <w:sz w:val="28"/>
          <w:szCs w:val="28"/>
          <w:lang w:eastAsia="it-IT"/>
        </w:rPr>
        <w:t>.</w:t>
      </w:r>
    </w:p>
    <w:p w:rsidR="002541F7" w:rsidRPr="00B208E4" w:rsidRDefault="002541F7"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Ma</w:t>
      </w:r>
      <w:r w:rsidR="00133903" w:rsidRPr="00B208E4">
        <w:rPr>
          <w:rFonts w:ascii="Calibri" w:eastAsia="Times New Roman" w:hAnsi="Calibri" w:cs="Segoe UI"/>
          <w:color w:val="1F4E79" w:themeColor="accent1" w:themeShade="80"/>
          <w:sz w:val="28"/>
          <w:szCs w:val="28"/>
          <w:lang w:eastAsia="it-IT"/>
        </w:rPr>
        <w:t xml:space="preserve"> nemmeno questa interpretazione convince. A parte la considerazione secondo cui si tratterebbe, allora, del sindacato di un “potere pubblico”, ancorché non amministrativo, resta il dato indiscutibile che </w:t>
      </w:r>
      <w:r w:rsidR="000636EF" w:rsidRPr="00B208E4">
        <w:rPr>
          <w:rFonts w:ascii="Calibri" w:eastAsia="Times New Roman" w:hAnsi="Calibri" w:cs="Segoe UI"/>
          <w:color w:val="1F4E79" w:themeColor="accent1" w:themeShade="80"/>
          <w:sz w:val="28"/>
          <w:szCs w:val="28"/>
          <w:lang w:eastAsia="it-IT"/>
        </w:rPr>
        <w:t xml:space="preserve">la lesione </w:t>
      </w:r>
      <w:r w:rsidR="00545750">
        <w:rPr>
          <w:rFonts w:ascii="Calibri" w:eastAsia="Times New Roman" w:hAnsi="Calibri" w:cs="Segoe UI"/>
          <w:color w:val="1F4E79" w:themeColor="accent1" w:themeShade="80"/>
          <w:sz w:val="28"/>
          <w:szCs w:val="28"/>
          <w:lang w:eastAsia="it-IT"/>
        </w:rPr>
        <w:t>lamentata non</w:t>
      </w:r>
      <w:r w:rsidR="00545750" w:rsidRPr="00B208E4">
        <w:rPr>
          <w:rFonts w:ascii="Calibri" w:eastAsia="Times New Roman" w:hAnsi="Calibri" w:cs="Segoe UI"/>
          <w:color w:val="1F4E79" w:themeColor="accent1" w:themeShade="80"/>
          <w:sz w:val="28"/>
          <w:szCs w:val="28"/>
          <w:lang w:eastAsia="it-IT"/>
        </w:rPr>
        <w:t xml:space="preserve"> </w:t>
      </w:r>
      <w:r w:rsidR="000636EF" w:rsidRPr="00B208E4">
        <w:rPr>
          <w:rFonts w:ascii="Calibri" w:eastAsia="Times New Roman" w:hAnsi="Calibri" w:cs="Segoe UI"/>
          <w:color w:val="1F4E79" w:themeColor="accent1" w:themeShade="80"/>
          <w:sz w:val="28"/>
          <w:szCs w:val="28"/>
          <w:lang w:eastAsia="it-IT"/>
        </w:rPr>
        <w:t>si riferisce</w:t>
      </w:r>
      <w:r w:rsidR="00545750">
        <w:rPr>
          <w:rFonts w:ascii="Calibri" w:eastAsia="Times New Roman" w:hAnsi="Calibri" w:cs="Segoe UI"/>
          <w:color w:val="1F4E79" w:themeColor="accent1" w:themeShade="80"/>
          <w:sz w:val="28"/>
          <w:szCs w:val="28"/>
          <w:lang w:eastAsia="it-IT"/>
        </w:rPr>
        <w:t>, genericamente, al patrimonio della parte attrice, ma riguarda</w:t>
      </w:r>
      <w:r w:rsidR="000636EF" w:rsidRPr="00B208E4">
        <w:rPr>
          <w:rFonts w:ascii="Calibri" w:eastAsia="Times New Roman" w:hAnsi="Calibri" w:cs="Segoe UI"/>
          <w:color w:val="1F4E79" w:themeColor="accent1" w:themeShade="80"/>
          <w:sz w:val="28"/>
          <w:szCs w:val="28"/>
          <w:lang w:eastAsia="it-IT"/>
        </w:rPr>
        <w:t xml:space="preserve"> l</w:t>
      </w:r>
      <w:r w:rsidR="007C5445">
        <w:rPr>
          <w:rFonts w:ascii="Calibri" w:eastAsia="Times New Roman" w:hAnsi="Calibri" w:cs="Segoe UI"/>
          <w:color w:val="1F4E79" w:themeColor="accent1" w:themeShade="80"/>
          <w:sz w:val="28"/>
          <w:szCs w:val="28"/>
          <w:lang w:eastAsia="it-IT"/>
        </w:rPr>
        <w:t>a posizione giuridica azionata nel</w:t>
      </w:r>
      <w:r w:rsidR="000636EF" w:rsidRPr="00B208E4">
        <w:rPr>
          <w:rFonts w:ascii="Calibri" w:eastAsia="Times New Roman" w:hAnsi="Calibri" w:cs="Segoe UI"/>
          <w:color w:val="1F4E79" w:themeColor="accent1" w:themeShade="80"/>
          <w:sz w:val="28"/>
          <w:szCs w:val="28"/>
          <w:lang w:eastAsia="it-IT"/>
        </w:rPr>
        <w:t xml:space="preserve"> giudizio</w:t>
      </w:r>
      <w:r w:rsidR="007C5445">
        <w:rPr>
          <w:rFonts w:ascii="Calibri" w:eastAsia="Times New Roman" w:hAnsi="Calibri" w:cs="Segoe UI"/>
          <w:color w:val="1F4E79" w:themeColor="accent1" w:themeShade="80"/>
          <w:sz w:val="28"/>
          <w:szCs w:val="28"/>
          <w:lang w:eastAsia="it-IT"/>
        </w:rPr>
        <w:t xml:space="preserve"> amministrativo</w:t>
      </w:r>
      <w:r w:rsidR="000636EF" w:rsidRPr="00B208E4">
        <w:rPr>
          <w:rFonts w:ascii="Calibri" w:eastAsia="Times New Roman" w:hAnsi="Calibri" w:cs="Segoe UI"/>
          <w:color w:val="1F4E79" w:themeColor="accent1" w:themeShade="80"/>
          <w:sz w:val="28"/>
          <w:szCs w:val="28"/>
          <w:lang w:eastAsia="it-IT"/>
        </w:rPr>
        <w:t xml:space="preserve"> e, si ripete, risulta attuata attraverso l’inesatta applicazione delle norme che il </w:t>
      </w:r>
      <w:r w:rsidR="007C5445">
        <w:rPr>
          <w:rFonts w:ascii="Calibri" w:eastAsia="Times New Roman" w:hAnsi="Calibri" w:cs="Segoe UI"/>
          <w:color w:val="1F4E79" w:themeColor="accent1" w:themeShade="80"/>
          <w:sz w:val="28"/>
          <w:szCs w:val="28"/>
          <w:lang w:eastAsia="it-IT"/>
        </w:rPr>
        <w:t xml:space="preserve">Consiglio di Stato </w:t>
      </w:r>
      <w:r w:rsidR="000636EF" w:rsidRPr="00B208E4">
        <w:rPr>
          <w:rFonts w:ascii="Calibri" w:eastAsia="Times New Roman" w:hAnsi="Calibri" w:cs="Segoe UI"/>
          <w:color w:val="1F4E79" w:themeColor="accent1" w:themeShade="80"/>
          <w:sz w:val="28"/>
          <w:szCs w:val="28"/>
          <w:lang w:eastAsia="it-IT"/>
        </w:rPr>
        <w:t xml:space="preserve">avrebbe dovuto </w:t>
      </w:r>
      <w:r w:rsidR="0093250C" w:rsidRPr="00B208E4">
        <w:rPr>
          <w:rFonts w:ascii="Calibri" w:eastAsia="Times New Roman" w:hAnsi="Calibri" w:cs="Segoe UI"/>
          <w:color w:val="1F4E79" w:themeColor="accent1" w:themeShade="80"/>
          <w:sz w:val="28"/>
          <w:szCs w:val="28"/>
          <w:lang w:eastAsia="it-IT"/>
        </w:rPr>
        <w:t>considerare.</w:t>
      </w:r>
    </w:p>
    <w:p w:rsidR="00F616D2" w:rsidRDefault="0093250C"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Molto probabilmente, l’assetto normativo </w:t>
      </w:r>
      <w:r w:rsidR="00F616D2">
        <w:rPr>
          <w:rFonts w:ascii="Calibri" w:eastAsia="Times New Roman" w:hAnsi="Calibri" w:cs="Segoe UI"/>
          <w:color w:val="1F4E79" w:themeColor="accent1" w:themeShade="80"/>
          <w:sz w:val="28"/>
          <w:szCs w:val="28"/>
          <w:lang w:eastAsia="it-IT"/>
        </w:rPr>
        <w:t xml:space="preserve">attuale </w:t>
      </w:r>
      <w:r w:rsidRPr="00B208E4">
        <w:rPr>
          <w:rFonts w:ascii="Calibri" w:eastAsia="Times New Roman" w:hAnsi="Calibri" w:cs="Segoe UI"/>
          <w:color w:val="1F4E79" w:themeColor="accent1" w:themeShade="80"/>
          <w:sz w:val="28"/>
          <w:szCs w:val="28"/>
          <w:lang w:eastAsia="it-IT"/>
        </w:rPr>
        <w:t xml:space="preserve">deriva da </w:t>
      </w:r>
      <w:r w:rsidR="00F616D2">
        <w:rPr>
          <w:rFonts w:ascii="Calibri" w:eastAsia="Times New Roman" w:hAnsi="Calibri" w:cs="Segoe UI"/>
          <w:color w:val="1F4E79" w:themeColor="accent1" w:themeShade="80"/>
          <w:sz w:val="28"/>
          <w:szCs w:val="28"/>
          <w:lang w:eastAsia="it-IT"/>
        </w:rPr>
        <w:t>fattori storici che ora dovrebbero reputarsi superati dall’evoluzione dell’ordinamento.</w:t>
      </w:r>
    </w:p>
    <w:p w:rsidR="00901BF9" w:rsidRPr="00B208E4" w:rsidRDefault="0093250C"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La </w:t>
      </w:r>
      <w:r w:rsidR="0024529F" w:rsidRPr="00B208E4">
        <w:rPr>
          <w:rFonts w:ascii="Calibri" w:eastAsia="Times New Roman" w:hAnsi="Calibri" w:cs="Segoe UI"/>
          <w:color w:val="1F4E79" w:themeColor="accent1" w:themeShade="80"/>
          <w:sz w:val="28"/>
          <w:szCs w:val="28"/>
          <w:lang w:eastAsia="it-IT"/>
        </w:rPr>
        <w:t xml:space="preserve">sofferta </w:t>
      </w:r>
      <w:r w:rsidR="005C0B49" w:rsidRPr="00B208E4">
        <w:rPr>
          <w:rFonts w:ascii="Calibri" w:eastAsia="Times New Roman" w:hAnsi="Calibri" w:cs="Segoe UI"/>
          <w:color w:val="1F4E79" w:themeColor="accent1" w:themeShade="80"/>
          <w:sz w:val="28"/>
          <w:szCs w:val="28"/>
          <w:lang w:eastAsia="it-IT"/>
        </w:rPr>
        <w:t>costruzione d</w:t>
      </w:r>
      <w:r w:rsidR="00E85917" w:rsidRPr="00B208E4">
        <w:rPr>
          <w:rFonts w:ascii="Calibri" w:eastAsia="Times New Roman" w:hAnsi="Calibri" w:cs="Segoe UI"/>
          <w:color w:val="1F4E79" w:themeColor="accent1" w:themeShade="80"/>
          <w:sz w:val="28"/>
          <w:szCs w:val="28"/>
          <w:lang w:eastAsia="it-IT"/>
        </w:rPr>
        <w:t xml:space="preserve">el </w:t>
      </w:r>
      <w:r w:rsidR="00F616D2">
        <w:rPr>
          <w:rFonts w:ascii="Calibri" w:eastAsia="Times New Roman" w:hAnsi="Calibri" w:cs="Segoe UI"/>
          <w:color w:val="1F4E79" w:themeColor="accent1" w:themeShade="80"/>
          <w:sz w:val="28"/>
          <w:szCs w:val="28"/>
          <w:lang w:eastAsia="it-IT"/>
        </w:rPr>
        <w:t xml:space="preserve">sistema della responsabilità patrimoniale dello Stato originata dall’attività giurisdizionale </w:t>
      </w:r>
      <w:r w:rsidR="005C0B49" w:rsidRPr="00B208E4">
        <w:rPr>
          <w:rFonts w:ascii="Calibri" w:eastAsia="Times New Roman" w:hAnsi="Calibri" w:cs="Segoe UI"/>
          <w:color w:val="1F4E79" w:themeColor="accent1" w:themeShade="80"/>
          <w:sz w:val="28"/>
          <w:szCs w:val="28"/>
          <w:lang w:eastAsia="it-IT"/>
        </w:rPr>
        <w:t xml:space="preserve">non aveva </w:t>
      </w:r>
      <w:r w:rsidR="00F616D2">
        <w:rPr>
          <w:rFonts w:ascii="Calibri" w:eastAsia="Times New Roman" w:hAnsi="Calibri" w:cs="Segoe UI"/>
          <w:color w:val="1F4E79" w:themeColor="accent1" w:themeShade="80"/>
          <w:sz w:val="28"/>
          <w:szCs w:val="28"/>
          <w:lang w:eastAsia="it-IT"/>
        </w:rPr>
        <w:t xml:space="preserve">potuto </w:t>
      </w:r>
      <w:r w:rsidR="005C0B49" w:rsidRPr="00B208E4">
        <w:rPr>
          <w:rFonts w:ascii="Calibri" w:eastAsia="Times New Roman" w:hAnsi="Calibri" w:cs="Segoe UI"/>
          <w:color w:val="1F4E79" w:themeColor="accent1" w:themeShade="80"/>
          <w:sz w:val="28"/>
          <w:szCs w:val="28"/>
          <w:lang w:eastAsia="it-IT"/>
        </w:rPr>
        <w:t xml:space="preserve">affatto </w:t>
      </w:r>
      <w:r w:rsidR="00F616D2">
        <w:rPr>
          <w:rFonts w:ascii="Calibri" w:eastAsia="Times New Roman" w:hAnsi="Calibri" w:cs="Segoe UI"/>
          <w:color w:val="1F4E79" w:themeColor="accent1" w:themeShade="80"/>
          <w:sz w:val="28"/>
          <w:szCs w:val="28"/>
          <w:lang w:eastAsia="it-IT"/>
        </w:rPr>
        <w:t xml:space="preserve">prevedere </w:t>
      </w:r>
      <w:r w:rsidR="005C0B49" w:rsidRPr="00B208E4">
        <w:rPr>
          <w:rFonts w:ascii="Calibri" w:eastAsia="Times New Roman" w:hAnsi="Calibri" w:cs="Segoe UI"/>
          <w:color w:val="1F4E79" w:themeColor="accent1" w:themeShade="80"/>
          <w:sz w:val="28"/>
          <w:szCs w:val="28"/>
          <w:lang w:eastAsia="it-IT"/>
        </w:rPr>
        <w:t>lo scenario</w:t>
      </w:r>
      <w:r w:rsidR="00F616D2">
        <w:rPr>
          <w:rFonts w:ascii="Calibri" w:eastAsia="Times New Roman" w:hAnsi="Calibri" w:cs="Segoe UI"/>
          <w:color w:val="1F4E79" w:themeColor="accent1" w:themeShade="80"/>
          <w:sz w:val="28"/>
          <w:szCs w:val="28"/>
          <w:lang w:eastAsia="it-IT"/>
        </w:rPr>
        <w:t xml:space="preserve"> futuro</w:t>
      </w:r>
      <w:r w:rsidR="005C0B49" w:rsidRPr="00B208E4">
        <w:rPr>
          <w:rFonts w:ascii="Calibri" w:eastAsia="Times New Roman" w:hAnsi="Calibri" w:cs="Segoe UI"/>
          <w:color w:val="1F4E79" w:themeColor="accent1" w:themeShade="80"/>
          <w:sz w:val="28"/>
          <w:szCs w:val="28"/>
          <w:lang w:eastAsia="it-IT"/>
        </w:rPr>
        <w:t xml:space="preserve">, in cui la maggior parte del contenzioso </w:t>
      </w:r>
      <w:r w:rsidR="0085645E" w:rsidRPr="00B208E4">
        <w:rPr>
          <w:rFonts w:ascii="Calibri" w:eastAsia="Times New Roman" w:hAnsi="Calibri" w:cs="Segoe UI"/>
          <w:color w:val="1F4E79" w:themeColor="accent1" w:themeShade="80"/>
          <w:sz w:val="28"/>
          <w:szCs w:val="28"/>
          <w:lang w:eastAsia="it-IT"/>
        </w:rPr>
        <w:t xml:space="preserve">originato da azioni di responsabilità dello Stato </w:t>
      </w:r>
      <w:r w:rsidR="005C0B49" w:rsidRPr="00B208E4">
        <w:rPr>
          <w:rFonts w:ascii="Calibri" w:eastAsia="Times New Roman" w:hAnsi="Calibri" w:cs="Segoe UI"/>
          <w:color w:val="1F4E79" w:themeColor="accent1" w:themeShade="80"/>
          <w:sz w:val="28"/>
          <w:szCs w:val="28"/>
          <w:lang w:eastAsia="it-IT"/>
        </w:rPr>
        <w:t>riguarda</w:t>
      </w:r>
      <w:r w:rsidRPr="00B208E4">
        <w:rPr>
          <w:rFonts w:ascii="Calibri" w:eastAsia="Times New Roman" w:hAnsi="Calibri" w:cs="Segoe UI"/>
          <w:color w:val="1F4E79" w:themeColor="accent1" w:themeShade="80"/>
          <w:sz w:val="28"/>
          <w:szCs w:val="28"/>
          <w:lang w:eastAsia="it-IT"/>
        </w:rPr>
        <w:t xml:space="preserve"> proprio le</w:t>
      </w:r>
      <w:r w:rsidR="005C0B49" w:rsidRPr="00B208E4">
        <w:rPr>
          <w:rFonts w:ascii="Calibri" w:eastAsia="Times New Roman" w:hAnsi="Calibri" w:cs="Segoe UI"/>
          <w:color w:val="1F4E79" w:themeColor="accent1" w:themeShade="80"/>
          <w:sz w:val="28"/>
          <w:szCs w:val="28"/>
          <w:lang w:eastAsia="it-IT"/>
        </w:rPr>
        <w:t xml:space="preserve"> pronunce del giudice amministrativo</w:t>
      </w:r>
      <w:r w:rsidR="0085645E" w:rsidRPr="00B208E4">
        <w:rPr>
          <w:rFonts w:ascii="Calibri" w:eastAsia="Times New Roman" w:hAnsi="Calibri" w:cs="Segoe UI"/>
          <w:color w:val="1F4E79" w:themeColor="accent1" w:themeShade="80"/>
          <w:sz w:val="28"/>
          <w:szCs w:val="28"/>
          <w:lang w:eastAsia="it-IT"/>
        </w:rPr>
        <w:t>, quasi sempre in relazione ad asserite violazioni del diritto UE</w:t>
      </w:r>
      <w:r w:rsidR="00901BF9" w:rsidRPr="00B208E4">
        <w:rPr>
          <w:rFonts w:ascii="Calibri" w:eastAsia="Times New Roman" w:hAnsi="Calibri" w:cs="Segoe UI"/>
          <w:color w:val="1F4E79" w:themeColor="accent1" w:themeShade="80"/>
          <w:sz w:val="28"/>
          <w:szCs w:val="28"/>
          <w:lang w:eastAsia="it-IT"/>
        </w:rPr>
        <w:t>.</w:t>
      </w:r>
    </w:p>
    <w:p w:rsidR="005D7818" w:rsidRDefault="00B64DD4"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Inoltre, la legge </w:t>
      </w:r>
      <w:r w:rsidR="00901BF9" w:rsidRPr="00B208E4">
        <w:rPr>
          <w:rFonts w:ascii="Calibri" w:eastAsia="Times New Roman" w:hAnsi="Calibri" w:cs="Segoe UI"/>
          <w:color w:val="1F4E79" w:themeColor="accent1" w:themeShade="80"/>
          <w:sz w:val="28"/>
          <w:szCs w:val="28"/>
          <w:lang w:eastAsia="it-IT"/>
        </w:rPr>
        <w:t xml:space="preserve">del 1988 </w:t>
      </w:r>
      <w:r w:rsidRPr="00B208E4">
        <w:rPr>
          <w:rFonts w:ascii="Calibri" w:eastAsia="Times New Roman" w:hAnsi="Calibri" w:cs="Segoe UI"/>
          <w:color w:val="1F4E79" w:themeColor="accent1" w:themeShade="80"/>
          <w:sz w:val="28"/>
          <w:szCs w:val="28"/>
          <w:lang w:eastAsia="it-IT"/>
        </w:rPr>
        <w:t>era ampiamente condizionata dai noti principi della irrisarcibilità sostanziale degli interessi legittimi</w:t>
      </w:r>
      <w:r w:rsidR="005D7818">
        <w:rPr>
          <w:rFonts w:ascii="Calibri" w:eastAsia="Times New Roman" w:hAnsi="Calibri" w:cs="Segoe UI"/>
          <w:color w:val="1F4E79" w:themeColor="accent1" w:themeShade="80"/>
          <w:sz w:val="28"/>
          <w:szCs w:val="28"/>
          <w:lang w:eastAsia="it-IT"/>
        </w:rPr>
        <w:t>. Pertanto, non sarebbe stata nemmeno concepibile, per assenza di un danno risarcibile, la contestazione di una decisione del giudice amministrativo, tranne i limitati casi della lesioni di diritti soggettivi compresi in ambiti tipizzati di giurisdizione esclusiva.</w:t>
      </w:r>
    </w:p>
    <w:p w:rsidR="005D7818" w:rsidRDefault="005D7818"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Infine, l’azione risarcitoria non poteva che competere al giudice ordinario, dal momento che il potere di condanna al risarcimento del danno del giudice amministrativo era consentito solo in casi eccezionali.</w:t>
      </w:r>
    </w:p>
    <w:p w:rsidR="0024529F" w:rsidRPr="00B208E4" w:rsidRDefault="0024529F"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La riforma del 2015 non ha in alcun modo corretto questa impostazione</w:t>
      </w:r>
      <w:r w:rsidR="00F1129B" w:rsidRPr="00B208E4">
        <w:rPr>
          <w:rFonts w:ascii="Calibri" w:eastAsia="Times New Roman" w:hAnsi="Calibri" w:cs="Segoe UI"/>
          <w:color w:val="1F4E79" w:themeColor="accent1" w:themeShade="80"/>
          <w:sz w:val="28"/>
          <w:szCs w:val="28"/>
          <w:lang w:eastAsia="it-IT"/>
        </w:rPr>
        <w:t>, perdendo l’occasione di un esame sereno ed obiettivo delle problematiche correlate alla particolarissima fattispecie della responsabilità dello Stato derivante dalla violazione del diritto UE concretizzata in una pronuncia del giudice.</w:t>
      </w:r>
    </w:p>
    <w:p w:rsidR="00E116F3" w:rsidRPr="00B208E4" w:rsidRDefault="00E116F3"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A ciò si deve aggiungere che, per una serie di motivi “politici”, la legge sembra indirizzata a “sanzionare”</w:t>
      </w:r>
      <w:r w:rsidR="00901BF9" w:rsidRPr="00B208E4">
        <w:rPr>
          <w:rFonts w:ascii="Calibri" w:eastAsia="Times New Roman" w:hAnsi="Calibri" w:cs="Segoe UI"/>
          <w:color w:val="1F4E79" w:themeColor="accent1" w:themeShade="80"/>
          <w:sz w:val="28"/>
          <w:szCs w:val="28"/>
          <w:lang w:eastAsia="it-IT"/>
        </w:rPr>
        <w:t xml:space="preserve"> i singoli magistrati</w:t>
      </w:r>
      <w:r w:rsidRPr="00B208E4">
        <w:rPr>
          <w:rFonts w:ascii="Calibri" w:eastAsia="Times New Roman" w:hAnsi="Calibri" w:cs="Segoe UI"/>
          <w:color w:val="1F4E79" w:themeColor="accent1" w:themeShade="80"/>
          <w:sz w:val="28"/>
          <w:szCs w:val="28"/>
          <w:lang w:eastAsia="it-IT"/>
        </w:rPr>
        <w:t>, piuttosto che a ristorare colui che è stato vittima di un errore</w:t>
      </w:r>
      <w:r w:rsidR="00901BF9" w:rsidRPr="00B208E4">
        <w:rPr>
          <w:rFonts w:ascii="Calibri" w:eastAsia="Times New Roman" w:hAnsi="Calibri" w:cs="Segoe UI"/>
          <w:color w:val="1F4E79" w:themeColor="accent1" w:themeShade="80"/>
          <w:sz w:val="28"/>
          <w:szCs w:val="28"/>
          <w:lang w:eastAsia="it-IT"/>
        </w:rPr>
        <w:t xml:space="preserve"> oggettivo</w:t>
      </w:r>
      <w:r w:rsidRPr="00B208E4">
        <w:rPr>
          <w:rFonts w:ascii="Calibri" w:eastAsia="Times New Roman" w:hAnsi="Calibri" w:cs="Segoe UI"/>
          <w:color w:val="1F4E79" w:themeColor="accent1" w:themeShade="80"/>
          <w:sz w:val="28"/>
          <w:szCs w:val="28"/>
          <w:lang w:eastAsia="it-IT"/>
        </w:rPr>
        <w:t>.</w:t>
      </w:r>
    </w:p>
    <w:p w:rsidR="006B6E61" w:rsidRPr="00B208E4" w:rsidRDefault="00992F4C"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Pertanto, oggi resta diffic</w:t>
      </w:r>
      <w:r w:rsidR="006B6E61" w:rsidRPr="00B208E4">
        <w:rPr>
          <w:rFonts w:ascii="Calibri" w:eastAsia="Times New Roman" w:hAnsi="Calibri" w:cs="Segoe UI"/>
          <w:color w:val="1F4E79" w:themeColor="accent1" w:themeShade="80"/>
          <w:sz w:val="28"/>
          <w:szCs w:val="28"/>
          <w:lang w:eastAsia="it-IT"/>
        </w:rPr>
        <w:t>ilmente comprensibile come mai chi si ritenga leso da una decisione amministrativa contrastante con il diritto europeo debba intraprendere un giudizio articolato in tre gradi, davanti ad un giudice ordinario</w:t>
      </w:r>
      <w:r w:rsidR="0085645E" w:rsidRPr="00B208E4">
        <w:rPr>
          <w:rFonts w:ascii="Calibri" w:eastAsia="Times New Roman" w:hAnsi="Calibri" w:cs="Segoe UI"/>
          <w:color w:val="1F4E79" w:themeColor="accent1" w:themeShade="80"/>
          <w:sz w:val="28"/>
          <w:szCs w:val="28"/>
          <w:lang w:eastAsia="it-IT"/>
        </w:rPr>
        <w:t>,</w:t>
      </w:r>
      <w:r w:rsidR="006B6E61" w:rsidRPr="00B208E4">
        <w:rPr>
          <w:rFonts w:ascii="Calibri" w:eastAsia="Times New Roman" w:hAnsi="Calibri" w:cs="Segoe UI"/>
          <w:color w:val="1F4E79" w:themeColor="accent1" w:themeShade="80"/>
          <w:sz w:val="28"/>
          <w:szCs w:val="28"/>
          <w:lang w:eastAsia="it-IT"/>
        </w:rPr>
        <w:t xml:space="preserve"> che non si occupa affatto di quella materia.</w:t>
      </w:r>
    </w:p>
    <w:p w:rsidR="0085645E" w:rsidRPr="00B208E4" w:rsidRDefault="0085645E"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Né si può dire che si faccia valere il “diritto soggettivo” al risarcimento, posto che, come chiarito dalla sentenza n. 204/2004 della Corte cost., la tutela risarcitoria è mezzo di tutela della posizione giuridica, sia essa di interesse legittimo o diritto soggettivo, affidata alla cognizione del giudice amministrativo.</w:t>
      </w:r>
    </w:p>
    <w:p w:rsidR="006B6E61" w:rsidRPr="00B208E4" w:rsidRDefault="006B6E61"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Ed ancora più ingiustificata appare la mancata previsione di un agile strumento di reazione che consenta di ottenere tutela in forma specifica, sulla falsariga della </w:t>
      </w:r>
      <w:r w:rsidRPr="00B208E4">
        <w:rPr>
          <w:rFonts w:ascii="Calibri" w:eastAsia="Times New Roman" w:hAnsi="Calibri" w:cs="Segoe UI"/>
          <w:i/>
          <w:color w:val="1F4E79" w:themeColor="accent1" w:themeShade="80"/>
          <w:sz w:val="28"/>
          <w:szCs w:val="28"/>
          <w:lang w:eastAsia="it-IT"/>
        </w:rPr>
        <w:t>revocazione</w:t>
      </w:r>
      <w:r w:rsidRPr="00B208E4">
        <w:rPr>
          <w:rFonts w:ascii="Calibri" w:eastAsia="Times New Roman" w:hAnsi="Calibri" w:cs="Segoe UI"/>
          <w:color w:val="1F4E79" w:themeColor="accent1" w:themeShade="80"/>
          <w:sz w:val="28"/>
          <w:szCs w:val="28"/>
          <w:lang w:eastAsia="it-IT"/>
        </w:rPr>
        <w:t>.</w:t>
      </w:r>
    </w:p>
    <w:p w:rsidR="00F817CF" w:rsidRPr="00B208E4" w:rsidRDefault="00F817CF"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Al contrario, la dilatazione del termine </w:t>
      </w:r>
      <w:r w:rsidR="005D7818">
        <w:rPr>
          <w:rFonts w:ascii="Calibri" w:eastAsia="Times New Roman" w:hAnsi="Calibri" w:cs="Segoe UI"/>
          <w:color w:val="1F4E79" w:themeColor="accent1" w:themeShade="80"/>
          <w:sz w:val="28"/>
          <w:szCs w:val="28"/>
          <w:lang w:eastAsia="it-IT"/>
        </w:rPr>
        <w:t xml:space="preserve">decadenziale </w:t>
      </w:r>
      <w:r w:rsidRPr="00B208E4">
        <w:rPr>
          <w:rFonts w:ascii="Calibri" w:eastAsia="Times New Roman" w:hAnsi="Calibri" w:cs="Segoe UI"/>
          <w:color w:val="1F4E79" w:themeColor="accent1" w:themeShade="80"/>
          <w:sz w:val="28"/>
          <w:szCs w:val="28"/>
          <w:lang w:eastAsia="it-IT"/>
        </w:rPr>
        <w:t>per l’esercizio dell’azione, ora portato a ben tre anni</w:t>
      </w:r>
      <w:r w:rsidR="005D7818">
        <w:rPr>
          <w:rFonts w:ascii="Calibri" w:eastAsia="Times New Roman" w:hAnsi="Calibri" w:cs="Segoe UI"/>
          <w:color w:val="1F4E79" w:themeColor="accent1" w:themeShade="80"/>
          <w:sz w:val="28"/>
          <w:szCs w:val="28"/>
          <w:lang w:eastAsia="it-IT"/>
        </w:rPr>
        <w:t xml:space="preserve"> dal verificarsi dell’illecito</w:t>
      </w:r>
      <w:r w:rsidRPr="00B208E4">
        <w:rPr>
          <w:rFonts w:ascii="Calibri" w:eastAsia="Times New Roman" w:hAnsi="Calibri" w:cs="Segoe UI"/>
          <w:color w:val="1F4E79" w:themeColor="accent1" w:themeShade="80"/>
          <w:sz w:val="28"/>
          <w:szCs w:val="28"/>
          <w:lang w:eastAsia="it-IT"/>
        </w:rPr>
        <w:t xml:space="preserve">, appare di dubbia razionalità: se la decisione del giudice fonte di responsabilità si pone in “contrasto evidente” con il diritto UE e quindi è agevolmente percepibile, sembrerebbe molto più logica, anche nell’interesse della certezza del diritto, prevedere un termine </w:t>
      </w:r>
      <w:r w:rsidR="00BB1CAE" w:rsidRPr="00B208E4">
        <w:rPr>
          <w:rFonts w:ascii="Calibri" w:eastAsia="Times New Roman" w:hAnsi="Calibri" w:cs="Segoe UI"/>
          <w:color w:val="1F4E79" w:themeColor="accent1" w:themeShade="80"/>
          <w:sz w:val="28"/>
          <w:szCs w:val="28"/>
          <w:lang w:eastAsia="it-IT"/>
        </w:rPr>
        <w:t>più breve</w:t>
      </w:r>
      <w:r w:rsidR="00A20DC8" w:rsidRPr="00B208E4">
        <w:rPr>
          <w:rFonts w:ascii="Calibri" w:eastAsia="Times New Roman" w:hAnsi="Calibri" w:cs="Segoe UI"/>
          <w:color w:val="1F4E79" w:themeColor="accent1" w:themeShade="80"/>
          <w:sz w:val="28"/>
          <w:szCs w:val="28"/>
          <w:lang w:eastAsia="it-IT"/>
        </w:rPr>
        <w:t>, insieme alla individuazione di uno strumento efficace di tutela “in forma specifica”</w:t>
      </w:r>
      <w:r w:rsidR="00BB1CAE" w:rsidRPr="00B208E4">
        <w:rPr>
          <w:rFonts w:ascii="Calibri" w:eastAsia="Times New Roman" w:hAnsi="Calibri" w:cs="Segoe UI"/>
          <w:color w:val="1F4E79" w:themeColor="accent1" w:themeShade="80"/>
          <w:sz w:val="28"/>
          <w:szCs w:val="28"/>
          <w:lang w:eastAsia="it-IT"/>
        </w:rPr>
        <w:t>.</w:t>
      </w:r>
    </w:p>
    <w:p w:rsidR="003F3E24" w:rsidRPr="00B208E4" w:rsidRDefault="009A6AD5" w:rsidP="00FB7048">
      <w:pPr>
        <w:pStyle w:val="Paragrafoelenco"/>
        <w:numPr>
          <w:ilvl w:val="0"/>
          <w:numId w:val="5"/>
        </w:numPr>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Si può aggiungere, ancora, che il legislatore del 2014, eliminando </w:t>
      </w:r>
      <w:r w:rsidR="007C5445">
        <w:rPr>
          <w:rFonts w:ascii="Calibri" w:eastAsia="Times New Roman" w:hAnsi="Calibri" w:cs="Segoe UI"/>
          <w:color w:val="1F4E79" w:themeColor="accent1" w:themeShade="80"/>
          <w:sz w:val="28"/>
          <w:szCs w:val="28"/>
          <w:lang w:eastAsia="it-IT"/>
        </w:rPr>
        <w:t xml:space="preserve">la fase del cosiddetto </w:t>
      </w:r>
      <w:r w:rsidRPr="00B208E4">
        <w:rPr>
          <w:rFonts w:ascii="Calibri" w:eastAsia="Times New Roman" w:hAnsi="Calibri" w:cs="Segoe UI"/>
          <w:color w:val="1F4E79" w:themeColor="accent1" w:themeShade="80"/>
          <w:sz w:val="28"/>
          <w:szCs w:val="28"/>
          <w:lang w:eastAsia="it-IT"/>
        </w:rPr>
        <w:t xml:space="preserve">“filtro” </w:t>
      </w:r>
      <w:r w:rsidR="007C5445">
        <w:rPr>
          <w:rFonts w:ascii="Calibri" w:eastAsia="Times New Roman" w:hAnsi="Calibri" w:cs="Segoe UI"/>
          <w:color w:val="1F4E79" w:themeColor="accent1" w:themeShade="80"/>
          <w:sz w:val="28"/>
          <w:szCs w:val="28"/>
          <w:lang w:eastAsia="it-IT"/>
        </w:rPr>
        <w:t xml:space="preserve">di ammissibilità </w:t>
      </w:r>
      <w:r w:rsidRPr="00B208E4">
        <w:rPr>
          <w:rFonts w:ascii="Calibri" w:eastAsia="Times New Roman" w:hAnsi="Calibri" w:cs="Segoe UI"/>
          <w:color w:val="1F4E79" w:themeColor="accent1" w:themeShade="80"/>
          <w:sz w:val="28"/>
          <w:szCs w:val="28"/>
          <w:lang w:eastAsia="it-IT"/>
        </w:rPr>
        <w:t xml:space="preserve">del giudizio di responsabilità dello Stato, ha inteso velocizzare </w:t>
      </w:r>
      <w:r w:rsidR="00C12078" w:rsidRPr="00B208E4">
        <w:rPr>
          <w:rFonts w:ascii="Calibri" w:eastAsia="Times New Roman" w:hAnsi="Calibri" w:cs="Segoe UI"/>
          <w:color w:val="1F4E79" w:themeColor="accent1" w:themeShade="80"/>
          <w:sz w:val="28"/>
          <w:szCs w:val="28"/>
          <w:lang w:eastAsia="it-IT"/>
        </w:rPr>
        <w:t>i tempi per l’accesso alla giustizia</w:t>
      </w:r>
      <w:r w:rsidR="005D7818">
        <w:rPr>
          <w:rFonts w:ascii="Calibri" w:eastAsia="Times New Roman" w:hAnsi="Calibri" w:cs="Segoe UI"/>
          <w:color w:val="1F4E79" w:themeColor="accent1" w:themeShade="80"/>
          <w:sz w:val="28"/>
          <w:szCs w:val="28"/>
          <w:lang w:eastAsia="it-IT"/>
        </w:rPr>
        <w:t xml:space="preserve">, ferma restando la regola secondo cui l’azione risarcitoria è proponibile solo dopo l’esaurimento dei mezzi di impugnazione. Sicché, la prospettata </w:t>
      </w:r>
      <w:r w:rsidR="00C12078" w:rsidRPr="00B208E4">
        <w:rPr>
          <w:rFonts w:ascii="Calibri" w:eastAsia="Times New Roman" w:hAnsi="Calibri" w:cs="Segoe UI"/>
          <w:color w:val="1F4E79" w:themeColor="accent1" w:themeShade="80"/>
          <w:sz w:val="28"/>
          <w:szCs w:val="28"/>
          <w:lang w:eastAsia="it-IT"/>
        </w:rPr>
        <w:t>introduzione di un terzo grado in Cassaz</w:t>
      </w:r>
      <w:r w:rsidR="003F3E24" w:rsidRPr="00B208E4">
        <w:rPr>
          <w:rFonts w:ascii="Calibri" w:eastAsia="Times New Roman" w:hAnsi="Calibri" w:cs="Segoe UI"/>
          <w:color w:val="1F4E79" w:themeColor="accent1" w:themeShade="80"/>
          <w:sz w:val="28"/>
          <w:szCs w:val="28"/>
          <w:lang w:eastAsia="it-IT"/>
        </w:rPr>
        <w:t>io</w:t>
      </w:r>
      <w:r w:rsidR="005D7818">
        <w:rPr>
          <w:rFonts w:ascii="Calibri" w:eastAsia="Times New Roman" w:hAnsi="Calibri" w:cs="Segoe UI"/>
          <w:color w:val="1F4E79" w:themeColor="accent1" w:themeShade="80"/>
          <w:sz w:val="28"/>
          <w:szCs w:val="28"/>
          <w:lang w:eastAsia="it-IT"/>
        </w:rPr>
        <w:t>ne, con tempi non certo brevi, quale passaggio necessario prima dell’esercizio dell’azione risarcitoria, s</w:t>
      </w:r>
      <w:r w:rsidR="003F3E24" w:rsidRPr="00B208E4">
        <w:rPr>
          <w:rFonts w:ascii="Calibri" w:eastAsia="Times New Roman" w:hAnsi="Calibri" w:cs="Segoe UI"/>
          <w:color w:val="1F4E79" w:themeColor="accent1" w:themeShade="80"/>
          <w:sz w:val="28"/>
          <w:szCs w:val="28"/>
          <w:lang w:eastAsia="it-IT"/>
        </w:rPr>
        <w:t>i pone in contrasto con la scelta</w:t>
      </w:r>
      <w:r w:rsidR="005D7818">
        <w:rPr>
          <w:rFonts w:ascii="Calibri" w:eastAsia="Times New Roman" w:hAnsi="Calibri" w:cs="Segoe UI"/>
          <w:color w:val="1F4E79" w:themeColor="accent1" w:themeShade="80"/>
          <w:sz w:val="28"/>
          <w:szCs w:val="28"/>
          <w:lang w:eastAsia="it-IT"/>
        </w:rPr>
        <w:t xml:space="preserve"> acceleratoria</w:t>
      </w:r>
      <w:r w:rsidR="003F3E24" w:rsidRPr="00B208E4">
        <w:rPr>
          <w:rFonts w:ascii="Calibri" w:eastAsia="Times New Roman" w:hAnsi="Calibri" w:cs="Segoe UI"/>
          <w:color w:val="1F4E79" w:themeColor="accent1" w:themeShade="80"/>
          <w:sz w:val="28"/>
          <w:szCs w:val="28"/>
          <w:lang w:eastAsia="it-IT"/>
        </w:rPr>
        <w:t xml:space="preserve">, magari discutibile, ma chiara, della </w:t>
      </w:r>
      <w:r w:rsidR="005D7818">
        <w:rPr>
          <w:rFonts w:ascii="Calibri" w:eastAsia="Times New Roman" w:hAnsi="Calibri" w:cs="Segoe UI"/>
          <w:color w:val="1F4E79" w:themeColor="accent1" w:themeShade="80"/>
          <w:sz w:val="28"/>
          <w:szCs w:val="28"/>
          <w:lang w:eastAsia="it-IT"/>
        </w:rPr>
        <w:t>rif</w:t>
      </w:r>
      <w:r w:rsidR="003F3E24" w:rsidRPr="00B208E4">
        <w:rPr>
          <w:rFonts w:ascii="Calibri" w:eastAsia="Times New Roman" w:hAnsi="Calibri" w:cs="Segoe UI"/>
          <w:color w:val="1F4E79" w:themeColor="accent1" w:themeShade="80"/>
          <w:sz w:val="28"/>
          <w:szCs w:val="28"/>
          <w:lang w:eastAsia="it-IT"/>
        </w:rPr>
        <w:t>orma.</w:t>
      </w:r>
    </w:p>
    <w:p w:rsidR="0056423C" w:rsidRPr="00B208E4" w:rsidRDefault="00BB1CAE" w:rsidP="00FB7048">
      <w:pPr>
        <w:pStyle w:val="Paragrafoelenco"/>
        <w:numPr>
          <w:ilvl w:val="0"/>
          <w:numId w:val="5"/>
        </w:numPr>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A questo riguardo, occorre un chiarimento. </w:t>
      </w:r>
      <w:r w:rsidR="00FA1B58" w:rsidRPr="00B208E4">
        <w:rPr>
          <w:rFonts w:ascii="Calibri" w:eastAsia="Times New Roman" w:hAnsi="Calibri" w:cs="Segoe UI"/>
          <w:color w:val="1F4E79" w:themeColor="accent1" w:themeShade="80"/>
          <w:sz w:val="28"/>
          <w:szCs w:val="28"/>
          <w:lang w:eastAsia="it-IT"/>
        </w:rPr>
        <w:t>Come era</w:t>
      </w:r>
      <w:r w:rsidR="00757034" w:rsidRPr="00B208E4">
        <w:rPr>
          <w:rFonts w:ascii="Calibri" w:eastAsia="Times New Roman" w:hAnsi="Calibri" w:cs="Segoe UI"/>
          <w:color w:val="1F4E79" w:themeColor="accent1" w:themeShade="80"/>
          <w:sz w:val="28"/>
          <w:szCs w:val="28"/>
          <w:lang w:eastAsia="it-IT"/>
        </w:rPr>
        <w:t xml:space="preserve"> logico aspettarsi, l’ordinanza della Cassazione</w:t>
      </w:r>
      <w:r w:rsidR="00FA1B58" w:rsidRPr="00B208E4">
        <w:rPr>
          <w:rFonts w:ascii="Calibri" w:eastAsia="Times New Roman" w:hAnsi="Calibri" w:cs="Segoe UI"/>
          <w:color w:val="1F4E79" w:themeColor="accent1" w:themeShade="80"/>
          <w:sz w:val="28"/>
          <w:szCs w:val="28"/>
          <w:lang w:eastAsia="it-IT"/>
        </w:rPr>
        <w:t xml:space="preserve">, manifestando un apprezzabile </w:t>
      </w:r>
      <w:r w:rsidR="007C5445">
        <w:rPr>
          <w:rFonts w:ascii="Calibri" w:eastAsia="Times New Roman" w:hAnsi="Calibri" w:cs="Segoe UI"/>
          <w:color w:val="1F4E79" w:themeColor="accent1" w:themeShade="80"/>
          <w:sz w:val="28"/>
          <w:szCs w:val="28"/>
          <w:lang w:eastAsia="it-IT"/>
        </w:rPr>
        <w:t xml:space="preserve">– ma trasparente - </w:t>
      </w:r>
      <w:r w:rsidR="00FA1B58" w:rsidRPr="00B208E4">
        <w:rPr>
          <w:rFonts w:ascii="Calibri" w:eastAsia="Times New Roman" w:hAnsi="Calibri" w:cs="Segoe UI"/>
          <w:color w:val="1F4E79" w:themeColor="accent1" w:themeShade="80"/>
          <w:sz w:val="28"/>
          <w:szCs w:val="28"/>
          <w:lang w:eastAsia="it-IT"/>
        </w:rPr>
        <w:t xml:space="preserve">orientamento decisamente </w:t>
      </w:r>
      <w:r w:rsidR="007C5445">
        <w:rPr>
          <w:rFonts w:ascii="Calibri" w:eastAsia="Times New Roman" w:hAnsi="Calibri" w:cs="Segoe UI"/>
          <w:color w:val="1F4E79" w:themeColor="accent1" w:themeShade="80"/>
          <w:sz w:val="28"/>
          <w:szCs w:val="28"/>
          <w:lang w:eastAsia="it-IT"/>
        </w:rPr>
        <w:t>“</w:t>
      </w:r>
      <w:r w:rsidR="00FA1B58" w:rsidRPr="007C5445">
        <w:rPr>
          <w:rFonts w:ascii="Calibri" w:eastAsia="Times New Roman" w:hAnsi="Calibri" w:cs="Segoe UI"/>
          <w:i/>
          <w:color w:val="1F4E79" w:themeColor="accent1" w:themeShade="80"/>
          <w:sz w:val="28"/>
          <w:szCs w:val="28"/>
          <w:lang w:eastAsia="it-IT"/>
        </w:rPr>
        <w:t>filoeuropeista</w:t>
      </w:r>
      <w:r w:rsidR="007C5445">
        <w:rPr>
          <w:rFonts w:ascii="Calibri" w:eastAsia="Times New Roman" w:hAnsi="Calibri" w:cs="Segoe UI"/>
          <w:color w:val="1F4E79" w:themeColor="accent1" w:themeShade="80"/>
          <w:sz w:val="28"/>
          <w:szCs w:val="28"/>
          <w:lang w:eastAsia="it-IT"/>
        </w:rPr>
        <w:t>”</w:t>
      </w:r>
      <w:r w:rsidR="00FA1B58" w:rsidRPr="00B208E4">
        <w:rPr>
          <w:rFonts w:ascii="Calibri" w:eastAsia="Times New Roman" w:hAnsi="Calibri" w:cs="Segoe UI"/>
          <w:color w:val="1F4E79" w:themeColor="accent1" w:themeShade="80"/>
          <w:sz w:val="28"/>
          <w:szCs w:val="28"/>
          <w:lang w:eastAsia="it-IT"/>
        </w:rPr>
        <w:t>,</w:t>
      </w:r>
      <w:r w:rsidR="00757034" w:rsidRPr="00B208E4">
        <w:rPr>
          <w:rFonts w:ascii="Calibri" w:eastAsia="Times New Roman" w:hAnsi="Calibri" w:cs="Segoe UI"/>
          <w:color w:val="1F4E79" w:themeColor="accent1" w:themeShade="80"/>
          <w:sz w:val="28"/>
          <w:szCs w:val="28"/>
          <w:lang w:eastAsia="it-IT"/>
        </w:rPr>
        <w:t xml:space="preserve"> </w:t>
      </w:r>
      <w:r w:rsidR="007C5445">
        <w:rPr>
          <w:rFonts w:ascii="Calibri" w:eastAsia="Times New Roman" w:hAnsi="Calibri" w:cs="Segoe UI"/>
          <w:color w:val="1F4E79" w:themeColor="accent1" w:themeShade="80"/>
          <w:sz w:val="28"/>
          <w:szCs w:val="28"/>
          <w:lang w:eastAsia="it-IT"/>
        </w:rPr>
        <w:t xml:space="preserve">implicitamente </w:t>
      </w:r>
      <w:r w:rsidR="00757034" w:rsidRPr="00B208E4">
        <w:rPr>
          <w:rFonts w:ascii="Calibri" w:eastAsia="Times New Roman" w:hAnsi="Calibri" w:cs="Segoe UI"/>
          <w:color w:val="1F4E79" w:themeColor="accent1" w:themeShade="80"/>
          <w:sz w:val="28"/>
          <w:szCs w:val="28"/>
          <w:lang w:eastAsia="it-IT"/>
        </w:rPr>
        <w:t>dà per scontato che il terzo grado di giudizio</w:t>
      </w:r>
      <w:r w:rsidR="00FA1B58" w:rsidRPr="00B208E4">
        <w:rPr>
          <w:rFonts w:ascii="Calibri" w:eastAsia="Times New Roman" w:hAnsi="Calibri" w:cs="Segoe UI"/>
          <w:color w:val="1F4E79" w:themeColor="accent1" w:themeShade="80"/>
          <w:sz w:val="28"/>
          <w:szCs w:val="28"/>
          <w:lang w:eastAsia="it-IT"/>
        </w:rPr>
        <w:t xml:space="preserve"> svolto attraverso il ricorso ex art. 111, comma ottavo,</w:t>
      </w:r>
      <w:r w:rsidR="00757034" w:rsidRPr="00B208E4">
        <w:rPr>
          <w:rFonts w:ascii="Calibri" w:eastAsia="Times New Roman" w:hAnsi="Calibri" w:cs="Segoe UI"/>
          <w:color w:val="1F4E79" w:themeColor="accent1" w:themeShade="80"/>
          <w:sz w:val="28"/>
          <w:szCs w:val="28"/>
          <w:lang w:eastAsia="it-IT"/>
        </w:rPr>
        <w:t xml:space="preserve"> non possa che assicurare </w:t>
      </w:r>
      <w:r w:rsidR="00B41A4C" w:rsidRPr="00B208E4">
        <w:rPr>
          <w:rFonts w:ascii="Calibri" w:eastAsia="Times New Roman" w:hAnsi="Calibri" w:cs="Segoe UI"/>
          <w:color w:val="1F4E79" w:themeColor="accent1" w:themeShade="80"/>
          <w:sz w:val="28"/>
          <w:szCs w:val="28"/>
          <w:lang w:eastAsia="it-IT"/>
        </w:rPr>
        <w:t>la corretta interpretazione e applicazione del diritto europeo. I</w:t>
      </w:r>
      <w:r w:rsidR="0056423C" w:rsidRPr="00B208E4">
        <w:rPr>
          <w:rFonts w:ascii="Calibri" w:eastAsia="Times New Roman" w:hAnsi="Calibri" w:cs="Segoe UI"/>
          <w:color w:val="1F4E79" w:themeColor="accent1" w:themeShade="80"/>
          <w:sz w:val="28"/>
          <w:szCs w:val="28"/>
          <w:lang w:eastAsia="it-IT"/>
        </w:rPr>
        <w:t>l che è certamente auspicabile</w:t>
      </w:r>
      <w:r w:rsidR="00927AAD" w:rsidRPr="00B208E4">
        <w:rPr>
          <w:rFonts w:ascii="Calibri" w:eastAsia="Times New Roman" w:hAnsi="Calibri" w:cs="Segoe UI"/>
          <w:color w:val="1F4E79" w:themeColor="accent1" w:themeShade="80"/>
          <w:sz w:val="28"/>
          <w:szCs w:val="28"/>
          <w:lang w:eastAsia="it-IT"/>
        </w:rPr>
        <w:t xml:space="preserve"> e anche molto probabile</w:t>
      </w:r>
      <w:r w:rsidR="0056423C" w:rsidRPr="00B208E4">
        <w:rPr>
          <w:rFonts w:ascii="Calibri" w:eastAsia="Times New Roman" w:hAnsi="Calibri" w:cs="Segoe UI"/>
          <w:color w:val="1F4E79" w:themeColor="accent1" w:themeShade="80"/>
          <w:sz w:val="28"/>
          <w:szCs w:val="28"/>
          <w:lang w:eastAsia="it-IT"/>
        </w:rPr>
        <w:t>.</w:t>
      </w:r>
    </w:p>
    <w:p w:rsidR="00B1154D" w:rsidRPr="00B208E4" w:rsidRDefault="0056423C"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Insomma, sembrerebbe ipotizzarsi che la desiderata estensione del sindacato della Cassazione</w:t>
      </w:r>
      <w:r w:rsidR="00B1154D" w:rsidRPr="00B208E4">
        <w:rPr>
          <w:rFonts w:ascii="Calibri" w:eastAsia="Times New Roman" w:hAnsi="Calibri" w:cs="Segoe UI"/>
          <w:color w:val="1F4E79" w:themeColor="accent1" w:themeShade="80"/>
          <w:sz w:val="28"/>
          <w:szCs w:val="28"/>
          <w:lang w:eastAsia="it-IT"/>
        </w:rPr>
        <w:t xml:space="preserve"> sulle decisioni del Consiglio di Stato</w:t>
      </w:r>
      <w:r w:rsidRPr="00B208E4">
        <w:rPr>
          <w:rFonts w:ascii="Calibri" w:eastAsia="Times New Roman" w:hAnsi="Calibri" w:cs="Segoe UI"/>
          <w:color w:val="1F4E79" w:themeColor="accent1" w:themeShade="80"/>
          <w:sz w:val="28"/>
          <w:szCs w:val="28"/>
          <w:lang w:eastAsia="it-IT"/>
        </w:rPr>
        <w:t xml:space="preserve"> sia destinata ad operare </w:t>
      </w:r>
      <w:r w:rsidR="007C5445">
        <w:rPr>
          <w:rFonts w:ascii="Calibri" w:eastAsia="Times New Roman" w:hAnsi="Calibri" w:cs="Segoe UI"/>
          <w:color w:val="1F4E79" w:themeColor="accent1" w:themeShade="80"/>
          <w:sz w:val="28"/>
          <w:szCs w:val="28"/>
          <w:lang w:eastAsia="it-IT"/>
        </w:rPr>
        <w:t xml:space="preserve">solo </w:t>
      </w:r>
      <w:r w:rsidRPr="00B208E4">
        <w:rPr>
          <w:rFonts w:ascii="Calibri" w:eastAsia="Times New Roman" w:hAnsi="Calibri" w:cs="Segoe UI"/>
          <w:color w:val="1F4E79" w:themeColor="accent1" w:themeShade="80"/>
          <w:sz w:val="28"/>
          <w:szCs w:val="28"/>
          <w:lang w:eastAsia="it-IT"/>
        </w:rPr>
        <w:t>“</w:t>
      </w:r>
      <w:r w:rsidRPr="00B208E4">
        <w:rPr>
          <w:rFonts w:ascii="Calibri" w:eastAsia="Times New Roman" w:hAnsi="Calibri" w:cs="Segoe UI"/>
          <w:i/>
          <w:color w:val="1F4E79" w:themeColor="accent1" w:themeShade="80"/>
          <w:sz w:val="28"/>
          <w:szCs w:val="28"/>
          <w:lang w:eastAsia="it-IT"/>
        </w:rPr>
        <w:t>unilateralmente</w:t>
      </w:r>
      <w:r w:rsidRPr="00B208E4">
        <w:rPr>
          <w:rFonts w:ascii="Calibri" w:eastAsia="Times New Roman" w:hAnsi="Calibri" w:cs="Segoe UI"/>
          <w:color w:val="1F4E79" w:themeColor="accent1" w:themeShade="80"/>
          <w:sz w:val="28"/>
          <w:szCs w:val="28"/>
          <w:lang w:eastAsia="it-IT"/>
        </w:rPr>
        <w:t>”</w:t>
      </w:r>
      <w:r w:rsidR="00993A43" w:rsidRPr="00B208E4">
        <w:rPr>
          <w:rFonts w:ascii="Calibri" w:eastAsia="Times New Roman" w:hAnsi="Calibri" w:cs="Segoe UI"/>
          <w:color w:val="1F4E79" w:themeColor="accent1" w:themeShade="80"/>
          <w:sz w:val="28"/>
          <w:szCs w:val="28"/>
          <w:lang w:eastAsia="it-IT"/>
        </w:rPr>
        <w:t xml:space="preserve">, nel </w:t>
      </w:r>
      <w:r w:rsidR="00B1154D" w:rsidRPr="00B208E4">
        <w:rPr>
          <w:rFonts w:ascii="Calibri" w:eastAsia="Times New Roman" w:hAnsi="Calibri" w:cs="Segoe UI"/>
          <w:color w:val="1F4E79" w:themeColor="accent1" w:themeShade="80"/>
          <w:sz w:val="28"/>
          <w:szCs w:val="28"/>
          <w:lang w:eastAsia="it-IT"/>
        </w:rPr>
        <w:t>duplice senso che:</w:t>
      </w:r>
    </w:p>
    <w:p w:rsidR="00B1154D" w:rsidRPr="00B208E4" w:rsidRDefault="00B1154D" w:rsidP="00FB7048">
      <w:pPr>
        <w:pStyle w:val="Paragrafoelenco"/>
        <w:numPr>
          <w:ilvl w:val="0"/>
          <w:numId w:val="13"/>
        </w:numPr>
        <w:shd w:val="clear" w:color="auto" w:fill="FFFFFF"/>
        <w:tabs>
          <w:tab w:val="left" w:pos="0"/>
        </w:tabs>
        <w:spacing w:after="120" w:line="240" w:lineRule="auto"/>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il sindacato della Cassazione si attiverebbe solo di fronte a </w:t>
      </w:r>
      <w:r w:rsidR="007C5445">
        <w:rPr>
          <w:rFonts w:ascii="Calibri" w:eastAsia="Times New Roman" w:hAnsi="Calibri" w:cs="Segoe UI"/>
          <w:color w:val="1F4E79" w:themeColor="accent1" w:themeShade="80"/>
          <w:sz w:val="28"/>
          <w:szCs w:val="28"/>
          <w:lang w:eastAsia="it-IT"/>
        </w:rPr>
        <w:t>sentenze</w:t>
      </w:r>
      <w:r w:rsidRPr="00B208E4">
        <w:rPr>
          <w:rFonts w:ascii="Calibri" w:eastAsia="Times New Roman" w:hAnsi="Calibri" w:cs="Segoe UI"/>
          <w:color w:val="1F4E79" w:themeColor="accent1" w:themeShade="80"/>
          <w:sz w:val="28"/>
          <w:szCs w:val="28"/>
          <w:lang w:eastAsia="it-IT"/>
        </w:rPr>
        <w:t xml:space="preserve"> </w:t>
      </w:r>
      <w:r w:rsidR="005D7818">
        <w:rPr>
          <w:rFonts w:ascii="Calibri" w:eastAsia="Times New Roman" w:hAnsi="Calibri" w:cs="Segoe UI"/>
          <w:color w:val="1F4E79" w:themeColor="accent1" w:themeShade="80"/>
          <w:sz w:val="28"/>
          <w:szCs w:val="28"/>
          <w:lang w:eastAsia="it-IT"/>
        </w:rPr>
        <w:t xml:space="preserve">del giudice amministrativo </w:t>
      </w:r>
      <w:r w:rsidRPr="00B208E4">
        <w:rPr>
          <w:rFonts w:ascii="Calibri" w:eastAsia="Times New Roman" w:hAnsi="Calibri" w:cs="Segoe UI"/>
          <w:color w:val="1F4E79" w:themeColor="accent1" w:themeShade="80"/>
          <w:sz w:val="28"/>
          <w:szCs w:val="28"/>
          <w:lang w:eastAsia="it-IT"/>
        </w:rPr>
        <w:t xml:space="preserve">che disconoscono posizioni giuridiche protette dall’ordinamento </w:t>
      </w:r>
      <w:r w:rsidR="005D7818" w:rsidRPr="00B208E4">
        <w:rPr>
          <w:rFonts w:ascii="Calibri" w:eastAsia="Times New Roman" w:hAnsi="Calibri" w:cs="Segoe UI"/>
          <w:color w:val="1F4E79" w:themeColor="accent1" w:themeShade="80"/>
          <w:sz w:val="28"/>
          <w:szCs w:val="28"/>
          <w:lang w:eastAsia="it-IT"/>
        </w:rPr>
        <w:t>europeo</w:t>
      </w:r>
      <w:r w:rsidRPr="00B208E4">
        <w:rPr>
          <w:rFonts w:ascii="Calibri" w:eastAsia="Times New Roman" w:hAnsi="Calibri" w:cs="Segoe UI"/>
          <w:color w:val="1F4E79" w:themeColor="accent1" w:themeShade="80"/>
          <w:sz w:val="28"/>
          <w:szCs w:val="28"/>
          <w:lang w:eastAsia="it-IT"/>
        </w:rPr>
        <w:t>;</w:t>
      </w:r>
    </w:p>
    <w:p w:rsidR="00993A43" w:rsidRPr="00B208E4" w:rsidRDefault="00AB6561" w:rsidP="00FB7048">
      <w:pPr>
        <w:pStyle w:val="Paragrafoelenco"/>
        <w:numPr>
          <w:ilvl w:val="0"/>
          <w:numId w:val="13"/>
        </w:numPr>
        <w:shd w:val="clear" w:color="auto" w:fill="FFFFFF"/>
        <w:tabs>
          <w:tab w:val="left" w:pos="0"/>
        </w:tabs>
        <w:spacing w:after="120" w:line="240" w:lineRule="auto"/>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la decisione della Cassazione sarebbe inevitabilmente conforme al diritto europeo, consentendo </w:t>
      </w:r>
      <w:r w:rsidR="00993A43" w:rsidRPr="00B208E4">
        <w:rPr>
          <w:rFonts w:ascii="Calibri" w:eastAsia="Times New Roman" w:hAnsi="Calibri" w:cs="Segoe UI"/>
          <w:color w:val="1F4E79" w:themeColor="accent1" w:themeShade="80"/>
          <w:sz w:val="28"/>
          <w:szCs w:val="28"/>
          <w:lang w:eastAsia="it-IT"/>
        </w:rPr>
        <w:t>la correzione delle decisioni del Consiglio di Stato in chiave europea</w:t>
      </w:r>
      <w:r w:rsidR="00674A22" w:rsidRPr="00B208E4">
        <w:rPr>
          <w:rFonts w:ascii="Calibri" w:eastAsia="Times New Roman" w:hAnsi="Calibri" w:cs="Segoe UI"/>
          <w:color w:val="1F4E79" w:themeColor="accent1" w:themeShade="80"/>
          <w:sz w:val="28"/>
          <w:szCs w:val="28"/>
          <w:lang w:eastAsia="it-IT"/>
        </w:rPr>
        <w:t>, a difesa del ricorrente vittima di un’errata</w:t>
      </w:r>
      <w:r w:rsidR="007C5445">
        <w:rPr>
          <w:rFonts w:ascii="Calibri" w:eastAsia="Times New Roman" w:hAnsi="Calibri" w:cs="Segoe UI"/>
          <w:color w:val="1F4E79" w:themeColor="accent1" w:themeShade="80"/>
          <w:sz w:val="28"/>
          <w:szCs w:val="28"/>
          <w:lang w:eastAsia="it-IT"/>
        </w:rPr>
        <w:t xml:space="preserve"> pronuncia</w:t>
      </w:r>
      <w:r w:rsidR="00993A43" w:rsidRPr="00B208E4">
        <w:rPr>
          <w:rFonts w:ascii="Calibri" w:eastAsia="Times New Roman" w:hAnsi="Calibri" w:cs="Segoe UI"/>
          <w:color w:val="1F4E79" w:themeColor="accent1" w:themeShade="80"/>
          <w:sz w:val="28"/>
          <w:szCs w:val="28"/>
          <w:lang w:eastAsia="it-IT"/>
        </w:rPr>
        <w:t>.</w:t>
      </w:r>
    </w:p>
    <w:p w:rsidR="00A229A4" w:rsidRPr="00B208E4" w:rsidRDefault="00A229A4"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Questa </w:t>
      </w:r>
      <w:r w:rsidR="00DF7097" w:rsidRPr="00B208E4">
        <w:rPr>
          <w:rFonts w:ascii="Calibri" w:eastAsia="Times New Roman" w:hAnsi="Calibri" w:cs="Segoe UI"/>
          <w:color w:val="1F4E79" w:themeColor="accent1" w:themeShade="80"/>
          <w:sz w:val="28"/>
          <w:szCs w:val="28"/>
          <w:lang w:eastAsia="it-IT"/>
        </w:rPr>
        <w:t xml:space="preserve">premessa non esplicitata, </w:t>
      </w:r>
      <w:r w:rsidRPr="00B208E4">
        <w:rPr>
          <w:rFonts w:ascii="Calibri" w:eastAsia="Times New Roman" w:hAnsi="Calibri" w:cs="Segoe UI"/>
          <w:color w:val="1F4E79" w:themeColor="accent1" w:themeShade="80"/>
          <w:sz w:val="28"/>
          <w:szCs w:val="28"/>
          <w:lang w:eastAsia="it-IT"/>
        </w:rPr>
        <w:t>del resto,</w:t>
      </w:r>
      <w:r w:rsidR="00DF7097" w:rsidRPr="00B208E4">
        <w:rPr>
          <w:rFonts w:ascii="Calibri" w:eastAsia="Times New Roman" w:hAnsi="Calibri" w:cs="Segoe UI"/>
          <w:color w:val="1F4E79" w:themeColor="accent1" w:themeShade="80"/>
          <w:sz w:val="28"/>
          <w:szCs w:val="28"/>
          <w:lang w:eastAsia="it-IT"/>
        </w:rPr>
        <w:t xml:space="preserve"> si connette al</w:t>
      </w:r>
      <w:r w:rsidRPr="00B208E4">
        <w:rPr>
          <w:rFonts w:ascii="Calibri" w:eastAsia="Times New Roman" w:hAnsi="Calibri" w:cs="Segoe UI"/>
          <w:color w:val="1F4E79" w:themeColor="accent1" w:themeShade="80"/>
          <w:sz w:val="28"/>
          <w:szCs w:val="28"/>
          <w:lang w:eastAsia="it-IT"/>
        </w:rPr>
        <w:t>la prospettiva ermeneutica “intermedia”</w:t>
      </w:r>
      <w:r w:rsidR="005D7818">
        <w:rPr>
          <w:rFonts w:ascii="Calibri" w:eastAsia="Times New Roman" w:hAnsi="Calibri" w:cs="Segoe UI"/>
          <w:color w:val="1F4E79" w:themeColor="accent1" w:themeShade="80"/>
          <w:sz w:val="28"/>
          <w:szCs w:val="28"/>
          <w:lang w:eastAsia="it-IT"/>
        </w:rPr>
        <w:t xml:space="preserve"> dell’</w:t>
      </w:r>
      <w:r w:rsidR="00DF7097" w:rsidRPr="00B208E4">
        <w:rPr>
          <w:rFonts w:ascii="Calibri" w:eastAsia="Times New Roman" w:hAnsi="Calibri" w:cs="Segoe UI"/>
          <w:color w:val="1F4E79" w:themeColor="accent1" w:themeShade="80"/>
          <w:sz w:val="28"/>
          <w:szCs w:val="28"/>
          <w:lang w:eastAsia="it-IT"/>
        </w:rPr>
        <w:t>indirizzo emerso dalla Cassazione</w:t>
      </w:r>
      <w:r w:rsidRPr="00B208E4">
        <w:rPr>
          <w:rFonts w:ascii="Calibri" w:eastAsia="Times New Roman" w:hAnsi="Calibri" w:cs="Segoe UI"/>
          <w:color w:val="1F4E79" w:themeColor="accent1" w:themeShade="80"/>
          <w:sz w:val="28"/>
          <w:szCs w:val="28"/>
          <w:lang w:eastAsia="it-IT"/>
        </w:rPr>
        <w:t>, collegata alla estensione del concetto di “</w:t>
      </w:r>
      <w:r w:rsidRPr="00B208E4">
        <w:rPr>
          <w:rFonts w:ascii="Calibri" w:eastAsia="Times New Roman" w:hAnsi="Calibri" w:cs="Segoe UI"/>
          <w:i/>
          <w:color w:val="1F4E79" w:themeColor="accent1" w:themeShade="80"/>
          <w:sz w:val="28"/>
          <w:szCs w:val="28"/>
          <w:lang w:eastAsia="it-IT"/>
        </w:rPr>
        <w:t>rifiuto di giurisdizione</w:t>
      </w:r>
      <w:r w:rsidR="00DF7097" w:rsidRPr="00B208E4">
        <w:rPr>
          <w:rFonts w:ascii="Calibri" w:eastAsia="Times New Roman" w:hAnsi="Calibri" w:cs="Segoe UI"/>
          <w:color w:val="1F4E79" w:themeColor="accent1" w:themeShade="80"/>
          <w:sz w:val="28"/>
          <w:szCs w:val="28"/>
          <w:lang w:eastAsia="it-IT"/>
        </w:rPr>
        <w:t xml:space="preserve">”: la violazione del diritto europeo sarebbe sindacabile in Cassazione solo nelle ipotesi in </w:t>
      </w:r>
      <w:r w:rsidR="005D7818">
        <w:rPr>
          <w:rFonts w:ascii="Calibri" w:eastAsia="Times New Roman" w:hAnsi="Calibri" w:cs="Segoe UI"/>
          <w:color w:val="1F4E79" w:themeColor="accent1" w:themeShade="80"/>
          <w:sz w:val="28"/>
          <w:szCs w:val="28"/>
          <w:lang w:eastAsia="it-IT"/>
        </w:rPr>
        <w:t xml:space="preserve">essa </w:t>
      </w:r>
      <w:r w:rsidR="00DF7097" w:rsidRPr="00B208E4">
        <w:rPr>
          <w:rFonts w:ascii="Calibri" w:eastAsia="Times New Roman" w:hAnsi="Calibri" w:cs="Segoe UI"/>
          <w:color w:val="1F4E79" w:themeColor="accent1" w:themeShade="80"/>
          <w:sz w:val="28"/>
          <w:szCs w:val="28"/>
          <w:lang w:eastAsia="it-IT"/>
        </w:rPr>
        <w:t xml:space="preserve">cui si risolve nella sostanziale </w:t>
      </w:r>
      <w:r w:rsidR="00DF7097" w:rsidRPr="007C5445">
        <w:rPr>
          <w:rFonts w:ascii="Calibri" w:eastAsia="Times New Roman" w:hAnsi="Calibri" w:cs="Segoe UI"/>
          <w:i/>
          <w:color w:val="1F4E79" w:themeColor="accent1" w:themeShade="80"/>
          <w:sz w:val="28"/>
          <w:szCs w:val="28"/>
          <w:lang w:eastAsia="it-IT"/>
        </w:rPr>
        <w:t>negazione</w:t>
      </w:r>
      <w:r w:rsidR="00DF7097" w:rsidRPr="00B208E4">
        <w:rPr>
          <w:rFonts w:ascii="Calibri" w:eastAsia="Times New Roman" w:hAnsi="Calibri" w:cs="Segoe UI"/>
          <w:color w:val="1F4E79" w:themeColor="accent1" w:themeShade="80"/>
          <w:sz w:val="28"/>
          <w:szCs w:val="28"/>
          <w:lang w:eastAsia="it-IT"/>
        </w:rPr>
        <w:t xml:space="preserve"> di una posizione giuridica tutelata dal diritto UE</w:t>
      </w:r>
      <w:r w:rsidR="005D7818">
        <w:rPr>
          <w:rStyle w:val="Rimandonotaapidipagina"/>
          <w:rFonts w:ascii="Calibri" w:eastAsia="Times New Roman" w:hAnsi="Calibri" w:cs="Segoe UI"/>
          <w:color w:val="1F4E79" w:themeColor="accent1" w:themeShade="80"/>
          <w:sz w:val="28"/>
          <w:szCs w:val="28"/>
          <w:lang w:eastAsia="it-IT"/>
        </w:rPr>
        <w:footnoteReference w:id="45"/>
      </w:r>
      <w:r w:rsidR="007C5445">
        <w:rPr>
          <w:rFonts w:ascii="Calibri" w:eastAsia="Times New Roman" w:hAnsi="Calibri" w:cs="Segoe UI"/>
          <w:color w:val="1F4E79" w:themeColor="accent1" w:themeShade="80"/>
          <w:sz w:val="28"/>
          <w:szCs w:val="28"/>
          <w:lang w:eastAsia="it-IT"/>
        </w:rPr>
        <w:t>. Sarebbe escluso, o, quanto meno, difficilmente configurabile l’opposto caso di “eccesso di giurisdizione”, configurabile quando il giudice amministrativo accolga erroneamente una domanda, a tutela di una posizione giuridica non protetta dall’ordinamento europeo</w:t>
      </w:r>
      <w:r w:rsidR="00DF7097" w:rsidRPr="00B208E4">
        <w:rPr>
          <w:rFonts w:ascii="Calibri" w:eastAsia="Times New Roman" w:hAnsi="Calibri" w:cs="Segoe UI"/>
          <w:color w:val="1F4E79" w:themeColor="accent1" w:themeShade="80"/>
          <w:sz w:val="28"/>
          <w:szCs w:val="28"/>
          <w:lang w:eastAsia="it-IT"/>
        </w:rPr>
        <w:t>.</w:t>
      </w:r>
    </w:p>
    <w:p w:rsidR="00DC3D6F" w:rsidRPr="00B208E4" w:rsidRDefault="00993A43"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Ma, evidentemente, </w:t>
      </w:r>
      <w:r w:rsidR="00DC3D6F" w:rsidRPr="00B208E4">
        <w:rPr>
          <w:rFonts w:ascii="Calibri" w:eastAsia="Times New Roman" w:hAnsi="Calibri" w:cs="Segoe UI"/>
          <w:color w:val="1F4E79" w:themeColor="accent1" w:themeShade="80"/>
          <w:sz w:val="28"/>
          <w:szCs w:val="28"/>
          <w:lang w:eastAsia="it-IT"/>
        </w:rPr>
        <w:t xml:space="preserve">la prospettiva </w:t>
      </w:r>
      <w:r w:rsidR="00DC3D6F" w:rsidRPr="00B208E4">
        <w:rPr>
          <w:rFonts w:ascii="Calibri" w:eastAsia="Times New Roman" w:hAnsi="Calibri" w:cs="Segoe UI"/>
          <w:i/>
          <w:color w:val="1F4E79" w:themeColor="accent1" w:themeShade="80"/>
          <w:sz w:val="28"/>
          <w:szCs w:val="28"/>
          <w:lang w:eastAsia="it-IT"/>
        </w:rPr>
        <w:t>unilaterale</w:t>
      </w:r>
      <w:r w:rsidR="00DC3D6F" w:rsidRPr="00B208E4">
        <w:rPr>
          <w:rFonts w:ascii="Calibri" w:eastAsia="Times New Roman" w:hAnsi="Calibri" w:cs="Segoe UI"/>
          <w:color w:val="1F4E79" w:themeColor="accent1" w:themeShade="80"/>
          <w:sz w:val="28"/>
          <w:szCs w:val="28"/>
          <w:lang w:eastAsia="it-IT"/>
        </w:rPr>
        <w:t xml:space="preserve"> non potrebbe funzionare</w:t>
      </w:r>
      <w:r w:rsidR="007C5445">
        <w:rPr>
          <w:rFonts w:ascii="Calibri" w:eastAsia="Times New Roman" w:hAnsi="Calibri" w:cs="Segoe UI"/>
          <w:color w:val="1F4E79" w:themeColor="accent1" w:themeShade="80"/>
          <w:sz w:val="28"/>
          <w:szCs w:val="28"/>
          <w:lang w:eastAsia="it-IT"/>
        </w:rPr>
        <w:t>, se si volesse garantire coerenza al sistema</w:t>
      </w:r>
      <w:r w:rsidR="00DC3D6F" w:rsidRPr="00B208E4">
        <w:rPr>
          <w:rFonts w:ascii="Calibri" w:eastAsia="Times New Roman" w:hAnsi="Calibri" w:cs="Segoe UI"/>
          <w:color w:val="1F4E79" w:themeColor="accent1" w:themeShade="80"/>
          <w:sz w:val="28"/>
          <w:szCs w:val="28"/>
          <w:lang w:eastAsia="it-IT"/>
        </w:rPr>
        <w:t>.</w:t>
      </w:r>
    </w:p>
    <w:p w:rsidR="00074778" w:rsidRPr="00B208E4" w:rsidRDefault="00DC3D6F"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Se </w:t>
      </w:r>
      <w:r w:rsidR="00993A43" w:rsidRPr="00B208E4">
        <w:rPr>
          <w:rFonts w:ascii="Calibri" w:eastAsia="Times New Roman" w:hAnsi="Calibri" w:cs="Segoe UI"/>
          <w:color w:val="1F4E79" w:themeColor="accent1" w:themeShade="80"/>
          <w:sz w:val="28"/>
          <w:szCs w:val="28"/>
          <w:lang w:eastAsia="it-IT"/>
        </w:rPr>
        <w:t>si ammette il ricorso per cassazion</w:t>
      </w:r>
      <w:r w:rsidR="00074778" w:rsidRPr="00B208E4">
        <w:rPr>
          <w:rFonts w:ascii="Calibri" w:eastAsia="Times New Roman" w:hAnsi="Calibri" w:cs="Segoe UI"/>
          <w:color w:val="1F4E79" w:themeColor="accent1" w:themeShade="80"/>
          <w:sz w:val="28"/>
          <w:szCs w:val="28"/>
          <w:lang w:eastAsia="it-IT"/>
        </w:rPr>
        <w:t>e in relazione a qualsivoglia violazione del diritto europeo, il rimedio</w:t>
      </w:r>
      <w:r w:rsidR="00F63506">
        <w:rPr>
          <w:rFonts w:ascii="Calibri" w:eastAsia="Times New Roman" w:hAnsi="Calibri" w:cs="Segoe UI"/>
          <w:color w:val="1F4E79" w:themeColor="accent1" w:themeShade="80"/>
          <w:sz w:val="28"/>
          <w:szCs w:val="28"/>
          <w:lang w:eastAsia="it-IT"/>
        </w:rPr>
        <w:t>, ovviamente,</w:t>
      </w:r>
      <w:r w:rsidR="00074778" w:rsidRPr="00B208E4">
        <w:rPr>
          <w:rFonts w:ascii="Calibri" w:eastAsia="Times New Roman" w:hAnsi="Calibri" w:cs="Segoe UI"/>
          <w:color w:val="1F4E79" w:themeColor="accent1" w:themeShade="80"/>
          <w:sz w:val="28"/>
          <w:szCs w:val="28"/>
          <w:lang w:eastAsia="it-IT"/>
        </w:rPr>
        <w:t xml:space="preserve"> </w:t>
      </w:r>
      <w:r w:rsidR="00F63506">
        <w:rPr>
          <w:rFonts w:ascii="Calibri" w:eastAsia="Times New Roman" w:hAnsi="Calibri" w:cs="Segoe UI"/>
          <w:color w:val="1F4E79" w:themeColor="accent1" w:themeShade="80"/>
          <w:sz w:val="28"/>
          <w:szCs w:val="28"/>
          <w:lang w:eastAsia="it-IT"/>
        </w:rPr>
        <w:t>d</w:t>
      </w:r>
      <w:r w:rsidR="00074778" w:rsidRPr="00B208E4">
        <w:rPr>
          <w:rFonts w:ascii="Calibri" w:eastAsia="Times New Roman" w:hAnsi="Calibri" w:cs="Segoe UI"/>
          <w:color w:val="1F4E79" w:themeColor="accent1" w:themeShade="80"/>
          <w:sz w:val="28"/>
          <w:szCs w:val="28"/>
          <w:lang w:eastAsia="it-IT"/>
        </w:rPr>
        <w:t>o</w:t>
      </w:r>
      <w:r w:rsidR="00F63506">
        <w:rPr>
          <w:rFonts w:ascii="Calibri" w:eastAsia="Times New Roman" w:hAnsi="Calibri" w:cs="Segoe UI"/>
          <w:color w:val="1F4E79" w:themeColor="accent1" w:themeShade="80"/>
          <w:sz w:val="28"/>
          <w:szCs w:val="28"/>
          <w:lang w:eastAsia="it-IT"/>
        </w:rPr>
        <w:t>v</w:t>
      </w:r>
      <w:r w:rsidR="00074778" w:rsidRPr="00B208E4">
        <w:rPr>
          <w:rFonts w:ascii="Calibri" w:eastAsia="Times New Roman" w:hAnsi="Calibri" w:cs="Segoe UI"/>
          <w:color w:val="1F4E79" w:themeColor="accent1" w:themeShade="80"/>
          <w:sz w:val="28"/>
          <w:szCs w:val="28"/>
          <w:lang w:eastAsia="it-IT"/>
        </w:rPr>
        <w:t>rà operare anche</w:t>
      </w:r>
      <w:r w:rsidR="00674A22" w:rsidRPr="00B208E4">
        <w:rPr>
          <w:rFonts w:ascii="Calibri" w:eastAsia="Times New Roman" w:hAnsi="Calibri" w:cs="Segoe UI"/>
          <w:color w:val="1F4E79" w:themeColor="accent1" w:themeShade="80"/>
          <w:sz w:val="28"/>
          <w:szCs w:val="28"/>
          <w:lang w:eastAsia="it-IT"/>
        </w:rPr>
        <w:t xml:space="preserve">, </w:t>
      </w:r>
      <w:r w:rsidR="00674A22" w:rsidRPr="00B208E4">
        <w:rPr>
          <w:rFonts w:ascii="Calibri" w:eastAsia="Times New Roman" w:hAnsi="Calibri" w:cs="Segoe UI"/>
          <w:i/>
          <w:color w:val="1F4E79" w:themeColor="accent1" w:themeShade="80"/>
          <w:sz w:val="28"/>
          <w:szCs w:val="28"/>
          <w:lang w:eastAsia="it-IT"/>
        </w:rPr>
        <w:t>a parti invertite</w:t>
      </w:r>
      <w:r w:rsidR="007C5445">
        <w:rPr>
          <w:rFonts w:ascii="Calibri" w:eastAsia="Times New Roman" w:hAnsi="Calibri" w:cs="Segoe UI"/>
          <w:color w:val="1F4E79" w:themeColor="accent1" w:themeShade="80"/>
          <w:sz w:val="28"/>
          <w:szCs w:val="28"/>
          <w:lang w:eastAsia="it-IT"/>
        </w:rPr>
        <w:t>. Pertanto, esso sarà praticabile</w:t>
      </w:r>
      <w:r w:rsidR="00074778" w:rsidRPr="00B208E4">
        <w:rPr>
          <w:rFonts w:ascii="Calibri" w:eastAsia="Times New Roman" w:hAnsi="Calibri" w:cs="Segoe UI"/>
          <w:color w:val="1F4E79" w:themeColor="accent1" w:themeShade="80"/>
          <w:sz w:val="28"/>
          <w:szCs w:val="28"/>
          <w:lang w:eastAsia="it-IT"/>
        </w:rPr>
        <w:t xml:space="preserve"> </w:t>
      </w:r>
      <w:r w:rsidR="007C5445">
        <w:rPr>
          <w:rFonts w:ascii="Calibri" w:eastAsia="Times New Roman" w:hAnsi="Calibri" w:cs="Segoe UI"/>
          <w:color w:val="1F4E79" w:themeColor="accent1" w:themeShade="80"/>
          <w:sz w:val="28"/>
          <w:szCs w:val="28"/>
          <w:lang w:eastAsia="it-IT"/>
        </w:rPr>
        <w:t>pur</w:t>
      </w:r>
      <w:r w:rsidRPr="00B208E4">
        <w:rPr>
          <w:rFonts w:ascii="Calibri" w:eastAsia="Times New Roman" w:hAnsi="Calibri" w:cs="Segoe UI"/>
          <w:color w:val="1F4E79" w:themeColor="accent1" w:themeShade="80"/>
          <w:sz w:val="28"/>
          <w:szCs w:val="28"/>
          <w:lang w:eastAsia="it-IT"/>
        </w:rPr>
        <w:t xml:space="preserve">e </w:t>
      </w:r>
      <w:r w:rsidR="00074778" w:rsidRPr="00B208E4">
        <w:rPr>
          <w:rFonts w:ascii="Calibri" w:eastAsia="Times New Roman" w:hAnsi="Calibri" w:cs="Segoe UI"/>
          <w:color w:val="1F4E79" w:themeColor="accent1" w:themeShade="80"/>
          <w:sz w:val="28"/>
          <w:szCs w:val="28"/>
          <w:lang w:eastAsia="it-IT"/>
        </w:rPr>
        <w:t>quando</w:t>
      </w:r>
      <w:r w:rsidRPr="00B208E4">
        <w:rPr>
          <w:rFonts w:ascii="Calibri" w:eastAsia="Times New Roman" w:hAnsi="Calibri" w:cs="Segoe UI"/>
          <w:color w:val="1F4E79" w:themeColor="accent1" w:themeShade="80"/>
          <w:sz w:val="28"/>
          <w:szCs w:val="28"/>
          <w:lang w:eastAsia="it-IT"/>
        </w:rPr>
        <w:t>, per esempio</w:t>
      </w:r>
      <w:r w:rsidR="00074778" w:rsidRPr="00B208E4">
        <w:rPr>
          <w:rFonts w:ascii="Calibri" w:eastAsia="Times New Roman" w:hAnsi="Calibri" w:cs="Segoe UI"/>
          <w:color w:val="1F4E79" w:themeColor="accent1" w:themeShade="80"/>
          <w:sz w:val="28"/>
          <w:szCs w:val="28"/>
          <w:lang w:eastAsia="it-IT"/>
        </w:rPr>
        <w:t xml:space="preserve"> il ricorrente lamenti che la decisione del Consiglio di Stato abbia </w:t>
      </w:r>
      <w:r w:rsidRPr="00B208E4">
        <w:rPr>
          <w:rFonts w:ascii="Calibri" w:eastAsia="Times New Roman" w:hAnsi="Calibri" w:cs="Segoe UI"/>
          <w:color w:val="1F4E79" w:themeColor="accent1" w:themeShade="80"/>
          <w:sz w:val="28"/>
          <w:szCs w:val="28"/>
          <w:lang w:eastAsia="it-IT"/>
        </w:rPr>
        <w:t>dichiarato</w:t>
      </w:r>
      <w:r w:rsidR="00074778" w:rsidRPr="00B208E4">
        <w:rPr>
          <w:rFonts w:ascii="Calibri" w:eastAsia="Times New Roman" w:hAnsi="Calibri" w:cs="Segoe UI"/>
          <w:color w:val="1F4E79" w:themeColor="accent1" w:themeShade="80"/>
          <w:sz w:val="28"/>
          <w:szCs w:val="28"/>
          <w:lang w:eastAsia="it-IT"/>
        </w:rPr>
        <w:t xml:space="preserve"> tutela</w:t>
      </w:r>
      <w:r w:rsidR="006017A4" w:rsidRPr="00B208E4">
        <w:rPr>
          <w:rFonts w:ascii="Calibri" w:eastAsia="Times New Roman" w:hAnsi="Calibri" w:cs="Segoe UI"/>
          <w:color w:val="1F4E79" w:themeColor="accent1" w:themeShade="80"/>
          <w:sz w:val="28"/>
          <w:szCs w:val="28"/>
          <w:lang w:eastAsia="it-IT"/>
        </w:rPr>
        <w:t xml:space="preserve">bile </w:t>
      </w:r>
      <w:r w:rsidR="00074778" w:rsidRPr="00B208E4">
        <w:rPr>
          <w:rFonts w:ascii="Calibri" w:eastAsia="Times New Roman" w:hAnsi="Calibri" w:cs="Segoe UI"/>
          <w:color w:val="1F4E79" w:themeColor="accent1" w:themeShade="80"/>
          <w:sz w:val="28"/>
          <w:szCs w:val="28"/>
          <w:lang w:eastAsia="it-IT"/>
        </w:rPr>
        <w:t>una posizione non riconosciuta dall’ordinamento (</w:t>
      </w:r>
      <w:r w:rsidR="00074778" w:rsidRPr="00B208E4">
        <w:rPr>
          <w:rFonts w:ascii="Calibri" w:eastAsia="Times New Roman" w:hAnsi="Calibri" w:cs="Segoe UI"/>
          <w:i/>
          <w:color w:val="1F4E79" w:themeColor="accent1" w:themeShade="80"/>
          <w:sz w:val="28"/>
          <w:szCs w:val="28"/>
          <w:lang w:eastAsia="it-IT"/>
        </w:rPr>
        <w:t>eccesso di giurisdizione</w:t>
      </w:r>
      <w:r w:rsidR="00074778" w:rsidRPr="00B208E4">
        <w:rPr>
          <w:rFonts w:ascii="Calibri" w:eastAsia="Times New Roman" w:hAnsi="Calibri" w:cs="Segoe UI"/>
          <w:color w:val="1F4E79" w:themeColor="accent1" w:themeShade="80"/>
          <w:sz w:val="28"/>
          <w:szCs w:val="28"/>
          <w:lang w:eastAsia="it-IT"/>
        </w:rPr>
        <w:t>).</w:t>
      </w:r>
    </w:p>
    <w:p w:rsidR="00674A22" w:rsidRPr="00B208E4" w:rsidRDefault="00674A22"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Né può trascurarsi che il ricorso per cassazione potrebbe allora proporsi, con finalità dilatorie, dalla parte che </w:t>
      </w:r>
      <w:r w:rsidR="004D25AB">
        <w:rPr>
          <w:rFonts w:ascii="Calibri" w:eastAsia="Times New Roman" w:hAnsi="Calibri" w:cs="Segoe UI"/>
          <w:color w:val="1F4E79" w:themeColor="accent1" w:themeShade="80"/>
          <w:sz w:val="28"/>
          <w:szCs w:val="28"/>
          <w:lang w:eastAsia="it-IT"/>
        </w:rPr>
        <w:t xml:space="preserve">denunci </w:t>
      </w:r>
      <w:r w:rsidRPr="00B208E4">
        <w:rPr>
          <w:rFonts w:ascii="Calibri" w:eastAsia="Times New Roman" w:hAnsi="Calibri" w:cs="Segoe UI"/>
          <w:color w:val="1F4E79" w:themeColor="accent1" w:themeShade="80"/>
          <w:sz w:val="28"/>
          <w:szCs w:val="28"/>
          <w:lang w:eastAsia="it-IT"/>
        </w:rPr>
        <w:t xml:space="preserve">l’erroneità dell’applicazione del diritto europeo </w:t>
      </w:r>
      <w:r w:rsidR="004D25AB">
        <w:rPr>
          <w:rFonts w:ascii="Calibri" w:eastAsia="Times New Roman" w:hAnsi="Calibri" w:cs="Segoe UI"/>
          <w:color w:val="1F4E79" w:themeColor="accent1" w:themeShade="80"/>
          <w:sz w:val="28"/>
          <w:szCs w:val="28"/>
          <w:lang w:eastAsia="it-IT"/>
        </w:rPr>
        <w:t xml:space="preserve">da parte del Consiglio di Stato, </w:t>
      </w:r>
      <w:r w:rsidRPr="00B208E4">
        <w:rPr>
          <w:rFonts w:ascii="Calibri" w:eastAsia="Times New Roman" w:hAnsi="Calibri" w:cs="Segoe UI"/>
          <w:color w:val="1F4E79" w:themeColor="accent1" w:themeShade="80"/>
          <w:sz w:val="28"/>
          <w:szCs w:val="28"/>
          <w:lang w:eastAsia="it-IT"/>
        </w:rPr>
        <w:t>in chiave per così dire ampliatrice della posizione del ricorrente.</w:t>
      </w:r>
    </w:p>
    <w:p w:rsidR="00674A22" w:rsidRPr="00B208E4" w:rsidRDefault="00674A22"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L’esecutività delle sentenze del Consiglio di Stato non sospese potrebbe attenuare solo in parte le conseguenze perverse di una dilatazione indiscriminata dell’ambito di ammissibilità del ricorso per cassazione,</w:t>
      </w:r>
    </w:p>
    <w:p w:rsidR="00AB1A1A" w:rsidRPr="00B208E4" w:rsidRDefault="00074778"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Quindi, </w:t>
      </w:r>
      <w:r w:rsidR="00B41A4C" w:rsidRPr="00B208E4">
        <w:rPr>
          <w:rFonts w:ascii="Calibri" w:eastAsia="Times New Roman" w:hAnsi="Calibri" w:cs="Segoe UI"/>
          <w:color w:val="1F4E79" w:themeColor="accent1" w:themeShade="80"/>
          <w:sz w:val="28"/>
          <w:szCs w:val="28"/>
          <w:lang w:eastAsia="it-IT"/>
        </w:rPr>
        <w:t xml:space="preserve">non si può escludere con </w:t>
      </w:r>
      <w:r w:rsidR="006017A4" w:rsidRPr="00B208E4">
        <w:rPr>
          <w:rFonts w:ascii="Calibri" w:eastAsia="Times New Roman" w:hAnsi="Calibri" w:cs="Segoe UI"/>
          <w:color w:val="1F4E79" w:themeColor="accent1" w:themeShade="80"/>
          <w:sz w:val="28"/>
          <w:szCs w:val="28"/>
          <w:lang w:eastAsia="it-IT"/>
        </w:rPr>
        <w:t xml:space="preserve">assoluta </w:t>
      </w:r>
      <w:r w:rsidR="00B41A4C" w:rsidRPr="00B208E4">
        <w:rPr>
          <w:rFonts w:ascii="Calibri" w:eastAsia="Times New Roman" w:hAnsi="Calibri" w:cs="Segoe UI"/>
          <w:color w:val="1F4E79" w:themeColor="accent1" w:themeShade="80"/>
          <w:sz w:val="28"/>
          <w:szCs w:val="28"/>
          <w:lang w:eastAsia="it-IT"/>
        </w:rPr>
        <w:t xml:space="preserve">certezza che anche la </w:t>
      </w:r>
      <w:r w:rsidR="006017A4" w:rsidRPr="00B208E4">
        <w:rPr>
          <w:rFonts w:ascii="Calibri" w:eastAsia="Times New Roman" w:hAnsi="Calibri" w:cs="Segoe UI"/>
          <w:color w:val="1F4E79" w:themeColor="accent1" w:themeShade="80"/>
          <w:sz w:val="28"/>
          <w:szCs w:val="28"/>
          <w:lang w:eastAsia="it-IT"/>
        </w:rPr>
        <w:t xml:space="preserve">stessa </w:t>
      </w:r>
      <w:r w:rsidR="00B41A4C" w:rsidRPr="00B208E4">
        <w:rPr>
          <w:rFonts w:ascii="Calibri" w:eastAsia="Times New Roman" w:hAnsi="Calibri" w:cs="Segoe UI"/>
          <w:color w:val="1F4E79" w:themeColor="accent1" w:themeShade="80"/>
          <w:sz w:val="28"/>
          <w:szCs w:val="28"/>
          <w:lang w:eastAsia="it-IT"/>
        </w:rPr>
        <w:t xml:space="preserve">decisione della Cassazione </w:t>
      </w:r>
      <w:r w:rsidR="00AB1A1A" w:rsidRPr="00B208E4">
        <w:rPr>
          <w:rFonts w:ascii="Calibri" w:eastAsia="Times New Roman" w:hAnsi="Calibri" w:cs="Segoe UI"/>
          <w:color w:val="1F4E79" w:themeColor="accent1" w:themeShade="80"/>
          <w:sz w:val="28"/>
          <w:szCs w:val="28"/>
          <w:lang w:eastAsia="it-IT"/>
        </w:rPr>
        <w:t xml:space="preserve">potrebbe </w:t>
      </w:r>
      <w:r w:rsidR="000A5E53" w:rsidRPr="00B208E4">
        <w:rPr>
          <w:rFonts w:ascii="Calibri" w:eastAsia="Times New Roman" w:hAnsi="Calibri" w:cs="Segoe UI"/>
          <w:color w:val="1F4E79" w:themeColor="accent1" w:themeShade="80"/>
          <w:sz w:val="28"/>
          <w:szCs w:val="28"/>
          <w:lang w:eastAsia="it-IT"/>
        </w:rPr>
        <w:t>risultare</w:t>
      </w:r>
      <w:r w:rsidR="007C5445">
        <w:rPr>
          <w:rFonts w:ascii="Calibri" w:eastAsia="Times New Roman" w:hAnsi="Calibri" w:cs="Segoe UI"/>
          <w:color w:val="1F4E79" w:themeColor="accent1" w:themeShade="80"/>
          <w:sz w:val="28"/>
          <w:szCs w:val="28"/>
          <w:lang w:eastAsia="it-IT"/>
        </w:rPr>
        <w:t>, anch’essa,</w:t>
      </w:r>
      <w:r w:rsidR="000A5E53" w:rsidRPr="00B208E4">
        <w:rPr>
          <w:rFonts w:ascii="Calibri" w:eastAsia="Times New Roman" w:hAnsi="Calibri" w:cs="Segoe UI"/>
          <w:color w:val="1F4E79" w:themeColor="accent1" w:themeShade="80"/>
          <w:sz w:val="28"/>
          <w:szCs w:val="28"/>
          <w:lang w:eastAsia="it-IT"/>
        </w:rPr>
        <w:t xml:space="preserve"> </w:t>
      </w:r>
      <w:r w:rsidR="007C5445">
        <w:rPr>
          <w:rFonts w:ascii="Calibri" w:eastAsia="Times New Roman" w:hAnsi="Calibri" w:cs="Segoe UI"/>
          <w:color w:val="1F4E79" w:themeColor="accent1" w:themeShade="80"/>
          <w:sz w:val="28"/>
          <w:szCs w:val="28"/>
          <w:lang w:eastAsia="it-IT"/>
        </w:rPr>
        <w:t xml:space="preserve">pronunciata in </w:t>
      </w:r>
      <w:r w:rsidR="00B25B93" w:rsidRPr="00B208E4">
        <w:rPr>
          <w:rFonts w:ascii="Calibri" w:eastAsia="Times New Roman" w:hAnsi="Calibri" w:cs="Segoe UI"/>
          <w:color w:val="1F4E79" w:themeColor="accent1" w:themeShade="80"/>
          <w:sz w:val="28"/>
          <w:szCs w:val="28"/>
          <w:lang w:eastAsia="it-IT"/>
        </w:rPr>
        <w:t>viola</w:t>
      </w:r>
      <w:r w:rsidR="007C5445">
        <w:rPr>
          <w:rFonts w:ascii="Calibri" w:eastAsia="Times New Roman" w:hAnsi="Calibri" w:cs="Segoe UI"/>
          <w:color w:val="1F4E79" w:themeColor="accent1" w:themeShade="80"/>
          <w:sz w:val="28"/>
          <w:szCs w:val="28"/>
          <w:lang w:eastAsia="it-IT"/>
        </w:rPr>
        <w:t>zione</w:t>
      </w:r>
      <w:r w:rsidR="00B25B93" w:rsidRPr="00B208E4">
        <w:rPr>
          <w:rFonts w:ascii="Calibri" w:eastAsia="Times New Roman" w:hAnsi="Calibri" w:cs="Segoe UI"/>
          <w:color w:val="1F4E79" w:themeColor="accent1" w:themeShade="80"/>
          <w:sz w:val="28"/>
          <w:szCs w:val="28"/>
          <w:lang w:eastAsia="it-IT"/>
        </w:rPr>
        <w:t xml:space="preserve"> del diritto europeo, perpetuando l’errore della sentenza impugnata, o</w:t>
      </w:r>
      <w:r w:rsidR="000A5E53" w:rsidRPr="00B208E4">
        <w:rPr>
          <w:rFonts w:ascii="Calibri" w:eastAsia="Times New Roman" w:hAnsi="Calibri" w:cs="Segoe UI"/>
          <w:color w:val="1F4E79" w:themeColor="accent1" w:themeShade="80"/>
          <w:sz w:val="28"/>
          <w:szCs w:val="28"/>
          <w:lang w:eastAsia="it-IT"/>
        </w:rPr>
        <w:t>,</w:t>
      </w:r>
      <w:r w:rsidR="00B25B93" w:rsidRPr="00B208E4">
        <w:rPr>
          <w:rFonts w:ascii="Calibri" w:eastAsia="Times New Roman" w:hAnsi="Calibri" w:cs="Segoe UI"/>
          <w:color w:val="1F4E79" w:themeColor="accent1" w:themeShade="80"/>
          <w:sz w:val="28"/>
          <w:szCs w:val="28"/>
          <w:lang w:eastAsia="it-IT"/>
        </w:rPr>
        <w:t xml:space="preserve"> persino</w:t>
      </w:r>
      <w:r w:rsidR="000A5E53" w:rsidRPr="00B208E4">
        <w:rPr>
          <w:rFonts w:ascii="Calibri" w:eastAsia="Times New Roman" w:hAnsi="Calibri" w:cs="Segoe UI"/>
          <w:color w:val="1F4E79" w:themeColor="accent1" w:themeShade="80"/>
          <w:sz w:val="28"/>
          <w:szCs w:val="28"/>
          <w:lang w:eastAsia="it-IT"/>
        </w:rPr>
        <w:t>,</w:t>
      </w:r>
      <w:r w:rsidR="00B25B93" w:rsidRPr="00B208E4">
        <w:rPr>
          <w:rFonts w:ascii="Calibri" w:eastAsia="Times New Roman" w:hAnsi="Calibri" w:cs="Segoe UI"/>
          <w:color w:val="1F4E79" w:themeColor="accent1" w:themeShade="80"/>
          <w:sz w:val="28"/>
          <w:szCs w:val="28"/>
          <w:lang w:eastAsia="it-IT"/>
        </w:rPr>
        <w:t xml:space="preserve"> </w:t>
      </w:r>
      <w:r w:rsidR="006D401A" w:rsidRPr="00B208E4">
        <w:rPr>
          <w:rFonts w:ascii="Calibri" w:eastAsia="Times New Roman" w:hAnsi="Calibri" w:cs="Segoe UI"/>
          <w:color w:val="1F4E79" w:themeColor="accent1" w:themeShade="80"/>
          <w:sz w:val="28"/>
          <w:szCs w:val="28"/>
          <w:lang w:eastAsia="it-IT"/>
        </w:rPr>
        <w:t>provocan</w:t>
      </w:r>
      <w:r w:rsidR="004D25AB">
        <w:rPr>
          <w:rFonts w:ascii="Calibri" w:eastAsia="Times New Roman" w:hAnsi="Calibri" w:cs="Segoe UI"/>
          <w:color w:val="1F4E79" w:themeColor="accent1" w:themeShade="80"/>
          <w:sz w:val="28"/>
          <w:szCs w:val="28"/>
          <w:lang w:eastAsia="it-IT"/>
        </w:rPr>
        <w:t xml:space="preserve">dolo, </w:t>
      </w:r>
      <w:r w:rsidR="00AB1A1A" w:rsidRPr="00B208E4">
        <w:rPr>
          <w:rFonts w:ascii="Calibri" w:eastAsia="Times New Roman" w:hAnsi="Calibri" w:cs="Segoe UI"/>
          <w:color w:val="1F4E79" w:themeColor="accent1" w:themeShade="80"/>
          <w:sz w:val="28"/>
          <w:szCs w:val="28"/>
          <w:lang w:eastAsia="it-IT"/>
        </w:rPr>
        <w:t>autonomamente</w:t>
      </w:r>
      <w:r w:rsidR="000A5E53" w:rsidRPr="00B208E4">
        <w:rPr>
          <w:rFonts w:ascii="Calibri" w:eastAsia="Times New Roman" w:hAnsi="Calibri" w:cs="Segoe UI"/>
          <w:color w:val="1F4E79" w:themeColor="accent1" w:themeShade="80"/>
          <w:sz w:val="28"/>
          <w:szCs w:val="28"/>
          <w:lang w:eastAsia="it-IT"/>
        </w:rPr>
        <w:t>, per la prima volta</w:t>
      </w:r>
      <w:r w:rsidR="004D25AB">
        <w:rPr>
          <w:rStyle w:val="Rimandonotaapidipagina"/>
          <w:rFonts w:ascii="Calibri" w:eastAsia="Times New Roman" w:hAnsi="Calibri" w:cs="Segoe UI"/>
          <w:color w:val="1F4E79" w:themeColor="accent1" w:themeShade="80"/>
          <w:sz w:val="28"/>
          <w:szCs w:val="28"/>
          <w:lang w:eastAsia="it-IT"/>
        </w:rPr>
        <w:footnoteReference w:id="46"/>
      </w:r>
      <w:r w:rsidR="00AB1A1A" w:rsidRPr="00B208E4">
        <w:rPr>
          <w:rFonts w:ascii="Calibri" w:eastAsia="Times New Roman" w:hAnsi="Calibri" w:cs="Segoe UI"/>
          <w:color w:val="1F4E79" w:themeColor="accent1" w:themeShade="80"/>
          <w:sz w:val="28"/>
          <w:szCs w:val="28"/>
          <w:lang w:eastAsia="it-IT"/>
        </w:rPr>
        <w:t>.</w:t>
      </w:r>
    </w:p>
    <w:p w:rsidR="000A5E53" w:rsidRPr="00B208E4" w:rsidRDefault="000A5E53"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Insomma, il terzo grado di giudizio potrebbe aumentare le probabilità di una decisione giusta, ma potrebbe anche moltiplicare le occasioni di errore</w:t>
      </w:r>
      <w:r w:rsidRPr="007C5445">
        <w:footnoteReference w:id="47"/>
      </w:r>
      <w:r w:rsidRPr="00B208E4">
        <w:rPr>
          <w:rFonts w:ascii="Calibri" w:eastAsia="Times New Roman" w:hAnsi="Calibri" w:cs="Segoe UI"/>
          <w:color w:val="1F4E79" w:themeColor="accent1" w:themeShade="80"/>
          <w:sz w:val="28"/>
          <w:szCs w:val="28"/>
          <w:lang w:eastAsia="it-IT"/>
        </w:rPr>
        <w:t>.</w:t>
      </w:r>
    </w:p>
    <w:p w:rsidR="00666672" w:rsidRPr="00B208E4" w:rsidRDefault="006D401A"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In questo caso, quale potrebbe essere il rimedio preventivo? </w:t>
      </w:r>
      <w:r w:rsidR="00FC0F18" w:rsidRPr="00B208E4">
        <w:rPr>
          <w:rFonts w:ascii="Calibri" w:eastAsia="Times New Roman" w:hAnsi="Calibri" w:cs="Segoe UI"/>
          <w:color w:val="1F4E79" w:themeColor="accent1" w:themeShade="80"/>
          <w:sz w:val="28"/>
          <w:szCs w:val="28"/>
          <w:lang w:eastAsia="it-IT"/>
        </w:rPr>
        <w:t xml:space="preserve">Si obietta: un quarto grado sarebbe davvero troppo e </w:t>
      </w:r>
      <w:r w:rsidR="004D25AB">
        <w:rPr>
          <w:rFonts w:ascii="Calibri" w:eastAsia="Times New Roman" w:hAnsi="Calibri" w:cs="Segoe UI"/>
          <w:color w:val="1F4E79" w:themeColor="accent1" w:themeShade="80"/>
          <w:sz w:val="28"/>
          <w:szCs w:val="28"/>
          <w:lang w:eastAsia="it-IT"/>
        </w:rPr>
        <w:t>risulterebbe difficile individuare l’organo competente alla decisione.</w:t>
      </w:r>
    </w:p>
    <w:p w:rsidR="00C501C9" w:rsidRPr="00B208E4" w:rsidRDefault="00AB1A1A"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Ma proprio queste obiezioni dimostrano che la suggestiva idea di rafforzare gli strumenti di tutela preventiva, seppure </w:t>
      </w:r>
      <w:r w:rsidR="004D25AB">
        <w:rPr>
          <w:rFonts w:ascii="Calibri" w:eastAsia="Times New Roman" w:hAnsi="Calibri" w:cs="Segoe UI"/>
          <w:color w:val="1F4E79" w:themeColor="accent1" w:themeShade="80"/>
          <w:sz w:val="28"/>
          <w:szCs w:val="28"/>
          <w:lang w:eastAsia="it-IT"/>
        </w:rPr>
        <w:t xml:space="preserve">astrattamente </w:t>
      </w:r>
      <w:r w:rsidRPr="00B208E4">
        <w:rPr>
          <w:rFonts w:ascii="Calibri" w:eastAsia="Times New Roman" w:hAnsi="Calibri" w:cs="Segoe UI"/>
          <w:color w:val="1F4E79" w:themeColor="accent1" w:themeShade="80"/>
          <w:sz w:val="28"/>
          <w:szCs w:val="28"/>
          <w:lang w:eastAsia="it-IT"/>
        </w:rPr>
        <w:t>condivisibile, non riesce affatto a convincere della necessità</w:t>
      </w:r>
      <w:r w:rsidR="003619CF">
        <w:rPr>
          <w:rFonts w:ascii="Calibri" w:eastAsia="Times New Roman" w:hAnsi="Calibri" w:cs="Segoe UI"/>
          <w:color w:val="1F4E79" w:themeColor="accent1" w:themeShade="80"/>
          <w:sz w:val="28"/>
          <w:szCs w:val="28"/>
          <w:lang w:eastAsia="it-IT"/>
        </w:rPr>
        <w:t>, e persino della utilità</w:t>
      </w:r>
      <w:r w:rsidRPr="00B208E4">
        <w:rPr>
          <w:rFonts w:ascii="Calibri" w:eastAsia="Times New Roman" w:hAnsi="Calibri" w:cs="Segoe UI"/>
          <w:color w:val="1F4E79" w:themeColor="accent1" w:themeShade="80"/>
          <w:sz w:val="28"/>
          <w:szCs w:val="28"/>
          <w:lang w:eastAsia="it-IT"/>
        </w:rPr>
        <w:t xml:space="preserve"> di un </w:t>
      </w:r>
      <w:r w:rsidRPr="003619CF">
        <w:rPr>
          <w:rFonts w:ascii="Calibri" w:eastAsia="Times New Roman" w:hAnsi="Calibri" w:cs="Segoe UI"/>
          <w:i/>
          <w:color w:val="1F4E79" w:themeColor="accent1" w:themeShade="80"/>
          <w:sz w:val="28"/>
          <w:szCs w:val="28"/>
          <w:lang w:eastAsia="it-IT"/>
        </w:rPr>
        <w:t>terzo grado</w:t>
      </w:r>
      <w:r w:rsidRPr="00B208E4">
        <w:rPr>
          <w:rFonts w:ascii="Calibri" w:eastAsia="Times New Roman" w:hAnsi="Calibri" w:cs="Segoe UI"/>
          <w:color w:val="1F4E79" w:themeColor="accent1" w:themeShade="80"/>
          <w:sz w:val="28"/>
          <w:szCs w:val="28"/>
          <w:lang w:eastAsia="it-IT"/>
        </w:rPr>
        <w:t xml:space="preserve"> definitivo in cassazione</w:t>
      </w:r>
      <w:r w:rsidR="00AD313F" w:rsidRPr="00B208E4">
        <w:rPr>
          <w:rFonts w:ascii="Calibri" w:eastAsia="Times New Roman" w:hAnsi="Calibri" w:cs="Segoe UI"/>
          <w:color w:val="1F4E79" w:themeColor="accent1" w:themeShade="80"/>
          <w:sz w:val="28"/>
          <w:szCs w:val="28"/>
          <w:lang w:eastAsia="it-IT"/>
        </w:rPr>
        <w:t xml:space="preserve"> e non spiega perché sia </w:t>
      </w:r>
      <w:r w:rsidR="004D25AB">
        <w:rPr>
          <w:rFonts w:ascii="Calibri" w:eastAsia="Times New Roman" w:hAnsi="Calibri" w:cs="Segoe UI"/>
          <w:color w:val="1F4E79" w:themeColor="accent1" w:themeShade="80"/>
          <w:sz w:val="28"/>
          <w:szCs w:val="28"/>
          <w:lang w:eastAsia="it-IT"/>
        </w:rPr>
        <w:t xml:space="preserve">reputato del tutto </w:t>
      </w:r>
      <w:r w:rsidR="00AD313F" w:rsidRPr="00B208E4">
        <w:rPr>
          <w:rFonts w:ascii="Calibri" w:eastAsia="Times New Roman" w:hAnsi="Calibri" w:cs="Segoe UI"/>
          <w:color w:val="1F4E79" w:themeColor="accent1" w:themeShade="80"/>
          <w:sz w:val="28"/>
          <w:szCs w:val="28"/>
          <w:lang w:eastAsia="it-IT"/>
        </w:rPr>
        <w:t>in</w:t>
      </w:r>
      <w:r w:rsidR="004D25AB">
        <w:rPr>
          <w:rFonts w:ascii="Calibri" w:eastAsia="Times New Roman" w:hAnsi="Calibri" w:cs="Segoe UI"/>
          <w:color w:val="1F4E79" w:themeColor="accent1" w:themeShade="80"/>
          <w:sz w:val="28"/>
          <w:szCs w:val="28"/>
          <w:lang w:eastAsia="it-IT"/>
        </w:rPr>
        <w:t>sufficiente</w:t>
      </w:r>
      <w:r w:rsidR="00AD313F" w:rsidRPr="00B208E4">
        <w:rPr>
          <w:rFonts w:ascii="Calibri" w:eastAsia="Times New Roman" w:hAnsi="Calibri" w:cs="Segoe UI"/>
          <w:color w:val="1F4E79" w:themeColor="accent1" w:themeShade="80"/>
          <w:sz w:val="28"/>
          <w:szCs w:val="28"/>
          <w:lang w:eastAsia="it-IT"/>
        </w:rPr>
        <w:t xml:space="preserve"> un doppio grado </w:t>
      </w:r>
      <w:r w:rsidR="003619CF">
        <w:rPr>
          <w:rFonts w:ascii="Calibri" w:eastAsia="Times New Roman" w:hAnsi="Calibri" w:cs="Segoe UI"/>
          <w:color w:val="1F4E79" w:themeColor="accent1" w:themeShade="80"/>
          <w:sz w:val="28"/>
          <w:szCs w:val="28"/>
          <w:lang w:eastAsia="it-IT"/>
        </w:rPr>
        <w:t xml:space="preserve">di giudizio </w:t>
      </w:r>
      <w:r w:rsidR="00AD313F" w:rsidRPr="00B208E4">
        <w:rPr>
          <w:rFonts w:ascii="Calibri" w:eastAsia="Times New Roman" w:hAnsi="Calibri" w:cs="Segoe UI"/>
          <w:color w:val="1F4E79" w:themeColor="accent1" w:themeShade="80"/>
          <w:sz w:val="28"/>
          <w:szCs w:val="28"/>
          <w:lang w:eastAsia="it-IT"/>
        </w:rPr>
        <w:t>(a cognizione piena) e perché non si debba prevede</w:t>
      </w:r>
      <w:r w:rsidR="003619CF">
        <w:rPr>
          <w:rFonts w:ascii="Calibri" w:eastAsia="Times New Roman" w:hAnsi="Calibri" w:cs="Segoe UI"/>
          <w:color w:val="1F4E79" w:themeColor="accent1" w:themeShade="80"/>
          <w:sz w:val="28"/>
          <w:szCs w:val="28"/>
          <w:lang w:eastAsia="it-IT"/>
        </w:rPr>
        <w:t>re, a</w:t>
      </w:r>
      <w:r w:rsidR="004D25AB">
        <w:rPr>
          <w:rFonts w:ascii="Calibri" w:eastAsia="Times New Roman" w:hAnsi="Calibri" w:cs="Segoe UI"/>
          <w:color w:val="1F4E79" w:themeColor="accent1" w:themeShade="80"/>
          <w:sz w:val="28"/>
          <w:szCs w:val="28"/>
          <w:lang w:eastAsia="it-IT"/>
        </w:rPr>
        <w:t>llora,</w:t>
      </w:r>
      <w:r w:rsidR="00AD313F" w:rsidRPr="00B208E4">
        <w:rPr>
          <w:rFonts w:ascii="Calibri" w:eastAsia="Times New Roman" w:hAnsi="Calibri" w:cs="Segoe UI"/>
          <w:color w:val="1F4E79" w:themeColor="accent1" w:themeShade="80"/>
          <w:sz w:val="28"/>
          <w:szCs w:val="28"/>
          <w:lang w:eastAsia="it-IT"/>
        </w:rPr>
        <w:t xml:space="preserve"> un ulteriore quarto grado</w:t>
      </w:r>
      <w:r w:rsidR="003619CF">
        <w:rPr>
          <w:rFonts w:ascii="Calibri" w:eastAsia="Times New Roman" w:hAnsi="Calibri" w:cs="Segoe UI"/>
          <w:color w:val="1F4E79" w:themeColor="accent1" w:themeShade="80"/>
          <w:sz w:val="28"/>
          <w:szCs w:val="28"/>
          <w:lang w:eastAsia="it-IT"/>
        </w:rPr>
        <w:t>, allo scopo di controllare la correttezza della decisione della Cassazione</w:t>
      </w:r>
      <w:r w:rsidR="00AD313F" w:rsidRPr="00B208E4">
        <w:rPr>
          <w:rFonts w:ascii="Calibri" w:eastAsia="Times New Roman" w:hAnsi="Calibri" w:cs="Segoe UI"/>
          <w:color w:val="1F4E79" w:themeColor="accent1" w:themeShade="80"/>
          <w:sz w:val="28"/>
          <w:szCs w:val="28"/>
          <w:lang w:eastAsia="it-IT"/>
        </w:rPr>
        <w:t>.</w:t>
      </w:r>
    </w:p>
    <w:p w:rsidR="0085645E" w:rsidRPr="00B208E4" w:rsidRDefault="0085645E"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p>
    <w:p w:rsidR="0085645E" w:rsidRPr="00B208E4" w:rsidRDefault="00113D0E" w:rsidP="00FB7048">
      <w:pPr>
        <w:numPr>
          <w:ilvl w:val="0"/>
          <w:numId w:val="1"/>
        </w:numPr>
        <w:shd w:val="clear" w:color="auto" w:fill="FFFFFF"/>
        <w:tabs>
          <w:tab w:val="left" w:pos="0"/>
        </w:tabs>
        <w:spacing w:after="120" w:line="240" w:lineRule="auto"/>
        <w:ind w:left="0" w:firstLine="709"/>
        <w:jc w:val="both"/>
        <w:textAlignment w:val="baseline"/>
        <w:rPr>
          <w:rFonts w:ascii="Tahoma" w:eastAsia="Times New Roman" w:hAnsi="Tahoma" w:cs="Tahoma"/>
          <w:smallCaps/>
          <w:color w:val="1F4E79" w:themeColor="accent1" w:themeShade="80"/>
          <w:sz w:val="28"/>
          <w:szCs w:val="28"/>
          <w:bdr w:val="none" w:sz="0" w:space="0" w:color="auto" w:frame="1"/>
          <w:lang w:eastAsia="it-IT"/>
        </w:rPr>
      </w:pPr>
      <w:r w:rsidRPr="00B208E4">
        <w:rPr>
          <w:rFonts w:ascii="Tahoma" w:eastAsia="Times New Roman" w:hAnsi="Tahoma" w:cs="Tahoma"/>
          <w:smallCaps/>
          <w:color w:val="1F4E79" w:themeColor="accent1" w:themeShade="80"/>
          <w:sz w:val="28"/>
          <w:szCs w:val="28"/>
          <w:bdr w:val="none" w:sz="0" w:space="0" w:color="auto" w:frame="1"/>
          <w:lang w:eastAsia="it-IT"/>
        </w:rPr>
        <w:t xml:space="preserve">Il giudice </w:t>
      </w:r>
      <w:r w:rsidR="009303C1" w:rsidRPr="00B208E4">
        <w:rPr>
          <w:rFonts w:ascii="Tahoma" w:eastAsia="Times New Roman" w:hAnsi="Tahoma" w:cs="Tahoma"/>
          <w:smallCaps/>
          <w:color w:val="1F4E79" w:themeColor="accent1" w:themeShade="80"/>
          <w:sz w:val="28"/>
          <w:szCs w:val="28"/>
          <w:bdr w:val="none" w:sz="0" w:space="0" w:color="auto" w:frame="1"/>
          <w:lang w:eastAsia="it-IT"/>
        </w:rPr>
        <w:t xml:space="preserve">nazionale </w:t>
      </w:r>
      <w:r w:rsidRPr="00B208E4">
        <w:rPr>
          <w:rFonts w:ascii="Tahoma" w:eastAsia="Times New Roman" w:hAnsi="Tahoma" w:cs="Tahoma"/>
          <w:smallCaps/>
          <w:color w:val="1F4E79" w:themeColor="accent1" w:themeShade="80"/>
          <w:sz w:val="28"/>
          <w:szCs w:val="28"/>
          <w:bdr w:val="none" w:sz="0" w:space="0" w:color="auto" w:frame="1"/>
          <w:lang w:eastAsia="it-IT"/>
        </w:rPr>
        <w:t>unico della nomofilachia europea</w:t>
      </w:r>
      <w:r w:rsidR="009303C1" w:rsidRPr="00B208E4">
        <w:rPr>
          <w:rFonts w:ascii="Tahoma" w:eastAsia="Times New Roman" w:hAnsi="Tahoma" w:cs="Tahoma"/>
          <w:smallCaps/>
          <w:color w:val="1F4E79" w:themeColor="accent1" w:themeShade="80"/>
          <w:sz w:val="28"/>
          <w:szCs w:val="28"/>
          <w:bdr w:val="none" w:sz="0" w:space="0" w:color="auto" w:frame="1"/>
          <w:lang w:eastAsia="it-IT"/>
        </w:rPr>
        <w:t>?</w:t>
      </w:r>
      <w:r w:rsidR="005F5CF2" w:rsidRPr="00B208E4">
        <w:rPr>
          <w:rFonts w:ascii="Tahoma" w:eastAsia="Times New Roman" w:hAnsi="Tahoma" w:cs="Tahoma"/>
          <w:smallCaps/>
          <w:color w:val="1F4E79" w:themeColor="accent1" w:themeShade="80"/>
          <w:sz w:val="28"/>
          <w:szCs w:val="28"/>
          <w:bdr w:val="none" w:sz="0" w:space="0" w:color="auto" w:frame="1"/>
          <w:lang w:eastAsia="it-IT"/>
        </w:rPr>
        <w:t xml:space="preserve"> Esiste una previsione UE in tal senso? </w:t>
      </w:r>
      <w:r w:rsidR="0087197E">
        <w:rPr>
          <w:rFonts w:ascii="Tahoma" w:eastAsia="Times New Roman" w:hAnsi="Tahoma" w:cs="Tahoma"/>
          <w:smallCaps/>
          <w:color w:val="1F4E79" w:themeColor="accent1" w:themeShade="80"/>
          <w:sz w:val="28"/>
          <w:szCs w:val="28"/>
          <w:bdr w:val="none" w:sz="0" w:space="0" w:color="auto" w:frame="1"/>
          <w:lang w:eastAsia="it-IT"/>
        </w:rPr>
        <w:t xml:space="preserve">Il </w:t>
      </w:r>
      <w:r w:rsidR="005F5CF2" w:rsidRPr="00B208E4">
        <w:rPr>
          <w:rFonts w:ascii="Tahoma" w:eastAsia="Times New Roman" w:hAnsi="Tahoma" w:cs="Tahoma"/>
          <w:smallCaps/>
          <w:color w:val="1F4E79" w:themeColor="accent1" w:themeShade="80"/>
          <w:sz w:val="28"/>
          <w:szCs w:val="28"/>
          <w:bdr w:val="none" w:sz="0" w:space="0" w:color="auto" w:frame="1"/>
          <w:lang w:eastAsia="it-IT"/>
        </w:rPr>
        <w:t>favor</w:t>
      </w:r>
      <w:r w:rsidR="0087197E">
        <w:rPr>
          <w:rFonts w:ascii="Tahoma" w:eastAsia="Times New Roman" w:hAnsi="Tahoma" w:cs="Tahoma"/>
          <w:smallCaps/>
          <w:color w:val="1F4E79" w:themeColor="accent1" w:themeShade="80"/>
          <w:sz w:val="28"/>
          <w:szCs w:val="28"/>
          <w:bdr w:val="none" w:sz="0" w:space="0" w:color="auto" w:frame="1"/>
          <w:lang w:eastAsia="it-IT"/>
        </w:rPr>
        <w:t>e per il controllo giurisdizionale diffus</w:t>
      </w:r>
      <w:r w:rsidR="005F5CF2" w:rsidRPr="00B208E4">
        <w:rPr>
          <w:rFonts w:ascii="Tahoma" w:eastAsia="Times New Roman" w:hAnsi="Tahoma" w:cs="Tahoma"/>
          <w:smallCaps/>
          <w:color w:val="1F4E79" w:themeColor="accent1" w:themeShade="80"/>
          <w:sz w:val="28"/>
          <w:szCs w:val="28"/>
          <w:bdr w:val="none" w:sz="0" w:space="0" w:color="auto" w:frame="1"/>
          <w:lang w:eastAsia="it-IT"/>
        </w:rPr>
        <w:t xml:space="preserve">o </w:t>
      </w:r>
      <w:r w:rsidR="0087197E">
        <w:rPr>
          <w:rFonts w:ascii="Tahoma" w:eastAsia="Times New Roman" w:hAnsi="Tahoma" w:cs="Tahoma"/>
          <w:smallCaps/>
          <w:color w:val="1F4E79" w:themeColor="accent1" w:themeShade="80"/>
          <w:sz w:val="28"/>
          <w:szCs w:val="28"/>
          <w:bdr w:val="none" w:sz="0" w:space="0" w:color="auto" w:frame="1"/>
          <w:lang w:eastAsia="it-IT"/>
        </w:rPr>
        <w:t>su</w:t>
      </w:r>
      <w:r w:rsidR="005F5CF2" w:rsidRPr="00B208E4">
        <w:rPr>
          <w:rFonts w:ascii="Tahoma" w:eastAsia="Times New Roman" w:hAnsi="Tahoma" w:cs="Tahoma"/>
          <w:smallCaps/>
          <w:color w:val="1F4E79" w:themeColor="accent1" w:themeShade="80"/>
          <w:sz w:val="28"/>
          <w:szCs w:val="28"/>
          <w:bdr w:val="none" w:sz="0" w:space="0" w:color="auto" w:frame="1"/>
          <w:lang w:eastAsia="it-IT"/>
        </w:rPr>
        <w:t>ll’applicazione del diritto UE.</w:t>
      </w:r>
    </w:p>
    <w:p w:rsidR="0085645E" w:rsidRPr="00B208E4" w:rsidRDefault="0085645E"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In una prospettiva di carattere più generale e astratto, ci si potrebbe chiedere se sia opportuna, o meno, una </w:t>
      </w:r>
      <w:r w:rsidRPr="00B208E4">
        <w:rPr>
          <w:rFonts w:ascii="Calibri" w:eastAsia="Times New Roman" w:hAnsi="Calibri" w:cs="Segoe UI"/>
          <w:i/>
          <w:color w:val="1F4E79" w:themeColor="accent1" w:themeShade="80"/>
          <w:sz w:val="28"/>
          <w:szCs w:val="28"/>
          <w:lang w:eastAsia="it-IT"/>
        </w:rPr>
        <w:t>nomofilachia</w:t>
      </w:r>
      <w:r w:rsidRPr="00B208E4">
        <w:rPr>
          <w:rFonts w:ascii="Calibri" w:eastAsia="Times New Roman" w:hAnsi="Calibri" w:cs="Segoe UI"/>
          <w:color w:val="1F4E79" w:themeColor="accent1" w:themeShade="80"/>
          <w:sz w:val="28"/>
          <w:szCs w:val="28"/>
          <w:lang w:eastAsia="it-IT"/>
        </w:rPr>
        <w:t xml:space="preserve"> </w:t>
      </w:r>
      <w:r w:rsidR="00FA7728" w:rsidRPr="00B208E4">
        <w:rPr>
          <w:rFonts w:ascii="Calibri" w:eastAsia="Times New Roman" w:hAnsi="Calibri" w:cs="Segoe UI"/>
          <w:color w:val="1F4E79" w:themeColor="accent1" w:themeShade="80"/>
          <w:sz w:val="28"/>
          <w:szCs w:val="28"/>
          <w:lang w:eastAsia="it-IT"/>
        </w:rPr>
        <w:t xml:space="preserve">comunitaria </w:t>
      </w:r>
      <w:r w:rsidRPr="00B208E4">
        <w:rPr>
          <w:rFonts w:ascii="Calibri" w:eastAsia="Times New Roman" w:hAnsi="Calibri" w:cs="Segoe UI"/>
          <w:color w:val="1F4E79" w:themeColor="accent1" w:themeShade="80"/>
          <w:sz w:val="28"/>
          <w:szCs w:val="28"/>
          <w:lang w:eastAsia="it-IT"/>
        </w:rPr>
        <w:t xml:space="preserve">accentrata in </w:t>
      </w:r>
      <w:r w:rsidR="00FA7728" w:rsidRPr="00B208E4">
        <w:rPr>
          <w:rFonts w:ascii="Calibri" w:eastAsia="Times New Roman" w:hAnsi="Calibri" w:cs="Segoe UI"/>
          <w:color w:val="1F4E79" w:themeColor="accent1" w:themeShade="80"/>
          <w:sz w:val="28"/>
          <w:szCs w:val="28"/>
          <w:lang w:eastAsia="it-IT"/>
        </w:rPr>
        <w:t>un unico organo giurisdizionale nazionale</w:t>
      </w:r>
      <w:r w:rsidR="003619CF">
        <w:rPr>
          <w:rStyle w:val="Rimandonotaapidipagina"/>
          <w:rFonts w:ascii="Calibri" w:eastAsia="Times New Roman" w:hAnsi="Calibri" w:cs="Segoe UI"/>
          <w:color w:val="1F4E79" w:themeColor="accent1" w:themeShade="80"/>
          <w:sz w:val="28"/>
          <w:szCs w:val="28"/>
          <w:lang w:eastAsia="it-IT"/>
        </w:rPr>
        <w:footnoteReference w:id="48"/>
      </w:r>
      <w:r w:rsidR="00FA7728" w:rsidRPr="00B208E4">
        <w:rPr>
          <w:rFonts w:ascii="Calibri" w:eastAsia="Times New Roman" w:hAnsi="Calibri" w:cs="Segoe UI"/>
          <w:color w:val="1F4E79" w:themeColor="accent1" w:themeShade="80"/>
          <w:sz w:val="28"/>
          <w:szCs w:val="28"/>
          <w:lang w:eastAsia="it-IT"/>
        </w:rPr>
        <w:t>, fermo re</w:t>
      </w:r>
      <w:r w:rsidR="00AE6828" w:rsidRPr="00B208E4">
        <w:rPr>
          <w:rFonts w:ascii="Calibri" w:eastAsia="Times New Roman" w:hAnsi="Calibri" w:cs="Segoe UI"/>
          <w:color w:val="1F4E79" w:themeColor="accent1" w:themeShade="80"/>
          <w:sz w:val="28"/>
          <w:szCs w:val="28"/>
          <w:lang w:eastAsia="it-IT"/>
        </w:rPr>
        <w:t>stando che nessun argomento induc</w:t>
      </w:r>
      <w:r w:rsidR="00FA7728" w:rsidRPr="00B208E4">
        <w:rPr>
          <w:rFonts w:ascii="Calibri" w:eastAsia="Times New Roman" w:hAnsi="Calibri" w:cs="Segoe UI"/>
          <w:color w:val="1F4E79" w:themeColor="accent1" w:themeShade="80"/>
          <w:sz w:val="28"/>
          <w:szCs w:val="28"/>
          <w:lang w:eastAsia="it-IT"/>
        </w:rPr>
        <w:t>e</w:t>
      </w:r>
      <w:r w:rsidR="00AE6828" w:rsidRPr="00B208E4">
        <w:rPr>
          <w:rFonts w:ascii="Calibri" w:eastAsia="Times New Roman" w:hAnsi="Calibri" w:cs="Segoe UI"/>
          <w:color w:val="1F4E79" w:themeColor="accent1" w:themeShade="80"/>
          <w:sz w:val="28"/>
          <w:szCs w:val="28"/>
          <w:lang w:eastAsia="it-IT"/>
        </w:rPr>
        <w:t xml:space="preserve"> attualmente</w:t>
      </w:r>
      <w:r w:rsidR="00FA7728" w:rsidRPr="00B208E4">
        <w:rPr>
          <w:rFonts w:ascii="Calibri" w:eastAsia="Times New Roman" w:hAnsi="Calibri" w:cs="Segoe UI"/>
          <w:color w:val="1F4E79" w:themeColor="accent1" w:themeShade="80"/>
          <w:sz w:val="28"/>
          <w:szCs w:val="28"/>
          <w:lang w:eastAsia="it-IT"/>
        </w:rPr>
        <w:t xml:space="preserve"> a ritenere che ciò sia imposto dal sistema UE.</w:t>
      </w:r>
    </w:p>
    <w:p w:rsidR="0054455B" w:rsidRPr="00B208E4" w:rsidRDefault="00AE6828" w:rsidP="00FB7048">
      <w:pPr>
        <w:shd w:val="clear" w:color="auto" w:fill="FFFFFF"/>
        <w:tabs>
          <w:tab w:val="left" w:pos="0"/>
        </w:tabs>
        <w:spacing w:after="120" w:line="240" w:lineRule="auto"/>
        <w:ind w:firstLine="709"/>
        <w:jc w:val="both"/>
        <w:textAlignment w:val="baseline"/>
        <w:rPr>
          <w:rFonts w:ascii="Calibri" w:eastAsia="Times New Roman" w:hAnsi="Calibri" w:cs="Segoe UI"/>
          <w: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La dottrina ha già not</w:t>
      </w:r>
      <w:r w:rsidR="003619CF">
        <w:rPr>
          <w:rFonts w:ascii="Calibri" w:eastAsia="Times New Roman" w:hAnsi="Calibri" w:cs="Segoe UI"/>
          <w:color w:val="1F4E79" w:themeColor="accent1" w:themeShade="80"/>
          <w:sz w:val="28"/>
          <w:szCs w:val="28"/>
          <w:lang w:eastAsia="it-IT"/>
        </w:rPr>
        <w:t>a</w:t>
      </w:r>
      <w:r w:rsidRPr="00B208E4">
        <w:rPr>
          <w:rFonts w:ascii="Calibri" w:eastAsia="Times New Roman" w:hAnsi="Calibri" w:cs="Segoe UI"/>
          <w:color w:val="1F4E79" w:themeColor="accent1" w:themeShade="80"/>
          <w:sz w:val="28"/>
          <w:szCs w:val="28"/>
          <w:lang w:eastAsia="it-IT"/>
        </w:rPr>
        <w:t>to che “</w:t>
      </w:r>
      <w:r w:rsidR="0054455B" w:rsidRPr="00B208E4">
        <w:rPr>
          <w:rFonts w:ascii="Calibri" w:eastAsia="Times New Roman" w:hAnsi="Calibri" w:cs="Segoe UI"/>
          <w:i/>
          <w:color w:val="1F4E79" w:themeColor="accent1" w:themeShade="80"/>
          <w:sz w:val="28"/>
          <w:szCs w:val="28"/>
          <w:lang w:eastAsia="it-IT"/>
        </w:rPr>
        <w:t xml:space="preserve">La violazione del diritto dell’Unione non rappresenta, di per sé, una ragione valida per violare il rapporto fra le giurisdizioni stabilito nell’ordinamento nazionale. </w:t>
      </w:r>
    </w:p>
    <w:p w:rsidR="0054455B" w:rsidRPr="00B208E4" w:rsidRDefault="0054455B" w:rsidP="00FB7048">
      <w:pPr>
        <w:shd w:val="clear" w:color="auto" w:fill="FFFFFF"/>
        <w:tabs>
          <w:tab w:val="left" w:pos="0"/>
        </w:tabs>
        <w:spacing w:after="120" w:line="240" w:lineRule="auto"/>
        <w:ind w:firstLine="709"/>
        <w:jc w:val="both"/>
        <w:textAlignment w:val="baseline"/>
        <w:rPr>
          <w:rFonts w:ascii="Calibri" w:eastAsia="Times New Roman" w:hAnsi="Calibri" w:cs="Segoe UI"/>
          <w:i/>
          <w:color w:val="1F4E79" w:themeColor="accent1" w:themeShade="80"/>
          <w:sz w:val="28"/>
          <w:szCs w:val="28"/>
          <w:lang w:eastAsia="it-IT"/>
        </w:rPr>
      </w:pPr>
      <w:r w:rsidRPr="00B208E4">
        <w:rPr>
          <w:rFonts w:ascii="Calibri" w:eastAsia="Times New Roman" w:hAnsi="Calibri" w:cs="Segoe UI"/>
          <w:i/>
          <w:color w:val="1F4E79" w:themeColor="accent1" w:themeShade="80"/>
          <w:sz w:val="28"/>
          <w:szCs w:val="28"/>
          <w:lang w:eastAsia="it-IT"/>
        </w:rPr>
        <w:t xml:space="preserve">La circostanza che l’ordinamento nazionale non avesse prodotto una decisione giurisdizionale conforme al diritto dell’Unione può costituire un titolo di responsabilità, ma non può introdurre un grado di giudizio non ammesso dall’ordinamento interno, anzi, nel nostro caso, non ammesso da una norma costituzionale. </w:t>
      </w:r>
    </w:p>
    <w:p w:rsidR="0054455B" w:rsidRPr="00B208E4" w:rsidRDefault="0054455B"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i/>
          <w:color w:val="1F4E79" w:themeColor="accent1" w:themeShade="80"/>
          <w:sz w:val="28"/>
          <w:szCs w:val="28"/>
          <w:lang w:eastAsia="it-IT"/>
        </w:rPr>
        <w:t>Il ragionamento può forse non apparire di piena evidenza se si considera solo il modello italiano, che ammette uno spazio, peraltro puntualmente circoscritto, per il ricorso alla Cassazione contro le sentenze in ultimo grado del giudice amministrativo, ma può risultare più chiaro se si considerano anche altri ordinamenti, come quello francese, che non consente ricorsi, tanto meno alla Corte di cassazione, contro le decisioni del Conseil d’État.</w:t>
      </w:r>
      <w:r w:rsidR="006123F0" w:rsidRPr="00B208E4">
        <w:rPr>
          <w:rFonts w:ascii="Calibri" w:eastAsia="Times New Roman" w:hAnsi="Calibri" w:cs="Segoe UI"/>
          <w:color w:val="1F4E79" w:themeColor="accent1" w:themeShade="80"/>
          <w:sz w:val="28"/>
          <w:szCs w:val="28"/>
          <w:lang w:eastAsia="it-IT"/>
        </w:rPr>
        <w:t>”</w:t>
      </w:r>
      <w:r w:rsidR="00E35570">
        <w:rPr>
          <w:rStyle w:val="Rimandonotaapidipagina"/>
          <w:rFonts w:ascii="Calibri" w:eastAsia="Times New Roman" w:hAnsi="Calibri" w:cs="Segoe UI"/>
          <w:color w:val="1F4E79" w:themeColor="accent1" w:themeShade="80"/>
          <w:sz w:val="28"/>
          <w:szCs w:val="28"/>
          <w:lang w:eastAsia="it-IT"/>
        </w:rPr>
        <w:footnoteReference w:id="49"/>
      </w:r>
    </w:p>
    <w:p w:rsidR="0054455B" w:rsidRPr="00B208E4" w:rsidRDefault="006123F0"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Ora, contro l’astratta prospettiva di un giudice unico</w:t>
      </w:r>
      <w:r w:rsidR="003619CF">
        <w:rPr>
          <w:rFonts w:ascii="Calibri" w:eastAsia="Times New Roman" w:hAnsi="Calibri" w:cs="Segoe UI"/>
          <w:color w:val="1F4E79" w:themeColor="accent1" w:themeShade="80"/>
          <w:sz w:val="28"/>
          <w:szCs w:val="28"/>
          <w:lang w:eastAsia="it-IT"/>
        </w:rPr>
        <w:t xml:space="preserve"> della nomofilachia eurounitaria, realizzata attraverso un’ipotizzata modifica costituzionale</w:t>
      </w:r>
      <w:r w:rsidRPr="00B208E4">
        <w:rPr>
          <w:rFonts w:ascii="Calibri" w:eastAsia="Times New Roman" w:hAnsi="Calibri" w:cs="Segoe UI"/>
          <w:color w:val="1F4E79" w:themeColor="accent1" w:themeShade="80"/>
          <w:sz w:val="28"/>
          <w:szCs w:val="28"/>
          <w:lang w:eastAsia="it-IT"/>
        </w:rPr>
        <w:t>, si pongono diverse obiezioni.</w:t>
      </w:r>
    </w:p>
    <w:p w:rsidR="00113D0E" w:rsidRPr="00B208E4" w:rsidRDefault="00113D0E" w:rsidP="00FB7048">
      <w:pPr>
        <w:pStyle w:val="Paragrafoelenco"/>
        <w:numPr>
          <w:ilvl w:val="1"/>
          <w:numId w:val="1"/>
        </w:numPr>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Dal punto di vista dell’ordinamento europeo non sembra affatto che vi sia un vincolo in tal senso, sicché il problema ha una connotazione tutta interna al nostro sistema.</w:t>
      </w:r>
    </w:p>
    <w:p w:rsidR="003619CF" w:rsidRDefault="00113D0E" w:rsidP="00FB7048">
      <w:pPr>
        <w:pStyle w:val="Paragrafoelenco"/>
        <w:numPr>
          <w:ilvl w:val="1"/>
          <w:numId w:val="1"/>
        </w:numPr>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Una visione superficiale potrebbe portare ad affermare l’opportunità di una “</w:t>
      </w:r>
      <w:r w:rsidRPr="003619CF">
        <w:rPr>
          <w:rFonts w:ascii="Calibri" w:eastAsia="Times New Roman" w:hAnsi="Calibri" w:cs="Segoe UI"/>
          <w:i/>
          <w:color w:val="1F4E79" w:themeColor="accent1" w:themeShade="80"/>
          <w:sz w:val="28"/>
          <w:szCs w:val="28"/>
          <w:lang w:eastAsia="it-IT"/>
        </w:rPr>
        <w:t>specializzazione</w:t>
      </w:r>
      <w:r w:rsidRPr="00B208E4">
        <w:rPr>
          <w:rFonts w:ascii="Calibri" w:eastAsia="Times New Roman" w:hAnsi="Calibri" w:cs="Segoe UI"/>
          <w:color w:val="1F4E79" w:themeColor="accent1" w:themeShade="80"/>
          <w:sz w:val="28"/>
          <w:szCs w:val="28"/>
          <w:lang w:eastAsia="it-IT"/>
        </w:rPr>
        <w:t>”</w:t>
      </w:r>
      <w:r w:rsidR="003619CF">
        <w:rPr>
          <w:rFonts w:ascii="Calibri" w:eastAsia="Times New Roman" w:hAnsi="Calibri" w:cs="Segoe UI"/>
          <w:color w:val="1F4E79" w:themeColor="accent1" w:themeShade="80"/>
          <w:sz w:val="28"/>
          <w:szCs w:val="28"/>
          <w:lang w:eastAsia="it-IT"/>
        </w:rPr>
        <w:t>, diretta alla creazione di un giudice superiore, esperto di</w:t>
      </w:r>
      <w:r w:rsidR="00534B8A" w:rsidRPr="00B208E4">
        <w:rPr>
          <w:rFonts w:ascii="Calibri" w:eastAsia="Times New Roman" w:hAnsi="Calibri" w:cs="Segoe UI"/>
          <w:color w:val="1F4E79" w:themeColor="accent1" w:themeShade="80"/>
          <w:sz w:val="28"/>
          <w:szCs w:val="28"/>
          <w:lang w:eastAsia="it-IT"/>
        </w:rPr>
        <w:t xml:space="preserve"> diritto UE</w:t>
      </w:r>
      <w:r w:rsidRPr="00B208E4">
        <w:rPr>
          <w:rFonts w:ascii="Calibri" w:eastAsia="Times New Roman" w:hAnsi="Calibri" w:cs="Segoe UI"/>
          <w:color w:val="1F4E79" w:themeColor="accent1" w:themeShade="80"/>
          <w:sz w:val="28"/>
          <w:szCs w:val="28"/>
          <w:lang w:eastAsia="it-IT"/>
        </w:rPr>
        <w:t xml:space="preserve">, che potrebbe garantire maggiore omogeneità di esiti interpretativi. Ma è inevitabile osservare che il diritto dell’Unione europea, se è vero che si regge su </w:t>
      </w:r>
      <w:r w:rsidR="004D25AB">
        <w:rPr>
          <w:rFonts w:ascii="Calibri" w:eastAsia="Times New Roman" w:hAnsi="Calibri" w:cs="Segoe UI"/>
          <w:color w:val="1F4E79" w:themeColor="accent1" w:themeShade="80"/>
          <w:sz w:val="28"/>
          <w:szCs w:val="28"/>
          <w:lang w:eastAsia="it-IT"/>
        </w:rPr>
        <w:t xml:space="preserve">alcuni </w:t>
      </w:r>
      <w:r w:rsidRPr="00B208E4">
        <w:rPr>
          <w:rFonts w:ascii="Calibri" w:eastAsia="Times New Roman" w:hAnsi="Calibri" w:cs="Segoe UI"/>
          <w:color w:val="1F4E79" w:themeColor="accent1" w:themeShade="80"/>
          <w:sz w:val="28"/>
          <w:szCs w:val="28"/>
          <w:lang w:eastAsia="it-IT"/>
        </w:rPr>
        <w:t xml:space="preserve">principi trasversali, non può considerarsi una materia </w:t>
      </w:r>
      <w:r w:rsidR="004D25AB">
        <w:rPr>
          <w:rFonts w:ascii="Calibri" w:eastAsia="Times New Roman" w:hAnsi="Calibri" w:cs="Segoe UI"/>
          <w:color w:val="1F4E79" w:themeColor="accent1" w:themeShade="80"/>
          <w:sz w:val="28"/>
          <w:szCs w:val="28"/>
          <w:lang w:eastAsia="it-IT"/>
        </w:rPr>
        <w:t xml:space="preserve">unitaria </w:t>
      </w:r>
      <w:r w:rsidRPr="00B208E4">
        <w:rPr>
          <w:rFonts w:ascii="Calibri" w:eastAsia="Times New Roman" w:hAnsi="Calibri" w:cs="Segoe UI"/>
          <w:color w:val="1F4E79" w:themeColor="accent1" w:themeShade="80"/>
          <w:sz w:val="28"/>
          <w:szCs w:val="28"/>
          <w:lang w:eastAsia="it-IT"/>
        </w:rPr>
        <w:t>a sé stante</w:t>
      </w:r>
      <w:r w:rsidR="004D25AB">
        <w:rPr>
          <w:rFonts w:ascii="Calibri" w:eastAsia="Times New Roman" w:hAnsi="Calibri" w:cs="Segoe UI"/>
          <w:color w:val="1F4E79" w:themeColor="accent1" w:themeShade="80"/>
          <w:sz w:val="28"/>
          <w:szCs w:val="28"/>
          <w:lang w:eastAsia="it-IT"/>
        </w:rPr>
        <w:t>, contrapposta al d</w:t>
      </w:r>
      <w:r w:rsidR="003619CF">
        <w:rPr>
          <w:rFonts w:ascii="Calibri" w:eastAsia="Times New Roman" w:hAnsi="Calibri" w:cs="Segoe UI"/>
          <w:color w:val="1F4E79" w:themeColor="accent1" w:themeShade="80"/>
          <w:sz w:val="28"/>
          <w:szCs w:val="28"/>
          <w:lang w:eastAsia="it-IT"/>
        </w:rPr>
        <w:t>iritto amministrativo nazionale.</w:t>
      </w:r>
    </w:p>
    <w:p w:rsidR="00113D0E" w:rsidRPr="003619CF" w:rsidRDefault="003619CF"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Al contrario, il diritto comunitario</w:t>
      </w:r>
      <w:r w:rsidR="004D25AB" w:rsidRPr="003619CF">
        <w:rPr>
          <w:rFonts w:ascii="Calibri" w:eastAsia="Times New Roman" w:hAnsi="Calibri" w:cs="Segoe UI"/>
          <w:color w:val="1F4E79" w:themeColor="accent1" w:themeShade="80"/>
          <w:sz w:val="28"/>
          <w:szCs w:val="28"/>
          <w:lang w:eastAsia="it-IT"/>
        </w:rPr>
        <w:t xml:space="preserve"> si articola</w:t>
      </w:r>
      <w:r>
        <w:rPr>
          <w:rFonts w:ascii="Calibri" w:eastAsia="Times New Roman" w:hAnsi="Calibri" w:cs="Segoe UI"/>
          <w:color w:val="1F4E79" w:themeColor="accent1" w:themeShade="80"/>
          <w:sz w:val="28"/>
          <w:szCs w:val="28"/>
          <w:lang w:eastAsia="it-IT"/>
        </w:rPr>
        <w:t>, ormai,</w:t>
      </w:r>
      <w:r w:rsidR="004D25AB" w:rsidRPr="003619CF">
        <w:rPr>
          <w:rFonts w:ascii="Calibri" w:eastAsia="Times New Roman" w:hAnsi="Calibri" w:cs="Segoe UI"/>
          <w:color w:val="1F4E79" w:themeColor="accent1" w:themeShade="80"/>
          <w:sz w:val="28"/>
          <w:szCs w:val="28"/>
          <w:lang w:eastAsia="it-IT"/>
        </w:rPr>
        <w:t xml:space="preserve"> in molteplici normative </w:t>
      </w:r>
      <w:r w:rsidR="00F57EA3" w:rsidRPr="003619CF">
        <w:rPr>
          <w:rFonts w:ascii="Calibri" w:eastAsia="Times New Roman" w:hAnsi="Calibri" w:cs="Segoe UI"/>
          <w:color w:val="1F4E79" w:themeColor="accent1" w:themeShade="80"/>
          <w:sz w:val="28"/>
          <w:szCs w:val="28"/>
          <w:lang w:eastAsia="it-IT"/>
        </w:rPr>
        <w:t>speciali</w:t>
      </w:r>
      <w:r w:rsidR="00113D0E" w:rsidRPr="003619CF">
        <w:rPr>
          <w:rFonts w:ascii="Calibri" w:eastAsia="Times New Roman" w:hAnsi="Calibri" w:cs="Segoe UI"/>
          <w:color w:val="1F4E79" w:themeColor="accent1" w:themeShade="80"/>
          <w:sz w:val="28"/>
          <w:szCs w:val="28"/>
          <w:lang w:eastAsia="it-IT"/>
        </w:rPr>
        <w:t>.</w:t>
      </w:r>
      <w:r w:rsidR="00F57EA3" w:rsidRPr="003619CF">
        <w:rPr>
          <w:rFonts w:ascii="Calibri" w:eastAsia="Times New Roman" w:hAnsi="Calibri" w:cs="Segoe UI"/>
          <w:color w:val="1F4E79" w:themeColor="accent1" w:themeShade="80"/>
          <w:sz w:val="28"/>
          <w:szCs w:val="28"/>
          <w:lang w:eastAsia="it-IT"/>
        </w:rPr>
        <w:t xml:space="preserve"> Inoltre</w:t>
      </w:r>
      <w:r w:rsidR="00113D0E" w:rsidRPr="003619CF">
        <w:rPr>
          <w:rFonts w:ascii="Calibri" w:eastAsia="Times New Roman" w:hAnsi="Calibri" w:cs="Segoe UI"/>
          <w:color w:val="1F4E79" w:themeColor="accent1" w:themeShade="80"/>
          <w:sz w:val="28"/>
          <w:szCs w:val="28"/>
          <w:lang w:eastAsia="it-IT"/>
        </w:rPr>
        <w:t>,</w:t>
      </w:r>
      <w:r w:rsidR="004D25AB" w:rsidRPr="003619CF">
        <w:rPr>
          <w:rFonts w:ascii="Calibri" w:eastAsia="Times New Roman" w:hAnsi="Calibri" w:cs="Segoe UI"/>
          <w:color w:val="1F4E79" w:themeColor="accent1" w:themeShade="80"/>
          <w:sz w:val="28"/>
          <w:szCs w:val="28"/>
          <w:lang w:eastAsia="it-IT"/>
        </w:rPr>
        <w:t xml:space="preserve"> il diritto UE</w:t>
      </w:r>
      <w:r w:rsidR="00113D0E" w:rsidRPr="003619CF">
        <w:rPr>
          <w:rFonts w:ascii="Calibri" w:eastAsia="Times New Roman" w:hAnsi="Calibri" w:cs="Segoe UI"/>
          <w:color w:val="1F4E79" w:themeColor="accent1" w:themeShade="80"/>
          <w:sz w:val="28"/>
          <w:szCs w:val="28"/>
          <w:lang w:eastAsia="it-IT"/>
        </w:rPr>
        <w:t xml:space="preserve"> si intreccia con le discipline nazionali d</w:t>
      </w:r>
      <w:r>
        <w:rPr>
          <w:rFonts w:ascii="Calibri" w:eastAsia="Times New Roman" w:hAnsi="Calibri" w:cs="Segoe UI"/>
          <w:color w:val="1F4E79" w:themeColor="accent1" w:themeShade="80"/>
          <w:sz w:val="28"/>
          <w:szCs w:val="28"/>
          <w:lang w:eastAsia="it-IT"/>
        </w:rPr>
        <w:t>e</w:t>
      </w:r>
      <w:r w:rsidR="00113D0E" w:rsidRPr="003619CF">
        <w:rPr>
          <w:rFonts w:ascii="Calibri" w:eastAsia="Times New Roman" w:hAnsi="Calibri" w:cs="Segoe UI"/>
          <w:color w:val="1F4E79" w:themeColor="accent1" w:themeShade="80"/>
          <w:sz w:val="28"/>
          <w:szCs w:val="28"/>
          <w:lang w:eastAsia="it-IT"/>
        </w:rPr>
        <w:t>i diversi settori. Non avrebbe senso, allora, affidare la nomofilachia a organi diversi, a seconda della fonte della norma. A ciò si aggiunga che proprio l’asserita “specialità” del diritto UE potrebbe comportare proprio l’effetto opposto a quello auspicato, rallentando, anziché assecondando, l’integrazione tra le discipline.</w:t>
      </w:r>
    </w:p>
    <w:p w:rsidR="004F4CAC" w:rsidRPr="00B208E4" w:rsidRDefault="004F4CAC" w:rsidP="00FB7048">
      <w:pPr>
        <w:pStyle w:val="Paragrafoelenco"/>
        <w:numPr>
          <w:ilvl w:val="1"/>
          <w:numId w:val="1"/>
        </w:numPr>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Se proprio si vuole notare una tendenza del diritto europeo verso l’una o l’altra soluzione organizzativa, si potrebbe notare che la CGUE incoraggia notevolmente il sindacato diffuso sulla compatibilità tra diritto interno e diritto UE esercitato dal giudice comune di merito. L’accentramento presso un unico organo nomofilattico è considerato un filtro alla più ampia operatività del diritto europeo</w:t>
      </w:r>
      <w:r w:rsidRPr="00B208E4">
        <w:rPr>
          <w:rStyle w:val="Rimandonotaapidipagina"/>
          <w:rFonts w:ascii="Calibri" w:eastAsia="Times New Roman" w:hAnsi="Calibri" w:cs="Segoe UI"/>
          <w:color w:val="1F4E79" w:themeColor="accent1" w:themeShade="80"/>
          <w:sz w:val="28"/>
          <w:szCs w:val="28"/>
          <w:lang w:eastAsia="it-IT"/>
        </w:rPr>
        <w:footnoteReference w:id="50"/>
      </w:r>
      <w:r w:rsidRPr="00B208E4">
        <w:rPr>
          <w:rFonts w:ascii="Calibri" w:eastAsia="Times New Roman" w:hAnsi="Calibri" w:cs="Segoe UI"/>
          <w:color w:val="1F4E79" w:themeColor="accent1" w:themeShade="80"/>
          <w:sz w:val="28"/>
          <w:szCs w:val="28"/>
          <w:lang w:eastAsia="it-IT"/>
        </w:rPr>
        <w:t>.</w:t>
      </w:r>
    </w:p>
    <w:p w:rsidR="0085645E" w:rsidRPr="00B208E4" w:rsidRDefault="00113D0E" w:rsidP="00FB7048">
      <w:pPr>
        <w:pStyle w:val="Paragrafoelenco"/>
        <w:numPr>
          <w:ilvl w:val="1"/>
          <w:numId w:val="1"/>
        </w:numPr>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D’altro canto, non deve trascurarsi che la </w:t>
      </w:r>
      <w:r w:rsidRPr="00B208E4">
        <w:rPr>
          <w:rFonts w:ascii="Calibri" w:eastAsia="Times New Roman" w:hAnsi="Calibri" w:cs="Segoe UI"/>
          <w:i/>
          <w:color w:val="1F4E79" w:themeColor="accent1" w:themeShade="80"/>
          <w:sz w:val="28"/>
          <w:szCs w:val="28"/>
          <w:lang w:eastAsia="it-IT"/>
        </w:rPr>
        <w:t>nomofilachia</w:t>
      </w:r>
      <w:r w:rsidRPr="00B208E4">
        <w:rPr>
          <w:rFonts w:ascii="Calibri" w:eastAsia="Times New Roman" w:hAnsi="Calibri" w:cs="Segoe UI"/>
          <w:color w:val="1F4E79" w:themeColor="accent1" w:themeShade="80"/>
          <w:sz w:val="28"/>
          <w:szCs w:val="28"/>
          <w:lang w:eastAsia="it-IT"/>
        </w:rPr>
        <w:t xml:space="preserve"> </w:t>
      </w:r>
      <w:r w:rsidR="00C2221E" w:rsidRPr="00B208E4">
        <w:rPr>
          <w:rFonts w:ascii="Calibri" w:eastAsia="Times New Roman" w:hAnsi="Calibri" w:cs="Segoe UI"/>
          <w:color w:val="1F4E79" w:themeColor="accent1" w:themeShade="80"/>
          <w:sz w:val="28"/>
          <w:szCs w:val="28"/>
          <w:lang w:eastAsia="it-IT"/>
        </w:rPr>
        <w:t xml:space="preserve">europea </w:t>
      </w:r>
      <w:r w:rsidRPr="00B208E4">
        <w:rPr>
          <w:rFonts w:ascii="Calibri" w:eastAsia="Times New Roman" w:hAnsi="Calibri" w:cs="Segoe UI"/>
          <w:color w:val="1F4E79" w:themeColor="accent1" w:themeShade="80"/>
          <w:sz w:val="28"/>
          <w:szCs w:val="28"/>
          <w:lang w:eastAsia="it-IT"/>
        </w:rPr>
        <w:t xml:space="preserve">è assicurata istituzionalmente, dal ruolo della </w:t>
      </w:r>
      <w:r w:rsidR="0063292F" w:rsidRPr="00B208E4">
        <w:rPr>
          <w:rFonts w:ascii="Calibri" w:eastAsia="Times New Roman" w:hAnsi="Calibri" w:cs="Segoe UI"/>
          <w:color w:val="1F4E79" w:themeColor="accent1" w:themeShade="80"/>
          <w:sz w:val="28"/>
          <w:szCs w:val="28"/>
          <w:lang w:eastAsia="it-IT"/>
        </w:rPr>
        <w:t>CGUE.</w:t>
      </w:r>
      <w:r w:rsidR="00C2221E" w:rsidRPr="00B208E4">
        <w:rPr>
          <w:rFonts w:ascii="Calibri" w:eastAsia="Times New Roman" w:hAnsi="Calibri" w:cs="Segoe UI"/>
          <w:color w:val="1F4E79" w:themeColor="accent1" w:themeShade="80"/>
          <w:sz w:val="28"/>
          <w:szCs w:val="28"/>
          <w:lang w:eastAsia="it-IT"/>
        </w:rPr>
        <w:t xml:space="preserve"> E questo ridimensiona notevolmente il problema concreto.</w:t>
      </w:r>
    </w:p>
    <w:p w:rsidR="0085645E" w:rsidRPr="00B208E4" w:rsidRDefault="0085645E"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p>
    <w:p w:rsidR="00C501C9" w:rsidRPr="00B208E4" w:rsidRDefault="0063292F" w:rsidP="00FB7048">
      <w:pPr>
        <w:numPr>
          <w:ilvl w:val="0"/>
          <w:numId w:val="1"/>
        </w:numPr>
        <w:shd w:val="clear" w:color="auto" w:fill="FFFFFF"/>
        <w:tabs>
          <w:tab w:val="left" w:pos="0"/>
        </w:tabs>
        <w:spacing w:after="120" w:line="240" w:lineRule="auto"/>
        <w:ind w:left="0" w:firstLine="709"/>
        <w:jc w:val="both"/>
        <w:textAlignment w:val="baseline"/>
        <w:rPr>
          <w:rFonts w:ascii="Tahoma" w:eastAsia="Times New Roman" w:hAnsi="Tahoma" w:cs="Tahoma"/>
          <w:smallCaps/>
          <w:color w:val="1F4E79" w:themeColor="accent1" w:themeShade="80"/>
          <w:sz w:val="28"/>
          <w:szCs w:val="28"/>
          <w:bdr w:val="none" w:sz="0" w:space="0" w:color="auto" w:frame="1"/>
          <w:lang w:eastAsia="it-IT"/>
        </w:rPr>
      </w:pPr>
      <w:r w:rsidRPr="00B208E4">
        <w:rPr>
          <w:rFonts w:ascii="Tahoma" w:eastAsia="Times New Roman" w:hAnsi="Tahoma" w:cs="Tahoma"/>
          <w:smallCaps/>
          <w:color w:val="1F4E79" w:themeColor="accent1" w:themeShade="80"/>
          <w:sz w:val="28"/>
          <w:szCs w:val="28"/>
          <w:bdr w:val="none" w:sz="0" w:space="0" w:color="auto" w:frame="1"/>
          <w:lang w:eastAsia="it-IT"/>
        </w:rPr>
        <w:t>La prospettiva europea della CEDU: Cassazione e Consiglio di Stato come Corti di ultima istanza, paritariamente garanti dell’attuazione nazionale del diritto convenzionale</w:t>
      </w:r>
      <w:r w:rsidR="005F5CF2" w:rsidRPr="00B208E4">
        <w:rPr>
          <w:rFonts w:ascii="Tahoma" w:eastAsia="Times New Roman" w:hAnsi="Tahoma" w:cs="Tahoma"/>
          <w:smallCaps/>
          <w:color w:val="1F4E79" w:themeColor="accent1" w:themeShade="80"/>
          <w:sz w:val="28"/>
          <w:szCs w:val="28"/>
          <w:bdr w:val="none" w:sz="0" w:space="0" w:color="auto" w:frame="1"/>
          <w:lang w:eastAsia="it-IT"/>
        </w:rPr>
        <w:t>, abilitati a sollevare la questione pregiudiziale facoltativa davanti al giudice di Strasburgo.</w:t>
      </w:r>
    </w:p>
    <w:p w:rsidR="00C501C9" w:rsidRPr="00B208E4" w:rsidRDefault="00D10ADA"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Prima di approfondire l’analisi dei problemi posti dal secondo quesito formulato dall’ordinanza in commento, può essere utile segnalare un </w:t>
      </w:r>
      <w:r w:rsidR="002950E3" w:rsidRPr="00B208E4">
        <w:rPr>
          <w:rFonts w:ascii="Calibri" w:eastAsia="Times New Roman" w:hAnsi="Calibri" w:cs="Segoe UI"/>
          <w:color w:val="1F4E79" w:themeColor="accent1" w:themeShade="80"/>
          <w:sz w:val="28"/>
          <w:szCs w:val="28"/>
          <w:lang w:eastAsia="it-IT"/>
        </w:rPr>
        <w:t>argomento di carattere sistematico</w:t>
      </w:r>
      <w:r w:rsidR="00802432" w:rsidRPr="00B208E4">
        <w:rPr>
          <w:rFonts w:ascii="Calibri" w:eastAsia="Times New Roman" w:hAnsi="Calibri" w:cs="Segoe UI"/>
          <w:color w:val="1F4E79" w:themeColor="accent1" w:themeShade="80"/>
          <w:sz w:val="28"/>
          <w:szCs w:val="28"/>
          <w:lang w:eastAsia="it-IT"/>
        </w:rPr>
        <w:t xml:space="preserve">, idoneo a lumeggiare il rapporto tra Consiglio di Stato e </w:t>
      </w:r>
      <w:r w:rsidR="003619CF">
        <w:rPr>
          <w:rFonts w:ascii="Calibri" w:eastAsia="Times New Roman" w:hAnsi="Calibri" w:cs="Segoe UI"/>
          <w:color w:val="1F4E79" w:themeColor="accent1" w:themeShade="80"/>
          <w:sz w:val="28"/>
          <w:szCs w:val="28"/>
          <w:lang w:eastAsia="it-IT"/>
        </w:rPr>
        <w:t xml:space="preserve">la </w:t>
      </w:r>
      <w:r w:rsidR="00802432" w:rsidRPr="00B208E4">
        <w:rPr>
          <w:rFonts w:ascii="Calibri" w:eastAsia="Times New Roman" w:hAnsi="Calibri" w:cs="Segoe UI"/>
          <w:color w:val="1F4E79" w:themeColor="accent1" w:themeShade="80"/>
          <w:sz w:val="28"/>
          <w:szCs w:val="28"/>
          <w:lang w:eastAsia="it-IT"/>
        </w:rPr>
        <w:t>Cassazione, con riguardo alla corretta applicazione del diritto di matrice europea, destinato a prevalere sulle fonti interne</w:t>
      </w:r>
      <w:r w:rsidR="002950E3" w:rsidRPr="00B208E4">
        <w:rPr>
          <w:rFonts w:ascii="Calibri" w:eastAsia="Times New Roman" w:hAnsi="Calibri" w:cs="Segoe UI"/>
          <w:color w:val="1F4E79" w:themeColor="accent1" w:themeShade="80"/>
          <w:sz w:val="28"/>
          <w:szCs w:val="28"/>
          <w:lang w:eastAsia="it-IT"/>
        </w:rPr>
        <w:t>.</w:t>
      </w:r>
    </w:p>
    <w:p w:rsidR="002950E3" w:rsidRPr="00B208E4" w:rsidRDefault="004D1A3B"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Si tratta delle chiare scelte compiute dai</w:t>
      </w:r>
      <w:r w:rsidR="002950E3" w:rsidRPr="00B208E4">
        <w:rPr>
          <w:rFonts w:ascii="Calibri" w:eastAsia="Times New Roman" w:hAnsi="Calibri" w:cs="Segoe UI"/>
          <w:color w:val="1F4E79" w:themeColor="accent1" w:themeShade="80"/>
          <w:sz w:val="28"/>
          <w:szCs w:val="28"/>
          <w:lang w:eastAsia="it-IT"/>
        </w:rPr>
        <w:t xml:space="preserve"> progetti di legge concernenti la ratifica e l’esecuzione del Protocollo 16 della CEDU</w:t>
      </w:r>
      <w:r w:rsidRPr="00B208E4">
        <w:rPr>
          <w:rFonts w:ascii="Calibri" w:eastAsia="Times New Roman" w:hAnsi="Calibri" w:cs="Segoe UI"/>
          <w:color w:val="1F4E79" w:themeColor="accent1" w:themeShade="80"/>
          <w:sz w:val="28"/>
          <w:szCs w:val="28"/>
          <w:lang w:eastAsia="it-IT"/>
        </w:rPr>
        <w:t xml:space="preserve">. Come è noto, la norma convenzionale contiene </w:t>
      </w:r>
      <w:r w:rsidR="002950E3" w:rsidRPr="00B208E4">
        <w:rPr>
          <w:rFonts w:ascii="Calibri" w:eastAsia="Times New Roman" w:hAnsi="Calibri" w:cs="Segoe UI"/>
          <w:color w:val="1F4E79" w:themeColor="accent1" w:themeShade="80"/>
          <w:sz w:val="28"/>
          <w:szCs w:val="28"/>
          <w:lang w:eastAsia="it-IT"/>
        </w:rPr>
        <w:t>la previsione secondo</w:t>
      </w:r>
      <w:r w:rsidRPr="00B208E4">
        <w:rPr>
          <w:rFonts w:ascii="Calibri" w:eastAsia="Times New Roman" w:hAnsi="Calibri" w:cs="Segoe UI"/>
          <w:color w:val="1F4E79" w:themeColor="accent1" w:themeShade="80"/>
          <w:sz w:val="28"/>
          <w:szCs w:val="28"/>
          <w:lang w:eastAsia="it-IT"/>
        </w:rPr>
        <w:t xml:space="preserve"> ciascuno Stato che decide di ratificare il Protocollo</w:t>
      </w:r>
      <w:r w:rsidR="002950E3" w:rsidRPr="00B208E4">
        <w:rPr>
          <w:rFonts w:ascii="Calibri" w:eastAsia="Times New Roman" w:hAnsi="Calibri" w:cs="Segoe UI"/>
          <w:color w:val="1F4E79" w:themeColor="accent1" w:themeShade="80"/>
          <w:sz w:val="28"/>
          <w:szCs w:val="28"/>
          <w:lang w:eastAsia="it-IT"/>
        </w:rPr>
        <w:t xml:space="preserve"> </w:t>
      </w:r>
      <w:r w:rsidR="00856244" w:rsidRPr="00B208E4">
        <w:rPr>
          <w:rFonts w:ascii="Calibri" w:eastAsia="Times New Roman" w:hAnsi="Calibri" w:cs="Segoe UI"/>
          <w:color w:val="1F4E79" w:themeColor="accent1" w:themeShade="80"/>
          <w:sz w:val="28"/>
          <w:szCs w:val="28"/>
          <w:lang w:eastAsia="it-IT"/>
        </w:rPr>
        <w:t>può attribuire al</w:t>
      </w:r>
      <w:r w:rsidR="002950E3" w:rsidRPr="00B208E4">
        <w:rPr>
          <w:rFonts w:ascii="Calibri" w:eastAsia="Times New Roman" w:hAnsi="Calibri" w:cs="Segoe UI"/>
          <w:color w:val="1F4E79" w:themeColor="accent1" w:themeShade="80"/>
          <w:sz w:val="28"/>
          <w:szCs w:val="28"/>
          <w:lang w:eastAsia="it-IT"/>
        </w:rPr>
        <w:t xml:space="preserve">le giurisdizioni superiori </w:t>
      </w:r>
      <w:r w:rsidR="00856244" w:rsidRPr="00B208E4">
        <w:rPr>
          <w:rFonts w:ascii="Calibri" w:eastAsia="Times New Roman" w:hAnsi="Calibri" w:cs="Segoe UI"/>
          <w:color w:val="1F4E79" w:themeColor="accent1" w:themeShade="80"/>
          <w:sz w:val="28"/>
          <w:szCs w:val="28"/>
          <w:lang w:eastAsia="it-IT"/>
        </w:rPr>
        <w:t xml:space="preserve">la </w:t>
      </w:r>
      <w:r w:rsidR="002950E3" w:rsidRPr="00B208E4">
        <w:rPr>
          <w:rFonts w:ascii="Calibri" w:eastAsia="Times New Roman" w:hAnsi="Calibri" w:cs="Segoe UI"/>
          <w:color w:val="1F4E79" w:themeColor="accent1" w:themeShade="80"/>
          <w:sz w:val="28"/>
          <w:szCs w:val="28"/>
          <w:lang w:eastAsia="it-IT"/>
        </w:rPr>
        <w:t xml:space="preserve">facoltà di richiedere </w:t>
      </w:r>
      <w:r w:rsidR="005177BD" w:rsidRPr="00B208E4">
        <w:rPr>
          <w:rFonts w:ascii="Calibri" w:eastAsia="Times New Roman" w:hAnsi="Calibri" w:cs="Segoe UI"/>
          <w:color w:val="1F4E79" w:themeColor="accent1" w:themeShade="80"/>
          <w:sz w:val="28"/>
          <w:szCs w:val="28"/>
          <w:lang w:eastAsia="it-IT"/>
        </w:rPr>
        <w:t>alla Corte di Strasburgo un parere non vincolante sull’interpretazione della normativa convenzionale rilevante nella controversia</w:t>
      </w:r>
      <w:r w:rsidR="00856244" w:rsidRPr="00B208E4">
        <w:rPr>
          <w:rStyle w:val="Rimandonotaapidipagina"/>
          <w:rFonts w:ascii="Calibri" w:eastAsia="Times New Roman" w:hAnsi="Calibri" w:cs="Segoe UI"/>
          <w:color w:val="1F4E79" w:themeColor="accent1" w:themeShade="80"/>
          <w:sz w:val="28"/>
          <w:szCs w:val="28"/>
          <w:lang w:eastAsia="it-IT"/>
        </w:rPr>
        <w:footnoteReference w:id="51"/>
      </w:r>
      <w:r w:rsidR="005177BD" w:rsidRPr="00B208E4">
        <w:rPr>
          <w:rFonts w:ascii="Calibri" w:eastAsia="Times New Roman" w:hAnsi="Calibri" w:cs="Segoe UI"/>
          <w:color w:val="1F4E79" w:themeColor="accent1" w:themeShade="80"/>
          <w:sz w:val="28"/>
          <w:szCs w:val="28"/>
          <w:lang w:eastAsia="it-IT"/>
        </w:rPr>
        <w:t>.</w:t>
      </w:r>
    </w:p>
    <w:p w:rsidR="00787881" w:rsidRPr="00B208E4" w:rsidRDefault="005177BD"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L’ordinamento europe</w:t>
      </w:r>
      <w:r w:rsidR="00787881" w:rsidRPr="00B208E4">
        <w:rPr>
          <w:rFonts w:ascii="Calibri" w:eastAsia="Times New Roman" w:hAnsi="Calibri" w:cs="Segoe UI"/>
          <w:color w:val="1F4E79" w:themeColor="accent1" w:themeShade="80"/>
          <w:sz w:val="28"/>
          <w:szCs w:val="28"/>
          <w:lang w:eastAsia="it-IT"/>
        </w:rPr>
        <w:t>o</w:t>
      </w:r>
      <w:r w:rsidRPr="00B208E4">
        <w:rPr>
          <w:rFonts w:ascii="Calibri" w:eastAsia="Times New Roman" w:hAnsi="Calibri" w:cs="Segoe UI"/>
          <w:color w:val="1F4E79" w:themeColor="accent1" w:themeShade="80"/>
          <w:sz w:val="28"/>
          <w:szCs w:val="28"/>
          <w:lang w:eastAsia="it-IT"/>
        </w:rPr>
        <w:t xml:space="preserve"> legittima alla richiesta le sole giurisdizioni superiori</w:t>
      </w:r>
      <w:r w:rsidR="00787881" w:rsidRPr="00B208E4">
        <w:rPr>
          <w:rFonts w:ascii="Calibri" w:eastAsia="Times New Roman" w:hAnsi="Calibri" w:cs="Segoe UI"/>
          <w:color w:val="1F4E79" w:themeColor="accent1" w:themeShade="80"/>
          <w:sz w:val="28"/>
          <w:szCs w:val="28"/>
          <w:lang w:eastAsia="it-IT"/>
        </w:rPr>
        <w:t>, positivamente indicate da ciascuno Stato membro.</w:t>
      </w:r>
    </w:p>
    <w:p w:rsidR="006F2936" w:rsidRPr="00B208E4" w:rsidRDefault="006F2936"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Ai sensi dell’articolo 1 del Protocollo “</w:t>
      </w:r>
      <w:r w:rsidRPr="00B208E4">
        <w:rPr>
          <w:rFonts w:ascii="Calibri" w:eastAsia="Times New Roman" w:hAnsi="Calibri" w:cs="Segoe UI"/>
          <w:i/>
          <w:color w:val="1F4E79" w:themeColor="accent1" w:themeShade="80"/>
          <w:sz w:val="28"/>
          <w:szCs w:val="28"/>
          <w:lang w:eastAsia="it-IT"/>
        </w:rPr>
        <w:t>Le più alte giurisdizioni di un’Alta Parte contraente, designate conformemente all’articolo 10, possono presentare alla Corte delle richieste di pareri consultivi su questioni di principio relative all’interpretazione o all’applicazione dei diritti e delle libertà definiti dalla Convenzione o dai suoi protocolli</w:t>
      </w:r>
      <w:r w:rsidRPr="00B208E4">
        <w:rPr>
          <w:rFonts w:ascii="Calibri" w:eastAsia="Times New Roman" w:hAnsi="Calibri" w:cs="Segoe UI"/>
          <w:color w:val="1F4E79" w:themeColor="accent1" w:themeShade="80"/>
          <w:sz w:val="28"/>
          <w:szCs w:val="28"/>
          <w:lang w:eastAsia="it-IT"/>
        </w:rPr>
        <w:t>”. Il successivo e richiamato art. 10 prevede invece che “</w:t>
      </w:r>
      <w:r w:rsidRPr="00B208E4">
        <w:rPr>
          <w:rFonts w:ascii="Calibri" w:eastAsia="Times New Roman" w:hAnsi="Calibri" w:cs="Segoe UI"/>
          <w:i/>
          <w:color w:val="1F4E79" w:themeColor="accent1" w:themeShade="80"/>
          <w:sz w:val="28"/>
          <w:szCs w:val="28"/>
          <w:lang w:eastAsia="it-IT"/>
        </w:rPr>
        <w:t>Ciascuna Alta Parte contraente della Convenzione indica, al momento della firma o del deposito del proprio strumento di ratifica, di accettazione o di approvazione, per mezzo di una dichiarazione indirizzata al Segretario Generale del Consiglio d’Europa, quali autorità giudiziarie nomina ai fini dell’articolo 1, paragrafo 1, del presente Protocollo. Tale dichiarazione può essere modificata in qualsiasi momento nello stesso modo</w:t>
      </w:r>
      <w:r w:rsidRPr="00B208E4">
        <w:rPr>
          <w:rFonts w:ascii="Calibri" w:eastAsia="Times New Roman" w:hAnsi="Calibri" w:cs="Segoe UI"/>
          <w:color w:val="1F4E79" w:themeColor="accent1" w:themeShade="80"/>
          <w:sz w:val="28"/>
          <w:szCs w:val="28"/>
          <w:lang w:eastAsia="it-IT"/>
        </w:rPr>
        <w:t>.”</w:t>
      </w:r>
    </w:p>
    <w:p w:rsidR="00787881" w:rsidRPr="00B208E4" w:rsidRDefault="00787881"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Ebbene, nella scorsa legislatura è stato approvato da un ramo del Parlamento il ddl di ratifica</w:t>
      </w:r>
      <w:r w:rsidR="00832B36" w:rsidRPr="00B208E4">
        <w:rPr>
          <w:rFonts w:ascii="Calibri" w:eastAsia="Times New Roman" w:hAnsi="Calibri" w:cs="Segoe UI"/>
          <w:color w:val="1F4E79" w:themeColor="accent1" w:themeShade="80"/>
          <w:sz w:val="28"/>
          <w:szCs w:val="28"/>
          <w:lang w:eastAsia="it-IT"/>
        </w:rPr>
        <w:t xml:space="preserve"> disegno di legge n. AC-2801</w:t>
      </w:r>
      <w:r w:rsidR="003619CF">
        <w:rPr>
          <w:rStyle w:val="Rimandonotaapidipagina"/>
          <w:rFonts w:ascii="Calibri" w:eastAsia="Times New Roman" w:hAnsi="Calibri" w:cs="Segoe UI"/>
          <w:color w:val="1F4E79" w:themeColor="accent1" w:themeShade="80"/>
          <w:sz w:val="28"/>
          <w:szCs w:val="28"/>
          <w:lang w:eastAsia="it-IT"/>
        </w:rPr>
        <w:footnoteReference w:id="52"/>
      </w:r>
      <w:r w:rsidR="00832B36" w:rsidRPr="00B208E4">
        <w:rPr>
          <w:rFonts w:ascii="Calibri" w:eastAsia="Times New Roman" w:hAnsi="Calibri" w:cs="Segoe UI"/>
          <w:color w:val="1F4E79" w:themeColor="accent1" w:themeShade="80"/>
          <w:sz w:val="28"/>
          <w:szCs w:val="28"/>
          <w:lang w:eastAsia="it-IT"/>
        </w:rPr>
        <w:t>, il quale</w:t>
      </w:r>
      <w:r w:rsidRPr="00B208E4">
        <w:rPr>
          <w:rFonts w:ascii="Calibri" w:eastAsia="Times New Roman" w:hAnsi="Calibri" w:cs="Segoe UI"/>
          <w:color w:val="1F4E79" w:themeColor="accent1" w:themeShade="80"/>
          <w:sz w:val="28"/>
          <w:szCs w:val="28"/>
          <w:lang w:eastAsia="it-IT"/>
        </w:rPr>
        <w:t xml:space="preserve"> indica chiaramente che il Consiglio di Stato è giurisdizione superiore: cioè organo chiamato ad avere “l’ultima parola” sulla questione sottoposta al suo esame.</w:t>
      </w:r>
    </w:p>
    <w:p w:rsidR="00832B36" w:rsidRPr="00B208E4" w:rsidRDefault="00832B36"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Tale impostazione è stata confermata anche nella presente legislatura</w:t>
      </w:r>
      <w:r w:rsidR="00162B97" w:rsidRPr="00B208E4">
        <w:rPr>
          <w:rFonts w:ascii="Calibri" w:eastAsia="Times New Roman" w:hAnsi="Calibri" w:cs="Segoe UI"/>
          <w:color w:val="1F4E79" w:themeColor="accent1" w:themeShade="80"/>
          <w:sz w:val="28"/>
          <w:szCs w:val="28"/>
          <w:lang w:eastAsia="it-IT"/>
        </w:rPr>
        <w:t xml:space="preserve"> (DDL AC-1124). </w:t>
      </w:r>
      <w:r w:rsidR="00EC49C3" w:rsidRPr="00B208E4">
        <w:rPr>
          <w:rFonts w:ascii="Calibri" w:eastAsia="Times New Roman" w:hAnsi="Calibri" w:cs="Segoe UI"/>
          <w:color w:val="1F4E79" w:themeColor="accent1" w:themeShade="80"/>
          <w:sz w:val="28"/>
          <w:szCs w:val="28"/>
          <w:lang w:eastAsia="it-IT"/>
        </w:rPr>
        <w:t>Secondo il comma 1 dell’art. 3 dello schema presentato dal Governo all’esame del Parlamento, “</w:t>
      </w:r>
      <w:r w:rsidR="00EC49C3" w:rsidRPr="00B208E4">
        <w:rPr>
          <w:rFonts w:ascii="Calibri" w:eastAsia="Times New Roman" w:hAnsi="Calibri" w:cs="Segoe UI"/>
          <w:i/>
          <w:color w:val="1F4E79" w:themeColor="accent1" w:themeShade="80"/>
          <w:sz w:val="28"/>
          <w:szCs w:val="28"/>
          <w:lang w:eastAsia="it-IT"/>
        </w:rPr>
        <w:t>La Suprema Corte di cassazione, il Consiglio di Stato, la Corte dei conti e il Consiglio di giustizia amministrativa per la Regione siciliana possono presentare alla Grande Camera della Corte europea dei diritti dell’uomo richieste di parere ai sensi dell’articolo 1, paragrafo 1, del Protocollo di cui all’articolo 1, comma 1, lettera b), della presente legge</w:t>
      </w:r>
      <w:r w:rsidR="00EC49C3" w:rsidRPr="00B208E4">
        <w:rPr>
          <w:rFonts w:ascii="Calibri" w:eastAsia="Times New Roman" w:hAnsi="Calibri" w:cs="Segoe UI"/>
          <w:color w:val="1F4E79" w:themeColor="accent1" w:themeShade="80"/>
          <w:sz w:val="28"/>
          <w:szCs w:val="28"/>
          <w:lang w:eastAsia="it-IT"/>
        </w:rPr>
        <w:t>”.</w:t>
      </w:r>
      <w:r w:rsidRPr="00B208E4">
        <w:rPr>
          <w:rFonts w:ascii="Calibri" w:eastAsia="Times New Roman" w:hAnsi="Calibri" w:cs="Segoe UI"/>
          <w:color w:val="1F4E79" w:themeColor="accent1" w:themeShade="80"/>
          <w:sz w:val="28"/>
          <w:szCs w:val="28"/>
          <w:lang w:eastAsia="it-IT"/>
        </w:rPr>
        <w:t xml:space="preserve"> </w:t>
      </w:r>
    </w:p>
    <w:p w:rsidR="003A2F17" w:rsidRPr="00B208E4" w:rsidRDefault="003A2F17"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Per </w:t>
      </w:r>
      <w:r w:rsidR="0063292F" w:rsidRPr="00B208E4">
        <w:rPr>
          <w:rFonts w:ascii="Calibri" w:eastAsia="Times New Roman" w:hAnsi="Calibri" w:cs="Segoe UI"/>
          <w:color w:val="1F4E79" w:themeColor="accent1" w:themeShade="80"/>
          <w:sz w:val="28"/>
          <w:szCs w:val="28"/>
          <w:lang w:eastAsia="it-IT"/>
        </w:rPr>
        <w:t xml:space="preserve">opinabili </w:t>
      </w:r>
      <w:r w:rsidRPr="00B208E4">
        <w:rPr>
          <w:rFonts w:ascii="Calibri" w:eastAsia="Times New Roman" w:hAnsi="Calibri" w:cs="Segoe UI"/>
          <w:color w:val="1F4E79" w:themeColor="accent1" w:themeShade="80"/>
          <w:sz w:val="28"/>
          <w:szCs w:val="28"/>
          <w:lang w:eastAsia="it-IT"/>
        </w:rPr>
        <w:t>ragioni politiche</w:t>
      </w:r>
      <w:r w:rsidR="00EC49C3" w:rsidRPr="00B208E4">
        <w:rPr>
          <w:rFonts w:ascii="Calibri" w:eastAsia="Times New Roman" w:hAnsi="Calibri" w:cs="Segoe UI"/>
          <w:color w:val="1F4E79" w:themeColor="accent1" w:themeShade="80"/>
          <w:sz w:val="28"/>
          <w:szCs w:val="28"/>
          <w:lang w:eastAsia="it-IT"/>
        </w:rPr>
        <w:t xml:space="preserve">, riguardanti l’impianto complessivo </w:t>
      </w:r>
      <w:r w:rsidR="00F57EA3" w:rsidRPr="00B208E4">
        <w:rPr>
          <w:rFonts w:ascii="Calibri" w:eastAsia="Times New Roman" w:hAnsi="Calibri" w:cs="Segoe UI"/>
          <w:color w:val="1F4E79" w:themeColor="accent1" w:themeShade="80"/>
          <w:sz w:val="28"/>
          <w:szCs w:val="28"/>
          <w:lang w:eastAsia="it-IT"/>
        </w:rPr>
        <w:t>della</w:t>
      </w:r>
      <w:r w:rsidR="00EC49C3" w:rsidRPr="00B208E4">
        <w:rPr>
          <w:rFonts w:ascii="Calibri" w:eastAsia="Times New Roman" w:hAnsi="Calibri" w:cs="Segoe UI"/>
          <w:color w:val="1F4E79" w:themeColor="accent1" w:themeShade="80"/>
          <w:sz w:val="28"/>
          <w:szCs w:val="28"/>
          <w:lang w:eastAsia="it-IT"/>
        </w:rPr>
        <w:t xml:space="preserve"> normativa convenzionale</w:t>
      </w:r>
      <w:r w:rsidRPr="00B208E4">
        <w:rPr>
          <w:rFonts w:ascii="Calibri" w:eastAsia="Times New Roman" w:hAnsi="Calibri" w:cs="Segoe UI"/>
          <w:color w:val="1F4E79" w:themeColor="accent1" w:themeShade="80"/>
          <w:sz w:val="28"/>
          <w:szCs w:val="28"/>
          <w:lang w:eastAsia="it-IT"/>
        </w:rPr>
        <w:t xml:space="preserve">, nella presente legislatura, il </w:t>
      </w:r>
      <w:r w:rsidR="003619CF" w:rsidRPr="00B208E4">
        <w:rPr>
          <w:rFonts w:ascii="Calibri" w:eastAsia="Times New Roman" w:hAnsi="Calibri" w:cs="Segoe UI"/>
          <w:color w:val="1F4E79" w:themeColor="accent1" w:themeShade="80"/>
          <w:sz w:val="28"/>
          <w:szCs w:val="28"/>
          <w:lang w:eastAsia="it-IT"/>
        </w:rPr>
        <w:t>DDL</w:t>
      </w:r>
      <w:r w:rsidRPr="00B208E4">
        <w:rPr>
          <w:rFonts w:ascii="Calibri" w:eastAsia="Times New Roman" w:hAnsi="Calibri" w:cs="Segoe UI"/>
          <w:color w:val="1F4E79" w:themeColor="accent1" w:themeShade="80"/>
          <w:sz w:val="28"/>
          <w:szCs w:val="28"/>
          <w:lang w:eastAsia="it-IT"/>
        </w:rPr>
        <w:t>, si è ora arenato</w:t>
      </w:r>
      <w:r w:rsidR="003619CF">
        <w:rPr>
          <w:rFonts w:ascii="Calibri" w:eastAsia="Times New Roman" w:hAnsi="Calibri" w:cs="Segoe UI"/>
          <w:color w:val="1F4E79" w:themeColor="accent1" w:themeShade="80"/>
          <w:sz w:val="28"/>
          <w:szCs w:val="28"/>
          <w:lang w:eastAsia="it-IT"/>
        </w:rPr>
        <w:t xml:space="preserve"> e la ratifica italiana del Protocollo 16 si è allontanata</w:t>
      </w:r>
      <w:r w:rsidRPr="00B208E4">
        <w:rPr>
          <w:rFonts w:ascii="Calibri" w:eastAsia="Times New Roman" w:hAnsi="Calibri" w:cs="Segoe UI"/>
          <w:color w:val="1F4E79" w:themeColor="accent1" w:themeShade="80"/>
          <w:sz w:val="28"/>
          <w:szCs w:val="28"/>
          <w:lang w:eastAsia="it-IT"/>
        </w:rPr>
        <w:t>.</w:t>
      </w:r>
    </w:p>
    <w:p w:rsidR="001E305A" w:rsidRDefault="003A2F17"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Ma n</w:t>
      </w:r>
      <w:r w:rsidR="005177BD" w:rsidRPr="00B208E4">
        <w:rPr>
          <w:rFonts w:ascii="Calibri" w:eastAsia="Times New Roman" w:hAnsi="Calibri" w:cs="Segoe UI"/>
          <w:color w:val="1F4E79" w:themeColor="accent1" w:themeShade="80"/>
          <w:sz w:val="28"/>
          <w:szCs w:val="28"/>
          <w:lang w:eastAsia="it-IT"/>
        </w:rPr>
        <w:t>e</w:t>
      </w:r>
      <w:r w:rsidRPr="00B208E4">
        <w:rPr>
          <w:rFonts w:ascii="Calibri" w:eastAsia="Times New Roman" w:hAnsi="Calibri" w:cs="Segoe UI"/>
          <w:color w:val="1F4E79" w:themeColor="accent1" w:themeShade="80"/>
          <w:sz w:val="28"/>
          <w:szCs w:val="28"/>
          <w:lang w:eastAsia="it-IT"/>
        </w:rPr>
        <w:t xml:space="preserve">ssuno mette in dubbio </w:t>
      </w:r>
      <w:r w:rsidR="001E305A" w:rsidRPr="00B208E4">
        <w:rPr>
          <w:rFonts w:ascii="Calibri" w:eastAsia="Times New Roman" w:hAnsi="Calibri" w:cs="Segoe UI"/>
          <w:color w:val="1F4E79" w:themeColor="accent1" w:themeShade="80"/>
          <w:sz w:val="28"/>
          <w:szCs w:val="28"/>
          <w:lang w:eastAsia="it-IT"/>
        </w:rPr>
        <w:t>che, nei riguardi della CEDU, Consiglio di Stato e Cassazione sono considerati paritariamente, come organi di ultima istanza</w:t>
      </w:r>
      <w:r w:rsidR="00F57EA3">
        <w:rPr>
          <w:rFonts w:ascii="Calibri" w:eastAsia="Times New Roman" w:hAnsi="Calibri" w:cs="Segoe UI"/>
          <w:color w:val="1F4E79" w:themeColor="accent1" w:themeShade="80"/>
          <w:sz w:val="28"/>
          <w:szCs w:val="28"/>
          <w:lang w:eastAsia="it-IT"/>
        </w:rPr>
        <w:t>, titolari del potere nomofilattico nazionale,</w:t>
      </w:r>
      <w:r w:rsidR="001E305A" w:rsidRPr="00B208E4">
        <w:rPr>
          <w:rFonts w:ascii="Calibri" w:eastAsia="Times New Roman" w:hAnsi="Calibri" w:cs="Segoe UI"/>
          <w:color w:val="1F4E79" w:themeColor="accent1" w:themeShade="80"/>
          <w:sz w:val="28"/>
          <w:szCs w:val="28"/>
          <w:lang w:eastAsia="it-IT"/>
        </w:rPr>
        <w:t xml:space="preserve"> per tutto ciò che concerne l’applicazione della CEDU nei rispettivi ambiti di giurisdizione.</w:t>
      </w:r>
    </w:p>
    <w:p w:rsidR="00A54580" w:rsidRPr="00B208E4" w:rsidRDefault="00A54580"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La portata sistematica di scelte pacifiche e condivise, quindi, non può essere trascurata.</w:t>
      </w:r>
    </w:p>
    <w:p w:rsidR="00C501C9" w:rsidRPr="00B208E4" w:rsidRDefault="00C501C9"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p>
    <w:p w:rsidR="00601682" w:rsidRPr="00B208E4" w:rsidRDefault="00601682" w:rsidP="00FB7048">
      <w:pPr>
        <w:numPr>
          <w:ilvl w:val="0"/>
          <w:numId w:val="1"/>
        </w:numPr>
        <w:shd w:val="clear" w:color="auto" w:fill="FFFFFF"/>
        <w:tabs>
          <w:tab w:val="left" w:pos="0"/>
        </w:tabs>
        <w:spacing w:after="120" w:line="240" w:lineRule="auto"/>
        <w:ind w:left="0" w:firstLine="709"/>
        <w:jc w:val="both"/>
        <w:textAlignment w:val="baseline"/>
        <w:rPr>
          <w:rFonts w:ascii="Tahoma" w:eastAsia="Times New Roman" w:hAnsi="Tahoma" w:cs="Tahoma"/>
          <w:smallCaps/>
          <w:color w:val="1F4E79" w:themeColor="accent1" w:themeShade="80"/>
          <w:sz w:val="28"/>
          <w:szCs w:val="28"/>
          <w:bdr w:val="none" w:sz="0" w:space="0" w:color="auto" w:frame="1"/>
          <w:lang w:eastAsia="it-IT"/>
        </w:rPr>
      </w:pPr>
      <w:r w:rsidRPr="00B208E4">
        <w:rPr>
          <w:rFonts w:ascii="Tahoma" w:eastAsia="Times New Roman" w:hAnsi="Tahoma" w:cs="Tahoma"/>
          <w:smallCaps/>
          <w:color w:val="1F4E79" w:themeColor="accent1" w:themeShade="80"/>
          <w:sz w:val="28"/>
          <w:szCs w:val="28"/>
          <w:bdr w:val="none" w:sz="0" w:space="0" w:color="auto" w:frame="1"/>
          <w:lang w:eastAsia="it-IT"/>
        </w:rPr>
        <w:t>La seconda questione</w:t>
      </w:r>
      <w:r w:rsidR="003C373A" w:rsidRPr="00B208E4">
        <w:rPr>
          <w:rFonts w:ascii="Tahoma" w:eastAsia="Times New Roman" w:hAnsi="Tahoma" w:cs="Tahoma"/>
          <w:smallCaps/>
          <w:color w:val="1F4E79" w:themeColor="accent1" w:themeShade="80"/>
          <w:sz w:val="28"/>
          <w:szCs w:val="28"/>
          <w:bdr w:val="none" w:sz="0" w:space="0" w:color="auto" w:frame="1"/>
          <w:lang w:eastAsia="it-IT"/>
        </w:rPr>
        <w:t xml:space="preserve"> proposta dalla Cassazione</w:t>
      </w:r>
      <w:r w:rsidRPr="00B208E4">
        <w:rPr>
          <w:rFonts w:ascii="Tahoma" w:eastAsia="Times New Roman" w:hAnsi="Tahoma" w:cs="Tahoma"/>
          <w:smallCaps/>
          <w:color w:val="1F4E79" w:themeColor="accent1" w:themeShade="80"/>
          <w:sz w:val="28"/>
          <w:szCs w:val="28"/>
          <w:bdr w:val="none" w:sz="0" w:space="0" w:color="auto" w:frame="1"/>
          <w:lang w:eastAsia="it-IT"/>
        </w:rPr>
        <w:t>: la violazione dell’obbligo di rinvio pregiudiziale</w:t>
      </w:r>
      <w:r w:rsidR="003304AC" w:rsidRPr="00B208E4">
        <w:rPr>
          <w:rFonts w:ascii="Tahoma" w:eastAsia="Times New Roman" w:hAnsi="Tahoma" w:cs="Tahoma"/>
          <w:smallCaps/>
          <w:color w:val="1F4E79" w:themeColor="accent1" w:themeShade="80"/>
          <w:sz w:val="28"/>
          <w:szCs w:val="28"/>
          <w:bdr w:val="none" w:sz="0" w:space="0" w:color="auto" w:frame="1"/>
          <w:lang w:eastAsia="it-IT"/>
        </w:rPr>
        <w:t xml:space="preserve"> e i suoi rimedi</w:t>
      </w:r>
      <w:r w:rsidRPr="00B208E4">
        <w:rPr>
          <w:rFonts w:ascii="Tahoma" w:eastAsia="Times New Roman" w:hAnsi="Tahoma" w:cs="Tahoma"/>
          <w:smallCaps/>
          <w:color w:val="1F4E79" w:themeColor="accent1" w:themeShade="80"/>
          <w:sz w:val="28"/>
          <w:szCs w:val="28"/>
          <w:bdr w:val="none" w:sz="0" w:space="0" w:color="auto" w:frame="1"/>
          <w:lang w:eastAsia="it-IT"/>
        </w:rPr>
        <w:t>.</w:t>
      </w:r>
      <w:r w:rsidR="003C373A" w:rsidRPr="00B208E4">
        <w:rPr>
          <w:rFonts w:ascii="Tahoma" w:eastAsia="Times New Roman" w:hAnsi="Tahoma" w:cs="Tahoma"/>
          <w:smallCaps/>
          <w:color w:val="1F4E79" w:themeColor="accent1" w:themeShade="80"/>
          <w:sz w:val="28"/>
          <w:szCs w:val="28"/>
          <w:bdr w:val="none" w:sz="0" w:space="0" w:color="auto" w:frame="1"/>
          <w:lang w:eastAsia="it-IT"/>
        </w:rPr>
        <w:t xml:space="preserve"> </w:t>
      </w:r>
      <w:r w:rsidR="003304AC" w:rsidRPr="00B208E4">
        <w:rPr>
          <w:rFonts w:ascii="Tahoma" w:eastAsia="Times New Roman" w:hAnsi="Tahoma" w:cs="Tahoma"/>
          <w:smallCaps/>
          <w:color w:val="1F4E79" w:themeColor="accent1" w:themeShade="80"/>
          <w:sz w:val="28"/>
          <w:szCs w:val="28"/>
          <w:bdr w:val="none" w:sz="0" w:space="0" w:color="auto" w:frame="1"/>
          <w:lang w:eastAsia="it-IT"/>
        </w:rPr>
        <w:t xml:space="preserve">L’applicabilità dell’art. </w:t>
      </w:r>
      <w:r w:rsidR="00A54580">
        <w:rPr>
          <w:rFonts w:ascii="Tahoma" w:eastAsia="Times New Roman" w:hAnsi="Tahoma" w:cs="Tahoma"/>
          <w:smallCaps/>
          <w:color w:val="1F4E79" w:themeColor="accent1" w:themeShade="80"/>
          <w:sz w:val="28"/>
          <w:szCs w:val="28"/>
          <w:bdr w:val="none" w:sz="0" w:space="0" w:color="auto" w:frame="1"/>
          <w:lang w:eastAsia="it-IT"/>
        </w:rPr>
        <w:t>1</w:t>
      </w:r>
      <w:r w:rsidR="003304AC" w:rsidRPr="00B208E4">
        <w:rPr>
          <w:rFonts w:ascii="Tahoma" w:eastAsia="Times New Roman" w:hAnsi="Tahoma" w:cs="Tahoma"/>
          <w:smallCaps/>
          <w:color w:val="1F4E79" w:themeColor="accent1" w:themeShade="80"/>
          <w:sz w:val="28"/>
          <w:szCs w:val="28"/>
          <w:bdr w:val="none" w:sz="0" w:space="0" w:color="auto" w:frame="1"/>
          <w:lang w:eastAsia="it-IT"/>
        </w:rPr>
        <w:t xml:space="preserve">11, comma ottavo. </w:t>
      </w:r>
      <w:r w:rsidR="003C373A" w:rsidRPr="00B208E4">
        <w:rPr>
          <w:rFonts w:ascii="Tahoma" w:eastAsia="Times New Roman" w:hAnsi="Tahoma" w:cs="Tahoma"/>
          <w:smallCaps/>
          <w:color w:val="1F4E79" w:themeColor="accent1" w:themeShade="80"/>
          <w:sz w:val="28"/>
          <w:szCs w:val="28"/>
          <w:bdr w:val="none" w:sz="0" w:space="0" w:color="auto" w:frame="1"/>
          <w:lang w:eastAsia="it-IT"/>
        </w:rPr>
        <w:t>Dubbi sull’autonomia del problema e della sua rilevanza nella precedente vicenda, in assenza di un motivo di ricorso sul punto.</w:t>
      </w:r>
    </w:p>
    <w:p w:rsidR="00983694" w:rsidRPr="00B208E4" w:rsidRDefault="00983694"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Il secondo quesito proposto dall’ordinanza della Cassazione in commento, riguarda la compatibilità con il diritto comunitario della disciplina nazionale che impedisce di censurare</w:t>
      </w:r>
      <w:r w:rsidR="00A54580">
        <w:rPr>
          <w:rFonts w:ascii="Calibri" w:eastAsia="Times New Roman" w:hAnsi="Calibri" w:cs="Segoe UI"/>
          <w:color w:val="1F4E79" w:themeColor="accent1" w:themeShade="80"/>
          <w:sz w:val="28"/>
          <w:szCs w:val="28"/>
          <w:lang w:eastAsia="it-IT"/>
        </w:rPr>
        <w:t>, mediante</w:t>
      </w:r>
      <w:r w:rsidRPr="00B208E4">
        <w:rPr>
          <w:rFonts w:ascii="Calibri" w:eastAsia="Times New Roman" w:hAnsi="Calibri" w:cs="Segoe UI"/>
          <w:color w:val="1F4E79" w:themeColor="accent1" w:themeShade="80"/>
          <w:sz w:val="28"/>
          <w:szCs w:val="28"/>
          <w:lang w:eastAsia="it-IT"/>
        </w:rPr>
        <w:t xml:space="preserve"> il ricorso per cassazione</w:t>
      </w:r>
      <w:r w:rsidR="00A54580">
        <w:rPr>
          <w:rFonts w:ascii="Calibri" w:eastAsia="Times New Roman" w:hAnsi="Calibri" w:cs="Segoe UI"/>
          <w:color w:val="1F4E79" w:themeColor="accent1" w:themeShade="80"/>
          <w:sz w:val="28"/>
          <w:szCs w:val="28"/>
          <w:lang w:eastAsia="it-IT"/>
        </w:rPr>
        <w:t>,</w:t>
      </w:r>
      <w:r w:rsidRPr="00B208E4">
        <w:rPr>
          <w:rFonts w:ascii="Calibri" w:eastAsia="Times New Roman" w:hAnsi="Calibri" w:cs="Segoe UI"/>
          <w:color w:val="1F4E79" w:themeColor="accent1" w:themeShade="80"/>
          <w:sz w:val="28"/>
          <w:szCs w:val="28"/>
          <w:lang w:eastAsia="it-IT"/>
        </w:rPr>
        <w:t xml:space="preserve"> la violazione dell’obbligo di rinvio pregiudiziale, previsto dall’art. 267 del Trattato.</w:t>
      </w:r>
    </w:p>
    <w:p w:rsidR="00601682" w:rsidRPr="00B208E4" w:rsidRDefault="00601682"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La formulazione </w:t>
      </w:r>
      <w:r w:rsidR="006458E0" w:rsidRPr="00B208E4">
        <w:rPr>
          <w:rFonts w:ascii="Calibri" w:eastAsia="Times New Roman" w:hAnsi="Calibri" w:cs="Segoe UI"/>
          <w:color w:val="1F4E79" w:themeColor="accent1" w:themeShade="80"/>
          <w:sz w:val="28"/>
          <w:szCs w:val="28"/>
          <w:lang w:eastAsia="it-IT"/>
        </w:rPr>
        <w:t xml:space="preserve">proposta </w:t>
      </w:r>
      <w:r w:rsidRPr="00B208E4">
        <w:rPr>
          <w:rFonts w:ascii="Calibri" w:eastAsia="Times New Roman" w:hAnsi="Calibri" w:cs="Segoe UI"/>
          <w:color w:val="1F4E79" w:themeColor="accent1" w:themeShade="80"/>
          <w:sz w:val="28"/>
          <w:szCs w:val="28"/>
          <w:lang w:eastAsia="it-IT"/>
        </w:rPr>
        <w:t>suscita diversi interrogativi.</w:t>
      </w:r>
    </w:p>
    <w:p w:rsidR="00B304D0" w:rsidRPr="00B208E4" w:rsidRDefault="00601682"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Anzitutto, andrebbe verificata la </w:t>
      </w:r>
      <w:r w:rsidR="00A54580">
        <w:rPr>
          <w:rFonts w:ascii="Calibri" w:eastAsia="Times New Roman" w:hAnsi="Calibri" w:cs="Segoe UI"/>
          <w:color w:val="1F4E79" w:themeColor="accent1" w:themeShade="80"/>
          <w:sz w:val="28"/>
          <w:szCs w:val="28"/>
          <w:lang w:eastAsia="it-IT"/>
        </w:rPr>
        <w:t xml:space="preserve">complessiva </w:t>
      </w:r>
      <w:r w:rsidRPr="00B208E4">
        <w:rPr>
          <w:rFonts w:ascii="Calibri" w:eastAsia="Times New Roman" w:hAnsi="Calibri" w:cs="Segoe UI"/>
          <w:color w:val="1F4E79" w:themeColor="accent1" w:themeShade="80"/>
          <w:sz w:val="28"/>
          <w:szCs w:val="28"/>
          <w:lang w:eastAsia="it-IT"/>
        </w:rPr>
        <w:t>coerenza</w:t>
      </w:r>
      <w:r w:rsidR="00A54580">
        <w:rPr>
          <w:rFonts w:ascii="Calibri" w:eastAsia="Times New Roman" w:hAnsi="Calibri" w:cs="Segoe UI"/>
          <w:color w:val="1F4E79" w:themeColor="accent1" w:themeShade="80"/>
          <w:sz w:val="28"/>
          <w:szCs w:val="28"/>
          <w:lang w:eastAsia="it-IT"/>
        </w:rPr>
        <w:t xml:space="preserve"> della motivazione dell’ordinanza: si intravede una certa frizione</w:t>
      </w:r>
      <w:r w:rsidRPr="00B208E4">
        <w:rPr>
          <w:rFonts w:ascii="Calibri" w:eastAsia="Times New Roman" w:hAnsi="Calibri" w:cs="Segoe UI"/>
          <w:color w:val="1F4E79" w:themeColor="accent1" w:themeShade="80"/>
          <w:sz w:val="28"/>
          <w:szCs w:val="28"/>
          <w:lang w:eastAsia="it-IT"/>
        </w:rPr>
        <w:t xml:space="preserve"> tra l’affermazione</w:t>
      </w:r>
      <w:r w:rsidR="00A54580">
        <w:rPr>
          <w:rFonts w:ascii="Calibri" w:eastAsia="Times New Roman" w:hAnsi="Calibri" w:cs="Segoe UI"/>
          <w:color w:val="1F4E79" w:themeColor="accent1" w:themeShade="80"/>
          <w:sz w:val="28"/>
          <w:szCs w:val="28"/>
          <w:lang w:eastAsia="it-IT"/>
        </w:rPr>
        <w:t>,</w:t>
      </w:r>
      <w:r w:rsidRPr="00B208E4">
        <w:rPr>
          <w:rFonts w:ascii="Calibri" w:eastAsia="Times New Roman" w:hAnsi="Calibri" w:cs="Segoe UI"/>
          <w:color w:val="1F4E79" w:themeColor="accent1" w:themeShade="80"/>
          <w:sz w:val="28"/>
          <w:szCs w:val="28"/>
          <w:lang w:eastAsia="it-IT"/>
        </w:rPr>
        <w:t xml:space="preserve"> assai perentoria</w:t>
      </w:r>
      <w:r w:rsidR="00A54580">
        <w:rPr>
          <w:rFonts w:ascii="Calibri" w:eastAsia="Times New Roman" w:hAnsi="Calibri" w:cs="Segoe UI"/>
          <w:color w:val="1F4E79" w:themeColor="accent1" w:themeShade="80"/>
          <w:sz w:val="28"/>
          <w:szCs w:val="28"/>
          <w:lang w:eastAsia="it-IT"/>
        </w:rPr>
        <w:t>,</w:t>
      </w:r>
      <w:r w:rsidRPr="00B208E4">
        <w:rPr>
          <w:rFonts w:ascii="Calibri" w:eastAsia="Times New Roman" w:hAnsi="Calibri" w:cs="Segoe UI"/>
          <w:color w:val="1F4E79" w:themeColor="accent1" w:themeShade="80"/>
          <w:sz w:val="28"/>
          <w:szCs w:val="28"/>
          <w:lang w:eastAsia="it-IT"/>
        </w:rPr>
        <w:t xml:space="preserve"> della esistenza</w:t>
      </w:r>
      <w:r w:rsidR="00B304D0" w:rsidRPr="00B208E4">
        <w:rPr>
          <w:rFonts w:ascii="Calibri" w:eastAsia="Times New Roman" w:hAnsi="Calibri" w:cs="Segoe UI"/>
          <w:color w:val="1F4E79" w:themeColor="accent1" w:themeShade="80"/>
          <w:sz w:val="28"/>
          <w:szCs w:val="28"/>
          <w:lang w:eastAsia="it-IT"/>
        </w:rPr>
        <w:t>, nella vicenda in esame,</w:t>
      </w:r>
      <w:r w:rsidRPr="00B208E4">
        <w:rPr>
          <w:rFonts w:ascii="Calibri" w:eastAsia="Times New Roman" w:hAnsi="Calibri" w:cs="Segoe UI"/>
          <w:color w:val="1F4E79" w:themeColor="accent1" w:themeShade="80"/>
          <w:sz w:val="28"/>
          <w:szCs w:val="28"/>
          <w:lang w:eastAsia="it-IT"/>
        </w:rPr>
        <w:t xml:space="preserve"> di una “</w:t>
      </w:r>
      <w:r w:rsidRPr="00B208E4">
        <w:rPr>
          <w:rFonts w:ascii="Calibri" w:eastAsia="Times New Roman" w:hAnsi="Calibri" w:cs="Segoe UI"/>
          <w:i/>
          <w:color w:val="1F4E79" w:themeColor="accent1" w:themeShade="80"/>
          <w:sz w:val="28"/>
          <w:szCs w:val="28"/>
          <w:lang w:eastAsia="it-IT"/>
        </w:rPr>
        <w:t>grave violazione</w:t>
      </w:r>
      <w:r w:rsidRPr="00B208E4">
        <w:rPr>
          <w:rFonts w:ascii="Calibri" w:eastAsia="Times New Roman" w:hAnsi="Calibri" w:cs="Segoe UI"/>
          <w:color w:val="1F4E79" w:themeColor="accent1" w:themeShade="80"/>
          <w:sz w:val="28"/>
          <w:szCs w:val="28"/>
          <w:lang w:eastAsia="it-IT"/>
        </w:rPr>
        <w:t>” del diritto UE</w:t>
      </w:r>
      <w:r w:rsidR="00FB4F16" w:rsidRPr="00B208E4">
        <w:rPr>
          <w:rFonts w:ascii="Calibri" w:eastAsia="Times New Roman" w:hAnsi="Calibri" w:cs="Segoe UI"/>
          <w:color w:val="1F4E79" w:themeColor="accent1" w:themeShade="80"/>
          <w:sz w:val="28"/>
          <w:szCs w:val="28"/>
          <w:lang w:eastAsia="it-IT"/>
        </w:rPr>
        <w:t>, che rappresenta uno degli spunti da cui muove l’argomentazione del primo quesito</w:t>
      </w:r>
      <w:r w:rsidRPr="00B208E4">
        <w:rPr>
          <w:rFonts w:ascii="Calibri" w:eastAsia="Times New Roman" w:hAnsi="Calibri" w:cs="Segoe UI"/>
          <w:color w:val="1F4E79" w:themeColor="accent1" w:themeShade="80"/>
          <w:sz w:val="28"/>
          <w:szCs w:val="28"/>
          <w:lang w:eastAsia="it-IT"/>
        </w:rPr>
        <w:t xml:space="preserve"> e la </w:t>
      </w:r>
      <w:r w:rsidR="00B304D0" w:rsidRPr="00B208E4">
        <w:rPr>
          <w:rFonts w:ascii="Calibri" w:eastAsia="Times New Roman" w:hAnsi="Calibri" w:cs="Segoe UI"/>
          <w:color w:val="1F4E79" w:themeColor="accent1" w:themeShade="80"/>
          <w:sz w:val="28"/>
          <w:szCs w:val="28"/>
          <w:lang w:eastAsia="it-IT"/>
        </w:rPr>
        <w:t>contestuale statuizione della sussistenza di un dubbio interpretativo tale da imporre l’obbligo del rinvio pregiudiziale.</w:t>
      </w:r>
    </w:p>
    <w:p w:rsidR="00830152" w:rsidRPr="00B208E4" w:rsidRDefault="000522D2"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Tale contraddizione,</w:t>
      </w:r>
      <w:r w:rsidR="00484E67" w:rsidRPr="00B208E4">
        <w:rPr>
          <w:rFonts w:ascii="Calibri" w:eastAsia="Times New Roman" w:hAnsi="Calibri" w:cs="Segoe UI"/>
          <w:color w:val="1F4E79" w:themeColor="accent1" w:themeShade="80"/>
          <w:sz w:val="28"/>
          <w:szCs w:val="28"/>
          <w:lang w:eastAsia="it-IT"/>
        </w:rPr>
        <w:t xml:space="preserve"> forse, potrebbe essere sciolta, immagi</w:t>
      </w:r>
      <w:r w:rsidR="00830152" w:rsidRPr="00B208E4">
        <w:rPr>
          <w:rFonts w:ascii="Calibri" w:eastAsia="Times New Roman" w:hAnsi="Calibri" w:cs="Segoe UI"/>
          <w:color w:val="1F4E79" w:themeColor="accent1" w:themeShade="80"/>
          <w:sz w:val="28"/>
          <w:szCs w:val="28"/>
          <w:lang w:eastAsia="it-IT"/>
        </w:rPr>
        <w:t xml:space="preserve">nando che, </w:t>
      </w:r>
      <w:r w:rsidR="00F57EA3">
        <w:rPr>
          <w:rFonts w:ascii="Calibri" w:eastAsia="Times New Roman" w:hAnsi="Calibri" w:cs="Segoe UI"/>
          <w:color w:val="1F4E79" w:themeColor="accent1" w:themeShade="80"/>
          <w:sz w:val="28"/>
          <w:szCs w:val="28"/>
          <w:lang w:eastAsia="it-IT"/>
        </w:rPr>
        <w:t xml:space="preserve">secondo </w:t>
      </w:r>
      <w:r w:rsidR="00830152" w:rsidRPr="00B208E4">
        <w:rPr>
          <w:rFonts w:ascii="Calibri" w:eastAsia="Times New Roman" w:hAnsi="Calibri" w:cs="Segoe UI"/>
          <w:color w:val="1F4E79" w:themeColor="accent1" w:themeShade="80"/>
          <w:sz w:val="28"/>
          <w:szCs w:val="28"/>
          <w:lang w:eastAsia="it-IT"/>
        </w:rPr>
        <w:t xml:space="preserve">la </w:t>
      </w:r>
      <w:r w:rsidR="00A54580">
        <w:rPr>
          <w:rFonts w:ascii="Calibri" w:eastAsia="Times New Roman" w:hAnsi="Calibri" w:cs="Segoe UI"/>
          <w:color w:val="1F4E79" w:themeColor="accent1" w:themeShade="80"/>
          <w:sz w:val="28"/>
          <w:szCs w:val="28"/>
          <w:lang w:eastAsia="it-IT"/>
        </w:rPr>
        <w:t xml:space="preserve">valutazione interlocutoria della </w:t>
      </w:r>
      <w:r w:rsidR="00830152" w:rsidRPr="00B208E4">
        <w:rPr>
          <w:rFonts w:ascii="Calibri" w:eastAsia="Times New Roman" w:hAnsi="Calibri" w:cs="Segoe UI"/>
          <w:color w:val="1F4E79" w:themeColor="accent1" w:themeShade="80"/>
          <w:sz w:val="28"/>
          <w:szCs w:val="28"/>
          <w:lang w:eastAsia="it-IT"/>
        </w:rPr>
        <w:t>Cassazione:</w:t>
      </w:r>
    </w:p>
    <w:p w:rsidR="00830152" w:rsidRPr="00B208E4" w:rsidRDefault="00830152"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w:t>
      </w:r>
      <w:r w:rsidR="00484E67" w:rsidRPr="00B208E4">
        <w:rPr>
          <w:rFonts w:ascii="Calibri" w:eastAsia="Times New Roman" w:hAnsi="Calibri" w:cs="Segoe UI"/>
          <w:color w:val="1F4E79" w:themeColor="accent1" w:themeShade="80"/>
          <w:sz w:val="28"/>
          <w:szCs w:val="28"/>
          <w:lang w:eastAsia="it-IT"/>
        </w:rPr>
        <w:t xml:space="preserve"> </w:t>
      </w:r>
      <w:r w:rsidR="00484E67" w:rsidRPr="00B208E4">
        <w:rPr>
          <w:rFonts w:ascii="Calibri" w:eastAsia="Times New Roman" w:hAnsi="Calibri" w:cs="Segoe UI"/>
          <w:i/>
          <w:color w:val="1F4E79" w:themeColor="accent1" w:themeShade="80"/>
          <w:sz w:val="28"/>
          <w:szCs w:val="28"/>
          <w:lang w:eastAsia="it-IT"/>
        </w:rPr>
        <w:t>in prima battuta</w:t>
      </w:r>
      <w:r w:rsidR="00484E67" w:rsidRPr="00B208E4">
        <w:rPr>
          <w:rFonts w:ascii="Calibri" w:eastAsia="Times New Roman" w:hAnsi="Calibri" w:cs="Segoe UI"/>
          <w:color w:val="1F4E79" w:themeColor="accent1" w:themeShade="80"/>
          <w:sz w:val="28"/>
          <w:szCs w:val="28"/>
          <w:lang w:eastAsia="it-IT"/>
        </w:rPr>
        <w:t xml:space="preserve">, </w:t>
      </w:r>
      <w:r w:rsidRPr="00B208E4">
        <w:rPr>
          <w:rFonts w:ascii="Calibri" w:eastAsia="Times New Roman" w:hAnsi="Calibri" w:cs="Segoe UI"/>
          <w:color w:val="1F4E79" w:themeColor="accent1" w:themeShade="80"/>
          <w:sz w:val="28"/>
          <w:szCs w:val="28"/>
          <w:lang w:eastAsia="it-IT"/>
        </w:rPr>
        <w:t xml:space="preserve">l’impugnata pronuncia del Consiglio di Stato abbia concretizzato </w:t>
      </w:r>
      <w:r w:rsidR="00484E67" w:rsidRPr="00B208E4">
        <w:rPr>
          <w:rFonts w:ascii="Calibri" w:eastAsia="Times New Roman" w:hAnsi="Calibri" w:cs="Segoe UI"/>
          <w:color w:val="1F4E79" w:themeColor="accent1" w:themeShade="80"/>
          <w:sz w:val="28"/>
          <w:szCs w:val="28"/>
          <w:lang w:eastAsia="it-IT"/>
        </w:rPr>
        <w:t xml:space="preserve">una </w:t>
      </w:r>
      <w:r w:rsidR="00F57EA3">
        <w:rPr>
          <w:rFonts w:ascii="Calibri" w:eastAsia="Times New Roman" w:hAnsi="Calibri" w:cs="Segoe UI"/>
          <w:color w:val="1F4E79" w:themeColor="accent1" w:themeShade="80"/>
          <w:sz w:val="28"/>
          <w:szCs w:val="28"/>
          <w:lang w:eastAsia="it-IT"/>
        </w:rPr>
        <w:t xml:space="preserve">sicura </w:t>
      </w:r>
      <w:r w:rsidR="00484E67" w:rsidRPr="00B208E4">
        <w:rPr>
          <w:rFonts w:ascii="Calibri" w:eastAsia="Times New Roman" w:hAnsi="Calibri" w:cs="Segoe UI"/>
          <w:color w:val="1F4E79" w:themeColor="accent1" w:themeShade="80"/>
          <w:sz w:val="28"/>
          <w:szCs w:val="28"/>
          <w:lang w:eastAsia="it-IT"/>
        </w:rPr>
        <w:t xml:space="preserve">violazione </w:t>
      </w:r>
      <w:r w:rsidRPr="00B208E4">
        <w:rPr>
          <w:rFonts w:ascii="Calibri" w:eastAsia="Times New Roman" w:hAnsi="Calibri" w:cs="Segoe UI"/>
          <w:color w:val="1F4E79" w:themeColor="accent1" w:themeShade="80"/>
          <w:sz w:val="28"/>
          <w:szCs w:val="28"/>
          <w:lang w:eastAsia="it-IT"/>
        </w:rPr>
        <w:t>del diritto europeo;</w:t>
      </w:r>
    </w:p>
    <w:p w:rsidR="00E35AF2" w:rsidRPr="00B208E4" w:rsidRDefault="00830152"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 solo </w:t>
      </w:r>
      <w:r w:rsidRPr="00F57EA3">
        <w:rPr>
          <w:rFonts w:ascii="Calibri" w:eastAsia="Times New Roman" w:hAnsi="Calibri" w:cs="Segoe UI"/>
          <w:i/>
          <w:color w:val="1F4E79" w:themeColor="accent1" w:themeShade="80"/>
          <w:sz w:val="28"/>
          <w:szCs w:val="28"/>
          <w:lang w:eastAsia="it-IT"/>
        </w:rPr>
        <w:t>in linea subordinata</w:t>
      </w:r>
      <w:r w:rsidR="00E35AF2" w:rsidRPr="00B208E4">
        <w:rPr>
          <w:rFonts w:ascii="Calibri" w:eastAsia="Times New Roman" w:hAnsi="Calibri" w:cs="Segoe UI"/>
          <w:color w:val="1F4E79" w:themeColor="accent1" w:themeShade="80"/>
          <w:sz w:val="28"/>
          <w:szCs w:val="28"/>
          <w:lang w:eastAsia="it-IT"/>
        </w:rPr>
        <w:t xml:space="preserve">, </w:t>
      </w:r>
      <w:r w:rsidR="00E1640E" w:rsidRPr="00B208E4">
        <w:rPr>
          <w:rFonts w:ascii="Calibri" w:eastAsia="Times New Roman" w:hAnsi="Calibri" w:cs="Segoe UI"/>
          <w:color w:val="1F4E79" w:themeColor="accent1" w:themeShade="80"/>
          <w:sz w:val="28"/>
          <w:szCs w:val="28"/>
          <w:lang w:eastAsia="it-IT"/>
        </w:rPr>
        <w:t>sia</w:t>
      </w:r>
      <w:r w:rsidR="00E35AF2" w:rsidRPr="00B208E4">
        <w:rPr>
          <w:rFonts w:ascii="Calibri" w:eastAsia="Times New Roman" w:hAnsi="Calibri" w:cs="Segoe UI"/>
          <w:color w:val="1F4E79" w:themeColor="accent1" w:themeShade="80"/>
          <w:sz w:val="28"/>
          <w:szCs w:val="28"/>
          <w:lang w:eastAsia="it-IT"/>
        </w:rPr>
        <w:t xml:space="preserve"> </w:t>
      </w:r>
      <w:r w:rsidR="00E1640E" w:rsidRPr="00B208E4">
        <w:rPr>
          <w:rFonts w:ascii="Calibri" w:eastAsia="Times New Roman" w:hAnsi="Calibri" w:cs="Segoe UI"/>
          <w:color w:val="1F4E79" w:themeColor="accent1" w:themeShade="80"/>
          <w:sz w:val="28"/>
          <w:szCs w:val="28"/>
          <w:lang w:eastAsia="it-IT"/>
        </w:rPr>
        <w:t xml:space="preserve">quanto meno </w:t>
      </w:r>
      <w:r w:rsidR="00E35AF2" w:rsidRPr="00A54580">
        <w:rPr>
          <w:rFonts w:ascii="Calibri" w:eastAsia="Times New Roman" w:hAnsi="Calibri" w:cs="Segoe UI"/>
          <w:i/>
          <w:color w:val="1F4E79" w:themeColor="accent1" w:themeShade="80"/>
          <w:sz w:val="28"/>
          <w:szCs w:val="28"/>
          <w:lang w:eastAsia="it-IT"/>
        </w:rPr>
        <w:t>dubbia</w:t>
      </w:r>
      <w:r w:rsidR="00E35AF2" w:rsidRPr="00B208E4">
        <w:rPr>
          <w:rFonts w:ascii="Calibri" w:eastAsia="Times New Roman" w:hAnsi="Calibri" w:cs="Segoe UI"/>
          <w:color w:val="1F4E79" w:themeColor="accent1" w:themeShade="80"/>
          <w:sz w:val="28"/>
          <w:szCs w:val="28"/>
          <w:lang w:eastAsia="it-IT"/>
        </w:rPr>
        <w:t xml:space="preserve"> la lame</w:t>
      </w:r>
      <w:r w:rsidR="00E1640E" w:rsidRPr="00B208E4">
        <w:rPr>
          <w:rFonts w:ascii="Calibri" w:eastAsia="Times New Roman" w:hAnsi="Calibri" w:cs="Segoe UI"/>
          <w:color w:val="1F4E79" w:themeColor="accent1" w:themeShade="80"/>
          <w:sz w:val="28"/>
          <w:szCs w:val="28"/>
          <w:lang w:eastAsia="it-IT"/>
        </w:rPr>
        <w:t>ntata violazione del diritto UE</w:t>
      </w:r>
      <w:r w:rsidR="001257D2" w:rsidRPr="00B208E4">
        <w:rPr>
          <w:rFonts w:ascii="Calibri" w:eastAsia="Times New Roman" w:hAnsi="Calibri" w:cs="Segoe UI"/>
          <w:color w:val="1F4E79" w:themeColor="accent1" w:themeShade="80"/>
          <w:sz w:val="28"/>
          <w:szCs w:val="28"/>
          <w:lang w:eastAsia="it-IT"/>
        </w:rPr>
        <w:t>.</w:t>
      </w:r>
    </w:p>
    <w:p w:rsidR="00745F5F" w:rsidRPr="00B208E4" w:rsidRDefault="001257D2"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Pur con questa precisazione, peraltro, il quesito formulato non sembra presentare autonomia rispetto al primo, risolvendosi, in fondo nella semplice specificazione </w:t>
      </w:r>
      <w:r w:rsidR="00745F5F" w:rsidRPr="00B208E4">
        <w:rPr>
          <w:rFonts w:ascii="Calibri" w:eastAsia="Times New Roman" w:hAnsi="Calibri" w:cs="Segoe UI"/>
          <w:color w:val="1F4E79" w:themeColor="accent1" w:themeShade="80"/>
          <w:sz w:val="28"/>
          <w:szCs w:val="28"/>
          <w:lang w:eastAsia="it-IT"/>
        </w:rPr>
        <w:t>di una tra le tante possibili violazioni del diritto UE, che l</w:t>
      </w:r>
      <w:r w:rsidR="00A54580">
        <w:rPr>
          <w:rFonts w:ascii="Calibri" w:eastAsia="Times New Roman" w:hAnsi="Calibri" w:cs="Segoe UI"/>
          <w:color w:val="1F4E79" w:themeColor="accent1" w:themeShade="80"/>
          <w:sz w:val="28"/>
          <w:szCs w:val="28"/>
          <w:lang w:eastAsia="it-IT"/>
        </w:rPr>
        <w:t>’ordinanza</w:t>
      </w:r>
      <w:r w:rsidR="00745F5F" w:rsidRPr="00B208E4">
        <w:rPr>
          <w:rFonts w:ascii="Calibri" w:eastAsia="Times New Roman" w:hAnsi="Calibri" w:cs="Segoe UI"/>
          <w:color w:val="1F4E79" w:themeColor="accent1" w:themeShade="80"/>
          <w:sz w:val="28"/>
          <w:szCs w:val="28"/>
          <w:lang w:eastAsia="it-IT"/>
        </w:rPr>
        <w:t xml:space="preserve"> ritiene non sindacabili</w:t>
      </w:r>
      <w:r w:rsidR="00A54580" w:rsidRPr="00A54580">
        <w:rPr>
          <w:rFonts w:ascii="Calibri" w:eastAsia="Times New Roman" w:hAnsi="Calibri" w:cs="Segoe UI"/>
          <w:color w:val="1F4E79" w:themeColor="accent1" w:themeShade="80"/>
          <w:sz w:val="28"/>
          <w:szCs w:val="28"/>
          <w:lang w:eastAsia="it-IT"/>
        </w:rPr>
        <w:t xml:space="preserve"> </w:t>
      </w:r>
      <w:r w:rsidR="00A54580">
        <w:rPr>
          <w:rFonts w:ascii="Calibri" w:eastAsia="Times New Roman" w:hAnsi="Calibri" w:cs="Segoe UI"/>
          <w:color w:val="1F4E79" w:themeColor="accent1" w:themeShade="80"/>
          <w:sz w:val="28"/>
          <w:szCs w:val="28"/>
          <w:lang w:eastAsia="it-IT"/>
        </w:rPr>
        <w:t xml:space="preserve">in </w:t>
      </w:r>
      <w:r w:rsidR="00A54580" w:rsidRPr="00B208E4">
        <w:rPr>
          <w:rFonts w:ascii="Calibri" w:eastAsia="Times New Roman" w:hAnsi="Calibri" w:cs="Segoe UI"/>
          <w:color w:val="1F4E79" w:themeColor="accent1" w:themeShade="80"/>
          <w:sz w:val="28"/>
          <w:szCs w:val="28"/>
          <w:lang w:eastAsia="it-IT"/>
        </w:rPr>
        <w:t>cassazione</w:t>
      </w:r>
      <w:r w:rsidR="00745F5F" w:rsidRPr="00B208E4">
        <w:rPr>
          <w:rFonts w:ascii="Calibri" w:eastAsia="Times New Roman" w:hAnsi="Calibri" w:cs="Segoe UI"/>
          <w:color w:val="1F4E79" w:themeColor="accent1" w:themeShade="80"/>
          <w:sz w:val="28"/>
          <w:szCs w:val="28"/>
          <w:lang w:eastAsia="it-IT"/>
        </w:rPr>
        <w:t>, alla luce del vigente ordinamento nazionale.</w:t>
      </w:r>
    </w:p>
    <w:p w:rsidR="0097524E" w:rsidRPr="00B208E4" w:rsidRDefault="0097524E"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Ed infatti, nell’ordinanza non sembrano profilarsi argomenti diversi, od ulteriori, a sostegno della asserita illegittimità comunitaria del sistema nazionale</w:t>
      </w:r>
      <w:r w:rsidR="00A54580">
        <w:rPr>
          <w:rFonts w:ascii="Calibri" w:eastAsia="Times New Roman" w:hAnsi="Calibri" w:cs="Segoe UI"/>
          <w:color w:val="1F4E79" w:themeColor="accent1" w:themeShade="80"/>
          <w:sz w:val="28"/>
          <w:szCs w:val="28"/>
          <w:lang w:eastAsia="it-IT"/>
        </w:rPr>
        <w:t>, che definisce i “</w:t>
      </w:r>
      <w:r w:rsidR="00A54580" w:rsidRPr="00A54580">
        <w:rPr>
          <w:rFonts w:ascii="Calibri" w:eastAsia="Times New Roman" w:hAnsi="Calibri" w:cs="Segoe UI"/>
          <w:i/>
          <w:color w:val="1F4E79" w:themeColor="accent1" w:themeShade="80"/>
          <w:sz w:val="28"/>
          <w:szCs w:val="28"/>
          <w:lang w:eastAsia="it-IT"/>
        </w:rPr>
        <w:t>motivi inerenti alla giurisdzione</w:t>
      </w:r>
      <w:r w:rsidR="00A54580">
        <w:rPr>
          <w:rFonts w:ascii="Calibri" w:eastAsia="Times New Roman" w:hAnsi="Calibri" w:cs="Segoe UI"/>
          <w:color w:val="1F4E79" w:themeColor="accent1" w:themeShade="80"/>
          <w:sz w:val="28"/>
          <w:szCs w:val="28"/>
          <w:lang w:eastAsia="it-IT"/>
        </w:rPr>
        <w:t>”</w:t>
      </w:r>
      <w:r w:rsidRPr="00B208E4">
        <w:rPr>
          <w:rFonts w:ascii="Calibri" w:eastAsia="Times New Roman" w:hAnsi="Calibri" w:cs="Segoe UI"/>
          <w:color w:val="1F4E79" w:themeColor="accent1" w:themeShade="80"/>
          <w:sz w:val="28"/>
          <w:szCs w:val="28"/>
          <w:lang w:eastAsia="it-IT"/>
        </w:rPr>
        <w:t>.</w:t>
      </w:r>
    </w:p>
    <w:p w:rsidR="0076502C" w:rsidRPr="00B208E4" w:rsidRDefault="00F516F9"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Forse, tra le righe dell’ordinanza potrebbe intravedersi la convinzione, peraltro non sviluppata esplicitamente, secondo cui la violazione dell’obbligo del rinvio </w:t>
      </w:r>
      <w:r w:rsidR="0076502C" w:rsidRPr="00B208E4">
        <w:rPr>
          <w:rFonts w:ascii="Calibri" w:eastAsia="Times New Roman" w:hAnsi="Calibri" w:cs="Segoe UI"/>
          <w:color w:val="1F4E79" w:themeColor="accent1" w:themeShade="80"/>
          <w:sz w:val="28"/>
          <w:szCs w:val="28"/>
          <w:lang w:eastAsia="it-IT"/>
        </w:rPr>
        <w:t xml:space="preserve">sarebbe </w:t>
      </w:r>
      <w:r w:rsidR="00250EAE" w:rsidRPr="00B208E4">
        <w:rPr>
          <w:rFonts w:ascii="Calibri" w:eastAsia="Times New Roman" w:hAnsi="Calibri" w:cs="Segoe UI"/>
          <w:color w:val="1F4E79" w:themeColor="accent1" w:themeShade="80"/>
          <w:sz w:val="28"/>
          <w:szCs w:val="28"/>
          <w:lang w:eastAsia="it-IT"/>
        </w:rPr>
        <w:t xml:space="preserve">addirittura </w:t>
      </w:r>
      <w:r w:rsidR="0076502C" w:rsidRPr="00B208E4">
        <w:rPr>
          <w:rFonts w:ascii="Calibri" w:eastAsia="Times New Roman" w:hAnsi="Calibri" w:cs="Segoe UI"/>
          <w:color w:val="1F4E79" w:themeColor="accent1" w:themeShade="80"/>
          <w:sz w:val="28"/>
          <w:szCs w:val="28"/>
          <w:lang w:eastAsia="it-IT"/>
        </w:rPr>
        <w:t>“</w:t>
      </w:r>
      <w:r w:rsidR="0076502C" w:rsidRPr="00A54580">
        <w:rPr>
          <w:rFonts w:ascii="Calibri" w:eastAsia="Times New Roman" w:hAnsi="Calibri" w:cs="Segoe UI"/>
          <w:i/>
          <w:color w:val="1F4E79" w:themeColor="accent1" w:themeShade="80"/>
          <w:sz w:val="28"/>
          <w:szCs w:val="28"/>
          <w:lang w:eastAsia="it-IT"/>
        </w:rPr>
        <w:t>più grave</w:t>
      </w:r>
      <w:r w:rsidR="0076502C" w:rsidRPr="00B208E4">
        <w:rPr>
          <w:rFonts w:ascii="Calibri" w:eastAsia="Times New Roman" w:hAnsi="Calibri" w:cs="Segoe UI"/>
          <w:color w:val="1F4E79" w:themeColor="accent1" w:themeShade="80"/>
          <w:sz w:val="28"/>
          <w:szCs w:val="28"/>
          <w:lang w:eastAsia="it-IT"/>
        </w:rPr>
        <w:t>” della altre (per ipotesi, perché incidente in modo vistoso sul ruolo nomofilattico assegnato alla CGUE), giustificando un trattamento speciale e più severo.</w:t>
      </w:r>
    </w:p>
    <w:p w:rsidR="00610570" w:rsidRPr="00B208E4" w:rsidRDefault="0076502C"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In altri termini, l’eventuale accoglimento della proposta interpretativa formulata dalla Cassazione</w:t>
      </w:r>
      <w:r w:rsidR="00F57EA3">
        <w:rPr>
          <w:rFonts w:ascii="Calibri" w:eastAsia="Times New Roman" w:hAnsi="Calibri" w:cs="Segoe UI"/>
          <w:color w:val="1F4E79" w:themeColor="accent1" w:themeShade="80"/>
          <w:sz w:val="28"/>
          <w:szCs w:val="28"/>
          <w:lang w:eastAsia="it-IT"/>
        </w:rPr>
        <w:t>,</w:t>
      </w:r>
      <w:r w:rsidRPr="00B208E4">
        <w:rPr>
          <w:rFonts w:ascii="Calibri" w:eastAsia="Times New Roman" w:hAnsi="Calibri" w:cs="Segoe UI"/>
          <w:color w:val="1F4E79" w:themeColor="accent1" w:themeShade="80"/>
          <w:sz w:val="28"/>
          <w:szCs w:val="28"/>
          <w:lang w:eastAsia="it-IT"/>
        </w:rPr>
        <w:t xml:space="preserve"> </w:t>
      </w:r>
      <w:r w:rsidR="00610570" w:rsidRPr="00B208E4">
        <w:rPr>
          <w:rFonts w:ascii="Calibri" w:eastAsia="Times New Roman" w:hAnsi="Calibri" w:cs="Segoe UI"/>
          <w:color w:val="1F4E79" w:themeColor="accent1" w:themeShade="80"/>
          <w:sz w:val="28"/>
          <w:szCs w:val="28"/>
          <w:lang w:eastAsia="it-IT"/>
        </w:rPr>
        <w:t>con riguardo al primo quesito, determinerebbe l’automatico assorbimento del secondo quesito. Solo nel caso in cui la CGUE dovesse riconoscere</w:t>
      </w:r>
      <w:r w:rsidR="00F57EA3">
        <w:rPr>
          <w:rFonts w:ascii="Calibri" w:eastAsia="Times New Roman" w:hAnsi="Calibri" w:cs="Segoe UI"/>
          <w:color w:val="1F4E79" w:themeColor="accent1" w:themeShade="80"/>
          <w:sz w:val="28"/>
          <w:szCs w:val="28"/>
          <w:lang w:eastAsia="it-IT"/>
        </w:rPr>
        <w:t>, invece,</w:t>
      </w:r>
      <w:r w:rsidR="00610570" w:rsidRPr="00B208E4">
        <w:rPr>
          <w:rFonts w:ascii="Calibri" w:eastAsia="Times New Roman" w:hAnsi="Calibri" w:cs="Segoe UI"/>
          <w:color w:val="1F4E79" w:themeColor="accent1" w:themeShade="80"/>
          <w:sz w:val="28"/>
          <w:szCs w:val="28"/>
          <w:lang w:eastAsia="it-IT"/>
        </w:rPr>
        <w:t xml:space="preserve"> la complessiva legittimità eurounitaria dell’assetto ordinamentale nazionale, emergerebbe un problema riguardante specificamente l’obbligo di rinvio pregiudiziale.</w:t>
      </w:r>
    </w:p>
    <w:p w:rsidR="00250EAE" w:rsidRPr="00B208E4" w:rsidRDefault="00250EAE"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L’esigenza della prospettazione di un autonomo quesito, poi, potrebbe dipendere dalla considerazione che</w:t>
      </w:r>
      <w:r w:rsidR="00A54580">
        <w:rPr>
          <w:rFonts w:ascii="Calibri" w:eastAsia="Times New Roman" w:hAnsi="Calibri" w:cs="Segoe UI"/>
          <w:color w:val="1F4E79" w:themeColor="accent1" w:themeShade="80"/>
          <w:sz w:val="28"/>
          <w:szCs w:val="28"/>
          <w:lang w:eastAsia="it-IT"/>
        </w:rPr>
        <w:t>,</w:t>
      </w:r>
      <w:r w:rsidRPr="00B208E4">
        <w:rPr>
          <w:rFonts w:ascii="Calibri" w:eastAsia="Times New Roman" w:hAnsi="Calibri" w:cs="Segoe UI"/>
          <w:color w:val="1F4E79" w:themeColor="accent1" w:themeShade="80"/>
          <w:sz w:val="28"/>
          <w:szCs w:val="28"/>
          <w:lang w:eastAsia="it-IT"/>
        </w:rPr>
        <w:t xml:space="preserve"> prima dell’intervento della Corte costituzionale n. 6/2018, l’orientamento </w:t>
      </w:r>
      <w:r w:rsidR="004575E4" w:rsidRPr="00B208E4">
        <w:rPr>
          <w:rFonts w:ascii="Calibri" w:eastAsia="Times New Roman" w:hAnsi="Calibri" w:cs="Segoe UI"/>
          <w:color w:val="1F4E79" w:themeColor="accent1" w:themeShade="80"/>
          <w:sz w:val="28"/>
          <w:szCs w:val="28"/>
          <w:lang w:eastAsia="it-IT"/>
        </w:rPr>
        <w:t xml:space="preserve">basato sulla teoria della giurisdizione dinamica, pur ritenendo sindacabile la violazione del diritto UE traducentesi in un “rifiuto di giurisdizione”, escludeva espressamente la possibilità di </w:t>
      </w:r>
      <w:r w:rsidR="00556C5F" w:rsidRPr="00B208E4">
        <w:rPr>
          <w:rFonts w:ascii="Calibri" w:eastAsia="Times New Roman" w:hAnsi="Calibri" w:cs="Segoe UI"/>
          <w:color w:val="1F4E79" w:themeColor="accent1" w:themeShade="80"/>
          <w:sz w:val="28"/>
          <w:szCs w:val="28"/>
          <w:lang w:eastAsia="it-IT"/>
        </w:rPr>
        <w:t>censurare</w:t>
      </w:r>
      <w:r w:rsidR="00A54580">
        <w:rPr>
          <w:rFonts w:ascii="Calibri" w:eastAsia="Times New Roman" w:hAnsi="Calibri" w:cs="Segoe UI"/>
          <w:color w:val="1F4E79" w:themeColor="accent1" w:themeShade="80"/>
          <w:sz w:val="28"/>
          <w:szCs w:val="28"/>
          <w:lang w:eastAsia="it-IT"/>
        </w:rPr>
        <w:t xml:space="preserve"> in cassazione</w:t>
      </w:r>
      <w:r w:rsidR="00556C5F" w:rsidRPr="00B208E4">
        <w:rPr>
          <w:rFonts w:ascii="Calibri" w:eastAsia="Times New Roman" w:hAnsi="Calibri" w:cs="Segoe UI"/>
          <w:color w:val="1F4E79" w:themeColor="accent1" w:themeShade="80"/>
          <w:sz w:val="28"/>
          <w:szCs w:val="28"/>
          <w:lang w:eastAsia="it-IT"/>
        </w:rPr>
        <w:t xml:space="preserve"> il mancato rinvio pregiudiziale</w:t>
      </w:r>
      <w:r w:rsidR="00D7273F">
        <w:rPr>
          <w:rStyle w:val="Rimandonotaapidipagina"/>
          <w:rFonts w:ascii="Calibri" w:eastAsia="Times New Roman" w:hAnsi="Calibri" w:cs="Segoe UI"/>
          <w:color w:val="1F4E79" w:themeColor="accent1" w:themeShade="80"/>
          <w:sz w:val="28"/>
          <w:szCs w:val="28"/>
          <w:lang w:eastAsia="it-IT"/>
        </w:rPr>
        <w:footnoteReference w:id="53"/>
      </w:r>
      <w:r w:rsidR="00556C5F" w:rsidRPr="00B208E4">
        <w:rPr>
          <w:rFonts w:ascii="Calibri" w:eastAsia="Times New Roman" w:hAnsi="Calibri" w:cs="Segoe UI"/>
          <w:color w:val="1F4E79" w:themeColor="accent1" w:themeShade="80"/>
          <w:sz w:val="28"/>
          <w:szCs w:val="28"/>
          <w:lang w:eastAsia="it-IT"/>
        </w:rPr>
        <w:t>.</w:t>
      </w:r>
      <w:r w:rsidR="00B57268" w:rsidRPr="00B208E4">
        <w:rPr>
          <w:rFonts w:ascii="Calibri" w:eastAsia="Times New Roman" w:hAnsi="Calibri" w:cs="Segoe UI"/>
          <w:color w:val="1F4E79" w:themeColor="accent1" w:themeShade="80"/>
          <w:sz w:val="28"/>
          <w:szCs w:val="28"/>
          <w:lang w:eastAsia="it-IT"/>
        </w:rPr>
        <w:t xml:space="preserve"> </w:t>
      </w:r>
    </w:p>
    <w:p w:rsidR="006058F8" w:rsidRPr="00B208E4" w:rsidRDefault="006058F8"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Pur con queste precisazioni, tuttavia, l’impostazione seguita dall’ordinanza di rinvio non riesce persuasiva.</w:t>
      </w:r>
    </w:p>
    <w:p w:rsidR="003A5C8C" w:rsidRPr="00B208E4" w:rsidRDefault="006058F8"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L’argomento centrale svolto dalla cassazione consiste nell’</w:t>
      </w:r>
      <w:r w:rsidR="003A5C8C" w:rsidRPr="00B208E4">
        <w:rPr>
          <w:rFonts w:ascii="Calibri" w:eastAsia="Times New Roman" w:hAnsi="Calibri" w:cs="Segoe UI"/>
          <w:color w:val="1F4E79" w:themeColor="accent1" w:themeShade="80"/>
          <w:sz w:val="28"/>
          <w:szCs w:val="28"/>
          <w:lang w:eastAsia="it-IT"/>
        </w:rPr>
        <w:t xml:space="preserve">affermare che l’ordinamento europeo prevede una serie di </w:t>
      </w:r>
      <w:r w:rsidR="00A54580">
        <w:rPr>
          <w:rFonts w:ascii="Calibri" w:eastAsia="Times New Roman" w:hAnsi="Calibri" w:cs="Segoe UI"/>
          <w:color w:val="1F4E79" w:themeColor="accent1" w:themeShade="80"/>
          <w:sz w:val="28"/>
          <w:szCs w:val="28"/>
          <w:lang w:eastAsia="it-IT"/>
        </w:rPr>
        <w:t xml:space="preserve">severe </w:t>
      </w:r>
      <w:r w:rsidR="003A5C8C" w:rsidRPr="00B208E4">
        <w:rPr>
          <w:rFonts w:ascii="Calibri" w:eastAsia="Times New Roman" w:hAnsi="Calibri" w:cs="Segoe UI"/>
          <w:color w:val="1F4E79" w:themeColor="accent1" w:themeShade="80"/>
          <w:sz w:val="28"/>
          <w:szCs w:val="28"/>
          <w:lang w:eastAsia="it-IT"/>
        </w:rPr>
        <w:t>conseguenze derivanti dall’</w:t>
      </w:r>
      <w:r w:rsidR="00A54580" w:rsidRPr="00B208E4">
        <w:rPr>
          <w:rFonts w:ascii="Calibri" w:eastAsia="Times New Roman" w:hAnsi="Calibri" w:cs="Segoe UI"/>
          <w:color w:val="1F4E79" w:themeColor="accent1" w:themeShade="80"/>
          <w:sz w:val="28"/>
          <w:szCs w:val="28"/>
          <w:lang w:eastAsia="it-IT"/>
        </w:rPr>
        <w:t>inadempimento</w:t>
      </w:r>
      <w:r w:rsidR="003A5C8C" w:rsidRPr="00B208E4">
        <w:rPr>
          <w:rFonts w:ascii="Calibri" w:eastAsia="Times New Roman" w:hAnsi="Calibri" w:cs="Segoe UI"/>
          <w:color w:val="1F4E79" w:themeColor="accent1" w:themeShade="80"/>
          <w:sz w:val="28"/>
          <w:szCs w:val="28"/>
          <w:lang w:eastAsia="it-IT"/>
        </w:rPr>
        <w:t xml:space="preserve"> dell’obbligo, tra le quali </w:t>
      </w:r>
      <w:r w:rsidR="00A54580">
        <w:rPr>
          <w:rFonts w:ascii="Calibri" w:eastAsia="Times New Roman" w:hAnsi="Calibri" w:cs="Segoe UI"/>
          <w:color w:val="1F4E79" w:themeColor="accent1" w:themeShade="80"/>
          <w:sz w:val="28"/>
          <w:szCs w:val="28"/>
          <w:lang w:eastAsia="it-IT"/>
        </w:rPr>
        <w:t xml:space="preserve">rientra </w:t>
      </w:r>
      <w:r w:rsidR="003A5C8C" w:rsidRPr="00B208E4">
        <w:rPr>
          <w:rFonts w:ascii="Calibri" w:eastAsia="Times New Roman" w:hAnsi="Calibri" w:cs="Segoe UI"/>
          <w:color w:val="1F4E79" w:themeColor="accent1" w:themeShade="80"/>
          <w:sz w:val="28"/>
          <w:szCs w:val="28"/>
          <w:lang w:eastAsia="it-IT"/>
        </w:rPr>
        <w:t>la</w:t>
      </w:r>
      <w:r w:rsidR="00A54580">
        <w:rPr>
          <w:rFonts w:ascii="Calibri" w:eastAsia="Times New Roman" w:hAnsi="Calibri" w:cs="Segoe UI"/>
          <w:color w:val="1F4E79" w:themeColor="accent1" w:themeShade="80"/>
          <w:sz w:val="28"/>
          <w:szCs w:val="28"/>
          <w:lang w:eastAsia="it-IT"/>
        </w:rPr>
        <w:t xml:space="preserve"> già citata</w:t>
      </w:r>
      <w:r w:rsidR="003A5C8C" w:rsidRPr="00B208E4">
        <w:rPr>
          <w:rFonts w:ascii="Calibri" w:eastAsia="Times New Roman" w:hAnsi="Calibri" w:cs="Segoe UI"/>
          <w:color w:val="1F4E79" w:themeColor="accent1" w:themeShade="80"/>
          <w:sz w:val="28"/>
          <w:szCs w:val="28"/>
          <w:lang w:eastAsia="it-IT"/>
        </w:rPr>
        <w:t xml:space="preserve"> responsabilità risarcitoria dello Stato: la regola UE</w:t>
      </w:r>
      <w:r w:rsidR="00A54580">
        <w:rPr>
          <w:rFonts w:ascii="Calibri" w:eastAsia="Times New Roman" w:hAnsi="Calibri" w:cs="Segoe UI"/>
          <w:color w:val="1F4E79" w:themeColor="accent1" w:themeShade="80"/>
          <w:sz w:val="28"/>
          <w:szCs w:val="28"/>
          <w:lang w:eastAsia="it-IT"/>
        </w:rPr>
        <w:t>, derivante dalla giurisprudenza della CGUE,</w:t>
      </w:r>
      <w:r w:rsidR="003A5C8C" w:rsidRPr="00B208E4">
        <w:rPr>
          <w:rFonts w:ascii="Calibri" w:eastAsia="Times New Roman" w:hAnsi="Calibri" w:cs="Segoe UI"/>
          <w:color w:val="1F4E79" w:themeColor="accent1" w:themeShade="80"/>
          <w:sz w:val="28"/>
          <w:szCs w:val="28"/>
          <w:lang w:eastAsia="it-IT"/>
        </w:rPr>
        <w:t xml:space="preserve"> è stata trasposta nella legge n. 117 del 1988, come novellata nel 2014.</w:t>
      </w:r>
    </w:p>
    <w:p w:rsidR="00AB77C1" w:rsidRPr="00B208E4" w:rsidRDefault="003A5C8C"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Pertanto, a dire della Cassazione, l’ordinamento dovrebbe prevedere anche dei </w:t>
      </w:r>
      <w:r w:rsidR="00F57EA3">
        <w:rPr>
          <w:rFonts w:ascii="Calibri" w:eastAsia="Times New Roman" w:hAnsi="Calibri" w:cs="Segoe UI"/>
          <w:color w:val="1F4E79" w:themeColor="accent1" w:themeShade="80"/>
          <w:sz w:val="28"/>
          <w:szCs w:val="28"/>
          <w:lang w:eastAsia="it-IT"/>
        </w:rPr>
        <w:t>mezz</w:t>
      </w:r>
      <w:r w:rsidRPr="00B208E4">
        <w:rPr>
          <w:rFonts w:ascii="Calibri" w:eastAsia="Times New Roman" w:hAnsi="Calibri" w:cs="Segoe UI"/>
          <w:color w:val="1F4E79" w:themeColor="accent1" w:themeShade="80"/>
          <w:sz w:val="28"/>
          <w:szCs w:val="28"/>
          <w:lang w:eastAsia="it-IT"/>
        </w:rPr>
        <w:t xml:space="preserve">i processuali volti a rimediare </w:t>
      </w:r>
      <w:r w:rsidR="00A54580">
        <w:rPr>
          <w:rFonts w:ascii="Calibri" w:eastAsia="Times New Roman" w:hAnsi="Calibri" w:cs="Segoe UI"/>
          <w:color w:val="1F4E79" w:themeColor="accent1" w:themeShade="80"/>
          <w:sz w:val="28"/>
          <w:szCs w:val="28"/>
          <w:lang w:eastAsia="it-IT"/>
        </w:rPr>
        <w:t xml:space="preserve">immediatamente </w:t>
      </w:r>
      <w:r w:rsidRPr="00B208E4">
        <w:rPr>
          <w:rFonts w:ascii="Calibri" w:eastAsia="Times New Roman" w:hAnsi="Calibri" w:cs="Segoe UI"/>
          <w:color w:val="1F4E79" w:themeColor="accent1" w:themeShade="80"/>
          <w:sz w:val="28"/>
          <w:szCs w:val="28"/>
          <w:lang w:eastAsia="it-IT"/>
        </w:rPr>
        <w:t xml:space="preserve">alla violazione, </w:t>
      </w:r>
      <w:r w:rsidR="00AB77C1" w:rsidRPr="00B208E4">
        <w:rPr>
          <w:rFonts w:ascii="Calibri" w:eastAsia="Times New Roman" w:hAnsi="Calibri" w:cs="Segoe UI"/>
          <w:color w:val="1F4E79" w:themeColor="accent1" w:themeShade="80"/>
          <w:sz w:val="28"/>
          <w:szCs w:val="28"/>
          <w:lang w:eastAsia="it-IT"/>
        </w:rPr>
        <w:t>prima del passaggio in giudicato della sentenza.</w:t>
      </w:r>
    </w:p>
    <w:p w:rsidR="00AB77C1" w:rsidRPr="00B208E4" w:rsidRDefault="00AB77C1"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La replica a questo</w:t>
      </w:r>
      <w:r w:rsidR="00A54580">
        <w:rPr>
          <w:rFonts w:ascii="Calibri" w:eastAsia="Times New Roman" w:hAnsi="Calibri" w:cs="Segoe UI"/>
          <w:color w:val="1F4E79" w:themeColor="accent1" w:themeShade="80"/>
          <w:sz w:val="28"/>
          <w:szCs w:val="28"/>
          <w:lang w:eastAsia="it-IT"/>
        </w:rPr>
        <w:t xml:space="preserve"> primo</w:t>
      </w:r>
      <w:r w:rsidRPr="00B208E4">
        <w:rPr>
          <w:rFonts w:ascii="Calibri" w:eastAsia="Times New Roman" w:hAnsi="Calibri" w:cs="Segoe UI"/>
          <w:color w:val="1F4E79" w:themeColor="accent1" w:themeShade="80"/>
          <w:sz w:val="28"/>
          <w:szCs w:val="28"/>
          <w:lang w:eastAsia="it-IT"/>
        </w:rPr>
        <w:t xml:space="preserve"> argomento può riprendere quanto già osservato in relazione al</w:t>
      </w:r>
      <w:r w:rsidR="00A54580">
        <w:rPr>
          <w:rFonts w:ascii="Calibri" w:eastAsia="Times New Roman" w:hAnsi="Calibri" w:cs="Segoe UI"/>
          <w:color w:val="1F4E79" w:themeColor="accent1" w:themeShade="80"/>
          <w:sz w:val="28"/>
          <w:szCs w:val="28"/>
          <w:lang w:eastAsia="it-IT"/>
        </w:rPr>
        <w:t>le ragioni che l’ordinanza adduce a supporto del</w:t>
      </w:r>
      <w:r w:rsidRPr="00B208E4">
        <w:rPr>
          <w:rFonts w:ascii="Calibri" w:eastAsia="Times New Roman" w:hAnsi="Calibri" w:cs="Segoe UI"/>
          <w:color w:val="1F4E79" w:themeColor="accent1" w:themeShade="80"/>
          <w:sz w:val="28"/>
          <w:szCs w:val="28"/>
          <w:lang w:eastAsia="it-IT"/>
        </w:rPr>
        <w:t xml:space="preserve"> primo quesito:</w:t>
      </w:r>
    </w:p>
    <w:p w:rsidR="008F6353" w:rsidRPr="00B208E4" w:rsidRDefault="00AB77C1" w:rsidP="00FB7048">
      <w:pPr>
        <w:pStyle w:val="Paragrafoelenco"/>
        <w:numPr>
          <w:ilvl w:val="0"/>
          <w:numId w:val="15"/>
        </w:numPr>
        <w:shd w:val="clear" w:color="auto" w:fill="FFFFFF"/>
        <w:tabs>
          <w:tab w:val="left" w:pos="0"/>
        </w:tabs>
        <w:spacing w:after="120" w:line="240" w:lineRule="auto"/>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L</w:t>
      </w:r>
      <w:r w:rsidR="008F6353" w:rsidRPr="00B208E4">
        <w:rPr>
          <w:rFonts w:ascii="Calibri" w:eastAsia="Times New Roman" w:hAnsi="Calibri" w:cs="Segoe UI"/>
          <w:color w:val="1F4E79" w:themeColor="accent1" w:themeShade="80"/>
          <w:sz w:val="28"/>
          <w:szCs w:val="28"/>
          <w:lang w:eastAsia="it-IT"/>
        </w:rPr>
        <w:t>’ordinamento UE si limita ad imporre il rimedio risarcitorio e non richiede ulteriori strumenti di diritto interno;</w:t>
      </w:r>
    </w:p>
    <w:p w:rsidR="008F6353" w:rsidRPr="00B208E4" w:rsidRDefault="008F6353" w:rsidP="00FB7048">
      <w:pPr>
        <w:pStyle w:val="Paragrafoelenco"/>
        <w:numPr>
          <w:ilvl w:val="0"/>
          <w:numId w:val="15"/>
        </w:numPr>
        <w:shd w:val="clear" w:color="auto" w:fill="FFFFFF"/>
        <w:tabs>
          <w:tab w:val="left" w:pos="0"/>
        </w:tabs>
        <w:spacing w:after="120" w:line="240" w:lineRule="auto"/>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Proprio la tipizzazione del mezzo di reazione introdotto dal legislatore nazionale indica con chiarezza la scelta compiuta: forse opinabile sul piano dell’</w:t>
      </w:r>
      <w:r w:rsidR="00304B92" w:rsidRPr="00B208E4">
        <w:rPr>
          <w:rFonts w:ascii="Calibri" w:eastAsia="Times New Roman" w:hAnsi="Calibri" w:cs="Segoe UI"/>
          <w:color w:val="1F4E79" w:themeColor="accent1" w:themeShade="80"/>
          <w:sz w:val="28"/>
          <w:szCs w:val="28"/>
          <w:lang w:eastAsia="it-IT"/>
        </w:rPr>
        <w:t>opportunità</w:t>
      </w:r>
      <w:r w:rsidRPr="00B208E4">
        <w:rPr>
          <w:rFonts w:ascii="Calibri" w:eastAsia="Times New Roman" w:hAnsi="Calibri" w:cs="Segoe UI"/>
          <w:color w:val="1F4E79" w:themeColor="accent1" w:themeShade="80"/>
          <w:sz w:val="28"/>
          <w:szCs w:val="28"/>
          <w:lang w:eastAsia="it-IT"/>
        </w:rPr>
        <w:t>,</w:t>
      </w:r>
      <w:r w:rsidR="00A54580">
        <w:rPr>
          <w:rFonts w:ascii="Calibri" w:eastAsia="Times New Roman" w:hAnsi="Calibri" w:cs="Segoe UI"/>
          <w:color w:val="1F4E79" w:themeColor="accent1" w:themeShade="80"/>
          <w:sz w:val="28"/>
          <w:szCs w:val="28"/>
          <w:lang w:eastAsia="it-IT"/>
        </w:rPr>
        <w:t xml:space="preserve"> e magari migliorabile sul piano dell’efficacia,</w:t>
      </w:r>
      <w:r w:rsidRPr="00B208E4">
        <w:rPr>
          <w:rFonts w:ascii="Calibri" w:eastAsia="Times New Roman" w:hAnsi="Calibri" w:cs="Segoe UI"/>
          <w:color w:val="1F4E79" w:themeColor="accent1" w:themeShade="80"/>
          <w:sz w:val="28"/>
          <w:szCs w:val="28"/>
          <w:lang w:eastAsia="it-IT"/>
        </w:rPr>
        <w:t xml:space="preserve"> ma lineare nel suo contenuto.</w:t>
      </w:r>
    </w:p>
    <w:p w:rsidR="00601682" w:rsidRPr="00B208E4" w:rsidRDefault="00601682"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p>
    <w:p w:rsidR="003304AC" w:rsidRPr="00E1616E" w:rsidRDefault="00733C8F" w:rsidP="00FB7048">
      <w:pPr>
        <w:numPr>
          <w:ilvl w:val="0"/>
          <w:numId w:val="1"/>
        </w:numPr>
        <w:shd w:val="clear" w:color="auto" w:fill="FFFFFF"/>
        <w:tabs>
          <w:tab w:val="left" w:pos="0"/>
        </w:tabs>
        <w:spacing w:after="120" w:line="240" w:lineRule="auto"/>
        <w:ind w:left="0" w:firstLine="709"/>
        <w:jc w:val="both"/>
        <w:textAlignment w:val="baseline"/>
        <w:rPr>
          <w:rFonts w:ascii="Tahoma" w:eastAsia="Times New Roman" w:hAnsi="Tahoma" w:cs="Tahoma"/>
          <w:smallCaps/>
          <w:color w:val="1F4E79" w:themeColor="accent1" w:themeShade="80"/>
          <w:sz w:val="28"/>
          <w:szCs w:val="28"/>
          <w:bdr w:val="none" w:sz="0" w:space="0" w:color="auto" w:frame="1"/>
          <w:lang w:eastAsia="it-IT"/>
        </w:rPr>
      </w:pPr>
      <w:r w:rsidRPr="00B208E4">
        <w:rPr>
          <w:rFonts w:ascii="Tahoma" w:eastAsia="Times New Roman" w:hAnsi="Tahoma" w:cs="Tahoma"/>
          <w:smallCaps/>
          <w:color w:val="1F4E79" w:themeColor="accent1" w:themeShade="80"/>
          <w:sz w:val="28"/>
          <w:szCs w:val="28"/>
          <w:bdr w:val="none" w:sz="0" w:space="0" w:color="auto" w:frame="1"/>
          <w:lang w:eastAsia="it-IT"/>
        </w:rPr>
        <w:t>L’individuazione dei casi in cui si verifica la violazione dell’obbligo del rinvio. Le conseguenze secondo l’ordinamento comunitario e secondo il diritto interno.</w:t>
      </w:r>
      <w:r w:rsidR="00E1616E">
        <w:rPr>
          <w:rFonts w:ascii="Tahoma" w:eastAsia="Times New Roman" w:hAnsi="Tahoma" w:cs="Tahoma"/>
          <w:smallCaps/>
          <w:color w:val="1F4E79" w:themeColor="accent1" w:themeShade="80"/>
          <w:sz w:val="28"/>
          <w:szCs w:val="28"/>
          <w:bdr w:val="none" w:sz="0" w:space="0" w:color="auto" w:frame="1"/>
          <w:lang w:eastAsia="it-IT"/>
        </w:rPr>
        <w:t xml:space="preserve"> </w:t>
      </w:r>
      <w:r w:rsidR="003304AC" w:rsidRPr="00E1616E">
        <w:rPr>
          <w:rFonts w:ascii="Tahoma" w:eastAsia="Times New Roman" w:hAnsi="Tahoma" w:cs="Tahoma"/>
          <w:smallCaps/>
          <w:color w:val="1F4E79" w:themeColor="accent1" w:themeShade="80"/>
          <w:sz w:val="28"/>
          <w:szCs w:val="28"/>
          <w:bdr w:val="none" w:sz="0" w:space="0" w:color="auto" w:frame="1"/>
          <w:lang w:eastAsia="it-IT"/>
        </w:rPr>
        <w:t xml:space="preserve">la </w:t>
      </w:r>
      <w:r w:rsidR="00E1616E">
        <w:rPr>
          <w:rFonts w:ascii="Tahoma" w:eastAsia="Times New Roman" w:hAnsi="Tahoma" w:cs="Tahoma"/>
          <w:smallCaps/>
          <w:color w:val="1F4E79" w:themeColor="accent1" w:themeShade="80"/>
          <w:sz w:val="28"/>
          <w:szCs w:val="28"/>
          <w:bdr w:val="none" w:sz="0" w:space="0" w:color="auto" w:frame="1"/>
          <w:lang w:eastAsia="it-IT"/>
        </w:rPr>
        <w:t>difficile conciliazione</w:t>
      </w:r>
      <w:r w:rsidR="003304AC" w:rsidRPr="00E1616E">
        <w:rPr>
          <w:rFonts w:ascii="Tahoma" w:eastAsia="Times New Roman" w:hAnsi="Tahoma" w:cs="Tahoma"/>
          <w:smallCaps/>
          <w:color w:val="1F4E79" w:themeColor="accent1" w:themeShade="80"/>
          <w:sz w:val="28"/>
          <w:szCs w:val="28"/>
          <w:bdr w:val="none" w:sz="0" w:space="0" w:color="auto" w:frame="1"/>
          <w:lang w:eastAsia="it-IT"/>
        </w:rPr>
        <w:t xml:space="preserve"> logica tra la posizione di giudice di “ultima istanza” e la sindacabilità della decisione negativa davanti a un altro giudice.</w:t>
      </w:r>
    </w:p>
    <w:p w:rsidR="00F57EA3" w:rsidRPr="00B208E4" w:rsidRDefault="00F57EA3"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Il secondo quesito formulato dall’ordinanza, poi, disvela altre criticità.</w:t>
      </w:r>
    </w:p>
    <w:p w:rsidR="00F57EA3" w:rsidRPr="00B208E4" w:rsidRDefault="00F57EA3"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La prima riguarda la difficoltà di accertare</w:t>
      </w:r>
      <w:r w:rsidR="009A7452">
        <w:rPr>
          <w:rFonts w:ascii="Calibri" w:eastAsia="Times New Roman" w:hAnsi="Calibri" w:cs="Segoe UI"/>
          <w:color w:val="1F4E79" w:themeColor="accent1" w:themeShade="80"/>
          <w:sz w:val="28"/>
          <w:szCs w:val="28"/>
          <w:lang w:eastAsia="it-IT"/>
        </w:rPr>
        <w:t xml:space="preserve"> con precisione</w:t>
      </w:r>
      <w:r w:rsidRPr="00B208E4">
        <w:rPr>
          <w:rFonts w:ascii="Calibri" w:eastAsia="Times New Roman" w:hAnsi="Calibri" w:cs="Segoe UI"/>
          <w:color w:val="1F4E79" w:themeColor="accent1" w:themeShade="80"/>
          <w:sz w:val="28"/>
          <w:szCs w:val="28"/>
          <w:lang w:eastAsia="it-IT"/>
        </w:rPr>
        <w:t xml:space="preserve"> la concreta violazione dell’obbligo di rinvio pregiudiziale.</w:t>
      </w:r>
    </w:p>
    <w:p w:rsidR="00F57EA3" w:rsidRPr="00B208E4" w:rsidRDefault="00F57EA3"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L’altra attiene a quello che potrebbe configurarsi come il </w:t>
      </w:r>
      <w:r w:rsidRPr="00B208E4">
        <w:rPr>
          <w:rFonts w:ascii="Calibri" w:eastAsia="Times New Roman" w:hAnsi="Calibri" w:cs="Segoe UI"/>
          <w:i/>
          <w:color w:val="1F4E79" w:themeColor="accent1" w:themeShade="80"/>
          <w:sz w:val="28"/>
          <w:szCs w:val="28"/>
          <w:lang w:eastAsia="it-IT"/>
        </w:rPr>
        <w:t>paradosso</w:t>
      </w:r>
      <w:r w:rsidRPr="00B208E4">
        <w:rPr>
          <w:rFonts w:ascii="Calibri" w:eastAsia="Times New Roman" w:hAnsi="Calibri" w:cs="Segoe UI"/>
          <w:color w:val="1F4E79" w:themeColor="accent1" w:themeShade="80"/>
          <w:sz w:val="28"/>
          <w:szCs w:val="28"/>
          <w:lang w:eastAsia="it-IT"/>
        </w:rPr>
        <w:t xml:space="preserve"> del giudice di ultimo grado, insieme alla difficoltà del funzionamento del rimedio endoproce</w:t>
      </w:r>
      <w:r w:rsidR="009A7452">
        <w:rPr>
          <w:rFonts w:ascii="Calibri" w:eastAsia="Times New Roman" w:hAnsi="Calibri" w:cs="Segoe UI"/>
          <w:color w:val="1F4E79" w:themeColor="accent1" w:themeShade="80"/>
          <w:sz w:val="28"/>
          <w:szCs w:val="28"/>
          <w:lang w:eastAsia="it-IT"/>
        </w:rPr>
        <w:t>ssuale per ripar</w:t>
      </w:r>
      <w:r w:rsidRPr="00B208E4">
        <w:rPr>
          <w:rFonts w:ascii="Calibri" w:eastAsia="Times New Roman" w:hAnsi="Calibri" w:cs="Segoe UI"/>
          <w:color w:val="1F4E79" w:themeColor="accent1" w:themeShade="80"/>
          <w:sz w:val="28"/>
          <w:szCs w:val="28"/>
          <w:lang w:eastAsia="it-IT"/>
        </w:rPr>
        <w:t xml:space="preserve">are </w:t>
      </w:r>
      <w:r w:rsidR="009A7452">
        <w:rPr>
          <w:rFonts w:ascii="Calibri" w:eastAsia="Times New Roman" w:hAnsi="Calibri" w:cs="Segoe UI"/>
          <w:color w:val="1F4E79" w:themeColor="accent1" w:themeShade="80"/>
          <w:sz w:val="28"/>
          <w:szCs w:val="28"/>
          <w:lang w:eastAsia="it-IT"/>
        </w:rPr>
        <w:t>l’accertat</w:t>
      </w:r>
      <w:r w:rsidRPr="00B208E4">
        <w:rPr>
          <w:rFonts w:ascii="Calibri" w:eastAsia="Times New Roman" w:hAnsi="Calibri" w:cs="Segoe UI"/>
          <w:color w:val="1F4E79" w:themeColor="accent1" w:themeShade="80"/>
          <w:sz w:val="28"/>
          <w:szCs w:val="28"/>
          <w:lang w:eastAsia="it-IT"/>
        </w:rPr>
        <w:t>a violazione dell’obbligo del rinvio.</w:t>
      </w:r>
    </w:p>
    <w:p w:rsidR="009A7452" w:rsidRPr="00B208E4" w:rsidRDefault="00601682"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Contrariamente a quanto traspare dall’ordinanza della Cassazione, non è affatto chiaro quando possa ritenersi violato</w:t>
      </w:r>
      <w:r w:rsidR="009A7452">
        <w:rPr>
          <w:rFonts w:ascii="Calibri" w:eastAsia="Times New Roman" w:hAnsi="Calibri" w:cs="Segoe UI"/>
          <w:color w:val="1F4E79" w:themeColor="accent1" w:themeShade="80"/>
          <w:sz w:val="28"/>
          <w:szCs w:val="28"/>
          <w:lang w:eastAsia="it-IT"/>
        </w:rPr>
        <w:t>, in concreto,</w:t>
      </w:r>
      <w:r w:rsidRPr="00B208E4">
        <w:rPr>
          <w:rFonts w:ascii="Calibri" w:eastAsia="Times New Roman" w:hAnsi="Calibri" w:cs="Segoe UI"/>
          <w:color w:val="1F4E79" w:themeColor="accent1" w:themeShade="80"/>
          <w:sz w:val="28"/>
          <w:szCs w:val="28"/>
          <w:lang w:eastAsia="it-IT"/>
        </w:rPr>
        <w:t xml:space="preserve"> l’o</w:t>
      </w:r>
      <w:r w:rsidR="009A7452">
        <w:rPr>
          <w:rFonts w:ascii="Calibri" w:eastAsia="Times New Roman" w:hAnsi="Calibri" w:cs="Segoe UI"/>
          <w:color w:val="1F4E79" w:themeColor="accent1" w:themeShade="80"/>
          <w:sz w:val="28"/>
          <w:szCs w:val="28"/>
          <w:lang w:eastAsia="it-IT"/>
        </w:rPr>
        <w:t xml:space="preserve">bbligo del rinvio pregiudiziale, ancorché la stessa CGUE, a partire dalla decisione </w:t>
      </w:r>
      <w:r w:rsidR="009A7452" w:rsidRPr="009A7452">
        <w:rPr>
          <w:rFonts w:ascii="Calibri" w:eastAsia="Times New Roman" w:hAnsi="Calibri" w:cs="Segoe UI"/>
          <w:i/>
          <w:color w:val="1F4E79" w:themeColor="accent1" w:themeShade="80"/>
          <w:sz w:val="28"/>
          <w:szCs w:val="28"/>
          <w:lang w:eastAsia="it-IT"/>
        </w:rPr>
        <w:t>Cilfit</w:t>
      </w:r>
      <w:r w:rsidR="009A7452" w:rsidRPr="009A7452">
        <w:rPr>
          <w:rFonts w:ascii="Calibri" w:eastAsia="Times New Roman" w:hAnsi="Calibri" w:cs="Segoe UI"/>
          <w:color w:val="1F4E79" w:themeColor="accent1" w:themeShade="80"/>
          <w:sz w:val="28"/>
          <w:szCs w:val="28"/>
          <w:lang w:eastAsia="it-IT"/>
        </w:rPr>
        <w:t xml:space="preserve"> del 6 novembre 1982</w:t>
      </w:r>
      <w:r w:rsidR="00FA4869">
        <w:rPr>
          <w:rFonts w:ascii="Calibri" w:eastAsia="Times New Roman" w:hAnsi="Calibri" w:cs="Segoe UI"/>
          <w:color w:val="1F4E79" w:themeColor="accent1" w:themeShade="80"/>
          <w:sz w:val="28"/>
          <w:szCs w:val="28"/>
          <w:lang w:eastAsia="it-IT"/>
        </w:rPr>
        <w:t>, abbia codificato il noto principio secondo il quale</w:t>
      </w:r>
      <w:r w:rsidR="009A7452" w:rsidRPr="009A7452">
        <w:rPr>
          <w:rFonts w:ascii="Calibri" w:eastAsia="Times New Roman" w:hAnsi="Calibri" w:cs="Segoe UI"/>
          <w:color w:val="1F4E79" w:themeColor="accent1" w:themeShade="80"/>
          <w:sz w:val="28"/>
          <w:szCs w:val="28"/>
          <w:lang w:eastAsia="it-IT"/>
        </w:rPr>
        <w:t xml:space="preserve"> </w:t>
      </w:r>
      <w:r w:rsidR="00FA4869" w:rsidRPr="009A7452">
        <w:rPr>
          <w:rFonts w:ascii="Calibri" w:eastAsia="Times New Roman" w:hAnsi="Calibri" w:cs="Segoe UI"/>
          <w:color w:val="1F4E79" w:themeColor="accent1" w:themeShade="80"/>
          <w:sz w:val="28"/>
          <w:szCs w:val="28"/>
          <w:lang w:eastAsia="it-IT"/>
        </w:rPr>
        <w:t>affinché</w:t>
      </w:r>
      <w:r w:rsidR="009A7452" w:rsidRPr="009A7452">
        <w:rPr>
          <w:rFonts w:ascii="Calibri" w:eastAsia="Times New Roman" w:hAnsi="Calibri" w:cs="Segoe UI"/>
          <w:color w:val="1F4E79" w:themeColor="accent1" w:themeShade="80"/>
          <w:sz w:val="28"/>
          <w:szCs w:val="28"/>
          <w:lang w:eastAsia="it-IT"/>
        </w:rPr>
        <w:t xml:space="preserve"> una corte</w:t>
      </w:r>
      <w:r w:rsidR="00FA4869">
        <w:rPr>
          <w:rFonts w:ascii="Calibri" w:eastAsia="Times New Roman" w:hAnsi="Calibri" w:cs="Segoe UI"/>
          <w:color w:val="1F4E79" w:themeColor="accent1" w:themeShade="80"/>
          <w:sz w:val="28"/>
          <w:szCs w:val="28"/>
          <w:lang w:eastAsia="it-IT"/>
        </w:rPr>
        <w:t xml:space="preserve"> </w:t>
      </w:r>
      <w:r w:rsidR="009A7452" w:rsidRPr="009A7452">
        <w:rPr>
          <w:rFonts w:ascii="Calibri" w:eastAsia="Times New Roman" w:hAnsi="Calibri" w:cs="Segoe UI"/>
          <w:color w:val="1F4E79" w:themeColor="accent1" w:themeShade="80"/>
          <w:sz w:val="28"/>
          <w:szCs w:val="28"/>
          <w:lang w:eastAsia="it-IT"/>
        </w:rPr>
        <w:t>di ultima istanza possa considerarsi esentata dall’obbligo di rinvio</w:t>
      </w:r>
      <w:r w:rsidR="00FA4869">
        <w:rPr>
          <w:rFonts w:ascii="Calibri" w:eastAsia="Times New Roman" w:hAnsi="Calibri" w:cs="Segoe UI"/>
          <w:color w:val="1F4E79" w:themeColor="accent1" w:themeShade="80"/>
          <w:sz w:val="28"/>
          <w:szCs w:val="28"/>
          <w:lang w:eastAsia="it-IT"/>
        </w:rPr>
        <w:t xml:space="preserve"> </w:t>
      </w:r>
      <w:r w:rsidR="009A7452" w:rsidRPr="009A7452">
        <w:rPr>
          <w:rFonts w:ascii="Calibri" w:eastAsia="Times New Roman" w:hAnsi="Calibri" w:cs="Segoe UI"/>
          <w:color w:val="1F4E79" w:themeColor="accent1" w:themeShade="80"/>
          <w:sz w:val="28"/>
          <w:szCs w:val="28"/>
          <w:lang w:eastAsia="it-IT"/>
        </w:rPr>
        <w:t>pregiudiziale</w:t>
      </w:r>
      <w:r w:rsidR="00FA4869">
        <w:rPr>
          <w:rFonts w:ascii="Calibri" w:eastAsia="Times New Roman" w:hAnsi="Calibri" w:cs="Segoe UI"/>
          <w:color w:val="1F4E79" w:themeColor="accent1" w:themeShade="80"/>
          <w:sz w:val="28"/>
          <w:szCs w:val="28"/>
          <w:lang w:eastAsia="it-IT"/>
        </w:rPr>
        <w:t xml:space="preserve"> devono sussistere particolari </w:t>
      </w:r>
      <w:r w:rsidR="009A7452" w:rsidRPr="009A7452">
        <w:rPr>
          <w:rFonts w:ascii="Calibri" w:eastAsia="Times New Roman" w:hAnsi="Calibri" w:cs="Segoe UI"/>
          <w:color w:val="1F4E79" w:themeColor="accent1" w:themeShade="80"/>
          <w:sz w:val="28"/>
          <w:szCs w:val="28"/>
          <w:lang w:eastAsia="it-IT"/>
        </w:rPr>
        <w:t>condizioni</w:t>
      </w:r>
      <w:r w:rsidR="00FA4869">
        <w:rPr>
          <w:rFonts w:ascii="Calibri" w:eastAsia="Times New Roman" w:hAnsi="Calibri" w:cs="Segoe UI"/>
          <w:color w:val="1F4E79" w:themeColor="accent1" w:themeShade="80"/>
          <w:sz w:val="28"/>
          <w:szCs w:val="28"/>
          <w:lang w:eastAsia="it-IT"/>
        </w:rPr>
        <w:t>, tra le quali</w:t>
      </w:r>
      <w:r w:rsidR="009A7452" w:rsidRPr="009A7452">
        <w:rPr>
          <w:rFonts w:ascii="Calibri" w:eastAsia="Times New Roman" w:hAnsi="Calibri" w:cs="Segoe UI"/>
          <w:color w:val="1F4E79" w:themeColor="accent1" w:themeShade="80"/>
          <w:sz w:val="28"/>
          <w:szCs w:val="28"/>
          <w:lang w:eastAsia="it-IT"/>
        </w:rPr>
        <w:t xml:space="preserve"> rientrano la non rilevanza della</w:t>
      </w:r>
      <w:r w:rsidR="00FA4869">
        <w:rPr>
          <w:rFonts w:ascii="Calibri" w:eastAsia="Times New Roman" w:hAnsi="Calibri" w:cs="Segoe UI"/>
          <w:color w:val="1F4E79" w:themeColor="accent1" w:themeShade="80"/>
          <w:sz w:val="28"/>
          <w:szCs w:val="28"/>
          <w:lang w:eastAsia="it-IT"/>
        </w:rPr>
        <w:t xml:space="preserve"> </w:t>
      </w:r>
      <w:r w:rsidR="009A7452" w:rsidRPr="009A7452">
        <w:rPr>
          <w:rFonts w:ascii="Calibri" w:eastAsia="Times New Roman" w:hAnsi="Calibri" w:cs="Segoe UI"/>
          <w:color w:val="1F4E79" w:themeColor="accent1" w:themeShade="80"/>
          <w:sz w:val="28"/>
          <w:szCs w:val="28"/>
          <w:lang w:eastAsia="it-IT"/>
        </w:rPr>
        <w:t>questione, il fatto che la medesima disposizione di diritto europeo</w:t>
      </w:r>
      <w:r w:rsidR="00FA4869">
        <w:rPr>
          <w:rFonts w:ascii="Calibri" w:eastAsia="Times New Roman" w:hAnsi="Calibri" w:cs="Segoe UI"/>
          <w:color w:val="1F4E79" w:themeColor="accent1" w:themeShade="80"/>
          <w:sz w:val="28"/>
          <w:szCs w:val="28"/>
          <w:lang w:eastAsia="it-IT"/>
        </w:rPr>
        <w:t xml:space="preserve"> </w:t>
      </w:r>
      <w:r w:rsidR="009A7452" w:rsidRPr="009A7452">
        <w:rPr>
          <w:rFonts w:ascii="Calibri" w:eastAsia="Times New Roman" w:hAnsi="Calibri" w:cs="Segoe UI"/>
          <w:color w:val="1F4E79" w:themeColor="accent1" w:themeShade="80"/>
          <w:sz w:val="28"/>
          <w:szCs w:val="28"/>
          <w:lang w:eastAsia="it-IT"/>
        </w:rPr>
        <w:t>sia già stata interpretata dalla Corte o che la sua interpretazione non</w:t>
      </w:r>
      <w:r w:rsidR="00FA4869">
        <w:rPr>
          <w:rFonts w:ascii="Calibri" w:eastAsia="Times New Roman" w:hAnsi="Calibri" w:cs="Segoe UI"/>
          <w:color w:val="1F4E79" w:themeColor="accent1" w:themeShade="80"/>
          <w:sz w:val="28"/>
          <w:szCs w:val="28"/>
          <w:lang w:eastAsia="it-IT"/>
        </w:rPr>
        <w:t xml:space="preserve"> </w:t>
      </w:r>
      <w:r w:rsidR="009A7452" w:rsidRPr="009A7452">
        <w:rPr>
          <w:rFonts w:ascii="Calibri" w:eastAsia="Times New Roman" w:hAnsi="Calibri" w:cs="Segoe UI"/>
          <w:color w:val="1F4E79" w:themeColor="accent1" w:themeShade="80"/>
          <w:sz w:val="28"/>
          <w:szCs w:val="28"/>
          <w:lang w:eastAsia="it-IT"/>
        </w:rPr>
        <w:t>lasci adito a ragionevoli dubbi interpretativi</w:t>
      </w:r>
      <w:r w:rsidR="00FA4869">
        <w:rPr>
          <w:rFonts w:ascii="Calibri" w:eastAsia="Times New Roman" w:hAnsi="Calibri" w:cs="Segoe UI"/>
          <w:color w:val="1F4E79" w:themeColor="accent1" w:themeShade="80"/>
          <w:sz w:val="28"/>
          <w:szCs w:val="28"/>
          <w:lang w:eastAsia="it-IT"/>
        </w:rPr>
        <w:t>.</w:t>
      </w:r>
    </w:p>
    <w:p w:rsidR="00962705" w:rsidRPr="00B208E4" w:rsidRDefault="00962705"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Sembra quasi che la Cassazione muova dal rilievo secondo cui ogni violazione </w:t>
      </w:r>
      <w:r w:rsidRPr="001C7132">
        <w:rPr>
          <w:rFonts w:ascii="Calibri" w:eastAsia="Times New Roman" w:hAnsi="Calibri" w:cs="Segoe UI"/>
          <w:color w:val="1F4E79" w:themeColor="accent1" w:themeShade="80"/>
          <w:sz w:val="28"/>
          <w:szCs w:val="28"/>
          <w:lang w:eastAsia="it-IT"/>
        </w:rPr>
        <w:t>sostanziale</w:t>
      </w:r>
      <w:r w:rsidRPr="00B208E4">
        <w:rPr>
          <w:rFonts w:ascii="Calibri" w:eastAsia="Times New Roman" w:hAnsi="Calibri" w:cs="Segoe UI"/>
          <w:color w:val="1F4E79" w:themeColor="accent1" w:themeShade="80"/>
          <w:sz w:val="28"/>
          <w:szCs w:val="28"/>
          <w:lang w:eastAsia="it-IT"/>
        </w:rPr>
        <w:t xml:space="preserve"> del diritto della UE contenga</w:t>
      </w:r>
      <w:r w:rsidR="009E0383" w:rsidRPr="00B208E4">
        <w:rPr>
          <w:rFonts w:ascii="Calibri" w:eastAsia="Times New Roman" w:hAnsi="Calibri" w:cs="Segoe UI"/>
          <w:color w:val="1F4E79" w:themeColor="accent1" w:themeShade="80"/>
          <w:sz w:val="28"/>
          <w:szCs w:val="28"/>
          <w:lang w:eastAsia="it-IT"/>
        </w:rPr>
        <w:t xml:space="preserve"> sempre</w:t>
      </w:r>
      <w:r w:rsidRPr="00B208E4">
        <w:rPr>
          <w:rFonts w:ascii="Calibri" w:eastAsia="Times New Roman" w:hAnsi="Calibri" w:cs="Segoe UI"/>
          <w:color w:val="1F4E79" w:themeColor="accent1" w:themeShade="80"/>
          <w:sz w:val="28"/>
          <w:szCs w:val="28"/>
          <w:lang w:eastAsia="it-IT"/>
        </w:rPr>
        <w:t xml:space="preserve">, al suo interno, </w:t>
      </w:r>
      <w:r w:rsidR="00FA4869">
        <w:rPr>
          <w:rFonts w:ascii="Calibri" w:eastAsia="Times New Roman" w:hAnsi="Calibri" w:cs="Segoe UI"/>
          <w:color w:val="1F4E79" w:themeColor="accent1" w:themeShade="80"/>
          <w:sz w:val="28"/>
          <w:szCs w:val="28"/>
          <w:lang w:eastAsia="it-IT"/>
        </w:rPr>
        <w:t xml:space="preserve">anche </w:t>
      </w:r>
      <w:r w:rsidRPr="00B208E4">
        <w:rPr>
          <w:rFonts w:ascii="Calibri" w:eastAsia="Times New Roman" w:hAnsi="Calibri" w:cs="Segoe UI"/>
          <w:color w:val="1F4E79" w:themeColor="accent1" w:themeShade="80"/>
          <w:sz w:val="28"/>
          <w:szCs w:val="28"/>
          <w:lang w:eastAsia="it-IT"/>
        </w:rPr>
        <w:t>la</w:t>
      </w:r>
      <w:r w:rsidR="009E0383" w:rsidRPr="00B208E4">
        <w:rPr>
          <w:rFonts w:ascii="Calibri" w:eastAsia="Times New Roman" w:hAnsi="Calibri" w:cs="Segoe UI"/>
          <w:color w:val="1F4E79" w:themeColor="accent1" w:themeShade="80"/>
          <w:sz w:val="28"/>
          <w:szCs w:val="28"/>
          <w:lang w:eastAsia="it-IT"/>
        </w:rPr>
        <w:t xml:space="preserve"> violazione procedimentale dell’obbligo di rinvio pregiudiziale. Schematizzando, si potrebbe sostenere che l’errore interpretativo sia dipeso </w:t>
      </w:r>
      <w:r w:rsidR="00F75009" w:rsidRPr="00B208E4">
        <w:rPr>
          <w:rFonts w:ascii="Calibri" w:eastAsia="Times New Roman" w:hAnsi="Calibri" w:cs="Segoe UI"/>
          <w:color w:val="1F4E79" w:themeColor="accent1" w:themeShade="80"/>
          <w:sz w:val="28"/>
          <w:szCs w:val="28"/>
          <w:lang w:eastAsia="it-IT"/>
        </w:rPr>
        <w:t xml:space="preserve">causalmente proprio </w:t>
      </w:r>
      <w:r w:rsidR="009E0383" w:rsidRPr="00B208E4">
        <w:rPr>
          <w:rFonts w:ascii="Calibri" w:eastAsia="Times New Roman" w:hAnsi="Calibri" w:cs="Segoe UI"/>
          <w:color w:val="1F4E79" w:themeColor="accent1" w:themeShade="80"/>
          <w:sz w:val="28"/>
          <w:szCs w:val="28"/>
          <w:lang w:eastAsia="it-IT"/>
        </w:rPr>
        <w:t>dalla violazione dell’</w:t>
      </w:r>
      <w:r w:rsidR="00F75009" w:rsidRPr="00B208E4">
        <w:rPr>
          <w:rFonts w:ascii="Calibri" w:eastAsia="Times New Roman" w:hAnsi="Calibri" w:cs="Segoe UI"/>
          <w:color w:val="1F4E79" w:themeColor="accent1" w:themeShade="80"/>
          <w:sz w:val="28"/>
          <w:szCs w:val="28"/>
          <w:lang w:eastAsia="it-IT"/>
        </w:rPr>
        <w:t>obbligo</w:t>
      </w:r>
      <w:r w:rsidR="009E0383" w:rsidRPr="00B208E4">
        <w:rPr>
          <w:rFonts w:ascii="Calibri" w:eastAsia="Times New Roman" w:hAnsi="Calibri" w:cs="Segoe UI"/>
          <w:color w:val="1F4E79" w:themeColor="accent1" w:themeShade="80"/>
          <w:sz w:val="28"/>
          <w:szCs w:val="28"/>
          <w:lang w:eastAsia="it-IT"/>
        </w:rPr>
        <w:t xml:space="preserve"> di adire preventivamente la CGUE, </w:t>
      </w:r>
      <w:r w:rsidR="00F75009" w:rsidRPr="00B208E4">
        <w:rPr>
          <w:rFonts w:ascii="Calibri" w:eastAsia="Times New Roman" w:hAnsi="Calibri" w:cs="Segoe UI"/>
          <w:color w:val="1F4E79" w:themeColor="accent1" w:themeShade="80"/>
          <w:sz w:val="28"/>
          <w:szCs w:val="28"/>
          <w:lang w:eastAsia="it-IT"/>
        </w:rPr>
        <w:t>la quale</w:t>
      </w:r>
      <w:r w:rsidR="009A7452">
        <w:rPr>
          <w:rFonts w:ascii="Calibri" w:eastAsia="Times New Roman" w:hAnsi="Calibri" w:cs="Segoe UI"/>
          <w:color w:val="1F4E79" w:themeColor="accent1" w:themeShade="80"/>
          <w:sz w:val="28"/>
          <w:szCs w:val="28"/>
          <w:lang w:eastAsia="it-IT"/>
        </w:rPr>
        <w:t>, se ritualmente interpellata,</w:t>
      </w:r>
      <w:r w:rsidR="00F75009" w:rsidRPr="00B208E4">
        <w:rPr>
          <w:rFonts w:ascii="Calibri" w:eastAsia="Times New Roman" w:hAnsi="Calibri" w:cs="Segoe UI"/>
          <w:color w:val="1F4E79" w:themeColor="accent1" w:themeShade="80"/>
          <w:sz w:val="28"/>
          <w:szCs w:val="28"/>
          <w:lang w:eastAsia="it-IT"/>
        </w:rPr>
        <w:t xml:space="preserve"> avrebbe potuto fornire la risposta preventiva determina</w:t>
      </w:r>
      <w:r w:rsidR="00F57EA3">
        <w:rPr>
          <w:rFonts w:ascii="Calibri" w:eastAsia="Times New Roman" w:hAnsi="Calibri" w:cs="Segoe UI"/>
          <w:color w:val="1F4E79" w:themeColor="accent1" w:themeShade="80"/>
          <w:sz w:val="28"/>
          <w:szCs w:val="28"/>
          <w:lang w:eastAsia="it-IT"/>
        </w:rPr>
        <w:t>n</w:t>
      </w:r>
      <w:r w:rsidR="00F75009" w:rsidRPr="00B208E4">
        <w:rPr>
          <w:rFonts w:ascii="Calibri" w:eastAsia="Times New Roman" w:hAnsi="Calibri" w:cs="Segoe UI"/>
          <w:color w:val="1F4E79" w:themeColor="accent1" w:themeShade="80"/>
          <w:sz w:val="28"/>
          <w:szCs w:val="28"/>
          <w:lang w:eastAsia="it-IT"/>
        </w:rPr>
        <w:t>te per decidere la controversia</w:t>
      </w:r>
      <w:r w:rsidR="009A7452">
        <w:rPr>
          <w:rFonts w:ascii="Calibri" w:eastAsia="Times New Roman" w:hAnsi="Calibri" w:cs="Segoe UI"/>
          <w:color w:val="1F4E79" w:themeColor="accent1" w:themeShade="80"/>
          <w:sz w:val="28"/>
          <w:szCs w:val="28"/>
          <w:lang w:eastAsia="it-IT"/>
        </w:rPr>
        <w:t>, in senso conforme al diritto UE</w:t>
      </w:r>
      <w:r w:rsidR="008B6697" w:rsidRPr="00B208E4">
        <w:rPr>
          <w:rStyle w:val="Rimandonotaapidipagina"/>
          <w:rFonts w:ascii="Calibri" w:eastAsia="Times New Roman" w:hAnsi="Calibri" w:cs="Segoe UI"/>
          <w:color w:val="1F4E79" w:themeColor="accent1" w:themeShade="80"/>
          <w:sz w:val="28"/>
          <w:szCs w:val="28"/>
          <w:lang w:eastAsia="it-IT"/>
        </w:rPr>
        <w:footnoteReference w:id="54"/>
      </w:r>
      <w:r w:rsidR="00F75009" w:rsidRPr="00B208E4">
        <w:rPr>
          <w:rFonts w:ascii="Calibri" w:eastAsia="Times New Roman" w:hAnsi="Calibri" w:cs="Segoe UI"/>
          <w:color w:val="1F4E79" w:themeColor="accent1" w:themeShade="80"/>
          <w:sz w:val="28"/>
          <w:szCs w:val="28"/>
          <w:lang w:eastAsia="it-IT"/>
        </w:rPr>
        <w:t>.</w:t>
      </w:r>
    </w:p>
    <w:p w:rsidR="00601682" w:rsidRPr="00B208E4" w:rsidRDefault="00BB082D"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Va ricordato che il </w:t>
      </w:r>
      <w:r w:rsidR="00601682" w:rsidRPr="00B208E4">
        <w:rPr>
          <w:rFonts w:ascii="Calibri" w:eastAsia="Times New Roman" w:hAnsi="Calibri" w:cs="Segoe UI"/>
          <w:color w:val="1F4E79" w:themeColor="accent1" w:themeShade="80"/>
          <w:sz w:val="28"/>
          <w:szCs w:val="28"/>
          <w:lang w:eastAsia="it-IT"/>
        </w:rPr>
        <w:t>Consiglio di Stato, in alcune occasioni</w:t>
      </w:r>
      <w:r w:rsidRPr="00B208E4">
        <w:rPr>
          <w:rFonts w:ascii="Calibri" w:eastAsia="Times New Roman" w:hAnsi="Calibri" w:cs="Segoe UI"/>
          <w:color w:val="1F4E79" w:themeColor="accent1" w:themeShade="80"/>
          <w:sz w:val="28"/>
          <w:szCs w:val="28"/>
          <w:lang w:eastAsia="it-IT"/>
        </w:rPr>
        <w:t>,</w:t>
      </w:r>
      <w:r w:rsidR="00601682" w:rsidRPr="00B208E4">
        <w:rPr>
          <w:rFonts w:ascii="Calibri" w:eastAsia="Times New Roman" w:hAnsi="Calibri" w:cs="Segoe UI"/>
          <w:color w:val="1F4E79" w:themeColor="accent1" w:themeShade="80"/>
          <w:sz w:val="28"/>
          <w:szCs w:val="28"/>
          <w:lang w:eastAsia="it-IT"/>
        </w:rPr>
        <w:t xml:space="preserve"> ha ritenuto utile e opportuno interrogare la stessa CGUE</w:t>
      </w:r>
      <w:r w:rsidR="009A7452">
        <w:rPr>
          <w:rFonts w:ascii="Calibri" w:eastAsia="Times New Roman" w:hAnsi="Calibri" w:cs="Segoe UI"/>
          <w:color w:val="1F4E79" w:themeColor="accent1" w:themeShade="80"/>
          <w:sz w:val="28"/>
          <w:szCs w:val="28"/>
          <w:lang w:eastAsia="it-IT"/>
        </w:rPr>
        <w:t>, allo scopo di</w:t>
      </w:r>
      <w:r w:rsidR="00601682" w:rsidRPr="00B208E4">
        <w:rPr>
          <w:rFonts w:ascii="Calibri" w:eastAsia="Times New Roman" w:hAnsi="Calibri" w:cs="Segoe UI"/>
          <w:color w:val="1F4E79" w:themeColor="accent1" w:themeShade="80"/>
          <w:sz w:val="28"/>
          <w:szCs w:val="28"/>
          <w:lang w:eastAsia="it-IT"/>
        </w:rPr>
        <w:t xml:space="preserve"> ottenere criteri direttivi sicuri</w:t>
      </w:r>
      <w:r w:rsidR="009A7452">
        <w:rPr>
          <w:rFonts w:ascii="Calibri" w:eastAsia="Times New Roman" w:hAnsi="Calibri" w:cs="Segoe UI"/>
          <w:color w:val="1F4E79" w:themeColor="accent1" w:themeShade="80"/>
          <w:sz w:val="28"/>
          <w:szCs w:val="28"/>
          <w:lang w:eastAsia="it-IT"/>
        </w:rPr>
        <w:t xml:space="preserve"> in ordine alla portata dell’obbligo di rinvio pregiudiziale, con particolare riguardo alle deduzioni delle parti, al principio della domanda e alle preclusioni processuali consumate nel secondo grado del giudizio</w:t>
      </w:r>
      <w:r w:rsidR="00601682" w:rsidRPr="00B208E4">
        <w:rPr>
          <w:rFonts w:ascii="Calibri" w:eastAsia="Times New Roman" w:hAnsi="Calibri" w:cs="Segoe UI"/>
          <w:color w:val="1F4E79" w:themeColor="accent1" w:themeShade="80"/>
          <w:sz w:val="28"/>
          <w:szCs w:val="28"/>
          <w:lang w:eastAsia="it-IT"/>
        </w:rPr>
        <w:t>. Le risposte</w:t>
      </w:r>
      <w:r w:rsidRPr="00B208E4">
        <w:rPr>
          <w:rFonts w:ascii="Calibri" w:eastAsia="Times New Roman" w:hAnsi="Calibri" w:cs="Segoe UI"/>
          <w:color w:val="1F4E79" w:themeColor="accent1" w:themeShade="80"/>
          <w:sz w:val="28"/>
          <w:szCs w:val="28"/>
          <w:lang w:eastAsia="it-IT"/>
        </w:rPr>
        <w:t xml:space="preserve"> della Co</w:t>
      </w:r>
      <w:r w:rsidR="00F57EA3">
        <w:rPr>
          <w:rFonts w:ascii="Calibri" w:eastAsia="Times New Roman" w:hAnsi="Calibri" w:cs="Segoe UI"/>
          <w:color w:val="1F4E79" w:themeColor="accent1" w:themeShade="80"/>
          <w:sz w:val="28"/>
          <w:szCs w:val="28"/>
          <w:lang w:eastAsia="it-IT"/>
        </w:rPr>
        <w:t>r</w:t>
      </w:r>
      <w:r w:rsidRPr="00B208E4">
        <w:rPr>
          <w:rFonts w:ascii="Calibri" w:eastAsia="Times New Roman" w:hAnsi="Calibri" w:cs="Segoe UI"/>
          <w:color w:val="1F4E79" w:themeColor="accent1" w:themeShade="80"/>
          <w:sz w:val="28"/>
          <w:szCs w:val="28"/>
          <w:lang w:eastAsia="it-IT"/>
        </w:rPr>
        <w:t>te</w:t>
      </w:r>
      <w:r w:rsidR="00601682" w:rsidRPr="00B208E4">
        <w:rPr>
          <w:rFonts w:ascii="Calibri" w:eastAsia="Times New Roman" w:hAnsi="Calibri" w:cs="Segoe UI"/>
          <w:color w:val="1F4E79" w:themeColor="accent1" w:themeShade="80"/>
          <w:sz w:val="28"/>
          <w:szCs w:val="28"/>
          <w:lang w:eastAsia="it-IT"/>
        </w:rPr>
        <w:t>, forse non esaustive, individuano un principio</w:t>
      </w:r>
      <w:r w:rsidRPr="00B208E4">
        <w:rPr>
          <w:rFonts w:ascii="Calibri" w:eastAsia="Times New Roman" w:hAnsi="Calibri" w:cs="Segoe UI"/>
          <w:color w:val="1F4E79" w:themeColor="accent1" w:themeShade="80"/>
          <w:sz w:val="28"/>
          <w:szCs w:val="28"/>
          <w:lang w:eastAsia="it-IT"/>
        </w:rPr>
        <w:t xml:space="preserve"> alquanto elastico, correlato alla duplice </w:t>
      </w:r>
      <w:r w:rsidR="00601682" w:rsidRPr="00B208E4">
        <w:rPr>
          <w:rFonts w:ascii="Calibri" w:eastAsia="Times New Roman" w:hAnsi="Calibri" w:cs="Segoe UI"/>
          <w:color w:val="1F4E79" w:themeColor="accent1" w:themeShade="80"/>
          <w:sz w:val="28"/>
          <w:szCs w:val="28"/>
          <w:lang w:eastAsia="it-IT"/>
        </w:rPr>
        <w:t>esigenza di valutare le deduzioni delle parti e di motivare la scelta di non adire la Corte del Lussemburgo</w:t>
      </w:r>
      <w:r w:rsidR="00FA4869">
        <w:rPr>
          <w:rStyle w:val="Rimandonotaapidipagina"/>
          <w:rFonts w:ascii="Calibri" w:eastAsia="Times New Roman" w:hAnsi="Calibri" w:cs="Segoe UI"/>
          <w:color w:val="1F4E79" w:themeColor="accent1" w:themeShade="80"/>
          <w:sz w:val="28"/>
          <w:szCs w:val="28"/>
          <w:lang w:eastAsia="it-IT"/>
        </w:rPr>
        <w:footnoteReference w:id="55"/>
      </w:r>
      <w:r w:rsidR="00601682" w:rsidRPr="00B208E4">
        <w:rPr>
          <w:rFonts w:ascii="Calibri" w:eastAsia="Times New Roman" w:hAnsi="Calibri" w:cs="Segoe UI"/>
          <w:color w:val="1F4E79" w:themeColor="accent1" w:themeShade="80"/>
          <w:sz w:val="28"/>
          <w:szCs w:val="28"/>
          <w:lang w:eastAsia="it-IT"/>
        </w:rPr>
        <w:t>.</w:t>
      </w:r>
    </w:p>
    <w:p w:rsidR="00601682" w:rsidRPr="00B208E4" w:rsidRDefault="00601682"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È quindi </w:t>
      </w:r>
      <w:r w:rsidR="00645564" w:rsidRPr="00B208E4">
        <w:rPr>
          <w:rFonts w:ascii="Calibri" w:eastAsia="Times New Roman" w:hAnsi="Calibri" w:cs="Segoe UI"/>
          <w:color w:val="1F4E79" w:themeColor="accent1" w:themeShade="80"/>
          <w:sz w:val="28"/>
          <w:szCs w:val="28"/>
          <w:lang w:eastAsia="it-IT"/>
        </w:rPr>
        <w:t xml:space="preserve">assai significativo che </w:t>
      </w:r>
      <w:r w:rsidRPr="00B208E4">
        <w:rPr>
          <w:rFonts w:ascii="Calibri" w:eastAsia="Times New Roman" w:hAnsi="Calibri" w:cs="Segoe UI"/>
          <w:color w:val="1F4E79" w:themeColor="accent1" w:themeShade="80"/>
          <w:sz w:val="28"/>
          <w:szCs w:val="28"/>
          <w:lang w:eastAsia="it-IT"/>
        </w:rPr>
        <w:t xml:space="preserve">l’ordinanza della Cassazione limita il quesito alla sindacabilità della </w:t>
      </w:r>
      <w:r w:rsidR="00ED358C" w:rsidRPr="00B208E4">
        <w:rPr>
          <w:rFonts w:ascii="Calibri" w:eastAsia="Times New Roman" w:hAnsi="Calibri" w:cs="Segoe UI"/>
          <w:color w:val="1F4E79" w:themeColor="accent1" w:themeShade="80"/>
          <w:sz w:val="28"/>
          <w:szCs w:val="28"/>
          <w:lang w:eastAsia="it-IT"/>
        </w:rPr>
        <w:t xml:space="preserve">pronuncia in cui si verifichi un caso di </w:t>
      </w:r>
      <w:r w:rsidRPr="00B208E4">
        <w:rPr>
          <w:rFonts w:ascii="Calibri" w:eastAsia="Times New Roman" w:hAnsi="Calibri" w:cs="Segoe UI"/>
          <w:color w:val="1F4E79" w:themeColor="accent1" w:themeShade="80"/>
          <w:sz w:val="28"/>
          <w:szCs w:val="28"/>
          <w:lang w:eastAsia="it-IT"/>
        </w:rPr>
        <w:t>“o</w:t>
      </w:r>
      <w:r w:rsidR="00ED358C" w:rsidRPr="00B208E4">
        <w:rPr>
          <w:rFonts w:ascii="Calibri" w:eastAsia="Times New Roman" w:hAnsi="Calibri" w:cs="Segoe UI"/>
          <w:color w:val="1F4E79" w:themeColor="accent1" w:themeShade="80"/>
          <w:sz w:val="28"/>
          <w:szCs w:val="28"/>
          <w:lang w:eastAsia="it-IT"/>
        </w:rPr>
        <w:t>missione immotivata” del rinvio, fermo restando, però, che l’omissione “motivata” sarebbe in sostanza censurabile nel quadro della generale deduzione della violazione del diritto UE</w:t>
      </w:r>
      <w:r w:rsidR="00F57EA3">
        <w:rPr>
          <w:rFonts w:ascii="Calibri" w:eastAsia="Times New Roman" w:hAnsi="Calibri" w:cs="Segoe UI"/>
          <w:color w:val="1F4E79" w:themeColor="accent1" w:themeShade="80"/>
          <w:sz w:val="28"/>
          <w:szCs w:val="28"/>
          <w:lang w:eastAsia="it-IT"/>
        </w:rPr>
        <w:t>, come esposta nel primo quesito</w:t>
      </w:r>
      <w:r w:rsidR="00ED358C" w:rsidRPr="00B208E4">
        <w:rPr>
          <w:rFonts w:ascii="Calibri" w:eastAsia="Times New Roman" w:hAnsi="Calibri" w:cs="Segoe UI"/>
          <w:color w:val="1F4E79" w:themeColor="accent1" w:themeShade="80"/>
          <w:sz w:val="28"/>
          <w:szCs w:val="28"/>
          <w:lang w:eastAsia="it-IT"/>
        </w:rPr>
        <w:t>.</w:t>
      </w:r>
    </w:p>
    <w:p w:rsidR="00601682" w:rsidRPr="00B208E4" w:rsidRDefault="00F85DEA"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Pur così precisato il quadro, tuttavia, </w:t>
      </w:r>
      <w:r w:rsidR="00601682" w:rsidRPr="00B208E4">
        <w:rPr>
          <w:rFonts w:ascii="Calibri" w:eastAsia="Times New Roman" w:hAnsi="Calibri" w:cs="Segoe UI"/>
          <w:color w:val="1F4E79" w:themeColor="accent1" w:themeShade="80"/>
          <w:sz w:val="28"/>
          <w:szCs w:val="28"/>
          <w:lang w:eastAsia="it-IT"/>
        </w:rPr>
        <w:t>ci</w:t>
      </w:r>
      <w:r w:rsidRPr="00B208E4">
        <w:rPr>
          <w:rFonts w:ascii="Calibri" w:eastAsia="Times New Roman" w:hAnsi="Calibri" w:cs="Segoe UI"/>
          <w:color w:val="1F4E79" w:themeColor="accent1" w:themeShade="80"/>
          <w:sz w:val="28"/>
          <w:szCs w:val="28"/>
          <w:lang w:eastAsia="it-IT"/>
        </w:rPr>
        <w:t xml:space="preserve"> si deve chiedere </w:t>
      </w:r>
      <w:r w:rsidR="00601682" w:rsidRPr="00B208E4">
        <w:rPr>
          <w:rFonts w:ascii="Calibri" w:eastAsia="Times New Roman" w:hAnsi="Calibri" w:cs="Segoe UI"/>
          <w:color w:val="1F4E79" w:themeColor="accent1" w:themeShade="80"/>
          <w:sz w:val="28"/>
          <w:szCs w:val="28"/>
          <w:lang w:eastAsia="it-IT"/>
        </w:rPr>
        <w:t>se, nel caso in esame, siamo</w:t>
      </w:r>
      <w:r w:rsidRPr="00B208E4">
        <w:rPr>
          <w:rFonts w:ascii="Calibri" w:eastAsia="Times New Roman" w:hAnsi="Calibri" w:cs="Segoe UI"/>
          <w:color w:val="1F4E79" w:themeColor="accent1" w:themeShade="80"/>
          <w:sz w:val="28"/>
          <w:szCs w:val="28"/>
          <w:lang w:eastAsia="it-IT"/>
        </w:rPr>
        <w:t xml:space="preserve"> davvero</w:t>
      </w:r>
      <w:r w:rsidR="00601682" w:rsidRPr="00B208E4">
        <w:rPr>
          <w:rFonts w:ascii="Calibri" w:eastAsia="Times New Roman" w:hAnsi="Calibri" w:cs="Segoe UI"/>
          <w:color w:val="1F4E79" w:themeColor="accent1" w:themeShade="80"/>
          <w:sz w:val="28"/>
          <w:szCs w:val="28"/>
          <w:lang w:eastAsia="it-IT"/>
        </w:rPr>
        <w:t xml:space="preserve"> in presenza di questa evenienza.</w:t>
      </w:r>
    </w:p>
    <w:p w:rsidR="00F85DEA" w:rsidRPr="00B208E4" w:rsidRDefault="00670A67"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Non è dubbio che</w:t>
      </w:r>
      <w:r w:rsidR="00B76218" w:rsidRPr="00B208E4">
        <w:rPr>
          <w:rFonts w:ascii="Calibri" w:eastAsia="Times New Roman" w:hAnsi="Calibri" w:cs="Segoe UI"/>
          <w:color w:val="1F4E79" w:themeColor="accent1" w:themeShade="80"/>
          <w:sz w:val="28"/>
          <w:szCs w:val="28"/>
          <w:lang w:eastAsia="it-IT"/>
        </w:rPr>
        <w:t>, nella motivazione della pronuncia</w:t>
      </w:r>
      <w:r w:rsidR="00F57EA3">
        <w:rPr>
          <w:rFonts w:ascii="Calibri" w:eastAsia="Times New Roman" w:hAnsi="Calibri" w:cs="Segoe UI"/>
          <w:color w:val="1F4E79" w:themeColor="accent1" w:themeShade="80"/>
          <w:sz w:val="28"/>
          <w:szCs w:val="28"/>
          <w:lang w:eastAsia="it-IT"/>
        </w:rPr>
        <w:t xml:space="preserve"> del Consiglio di Stato</w:t>
      </w:r>
      <w:r w:rsidR="00B76218" w:rsidRPr="00B208E4">
        <w:rPr>
          <w:rFonts w:ascii="Calibri" w:eastAsia="Times New Roman" w:hAnsi="Calibri" w:cs="Segoe UI"/>
          <w:color w:val="1F4E79" w:themeColor="accent1" w:themeShade="80"/>
          <w:sz w:val="28"/>
          <w:szCs w:val="28"/>
          <w:lang w:eastAsia="it-IT"/>
        </w:rPr>
        <w:t>,</w:t>
      </w:r>
      <w:r w:rsidRPr="00B208E4">
        <w:rPr>
          <w:rFonts w:ascii="Calibri" w:eastAsia="Times New Roman" w:hAnsi="Calibri" w:cs="Segoe UI"/>
          <w:color w:val="1F4E79" w:themeColor="accent1" w:themeShade="80"/>
          <w:sz w:val="28"/>
          <w:szCs w:val="28"/>
          <w:lang w:eastAsia="it-IT"/>
        </w:rPr>
        <w:t xml:space="preserve"> manca, in radice, qualsiasi </w:t>
      </w:r>
      <w:r w:rsidR="00B76218" w:rsidRPr="00B208E4">
        <w:rPr>
          <w:rFonts w:ascii="Calibri" w:eastAsia="Times New Roman" w:hAnsi="Calibri" w:cs="Segoe UI"/>
          <w:color w:val="1F4E79" w:themeColor="accent1" w:themeShade="80"/>
          <w:sz w:val="28"/>
          <w:szCs w:val="28"/>
          <w:lang w:eastAsia="it-IT"/>
        </w:rPr>
        <w:t>spiegazione</w:t>
      </w:r>
      <w:r w:rsidRPr="00B208E4">
        <w:rPr>
          <w:rFonts w:ascii="Calibri" w:eastAsia="Times New Roman" w:hAnsi="Calibri" w:cs="Segoe UI"/>
          <w:color w:val="1F4E79" w:themeColor="accent1" w:themeShade="80"/>
          <w:sz w:val="28"/>
          <w:szCs w:val="28"/>
          <w:lang w:eastAsia="it-IT"/>
        </w:rPr>
        <w:t xml:space="preserve"> del mancato rinvio alla CGUE.</w:t>
      </w:r>
    </w:p>
    <w:p w:rsidR="00B76218" w:rsidRPr="00B208E4" w:rsidRDefault="00B76218"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Ma ciò si spiega agevolmente: da quanto si evince dalla lettura della sentenza impugnata e dalla stessa ordinanza della Cassazione, il tema dell’applicazione del diritto europeo non ha mai formato oggetto di discussione.</w:t>
      </w:r>
    </w:p>
    <w:p w:rsidR="00B76218" w:rsidRPr="00B208E4" w:rsidRDefault="00B76218"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Non lo hanno menzionato</w:t>
      </w:r>
      <w:r w:rsidR="00F57EA3">
        <w:rPr>
          <w:rFonts w:ascii="Calibri" w:eastAsia="Times New Roman" w:hAnsi="Calibri" w:cs="Segoe UI"/>
          <w:color w:val="1F4E79" w:themeColor="accent1" w:themeShade="80"/>
          <w:sz w:val="28"/>
          <w:szCs w:val="28"/>
          <w:lang w:eastAsia="it-IT"/>
        </w:rPr>
        <w:t xml:space="preserve"> </w:t>
      </w:r>
      <w:r w:rsidRPr="00B208E4">
        <w:rPr>
          <w:rFonts w:ascii="Calibri" w:eastAsia="Times New Roman" w:hAnsi="Calibri" w:cs="Segoe UI"/>
          <w:color w:val="1F4E79" w:themeColor="accent1" w:themeShade="80"/>
          <w:sz w:val="28"/>
          <w:szCs w:val="28"/>
          <w:lang w:eastAsia="it-IT"/>
        </w:rPr>
        <w:t xml:space="preserve">le parti. Non lo </w:t>
      </w:r>
      <w:r w:rsidR="00F57EA3">
        <w:rPr>
          <w:rFonts w:ascii="Calibri" w:eastAsia="Times New Roman" w:hAnsi="Calibri" w:cs="Segoe UI"/>
          <w:color w:val="1F4E79" w:themeColor="accent1" w:themeShade="80"/>
          <w:sz w:val="28"/>
          <w:szCs w:val="28"/>
          <w:lang w:eastAsia="it-IT"/>
        </w:rPr>
        <w:t xml:space="preserve">ha </w:t>
      </w:r>
      <w:r w:rsidRPr="00B208E4">
        <w:rPr>
          <w:rFonts w:ascii="Calibri" w:eastAsia="Times New Roman" w:hAnsi="Calibri" w:cs="Segoe UI"/>
          <w:color w:val="1F4E79" w:themeColor="accent1" w:themeShade="80"/>
          <w:sz w:val="28"/>
          <w:szCs w:val="28"/>
          <w:lang w:eastAsia="it-IT"/>
        </w:rPr>
        <w:t xml:space="preserve">considera la sentenza di primo grado. E la </w:t>
      </w:r>
      <w:r w:rsidR="00F57EA3">
        <w:rPr>
          <w:rFonts w:ascii="Calibri" w:eastAsia="Times New Roman" w:hAnsi="Calibri" w:cs="Segoe UI"/>
          <w:color w:val="1F4E79" w:themeColor="accent1" w:themeShade="80"/>
          <w:sz w:val="28"/>
          <w:szCs w:val="28"/>
          <w:lang w:eastAsia="it-IT"/>
        </w:rPr>
        <w:t xml:space="preserve">decisione </w:t>
      </w:r>
      <w:r w:rsidRPr="00B208E4">
        <w:rPr>
          <w:rFonts w:ascii="Calibri" w:eastAsia="Times New Roman" w:hAnsi="Calibri" w:cs="Segoe UI"/>
          <w:color w:val="1F4E79" w:themeColor="accent1" w:themeShade="80"/>
          <w:sz w:val="28"/>
          <w:szCs w:val="28"/>
          <w:lang w:eastAsia="it-IT"/>
        </w:rPr>
        <w:t xml:space="preserve">del Consiglio di Stato non </w:t>
      </w:r>
      <w:r w:rsidR="000A411E">
        <w:rPr>
          <w:rFonts w:ascii="Calibri" w:eastAsia="Times New Roman" w:hAnsi="Calibri" w:cs="Segoe UI"/>
          <w:color w:val="1F4E79" w:themeColor="accent1" w:themeShade="80"/>
          <w:sz w:val="28"/>
          <w:szCs w:val="28"/>
          <w:lang w:eastAsia="it-IT"/>
        </w:rPr>
        <w:t>si occup</w:t>
      </w:r>
      <w:r w:rsidR="005E3DB0" w:rsidRPr="00B208E4">
        <w:rPr>
          <w:rFonts w:ascii="Calibri" w:eastAsia="Times New Roman" w:hAnsi="Calibri" w:cs="Segoe UI"/>
          <w:color w:val="1F4E79" w:themeColor="accent1" w:themeShade="80"/>
          <w:sz w:val="28"/>
          <w:szCs w:val="28"/>
          <w:lang w:eastAsia="it-IT"/>
        </w:rPr>
        <w:t xml:space="preserve">a affatto il diritto europeo e </w:t>
      </w:r>
      <w:r w:rsidR="000A411E">
        <w:rPr>
          <w:rFonts w:ascii="Calibri" w:eastAsia="Times New Roman" w:hAnsi="Calibri" w:cs="Segoe UI"/>
          <w:color w:val="1F4E79" w:themeColor="accent1" w:themeShade="80"/>
          <w:sz w:val="28"/>
          <w:szCs w:val="28"/>
          <w:lang w:eastAsia="it-IT"/>
        </w:rPr>
        <w:t>del</w:t>
      </w:r>
      <w:r w:rsidR="005E3DB0" w:rsidRPr="00B208E4">
        <w:rPr>
          <w:rFonts w:ascii="Calibri" w:eastAsia="Times New Roman" w:hAnsi="Calibri" w:cs="Segoe UI"/>
          <w:color w:val="1F4E79" w:themeColor="accent1" w:themeShade="80"/>
          <w:sz w:val="28"/>
          <w:szCs w:val="28"/>
          <w:lang w:eastAsia="it-IT"/>
        </w:rPr>
        <w:t>la sua applicazione, limitandosi a richiamare la normativa nazionale</w:t>
      </w:r>
      <w:r w:rsidR="000A411E">
        <w:rPr>
          <w:rFonts w:ascii="Calibri" w:eastAsia="Times New Roman" w:hAnsi="Calibri" w:cs="Segoe UI"/>
          <w:color w:val="1F4E79" w:themeColor="accent1" w:themeShade="80"/>
          <w:sz w:val="28"/>
          <w:szCs w:val="28"/>
          <w:lang w:eastAsia="it-IT"/>
        </w:rPr>
        <w:t xml:space="preserve"> e qualche precedente della giurisprudenza interna</w:t>
      </w:r>
      <w:r w:rsidR="005E3DB0" w:rsidRPr="00B208E4">
        <w:rPr>
          <w:rFonts w:ascii="Calibri" w:eastAsia="Times New Roman" w:hAnsi="Calibri" w:cs="Segoe UI"/>
          <w:color w:val="1F4E79" w:themeColor="accent1" w:themeShade="80"/>
          <w:sz w:val="28"/>
          <w:szCs w:val="28"/>
          <w:lang w:eastAsia="it-IT"/>
        </w:rPr>
        <w:t>.</w:t>
      </w:r>
    </w:p>
    <w:p w:rsidR="005E3DB0" w:rsidRPr="00B208E4" w:rsidRDefault="005E3DB0"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Allora, si possono indicare alcuni elementi di riflessione.</w:t>
      </w:r>
    </w:p>
    <w:p w:rsidR="00BA67BA" w:rsidRPr="00B208E4" w:rsidRDefault="005E3DB0"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L’omissione </w:t>
      </w:r>
      <w:r w:rsidRPr="00FA4869">
        <w:rPr>
          <w:rFonts w:ascii="Calibri" w:eastAsia="Times New Roman" w:hAnsi="Calibri" w:cs="Segoe UI"/>
          <w:i/>
          <w:color w:val="1F4E79" w:themeColor="accent1" w:themeShade="80"/>
          <w:sz w:val="28"/>
          <w:szCs w:val="28"/>
          <w:lang w:eastAsia="it-IT"/>
        </w:rPr>
        <w:t>immotivata</w:t>
      </w:r>
      <w:r w:rsidRPr="00B208E4">
        <w:rPr>
          <w:rFonts w:ascii="Calibri" w:eastAsia="Times New Roman" w:hAnsi="Calibri" w:cs="Segoe UI"/>
          <w:color w:val="1F4E79" w:themeColor="accent1" w:themeShade="80"/>
          <w:sz w:val="28"/>
          <w:szCs w:val="28"/>
          <w:lang w:eastAsia="it-IT"/>
        </w:rPr>
        <w:t xml:space="preserve"> del rinvio sussiste con certezza quando</w:t>
      </w:r>
      <w:r w:rsidR="00BA67BA" w:rsidRPr="00B208E4">
        <w:rPr>
          <w:rFonts w:ascii="Calibri" w:eastAsia="Times New Roman" w:hAnsi="Calibri" w:cs="Segoe UI"/>
          <w:color w:val="1F4E79" w:themeColor="accent1" w:themeShade="80"/>
          <w:sz w:val="28"/>
          <w:szCs w:val="28"/>
          <w:lang w:eastAsia="it-IT"/>
        </w:rPr>
        <w:t xml:space="preserve"> il giudice:</w:t>
      </w:r>
    </w:p>
    <w:p w:rsidR="00BA67BA" w:rsidRPr="00B208E4" w:rsidRDefault="00BA67BA" w:rsidP="00FB7048">
      <w:pPr>
        <w:pStyle w:val="Paragrafoelenco"/>
        <w:numPr>
          <w:ilvl w:val="0"/>
          <w:numId w:val="9"/>
        </w:numPr>
        <w:shd w:val="clear" w:color="auto" w:fill="FFFFFF"/>
        <w:tabs>
          <w:tab w:val="left" w:pos="0"/>
        </w:tabs>
        <w:spacing w:after="120" w:line="240" w:lineRule="auto"/>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Trascura totalmente le deduzioni delle parti, intese a proporre un dubbio interpretativo </w:t>
      </w:r>
      <w:r w:rsidR="00FA4869">
        <w:rPr>
          <w:rFonts w:ascii="Calibri" w:eastAsia="Times New Roman" w:hAnsi="Calibri" w:cs="Segoe UI"/>
          <w:color w:val="1F4E79" w:themeColor="accent1" w:themeShade="80"/>
          <w:sz w:val="28"/>
          <w:szCs w:val="28"/>
          <w:lang w:eastAsia="it-IT"/>
        </w:rPr>
        <w:t xml:space="preserve">rilevante </w:t>
      </w:r>
      <w:r w:rsidRPr="00B208E4">
        <w:rPr>
          <w:rFonts w:ascii="Calibri" w:eastAsia="Times New Roman" w:hAnsi="Calibri" w:cs="Segoe UI"/>
          <w:color w:val="1F4E79" w:themeColor="accent1" w:themeShade="80"/>
          <w:sz w:val="28"/>
          <w:szCs w:val="28"/>
          <w:lang w:eastAsia="it-IT"/>
        </w:rPr>
        <w:t>o, anche, a sollecitare l’applicazione del diritto UE;</w:t>
      </w:r>
    </w:p>
    <w:p w:rsidR="006F3EB5" w:rsidRPr="00B208E4" w:rsidRDefault="00BA67BA" w:rsidP="00FB7048">
      <w:pPr>
        <w:pStyle w:val="Paragrafoelenco"/>
        <w:numPr>
          <w:ilvl w:val="0"/>
          <w:numId w:val="9"/>
        </w:numPr>
        <w:shd w:val="clear" w:color="auto" w:fill="FFFFFF"/>
        <w:tabs>
          <w:tab w:val="left" w:pos="0"/>
        </w:tabs>
        <w:spacing w:after="120" w:line="240" w:lineRule="auto"/>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Pur consapevole di un dubbio o di </w:t>
      </w:r>
      <w:r w:rsidR="000A411E">
        <w:rPr>
          <w:rFonts w:ascii="Calibri" w:eastAsia="Times New Roman" w:hAnsi="Calibri" w:cs="Segoe UI"/>
          <w:color w:val="1F4E79" w:themeColor="accent1" w:themeShade="80"/>
          <w:sz w:val="28"/>
          <w:szCs w:val="28"/>
          <w:lang w:eastAsia="it-IT"/>
        </w:rPr>
        <w:t xml:space="preserve">una </w:t>
      </w:r>
      <w:r w:rsidRPr="00B208E4">
        <w:rPr>
          <w:rFonts w:ascii="Calibri" w:eastAsia="Times New Roman" w:hAnsi="Calibri" w:cs="Segoe UI"/>
          <w:color w:val="1F4E79" w:themeColor="accent1" w:themeShade="80"/>
          <w:sz w:val="28"/>
          <w:szCs w:val="28"/>
          <w:lang w:eastAsia="it-IT"/>
        </w:rPr>
        <w:t xml:space="preserve">incertezza ermeneutica, procede direttamente alla </w:t>
      </w:r>
      <w:r w:rsidR="006F3EB5" w:rsidRPr="00B208E4">
        <w:rPr>
          <w:rFonts w:ascii="Calibri" w:eastAsia="Times New Roman" w:hAnsi="Calibri" w:cs="Segoe UI"/>
          <w:color w:val="1F4E79" w:themeColor="accent1" w:themeShade="80"/>
          <w:sz w:val="28"/>
          <w:szCs w:val="28"/>
          <w:lang w:eastAsia="it-IT"/>
        </w:rPr>
        <w:t>interpretazione del diritto europeo a alla formulazione di un giudizio di comp</w:t>
      </w:r>
      <w:r w:rsidR="000A411E">
        <w:rPr>
          <w:rFonts w:ascii="Calibri" w:eastAsia="Times New Roman" w:hAnsi="Calibri" w:cs="Segoe UI"/>
          <w:color w:val="1F4E79" w:themeColor="accent1" w:themeShade="80"/>
          <w:sz w:val="28"/>
          <w:szCs w:val="28"/>
          <w:lang w:eastAsia="it-IT"/>
        </w:rPr>
        <w:t>atibilità del diritto nazionale</w:t>
      </w:r>
      <w:r w:rsidR="00FA4869">
        <w:rPr>
          <w:rFonts w:ascii="Calibri" w:eastAsia="Times New Roman" w:hAnsi="Calibri" w:cs="Segoe UI"/>
          <w:color w:val="1F4E79" w:themeColor="accent1" w:themeShade="80"/>
          <w:sz w:val="28"/>
          <w:szCs w:val="28"/>
          <w:lang w:eastAsia="it-IT"/>
        </w:rPr>
        <w:t>,</w:t>
      </w:r>
      <w:r w:rsidR="000A411E">
        <w:rPr>
          <w:rFonts w:ascii="Calibri" w:eastAsia="Times New Roman" w:hAnsi="Calibri" w:cs="Segoe UI"/>
          <w:color w:val="1F4E79" w:themeColor="accent1" w:themeShade="80"/>
          <w:sz w:val="28"/>
          <w:szCs w:val="28"/>
          <w:lang w:eastAsia="it-IT"/>
        </w:rPr>
        <w:t xml:space="preserve"> dimentica</w:t>
      </w:r>
      <w:r w:rsidR="00FA4869">
        <w:rPr>
          <w:rFonts w:ascii="Calibri" w:eastAsia="Times New Roman" w:hAnsi="Calibri" w:cs="Segoe UI"/>
          <w:color w:val="1F4E79" w:themeColor="accent1" w:themeShade="80"/>
          <w:sz w:val="28"/>
          <w:szCs w:val="28"/>
          <w:lang w:eastAsia="it-IT"/>
        </w:rPr>
        <w:t>ndo</w:t>
      </w:r>
      <w:r w:rsidR="000A411E">
        <w:rPr>
          <w:rFonts w:ascii="Calibri" w:eastAsia="Times New Roman" w:hAnsi="Calibri" w:cs="Segoe UI"/>
          <w:color w:val="1F4E79" w:themeColor="accent1" w:themeShade="80"/>
          <w:sz w:val="28"/>
          <w:szCs w:val="28"/>
          <w:lang w:eastAsia="it-IT"/>
        </w:rPr>
        <w:t xml:space="preserve"> di esplicitare l’assenza dei presupposti per il rinvio.</w:t>
      </w:r>
    </w:p>
    <w:p w:rsidR="00111AC9" w:rsidRPr="00B208E4" w:rsidRDefault="006F3EB5"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Più problematico è riconoscere </w:t>
      </w:r>
      <w:r w:rsidR="00DD7896" w:rsidRPr="00B208E4">
        <w:rPr>
          <w:rFonts w:ascii="Calibri" w:eastAsia="Times New Roman" w:hAnsi="Calibri" w:cs="Segoe UI"/>
          <w:color w:val="1F4E79" w:themeColor="accent1" w:themeShade="80"/>
          <w:sz w:val="28"/>
          <w:szCs w:val="28"/>
          <w:lang w:eastAsia="it-IT"/>
        </w:rPr>
        <w:t>la sussistenza della violazione dell’obbligo del rinvio quando la pronuncia si svolge – seppure per ipotesi erroneamente – tutta all’interno del diritto interno, alla luce delle deduzioni delle parti</w:t>
      </w:r>
      <w:r w:rsidR="00FA4869">
        <w:rPr>
          <w:rFonts w:ascii="Calibri" w:eastAsia="Times New Roman" w:hAnsi="Calibri" w:cs="Segoe UI"/>
          <w:color w:val="1F4E79" w:themeColor="accent1" w:themeShade="80"/>
          <w:sz w:val="28"/>
          <w:szCs w:val="28"/>
          <w:lang w:eastAsia="it-IT"/>
        </w:rPr>
        <w:t>, che non invocano affatto il diritto UE,</w:t>
      </w:r>
      <w:r w:rsidR="00DD7896" w:rsidRPr="00B208E4">
        <w:rPr>
          <w:rFonts w:ascii="Calibri" w:eastAsia="Times New Roman" w:hAnsi="Calibri" w:cs="Segoe UI"/>
          <w:color w:val="1F4E79" w:themeColor="accent1" w:themeShade="80"/>
          <w:sz w:val="28"/>
          <w:szCs w:val="28"/>
          <w:lang w:eastAsia="it-IT"/>
        </w:rPr>
        <w:t xml:space="preserve"> e del tema decisorio definito dalla sentenza di primo grado.</w:t>
      </w:r>
    </w:p>
    <w:p w:rsidR="00D032E9" w:rsidRPr="00B208E4" w:rsidRDefault="00111AC9"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Non può trascurarsi che </w:t>
      </w:r>
      <w:r w:rsidR="00FA4869">
        <w:rPr>
          <w:rFonts w:ascii="Calibri" w:eastAsia="Times New Roman" w:hAnsi="Calibri" w:cs="Segoe UI"/>
          <w:color w:val="1F4E79" w:themeColor="accent1" w:themeShade="80"/>
          <w:sz w:val="28"/>
          <w:szCs w:val="28"/>
          <w:lang w:eastAsia="it-IT"/>
        </w:rPr>
        <w:t xml:space="preserve">proprio </w:t>
      </w:r>
      <w:r w:rsidRPr="00B208E4">
        <w:rPr>
          <w:rFonts w:ascii="Calibri" w:eastAsia="Times New Roman" w:hAnsi="Calibri" w:cs="Segoe UI"/>
          <w:color w:val="1F4E79" w:themeColor="accent1" w:themeShade="80"/>
          <w:sz w:val="28"/>
          <w:szCs w:val="28"/>
          <w:lang w:eastAsia="it-IT"/>
        </w:rPr>
        <w:t xml:space="preserve">nel caso in esame, i profili di compatibilità comunitaria della decisione del Consiglio di Stato sono emersi, per la prima volta, solo con il ricorso per cassazione, e che, a quanto consta, non è stato dedotto alcuno specifico motivo di </w:t>
      </w:r>
      <w:r w:rsidR="00FA4869">
        <w:rPr>
          <w:rFonts w:ascii="Calibri" w:eastAsia="Times New Roman" w:hAnsi="Calibri" w:cs="Segoe UI"/>
          <w:color w:val="1F4E79" w:themeColor="accent1" w:themeShade="80"/>
          <w:sz w:val="28"/>
          <w:szCs w:val="28"/>
          <w:lang w:eastAsia="it-IT"/>
        </w:rPr>
        <w:t xml:space="preserve">impugnazione </w:t>
      </w:r>
      <w:r w:rsidR="00D032E9" w:rsidRPr="00B208E4">
        <w:rPr>
          <w:rFonts w:ascii="Calibri" w:eastAsia="Times New Roman" w:hAnsi="Calibri" w:cs="Segoe UI"/>
          <w:color w:val="1F4E79" w:themeColor="accent1" w:themeShade="80"/>
          <w:sz w:val="28"/>
          <w:szCs w:val="28"/>
          <w:lang w:eastAsia="it-IT"/>
        </w:rPr>
        <w:t>incentrato sull’asserita violazione dell’obbligo di rinvio</w:t>
      </w:r>
      <w:r w:rsidR="00D032E9" w:rsidRPr="00B208E4">
        <w:rPr>
          <w:rStyle w:val="Rimandonotaapidipagina"/>
          <w:rFonts w:ascii="Calibri" w:eastAsia="Times New Roman" w:hAnsi="Calibri" w:cs="Segoe UI"/>
          <w:color w:val="1F4E79" w:themeColor="accent1" w:themeShade="80"/>
          <w:sz w:val="28"/>
          <w:szCs w:val="28"/>
          <w:lang w:eastAsia="it-IT"/>
        </w:rPr>
        <w:footnoteReference w:id="56"/>
      </w:r>
      <w:r w:rsidR="00D032E9" w:rsidRPr="00B208E4">
        <w:rPr>
          <w:rFonts w:ascii="Calibri" w:eastAsia="Times New Roman" w:hAnsi="Calibri" w:cs="Segoe UI"/>
          <w:color w:val="1F4E79" w:themeColor="accent1" w:themeShade="80"/>
          <w:sz w:val="28"/>
          <w:szCs w:val="28"/>
          <w:lang w:eastAsia="it-IT"/>
        </w:rPr>
        <w:t>.</w:t>
      </w:r>
    </w:p>
    <w:p w:rsidR="00601682" w:rsidRPr="00B208E4" w:rsidRDefault="00601682"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p>
    <w:p w:rsidR="00207D69" w:rsidRPr="00B208E4" w:rsidRDefault="00601682" w:rsidP="00207D69">
      <w:pPr>
        <w:numPr>
          <w:ilvl w:val="0"/>
          <w:numId w:val="1"/>
        </w:numPr>
        <w:shd w:val="clear" w:color="auto" w:fill="FFFFFF"/>
        <w:tabs>
          <w:tab w:val="left" w:pos="0"/>
        </w:tabs>
        <w:spacing w:after="120" w:line="240" w:lineRule="auto"/>
        <w:ind w:left="0" w:firstLine="709"/>
        <w:jc w:val="both"/>
        <w:textAlignment w:val="baseline"/>
        <w:rPr>
          <w:rFonts w:ascii="Tahoma" w:eastAsia="Times New Roman" w:hAnsi="Tahoma" w:cs="Tahoma"/>
          <w:smallCaps/>
          <w:color w:val="1F4E79" w:themeColor="accent1" w:themeShade="80"/>
          <w:sz w:val="28"/>
          <w:szCs w:val="28"/>
          <w:bdr w:val="none" w:sz="0" w:space="0" w:color="auto" w:frame="1"/>
          <w:lang w:eastAsia="it-IT"/>
        </w:rPr>
      </w:pPr>
      <w:r w:rsidRPr="00B208E4">
        <w:rPr>
          <w:rFonts w:ascii="Tahoma" w:eastAsia="Times New Roman" w:hAnsi="Tahoma" w:cs="Tahoma"/>
          <w:smallCaps/>
          <w:color w:val="1F4E79" w:themeColor="accent1" w:themeShade="80"/>
          <w:sz w:val="28"/>
          <w:szCs w:val="28"/>
          <w:bdr w:val="none" w:sz="0" w:space="0" w:color="auto" w:frame="1"/>
          <w:lang w:eastAsia="it-IT"/>
        </w:rPr>
        <w:t xml:space="preserve">La </w:t>
      </w:r>
      <w:r w:rsidR="003304AC" w:rsidRPr="00B208E4">
        <w:rPr>
          <w:rFonts w:ascii="Tahoma" w:eastAsia="Times New Roman" w:hAnsi="Tahoma" w:cs="Tahoma"/>
          <w:smallCaps/>
          <w:color w:val="1F4E79" w:themeColor="accent1" w:themeShade="80"/>
          <w:sz w:val="28"/>
          <w:szCs w:val="28"/>
          <w:bdr w:val="none" w:sz="0" w:space="0" w:color="auto" w:frame="1"/>
          <w:lang w:eastAsia="it-IT"/>
        </w:rPr>
        <w:t xml:space="preserve">ricerca della </w:t>
      </w:r>
      <w:r w:rsidRPr="00B208E4">
        <w:rPr>
          <w:rFonts w:ascii="Tahoma" w:eastAsia="Times New Roman" w:hAnsi="Tahoma" w:cs="Tahoma"/>
          <w:smallCaps/>
          <w:color w:val="1F4E79" w:themeColor="accent1" w:themeShade="80"/>
          <w:sz w:val="28"/>
          <w:szCs w:val="28"/>
          <w:bdr w:val="none" w:sz="0" w:space="0" w:color="auto" w:frame="1"/>
          <w:lang w:eastAsia="it-IT"/>
        </w:rPr>
        <w:t xml:space="preserve">delimitazione dei casi di violazione dell’obbligo di rinvio pregiudiziale. I possibili rimedi: revocazione per errore sul “fatto processuale”; </w:t>
      </w:r>
      <w:r w:rsidR="00686BEF" w:rsidRPr="00B208E4">
        <w:rPr>
          <w:rFonts w:ascii="Tahoma" w:eastAsia="Times New Roman" w:hAnsi="Tahoma" w:cs="Tahoma"/>
          <w:smallCaps/>
          <w:color w:val="1F4E79" w:themeColor="accent1" w:themeShade="80"/>
          <w:sz w:val="28"/>
          <w:szCs w:val="28"/>
          <w:bdr w:val="none" w:sz="0" w:space="0" w:color="auto" w:frame="1"/>
          <w:lang w:eastAsia="it-IT"/>
        </w:rPr>
        <w:t xml:space="preserve">la tesi del </w:t>
      </w:r>
      <w:r w:rsidRPr="00B208E4">
        <w:rPr>
          <w:rFonts w:ascii="Tahoma" w:eastAsia="Times New Roman" w:hAnsi="Tahoma" w:cs="Tahoma"/>
          <w:smallCaps/>
          <w:color w:val="1F4E79" w:themeColor="accent1" w:themeShade="80"/>
          <w:sz w:val="28"/>
          <w:szCs w:val="28"/>
          <w:bdr w:val="none" w:sz="0" w:space="0" w:color="auto" w:frame="1"/>
          <w:lang w:eastAsia="it-IT"/>
        </w:rPr>
        <w:t>ricorso per violazione dei limit</w:t>
      </w:r>
      <w:r w:rsidR="003304AC" w:rsidRPr="00B208E4">
        <w:rPr>
          <w:rFonts w:ascii="Tahoma" w:eastAsia="Times New Roman" w:hAnsi="Tahoma" w:cs="Tahoma"/>
          <w:smallCaps/>
          <w:color w:val="1F4E79" w:themeColor="accent1" w:themeShade="80"/>
          <w:sz w:val="28"/>
          <w:szCs w:val="28"/>
          <w:bdr w:val="none" w:sz="0" w:space="0" w:color="auto" w:frame="1"/>
          <w:lang w:eastAsia="it-IT"/>
        </w:rPr>
        <w:t xml:space="preserve">i della giurisdizione nazionale: la natura meramente procedimentale del vizio. </w:t>
      </w:r>
    </w:p>
    <w:p w:rsidR="00601682" w:rsidRPr="00B208E4" w:rsidRDefault="00497727"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Una volta </w:t>
      </w:r>
      <w:r w:rsidR="00601682" w:rsidRPr="00B208E4">
        <w:rPr>
          <w:rFonts w:ascii="Calibri" w:eastAsia="Times New Roman" w:hAnsi="Calibri" w:cs="Segoe UI"/>
          <w:color w:val="1F4E79" w:themeColor="accent1" w:themeShade="80"/>
          <w:sz w:val="28"/>
          <w:szCs w:val="28"/>
          <w:lang w:eastAsia="it-IT"/>
        </w:rPr>
        <w:t>delimitati i casi di violazione</w:t>
      </w:r>
      <w:r w:rsidRPr="00B208E4">
        <w:rPr>
          <w:rFonts w:ascii="Calibri" w:eastAsia="Times New Roman" w:hAnsi="Calibri" w:cs="Segoe UI"/>
          <w:color w:val="1F4E79" w:themeColor="accent1" w:themeShade="80"/>
          <w:sz w:val="28"/>
          <w:szCs w:val="28"/>
          <w:lang w:eastAsia="it-IT"/>
        </w:rPr>
        <w:t xml:space="preserve"> dell’obbligo di rinvio</w:t>
      </w:r>
      <w:r w:rsidR="00601682" w:rsidRPr="00B208E4">
        <w:rPr>
          <w:rFonts w:ascii="Calibri" w:eastAsia="Times New Roman" w:hAnsi="Calibri" w:cs="Segoe UI"/>
          <w:color w:val="1F4E79" w:themeColor="accent1" w:themeShade="80"/>
          <w:sz w:val="28"/>
          <w:szCs w:val="28"/>
          <w:lang w:eastAsia="it-IT"/>
        </w:rPr>
        <w:t xml:space="preserve">, riemerge, e si riacutizza </w:t>
      </w:r>
      <w:r w:rsidRPr="00B208E4">
        <w:rPr>
          <w:rFonts w:ascii="Calibri" w:eastAsia="Times New Roman" w:hAnsi="Calibri" w:cs="Segoe UI"/>
          <w:color w:val="1F4E79" w:themeColor="accent1" w:themeShade="80"/>
          <w:sz w:val="28"/>
          <w:szCs w:val="28"/>
          <w:lang w:eastAsia="it-IT"/>
        </w:rPr>
        <w:t xml:space="preserve">la difficoltà di sostenere </w:t>
      </w:r>
      <w:r w:rsidR="00601682" w:rsidRPr="00B208E4">
        <w:rPr>
          <w:rFonts w:ascii="Calibri" w:eastAsia="Times New Roman" w:hAnsi="Calibri" w:cs="Segoe UI"/>
          <w:color w:val="1F4E79" w:themeColor="accent1" w:themeShade="80"/>
          <w:sz w:val="28"/>
          <w:szCs w:val="28"/>
          <w:lang w:eastAsia="it-IT"/>
        </w:rPr>
        <w:t>la “rimediab</w:t>
      </w:r>
      <w:r w:rsidRPr="00B208E4">
        <w:rPr>
          <w:rFonts w:ascii="Calibri" w:eastAsia="Times New Roman" w:hAnsi="Calibri" w:cs="Segoe UI"/>
          <w:color w:val="1F4E79" w:themeColor="accent1" w:themeShade="80"/>
          <w:sz w:val="28"/>
          <w:szCs w:val="28"/>
          <w:lang w:eastAsia="it-IT"/>
        </w:rPr>
        <w:t>ilità” dei vizi della decisione, attraverso lo strumento del ricorso per cassazione.</w:t>
      </w:r>
    </w:p>
    <w:p w:rsidR="00D06EEB" w:rsidRPr="00B208E4" w:rsidRDefault="00E73378"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È palese, infatti, che l’omesso rinvio si risolve</w:t>
      </w:r>
      <w:r w:rsidR="000A411E">
        <w:rPr>
          <w:rFonts w:ascii="Calibri" w:eastAsia="Times New Roman" w:hAnsi="Calibri" w:cs="Segoe UI"/>
          <w:color w:val="1F4E79" w:themeColor="accent1" w:themeShade="80"/>
          <w:sz w:val="28"/>
          <w:szCs w:val="28"/>
          <w:lang w:eastAsia="it-IT"/>
        </w:rPr>
        <w:t xml:space="preserve"> sempre</w:t>
      </w:r>
      <w:r w:rsidRPr="00B208E4">
        <w:rPr>
          <w:rFonts w:ascii="Calibri" w:eastAsia="Times New Roman" w:hAnsi="Calibri" w:cs="Segoe UI"/>
          <w:color w:val="1F4E79" w:themeColor="accent1" w:themeShade="80"/>
          <w:sz w:val="28"/>
          <w:szCs w:val="28"/>
          <w:lang w:eastAsia="it-IT"/>
        </w:rPr>
        <w:t xml:space="preserve"> in un vizio </w:t>
      </w:r>
      <w:r w:rsidRPr="000A411E">
        <w:rPr>
          <w:rFonts w:ascii="Calibri" w:eastAsia="Times New Roman" w:hAnsi="Calibri" w:cs="Segoe UI"/>
          <w:i/>
          <w:color w:val="1F4E79" w:themeColor="accent1" w:themeShade="80"/>
          <w:sz w:val="28"/>
          <w:szCs w:val="28"/>
          <w:lang w:eastAsia="it-IT"/>
        </w:rPr>
        <w:t>procedurale</w:t>
      </w:r>
      <w:r w:rsidRPr="00B208E4">
        <w:rPr>
          <w:rFonts w:ascii="Calibri" w:eastAsia="Times New Roman" w:hAnsi="Calibri" w:cs="Segoe UI"/>
          <w:color w:val="1F4E79" w:themeColor="accent1" w:themeShade="80"/>
          <w:sz w:val="28"/>
          <w:szCs w:val="28"/>
          <w:lang w:eastAsia="it-IT"/>
        </w:rPr>
        <w:t>, ancorché</w:t>
      </w:r>
      <w:r w:rsidR="000A411E">
        <w:rPr>
          <w:rFonts w:ascii="Calibri" w:eastAsia="Times New Roman" w:hAnsi="Calibri" w:cs="Segoe UI"/>
          <w:color w:val="1F4E79" w:themeColor="accent1" w:themeShade="80"/>
          <w:sz w:val="28"/>
          <w:szCs w:val="28"/>
          <w:lang w:eastAsia="it-IT"/>
        </w:rPr>
        <w:t xml:space="preserve"> esso, in base alle circostanze, possa essere </w:t>
      </w:r>
      <w:r w:rsidR="00F94B8C" w:rsidRPr="00B208E4">
        <w:rPr>
          <w:rFonts w:ascii="Calibri" w:eastAsia="Times New Roman" w:hAnsi="Calibri" w:cs="Segoe UI"/>
          <w:color w:val="1F4E79" w:themeColor="accent1" w:themeShade="80"/>
          <w:sz w:val="28"/>
          <w:szCs w:val="28"/>
          <w:lang w:eastAsia="it-IT"/>
        </w:rPr>
        <w:t>ritenuto</w:t>
      </w:r>
      <w:r w:rsidR="000A411E">
        <w:rPr>
          <w:rFonts w:ascii="Calibri" w:eastAsia="Times New Roman" w:hAnsi="Calibri" w:cs="Segoe UI"/>
          <w:color w:val="1F4E79" w:themeColor="accent1" w:themeShade="80"/>
          <w:sz w:val="28"/>
          <w:szCs w:val="28"/>
          <w:lang w:eastAsia="it-IT"/>
        </w:rPr>
        <w:t xml:space="preserve"> particolarmente</w:t>
      </w:r>
      <w:r w:rsidR="00B6173D" w:rsidRPr="00B208E4">
        <w:rPr>
          <w:rFonts w:ascii="Calibri" w:eastAsia="Times New Roman" w:hAnsi="Calibri" w:cs="Segoe UI"/>
          <w:color w:val="1F4E79" w:themeColor="accent1" w:themeShade="80"/>
          <w:sz w:val="28"/>
          <w:szCs w:val="28"/>
          <w:lang w:eastAsia="it-IT"/>
        </w:rPr>
        <w:t xml:space="preserve"> grave.</w:t>
      </w:r>
    </w:p>
    <w:p w:rsidR="00F94B8C" w:rsidRPr="00B208E4" w:rsidRDefault="00F94B8C"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Quali rimedi di diritto interno potrebbero essere attivati</w:t>
      </w:r>
      <w:r w:rsidR="00FA4869">
        <w:rPr>
          <w:rFonts w:ascii="Calibri" w:eastAsia="Times New Roman" w:hAnsi="Calibri" w:cs="Segoe UI"/>
          <w:color w:val="1F4E79" w:themeColor="accent1" w:themeShade="80"/>
          <w:sz w:val="28"/>
          <w:szCs w:val="28"/>
          <w:lang w:eastAsia="it-IT"/>
        </w:rPr>
        <w:t>, secondo l’ordinamento vigente e in un’eventuale prospettiva di riforma del sistema</w:t>
      </w:r>
      <w:r w:rsidRPr="00B208E4">
        <w:rPr>
          <w:rFonts w:ascii="Calibri" w:eastAsia="Times New Roman" w:hAnsi="Calibri" w:cs="Segoe UI"/>
          <w:color w:val="1F4E79" w:themeColor="accent1" w:themeShade="80"/>
          <w:sz w:val="28"/>
          <w:szCs w:val="28"/>
          <w:lang w:eastAsia="it-IT"/>
        </w:rPr>
        <w:t>?</w:t>
      </w:r>
    </w:p>
    <w:p w:rsidR="00601682" w:rsidRPr="00B208E4" w:rsidRDefault="00601682"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Con riguardo alla omissione immotivata del rinvio pregiudiziale richiesto dalle parti non vi sono ostacoli di sorta per applicare i consolidati principi giurisprudenziali sulla rilevanza dell’errore di fatto sugli atti processuali, che legittima la proposizione del ricorso per revocazione, a nulla rilevando che la violazione riscontrata potrebbe risolversi</w:t>
      </w:r>
      <w:r w:rsidR="00FC4FA0" w:rsidRPr="00B208E4">
        <w:rPr>
          <w:rFonts w:ascii="Calibri" w:eastAsia="Times New Roman" w:hAnsi="Calibri" w:cs="Segoe UI"/>
          <w:color w:val="1F4E79" w:themeColor="accent1" w:themeShade="80"/>
          <w:sz w:val="28"/>
          <w:szCs w:val="28"/>
          <w:lang w:eastAsia="it-IT"/>
        </w:rPr>
        <w:t xml:space="preserve"> astrattamente</w:t>
      </w:r>
      <w:r w:rsidRPr="00B208E4">
        <w:rPr>
          <w:rFonts w:ascii="Calibri" w:eastAsia="Times New Roman" w:hAnsi="Calibri" w:cs="Segoe UI"/>
          <w:color w:val="1F4E79" w:themeColor="accent1" w:themeShade="80"/>
          <w:sz w:val="28"/>
          <w:szCs w:val="28"/>
          <w:lang w:eastAsia="it-IT"/>
        </w:rPr>
        <w:t>, al tempo stesso, anche in un “</w:t>
      </w:r>
      <w:r w:rsidRPr="00B208E4">
        <w:rPr>
          <w:rFonts w:ascii="Calibri" w:eastAsia="Times New Roman" w:hAnsi="Calibri" w:cs="Segoe UI"/>
          <w:i/>
          <w:color w:val="1F4E79" w:themeColor="accent1" w:themeShade="80"/>
          <w:sz w:val="28"/>
          <w:szCs w:val="28"/>
          <w:lang w:eastAsia="it-IT"/>
        </w:rPr>
        <w:t>rifiuto di giurisdizione</w:t>
      </w:r>
      <w:r w:rsidRPr="00B208E4">
        <w:rPr>
          <w:rFonts w:ascii="Calibri" w:eastAsia="Times New Roman" w:hAnsi="Calibri" w:cs="Segoe UI"/>
          <w:color w:val="1F4E79" w:themeColor="accent1" w:themeShade="80"/>
          <w:sz w:val="28"/>
          <w:szCs w:val="28"/>
          <w:lang w:eastAsia="it-IT"/>
        </w:rPr>
        <w:t>”</w:t>
      </w:r>
      <w:r w:rsidR="00FC4FA0" w:rsidRPr="00B208E4">
        <w:rPr>
          <w:rFonts w:ascii="Calibri" w:eastAsia="Times New Roman" w:hAnsi="Calibri" w:cs="Segoe UI"/>
          <w:color w:val="1F4E79" w:themeColor="accent1" w:themeShade="80"/>
          <w:sz w:val="28"/>
          <w:szCs w:val="28"/>
          <w:lang w:eastAsia="it-IT"/>
        </w:rPr>
        <w:t>, secondo la discussa concezione ampliatrice</w:t>
      </w:r>
      <w:r w:rsidR="00FA17BB" w:rsidRPr="00B208E4">
        <w:rPr>
          <w:rFonts w:ascii="Calibri" w:eastAsia="Times New Roman" w:hAnsi="Calibri" w:cs="Segoe UI"/>
          <w:color w:val="1F4E79" w:themeColor="accent1" w:themeShade="80"/>
          <w:sz w:val="28"/>
          <w:szCs w:val="28"/>
          <w:lang w:eastAsia="it-IT"/>
        </w:rPr>
        <w:t xml:space="preserve"> a suo tempo propugnata dalla Cassazione</w:t>
      </w:r>
      <w:r w:rsidRPr="00B208E4">
        <w:rPr>
          <w:rFonts w:ascii="Calibri" w:eastAsia="Times New Roman" w:hAnsi="Calibri" w:cs="Segoe UI"/>
          <w:color w:val="1F4E79" w:themeColor="accent1" w:themeShade="80"/>
          <w:sz w:val="28"/>
          <w:szCs w:val="28"/>
          <w:lang w:eastAsia="it-IT"/>
        </w:rPr>
        <w:t>.</w:t>
      </w:r>
    </w:p>
    <w:p w:rsidR="00FA17BB" w:rsidRDefault="00601682"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Più incerta sembra invece l’altra ipotesi, che si verifica nei casi in cui il giudice</w:t>
      </w:r>
      <w:r w:rsidR="00FA4869">
        <w:rPr>
          <w:rFonts w:ascii="Calibri" w:eastAsia="Times New Roman" w:hAnsi="Calibri" w:cs="Segoe UI"/>
          <w:color w:val="1F4E79" w:themeColor="accent1" w:themeShade="80"/>
          <w:sz w:val="28"/>
          <w:szCs w:val="28"/>
          <w:lang w:eastAsia="it-IT"/>
        </w:rPr>
        <w:t>, d’ufficio,</w:t>
      </w:r>
      <w:r w:rsidRPr="00B208E4">
        <w:rPr>
          <w:rFonts w:ascii="Calibri" w:eastAsia="Times New Roman" w:hAnsi="Calibri" w:cs="Segoe UI"/>
          <w:color w:val="1F4E79" w:themeColor="accent1" w:themeShade="80"/>
          <w:sz w:val="28"/>
          <w:szCs w:val="28"/>
          <w:lang w:eastAsia="it-IT"/>
        </w:rPr>
        <w:t xml:space="preserve"> interpreta direttamente il diritto europeo</w:t>
      </w:r>
      <w:r w:rsidR="000A411E">
        <w:rPr>
          <w:rFonts w:ascii="Calibri" w:eastAsia="Times New Roman" w:hAnsi="Calibri" w:cs="Segoe UI"/>
          <w:color w:val="1F4E79" w:themeColor="accent1" w:themeShade="80"/>
          <w:sz w:val="28"/>
          <w:szCs w:val="28"/>
          <w:lang w:eastAsia="it-IT"/>
        </w:rPr>
        <w:t>, dopo avere constatato l’esistenza di un dubbio ermeneutico</w:t>
      </w:r>
      <w:r w:rsidR="00FA4869">
        <w:rPr>
          <w:rFonts w:ascii="Calibri" w:eastAsia="Times New Roman" w:hAnsi="Calibri" w:cs="Segoe UI"/>
          <w:color w:val="1F4E79" w:themeColor="accent1" w:themeShade="80"/>
          <w:sz w:val="28"/>
          <w:szCs w:val="28"/>
          <w:lang w:eastAsia="it-IT"/>
        </w:rPr>
        <w:t xml:space="preserve"> e </w:t>
      </w:r>
      <w:r w:rsidR="003661C3">
        <w:rPr>
          <w:rFonts w:ascii="Calibri" w:eastAsia="Times New Roman" w:hAnsi="Calibri" w:cs="Segoe UI"/>
          <w:color w:val="1F4E79" w:themeColor="accent1" w:themeShade="80"/>
          <w:sz w:val="28"/>
          <w:szCs w:val="28"/>
          <w:lang w:eastAsia="it-IT"/>
        </w:rPr>
        <w:t>trascura di esplicitare la sussistenza delle ragioni che</w:t>
      </w:r>
      <w:r w:rsidR="00FA4869">
        <w:rPr>
          <w:rFonts w:ascii="Calibri" w:eastAsia="Times New Roman" w:hAnsi="Calibri" w:cs="Segoe UI"/>
          <w:color w:val="1F4E79" w:themeColor="accent1" w:themeShade="80"/>
          <w:sz w:val="28"/>
          <w:szCs w:val="28"/>
          <w:lang w:eastAsia="it-IT"/>
        </w:rPr>
        <w:t xml:space="preserve"> esonerano dall’obbligo del rinvio</w:t>
      </w:r>
      <w:r w:rsidR="003661C3">
        <w:rPr>
          <w:rStyle w:val="Rimandonotaapidipagina"/>
          <w:rFonts w:ascii="Calibri" w:eastAsia="Times New Roman" w:hAnsi="Calibri" w:cs="Segoe UI"/>
          <w:color w:val="1F4E79" w:themeColor="accent1" w:themeShade="80"/>
          <w:sz w:val="28"/>
          <w:szCs w:val="28"/>
          <w:lang w:eastAsia="it-IT"/>
        </w:rPr>
        <w:footnoteReference w:id="57"/>
      </w:r>
      <w:r w:rsidR="00FA4869">
        <w:rPr>
          <w:rFonts w:ascii="Calibri" w:eastAsia="Times New Roman" w:hAnsi="Calibri" w:cs="Segoe UI"/>
          <w:color w:val="1F4E79" w:themeColor="accent1" w:themeShade="80"/>
          <w:sz w:val="28"/>
          <w:szCs w:val="28"/>
          <w:lang w:eastAsia="it-IT"/>
        </w:rPr>
        <w:t>.</w:t>
      </w:r>
    </w:p>
    <w:p w:rsidR="00C66738" w:rsidRPr="00B208E4" w:rsidRDefault="00FA17BB"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Si è </w:t>
      </w:r>
      <w:r w:rsidR="00365C57" w:rsidRPr="00B208E4">
        <w:rPr>
          <w:rFonts w:ascii="Calibri" w:eastAsia="Times New Roman" w:hAnsi="Calibri" w:cs="Segoe UI"/>
          <w:color w:val="1F4E79" w:themeColor="accent1" w:themeShade="80"/>
          <w:sz w:val="28"/>
          <w:szCs w:val="28"/>
          <w:lang w:eastAsia="it-IT"/>
        </w:rPr>
        <w:t xml:space="preserve">ipotizzato che, in una eventualità del genere sussisterebbe un’invasione del potere </w:t>
      </w:r>
      <w:r w:rsidR="003661C3">
        <w:rPr>
          <w:rFonts w:ascii="Calibri" w:eastAsia="Times New Roman" w:hAnsi="Calibri" w:cs="Segoe UI"/>
          <w:color w:val="1F4E79" w:themeColor="accent1" w:themeShade="80"/>
          <w:sz w:val="28"/>
          <w:szCs w:val="28"/>
          <w:lang w:eastAsia="it-IT"/>
        </w:rPr>
        <w:t xml:space="preserve">di cognizione </w:t>
      </w:r>
      <w:r w:rsidR="00365C57" w:rsidRPr="00B208E4">
        <w:rPr>
          <w:rFonts w:ascii="Calibri" w:eastAsia="Times New Roman" w:hAnsi="Calibri" w:cs="Segoe UI"/>
          <w:color w:val="1F4E79" w:themeColor="accent1" w:themeShade="80"/>
          <w:sz w:val="28"/>
          <w:szCs w:val="28"/>
          <w:lang w:eastAsia="it-IT"/>
        </w:rPr>
        <w:t>riservato al giudice europeo</w:t>
      </w:r>
      <w:r w:rsidR="003661C3">
        <w:rPr>
          <w:rFonts w:ascii="Calibri" w:eastAsia="Times New Roman" w:hAnsi="Calibri" w:cs="Segoe UI"/>
          <w:color w:val="1F4E79" w:themeColor="accent1" w:themeShade="80"/>
          <w:sz w:val="28"/>
          <w:szCs w:val="28"/>
          <w:lang w:eastAsia="it-IT"/>
        </w:rPr>
        <w:t>, unico competente a risolvere il dubbio ermeneutico</w:t>
      </w:r>
      <w:r w:rsidR="00365C57" w:rsidRPr="00B208E4">
        <w:rPr>
          <w:rFonts w:ascii="Calibri" w:eastAsia="Times New Roman" w:hAnsi="Calibri" w:cs="Segoe UI"/>
          <w:color w:val="1F4E79" w:themeColor="accent1" w:themeShade="80"/>
          <w:sz w:val="28"/>
          <w:szCs w:val="28"/>
          <w:lang w:eastAsia="it-IT"/>
        </w:rPr>
        <w:t>: qu</w:t>
      </w:r>
      <w:r w:rsidR="00C66738" w:rsidRPr="00B208E4">
        <w:rPr>
          <w:rFonts w:ascii="Calibri" w:eastAsia="Times New Roman" w:hAnsi="Calibri" w:cs="Segoe UI"/>
          <w:color w:val="1F4E79" w:themeColor="accent1" w:themeShade="80"/>
          <w:sz w:val="28"/>
          <w:szCs w:val="28"/>
          <w:lang w:eastAsia="it-IT"/>
        </w:rPr>
        <w:t>i</w:t>
      </w:r>
      <w:r w:rsidR="00365C57" w:rsidRPr="00B208E4">
        <w:rPr>
          <w:rFonts w:ascii="Calibri" w:eastAsia="Times New Roman" w:hAnsi="Calibri" w:cs="Segoe UI"/>
          <w:color w:val="1F4E79" w:themeColor="accent1" w:themeShade="80"/>
          <w:sz w:val="28"/>
          <w:szCs w:val="28"/>
          <w:lang w:eastAsia="it-IT"/>
        </w:rPr>
        <w:t xml:space="preserve">ndi, si tratterebbe di un’ipotesi di </w:t>
      </w:r>
      <w:r w:rsidR="00365C57" w:rsidRPr="003661C3">
        <w:rPr>
          <w:rFonts w:ascii="Calibri" w:eastAsia="Times New Roman" w:hAnsi="Calibri" w:cs="Segoe UI"/>
          <w:i/>
          <w:color w:val="1F4E79" w:themeColor="accent1" w:themeShade="80"/>
          <w:sz w:val="28"/>
          <w:szCs w:val="28"/>
          <w:lang w:eastAsia="it-IT"/>
        </w:rPr>
        <w:t>difetto di giurisdizione relativa</w:t>
      </w:r>
      <w:r w:rsidR="000A411E">
        <w:rPr>
          <w:rStyle w:val="Rimandonotaapidipagina"/>
          <w:rFonts w:ascii="Calibri" w:eastAsia="Times New Roman" w:hAnsi="Calibri" w:cs="Segoe UI"/>
          <w:color w:val="1F4E79" w:themeColor="accent1" w:themeShade="80"/>
          <w:sz w:val="28"/>
          <w:szCs w:val="28"/>
          <w:lang w:eastAsia="it-IT"/>
        </w:rPr>
        <w:footnoteReference w:id="58"/>
      </w:r>
      <w:r w:rsidR="00365C57" w:rsidRPr="00B208E4">
        <w:rPr>
          <w:rFonts w:ascii="Calibri" w:eastAsia="Times New Roman" w:hAnsi="Calibri" w:cs="Segoe UI"/>
          <w:color w:val="1F4E79" w:themeColor="accent1" w:themeShade="80"/>
          <w:sz w:val="28"/>
          <w:szCs w:val="28"/>
          <w:lang w:eastAsia="it-IT"/>
        </w:rPr>
        <w:t>.</w:t>
      </w:r>
    </w:p>
    <w:p w:rsidR="00C13437" w:rsidRPr="00B208E4" w:rsidRDefault="00C66738"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Ne conseguirebbe, allora che il vizio sarebbe denunciabile in cassazione</w:t>
      </w:r>
      <w:r w:rsidR="003661C3">
        <w:rPr>
          <w:rFonts w:ascii="Calibri" w:eastAsia="Times New Roman" w:hAnsi="Calibri" w:cs="Segoe UI"/>
          <w:color w:val="1F4E79" w:themeColor="accent1" w:themeShade="80"/>
          <w:sz w:val="28"/>
          <w:szCs w:val="28"/>
          <w:lang w:eastAsia="it-IT"/>
        </w:rPr>
        <w:t>, anche secondo le coordinate ermeneutiche delineate dalla sentenza n. 6/2018</w:t>
      </w:r>
      <w:r w:rsidR="0084698F" w:rsidRPr="00B208E4">
        <w:rPr>
          <w:rFonts w:ascii="Calibri" w:eastAsia="Times New Roman" w:hAnsi="Calibri" w:cs="Segoe UI"/>
          <w:color w:val="1F4E79" w:themeColor="accent1" w:themeShade="80"/>
          <w:sz w:val="28"/>
          <w:szCs w:val="28"/>
          <w:lang w:eastAsia="it-IT"/>
        </w:rPr>
        <w:t>. Accedendo a questa impostazione, tuttavia, resterebbe da chiarire qual</w:t>
      </w:r>
      <w:r w:rsidR="003661C3">
        <w:rPr>
          <w:rFonts w:ascii="Calibri" w:eastAsia="Times New Roman" w:hAnsi="Calibri" w:cs="Segoe UI"/>
          <w:color w:val="1F4E79" w:themeColor="accent1" w:themeShade="80"/>
          <w:sz w:val="28"/>
          <w:szCs w:val="28"/>
          <w:lang w:eastAsia="it-IT"/>
        </w:rPr>
        <w:t>e</w:t>
      </w:r>
      <w:r w:rsidR="0084698F" w:rsidRPr="00B208E4">
        <w:rPr>
          <w:rFonts w:ascii="Calibri" w:eastAsia="Times New Roman" w:hAnsi="Calibri" w:cs="Segoe UI"/>
          <w:color w:val="1F4E79" w:themeColor="accent1" w:themeShade="80"/>
          <w:sz w:val="28"/>
          <w:szCs w:val="28"/>
          <w:lang w:eastAsia="it-IT"/>
        </w:rPr>
        <w:t xml:space="preserve"> decisione dovrebbe assumere la Cassazione, una volta riscontrato il vizio</w:t>
      </w:r>
      <w:r w:rsidR="003661C3">
        <w:rPr>
          <w:rFonts w:ascii="Calibri" w:eastAsia="Times New Roman" w:hAnsi="Calibri" w:cs="Segoe UI"/>
          <w:color w:val="1F4E79" w:themeColor="accent1" w:themeShade="80"/>
          <w:sz w:val="28"/>
          <w:szCs w:val="28"/>
          <w:lang w:eastAsia="it-IT"/>
        </w:rPr>
        <w:t xml:space="preserve"> della decisione</w:t>
      </w:r>
      <w:r w:rsidR="00C13437" w:rsidRPr="00B208E4">
        <w:rPr>
          <w:rFonts w:ascii="Calibri" w:eastAsia="Times New Roman" w:hAnsi="Calibri" w:cs="Segoe UI"/>
          <w:color w:val="1F4E79" w:themeColor="accent1" w:themeShade="80"/>
          <w:sz w:val="28"/>
          <w:szCs w:val="28"/>
          <w:lang w:eastAsia="it-IT"/>
        </w:rPr>
        <w:t>.</w:t>
      </w:r>
    </w:p>
    <w:p w:rsidR="00324F3C" w:rsidRPr="00B208E4" w:rsidRDefault="00C13437"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Poiché l’accertamento riguarderebbe, a ben vedere, l’</w:t>
      </w:r>
      <w:r w:rsidRPr="003661C3">
        <w:rPr>
          <w:rFonts w:ascii="Calibri" w:eastAsia="Times New Roman" w:hAnsi="Calibri" w:cs="Segoe UI"/>
          <w:i/>
          <w:color w:val="1F4E79" w:themeColor="accent1" w:themeShade="80"/>
          <w:sz w:val="28"/>
          <w:szCs w:val="28"/>
          <w:lang w:eastAsia="it-IT"/>
        </w:rPr>
        <w:t>omessa motivazione</w:t>
      </w:r>
      <w:r w:rsidRPr="00B208E4">
        <w:rPr>
          <w:rFonts w:ascii="Calibri" w:eastAsia="Times New Roman" w:hAnsi="Calibri" w:cs="Segoe UI"/>
          <w:color w:val="1F4E79" w:themeColor="accent1" w:themeShade="80"/>
          <w:sz w:val="28"/>
          <w:szCs w:val="28"/>
          <w:lang w:eastAsia="it-IT"/>
        </w:rPr>
        <w:t xml:space="preserve"> e non l’</w:t>
      </w:r>
      <w:r w:rsidRPr="009A30A1">
        <w:rPr>
          <w:rFonts w:ascii="Calibri" w:eastAsia="Times New Roman" w:hAnsi="Calibri" w:cs="Segoe UI"/>
          <w:i/>
          <w:color w:val="1F4E79" w:themeColor="accent1" w:themeShade="80"/>
          <w:sz w:val="28"/>
          <w:szCs w:val="28"/>
          <w:lang w:eastAsia="it-IT"/>
        </w:rPr>
        <w:t>omesso rinvio</w:t>
      </w:r>
      <w:r w:rsidRPr="00B208E4">
        <w:rPr>
          <w:rFonts w:ascii="Calibri" w:eastAsia="Times New Roman" w:hAnsi="Calibri" w:cs="Segoe UI"/>
          <w:color w:val="1F4E79" w:themeColor="accent1" w:themeShade="80"/>
          <w:sz w:val="28"/>
          <w:szCs w:val="28"/>
          <w:lang w:eastAsia="it-IT"/>
        </w:rPr>
        <w:t xml:space="preserve">, </w:t>
      </w:r>
      <w:r w:rsidR="000A411E">
        <w:rPr>
          <w:rFonts w:ascii="Calibri" w:eastAsia="Times New Roman" w:hAnsi="Calibri" w:cs="Segoe UI"/>
          <w:color w:val="1F4E79" w:themeColor="accent1" w:themeShade="80"/>
          <w:sz w:val="28"/>
          <w:szCs w:val="28"/>
          <w:lang w:eastAsia="it-IT"/>
        </w:rPr>
        <w:t xml:space="preserve">in sé considerato, </w:t>
      </w:r>
      <w:r w:rsidRPr="00B208E4">
        <w:rPr>
          <w:rFonts w:ascii="Calibri" w:eastAsia="Times New Roman" w:hAnsi="Calibri" w:cs="Segoe UI"/>
          <w:color w:val="1F4E79" w:themeColor="accent1" w:themeShade="80"/>
          <w:sz w:val="28"/>
          <w:szCs w:val="28"/>
          <w:lang w:eastAsia="it-IT"/>
        </w:rPr>
        <w:t xml:space="preserve">la </w:t>
      </w:r>
      <w:r w:rsidR="000A411E" w:rsidRPr="00B208E4">
        <w:rPr>
          <w:rFonts w:ascii="Calibri" w:eastAsia="Times New Roman" w:hAnsi="Calibri" w:cs="Segoe UI"/>
          <w:color w:val="1F4E79" w:themeColor="accent1" w:themeShade="80"/>
          <w:sz w:val="28"/>
          <w:szCs w:val="28"/>
          <w:lang w:eastAsia="it-IT"/>
        </w:rPr>
        <w:t xml:space="preserve">Cassazione </w:t>
      </w:r>
      <w:r w:rsidRPr="00B208E4">
        <w:rPr>
          <w:rFonts w:ascii="Calibri" w:eastAsia="Times New Roman" w:hAnsi="Calibri" w:cs="Segoe UI"/>
          <w:color w:val="1F4E79" w:themeColor="accent1" w:themeShade="80"/>
          <w:sz w:val="28"/>
          <w:szCs w:val="28"/>
          <w:lang w:eastAsia="it-IT"/>
        </w:rPr>
        <w:t xml:space="preserve">non potrebbe mai procedere direttamente ad operare in via surrogatoria, rivolgendo </w:t>
      </w:r>
      <w:r w:rsidR="009A30A1">
        <w:rPr>
          <w:rFonts w:ascii="Calibri" w:eastAsia="Times New Roman" w:hAnsi="Calibri" w:cs="Segoe UI"/>
          <w:color w:val="1F4E79" w:themeColor="accent1" w:themeShade="80"/>
          <w:sz w:val="28"/>
          <w:szCs w:val="28"/>
          <w:lang w:eastAsia="it-IT"/>
        </w:rPr>
        <w:t xml:space="preserve">essa stessa </w:t>
      </w:r>
      <w:r w:rsidRPr="00B208E4">
        <w:rPr>
          <w:rFonts w:ascii="Calibri" w:eastAsia="Times New Roman" w:hAnsi="Calibri" w:cs="Segoe UI"/>
          <w:color w:val="1F4E79" w:themeColor="accent1" w:themeShade="80"/>
          <w:sz w:val="28"/>
          <w:szCs w:val="28"/>
          <w:lang w:eastAsia="it-IT"/>
        </w:rPr>
        <w:t>il quesito alla Corte, ma dovrebbe limitarsi a</w:t>
      </w:r>
      <w:r w:rsidR="009A30A1">
        <w:rPr>
          <w:rFonts w:ascii="Calibri" w:eastAsia="Times New Roman" w:hAnsi="Calibri" w:cs="Segoe UI"/>
          <w:color w:val="1F4E79" w:themeColor="accent1" w:themeShade="80"/>
          <w:sz w:val="28"/>
          <w:szCs w:val="28"/>
          <w:lang w:eastAsia="it-IT"/>
        </w:rPr>
        <w:t>d annullare la decisione de</w:t>
      </w:r>
      <w:r w:rsidRPr="00B208E4">
        <w:rPr>
          <w:rFonts w:ascii="Calibri" w:eastAsia="Times New Roman" w:hAnsi="Calibri" w:cs="Segoe UI"/>
          <w:color w:val="1F4E79" w:themeColor="accent1" w:themeShade="80"/>
          <w:sz w:val="28"/>
          <w:szCs w:val="28"/>
          <w:lang w:eastAsia="it-IT"/>
        </w:rPr>
        <w:t>l Consiglio di Stato, affinc</w:t>
      </w:r>
      <w:r w:rsidR="00324F3C" w:rsidRPr="00B208E4">
        <w:rPr>
          <w:rFonts w:ascii="Calibri" w:eastAsia="Times New Roman" w:hAnsi="Calibri" w:cs="Segoe UI"/>
          <w:color w:val="1F4E79" w:themeColor="accent1" w:themeShade="80"/>
          <w:sz w:val="28"/>
          <w:szCs w:val="28"/>
          <w:lang w:eastAsia="it-IT"/>
        </w:rPr>
        <w:t>hé</w:t>
      </w:r>
      <w:r w:rsidR="009A30A1">
        <w:rPr>
          <w:rFonts w:ascii="Calibri" w:eastAsia="Times New Roman" w:hAnsi="Calibri" w:cs="Segoe UI"/>
          <w:color w:val="1F4E79" w:themeColor="accent1" w:themeShade="80"/>
          <w:sz w:val="28"/>
          <w:szCs w:val="28"/>
          <w:lang w:eastAsia="it-IT"/>
        </w:rPr>
        <w:t xml:space="preserve"> esso</w:t>
      </w:r>
      <w:r w:rsidR="00324F3C" w:rsidRPr="00B208E4">
        <w:rPr>
          <w:rFonts w:ascii="Calibri" w:eastAsia="Times New Roman" w:hAnsi="Calibri" w:cs="Segoe UI"/>
          <w:color w:val="1F4E79" w:themeColor="accent1" w:themeShade="80"/>
          <w:sz w:val="28"/>
          <w:szCs w:val="28"/>
          <w:lang w:eastAsia="it-IT"/>
        </w:rPr>
        <w:t xml:space="preserve">, rivalutata la vicenda contenziosa, stabilisca se </w:t>
      </w:r>
      <w:r w:rsidR="009A30A1">
        <w:rPr>
          <w:rFonts w:ascii="Calibri" w:eastAsia="Times New Roman" w:hAnsi="Calibri" w:cs="Segoe UI"/>
          <w:color w:val="1F4E79" w:themeColor="accent1" w:themeShade="80"/>
          <w:sz w:val="28"/>
          <w:szCs w:val="28"/>
          <w:lang w:eastAsia="it-IT"/>
        </w:rPr>
        <w:t xml:space="preserve">effettuare </w:t>
      </w:r>
      <w:r w:rsidR="00324F3C" w:rsidRPr="00B208E4">
        <w:rPr>
          <w:rFonts w:ascii="Calibri" w:eastAsia="Times New Roman" w:hAnsi="Calibri" w:cs="Segoe UI"/>
          <w:color w:val="1F4E79" w:themeColor="accent1" w:themeShade="80"/>
          <w:sz w:val="28"/>
          <w:szCs w:val="28"/>
          <w:lang w:eastAsia="it-IT"/>
        </w:rPr>
        <w:t>o meno</w:t>
      </w:r>
      <w:r w:rsidR="009A30A1">
        <w:rPr>
          <w:rFonts w:ascii="Calibri" w:eastAsia="Times New Roman" w:hAnsi="Calibri" w:cs="Segoe UI"/>
          <w:color w:val="1F4E79" w:themeColor="accent1" w:themeShade="80"/>
          <w:sz w:val="28"/>
          <w:szCs w:val="28"/>
          <w:lang w:eastAsia="it-IT"/>
        </w:rPr>
        <w:t xml:space="preserve"> il rinvio pregiudiziale</w:t>
      </w:r>
      <w:r w:rsidR="00324F3C" w:rsidRPr="00B208E4">
        <w:rPr>
          <w:rFonts w:ascii="Calibri" w:eastAsia="Times New Roman" w:hAnsi="Calibri" w:cs="Segoe UI"/>
          <w:color w:val="1F4E79" w:themeColor="accent1" w:themeShade="80"/>
          <w:sz w:val="28"/>
          <w:szCs w:val="28"/>
          <w:lang w:eastAsia="it-IT"/>
        </w:rPr>
        <w:t>, previa adeguata motivazione.</w:t>
      </w:r>
    </w:p>
    <w:p w:rsidR="00324F3C" w:rsidRPr="00B208E4" w:rsidRDefault="00324F3C"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In tal modo, però, si metterebbe in evidenza la reale natura del vizio, che non riguarda il riparto di funzioni giurisdizionali tra i diversi organi, ma l’errore procedurale e motivazionale compiuto dal giudice amministrativo. E pare difficile negare che, sotto entrambi i profili, tale tipo di vizio </w:t>
      </w:r>
      <w:r w:rsidR="009A30A1">
        <w:rPr>
          <w:rFonts w:ascii="Calibri" w:eastAsia="Times New Roman" w:hAnsi="Calibri" w:cs="Segoe UI"/>
          <w:color w:val="1F4E79" w:themeColor="accent1" w:themeShade="80"/>
          <w:sz w:val="28"/>
          <w:szCs w:val="28"/>
          <w:lang w:eastAsia="it-IT"/>
        </w:rPr>
        <w:t>sia</w:t>
      </w:r>
      <w:r w:rsidRPr="00B208E4">
        <w:rPr>
          <w:rFonts w:ascii="Calibri" w:eastAsia="Times New Roman" w:hAnsi="Calibri" w:cs="Segoe UI"/>
          <w:color w:val="1F4E79" w:themeColor="accent1" w:themeShade="80"/>
          <w:sz w:val="28"/>
          <w:szCs w:val="28"/>
          <w:lang w:eastAsia="it-IT"/>
        </w:rPr>
        <w:t xml:space="preserve"> irriducibile al concetto di </w:t>
      </w:r>
      <w:r w:rsidRPr="009A30A1">
        <w:rPr>
          <w:rFonts w:ascii="Calibri" w:eastAsia="Times New Roman" w:hAnsi="Calibri" w:cs="Segoe UI"/>
          <w:i/>
          <w:color w:val="1F4E79" w:themeColor="accent1" w:themeShade="80"/>
          <w:sz w:val="28"/>
          <w:szCs w:val="28"/>
          <w:lang w:eastAsia="it-IT"/>
        </w:rPr>
        <w:t>difetto relativo di giurisdizione</w:t>
      </w:r>
      <w:r w:rsidR="009A30A1">
        <w:rPr>
          <w:rFonts w:ascii="Calibri" w:eastAsia="Times New Roman" w:hAnsi="Calibri" w:cs="Segoe UI"/>
          <w:color w:val="1F4E79" w:themeColor="accent1" w:themeShade="80"/>
          <w:sz w:val="28"/>
          <w:szCs w:val="28"/>
          <w:lang w:eastAsia="it-IT"/>
        </w:rPr>
        <w:t>, denunciabile attraverso il ricorso per cassazione</w:t>
      </w:r>
      <w:r w:rsidRPr="00B208E4">
        <w:rPr>
          <w:rFonts w:ascii="Calibri" w:eastAsia="Times New Roman" w:hAnsi="Calibri" w:cs="Segoe UI"/>
          <w:color w:val="1F4E79" w:themeColor="accent1" w:themeShade="80"/>
          <w:sz w:val="28"/>
          <w:szCs w:val="28"/>
          <w:lang w:eastAsia="it-IT"/>
        </w:rPr>
        <w:t>.</w:t>
      </w:r>
    </w:p>
    <w:p w:rsidR="004D20DA" w:rsidRPr="00B208E4" w:rsidRDefault="004D20DA"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Le considerazioni che precedono consentono di esporre le </w:t>
      </w:r>
      <w:r w:rsidR="009A30A1">
        <w:rPr>
          <w:rFonts w:ascii="Calibri" w:eastAsia="Times New Roman" w:hAnsi="Calibri" w:cs="Segoe UI"/>
          <w:color w:val="1F4E79" w:themeColor="accent1" w:themeShade="80"/>
          <w:sz w:val="28"/>
          <w:szCs w:val="28"/>
          <w:lang w:eastAsia="it-IT"/>
        </w:rPr>
        <w:t xml:space="preserve">ulteriori </w:t>
      </w:r>
      <w:r w:rsidRPr="00B208E4">
        <w:rPr>
          <w:rFonts w:ascii="Calibri" w:eastAsia="Times New Roman" w:hAnsi="Calibri" w:cs="Segoe UI"/>
          <w:color w:val="1F4E79" w:themeColor="accent1" w:themeShade="80"/>
          <w:sz w:val="28"/>
          <w:szCs w:val="28"/>
          <w:lang w:eastAsia="it-IT"/>
        </w:rPr>
        <w:t>criticità relative al “</w:t>
      </w:r>
      <w:r w:rsidRPr="009A30A1">
        <w:rPr>
          <w:rFonts w:ascii="Calibri" w:eastAsia="Times New Roman" w:hAnsi="Calibri" w:cs="Segoe UI"/>
          <w:i/>
          <w:color w:val="1F4E79" w:themeColor="accent1" w:themeShade="80"/>
          <w:sz w:val="28"/>
          <w:szCs w:val="28"/>
          <w:lang w:eastAsia="it-IT"/>
        </w:rPr>
        <w:t>paradosso</w:t>
      </w:r>
      <w:r w:rsidR="009A30A1">
        <w:rPr>
          <w:rFonts w:ascii="Calibri" w:eastAsia="Times New Roman" w:hAnsi="Calibri" w:cs="Segoe UI"/>
          <w:color w:val="1F4E79" w:themeColor="accent1" w:themeShade="80"/>
          <w:sz w:val="28"/>
          <w:szCs w:val="28"/>
          <w:lang w:eastAsia="it-IT"/>
        </w:rPr>
        <w:t xml:space="preserve">” che deriverebbe dalla ipotizzata impugnabilità per cassazione della decisione del </w:t>
      </w:r>
      <w:r w:rsidRPr="00B208E4">
        <w:rPr>
          <w:rFonts w:ascii="Calibri" w:eastAsia="Times New Roman" w:hAnsi="Calibri" w:cs="Segoe UI"/>
          <w:color w:val="1F4E79" w:themeColor="accent1" w:themeShade="80"/>
          <w:sz w:val="28"/>
          <w:szCs w:val="28"/>
          <w:lang w:eastAsia="it-IT"/>
        </w:rPr>
        <w:t>giudice di ultima istanza</w:t>
      </w:r>
      <w:r w:rsidR="009A30A1">
        <w:rPr>
          <w:rFonts w:ascii="Calibri" w:eastAsia="Times New Roman" w:hAnsi="Calibri" w:cs="Segoe UI"/>
          <w:color w:val="1F4E79" w:themeColor="accent1" w:themeShade="80"/>
          <w:sz w:val="28"/>
          <w:szCs w:val="28"/>
          <w:lang w:eastAsia="it-IT"/>
        </w:rPr>
        <w:t xml:space="preserve"> che omette il doveroso rinvio pregiudiziale</w:t>
      </w:r>
      <w:r w:rsidRPr="00B208E4">
        <w:rPr>
          <w:rFonts w:ascii="Calibri" w:eastAsia="Times New Roman" w:hAnsi="Calibri" w:cs="Segoe UI"/>
          <w:color w:val="1F4E79" w:themeColor="accent1" w:themeShade="80"/>
          <w:sz w:val="28"/>
          <w:szCs w:val="28"/>
          <w:lang w:eastAsia="it-IT"/>
        </w:rPr>
        <w:t>.</w:t>
      </w:r>
    </w:p>
    <w:p w:rsidR="00285DEF" w:rsidRPr="00B208E4" w:rsidRDefault="009A30A1"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 xml:space="preserve">A ben riflettere, </w:t>
      </w:r>
      <w:r w:rsidRPr="00B208E4">
        <w:rPr>
          <w:rFonts w:ascii="Calibri" w:eastAsia="Times New Roman" w:hAnsi="Calibri" w:cs="Segoe UI"/>
          <w:color w:val="1F4E79" w:themeColor="accent1" w:themeShade="80"/>
          <w:sz w:val="28"/>
          <w:szCs w:val="28"/>
          <w:lang w:eastAsia="it-IT"/>
        </w:rPr>
        <w:t>se</w:t>
      </w:r>
      <w:r>
        <w:rPr>
          <w:rFonts w:ascii="Calibri" w:eastAsia="Times New Roman" w:hAnsi="Calibri" w:cs="Segoe UI"/>
          <w:color w:val="1F4E79" w:themeColor="accent1" w:themeShade="80"/>
          <w:sz w:val="28"/>
          <w:szCs w:val="28"/>
          <w:lang w:eastAsia="it-IT"/>
        </w:rPr>
        <w:t xml:space="preserve"> si stabilisse che</w:t>
      </w:r>
      <w:r w:rsidRPr="00B208E4">
        <w:rPr>
          <w:rFonts w:ascii="Calibri" w:eastAsia="Times New Roman" w:hAnsi="Calibri" w:cs="Segoe UI"/>
          <w:color w:val="1F4E79" w:themeColor="accent1" w:themeShade="80"/>
          <w:sz w:val="28"/>
          <w:szCs w:val="28"/>
          <w:lang w:eastAsia="it-IT"/>
        </w:rPr>
        <w:t xml:space="preserve"> </w:t>
      </w:r>
      <w:r w:rsidR="00285DEF" w:rsidRPr="00B208E4">
        <w:rPr>
          <w:rFonts w:ascii="Calibri" w:eastAsia="Times New Roman" w:hAnsi="Calibri" w:cs="Segoe UI"/>
          <w:color w:val="1F4E79" w:themeColor="accent1" w:themeShade="80"/>
          <w:sz w:val="28"/>
          <w:szCs w:val="28"/>
          <w:lang w:eastAsia="it-IT"/>
        </w:rPr>
        <w:t>la decisione di non propo</w:t>
      </w:r>
      <w:r>
        <w:rPr>
          <w:rFonts w:ascii="Calibri" w:eastAsia="Times New Roman" w:hAnsi="Calibri" w:cs="Segoe UI"/>
          <w:color w:val="1F4E79" w:themeColor="accent1" w:themeShade="80"/>
          <w:sz w:val="28"/>
          <w:szCs w:val="28"/>
          <w:lang w:eastAsia="it-IT"/>
        </w:rPr>
        <w:t>rre la questione pregiudiziale potrebbe essere</w:t>
      </w:r>
      <w:r w:rsidR="00285DEF" w:rsidRPr="00B208E4">
        <w:rPr>
          <w:rFonts w:ascii="Calibri" w:eastAsia="Times New Roman" w:hAnsi="Calibri" w:cs="Segoe UI"/>
          <w:color w:val="1F4E79" w:themeColor="accent1" w:themeShade="80"/>
          <w:sz w:val="28"/>
          <w:szCs w:val="28"/>
          <w:lang w:eastAsia="it-IT"/>
        </w:rPr>
        <w:t xml:space="preserve"> sindacabile davanti a un giudice funzionalmente superiore</w:t>
      </w:r>
      <w:r>
        <w:rPr>
          <w:rFonts w:ascii="Calibri" w:eastAsia="Times New Roman" w:hAnsi="Calibri" w:cs="Segoe UI"/>
          <w:color w:val="1F4E79" w:themeColor="accent1" w:themeShade="80"/>
          <w:sz w:val="28"/>
          <w:szCs w:val="28"/>
          <w:lang w:eastAsia="it-IT"/>
        </w:rPr>
        <w:t>,</w:t>
      </w:r>
      <w:r w:rsidR="00285DEF" w:rsidRPr="00B208E4">
        <w:rPr>
          <w:rFonts w:ascii="Calibri" w:eastAsia="Times New Roman" w:hAnsi="Calibri" w:cs="Segoe UI"/>
          <w:color w:val="1F4E79" w:themeColor="accent1" w:themeShade="80"/>
          <w:sz w:val="28"/>
          <w:szCs w:val="28"/>
          <w:lang w:eastAsia="it-IT"/>
        </w:rPr>
        <w:t xml:space="preserve"> si determin</w:t>
      </w:r>
      <w:r>
        <w:rPr>
          <w:rFonts w:ascii="Calibri" w:eastAsia="Times New Roman" w:hAnsi="Calibri" w:cs="Segoe UI"/>
          <w:color w:val="1F4E79" w:themeColor="accent1" w:themeShade="80"/>
          <w:sz w:val="28"/>
          <w:szCs w:val="28"/>
          <w:lang w:eastAsia="it-IT"/>
        </w:rPr>
        <w:t>erebbe</w:t>
      </w:r>
      <w:r w:rsidR="00285DEF" w:rsidRPr="00B208E4">
        <w:rPr>
          <w:rFonts w:ascii="Calibri" w:eastAsia="Times New Roman" w:hAnsi="Calibri" w:cs="Segoe UI"/>
          <w:color w:val="1F4E79" w:themeColor="accent1" w:themeShade="80"/>
          <w:sz w:val="28"/>
          <w:szCs w:val="28"/>
          <w:lang w:eastAsia="it-IT"/>
        </w:rPr>
        <w:t xml:space="preserve"> una contraddizione logica</w:t>
      </w:r>
      <w:r>
        <w:rPr>
          <w:rFonts w:ascii="Calibri" w:eastAsia="Times New Roman" w:hAnsi="Calibri" w:cs="Segoe UI"/>
          <w:color w:val="1F4E79" w:themeColor="accent1" w:themeShade="80"/>
          <w:sz w:val="28"/>
          <w:szCs w:val="28"/>
          <w:lang w:eastAsia="it-IT"/>
        </w:rPr>
        <w:t xml:space="preserve"> difficilmente superabile</w:t>
      </w:r>
      <w:r w:rsidR="00285DEF" w:rsidRPr="00B208E4">
        <w:rPr>
          <w:rFonts w:ascii="Calibri" w:eastAsia="Times New Roman" w:hAnsi="Calibri" w:cs="Segoe UI"/>
          <w:color w:val="1F4E79" w:themeColor="accent1" w:themeShade="80"/>
          <w:sz w:val="28"/>
          <w:szCs w:val="28"/>
          <w:lang w:eastAsia="it-IT"/>
        </w:rPr>
        <w:t>.</w:t>
      </w:r>
    </w:p>
    <w:p w:rsidR="004D30E3" w:rsidRDefault="009A30A1"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Se si attribuisce alla Cassazione il compito di stabilire se sussiste, o meno l’obbligo del rinvio pregiudiziale, nella sostanza si prevede che questo organo giurisdizionale diventa la Corte di ultima istanza, con riguardo alla questione relativa alla corretta applicazione del diritto UE</w:t>
      </w:r>
      <w:r w:rsidR="004D30E3" w:rsidRPr="00B208E4">
        <w:rPr>
          <w:rFonts w:ascii="Calibri" w:eastAsia="Times New Roman" w:hAnsi="Calibri" w:cs="Segoe UI"/>
          <w:color w:val="1F4E79" w:themeColor="accent1" w:themeShade="80"/>
          <w:sz w:val="28"/>
          <w:szCs w:val="28"/>
          <w:lang w:eastAsia="it-IT"/>
        </w:rPr>
        <w:t>.</w:t>
      </w:r>
    </w:p>
    <w:p w:rsidR="009A30A1" w:rsidRPr="00B208E4" w:rsidRDefault="009A30A1"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La contraddizione logica sarebbe solo attenuata in parte, ma non superata, prevedendo, per ipotesi, la limitazione della impugnabilità della decisione ai soli casi di totale assenza di motivazione insieme alla regola che, in caso di accoglimento del ricorso, la Cassazione dovrebbe rinviare la decisione finale al Consiglio di Stato.</w:t>
      </w:r>
    </w:p>
    <w:p w:rsidR="00601682" w:rsidRPr="00B208E4" w:rsidRDefault="00601682"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p>
    <w:p w:rsidR="00F3300B" w:rsidRPr="00B208E4" w:rsidRDefault="004873E2" w:rsidP="00FB7048">
      <w:pPr>
        <w:numPr>
          <w:ilvl w:val="0"/>
          <w:numId w:val="1"/>
        </w:numPr>
        <w:shd w:val="clear" w:color="auto" w:fill="FFFFFF"/>
        <w:tabs>
          <w:tab w:val="left" w:pos="0"/>
        </w:tabs>
        <w:spacing w:after="120" w:line="240" w:lineRule="auto"/>
        <w:ind w:left="0" w:firstLine="709"/>
        <w:jc w:val="both"/>
        <w:textAlignment w:val="baseline"/>
        <w:rPr>
          <w:rFonts w:ascii="Tahoma" w:eastAsia="Times New Roman" w:hAnsi="Tahoma" w:cs="Tahoma"/>
          <w:smallCaps/>
          <w:color w:val="1F4E79" w:themeColor="accent1" w:themeShade="80"/>
          <w:sz w:val="28"/>
          <w:szCs w:val="28"/>
          <w:bdr w:val="none" w:sz="0" w:space="0" w:color="auto" w:frame="1"/>
          <w:lang w:eastAsia="it-IT"/>
        </w:rPr>
      </w:pPr>
      <w:r w:rsidRPr="00B208E4">
        <w:rPr>
          <w:rFonts w:ascii="Tahoma" w:eastAsia="Times New Roman" w:hAnsi="Tahoma" w:cs="Tahoma"/>
          <w:smallCaps/>
          <w:color w:val="1F4E79" w:themeColor="accent1" w:themeShade="80"/>
          <w:sz w:val="28"/>
          <w:szCs w:val="28"/>
          <w:bdr w:val="none" w:sz="0" w:space="0" w:color="auto" w:frame="1"/>
          <w:lang w:eastAsia="it-IT"/>
        </w:rPr>
        <w:t>Il terzo quesito</w:t>
      </w:r>
      <w:r w:rsidR="00686BEF" w:rsidRPr="00B208E4">
        <w:rPr>
          <w:rFonts w:ascii="Tahoma" w:eastAsia="Times New Roman" w:hAnsi="Tahoma" w:cs="Tahoma"/>
          <w:smallCaps/>
          <w:color w:val="1F4E79" w:themeColor="accent1" w:themeShade="80"/>
          <w:sz w:val="28"/>
          <w:szCs w:val="28"/>
          <w:bdr w:val="none" w:sz="0" w:space="0" w:color="auto" w:frame="1"/>
          <w:lang w:eastAsia="it-IT"/>
        </w:rPr>
        <w:t>: il problema della legittimazione al ricorso</w:t>
      </w:r>
      <w:r w:rsidR="00F3300B" w:rsidRPr="00B208E4">
        <w:rPr>
          <w:rFonts w:ascii="Tahoma" w:eastAsia="Times New Roman" w:hAnsi="Tahoma" w:cs="Tahoma"/>
          <w:smallCaps/>
          <w:color w:val="1F4E79" w:themeColor="accent1" w:themeShade="80"/>
          <w:sz w:val="28"/>
          <w:szCs w:val="28"/>
          <w:bdr w:val="none" w:sz="0" w:space="0" w:color="auto" w:frame="1"/>
          <w:lang w:eastAsia="it-IT"/>
        </w:rPr>
        <w:t xml:space="preserve"> e la complessità delle diverse fattispecie sostanziali, anche in relazione allo sviluppo processuale del contenzioso concreto</w:t>
      </w:r>
      <w:r w:rsidR="00686BEF" w:rsidRPr="00B208E4">
        <w:rPr>
          <w:rFonts w:ascii="Tahoma" w:eastAsia="Times New Roman" w:hAnsi="Tahoma" w:cs="Tahoma"/>
          <w:smallCaps/>
          <w:color w:val="1F4E79" w:themeColor="accent1" w:themeShade="80"/>
          <w:sz w:val="28"/>
          <w:szCs w:val="28"/>
          <w:bdr w:val="none" w:sz="0" w:space="0" w:color="auto" w:frame="1"/>
          <w:lang w:eastAsia="it-IT"/>
        </w:rPr>
        <w:t>.</w:t>
      </w:r>
    </w:p>
    <w:p w:rsidR="00140577" w:rsidRPr="00B208E4" w:rsidRDefault="00140577" w:rsidP="00FB7048">
      <w:pPr>
        <w:shd w:val="clear" w:color="auto" w:fill="FFFFFF"/>
        <w:tabs>
          <w:tab w:val="left" w:pos="0"/>
          <w:tab w:val="left" w:pos="1633"/>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La </w:t>
      </w:r>
      <w:r w:rsidR="009A1ACA" w:rsidRPr="00B208E4">
        <w:rPr>
          <w:rFonts w:ascii="Calibri" w:eastAsia="Times New Roman" w:hAnsi="Calibri" w:cs="Segoe UI"/>
          <w:color w:val="1F4E79" w:themeColor="accent1" w:themeShade="80"/>
          <w:sz w:val="28"/>
          <w:szCs w:val="28"/>
          <w:lang w:eastAsia="it-IT"/>
        </w:rPr>
        <w:t xml:space="preserve">Cassazione </w:t>
      </w:r>
      <w:r w:rsidRPr="00B208E4">
        <w:rPr>
          <w:rFonts w:ascii="Calibri" w:eastAsia="Times New Roman" w:hAnsi="Calibri" w:cs="Segoe UI"/>
          <w:color w:val="1F4E79" w:themeColor="accent1" w:themeShade="80"/>
          <w:sz w:val="28"/>
          <w:szCs w:val="28"/>
          <w:lang w:eastAsia="it-IT"/>
        </w:rPr>
        <w:t xml:space="preserve">ritiene di rivolgere alla Cassazione un terzo quesito, </w:t>
      </w:r>
      <w:r w:rsidR="00E06176">
        <w:rPr>
          <w:rFonts w:ascii="Calibri" w:eastAsia="Times New Roman" w:hAnsi="Calibri" w:cs="Segoe UI"/>
          <w:color w:val="1F4E79" w:themeColor="accent1" w:themeShade="80"/>
          <w:sz w:val="28"/>
          <w:szCs w:val="28"/>
          <w:lang w:eastAsia="it-IT"/>
        </w:rPr>
        <w:t>giudica</w:t>
      </w:r>
      <w:r w:rsidRPr="00B208E4">
        <w:rPr>
          <w:rFonts w:ascii="Calibri" w:eastAsia="Times New Roman" w:hAnsi="Calibri" w:cs="Segoe UI"/>
          <w:color w:val="1F4E79" w:themeColor="accent1" w:themeShade="80"/>
          <w:sz w:val="28"/>
          <w:szCs w:val="28"/>
          <w:lang w:eastAsia="it-IT"/>
        </w:rPr>
        <w:t>to direttamente collegato alla soluzione della specifica controversia sottoposta al suo esame.</w:t>
      </w:r>
    </w:p>
    <w:p w:rsidR="00140577" w:rsidRPr="00B208E4" w:rsidRDefault="00140577" w:rsidP="00FB7048">
      <w:pPr>
        <w:shd w:val="clear" w:color="auto" w:fill="FFFFFF"/>
        <w:tabs>
          <w:tab w:val="left" w:pos="0"/>
          <w:tab w:val="left" w:pos="1633"/>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Nella prospettiva dell’ordinanza, una volta riconosciuta la fo</w:t>
      </w:r>
      <w:r w:rsidR="00697E6D" w:rsidRPr="00B208E4">
        <w:rPr>
          <w:rFonts w:ascii="Calibri" w:eastAsia="Times New Roman" w:hAnsi="Calibri" w:cs="Segoe UI"/>
          <w:color w:val="1F4E79" w:themeColor="accent1" w:themeShade="80"/>
          <w:sz w:val="28"/>
          <w:szCs w:val="28"/>
          <w:lang w:eastAsia="it-IT"/>
        </w:rPr>
        <w:t>n</w:t>
      </w:r>
      <w:r w:rsidRPr="00B208E4">
        <w:rPr>
          <w:rFonts w:ascii="Calibri" w:eastAsia="Times New Roman" w:hAnsi="Calibri" w:cs="Segoe UI"/>
          <w:color w:val="1F4E79" w:themeColor="accent1" w:themeShade="80"/>
          <w:sz w:val="28"/>
          <w:szCs w:val="28"/>
          <w:lang w:eastAsia="it-IT"/>
        </w:rPr>
        <w:t xml:space="preserve">datezza del primo quesito, riguardante la </w:t>
      </w:r>
      <w:r w:rsidR="00697E6D" w:rsidRPr="00B208E4">
        <w:rPr>
          <w:rFonts w:ascii="Calibri" w:eastAsia="Times New Roman" w:hAnsi="Calibri" w:cs="Segoe UI"/>
          <w:color w:val="1F4E79" w:themeColor="accent1" w:themeShade="80"/>
          <w:sz w:val="28"/>
          <w:szCs w:val="28"/>
          <w:lang w:eastAsia="it-IT"/>
        </w:rPr>
        <w:t>sindacabilità in cassazione delle violazioni del diritto UE, non vi sarebbe alcun ostacolo per investire</w:t>
      </w:r>
      <w:r w:rsidR="00006E43">
        <w:rPr>
          <w:rFonts w:ascii="Calibri" w:eastAsia="Times New Roman" w:hAnsi="Calibri" w:cs="Segoe UI"/>
          <w:color w:val="1F4E79" w:themeColor="accent1" w:themeShade="80"/>
          <w:sz w:val="28"/>
          <w:szCs w:val="28"/>
          <w:lang w:eastAsia="it-IT"/>
        </w:rPr>
        <w:t xml:space="preserve"> direttamente</w:t>
      </w:r>
      <w:r w:rsidR="00697E6D" w:rsidRPr="00B208E4">
        <w:rPr>
          <w:rFonts w:ascii="Calibri" w:eastAsia="Times New Roman" w:hAnsi="Calibri" w:cs="Segoe UI"/>
          <w:color w:val="1F4E79" w:themeColor="accent1" w:themeShade="80"/>
          <w:sz w:val="28"/>
          <w:szCs w:val="28"/>
          <w:lang w:eastAsia="it-IT"/>
        </w:rPr>
        <w:t xml:space="preserve"> la CGUE </w:t>
      </w:r>
      <w:r w:rsidR="002765E7" w:rsidRPr="00B208E4">
        <w:rPr>
          <w:rFonts w:ascii="Calibri" w:eastAsia="Times New Roman" w:hAnsi="Calibri" w:cs="Segoe UI"/>
          <w:color w:val="1F4E79" w:themeColor="accent1" w:themeShade="80"/>
          <w:sz w:val="28"/>
          <w:szCs w:val="28"/>
          <w:lang w:eastAsia="it-IT"/>
        </w:rPr>
        <w:t>della questione ritenuta dubbia.</w:t>
      </w:r>
    </w:p>
    <w:p w:rsidR="002765E7" w:rsidRPr="00B208E4" w:rsidRDefault="002765E7" w:rsidP="00FB7048">
      <w:pPr>
        <w:shd w:val="clear" w:color="auto" w:fill="FFFFFF"/>
        <w:tabs>
          <w:tab w:val="left" w:pos="0"/>
          <w:tab w:val="left" w:pos="1633"/>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Per altro aspetto, l’ordinanza lascia intendere che </w:t>
      </w:r>
      <w:r w:rsidR="00006E43">
        <w:rPr>
          <w:rFonts w:ascii="Calibri" w:eastAsia="Times New Roman" w:hAnsi="Calibri" w:cs="Segoe UI"/>
          <w:color w:val="1F4E79" w:themeColor="accent1" w:themeShade="80"/>
          <w:sz w:val="28"/>
          <w:szCs w:val="28"/>
          <w:lang w:eastAsia="it-IT"/>
        </w:rPr>
        <w:t xml:space="preserve">anche </w:t>
      </w:r>
      <w:r w:rsidRPr="00B208E4">
        <w:rPr>
          <w:rFonts w:ascii="Calibri" w:eastAsia="Times New Roman" w:hAnsi="Calibri" w:cs="Segoe UI"/>
          <w:color w:val="1F4E79" w:themeColor="accent1" w:themeShade="80"/>
          <w:sz w:val="28"/>
          <w:szCs w:val="28"/>
          <w:lang w:eastAsia="it-IT"/>
        </w:rPr>
        <w:t>l’ipotizzata violazione dell’obbligo di rinvio</w:t>
      </w:r>
      <w:r w:rsidR="00E06176">
        <w:rPr>
          <w:rFonts w:ascii="Calibri" w:eastAsia="Times New Roman" w:hAnsi="Calibri" w:cs="Segoe UI"/>
          <w:color w:val="1F4E79" w:themeColor="accent1" w:themeShade="80"/>
          <w:sz w:val="28"/>
          <w:szCs w:val="28"/>
          <w:lang w:eastAsia="it-IT"/>
        </w:rPr>
        <w:t>, di cui al secondo quesito,</w:t>
      </w:r>
      <w:r w:rsidRPr="00B208E4">
        <w:rPr>
          <w:rFonts w:ascii="Calibri" w:eastAsia="Times New Roman" w:hAnsi="Calibri" w:cs="Segoe UI"/>
          <w:color w:val="1F4E79" w:themeColor="accent1" w:themeShade="80"/>
          <w:sz w:val="28"/>
          <w:szCs w:val="28"/>
          <w:lang w:eastAsia="it-IT"/>
        </w:rPr>
        <w:t xml:space="preserve"> possa essere riparata attraverso</w:t>
      </w:r>
      <w:r w:rsidR="000B6D3B" w:rsidRPr="00B208E4">
        <w:rPr>
          <w:rFonts w:ascii="Calibri" w:eastAsia="Times New Roman" w:hAnsi="Calibri" w:cs="Segoe UI"/>
          <w:color w:val="1F4E79" w:themeColor="accent1" w:themeShade="80"/>
          <w:sz w:val="28"/>
          <w:szCs w:val="28"/>
          <w:lang w:eastAsia="it-IT"/>
        </w:rPr>
        <w:t xml:space="preserve"> l’intervento surrogatorio della stessa Cassazione.</w:t>
      </w:r>
    </w:p>
    <w:p w:rsidR="000B6D3B" w:rsidRPr="00B208E4" w:rsidRDefault="000B6D3B" w:rsidP="00FB7048">
      <w:pPr>
        <w:shd w:val="clear" w:color="auto" w:fill="FFFFFF"/>
        <w:tabs>
          <w:tab w:val="left" w:pos="0"/>
          <w:tab w:val="left" w:pos="1633"/>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Si è già sottolineato che, a stretto rigore, </w:t>
      </w:r>
      <w:r w:rsidR="00006E43">
        <w:rPr>
          <w:rFonts w:ascii="Calibri" w:eastAsia="Times New Roman" w:hAnsi="Calibri" w:cs="Segoe UI"/>
          <w:color w:val="1F4E79" w:themeColor="accent1" w:themeShade="80"/>
          <w:sz w:val="28"/>
          <w:szCs w:val="28"/>
          <w:lang w:eastAsia="it-IT"/>
        </w:rPr>
        <w:t xml:space="preserve">secondo i </w:t>
      </w:r>
      <w:r w:rsidR="00006E43" w:rsidRPr="00006E43">
        <w:rPr>
          <w:rFonts w:ascii="Calibri" w:eastAsia="Times New Roman" w:hAnsi="Calibri" w:cs="Segoe UI"/>
          <w:i/>
          <w:color w:val="1F4E79" w:themeColor="accent1" w:themeShade="80"/>
          <w:sz w:val="28"/>
          <w:szCs w:val="28"/>
          <w:lang w:eastAsia="it-IT"/>
        </w:rPr>
        <w:t>desiderata</w:t>
      </w:r>
      <w:r w:rsidR="00006E43">
        <w:rPr>
          <w:rFonts w:ascii="Calibri" w:eastAsia="Times New Roman" w:hAnsi="Calibri" w:cs="Segoe UI"/>
          <w:color w:val="1F4E79" w:themeColor="accent1" w:themeShade="80"/>
          <w:sz w:val="28"/>
          <w:szCs w:val="28"/>
          <w:lang w:eastAsia="it-IT"/>
        </w:rPr>
        <w:t xml:space="preserve"> dell’ordinanza di rinvio, </w:t>
      </w:r>
      <w:r w:rsidRPr="00B208E4">
        <w:rPr>
          <w:rFonts w:ascii="Calibri" w:eastAsia="Times New Roman" w:hAnsi="Calibri" w:cs="Segoe UI"/>
          <w:color w:val="1F4E79" w:themeColor="accent1" w:themeShade="80"/>
          <w:sz w:val="28"/>
          <w:szCs w:val="28"/>
          <w:lang w:eastAsia="it-IT"/>
        </w:rPr>
        <w:t xml:space="preserve">la </w:t>
      </w:r>
      <w:r w:rsidR="009A1ACA">
        <w:rPr>
          <w:rFonts w:ascii="Calibri" w:eastAsia="Times New Roman" w:hAnsi="Calibri" w:cs="Segoe UI"/>
          <w:color w:val="1F4E79" w:themeColor="accent1" w:themeShade="80"/>
          <w:sz w:val="28"/>
          <w:szCs w:val="28"/>
          <w:lang w:eastAsia="it-IT"/>
        </w:rPr>
        <w:t>CGUE dovrebbe pronunciarsi su ta</w:t>
      </w:r>
      <w:r w:rsidRPr="00B208E4">
        <w:rPr>
          <w:rFonts w:ascii="Calibri" w:eastAsia="Times New Roman" w:hAnsi="Calibri" w:cs="Segoe UI"/>
          <w:color w:val="1F4E79" w:themeColor="accent1" w:themeShade="80"/>
          <w:sz w:val="28"/>
          <w:szCs w:val="28"/>
          <w:lang w:eastAsia="it-IT"/>
        </w:rPr>
        <w:t>l</w:t>
      </w:r>
      <w:r w:rsidR="009A1ACA">
        <w:rPr>
          <w:rFonts w:ascii="Calibri" w:eastAsia="Times New Roman" w:hAnsi="Calibri" w:cs="Segoe UI"/>
          <w:color w:val="1F4E79" w:themeColor="accent1" w:themeShade="80"/>
          <w:sz w:val="28"/>
          <w:szCs w:val="28"/>
          <w:lang w:eastAsia="it-IT"/>
        </w:rPr>
        <w:t>e</w:t>
      </w:r>
      <w:r w:rsidRPr="00B208E4">
        <w:rPr>
          <w:rFonts w:ascii="Calibri" w:eastAsia="Times New Roman" w:hAnsi="Calibri" w:cs="Segoe UI"/>
          <w:color w:val="1F4E79" w:themeColor="accent1" w:themeShade="80"/>
          <w:sz w:val="28"/>
          <w:szCs w:val="28"/>
          <w:lang w:eastAsia="it-IT"/>
        </w:rPr>
        <w:t xml:space="preserve"> </w:t>
      </w:r>
      <w:r w:rsidR="00006E43">
        <w:rPr>
          <w:rFonts w:ascii="Calibri" w:eastAsia="Times New Roman" w:hAnsi="Calibri" w:cs="Segoe UI"/>
          <w:color w:val="1F4E79" w:themeColor="accent1" w:themeShade="80"/>
          <w:sz w:val="28"/>
          <w:szCs w:val="28"/>
          <w:lang w:eastAsia="it-IT"/>
        </w:rPr>
        <w:t xml:space="preserve">terzo </w:t>
      </w:r>
      <w:r w:rsidRPr="00B208E4">
        <w:rPr>
          <w:rFonts w:ascii="Calibri" w:eastAsia="Times New Roman" w:hAnsi="Calibri" w:cs="Segoe UI"/>
          <w:color w:val="1F4E79" w:themeColor="accent1" w:themeShade="80"/>
          <w:sz w:val="28"/>
          <w:szCs w:val="28"/>
          <w:lang w:eastAsia="it-IT"/>
        </w:rPr>
        <w:t>quesito solo ri</w:t>
      </w:r>
      <w:r w:rsidR="009A1ACA">
        <w:rPr>
          <w:rFonts w:ascii="Calibri" w:eastAsia="Times New Roman" w:hAnsi="Calibri" w:cs="Segoe UI"/>
          <w:color w:val="1F4E79" w:themeColor="accent1" w:themeShade="80"/>
          <w:sz w:val="28"/>
          <w:szCs w:val="28"/>
          <w:lang w:eastAsia="it-IT"/>
        </w:rPr>
        <w:t>s</w:t>
      </w:r>
      <w:r w:rsidRPr="00B208E4">
        <w:rPr>
          <w:rFonts w:ascii="Calibri" w:eastAsia="Times New Roman" w:hAnsi="Calibri" w:cs="Segoe UI"/>
          <w:color w:val="1F4E79" w:themeColor="accent1" w:themeShade="80"/>
          <w:sz w:val="28"/>
          <w:szCs w:val="28"/>
          <w:lang w:eastAsia="it-IT"/>
        </w:rPr>
        <w:t>pondendo positivamente ad entrambi o anche ad uno soltanto dei due precedenti quesiti.</w:t>
      </w:r>
    </w:p>
    <w:p w:rsidR="000B6D3B" w:rsidRPr="00B208E4" w:rsidRDefault="000B6D3B" w:rsidP="00FB7048">
      <w:pPr>
        <w:shd w:val="clear" w:color="auto" w:fill="FFFFFF"/>
        <w:tabs>
          <w:tab w:val="left" w:pos="0"/>
          <w:tab w:val="left" w:pos="1633"/>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Ma è prevedibile</w:t>
      </w:r>
      <w:r w:rsidR="009A1ACA">
        <w:rPr>
          <w:rFonts w:ascii="Calibri" w:eastAsia="Times New Roman" w:hAnsi="Calibri" w:cs="Segoe UI"/>
          <w:color w:val="1F4E79" w:themeColor="accent1" w:themeShade="80"/>
          <w:sz w:val="28"/>
          <w:szCs w:val="28"/>
          <w:lang w:eastAsia="it-IT"/>
        </w:rPr>
        <w:t>, come si è detto,</w:t>
      </w:r>
      <w:r w:rsidRPr="00B208E4">
        <w:rPr>
          <w:rFonts w:ascii="Calibri" w:eastAsia="Times New Roman" w:hAnsi="Calibri" w:cs="Segoe UI"/>
          <w:color w:val="1F4E79" w:themeColor="accent1" w:themeShade="80"/>
          <w:sz w:val="28"/>
          <w:szCs w:val="28"/>
          <w:lang w:eastAsia="it-IT"/>
        </w:rPr>
        <w:t xml:space="preserve"> che</w:t>
      </w:r>
      <w:r w:rsidR="00006E43">
        <w:rPr>
          <w:rFonts w:ascii="Calibri" w:eastAsia="Times New Roman" w:hAnsi="Calibri" w:cs="Segoe UI"/>
          <w:color w:val="1F4E79" w:themeColor="accent1" w:themeShade="80"/>
          <w:sz w:val="28"/>
          <w:szCs w:val="28"/>
          <w:lang w:eastAsia="it-IT"/>
        </w:rPr>
        <w:t xml:space="preserve">, </w:t>
      </w:r>
      <w:r w:rsidR="00006E43" w:rsidRPr="00B208E4">
        <w:rPr>
          <w:rFonts w:ascii="Calibri" w:eastAsia="Times New Roman" w:hAnsi="Calibri" w:cs="Segoe UI"/>
          <w:color w:val="1F4E79" w:themeColor="accent1" w:themeShade="80"/>
          <w:sz w:val="28"/>
          <w:szCs w:val="28"/>
          <w:lang w:eastAsia="it-IT"/>
        </w:rPr>
        <w:t>invece</w:t>
      </w:r>
      <w:r w:rsidR="00006E43">
        <w:rPr>
          <w:rFonts w:ascii="Calibri" w:eastAsia="Times New Roman" w:hAnsi="Calibri" w:cs="Segoe UI"/>
          <w:color w:val="1F4E79" w:themeColor="accent1" w:themeShade="80"/>
          <w:sz w:val="28"/>
          <w:szCs w:val="28"/>
          <w:lang w:eastAsia="it-IT"/>
        </w:rPr>
        <w:t>,</w:t>
      </w:r>
      <w:r w:rsidRPr="00B208E4">
        <w:rPr>
          <w:rFonts w:ascii="Calibri" w:eastAsia="Times New Roman" w:hAnsi="Calibri" w:cs="Segoe UI"/>
          <w:color w:val="1F4E79" w:themeColor="accent1" w:themeShade="80"/>
          <w:sz w:val="28"/>
          <w:szCs w:val="28"/>
          <w:lang w:eastAsia="it-IT"/>
        </w:rPr>
        <w:t xml:space="preserve"> la CGUE </w:t>
      </w:r>
      <w:r w:rsidR="009A1ACA">
        <w:rPr>
          <w:rFonts w:ascii="Calibri" w:eastAsia="Times New Roman" w:hAnsi="Calibri" w:cs="Segoe UI"/>
          <w:color w:val="1F4E79" w:themeColor="accent1" w:themeShade="80"/>
          <w:sz w:val="28"/>
          <w:szCs w:val="28"/>
          <w:lang w:eastAsia="it-IT"/>
        </w:rPr>
        <w:t>preferirà</w:t>
      </w:r>
      <w:r w:rsidRPr="00B208E4">
        <w:rPr>
          <w:rFonts w:ascii="Calibri" w:eastAsia="Times New Roman" w:hAnsi="Calibri" w:cs="Segoe UI"/>
          <w:color w:val="1F4E79" w:themeColor="accent1" w:themeShade="80"/>
          <w:sz w:val="28"/>
          <w:szCs w:val="28"/>
          <w:lang w:eastAsia="it-IT"/>
        </w:rPr>
        <w:t xml:space="preserve"> “accantonare”</w:t>
      </w:r>
      <w:r w:rsidR="00006E43">
        <w:rPr>
          <w:rFonts w:ascii="Calibri" w:eastAsia="Times New Roman" w:hAnsi="Calibri" w:cs="Segoe UI"/>
          <w:color w:val="1F4E79" w:themeColor="accent1" w:themeShade="80"/>
          <w:sz w:val="28"/>
          <w:szCs w:val="28"/>
          <w:lang w:eastAsia="it-IT"/>
        </w:rPr>
        <w:t>, o circoscrivere l’esame delle</w:t>
      </w:r>
      <w:r w:rsidRPr="00B208E4">
        <w:rPr>
          <w:rFonts w:ascii="Calibri" w:eastAsia="Times New Roman" w:hAnsi="Calibri" w:cs="Segoe UI"/>
          <w:color w:val="1F4E79" w:themeColor="accent1" w:themeShade="80"/>
          <w:sz w:val="28"/>
          <w:szCs w:val="28"/>
          <w:lang w:eastAsia="it-IT"/>
        </w:rPr>
        <w:t xml:space="preserve"> </w:t>
      </w:r>
      <w:r w:rsidR="00006E43">
        <w:rPr>
          <w:rFonts w:ascii="Calibri" w:eastAsia="Times New Roman" w:hAnsi="Calibri" w:cs="Segoe UI"/>
          <w:color w:val="1F4E79" w:themeColor="accent1" w:themeShade="80"/>
          <w:sz w:val="28"/>
          <w:szCs w:val="28"/>
          <w:lang w:eastAsia="it-IT"/>
        </w:rPr>
        <w:t>prime</w:t>
      </w:r>
      <w:r w:rsidRPr="00B208E4">
        <w:rPr>
          <w:rFonts w:ascii="Calibri" w:eastAsia="Times New Roman" w:hAnsi="Calibri" w:cs="Segoe UI"/>
          <w:color w:val="1F4E79" w:themeColor="accent1" w:themeShade="80"/>
          <w:sz w:val="28"/>
          <w:szCs w:val="28"/>
          <w:lang w:eastAsia="it-IT"/>
        </w:rPr>
        <w:t xml:space="preserve"> due</w:t>
      </w:r>
      <w:r w:rsidR="00006E43">
        <w:rPr>
          <w:rFonts w:ascii="Calibri" w:eastAsia="Times New Roman" w:hAnsi="Calibri" w:cs="Segoe UI"/>
          <w:color w:val="1F4E79" w:themeColor="accent1" w:themeShade="80"/>
          <w:sz w:val="28"/>
          <w:szCs w:val="28"/>
          <w:lang w:eastAsia="it-IT"/>
        </w:rPr>
        <w:t xml:space="preserve"> </w:t>
      </w:r>
      <w:r w:rsidR="0081630C">
        <w:rPr>
          <w:rFonts w:ascii="Calibri" w:eastAsia="Times New Roman" w:hAnsi="Calibri" w:cs="Segoe UI"/>
          <w:color w:val="1F4E79" w:themeColor="accent1" w:themeShade="80"/>
          <w:sz w:val="28"/>
          <w:szCs w:val="28"/>
          <w:lang w:eastAsia="it-IT"/>
        </w:rPr>
        <w:t>q</w:t>
      </w:r>
      <w:r w:rsidR="00006E43">
        <w:rPr>
          <w:rFonts w:ascii="Calibri" w:eastAsia="Times New Roman" w:hAnsi="Calibri" w:cs="Segoe UI"/>
          <w:color w:val="1F4E79" w:themeColor="accent1" w:themeShade="80"/>
          <w:sz w:val="28"/>
          <w:szCs w:val="28"/>
          <w:lang w:eastAsia="it-IT"/>
        </w:rPr>
        <w:t>uestioni</w:t>
      </w:r>
      <w:r w:rsidRPr="00B208E4">
        <w:rPr>
          <w:rFonts w:ascii="Calibri" w:eastAsia="Times New Roman" w:hAnsi="Calibri" w:cs="Segoe UI"/>
          <w:color w:val="1F4E79" w:themeColor="accent1" w:themeShade="80"/>
          <w:sz w:val="28"/>
          <w:szCs w:val="28"/>
          <w:lang w:eastAsia="it-IT"/>
        </w:rPr>
        <w:t xml:space="preserve">, </w:t>
      </w:r>
      <w:r w:rsidR="0083681E">
        <w:rPr>
          <w:rFonts w:ascii="Calibri" w:eastAsia="Times New Roman" w:hAnsi="Calibri" w:cs="Segoe UI"/>
          <w:color w:val="1F4E79" w:themeColor="accent1" w:themeShade="80"/>
          <w:sz w:val="28"/>
          <w:szCs w:val="28"/>
          <w:lang w:eastAsia="it-IT"/>
        </w:rPr>
        <w:t>fornendo una risp</w:t>
      </w:r>
      <w:r w:rsidR="00006E43">
        <w:rPr>
          <w:rFonts w:ascii="Calibri" w:eastAsia="Times New Roman" w:hAnsi="Calibri" w:cs="Segoe UI"/>
          <w:color w:val="1F4E79" w:themeColor="accent1" w:themeShade="80"/>
          <w:sz w:val="28"/>
          <w:szCs w:val="28"/>
          <w:lang w:eastAsia="it-IT"/>
        </w:rPr>
        <w:t>osta generica ed interlocutoria. Insomma, verosimilmente la Corte potrebbe vagli</w:t>
      </w:r>
      <w:r w:rsidR="00CE09C0" w:rsidRPr="00B208E4">
        <w:rPr>
          <w:rFonts w:ascii="Calibri" w:eastAsia="Times New Roman" w:hAnsi="Calibri" w:cs="Segoe UI"/>
          <w:color w:val="1F4E79" w:themeColor="accent1" w:themeShade="80"/>
          <w:sz w:val="28"/>
          <w:szCs w:val="28"/>
          <w:lang w:eastAsia="it-IT"/>
        </w:rPr>
        <w:t xml:space="preserve">are nel merito solo il terzo </w:t>
      </w:r>
      <w:r w:rsidR="00006E43">
        <w:rPr>
          <w:rFonts w:ascii="Calibri" w:eastAsia="Times New Roman" w:hAnsi="Calibri" w:cs="Segoe UI"/>
          <w:color w:val="1F4E79" w:themeColor="accent1" w:themeShade="80"/>
          <w:sz w:val="28"/>
          <w:szCs w:val="28"/>
          <w:lang w:eastAsia="it-IT"/>
        </w:rPr>
        <w:t xml:space="preserve">quesito, </w:t>
      </w:r>
      <w:r w:rsidR="00CE09C0" w:rsidRPr="00B208E4">
        <w:rPr>
          <w:rFonts w:ascii="Calibri" w:eastAsia="Times New Roman" w:hAnsi="Calibri" w:cs="Segoe UI"/>
          <w:color w:val="1F4E79" w:themeColor="accent1" w:themeShade="80"/>
          <w:sz w:val="28"/>
          <w:szCs w:val="28"/>
          <w:lang w:eastAsia="it-IT"/>
        </w:rPr>
        <w:t xml:space="preserve">lasciando al giudice comune il compito di verificare se poi, in concreto, il principio affermato potrà essere applicato, o meno, nel giudizio </w:t>
      </w:r>
      <w:r w:rsidR="00CE09C0" w:rsidRPr="00B208E4">
        <w:rPr>
          <w:rFonts w:ascii="Calibri" w:eastAsia="Times New Roman" w:hAnsi="Calibri" w:cs="Segoe UI"/>
          <w:i/>
          <w:color w:val="1F4E79" w:themeColor="accent1" w:themeShade="80"/>
          <w:sz w:val="28"/>
          <w:szCs w:val="28"/>
          <w:lang w:eastAsia="it-IT"/>
        </w:rPr>
        <w:t>a quo</w:t>
      </w:r>
      <w:r w:rsidR="00CE09C0" w:rsidRPr="00B208E4">
        <w:rPr>
          <w:rStyle w:val="Rimandonotaapidipagina"/>
          <w:rFonts w:ascii="Calibri" w:eastAsia="Times New Roman" w:hAnsi="Calibri" w:cs="Segoe UI"/>
          <w:color w:val="1F4E79" w:themeColor="accent1" w:themeShade="80"/>
          <w:sz w:val="28"/>
          <w:szCs w:val="28"/>
          <w:lang w:eastAsia="it-IT"/>
        </w:rPr>
        <w:footnoteReference w:id="59"/>
      </w:r>
      <w:r w:rsidR="00CE09C0" w:rsidRPr="00B208E4">
        <w:rPr>
          <w:rFonts w:ascii="Calibri" w:eastAsia="Times New Roman" w:hAnsi="Calibri" w:cs="Segoe UI"/>
          <w:color w:val="1F4E79" w:themeColor="accent1" w:themeShade="80"/>
          <w:sz w:val="28"/>
          <w:szCs w:val="28"/>
          <w:lang w:eastAsia="it-IT"/>
        </w:rPr>
        <w:t>.</w:t>
      </w:r>
    </w:p>
    <w:p w:rsidR="00C57834" w:rsidRPr="00B208E4" w:rsidRDefault="00A55939"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Prima di svolgere alcune considerazioni sul </w:t>
      </w:r>
      <w:r w:rsidR="00006E43">
        <w:rPr>
          <w:rFonts w:ascii="Calibri" w:eastAsia="Times New Roman" w:hAnsi="Calibri" w:cs="Segoe UI"/>
          <w:color w:val="1F4E79" w:themeColor="accent1" w:themeShade="80"/>
          <w:sz w:val="28"/>
          <w:szCs w:val="28"/>
          <w:lang w:eastAsia="it-IT"/>
        </w:rPr>
        <w:t>contenu</w:t>
      </w:r>
      <w:r w:rsidRPr="00B208E4">
        <w:rPr>
          <w:rFonts w:ascii="Calibri" w:eastAsia="Times New Roman" w:hAnsi="Calibri" w:cs="Segoe UI"/>
          <w:color w:val="1F4E79" w:themeColor="accent1" w:themeShade="80"/>
          <w:sz w:val="28"/>
          <w:szCs w:val="28"/>
          <w:lang w:eastAsia="it-IT"/>
        </w:rPr>
        <w:t xml:space="preserve">to del quesito proposto </w:t>
      </w:r>
      <w:r w:rsidR="00006E43">
        <w:rPr>
          <w:rFonts w:ascii="Calibri" w:eastAsia="Times New Roman" w:hAnsi="Calibri" w:cs="Segoe UI"/>
          <w:color w:val="1F4E79" w:themeColor="accent1" w:themeShade="80"/>
          <w:sz w:val="28"/>
          <w:szCs w:val="28"/>
          <w:lang w:eastAsia="it-IT"/>
        </w:rPr>
        <w:t>devon</w:t>
      </w:r>
      <w:r w:rsidRPr="00B208E4">
        <w:rPr>
          <w:rFonts w:ascii="Calibri" w:eastAsia="Times New Roman" w:hAnsi="Calibri" w:cs="Segoe UI"/>
          <w:color w:val="1F4E79" w:themeColor="accent1" w:themeShade="80"/>
          <w:sz w:val="28"/>
          <w:szCs w:val="28"/>
          <w:lang w:eastAsia="it-IT"/>
        </w:rPr>
        <w:t xml:space="preserve">o </w:t>
      </w:r>
      <w:r w:rsidR="00C57834" w:rsidRPr="00B208E4">
        <w:rPr>
          <w:rFonts w:ascii="Calibri" w:eastAsia="Times New Roman" w:hAnsi="Calibri" w:cs="Segoe UI"/>
          <w:color w:val="1F4E79" w:themeColor="accent1" w:themeShade="80"/>
          <w:sz w:val="28"/>
          <w:szCs w:val="28"/>
          <w:lang w:eastAsia="it-IT"/>
        </w:rPr>
        <w:t>svol</w:t>
      </w:r>
      <w:r w:rsidR="00006E43">
        <w:rPr>
          <w:rFonts w:ascii="Calibri" w:eastAsia="Times New Roman" w:hAnsi="Calibri" w:cs="Segoe UI"/>
          <w:color w:val="1F4E79" w:themeColor="accent1" w:themeShade="80"/>
          <w:sz w:val="28"/>
          <w:szCs w:val="28"/>
          <w:lang w:eastAsia="it-IT"/>
        </w:rPr>
        <w:t>gersi</w:t>
      </w:r>
      <w:r w:rsidR="00C57834" w:rsidRPr="00B208E4">
        <w:rPr>
          <w:rFonts w:ascii="Calibri" w:eastAsia="Times New Roman" w:hAnsi="Calibri" w:cs="Segoe UI"/>
          <w:color w:val="1F4E79" w:themeColor="accent1" w:themeShade="80"/>
          <w:sz w:val="28"/>
          <w:szCs w:val="28"/>
          <w:lang w:eastAsia="it-IT"/>
        </w:rPr>
        <w:t xml:space="preserve"> alcune considerazioni di carattere generale</w:t>
      </w:r>
      <w:r w:rsidR="003F13AB" w:rsidRPr="00B208E4">
        <w:rPr>
          <w:rFonts w:ascii="Calibri" w:eastAsia="Times New Roman" w:hAnsi="Calibri" w:cs="Segoe UI"/>
          <w:color w:val="1F4E79" w:themeColor="accent1" w:themeShade="80"/>
          <w:sz w:val="28"/>
          <w:szCs w:val="28"/>
          <w:lang w:eastAsia="it-IT"/>
        </w:rPr>
        <w:t>.</w:t>
      </w:r>
    </w:p>
    <w:p w:rsidR="00AF609D" w:rsidRPr="00B208E4" w:rsidRDefault="00FB77D6"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Ad una prima lettura veloce</w:t>
      </w:r>
      <w:r w:rsidR="00236CFE" w:rsidRPr="00B208E4">
        <w:rPr>
          <w:rFonts w:ascii="Calibri" w:eastAsia="Times New Roman" w:hAnsi="Calibri" w:cs="Segoe UI"/>
          <w:color w:val="1F4E79" w:themeColor="accent1" w:themeShade="80"/>
          <w:sz w:val="28"/>
          <w:szCs w:val="28"/>
          <w:lang w:eastAsia="it-IT"/>
        </w:rPr>
        <w:t xml:space="preserve"> dell’ordinanza</w:t>
      </w:r>
      <w:r w:rsidR="00BE3776" w:rsidRPr="00B208E4">
        <w:rPr>
          <w:rFonts w:ascii="Calibri" w:eastAsia="Times New Roman" w:hAnsi="Calibri" w:cs="Segoe UI"/>
          <w:color w:val="1F4E79" w:themeColor="accent1" w:themeShade="80"/>
          <w:sz w:val="28"/>
          <w:szCs w:val="28"/>
          <w:lang w:eastAsia="it-IT"/>
        </w:rPr>
        <w:t>, si potrebbe ricavare l’</w:t>
      </w:r>
      <w:r w:rsidR="006279CB" w:rsidRPr="00B208E4">
        <w:rPr>
          <w:rFonts w:ascii="Calibri" w:eastAsia="Times New Roman" w:hAnsi="Calibri" w:cs="Segoe UI"/>
          <w:color w:val="1F4E79" w:themeColor="accent1" w:themeShade="80"/>
          <w:sz w:val="28"/>
          <w:szCs w:val="28"/>
          <w:lang w:eastAsia="it-IT"/>
        </w:rPr>
        <w:t xml:space="preserve">impressione che </w:t>
      </w:r>
      <w:r w:rsidR="002D1704" w:rsidRPr="00B208E4">
        <w:rPr>
          <w:rFonts w:ascii="Calibri" w:eastAsia="Times New Roman" w:hAnsi="Calibri" w:cs="Segoe UI"/>
          <w:color w:val="1F4E79" w:themeColor="accent1" w:themeShade="80"/>
          <w:sz w:val="28"/>
          <w:szCs w:val="28"/>
          <w:lang w:eastAsia="it-IT"/>
        </w:rPr>
        <w:t xml:space="preserve">l’impugnata pronuncia del Consiglio di Stato costituisca un esempio </w:t>
      </w:r>
      <w:r w:rsidR="00E06176">
        <w:rPr>
          <w:rFonts w:ascii="Calibri" w:eastAsia="Times New Roman" w:hAnsi="Calibri" w:cs="Segoe UI"/>
          <w:color w:val="1F4E79" w:themeColor="accent1" w:themeShade="80"/>
          <w:sz w:val="28"/>
          <w:szCs w:val="28"/>
          <w:lang w:eastAsia="it-IT"/>
        </w:rPr>
        <w:t xml:space="preserve">eclatante </w:t>
      </w:r>
      <w:r w:rsidR="002D1704" w:rsidRPr="00B208E4">
        <w:rPr>
          <w:rFonts w:ascii="Calibri" w:eastAsia="Times New Roman" w:hAnsi="Calibri" w:cs="Segoe UI"/>
          <w:color w:val="1F4E79" w:themeColor="accent1" w:themeShade="80"/>
          <w:sz w:val="28"/>
          <w:szCs w:val="28"/>
          <w:lang w:eastAsia="it-IT"/>
        </w:rPr>
        <w:t>di ingiustificata ritrosia del giudice amministrativo a considerare attentamente la portata del diritto europeo, in un contesto già particolarmente arato dalla giurisprudenza del Lussembu</w:t>
      </w:r>
      <w:r w:rsidR="00AF609D" w:rsidRPr="00B208E4">
        <w:rPr>
          <w:rFonts w:ascii="Calibri" w:eastAsia="Times New Roman" w:hAnsi="Calibri" w:cs="Segoe UI"/>
          <w:color w:val="1F4E79" w:themeColor="accent1" w:themeShade="80"/>
          <w:sz w:val="28"/>
          <w:szCs w:val="28"/>
          <w:lang w:eastAsia="it-IT"/>
        </w:rPr>
        <w:t xml:space="preserve">rgo, nel </w:t>
      </w:r>
      <w:r w:rsidR="00006E43">
        <w:rPr>
          <w:rFonts w:ascii="Calibri" w:eastAsia="Times New Roman" w:hAnsi="Calibri" w:cs="Segoe UI"/>
          <w:color w:val="1F4E79" w:themeColor="accent1" w:themeShade="80"/>
          <w:sz w:val="28"/>
          <w:szCs w:val="28"/>
          <w:lang w:eastAsia="it-IT"/>
        </w:rPr>
        <w:t xml:space="preserve">fitto </w:t>
      </w:r>
      <w:r w:rsidR="00AF609D" w:rsidRPr="00B208E4">
        <w:rPr>
          <w:rFonts w:ascii="Calibri" w:eastAsia="Times New Roman" w:hAnsi="Calibri" w:cs="Segoe UI"/>
          <w:color w:val="1F4E79" w:themeColor="accent1" w:themeShade="80"/>
          <w:sz w:val="28"/>
          <w:szCs w:val="28"/>
          <w:lang w:eastAsia="it-IT"/>
        </w:rPr>
        <w:t>dialogo con l’Adunanza Plenaria del Consiglio di Stato.</w:t>
      </w:r>
    </w:p>
    <w:p w:rsidR="00381152" w:rsidRPr="00B208E4" w:rsidRDefault="00AF609D"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La vicenda controversa, infatti, pare inquadrarsi, con poche peculiarità</w:t>
      </w:r>
      <w:r w:rsidR="00E06176">
        <w:rPr>
          <w:rFonts w:ascii="Calibri" w:eastAsia="Times New Roman" w:hAnsi="Calibri" w:cs="Segoe UI"/>
          <w:color w:val="1F4E79" w:themeColor="accent1" w:themeShade="80"/>
          <w:sz w:val="28"/>
          <w:szCs w:val="28"/>
          <w:lang w:eastAsia="it-IT"/>
        </w:rPr>
        <w:t>,</w:t>
      </w:r>
      <w:r w:rsidR="00F6588E" w:rsidRPr="00B208E4">
        <w:rPr>
          <w:rFonts w:ascii="Calibri" w:eastAsia="Times New Roman" w:hAnsi="Calibri" w:cs="Segoe UI"/>
          <w:color w:val="1F4E79" w:themeColor="accent1" w:themeShade="80"/>
          <w:sz w:val="28"/>
          <w:szCs w:val="28"/>
          <w:lang w:eastAsia="it-IT"/>
        </w:rPr>
        <w:t xml:space="preserve"> nella </w:t>
      </w:r>
      <w:r w:rsidR="00006E43">
        <w:rPr>
          <w:rFonts w:ascii="Calibri" w:eastAsia="Times New Roman" w:hAnsi="Calibri" w:cs="Segoe UI"/>
          <w:color w:val="1F4E79" w:themeColor="accent1" w:themeShade="80"/>
          <w:sz w:val="28"/>
          <w:szCs w:val="28"/>
          <w:lang w:eastAsia="it-IT"/>
        </w:rPr>
        <w:t xml:space="preserve">risalente </w:t>
      </w:r>
      <w:r w:rsidR="00F6588E" w:rsidRPr="00B208E4">
        <w:rPr>
          <w:rFonts w:ascii="Calibri" w:eastAsia="Times New Roman" w:hAnsi="Calibri" w:cs="Segoe UI"/>
          <w:color w:val="1F4E79" w:themeColor="accent1" w:themeShade="80"/>
          <w:sz w:val="28"/>
          <w:szCs w:val="28"/>
          <w:lang w:eastAsia="it-IT"/>
        </w:rPr>
        <w:t xml:space="preserve">problematica relativa alla legittimazione al ricorso dell’operatore economico escluso legittimamente da una gara per l’affidamento di un contratto pubblico, che faccia valere il proprio interesse strumentale alla caducazione dell’intera procedura </w:t>
      </w:r>
      <w:r w:rsidR="00381152" w:rsidRPr="00B208E4">
        <w:rPr>
          <w:rFonts w:ascii="Calibri" w:eastAsia="Times New Roman" w:hAnsi="Calibri" w:cs="Segoe UI"/>
          <w:color w:val="1F4E79" w:themeColor="accent1" w:themeShade="80"/>
          <w:sz w:val="28"/>
          <w:szCs w:val="28"/>
          <w:lang w:eastAsia="it-IT"/>
        </w:rPr>
        <w:t xml:space="preserve">e alla tutela della </w:t>
      </w:r>
      <w:r w:rsidR="00381152" w:rsidRPr="00006E43">
        <w:rPr>
          <w:rFonts w:ascii="Calibri" w:eastAsia="Times New Roman" w:hAnsi="Calibri" w:cs="Segoe UI"/>
          <w:i/>
          <w:color w:val="1F4E79" w:themeColor="accent1" w:themeShade="80"/>
          <w:sz w:val="28"/>
          <w:szCs w:val="28"/>
          <w:lang w:eastAsia="it-IT"/>
        </w:rPr>
        <w:t>chance</w:t>
      </w:r>
      <w:r w:rsidR="00381152" w:rsidRPr="00B208E4">
        <w:rPr>
          <w:rFonts w:ascii="Calibri" w:eastAsia="Times New Roman" w:hAnsi="Calibri" w:cs="Segoe UI"/>
          <w:color w:val="1F4E79" w:themeColor="accent1" w:themeShade="80"/>
          <w:sz w:val="28"/>
          <w:szCs w:val="28"/>
          <w:lang w:eastAsia="it-IT"/>
        </w:rPr>
        <w:t xml:space="preserve"> di ottenere l’appalto</w:t>
      </w:r>
      <w:r w:rsidR="00E06176">
        <w:rPr>
          <w:rFonts w:ascii="Calibri" w:eastAsia="Times New Roman" w:hAnsi="Calibri" w:cs="Segoe UI"/>
          <w:color w:val="1F4E79" w:themeColor="accent1" w:themeShade="80"/>
          <w:sz w:val="28"/>
          <w:szCs w:val="28"/>
          <w:lang w:eastAsia="it-IT"/>
        </w:rPr>
        <w:t>, all’esito di una nuova procedura di</w:t>
      </w:r>
      <w:r w:rsidR="00006E43">
        <w:rPr>
          <w:rFonts w:ascii="Calibri" w:eastAsia="Times New Roman" w:hAnsi="Calibri" w:cs="Segoe UI"/>
          <w:color w:val="1F4E79" w:themeColor="accent1" w:themeShade="80"/>
          <w:sz w:val="28"/>
          <w:szCs w:val="28"/>
          <w:lang w:eastAsia="it-IT"/>
        </w:rPr>
        <w:t xml:space="preserve"> affidamento</w:t>
      </w:r>
      <w:r w:rsidR="00381152" w:rsidRPr="00B208E4">
        <w:rPr>
          <w:rFonts w:ascii="Calibri" w:eastAsia="Times New Roman" w:hAnsi="Calibri" w:cs="Segoe UI"/>
          <w:color w:val="1F4E79" w:themeColor="accent1" w:themeShade="80"/>
          <w:sz w:val="28"/>
          <w:szCs w:val="28"/>
          <w:lang w:eastAsia="it-IT"/>
        </w:rPr>
        <w:t>.</w:t>
      </w:r>
    </w:p>
    <w:p w:rsidR="00123880" w:rsidRPr="00B208E4" w:rsidRDefault="003D78B0"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Insomma, la vicenda metterebbe in luce la </w:t>
      </w:r>
      <w:r w:rsidR="00006E43">
        <w:rPr>
          <w:rFonts w:ascii="Calibri" w:eastAsia="Times New Roman" w:hAnsi="Calibri" w:cs="Segoe UI"/>
          <w:color w:val="1F4E79" w:themeColor="accent1" w:themeShade="80"/>
          <w:sz w:val="28"/>
          <w:szCs w:val="28"/>
          <w:lang w:eastAsia="it-IT"/>
        </w:rPr>
        <w:t xml:space="preserve">profonda </w:t>
      </w:r>
      <w:r w:rsidRPr="00B208E4">
        <w:rPr>
          <w:rFonts w:ascii="Calibri" w:eastAsia="Times New Roman" w:hAnsi="Calibri" w:cs="Segoe UI"/>
          <w:color w:val="1F4E79" w:themeColor="accent1" w:themeShade="80"/>
          <w:sz w:val="28"/>
          <w:szCs w:val="28"/>
          <w:lang w:eastAsia="it-IT"/>
        </w:rPr>
        <w:t>“</w:t>
      </w:r>
      <w:r w:rsidRPr="00006E43">
        <w:rPr>
          <w:rFonts w:ascii="Calibri" w:eastAsia="Times New Roman" w:hAnsi="Calibri" w:cs="Segoe UI"/>
          <w:i/>
          <w:color w:val="1F4E79" w:themeColor="accent1" w:themeShade="80"/>
          <w:sz w:val="28"/>
          <w:szCs w:val="28"/>
          <w:lang w:eastAsia="it-IT"/>
        </w:rPr>
        <w:t>crisi</w:t>
      </w:r>
      <w:r w:rsidRPr="00B208E4">
        <w:rPr>
          <w:rFonts w:ascii="Calibri" w:eastAsia="Times New Roman" w:hAnsi="Calibri" w:cs="Segoe UI"/>
          <w:color w:val="1F4E79" w:themeColor="accent1" w:themeShade="80"/>
          <w:sz w:val="28"/>
          <w:szCs w:val="28"/>
          <w:lang w:eastAsia="it-IT"/>
        </w:rPr>
        <w:t>” del sistema italiano</w:t>
      </w:r>
      <w:r w:rsidR="00006E43">
        <w:rPr>
          <w:rFonts w:ascii="Calibri" w:eastAsia="Times New Roman" w:hAnsi="Calibri" w:cs="Segoe UI"/>
          <w:color w:val="1F4E79" w:themeColor="accent1" w:themeShade="80"/>
          <w:sz w:val="28"/>
          <w:szCs w:val="28"/>
          <w:lang w:eastAsia="it-IT"/>
        </w:rPr>
        <w:t xml:space="preserve"> di giustizia amministrativa</w:t>
      </w:r>
      <w:r w:rsidRPr="00B208E4">
        <w:rPr>
          <w:rFonts w:ascii="Calibri" w:eastAsia="Times New Roman" w:hAnsi="Calibri" w:cs="Segoe UI"/>
          <w:color w:val="1F4E79" w:themeColor="accent1" w:themeShade="80"/>
          <w:sz w:val="28"/>
          <w:szCs w:val="28"/>
          <w:lang w:eastAsia="it-IT"/>
        </w:rPr>
        <w:t xml:space="preserve">, incapace di arginare la violazione del </w:t>
      </w:r>
      <w:r w:rsidR="00123880" w:rsidRPr="00B208E4">
        <w:rPr>
          <w:rFonts w:ascii="Calibri" w:eastAsia="Times New Roman" w:hAnsi="Calibri" w:cs="Segoe UI"/>
          <w:color w:val="1F4E79" w:themeColor="accent1" w:themeShade="80"/>
          <w:sz w:val="28"/>
          <w:szCs w:val="28"/>
          <w:lang w:eastAsia="it-IT"/>
        </w:rPr>
        <w:t xml:space="preserve">diritto europeo, concretizzata </w:t>
      </w:r>
      <w:r w:rsidR="00E06176">
        <w:rPr>
          <w:rFonts w:ascii="Calibri" w:eastAsia="Times New Roman" w:hAnsi="Calibri" w:cs="Segoe UI"/>
          <w:color w:val="1F4E79" w:themeColor="accent1" w:themeShade="80"/>
          <w:sz w:val="28"/>
          <w:szCs w:val="28"/>
          <w:lang w:eastAsia="it-IT"/>
        </w:rPr>
        <w:t xml:space="preserve">non in una isolata decisione asseritamente sbagliata, ma, addirittura, </w:t>
      </w:r>
      <w:r w:rsidR="00123880" w:rsidRPr="00B208E4">
        <w:rPr>
          <w:rFonts w:ascii="Calibri" w:eastAsia="Times New Roman" w:hAnsi="Calibri" w:cs="Segoe UI"/>
          <w:color w:val="1F4E79" w:themeColor="accent1" w:themeShade="80"/>
          <w:sz w:val="28"/>
          <w:szCs w:val="28"/>
          <w:lang w:eastAsia="it-IT"/>
        </w:rPr>
        <w:t xml:space="preserve">in una </w:t>
      </w:r>
      <w:r w:rsidR="00123880" w:rsidRPr="00B208E4">
        <w:rPr>
          <w:rFonts w:ascii="Calibri" w:eastAsia="Times New Roman" w:hAnsi="Calibri" w:cs="Segoe UI"/>
          <w:i/>
          <w:color w:val="1F4E79" w:themeColor="accent1" w:themeShade="80"/>
          <w:sz w:val="28"/>
          <w:szCs w:val="28"/>
          <w:lang w:eastAsia="it-IT"/>
        </w:rPr>
        <w:t>prassi interpretativa</w:t>
      </w:r>
      <w:r w:rsidR="00123880" w:rsidRPr="00B208E4">
        <w:rPr>
          <w:rFonts w:ascii="Calibri" w:eastAsia="Times New Roman" w:hAnsi="Calibri" w:cs="Segoe UI"/>
          <w:color w:val="1F4E79" w:themeColor="accent1" w:themeShade="80"/>
          <w:sz w:val="28"/>
          <w:szCs w:val="28"/>
          <w:lang w:eastAsia="it-IT"/>
        </w:rPr>
        <w:t xml:space="preserve"> </w:t>
      </w:r>
      <w:r w:rsidR="00006E43">
        <w:rPr>
          <w:rFonts w:ascii="Calibri" w:eastAsia="Times New Roman" w:hAnsi="Calibri" w:cs="Segoe UI"/>
          <w:color w:val="1F4E79" w:themeColor="accent1" w:themeShade="80"/>
          <w:sz w:val="28"/>
          <w:szCs w:val="28"/>
          <w:lang w:eastAsia="it-IT"/>
        </w:rPr>
        <w:t xml:space="preserve">ritenuta </w:t>
      </w:r>
      <w:r w:rsidR="00123880" w:rsidRPr="00B208E4">
        <w:rPr>
          <w:rFonts w:ascii="Calibri" w:eastAsia="Times New Roman" w:hAnsi="Calibri" w:cs="Segoe UI"/>
          <w:color w:val="1F4E79" w:themeColor="accent1" w:themeShade="80"/>
          <w:sz w:val="28"/>
          <w:szCs w:val="28"/>
          <w:lang w:eastAsia="it-IT"/>
        </w:rPr>
        <w:t>contraria alla</w:t>
      </w:r>
      <w:r w:rsidR="00006E43">
        <w:rPr>
          <w:rFonts w:ascii="Calibri" w:eastAsia="Times New Roman" w:hAnsi="Calibri" w:cs="Segoe UI"/>
          <w:color w:val="1F4E79" w:themeColor="accent1" w:themeShade="80"/>
          <w:sz w:val="28"/>
          <w:szCs w:val="28"/>
          <w:lang w:eastAsia="it-IT"/>
        </w:rPr>
        <w:t xml:space="preserve"> granitica</w:t>
      </w:r>
      <w:r w:rsidR="00123880" w:rsidRPr="00B208E4">
        <w:rPr>
          <w:rFonts w:ascii="Calibri" w:eastAsia="Times New Roman" w:hAnsi="Calibri" w:cs="Segoe UI"/>
          <w:color w:val="1F4E79" w:themeColor="accent1" w:themeShade="80"/>
          <w:sz w:val="28"/>
          <w:szCs w:val="28"/>
          <w:lang w:eastAsia="it-IT"/>
        </w:rPr>
        <w:t xml:space="preserve"> giurisprudenza della CGUE.</w:t>
      </w:r>
      <w:r w:rsidR="000C238C" w:rsidRPr="00B208E4">
        <w:rPr>
          <w:rStyle w:val="Rimandonotaapidipagina"/>
          <w:rFonts w:ascii="Calibri" w:eastAsia="Times New Roman" w:hAnsi="Calibri" w:cs="Segoe UI"/>
          <w:color w:val="1F4E79" w:themeColor="accent1" w:themeShade="80"/>
          <w:sz w:val="28"/>
          <w:szCs w:val="28"/>
          <w:lang w:eastAsia="it-IT"/>
        </w:rPr>
        <w:footnoteReference w:id="60"/>
      </w:r>
    </w:p>
    <w:p w:rsidR="00BF33F1" w:rsidRPr="00B208E4" w:rsidRDefault="004751BA"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Resterebbe da chiedersi, allora, perché l’ordinanza, pur se</w:t>
      </w:r>
      <w:r w:rsidR="00D26BD0" w:rsidRPr="00B208E4">
        <w:rPr>
          <w:rFonts w:ascii="Calibri" w:eastAsia="Times New Roman" w:hAnsi="Calibri" w:cs="Segoe UI"/>
          <w:color w:val="1F4E79" w:themeColor="accent1" w:themeShade="80"/>
          <w:sz w:val="28"/>
          <w:szCs w:val="28"/>
          <w:lang w:eastAsia="it-IT"/>
        </w:rPr>
        <w:t>mbrando vistosamente orientata a ritenere che l’impugnata sentenza del Consiglio di Stato non sia conforme ai parametri sanciti dal diritto UE</w:t>
      </w:r>
      <w:r w:rsidR="00BF33F1" w:rsidRPr="00B208E4">
        <w:rPr>
          <w:rFonts w:ascii="Calibri" w:eastAsia="Times New Roman" w:hAnsi="Calibri" w:cs="Segoe UI"/>
          <w:color w:val="1F4E79" w:themeColor="accent1" w:themeShade="80"/>
          <w:sz w:val="28"/>
          <w:szCs w:val="28"/>
          <w:lang w:eastAsia="it-IT"/>
        </w:rPr>
        <w:t>, manifesti, al tempo stesso, l’esigenza di sottoporre un quesito alla CGUE</w:t>
      </w:r>
      <w:r w:rsidR="00E06176">
        <w:rPr>
          <w:rFonts w:ascii="Calibri" w:eastAsia="Times New Roman" w:hAnsi="Calibri" w:cs="Segoe UI"/>
          <w:color w:val="1F4E79" w:themeColor="accent1" w:themeShade="80"/>
          <w:sz w:val="28"/>
          <w:szCs w:val="28"/>
          <w:lang w:eastAsia="it-IT"/>
        </w:rPr>
        <w:t>, ancorché formulato in termini schematici ed assertori</w:t>
      </w:r>
      <w:r w:rsidR="00BF33F1" w:rsidRPr="00B208E4">
        <w:rPr>
          <w:rFonts w:ascii="Calibri" w:eastAsia="Times New Roman" w:hAnsi="Calibri" w:cs="Segoe UI"/>
          <w:color w:val="1F4E79" w:themeColor="accent1" w:themeShade="80"/>
          <w:sz w:val="28"/>
          <w:szCs w:val="28"/>
          <w:lang w:eastAsia="it-IT"/>
        </w:rPr>
        <w:t>.</w:t>
      </w:r>
    </w:p>
    <w:p w:rsidR="00E23ADB" w:rsidRPr="00B208E4" w:rsidRDefault="00BF33F1"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La scelta, che potrebbe apparire contraddittoria, sembra finalizzata ad ottenere </w:t>
      </w:r>
      <w:r w:rsidR="00E23ADB" w:rsidRPr="00B208E4">
        <w:rPr>
          <w:rFonts w:ascii="Calibri" w:eastAsia="Times New Roman" w:hAnsi="Calibri" w:cs="Segoe UI"/>
          <w:color w:val="1F4E79" w:themeColor="accent1" w:themeShade="80"/>
          <w:sz w:val="28"/>
          <w:szCs w:val="28"/>
          <w:lang w:eastAsia="it-IT"/>
        </w:rPr>
        <w:t>una statuizione di principio da parte del</w:t>
      </w:r>
      <w:r w:rsidR="00006E43">
        <w:rPr>
          <w:rFonts w:ascii="Calibri" w:eastAsia="Times New Roman" w:hAnsi="Calibri" w:cs="Segoe UI"/>
          <w:color w:val="1F4E79" w:themeColor="accent1" w:themeShade="80"/>
          <w:sz w:val="28"/>
          <w:szCs w:val="28"/>
          <w:lang w:eastAsia="it-IT"/>
        </w:rPr>
        <w:t>la CGUE</w:t>
      </w:r>
      <w:r w:rsidR="00E23ADB" w:rsidRPr="00B208E4">
        <w:rPr>
          <w:rFonts w:ascii="Calibri" w:eastAsia="Times New Roman" w:hAnsi="Calibri" w:cs="Segoe UI"/>
          <w:color w:val="1F4E79" w:themeColor="accent1" w:themeShade="80"/>
          <w:sz w:val="28"/>
          <w:szCs w:val="28"/>
          <w:lang w:eastAsia="it-IT"/>
        </w:rPr>
        <w:t>, capace di vincolare, per il futuro, il giudice amministrativo</w:t>
      </w:r>
      <w:r w:rsidR="00E23ADB" w:rsidRPr="00B208E4">
        <w:rPr>
          <w:rStyle w:val="Rimandonotaapidipagina"/>
          <w:rFonts w:ascii="Calibri" w:eastAsia="Times New Roman" w:hAnsi="Calibri" w:cs="Segoe UI"/>
          <w:color w:val="1F4E79" w:themeColor="accent1" w:themeShade="80"/>
          <w:sz w:val="28"/>
          <w:szCs w:val="28"/>
          <w:lang w:eastAsia="it-IT"/>
        </w:rPr>
        <w:footnoteReference w:id="61"/>
      </w:r>
      <w:r w:rsidR="00E23ADB" w:rsidRPr="00B208E4">
        <w:rPr>
          <w:rFonts w:ascii="Calibri" w:eastAsia="Times New Roman" w:hAnsi="Calibri" w:cs="Segoe UI"/>
          <w:color w:val="1F4E79" w:themeColor="accent1" w:themeShade="80"/>
          <w:sz w:val="28"/>
          <w:szCs w:val="28"/>
          <w:lang w:eastAsia="it-IT"/>
        </w:rPr>
        <w:t>.</w:t>
      </w:r>
      <w:r w:rsidR="00387E68" w:rsidRPr="00B208E4">
        <w:rPr>
          <w:rFonts w:ascii="Calibri" w:eastAsia="Times New Roman" w:hAnsi="Calibri" w:cs="Segoe UI"/>
          <w:color w:val="1F4E79" w:themeColor="accent1" w:themeShade="80"/>
          <w:sz w:val="28"/>
          <w:szCs w:val="28"/>
          <w:lang w:eastAsia="it-IT"/>
        </w:rPr>
        <w:t xml:space="preserve"> Dunque, in questa prospettiva, la strada seguita dalla Cassazione </w:t>
      </w:r>
      <w:r w:rsidR="00E06176">
        <w:rPr>
          <w:rFonts w:ascii="Calibri" w:eastAsia="Times New Roman" w:hAnsi="Calibri" w:cs="Segoe UI"/>
          <w:color w:val="1F4E79" w:themeColor="accent1" w:themeShade="80"/>
          <w:sz w:val="28"/>
          <w:szCs w:val="28"/>
          <w:lang w:eastAsia="it-IT"/>
        </w:rPr>
        <w:t>appare</w:t>
      </w:r>
      <w:r w:rsidR="00387E68" w:rsidRPr="00B208E4">
        <w:rPr>
          <w:rFonts w:ascii="Calibri" w:eastAsia="Times New Roman" w:hAnsi="Calibri" w:cs="Segoe UI"/>
          <w:color w:val="1F4E79" w:themeColor="accent1" w:themeShade="80"/>
          <w:sz w:val="28"/>
          <w:szCs w:val="28"/>
          <w:lang w:eastAsia="it-IT"/>
        </w:rPr>
        <w:t xml:space="preserve"> pienamente apprezzabile.</w:t>
      </w:r>
    </w:p>
    <w:p w:rsidR="00967D9D" w:rsidRDefault="00E07B1C"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Sia</w:t>
      </w:r>
      <w:r w:rsidR="00E06176">
        <w:rPr>
          <w:rFonts w:ascii="Calibri" w:eastAsia="Times New Roman" w:hAnsi="Calibri" w:cs="Segoe UI"/>
          <w:color w:val="1F4E79" w:themeColor="accent1" w:themeShade="80"/>
          <w:sz w:val="28"/>
          <w:szCs w:val="28"/>
          <w:lang w:eastAsia="it-IT"/>
        </w:rPr>
        <w:t xml:space="preserve"> consentita</w:t>
      </w:r>
      <w:r w:rsidR="00677110" w:rsidRPr="00B208E4">
        <w:rPr>
          <w:rFonts w:ascii="Calibri" w:eastAsia="Times New Roman" w:hAnsi="Calibri" w:cs="Segoe UI"/>
          <w:color w:val="1F4E79" w:themeColor="accent1" w:themeShade="80"/>
          <w:sz w:val="28"/>
          <w:szCs w:val="28"/>
          <w:lang w:eastAsia="it-IT"/>
        </w:rPr>
        <w:t xml:space="preserve">, però, </w:t>
      </w:r>
      <w:r w:rsidRPr="00B208E4">
        <w:rPr>
          <w:rFonts w:ascii="Calibri" w:eastAsia="Times New Roman" w:hAnsi="Calibri" w:cs="Segoe UI"/>
          <w:color w:val="1F4E79" w:themeColor="accent1" w:themeShade="80"/>
          <w:sz w:val="28"/>
          <w:szCs w:val="28"/>
          <w:lang w:eastAsia="it-IT"/>
        </w:rPr>
        <w:t>una considerazione</w:t>
      </w:r>
      <w:r w:rsidR="00E06176">
        <w:rPr>
          <w:rFonts w:ascii="Calibri" w:eastAsia="Times New Roman" w:hAnsi="Calibri" w:cs="Segoe UI"/>
          <w:color w:val="1F4E79" w:themeColor="accent1" w:themeShade="80"/>
          <w:sz w:val="28"/>
          <w:szCs w:val="28"/>
          <w:lang w:eastAsia="it-IT"/>
        </w:rPr>
        <w:t xml:space="preserve"> critica</w:t>
      </w:r>
      <w:r w:rsidRPr="00B208E4">
        <w:rPr>
          <w:rFonts w:ascii="Calibri" w:eastAsia="Times New Roman" w:hAnsi="Calibri" w:cs="Segoe UI"/>
          <w:color w:val="1F4E79" w:themeColor="accent1" w:themeShade="80"/>
          <w:sz w:val="28"/>
          <w:szCs w:val="28"/>
          <w:lang w:eastAsia="it-IT"/>
        </w:rPr>
        <w:t>.</w:t>
      </w:r>
    </w:p>
    <w:p w:rsidR="00677110" w:rsidRDefault="00E07B1C"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Nella </w:t>
      </w:r>
      <w:r w:rsidR="00677110" w:rsidRPr="00B208E4">
        <w:rPr>
          <w:rFonts w:ascii="Calibri" w:eastAsia="Times New Roman" w:hAnsi="Calibri" w:cs="Segoe UI"/>
          <w:color w:val="1F4E79" w:themeColor="accent1" w:themeShade="80"/>
          <w:sz w:val="28"/>
          <w:szCs w:val="28"/>
          <w:lang w:eastAsia="it-IT"/>
        </w:rPr>
        <w:t xml:space="preserve">materia della legittimazione al ricorso, l’impostazione </w:t>
      </w:r>
      <w:r w:rsidR="00DE03D3" w:rsidRPr="00B208E4">
        <w:rPr>
          <w:rFonts w:ascii="Calibri" w:eastAsia="Times New Roman" w:hAnsi="Calibri" w:cs="Segoe UI"/>
          <w:color w:val="1F4E79" w:themeColor="accent1" w:themeShade="80"/>
          <w:sz w:val="28"/>
          <w:szCs w:val="28"/>
          <w:lang w:eastAsia="it-IT"/>
        </w:rPr>
        <w:t xml:space="preserve">decisamente </w:t>
      </w:r>
      <w:r w:rsidR="00677110" w:rsidRPr="00B208E4">
        <w:rPr>
          <w:rFonts w:ascii="Calibri" w:eastAsia="Times New Roman" w:hAnsi="Calibri" w:cs="Segoe UI"/>
          <w:color w:val="1F4E79" w:themeColor="accent1" w:themeShade="80"/>
          <w:sz w:val="28"/>
          <w:szCs w:val="28"/>
          <w:lang w:eastAsia="it-IT"/>
        </w:rPr>
        <w:t xml:space="preserve">ampliatrice voluta dalla CGUE risulta sufficientemente </w:t>
      </w:r>
      <w:r w:rsidR="00DE03D3" w:rsidRPr="00B208E4">
        <w:rPr>
          <w:rFonts w:ascii="Calibri" w:eastAsia="Times New Roman" w:hAnsi="Calibri" w:cs="Segoe UI"/>
          <w:color w:val="1F4E79" w:themeColor="accent1" w:themeShade="80"/>
          <w:sz w:val="28"/>
          <w:szCs w:val="28"/>
          <w:lang w:eastAsia="it-IT"/>
        </w:rPr>
        <w:t xml:space="preserve">consolidata, sicché potrebbe risultare poco utile promuovere </w:t>
      </w:r>
      <w:r w:rsidR="000A6D8D" w:rsidRPr="00B208E4">
        <w:rPr>
          <w:rFonts w:ascii="Calibri" w:eastAsia="Times New Roman" w:hAnsi="Calibri" w:cs="Segoe UI"/>
          <w:color w:val="1F4E79" w:themeColor="accent1" w:themeShade="80"/>
          <w:sz w:val="28"/>
          <w:szCs w:val="28"/>
          <w:lang w:eastAsia="it-IT"/>
        </w:rPr>
        <w:t>interrogativi specifici, riferiti a fattispecie solo parzialmente diverse da quelle esaminate nei precedenti dalla Corte, a meno che non si voglia</w:t>
      </w:r>
      <w:r w:rsidR="00CC6739">
        <w:rPr>
          <w:rFonts w:ascii="Calibri" w:eastAsia="Times New Roman" w:hAnsi="Calibri" w:cs="Segoe UI"/>
          <w:color w:val="1F4E79" w:themeColor="accent1" w:themeShade="80"/>
          <w:sz w:val="28"/>
          <w:szCs w:val="28"/>
          <w:lang w:eastAsia="it-IT"/>
        </w:rPr>
        <w:t>no</w:t>
      </w:r>
      <w:r w:rsidR="000A6D8D" w:rsidRPr="00B208E4">
        <w:rPr>
          <w:rFonts w:ascii="Calibri" w:eastAsia="Times New Roman" w:hAnsi="Calibri" w:cs="Segoe UI"/>
          <w:color w:val="1F4E79" w:themeColor="accent1" w:themeShade="80"/>
          <w:sz w:val="28"/>
          <w:szCs w:val="28"/>
          <w:lang w:eastAsia="it-IT"/>
        </w:rPr>
        <w:t xml:space="preserve"> evidenziare con chiarezza le ragioni del dubbio. Nella formulazione del quesito in esame, di contro, l’ordinanza non indica, nemmeno ipoteticamente, quali conseguenze potrebbe determinare la </w:t>
      </w:r>
      <w:r w:rsidR="00E83DB1" w:rsidRPr="00B208E4">
        <w:rPr>
          <w:rFonts w:ascii="Calibri" w:eastAsia="Times New Roman" w:hAnsi="Calibri" w:cs="Segoe UI"/>
          <w:color w:val="1F4E79" w:themeColor="accent1" w:themeShade="80"/>
          <w:sz w:val="28"/>
          <w:szCs w:val="28"/>
          <w:lang w:eastAsia="it-IT"/>
        </w:rPr>
        <w:t>riscontrata differenza della fattispecie esaminata</w:t>
      </w:r>
      <w:r w:rsidR="00006E43">
        <w:rPr>
          <w:rFonts w:ascii="Calibri" w:eastAsia="Times New Roman" w:hAnsi="Calibri" w:cs="Segoe UI"/>
          <w:color w:val="1F4E79" w:themeColor="accent1" w:themeShade="80"/>
          <w:sz w:val="28"/>
          <w:szCs w:val="28"/>
          <w:lang w:eastAsia="it-IT"/>
        </w:rPr>
        <w:t>, rispetto ai casi già affrontati dalla giurisprudenza comunitaria</w:t>
      </w:r>
      <w:r w:rsidR="00E83DB1" w:rsidRPr="00B208E4">
        <w:rPr>
          <w:rFonts w:ascii="Calibri" w:eastAsia="Times New Roman" w:hAnsi="Calibri" w:cs="Segoe UI"/>
          <w:color w:val="1F4E79" w:themeColor="accent1" w:themeShade="80"/>
          <w:sz w:val="28"/>
          <w:szCs w:val="28"/>
          <w:lang w:eastAsia="it-IT"/>
        </w:rPr>
        <w:t>.</w:t>
      </w:r>
    </w:p>
    <w:p w:rsidR="00006E43" w:rsidRPr="00B208E4" w:rsidRDefault="00006E43"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 xml:space="preserve">E, come si dirà più avanti, molteplici elementi avrebbero potuto suggerire la proposizione di un quesito più articolato e maggiormente aderente al caso controverso. </w:t>
      </w:r>
    </w:p>
    <w:p w:rsidR="00292E88" w:rsidRPr="00B208E4" w:rsidRDefault="00292E88"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Un altro aspetto che merita approfondimento riguarda l’individuazione della normativa italiana che si assume in contrasto con il diritto europeo.</w:t>
      </w:r>
    </w:p>
    <w:p w:rsidR="001821FC" w:rsidRPr="00B208E4" w:rsidRDefault="00292E88"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L’ordinanza non menziona specifici articoli </w:t>
      </w:r>
      <w:r w:rsidR="001821FC" w:rsidRPr="00B208E4">
        <w:rPr>
          <w:rFonts w:ascii="Calibri" w:eastAsia="Times New Roman" w:hAnsi="Calibri" w:cs="Segoe UI"/>
          <w:color w:val="1F4E79" w:themeColor="accent1" w:themeShade="80"/>
          <w:sz w:val="28"/>
          <w:szCs w:val="28"/>
          <w:lang w:eastAsia="it-IT"/>
        </w:rPr>
        <w:t>del codice del processo amministrativo, richiamando</w:t>
      </w:r>
      <w:r w:rsidR="00E06176">
        <w:rPr>
          <w:rFonts w:ascii="Calibri" w:eastAsia="Times New Roman" w:hAnsi="Calibri" w:cs="Segoe UI"/>
          <w:color w:val="1F4E79" w:themeColor="accent1" w:themeShade="80"/>
          <w:sz w:val="28"/>
          <w:szCs w:val="28"/>
          <w:lang w:eastAsia="it-IT"/>
        </w:rPr>
        <w:t xml:space="preserve"> solo</w:t>
      </w:r>
      <w:r w:rsidR="001821FC" w:rsidRPr="00B208E4">
        <w:rPr>
          <w:rFonts w:ascii="Calibri" w:eastAsia="Times New Roman" w:hAnsi="Calibri" w:cs="Segoe UI"/>
          <w:color w:val="1F4E79" w:themeColor="accent1" w:themeShade="80"/>
          <w:sz w:val="28"/>
          <w:szCs w:val="28"/>
          <w:lang w:eastAsia="it-IT"/>
        </w:rPr>
        <w:t xml:space="preserve"> la “</w:t>
      </w:r>
      <w:r w:rsidR="001821FC" w:rsidRPr="00B208E4">
        <w:rPr>
          <w:rFonts w:ascii="Calibri" w:eastAsia="Times New Roman" w:hAnsi="Calibri" w:cs="Segoe UI"/>
          <w:i/>
          <w:color w:val="1F4E79" w:themeColor="accent1" w:themeShade="80"/>
          <w:sz w:val="28"/>
          <w:szCs w:val="28"/>
          <w:lang w:eastAsia="it-IT"/>
        </w:rPr>
        <w:t>prassi interpretativa</w:t>
      </w:r>
      <w:r w:rsidR="001821FC" w:rsidRPr="00B208E4">
        <w:rPr>
          <w:rFonts w:ascii="Calibri" w:eastAsia="Times New Roman" w:hAnsi="Calibri" w:cs="Segoe UI"/>
          <w:color w:val="1F4E79" w:themeColor="accent1" w:themeShade="80"/>
          <w:sz w:val="28"/>
          <w:szCs w:val="28"/>
          <w:lang w:eastAsia="it-IT"/>
        </w:rPr>
        <w:t>” del Consiglio di Stato.</w:t>
      </w:r>
    </w:p>
    <w:p w:rsidR="00E37DAC" w:rsidRPr="00B208E4" w:rsidRDefault="00E37DAC"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Questa formulazione non è inusuale</w:t>
      </w:r>
      <w:r w:rsidR="00E06176">
        <w:rPr>
          <w:rFonts w:ascii="Calibri" w:eastAsia="Times New Roman" w:hAnsi="Calibri" w:cs="Segoe UI"/>
          <w:color w:val="1F4E79" w:themeColor="accent1" w:themeShade="80"/>
          <w:sz w:val="28"/>
          <w:szCs w:val="28"/>
          <w:lang w:eastAsia="it-IT"/>
        </w:rPr>
        <w:t xml:space="preserve"> nelle ordinanze di rinvio</w:t>
      </w:r>
      <w:r w:rsidRPr="00B208E4">
        <w:rPr>
          <w:rFonts w:ascii="Calibri" w:eastAsia="Times New Roman" w:hAnsi="Calibri" w:cs="Segoe UI"/>
          <w:color w:val="1F4E79" w:themeColor="accent1" w:themeShade="80"/>
          <w:sz w:val="28"/>
          <w:szCs w:val="28"/>
          <w:lang w:eastAsia="it-IT"/>
        </w:rPr>
        <w:t xml:space="preserve">, </w:t>
      </w:r>
      <w:r w:rsidR="003C5AED">
        <w:rPr>
          <w:rFonts w:ascii="Calibri" w:eastAsia="Times New Roman" w:hAnsi="Calibri" w:cs="Segoe UI"/>
          <w:color w:val="1F4E79" w:themeColor="accent1" w:themeShade="80"/>
          <w:sz w:val="28"/>
          <w:szCs w:val="28"/>
          <w:lang w:eastAsia="it-IT"/>
        </w:rPr>
        <w:t>e viene utilizzata anche dalla stessa CGUE</w:t>
      </w:r>
      <w:r w:rsidR="003C5AED">
        <w:rPr>
          <w:rStyle w:val="Rimandonotaapidipagina"/>
          <w:rFonts w:ascii="Calibri" w:eastAsia="Times New Roman" w:hAnsi="Calibri" w:cs="Segoe UI"/>
          <w:color w:val="1F4E79" w:themeColor="accent1" w:themeShade="80"/>
          <w:sz w:val="28"/>
          <w:szCs w:val="28"/>
          <w:lang w:eastAsia="it-IT"/>
        </w:rPr>
        <w:footnoteReference w:id="62"/>
      </w:r>
      <w:r w:rsidR="003C5AED">
        <w:rPr>
          <w:rFonts w:ascii="Calibri" w:eastAsia="Times New Roman" w:hAnsi="Calibri" w:cs="Segoe UI"/>
          <w:color w:val="1F4E79" w:themeColor="accent1" w:themeShade="80"/>
          <w:sz w:val="28"/>
          <w:szCs w:val="28"/>
          <w:lang w:eastAsia="it-IT"/>
        </w:rPr>
        <w:t xml:space="preserve"> </w:t>
      </w:r>
      <w:r w:rsidRPr="00B208E4">
        <w:rPr>
          <w:rFonts w:ascii="Calibri" w:eastAsia="Times New Roman" w:hAnsi="Calibri" w:cs="Segoe UI"/>
          <w:color w:val="1F4E79" w:themeColor="accent1" w:themeShade="80"/>
          <w:sz w:val="28"/>
          <w:szCs w:val="28"/>
          <w:lang w:eastAsia="it-IT"/>
        </w:rPr>
        <w:t>ma è suscettibi</w:t>
      </w:r>
      <w:r w:rsidR="00E06176">
        <w:rPr>
          <w:rFonts w:ascii="Calibri" w:eastAsia="Times New Roman" w:hAnsi="Calibri" w:cs="Segoe UI"/>
          <w:color w:val="1F4E79" w:themeColor="accent1" w:themeShade="80"/>
          <w:sz w:val="28"/>
          <w:szCs w:val="28"/>
          <w:lang w:eastAsia="it-IT"/>
        </w:rPr>
        <w:t>le di generare qualche equivoco</w:t>
      </w:r>
      <w:r w:rsidR="00E06176">
        <w:rPr>
          <w:rStyle w:val="Rimandonotaapidipagina"/>
          <w:rFonts w:ascii="Calibri" w:eastAsia="Times New Roman" w:hAnsi="Calibri" w:cs="Segoe UI"/>
          <w:color w:val="1F4E79" w:themeColor="accent1" w:themeShade="80"/>
          <w:sz w:val="28"/>
          <w:szCs w:val="28"/>
          <w:lang w:eastAsia="it-IT"/>
        </w:rPr>
        <w:footnoteReference w:id="63"/>
      </w:r>
      <w:r w:rsidR="00E06176">
        <w:rPr>
          <w:rFonts w:ascii="Calibri" w:eastAsia="Times New Roman" w:hAnsi="Calibri" w:cs="Segoe UI"/>
          <w:color w:val="1F4E79" w:themeColor="accent1" w:themeShade="80"/>
          <w:sz w:val="28"/>
          <w:szCs w:val="28"/>
          <w:lang w:eastAsia="it-IT"/>
        </w:rPr>
        <w:t>.</w:t>
      </w:r>
    </w:p>
    <w:p w:rsidR="00E9321A" w:rsidRDefault="001869FC"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Va detto, intanto, che la CGUE non dovrebbe porsi troppi problemi di ammissibilità di una questione formulata in questi termini</w:t>
      </w:r>
      <w:r w:rsidR="00AA320E" w:rsidRPr="00B208E4">
        <w:rPr>
          <w:rFonts w:ascii="Calibri" w:eastAsia="Times New Roman" w:hAnsi="Calibri" w:cs="Segoe UI"/>
          <w:color w:val="1F4E79" w:themeColor="accent1" w:themeShade="80"/>
          <w:sz w:val="28"/>
          <w:szCs w:val="28"/>
          <w:lang w:eastAsia="it-IT"/>
        </w:rPr>
        <w:t>, anche in considerazione della finalità di affermare comunque principi ermeneutici chiari e comprensibili</w:t>
      </w:r>
      <w:r w:rsidR="006D7D5B" w:rsidRPr="00B208E4">
        <w:rPr>
          <w:rFonts w:ascii="Calibri" w:eastAsia="Times New Roman" w:hAnsi="Calibri" w:cs="Segoe UI"/>
          <w:color w:val="1F4E79" w:themeColor="accent1" w:themeShade="80"/>
          <w:sz w:val="28"/>
          <w:szCs w:val="28"/>
          <w:lang w:eastAsia="it-IT"/>
        </w:rPr>
        <w:t xml:space="preserve">, in ordine alla corretta lettura della disciplina </w:t>
      </w:r>
      <w:r w:rsidR="006E1B94">
        <w:rPr>
          <w:rFonts w:ascii="Calibri" w:eastAsia="Times New Roman" w:hAnsi="Calibri" w:cs="Segoe UI"/>
          <w:color w:val="1F4E79" w:themeColor="accent1" w:themeShade="80"/>
          <w:sz w:val="28"/>
          <w:szCs w:val="28"/>
          <w:lang w:eastAsia="it-IT"/>
        </w:rPr>
        <w:t>di derivazione europea</w:t>
      </w:r>
      <w:r w:rsidR="00E9321A">
        <w:rPr>
          <w:rFonts w:ascii="Calibri" w:eastAsia="Times New Roman" w:hAnsi="Calibri" w:cs="Segoe UI"/>
          <w:color w:val="1F4E79" w:themeColor="accent1" w:themeShade="80"/>
          <w:sz w:val="28"/>
          <w:szCs w:val="28"/>
          <w:lang w:eastAsia="it-IT"/>
        </w:rPr>
        <w:t>, anche se forse, avrebbe potuto gradire un’indicazione del quadro di insieme entro cui si colloca, per l’ordinamento italiano, il tema della legittimazione e dell’interesse ad agire</w:t>
      </w:r>
      <w:r w:rsidR="006E1B94">
        <w:rPr>
          <w:rFonts w:ascii="Calibri" w:eastAsia="Times New Roman" w:hAnsi="Calibri" w:cs="Segoe UI"/>
          <w:color w:val="1F4E79" w:themeColor="accent1" w:themeShade="80"/>
          <w:sz w:val="28"/>
          <w:szCs w:val="28"/>
          <w:lang w:eastAsia="it-IT"/>
        </w:rPr>
        <w:t>.</w:t>
      </w:r>
    </w:p>
    <w:p w:rsidR="006D7D5B" w:rsidRPr="00B208E4" w:rsidRDefault="006E1B94"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In altre</w:t>
      </w:r>
      <w:r w:rsidR="006D7D5B" w:rsidRPr="00B208E4">
        <w:rPr>
          <w:rFonts w:ascii="Calibri" w:eastAsia="Times New Roman" w:hAnsi="Calibri" w:cs="Segoe UI"/>
          <w:color w:val="1F4E79" w:themeColor="accent1" w:themeShade="80"/>
          <w:sz w:val="28"/>
          <w:szCs w:val="28"/>
          <w:lang w:eastAsia="it-IT"/>
        </w:rPr>
        <w:t xml:space="preserve"> </w:t>
      </w:r>
      <w:r>
        <w:rPr>
          <w:rFonts w:ascii="Calibri" w:eastAsia="Times New Roman" w:hAnsi="Calibri" w:cs="Segoe UI"/>
          <w:color w:val="1F4E79" w:themeColor="accent1" w:themeShade="80"/>
          <w:sz w:val="28"/>
          <w:szCs w:val="28"/>
          <w:lang w:eastAsia="it-IT"/>
        </w:rPr>
        <w:t>parole</w:t>
      </w:r>
      <w:r w:rsidR="006D7D5B" w:rsidRPr="00B208E4">
        <w:rPr>
          <w:rFonts w:ascii="Calibri" w:eastAsia="Times New Roman" w:hAnsi="Calibri" w:cs="Segoe UI"/>
          <w:color w:val="1F4E79" w:themeColor="accent1" w:themeShade="80"/>
          <w:sz w:val="28"/>
          <w:szCs w:val="28"/>
          <w:lang w:eastAsia="it-IT"/>
        </w:rPr>
        <w:t>, la risposta al quesito</w:t>
      </w:r>
      <w:r w:rsidR="00E9321A">
        <w:rPr>
          <w:rFonts w:ascii="Calibri" w:eastAsia="Times New Roman" w:hAnsi="Calibri" w:cs="Segoe UI"/>
          <w:color w:val="1F4E79" w:themeColor="accent1" w:themeShade="80"/>
          <w:sz w:val="28"/>
          <w:szCs w:val="28"/>
          <w:lang w:eastAsia="it-IT"/>
        </w:rPr>
        <w:t xml:space="preserve"> da parte della CGUE</w:t>
      </w:r>
      <w:r w:rsidR="006D7D5B" w:rsidRPr="00B208E4">
        <w:rPr>
          <w:rFonts w:ascii="Calibri" w:eastAsia="Times New Roman" w:hAnsi="Calibri" w:cs="Segoe UI"/>
          <w:color w:val="1F4E79" w:themeColor="accent1" w:themeShade="80"/>
          <w:sz w:val="28"/>
          <w:szCs w:val="28"/>
          <w:lang w:eastAsia="it-IT"/>
        </w:rPr>
        <w:t xml:space="preserve"> si p</w:t>
      </w:r>
      <w:r w:rsidR="00E9321A">
        <w:rPr>
          <w:rFonts w:ascii="Calibri" w:eastAsia="Times New Roman" w:hAnsi="Calibri" w:cs="Segoe UI"/>
          <w:color w:val="1F4E79" w:themeColor="accent1" w:themeShade="80"/>
          <w:sz w:val="28"/>
          <w:szCs w:val="28"/>
          <w:lang w:eastAsia="it-IT"/>
        </w:rPr>
        <w:t>otrà</w:t>
      </w:r>
      <w:r w:rsidR="006D7D5B" w:rsidRPr="00B208E4">
        <w:rPr>
          <w:rFonts w:ascii="Calibri" w:eastAsia="Times New Roman" w:hAnsi="Calibri" w:cs="Segoe UI"/>
          <w:color w:val="1F4E79" w:themeColor="accent1" w:themeShade="80"/>
          <w:sz w:val="28"/>
          <w:szCs w:val="28"/>
          <w:lang w:eastAsia="it-IT"/>
        </w:rPr>
        <w:t xml:space="preserve"> risolvere </w:t>
      </w:r>
      <w:r w:rsidR="00DE0414" w:rsidRPr="00B208E4">
        <w:rPr>
          <w:rFonts w:ascii="Calibri" w:eastAsia="Times New Roman" w:hAnsi="Calibri" w:cs="Segoe UI"/>
          <w:color w:val="1F4E79" w:themeColor="accent1" w:themeShade="80"/>
          <w:sz w:val="28"/>
          <w:szCs w:val="28"/>
          <w:lang w:eastAsia="it-IT"/>
        </w:rPr>
        <w:t>agevolmente</w:t>
      </w:r>
      <w:r w:rsidR="006D7D5B" w:rsidRPr="00B208E4">
        <w:rPr>
          <w:rFonts w:ascii="Calibri" w:eastAsia="Times New Roman" w:hAnsi="Calibri" w:cs="Segoe UI"/>
          <w:color w:val="1F4E79" w:themeColor="accent1" w:themeShade="80"/>
          <w:sz w:val="28"/>
          <w:szCs w:val="28"/>
          <w:lang w:eastAsia="it-IT"/>
        </w:rPr>
        <w:t xml:space="preserve"> indicando la corretta interpretazione della normativa europea, tale da vincolare i giudici nazionali.</w:t>
      </w:r>
    </w:p>
    <w:p w:rsidR="00DE0414" w:rsidRPr="00B208E4" w:rsidRDefault="006D7D5B"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Pertanto, </w:t>
      </w:r>
      <w:r w:rsidR="00E9321A">
        <w:rPr>
          <w:rFonts w:ascii="Calibri" w:eastAsia="Times New Roman" w:hAnsi="Calibri" w:cs="Segoe UI"/>
          <w:color w:val="1F4E79" w:themeColor="accent1" w:themeShade="80"/>
          <w:sz w:val="28"/>
          <w:szCs w:val="28"/>
          <w:lang w:eastAsia="it-IT"/>
        </w:rPr>
        <w:t xml:space="preserve">dal punto di vista del giudice del Lussemburgo potrebbe </w:t>
      </w:r>
      <w:r w:rsidRPr="00B208E4">
        <w:rPr>
          <w:rFonts w:ascii="Calibri" w:eastAsia="Times New Roman" w:hAnsi="Calibri" w:cs="Segoe UI"/>
          <w:color w:val="1F4E79" w:themeColor="accent1" w:themeShade="80"/>
          <w:sz w:val="28"/>
          <w:szCs w:val="28"/>
          <w:lang w:eastAsia="it-IT"/>
        </w:rPr>
        <w:t>diventa</w:t>
      </w:r>
      <w:r w:rsidR="00E9321A">
        <w:rPr>
          <w:rFonts w:ascii="Calibri" w:eastAsia="Times New Roman" w:hAnsi="Calibri" w:cs="Segoe UI"/>
          <w:color w:val="1F4E79" w:themeColor="accent1" w:themeShade="80"/>
          <w:sz w:val="28"/>
          <w:szCs w:val="28"/>
          <w:lang w:eastAsia="it-IT"/>
        </w:rPr>
        <w:t>re</w:t>
      </w:r>
      <w:r w:rsidRPr="00B208E4">
        <w:rPr>
          <w:rFonts w:ascii="Calibri" w:eastAsia="Times New Roman" w:hAnsi="Calibri" w:cs="Segoe UI"/>
          <w:color w:val="1F4E79" w:themeColor="accent1" w:themeShade="80"/>
          <w:sz w:val="28"/>
          <w:szCs w:val="28"/>
          <w:lang w:eastAsia="it-IT"/>
        </w:rPr>
        <w:t xml:space="preserve"> irrilevante stabilire se la “</w:t>
      </w:r>
      <w:r w:rsidRPr="00E9321A">
        <w:rPr>
          <w:rFonts w:ascii="Calibri" w:eastAsia="Times New Roman" w:hAnsi="Calibri" w:cs="Segoe UI"/>
          <w:i/>
          <w:color w:val="1F4E79" w:themeColor="accent1" w:themeShade="80"/>
          <w:sz w:val="28"/>
          <w:szCs w:val="28"/>
          <w:lang w:eastAsia="it-IT"/>
        </w:rPr>
        <w:t>prassi giurisprudenziale</w:t>
      </w:r>
      <w:r w:rsidRPr="00B208E4">
        <w:rPr>
          <w:rFonts w:ascii="Calibri" w:eastAsia="Times New Roman" w:hAnsi="Calibri" w:cs="Segoe UI"/>
          <w:color w:val="1F4E79" w:themeColor="accent1" w:themeShade="80"/>
          <w:sz w:val="28"/>
          <w:szCs w:val="28"/>
          <w:lang w:eastAsia="it-IT"/>
        </w:rPr>
        <w:t>”</w:t>
      </w:r>
      <w:r w:rsidR="003C5AED">
        <w:rPr>
          <w:rFonts w:ascii="Calibri" w:eastAsia="Times New Roman" w:hAnsi="Calibri" w:cs="Segoe UI"/>
          <w:color w:val="1F4E79" w:themeColor="accent1" w:themeShade="80"/>
          <w:sz w:val="28"/>
          <w:szCs w:val="28"/>
          <w:lang w:eastAsia="it-IT"/>
        </w:rPr>
        <w:t>,</w:t>
      </w:r>
      <w:r w:rsidR="00E9321A">
        <w:rPr>
          <w:rFonts w:ascii="Calibri" w:eastAsia="Times New Roman" w:hAnsi="Calibri" w:cs="Segoe UI"/>
          <w:color w:val="1F4E79" w:themeColor="accent1" w:themeShade="80"/>
          <w:sz w:val="28"/>
          <w:szCs w:val="28"/>
          <w:lang w:eastAsia="it-IT"/>
        </w:rPr>
        <w:t xml:space="preserve"> menzionata dall’ordinanza</w:t>
      </w:r>
      <w:r w:rsidR="003C5AED">
        <w:rPr>
          <w:rFonts w:ascii="Calibri" w:eastAsia="Times New Roman" w:hAnsi="Calibri" w:cs="Segoe UI"/>
          <w:color w:val="1F4E79" w:themeColor="accent1" w:themeShade="80"/>
          <w:sz w:val="28"/>
          <w:szCs w:val="28"/>
          <w:lang w:eastAsia="it-IT"/>
        </w:rPr>
        <w:t>,</w:t>
      </w:r>
      <w:r w:rsidRPr="00B208E4">
        <w:rPr>
          <w:rFonts w:ascii="Calibri" w:eastAsia="Times New Roman" w:hAnsi="Calibri" w:cs="Segoe UI"/>
          <w:color w:val="1F4E79" w:themeColor="accent1" w:themeShade="80"/>
          <w:sz w:val="28"/>
          <w:szCs w:val="28"/>
          <w:lang w:eastAsia="it-IT"/>
        </w:rPr>
        <w:t xml:space="preserve"> costituisca </w:t>
      </w:r>
      <w:r w:rsidR="00E9321A">
        <w:rPr>
          <w:rFonts w:ascii="Calibri" w:eastAsia="Times New Roman" w:hAnsi="Calibri" w:cs="Segoe UI"/>
          <w:color w:val="1F4E79" w:themeColor="accent1" w:themeShade="80"/>
          <w:sz w:val="28"/>
          <w:szCs w:val="28"/>
          <w:lang w:eastAsia="it-IT"/>
        </w:rPr>
        <w:t xml:space="preserve">davvero </w:t>
      </w:r>
      <w:r w:rsidRPr="00B208E4">
        <w:rPr>
          <w:rFonts w:ascii="Calibri" w:eastAsia="Times New Roman" w:hAnsi="Calibri" w:cs="Segoe UI"/>
          <w:color w:val="1F4E79" w:themeColor="accent1" w:themeShade="80"/>
          <w:sz w:val="28"/>
          <w:szCs w:val="28"/>
          <w:lang w:eastAsia="it-IT"/>
        </w:rPr>
        <w:t>una fonte del diritto inter</w:t>
      </w:r>
      <w:r w:rsidR="00DE0414" w:rsidRPr="00B208E4">
        <w:rPr>
          <w:rFonts w:ascii="Calibri" w:eastAsia="Times New Roman" w:hAnsi="Calibri" w:cs="Segoe UI"/>
          <w:color w:val="1F4E79" w:themeColor="accent1" w:themeShade="80"/>
          <w:sz w:val="28"/>
          <w:szCs w:val="28"/>
          <w:lang w:eastAsia="it-IT"/>
        </w:rPr>
        <w:t>no, suscettibile di verifica di compatibilità con il diritto UE.</w:t>
      </w:r>
    </w:p>
    <w:p w:rsidR="00AA320E" w:rsidRPr="00B208E4" w:rsidRDefault="00DE0414"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E9321A">
        <w:rPr>
          <w:rFonts w:ascii="Calibri" w:eastAsia="Times New Roman" w:hAnsi="Calibri" w:cs="Segoe UI"/>
          <w:i/>
          <w:color w:val="1F4E79" w:themeColor="accent1" w:themeShade="80"/>
          <w:sz w:val="28"/>
          <w:szCs w:val="28"/>
          <w:lang w:eastAsia="it-IT"/>
        </w:rPr>
        <w:t>A fortiori</w:t>
      </w:r>
      <w:r w:rsidRPr="00B208E4">
        <w:rPr>
          <w:rFonts w:ascii="Calibri" w:eastAsia="Times New Roman" w:hAnsi="Calibri" w:cs="Segoe UI"/>
          <w:color w:val="1F4E79" w:themeColor="accent1" w:themeShade="80"/>
          <w:sz w:val="28"/>
          <w:szCs w:val="28"/>
          <w:lang w:eastAsia="it-IT"/>
        </w:rPr>
        <w:t xml:space="preserve">, </w:t>
      </w:r>
      <w:r w:rsidR="00E9321A">
        <w:rPr>
          <w:rFonts w:ascii="Calibri" w:eastAsia="Times New Roman" w:hAnsi="Calibri" w:cs="Segoe UI"/>
          <w:color w:val="1F4E79" w:themeColor="accent1" w:themeShade="80"/>
          <w:sz w:val="28"/>
          <w:szCs w:val="28"/>
          <w:lang w:eastAsia="it-IT"/>
        </w:rPr>
        <w:t xml:space="preserve">per la CGUE </w:t>
      </w:r>
      <w:r w:rsidRPr="00B208E4">
        <w:rPr>
          <w:rFonts w:ascii="Calibri" w:eastAsia="Times New Roman" w:hAnsi="Calibri" w:cs="Segoe UI"/>
          <w:color w:val="1F4E79" w:themeColor="accent1" w:themeShade="80"/>
          <w:sz w:val="28"/>
          <w:szCs w:val="28"/>
          <w:lang w:eastAsia="it-IT"/>
        </w:rPr>
        <w:t xml:space="preserve">non occorre accertare se, in concreto, </w:t>
      </w:r>
      <w:r w:rsidR="003A0C72" w:rsidRPr="00B208E4">
        <w:rPr>
          <w:rFonts w:ascii="Calibri" w:eastAsia="Times New Roman" w:hAnsi="Calibri" w:cs="Segoe UI"/>
          <w:color w:val="1F4E79" w:themeColor="accent1" w:themeShade="80"/>
          <w:sz w:val="28"/>
          <w:szCs w:val="28"/>
          <w:lang w:eastAsia="it-IT"/>
        </w:rPr>
        <w:t>si sia veramente in presenza di una “</w:t>
      </w:r>
      <w:r w:rsidR="003A0C72" w:rsidRPr="00E9321A">
        <w:rPr>
          <w:rFonts w:ascii="Calibri" w:eastAsia="Times New Roman" w:hAnsi="Calibri" w:cs="Segoe UI"/>
          <w:i/>
          <w:color w:val="1F4E79" w:themeColor="accent1" w:themeShade="80"/>
          <w:sz w:val="28"/>
          <w:szCs w:val="28"/>
          <w:lang w:eastAsia="it-IT"/>
        </w:rPr>
        <w:t>prassi</w:t>
      </w:r>
      <w:r w:rsidR="003A0C72" w:rsidRPr="00B208E4">
        <w:rPr>
          <w:rFonts w:ascii="Calibri" w:eastAsia="Times New Roman" w:hAnsi="Calibri" w:cs="Segoe UI"/>
          <w:color w:val="1F4E79" w:themeColor="accent1" w:themeShade="80"/>
          <w:sz w:val="28"/>
          <w:szCs w:val="28"/>
          <w:lang w:eastAsia="it-IT"/>
        </w:rPr>
        <w:t xml:space="preserve">” o se l’orientamento interpretativo </w:t>
      </w:r>
      <w:r w:rsidR="006E1B94">
        <w:rPr>
          <w:rFonts w:ascii="Calibri" w:eastAsia="Times New Roman" w:hAnsi="Calibri" w:cs="Segoe UI"/>
          <w:color w:val="1F4E79" w:themeColor="accent1" w:themeShade="80"/>
          <w:sz w:val="28"/>
          <w:szCs w:val="28"/>
          <w:lang w:eastAsia="it-IT"/>
        </w:rPr>
        <w:t xml:space="preserve">dell’impugnata sentenza del Consiglio di Stato, asseritamente </w:t>
      </w:r>
      <w:r w:rsidR="003A0C72" w:rsidRPr="00B208E4">
        <w:rPr>
          <w:rFonts w:ascii="Calibri" w:eastAsia="Times New Roman" w:hAnsi="Calibri" w:cs="Segoe UI"/>
          <w:color w:val="1F4E79" w:themeColor="accent1" w:themeShade="80"/>
          <w:sz w:val="28"/>
          <w:szCs w:val="28"/>
          <w:lang w:eastAsia="it-IT"/>
        </w:rPr>
        <w:t>contrastante con il diritto europeo</w:t>
      </w:r>
      <w:r w:rsidR="006E1B94">
        <w:rPr>
          <w:rFonts w:ascii="Calibri" w:eastAsia="Times New Roman" w:hAnsi="Calibri" w:cs="Segoe UI"/>
          <w:color w:val="1F4E79" w:themeColor="accent1" w:themeShade="80"/>
          <w:sz w:val="28"/>
          <w:szCs w:val="28"/>
          <w:lang w:eastAsia="it-IT"/>
        </w:rPr>
        <w:t>,</w:t>
      </w:r>
      <w:r w:rsidR="003A0C72" w:rsidRPr="00B208E4">
        <w:rPr>
          <w:rFonts w:ascii="Calibri" w:eastAsia="Times New Roman" w:hAnsi="Calibri" w:cs="Segoe UI"/>
          <w:color w:val="1F4E79" w:themeColor="accent1" w:themeShade="80"/>
          <w:sz w:val="28"/>
          <w:szCs w:val="28"/>
          <w:lang w:eastAsia="it-IT"/>
        </w:rPr>
        <w:t xml:space="preserve"> sia </w:t>
      </w:r>
      <w:r w:rsidR="00AE2A80" w:rsidRPr="00B208E4">
        <w:rPr>
          <w:rFonts w:ascii="Calibri" w:eastAsia="Times New Roman" w:hAnsi="Calibri" w:cs="Segoe UI"/>
          <w:color w:val="1F4E79" w:themeColor="accent1" w:themeShade="80"/>
          <w:sz w:val="28"/>
          <w:szCs w:val="28"/>
          <w:lang w:eastAsia="it-IT"/>
        </w:rPr>
        <w:t>diffuso o isolato</w:t>
      </w:r>
      <w:r w:rsidR="00E9321A">
        <w:rPr>
          <w:rStyle w:val="Rimandonotaapidipagina"/>
          <w:rFonts w:ascii="Calibri" w:eastAsia="Times New Roman" w:hAnsi="Calibri" w:cs="Segoe UI"/>
          <w:color w:val="1F4E79" w:themeColor="accent1" w:themeShade="80"/>
          <w:sz w:val="28"/>
          <w:szCs w:val="28"/>
          <w:lang w:eastAsia="it-IT"/>
        </w:rPr>
        <w:footnoteReference w:id="64"/>
      </w:r>
      <w:r w:rsidR="00AA320E" w:rsidRPr="00B208E4">
        <w:rPr>
          <w:rFonts w:ascii="Calibri" w:eastAsia="Times New Roman" w:hAnsi="Calibri" w:cs="Segoe UI"/>
          <w:color w:val="1F4E79" w:themeColor="accent1" w:themeShade="80"/>
          <w:sz w:val="28"/>
          <w:szCs w:val="28"/>
          <w:lang w:eastAsia="it-IT"/>
        </w:rPr>
        <w:t>.</w:t>
      </w:r>
    </w:p>
    <w:p w:rsidR="004343DC" w:rsidRPr="00B208E4" w:rsidRDefault="00AE2A80"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In </w:t>
      </w:r>
      <w:r w:rsidR="00943E78" w:rsidRPr="00B208E4">
        <w:rPr>
          <w:rFonts w:ascii="Calibri" w:eastAsia="Times New Roman" w:hAnsi="Calibri" w:cs="Segoe UI"/>
          <w:color w:val="1F4E79" w:themeColor="accent1" w:themeShade="80"/>
          <w:sz w:val="28"/>
          <w:szCs w:val="28"/>
          <w:lang w:eastAsia="it-IT"/>
        </w:rPr>
        <w:t xml:space="preserve">sintesi, la CGUE, per giudicare della “pertinenza” e “rilevanza” del quesito si baserà </w:t>
      </w:r>
      <w:r w:rsidR="004343DC" w:rsidRPr="00B208E4">
        <w:rPr>
          <w:rFonts w:ascii="Calibri" w:eastAsia="Times New Roman" w:hAnsi="Calibri" w:cs="Segoe UI"/>
          <w:color w:val="1F4E79" w:themeColor="accent1" w:themeShade="80"/>
          <w:sz w:val="28"/>
          <w:szCs w:val="28"/>
          <w:lang w:eastAsia="it-IT"/>
        </w:rPr>
        <w:t>sulla prospettazione del giudice</w:t>
      </w:r>
      <w:r w:rsidR="006E1B94">
        <w:rPr>
          <w:rFonts w:ascii="Calibri" w:eastAsia="Times New Roman" w:hAnsi="Calibri" w:cs="Segoe UI"/>
          <w:color w:val="1F4E79" w:themeColor="accent1" w:themeShade="80"/>
          <w:sz w:val="28"/>
          <w:szCs w:val="28"/>
          <w:lang w:eastAsia="it-IT"/>
        </w:rPr>
        <w:t xml:space="preserve"> nazionale</w:t>
      </w:r>
      <w:r w:rsidR="004343DC" w:rsidRPr="00B208E4">
        <w:rPr>
          <w:rFonts w:ascii="Calibri" w:eastAsia="Times New Roman" w:hAnsi="Calibri" w:cs="Segoe UI"/>
          <w:color w:val="1F4E79" w:themeColor="accent1" w:themeShade="80"/>
          <w:sz w:val="28"/>
          <w:szCs w:val="28"/>
          <w:lang w:eastAsia="it-IT"/>
        </w:rPr>
        <w:t xml:space="preserve">, senza </w:t>
      </w:r>
      <w:r w:rsidR="006E1B94">
        <w:rPr>
          <w:rFonts w:ascii="Calibri" w:eastAsia="Times New Roman" w:hAnsi="Calibri" w:cs="Segoe UI"/>
          <w:color w:val="1F4E79" w:themeColor="accent1" w:themeShade="80"/>
          <w:sz w:val="28"/>
          <w:szCs w:val="28"/>
          <w:lang w:eastAsia="it-IT"/>
        </w:rPr>
        <w:t>d</w:t>
      </w:r>
      <w:r w:rsidR="003E29C9" w:rsidRPr="00B208E4">
        <w:rPr>
          <w:rFonts w:ascii="Calibri" w:eastAsia="Times New Roman" w:hAnsi="Calibri" w:cs="Segoe UI"/>
          <w:color w:val="1F4E79" w:themeColor="accent1" w:themeShade="80"/>
          <w:sz w:val="28"/>
          <w:szCs w:val="28"/>
          <w:lang w:eastAsia="it-IT"/>
        </w:rPr>
        <w:t>o</w:t>
      </w:r>
      <w:r w:rsidR="006E1B94">
        <w:rPr>
          <w:rFonts w:ascii="Calibri" w:eastAsia="Times New Roman" w:hAnsi="Calibri" w:cs="Segoe UI"/>
          <w:color w:val="1F4E79" w:themeColor="accent1" w:themeShade="80"/>
          <w:sz w:val="28"/>
          <w:szCs w:val="28"/>
          <w:lang w:eastAsia="it-IT"/>
        </w:rPr>
        <w:t>v</w:t>
      </w:r>
      <w:r w:rsidR="003E29C9" w:rsidRPr="00B208E4">
        <w:rPr>
          <w:rFonts w:ascii="Calibri" w:eastAsia="Times New Roman" w:hAnsi="Calibri" w:cs="Segoe UI"/>
          <w:color w:val="1F4E79" w:themeColor="accent1" w:themeShade="80"/>
          <w:sz w:val="28"/>
          <w:szCs w:val="28"/>
          <w:lang w:eastAsia="it-IT"/>
        </w:rPr>
        <w:t>er</w:t>
      </w:r>
      <w:r w:rsidR="006E1B94">
        <w:rPr>
          <w:rFonts w:ascii="Calibri" w:eastAsia="Times New Roman" w:hAnsi="Calibri" w:cs="Segoe UI"/>
          <w:color w:val="1F4E79" w:themeColor="accent1" w:themeShade="80"/>
          <w:sz w:val="28"/>
          <w:szCs w:val="28"/>
          <w:lang w:eastAsia="it-IT"/>
        </w:rPr>
        <w:t>e</w:t>
      </w:r>
      <w:r w:rsidR="003E29C9" w:rsidRPr="00B208E4">
        <w:rPr>
          <w:rFonts w:ascii="Calibri" w:eastAsia="Times New Roman" w:hAnsi="Calibri" w:cs="Segoe UI"/>
          <w:color w:val="1F4E79" w:themeColor="accent1" w:themeShade="80"/>
          <w:sz w:val="28"/>
          <w:szCs w:val="28"/>
          <w:lang w:eastAsia="it-IT"/>
        </w:rPr>
        <w:t xml:space="preserve"> </w:t>
      </w:r>
      <w:r w:rsidR="004343DC" w:rsidRPr="00B208E4">
        <w:rPr>
          <w:rFonts w:ascii="Calibri" w:eastAsia="Times New Roman" w:hAnsi="Calibri" w:cs="Segoe UI"/>
          <w:color w:val="1F4E79" w:themeColor="accent1" w:themeShade="80"/>
          <w:sz w:val="28"/>
          <w:szCs w:val="28"/>
          <w:lang w:eastAsia="it-IT"/>
        </w:rPr>
        <w:t>indagare sui dettagli specifici della vicenda contenziosa.</w:t>
      </w:r>
    </w:p>
    <w:p w:rsidR="00A55776" w:rsidRPr="00B208E4" w:rsidRDefault="003E29C9"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Ciò chiarito, restano però seri dubbi in ordine alla adeguata formulazione del quesito, in relazione alla complessa vicenda sostanziale e processuale portata all’attenzione della Cassazione</w:t>
      </w:r>
      <w:r w:rsidR="00BB2EBC" w:rsidRPr="00B208E4">
        <w:rPr>
          <w:rFonts w:ascii="Calibri" w:eastAsia="Times New Roman" w:hAnsi="Calibri" w:cs="Segoe UI"/>
          <w:color w:val="1F4E79" w:themeColor="accent1" w:themeShade="80"/>
          <w:sz w:val="28"/>
          <w:szCs w:val="28"/>
          <w:lang w:eastAsia="it-IT"/>
        </w:rPr>
        <w:t xml:space="preserve">. Questo dipende dalla circostanza che il giudizio della Cassazione è sempre </w:t>
      </w:r>
      <w:r w:rsidR="00A771CD">
        <w:rPr>
          <w:rFonts w:ascii="Calibri" w:eastAsia="Times New Roman" w:hAnsi="Calibri" w:cs="Segoe UI"/>
          <w:color w:val="1F4E79" w:themeColor="accent1" w:themeShade="80"/>
          <w:sz w:val="28"/>
          <w:szCs w:val="28"/>
          <w:lang w:eastAsia="it-IT"/>
        </w:rPr>
        <w:t xml:space="preserve">incentrato su una valutazione </w:t>
      </w:r>
      <w:r w:rsidR="00BB2EBC" w:rsidRPr="00B208E4">
        <w:rPr>
          <w:rFonts w:ascii="Calibri" w:eastAsia="Times New Roman" w:hAnsi="Calibri" w:cs="Segoe UI"/>
          <w:color w:val="1F4E79" w:themeColor="accent1" w:themeShade="80"/>
          <w:sz w:val="28"/>
          <w:szCs w:val="28"/>
          <w:lang w:eastAsia="it-IT"/>
        </w:rPr>
        <w:t>di legittimità e, nel caso dell’</w:t>
      </w:r>
      <w:r w:rsidR="001D31B6" w:rsidRPr="00B208E4">
        <w:rPr>
          <w:rFonts w:ascii="Calibri" w:eastAsia="Times New Roman" w:hAnsi="Calibri" w:cs="Segoe UI"/>
          <w:color w:val="1F4E79" w:themeColor="accent1" w:themeShade="80"/>
          <w:sz w:val="28"/>
          <w:szCs w:val="28"/>
          <w:lang w:eastAsia="it-IT"/>
        </w:rPr>
        <w:t xml:space="preserve">impugnazione </w:t>
      </w:r>
      <w:r w:rsidR="00BB2EBC" w:rsidRPr="00B208E4">
        <w:rPr>
          <w:rFonts w:ascii="Calibri" w:eastAsia="Times New Roman" w:hAnsi="Calibri" w:cs="Segoe UI"/>
          <w:color w:val="1F4E79" w:themeColor="accent1" w:themeShade="80"/>
          <w:sz w:val="28"/>
          <w:szCs w:val="28"/>
          <w:lang w:eastAsia="it-IT"/>
        </w:rPr>
        <w:t>delle decisioni del Consiglio di Stato,</w:t>
      </w:r>
      <w:r w:rsidR="001D31B6" w:rsidRPr="00B208E4">
        <w:rPr>
          <w:rFonts w:ascii="Calibri" w:eastAsia="Times New Roman" w:hAnsi="Calibri" w:cs="Segoe UI"/>
          <w:color w:val="1F4E79" w:themeColor="accent1" w:themeShade="80"/>
          <w:sz w:val="28"/>
          <w:szCs w:val="28"/>
          <w:lang w:eastAsia="it-IT"/>
        </w:rPr>
        <w:t xml:space="preserve"> resta circoscritto alle sole questioni inerenti </w:t>
      </w:r>
      <w:r w:rsidR="005820B1">
        <w:rPr>
          <w:rFonts w:ascii="Calibri" w:eastAsia="Times New Roman" w:hAnsi="Calibri" w:cs="Segoe UI"/>
          <w:color w:val="1F4E79" w:themeColor="accent1" w:themeShade="80"/>
          <w:sz w:val="28"/>
          <w:szCs w:val="28"/>
          <w:lang w:eastAsia="it-IT"/>
        </w:rPr>
        <w:t>al</w:t>
      </w:r>
      <w:r w:rsidR="001D31B6" w:rsidRPr="00B208E4">
        <w:rPr>
          <w:rFonts w:ascii="Calibri" w:eastAsia="Times New Roman" w:hAnsi="Calibri" w:cs="Segoe UI"/>
          <w:color w:val="1F4E79" w:themeColor="accent1" w:themeShade="80"/>
          <w:sz w:val="28"/>
          <w:szCs w:val="28"/>
          <w:lang w:eastAsia="it-IT"/>
        </w:rPr>
        <w:t>la giurisdizione, ancorché dilatate, secondo l’auspicio dell’ordinanza di rinvio</w:t>
      </w:r>
      <w:r w:rsidR="00A55776" w:rsidRPr="00B208E4">
        <w:rPr>
          <w:rFonts w:ascii="Calibri" w:eastAsia="Times New Roman" w:hAnsi="Calibri" w:cs="Segoe UI"/>
          <w:color w:val="1F4E79" w:themeColor="accent1" w:themeShade="80"/>
          <w:sz w:val="28"/>
          <w:szCs w:val="28"/>
          <w:lang w:eastAsia="it-IT"/>
        </w:rPr>
        <w:t>.</w:t>
      </w:r>
    </w:p>
    <w:p w:rsidR="002266AD" w:rsidRPr="00B208E4" w:rsidRDefault="00A55776"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Ma la verifica della concreta violazione del diritto europeo, insieme alla decisione di</w:t>
      </w:r>
      <w:r w:rsidR="00A771CD">
        <w:rPr>
          <w:rFonts w:ascii="Calibri" w:eastAsia="Times New Roman" w:hAnsi="Calibri" w:cs="Segoe UI"/>
          <w:color w:val="1F4E79" w:themeColor="accent1" w:themeShade="80"/>
          <w:sz w:val="28"/>
          <w:szCs w:val="28"/>
          <w:lang w:eastAsia="it-IT"/>
        </w:rPr>
        <w:t xml:space="preserve"> rinvio alla CGUE si intreccia</w:t>
      </w:r>
      <w:r w:rsidRPr="00B208E4">
        <w:rPr>
          <w:rFonts w:ascii="Calibri" w:eastAsia="Times New Roman" w:hAnsi="Calibri" w:cs="Segoe UI"/>
          <w:color w:val="1F4E79" w:themeColor="accent1" w:themeShade="80"/>
          <w:sz w:val="28"/>
          <w:szCs w:val="28"/>
          <w:lang w:eastAsia="it-IT"/>
        </w:rPr>
        <w:t xml:space="preserve"> indissolubi</w:t>
      </w:r>
      <w:r w:rsidR="002266AD" w:rsidRPr="00B208E4">
        <w:rPr>
          <w:rFonts w:ascii="Calibri" w:eastAsia="Times New Roman" w:hAnsi="Calibri" w:cs="Segoe UI"/>
          <w:color w:val="1F4E79" w:themeColor="accent1" w:themeShade="80"/>
          <w:sz w:val="28"/>
          <w:szCs w:val="28"/>
          <w:lang w:eastAsia="it-IT"/>
        </w:rPr>
        <w:t xml:space="preserve">lmente con gli apprezzamenti del </w:t>
      </w:r>
      <w:r w:rsidRPr="00B208E4">
        <w:rPr>
          <w:rFonts w:ascii="Calibri" w:eastAsia="Times New Roman" w:hAnsi="Calibri" w:cs="Segoe UI"/>
          <w:color w:val="1F4E79" w:themeColor="accent1" w:themeShade="80"/>
          <w:sz w:val="28"/>
          <w:szCs w:val="28"/>
          <w:lang w:eastAsia="it-IT"/>
        </w:rPr>
        <w:t xml:space="preserve">fatto </w:t>
      </w:r>
      <w:r w:rsidR="002266AD" w:rsidRPr="00B208E4">
        <w:rPr>
          <w:rFonts w:ascii="Calibri" w:eastAsia="Times New Roman" w:hAnsi="Calibri" w:cs="Segoe UI"/>
          <w:color w:val="1F4E79" w:themeColor="accent1" w:themeShade="80"/>
          <w:sz w:val="28"/>
          <w:szCs w:val="28"/>
          <w:lang w:eastAsia="it-IT"/>
        </w:rPr>
        <w:t>sostanziale e delle tappe processuali attraverso cui si è snodato il giudizio nei suoi diversi gradi.</w:t>
      </w:r>
    </w:p>
    <w:p w:rsidR="00FC7B30" w:rsidRPr="00B208E4" w:rsidRDefault="00FC7B30"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In tale ottica, si può notare che la decisione in commento non tiene in debito conto una serie di elementi particolarmente significativi.</w:t>
      </w:r>
      <w:r w:rsidR="002B3D6B" w:rsidRPr="00B208E4">
        <w:rPr>
          <w:rFonts w:ascii="Calibri" w:eastAsia="Times New Roman" w:hAnsi="Calibri" w:cs="Segoe UI"/>
          <w:color w:val="1F4E79" w:themeColor="accent1" w:themeShade="80"/>
          <w:sz w:val="28"/>
          <w:szCs w:val="28"/>
          <w:lang w:eastAsia="it-IT"/>
        </w:rPr>
        <w:t xml:space="preserve"> Alcuni di questi avrebbero potuto essere sottolineati</w:t>
      </w:r>
      <w:r w:rsidR="00A771CD">
        <w:rPr>
          <w:rFonts w:ascii="Calibri" w:eastAsia="Times New Roman" w:hAnsi="Calibri" w:cs="Segoe UI"/>
          <w:color w:val="1F4E79" w:themeColor="accent1" w:themeShade="80"/>
          <w:sz w:val="28"/>
          <w:szCs w:val="28"/>
          <w:lang w:eastAsia="it-IT"/>
        </w:rPr>
        <w:t>, forse,</w:t>
      </w:r>
      <w:r w:rsidR="002B3D6B" w:rsidRPr="00B208E4">
        <w:rPr>
          <w:rFonts w:ascii="Calibri" w:eastAsia="Times New Roman" w:hAnsi="Calibri" w:cs="Segoe UI"/>
          <w:color w:val="1F4E79" w:themeColor="accent1" w:themeShade="80"/>
          <w:sz w:val="28"/>
          <w:szCs w:val="28"/>
          <w:lang w:eastAsia="it-IT"/>
        </w:rPr>
        <w:t xml:space="preserve"> per rafforzare </w:t>
      </w:r>
      <w:r w:rsidR="000F63CF" w:rsidRPr="00B208E4">
        <w:rPr>
          <w:rFonts w:ascii="Calibri" w:eastAsia="Times New Roman" w:hAnsi="Calibri" w:cs="Segoe UI"/>
          <w:color w:val="1F4E79" w:themeColor="accent1" w:themeShade="80"/>
          <w:sz w:val="28"/>
          <w:szCs w:val="28"/>
          <w:lang w:eastAsia="it-IT"/>
        </w:rPr>
        <w:t>i dubbi circa la conformità della decisione ai principi UE.</w:t>
      </w:r>
    </w:p>
    <w:p w:rsidR="00A856FE" w:rsidRPr="00B208E4" w:rsidRDefault="00FC7B30" w:rsidP="00FB7048">
      <w:pPr>
        <w:pStyle w:val="Paragrafoelenco"/>
        <w:numPr>
          <w:ilvl w:val="1"/>
          <w:numId w:val="1"/>
        </w:numPr>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L</w:t>
      </w:r>
      <w:r w:rsidR="00BF69D3" w:rsidRPr="00B208E4">
        <w:rPr>
          <w:rFonts w:ascii="Calibri" w:eastAsia="Times New Roman" w:hAnsi="Calibri" w:cs="Segoe UI"/>
          <w:color w:val="1F4E79" w:themeColor="accent1" w:themeShade="80"/>
          <w:sz w:val="28"/>
          <w:szCs w:val="28"/>
          <w:lang w:eastAsia="it-IT"/>
        </w:rPr>
        <w:t xml:space="preserve">a determinazione di </w:t>
      </w:r>
      <w:r w:rsidR="00BF69D3" w:rsidRPr="00B208E4">
        <w:rPr>
          <w:rFonts w:ascii="Calibri" w:eastAsia="Times New Roman" w:hAnsi="Calibri" w:cs="Segoe UI"/>
          <w:i/>
          <w:color w:val="1F4E79" w:themeColor="accent1" w:themeShade="80"/>
          <w:sz w:val="28"/>
          <w:szCs w:val="28"/>
          <w:lang w:eastAsia="it-IT"/>
        </w:rPr>
        <w:t>esclusione</w:t>
      </w:r>
      <w:r w:rsidR="00BF69D3" w:rsidRPr="00B208E4">
        <w:rPr>
          <w:rFonts w:ascii="Calibri" w:eastAsia="Times New Roman" w:hAnsi="Calibri" w:cs="Segoe UI"/>
          <w:color w:val="1F4E79" w:themeColor="accent1" w:themeShade="80"/>
          <w:sz w:val="28"/>
          <w:szCs w:val="28"/>
          <w:lang w:eastAsia="it-IT"/>
        </w:rPr>
        <w:t xml:space="preserve"> del ricorrente dalla procedura di gara si è verificata in una fase della procedura </w:t>
      </w:r>
      <w:r w:rsidR="00FD7080" w:rsidRPr="00B208E4">
        <w:rPr>
          <w:rFonts w:ascii="Calibri" w:eastAsia="Times New Roman" w:hAnsi="Calibri" w:cs="Segoe UI"/>
          <w:color w:val="1F4E79" w:themeColor="accent1" w:themeShade="80"/>
          <w:sz w:val="28"/>
          <w:szCs w:val="28"/>
          <w:lang w:eastAsia="it-IT"/>
        </w:rPr>
        <w:t>success</w:t>
      </w:r>
      <w:r w:rsidR="00A771CD">
        <w:rPr>
          <w:rFonts w:ascii="Calibri" w:eastAsia="Times New Roman" w:hAnsi="Calibri" w:cs="Segoe UI"/>
          <w:color w:val="1F4E79" w:themeColor="accent1" w:themeShade="80"/>
          <w:sz w:val="28"/>
          <w:szCs w:val="28"/>
          <w:lang w:eastAsia="it-IT"/>
        </w:rPr>
        <w:t>iva a quella, preliminare,</w:t>
      </w:r>
      <w:r w:rsidR="00BF69D3" w:rsidRPr="00B208E4">
        <w:rPr>
          <w:rFonts w:ascii="Calibri" w:eastAsia="Times New Roman" w:hAnsi="Calibri" w:cs="Segoe UI"/>
          <w:color w:val="1F4E79" w:themeColor="accent1" w:themeShade="80"/>
          <w:sz w:val="28"/>
          <w:szCs w:val="28"/>
          <w:lang w:eastAsia="it-IT"/>
        </w:rPr>
        <w:t xml:space="preserve"> delle ammissioni dei </w:t>
      </w:r>
      <w:r w:rsidR="00FD7080" w:rsidRPr="00B208E4">
        <w:rPr>
          <w:rFonts w:ascii="Calibri" w:eastAsia="Times New Roman" w:hAnsi="Calibri" w:cs="Segoe UI"/>
          <w:color w:val="1F4E79" w:themeColor="accent1" w:themeShade="80"/>
          <w:sz w:val="28"/>
          <w:szCs w:val="28"/>
          <w:lang w:eastAsia="it-IT"/>
        </w:rPr>
        <w:t>concorrenti</w:t>
      </w:r>
      <w:r w:rsidR="00BF69D3" w:rsidRPr="00B208E4">
        <w:rPr>
          <w:rFonts w:ascii="Calibri" w:eastAsia="Times New Roman" w:hAnsi="Calibri" w:cs="Segoe UI"/>
          <w:color w:val="1F4E79" w:themeColor="accent1" w:themeShade="80"/>
          <w:sz w:val="28"/>
          <w:szCs w:val="28"/>
          <w:lang w:eastAsia="it-IT"/>
        </w:rPr>
        <w:t xml:space="preserve">. </w:t>
      </w:r>
      <w:r w:rsidR="00FD7080" w:rsidRPr="00B208E4">
        <w:rPr>
          <w:rFonts w:ascii="Calibri" w:eastAsia="Times New Roman" w:hAnsi="Calibri" w:cs="Segoe UI"/>
          <w:color w:val="1F4E79" w:themeColor="accent1" w:themeShade="80"/>
          <w:sz w:val="28"/>
          <w:szCs w:val="28"/>
          <w:lang w:eastAsia="it-IT"/>
        </w:rPr>
        <w:t xml:space="preserve">È dunque una situazione certamente diversa da quella che si verifica quando un operatore </w:t>
      </w:r>
      <w:r w:rsidR="006E1B94" w:rsidRPr="00B208E4">
        <w:rPr>
          <w:rFonts w:ascii="Calibri" w:eastAsia="Times New Roman" w:hAnsi="Calibri" w:cs="Segoe UI"/>
          <w:color w:val="1F4E79" w:themeColor="accent1" w:themeShade="80"/>
          <w:sz w:val="28"/>
          <w:szCs w:val="28"/>
          <w:lang w:eastAsia="it-IT"/>
        </w:rPr>
        <w:t>economico</w:t>
      </w:r>
      <w:r w:rsidR="00FD7080" w:rsidRPr="00B208E4">
        <w:rPr>
          <w:rFonts w:ascii="Calibri" w:eastAsia="Times New Roman" w:hAnsi="Calibri" w:cs="Segoe UI"/>
          <w:color w:val="1F4E79" w:themeColor="accent1" w:themeShade="80"/>
          <w:sz w:val="28"/>
          <w:szCs w:val="28"/>
          <w:lang w:eastAsia="it-IT"/>
        </w:rPr>
        <w:t xml:space="preserve"> è escluso</w:t>
      </w:r>
      <w:r w:rsidR="00A771CD">
        <w:rPr>
          <w:rFonts w:ascii="Calibri" w:eastAsia="Times New Roman" w:hAnsi="Calibri" w:cs="Segoe UI"/>
          <w:color w:val="1F4E79" w:themeColor="accent1" w:themeShade="80"/>
          <w:sz w:val="28"/>
          <w:szCs w:val="28"/>
          <w:lang w:eastAsia="it-IT"/>
        </w:rPr>
        <w:t>,</w:t>
      </w:r>
      <w:r w:rsidR="00FD7080" w:rsidRPr="00B208E4">
        <w:rPr>
          <w:rFonts w:ascii="Calibri" w:eastAsia="Times New Roman" w:hAnsi="Calibri" w:cs="Segoe UI"/>
          <w:color w:val="1F4E79" w:themeColor="accent1" w:themeShade="80"/>
          <w:sz w:val="28"/>
          <w:szCs w:val="28"/>
          <w:lang w:eastAsia="it-IT"/>
        </w:rPr>
        <w:t xml:space="preserve"> </w:t>
      </w:r>
      <w:r w:rsidR="00FD7080" w:rsidRPr="00A771CD">
        <w:rPr>
          <w:rFonts w:ascii="Calibri" w:eastAsia="Times New Roman" w:hAnsi="Calibri" w:cs="Segoe UI"/>
          <w:i/>
          <w:color w:val="1F4E79" w:themeColor="accent1" w:themeShade="80"/>
          <w:sz w:val="28"/>
          <w:szCs w:val="28"/>
          <w:lang w:eastAsia="it-IT"/>
        </w:rPr>
        <w:t>in limine</w:t>
      </w:r>
      <w:r w:rsidR="00A771CD">
        <w:rPr>
          <w:rFonts w:ascii="Calibri" w:eastAsia="Times New Roman" w:hAnsi="Calibri" w:cs="Segoe UI"/>
          <w:color w:val="1F4E79" w:themeColor="accent1" w:themeShade="80"/>
          <w:sz w:val="28"/>
          <w:szCs w:val="28"/>
          <w:lang w:eastAsia="it-IT"/>
        </w:rPr>
        <w:t>,</w:t>
      </w:r>
      <w:r w:rsidR="00FD7080" w:rsidRPr="00B208E4">
        <w:rPr>
          <w:rFonts w:ascii="Calibri" w:eastAsia="Times New Roman" w:hAnsi="Calibri" w:cs="Segoe UI"/>
          <w:color w:val="1F4E79" w:themeColor="accent1" w:themeShade="80"/>
          <w:sz w:val="28"/>
          <w:szCs w:val="28"/>
          <w:lang w:eastAsia="it-IT"/>
        </w:rPr>
        <w:t xml:space="preserve"> per carenza dei requisiti soggettivi o per manchevolezze oggettive dell’offerta, quali ad esempio, la tardività della sua prese</w:t>
      </w:r>
      <w:r w:rsidR="00A856FE" w:rsidRPr="00B208E4">
        <w:rPr>
          <w:rFonts w:ascii="Calibri" w:eastAsia="Times New Roman" w:hAnsi="Calibri" w:cs="Segoe UI"/>
          <w:color w:val="1F4E79" w:themeColor="accent1" w:themeShade="80"/>
          <w:sz w:val="28"/>
          <w:szCs w:val="28"/>
          <w:lang w:eastAsia="it-IT"/>
        </w:rPr>
        <w:t>ntazione.</w:t>
      </w:r>
    </w:p>
    <w:p w:rsidR="00A856FE" w:rsidRPr="00B208E4" w:rsidRDefault="00A856FE" w:rsidP="00FB7048">
      <w:pPr>
        <w:pStyle w:val="Paragrafoelenco"/>
        <w:numPr>
          <w:ilvl w:val="1"/>
          <w:numId w:val="1"/>
        </w:numPr>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Il giudizio di non sufficienza </w:t>
      </w:r>
      <w:r w:rsidR="006E1B94">
        <w:rPr>
          <w:rFonts w:ascii="Calibri" w:eastAsia="Times New Roman" w:hAnsi="Calibri" w:cs="Segoe UI"/>
          <w:color w:val="1F4E79" w:themeColor="accent1" w:themeShade="80"/>
          <w:sz w:val="28"/>
          <w:szCs w:val="28"/>
          <w:lang w:eastAsia="it-IT"/>
        </w:rPr>
        <w:t xml:space="preserve">dell’offerta </w:t>
      </w:r>
      <w:r w:rsidRPr="00B208E4">
        <w:rPr>
          <w:rFonts w:ascii="Calibri" w:eastAsia="Times New Roman" w:hAnsi="Calibri" w:cs="Segoe UI"/>
          <w:color w:val="1F4E79" w:themeColor="accent1" w:themeShade="80"/>
          <w:sz w:val="28"/>
          <w:szCs w:val="28"/>
          <w:lang w:eastAsia="it-IT"/>
        </w:rPr>
        <w:t xml:space="preserve">sotto l’aspetto tecnico è conseguito alla valutazione svolta </w:t>
      </w:r>
      <w:r w:rsidR="00A771CD">
        <w:rPr>
          <w:rFonts w:ascii="Calibri" w:eastAsia="Times New Roman" w:hAnsi="Calibri" w:cs="Segoe UI"/>
          <w:color w:val="1F4E79" w:themeColor="accent1" w:themeShade="80"/>
          <w:sz w:val="28"/>
          <w:szCs w:val="28"/>
          <w:lang w:eastAsia="it-IT"/>
        </w:rPr>
        <w:t xml:space="preserve">da una commissione giudicatrice </w:t>
      </w:r>
      <w:r w:rsidRPr="00B208E4">
        <w:rPr>
          <w:rFonts w:ascii="Calibri" w:eastAsia="Times New Roman" w:hAnsi="Calibri" w:cs="Segoe UI"/>
          <w:color w:val="1F4E79" w:themeColor="accent1" w:themeShade="80"/>
          <w:sz w:val="28"/>
          <w:szCs w:val="28"/>
          <w:lang w:eastAsia="it-IT"/>
        </w:rPr>
        <w:t xml:space="preserve">secondo il metodo del </w:t>
      </w:r>
      <w:r w:rsidRPr="006E1B94">
        <w:rPr>
          <w:rFonts w:ascii="Calibri" w:eastAsia="Times New Roman" w:hAnsi="Calibri" w:cs="Segoe UI"/>
          <w:i/>
          <w:color w:val="1F4E79" w:themeColor="accent1" w:themeShade="80"/>
          <w:sz w:val="28"/>
          <w:szCs w:val="28"/>
          <w:lang w:eastAsia="it-IT"/>
        </w:rPr>
        <w:t>confronto a coppie</w:t>
      </w:r>
      <w:r w:rsidRPr="00B208E4">
        <w:rPr>
          <w:rFonts w:ascii="Calibri" w:eastAsia="Times New Roman" w:hAnsi="Calibri" w:cs="Segoe UI"/>
          <w:color w:val="1F4E79" w:themeColor="accent1" w:themeShade="80"/>
          <w:sz w:val="28"/>
          <w:szCs w:val="28"/>
          <w:lang w:eastAsia="it-IT"/>
        </w:rPr>
        <w:t xml:space="preserve">. Ciò significa che il punteggio “insufficiente” deriva da una valutazione comparativa relativa, che non comporta necessariamente </w:t>
      </w:r>
      <w:r w:rsidR="00BB2EBC" w:rsidRPr="00B208E4">
        <w:rPr>
          <w:rFonts w:ascii="Calibri" w:eastAsia="Times New Roman" w:hAnsi="Calibri" w:cs="Segoe UI"/>
          <w:color w:val="1F4E79" w:themeColor="accent1" w:themeShade="80"/>
          <w:sz w:val="28"/>
          <w:szCs w:val="28"/>
          <w:lang w:eastAsia="it-IT"/>
        </w:rPr>
        <w:t>u</w:t>
      </w:r>
      <w:r w:rsidRPr="00B208E4">
        <w:rPr>
          <w:rFonts w:ascii="Calibri" w:eastAsia="Times New Roman" w:hAnsi="Calibri" w:cs="Segoe UI"/>
          <w:color w:val="1F4E79" w:themeColor="accent1" w:themeShade="80"/>
          <w:sz w:val="28"/>
          <w:szCs w:val="28"/>
          <w:lang w:eastAsia="it-IT"/>
        </w:rPr>
        <w:t>n giudizio di inidoneità tecnica assoluta</w:t>
      </w:r>
      <w:r w:rsidR="00A771CD">
        <w:rPr>
          <w:rFonts w:ascii="Calibri" w:eastAsia="Times New Roman" w:hAnsi="Calibri" w:cs="Segoe UI"/>
          <w:color w:val="1F4E79" w:themeColor="accent1" w:themeShade="80"/>
          <w:sz w:val="28"/>
          <w:szCs w:val="28"/>
          <w:lang w:eastAsia="it-IT"/>
        </w:rPr>
        <w:t xml:space="preserve"> dell’offerta</w:t>
      </w:r>
      <w:r w:rsidRPr="00B208E4">
        <w:rPr>
          <w:rFonts w:ascii="Calibri" w:eastAsia="Times New Roman" w:hAnsi="Calibri" w:cs="Segoe UI"/>
          <w:color w:val="1F4E79" w:themeColor="accent1" w:themeShade="80"/>
          <w:sz w:val="28"/>
          <w:szCs w:val="28"/>
          <w:lang w:eastAsia="it-IT"/>
        </w:rPr>
        <w:t>.</w:t>
      </w:r>
    </w:p>
    <w:p w:rsidR="000F63CF" w:rsidRPr="00B208E4" w:rsidRDefault="00A771CD" w:rsidP="00FB7048">
      <w:pPr>
        <w:pStyle w:val="Paragrafoelenco"/>
        <w:numPr>
          <w:ilvl w:val="1"/>
          <w:numId w:val="1"/>
        </w:numPr>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L</w:t>
      </w:r>
      <w:r w:rsidR="00FB291A" w:rsidRPr="00B208E4">
        <w:rPr>
          <w:rFonts w:ascii="Calibri" w:eastAsia="Times New Roman" w:hAnsi="Calibri" w:cs="Segoe UI"/>
          <w:color w:val="1F4E79" w:themeColor="accent1" w:themeShade="80"/>
          <w:sz w:val="28"/>
          <w:szCs w:val="28"/>
          <w:lang w:eastAsia="it-IT"/>
        </w:rPr>
        <w:t xml:space="preserve">a </w:t>
      </w:r>
      <w:r>
        <w:rPr>
          <w:rFonts w:ascii="Calibri" w:eastAsia="Times New Roman" w:hAnsi="Calibri" w:cs="Segoe UI"/>
          <w:color w:val="1F4E79" w:themeColor="accent1" w:themeShade="80"/>
          <w:sz w:val="28"/>
          <w:szCs w:val="28"/>
          <w:lang w:eastAsia="it-IT"/>
        </w:rPr>
        <w:t xml:space="preserve">maggior </w:t>
      </w:r>
      <w:r w:rsidR="00FB291A" w:rsidRPr="00B208E4">
        <w:rPr>
          <w:rFonts w:ascii="Calibri" w:eastAsia="Times New Roman" w:hAnsi="Calibri" w:cs="Segoe UI"/>
          <w:color w:val="1F4E79" w:themeColor="accent1" w:themeShade="80"/>
          <w:sz w:val="28"/>
          <w:szCs w:val="28"/>
          <w:lang w:eastAsia="it-IT"/>
        </w:rPr>
        <w:t>parte dell</w:t>
      </w:r>
      <w:r w:rsidR="00A856FE" w:rsidRPr="00B208E4">
        <w:rPr>
          <w:rFonts w:ascii="Calibri" w:eastAsia="Times New Roman" w:hAnsi="Calibri" w:cs="Segoe UI"/>
          <w:color w:val="1F4E79" w:themeColor="accent1" w:themeShade="80"/>
          <w:sz w:val="28"/>
          <w:szCs w:val="28"/>
          <w:lang w:eastAsia="it-IT"/>
        </w:rPr>
        <w:t>e censure non esaminate dal Consiglio di Stato</w:t>
      </w:r>
      <w:r>
        <w:rPr>
          <w:rFonts w:ascii="Calibri" w:eastAsia="Times New Roman" w:hAnsi="Calibri" w:cs="Segoe UI"/>
          <w:color w:val="1F4E79" w:themeColor="accent1" w:themeShade="80"/>
          <w:sz w:val="28"/>
          <w:szCs w:val="28"/>
          <w:lang w:eastAsia="it-IT"/>
        </w:rPr>
        <w:t xml:space="preserve"> riguarda</w:t>
      </w:r>
      <w:r w:rsidR="00FB291A" w:rsidRPr="00B208E4">
        <w:rPr>
          <w:rFonts w:ascii="Calibri" w:eastAsia="Times New Roman" w:hAnsi="Calibri" w:cs="Segoe UI"/>
          <w:color w:val="1F4E79" w:themeColor="accent1" w:themeShade="80"/>
          <w:sz w:val="28"/>
          <w:szCs w:val="28"/>
          <w:lang w:eastAsia="it-IT"/>
        </w:rPr>
        <w:t xml:space="preserve"> aspetti della procedura influenti sulla stessa legittimità della determinazione di esclusione, </w:t>
      </w:r>
      <w:r w:rsidR="002B3D6B" w:rsidRPr="00B208E4">
        <w:rPr>
          <w:rFonts w:ascii="Calibri" w:eastAsia="Times New Roman" w:hAnsi="Calibri" w:cs="Segoe UI"/>
          <w:color w:val="1F4E79" w:themeColor="accent1" w:themeShade="80"/>
          <w:sz w:val="28"/>
          <w:szCs w:val="28"/>
          <w:lang w:eastAsia="it-IT"/>
        </w:rPr>
        <w:t>involgendo</w:t>
      </w:r>
      <w:r w:rsidR="000F63CF" w:rsidRPr="00B208E4">
        <w:rPr>
          <w:rFonts w:ascii="Calibri" w:eastAsia="Times New Roman" w:hAnsi="Calibri" w:cs="Segoe UI"/>
          <w:color w:val="1F4E79" w:themeColor="accent1" w:themeShade="80"/>
          <w:sz w:val="28"/>
          <w:szCs w:val="28"/>
          <w:lang w:eastAsia="it-IT"/>
        </w:rPr>
        <w:t xml:space="preserve"> la composizione della commissione giudicatrice e i criteri generali di assegnazione dei punteggi.</w:t>
      </w:r>
      <w:r>
        <w:rPr>
          <w:rFonts w:ascii="Calibri" w:eastAsia="Times New Roman" w:hAnsi="Calibri" w:cs="Segoe UI"/>
          <w:color w:val="1F4E79" w:themeColor="accent1" w:themeShade="80"/>
          <w:sz w:val="28"/>
          <w:szCs w:val="28"/>
          <w:lang w:eastAsia="it-IT"/>
        </w:rPr>
        <w:t xml:space="preserve"> In tal modo, la parte ricorrente non intende far valere un </w:t>
      </w:r>
      <w:r w:rsidRPr="00A771CD">
        <w:rPr>
          <w:rFonts w:ascii="Calibri" w:eastAsia="Times New Roman" w:hAnsi="Calibri" w:cs="Segoe UI"/>
          <w:i/>
          <w:color w:val="1F4E79" w:themeColor="accent1" w:themeShade="80"/>
          <w:sz w:val="28"/>
          <w:szCs w:val="28"/>
          <w:lang w:eastAsia="it-IT"/>
        </w:rPr>
        <w:t>ulteriore</w:t>
      </w:r>
      <w:r>
        <w:rPr>
          <w:rFonts w:ascii="Calibri" w:eastAsia="Times New Roman" w:hAnsi="Calibri" w:cs="Segoe UI"/>
          <w:color w:val="1F4E79" w:themeColor="accent1" w:themeShade="80"/>
          <w:sz w:val="28"/>
          <w:szCs w:val="28"/>
          <w:lang w:eastAsia="it-IT"/>
        </w:rPr>
        <w:t xml:space="preserve"> interesse strumentale alla ripetizione della gara, ma vuole contestare, sotto molteplici profili, proprio il provvedimento di esclusione.</w:t>
      </w:r>
    </w:p>
    <w:p w:rsidR="001273E0" w:rsidRPr="00B208E4" w:rsidRDefault="001C3F40"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Sarebbe stato opportuno lumeggiare questi particolari aspetti,</w:t>
      </w:r>
      <w:r w:rsidR="00B866F5" w:rsidRPr="00B208E4">
        <w:rPr>
          <w:rFonts w:ascii="Calibri" w:eastAsia="Times New Roman" w:hAnsi="Calibri" w:cs="Segoe UI"/>
          <w:color w:val="1F4E79" w:themeColor="accent1" w:themeShade="80"/>
          <w:sz w:val="28"/>
          <w:szCs w:val="28"/>
          <w:lang w:eastAsia="it-IT"/>
        </w:rPr>
        <w:t xml:space="preserve"> </w:t>
      </w:r>
      <w:r w:rsidR="00DA766B" w:rsidRPr="00B208E4">
        <w:rPr>
          <w:rFonts w:ascii="Calibri" w:eastAsia="Times New Roman" w:hAnsi="Calibri" w:cs="Segoe UI"/>
          <w:color w:val="1F4E79" w:themeColor="accent1" w:themeShade="80"/>
          <w:sz w:val="28"/>
          <w:szCs w:val="28"/>
          <w:lang w:eastAsia="it-IT"/>
        </w:rPr>
        <w:t xml:space="preserve">peraltro </w:t>
      </w:r>
      <w:r w:rsidR="00B866F5" w:rsidRPr="00B208E4">
        <w:rPr>
          <w:rFonts w:ascii="Calibri" w:eastAsia="Times New Roman" w:hAnsi="Calibri" w:cs="Segoe UI"/>
          <w:color w:val="1F4E79" w:themeColor="accent1" w:themeShade="80"/>
          <w:sz w:val="28"/>
          <w:szCs w:val="28"/>
          <w:lang w:eastAsia="it-IT"/>
        </w:rPr>
        <w:t>trascurati anche dall’impugnata decisione del Consiglio di Stato,</w:t>
      </w:r>
      <w:r w:rsidRPr="00B208E4">
        <w:rPr>
          <w:rFonts w:ascii="Calibri" w:eastAsia="Times New Roman" w:hAnsi="Calibri" w:cs="Segoe UI"/>
          <w:color w:val="1F4E79" w:themeColor="accent1" w:themeShade="80"/>
          <w:sz w:val="28"/>
          <w:szCs w:val="28"/>
          <w:lang w:eastAsia="it-IT"/>
        </w:rPr>
        <w:t xml:space="preserve"> </w:t>
      </w:r>
      <w:r w:rsidR="00A91B4F" w:rsidRPr="00B208E4">
        <w:rPr>
          <w:rFonts w:ascii="Calibri" w:eastAsia="Times New Roman" w:hAnsi="Calibri" w:cs="Segoe UI"/>
          <w:color w:val="1F4E79" w:themeColor="accent1" w:themeShade="80"/>
          <w:sz w:val="28"/>
          <w:szCs w:val="28"/>
          <w:lang w:eastAsia="it-IT"/>
        </w:rPr>
        <w:t xml:space="preserve">per rendere </w:t>
      </w:r>
      <w:r w:rsidR="00DA766B" w:rsidRPr="00B208E4">
        <w:rPr>
          <w:rFonts w:ascii="Calibri" w:eastAsia="Times New Roman" w:hAnsi="Calibri" w:cs="Segoe UI"/>
          <w:color w:val="1F4E79" w:themeColor="accent1" w:themeShade="80"/>
          <w:sz w:val="28"/>
          <w:szCs w:val="28"/>
          <w:lang w:eastAsia="it-IT"/>
        </w:rPr>
        <w:t xml:space="preserve">più chiaro </w:t>
      </w:r>
      <w:r w:rsidR="00A91B4F" w:rsidRPr="00B208E4">
        <w:rPr>
          <w:rFonts w:ascii="Calibri" w:eastAsia="Times New Roman" w:hAnsi="Calibri" w:cs="Segoe UI"/>
          <w:color w:val="1F4E79" w:themeColor="accent1" w:themeShade="80"/>
          <w:sz w:val="28"/>
          <w:szCs w:val="28"/>
          <w:lang w:eastAsia="it-IT"/>
        </w:rPr>
        <w:t>i</w:t>
      </w:r>
      <w:r w:rsidR="00B866F5" w:rsidRPr="00B208E4">
        <w:rPr>
          <w:rFonts w:ascii="Calibri" w:eastAsia="Times New Roman" w:hAnsi="Calibri" w:cs="Segoe UI"/>
          <w:color w:val="1F4E79" w:themeColor="accent1" w:themeShade="80"/>
          <w:sz w:val="28"/>
          <w:szCs w:val="28"/>
          <w:lang w:eastAsia="it-IT"/>
        </w:rPr>
        <w:t xml:space="preserve">l quesito </w:t>
      </w:r>
      <w:r w:rsidR="00DA766B" w:rsidRPr="00B208E4">
        <w:rPr>
          <w:rFonts w:ascii="Calibri" w:eastAsia="Times New Roman" w:hAnsi="Calibri" w:cs="Segoe UI"/>
          <w:color w:val="1F4E79" w:themeColor="accent1" w:themeShade="80"/>
          <w:sz w:val="28"/>
          <w:szCs w:val="28"/>
          <w:lang w:eastAsia="it-IT"/>
        </w:rPr>
        <w:t xml:space="preserve">proposto </w:t>
      </w:r>
      <w:r w:rsidR="00B866F5" w:rsidRPr="00B208E4">
        <w:rPr>
          <w:rFonts w:ascii="Calibri" w:eastAsia="Times New Roman" w:hAnsi="Calibri" w:cs="Segoe UI"/>
          <w:color w:val="1F4E79" w:themeColor="accent1" w:themeShade="80"/>
          <w:sz w:val="28"/>
          <w:szCs w:val="28"/>
          <w:lang w:eastAsia="it-IT"/>
        </w:rPr>
        <w:t>alla Corte</w:t>
      </w:r>
      <w:r w:rsidR="004E1426" w:rsidRPr="00B208E4">
        <w:rPr>
          <w:rStyle w:val="Rimandonotaapidipagina"/>
          <w:rFonts w:ascii="Calibri" w:eastAsia="Times New Roman" w:hAnsi="Calibri" w:cs="Segoe UI"/>
          <w:color w:val="1F4E79" w:themeColor="accent1" w:themeShade="80"/>
          <w:sz w:val="28"/>
          <w:szCs w:val="28"/>
          <w:lang w:eastAsia="it-IT"/>
        </w:rPr>
        <w:footnoteReference w:id="65"/>
      </w:r>
      <w:r w:rsidR="001273E0" w:rsidRPr="00B208E4">
        <w:rPr>
          <w:rFonts w:ascii="Calibri" w:eastAsia="Times New Roman" w:hAnsi="Calibri" w:cs="Segoe UI"/>
          <w:color w:val="1F4E79" w:themeColor="accent1" w:themeShade="80"/>
          <w:sz w:val="28"/>
          <w:szCs w:val="28"/>
          <w:lang w:eastAsia="it-IT"/>
        </w:rPr>
        <w:t>.</w:t>
      </w:r>
    </w:p>
    <w:p w:rsidR="001A26AD" w:rsidRPr="00B208E4" w:rsidRDefault="001A26AD"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Emergono, però, anche altre </w:t>
      </w:r>
      <w:r w:rsidR="00B61B99" w:rsidRPr="00B208E4">
        <w:rPr>
          <w:rFonts w:ascii="Calibri" w:eastAsia="Times New Roman" w:hAnsi="Calibri" w:cs="Segoe UI"/>
          <w:color w:val="1F4E79" w:themeColor="accent1" w:themeShade="80"/>
          <w:sz w:val="28"/>
          <w:szCs w:val="28"/>
          <w:lang w:eastAsia="it-IT"/>
        </w:rPr>
        <w:t xml:space="preserve">peculiarità </w:t>
      </w:r>
      <w:r w:rsidR="00FA0A9D" w:rsidRPr="00B208E4">
        <w:rPr>
          <w:rFonts w:ascii="Calibri" w:eastAsia="Times New Roman" w:hAnsi="Calibri" w:cs="Segoe UI"/>
          <w:color w:val="1F4E79" w:themeColor="accent1" w:themeShade="80"/>
          <w:sz w:val="28"/>
          <w:szCs w:val="28"/>
          <w:lang w:eastAsia="it-IT"/>
        </w:rPr>
        <w:t xml:space="preserve">della vicenda, </w:t>
      </w:r>
      <w:r w:rsidR="00A771CD">
        <w:rPr>
          <w:rFonts w:ascii="Calibri" w:eastAsia="Times New Roman" w:hAnsi="Calibri" w:cs="Segoe UI"/>
          <w:color w:val="1F4E79" w:themeColor="accent1" w:themeShade="80"/>
          <w:sz w:val="28"/>
          <w:szCs w:val="28"/>
          <w:lang w:eastAsia="it-IT"/>
        </w:rPr>
        <w:t xml:space="preserve">trascurate dall’ordinanza, </w:t>
      </w:r>
      <w:r w:rsidRPr="00B208E4">
        <w:rPr>
          <w:rFonts w:ascii="Calibri" w:eastAsia="Times New Roman" w:hAnsi="Calibri" w:cs="Segoe UI"/>
          <w:color w:val="1F4E79" w:themeColor="accent1" w:themeShade="80"/>
          <w:sz w:val="28"/>
          <w:szCs w:val="28"/>
          <w:lang w:eastAsia="it-IT"/>
        </w:rPr>
        <w:t xml:space="preserve">che, </w:t>
      </w:r>
      <w:r w:rsidR="00FA0A9D" w:rsidRPr="00B208E4">
        <w:rPr>
          <w:rFonts w:ascii="Calibri" w:eastAsia="Times New Roman" w:hAnsi="Calibri" w:cs="Segoe UI"/>
          <w:color w:val="1F4E79" w:themeColor="accent1" w:themeShade="80"/>
          <w:sz w:val="28"/>
          <w:szCs w:val="28"/>
          <w:lang w:eastAsia="it-IT"/>
        </w:rPr>
        <w:t xml:space="preserve">al contrario, potrebbero </w:t>
      </w:r>
      <w:r w:rsidRPr="00B208E4">
        <w:rPr>
          <w:rFonts w:ascii="Calibri" w:eastAsia="Times New Roman" w:hAnsi="Calibri" w:cs="Segoe UI"/>
          <w:color w:val="1F4E79" w:themeColor="accent1" w:themeShade="80"/>
          <w:sz w:val="28"/>
          <w:szCs w:val="28"/>
          <w:lang w:eastAsia="it-IT"/>
        </w:rPr>
        <w:t>attenuare l’evidenza del denunciato contrasto con il diritto UE.</w:t>
      </w:r>
    </w:p>
    <w:p w:rsidR="003176EE" w:rsidRPr="00B208E4" w:rsidRDefault="001A26AD" w:rsidP="00FB7048">
      <w:pPr>
        <w:pStyle w:val="Paragrafoelenco"/>
        <w:numPr>
          <w:ilvl w:val="0"/>
          <w:numId w:val="17"/>
        </w:numPr>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Un primo aspetto riguarda la legittimazione </w:t>
      </w:r>
      <w:r w:rsidR="00733652" w:rsidRPr="00B208E4">
        <w:rPr>
          <w:rFonts w:ascii="Calibri" w:eastAsia="Times New Roman" w:hAnsi="Calibri" w:cs="Segoe UI"/>
          <w:color w:val="1F4E79" w:themeColor="accent1" w:themeShade="80"/>
          <w:sz w:val="28"/>
          <w:szCs w:val="28"/>
          <w:lang w:eastAsia="it-IT"/>
        </w:rPr>
        <w:t>alla proposizione delle singole censure, in correlazione alle ragioni dell’esclusione dell’operatore economico e del vizio lamentato. Ci si potrebbe chiedere, ad esempio, se</w:t>
      </w:r>
      <w:r w:rsidR="00372BBA" w:rsidRPr="00B208E4">
        <w:rPr>
          <w:rFonts w:ascii="Calibri" w:eastAsia="Times New Roman" w:hAnsi="Calibri" w:cs="Segoe UI"/>
          <w:color w:val="1F4E79" w:themeColor="accent1" w:themeShade="80"/>
          <w:sz w:val="28"/>
          <w:szCs w:val="28"/>
          <w:lang w:eastAsia="it-IT"/>
        </w:rPr>
        <w:t xml:space="preserve"> l’imprenditore escluso per assoluta inidoneità tecnica della propria offerta abbia </w:t>
      </w:r>
      <w:r w:rsidR="00A771CD">
        <w:rPr>
          <w:rFonts w:ascii="Calibri" w:eastAsia="Times New Roman" w:hAnsi="Calibri" w:cs="Segoe UI"/>
          <w:color w:val="1F4E79" w:themeColor="accent1" w:themeShade="80"/>
          <w:sz w:val="28"/>
          <w:szCs w:val="28"/>
          <w:lang w:eastAsia="it-IT"/>
        </w:rPr>
        <w:t xml:space="preserve">un </w:t>
      </w:r>
      <w:r w:rsidR="00372BBA" w:rsidRPr="00B208E4">
        <w:rPr>
          <w:rFonts w:ascii="Calibri" w:eastAsia="Times New Roman" w:hAnsi="Calibri" w:cs="Segoe UI"/>
          <w:color w:val="1F4E79" w:themeColor="accent1" w:themeShade="80"/>
          <w:sz w:val="28"/>
          <w:szCs w:val="28"/>
          <w:lang w:eastAsia="it-IT"/>
        </w:rPr>
        <w:t xml:space="preserve">interesse </w:t>
      </w:r>
      <w:r w:rsidR="00A771CD">
        <w:rPr>
          <w:rFonts w:ascii="Calibri" w:eastAsia="Times New Roman" w:hAnsi="Calibri" w:cs="Segoe UI"/>
          <w:color w:val="1F4E79" w:themeColor="accent1" w:themeShade="80"/>
          <w:sz w:val="28"/>
          <w:szCs w:val="28"/>
          <w:lang w:eastAsia="it-IT"/>
        </w:rPr>
        <w:t xml:space="preserve">giuridicamente protetto </w:t>
      </w:r>
      <w:r w:rsidR="00372BBA" w:rsidRPr="00B208E4">
        <w:rPr>
          <w:rFonts w:ascii="Calibri" w:eastAsia="Times New Roman" w:hAnsi="Calibri" w:cs="Segoe UI"/>
          <w:color w:val="1F4E79" w:themeColor="accent1" w:themeShade="80"/>
          <w:sz w:val="28"/>
          <w:szCs w:val="28"/>
          <w:lang w:eastAsia="it-IT"/>
        </w:rPr>
        <w:t>a lamentare la mancata suddivisione in lotti</w:t>
      </w:r>
      <w:r w:rsidR="00A771CD">
        <w:rPr>
          <w:rFonts w:ascii="Calibri" w:eastAsia="Times New Roman" w:hAnsi="Calibri" w:cs="Segoe UI"/>
          <w:color w:val="1F4E79" w:themeColor="accent1" w:themeShade="80"/>
          <w:sz w:val="28"/>
          <w:szCs w:val="28"/>
          <w:lang w:eastAsia="it-IT"/>
        </w:rPr>
        <w:t xml:space="preserve"> dell’appalto</w:t>
      </w:r>
      <w:r w:rsidR="00372BBA" w:rsidRPr="00B208E4">
        <w:rPr>
          <w:rFonts w:ascii="Calibri" w:eastAsia="Times New Roman" w:hAnsi="Calibri" w:cs="Segoe UI"/>
          <w:color w:val="1F4E79" w:themeColor="accent1" w:themeShade="80"/>
          <w:sz w:val="28"/>
          <w:szCs w:val="28"/>
          <w:lang w:eastAsia="it-IT"/>
        </w:rPr>
        <w:t xml:space="preserve">, dal momento che anche </w:t>
      </w:r>
      <w:r w:rsidR="00A66B18">
        <w:rPr>
          <w:rFonts w:ascii="Calibri" w:eastAsia="Times New Roman" w:hAnsi="Calibri" w:cs="Segoe UI"/>
          <w:color w:val="1F4E79" w:themeColor="accent1" w:themeShade="80"/>
          <w:sz w:val="28"/>
          <w:szCs w:val="28"/>
          <w:lang w:eastAsia="it-IT"/>
        </w:rPr>
        <w:t>nell’</w:t>
      </w:r>
      <w:r w:rsidR="00372BBA" w:rsidRPr="00B208E4">
        <w:rPr>
          <w:rFonts w:ascii="Calibri" w:eastAsia="Times New Roman" w:hAnsi="Calibri" w:cs="Segoe UI"/>
          <w:color w:val="1F4E79" w:themeColor="accent1" w:themeShade="80"/>
          <w:sz w:val="28"/>
          <w:szCs w:val="28"/>
          <w:lang w:eastAsia="it-IT"/>
        </w:rPr>
        <w:t>eventualità</w:t>
      </w:r>
      <w:r w:rsidR="00A66B18">
        <w:rPr>
          <w:rFonts w:ascii="Calibri" w:eastAsia="Times New Roman" w:hAnsi="Calibri" w:cs="Segoe UI"/>
          <w:color w:val="1F4E79" w:themeColor="accent1" w:themeShade="80"/>
          <w:sz w:val="28"/>
          <w:szCs w:val="28"/>
          <w:lang w:eastAsia="it-IT"/>
        </w:rPr>
        <w:t xml:space="preserve"> di un corretto dimensionamento dell’appalto,</w:t>
      </w:r>
      <w:r w:rsidR="009B4318" w:rsidRPr="00B208E4">
        <w:rPr>
          <w:rFonts w:ascii="Calibri" w:eastAsia="Times New Roman" w:hAnsi="Calibri" w:cs="Segoe UI"/>
          <w:color w:val="1F4E79" w:themeColor="accent1" w:themeShade="80"/>
          <w:sz w:val="28"/>
          <w:szCs w:val="28"/>
          <w:lang w:eastAsia="it-IT"/>
        </w:rPr>
        <w:t xml:space="preserve"> la sua offerta</w:t>
      </w:r>
      <w:r w:rsidR="00A771CD">
        <w:rPr>
          <w:rFonts w:ascii="Calibri" w:eastAsia="Times New Roman" w:hAnsi="Calibri" w:cs="Segoe UI"/>
          <w:color w:val="1F4E79" w:themeColor="accent1" w:themeShade="80"/>
          <w:sz w:val="28"/>
          <w:szCs w:val="28"/>
          <w:lang w:eastAsia="it-IT"/>
        </w:rPr>
        <w:t>, giudicata priva di requisiti tecnici essenziali,</w:t>
      </w:r>
      <w:r w:rsidR="009B4318" w:rsidRPr="00B208E4">
        <w:rPr>
          <w:rFonts w:ascii="Calibri" w:eastAsia="Times New Roman" w:hAnsi="Calibri" w:cs="Segoe UI"/>
          <w:color w:val="1F4E79" w:themeColor="accent1" w:themeShade="80"/>
          <w:sz w:val="28"/>
          <w:szCs w:val="28"/>
          <w:lang w:eastAsia="it-IT"/>
        </w:rPr>
        <w:t xml:space="preserve"> non avrebbe avuto alcuna chance di aggiudicazione</w:t>
      </w:r>
      <w:r w:rsidR="003176EE" w:rsidRPr="00B208E4">
        <w:rPr>
          <w:rFonts w:ascii="Calibri" w:eastAsia="Times New Roman" w:hAnsi="Calibri" w:cs="Segoe UI"/>
          <w:color w:val="1F4E79" w:themeColor="accent1" w:themeShade="80"/>
          <w:sz w:val="28"/>
          <w:szCs w:val="28"/>
          <w:lang w:eastAsia="it-IT"/>
        </w:rPr>
        <w:t>.</w:t>
      </w:r>
    </w:p>
    <w:p w:rsidR="004C548D" w:rsidRPr="00B208E4" w:rsidRDefault="003176EE" w:rsidP="00FB7048">
      <w:pPr>
        <w:pStyle w:val="Paragrafoelenco"/>
        <w:numPr>
          <w:ilvl w:val="0"/>
          <w:numId w:val="17"/>
        </w:numPr>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Un secondo profilo riguarda l’</w:t>
      </w:r>
      <w:r w:rsidR="000C26FB" w:rsidRPr="00B208E4">
        <w:rPr>
          <w:rFonts w:ascii="Calibri" w:eastAsia="Times New Roman" w:hAnsi="Calibri" w:cs="Segoe UI"/>
          <w:color w:val="1F4E79" w:themeColor="accent1" w:themeShade="80"/>
          <w:sz w:val="28"/>
          <w:szCs w:val="28"/>
          <w:lang w:eastAsia="it-IT"/>
        </w:rPr>
        <w:t>approfondimento delle conseguenze derivanti dalla diversità delle posizioni processuali delle parti</w:t>
      </w:r>
      <w:r w:rsidR="00FF7E39" w:rsidRPr="00B208E4">
        <w:rPr>
          <w:rFonts w:ascii="Calibri" w:eastAsia="Times New Roman" w:hAnsi="Calibri" w:cs="Segoe UI"/>
          <w:color w:val="1F4E79" w:themeColor="accent1" w:themeShade="80"/>
          <w:sz w:val="28"/>
          <w:szCs w:val="28"/>
          <w:lang w:eastAsia="it-IT"/>
        </w:rPr>
        <w:t xml:space="preserve">, a seconda che si versi in </w:t>
      </w:r>
      <w:r w:rsidR="000C26FB" w:rsidRPr="00B208E4">
        <w:rPr>
          <w:rFonts w:ascii="Calibri" w:eastAsia="Times New Roman" w:hAnsi="Calibri" w:cs="Segoe UI"/>
          <w:color w:val="1F4E79" w:themeColor="accent1" w:themeShade="80"/>
          <w:sz w:val="28"/>
          <w:szCs w:val="28"/>
          <w:lang w:eastAsia="it-IT"/>
        </w:rPr>
        <w:t>ipotesi di ricorsi incrociati reciprocamente escludenti</w:t>
      </w:r>
      <w:r w:rsidR="00FF7E39" w:rsidRPr="00B208E4">
        <w:rPr>
          <w:rFonts w:ascii="Calibri" w:eastAsia="Times New Roman" w:hAnsi="Calibri" w:cs="Segoe UI"/>
          <w:color w:val="1F4E79" w:themeColor="accent1" w:themeShade="80"/>
          <w:sz w:val="28"/>
          <w:szCs w:val="28"/>
          <w:lang w:eastAsia="it-IT"/>
        </w:rPr>
        <w:t xml:space="preserve"> o in </w:t>
      </w:r>
      <w:r w:rsidR="006E1B94">
        <w:rPr>
          <w:rFonts w:ascii="Calibri" w:eastAsia="Times New Roman" w:hAnsi="Calibri" w:cs="Segoe UI"/>
          <w:color w:val="1F4E79" w:themeColor="accent1" w:themeShade="80"/>
          <w:sz w:val="28"/>
          <w:szCs w:val="28"/>
          <w:lang w:eastAsia="it-IT"/>
        </w:rPr>
        <w:t>ca</w:t>
      </w:r>
      <w:r w:rsidR="00FF7E39" w:rsidRPr="00B208E4">
        <w:rPr>
          <w:rFonts w:ascii="Calibri" w:eastAsia="Times New Roman" w:hAnsi="Calibri" w:cs="Segoe UI"/>
          <w:color w:val="1F4E79" w:themeColor="accent1" w:themeShade="80"/>
          <w:sz w:val="28"/>
          <w:szCs w:val="28"/>
          <w:lang w:eastAsia="it-IT"/>
        </w:rPr>
        <w:t xml:space="preserve">si di contestuale impugnazione della propria esclusione, dell’aggiudicazione e dell’intera procedura di gara. </w:t>
      </w:r>
      <w:r w:rsidR="00416423" w:rsidRPr="00B208E4">
        <w:rPr>
          <w:rFonts w:ascii="Calibri" w:eastAsia="Times New Roman" w:hAnsi="Calibri" w:cs="Segoe UI"/>
          <w:color w:val="1F4E79" w:themeColor="accent1" w:themeShade="80"/>
          <w:sz w:val="28"/>
          <w:szCs w:val="28"/>
          <w:lang w:eastAsia="it-IT"/>
        </w:rPr>
        <w:t>In un caso la verifica della legittimazione al ricorso si incentra sull’</w:t>
      </w:r>
      <w:r w:rsidR="004C548D" w:rsidRPr="00B208E4">
        <w:rPr>
          <w:rFonts w:ascii="Calibri" w:eastAsia="Times New Roman" w:hAnsi="Calibri" w:cs="Segoe UI"/>
          <w:color w:val="1F4E79" w:themeColor="accent1" w:themeShade="80"/>
          <w:sz w:val="28"/>
          <w:szCs w:val="28"/>
          <w:lang w:eastAsia="it-IT"/>
        </w:rPr>
        <w:t>accoglimento</w:t>
      </w:r>
      <w:r w:rsidR="00416423" w:rsidRPr="00B208E4">
        <w:rPr>
          <w:rFonts w:ascii="Calibri" w:eastAsia="Times New Roman" w:hAnsi="Calibri" w:cs="Segoe UI"/>
          <w:color w:val="1F4E79" w:themeColor="accent1" w:themeShade="80"/>
          <w:sz w:val="28"/>
          <w:szCs w:val="28"/>
          <w:lang w:eastAsia="it-IT"/>
        </w:rPr>
        <w:t xml:space="preserve"> </w:t>
      </w:r>
      <w:r w:rsidR="004C548D" w:rsidRPr="00B208E4">
        <w:rPr>
          <w:rFonts w:ascii="Calibri" w:eastAsia="Times New Roman" w:hAnsi="Calibri" w:cs="Segoe UI"/>
          <w:color w:val="1F4E79" w:themeColor="accent1" w:themeShade="80"/>
          <w:sz w:val="28"/>
          <w:szCs w:val="28"/>
          <w:lang w:eastAsia="it-IT"/>
        </w:rPr>
        <w:t>o su</w:t>
      </w:r>
      <w:r w:rsidR="00416423" w:rsidRPr="00B208E4">
        <w:rPr>
          <w:rFonts w:ascii="Calibri" w:eastAsia="Times New Roman" w:hAnsi="Calibri" w:cs="Segoe UI"/>
          <w:color w:val="1F4E79" w:themeColor="accent1" w:themeShade="80"/>
          <w:sz w:val="28"/>
          <w:szCs w:val="28"/>
          <w:lang w:eastAsia="it-IT"/>
        </w:rPr>
        <w:t>lla reiezione di una domanda di parte. Nell’altro, invece, la legittimazione va verificata d’ufficio dal giudice.</w:t>
      </w:r>
      <w:r w:rsidRPr="00B208E4">
        <w:rPr>
          <w:rFonts w:ascii="Calibri" w:eastAsia="Times New Roman" w:hAnsi="Calibri" w:cs="Segoe UI"/>
          <w:color w:val="1F4E79" w:themeColor="accent1" w:themeShade="80"/>
          <w:sz w:val="28"/>
          <w:szCs w:val="28"/>
          <w:lang w:eastAsia="it-IT"/>
        </w:rPr>
        <w:t xml:space="preserve"> </w:t>
      </w:r>
    </w:p>
    <w:p w:rsidR="00862E3E" w:rsidRDefault="00DE5003" w:rsidP="00FB7048">
      <w:pPr>
        <w:pStyle w:val="Paragrafoelenco"/>
        <w:numPr>
          <w:ilvl w:val="0"/>
          <w:numId w:val="17"/>
        </w:numPr>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Con</w:t>
      </w:r>
      <w:r>
        <w:rPr>
          <w:rFonts w:ascii="Calibri" w:eastAsia="Times New Roman" w:hAnsi="Calibri" w:cs="Segoe UI"/>
          <w:color w:val="1F4E79" w:themeColor="accent1" w:themeShade="80"/>
          <w:sz w:val="28"/>
          <w:szCs w:val="28"/>
          <w:lang w:eastAsia="it-IT"/>
        </w:rPr>
        <w:t xml:space="preserve"> particolare</w:t>
      </w:r>
      <w:r w:rsidRPr="00B208E4">
        <w:rPr>
          <w:rFonts w:ascii="Calibri" w:eastAsia="Times New Roman" w:hAnsi="Calibri" w:cs="Segoe UI"/>
          <w:color w:val="1F4E79" w:themeColor="accent1" w:themeShade="80"/>
          <w:sz w:val="28"/>
          <w:szCs w:val="28"/>
          <w:lang w:eastAsia="it-IT"/>
        </w:rPr>
        <w:t xml:space="preserve"> </w:t>
      </w:r>
      <w:r w:rsidR="009D5550" w:rsidRPr="00B208E4">
        <w:rPr>
          <w:rFonts w:ascii="Calibri" w:eastAsia="Times New Roman" w:hAnsi="Calibri" w:cs="Segoe UI"/>
          <w:color w:val="1F4E79" w:themeColor="accent1" w:themeShade="80"/>
          <w:sz w:val="28"/>
          <w:szCs w:val="28"/>
          <w:lang w:eastAsia="it-IT"/>
        </w:rPr>
        <w:t>riguardo al tema della legittimazione al ricorso in relazione alla censura ella mancata suddivisione in lotti, andrebbe tenuto conto della circostanza che della questione si sono già occupate la Corte costituzionale</w:t>
      </w:r>
      <w:r>
        <w:rPr>
          <w:rStyle w:val="Rimandonotaapidipagina"/>
          <w:rFonts w:ascii="Calibri" w:eastAsia="Times New Roman" w:hAnsi="Calibri" w:cs="Segoe UI"/>
          <w:color w:val="1F4E79" w:themeColor="accent1" w:themeShade="80"/>
          <w:sz w:val="28"/>
          <w:szCs w:val="28"/>
          <w:lang w:eastAsia="it-IT"/>
        </w:rPr>
        <w:footnoteReference w:id="66"/>
      </w:r>
      <w:r w:rsidR="009D5550" w:rsidRPr="00B208E4">
        <w:rPr>
          <w:rFonts w:ascii="Calibri" w:eastAsia="Times New Roman" w:hAnsi="Calibri" w:cs="Segoe UI"/>
          <w:color w:val="1F4E79" w:themeColor="accent1" w:themeShade="80"/>
          <w:sz w:val="28"/>
          <w:szCs w:val="28"/>
          <w:lang w:eastAsia="it-IT"/>
        </w:rPr>
        <w:t xml:space="preserve"> e la CGUE</w:t>
      </w:r>
      <w:r>
        <w:rPr>
          <w:rStyle w:val="Rimandonotaapidipagina"/>
          <w:rFonts w:ascii="Calibri" w:eastAsia="Times New Roman" w:hAnsi="Calibri" w:cs="Segoe UI"/>
          <w:color w:val="1F4E79" w:themeColor="accent1" w:themeShade="80"/>
          <w:sz w:val="28"/>
          <w:szCs w:val="28"/>
          <w:lang w:eastAsia="it-IT"/>
        </w:rPr>
        <w:footnoteReference w:id="67"/>
      </w:r>
      <w:r w:rsidR="009D5550" w:rsidRPr="00B208E4">
        <w:rPr>
          <w:rFonts w:ascii="Calibri" w:eastAsia="Times New Roman" w:hAnsi="Calibri" w:cs="Segoe UI"/>
          <w:color w:val="1F4E79" w:themeColor="accent1" w:themeShade="80"/>
          <w:sz w:val="28"/>
          <w:szCs w:val="28"/>
          <w:lang w:eastAsia="it-IT"/>
        </w:rPr>
        <w:t>, esigendo il requisito della partecipazione</w:t>
      </w:r>
      <w:r w:rsidR="00862E3E" w:rsidRPr="00B208E4">
        <w:rPr>
          <w:rFonts w:ascii="Calibri" w:eastAsia="Times New Roman" w:hAnsi="Calibri" w:cs="Segoe UI"/>
          <w:color w:val="1F4E79" w:themeColor="accent1" w:themeShade="80"/>
          <w:sz w:val="28"/>
          <w:szCs w:val="28"/>
          <w:lang w:eastAsia="it-IT"/>
        </w:rPr>
        <w:t xml:space="preserve"> alla procedura e precisando altresì che sussiste l’onere di immediata impugnazione delle clausole del bando, ritenute immediatamente lesive</w:t>
      </w:r>
      <w:r>
        <w:rPr>
          <w:rStyle w:val="Rimandonotaapidipagina"/>
          <w:rFonts w:ascii="Calibri" w:eastAsia="Times New Roman" w:hAnsi="Calibri" w:cs="Segoe UI"/>
          <w:color w:val="1F4E79" w:themeColor="accent1" w:themeShade="80"/>
          <w:sz w:val="28"/>
          <w:szCs w:val="28"/>
          <w:lang w:eastAsia="it-IT"/>
        </w:rPr>
        <w:footnoteReference w:id="68"/>
      </w:r>
      <w:r w:rsidR="00862E3E" w:rsidRPr="00B208E4">
        <w:rPr>
          <w:rFonts w:ascii="Calibri" w:eastAsia="Times New Roman" w:hAnsi="Calibri" w:cs="Segoe UI"/>
          <w:color w:val="1F4E79" w:themeColor="accent1" w:themeShade="80"/>
          <w:sz w:val="28"/>
          <w:szCs w:val="28"/>
          <w:lang w:eastAsia="it-IT"/>
        </w:rPr>
        <w:t>.</w:t>
      </w:r>
    </w:p>
    <w:p w:rsidR="006E1B94" w:rsidRPr="00B208E4" w:rsidRDefault="006E1B94" w:rsidP="00FB7048">
      <w:pPr>
        <w:pStyle w:val="Paragrafoelenco"/>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Va peraltro osservato che nella formulazione del quesito, l’ordinanza in commento menziona tutte le censure non esaminate dal Consiglio di Stato, senza fare riferimento al</w:t>
      </w:r>
      <w:r w:rsidR="00A66B18">
        <w:rPr>
          <w:rFonts w:ascii="Calibri" w:eastAsia="Times New Roman" w:hAnsi="Calibri" w:cs="Segoe UI"/>
          <w:color w:val="1F4E79" w:themeColor="accent1" w:themeShade="80"/>
          <w:sz w:val="28"/>
          <w:szCs w:val="28"/>
          <w:lang w:eastAsia="it-IT"/>
        </w:rPr>
        <w:t xml:space="preserve"> motivo</w:t>
      </w:r>
      <w:r>
        <w:rPr>
          <w:rFonts w:ascii="Calibri" w:eastAsia="Times New Roman" w:hAnsi="Calibri" w:cs="Segoe UI"/>
          <w:color w:val="1F4E79" w:themeColor="accent1" w:themeShade="80"/>
          <w:sz w:val="28"/>
          <w:szCs w:val="28"/>
          <w:lang w:eastAsia="it-IT"/>
        </w:rPr>
        <w:t xml:space="preserve"> riguardante la mancata suddivisione in lotti. Non è chiaro se si tratti di una mera dimenticanza o di una scelta deliberata e se questa delimitazione del quesito potrà assumere rilevanza ai fini della pronuncia della CGUE.</w:t>
      </w:r>
    </w:p>
    <w:p w:rsidR="0021441A" w:rsidRPr="00B208E4" w:rsidRDefault="0021441A" w:rsidP="00FB7048">
      <w:pPr>
        <w:pStyle w:val="Paragrafoelenco"/>
        <w:numPr>
          <w:ilvl w:val="0"/>
          <w:numId w:val="17"/>
        </w:numPr>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Un ultimo aspetto riguarda il delicato problema dell’integrità del contraddittorio, in relazione alla domanda di annullamento dell’intera procedura di gara (e non della sola ammissione dell’aggiudicatario), che potrebbe travolgere anche le aspettative dei soggetti collocati in graduatoria</w:t>
      </w:r>
      <w:r w:rsidRPr="00B208E4">
        <w:rPr>
          <w:rStyle w:val="Rimandonotaapidipagina"/>
          <w:rFonts w:ascii="Calibri" w:eastAsia="Times New Roman" w:hAnsi="Calibri" w:cs="Segoe UI"/>
          <w:color w:val="1F4E79" w:themeColor="accent1" w:themeShade="80"/>
          <w:sz w:val="28"/>
          <w:szCs w:val="28"/>
          <w:lang w:eastAsia="it-IT"/>
        </w:rPr>
        <w:footnoteReference w:id="69"/>
      </w:r>
      <w:r w:rsidR="00A66B18">
        <w:rPr>
          <w:rFonts w:ascii="Calibri" w:eastAsia="Times New Roman" w:hAnsi="Calibri" w:cs="Segoe UI"/>
          <w:color w:val="1F4E79" w:themeColor="accent1" w:themeShade="80"/>
          <w:sz w:val="28"/>
          <w:szCs w:val="28"/>
          <w:lang w:eastAsia="it-IT"/>
        </w:rPr>
        <w:t xml:space="preserve"> A differenza del caso </w:t>
      </w:r>
      <w:r w:rsidR="00A66B18" w:rsidRPr="00A66B18">
        <w:rPr>
          <w:rFonts w:ascii="Calibri" w:eastAsia="Times New Roman" w:hAnsi="Calibri" w:cs="Segoe UI"/>
          <w:i/>
          <w:color w:val="1F4E79" w:themeColor="accent1" w:themeShade="80"/>
          <w:sz w:val="28"/>
          <w:szCs w:val="28"/>
          <w:lang w:eastAsia="it-IT"/>
        </w:rPr>
        <w:t>Puligienica</w:t>
      </w:r>
      <w:r w:rsidR="00A66B18">
        <w:rPr>
          <w:rFonts w:ascii="Calibri" w:eastAsia="Times New Roman" w:hAnsi="Calibri" w:cs="Segoe UI"/>
          <w:color w:val="1F4E79" w:themeColor="accent1" w:themeShade="80"/>
          <w:sz w:val="28"/>
          <w:szCs w:val="28"/>
          <w:lang w:eastAsia="it-IT"/>
        </w:rPr>
        <w:t>, le parti collocate in graduatoria dopo l’aggiudicatario, non otterrebbero alcun beneficio potenziale dall’accoglimento del ricorso, ma perderebbero l’aspettativa ad un eventuale scorrimento della graduatoria</w:t>
      </w:r>
      <w:r w:rsidRPr="00B208E4">
        <w:rPr>
          <w:rFonts w:ascii="Calibri" w:eastAsia="Times New Roman" w:hAnsi="Calibri" w:cs="Segoe UI"/>
          <w:color w:val="1F4E79" w:themeColor="accent1" w:themeShade="80"/>
          <w:sz w:val="28"/>
          <w:szCs w:val="28"/>
          <w:lang w:eastAsia="it-IT"/>
        </w:rPr>
        <w:t>.</w:t>
      </w:r>
      <w:r w:rsidR="00A66B18">
        <w:rPr>
          <w:rFonts w:ascii="Calibri" w:eastAsia="Times New Roman" w:hAnsi="Calibri" w:cs="Segoe UI"/>
          <w:color w:val="1F4E79" w:themeColor="accent1" w:themeShade="80"/>
          <w:sz w:val="28"/>
          <w:szCs w:val="28"/>
          <w:lang w:eastAsia="it-IT"/>
        </w:rPr>
        <w:t xml:space="preserve"> In altri termini, non sono cointeressati all’accoglimento del ricorso, ma potrebbero essere qualificati come (ulteriori) controinteressati.</w:t>
      </w:r>
    </w:p>
    <w:p w:rsidR="00D8762A" w:rsidRDefault="0069585E"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Tutti questi interrogativi non solo mettono in rilievo lo scarto</w:t>
      </w:r>
      <w:r w:rsidR="00A66B18">
        <w:rPr>
          <w:rFonts w:ascii="Calibri" w:eastAsia="Times New Roman" w:hAnsi="Calibri" w:cs="Segoe UI"/>
          <w:color w:val="1F4E79" w:themeColor="accent1" w:themeShade="80"/>
          <w:sz w:val="28"/>
          <w:szCs w:val="28"/>
          <w:lang w:eastAsia="it-IT"/>
        </w:rPr>
        <w:t>, non modesto,</w:t>
      </w:r>
      <w:r>
        <w:rPr>
          <w:rFonts w:ascii="Calibri" w:eastAsia="Times New Roman" w:hAnsi="Calibri" w:cs="Segoe UI"/>
          <w:color w:val="1F4E79" w:themeColor="accent1" w:themeShade="80"/>
          <w:sz w:val="28"/>
          <w:szCs w:val="28"/>
          <w:lang w:eastAsia="it-IT"/>
        </w:rPr>
        <w:t xml:space="preserve"> tra la concreta vicenda contenziosa e il quesito formulato, ma soprattutto dimostrano che il sindacato sulla violazione del diritto UE è normalmente intrecciato, in modo indissolubile, ad apprezzamenti sul merito della controversia, alla sua dimensione fattuale e alla peculiarità degli snodi processuali della vicenda: insomma, profili certamente estranei alla naturale fisionomia del giudizio di cassazione.</w:t>
      </w:r>
    </w:p>
    <w:p w:rsidR="0069585E" w:rsidRPr="00B208E4" w:rsidRDefault="0069585E"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p>
    <w:p w:rsidR="001A1B91" w:rsidRPr="00B208E4" w:rsidRDefault="00D70331" w:rsidP="00FB7048">
      <w:pPr>
        <w:numPr>
          <w:ilvl w:val="0"/>
          <w:numId w:val="1"/>
        </w:numPr>
        <w:shd w:val="clear" w:color="auto" w:fill="FFFFFF"/>
        <w:tabs>
          <w:tab w:val="left" w:pos="0"/>
        </w:tabs>
        <w:spacing w:after="120" w:line="240" w:lineRule="auto"/>
        <w:ind w:left="0" w:firstLine="709"/>
        <w:jc w:val="both"/>
        <w:textAlignment w:val="baseline"/>
        <w:rPr>
          <w:rFonts w:ascii="Tahoma" w:eastAsia="Times New Roman" w:hAnsi="Tahoma" w:cs="Tahoma"/>
          <w:smallCaps/>
          <w:color w:val="1F4E79" w:themeColor="accent1" w:themeShade="80"/>
          <w:sz w:val="28"/>
          <w:szCs w:val="28"/>
          <w:bdr w:val="none" w:sz="0" w:space="0" w:color="auto" w:frame="1"/>
          <w:lang w:eastAsia="it-IT"/>
        </w:rPr>
      </w:pPr>
      <w:r w:rsidRPr="00B208E4">
        <w:rPr>
          <w:rFonts w:ascii="Tahoma" w:eastAsia="Times New Roman" w:hAnsi="Tahoma" w:cs="Tahoma"/>
          <w:smallCaps/>
          <w:color w:val="1F4E79" w:themeColor="accent1" w:themeShade="80"/>
          <w:sz w:val="28"/>
          <w:szCs w:val="28"/>
          <w:bdr w:val="none" w:sz="0" w:space="0" w:color="auto" w:frame="1"/>
          <w:lang w:eastAsia="it-IT"/>
        </w:rPr>
        <w:t>La riapertura del dibattito sull’ambito del sindacato della Cassazione</w:t>
      </w:r>
      <w:r w:rsidR="005030EB">
        <w:rPr>
          <w:rFonts w:ascii="Tahoma" w:eastAsia="Times New Roman" w:hAnsi="Tahoma" w:cs="Tahoma"/>
          <w:smallCaps/>
          <w:color w:val="1F4E79" w:themeColor="accent1" w:themeShade="80"/>
          <w:sz w:val="28"/>
          <w:szCs w:val="28"/>
          <w:bdr w:val="none" w:sz="0" w:space="0" w:color="auto" w:frame="1"/>
          <w:lang w:eastAsia="it-IT"/>
        </w:rPr>
        <w:t xml:space="preserve"> sulle sentenze del Consiglio di Stato</w:t>
      </w:r>
      <w:r w:rsidRPr="00B208E4">
        <w:rPr>
          <w:rFonts w:ascii="Tahoma" w:eastAsia="Times New Roman" w:hAnsi="Tahoma" w:cs="Tahoma"/>
          <w:smallCaps/>
          <w:color w:val="1F4E79" w:themeColor="accent1" w:themeShade="80"/>
          <w:sz w:val="28"/>
          <w:szCs w:val="28"/>
          <w:bdr w:val="none" w:sz="0" w:space="0" w:color="auto" w:frame="1"/>
          <w:lang w:eastAsia="it-IT"/>
        </w:rPr>
        <w:t>.</w:t>
      </w:r>
    </w:p>
    <w:p w:rsidR="001A1B91" w:rsidRPr="00B208E4" w:rsidRDefault="001A1B91"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I</w:t>
      </w:r>
      <w:r w:rsidR="00D70331" w:rsidRPr="00B208E4">
        <w:rPr>
          <w:rFonts w:ascii="Calibri" w:eastAsia="Times New Roman" w:hAnsi="Calibri" w:cs="Segoe UI"/>
          <w:color w:val="1F4E79" w:themeColor="accent1" w:themeShade="80"/>
          <w:sz w:val="28"/>
          <w:szCs w:val="28"/>
          <w:lang w:eastAsia="it-IT"/>
        </w:rPr>
        <w:t>n attesa degli esiti del giudizio dinanzi alla CGUE, ci si deve chiedere se l’ordinanza della Cassazione possa determinare, già nell’immediato, alcuni effetti di carattere sistematico</w:t>
      </w:r>
      <w:r w:rsidR="00A66B18">
        <w:rPr>
          <w:rFonts w:ascii="Calibri" w:eastAsia="Times New Roman" w:hAnsi="Calibri" w:cs="Segoe UI"/>
          <w:color w:val="1F4E79" w:themeColor="accent1" w:themeShade="80"/>
          <w:sz w:val="28"/>
          <w:szCs w:val="28"/>
          <w:lang w:eastAsia="it-IT"/>
        </w:rPr>
        <w:t>, mettendo in discussione le certezze acquisite dopo la pronuncia n. 6/2018 della Corte costituzionale, in ordine all’assetto pluralistico delle giurisdizioni</w:t>
      </w:r>
      <w:r w:rsidR="00D70331" w:rsidRPr="00B208E4">
        <w:rPr>
          <w:rFonts w:ascii="Calibri" w:eastAsia="Times New Roman" w:hAnsi="Calibri" w:cs="Segoe UI"/>
          <w:color w:val="1F4E79" w:themeColor="accent1" w:themeShade="80"/>
          <w:sz w:val="28"/>
          <w:szCs w:val="28"/>
          <w:lang w:eastAsia="it-IT"/>
        </w:rPr>
        <w:t>.</w:t>
      </w:r>
    </w:p>
    <w:p w:rsidR="00D70331" w:rsidRDefault="00D70331"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Il dibattito si è riaperto e</w:t>
      </w:r>
      <w:r w:rsidR="0069585E">
        <w:rPr>
          <w:rFonts w:ascii="Calibri" w:eastAsia="Times New Roman" w:hAnsi="Calibri" w:cs="Segoe UI"/>
          <w:color w:val="1F4E79" w:themeColor="accent1" w:themeShade="80"/>
          <w:sz w:val="28"/>
          <w:szCs w:val="28"/>
          <w:lang w:eastAsia="it-IT"/>
        </w:rPr>
        <w:t xml:space="preserve">, accanto a commenti prevalentemente critici sull’ordinanza in esame </w:t>
      </w:r>
      <w:r w:rsidRPr="00B208E4">
        <w:rPr>
          <w:rFonts w:ascii="Calibri" w:eastAsia="Times New Roman" w:hAnsi="Calibri" w:cs="Segoe UI"/>
          <w:color w:val="1F4E79" w:themeColor="accent1" w:themeShade="80"/>
          <w:sz w:val="28"/>
          <w:szCs w:val="28"/>
          <w:lang w:eastAsia="it-IT"/>
        </w:rPr>
        <w:t xml:space="preserve">sono emerse </w:t>
      </w:r>
      <w:r w:rsidR="0069585E">
        <w:rPr>
          <w:rFonts w:ascii="Calibri" w:eastAsia="Times New Roman" w:hAnsi="Calibri" w:cs="Segoe UI"/>
          <w:color w:val="1F4E79" w:themeColor="accent1" w:themeShade="80"/>
          <w:sz w:val="28"/>
          <w:szCs w:val="28"/>
          <w:lang w:eastAsia="it-IT"/>
        </w:rPr>
        <w:t xml:space="preserve">anche alcune </w:t>
      </w:r>
      <w:r w:rsidRPr="00B208E4">
        <w:rPr>
          <w:rFonts w:ascii="Calibri" w:eastAsia="Times New Roman" w:hAnsi="Calibri" w:cs="Segoe UI"/>
          <w:color w:val="1F4E79" w:themeColor="accent1" w:themeShade="80"/>
          <w:sz w:val="28"/>
          <w:szCs w:val="28"/>
          <w:lang w:eastAsia="it-IT"/>
        </w:rPr>
        <w:t xml:space="preserve">posizioni </w:t>
      </w:r>
      <w:r w:rsidR="0069585E">
        <w:rPr>
          <w:rFonts w:ascii="Calibri" w:eastAsia="Times New Roman" w:hAnsi="Calibri" w:cs="Segoe UI"/>
          <w:color w:val="1F4E79" w:themeColor="accent1" w:themeShade="80"/>
          <w:sz w:val="28"/>
          <w:szCs w:val="28"/>
          <w:lang w:eastAsia="it-IT"/>
        </w:rPr>
        <w:t>moderat</w:t>
      </w:r>
      <w:r w:rsidRPr="00B208E4">
        <w:rPr>
          <w:rFonts w:ascii="Calibri" w:eastAsia="Times New Roman" w:hAnsi="Calibri" w:cs="Segoe UI"/>
          <w:color w:val="1F4E79" w:themeColor="accent1" w:themeShade="80"/>
          <w:sz w:val="28"/>
          <w:szCs w:val="28"/>
          <w:lang w:eastAsia="it-IT"/>
        </w:rPr>
        <w:t>amente favorevoli alla estensione del sindacato della cassazione sulle decisioni del Consiglio di Stato.</w:t>
      </w:r>
    </w:p>
    <w:p w:rsidR="008B047A" w:rsidRPr="00207D69" w:rsidRDefault="008B047A" w:rsidP="00FB7048">
      <w:pPr>
        <w:tabs>
          <w:tab w:val="left" w:pos="0"/>
        </w:tabs>
        <w:spacing w:after="120" w:line="240" w:lineRule="auto"/>
        <w:ind w:right="72" w:firstLine="709"/>
        <w:contextualSpacing/>
        <w:jc w:val="both"/>
        <w:textAlignment w:val="baseline"/>
        <w:rPr>
          <w:rFonts w:eastAsia="Times New Roman"/>
          <w:color w:val="1F4E79" w:themeColor="accent1" w:themeShade="80"/>
          <w:sz w:val="28"/>
          <w:szCs w:val="28"/>
        </w:rPr>
      </w:pPr>
      <w:r w:rsidRPr="00B208E4">
        <w:rPr>
          <w:rFonts w:ascii="Calibri" w:eastAsia="Times New Roman" w:hAnsi="Calibri" w:cs="Segoe UI"/>
          <w:color w:val="1F4E79" w:themeColor="accent1" w:themeShade="80"/>
          <w:sz w:val="28"/>
          <w:szCs w:val="28"/>
          <w:lang w:eastAsia="it-IT"/>
        </w:rPr>
        <w:t>In questo quadro di generale ripensamento del sistema, si può certamente considerare l’utilità del sistema pluralistico delle giurisdizioni, sancito dalla vigente Costituzione. Secondo</w:t>
      </w:r>
      <w:r w:rsidR="00207D69">
        <w:rPr>
          <w:rFonts w:ascii="Calibri" w:eastAsia="Times New Roman" w:hAnsi="Calibri" w:cs="Segoe UI"/>
          <w:color w:val="1F4E79" w:themeColor="accent1" w:themeShade="80"/>
          <w:sz w:val="28"/>
          <w:szCs w:val="28"/>
          <w:lang w:eastAsia="it-IT"/>
        </w:rPr>
        <w:t xml:space="preserve"> una dottrina condivisibile</w:t>
      </w:r>
      <w:r w:rsidRPr="00B208E4">
        <w:rPr>
          <w:rFonts w:ascii="Calibri" w:eastAsia="Times New Roman" w:hAnsi="Calibri" w:cs="Segoe UI"/>
          <w:color w:val="1F4E79" w:themeColor="accent1" w:themeShade="80"/>
          <w:sz w:val="28"/>
          <w:szCs w:val="28"/>
          <w:lang w:eastAsia="it-IT"/>
        </w:rPr>
        <w:t xml:space="preserve">, </w:t>
      </w:r>
      <w:r w:rsidRPr="00207D69">
        <w:rPr>
          <w:rFonts w:eastAsia="Times New Roman"/>
          <w:color w:val="1F4E79" w:themeColor="accent1" w:themeShade="80"/>
          <w:sz w:val="28"/>
          <w:szCs w:val="28"/>
        </w:rPr>
        <w:t>“</w:t>
      </w:r>
      <w:r w:rsidRPr="00207D69">
        <w:rPr>
          <w:rFonts w:eastAsia="Times New Roman"/>
          <w:i/>
          <w:color w:val="1F4E79" w:themeColor="accent1" w:themeShade="80"/>
          <w:sz w:val="28"/>
          <w:szCs w:val="28"/>
        </w:rPr>
        <w:t>gli argomenti di Calamandrei, disattesi dall’Assemblea costituente, non hanno perso nulla del loro valore; anzi con gli anni, con l’estensione della giurisdizione esclusiva, con la revisione dei confini fra diritto amministrativo e diritto privato, con lo spazio maggiore riconosciuto oggi all’amministrazione consensuale, hanno acquisito un’attualità ancora più intensa. Il superamento del modello delle due giurisdizioni separate, a mio parere, si impone, nell’interesse innanzi tutto dei cittadini, e non è la meno importante o la meno urgente delle riforme che il nostro Paese meriterebbe. Nello stesso tempo, per rispetto dei ruoli definiti dalla Costituzione, è una riforma demandata al legislatore come appunto aveva richiesto Calamandrei, e non all’interpretazione dei giudici</w:t>
      </w:r>
      <w:r w:rsidRPr="00207D69">
        <w:rPr>
          <w:rFonts w:eastAsia="Times New Roman"/>
          <w:color w:val="1F4E79" w:themeColor="accent1" w:themeShade="80"/>
          <w:sz w:val="28"/>
          <w:szCs w:val="28"/>
        </w:rPr>
        <w:t>.”</w:t>
      </w:r>
      <w:r w:rsidR="00207D69">
        <w:rPr>
          <w:rStyle w:val="Rimandonotaapidipagina"/>
          <w:rFonts w:eastAsia="Times New Roman"/>
          <w:color w:val="1F4E79" w:themeColor="accent1" w:themeShade="80"/>
          <w:sz w:val="28"/>
          <w:szCs w:val="28"/>
        </w:rPr>
        <w:footnoteReference w:id="70"/>
      </w:r>
    </w:p>
    <w:p w:rsidR="008B047A" w:rsidRPr="00B208E4" w:rsidRDefault="008B047A"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Ma è appena il caso di osservare che oggi gli argomenti nell’uno o nell’altro senso sono davvero tanti.</w:t>
      </w:r>
    </w:p>
    <w:p w:rsidR="008B047A" w:rsidRPr="00B208E4" w:rsidRDefault="008B047A"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E, certamente, mettere mani sulle norme costituzionali che regolano la giurisdizione è operazione delicatissima, se non accompagnata da un’attenta e serena </w:t>
      </w:r>
      <w:r w:rsidRPr="00B208E4">
        <w:rPr>
          <w:rFonts w:ascii="Calibri" w:eastAsia="Times New Roman" w:hAnsi="Calibri" w:cs="Segoe UI"/>
          <w:i/>
          <w:color w:val="1F4E79" w:themeColor="accent1" w:themeShade="80"/>
          <w:sz w:val="28"/>
          <w:szCs w:val="28"/>
          <w:lang w:eastAsia="it-IT"/>
        </w:rPr>
        <w:t>istruttoria</w:t>
      </w:r>
      <w:r w:rsidRPr="00B208E4">
        <w:rPr>
          <w:rFonts w:ascii="Calibri" w:eastAsia="Times New Roman" w:hAnsi="Calibri" w:cs="Segoe UI"/>
          <w:color w:val="1F4E79" w:themeColor="accent1" w:themeShade="80"/>
          <w:sz w:val="28"/>
          <w:szCs w:val="28"/>
          <w:lang w:eastAsia="it-IT"/>
        </w:rPr>
        <w:t xml:space="preserve"> politica ed istituzionale e condivisa dai protagonisti.</w:t>
      </w:r>
    </w:p>
    <w:p w:rsidR="008B047A" w:rsidRPr="00B208E4" w:rsidRDefault="008B047A"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Come si è detto, invece, possono studiarsi alcuni aggiustamenti volti a rendere più omogena la disciplina processuale dei diversi ambiti.</w:t>
      </w:r>
    </w:p>
    <w:p w:rsidR="008B047A" w:rsidRPr="00B208E4" w:rsidRDefault="008B047A"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Nel dibattito in atto merita</w:t>
      </w:r>
      <w:r>
        <w:rPr>
          <w:rFonts w:ascii="Calibri" w:eastAsia="Times New Roman" w:hAnsi="Calibri" w:cs="Segoe UI"/>
          <w:color w:val="1F4E79" w:themeColor="accent1" w:themeShade="80"/>
          <w:sz w:val="28"/>
          <w:szCs w:val="28"/>
          <w:lang w:eastAsia="it-IT"/>
        </w:rPr>
        <w:t>no di essere segnalate, anche</w:t>
      </w:r>
      <w:r w:rsidRPr="00B208E4">
        <w:rPr>
          <w:rFonts w:ascii="Calibri" w:eastAsia="Times New Roman" w:hAnsi="Calibri" w:cs="Segoe UI"/>
          <w:color w:val="1F4E79" w:themeColor="accent1" w:themeShade="80"/>
          <w:sz w:val="28"/>
          <w:szCs w:val="28"/>
          <w:lang w:eastAsia="it-IT"/>
        </w:rPr>
        <w:t xml:space="preserve"> l</w:t>
      </w:r>
      <w:r>
        <w:rPr>
          <w:rFonts w:ascii="Calibri" w:eastAsia="Times New Roman" w:hAnsi="Calibri" w:cs="Segoe UI"/>
          <w:color w:val="1F4E79" w:themeColor="accent1" w:themeShade="80"/>
          <w:sz w:val="28"/>
          <w:szCs w:val="28"/>
          <w:lang w:eastAsia="it-IT"/>
        </w:rPr>
        <w:t xml:space="preserve">e interessanti ed articolate </w:t>
      </w:r>
      <w:r w:rsidRPr="00B208E4">
        <w:rPr>
          <w:rFonts w:ascii="Calibri" w:eastAsia="Times New Roman" w:hAnsi="Calibri" w:cs="Segoe UI"/>
          <w:color w:val="1F4E79" w:themeColor="accent1" w:themeShade="80"/>
          <w:sz w:val="28"/>
          <w:szCs w:val="28"/>
          <w:lang w:eastAsia="it-IT"/>
        </w:rPr>
        <w:t>opinion</w:t>
      </w:r>
      <w:r>
        <w:rPr>
          <w:rFonts w:ascii="Calibri" w:eastAsia="Times New Roman" w:hAnsi="Calibri" w:cs="Segoe UI"/>
          <w:color w:val="1F4E79" w:themeColor="accent1" w:themeShade="80"/>
          <w:sz w:val="28"/>
          <w:szCs w:val="28"/>
          <w:lang w:eastAsia="it-IT"/>
        </w:rPr>
        <w:t>i</w:t>
      </w:r>
      <w:r w:rsidRPr="00B208E4">
        <w:rPr>
          <w:rFonts w:ascii="Calibri" w:eastAsia="Times New Roman" w:hAnsi="Calibri" w:cs="Segoe UI"/>
          <w:color w:val="1F4E79" w:themeColor="accent1" w:themeShade="80"/>
          <w:sz w:val="28"/>
          <w:szCs w:val="28"/>
          <w:lang w:eastAsia="it-IT"/>
        </w:rPr>
        <w:t xml:space="preserve"> di chi, pur criticando l’impianto argomentativo delle Sezioni Unite, caldeggia una </w:t>
      </w:r>
      <w:r>
        <w:rPr>
          <w:rFonts w:ascii="Calibri" w:eastAsia="Times New Roman" w:hAnsi="Calibri" w:cs="Segoe UI"/>
          <w:color w:val="1F4E79" w:themeColor="accent1" w:themeShade="80"/>
          <w:sz w:val="28"/>
          <w:szCs w:val="28"/>
          <w:lang w:eastAsia="it-IT"/>
        </w:rPr>
        <w:t xml:space="preserve">ragionevole </w:t>
      </w:r>
      <w:r w:rsidRPr="00B208E4">
        <w:rPr>
          <w:rFonts w:ascii="Calibri" w:eastAsia="Times New Roman" w:hAnsi="Calibri" w:cs="Segoe UI"/>
          <w:color w:val="1F4E79" w:themeColor="accent1" w:themeShade="80"/>
          <w:sz w:val="28"/>
          <w:szCs w:val="28"/>
          <w:lang w:eastAsia="it-IT"/>
        </w:rPr>
        <w:t>apertura del</w:t>
      </w:r>
      <w:r>
        <w:rPr>
          <w:rFonts w:ascii="Calibri" w:eastAsia="Times New Roman" w:hAnsi="Calibri" w:cs="Segoe UI"/>
          <w:color w:val="1F4E79" w:themeColor="accent1" w:themeShade="80"/>
          <w:sz w:val="28"/>
          <w:szCs w:val="28"/>
          <w:lang w:eastAsia="it-IT"/>
        </w:rPr>
        <w:t>l’ambito del</w:t>
      </w:r>
      <w:r w:rsidRPr="00B208E4">
        <w:rPr>
          <w:rFonts w:ascii="Calibri" w:eastAsia="Times New Roman" w:hAnsi="Calibri" w:cs="Segoe UI"/>
          <w:color w:val="1F4E79" w:themeColor="accent1" w:themeShade="80"/>
          <w:sz w:val="28"/>
          <w:szCs w:val="28"/>
          <w:lang w:eastAsia="it-IT"/>
        </w:rPr>
        <w:t xml:space="preserve"> ricorso per cassazione</w:t>
      </w:r>
      <w:r>
        <w:rPr>
          <w:rFonts w:ascii="Calibri" w:eastAsia="Times New Roman" w:hAnsi="Calibri" w:cs="Segoe UI"/>
          <w:color w:val="1F4E79" w:themeColor="accent1" w:themeShade="80"/>
          <w:sz w:val="28"/>
          <w:szCs w:val="28"/>
          <w:lang w:eastAsia="it-IT"/>
        </w:rPr>
        <w:t xml:space="preserve"> ex art. 111, comma ottavo, della Cost</w:t>
      </w:r>
      <w:r w:rsidRPr="00B208E4">
        <w:rPr>
          <w:rFonts w:ascii="Calibri" w:eastAsia="Times New Roman" w:hAnsi="Calibri" w:cs="Segoe UI"/>
          <w:color w:val="1F4E79" w:themeColor="accent1" w:themeShade="80"/>
          <w:sz w:val="28"/>
          <w:szCs w:val="28"/>
          <w:lang w:eastAsia="it-IT"/>
        </w:rPr>
        <w:t>.</w:t>
      </w:r>
    </w:p>
    <w:p w:rsidR="008B047A" w:rsidRPr="00B208E4" w:rsidRDefault="008B047A"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In questo senso va segnalata</w:t>
      </w:r>
      <w:r>
        <w:rPr>
          <w:rFonts w:ascii="Calibri" w:eastAsia="Times New Roman" w:hAnsi="Calibri" w:cs="Segoe UI"/>
          <w:color w:val="1F4E79" w:themeColor="accent1" w:themeShade="80"/>
          <w:sz w:val="28"/>
          <w:szCs w:val="28"/>
          <w:lang w:eastAsia="it-IT"/>
        </w:rPr>
        <w:t xml:space="preserve">, </w:t>
      </w:r>
      <w:r w:rsidRPr="00B208E4">
        <w:rPr>
          <w:rFonts w:ascii="Calibri" w:eastAsia="Times New Roman" w:hAnsi="Calibri" w:cs="Segoe UI"/>
          <w:color w:val="1F4E79" w:themeColor="accent1" w:themeShade="80"/>
          <w:sz w:val="28"/>
          <w:szCs w:val="28"/>
          <w:lang w:eastAsia="it-IT"/>
        </w:rPr>
        <w:t>la motivata posizione di chi ritiene che proprio nel caso di specie, considerato dall’ordinanza della Cassazione</w:t>
      </w:r>
      <w:r>
        <w:rPr>
          <w:rFonts w:ascii="Calibri" w:eastAsia="Times New Roman" w:hAnsi="Calibri" w:cs="Segoe UI"/>
          <w:color w:val="1F4E79" w:themeColor="accent1" w:themeShade="80"/>
          <w:sz w:val="28"/>
          <w:szCs w:val="28"/>
          <w:lang w:eastAsia="it-IT"/>
        </w:rPr>
        <w:t>, s</w:t>
      </w:r>
      <w:r w:rsidRPr="00B208E4">
        <w:rPr>
          <w:rFonts w:ascii="Calibri" w:eastAsia="Times New Roman" w:hAnsi="Calibri" w:cs="Segoe UI"/>
          <w:color w:val="1F4E79" w:themeColor="accent1" w:themeShade="80"/>
          <w:sz w:val="28"/>
          <w:szCs w:val="28"/>
          <w:lang w:eastAsia="it-IT"/>
        </w:rPr>
        <w:t xml:space="preserve">i sia in presenza di un </w:t>
      </w:r>
      <w:r>
        <w:rPr>
          <w:rFonts w:ascii="Calibri" w:eastAsia="Times New Roman" w:hAnsi="Calibri" w:cs="Segoe UI"/>
          <w:color w:val="1F4E79" w:themeColor="accent1" w:themeShade="80"/>
          <w:sz w:val="28"/>
          <w:szCs w:val="28"/>
          <w:lang w:eastAsia="it-IT"/>
        </w:rPr>
        <w:t xml:space="preserve">evidente </w:t>
      </w:r>
      <w:r w:rsidRPr="00EF50D4">
        <w:rPr>
          <w:rFonts w:ascii="Calibri" w:eastAsia="Times New Roman" w:hAnsi="Calibri" w:cs="Segoe UI"/>
          <w:i/>
          <w:color w:val="1F4E79" w:themeColor="accent1" w:themeShade="80"/>
          <w:sz w:val="28"/>
          <w:szCs w:val="28"/>
          <w:lang w:eastAsia="it-IT"/>
        </w:rPr>
        <w:t>rifiuto di giurisdizione</w:t>
      </w:r>
      <w:r w:rsidRPr="00B208E4">
        <w:rPr>
          <w:rFonts w:ascii="Calibri" w:eastAsia="Times New Roman" w:hAnsi="Calibri" w:cs="Segoe UI"/>
          <w:color w:val="1F4E79" w:themeColor="accent1" w:themeShade="80"/>
          <w:sz w:val="28"/>
          <w:szCs w:val="28"/>
          <w:lang w:eastAsia="it-IT"/>
        </w:rPr>
        <w:t>, senza necessità di invocare i parametri del diritto UE. “</w:t>
      </w:r>
      <w:r w:rsidRPr="00B208E4">
        <w:rPr>
          <w:rFonts w:ascii="Calibri" w:eastAsia="Times New Roman" w:hAnsi="Calibri" w:cs="Segoe UI"/>
          <w:i/>
          <w:color w:val="1F4E79" w:themeColor="accent1" w:themeShade="80"/>
          <w:sz w:val="28"/>
          <w:szCs w:val="28"/>
          <w:lang w:eastAsia="it-IT"/>
        </w:rPr>
        <w:t>Qui non ci si può trincerare dietro giri di parole, cercando di sostenere che è questione soltanto di assenza di presupposti processuali, di mancanza cioè di un interesse a ricorrere cha abbia i caratteri dell’attualità e dell’immediatezza. Affermare che il ricorrente è portatore di un interesse di mero fatto significa escludere che possa vantare la titolarità di un interesse che l’ordinamento ritiene meritevole di tutela e che possa quindi agire per chiederne la protezione in sede giurisdizionale.</w:t>
      </w:r>
      <w:r w:rsidRPr="00B208E4">
        <w:rPr>
          <w:rFonts w:ascii="Calibri" w:eastAsia="Times New Roman" w:hAnsi="Calibri" w:cs="Segoe UI"/>
          <w:color w:val="1F4E79" w:themeColor="accent1" w:themeShade="80"/>
          <w:sz w:val="28"/>
          <w:szCs w:val="28"/>
          <w:lang w:eastAsia="it-IT"/>
        </w:rPr>
        <w:t>”</w:t>
      </w:r>
      <w:r w:rsidRPr="00B208E4">
        <w:rPr>
          <w:rStyle w:val="Rimandonotaapidipagina"/>
          <w:rFonts w:ascii="Calibri" w:eastAsia="Times New Roman" w:hAnsi="Calibri" w:cs="Segoe UI"/>
          <w:color w:val="1F4E79" w:themeColor="accent1" w:themeShade="80"/>
          <w:sz w:val="28"/>
          <w:szCs w:val="28"/>
          <w:lang w:eastAsia="it-IT"/>
        </w:rPr>
        <w:footnoteReference w:id="71"/>
      </w:r>
    </w:p>
    <w:p w:rsidR="008B047A" w:rsidRPr="00B208E4" w:rsidRDefault="008B047A"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Il punto è che, per quanto convincente possa risultare questa opinione</w:t>
      </w:r>
      <w:r>
        <w:rPr>
          <w:rFonts w:ascii="Calibri" w:eastAsia="Times New Roman" w:hAnsi="Calibri" w:cs="Segoe UI"/>
          <w:color w:val="1F4E79" w:themeColor="accent1" w:themeShade="80"/>
          <w:sz w:val="28"/>
          <w:szCs w:val="28"/>
          <w:lang w:eastAsia="it-IT"/>
        </w:rPr>
        <w:t xml:space="preserve"> e possa considerarsi più o meno aderente alla corretta esegesi della norma costituzionale</w:t>
      </w:r>
      <w:r w:rsidRPr="00B208E4">
        <w:rPr>
          <w:rFonts w:ascii="Calibri" w:eastAsia="Times New Roman" w:hAnsi="Calibri" w:cs="Segoe UI"/>
          <w:color w:val="1F4E79" w:themeColor="accent1" w:themeShade="80"/>
          <w:sz w:val="28"/>
          <w:szCs w:val="28"/>
          <w:lang w:eastAsia="it-IT"/>
        </w:rPr>
        <w:t>, essa sembra divergere dalla rigorosa posizione espressa, al momento, dalla Corte costituzionale</w:t>
      </w:r>
      <w:r>
        <w:rPr>
          <w:rFonts w:ascii="Calibri" w:eastAsia="Times New Roman" w:hAnsi="Calibri" w:cs="Segoe UI"/>
          <w:color w:val="1F4E79" w:themeColor="accent1" w:themeShade="80"/>
          <w:sz w:val="28"/>
          <w:szCs w:val="28"/>
          <w:lang w:eastAsia="it-IT"/>
        </w:rPr>
        <w:t xml:space="preserve"> e dal nucleo essenziale degli argomenti che la sorreggono</w:t>
      </w:r>
      <w:r w:rsidRPr="00B208E4">
        <w:rPr>
          <w:rFonts w:ascii="Calibri" w:eastAsia="Times New Roman" w:hAnsi="Calibri" w:cs="Segoe UI"/>
          <w:color w:val="1F4E79" w:themeColor="accent1" w:themeShade="80"/>
          <w:sz w:val="28"/>
          <w:szCs w:val="28"/>
          <w:lang w:eastAsia="it-IT"/>
        </w:rPr>
        <w:t>.</w:t>
      </w:r>
    </w:p>
    <w:p w:rsidR="008B047A" w:rsidRPr="00B208E4" w:rsidRDefault="008B047A"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Volendo schematizzare, si muove dal rilievo che l’eventualità di errori, anche gravi, del Consiglio di Stato non è affatto remota, giustificando l’estensione meditata dello strumento del ricorso per cassazione.</w:t>
      </w:r>
    </w:p>
    <w:p w:rsidR="008B047A" w:rsidRPr="00B208E4" w:rsidRDefault="008B047A"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Si ricostruisce lo stesso indirizzo della Corte costituzionale, evidenziando che pure tale pronuncia apre importanti spiragli.</w:t>
      </w:r>
    </w:p>
    <w:p w:rsidR="008B047A" w:rsidRPr="00B208E4" w:rsidRDefault="008B047A"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Si aggiunge che la tesi dell’ordinanza della Cassazione non convince affatto nella parte in cui predica una contrapposizione tra violazioni del diritto nazionale e del diritto europeo.</w:t>
      </w:r>
    </w:p>
    <w:p w:rsidR="008B047A" w:rsidRPr="00B208E4" w:rsidRDefault="008B047A"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Le conclusioni meritano di essere analizzate con la massima attenzione.</w:t>
      </w:r>
    </w:p>
    <w:p w:rsidR="008B047A" w:rsidRPr="00FA1058" w:rsidRDefault="008B047A"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Il rifiuto radicale di giustizia, </w:t>
      </w:r>
      <w:r w:rsidRPr="00FA1058">
        <w:rPr>
          <w:rFonts w:ascii="Calibri" w:eastAsia="Times New Roman" w:hAnsi="Calibri" w:cs="Segoe UI"/>
          <w:color w:val="1F4E79" w:themeColor="accent1" w:themeShade="80"/>
          <w:sz w:val="28"/>
          <w:szCs w:val="28"/>
          <w:lang w:eastAsia="it-IT"/>
        </w:rPr>
        <w:t>sub specie</w:t>
      </w:r>
      <w:r w:rsidRPr="00B208E4">
        <w:rPr>
          <w:rFonts w:ascii="Calibri" w:eastAsia="Times New Roman" w:hAnsi="Calibri" w:cs="Segoe UI"/>
          <w:color w:val="1F4E79" w:themeColor="accent1" w:themeShade="80"/>
          <w:sz w:val="28"/>
          <w:szCs w:val="28"/>
          <w:lang w:eastAsia="it-IT"/>
        </w:rPr>
        <w:t xml:space="preserve"> di “</w:t>
      </w:r>
      <w:r w:rsidRPr="00FA1058">
        <w:rPr>
          <w:rFonts w:ascii="Calibri" w:eastAsia="Times New Roman" w:hAnsi="Calibri" w:cs="Segoe UI"/>
          <w:color w:val="1F4E79" w:themeColor="accent1" w:themeShade="80"/>
          <w:sz w:val="28"/>
          <w:szCs w:val="28"/>
          <w:lang w:eastAsia="it-IT"/>
        </w:rPr>
        <w:t>arretramento</w:t>
      </w:r>
      <w:r w:rsidRPr="00B208E4">
        <w:rPr>
          <w:rFonts w:ascii="Calibri" w:eastAsia="Times New Roman" w:hAnsi="Calibri" w:cs="Segoe UI"/>
          <w:color w:val="1F4E79" w:themeColor="accent1" w:themeShade="80"/>
          <w:sz w:val="28"/>
          <w:szCs w:val="28"/>
          <w:lang w:eastAsia="it-IT"/>
        </w:rPr>
        <w:t xml:space="preserve">” – aprioristico e astratto – dall’obbligo di fornire tutela giurisdizionale a una situazione giuridica </w:t>
      </w:r>
      <w:r w:rsidRPr="00FA1058">
        <w:rPr>
          <w:rFonts w:ascii="Calibri" w:eastAsia="Times New Roman" w:hAnsi="Calibri" w:cs="Segoe UI"/>
          <w:color w:val="1F4E79" w:themeColor="accent1" w:themeShade="80"/>
          <w:sz w:val="28"/>
          <w:szCs w:val="28"/>
          <w:lang w:eastAsia="it-IT"/>
        </w:rPr>
        <w:t>soggettiva protetta dall’ordinamento, adducendo ostacoli in rito manifestamente confliggenti con il sistema normativo primario, è una species, particolarmente grave, del genus “eccesso di potere giudiziario” nei confronti del potere legislativo</w:t>
      </w:r>
      <w:r w:rsidRPr="00FA1058">
        <w:footnoteReference w:id="72"/>
      </w:r>
      <w:r w:rsidRPr="00FA1058">
        <w:rPr>
          <w:rFonts w:ascii="Calibri" w:eastAsia="Times New Roman" w:hAnsi="Calibri" w:cs="Segoe UI"/>
          <w:color w:val="1F4E79" w:themeColor="accent1" w:themeShade="80"/>
          <w:sz w:val="28"/>
          <w:szCs w:val="28"/>
          <w:lang w:eastAsia="it-IT"/>
        </w:rPr>
        <w:t xml:space="preserve">. </w:t>
      </w:r>
    </w:p>
    <w:p w:rsidR="008B047A" w:rsidRPr="00FA1058" w:rsidRDefault="008B047A"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FA1058">
        <w:rPr>
          <w:rFonts w:ascii="Calibri" w:eastAsia="Times New Roman" w:hAnsi="Calibri" w:cs="Segoe UI"/>
          <w:color w:val="1F4E79" w:themeColor="accent1" w:themeShade="80"/>
          <w:sz w:val="28"/>
          <w:szCs w:val="28"/>
          <w:lang w:eastAsia="it-IT"/>
        </w:rPr>
        <w:t>la Corte di cassazione dovrebbe potere, e a mio avviso può e deve, cassare le decisioni dei giudici amministrativi di ultima istanza nell’ipotesi in cui “creino” un radicale e aprioristico vuoto di tutela, in frontale contrasto con il quadro legislativo interno</w:t>
      </w:r>
      <w:r>
        <w:rPr>
          <w:rFonts w:ascii="Calibri" w:eastAsia="Times New Roman" w:hAnsi="Calibri" w:cs="Segoe UI"/>
          <w:color w:val="1F4E79" w:themeColor="accent1" w:themeShade="80"/>
          <w:sz w:val="28"/>
          <w:szCs w:val="28"/>
          <w:lang w:eastAsia="it-IT"/>
        </w:rPr>
        <w:t xml:space="preserve">. </w:t>
      </w:r>
    </w:p>
    <w:p w:rsidR="008B047A" w:rsidRDefault="008B047A"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 xml:space="preserve">Quindi, si ritiene che </w:t>
      </w:r>
      <w:r w:rsidRPr="00FA1058">
        <w:rPr>
          <w:rFonts w:ascii="Calibri" w:eastAsia="Times New Roman" w:hAnsi="Calibri" w:cs="Segoe UI"/>
          <w:color w:val="1F4E79" w:themeColor="accent1" w:themeShade="80"/>
          <w:sz w:val="28"/>
          <w:szCs w:val="28"/>
          <w:lang w:eastAsia="it-IT"/>
        </w:rPr>
        <w:t>il problema tocca o dovrebbe toccare solo accidentalmente il diritto eurounitario, ovvero lo tocca soltanto se e in quanto il “rifiuto” si r</w:t>
      </w:r>
      <w:r>
        <w:rPr>
          <w:rFonts w:ascii="Calibri" w:eastAsia="Times New Roman" w:hAnsi="Calibri" w:cs="Segoe UI"/>
          <w:color w:val="1F4E79" w:themeColor="accent1" w:themeShade="80"/>
          <w:sz w:val="28"/>
          <w:szCs w:val="28"/>
          <w:lang w:eastAsia="it-IT"/>
        </w:rPr>
        <w:t>ealizza rispetto a una fonte UE.</w:t>
      </w:r>
    </w:p>
    <w:p w:rsidR="008B047A" w:rsidRDefault="008B047A"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 xml:space="preserve">La dottrina in esame ne trae la convinzione secondo cui </w:t>
      </w:r>
      <w:r w:rsidRPr="00FA1058">
        <w:rPr>
          <w:rFonts w:ascii="Calibri" w:eastAsia="Times New Roman" w:hAnsi="Calibri" w:cs="Segoe UI"/>
          <w:color w:val="1F4E79" w:themeColor="accent1" w:themeShade="80"/>
          <w:sz w:val="28"/>
          <w:szCs w:val="28"/>
          <w:lang w:eastAsia="it-IT"/>
        </w:rPr>
        <w:t>il rifiuto aprioristico di tutela di una posizione giuridica nelle forme stabilite dall’ordinamento non è una mera “violazione di legge”, ma è, incontrovertibilmente, una “</w:t>
      </w:r>
      <w:r w:rsidRPr="008B047A">
        <w:rPr>
          <w:rFonts w:ascii="Calibri" w:eastAsia="Times New Roman" w:hAnsi="Calibri" w:cs="Segoe UI"/>
          <w:i/>
          <w:color w:val="1F4E79" w:themeColor="accent1" w:themeShade="80"/>
          <w:sz w:val="28"/>
          <w:szCs w:val="28"/>
          <w:lang w:eastAsia="it-IT"/>
        </w:rPr>
        <w:t>questione di giurisdizione</w:t>
      </w:r>
      <w:r w:rsidRPr="00FA1058">
        <w:rPr>
          <w:rFonts w:ascii="Calibri" w:eastAsia="Times New Roman" w:hAnsi="Calibri" w:cs="Segoe UI"/>
          <w:color w:val="1F4E79" w:themeColor="accent1" w:themeShade="80"/>
          <w:sz w:val="28"/>
          <w:szCs w:val="28"/>
          <w:lang w:eastAsia="it-IT"/>
        </w:rPr>
        <w:t>”</w:t>
      </w:r>
      <w:r>
        <w:rPr>
          <w:rFonts w:ascii="Calibri" w:eastAsia="Times New Roman" w:hAnsi="Calibri" w:cs="Segoe UI"/>
          <w:color w:val="1F4E79" w:themeColor="accent1" w:themeShade="80"/>
          <w:sz w:val="28"/>
          <w:szCs w:val="28"/>
          <w:lang w:eastAsia="it-IT"/>
        </w:rPr>
        <w:t>.</w:t>
      </w:r>
    </w:p>
    <w:p w:rsidR="00DE6C61" w:rsidRPr="00B208E4" w:rsidRDefault="00D70331"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Non è possibile entrare nel vivo degli argomenti proposti</w:t>
      </w:r>
      <w:r w:rsidR="00A66B18">
        <w:rPr>
          <w:rFonts w:ascii="Calibri" w:eastAsia="Times New Roman" w:hAnsi="Calibri" w:cs="Segoe UI"/>
          <w:color w:val="1F4E79" w:themeColor="accent1" w:themeShade="80"/>
          <w:sz w:val="28"/>
          <w:szCs w:val="28"/>
          <w:lang w:eastAsia="it-IT"/>
        </w:rPr>
        <w:t xml:space="preserve"> in tal senso</w:t>
      </w:r>
      <w:r w:rsidRPr="00B208E4">
        <w:rPr>
          <w:rFonts w:ascii="Calibri" w:eastAsia="Times New Roman" w:hAnsi="Calibri" w:cs="Segoe UI"/>
          <w:color w:val="1F4E79" w:themeColor="accent1" w:themeShade="80"/>
          <w:sz w:val="28"/>
          <w:szCs w:val="28"/>
          <w:lang w:eastAsia="it-IT"/>
        </w:rPr>
        <w:t xml:space="preserve"> e delle relative obiezioni: alcuni temi sono strettamente giuridici, altri toccano profili di opportunità </w:t>
      </w:r>
      <w:r w:rsidR="00DE6C61" w:rsidRPr="00B208E4">
        <w:rPr>
          <w:rFonts w:ascii="Calibri" w:eastAsia="Times New Roman" w:hAnsi="Calibri" w:cs="Segoe UI"/>
          <w:color w:val="1F4E79" w:themeColor="accent1" w:themeShade="80"/>
          <w:sz w:val="28"/>
          <w:szCs w:val="28"/>
          <w:lang w:eastAsia="it-IT"/>
        </w:rPr>
        <w:t>e investono anche ipotesi di innovazioni legislative</w:t>
      </w:r>
      <w:r w:rsidR="00A66B18">
        <w:rPr>
          <w:rFonts w:ascii="Calibri" w:eastAsia="Times New Roman" w:hAnsi="Calibri" w:cs="Segoe UI"/>
          <w:color w:val="1F4E79" w:themeColor="accent1" w:themeShade="80"/>
          <w:sz w:val="28"/>
          <w:szCs w:val="28"/>
          <w:lang w:eastAsia="it-IT"/>
        </w:rPr>
        <w:t xml:space="preserve"> e costituzionali</w:t>
      </w:r>
      <w:r w:rsidR="00DE6C61" w:rsidRPr="00B208E4">
        <w:rPr>
          <w:rFonts w:ascii="Calibri" w:eastAsia="Times New Roman" w:hAnsi="Calibri" w:cs="Segoe UI"/>
          <w:color w:val="1F4E79" w:themeColor="accent1" w:themeShade="80"/>
          <w:sz w:val="28"/>
          <w:szCs w:val="28"/>
          <w:lang w:eastAsia="it-IT"/>
        </w:rPr>
        <w:t>.</w:t>
      </w:r>
    </w:p>
    <w:p w:rsidR="00DE6C61" w:rsidRPr="00B208E4" w:rsidRDefault="00DE6C61"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Possono indicarsi, però solo alcuni </w:t>
      </w:r>
      <w:r w:rsidR="00A66B18">
        <w:rPr>
          <w:rFonts w:ascii="Calibri" w:eastAsia="Times New Roman" w:hAnsi="Calibri" w:cs="Segoe UI"/>
          <w:color w:val="1F4E79" w:themeColor="accent1" w:themeShade="80"/>
          <w:sz w:val="28"/>
          <w:szCs w:val="28"/>
          <w:lang w:eastAsia="it-IT"/>
        </w:rPr>
        <w:t xml:space="preserve">sintetici </w:t>
      </w:r>
      <w:r w:rsidRPr="00B208E4">
        <w:rPr>
          <w:rFonts w:ascii="Calibri" w:eastAsia="Times New Roman" w:hAnsi="Calibri" w:cs="Segoe UI"/>
          <w:color w:val="1F4E79" w:themeColor="accent1" w:themeShade="80"/>
          <w:sz w:val="28"/>
          <w:szCs w:val="28"/>
          <w:lang w:eastAsia="it-IT"/>
        </w:rPr>
        <w:t>spunti di riflessione.</w:t>
      </w:r>
    </w:p>
    <w:p w:rsidR="0069585E" w:rsidRDefault="0069585E" w:rsidP="00FB7048">
      <w:pPr>
        <w:pStyle w:val="Paragrafoelenco"/>
        <w:numPr>
          <w:ilvl w:val="0"/>
          <w:numId w:val="8"/>
        </w:numPr>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 xml:space="preserve">Le proposte ermeneutiche ampliatrici </w:t>
      </w:r>
      <w:r w:rsidR="00A66B18">
        <w:rPr>
          <w:rFonts w:ascii="Calibri" w:eastAsia="Times New Roman" w:hAnsi="Calibri" w:cs="Segoe UI"/>
          <w:color w:val="1F4E79" w:themeColor="accent1" w:themeShade="80"/>
          <w:sz w:val="28"/>
          <w:szCs w:val="28"/>
          <w:lang w:eastAsia="it-IT"/>
        </w:rPr>
        <w:t xml:space="preserve">formulate dalla dottrina </w:t>
      </w:r>
      <w:r>
        <w:rPr>
          <w:rFonts w:ascii="Calibri" w:eastAsia="Times New Roman" w:hAnsi="Calibri" w:cs="Segoe UI"/>
          <w:color w:val="1F4E79" w:themeColor="accent1" w:themeShade="80"/>
          <w:sz w:val="28"/>
          <w:szCs w:val="28"/>
          <w:lang w:eastAsia="it-IT"/>
        </w:rPr>
        <w:t>non sembrano trovare spunti negli argomenti eurounitari espressi dall’ordinanza delle Sezioni Unite.</w:t>
      </w:r>
    </w:p>
    <w:p w:rsidR="00DE6C61" w:rsidRPr="00B208E4" w:rsidRDefault="0069585E" w:rsidP="00FB7048">
      <w:pPr>
        <w:pStyle w:val="Paragrafoelenco"/>
        <w:numPr>
          <w:ilvl w:val="0"/>
          <w:numId w:val="8"/>
        </w:numPr>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 xml:space="preserve">Ma </w:t>
      </w:r>
      <w:r w:rsidRPr="00B208E4">
        <w:rPr>
          <w:rFonts w:ascii="Calibri" w:eastAsia="Times New Roman" w:hAnsi="Calibri" w:cs="Segoe UI"/>
          <w:color w:val="1F4E79" w:themeColor="accent1" w:themeShade="80"/>
          <w:sz w:val="28"/>
          <w:szCs w:val="28"/>
          <w:lang w:eastAsia="it-IT"/>
        </w:rPr>
        <w:t xml:space="preserve">è </w:t>
      </w:r>
      <w:r w:rsidR="00DE6C61" w:rsidRPr="00B208E4">
        <w:rPr>
          <w:rFonts w:ascii="Calibri" w:eastAsia="Times New Roman" w:hAnsi="Calibri" w:cs="Segoe UI"/>
          <w:color w:val="1F4E79" w:themeColor="accent1" w:themeShade="80"/>
          <w:sz w:val="28"/>
          <w:szCs w:val="28"/>
          <w:lang w:eastAsia="it-IT"/>
        </w:rPr>
        <w:t>davvero utile</w:t>
      </w:r>
      <w:r>
        <w:rPr>
          <w:rFonts w:ascii="Calibri" w:eastAsia="Times New Roman" w:hAnsi="Calibri" w:cs="Segoe UI"/>
          <w:color w:val="1F4E79" w:themeColor="accent1" w:themeShade="80"/>
          <w:sz w:val="28"/>
          <w:szCs w:val="28"/>
          <w:lang w:eastAsia="it-IT"/>
        </w:rPr>
        <w:t>, nel momento attuale,</w:t>
      </w:r>
      <w:r w:rsidR="00DE6C61" w:rsidRPr="00B208E4">
        <w:rPr>
          <w:rFonts w:ascii="Calibri" w:eastAsia="Times New Roman" w:hAnsi="Calibri" w:cs="Segoe UI"/>
          <w:color w:val="1F4E79" w:themeColor="accent1" w:themeShade="80"/>
          <w:sz w:val="28"/>
          <w:szCs w:val="28"/>
          <w:lang w:eastAsia="it-IT"/>
        </w:rPr>
        <w:t xml:space="preserve"> prevedere una sorta di generalizzato intervento nomofilattico della Cassazione sulle decisioni del giudice amministrativo? Non vi è il rischio di una dilatazione dei tempi di definizione delle liti, con un uso strumentale del ricorso per cassazione? E il giudice ordinario è munito della strumentazione “specialistica” necessaria per penetrare nel profondo della giurisdizione amministrativa</w:t>
      </w:r>
      <w:r w:rsidR="009C1C20" w:rsidRPr="00B208E4">
        <w:rPr>
          <w:rFonts w:ascii="Calibri" w:eastAsia="Times New Roman" w:hAnsi="Calibri" w:cs="Segoe UI"/>
          <w:color w:val="1F4E79" w:themeColor="accent1" w:themeShade="80"/>
          <w:sz w:val="28"/>
          <w:szCs w:val="28"/>
          <w:lang w:eastAsia="it-IT"/>
        </w:rPr>
        <w:t>, considerando il carattere trasversale del diritto UE</w:t>
      </w:r>
      <w:r w:rsidR="00DE6C61" w:rsidRPr="00B208E4">
        <w:rPr>
          <w:rFonts w:ascii="Calibri" w:eastAsia="Times New Roman" w:hAnsi="Calibri" w:cs="Segoe UI"/>
          <w:color w:val="1F4E79" w:themeColor="accent1" w:themeShade="80"/>
          <w:sz w:val="28"/>
          <w:szCs w:val="28"/>
          <w:lang w:eastAsia="it-IT"/>
        </w:rPr>
        <w:t>?</w:t>
      </w:r>
    </w:p>
    <w:p w:rsidR="0069585E" w:rsidRDefault="00DE6C61" w:rsidP="00FB7048">
      <w:pPr>
        <w:pStyle w:val="Paragrafoelenco"/>
        <w:numPr>
          <w:ilvl w:val="0"/>
          <w:numId w:val="8"/>
        </w:numPr>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Se pure si decidesse di introdurre dei meccanismi di nomofilachia accentrata, non sarebbe allora inevitabile la costituzione di organi a composizione mista, come avviene</w:t>
      </w:r>
      <w:r w:rsidR="008A4B90" w:rsidRPr="00B208E4">
        <w:rPr>
          <w:rFonts w:ascii="Calibri" w:eastAsia="Times New Roman" w:hAnsi="Calibri" w:cs="Segoe UI"/>
          <w:color w:val="1F4E79" w:themeColor="accent1" w:themeShade="80"/>
          <w:sz w:val="28"/>
          <w:szCs w:val="28"/>
          <w:lang w:eastAsia="it-IT"/>
        </w:rPr>
        <w:t>, con successo,</w:t>
      </w:r>
      <w:r w:rsidRPr="00B208E4">
        <w:rPr>
          <w:rFonts w:ascii="Calibri" w:eastAsia="Times New Roman" w:hAnsi="Calibri" w:cs="Segoe UI"/>
          <w:color w:val="1F4E79" w:themeColor="accent1" w:themeShade="80"/>
          <w:sz w:val="28"/>
          <w:szCs w:val="28"/>
          <w:lang w:eastAsia="it-IT"/>
        </w:rPr>
        <w:t xml:space="preserve"> in altri ordinamenti e come auspicato</w:t>
      </w:r>
      <w:r w:rsidR="009C1C20" w:rsidRPr="00B208E4">
        <w:rPr>
          <w:rFonts w:ascii="Calibri" w:eastAsia="Times New Roman" w:hAnsi="Calibri" w:cs="Segoe UI"/>
          <w:color w:val="1F4E79" w:themeColor="accent1" w:themeShade="80"/>
          <w:sz w:val="28"/>
          <w:szCs w:val="28"/>
          <w:lang w:eastAsia="it-IT"/>
        </w:rPr>
        <w:t>, a suo tempo,</w:t>
      </w:r>
      <w:r w:rsidRPr="00B208E4">
        <w:rPr>
          <w:rFonts w:ascii="Calibri" w:eastAsia="Times New Roman" w:hAnsi="Calibri" w:cs="Segoe UI"/>
          <w:color w:val="1F4E79" w:themeColor="accent1" w:themeShade="80"/>
          <w:sz w:val="28"/>
          <w:szCs w:val="28"/>
          <w:lang w:eastAsia="it-IT"/>
        </w:rPr>
        <w:t xml:space="preserve"> dai vertici delle magistrature superiori?</w:t>
      </w:r>
      <w:r w:rsidR="0099555F" w:rsidRPr="00B208E4">
        <w:rPr>
          <w:rStyle w:val="Rimandonotaapidipagina"/>
          <w:rFonts w:ascii="Calibri" w:eastAsia="Times New Roman" w:hAnsi="Calibri" w:cs="Segoe UI"/>
          <w:color w:val="1F4E79" w:themeColor="accent1" w:themeShade="80"/>
          <w:sz w:val="28"/>
          <w:szCs w:val="28"/>
          <w:lang w:eastAsia="it-IT"/>
        </w:rPr>
        <w:footnoteReference w:id="73"/>
      </w:r>
    </w:p>
    <w:p w:rsidR="008A4B90" w:rsidRPr="0069585E" w:rsidRDefault="008A4B90"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sidRPr="0069585E">
        <w:rPr>
          <w:rFonts w:ascii="Calibri" w:eastAsia="Times New Roman" w:hAnsi="Calibri" w:cs="Segoe UI"/>
          <w:color w:val="1F4E79" w:themeColor="accent1" w:themeShade="80"/>
          <w:sz w:val="28"/>
          <w:szCs w:val="28"/>
          <w:lang w:eastAsia="it-IT"/>
        </w:rPr>
        <w:t xml:space="preserve">Se ciò appare ancora prematuro, non sarebbe utile intensificare la prassi, avviata con </w:t>
      </w:r>
      <w:r w:rsidR="00414E01" w:rsidRPr="0069585E">
        <w:rPr>
          <w:rFonts w:ascii="Calibri" w:eastAsia="Times New Roman" w:hAnsi="Calibri" w:cs="Segoe UI"/>
          <w:color w:val="1F4E79" w:themeColor="accent1" w:themeShade="80"/>
          <w:sz w:val="28"/>
          <w:szCs w:val="28"/>
          <w:lang w:eastAsia="it-IT"/>
        </w:rPr>
        <w:t xml:space="preserve">ottimi risultati, di coordinare la preparazione di interventi nomofilattici di comune interesse, come è avvenuto in materia di </w:t>
      </w:r>
      <w:r w:rsidR="00414E01" w:rsidRPr="0069585E">
        <w:rPr>
          <w:rFonts w:ascii="Calibri" w:eastAsia="Times New Roman" w:hAnsi="Calibri" w:cs="Segoe UI"/>
          <w:i/>
          <w:color w:val="1F4E79" w:themeColor="accent1" w:themeShade="80"/>
          <w:sz w:val="28"/>
          <w:szCs w:val="28"/>
          <w:lang w:eastAsia="it-IT"/>
        </w:rPr>
        <w:t>astreintes</w:t>
      </w:r>
      <w:r w:rsidR="00414E01" w:rsidRPr="0069585E">
        <w:rPr>
          <w:rFonts w:ascii="Calibri" w:eastAsia="Times New Roman" w:hAnsi="Calibri" w:cs="Segoe UI"/>
          <w:color w:val="1F4E79" w:themeColor="accent1" w:themeShade="80"/>
          <w:sz w:val="28"/>
          <w:szCs w:val="28"/>
          <w:lang w:eastAsia="it-IT"/>
        </w:rPr>
        <w:t xml:space="preserve"> e di </w:t>
      </w:r>
      <w:r w:rsidR="00414E01" w:rsidRPr="0069585E">
        <w:rPr>
          <w:rFonts w:ascii="Calibri" w:eastAsia="Times New Roman" w:hAnsi="Calibri" w:cs="Segoe UI"/>
          <w:i/>
          <w:color w:val="1F4E79" w:themeColor="accent1" w:themeShade="80"/>
          <w:sz w:val="28"/>
          <w:szCs w:val="28"/>
          <w:lang w:eastAsia="it-IT"/>
        </w:rPr>
        <w:t>compensatio lucri cum damno</w:t>
      </w:r>
      <w:r w:rsidR="00414E01" w:rsidRPr="0069585E">
        <w:rPr>
          <w:rFonts w:ascii="Calibri" w:eastAsia="Times New Roman" w:hAnsi="Calibri" w:cs="Segoe UI"/>
          <w:color w:val="1F4E79" w:themeColor="accent1" w:themeShade="80"/>
          <w:sz w:val="28"/>
          <w:szCs w:val="28"/>
          <w:lang w:eastAsia="it-IT"/>
        </w:rPr>
        <w:t>.</w:t>
      </w:r>
    </w:p>
    <w:p w:rsidR="00DE6C61" w:rsidRPr="00B208E4" w:rsidRDefault="00DE6C61" w:rsidP="00FB7048">
      <w:pPr>
        <w:pStyle w:val="Paragrafoelenco"/>
        <w:numPr>
          <w:ilvl w:val="0"/>
          <w:numId w:val="8"/>
        </w:numPr>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 xml:space="preserve">Fino a che punto esiste un </w:t>
      </w:r>
      <w:r w:rsidR="009C1C20" w:rsidRPr="00B208E4">
        <w:rPr>
          <w:rFonts w:ascii="Calibri" w:eastAsia="Times New Roman" w:hAnsi="Calibri" w:cs="Segoe UI"/>
          <w:color w:val="1F4E79" w:themeColor="accent1" w:themeShade="80"/>
          <w:sz w:val="28"/>
          <w:szCs w:val="28"/>
          <w:lang w:eastAsia="it-IT"/>
        </w:rPr>
        <w:t xml:space="preserve">vero </w:t>
      </w:r>
      <w:r w:rsidRPr="00B208E4">
        <w:rPr>
          <w:rFonts w:ascii="Calibri" w:eastAsia="Times New Roman" w:hAnsi="Calibri" w:cs="Segoe UI"/>
          <w:color w:val="1F4E79" w:themeColor="accent1" w:themeShade="80"/>
          <w:sz w:val="28"/>
          <w:szCs w:val="28"/>
          <w:lang w:eastAsia="it-IT"/>
        </w:rPr>
        <w:t>problema di “</w:t>
      </w:r>
      <w:r w:rsidRPr="0069585E">
        <w:rPr>
          <w:rFonts w:ascii="Calibri" w:eastAsia="Times New Roman" w:hAnsi="Calibri" w:cs="Segoe UI"/>
          <w:i/>
          <w:color w:val="1F4E79" w:themeColor="accent1" w:themeShade="80"/>
          <w:sz w:val="28"/>
          <w:szCs w:val="28"/>
          <w:lang w:eastAsia="it-IT"/>
        </w:rPr>
        <w:t>deficit</w:t>
      </w:r>
      <w:r w:rsidRPr="00B208E4">
        <w:rPr>
          <w:rFonts w:ascii="Calibri" w:eastAsia="Times New Roman" w:hAnsi="Calibri" w:cs="Segoe UI"/>
          <w:color w:val="1F4E79" w:themeColor="accent1" w:themeShade="80"/>
          <w:sz w:val="28"/>
          <w:szCs w:val="28"/>
          <w:lang w:eastAsia="it-IT"/>
        </w:rPr>
        <w:t>” di tutela nella giurisdizione amministrativa</w:t>
      </w:r>
      <w:r w:rsidR="0069585E">
        <w:rPr>
          <w:rFonts w:ascii="Calibri" w:eastAsia="Times New Roman" w:hAnsi="Calibri" w:cs="Segoe UI"/>
          <w:color w:val="1F4E79" w:themeColor="accent1" w:themeShade="80"/>
          <w:sz w:val="28"/>
          <w:szCs w:val="28"/>
          <w:lang w:eastAsia="it-IT"/>
        </w:rPr>
        <w:t>, articolata in un doppio grado a cognizione tendenzialmente piena e devolutiva</w:t>
      </w:r>
      <w:r w:rsidRPr="00B208E4">
        <w:rPr>
          <w:rFonts w:ascii="Calibri" w:eastAsia="Times New Roman" w:hAnsi="Calibri" w:cs="Segoe UI"/>
          <w:color w:val="1F4E79" w:themeColor="accent1" w:themeShade="80"/>
          <w:sz w:val="28"/>
          <w:szCs w:val="28"/>
          <w:lang w:eastAsia="it-IT"/>
        </w:rPr>
        <w:t xml:space="preserve">? Quali dati oggettivi </w:t>
      </w:r>
      <w:r w:rsidR="0069585E">
        <w:rPr>
          <w:rFonts w:ascii="Calibri" w:eastAsia="Times New Roman" w:hAnsi="Calibri" w:cs="Segoe UI"/>
          <w:color w:val="1F4E79" w:themeColor="accent1" w:themeShade="80"/>
          <w:sz w:val="28"/>
          <w:szCs w:val="28"/>
          <w:lang w:eastAsia="it-IT"/>
        </w:rPr>
        <w:t xml:space="preserve">dovrebbero </w:t>
      </w:r>
      <w:r w:rsidRPr="00B208E4">
        <w:rPr>
          <w:rFonts w:ascii="Calibri" w:eastAsia="Times New Roman" w:hAnsi="Calibri" w:cs="Segoe UI"/>
          <w:color w:val="1F4E79" w:themeColor="accent1" w:themeShade="80"/>
          <w:sz w:val="28"/>
          <w:szCs w:val="28"/>
          <w:lang w:eastAsia="it-IT"/>
        </w:rPr>
        <w:t>indu</w:t>
      </w:r>
      <w:r w:rsidR="0069585E">
        <w:rPr>
          <w:rFonts w:ascii="Calibri" w:eastAsia="Times New Roman" w:hAnsi="Calibri" w:cs="Segoe UI"/>
          <w:color w:val="1F4E79" w:themeColor="accent1" w:themeShade="80"/>
          <w:sz w:val="28"/>
          <w:szCs w:val="28"/>
          <w:lang w:eastAsia="it-IT"/>
        </w:rPr>
        <w:t>rre</w:t>
      </w:r>
      <w:r w:rsidRPr="00B208E4">
        <w:rPr>
          <w:rFonts w:ascii="Calibri" w:eastAsia="Times New Roman" w:hAnsi="Calibri" w:cs="Segoe UI"/>
          <w:color w:val="1F4E79" w:themeColor="accent1" w:themeShade="80"/>
          <w:sz w:val="28"/>
          <w:szCs w:val="28"/>
          <w:lang w:eastAsia="it-IT"/>
        </w:rPr>
        <w:t xml:space="preserve"> ad allargare l’ambito dei mezzi di impugnazione delle sentenze del Consiglio di Stato?</w:t>
      </w:r>
    </w:p>
    <w:p w:rsidR="00DE6C61" w:rsidRPr="00B208E4" w:rsidRDefault="00DE6C61" w:rsidP="00FB7048">
      <w:pPr>
        <w:pStyle w:val="Paragrafoelenco"/>
        <w:numPr>
          <w:ilvl w:val="0"/>
          <w:numId w:val="8"/>
        </w:numPr>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Se proprio si ritiene opportuno rimediare a</w:t>
      </w:r>
      <w:r w:rsidR="00A66B18">
        <w:rPr>
          <w:rFonts w:ascii="Calibri" w:eastAsia="Times New Roman" w:hAnsi="Calibri" w:cs="Segoe UI"/>
          <w:color w:val="1F4E79" w:themeColor="accent1" w:themeShade="80"/>
          <w:sz w:val="28"/>
          <w:szCs w:val="28"/>
          <w:lang w:eastAsia="it-IT"/>
        </w:rPr>
        <w:t>gl</w:t>
      </w:r>
      <w:r w:rsidRPr="00B208E4">
        <w:rPr>
          <w:rFonts w:ascii="Calibri" w:eastAsia="Times New Roman" w:hAnsi="Calibri" w:cs="Segoe UI"/>
          <w:color w:val="1F4E79" w:themeColor="accent1" w:themeShade="80"/>
          <w:sz w:val="28"/>
          <w:szCs w:val="28"/>
          <w:lang w:eastAsia="it-IT"/>
        </w:rPr>
        <w:t xml:space="preserve">i errori </w:t>
      </w:r>
      <w:r w:rsidR="00A66B18">
        <w:rPr>
          <w:rFonts w:ascii="Calibri" w:eastAsia="Times New Roman" w:hAnsi="Calibri" w:cs="Segoe UI"/>
          <w:color w:val="1F4E79" w:themeColor="accent1" w:themeShade="80"/>
          <w:sz w:val="28"/>
          <w:szCs w:val="28"/>
          <w:lang w:eastAsia="it-IT"/>
        </w:rPr>
        <w:t xml:space="preserve">(per avventura, anche </w:t>
      </w:r>
      <w:r w:rsidR="00A66B18" w:rsidRPr="00B208E4">
        <w:rPr>
          <w:rFonts w:ascii="Calibri" w:eastAsia="Times New Roman" w:hAnsi="Calibri" w:cs="Segoe UI"/>
          <w:color w:val="1F4E79" w:themeColor="accent1" w:themeShade="80"/>
          <w:sz w:val="28"/>
          <w:szCs w:val="28"/>
          <w:lang w:eastAsia="it-IT"/>
        </w:rPr>
        <w:t>gravi</w:t>
      </w:r>
      <w:r w:rsidR="00A66B18">
        <w:rPr>
          <w:rFonts w:ascii="Calibri" w:eastAsia="Times New Roman" w:hAnsi="Calibri" w:cs="Segoe UI"/>
          <w:color w:val="1F4E79" w:themeColor="accent1" w:themeShade="80"/>
          <w:sz w:val="28"/>
          <w:szCs w:val="28"/>
          <w:lang w:eastAsia="it-IT"/>
        </w:rPr>
        <w:t>)</w:t>
      </w:r>
      <w:r w:rsidR="008B047A">
        <w:rPr>
          <w:rFonts w:ascii="Calibri" w:eastAsia="Times New Roman" w:hAnsi="Calibri" w:cs="Segoe UI"/>
          <w:color w:val="1F4E79" w:themeColor="accent1" w:themeShade="80"/>
          <w:sz w:val="28"/>
          <w:szCs w:val="28"/>
          <w:lang w:eastAsia="it-IT"/>
        </w:rPr>
        <w:t xml:space="preserve"> </w:t>
      </w:r>
      <w:r w:rsidRPr="00B208E4">
        <w:rPr>
          <w:rFonts w:ascii="Calibri" w:eastAsia="Times New Roman" w:hAnsi="Calibri" w:cs="Segoe UI"/>
          <w:color w:val="1F4E79" w:themeColor="accent1" w:themeShade="80"/>
          <w:sz w:val="28"/>
          <w:szCs w:val="28"/>
          <w:lang w:eastAsia="it-IT"/>
        </w:rPr>
        <w:t xml:space="preserve">in cui può cadere il Consiglio di Stato, </w:t>
      </w:r>
      <w:r w:rsidR="0069585E">
        <w:rPr>
          <w:rFonts w:ascii="Calibri" w:eastAsia="Times New Roman" w:hAnsi="Calibri" w:cs="Segoe UI"/>
          <w:color w:val="1F4E79" w:themeColor="accent1" w:themeShade="80"/>
          <w:sz w:val="28"/>
          <w:szCs w:val="28"/>
          <w:lang w:eastAsia="it-IT"/>
        </w:rPr>
        <w:t xml:space="preserve">più o meno sporadicamente, </w:t>
      </w:r>
      <w:r w:rsidRPr="00B208E4">
        <w:rPr>
          <w:rFonts w:ascii="Calibri" w:eastAsia="Times New Roman" w:hAnsi="Calibri" w:cs="Segoe UI"/>
          <w:color w:val="1F4E79" w:themeColor="accent1" w:themeShade="80"/>
          <w:sz w:val="28"/>
          <w:szCs w:val="28"/>
          <w:lang w:eastAsia="it-IT"/>
        </w:rPr>
        <w:t>non sarebbe utile rivedere la logica distorta della legge n. 117/1988, prevedendo un agile e rapido strumento di reazione “</w:t>
      </w:r>
      <w:r w:rsidRPr="0069585E">
        <w:rPr>
          <w:rFonts w:ascii="Calibri" w:eastAsia="Times New Roman" w:hAnsi="Calibri" w:cs="Segoe UI"/>
          <w:i/>
          <w:color w:val="1F4E79" w:themeColor="accent1" w:themeShade="80"/>
          <w:sz w:val="28"/>
          <w:szCs w:val="28"/>
          <w:lang w:eastAsia="it-IT"/>
        </w:rPr>
        <w:t>in forma specifica</w:t>
      </w:r>
      <w:r w:rsidRPr="00B208E4">
        <w:rPr>
          <w:rFonts w:ascii="Calibri" w:eastAsia="Times New Roman" w:hAnsi="Calibri" w:cs="Segoe UI"/>
          <w:color w:val="1F4E79" w:themeColor="accent1" w:themeShade="80"/>
          <w:sz w:val="28"/>
          <w:szCs w:val="28"/>
          <w:lang w:eastAsia="it-IT"/>
        </w:rPr>
        <w:t xml:space="preserve">”, </w:t>
      </w:r>
      <w:r w:rsidR="008B047A">
        <w:rPr>
          <w:rFonts w:ascii="Calibri" w:eastAsia="Times New Roman" w:hAnsi="Calibri" w:cs="Segoe UI"/>
          <w:color w:val="1F4E79" w:themeColor="accent1" w:themeShade="80"/>
          <w:sz w:val="28"/>
          <w:szCs w:val="28"/>
          <w:lang w:eastAsia="it-IT"/>
        </w:rPr>
        <w:t xml:space="preserve">davanti allo stesso giudice, </w:t>
      </w:r>
      <w:r w:rsidRPr="00B208E4">
        <w:rPr>
          <w:rFonts w:ascii="Calibri" w:eastAsia="Times New Roman" w:hAnsi="Calibri" w:cs="Segoe UI"/>
          <w:color w:val="1F4E79" w:themeColor="accent1" w:themeShade="80"/>
          <w:sz w:val="28"/>
          <w:szCs w:val="28"/>
          <w:lang w:eastAsia="it-IT"/>
        </w:rPr>
        <w:t>modellato sul giudizio di revocazione?</w:t>
      </w:r>
    </w:p>
    <w:p w:rsidR="00FB7048" w:rsidRDefault="00DE6C61" w:rsidP="00FB7048">
      <w:pPr>
        <w:pStyle w:val="Paragrafoelenco"/>
        <w:numPr>
          <w:ilvl w:val="0"/>
          <w:numId w:val="8"/>
        </w:numPr>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B208E4">
        <w:rPr>
          <w:rFonts w:ascii="Calibri" w:eastAsia="Times New Roman" w:hAnsi="Calibri" w:cs="Segoe UI"/>
          <w:color w:val="1F4E79" w:themeColor="accent1" w:themeShade="80"/>
          <w:sz w:val="28"/>
          <w:szCs w:val="28"/>
          <w:lang w:eastAsia="it-IT"/>
        </w:rPr>
        <w:t>Con riguardo ai temi più specifici della tutela giurisdizionale nel settore dei contratti pubblici, non potrebbe essere utile avviare una</w:t>
      </w:r>
      <w:r w:rsidR="00A83E4B" w:rsidRPr="00B208E4">
        <w:rPr>
          <w:rFonts w:ascii="Calibri" w:eastAsia="Times New Roman" w:hAnsi="Calibri" w:cs="Segoe UI"/>
          <w:color w:val="1F4E79" w:themeColor="accent1" w:themeShade="80"/>
          <w:sz w:val="28"/>
          <w:szCs w:val="28"/>
          <w:lang w:eastAsia="it-IT"/>
        </w:rPr>
        <w:t xml:space="preserve"> serena</w:t>
      </w:r>
      <w:r w:rsidRPr="00B208E4">
        <w:rPr>
          <w:rFonts w:ascii="Calibri" w:eastAsia="Times New Roman" w:hAnsi="Calibri" w:cs="Segoe UI"/>
          <w:color w:val="1F4E79" w:themeColor="accent1" w:themeShade="80"/>
          <w:sz w:val="28"/>
          <w:szCs w:val="28"/>
          <w:lang w:eastAsia="it-IT"/>
        </w:rPr>
        <w:t xml:space="preserve"> riflessione </w:t>
      </w:r>
      <w:r w:rsidR="00D203F5" w:rsidRPr="00B208E4">
        <w:rPr>
          <w:rFonts w:ascii="Calibri" w:eastAsia="Times New Roman" w:hAnsi="Calibri" w:cs="Segoe UI"/>
          <w:color w:val="1F4E79" w:themeColor="accent1" w:themeShade="80"/>
          <w:sz w:val="28"/>
          <w:szCs w:val="28"/>
          <w:lang w:eastAsia="it-IT"/>
        </w:rPr>
        <w:t>riguardante la messa a punto di un “</w:t>
      </w:r>
      <w:r w:rsidR="00D203F5" w:rsidRPr="008B047A">
        <w:rPr>
          <w:rFonts w:ascii="Calibri" w:eastAsia="Times New Roman" w:hAnsi="Calibri" w:cs="Segoe UI"/>
          <w:i/>
          <w:color w:val="1F4E79" w:themeColor="accent1" w:themeShade="80"/>
          <w:sz w:val="28"/>
          <w:szCs w:val="28"/>
          <w:lang w:eastAsia="it-IT"/>
        </w:rPr>
        <w:t>diritto processuale europeo</w:t>
      </w:r>
      <w:r w:rsidR="00D203F5" w:rsidRPr="00B208E4">
        <w:rPr>
          <w:rFonts w:ascii="Calibri" w:eastAsia="Times New Roman" w:hAnsi="Calibri" w:cs="Segoe UI"/>
          <w:color w:val="1F4E79" w:themeColor="accent1" w:themeShade="80"/>
          <w:sz w:val="28"/>
          <w:szCs w:val="28"/>
          <w:lang w:eastAsia="it-IT"/>
        </w:rPr>
        <w:t>”</w:t>
      </w:r>
      <w:r w:rsidR="00A83E4B" w:rsidRPr="00B208E4">
        <w:rPr>
          <w:rFonts w:ascii="Calibri" w:eastAsia="Times New Roman" w:hAnsi="Calibri" w:cs="Segoe UI"/>
          <w:color w:val="1F4E79" w:themeColor="accent1" w:themeShade="80"/>
          <w:sz w:val="28"/>
          <w:szCs w:val="28"/>
          <w:lang w:eastAsia="it-IT"/>
        </w:rPr>
        <w:t>, capace di chiarire i residui punti controvers</w:t>
      </w:r>
      <w:r w:rsidR="008B047A">
        <w:rPr>
          <w:rFonts w:ascii="Calibri" w:eastAsia="Times New Roman" w:hAnsi="Calibri" w:cs="Segoe UI"/>
          <w:color w:val="1F4E79" w:themeColor="accent1" w:themeShade="80"/>
          <w:sz w:val="28"/>
          <w:szCs w:val="28"/>
          <w:lang w:eastAsia="it-IT"/>
        </w:rPr>
        <w:t>i</w:t>
      </w:r>
      <w:r w:rsidR="00A83E4B" w:rsidRPr="00B208E4">
        <w:rPr>
          <w:rFonts w:ascii="Calibri" w:eastAsia="Times New Roman" w:hAnsi="Calibri" w:cs="Segoe UI"/>
          <w:color w:val="1F4E79" w:themeColor="accent1" w:themeShade="80"/>
          <w:sz w:val="28"/>
          <w:szCs w:val="28"/>
          <w:lang w:eastAsia="it-IT"/>
        </w:rPr>
        <w:t>, a cominciare dal nodo della legittimazione al ricorso</w:t>
      </w:r>
      <w:r w:rsidR="00D203F5" w:rsidRPr="00B208E4">
        <w:rPr>
          <w:rFonts w:ascii="Calibri" w:eastAsia="Times New Roman" w:hAnsi="Calibri" w:cs="Segoe UI"/>
          <w:color w:val="1F4E79" w:themeColor="accent1" w:themeShade="80"/>
          <w:sz w:val="28"/>
          <w:szCs w:val="28"/>
          <w:lang w:eastAsia="it-IT"/>
        </w:rPr>
        <w:t>? La direttiva ricorsi, nel suo nucleo essenziale, è rimasta ancorata all’impianto ormai “</w:t>
      </w:r>
      <w:r w:rsidR="00D203F5" w:rsidRPr="008B047A">
        <w:rPr>
          <w:rFonts w:ascii="Calibri" w:eastAsia="Times New Roman" w:hAnsi="Calibri" w:cs="Segoe UI"/>
          <w:i/>
          <w:color w:val="1F4E79" w:themeColor="accent1" w:themeShade="80"/>
          <w:sz w:val="28"/>
          <w:szCs w:val="28"/>
          <w:lang w:eastAsia="it-IT"/>
        </w:rPr>
        <w:t>preistorico</w:t>
      </w:r>
      <w:r w:rsidR="00D203F5" w:rsidRPr="00B208E4">
        <w:rPr>
          <w:rFonts w:ascii="Calibri" w:eastAsia="Times New Roman" w:hAnsi="Calibri" w:cs="Segoe UI"/>
          <w:color w:val="1F4E79" w:themeColor="accent1" w:themeShade="80"/>
          <w:sz w:val="28"/>
          <w:szCs w:val="28"/>
          <w:lang w:eastAsia="it-IT"/>
        </w:rPr>
        <w:t>” del 1989: principi generici, riempiti di contenuto da una giurisprudenza pretoria non sempre lineare, come dimostra l’evoluzione della questione della legittimazione al ricorso.</w:t>
      </w:r>
    </w:p>
    <w:p w:rsidR="00F830B1" w:rsidRPr="00FB7048" w:rsidRDefault="00A240A2" w:rsidP="00FB7048">
      <w:pPr>
        <w:pStyle w:val="Paragrafoelenco"/>
        <w:numPr>
          <w:ilvl w:val="0"/>
          <w:numId w:val="8"/>
        </w:numPr>
        <w:shd w:val="clear" w:color="auto" w:fill="FFFFFF"/>
        <w:tabs>
          <w:tab w:val="left" w:pos="0"/>
        </w:tabs>
        <w:spacing w:after="120" w:line="240" w:lineRule="auto"/>
        <w:ind w:left="0" w:firstLine="709"/>
        <w:jc w:val="both"/>
        <w:textAlignment w:val="baseline"/>
        <w:rPr>
          <w:rFonts w:ascii="Calibri" w:eastAsia="Times New Roman" w:hAnsi="Calibri" w:cs="Segoe UI"/>
          <w:color w:val="1F4E79" w:themeColor="accent1" w:themeShade="80"/>
          <w:sz w:val="28"/>
          <w:szCs w:val="28"/>
          <w:lang w:eastAsia="it-IT"/>
        </w:rPr>
      </w:pPr>
      <w:r w:rsidRPr="00FB7048">
        <w:rPr>
          <w:rFonts w:ascii="Calibri" w:eastAsia="Times New Roman" w:hAnsi="Calibri" w:cs="Segoe UI"/>
          <w:color w:val="1F4E79" w:themeColor="accent1" w:themeShade="80"/>
          <w:sz w:val="28"/>
          <w:szCs w:val="28"/>
          <w:lang w:eastAsia="it-IT"/>
        </w:rPr>
        <w:t>Come si è detto, la strada imboccata dall’ordinanza delle Sezioni Unite</w:t>
      </w:r>
      <w:r w:rsidR="00FB7048">
        <w:rPr>
          <w:rFonts w:ascii="Calibri" w:eastAsia="Times New Roman" w:hAnsi="Calibri" w:cs="Segoe UI"/>
          <w:color w:val="1F4E79" w:themeColor="accent1" w:themeShade="80"/>
          <w:sz w:val="28"/>
          <w:szCs w:val="28"/>
          <w:lang w:eastAsia="it-IT"/>
        </w:rPr>
        <w:t>, nonostante le sue lodevoli intenzioni,</w:t>
      </w:r>
      <w:r w:rsidRPr="00FB7048">
        <w:rPr>
          <w:rFonts w:ascii="Calibri" w:eastAsia="Times New Roman" w:hAnsi="Calibri" w:cs="Segoe UI"/>
          <w:color w:val="1F4E79" w:themeColor="accent1" w:themeShade="80"/>
          <w:sz w:val="28"/>
          <w:szCs w:val="28"/>
          <w:lang w:eastAsia="it-IT"/>
        </w:rPr>
        <w:t xml:space="preserve"> è destinata a realizzare pochi risultati sul versante del diritto eurounitario.</w:t>
      </w:r>
    </w:p>
    <w:p w:rsidR="00A240A2" w:rsidRDefault="00A240A2"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Gli argomenti esposti, in ogni caso, non sembrano capaci di mettere seriamente in discussione l’impianto argomentativo della decisione n. 6/2018 e la conforme giurisprudenza della Cassazione.</w:t>
      </w:r>
    </w:p>
    <w:p w:rsidR="00A240A2" w:rsidRDefault="00A240A2"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 xml:space="preserve">L’attuale sistema delle tutele è </w:t>
      </w:r>
      <w:r w:rsidR="00207D69">
        <w:rPr>
          <w:rFonts w:ascii="Calibri" w:eastAsia="Times New Roman" w:hAnsi="Calibri" w:cs="Segoe UI"/>
          <w:color w:val="1F4E79" w:themeColor="accent1" w:themeShade="80"/>
          <w:sz w:val="28"/>
          <w:szCs w:val="28"/>
          <w:lang w:eastAsia="it-IT"/>
        </w:rPr>
        <w:t>probabil</w:t>
      </w:r>
      <w:r>
        <w:rPr>
          <w:rFonts w:ascii="Calibri" w:eastAsia="Times New Roman" w:hAnsi="Calibri" w:cs="Segoe UI"/>
          <w:color w:val="1F4E79" w:themeColor="accent1" w:themeShade="80"/>
          <w:sz w:val="28"/>
          <w:szCs w:val="28"/>
          <w:lang w:eastAsia="it-IT"/>
        </w:rPr>
        <w:t>mente migliorabile, sotto diversi profili.</w:t>
      </w:r>
    </w:p>
    <w:p w:rsidR="00A240A2" w:rsidRDefault="00A240A2"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r>
        <w:rPr>
          <w:rFonts w:ascii="Calibri" w:eastAsia="Times New Roman" w:hAnsi="Calibri" w:cs="Segoe UI"/>
          <w:color w:val="1F4E79" w:themeColor="accent1" w:themeShade="80"/>
          <w:sz w:val="28"/>
          <w:szCs w:val="28"/>
          <w:lang w:eastAsia="it-IT"/>
        </w:rPr>
        <w:t>Ma non pare davvero che vi sia un’urgenza di intervenire sulle scelte di fondo della Costituzione, modificando l’equilibrato assetto del pluralismo delle giurisdizioni</w:t>
      </w:r>
      <w:r w:rsidR="00FB7048">
        <w:rPr>
          <w:rFonts w:ascii="Calibri" w:eastAsia="Times New Roman" w:hAnsi="Calibri" w:cs="Segoe UI"/>
          <w:color w:val="1F4E79" w:themeColor="accent1" w:themeShade="80"/>
          <w:sz w:val="28"/>
          <w:szCs w:val="28"/>
          <w:lang w:eastAsia="it-IT"/>
        </w:rPr>
        <w:t xml:space="preserve">, scolpito </w:t>
      </w:r>
      <w:r w:rsidR="00207D69">
        <w:rPr>
          <w:rFonts w:ascii="Calibri" w:eastAsia="Times New Roman" w:hAnsi="Calibri" w:cs="Segoe UI"/>
          <w:color w:val="1F4E79" w:themeColor="accent1" w:themeShade="80"/>
          <w:sz w:val="28"/>
          <w:szCs w:val="28"/>
          <w:lang w:eastAsia="it-IT"/>
        </w:rPr>
        <w:t xml:space="preserve">con chiarezza </w:t>
      </w:r>
      <w:r w:rsidR="00FB7048">
        <w:rPr>
          <w:rFonts w:ascii="Calibri" w:eastAsia="Times New Roman" w:hAnsi="Calibri" w:cs="Segoe UI"/>
          <w:color w:val="1F4E79" w:themeColor="accent1" w:themeShade="80"/>
          <w:sz w:val="28"/>
          <w:szCs w:val="28"/>
          <w:lang w:eastAsia="it-IT"/>
        </w:rPr>
        <w:t>dalla Corte costituzionale</w:t>
      </w:r>
      <w:r>
        <w:rPr>
          <w:rFonts w:ascii="Calibri" w:eastAsia="Times New Roman" w:hAnsi="Calibri" w:cs="Segoe UI"/>
          <w:color w:val="1F4E79" w:themeColor="accent1" w:themeShade="80"/>
          <w:sz w:val="28"/>
          <w:szCs w:val="28"/>
          <w:lang w:eastAsia="it-IT"/>
        </w:rPr>
        <w:t>.</w:t>
      </w:r>
    </w:p>
    <w:p w:rsidR="00E57416" w:rsidRPr="00E57416" w:rsidRDefault="00E57416" w:rsidP="00FB7048">
      <w:pPr>
        <w:shd w:val="clear" w:color="auto" w:fill="FFFFFF"/>
        <w:tabs>
          <w:tab w:val="left" w:pos="0"/>
        </w:tabs>
        <w:spacing w:after="120" w:line="240" w:lineRule="auto"/>
        <w:ind w:firstLine="709"/>
        <w:jc w:val="both"/>
        <w:textAlignment w:val="baseline"/>
        <w:rPr>
          <w:rFonts w:ascii="Calibri" w:eastAsia="Times New Roman" w:hAnsi="Calibri" w:cs="Segoe UI"/>
          <w:b/>
          <w:color w:val="1F4E79" w:themeColor="accent1" w:themeShade="80"/>
          <w:sz w:val="28"/>
          <w:szCs w:val="28"/>
          <w:lang w:eastAsia="it-IT"/>
        </w:rPr>
      </w:pPr>
    </w:p>
    <w:p w:rsidR="00E57416" w:rsidRPr="00E57416" w:rsidRDefault="00E57416" w:rsidP="00E57416">
      <w:pPr>
        <w:shd w:val="clear" w:color="auto" w:fill="FFFFFF"/>
        <w:tabs>
          <w:tab w:val="left" w:pos="0"/>
        </w:tabs>
        <w:spacing w:after="120" w:line="240" w:lineRule="auto"/>
        <w:ind w:right="282" w:firstLine="709"/>
        <w:jc w:val="right"/>
        <w:textAlignment w:val="baseline"/>
        <w:rPr>
          <w:rFonts w:ascii="Tahoma" w:eastAsia="Times New Roman" w:hAnsi="Tahoma" w:cs="Tahoma"/>
          <w:b/>
          <w:color w:val="1F4E79" w:themeColor="accent1" w:themeShade="80"/>
          <w:sz w:val="24"/>
          <w:szCs w:val="28"/>
          <w:bdr w:val="none" w:sz="0" w:space="0" w:color="auto" w:frame="1"/>
          <w:lang w:eastAsia="it-IT"/>
        </w:rPr>
      </w:pPr>
      <w:r w:rsidRPr="00E57416">
        <w:rPr>
          <w:rFonts w:ascii="Tahoma" w:eastAsia="Times New Roman" w:hAnsi="Tahoma" w:cs="Tahoma"/>
          <w:b/>
          <w:color w:val="1F4E79" w:themeColor="accent1" w:themeShade="80"/>
          <w:sz w:val="24"/>
          <w:szCs w:val="28"/>
          <w:bdr w:val="none" w:sz="0" w:space="0" w:color="auto" w:frame="1"/>
          <w:lang w:eastAsia="it-IT"/>
        </w:rPr>
        <w:t>Marco Lipari</w:t>
      </w:r>
    </w:p>
    <w:p w:rsidR="00E57416" w:rsidRPr="00E57416" w:rsidRDefault="00E57416" w:rsidP="00E57416">
      <w:pPr>
        <w:shd w:val="clear" w:color="auto" w:fill="FFFFFF"/>
        <w:tabs>
          <w:tab w:val="left" w:pos="0"/>
        </w:tabs>
        <w:spacing w:after="120" w:line="240" w:lineRule="auto"/>
        <w:ind w:right="282" w:firstLine="709"/>
        <w:jc w:val="right"/>
        <w:textAlignment w:val="baseline"/>
        <w:rPr>
          <w:rFonts w:ascii="Tahoma" w:eastAsia="Times New Roman" w:hAnsi="Tahoma" w:cs="Tahoma"/>
          <w:b/>
          <w:color w:val="1F4E79" w:themeColor="accent1" w:themeShade="80"/>
          <w:sz w:val="24"/>
          <w:szCs w:val="28"/>
          <w:bdr w:val="none" w:sz="0" w:space="0" w:color="auto" w:frame="1"/>
          <w:lang w:eastAsia="it-IT"/>
        </w:rPr>
      </w:pPr>
      <w:bookmarkStart w:id="0" w:name="_GoBack"/>
      <w:r w:rsidRPr="00E57416">
        <w:rPr>
          <w:rFonts w:ascii="Tahoma" w:eastAsia="Times New Roman" w:hAnsi="Tahoma" w:cs="Tahoma"/>
          <w:b/>
          <w:color w:val="1F4E79" w:themeColor="accent1" w:themeShade="80"/>
          <w:sz w:val="24"/>
          <w:szCs w:val="28"/>
          <w:bdr w:val="none" w:sz="0" w:space="0" w:color="auto" w:frame="1"/>
          <w:lang w:eastAsia="it-IT"/>
        </w:rPr>
        <w:t xml:space="preserve">Presidente di sezione del Consiglio </w:t>
      </w:r>
      <w:bookmarkEnd w:id="0"/>
      <w:r w:rsidRPr="00E57416">
        <w:rPr>
          <w:rFonts w:ascii="Tahoma" w:eastAsia="Times New Roman" w:hAnsi="Tahoma" w:cs="Tahoma"/>
          <w:b/>
          <w:color w:val="1F4E79" w:themeColor="accent1" w:themeShade="80"/>
          <w:sz w:val="24"/>
          <w:szCs w:val="28"/>
          <w:bdr w:val="none" w:sz="0" w:space="0" w:color="auto" w:frame="1"/>
          <w:lang w:eastAsia="it-IT"/>
        </w:rPr>
        <w:t>di Stato</w:t>
      </w:r>
    </w:p>
    <w:p w:rsidR="00E57416" w:rsidRDefault="00E57416" w:rsidP="00E57416">
      <w:pPr>
        <w:shd w:val="clear" w:color="auto" w:fill="FFFFFF"/>
        <w:tabs>
          <w:tab w:val="left" w:pos="0"/>
        </w:tabs>
        <w:spacing w:after="120" w:line="240" w:lineRule="auto"/>
        <w:ind w:right="282" w:firstLine="709"/>
        <w:jc w:val="right"/>
        <w:textAlignment w:val="baseline"/>
        <w:rPr>
          <w:rFonts w:ascii="Tahoma" w:eastAsia="Times New Roman" w:hAnsi="Tahoma" w:cs="Tahoma"/>
          <w:color w:val="1F4E79" w:themeColor="accent1" w:themeShade="80"/>
          <w:sz w:val="24"/>
          <w:szCs w:val="28"/>
          <w:bdr w:val="none" w:sz="0" w:space="0" w:color="auto" w:frame="1"/>
          <w:lang w:eastAsia="it-IT"/>
        </w:rPr>
      </w:pPr>
      <w:r>
        <w:rPr>
          <w:rFonts w:ascii="Tahoma" w:eastAsia="Times New Roman" w:hAnsi="Tahoma" w:cs="Tahoma"/>
          <w:color w:val="1F4E79" w:themeColor="accent1" w:themeShade="80"/>
          <w:sz w:val="24"/>
          <w:szCs w:val="28"/>
          <w:bdr w:val="none" w:sz="0" w:space="0" w:color="auto" w:frame="1"/>
          <w:lang w:eastAsia="it-IT"/>
        </w:rPr>
        <w:t>Pubblicato il 12 febbraio 2021</w:t>
      </w:r>
    </w:p>
    <w:p w:rsidR="00E57416" w:rsidRDefault="00E57416" w:rsidP="00FB7048">
      <w:pPr>
        <w:shd w:val="clear" w:color="auto" w:fill="FFFFFF"/>
        <w:tabs>
          <w:tab w:val="left" w:pos="0"/>
        </w:tabs>
        <w:spacing w:after="120" w:line="240" w:lineRule="auto"/>
        <w:ind w:firstLine="709"/>
        <w:jc w:val="both"/>
        <w:textAlignment w:val="baseline"/>
        <w:rPr>
          <w:rFonts w:ascii="Calibri" w:eastAsia="Times New Roman" w:hAnsi="Calibri" w:cs="Segoe UI"/>
          <w:color w:val="1F4E79" w:themeColor="accent1" w:themeShade="80"/>
          <w:sz w:val="28"/>
          <w:szCs w:val="28"/>
          <w:lang w:eastAsia="it-IT"/>
        </w:rPr>
      </w:pPr>
    </w:p>
    <w:sectPr w:rsidR="00E57416">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A0B" w:rsidRDefault="00832A0B" w:rsidP="00240E0D">
      <w:pPr>
        <w:spacing w:after="0" w:line="240" w:lineRule="auto"/>
      </w:pPr>
      <w:r>
        <w:separator/>
      </w:r>
    </w:p>
  </w:endnote>
  <w:endnote w:type="continuationSeparator" w:id="0">
    <w:p w:rsidR="00832A0B" w:rsidRDefault="00832A0B" w:rsidP="00240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A0B" w:rsidRDefault="00832A0B" w:rsidP="00240E0D">
      <w:pPr>
        <w:spacing w:after="0" w:line="240" w:lineRule="auto"/>
      </w:pPr>
      <w:r>
        <w:separator/>
      </w:r>
    </w:p>
  </w:footnote>
  <w:footnote w:type="continuationSeparator" w:id="0">
    <w:p w:rsidR="00832A0B" w:rsidRDefault="00832A0B" w:rsidP="00240E0D">
      <w:pPr>
        <w:spacing w:after="0" w:line="240" w:lineRule="auto"/>
      </w:pPr>
      <w:r>
        <w:continuationSeparator/>
      </w:r>
    </w:p>
  </w:footnote>
  <w:footnote w:id="1">
    <w:p w:rsidR="000809F2" w:rsidRDefault="000809F2" w:rsidP="00207D69">
      <w:pPr>
        <w:pStyle w:val="Testonotaapidipagina"/>
        <w:ind w:firstLine="709"/>
        <w:jc w:val="both"/>
      </w:pPr>
    </w:p>
    <w:p w:rsidR="000809F2" w:rsidRPr="000809F2" w:rsidRDefault="000809F2" w:rsidP="000809F2">
      <w:pPr>
        <w:pStyle w:val="Testonotaapidipagina"/>
        <w:ind w:firstLine="709"/>
        <w:jc w:val="both"/>
        <w:rPr>
          <w:b/>
        </w:rPr>
      </w:pPr>
      <w:r>
        <w:t xml:space="preserve">(*) </w:t>
      </w:r>
      <w:r w:rsidRPr="000809F2">
        <w:rPr>
          <w:b/>
        </w:rPr>
        <w:t xml:space="preserve">Articolo pubblicato sulla Rivista on-line </w:t>
      </w:r>
      <w:r w:rsidRPr="000809F2">
        <w:rPr>
          <w:b/>
          <w:i/>
        </w:rPr>
        <w:t>GiustiziaInsieme</w:t>
      </w:r>
      <w:r>
        <w:rPr>
          <w:b/>
        </w:rPr>
        <w:t>,</w:t>
      </w:r>
      <w:r w:rsidRPr="000809F2">
        <w:rPr>
          <w:b/>
        </w:rPr>
        <w:t xml:space="preserve"> 11 dicembre 2020</w:t>
      </w:r>
    </w:p>
    <w:p w:rsidR="000809F2" w:rsidRDefault="000809F2" w:rsidP="000809F2">
      <w:pPr>
        <w:pStyle w:val="Testonotaapidipagina"/>
        <w:ind w:firstLine="709"/>
        <w:jc w:val="both"/>
      </w:pPr>
    </w:p>
    <w:p w:rsidR="004A28A6" w:rsidRDefault="004A28A6" w:rsidP="00207D69">
      <w:pPr>
        <w:pStyle w:val="Testonotaapidipagina"/>
        <w:ind w:firstLine="709"/>
        <w:jc w:val="both"/>
      </w:pPr>
      <w:r>
        <w:rPr>
          <w:rStyle w:val="Rimandonotaapidipagina"/>
        </w:rPr>
        <w:footnoteRef/>
      </w:r>
      <w:r>
        <w:t xml:space="preserve"> Le opinioni espresse in questo scritto non riflettono necessariamente la posizione del Consiglio di Stato e non intendono interferire sulla definizione del contenzioso in atto.</w:t>
      </w:r>
    </w:p>
    <w:p w:rsidR="004A28A6" w:rsidRDefault="004A28A6" w:rsidP="00207D69">
      <w:pPr>
        <w:pStyle w:val="Testonotaapidipagina"/>
        <w:ind w:firstLine="709"/>
        <w:jc w:val="both"/>
      </w:pPr>
      <w:r>
        <w:t xml:space="preserve"> </w:t>
      </w:r>
    </w:p>
  </w:footnote>
  <w:footnote w:id="2">
    <w:p w:rsidR="004A28A6" w:rsidRDefault="004A28A6" w:rsidP="00207D69">
      <w:pPr>
        <w:pStyle w:val="Testonotaapidipagina"/>
        <w:tabs>
          <w:tab w:val="left" w:pos="709"/>
        </w:tabs>
        <w:ind w:firstLine="709"/>
        <w:jc w:val="both"/>
      </w:pPr>
      <w:r>
        <w:rPr>
          <w:rStyle w:val="Rimandonotaapidipagina"/>
        </w:rPr>
        <w:footnoteRef/>
      </w:r>
      <w:r>
        <w:t xml:space="preserve"> Per l’indicazione di alcuni dei principali contributi sul tema, si rinvia a </w:t>
      </w:r>
      <w:r w:rsidRPr="00CB2E82">
        <w:t>M.V. FERRONI,</w:t>
      </w:r>
      <w:r w:rsidRPr="00CB2E82">
        <w:rPr>
          <w:i/>
          <w:iCs/>
        </w:rPr>
        <w:t>Il Ricorso in Cassazione avverso le sentenze del Consiglio di Stato</w:t>
      </w:r>
      <w:r w:rsidRPr="00CB2E82">
        <w:t>, Padova, Cedam, 2005 e I. ZINGALES,</w:t>
      </w:r>
      <w:r>
        <w:t xml:space="preserve"> </w:t>
      </w:r>
      <w:r w:rsidRPr="00CB2E82">
        <w:rPr>
          <w:i/>
          <w:iCs/>
        </w:rPr>
        <w:t>Pubblica amministrazione e limiti alla giurisdizione tra principi costituzionali e strumenti processuali</w:t>
      </w:r>
      <w:r w:rsidRPr="00CB2E82">
        <w:t>, Milano, 2007</w:t>
      </w:r>
      <w:r>
        <w:t>;</w:t>
      </w:r>
      <w:r w:rsidRPr="00CB2E82">
        <w:t xml:space="preserve"> </w:t>
      </w:r>
      <w:r>
        <w:t xml:space="preserve">M.A. SANDULLI, </w:t>
      </w:r>
      <w:r w:rsidRPr="00CB2E82">
        <w:rPr>
          <w:i/>
          <w:iCs/>
        </w:rPr>
        <w:t>Finalmente “definitiva” certezza sul riparto di giurisdizione in tema di “comportamenti” e sulla c.d. “pregiudiziale” amministrativa? Tra i due litiganti vince la “garanzia di piena tutela” (a primissima lettura in margine a Cass., Sez. Un., 13659, 13660 e 13911 del 2006)</w:t>
      </w:r>
      <w:r>
        <w:t xml:space="preserve">, in </w:t>
      </w:r>
      <w:r w:rsidRPr="00CB2E82">
        <w:rPr>
          <w:i/>
          <w:iCs/>
        </w:rPr>
        <w:t>Riv. giur. ed.</w:t>
      </w:r>
      <w:r>
        <w:t xml:space="preserve">, 2006; R. VILLATA, </w:t>
      </w:r>
      <w:r w:rsidRPr="00CB2E82">
        <w:rPr>
          <w:i/>
          <w:iCs/>
        </w:rPr>
        <w:t>Corte di Cassazione, Consiglio di Stato e c.d. pregiudiziale amministrativa</w:t>
      </w:r>
      <w:r>
        <w:t xml:space="preserve">, in </w:t>
      </w:r>
      <w:r w:rsidRPr="00CB2E82">
        <w:rPr>
          <w:i/>
          <w:iCs/>
        </w:rPr>
        <w:t>Dir. proc. amm</w:t>
      </w:r>
      <w:r w:rsidRPr="00CB2E82">
        <w:t>., 2009)</w:t>
      </w:r>
      <w:r>
        <w:t xml:space="preserve">; M. MAZZAMUTO, </w:t>
      </w:r>
      <w:r w:rsidRPr="00CB2E82">
        <w:rPr>
          <w:i/>
          <w:iCs/>
        </w:rPr>
        <w:t>L’eccesso di potere giurisdizionale del giudice della giurisdizione</w:t>
      </w:r>
      <w:r>
        <w:t xml:space="preserve">, in </w:t>
      </w:r>
      <w:r w:rsidRPr="00CB2E82">
        <w:rPr>
          <w:i/>
          <w:iCs/>
        </w:rPr>
        <w:t>Dir. Proc. Amm</w:t>
      </w:r>
      <w:r w:rsidRPr="00CB2E82">
        <w:t>., 201</w:t>
      </w:r>
      <w:r>
        <w:t xml:space="preserve">2, IV, p. 1677 ss.; A. CORPACI, </w:t>
      </w:r>
      <w:r w:rsidRPr="00CB2E82">
        <w:rPr>
          <w:i/>
          <w:iCs/>
        </w:rPr>
        <w:t>Note per un dibattito in tema di sindacato della Cassazione sulle sentenze del Consiglio di Stato</w:t>
      </w:r>
      <w:r>
        <w:t xml:space="preserve">, in </w:t>
      </w:r>
      <w:r w:rsidRPr="00CB2E82">
        <w:rPr>
          <w:i/>
          <w:iCs/>
        </w:rPr>
        <w:t>Dir. Pubbl</w:t>
      </w:r>
      <w:r w:rsidRPr="00CB2E82">
        <w:t xml:space="preserve">., I, </w:t>
      </w:r>
      <w:r>
        <w:t>2013, p. 341 e ss.; R. VILLATA,</w:t>
      </w:r>
      <w:r w:rsidRPr="00CB2E82">
        <w:rPr>
          <w:i/>
          <w:iCs/>
        </w:rPr>
        <w:t>Sui “motivi inerenti alla giurisdizione”</w:t>
      </w:r>
      <w:r>
        <w:t xml:space="preserve">, in </w:t>
      </w:r>
      <w:r w:rsidRPr="00CB2E82">
        <w:rPr>
          <w:i/>
          <w:iCs/>
        </w:rPr>
        <w:t>Riv. dir. proc</w:t>
      </w:r>
      <w:r w:rsidRPr="00CB2E82">
        <w:t xml:space="preserve">., </w:t>
      </w:r>
      <w:r>
        <w:t xml:space="preserve">2015, 632 ss.; P. PATRITO, </w:t>
      </w:r>
      <w:r w:rsidRPr="00CB2E82">
        <w:rPr>
          <w:i/>
          <w:iCs/>
        </w:rPr>
        <w:t>I “Motivi inerenti alla giurisdizione” nell’impugnazione delle sentenze del Consiglio di Stato</w:t>
      </w:r>
      <w:r>
        <w:t xml:space="preserve">, Napoli, 2016; R. DE NICTOLIS, </w:t>
      </w:r>
      <w:r w:rsidRPr="00CB2E82">
        <w:rPr>
          <w:i/>
          <w:iCs/>
        </w:rPr>
        <w:t>L’eccesso di potere giurisdizionale (tra ricorso per “i soli motivi inerenti alla giurisdizione”</w:t>
      </w:r>
      <w:r>
        <w:t xml:space="preserve"> </w:t>
      </w:r>
      <w:r w:rsidRPr="00CB2E82">
        <w:rPr>
          <w:i/>
          <w:iCs/>
        </w:rPr>
        <w:t>e ricorso per “violazione di legge”)</w:t>
      </w:r>
      <w:r>
        <w:t xml:space="preserve">, in </w:t>
      </w:r>
      <w:hyperlink r:id="rId1" w:tgtFrame="_blank" w:history="1">
        <w:r w:rsidRPr="00CB2E82">
          <w:rPr>
            <w:rStyle w:val="Collegamentoipertestuale"/>
            <w:i/>
            <w:iCs/>
          </w:rPr>
          <w:t>www.giustizia-amministrativa.it</w:t>
        </w:r>
      </w:hyperlink>
      <w:r>
        <w:t xml:space="preserve">, 2017; F. FRANCARIO, </w:t>
      </w:r>
      <w:r w:rsidRPr="00CB2E82">
        <w:rPr>
          <w:i/>
          <w:iCs/>
        </w:rPr>
        <w:t>Il sindacato della Cassazione sul rifiuto di giurisdizione</w:t>
      </w:r>
      <w:r>
        <w:t xml:space="preserve">, in </w:t>
      </w:r>
      <w:r w:rsidRPr="00CB2E82">
        <w:rPr>
          <w:i/>
          <w:iCs/>
        </w:rPr>
        <w:t>Libro dell’anno del diritto</w:t>
      </w:r>
      <w:r w:rsidRPr="00CB2E82">
        <w:t>, Treccani</w:t>
      </w:r>
      <w:r>
        <w:t xml:space="preserve">, Roma, 2017; C.E. GALLO, </w:t>
      </w:r>
      <w:r w:rsidRPr="00CB2E82">
        <w:rPr>
          <w:i/>
          <w:iCs/>
        </w:rPr>
        <w:t>Il controllo della Cassazione sul rifiuto di giurisdizione del</w:t>
      </w:r>
      <w:r>
        <w:t xml:space="preserve"> </w:t>
      </w:r>
      <w:r w:rsidRPr="00CB2E82">
        <w:rPr>
          <w:i/>
          <w:iCs/>
        </w:rPr>
        <w:t>Consiglio di Stato</w:t>
      </w:r>
      <w:r>
        <w:t xml:space="preserve">, in </w:t>
      </w:r>
      <w:hyperlink r:id="rId2" w:tgtFrame="_blank" w:history="1">
        <w:r w:rsidRPr="00CB2E82">
          <w:rPr>
            <w:rStyle w:val="Collegamentoipertestuale"/>
            <w:i/>
            <w:iCs/>
          </w:rPr>
          <w:t>www.giustizia-amministrativa.it</w:t>
        </w:r>
      </w:hyperlink>
      <w:r>
        <w:t xml:space="preserve">, 2017; M.A. SANDULLI, </w:t>
      </w:r>
      <w:r w:rsidRPr="00CB2E82">
        <w:rPr>
          <w:i/>
          <w:iCs/>
        </w:rPr>
        <w:t>A proposito del sindacato della Corte di Cassazione sulle decisioni dei giudici amministrativi</w:t>
      </w:r>
      <w:r>
        <w:rPr>
          <w:iCs/>
        </w:rPr>
        <w:t>;</w:t>
      </w:r>
      <w:r>
        <w:t xml:space="preserve"> A. PANZAROLA, </w:t>
      </w:r>
      <w:r w:rsidRPr="00CB2E82">
        <w:rPr>
          <w:i/>
          <w:iCs/>
        </w:rPr>
        <w:t>Il controllo della Corte di cassazione sui limiti della giurisdizione del giudice</w:t>
      </w:r>
      <w:r>
        <w:rPr>
          <w:i/>
          <w:iCs/>
        </w:rPr>
        <w:t xml:space="preserve"> </w:t>
      </w:r>
      <w:r w:rsidRPr="00CB2E82">
        <w:rPr>
          <w:i/>
          <w:iCs/>
        </w:rPr>
        <w:t>amministrativo</w:t>
      </w:r>
      <w:r>
        <w:t xml:space="preserve">, in </w:t>
      </w:r>
      <w:r w:rsidRPr="00CB2E82">
        <w:rPr>
          <w:i/>
          <w:iCs/>
        </w:rPr>
        <w:t>Riv. trim. dir. proc. civ</w:t>
      </w:r>
      <w:r>
        <w:t xml:space="preserve">., I, 2018; A. CASSATELLA, </w:t>
      </w:r>
      <w:r w:rsidRPr="00CB2E82">
        <w:rPr>
          <w:i/>
          <w:iCs/>
        </w:rPr>
        <w:t>L’</w:t>
      </w:r>
      <w:r>
        <w:rPr>
          <w:i/>
          <w:iCs/>
        </w:rPr>
        <w:t>e</w:t>
      </w:r>
      <w:r w:rsidRPr="00CB2E82">
        <w:rPr>
          <w:i/>
          <w:iCs/>
        </w:rPr>
        <w:t>ccesso di potere giurisdizionale e la sua rilevanza nel sistema di giustizia amministrativa</w:t>
      </w:r>
      <w:r>
        <w:t xml:space="preserve">, in </w:t>
      </w:r>
      <w:r w:rsidRPr="00CB2E82">
        <w:rPr>
          <w:i/>
          <w:iCs/>
        </w:rPr>
        <w:t>Riv. trim. dir. pubbl</w:t>
      </w:r>
      <w:r>
        <w:t xml:space="preserve">., n. 2 del 2018; P. TOMAIUOLI, </w:t>
      </w:r>
      <w:r w:rsidRPr="00CB2E82">
        <w:rPr>
          <w:i/>
          <w:iCs/>
        </w:rPr>
        <w:t>L’altolà della Corte Costituzionale alla giurisdizione dinamica (a margine della sentenza n. 6 del 2018)</w:t>
      </w:r>
      <w:r>
        <w:t xml:space="preserve">, in </w:t>
      </w:r>
      <w:r w:rsidRPr="00CB2E82">
        <w:rPr>
          <w:i/>
          <w:iCs/>
        </w:rPr>
        <w:t>Consulta</w:t>
      </w:r>
      <w:r>
        <w:t xml:space="preserve"> </w:t>
      </w:r>
      <w:r w:rsidRPr="00CB2E82">
        <w:rPr>
          <w:i/>
          <w:iCs/>
        </w:rPr>
        <w:t>online</w:t>
      </w:r>
      <w:r w:rsidRPr="00CB2E82">
        <w:t xml:space="preserve">, I, 2018; A. POLICE-F. </w:t>
      </w:r>
      <w:r>
        <w:t xml:space="preserve">CHIRICO, </w:t>
      </w:r>
      <w:r w:rsidRPr="00CB2E82">
        <w:rPr>
          <w:i/>
          <w:iCs/>
        </w:rPr>
        <w:t>I «soli motivi inerenti alla giurisdizione» nella giurisprudenza della Corte</w:t>
      </w:r>
      <w:r>
        <w:t xml:space="preserve"> </w:t>
      </w:r>
      <w:r w:rsidRPr="00CB2E82">
        <w:rPr>
          <w:i/>
          <w:iCs/>
        </w:rPr>
        <w:t>Costituzionale</w:t>
      </w:r>
      <w:r>
        <w:t xml:space="preserve">, in </w:t>
      </w:r>
      <w:r w:rsidRPr="00CB2E82">
        <w:rPr>
          <w:i/>
          <w:iCs/>
        </w:rPr>
        <w:t>Il Processo</w:t>
      </w:r>
      <w:r>
        <w:t>, I, 2019, 113 ss.</w:t>
      </w:r>
    </w:p>
    <w:p w:rsidR="004A28A6" w:rsidRDefault="004A28A6" w:rsidP="00207D69">
      <w:pPr>
        <w:pStyle w:val="Testonotaapidipagina"/>
        <w:tabs>
          <w:tab w:val="left" w:pos="709"/>
        </w:tabs>
        <w:ind w:firstLine="709"/>
        <w:jc w:val="both"/>
      </w:pPr>
    </w:p>
  </w:footnote>
  <w:footnote w:id="3">
    <w:p w:rsidR="004A28A6" w:rsidRPr="00BF1B41" w:rsidRDefault="004A28A6" w:rsidP="00207D69">
      <w:pPr>
        <w:pStyle w:val="Testonotaapidipagina"/>
        <w:ind w:firstLine="709"/>
        <w:jc w:val="both"/>
      </w:pPr>
      <w:r>
        <w:rPr>
          <w:rStyle w:val="Rimandonotaapidipagina"/>
        </w:rPr>
        <w:footnoteRef/>
      </w:r>
      <w:r>
        <w:t xml:space="preserve"> Secondo </w:t>
      </w:r>
      <w:r w:rsidRPr="00BF1B41">
        <w:t xml:space="preserve">M.A. SANDULLI, </w:t>
      </w:r>
      <w:r w:rsidRPr="00BF1B41">
        <w:rPr>
          <w:i/>
        </w:rPr>
        <w:t>Guida alla lettura dell’ordinanza delle Sezioni Unite della Corte di cassazione n. 19598 del 2020</w:t>
      </w:r>
      <w:r>
        <w:t xml:space="preserve">, Giustiziainsieme, </w:t>
      </w:r>
      <w:r w:rsidRPr="00BF1B41">
        <w:t>peraltro, “</w:t>
      </w:r>
      <w:r w:rsidRPr="00BF1B41">
        <w:rPr>
          <w:i/>
        </w:rPr>
        <w:t>Il problema dell’ambito del potere di “cassazione” delle pronunce del Consiglio di Stato e della Corte dei conti previsto dall’art. 111, comma 8, Cost. non è nuovo e, soprattutto, non è legato ai rapporti con il diritto UE. Mario Nigro, nella sua “Giustizia amministrativa”, negli anni ’70, rappresentava l’esigenza di “precisare l’ambito della verifica che la Cassazione è chiamata a compiere”, riportando le diverse formule usate dal Codice processuale civile e dalla Costituzione, per rilevare che “nessuna di tali disposizioni, come si vede, è idonea a fornire precisazioni circa il detto ambito”</w:t>
      </w:r>
      <w:r w:rsidRPr="00BF1B41">
        <w:t>.</w:t>
      </w:r>
    </w:p>
    <w:p w:rsidR="004A28A6" w:rsidRDefault="004A28A6" w:rsidP="00207D69">
      <w:pPr>
        <w:pStyle w:val="Testonotaapidipagina"/>
        <w:ind w:firstLine="709"/>
        <w:jc w:val="both"/>
      </w:pPr>
    </w:p>
  </w:footnote>
  <w:footnote w:id="4">
    <w:p w:rsidR="004A28A6" w:rsidRDefault="004A28A6" w:rsidP="00207D69">
      <w:pPr>
        <w:pStyle w:val="Testonotaapidipagina"/>
        <w:tabs>
          <w:tab w:val="left" w:pos="709"/>
        </w:tabs>
        <w:ind w:firstLine="709"/>
        <w:jc w:val="both"/>
      </w:pPr>
      <w:r>
        <w:rPr>
          <w:rStyle w:val="Rimandonotaapidipagina"/>
        </w:rPr>
        <w:footnoteRef/>
      </w:r>
      <w:r>
        <w:t xml:space="preserve"> La </w:t>
      </w:r>
      <w:r w:rsidRPr="007E1652">
        <w:t>sentenza</w:t>
      </w:r>
      <w:r>
        <w:t xml:space="preserve"> n. 30254 del 23 dicembre 2008 delle Sezioni Unite, cassando la decisione dell’Adunanza Plenaria, che aveva affermato il principio della “pregiudiziale di annullamento quale condizione per poter promuovere l’azione risarcitoria a tutela degli interessi legittimi, per “rifiuto della giurisdizione”, afferma che, </w:t>
      </w:r>
      <w:r w:rsidRPr="000C1102">
        <w:t>alla luce della “convergenza” degli artt. 24, primo comma, 113, primo e secondo comma, e 111, primo comma (“che, mediante i principi del giusto processo e della sua ragionevole durata, esprime quello di effettività della tutela giurisdizionale”), il termine “giurisdizione”, per quanto interessava ai fini della questione sottoposta alla Suprema Corte, “è termine che va inteso nel senso di tutela giurisdizionale dei diritti e degli interessi e dunque in un senso che comprende le diverse tutele che l'ordinamento assegna ai diversi giudici per assicurare l'effettività dell'ordinamento”. La conseguenza di tale ragionamento era che “Se attiene alla giurisdizione l'interpretazione della norma che l'attribuisce, vi attiene non solo in quanto riparte tra gli ordini di giudici tipi di situazioni soggettive e settori di materia, ma vi attiene pure in quanto descrive da un lato le forme di tutela, che dai giudici si possono impartire per assicurare che la protezione promessa dall'ordinamento risulti realizzata, dall'altro i presupposti del loro esercizio”.</w:t>
      </w:r>
    </w:p>
    <w:p w:rsidR="004A28A6" w:rsidRDefault="004A28A6" w:rsidP="00207D69">
      <w:pPr>
        <w:pStyle w:val="Testonotaapidipagina"/>
        <w:tabs>
          <w:tab w:val="left" w:pos="709"/>
        </w:tabs>
        <w:ind w:firstLine="709"/>
        <w:jc w:val="both"/>
      </w:pPr>
    </w:p>
  </w:footnote>
  <w:footnote w:id="5">
    <w:p w:rsidR="004A28A6" w:rsidRDefault="004A28A6" w:rsidP="00207D69">
      <w:pPr>
        <w:pStyle w:val="Testonotaapidipagina"/>
        <w:tabs>
          <w:tab w:val="left" w:pos="709"/>
        </w:tabs>
        <w:ind w:firstLine="709"/>
        <w:jc w:val="both"/>
      </w:pPr>
      <w:r>
        <w:rPr>
          <w:rStyle w:val="Rimandonotaapidipagina"/>
        </w:rPr>
        <w:footnoteRef/>
      </w:r>
      <w:r>
        <w:t xml:space="preserve"> Secondo la decisione </w:t>
      </w:r>
      <w:r w:rsidRPr="00CF7D72">
        <w:t>n. 2242 del 6 febbraio 2015</w:t>
      </w:r>
      <w:r>
        <w:t>, pure largamente citata nell’ordinanza in commento, “i</w:t>
      </w:r>
      <w:r w:rsidRPr="00024971">
        <w:t>n tema di impugnazione delle sentenze del Consiglio di Stato, il controllo del rispetto del limite esterno della giurisdizione (che l'articolo 111 Cost., u.c. affida alla Corte di cassazione) non include anche una funzione di verifica finale della conformità di quelle decisioni al diritto dell'Unione europea, neppure sotto il profilo dell'osservanza dell'obbligo di rinvio pregiudiziale ex articolo 267, comma 3, del Trattato sul funzionamento dell'Unione europea</w:t>
      </w:r>
      <w:r>
        <w:t>.</w:t>
      </w:r>
    </w:p>
    <w:p w:rsidR="004A28A6" w:rsidRDefault="004A28A6" w:rsidP="00207D69">
      <w:pPr>
        <w:pStyle w:val="Testonotaapidipagina"/>
        <w:tabs>
          <w:tab w:val="left" w:pos="709"/>
        </w:tabs>
        <w:ind w:firstLine="709"/>
        <w:jc w:val="both"/>
      </w:pPr>
    </w:p>
  </w:footnote>
  <w:footnote w:id="6">
    <w:p w:rsidR="004A28A6" w:rsidRDefault="004A28A6" w:rsidP="00207D69">
      <w:pPr>
        <w:pStyle w:val="Testonotaapidipagina"/>
        <w:ind w:firstLine="709"/>
        <w:jc w:val="both"/>
      </w:pPr>
      <w:r>
        <w:rPr>
          <w:rStyle w:val="Rimandonotaapidipagina"/>
        </w:rPr>
        <w:footnoteRef/>
      </w:r>
      <w:r>
        <w:t xml:space="preserve"> Come osserva esattamente TRAVI, op. cit.</w:t>
      </w:r>
    </w:p>
    <w:p w:rsidR="004A28A6" w:rsidRDefault="004A28A6" w:rsidP="00207D69">
      <w:pPr>
        <w:pStyle w:val="Testonotaapidipagina"/>
        <w:ind w:firstLine="709"/>
        <w:jc w:val="both"/>
      </w:pPr>
    </w:p>
  </w:footnote>
  <w:footnote w:id="7">
    <w:p w:rsidR="004A28A6" w:rsidRDefault="004A28A6" w:rsidP="00207D69">
      <w:pPr>
        <w:pStyle w:val="Testonotaapidipagina"/>
        <w:tabs>
          <w:tab w:val="left" w:pos="709"/>
        </w:tabs>
        <w:ind w:firstLine="709"/>
        <w:jc w:val="both"/>
      </w:pPr>
      <w:r>
        <w:rPr>
          <w:rStyle w:val="Rimandonotaapidipagina"/>
        </w:rPr>
        <w:footnoteRef/>
      </w:r>
      <w:r>
        <w:t xml:space="preserve"> Su un altro terreno, si pongono le considerazioni sulla opportunità di una revisione costituzionale che attenui o cancelli il sistema pluralistico vigente. Il problema attuale consiste nel verificare quale spazio possano avere tesi interpretative “evolutive”, che superino il dato letterale della disciplina scritta.</w:t>
      </w:r>
    </w:p>
  </w:footnote>
  <w:footnote w:id="8">
    <w:p w:rsidR="004A28A6" w:rsidRDefault="004A28A6" w:rsidP="00207D69">
      <w:pPr>
        <w:pStyle w:val="Puntoelenco"/>
        <w:numPr>
          <w:ilvl w:val="0"/>
          <w:numId w:val="0"/>
        </w:numPr>
        <w:ind w:firstLine="709"/>
        <w:jc w:val="both"/>
      </w:pPr>
      <w:r>
        <w:rPr>
          <w:rStyle w:val="Rimandonotaapidipagina"/>
        </w:rPr>
        <w:footnoteRef/>
      </w:r>
      <w:r>
        <w:t xml:space="preserve"> Si veda l’accurata ricostruzione di M.A. </w:t>
      </w:r>
      <w:r w:rsidRPr="00C66F53">
        <w:rPr>
          <w:smallCaps/>
        </w:rPr>
        <w:t>Sandulli</w:t>
      </w:r>
      <w:r>
        <w:t xml:space="preserve">, op. cit., la quale, richiamando M. </w:t>
      </w:r>
      <w:r w:rsidRPr="00C66F53">
        <w:rPr>
          <w:smallCaps/>
        </w:rPr>
        <w:t>Nigro</w:t>
      </w:r>
      <w:r>
        <w:t>, osserva che  “</w:t>
      </w:r>
      <w:r w:rsidRPr="000C1102">
        <w:t>le ipotesi di sconfinamento nel terreno di attività di organi legislativi e costituzionali si possono ritenere meramente teoriche e che lo sconfinamento nel campo legislativo si avrebbe quando il giudice non applica la norma esistente, ma una norma da lui creata e aggiungeva “ma è chiaro che di solito si tratta di mera e legittima attività interpretativa del giudice” (a sostegno dell’affermazione, citava le sentenze delle Sezioni Unite nn. 2543 del 1954 e 304 del 1967 e, in diverso senso, soltanto la sentenza n. 333 del 1946 che aveva annullato per eccesso di potere giurisdizionale una decisione della Commissione per i ricorsi in materia di proprietà intellettuale per avere applicato una norma che, a giudizio della stessa Suprema Corte, era incostituzionale per eccesso di delega. Lo stesso Autore riconduceva poi alla tipologia “sconfinamento in campo riservato ad altro organo costituzionale” l’ipotesi in cui il giudice esamina tanto a fondo una questione di legittimità costituzionale da superare i limiti di valutazione della non manifesta infondatezza, dando però atto della circostanza che la Suprema Corte aveva escluso un tale caso di sconfinamento con la sentenza n. 82 del 1968. Da ultimo, sottolineava che la tendenza a estendere il difetto giurisdizione al di là dei limiti in cui lo colloca l'articolo 37 aveva portato la Cassazione a comprendervi  i vizi inerenti alla stessa posizione dell'organo giurisdizionale (organo privo della indipendenza) o alla sua costituzione (collegio composto da un numero di membri diverso da quello fissato dalla legge), nonché “la mancata motivazione” e aggiungeva che, con riferimento all’impugnativa di decisioni dei giudici amministrativi, la Cassazione aveva invece “giustamente negato” che rientrassero fra i motivi attinenti alla giurisdizione le denunce di vizi di extra o ultra petizione, di violazione del giudicato e di “improponibilità del ricorso per carenza di legittimazione ed interesse ad agire (Cass. 3145/1983) o per tardività del ricorso”</w:t>
      </w:r>
      <w:r>
        <w:t>.</w:t>
      </w:r>
    </w:p>
    <w:p w:rsidR="004A28A6" w:rsidRDefault="004A28A6" w:rsidP="00207D69">
      <w:pPr>
        <w:pStyle w:val="Testonotaapidipagina"/>
        <w:tabs>
          <w:tab w:val="left" w:pos="709"/>
        </w:tabs>
        <w:ind w:firstLine="709"/>
        <w:jc w:val="both"/>
      </w:pPr>
    </w:p>
  </w:footnote>
  <w:footnote w:id="9">
    <w:p w:rsidR="004A28A6" w:rsidRDefault="004A28A6" w:rsidP="00207D69">
      <w:pPr>
        <w:pStyle w:val="Testonotaapidipagina"/>
        <w:tabs>
          <w:tab w:val="left" w:pos="709"/>
        </w:tabs>
        <w:ind w:firstLine="709"/>
        <w:jc w:val="both"/>
      </w:pPr>
      <w:r>
        <w:rPr>
          <w:rStyle w:val="Rimandonotaapidipagina"/>
        </w:rPr>
        <w:footnoteRef/>
      </w:r>
      <w:r>
        <w:t xml:space="preserve"> La Corte aggiunge che </w:t>
      </w:r>
      <w:r w:rsidRPr="008B7C6C">
        <w:t xml:space="preserve">alla competenza naturale della Corte costituzionale, quale interprete ultimo delle norme costituzionali e di quelle che regolano i confini e l'assetto complessivo dei plessi giurisdizionali, spetta verificare l'affermazione delle sezioni unite della Cassazione (come organo regolatore della giurisdizione e non nell'esercizio della funzione nomofilattica), quale giudice rimettente, circa la sussistenza di un motivo di ricorso inerente alla giurisdizione, quale presupposto della legittima instaurazione del giudizio </w:t>
      </w:r>
      <w:r w:rsidRPr="008B7C6C">
        <w:rPr>
          <w:i/>
        </w:rPr>
        <w:t>a quo</w:t>
      </w:r>
      <w:r>
        <w:t>.</w:t>
      </w:r>
    </w:p>
    <w:p w:rsidR="004A28A6" w:rsidRDefault="004A28A6" w:rsidP="00207D69">
      <w:pPr>
        <w:pStyle w:val="Testonotaapidipagina"/>
        <w:tabs>
          <w:tab w:val="left" w:pos="709"/>
        </w:tabs>
        <w:ind w:firstLine="709"/>
        <w:jc w:val="both"/>
      </w:pPr>
      <w:r>
        <w:t>In questo modo, la Corte costituzionale compie una duplice precisazione:</w:t>
      </w:r>
    </w:p>
    <w:p w:rsidR="004A28A6" w:rsidRDefault="004A28A6" w:rsidP="00207D69">
      <w:pPr>
        <w:pStyle w:val="Testonotaapidipagina"/>
        <w:numPr>
          <w:ilvl w:val="0"/>
          <w:numId w:val="11"/>
        </w:numPr>
        <w:tabs>
          <w:tab w:val="left" w:pos="709"/>
        </w:tabs>
        <w:ind w:left="0" w:firstLine="709"/>
        <w:jc w:val="both"/>
      </w:pPr>
      <w:r>
        <w:t>La verifica del rispetto dell’art. 111, comma ottavo, va svolta anche ai fini dell’ammissibilità della questione incidentale di costituzionalità proposta dalle Sezioni Unite;</w:t>
      </w:r>
    </w:p>
    <w:p w:rsidR="004A28A6" w:rsidRDefault="004A28A6" w:rsidP="00207D69">
      <w:pPr>
        <w:pStyle w:val="Testonotaapidipagina"/>
        <w:numPr>
          <w:ilvl w:val="0"/>
          <w:numId w:val="11"/>
        </w:numPr>
        <w:tabs>
          <w:tab w:val="left" w:pos="709"/>
        </w:tabs>
        <w:ind w:left="0" w:firstLine="709"/>
        <w:jc w:val="both"/>
      </w:pPr>
      <w:r>
        <w:t>Trattandosi di stabilire il significato di una disposizione di rango costituzionale, tale compito è istituzionalmente attribuito alla Corte costituzionale, ancorché le Sezioni Unite siano chiamate ad applicare l’art. 111 e abbiano contribuito a delinearne il contenuto in relazione ai casi concreti sottoposti al loro vaglio.</w:t>
      </w:r>
    </w:p>
    <w:p w:rsidR="004A28A6" w:rsidRDefault="004A28A6" w:rsidP="006A7DD1">
      <w:pPr>
        <w:pStyle w:val="Testonotaapidipagina"/>
        <w:tabs>
          <w:tab w:val="left" w:pos="709"/>
        </w:tabs>
        <w:ind w:left="709"/>
        <w:jc w:val="both"/>
      </w:pPr>
    </w:p>
  </w:footnote>
  <w:footnote w:id="10">
    <w:p w:rsidR="004A28A6" w:rsidRDefault="004A28A6" w:rsidP="00207D69">
      <w:pPr>
        <w:pStyle w:val="Testonotaapidipagina"/>
        <w:tabs>
          <w:tab w:val="left" w:pos="709"/>
        </w:tabs>
        <w:ind w:firstLine="709"/>
        <w:jc w:val="both"/>
      </w:pPr>
      <w:r>
        <w:rPr>
          <w:rStyle w:val="Rimandonotaapidipagina"/>
        </w:rPr>
        <w:footnoteRef/>
      </w:r>
      <w:r>
        <w:t xml:space="preserve"> In tal senso: </w:t>
      </w:r>
      <w:r w:rsidRPr="00261366">
        <w:t>Cass., SS.UU., 6 marzo 2020, n. 6460; 17 dicembre 2018, n. 32</w:t>
      </w:r>
      <w:r>
        <w:t>622; 19 dicembre 2018, n. 32733, anche con specifico riguardo alla materia della</w:t>
      </w:r>
      <w:r w:rsidRPr="00261366">
        <w:t xml:space="preserve"> esclusione e di aggiudicazione di appalti pubblici (Cass., SS. UU., 16 maggio 2019, n. 132</w:t>
      </w:r>
      <w:r>
        <w:t xml:space="preserve">43). In quest’ultima pronuncia </w:t>
      </w:r>
      <w:r w:rsidRPr="00261366">
        <w:t>le Sezioni Unite hanno ritenuto inammissibile il ricorso per cassazione del concorrente escluso avverso la sentenza con cui il Consiglio di Stato aveva confermato la decisione di primo grado che aveva prioritariamente scrutinato e accolto il ricorso incidentale c.d. «escludente», con cui l’aggiudicatario deduceva profili di illegittimità dell’ammissione alla gara del ricorrente principale, non prima di aver sottolineato la «pregnanza e vincolante rilevanza della richiamata sente</w:t>
      </w:r>
      <w:r>
        <w:t xml:space="preserve">nza della Corte costituzionale </w:t>
      </w:r>
      <w:r w:rsidRPr="00261366">
        <w:t>» e affermato l’impossibilità di ricondurre «il vizio denunciato in relazione alla decisione del Consiglio di Stato in una violazione dei limiti esterni della giurisdizione».</w:t>
      </w:r>
    </w:p>
    <w:p w:rsidR="004A28A6" w:rsidRDefault="004A28A6" w:rsidP="00207D69">
      <w:pPr>
        <w:pStyle w:val="Testonotaapidipagina"/>
        <w:tabs>
          <w:tab w:val="left" w:pos="709"/>
        </w:tabs>
        <w:ind w:firstLine="709"/>
        <w:jc w:val="both"/>
      </w:pPr>
    </w:p>
  </w:footnote>
  <w:footnote w:id="11">
    <w:p w:rsidR="004A28A6" w:rsidRDefault="004A28A6" w:rsidP="006A7DD1">
      <w:pPr>
        <w:pStyle w:val="Testonotaapidipagina"/>
        <w:ind w:firstLine="709"/>
        <w:jc w:val="both"/>
      </w:pPr>
      <w:r>
        <w:rPr>
          <w:rStyle w:val="Rimandonotaapidipagina"/>
        </w:rPr>
        <w:footnoteRef/>
      </w:r>
      <w:r>
        <w:t xml:space="preserve"> </w:t>
      </w:r>
      <w:r w:rsidRPr="006A7DD1">
        <w:t>Basterebbe citare, fra le tante, la decisione delle Sezioni unite, 10 giugno 2020, n. 11125, secondo cui non è consentita «la censura della sentenza con la quale il giudice amministrativo adotti una interpretazione di una norma processuale tale da impedire la piena conoscibilità del merito della domanda ed in tal senso è intervenuta la Corte costituzionale (sentenza n. 6 del 2018), che ha ridimensionato drasticamente quell’ambito non solo escludendo in radice ogni legittimità dell'interpretazione estensiva (sulla base del concetto funzionale od evolutivo o dinamico della giurisdizione), ma pure circoscrivendo sensibilmente l’operatività della giurisprudenza maggioritaria. Il Giudice delle leggi ha invero statuito che la tesi che il ricorso in Cassazione per motivi inerenti alla giurisdizione comprenda anche il sindacato su errores in procedendo o in iudicando non può qualificarsi “evolutiva” o “dinamica”, perché irrimediabilmente illegittima in quanto incompatibile con la lettera e lo spirito della norma costituzionale. Pertanto, deve ritenersi inammissibile ogni interpretazione che consenta una più o meno completa assimilazione del ricorso in Cassazione avverso le sentenze del Consiglio di Stato e della Corte dei conti per “motivi inerenti alla giurisdizione” con il ricorso in Cassazione per violazione di legge (punto 11 delle ragioni in diritto della qui esaminata sentenza della Consulta), visto che l’intervento delle Sezioni Unite, in sede di controllo di giurisdizione, nemmeno può essere giustificato dalla violazione di norme dell’Unione o della Cedu. Ne consegue che l’ “eccesso di potere giudiziario” va riferito alle sole ipotesi di difetto relativo di giurisdizione, nonché a quelle di difetto assoluto di giurisdizione, cioè quando il Consiglio di Stato o la Corte dei conti affermino la propria giurisdizione nella sfera riservata al legislatore o all’amministrazione (cosiddetta invasione o sconfinamento), ovvero, al contrario, la neghino sull’erroneo presupposto che la materia non può formare oggetto, in via assoluta, di cognizione giurisdizionale (cosiddetto arretramento).</w:t>
      </w:r>
    </w:p>
  </w:footnote>
  <w:footnote w:id="12">
    <w:p w:rsidR="004A28A6" w:rsidRDefault="004A28A6" w:rsidP="00207D69">
      <w:pPr>
        <w:pStyle w:val="Testonotaapidipagina"/>
        <w:tabs>
          <w:tab w:val="left" w:pos="709"/>
        </w:tabs>
        <w:ind w:firstLine="709"/>
        <w:jc w:val="both"/>
      </w:pPr>
      <w:r>
        <w:rPr>
          <w:rStyle w:val="Rimandonotaapidipagina"/>
        </w:rPr>
        <w:footnoteRef/>
      </w:r>
      <w:r>
        <w:t xml:space="preserve"> In questo senso si pongono i dubbi di M.A.S. Sandulli, op. cit., secondo la quale la cassazione forse non avve nemmeno bisogno di interrogare la Corte di Giustizia: “</w:t>
      </w:r>
      <w:r w:rsidRPr="005D4E85">
        <w:rPr>
          <w:i/>
        </w:rPr>
        <w:t>Si trattava, pertanto, di una ipotesi “classica” di “diniego di giustizia”, censura che, a partire dalle note pronunce gemelle del 13 giugno 2006 sulla cd pregiudiziale di annullamento della tutela risarcitoria, seguite, a fronte del perdurante orientamento del giudice amministrativa a favore di tale pregiudiziale, dalla – più netta e “severa” – sentenza n. 30254 del 2008, ha “turbato” il “dialogo” tra la Corte di cassazione e i giudici amministrativi di ultima istanza (Consiglio di Stato e Corte dei conti), già messo a rischio dall’improvvida estensione della giurisdizione esclusiva su “gruppi di materie”, opportunamente frenata dalla “storica” sentenza n. 204 del 2004, ingenerando la preoccupazione dei secondi di subire la “cassazione” delle proprie sentenze (oltre che per l’invasione dell’ambito delle altre giurisdizioni e della sfera riservata al “merito amministrativo”) anche per il cd “arretramento” dalla propria potestas iudicandi.</w:t>
      </w:r>
      <w:r>
        <w:t>”</w:t>
      </w:r>
    </w:p>
    <w:p w:rsidR="004A28A6" w:rsidRDefault="004A28A6" w:rsidP="00207D69">
      <w:pPr>
        <w:pStyle w:val="Testonotaapidipagina"/>
        <w:tabs>
          <w:tab w:val="left" w:pos="709"/>
        </w:tabs>
        <w:ind w:firstLine="709"/>
        <w:jc w:val="both"/>
      </w:pPr>
    </w:p>
  </w:footnote>
  <w:footnote w:id="13">
    <w:p w:rsidR="004A28A6" w:rsidRDefault="004A28A6" w:rsidP="00207D69">
      <w:pPr>
        <w:pStyle w:val="Testonotaapidipagina"/>
        <w:ind w:firstLine="709"/>
        <w:jc w:val="both"/>
      </w:pPr>
      <w:r>
        <w:rPr>
          <w:rStyle w:val="Rimandonotaapidipagina"/>
        </w:rPr>
        <w:footnoteRef/>
      </w:r>
      <w:r>
        <w:t xml:space="preserve"> Come si dirà infra, l’ordinanza in commento, nel secondo quesito proposto alla CGUE considera il caso del (solo) rinvio immotivato. Sembra, però, che questa formulazione non debba essere intesa in senso limitativo, perché il primo quesito, riguardando qualsiasi violazione del diritto UE, comprende, logicamente, anche il mancato rinvio (per quanto formalmente motivato).</w:t>
      </w:r>
    </w:p>
    <w:p w:rsidR="004A28A6" w:rsidRDefault="004A28A6" w:rsidP="00207D69">
      <w:pPr>
        <w:pStyle w:val="Testonotaapidipagina"/>
        <w:ind w:firstLine="709"/>
        <w:jc w:val="both"/>
      </w:pPr>
    </w:p>
  </w:footnote>
  <w:footnote w:id="14">
    <w:p w:rsidR="004A28A6" w:rsidRDefault="004A28A6" w:rsidP="00207D69">
      <w:pPr>
        <w:pStyle w:val="Testonotaapidipagina"/>
        <w:tabs>
          <w:tab w:val="left" w:pos="709"/>
        </w:tabs>
        <w:ind w:firstLine="709"/>
        <w:jc w:val="both"/>
      </w:pPr>
      <w:r>
        <w:rPr>
          <w:rStyle w:val="Rimandonotaapidipagina"/>
        </w:rPr>
        <w:footnoteRef/>
      </w:r>
      <w:r>
        <w:t xml:space="preserve"> Poiché il mezzo processuale prescelto dalla Cassazione è quello del rinvio alla CGUE, il tema del sindacato ex art. 111, comma ottavo è riferito solo al diritto europeo. L’ordinanza, tuttavia, non afferma, espressamente, la propria adesione all’indirizzo rigoroso espresso, in termini generali, dalla Corte costituzionale n. 6/2018.</w:t>
      </w:r>
    </w:p>
    <w:p w:rsidR="004A28A6" w:rsidRDefault="004A28A6" w:rsidP="00207D69">
      <w:pPr>
        <w:pStyle w:val="Testonotaapidipagina"/>
        <w:tabs>
          <w:tab w:val="left" w:pos="709"/>
        </w:tabs>
        <w:ind w:firstLine="709"/>
        <w:jc w:val="both"/>
      </w:pPr>
    </w:p>
  </w:footnote>
  <w:footnote w:id="15">
    <w:p w:rsidR="004A28A6" w:rsidRDefault="004A28A6" w:rsidP="00207D69">
      <w:pPr>
        <w:pStyle w:val="Testonotaapidipagina"/>
        <w:tabs>
          <w:tab w:val="left" w:pos="709"/>
        </w:tabs>
        <w:ind w:firstLine="709"/>
        <w:jc w:val="both"/>
      </w:pPr>
      <w:r>
        <w:rPr>
          <w:rStyle w:val="Rimandonotaapidipagina"/>
        </w:rPr>
        <w:footnoteRef/>
      </w:r>
      <w:r>
        <w:t xml:space="preserve"> Meno scontate sono le ricadute di una decisione della CGUE che affermi, espressamente, la compatibilità europea del sistema italiano, o che (ipotesi forse più probabile) decida di accantonare il tema (secondo il possibile itinerario argomentativo che sarà illustrato </w:t>
      </w:r>
      <w:r w:rsidRPr="00EB6F8C">
        <w:rPr>
          <w:i/>
        </w:rPr>
        <w:t>infra</w:t>
      </w:r>
      <w:r>
        <w:t>).</w:t>
      </w:r>
    </w:p>
    <w:p w:rsidR="004A28A6" w:rsidRDefault="004A28A6" w:rsidP="00207D69">
      <w:pPr>
        <w:pStyle w:val="Testonotaapidipagina"/>
        <w:tabs>
          <w:tab w:val="left" w:pos="709"/>
        </w:tabs>
        <w:ind w:firstLine="709"/>
        <w:jc w:val="both"/>
      </w:pPr>
      <w:r>
        <w:t>A stretto rigore, si potrebbe dire che la Cassazione, concentrando il proprio dissenso dalla Corte costituzionale solo sui profili di diritto UE, avrebbe implicitamente avallato il disegno interpretativo fissato dalla sentenza n. 6/2018.</w:t>
      </w:r>
    </w:p>
    <w:p w:rsidR="004A28A6" w:rsidRDefault="004A28A6" w:rsidP="00207D69">
      <w:pPr>
        <w:pStyle w:val="Testonotaapidipagina"/>
        <w:tabs>
          <w:tab w:val="left" w:pos="709"/>
        </w:tabs>
        <w:ind w:firstLine="709"/>
        <w:jc w:val="both"/>
      </w:pPr>
      <w:r>
        <w:t>Sicché, all’esito della decisione della CGUE non avrebbe altra strada che dichiarare inammissibile il ricorso e confermare la lettura tradizionale dell’art. 111 della Cost.</w:t>
      </w:r>
    </w:p>
    <w:p w:rsidR="004A28A6" w:rsidRDefault="004A28A6" w:rsidP="00207D69">
      <w:pPr>
        <w:pStyle w:val="Testonotaapidipagina"/>
        <w:tabs>
          <w:tab w:val="left" w:pos="709"/>
        </w:tabs>
        <w:ind w:firstLine="709"/>
        <w:jc w:val="both"/>
      </w:pPr>
      <w:r>
        <w:t>In senso opposto, tuttavia, si può pronosticare che la Cassazione possa comunque riaprire il dibattito sulla portata dell’art. 111 in un’ottica di (solo) diritto interno.</w:t>
      </w:r>
    </w:p>
    <w:p w:rsidR="004A28A6" w:rsidRDefault="004A28A6" w:rsidP="00207D69">
      <w:pPr>
        <w:pStyle w:val="Testonotaapidipagina"/>
        <w:tabs>
          <w:tab w:val="left" w:pos="709"/>
        </w:tabs>
        <w:ind w:firstLine="709"/>
        <w:jc w:val="both"/>
      </w:pPr>
      <w:r>
        <w:t>Va aggiunto che l’incertezza del quadro derivante dalla pronuncia della CGUE potrebbe complicarsi in dipendenza della risposta al terzo quesito proposto dalla Cassazione e delle conseguenti iniziative processuali delle parti del giudizio.</w:t>
      </w:r>
    </w:p>
    <w:p w:rsidR="004A28A6" w:rsidRDefault="004A28A6" w:rsidP="00207D69">
      <w:pPr>
        <w:pStyle w:val="Testonotaapidipagina"/>
        <w:tabs>
          <w:tab w:val="left" w:pos="709"/>
        </w:tabs>
        <w:ind w:firstLine="709"/>
        <w:jc w:val="both"/>
      </w:pPr>
    </w:p>
  </w:footnote>
  <w:footnote w:id="16">
    <w:p w:rsidR="004A28A6" w:rsidRDefault="004A28A6" w:rsidP="00207D69">
      <w:pPr>
        <w:shd w:val="clear" w:color="auto" w:fill="FFFFFF"/>
        <w:tabs>
          <w:tab w:val="left" w:pos="0"/>
        </w:tabs>
        <w:spacing w:after="120" w:line="240" w:lineRule="auto"/>
        <w:ind w:firstLine="709"/>
        <w:jc w:val="both"/>
        <w:textAlignment w:val="baseline"/>
      </w:pPr>
      <w:r>
        <w:rPr>
          <w:rStyle w:val="Rimandonotaapidipagina"/>
        </w:rPr>
        <w:footnoteRef/>
      </w:r>
      <w:r>
        <w:t xml:space="preserve"> </w:t>
      </w:r>
      <w:r w:rsidRPr="00F8776C">
        <w:rPr>
          <w:bCs/>
          <w:smallCaps/>
        </w:rPr>
        <w:t>M. Clarich</w:t>
      </w:r>
      <w:r>
        <w:t xml:space="preserve">, </w:t>
      </w:r>
      <w:r w:rsidRPr="00F8776C">
        <w:rPr>
          <w:i/>
          <w:iCs/>
        </w:rPr>
        <w:t>Giurisdizione: partita a poker tra Cassazione e Consulta sulle sentenze del Consiglio di Stato</w:t>
      </w:r>
      <w:r>
        <w:t xml:space="preserve">, in </w:t>
      </w:r>
      <w:r w:rsidRPr="00F8776C">
        <w:rPr>
          <w:i/>
          <w:iCs/>
        </w:rPr>
        <w:t>Norme e Tributi, Il sole 24ore</w:t>
      </w:r>
      <w:r w:rsidRPr="00F8776C">
        <w:t>, 14 ottobre 2020</w:t>
      </w:r>
      <w:r>
        <w:t xml:space="preserve">; </w:t>
      </w:r>
      <w:r w:rsidRPr="005D4E85">
        <w:rPr>
          <w:smallCaps/>
        </w:rPr>
        <w:t>M.A.Sandulli</w:t>
      </w:r>
      <w:r>
        <w:t xml:space="preserve">, </w:t>
      </w:r>
      <w:r w:rsidRPr="005D4E85">
        <w:rPr>
          <w:i/>
        </w:rPr>
        <w:t>Guida alla lettura dell’ordinanza delle Sezioni Unite della Corte di</w:t>
      </w:r>
      <w:r w:rsidRPr="00487965">
        <w:rPr>
          <w:rFonts w:ascii="Calibri" w:eastAsia="Times New Roman" w:hAnsi="Calibri" w:cs="Segoe UI"/>
          <w:color w:val="1F4E79"/>
          <w:sz w:val="28"/>
          <w:szCs w:val="28"/>
          <w:lang w:eastAsia="it-IT"/>
        </w:rPr>
        <w:t xml:space="preserve"> </w:t>
      </w:r>
      <w:r w:rsidRPr="005D4E85">
        <w:rPr>
          <w:i/>
        </w:rPr>
        <w:t xml:space="preserve"> cassazione n. 19598 del 2020</w:t>
      </w:r>
      <w:r>
        <w:t xml:space="preserve">, </w:t>
      </w:r>
      <w:r w:rsidRPr="005D4E85">
        <w:rPr>
          <w:i/>
          <w:iCs/>
        </w:rPr>
        <w:t>Giustiziainsieme</w:t>
      </w:r>
      <w:r>
        <w:rPr>
          <w:i/>
          <w:iCs/>
        </w:rPr>
        <w:t xml:space="preserve">; </w:t>
      </w:r>
      <w:r>
        <w:t xml:space="preserve">G. TROPEA, </w:t>
      </w:r>
      <w:r w:rsidRPr="005D4E85">
        <w:rPr>
          <w:i/>
          <w:iCs/>
        </w:rPr>
        <w:t>l Golem europeo e i «motivi inerenti alla giurisdizione» (Nota a Cass., Sez. un., ord. 18 settembre 2020, n. 19598)</w:t>
      </w:r>
      <w:r>
        <w:t xml:space="preserve">, in </w:t>
      </w:r>
      <w:r w:rsidRPr="005D4E85">
        <w:rPr>
          <w:i/>
          <w:iCs/>
        </w:rPr>
        <w:t>Giustiziainsieme</w:t>
      </w:r>
      <w:r>
        <w:t xml:space="preserve">, 7 ottobre 2020; A. TRAVI, </w:t>
      </w:r>
      <w:r w:rsidRPr="005D4E85">
        <w:rPr>
          <w:i/>
          <w:iCs/>
        </w:rPr>
        <w:t>La Cassazione sottopone alla Corte di giustizia il modello italiano di giustizia amministrativa</w:t>
      </w:r>
      <w:r w:rsidRPr="005D4E85">
        <w:t>, in</w:t>
      </w:r>
      <w:r>
        <w:t xml:space="preserve"> </w:t>
      </w:r>
      <w:r w:rsidRPr="005D4E85">
        <w:rPr>
          <w:i/>
          <w:iCs/>
        </w:rPr>
        <w:t>Foronews (Foro It.)</w:t>
      </w:r>
      <w:r w:rsidRPr="005D4E85">
        <w:t>, 12 ottobre 2020; A. CAR</w:t>
      </w:r>
      <w:r>
        <w:t xml:space="preserve">RATTA-G. COSTANTINO-G. RUFFINI, </w:t>
      </w:r>
      <w:r w:rsidRPr="005D4E85">
        <w:rPr>
          <w:i/>
          <w:iCs/>
        </w:rPr>
        <w:t>Limiti esterni e giurisdizione: il contrasto fra Sezioni Unite e Corte Costituzionale arriva alla Corte UE. Note a prima lettura di Cass. SS.UU. 18 settembre 2020, n. 19598</w:t>
      </w:r>
      <w:r>
        <w:t xml:space="preserve">, in </w:t>
      </w:r>
      <w:r w:rsidRPr="005D4E85">
        <w:rPr>
          <w:i/>
          <w:iCs/>
        </w:rPr>
        <w:t>Questione Giustizia</w:t>
      </w:r>
      <w:r w:rsidRPr="005D4E85">
        <w:t xml:space="preserve">, 19 ottobre 2020, si sono </w:t>
      </w:r>
      <w:r>
        <w:t xml:space="preserve">aggiunti quelli di B. CARAVITA, </w:t>
      </w:r>
      <w:r w:rsidRPr="005D4E85">
        <w:rPr>
          <w:i/>
          <w:iCs/>
        </w:rPr>
        <w:t>Postilla</w:t>
      </w:r>
      <w:r>
        <w:t xml:space="preserve"> a S. Barbareschi, L.A. Caruso, </w:t>
      </w:r>
      <w:r w:rsidRPr="005D4E85">
        <w:rPr>
          <w:i/>
          <w:iCs/>
        </w:rPr>
        <w:t xml:space="preserve">La recente giurisprudenza costituzionale e la Corte di </w:t>
      </w:r>
      <w:r>
        <w:rPr>
          <w:i/>
          <w:iCs/>
        </w:rPr>
        <w:t xml:space="preserve">Cassazione «fuori contesto»: </w:t>
      </w:r>
      <w:r w:rsidRPr="005D4E85">
        <w:rPr>
          <w:i/>
          <w:iCs/>
        </w:rPr>
        <w:t>co</w:t>
      </w:r>
      <w:r>
        <w:rPr>
          <w:i/>
          <w:iCs/>
        </w:rPr>
        <w:t xml:space="preserve">nsiderazioni a prima lettura di ord. Cass. SS.UU. 18 settembre </w:t>
      </w:r>
      <w:r w:rsidRPr="005D4E85">
        <w:rPr>
          <w:i/>
          <w:iCs/>
        </w:rPr>
        <w:t>2020, n. 195982</w:t>
      </w:r>
      <w:r>
        <w:t xml:space="preserve">, in </w:t>
      </w:r>
      <w:r w:rsidRPr="005D4E85">
        <w:rPr>
          <w:i/>
          <w:iCs/>
        </w:rPr>
        <w:t>federalismi,</w:t>
      </w:r>
      <w:r>
        <w:rPr>
          <w:i/>
          <w:iCs/>
        </w:rPr>
        <w:t xml:space="preserve"> </w:t>
      </w:r>
      <w:r w:rsidRPr="005D4E85">
        <w:t>4 novembre 2020; F. FRANCARIO,</w:t>
      </w:r>
      <w:r>
        <w:t xml:space="preserve"> </w:t>
      </w:r>
      <w:r w:rsidRPr="005D4E85">
        <w:rPr>
          <w:i/>
          <w:iCs/>
        </w:rPr>
        <w:t>Quel pasticciaccio brutto di piazza Cavour, piazza del Quirinale e piazza Capodiferro (la questione di giurisdizione)</w:t>
      </w:r>
      <w:r>
        <w:t xml:space="preserve">, in </w:t>
      </w:r>
      <w:r w:rsidRPr="005D4E85">
        <w:rPr>
          <w:i/>
          <w:iCs/>
        </w:rPr>
        <w:t>Giustiziainsieme</w:t>
      </w:r>
      <w:r w:rsidRPr="005D4E85">
        <w:t>, 11 novembre 2020; Ginevra GRECO,</w:t>
      </w:r>
      <w:r>
        <w:t xml:space="preserve"> </w:t>
      </w:r>
      <w:r w:rsidRPr="005D4E85">
        <w:rPr>
          <w:i/>
          <w:iCs/>
        </w:rPr>
        <w:t>La violazione del diritto dell’Unione europea come possibile difetto di giurisdizione?</w:t>
      </w:r>
      <w:r>
        <w:t xml:space="preserve">, in </w:t>
      </w:r>
      <w:r w:rsidRPr="005D4E85">
        <w:rPr>
          <w:i/>
          <w:iCs/>
        </w:rPr>
        <w:t>Eurojus,</w:t>
      </w:r>
      <w:r>
        <w:t xml:space="preserve"> </w:t>
      </w:r>
      <w:r w:rsidRPr="005D4E85">
        <w:t>2020; B. NASCIMBENE-P. PIVA,</w:t>
      </w:r>
      <w:r>
        <w:t xml:space="preserve"> </w:t>
      </w:r>
      <w:r w:rsidRPr="005D4E85">
        <w:rPr>
          <w:i/>
          <w:iCs/>
        </w:rPr>
        <w:t>ll rinvio della Corte di Cassazione alla Corte di giustizia: violazioni gravi e manifeste del diritto dell’Unione europea?</w:t>
      </w:r>
      <w:r w:rsidRPr="005D4E85">
        <w:t>, in</w:t>
      </w:r>
      <w:r>
        <w:t xml:space="preserve"> </w:t>
      </w:r>
      <w:r w:rsidRPr="005D4E85">
        <w:rPr>
          <w:i/>
          <w:iCs/>
        </w:rPr>
        <w:t>Giustiziainsieme</w:t>
      </w:r>
      <w:r w:rsidRPr="005D4E85">
        <w:t>, 24 novembre 2020</w:t>
      </w:r>
      <w:r>
        <w:t>.</w:t>
      </w:r>
    </w:p>
    <w:p w:rsidR="004A28A6" w:rsidRPr="005D4E85" w:rsidRDefault="004A28A6" w:rsidP="00207D69">
      <w:pPr>
        <w:pStyle w:val="Testonotaapidipagina"/>
        <w:tabs>
          <w:tab w:val="left" w:pos="709"/>
        </w:tabs>
        <w:ind w:firstLine="709"/>
        <w:jc w:val="both"/>
      </w:pPr>
    </w:p>
  </w:footnote>
  <w:footnote w:id="17">
    <w:p w:rsidR="004A28A6" w:rsidRDefault="004A28A6" w:rsidP="00207D69">
      <w:pPr>
        <w:pStyle w:val="Testonotaapidipagina"/>
        <w:tabs>
          <w:tab w:val="left" w:pos="709"/>
        </w:tabs>
        <w:ind w:firstLine="709"/>
        <w:jc w:val="both"/>
      </w:pPr>
      <w:r>
        <w:rPr>
          <w:rStyle w:val="Rimandonotaapidipagina"/>
        </w:rPr>
        <w:footnoteRef/>
      </w:r>
      <w:r>
        <w:t xml:space="preserve"> B. </w:t>
      </w:r>
      <w:r w:rsidRPr="00B969D1">
        <w:rPr>
          <w:smallCaps/>
        </w:rPr>
        <w:t>Caravita</w:t>
      </w:r>
      <w:r>
        <w:rPr>
          <w:smallCaps/>
        </w:rPr>
        <w:t xml:space="preserve">, </w:t>
      </w:r>
      <w:r w:rsidRPr="00B969D1">
        <w:t>op. cit.</w:t>
      </w:r>
      <w:r>
        <w:t>, osserva che “</w:t>
      </w:r>
      <w:r w:rsidRPr="00B969D1">
        <w:rPr>
          <w:i/>
        </w:rPr>
        <w:t>Certo, l’acribìa dimostrata dalla Cassazione nel costruire la questione di interpretazione avrebbe potuto essere esercitata per trovare una soluzione. Certo, si sarebbe potuto cercare ancora una strada interna alle giurisdizioni nazionali. Certo, dall’organo supremo di giustizia ci si sarebbe potuto attendere maggiore prudenza nell’indubbiare la Costituzione.</w:t>
      </w:r>
      <w:r>
        <w:t>”</w:t>
      </w:r>
    </w:p>
    <w:p w:rsidR="004A28A6" w:rsidRPr="00B969D1" w:rsidRDefault="004A28A6" w:rsidP="00207D69">
      <w:pPr>
        <w:pStyle w:val="Testonotaapidipagina"/>
        <w:tabs>
          <w:tab w:val="left" w:pos="709"/>
        </w:tabs>
        <w:ind w:firstLine="709"/>
        <w:jc w:val="both"/>
      </w:pPr>
    </w:p>
  </w:footnote>
  <w:footnote w:id="18">
    <w:p w:rsidR="004A28A6" w:rsidRDefault="004A28A6" w:rsidP="00207D69">
      <w:pPr>
        <w:pStyle w:val="Testonotaapidipagina"/>
        <w:tabs>
          <w:tab w:val="left" w:pos="709"/>
        </w:tabs>
        <w:ind w:firstLine="709"/>
        <w:jc w:val="both"/>
      </w:pPr>
      <w:r>
        <w:rPr>
          <w:rStyle w:val="Rimandonotaapidipagina"/>
        </w:rPr>
        <w:footnoteRef/>
      </w:r>
      <w:r>
        <w:t xml:space="preserve"> Come si spiegherà più avanti, la Cassazione imposta il tema in una prospettiva “unilaterale”, considerando l’ipotesi (corrispondente alla vicenda contenziosa in oggetto), in cui il ricorso per cassazione intenda far valere una situazione di “arretramento” o “rifiuto” della giurisdizione, derivante dall’errata disapplicazione del diritto europeo.</w:t>
      </w:r>
    </w:p>
    <w:p w:rsidR="004A28A6" w:rsidRDefault="004A28A6" w:rsidP="00207D69">
      <w:pPr>
        <w:pStyle w:val="Testonotaapidipagina"/>
        <w:tabs>
          <w:tab w:val="left" w:pos="709"/>
        </w:tabs>
        <w:ind w:firstLine="709"/>
        <w:jc w:val="both"/>
      </w:pPr>
      <w:r>
        <w:t>Questo atteggiamento potrebbe forse collegarsi all’esigenza di dimostrare che l’assetto normativo italiano è difettoso perché comporta concreti e seri rischi di inattuazione del diritto europeo.</w:t>
      </w:r>
    </w:p>
    <w:p w:rsidR="004A28A6" w:rsidRDefault="004A28A6" w:rsidP="00207D69">
      <w:pPr>
        <w:pStyle w:val="Testonotaapidipagina"/>
        <w:tabs>
          <w:tab w:val="left" w:pos="709"/>
        </w:tabs>
        <w:ind w:firstLine="709"/>
        <w:jc w:val="both"/>
      </w:pPr>
      <w:r>
        <w:t>Evidentemente, però, qualora si accedesse alla tesi estensiva propugnata dall’ordinanza, il sindacato della Cassazione dovrebbe operare anche in direzione inversa. Vale a dire che si potrebbe denunciare lo “sconfinamento” della giurisdizione amministrativa, la quale abbia erroneamente attribuito prevalenza al diritto europeo, accogliendo la domanda di tutela della parte attrice.</w:t>
      </w:r>
    </w:p>
    <w:p w:rsidR="004A28A6" w:rsidRDefault="004A28A6" w:rsidP="00207D69">
      <w:pPr>
        <w:pStyle w:val="Testonotaapidipagina"/>
        <w:tabs>
          <w:tab w:val="left" w:pos="709"/>
        </w:tabs>
        <w:ind w:firstLine="709"/>
        <w:jc w:val="both"/>
      </w:pPr>
      <w:r>
        <w:t>In altri termini l’estensione del sindacato della Cassazione a qualsivoglia violazione del diritto UE, non determina alcuna certezza che il giudizio si concluda in senso più favorevole alla posizione del ricorrente che invochi tutela giurisdizionale.</w:t>
      </w:r>
    </w:p>
    <w:p w:rsidR="004A28A6" w:rsidRDefault="004A28A6" w:rsidP="00207D69">
      <w:pPr>
        <w:pStyle w:val="Testonotaapidipagina"/>
        <w:tabs>
          <w:tab w:val="left" w:pos="709"/>
        </w:tabs>
        <w:ind w:firstLine="709"/>
        <w:jc w:val="both"/>
      </w:pPr>
    </w:p>
  </w:footnote>
  <w:footnote w:id="19">
    <w:p w:rsidR="004A28A6" w:rsidRDefault="004A28A6" w:rsidP="00207D69">
      <w:pPr>
        <w:pStyle w:val="Testonotaapidipagina"/>
        <w:tabs>
          <w:tab w:val="left" w:pos="709"/>
        </w:tabs>
        <w:ind w:firstLine="709"/>
        <w:jc w:val="both"/>
      </w:pPr>
      <w:r>
        <w:rPr>
          <w:rStyle w:val="Rimandonotaapidipagina"/>
        </w:rPr>
        <w:footnoteRef/>
      </w:r>
      <w:r>
        <w:t xml:space="preserve"> Il punto riguarda il secondo quesito proposto dall’ordinanza n</w:t>
      </w:r>
      <w:r w:rsidRPr="005D7BD5">
        <w:t>. 19598</w:t>
      </w:r>
      <w:r>
        <w:t>, concernente la violazione dell’obbligo di rinvio pregiudiziale. Come si spiegherà in prosieguo, peraltro, le argomentazioni relative al primo e al secondo quesito sono largamente coincidenti. L’unico elemento di significativa differenza potrebbe riguardare la certa praticabilità del ricorso per revocazione (e non per cassazione) nei casi (peraltro non frequenti), di omessa ingiustificata pronuncia sulla richiesta di rinvio ritualmente formulata dalle parti.</w:t>
      </w:r>
    </w:p>
    <w:p w:rsidR="004A28A6" w:rsidRDefault="004A28A6" w:rsidP="00207D69">
      <w:pPr>
        <w:pStyle w:val="Testonotaapidipagina"/>
        <w:tabs>
          <w:tab w:val="left" w:pos="709"/>
        </w:tabs>
        <w:ind w:firstLine="709"/>
        <w:jc w:val="both"/>
      </w:pPr>
      <w:r>
        <w:t>La differenza riguarderebbe la circostanza relativa all’assenza, o meno, di una motivazione del mancato rinvio.</w:t>
      </w:r>
    </w:p>
  </w:footnote>
  <w:footnote w:id="20">
    <w:p w:rsidR="004A28A6" w:rsidRDefault="004A28A6" w:rsidP="00207D69">
      <w:pPr>
        <w:pStyle w:val="Testonotaapidipagina"/>
        <w:tabs>
          <w:tab w:val="left" w:pos="709"/>
        </w:tabs>
        <w:ind w:firstLine="709"/>
        <w:jc w:val="both"/>
      </w:pPr>
      <w:r>
        <w:rPr>
          <w:rStyle w:val="Rimandonotaapidipagina"/>
        </w:rPr>
        <w:footnoteRef/>
      </w:r>
      <w:r>
        <w:t xml:space="preserve"> In questo caso, la Cassazione sembra profilare, gradatamente, due argomenti:</w:t>
      </w:r>
    </w:p>
    <w:p w:rsidR="004A28A6" w:rsidRDefault="004A28A6" w:rsidP="00207D69">
      <w:pPr>
        <w:pStyle w:val="Testonotaapidipagina"/>
        <w:tabs>
          <w:tab w:val="left" w:pos="709"/>
        </w:tabs>
        <w:ind w:firstLine="709"/>
        <w:jc w:val="both"/>
      </w:pPr>
      <w:r>
        <w:t>Il primo è che la Corte costituzionale, attraverso un’errata “prassi interpretativa”, avrebbe stravolto il significato dell’art. 111, comma ottavo.</w:t>
      </w:r>
    </w:p>
    <w:p w:rsidR="004A28A6" w:rsidRDefault="004A28A6" w:rsidP="00207D69">
      <w:pPr>
        <w:pStyle w:val="Testonotaapidipagina"/>
        <w:tabs>
          <w:tab w:val="left" w:pos="709"/>
        </w:tabs>
        <w:ind w:firstLine="709"/>
        <w:jc w:val="both"/>
      </w:pPr>
      <w:r>
        <w:t>Il secondo argomento è che l’art. 111, quand’anche fosse stato interpretato correttamente dalla Corte cost., entrerebbe in conflitto con il diritto di rango europeo.</w:t>
      </w:r>
    </w:p>
    <w:p w:rsidR="004A28A6" w:rsidRPr="00B10595" w:rsidRDefault="004A28A6" w:rsidP="00207D69">
      <w:pPr>
        <w:pStyle w:val="Testonotaapidipagina"/>
        <w:tabs>
          <w:tab w:val="left" w:pos="709"/>
        </w:tabs>
        <w:ind w:firstLine="709"/>
        <w:jc w:val="both"/>
        <w:rPr>
          <w:i/>
        </w:rPr>
      </w:pPr>
      <w:r>
        <w:t>Con riguardo al primo argomento, tuttavia, potrebbe essere utile richiamare i rilievi critici di TRAVI, op.cit.: “</w:t>
      </w:r>
      <w:r w:rsidRPr="00B10595">
        <w:rPr>
          <w:i/>
        </w:rPr>
        <w:t>Di fronte a una norma costituzionale che risulta del tutto chiara nelle sue ragioni originarie, alla quale si è uniformato anche in codificazioni recenti il legislatore ordinario, che è stata oggetto di interpretazione costante fino ad anni recenti e di cui la Corte costituzionale ha puntualmente confermato la portata, mi pare che sia difficile, per giustificare un’interpretazione contrapposta, invocare gli spazi dell’interpretazione. In particolare non mi sembra si possa invocare un modo diverso, e più aggiornato, di esercitare la giurisdizione e di concepire la funzione giurisdizionale per giustificare una sostanziale disapplicazione dell’art. 111, ult. comma, Cost. A maggior ragione, da parte delle sezioni unite.</w:t>
      </w:r>
    </w:p>
    <w:p w:rsidR="004A28A6" w:rsidRDefault="004A28A6" w:rsidP="00207D69">
      <w:pPr>
        <w:pStyle w:val="Testonotaapidipagina"/>
        <w:tabs>
          <w:tab w:val="left" w:pos="709"/>
        </w:tabs>
        <w:ind w:firstLine="709"/>
        <w:jc w:val="both"/>
      </w:pPr>
      <w:r>
        <w:t>Né va trascurato che la lettura cristallizzata dalla Corte cost. si connette ad una tradizione interpretativa pluridecennnale, smentita solo in singoli casi e in tempi relativamente recenti, dal diverso indirizzo di alcune pronunce della Cassazione.</w:t>
      </w:r>
    </w:p>
    <w:p w:rsidR="004A28A6" w:rsidRDefault="004A28A6" w:rsidP="00207D69">
      <w:pPr>
        <w:pStyle w:val="Testonotaapidipagina"/>
        <w:tabs>
          <w:tab w:val="left" w:pos="709"/>
        </w:tabs>
        <w:ind w:firstLine="709"/>
        <w:jc w:val="both"/>
      </w:pPr>
      <w:r>
        <w:t>La ricostruzione dell’ordinanza, in questa parte, sembra quasi ipotizzare, invece, che la Corte costituzionale abbia improvvisamente arrestato l’evoluzione della giurisprudenza della cassazione.</w:t>
      </w:r>
    </w:p>
    <w:p w:rsidR="004A28A6" w:rsidRDefault="004A28A6" w:rsidP="00207D69">
      <w:pPr>
        <w:pStyle w:val="Testonotaapidipagina"/>
        <w:tabs>
          <w:tab w:val="left" w:pos="709"/>
        </w:tabs>
        <w:ind w:firstLine="709"/>
        <w:jc w:val="both"/>
      </w:pPr>
      <w:r>
        <w:t>Né può trascurarsi che l’ordinanza risulta eccessivamente sintetica, poiché non dà conto dei puntuali argomenti espressi dalla Corte costituzionale, anche con specifico riguardo alla sindacabilità delle violazioni del diritto UE.</w:t>
      </w:r>
    </w:p>
  </w:footnote>
  <w:footnote w:id="21">
    <w:p w:rsidR="004A28A6" w:rsidRDefault="004A28A6" w:rsidP="00207D69">
      <w:pPr>
        <w:pStyle w:val="Testonotaapidipagina"/>
        <w:tabs>
          <w:tab w:val="left" w:pos="709"/>
        </w:tabs>
        <w:ind w:firstLine="709"/>
        <w:jc w:val="both"/>
      </w:pPr>
    </w:p>
    <w:p w:rsidR="004A28A6" w:rsidRDefault="004A28A6" w:rsidP="00207D69">
      <w:pPr>
        <w:pStyle w:val="Testonotaapidipagina"/>
        <w:tabs>
          <w:tab w:val="left" w:pos="709"/>
        </w:tabs>
        <w:ind w:firstLine="709"/>
        <w:jc w:val="both"/>
      </w:pPr>
      <w:r>
        <w:rPr>
          <w:rStyle w:val="Rimandonotaapidipagina"/>
        </w:rPr>
        <w:footnoteRef/>
      </w:r>
      <w:r>
        <w:t xml:space="preserve"> Nella vicenda in esame possono riscontrarsi differenze ed analogie rispetto al tema sollevato dal CGA siciliano dinanzi alla CGUE, risolto dalla nota sentenza </w:t>
      </w:r>
      <w:r w:rsidRPr="00FD14F1">
        <w:rPr>
          <w:i/>
        </w:rPr>
        <w:t>Puligienica</w:t>
      </w:r>
      <w:r>
        <w:t>.</w:t>
      </w:r>
    </w:p>
    <w:p w:rsidR="004A28A6" w:rsidRDefault="004A28A6" w:rsidP="00207D69">
      <w:pPr>
        <w:pStyle w:val="Testonotaapidipagina"/>
        <w:tabs>
          <w:tab w:val="left" w:pos="709"/>
        </w:tabs>
        <w:ind w:firstLine="709"/>
        <w:jc w:val="both"/>
      </w:pPr>
      <w:r>
        <w:t>Anche in quel caso il giudice remittente lamentava che il codice del processo amministrativo comportasse un vincolo al rispetto della giurisprudenza della Plenaria, ritenuto in contrasto con il primato del diritto comunitario.</w:t>
      </w:r>
    </w:p>
    <w:p w:rsidR="004A28A6" w:rsidRDefault="004A28A6" w:rsidP="00207D69">
      <w:pPr>
        <w:pStyle w:val="Testonotaapidipagina"/>
        <w:tabs>
          <w:tab w:val="left" w:pos="709"/>
        </w:tabs>
        <w:ind w:firstLine="709"/>
        <w:jc w:val="both"/>
      </w:pPr>
      <w:r>
        <w:t xml:space="preserve">La decisione </w:t>
      </w:r>
      <w:r w:rsidRPr="00FD14F1">
        <w:rPr>
          <w:i/>
        </w:rPr>
        <w:t>Puligienica</w:t>
      </w:r>
      <w:r>
        <w:t xml:space="preserve"> ha forse frainteso la posizione del CGA in seno alla giurisdizione amministrativa, e il suo rapporto, istituzionale e procedimentale, con l’Adunanza Plenaria.</w:t>
      </w:r>
    </w:p>
    <w:p w:rsidR="004A28A6" w:rsidRDefault="004A28A6" w:rsidP="00207D69">
      <w:pPr>
        <w:pStyle w:val="Testonotaapidipagina"/>
        <w:tabs>
          <w:tab w:val="left" w:pos="709"/>
        </w:tabs>
        <w:ind w:firstLine="709"/>
        <w:jc w:val="both"/>
      </w:pPr>
      <w:r>
        <w:t>Le ricadute della decisione della CGUE, tuttavia, non sono particolarmente significative, anche sul versante della prassi. Le Sezioni semplici del Consiglio di Stato, in presenza di dubbi di compatibilità tra il diritto UE e i principi della Plenaria hanno compattamente scelto la strada del rinvio alla Plenaria.</w:t>
      </w:r>
    </w:p>
    <w:p w:rsidR="004A28A6" w:rsidRDefault="004A28A6" w:rsidP="00207D69">
      <w:pPr>
        <w:pStyle w:val="Testonotaapidipagina"/>
        <w:tabs>
          <w:tab w:val="left" w:pos="709"/>
        </w:tabs>
        <w:ind w:firstLine="709"/>
        <w:jc w:val="both"/>
      </w:pPr>
      <w:r>
        <w:t>La soluzione, oltre a rispecchiare meglio le caratteristiche unitarie dell’organo “Consiglio di Stato”, rafforza la corretta applicazione del diritto eurounitario, affidando all’organo nomofilattico il compito di dettare principi uniformi e solidi.</w:t>
      </w:r>
    </w:p>
    <w:p w:rsidR="004A28A6" w:rsidRDefault="004A28A6" w:rsidP="00207D69">
      <w:pPr>
        <w:pStyle w:val="Testonotaapidipagina"/>
        <w:tabs>
          <w:tab w:val="left" w:pos="709"/>
        </w:tabs>
        <w:ind w:firstLine="709"/>
        <w:jc w:val="both"/>
      </w:pPr>
      <w:r>
        <w:t>Nel caso in esame, al contrario, la Corte costituzionale risulta titolare di un potere vincolante, relativo alla interpretazione del parametro costituzionale di legittimità delle leggi.</w:t>
      </w:r>
    </w:p>
    <w:p w:rsidR="004A28A6" w:rsidRDefault="004A28A6" w:rsidP="00207D69">
      <w:pPr>
        <w:pStyle w:val="Testonotaapidipagina"/>
        <w:tabs>
          <w:tab w:val="left" w:pos="709"/>
        </w:tabs>
        <w:ind w:firstLine="709"/>
        <w:jc w:val="both"/>
      </w:pPr>
      <w:r>
        <w:t xml:space="preserve">E, tuttavia, se non può escludersi, a priori, la denuncia della illegittimità comunitaria di norme costituzionali, il giudice “comune” resta titolare del potere di sollecitare la stessa Corte costituzionale a verificare la correttezza del proprio indirizzo ermeneutico </w:t>
      </w:r>
    </w:p>
  </w:footnote>
  <w:footnote w:id="22">
    <w:p w:rsidR="004A28A6" w:rsidRDefault="004A28A6" w:rsidP="00207D69">
      <w:pPr>
        <w:pStyle w:val="Testonotaapidipagina"/>
        <w:tabs>
          <w:tab w:val="left" w:pos="709"/>
        </w:tabs>
        <w:ind w:firstLine="709"/>
        <w:jc w:val="both"/>
      </w:pPr>
      <w:r>
        <w:rPr>
          <w:rStyle w:val="Rimandonotaapidipagina"/>
        </w:rPr>
        <w:footnoteRef/>
      </w:r>
      <w:r>
        <w:t xml:space="preserve"> La Corte non esplicita se il rinvio, esposto nel terzo quesito, sia disposto perché ritenuto obbligatorio, o, semplicemente perché considerato </w:t>
      </w:r>
      <w:r w:rsidRPr="00F718C9">
        <w:rPr>
          <w:i/>
        </w:rPr>
        <w:t>opportuno</w:t>
      </w:r>
      <w:r>
        <w:t>, per ragioni di certezza ermeneutica generale.</w:t>
      </w:r>
    </w:p>
    <w:p w:rsidR="004A28A6" w:rsidRDefault="004A28A6" w:rsidP="00207D69">
      <w:pPr>
        <w:pStyle w:val="Testonotaapidipagina"/>
        <w:tabs>
          <w:tab w:val="left" w:pos="709"/>
        </w:tabs>
        <w:ind w:firstLine="709"/>
        <w:jc w:val="both"/>
      </w:pPr>
      <w:r>
        <w:t>Ma pare evidente che la Cassazione si sia ritenuta obbligata al rinvio.</w:t>
      </w:r>
    </w:p>
    <w:p w:rsidR="004A28A6" w:rsidRDefault="004A28A6" w:rsidP="00207D69">
      <w:pPr>
        <w:pStyle w:val="Testonotaapidipagina"/>
        <w:tabs>
          <w:tab w:val="left" w:pos="709"/>
        </w:tabs>
        <w:ind w:firstLine="709"/>
        <w:jc w:val="both"/>
      </w:pPr>
      <w:r>
        <w:t>Ciò per due motivi.</w:t>
      </w:r>
    </w:p>
    <w:p w:rsidR="004A28A6" w:rsidRDefault="004A28A6" w:rsidP="00207D69">
      <w:pPr>
        <w:pStyle w:val="Testonotaapidipagina"/>
        <w:numPr>
          <w:ilvl w:val="0"/>
          <w:numId w:val="12"/>
        </w:numPr>
        <w:tabs>
          <w:tab w:val="left" w:pos="709"/>
        </w:tabs>
        <w:ind w:left="0" w:firstLine="709"/>
        <w:jc w:val="both"/>
      </w:pPr>
      <w:r>
        <w:t>Alla luce del precedente secondo quesito, si evince che la Cassazione sia convinta che l’impugnata sentenza del Consiglio di Stato abbia, a sua volta, violato l’obbligo.</w:t>
      </w:r>
    </w:p>
    <w:p w:rsidR="004A28A6" w:rsidRDefault="004A28A6" w:rsidP="00207D69">
      <w:pPr>
        <w:pStyle w:val="Testonotaapidipagina"/>
        <w:numPr>
          <w:ilvl w:val="0"/>
          <w:numId w:val="12"/>
        </w:numPr>
        <w:tabs>
          <w:tab w:val="left" w:pos="709"/>
        </w:tabs>
        <w:ind w:left="0" w:firstLine="709"/>
        <w:jc w:val="both"/>
      </w:pPr>
      <w:r>
        <w:t>La prospettata violazione del diritto UE non è palese, ma richiede una verifica della Corte.</w:t>
      </w:r>
    </w:p>
  </w:footnote>
  <w:footnote w:id="23">
    <w:p w:rsidR="004A28A6" w:rsidRDefault="004A28A6" w:rsidP="00207D69">
      <w:pPr>
        <w:pStyle w:val="Testonotaapidipagina"/>
        <w:tabs>
          <w:tab w:val="left" w:pos="709"/>
        </w:tabs>
        <w:ind w:firstLine="709"/>
        <w:jc w:val="both"/>
      </w:pPr>
      <w:r>
        <w:rPr>
          <w:rStyle w:val="Rimandonotaapidipagina"/>
        </w:rPr>
        <w:footnoteRef/>
      </w:r>
      <w:r>
        <w:t xml:space="preserve"> Non si può escludere che la questione della legittimità costituzionale della normativa, sul ricorso per cassazione, intrepretata secondo la tesi della giurisdizione dinamica potrebbe giungere alla Corte in via incidentale.</w:t>
      </w:r>
    </w:p>
    <w:p w:rsidR="004A28A6" w:rsidRDefault="004A28A6" w:rsidP="00207D69">
      <w:pPr>
        <w:pStyle w:val="Testonotaapidipagina"/>
        <w:tabs>
          <w:tab w:val="left" w:pos="709"/>
        </w:tabs>
        <w:ind w:firstLine="709"/>
        <w:jc w:val="both"/>
      </w:pPr>
      <w:r>
        <w:t>Si tratta di un’ipotesi più problematica, in considerazione della difficile dimostrazione della rilevanza del tema in sede di rinvio, quando si è ormai consumata la fase in Cassazione.</w:t>
      </w:r>
    </w:p>
    <w:p w:rsidR="004A28A6" w:rsidRDefault="004A28A6" w:rsidP="00207D69">
      <w:pPr>
        <w:pStyle w:val="Testonotaapidipagina"/>
        <w:tabs>
          <w:tab w:val="left" w:pos="709"/>
        </w:tabs>
        <w:ind w:firstLine="709"/>
        <w:jc w:val="both"/>
      </w:pPr>
      <w:r>
        <w:t>Ma potrebbe anche ventilarsi il caso, in cui, a fronte di un indirizzo della Cassazione contrastante con la sentenza n. 6/2018, siano le parti resistenti nel giudizio davanti alla Cassazione, a sollevare esse il dubbio di legittimità costituzionale, reclamando il rispetto della lettura voluta dalla Consulta.</w:t>
      </w:r>
    </w:p>
    <w:p w:rsidR="004A28A6" w:rsidRDefault="004A28A6" w:rsidP="00207D69">
      <w:pPr>
        <w:pStyle w:val="Testonotaapidipagina"/>
        <w:tabs>
          <w:tab w:val="left" w:pos="709"/>
        </w:tabs>
        <w:ind w:firstLine="709"/>
        <w:jc w:val="both"/>
      </w:pPr>
      <w:r>
        <w:t>In tale eventualità, la Corte sarebbe costretta a rinviare la questione alla Corte costituzionale, poiché la dichiarazione eventuale di manifesta infondatezza implicherebbe davvero una elusione del doveroso controllo della Corte costituzionale sul rispetto dell’art. 111, comma ottavo.</w:t>
      </w:r>
    </w:p>
  </w:footnote>
  <w:footnote w:id="24">
    <w:p w:rsidR="004A28A6" w:rsidRDefault="004A28A6" w:rsidP="00207D69">
      <w:pPr>
        <w:pStyle w:val="Testonotaapidipagina"/>
        <w:tabs>
          <w:tab w:val="left" w:pos="709"/>
        </w:tabs>
        <w:ind w:firstLine="709"/>
        <w:jc w:val="both"/>
      </w:pPr>
      <w:r>
        <w:rPr>
          <w:rStyle w:val="Rimandonotaapidipagina"/>
        </w:rPr>
        <w:footnoteRef/>
      </w:r>
      <w:r>
        <w:t xml:space="preserve"> Vedi M.A. </w:t>
      </w:r>
      <w:r w:rsidRPr="00F84662">
        <w:rPr>
          <w:smallCaps/>
        </w:rPr>
        <w:t>Sandulli</w:t>
      </w:r>
      <w:r>
        <w:t>, op. cit., secondo la quale, la posizione della Corte costituzionale n. 6/2018 “</w:t>
      </w:r>
      <w:r w:rsidRPr="00F0469C">
        <w:rPr>
          <w:i/>
        </w:rPr>
        <w:t>ha però scatenato una reazione al “rialzo”, spingendo la Corte di cassazione a investire la Corte di Giustizia della ridefinizione del proprio ruolo di giudice ultimo di garanzia del rispetto del diritto dell’Unione da parte degli organi detentori del potere giurisdizionale nel nostro ordinamento</w:t>
      </w:r>
      <w:r>
        <w:rPr>
          <w:i/>
        </w:rPr>
        <w:t>.”</w:t>
      </w:r>
    </w:p>
  </w:footnote>
  <w:footnote w:id="25">
    <w:p w:rsidR="004A28A6" w:rsidRDefault="004A28A6" w:rsidP="00207D69">
      <w:pPr>
        <w:pStyle w:val="Testonotaapidipagina"/>
        <w:ind w:firstLine="709"/>
        <w:jc w:val="both"/>
      </w:pPr>
      <w:r>
        <w:rPr>
          <w:rStyle w:val="Rimandonotaapidipagina"/>
        </w:rPr>
        <w:footnoteRef/>
      </w:r>
      <w:r>
        <w:t xml:space="preserve"> Questo profilo sarà analizzato più diffusamente nei paragrafi successivi.</w:t>
      </w:r>
    </w:p>
    <w:p w:rsidR="004A28A6" w:rsidRDefault="004A28A6" w:rsidP="00207D69">
      <w:pPr>
        <w:pStyle w:val="Testonotaapidipagina"/>
        <w:ind w:firstLine="709"/>
        <w:jc w:val="both"/>
      </w:pPr>
    </w:p>
  </w:footnote>
  <w:footnote w:id="26">
    <w:p w:rsidR="004A28A6" w:rsidRDefault="004A28A6" w:rsidP="00207D69">
      <w:pPr>
        <w:pStyle w:val="Testonotaapidipagina"/>
        <w:tabs>
          <w:tab w:val="left" w:pos="709"/>
        </w:tabs>
        <w:ind w:firstLine="709"/>
        <w:jc w:val="both"/>
      </w:pPr>
      <w:r>
        <w:rPr>
          <w:rStyle w:val="Rimandonotaapidipagina"/>
        </w:rPr>
        <w:footnoteRef/>
      </w:r>
      <w:r>
        <w:t xml:space="preserve"> </w:t>
      </w:r>
      <w:r w:rsidRPr="00ED7CEE">
        <w:t>Nell’ipotesi in cui la CGUE dovesse esplicitamente giudicare conforme al diritto UE la normativa nazionale, la Cassazione dovrebbe dichiarare inammissibile il ricorso, non emergendo più un tema di rilevanza comunitaria</w:t>
      </w:r>
      <w:r>
        <w:t>.</w:t>
      </w:r>
    </w:p>
    <w:p w:rsidR="004A28A6" w:rsidRDefault="004A28A6" w:rsidP="00207D69">
      <w:pPr>
        <w:pStyle w:val="Testonotaapidipagina"/>
        <w:tabs>
          <w:tab w:val="left" w:pos="709"/>
        </w:tabs>
        <w:ind w:firstLine="709"/>
        <w:jc w:val="both"/>
      </w:pPr>
      <w:r>
        <w:t>Sarebbe l’esito più semplice del contenzioso in atto. Ma, francamente, il quesito generale, per come formulato (ed al netto della sua corretta aderenza alla fattispecie concreta), pare destinato ad una diversa soluzione.</w:t>
      </w:r>
    </w:p>
    <w:p w:rsidR="004A28A6" w:rsidRDefault="004A28A6" w:rsidP="00207D69">
      <w:pPr>
        <w:pStyle w:val="Testonotaapidipagina"/>
        <w:tabs>
          <w:tab w:val="left" w:pos="709"/>
        </w:tabs>
        <w:ind w:firstLine="709"/>
        <w:jc w:val="both"/>
      </w:pPr>
    </w:p>
  </w:footnote>
  <w:footnote w:id="27">
    <w:p w:rsidR="004A28A6" w:rsidRDefault="004A28A6" w:rsidP="00207D69">
      <w:pPr>
        <w:pStyle w:val="Testonotaapidipagina"/>
        <w:ind w:firstLine="709"/>
        <w:jc w:val="both"/>
      </w:pPr>
      <w:r>
        <w:rPr>
          <w:rStyle w:val="Rimandonotaapidipagina"/>
        </w:rPr>
        <w:footnoteRef/>
      </w:r>
      <w:r>
        <w:t xml:space="preserve"> Non sembra plausibile che la Cassazione, eventualmente chiamata ad approfondire il test di equivalenza ed efficacia della normativa italiana, possa concludere nel senso che l’autonomia procedurale italiana non sia rispettosa dei parametri euro unitari (vedi </w:t>
      </w:r>
      <w:r w:rsidRPr="008256BF">
        <w:rPr>
          <w:i/>
        </w:rPr>
        <w:t>infra</w:t>
      </w:r>
      <w:r>
        <w:t>).</w:t>
      </w:r>
    </w:p>
    <w:p w:rsidR="004A28A6" w:rsidRDefault="004A28A6" w:rsidP="00207D69">
      <w:pPr>
        <w:pStyle w:val="Testonotaapidipagina"/>
        <w:ind w:firstLine="709"/>
        <w:jc w:val="both"/>
      </w:pPr>
    </w:p>
  </w:footnote>
  <w:footnote w:id="28">
    <w:p w:rsidR="004A28A6" w:rsidRDefault="004A28A6" w:rsidP="00207D69">
      <w:pPr>
        <w:pStyle w:val="Testonotaapidipagina"/>
        <w:ind w:firstLine="709"/>
        <w:jc w:val="both"/>
      </w:pPr>
      <w:r>
        <w:rPr>
          <w:rStyle w:val="Rimandonotaapidipagina"/>
        </w:rPr>
        <w:footnoteRef/>
      </w:r>
      <w:r>
        <w:t xml:space="preserve"> Emerge, in tal modo, la “forzatura” compiuta dall’ordinanza in commento, forse preoccupata di dimostrare alla CGUE che si sarebbe in presenza di una violazione “sostanziale” del diritto al ricorso, previsto dall’ordinamento UE.</w:t>
      </w:r>
    </w:p>
    <w:p w:rsidR="004A28A6" w:rsidRDefault="004A28A6" w:rsidP="00207D69">
      <w:pPr>
        <w:pStyle w:val="Testonotaapidipagina"/>
        <w:ind w:firstLine="709"/>
        <w:jc w:val="both"/>
      </w:pPr>
      <w:r>
        <w:t xml:space="preserve">A stretto rigore, la Cassazione avrebbe dovuto fermarsi ai primi due quesiti. Solo se avesse ricevuto l’avallo della CGUE avrebbe potuto porsi gli ulteriori problemi applicativi. In tal senso, fra l’altro, la Cassazione avrebbe dovuto stabilire se la violazione dell’obbligo del rinvio pregiudiziale, comporti il potere della Cassazione di sostituirsi al Consiglio di Stato, mediante la diretta formulazione del quesito pregiudiziale alla CGUE o non determini, piuttosto, l’annullamento con rinvio al Consiglio di Stato, cui verrebbe restituito il potere di decidere, motivatamente, </w:t>
      </w:r>
      <w:r w:rsidRPr="0006304B">
        <w:rPr>
          <w:i/>
        </w:rPr>
        <w:t>an</w:t>
      </w:r>
      <w:r>
        <w:t xml:space="preserve"> e </w:t>
      </w:r>
      <w:r w:rsidRPr="0006304B">
        <w:rPr>
          <w:i/>
        </w:rPr>
        <w:t>quomodo</w:t>
      </w:r>
      <w:r>
        <w:t xml:space="preserve"> del rinvio pregiudiziale.</w:t>
      </w:r>
    </w:p>
    <w:p w:rsidR="004A28A6" w:rsidRPr="0006304B" w:rsidRDefault="004A28A6" w:rsidP="00207D69">
      <w:pPr>
        <w:pStyle w:val="Testonotaapidipagina"/>
        <w:ind w:firstLine="709"/>
        <w:jc w:val="both"/>
        <w:rPr>
          <w:i/>
        </w:rPr>
      </w:pPr>
    </w:p>
  </w:footnote>
  <w:footnote w:id="29">
    <w:p w:rsidR="004A28A6" w:rsidRDefault="004A28A6" w:rsidP="00207D69">
      <w:pPr>
        <w:pStyle w:val="Testonotaapidipagina"/>
        <w:tabs>
          <w:tab w:val="left" w:pos="709"/>
        </w:tabs>
        <w:ind w:firstLine="709"/>
        <w:jc w:val="both"/>
      </w:pPr>
      <w:r>
        <w:rPr>
          <w:rStyle w:val="Rimandonotaapidipagina"/>
        </w:rPr>
        <w:footnoteRef/>
      </w:r>
      <w:r>
        <w:t xml:space="preserve"> Non va trascurato che se la CGUE mantenesse fermo il principio della sostanziale insindacabilità della legittimazione del giudice a comune a sollevare la questione pregiudiziale, secondo il diritto interno, la Cassazione, in futuro, potrebbe essere tentata – in punto di fatto – ad effettuare comunque il rinvio, magari allo scopo di vagliare la sussistenza del paventato vizio e dell’illecito ex lege n. 117/1988.</w:t>
      </w:r>
    </w:p>
    <w:p w:rsidR="004A28A6" w:rsidRDefault="004A28A6" w:rsidP="00207D69">
      <w:pPr>
        <w:pStyle w:val="Testonotaapidipagina"/>
        <w:tabs>
          <w:tab w:val="left" w:pos="709"/>
        </w:tabs>
        <w:ind w:firstLine="709"/>
        <w:jc w:val="both"/>
      </w:pPr>
      <w:r>
        <w:t>Ma si tratterebbe di una patologia, che potrebbe essere stigmatizzata davanti alla Corte costituzionale e, obiettivamente, poco probabile.</w:t>
      </w:r>
    </w:p>
    <w:p w:rsidR="004A28A6" w:rsidRDefault="004A28A6" w:rsidP="00207D69">
      <w:pPr>
        <w:pStyle w:val="Testonotaapidipagina"/>
        <w:tabs>
          <w:tab w:val="left" w:pos="709"/>
        </w:tabs>
        <w:ind w:firstLine="709"/>
        <w:jc w:val="both"/>
      </w:pPr>
    </w:p>
  </w:footnote>
  <w:footnote w:id="30">
    <w:p w:rsidR="004A28A6" w:rsidRDefault="004A28A6" w:rsidP="00207D69">
      <w:pPr>
        <w:pStyle w:val="Testonotaapidipagina"/>
        <w:ind w:firstLine="709"/>
        <w:jc w:val="both"/>
      </w:pPr>
      <w:r>
        <w:rPr>
          <w:rStyle w:val="Rimandonotaapidipagina"/>
        </w:rPr>
        <w:footnoteRef/>
      </w:r>
      <w:r>
        <w:t xml:space="preserve"> TRAVI, op. cit.</w:t>
      </w:r>
    </w:p>
  </w:footnote>
  <w:footnote w:id="31">
    <w:p w:rsidR="004A28A6" w:rsidRDefault="004A28A6" w:rsidP="00207D69">
      <w:pPr>
        <w:pStyle w:val="Testonotaapidipagina"/>
        <w:ind w:firstLine="709"/>
        <w:jc w:val="both"/>
      </w:pPr>
      <w:r>
        <w:rPr>
          <w:rStyle w:val="Rimandonotaapidipagina"/>
        </w:rPr>
        <w:footnoteRef/>
      </w:r>
      <w:r>
        <w:t xml:space="preserve"> Le statistiche indicano che il Consiglio di Stato italiano è, in Europa, l’organo giurisdizionale che compie il maggior numero di rinvii pregiudiziali. E il dato è particolarmente significativo, considerando il rapporto con il numero dei ricorsi esaminati annualmente.</w:t>
      </w:r>
    </w:p>
    <w:p w:rsidR="004A28A6" w:rsidRDefault="004A28A6" w:rsidP="00207D69">
      <w:pPr>
        <w:pStyle w:val="Testonotaapidipagina"/>
        <w:ind w:firstLine="709"/>
        <w:jc w:val="both"/>
      </w:pPr>
    </w:p>
  </w:footnote>
  <w:footnote w:id="32">
    <w:p w:rsidR="004A28A6" w:rsidRDefault="004A28A6" w:rsidP="00207D69">
      <w:pPr>
        <w:pStyle w:val="Testonotaapidipagina"/>
        <w:ind w:firstLine="709"/>
        <w:jc w:val="both"/>
      </w:pPr>
      <w:r>
        <w:rPr>
          <w:rStyle w:val="Rimandonotaapidipagina"/>
        </w:rPr>
        <w:footnoteRef/>
      </w:r>
      <w:r>
        <w:t xml:space="preserve"> La posizione istituzionale del Consiglio di Stato, favorevole all’incremento delle occasioni di dialogo, non può impedire in via assoluta che, in casi concreti, le decisioni possano risultare contrastanti con il diritto europeo.</w:t>
      </w:r>
    </w:p>
    <w:p w:rsidR="004A28A6" w:rsidRDefault="004A28A6" w:rsidP="00207D69">
      <w:pPr>
        <w:pStyle w:val="Testonotaapidipagina"/>
        <w:ind w:firstLine="709"/>
        <w:jc w:val="both"/>
      </w:pPr>
      <w:r>
        <w:t>E, tuttavia, non risultano, al momento, decisioni che abbiano accertato la violazione del diritto UE, ai sensi della legge n. 1117/1988. Né si conoscono procedure di infrazione originate dalla asserito illegittimo esercizio della funzione giurisdizionale da parte del Consiglio di Stato.</w:t>
      </w:r>
    </w:p>
    <w:p w:rsidR="004A28A6" w:rsidRDefault="004A28A6" w:rsidP="00207D69">
      <w:pPr>
        <w:pStyle w:val="Testonotaapidipagina"/>
        <w:ind w:firstLine="709"/>
        <w:jc w:val="both"/>
      </w:pPr>
    </w:p>
  </w:footnote>
  <w:footnote w:id="33">
    <w:p w:rsidR="004A28A6" w:rsidRDefault="004A28A6" w:rsidP="00207D69">
      <w:pPr>
        <w:pStyle w:val="Testonotaapidipagina"/>
        <w:ind w:firstLine="709"/>
        <w:jc w:val="both"/>
      </w:pPr>
      <w:r>
        <w:rPr>
          <w:rStyle w:val="Rimandonotaapidipagina"/>
        </w:rPr>
        <w:footnoteRef/>
      </w:r>
      <w:r>
        <w:t xml:space="preserve"> Ci si potrebbe chiedere se la formulazione di “principi di diritto” ad opera della Plenaria, o anche il semplice consolidarsi di prassi interpretative, possano configurarsi come “produzione di norme”, in senso molto lato.</w:t>
      </w:r>
    </w:p>
    <w:p w:rsidR="004A28A6" w:rsidRDefault="004A28A6" w:rsidP="00207D69">
      <w:pPr>
        <w:pStyle w:val="Testonotaapidipagina"/>
        <w:ind w:firstLine="709"/>
        <w:jc w:val="both"/>
      </w:pPr>
      <w:r>
        <w:t>In tali eventualità, però, l’eventuale contrasto con il diritto dell’Unione europea potrebbe derivare dal contenuto della decisione e non già dalla sua efficacia ex art. 99 del CPA.</w:t>
      </w:r>
    </w:p>
  </w:footnote>
  <w:footnote w:id="34">
    <w:p w:rsidR="004A28A6" w:rsidRDefault="004A28A6" w:rsidP="00207D69">
      <w:pPr>
        <w:pStyle w:val="Testonotaapidipagina"/>
        <w:ind w:firstLine="709"/>
        <w:jc w:val="both"/>
      </w:pPr>
      <w:r>
        <w:rPr>
          <w:rStyle w:val="Rimandonotaapidipagina"/>
        </w:rPr>
        <w:footnoteRef/>
      </w:r>
      <w:r>
        <w:t xml:space="preserve"> Art. 99, co. 3 del C.P.A: “</w:t>
      </w:r>
      <w:r w:rsidRPr="00E215CA">
        <w:rPr>
          <w:i/>
        </w:rPr>
        <w:t>Se la sezione cui è assegnato il ricorso ritiene di non condividere un principio di diritto enunciato dall'adunanza plenaria, rimette a quest'ultima, con ordinanza motivata, la decisione del ricorso.</w:t>
      </w:r>
      <w:r>
        <w:t>”</w:t>
      </w:r>
    </w:p>
  </w:footnote>
  <w:footnote w:id="35">
    <w:p w:rsidR="004A28A6" w:rsidRDefault="004A28A6" w:rsidP="00207D69">
      <w:pPr>
        <w:pStyle w:val="Testonotaapidipagina"/>
        <w:ind w:firstLine="709"/>
        <w:jc w:val="both"/>
      </w:pPr>
      <w:r>
        <w:rPr>
          <w:rStyle w:val="Rimandonotaapidipagina"/>
        </w:rPr>
        <w:footnoteRef/>
      </w:r>
      <w:r>
        <w:t xml:space="preserve"> Non è questa la sede per affrontare il problema se il meccanismo del vincolo procedimentale stabilito dalla disposizione determini una limitazione del potere di decisione del giudice. </w:t>
      </w:r>
    </w:p>
  </w:footnote>
  <w:footnote w:id="36">
    <w:p w:rsidR="004A28A6" w:rsidRDefault="004A28A6" w:rsidP="00645AD7">
      <w:pPr>
        <w:pStyle w:val="Testonotaapidipagina"/>
        <w:ind w:firstLine="709"/>
        <w:jc w:val="both"/>
      </w:pPr>
      <w:r>
        <w:rPr>
          <w:rStyle w:val="Rimandonotaapidipagina"/>
        </w:rPr>
        <w:footnoteRef/>
      </w:r>
      <w:r>
        <w:t xml:space="preserve"> </w:t>
      </w:r>
      <w:r w:rsidRPr="00645AD7">
        <w:t>Direttiva 89/665/CEE del Consiglio, del 21 dicembre 1989, che coordina le disposizioni legislative, regolamentari e amministrative relative all’applicazione delle procedure di ricorso in materia di aggiudicazione degli appalti pubblici di forniture e di lavori (GU 1989, L 395, pag. 33), come modificata dalla direttiva 2007/66/CE del Parlamento europeo e del Consiglio, dell’11 dicembre 2007</w:t>
      </w:r>
      <w:r>
        <w:t>.</w:t>
      </w:r>
    </w:p>
  </w:footnote>
  <w:footnote w:id="37">
    <w:p w:rsidR="004A28A6" w:rsidRDefault="004A28A6" w:rsidP="00FA140C">
      <w:pPr>
        <w:pStyle w:val="Testonotaapidipagina"/>
        <w:ind w:firstLine="709"/>
      </w:pPr>
      <w:r>
        <w:rPr>
          <w:rStyle w:val="Rimandonotaapidipagina"/>
        </w:rPr>
        <w:footnoteRef/>
      </w:r>
      <w:r>
        <w:t xml:space="preserve"> Si potrebbe replicare che un grado ulteriore </w:t>
      </w:r>
      <w:r w:rsidRPr="00FA140C">
        <w:rPr>
          <w:i/>
        </w:rPr>
        <w:t>aumenti</w:t>
      </w:r>
      <w:r>
        <w:t xml:space="preserve"> il livello di tutela del diritto UE e quindi, l’autonomia procedurale potrebbe liberamente esercitarsi in tale direzione. Ma il terzo grado potrebbe essere utilizzato proprio dalla parte che intenda rallentare la rapida operatività del diritto UE, </w:t>
      </w:r>
      <w:r w:rsidRPr="00FA140C">
        <w:rPr>
          <w:i/>
        </w:rPr>
        <w:t>diminuendo</w:t>
      </w:r>
      <w:r>
        <w:t xml:space="preserve"> l’efficacia della tutela giurisdizionale,</w:t>
      </w:r>
    </w:p>
  </w:footnote>
  <w:footnote w:id="38">
    <w:p w:rsidR="004A28A6" w:rsidRDefault="004A28A6" w:rsidP="00207D69">
      <w:pPr>
        <w:pStyle w:val="Testonotaapidipagina"/>
        <w:tabs>
          <w:tab w:val="left" w:pos="709"/>
        </w:tabs>
        <w:ind w:firstLine="709"/>
        <w:jc w:val="both"/>
      </w:pPr>
      <w:r>
        <w:rPr>
          <w:rStyle w:val="Rimandonotaapidipagina"/>
        </w:rPr>
        <w:footnoteRef/>
      </w:r>
      <w:r>
        <w:t xml:space="preserve"> La Cassazione richiama anche la stessa giurisprudenza della Corte costituzionale, la quale </w:t>
      </w:r>
      <w:r w:rsidRPr="00E57664">
        <w:t>con s</w:t>
      </w:r>
      <w:r>
        <w:t>ent. n. 93 del 2018, è pervenuta</w:t>
      </w:r>
      <w:r w:rsidRPr="00E57664">
        <w:t xml:space="preserve"> a conclusioni di tenore analogo a quelle raggiunte nella già citata sent. n. 123 del 2017, dichiarando infondata la questione di costituzionalità degli artt. 395 e 396 cod. proc. civ., nella parte in cui non prevedono tra i casi di revocazione </w:t>
      </w:r>
      <w:r>
        <w:t xml:space="preserve">della decisione del giudice amministrativo, </w:t>
      </w:r>
      <w:r w:rsidRPr="00E57664">
        <w:t>quello in cui essa si renda necessaria per consentire il riesame nel merito della sentenza impugnata per la necessità di uniformarsi a statuizioni vincolanti rese, in quel caso, dalla Corte europea dei diritti dell’uomo.</w:t>
      </w:r>
    </w:p>
  </w:footnote>
  <w:footnote w:id="39">
    <w:p w:rsidR="004A28A6" w:rsidRPr="001007AD" w:rsidRDefault="004A28A6" w:rsidP="00207D69">
      <w:pPr>
        <w:pStyle w:val="Testonotaapidipagina"/>
        <w:tabs>
          <w:tab w:val="left" w:pos="709"/>
        </w:tabs>
        <w:ind w:firstLine="709"/>
        <w:jc w:val="both"/>
        <w:rPr>
          <w:i/>
        </w:rPr>
      </w:pPr>
      <w:r>
        <w:rPr>
          <w:rStyle w:val="Rimandonotaapidipagina"/>
        </w:rPr>
        <w:footnoteRef/>
      </w:r>
      <w:r>
        <w:t xml:space="preserve"> Un’analisi accurata del problema è svolta da </w:t>
      </w:r>
      <w:r w:rsidRPr="00B208E4">
        <w:rPr>
          <w:smallCaps/>
        </w:rPr>
        <w:t>Tropea</w:t>
      </w:r>
      <w:r>
        <w:t>, op cit., il quale rileva che “</w:t>
      </w:r>
      <w:r w:rsidRPr="001007AD">
        <w:rPr>
          <w:i/>
        </w:rPr>
        <w:t>pare molto dubbio sostenere, come fanno le Sezioni unite, che il Consiglio di Stato abbia esercitato un potere giurisdizionale di cui sarebbe privo «per avere compiuto un’attività di diretta produzione normativa non consentita nemmeno al legislatore nazionale – censurabile per cassazione con motivo inerente alla giurisdizione».</w:t>
      </w:r>
    </w:p>
    <w:p w:rsidR="004A28A6" w:rsidRDefault="004A28A6" w:rsidP="00207D69">
      <w:pPr>
        <w:pStyle w:val="Testonotaapidipagina"/>
        <w:tabs>
          <w:tab w:val="left" w:pos="709"/>
        </w:tabs>
        <w:ind w:firstLine="709"/>
        <w:jc w:val="both"/>
      </w:pPr>
      <w:r w:rsidRPr="001007AD">
        <w:rPr>
          <w:i/>
        </w:rPr>
        <w:t>Il giudice amministrativo nostrano si è limitato, invece, proprio a dare una corretta interpretazione della norma europea vigente, mentre l’attività veramente creativa, sia in punto di individuazione delle posizioni legittimanti, che di (ri)perimetrazione della nozione di “motivi inerenti alla giurisdizione”, appare quella compiuta dalla Cassazione.</w:t>
      </w:r>
      <w:r>
        <w:t>”</w:t>
      </w:r>
    </w:p>
  </w:footnote>
  <w:footnote w:id="40">
    <w:p w:rsidR="004A28A6" w:rsidRDefault="004A28A6" w:rsidP="00207D69">
      <w:pPr>
        <w:pStyle w:val="Testonotaapidipagina"/>
        <w:ind w:firstLine="709"/>
        <w:jc w:val="both"/>
      </w:pPr>
      <w:r>
        <w:rPr>
          <w:rStyle w:val="Rimandonotaapidipagina"/>
        </w:rPr>
        <w:footnoteRef/>
      </w:r>
      <w:r>
        <w:t xml:space="preserve"> Alla Corte, semmai, qualcuno ha rimproverato l’eccessiva rigidità del principio espresso, che non consentirebbe alcuna modulazione in funzione delle peculiarità di determinate ipotesi.</w:t>
      </w:r>
    </w:p>
  </w:footnote>
  <w:footnote w:id="41">
    <w:p w:rsidR="004A28A6" w:rsidRDefault="004A28A6" w:rsidP="00207D69">
      <w:pPr>
        <w:pStyle w:val="Testonotaapidipagina"/>
        <w:tabs>
          <w:tab w:val="left" w:pos="709"/>
        </w:tabs>
        <w:ind w:firstLine="709"/>
        <w:jc w:val="both"/>
      </w:pPr>
      <w:r>
        <w:rPr>
          <w:rStyle w:val="Rimandonotaapidipagina"/>
        </w:rPr>
        <w:footnoteRef/>
      </w:r>
      <w:r>
        <w:t xml:space="preserve"> Già la sentenza n. 2242 del 6 febbraio 2015, citata nell’ordinanza di remissione alla CGUE, aveva fatto leva sull’argomento della prevenzione della responsabilità patrimoniale dello Stato, asserendo che vada cassata la sentenza del Consiglio di Stato a seguito di una sopravvenuta giurisprudenza della CGUE “</w:t>
      </w:r>
      <w:r w:rsidRPr="00024971">
        <w:rPr>
          <w:i/>
        </w:rPr>
        <w:t>al fine di "impedire, anche nell'interesse pubblico, che il provvedimento giudiziario, una volta divenuto definitivo, esplichi i suoi effetti in contrasto con il diritto comunitario, così come interpretato dalla Corte di giustizia, con grave nocumento per l'ordinamento europeo e nazionale e con palese violazione del principio secondo cui l'attività di tutti gli organi degli Stati membri deve conformarsi alla normativa comunitaria. In altri termini, la Cassazione, che deve decidere di un motivo di difetto di giurisdizione, applica, nel momento in cui decide, la regola che risulta dalla giurisprudenza della Corte di giustizia e, se riscontra che la regola applicata dal Consiglio di Stato è diversa, cassa la decisione impugnata</w:t>
      </w:r>
      <w:r>
        <w:t>”.</w:t>
      </w:r>
    </w:p>
  </w:footnote>
  <w:footnote w:id="42">
    <w:p w:rsidR="004A28A6" w:rsidRDefault="004A28A6" w:rsidP="00207D69">
      <w:pPr>
        <w:pStyle w:val="Testonotaapidipagina"/>
        <w:tabs>
          <w:tab w:val="left" w:pos="709"/>
        </w:tabs>
        <w:ind w:firstLine="709"/>
        <w:jc w:val="both"/>
      </w:pPr>
      <w:r>
        <w:rPr>
          <w:rStyle w:val="Rimandonotaapidipagina"/>
        </w:rPr>
        <w:footnoteRef/>
      </w:r>
      <w:r>
        <w:t xml:space="preserve"> Senza sottovalutare il problema per così dire economico, si deve però ricordare che, proprio nella vicenda considerata dalla Cassazione si è in presenza di un interesse “strumentale”, la cui traduzione in termini di lesione patrimoniale concreta, è del tutto eventuale ed ipotetica.</w:t>
      </w:r>
    </w:p>
    <w:p w:rsidR="004A28A6" w:rsidRDefault="004A28A6" w:rsidP="00207D69">
      <w:pPr>
        <w:pStyle w:val="Testonotaapidipagina"/>
        <w:tabs>
          <w:tab w:val="left" w:pos="709"/>
        </w:tabs>
        <w:ind w:firstLine="709"/>
        <w:jc w:val="both"/>
      </w:pPr>
      <w:r>
        <w:t>Infatti, l’eventuale cassazione con rinvio della decisione lascerebbe aperti una serie di problemi applicativi in rito, che potrebbero comunque condurre ad un esito processuale della controversia. In ogni caso, la legittimità, nel merito, degli atti della procedura di gara contestata è tutta da verificare.</w:t>
      </w:r>
    </w:p>
    <w:p w:rsidR="004A28A6" w:rsidRDefault="004A28A6" w:rsidP="00207D69">
      <w:pPr>
        <w:pStyle w:val="Testonotaapidipagina"/>
        <w:tabs>
          <w:tab w:val="left" w:pos="709"/>
        </w:tabs>
        <w:ind w:firstLine="709"/>
        <w:jc w:val="both"/>
      </w:pPr>
      <w:r>
        <w:t>Dunque, in caso di inammissibilità del ricorso per cassazione, l’eventuale azione risarcitoria proposta dall’interessato si appunterebbe sulla lesone di una chance, la cui ricorrenza in concreto dovrebbe però essere dimostrata in giudizio.</w:t>
      </w:r>
    </w:p>
    <w:p w:rsidR="004A28A6" w:rsidRDefault="004A28A6" w:rsidP="00207D69">
      <w:pPr>
        <w:pStyle w:val="Testonotaapidipagina"/>
        <w:tabs>
          <w:tab w:val="left" w:pos="709"/>
        </w:tabs>
        <w:ind w:firstLine="709"/>
        <w:jc w:val="both"/>
      </w:pPr>
    </w:p>
  </w:footnote>
  <w:footnote w:id="43">
    <w:p w:rsidR="004A28A6" w:rsidRPr="009A7452" w:rsidRDefault="004A28A6" w:rsidP="00207D69">
      <w:pPr>
        <w:pStyle w:val="Testonotaapidipagina"/>
        <w:ind w:firstLine="709"/>
        <w:jc w:val="both"/>
      </w:pPr>
      <w:r>
        <w:rPr>
          <w:rStyle w:val="Rimandonotaapidipagina"/>
        </w:rPr>
        <w:footnoteRef/>
      </w:r>
      <w:r>
        <w:t xml:space="preserve"> Corte di giustizia, sentenza del 30 settembre 2003, causa C-224/01, </w:t>
      </w:r>
      <w:r w:rsidRPr="009A7452">
        <w:rPr>
          <w:i/>
        </w:rPr>
        <w:t>Köbler c. Austria</w:t>
      </w:r>
      <w:r>
        <w:t xml:space="preserve">; Corte di giustizia, sentenza del 13 giugno 2006, causa C-173/03, </w:t>
      </w:r>
      <w:r w:rsidRPr="009A7452">
        <w:rPr>
          <w:i/>
        </w:rPr>
        <w:t>Traghetti del Mediterraneo</w:t>
      </w:r>
      <w:r>
        <w:t>.</w:t>
      </w:r>
    </w:p>
  </w:footnote>
  <w:footnote w:id="44">
    <w:p w:rsidR="004A28A6" w:rsidRDefault="004A28A6" w:rsidP="00207D69">
      <w:pPr>
        <w:pStyle w:val="Testonotaapidipagina"/>
        <w:tabs>
          <w:tab w:val="left" w:pos="709"/>
        </w:tabs>
        <w:ind w:firstLine="709"/>
        <w:jc w:val="both"/>
      </w:pPr>
      <w:r>
        <w:rPr>
          <w:rStyle w:val="Rimandonotaapidipagina"/>
        </w:rPr>
        <w:footnoteRef/>
      </w:r>
      <w:r>
        <w:t xml:space="preserve"> In una prospettiva di più largo respiro, ci si potrebbe chiedere se la reazione alla violazione del diritto UE non possa essere allora attuata mediante l’ampliamento di altri strumenti processuali, quali, per ipotesi, </w:t>
      </w:r>
      <w:r w:rsidRPr="00CF70BC">
        <w:t xml:space="preserve">il giudizio di ottemperanza (che ora, secondo il codice, può essere azionato anche dall’amministrazione soccombente), o mediante la proposizione di un autonomo </w:t>
      </w:r>
      <w:r>
        <w:t>giudizio di accertamento.</w:t>
      </w:r>
    </w:p>
    <w:p w:rsidR="004A28A6" w:rsidRDefault="004A28A6" w:rsidP="00207D69">
      <w:pPr>
        <w:pStyle w:val="Testonotaapidipagina"/>
        <w:tabs>
          <w:tab w:val="left" w:pos="709"/>
        </w:tabs>
        <w:ind w:firstLine="709"/>
        <w:jc w:val="both"/>
      </w:pPr>
      <w:r>
        <w:t>Sono palesi i limiti strutturali attuali di tali mezzi, ma questo non significa affatto che la dilatazione del sindacato della Cassazione costituisca necessariamente la via obbligata.</w:t>
      </w:r>
    </w:p>
  </w:footnote>
  <w:footnote w:id="45">
    <w:p w:rsidR="004A28A6" w:rsidRDefault="004A28A6" w:rsidP="00207D69">
      <w:pPr>
        <w:pStyle w:val="Testonotaapidipagina"/>
        <w:ind w:firstLine="709"/>
        <w:jc w:val="both"/>
      </w:pPr>
      <w:r>
        <w:rPr>
          <w:rStyle w:val="Rimandonotaapidipagina"/>
        </w:rPr>
        <w:footnoteRef/>
      </w:r>
      <w:r>
        <w:t xml:space="preserve"> Resta però da chiedersi in quali casi si potrebbe isolare il “rifiuto di giurisdizione” dalla decisione di merito o processuale.</w:t>
      </w:r>
    </w:p>
    <w:p w:rsidR="004A28A6" w:rsidRDefault="004A28A6" w:rsidP="00207D69">
      <w:pPr>
        <w:pStyle w:val="Testonotaapidipagina"/>
        <w:ind w:firstLine="709"/>
        <w:jc w:val="both"/>
      </w:pPr>
    </w:p>
  </w:footnote>
  <w:footnote w:id="46">
    <w:p w:rsidR="004A28A6" w:rsidRDefault="004A28A6" w:rsidP="00207D69">
      <w:pPr>
        <w:pStyle w:val="Testonotaapidipagina"/>
        <w:ind w:firstLine="709"/>
        <w:jc w:val="both"/>
      </w:pPr>
      <w:r>
        <w:rPr>
          <w:rStyle w:val="Rimandonotaapidipagina"/>
        </w:rPr>
        <w:footnoteRef/>
      </w:r>
      <w:r>
        <w:t xml:space="preserve"> Anche volendo ritenere per ipotesi che, oggi, la Cassazione sia davvero più </w:t>
      </w:r>
      <w:r w:rsidRPr="004D25AB">
        <w:rPr>
          <w:i/>
        </w:rPr>
        <w:t>filo-europea</w:t>
      </w:r>
      <w:r>
        <w:t xml:space="preserve"> del Consiglio di Stato, chi garantisce che, domani, non possa accadere il contrario?</w:t>
      </w:r>
    </w:p>
    <w:p w:rsidR="004A28A6" w:rsidRDefault="004A28A6" w:rsidP="00207D69">
      <w:pPr>
        <w:pStyle w:val="Testonotaapidipagina"/>
        <w:ind w:firstLine="709"/>
        <w:jc w:val="both"/>
      </w:pPr>
    </w:p>
  </w:footnote>
  <w:footnote w:id="47">
    <w:p w:rsidR="004A28A6" w:rsidRDefault="004A28A6" w:rsidP="00207D69">
      <w:pPr>
        <w:pStyle w:val="Testonotaapidipagina"/>
        <w:tabs>
          <w:tab w:val="left" w:pos="709"/>
        </w:tabs>
        <w:ind w:firstLine="709"/>
        <w:jc w:val="both"/>
      </w:pPr>
      <w:r>
        <w:rPr>
          <w:rStyle w:val="Rimandonotaapidipagina"/>
        </w:rPr>
        <w:footnoteRef/>
      </w:r>
      <w:r>
        <w:t xml:space="preserve"> Senza voler semplificare un discorso di stampo, per così dire “culturale” molto delicato, non è possibile stabilire se il Consiglio di Stato sia più o meno filoeuropeista di quanto non lo sia la Cassazione.</w:t>
      </w:r>
    </w:p>
  </w:footnote>
  <w:footnote w:id="48">
    <w:p w:rsidR="004A28A6" w:rsidRDefault="004A28A6" w:rsidP="00207D69">
      <w:pPr>
        <w:pStyle w:val="Testonotaapidipagina"/>
        <w:ind w:firstLine="709"/>
        <w:jc w:val="both"/>
      </w:pPr>
      <w:r>
        <w:rPr>
          <w:rStyle w:val="Rimandonotaapidipagina"/>
        </w:rPr>
        <w:footnoteRef/>
      </w:r>
      <w:r>
        <w:t xml:space="preserve"> Ovviamente, il problema sarebbe superato qualora si optasse per una soluzione costituzionale incentrata sulla giurisdizione unica o sulla estensione del ricorso per cassazione avverso le decisioni del Consiglio di Stato a tutte le ipotesi di violazione di legge, nazionale, od europea.</w:t>
      </w:r>
    </w:p>
    <w:p w:rsidR="004A28A6" w:rsidRDefault="004A28A6" w:rsidP="00207D69">
      <w:pPr>
        <w:pStyle w:val="Testonotaapidipagina"/>
        <w:ind w:firstLine="709"/>
        <w:jc w:val="both"/>
      </w:pPr>
    </w:p>
  </w:footnote>
  <w:footnote w:id="49">
    <w:p w:rsidR="004A28A6" w:rsidRDefault="004A28A6" w:rsidP="00207D69">
      <w:pPr>
        <w:pStyle w:val="Testonotaapidipagina"/>
        <w:tabs>
          <w:tab w:val="left" w:pos="709"/>
        </w:tabs>
        <w:ind w:firstLine="709"/>
        <w:jc w:val="both"/>
      </w:pPr>
      <w:r>
        <w:rPr>
          <w:rStyle w:val="Rimandonotaapidipagina"/>
        </w:rPr>
        <w:footnoteRef/>
      </w:r>
      <w:r>
        <w:t xml:space="preserve"> </w:t>
      </w:r>
      <w:r w:rsidRPr="00E35570">
        <w:rPr>
          <w:smallCaps/>
        </w:rPr>
        <w:t>Travi</w:t>
      </w:r>
      <w:r>
        <w:t>, op. cit.</w:t>
      </w:r>
    </w:p>
  </w:footnote>
  <w:footnote w:id="50">
    <w:p w:rsidR="004A28A6" w:rsidRDefault="004A28A6" w:rsidP="00207D69">
      <w:pPr>
        <w:pStyle w:val="Testonotaapidipagina"/>
        <w:tabs>
          <w:tab w:val="left" w:pos="709"/>
        </w:tabs>
        <w:ind w:firstLine="709"/>
        <w:jc w:val="both"/>
      </w:pPr>
      <w:r>
        <w:rPr>
          <w:rStyle w:val="Rimandonotaapidipagina"/>
        </w:rPr>
        <w:footnoteRef/>
      </w:r>
      <w:r>
        <w:t xml:space="preserve"> Uno spunto importante al riguardo è fornito proprio dalla decisione Puligienica, che ha chiarito come il meccanismo previsto dall'articolo 99 del CPA, inteso ad assicurare la funzione nomofilattica dell’Adunanza Plenaria non può impedire alle Sezioni semplici di procedere direttamente all’applicazione del diritto europeo o al rinvio pregiudiziale.</w:t>
      </w:r>
    </w:p>
    <w:p w:rsidR="004A28A6" w:rsidRDefault="004A28A6" w:rsidP="00207D69">
      <w:pPr>
        <w:pStyle w:val="Testonotaapidipagina"/>
        <w:tabs>
          <w:tab w:val="left" w:pos="709"/>
        </w:tabs>
        <w:ind w:firstLine="709"/>
        <w:jc w:val="both"/>
      </w:pPr>
      <w:r>
        <w:t>La pronuncia non ha forse colto con esattezza il rapporto interno tra le sezioni semplici e la Plenaria, ma è chiaro lo sfavore per ordinamenti caratterizzati da un controllo accentrato sulla corretta applicazione del diritto europeo.</w:t>
      </w:r>
    </w:p>
    <w:p w:rsidR="004A28A6" w:rsidRDefault="004A28A6" w:rsidP="00207D69">
      <w:pPr>
        <w:pStyle w:val="Testonotaapidipagina"/>
        <w:tabs>
          <w:tab w:val="left" w:pos="709"/>
        </w:tabs>
        <w:ind w:firstLine="709"/>
        <w:jc w:val="both"/>
      </w:pPr>
    </w:p>
  </w:footnote>
  <w:footnote w:id="51">
    <w:p w:rsidR="004A28A6" w:rsidRDefault="004A28A6" w:rsidP="00207D69">
      <w:pPr>
        <w:pStyle w:val="Testonotaapidipagina"/>
        <w:tabs>
          <w:tab w:val="left" w:pos="709"/>
        </w:tabs>
        <w:ind w:firstLine="709"/>
        <w:jc w:val="both"/>
        <w:rPr>
          <w:i/>
        </w:rPr>
      </w:pPr>
      <w:r>
        <w:rPr>
          <w:rStyle w:val="Rimandonotaapidipagina"/>
        </w:rPr>
        <w:footnoteRef/>
      </w:r>
      <w:r>
        <w:t xml:space="preserve"> Per un’illustrazione della disciplina convenzionale e dei progetti di legge di ratifica, sia consentito rinviare al commento di </w:t>
      </w:r>
      <w:r w:rsidRPr="00E1616E">
        <w:rPr>
          <w:smallCaps/>
        </w:rPr>
        <w:t>Lipari M</w:t>
      </w:r>
      <w:r>
        <w:t xml:space="preserve">., </w:t>
      </w:r>
      <w:r w:rsidRPr="00537F74">
        <w:rPr>
          <w:i/>
        </w:rPr>
        <w:t>Il rinvio pregiudiziale previsto dal Protocollo n. 16 annesso alla Convenzione Europea dei Diritti dell'Uomo</w:t>
      </w:r>
      <w:r>
        <w:t xml:space="preserve">, in </w:t>
      </w:r>
      <w:r w:rsidRPr="00537F74">
        <w:rPr>
          <w:i/>
        </w:rPr>
        <w:t>Federalismi.it</w:t>
      </w:r>
      <w:r>
        <w:rPr>
          <w:i/>
        </w:rPr>
        <w:t>.</w:t>
      </w:r>
    </w:p>
    <w:p w:rsidR="004A28A6" w:rsidRDefault="004A28A6" w:rsidP="00207D69">
      <w:pPr>
        <w:pStyle w:val="Testonotaapidipagina"/>
        <w:tabs>
          <w:tab w:val="left" w:pos="709"/>
        </w:tabs>
        <w:ind w:firstLine="709"/>
        <w:jc w:val="both"/>
      </w:pPr>
    </w:p>
  </w:footnote>
  <w:footnote w:id="52">
    <w:p w:rsidR="004A28A6" w:rsidRDefault="004A28A6" w:rsidP="00207D69">
      <w:pPr>
        <w:pStyle w:val="Testonotaapidipagina"/>
        <w:ind w:firstLine="709"/>
        <w:jc w:val="both"/>
      </w:pPr>
      <w:r>
        <w:rPr>
          <w:rStyle w:val="Rimandonotaapidipagina"/>
        </w:rPr>
        <w:footnoteRef/>
      </w:r>
      <w:r>
        <w:t xml:space="preserve"> Il DDL governativo concerne</w:t>
      </w:r>
      <w:r w:rsidRPr="003619CF">
        <w:t xml:space="preserve"> la “Ratifica ed esecuzione dei seguenti protocolli: a) Protocollo n. 15 recante emendamento alla Convenzione per la salvaguardia dei diritti dell’uomo e delle libertà fondame</w:t>
      </w:r>
      <w:r>
        <w:t>ntali, fatto a Strasburgo il 24</w:t>
      </w:r>
      <w:r w:rsidRPr="003619CF">
        <w:t xml:space="preserve"> giugno 2013; b) Protocollo n. 16 recante emendamento alla Convenzione per la salvaguardia dei diritti dell’uomo e delle libertà fondamentali, fatto a Strasburgo il 2 ottobre 2013”</w:t>
      </w:r>
      <w:r>
        <w:t>.</w:t>
      </w:r>
    </w:p>
  </w:footnote>
  <w:footnote w:id="53">
    <w:p w:rsidR="004A28A6" w:rsidRDefault="004A28A6" w:rsidP="00207D69">
      <w:pPr>
        <w:pStyle w:val="Testonotaapidipagina"/>
        <w:ind w:firstLine="709"/>
        <w:jc w:val="both"/>
      </w:pPr>
      <w:r>
        <w:rPr>
          <w:rStyle w:val="Rimandonotaapidipagina"/>
        </w:rPr>
        <w:footnoteRef/>
      </w:r>
      <w:r>
        <w:t xml:space="preserve"> </w:t>
      </w:r>
      <w:r w:rsidRPr="00D7273F">
        <w:t>La Corte di cassazione ha costantemente escluso che anche la propugnata lettura “evolutiva” della nozione di “giurisdizione” possa legittimare l’attrazione al suo sindacato del mancato esercizio di detto obbligo di rinvio (sentenza n. 6605 del 2015, cit., che, confermando la propria linea di estrema cautela, osserva che, dal momento che “</w:t>
      </w:r>
      <w:r w:rsidRPr="00D7273F">
        <w:rPr>
          <w:i/>
          <w:iCs/>
        </w:rPr>
        <w:t>la suddetta Corte non opera, nell'esercizio del potere d'interpretazione delle norme del Trattato, come giudice del caso concreto, bensì come interprete di disposizioni ritenute rilevanti ai fini del decidere da parte del giudice nazionale (in capo al quale permane in via esclusiva la funzione giurisdizionale), il mancato rinvio pregiudiziale da parte del Consiglio di Stato a detta Corte non configura una questione attinente allo sconfinamento dalla giurisdizione del giudice amministrativo</w:t>
      </w:r>
      <w:r w:rsidRPr="00D7273F">
        <w:t>).</w:t>
      </w:r>
    </w:p>
  </w:footnote>
  <w:footnote w:id="54">
    <w:p w:rsidR="004A28A6" w:rsidRDefault="004A28A6" w:rsidP="00207D69">
      <w:pPr>
        <w:pStyle w:val="Testonotaapidipagina"/>
        <w:tabs>
          <w:tab w:val="left" w:pos="709"/>
        </w:tabs>
        <w:ind w:firstLine="709"/>
        <w:jc w:val="both"/>
      </w:pPr>
      <w:r>
        <w:rPr>
          <w:rStyle w:val="Rimandonotaapidipagina"/>
        </w:rPr>
        <w:footnoteRef/>
      </w:r>
      <w:r>
        <w:t xml:space="preserve"> Specularmente, allora, la violazione dell’obbligo non si dovrebbe mai verificare qualora la giurisdizione superiore, pur consapevole del dubbio interpretativo, stabilisca di deciderlo autonomamente, e, tuttavia, pervenga ad una lettura ermeneutica corretta.</w:t>
      </w:r>
    </w:p>
    <w:p w:rsidR="004A28A6" w:rsidRDefault="004A28A6" w:rsidP="00207D69">
      <w:pPr>
        <w:pStyle w:val="Testonotaapidipagina"/>
        <w:tabs>
          <w:tab w:val="left" w:pos="709"/>
        </w:tabs>
        <w:ind w:firstLine="709"/>
        <w:jc w:val="both"/>
      </w:pPr>
    </w:p>
  </w:footnote>
  <w:footnote w:id="55">
    <w:p w:rsidR="004A28A6" w:rsidRDefault="004A28A6" w:rsidP="00207D69">
      <w:pPr>
        <w:pStyle w:val="Testonotaapidipagina"/>
        <w:ind w:firstLine="709"/>
        <w:jc w:val="both"/>
      </w:pPr>
      <w:r>
        <w:rPr>
          <w:rStyle w:val="Rimandonotaapidipagina"/>
        </w:rPr>
        <w:footnoteRef/>
      </w:r>
      <w:r>
        <w:t xml:space="preserve"> Cons. Stato, sez. VI, n. 1244 del 5 marzo 2012 e Corte giust., C-136/12, del 18 luglio 2013.</w:t>
      </w:r>
    </w:p>
  </w:footnote>
  <w:footnote w:id="56">
    <w:p w:rsidR="004A28A6" w:rsidRDefault="004A28A6" w:rsidP="00207D69">
      <w:pPr>
        <w:pStyle w:val="Testonotaapidipagina"/>
        <w:tabs>
          <w:tab w:val="left" w:pos="709"/>
        </w:tabs>
        <w:ind w:firstLine="709"/>
        <w:jc w:val="both"/>
      </w:pPr>
      <w:r>
        <w:rPr>
          <w:rStyle w:val="Rimandonotaapidipagina"/>
        </w:rPr>
        <w:footnoteRef/>
      </w:r>
      <w:r>
        <w:t xml:space="preserve"> Si potrebbe discutere se, in via interpretativa, il motivo di ricorso riguardante al violazione del diritto UE comprenda, implicitamente, una censura riguardante il mancato rinvio. Ma questa opzione non è sviluppata dalla Cassazione e pare difficilmente conciliabile con i severi principi di specificità dei motivi di ricorso.</w:t>
      </w:r>
    </w:p>
    <w:p w:rsidR="004A28A6" w:rsidRDefault="004A28A6" w:rsidP="00207D69">
      <w:pPr>
        <w:pStyle w:val="Testonotaapidipagina"/>
        <w:tabs>
          <w:tab w:val="left" w:pos="709"/>
        </w:tabs>
        <w:ind w:firstLine="709"/>
        <w:jc w:val="both"/>
      </w:pPr>
    </w:p>
  </w:footnote>
  <w:footnote w:id="57">
    <w:p w:rsidR="004A28A6" w:rsidRDefault="004A28A6" w:rsidP="00207D69">
      <w:pPr>
        <w:pStyle w:val="Testonotaapidipagina"/>
        <w:ind w:firstLine="709"/>
        <w:jc w:val="both"/>
      </w:pPr>
      <w:r>
        <w:rPr>
          <w:rStyle w:val="Rimandonotaapidipagina"/>
        </w:rPr>
        <w:footnoteRef/>
      </w:r>
      <w:r>
        <w:t xml:space="preserve"> In base alle circostanze, questa pronuncia potrebbe qualificarsi come decisione a sorpresa, emessa in violazione dell’art. 73, co. 3, del CPA, senza il prescritto </w:t>
      </w:r>
      <w:r w:rsidRPr="003661C3">
        <w:rPr>
          <w:i/>
        </w:rPr>
        <w:t>contraddittorio verticale</w:t>
      </w:r>
      <w:r>
        <w:t xml:space="preserve"> con le parti.</w:t>
      </w:r>
    </w:p>
    <w:p w:rsidR="004A28A6" w:rsidRDefault="004A28A6" w:rsidP="00207D69">
      <w:pPr>
        <w:pStyle w:val="Testonotaapidipagina"/>
        <w:ind w:firstLine="709"/>
        <w:jc w:val="both"/>
      </w:pPr>
      <w:r>
        <w:t>Poiché si tratterebbe di errore di diritto, però, non sembrerebbe costituire motivo di revocazione.</w:t>
      </w:r>
    </w:p>
    <w:p w:rsidR="004A28A6" w:rsidRDefault="004A28A6" w:rsidP="00207D69">
      <w:pPr>
        <w:pStyle w:val="Testonotaapidipagina"/>
        <w:ind w:firstLine="709"/>
        <w:jc w:val="both"/>
      </w:pPr>
    </w:p>
  </w:footnote>
  <w:footnote w:id="58">
    <w:p w:rsidR="004A28A6" w:rsidRDefault="004A28A6" w:rsidP="00207D69">
      <w:pPr>
        <w:pStyle w:val="Testonotaapidipagina"/>
        <w:ind w:firstLine="709"/>
        <w:jc w:val="both"/>
      </w:pPr>
      <w:r>
        <w:rPr>
          <w:rStyle w:val="Rimandonotaapidipagina"/>
        </w:rPr>
        <w:footnoteRef/>
      </w:r>
      <w:r>
        <w:t xml:space="preserve"> È questa l’opinione diffusamente esposta da </w:t>
      </w:r>
      <w:r w:rsidRPr="000A411E">
        <w:rPr>
          <w:smallCaps/>
        </w:rPr>
        <w:t>G</w:t>
      </w:r>
      <w:r>
        <w:rPr>
          <w:smallCaps/>
        </w:rPr>
        <w:t>inevra</w:t>
      </w:r>
      <w:r w:rsidRPr="000A411E">
        <w:rPr>
          <w:smallCaps/>
        </w:rPr>
        <w:t xml:space="preserve"> Greco</w:t>
      </w:r>
      <w:r>
        <w:t xml:space="preserve">, op. cit.. Più problematica è la posizione di M.A. </w:t>
      </w:r>
      <w:r w:rsidRPr="000A411E">
        <w:rPr>
          <w:smallCaps/>
        </w:rPr>
        <w:t>Sandulli</w:t>
      </w:r>
      <w:r>
        <w:t xml:space="preserve">, </w:t>
      </w:r>
      <w:r w:rsidRPr="000A411E">
        <w:rPr>
          <w:i/>
        </w:rPr>
        <w:t>Guida alla lettura</w:t>
      </w:r>
      <w:r>
        <w:t>, cit.</w:t>
      </w:r>
    </w:p>
  </w:footnote>
  <w:footnote w:id="59">
    <w:p w:rsidR="004A28A6" w:rsidRDefault="004A28A6" w:rsidP="00207D69">
      <w:pPr>
        <w:pStyle w:val="Testonotaapidipagina"/>
        <w:tabs>
          <w:tab w:val="left" w:pos="709"/>
        </w:tabs>
        <w:ind w:firstLine="709"/>
        <w:jc w:val="both"/>
      </w:pPr>
      <w:r>
        <w:rPr>
          <w:rStyle w:val="Rimandonotaapidipagina"/>
        </w:rPr>
        <w:footnoteRef/>
      </w:r>
      <w:r>
        <w:t xml:space="preserve"> </w:t>
      </w:r>
      <w:r w:rsidRPr="00106A39">
        <w:t>Nonostante le maglie molto larghe della valutazione sulla rilevanza normalmente operata dalla Corte di giustizia, sembra che a tale questione essa possa sentirsi chiamata a rispondere solo ove, improbabilmente, ritenga che la Corte di cassazione, in sede di motivi inerenti alla giurisdizione, debba sindacare il diritto dell’Unione e operare il rinvio pregiudiziale quale giudice di ultima istanza, mentre in caso contrario quella questione non avrebbe alcuna influenza concreta sulla soluzione (d’inammissibilità) del ricorso.</w:t>
      </w:r>
    </w:p>
    <w:p w:rsidR="004A28A6" w:rsidRDefault="004A28A6" w:rsidP="00207D69">
      <w:pPr>
        <w:pStyle w:val="Testonotaapidipagina"/>
        <w:tabs>
          <w:tab w:val="left" w:pos="709"/>
        </w:tabs>
        <w:ind w:firstLine="709"/>
        <w:jc w:val="both"/>
      </w:pPr>
    </w:p>
  </w:footnote>
  <w:footnote w:id="60">
    <w:p w:rsidR="004A28A6" w:rsidRDefault="004A28A6" w:rsidP="00207D69">
      <w:pPr>
        <w:pStyle w:val="Testonotaapidipagina"/>
        <w:tabs>
          <w:tab w:val="left" w:pos="709"/>
        </w:tabs>
        <w:ind w:firstLine="709"/>
        <w:jc w:val="both"/>
      </w:pPr>
      <w:r>
        <w:rPr>
          <w:rStyle w:val="Rimandonotaapidipagina"/>
        </w:rPr>
        <w:footnoteRef/>
      </w:r>
      <w:r>
        <w:t xml:space="preserve"> La cronistoria della vicenda interpretativa potrebbe risultare complessa, così come è disagevole esprimere una valutazione sul perché il tema si sia così ingarbugliato.</w:t>
      </w:r>
    </w:p>
    <w:p w:rsidR="004A28A6" w:rsidRDefault="004A28A6" w:rsidP="00207D69">
      <w:pPr>
        <w:pStyle w:val="Testonotaapidipagina"/>
        <w:tabs>
          <w:tab w:val="left" w:pos="709"/>
        </w:tabs>
        <w:ind w:firstLine="709"/>
        <w:jc w:val="both"/>
      </w:pPr>
      <w:r>
        <w:t xml:space="preserve">Si rinvia a </w:t>
      </w:r>
      <w:r w:rsidRPr="0083681E">
        <w:rPr>
          <w:smallCaps/>
        </w:rPr>
        <w:t>Tropea</w:t>
      </w:r>
      <w:r>
        <w:t>, op. cit., anche per ulteriori indicazioni bibliografiche e di giurisprudenza.</w:t>
      </w:r>
    </w:p>
    <w:p w:rsidR="004A28A6" w:rsidRDefault="004A28A6" w:rsidP="00207D69">
      <w:pPr>
        <w:pStyle w:val="Testonotaapidipagina"/>
        <w:tabs>
          <w:tab w:val="left" w:pos="709"/>
        </w:tabs>
        <w:ind w:firstLine="709"/>
        <w:jc w:val="both"/>
      </w:pPr>
      <w:r>
        <w:t xml:space="preserve">Probabilmente, alla base del problema si pone la ricerca di un equilibrio tra la cultura “soggettivistica” della giurisdizione, radicata nel Consiglio di Stato e l’impostazione </w:t>
      </w:r>
      <w:r w:rsidRPr="006434F1">
        <w:rPr>
          <w:i/>
        </w:rPr>
        <w:t>oggettivistica</w:t>
      </w:r>
      <w:r>
        <w:t xml:space="preserve"> preferita dalla giurisprudenza della Corte di giustizia, la quale, peraltro, ha visibilmente modificato la propria giurisprudenza nel corso degli anni, pronunciando decisioni, talvolta oscillanti, che, seppure condivisibili, hanno presentato evidenti limiti, che ne hanno reso problematica l’applicazione.</w:t>
      </w:r>
    </w:p>
    <w:p w:rsidR="004A28A6" w:rsidRDefault="004A28A6" w:rsidP="00207D69">
      <w:pPr>
        <w:pStyle w:val="Testonotaapidipagina"/>
        <w:tabs>
          <w:tab w:val="left" w:pos="709"/>
        </w:tabs>
        <w:ind w:firstLine="709"/>
        <w:jc w:val="both"/>
      </w:pPr>
      <w:r>
        <w:t>Sarebbe ingeneroso affermare, allora, che il Consiglio di Stato abbia manifestato un atteggiamento di contrapposizione frontale alla CGUE, poiché il dialogo tra le Corti si è svolto sempre in modo lineare e collaborativo.</w:t>
      </w:r>
    </w:p>
    <w:p w:rsidR="004A28A6" w:rsidRDefault="004A28A6" w:rsidP="00207D69">
      <w:pPr>
        <w:pStyle w:val="Testonotaapidipagina"/>
        <w:tabs>
          <w:tab w:val="left" w:pos="709"/>
        </w:tabs>
        <w:ind w:firstLine="709"/>
        <w:jc w:val="both"/>
      </w:pPr>
    </w:p>
  </w:footnote>
  <w:footnote w:id="61">
    <w:p w:rsidR="004A28A6" w:rsidRDefault="004A28A6" w:rsidP="00207D69">
      <w:pPr>
        <w:pStyle w:val="Testonotaapidipagina"/>
        <w:tabs>
          <w:tab w:val="left" w:pos="709"/>
        </w:tabs>
        <w:ind w:firstLine="709"/>
        <w:jc w:val="both"/>
      </w:pPr>
      <w:r>
        <w:rPr>
          <w:rStyle w:val="Rimandonotaapidipagina"/>
        </w:rPr>
        <w:footnoteRef/>
      </w:r>
      <w:r>
        <w:t xml:space="preserve"> Non può trascurarsi, peraltro, che la proposizione del quesito, ha anche la funzione di richiamare l’attenzione della Corte sugli errori in cui può cadere il Giudice amministrativo, così rafforzando l’asserita necessità di intensificare il sindacato della Cassazione sulle decisioni del Consiglio di Stato, prospettata con il primo e il secondo quesito.</w:t>
      </w:r>
    </w:p>
    <w:p w:rsidR="004A28A6" w:rsidRDefault="004A28A6" w:rsidP="00207D69">
      <w:pPr>
        <w:pStyle w:val="Testonotaapidipagina"/>
        <w:tabs>
          <w:tab w:val="left" w:pos="709"/>
        </w:tabs>
        <w:ind w:firstLine="709"/>
        <w:jc w:val="both"/>
      </w:pPr>
    </w:p>
  </w:footnote>
  <w:footnote w:id="62">
    <w:p w:rsidR="004A28A6" w:rsidRDefault="004A28A6" w:rsidP="003C5AED">
      <w:pPr>
        <w:pStyle w:val="Testonotaapidipagina"/>
        <w:ind w:firstLine="709"/>
        <w:jc w:val="both"/>
      </w:pPr>
      <w:r>
        <w:rPr>
          <w:rStyle w:val="Rimandonotaapidipagina"/>
        </w:rPr>
        <w:footnoteRef/>
      </w:r>
      <w:r>
        <w:t xml:space="preserve"> Si veda, per tutte, la decisione </w:t>
      </w:r>
      <w:r w:rsidRPr="003C5AED">
        <w:t xml:space="preserve">5 settembre 2019, </w:t>
      </w:r>
      <w:r w:rsidRPr="003C5AED">
        <w:rPr>
          <w:i/>
        </w:rPr>
        <w:t>Lombardi</w:t>
      </w:r>
      <w:r w:rsidRPr="003C5AED">
        <w:t>, C-333/18</w:t>
      </w:r>
      <w:r>
        <w:t>, la quale, nel proprio dispositivo, va riferimento esplicito alle violazione del diritto UE derivante “</w:t>
      </w:r>
      <w:r w:rsidRPr="003C5AED">
        <w:rPr>
          <w:i/>
        </w:rPr>
        <w:t>dalle norme o delle prassi giurisprudenziali procedurali nazionali</w:t>
      </w:r>
      <w:r>
        <w:t>”: “</w:t>
      </w:r>
      <w:r w:rsidRPr="003C5AED">
        <w:t xml:space="preserve">L’articolo 1, paragrafo 1, terzo comma, e paragrafo 3, della direttiva 89/665/CEE del Consiglio, del 21 dicembre 1989, che coordina le disposizioni legislative, regolamentari e amministrative relative all’applicazione delle procedure di ricorso in materia di aggiudicazione degli appalti pubblici di forniture e di lavori, come modificata dalla direttiva 2007/66/CE del Parlamento europeo e del Consiglio, dell’11 dicembre 2007, deve essere interpretato nel senso che esso osta a che un ricorso principale, proposto da un offerente che abbia interesse ad ottenere l’aggiudicazione di un determinato appalto e che sia stato o rischi di essere leso a causa di una presunta violazione del diritto dell’Unione in materia di appalti pubblici o delle norme che traspongono quest’ultimo, ed inteso ad ottenere l’esclusione di un altro offerente, venga dichiarato </w:t>
      </w:r>
      <w:r w:rsidRPr="003C5AED">
        <w:rPr>
          <w:i/>
        </w:rPr>
        <w:t>irricevibile in applicazione delle norme o delle prassi giurisprudenziali procedurali nazionali</w:t>
      </w:r>
      <w:r w:rsidRPr="003C5AED">
        <w:t xml:space="preserve"> disciplinanti il trattamento dei ricorsi intesi alla reciproca esclusione, quali che siano il numero di partecipanti alla procedura di aggiudicazione dell’appalto e il numero di quelli che hanno presentato ricorsi</w:t>
      </w:r>
      <w:r>
        <w:t>.”</w:t>
      </w:r>
    </w:p>
    <w:p w:rsidR="004A28A6" w:rsidRDefault="004A28A6" w:rsidP="003C5AED">
      <w:pPr>
        <w:pStyle w:val="Testonotaapidipagina"/>
        <w:ind w:firstLine="709"/>
      </w:pPr>
    </w:p>
  </w:footnote>
  <w:footnote w:id="63">
    <w:p w:rsidR="004A28A6" w:rsidRDefault="004A28A6" w:rsidP="00207D69">
      <w:pPr>
        <w:pStyle w:val="Testonotaapidipagina"/>
        <w:ind w:firstLine="709"/>
        <w:jc w:val="both"/>
      </w:pPr>
      <w:r>
        <w:rPr>
          <w:rStyle w:val="Rimandonotaapidipagina"/>
        </w:rPr>
        <w:footnoteRef/>
      </w:r>
      <w:r>
        <w:t xml:space="preserve"> Si potrebbe sospettare che il riferimento alla “prassi interpretativa”, anziché alle norme nazionali, per come interpretate dal Consiglio di Stato, voglia realizzare due scopi.</w:t>
      </w:r>
    </w:p>
    <w:p w:rsidR="004A28A6" w:rsidRDefault="004A28A6" w:rsidP="00207D69">
      <w:pPr>
        <w:pStyle w:val="Testonotaapidipagina"/>
        <w:numPr>
          <w:ilvl w:val="0"/>
          <w:numId w:val="20"/>
        </w:numPr>
        <w:ind w:left="0" w:firstLine="709"/>
        <w:jc w:val="both"/>
      </w:pPr>
      <w:r>
        <w:t>Sottolineare una ipotizzata gravità della violazione, perpetuata dal Consiglio di Stato.</w:t>
      </w:r>
    </w:p>
    <w:p w:rsidR="004A28A6" w:rsidRDefault="004A28A6" w:rsidP="00207D69">
      <w:pPr>
        <w:pStyle w:val="Testonotaapidipagina"/>
        <w:numPr>
          <w:ilvl w:val="0"/>
          <w:numId w:val="20"/>
        </w:numPr>
        <w:ind w:left="0" w:firstLine="709"/>
        <w:jc w:val="both"/>
      </w:pPr>
      <w:r>
        <w:t>Dimostrare che l’indirizzo del Consiglio di Stato, sganciato da qualsiasi norma di diritto positivo, rappresenti un’indebita produzione di norme, che implicherebbe una violazione dei limiti della giurisdizione, persino nell’ottica della sentenza n. 6/2018.</w:t>
      </w:r>
    </w:p>
    <w:p w:rsidR="004A28A6" w:rsidRDefault="004A28A6" w:rsidP="00207D69">
      <w:pPr>
        <w:pStyle w:val="Testonotaapidipagina"/>
        <w:ind w:firstLine="709"/>
        <w:jc w:val="both"/>
      </w:pPr>
    </w:p>
  </w:footnote>
  <w:footnote w:id="64">
    <w:p w:rsidR="004A28A6" w:rsidRDefault="004A28A6" w:rsidP="00207D69">
      <w:pPr>
        <w:pStyle w:val="Testonotaapidipagina"/>
        <w:ind w:firstLine="709"/>
        <w:jc w:val="both"/>
      </w:pPr>
      <w:r>
        <w:rPr>
          <w:rStyle w:val="Rimandonotaapidipagina"/>
        </w:rPr>
        <w:footnoteRef/>
      </w:r>
      <w:r>
        <w:t xml:space="preserve"> La sentenza impugnata richiama due precedenti pronunciati dalle Sezioni semplici.</w:t>
      </w:r>
    </w:p>
    <w:p w:rsidR="004A28A6" w:rsidRDefault="004A28A6" w:rsidP="00207D69">
      <w:pPr>
        <w:pStyle w:val="Testonotaapidipagina"/>
        <w:ind w:firstLine="709"/>
        <w:jc w:val="both"/>
      </w:pPr>
      <w:r>
        <w:t xml:space="preserve">Uno dei due (la sentenza n. </w:t>
      </w:r>
      <w:r w:rsidRPr="00A771CD">
        <w:t>2852/2017</w:t>
      </w:r>
      <w:r>
        <w:t xml:space="preserve">), però, si limita ad un breve </w:t>
      </w:r>
      <w:r w:rsidRPr="00E9321A">
        <w:rPr>
          <w:i/>
        </w:rPr>
        <w:t>obiter dictum</w:t>
      </w:r>
      <w:r>
        <w:t>, nel contesto di una pronuncia di inammissibilità incentrata su una diversa assorbente ragione.</w:t>
      </w:r>
    </w:p>
    <w:p w:rsidR="004A28A6" w:rsidRDefault="004A28A6" w:rsidP="00207D69">
      <w:pPr>
        <w:pStyle w:val="Testonotaapidipagina"/>
        <w:ind w:firstLine="709"/>
        <w:jc w:val="both"/>
      </w:pPr>
      <w:r>
        <w:t>L’altro, invece (la sentenza n. 570/2018), riguarda, effettivamente, una vicenda analoga a quella esaminata dalla pronuncia impugnata.</w:t>
      </w:r>
    </w:p>
    <w:p w:rsidR="004A28A6" w:rsidRDefault="004A28A6" w:rsidP="00207D69">
      <w:pPr>
        <w:pStyle w:val="Testonotaapidipagina"/>
        <w:ind w:firstLine="709"/>
        <w:jc w:val="both"/>
      </w:pPr>
      <w:r>
        <w:t>Tale precedente, a sua volta, fa riferimento a due pronunce dell’Adunanza Plenaria (n. 4/2011 e n. 9/2014), riguardanti la questione specifica del rapporto tra ricorso principale e ricorso incidentale reciprocamente escludenti, ma dette pronunce non si occupano espressamente della questione riguardante la legittimazione del concorrente escluso per mancato superamento della soglia di sbarramento relativa alla valutazione dell’offerta tecnica.</w:t>
      </w:r>
    </w:p>
    <w:p w:rsidR="004A28A6" w:rsidRDefault="004A28A6" w:rsidP="00207D69">
      <w:pPr>
        <w:pStyle w:val="Testonotaapidipagina"/>
        <w:ind w:firstLine="709"/>
        <w:jc w:val="both"/>
      </w:pPr>
    </w:p>
  </w:footnote>
  <w:footnote w:id="65">
    <w:p w:rsidR="004A28A6" w:rsidRDefault="004A28A6" w:rsidP="00207D69">
      <w:pPr>
        <w:pStyle w:val="Testonotaapidipagina"/>
        <w:tabs>
          <w:tab w:val="left" w:pos="709"/>
        </w:tabs>
        <w:ind w:firstLine="709"/>
        <w:jc w:val="both"/>
      </w:pPr>
      <w:r>
        <w:rPr>
          <w:rStyle w:val="Rimandonotaapidipagina"/>
        </w:rPr>
        <w:footnoteRef/>
      </w:r>
      <w:r>
        <w:t xml:space="preserve"> È certo che alla Corte non dovrebbero essere posti quesiti talmente dettagliati da risolversi, in ultima analisi, nella richiesta di indicare la decisione della controversia.</w:t>
      </w:r>
    </w:p>
    <w:p w:rsidR="004A28A6" w:rsidRDefault="004A28A6" w:rsidP="00207D69">
      <w:pPr>
        <w:pStyle w:val="Testonotaapidipagina"/>
        <w:tabs>
          <w:tab w:val="left" w:pos="709"/>
        </w:tabs>
        <w:ind w:firstLine="709"/>
        <w:jc w:val="both"/>
      </w:pPr>
      <w:r>
        <w:t>Né si può trascurare che la Cassazione deve in ogni caso riferirsi all’argomentazione giuridica utilizzata dall’impugnata decisione del Consiglio di Stato, ancorché non del tutto pertinente in relazione al caso concreto.</w:t>
      </w:r>
    </w:p>
    <w:p w:rsidR="004A28A6" w:rsidRDefault="004A28A6" w:rsidP="00207D69">
      <w:pPr>
        <w:pStyle w:val="Testonotaapidipagina"/>
        <w:tabs>
          <w:tab w:val="left" w:pos="709"/>
        </w:tabs>
        <w:ind w:firstLine="709"/>
        <w:jc w:val="both"/>
      </w:pPr>
      <w:r>
        <w:t>Tuttavia, sarebbe stato preferibile evidenziare la circostanza che la premessa giuridica della sentenza, anche se ritenuta coerente con il diritto UE, non dovrebbe avere influenza sulla decisione della controversia.</w:t>
      </w:r>
    </w:p>
    <w:p w:rsidR="004A28A6" w:rsidRDefault="004A28A6" w:rsidP="00207D69">
      <w:pPr>
        <w:pStyle w:val="Testonotaapidipagina"/>
        <w:tabs>
          <w:tab w:val="left" w:pos="709"/>
        </w:tabs>
        <w:ind w:firstLine="709"/>
        <w:jc w:val="both"/>
      </w:pPr>
    </w:p>
  </w:footnote>
  <w:footnote w:id="66">
    <w:p w:rsidR="004A28A6" w:rsidRDefault="004A28A6" w:rsidP="00207D69">
      <w:pPr>
        <w:pStyle w:val="Testonotaapidipagina"/>
        <w:ind w:firstLine="709"/>
        <w:jc w:val="both"/>
      </w:pPr>
      <w:r>
        <w:rPr>
          <w:rStyle w:val="Rimandonotaapidipagina"/>
        </w:rPr>
        <w:footnoteRef/>
      </w:r>
      <w:r>
        <w:t xml:space="preserve"> </w:t>
      </w:r>
      <w:r w:rsidRPr="00DE5003">
        <w:t>Sentenza n. 245 del 22 novembre 2016</w:t>
      </w:r>
      <w:r>
        <w:t>.</w:t>
      </w:r>
    </w:p>
    <w:p w:rsidR="004A28A6" w:rsidRDefault="004A28A6" w:rsidP="00207D69">
      <w:pPr>
        <w:pStyle w:val="Testonotaapidipagina"/>
        <w:ind w:firstLine="709"/>
        <w:jc w:val="both"/>
      </w:pPr>
    </w:p>
  </w:footnote>
  <w:footnote w:id="67">
    <w:p w:rsidR="004A28A6" w:rsidRDefault="004A28A6" w:rsidP="00207D69">
      <w:pPr>
        <w:pStyle w:val="Testonotaapidipagina"/>
        <w:ind w:firstLine="709"/>
        <w:jc w:val="both"/>
      </w:pPr>
      <w:r>
        <w:rPr>
          <w:rStyle w:val="Rimandonotaapidipagina"/>
        </w:rPr>
        <w:footnoteRef/>
      </w:r>
      <w:r>
        <w:t xml:space="preserve"> </w:t>
      </w:r>
      <w:r w:rsidRPr="00DE5003">
        <w:t>Corte giustizia Unione Europea, sez. III, sentenza 28/11/2018 n. C 328/17</w:t>
      </w:r>
      <w:r>
        <w:t>.</w:t>
      </w:r>
    </w:p>
    <w:p w:rsidR="004A28A6" w:rsidRDefault="004A28A6" w:rsidP="00207D69">
      <w:pPr>
        <w:pStyle w:val="Testonotaapidipagina"/>
        <w:ind w:firstLine="709"/>
        <w:jc w:val="both"/>
      </w:pPr>
    </w:p>
  </w:footnote>
  <w:footnote w:id="68">
    <w:p w:rsidR="004A28A6" w:rsidRPr="0069585E" w:rsidRDefault="004A28A6" w:rsidP="00207D69">
      <w:pPr>
        <w:pStyle w:val="Testonotaapidipagina"/>
        <w:ind w:firstLine="709"/>
        <w:jc w:val="both"/>
        <w:rPr>
          <w:i/>
        </w:rPr>
      </w:pPr>
      <w:r>
        <w:rPr>
          <w:rStyle w:val="Rimandonotaapidipagina"/>
        </w:rPr>
        <w:footnoteRef/>
      </w:r>
      <w:r>
        <w:t xml:space="preserve"> Secondo la citata decisione della CGUE, “</w:t>
      </w:r>
      <w:r w:rsidRPr="0069585E">
        <w:rPr>
          <w:i/>
        </w:rPr>
        <w:t>occorre ricordare che un ricorso siffatto non può, a pena di violare gli obiettivi di rapidità ed efficacia previsti sia dalla direttiva 89/665 sia dalla direttiva 92/13, essere presentato dopo che la decisione di aggiudicazione dell’appalto è stata adottata dall’amministrazione aggiudicatrice (v., in tal senso, sentenza del 12 febbraio 2004, Grossmann Air Service, C 230/02, EU:C:2004:93, punto 37).</w:t>
      </w:r>
    </w:p>
    <w:p w:rsidR="004A28A6" w:rsidRPr="0069585E" w:rsidRDefault="004A28A6" w:rsidP="00207D69">
      <w:pPr>
        <w:pStyle w:val="Testonotaapidipagina"/>
        <w:ind w:firstLine="709"/>
        <w:jc w:val="both"/>
      </w:pPr>
      <w:r w:rsidRPr="0069585E">
        <w:rPr>
          <w:i/>
        </w:rPr>
        <w:t>53 Inoltre, poiché è solo in via eccezionale che un diritto di proporre ricorso può essere riconosciuto a un operatore che non ha presentato alcuna offerta, non si può considerare eccessiva la richiesta che quest’ultimo dimostri che le clausole del bando rendevano impossibile la formulazione stessa di un’offerta.</w:t>
      </w:r>
      <w:r>
        <w:t>”</w:t>
      </w:r>
    </w:p>
  </w:footnote>
  <w:footnote w:id="69">
    <w:p w:rsidR="004A28A6" w:rsidRDefault="004A28A6" w:rsidP="00207D69">
      <w:pPr>
        <w:pStyle w:val="Testonotaapidipagina"/>
        <w:tabs>
          <w:tab w:val="left" w:pos="709"/>
        </w:tabs>
        <w:ind w:firstLine="709"/>
        <w:jc w:val="both"/>
      </w:pPr>
      <w:r>
        <w:rPr>
          <w:rStyle w:val="Rimandonotaapidipagina"/>
        </w:rPr>
        <w:footnoteRef/>
      </w:r>
      <w:r>
        <w:t xml:space="preserve"> Dalla lettura dell’ordinanza non risulta con chiarezza se le parti resistenti abbiano sviluppato questa difesa. Uno spunto in tal senso deriva dal passaggio della narrativa nel quale si dice che “</w:t>
      </w:r>
      <w:r w:rsidRPr="00470D18">
        <w:t>la R. era unica ricorrente in giudizio all'esito di una gara cui avevano partecipato anche altri operatori economici che non avevano proposto impugnazione, con la conseguenza che l'aggiudicazione a favore del RTI S.-U. si sarebbe definitivamente consolidata.</w:t>
      </w:r>
      <w:r>
        <w:t xml:space="preserve">” (punto 13.2). </w:t>
      </w:r>
    </w:p>
  </w:footnote>
  <w:footnote w:id="70">
    <w:p w:rsidR="004A28A6" w:rsidRDefault="004A28A6" w:rsidP="00207D69">
      <w:pPr>
        <w:pStyle w:val="Testonotaapidipagina"/>
        <w:ind w:firstLine="709"/>
      </w:pPr>
      <w:r>
        <w:rPr>
          <w:rStyle w:val="Rimandonotaapidipagina"/>
        </w:rPr>
        <w:footnoteRef/>
      </w:r>
      <w:r>
        <w:t xml:space="preserve"> TRAVI, op. cit.</w:t>
      </w:r>
    </w:p>
    <w:p w:rsidR="004A28A6" w:rsidRDefault="004A28A6" w:rsidP="00207D69">
      <w:pPr>
        <w:pStyle w:val="Testonotaapidipagina"/>
        <w:ind w:firstLine="709"/>
      </w:pPr>
    </w:p>
  </w:footnote>
  <w:footnote w:id="71">
    <w:p w:rsidR="004A28A6" w:rsidRDefault="004A28A6" w:rsidP="00207D69">
      <w:pPr>
        <w:pStyle w:val="Testonotaapidipagina"/>
        <w:tabs>
          <w:tab w:val="left" w:pos="709"/>
        </w:tabs>
        <w:ind w:firstLine="709"/>
        <w:jc w:val="both"/>
      </w:pPr>
      <w:r>
        <w:rPr>
          <w:rStyle w:val="Rimandonotaapidipagina"/>
        </w:rPr>
        <w:footnoteRef/>
      </w:r>
      <w:r>
        <w:t xml:space="preserve"> F. </w:t>
      </w:r>
      <w:r w:rsidRPr="000B6495">
        <w:rPr>
          <w:smallCaps/>
        </w:rPr>
        <w:t>Francario</w:t>
      </w:r>
      <w:r>
        <w:t>, op. cit.</w:t>
      </w:r>
    </w:p>
  </w:footnote>
  <w:footnote w:id="72">
    <w:p w:rsidR="004A28A6" w:rsidRPr="0048300A" w:rsidRDefault="004A28A6" w:rsidP="00207D69">
      <w:pPr>
        <w:pStyle w:val="Testonotaapidipagina"/>
        <w:tabs>
          <w:tab w:val="left" w:pos="709"/>
        </w:tabs>
        <w:ind w:firstLine="709"/>
        <w:jc w:val="both"/>
      </w:pPr>
      <w:r>
        <w:rPr>
          <w:rStyle w:val="Rimandonotaapidipagina"/>
        </w:rPr>
        <w:footnoteRef/>
      </w:r>
      <w:r>
        <w:t xml:space="preserve"> Così M.A. </w:t>
      </w:r>
      <w:r w:rsidRPr="0099555F">
        <w:rPr>
          <w:smallCaps/>
        </w:rPr>
        <w:t>Sandulli</w:t>
      </w:r>
      <w:r>
        <w:t>, op. cit. la quale aggiunge che “</w:t>
      </w:r>
      <w:r w:rsidRPr="0048300A">
        <w:t>Ricostruito in questi termini – e davvero non si vede come possa non esserlo – il “rifiuto” è, tipicamente, una “</w:t>
      </w:r>
      <w:r w:rsidRPr="0048300A">
        <w:rPr>
          <w:i/>
        </w:rPr>
        <w:t>questione di giurisdizione” e rientra, come tale, nell’ambito delle garanzie primarie dello Stato democratico che il Costituente ha inteso assicurare, anche, e direi proprio, nei confronti dei giudici amministrativi, che più facilmente, anche per la loro istituzionale vicinanza al potere normativo (come consulenti istituzionali e come componenti degli uffici legislativi), possono propendere allo sconfinamento</w:t>
      </w:r>
      <w:r>
        <w:t>).</w:t>
      </w:r>
    </w:p>
  </w:footnote>
  <w:footnote w:id="73">
    <w:p w:rsidR="004A28A6" w:rsidRDefault="004A28A6" w:rsidP="00207D69">
      <w:pPr>
        <w:pStyle w:val="Testonotaapidipagina"/>
        <w:tabs>
          <w:tab w:val="left" w:pos="709"/>
        </w:tabs>
        <w:ind w:firstLine="709"/>
        <w:jc w:val="both"/>
      </w:pPr>
      <w:r>
        <w:rPr>
          <w:rStyle w:val="Rimandonotaapidipagina"/>
        </w:rPr>
        <w:footnoteRef/>
      </w:r>
      <w:r>
        <w:t xml:space="preserve"> Si è consapevoli della netta contrarietà espressa dalla maggioranza degli attuali componenti della Cassazione e della serietà degli argomenti addotti, anche di rilievo costituzionale. E, tuttavia, la proposta meriterebbe approfondimento.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3924340"/>
      <w:docPartObj>
        <w:docPartGallery w:val="Page Numbers (Top of Page)"/>
        <w:docPartUnique/>
      </w:docPartObj>
    </w:sdtPr>
    <w:sdtEndPr/>
    <w:sdtContent>
      <w:p w:rsidR="004A28A6" w:rsidRDefault="004A28A6">
        <w:pPr>
          <w:pStyle w:val="Intestazione"/>
          <w:jc w:val="center"/>
        </w:pPr>
        <w:r>
          <w:t xml:space="preserve">Pag. </w:t>
        </w:r>
        <w:r>
          <w:rPr>
            <w:b/>
            <w:bCs/>
            <w:sz w:val="24"/>
            <w:szCs w:val="24"/>
          </w:rPr>
          <w:fldChar w:fldCharType="begin"/>
        </w:r>
        <w:r>
          <w:rPr>
            <w:b/>
            <w:bCs/>
          </w:rPr>
          <w:instrText>PAGE</w:instrText>
        </w:r>
        <w:r>
          <w:rPr>
            <w:b/>
            <w:bCs/>
            <w:sz w:val="24"/>
            <w:szCs w:val="24"/>
          </w:rPr>
          <w:fldChar w:fldCharType="separate"/>
        </w:r>
        <w:r w:rsidR="00E57416">
          <w:rPr>
            <w:b/>
            <w:bCs/>
            <w:noProof/>
          </w:rPr>
          <w:t>2</w:t>
        </w:r>
        <w:r>
          <w:rPr>
            <w:b/>
            <w:bCs/>
            <w:sz w:val="24"/>
            <w:szCs w:val="24"/>
          </w:rPr>
          <w:fldChar w:fldCharType="end"/>
        </w:r>
        <w:r>
          <w:t xml:space="preserve"> di </w:t>
        </w:r>
        <w:r>
          <w:rPr>
            <w:b/>
            <w:bCs/>
            <w:sz w:val="24"/>
            <w:szCs w:val="24"/>
          </w:rPr>
          <w:fldChar w:fldCharType="begin"/>
        </w:r>
        <w:r>
          <w:rPr>
            <w:b/>
            <w:bCs/>
          </w:rPr>
          <w:instrText>NUMPAGES</w:instrText>
        </w:r>
        <w:r>
          <w:rPr>
            <w:b/>
            <w:bCs/>
            <w:sz w:val="24"/>
            <w:szCs w:val="24"/>
          </w:rPr>
          <w:fldChar w:fldCharType="separate"/>
        </w:r>
        <w:r w:rsidR="00E57416">
          <w:rPr>
            <w:b/>
            <w:bCs/>
            <w:noProof/>
          </w:rPr>
          <w:t>59</w:t>
        </w:r>
        <w:r>
          <w:rPr>
            <w:b/>
            <w:bCs/>
            <w:sz w:val="24"/>
            <w:szCs w:val="24"/>
          </w:rPr>
          <w:fldChar w:fldCharType="end"/>
        </w:r>
      </w:p>
    </w:sdtContent>
  </w:sdt>
  <w:p w:rsidR="004A28A6" w:rsidRDefault="004A28A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658081A"/>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150211F3"/>
    <w:multiLevelType w:val="hybridMultilevel"/>
    <w:tmpl w:val="0FD26060"/>
    <w:lvl w:ilvl="0" w:tplc="C2B8C8BA">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 w15:restartNumberingAfterBreak="0">
    <w:nsid w:val="1B2F22CB"/>
    <w:multiLevelType w:val="hybridMultilevel"/>
    <w:tmpl w:val="EB666D86"/>
    <w:lvl w:ilvl="0" w:tplc="B7D6401C">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 w15:restartNumberingAfterBreak="0">
    <w:nsid w:val="1EF5446D"/>
    <w:multiLevelType w:val="hybridMultilevel"/>
    <w:tmpl w:val="36E0A47A"/>
    <w:lvl w:ilvl="0" w:tplc="BC2A387C">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 w15:restartNumberingAfterBreak="0">
    <w:nsid w:val="24AD2712"/>
    <w:multiLevelType w:val="hybridMultilevel"/>
    <w:tmpl w:val="A596DD2C"/>
    <w:lvl w:ilvl="0" w:tplc="D126536C">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5" w15:restartNumberingAfterBreak="0">
    <w:nsid w:val="25804C81"/>
    <w:multiLevelType w:val="hybridMultilevel"/>
    <w:tmpl w:val="A7C852EC"/>
    <w:lvl w:ilvl="0" w:tplc="33D02F0E">
      <w:start w:val="7"/>
      <w:numFmt w:val="bullet"/>
      <w:lvlText w:val="-"/>
      <w:lvlJc w:val="left"/>
      <w:pPr>
        <w:ind w:left="720" w:hanging="360"/>
      </w:pPr>
      <w:rPr>
        <w:rFonts w:ascii="Georgia" w:eastAsia="Georgia" w:hAnsi="Georg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FD52C27"/>
    <w:multiLevelType w:val="hybridMultilevel"/>
    <w:tmpl w:val="76983952"/>
    <w:lvl w:ilvl="0" w:tplc="3E06FA86">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7" w15:restartNumberingAfterBreak="0">
    <w:nsid w:val="32B33B16"/>
    <w:multiLevelType w:val="hybridMultilevel"/>
    <w:tmpl w:val="C23ACC82"/>
    <w:lvl w:ilvl="0" w:tplc="6BEE124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5D43F41"/>
    <w:multiLevelType w:val="hybridMultilevel"/>
    <w:tmpl w:val="FBFA2E4A"/>
    <w:lvl w:ilvl="0" w:tplc="012C3AF4">
      <w:start w:val="1"/>
      <w:numFmt w:val="upp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9" w15:restartNumberingAfterBreak="0">
    <w:nsid w:val="387D496C"/>
    <w:multiLevelType w:val="hybridMultilevel"/>
    <w:tmpl w:val="A25AD0CE"/>
    <w:lvl w:ilvl="0" w:tplc="14AA07AC">
      <w:start w:val="1"/>
      <w:numFmt w:val="upp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0" w15:restartNumberingAfterBreak="0">
    <w:nsid w:val="41657AC4"/>
    <w:multiLevelType w:val="hybridMultilevel"/>
    <w:tmpl w:val="29202CDA"/>
    <w:lvl w:ilvl="0" w:tplc="25EE88C4">
      <w:start w:val="1"/>
      <w:numFmt w:val="lowerLetter"/>
      <w:lvlText w:val="%1)"/>
      <w:lvlJc w:val="left"/>
      <w:pPr>
        <w:ind w:left="1789" w:hanging="360"/>
      </w:pPr>
      <w:rPr>
        <w:rFonts w:hint="default"/>
      </w:rPr>
    </w:lvl>
    <w:lvl w:ilvl="1" w:tplc="04100019" w:tentative="1">
      <w:start w:val="1"/>
      <w:numFmt w:val="lowerLetter"/>
      <w:lvlText w:val="%2."/>
      <w:lvlJc w:val="left"/>
      <w:pPr>
        <w:ind w:left="2509" w:hanging="360"/>
      </w:pPr>
    </w:lvl>
    <w:lvl w:ilvl="2" w:tplc="0410001B" w:tentative="1">
      <w:start w:val="1"/>
      <w:numFmt w:val="lowerRoman"/>
      <w:lvlText w:val="%3."/>
      <w:lvlJc w:val="right"/>
      <w:pPr>
        <w:ind w:left="3229" w:hanging="180"/>
      </w:pPr>
    </w:lvl>
    <w:lvl w:ilvl="3" w:tplc="0410000F" w:tentative="1">
      <w:start w:val="1"/>
      <w:numFmt w:val="decimal"/>
      <w:lvlText w:val="%4."/>
      <w:lvlJc w:val="left"/>
      <w:pPr>
        <w:ind w:left="3949" w:hanging="360"/>
      </w:pPr>
    </w:lvl>
    <w:lvl w:ilvl="4" w:tplc="04100019" w:tentative="1">
      <w:start w:val="1"/>
      <w:numFmt w:val="lowerLetter"/>
      <w:lvlText w:val="%5."/>
      <w:lvlJc w:val="left"/>
      <w:pPr>
        <w:ind w:left="4669" w:hanging="360"/>
      </w:pPr>
    </w:lvl>
    <w:lvl w:ilvl="5" w:tplc="0410001B" w:tentative="1">
      <w:start w:val="1"/>
      <w:numFmt w:val="lowerRoman"/>
      <w:lvlText w:val="%6."/>
      <w:lvlJc w:val="right"/>
      <w:pPr>
        <w:ind w:left="5389" w:hanging="180"/>
      </w:pPr>
    </w:lvl>
    <w:lvl w:ilvl="6" w:tplc="0410000F" w:tentative="1">
      <w:start w:val="1"/>
      <w:numFmt w:val="decimal"/>
      <w:lvlText w:val="%7."/>
      <w:lvlJc w:val="left"/>
      <w:pPr>
        <w:ind w:left="6109" w:hanging="360"/>
      </w:pPr>
    </w:lvl>
    <w:lvl w:ilvl="7" w:tplc="04100019" w:tentative="1">
      <w:start w:val="1"/>
      <w:numFmt w:val="lowerLetter"/>
      <w:lvlText w:val="%8."/>
      <w:lvlJc w:val="left"/>
      <w:pPr>
        <w:ind w:left="6829" w:hanging="360"/>
      </w:pPr>
    </w:lvl>
    <w:lvl w:ilvl="8" w:tplc="0410001B" w:tentative="1">
      <w:start w:val="1"/>
      <w:numFmt w:val="lowerRoman"/>
      <w:lvlText w:val="%9."/>
      <w:lvlJc w:val="right"/>
      <w:pPr>
        <w:ind w:left="7549" w:hanging="180"/>
      </w:pPr>
    </w:lvl>
  </w:abstractNum>
  <w:abstractNum w:abstractNumId="11" w15:restartNumberingAfterBreak="0">
    <w:nsid w:val="4C104940"/>
    <w:multiLevelType w:val="hybridMultilevel"/>
    <w:tmpl w:val="1EA4E956"/>
    <w:lvl w:ilvl="0" w:tplc="28E67B64">
      <w:start w:val="1"/>
      <w:numFmt w:val="lowerLetter"/>
      <w:lvlText w:val="%1)"/>
      <w:lvlJc w:val="left"/>
      <w:pPr>
        <w:ind w:left="1789" w:hanging="360"/>
      </w:pPr>
      <w:rPr>
        <w:rFonts w:hint="default"/>
      </w:rPr>
    </w:lvl>
    <w:lvl w:ilvl="1" w:tplc="04100019" w:tentative="1">
      <w:start w:val="1"/>
      <w:numFmt w:val="lowerLetter"/>
      <w:lvlText w:val="%2."/>
      <w:lvlJc w:val="left"/>
      <w:pPr>
        <w:ind w:left="2509" w:hanging="360"/>
      </w:pPr>
    </w:lvl>
    <w:lvl w:ilvl="2" w:tplc="0410001B" w:tentative="1">
      <w:start w:val="1"/>
      <w:numFmt w:val="lowerRoman"/>
      <w:lvlText w:val="%3."/>
      <w:lvlJc w:val="right"/>
      <w:pPr>
        <w:ind w:left="3229" w:hanging="180"/>
      </w:pPr>
    </w:lvl>
    <w:lvl w:ilvl="3" w:tplc="0410000F" w:tentative="1">
      <w:start w:val="1"/>
      <w:numFmt w:val="decimal"/>
      <w:lvlText w:val="%4."/>
      <w:lvlJc w:val="left"/>
      <w:pPr>
        <w:ind w:left="3949" w:hanging="360"/>
      </w:pPr>
    </w:lvl>
    <w:lvl w:ilvl="4" w:tplc="04100019" w:tentative="1">
      <w:start w:val="1"/>
      <w:numFmt w:val="lowerLetter"/>
      <w:lvlText w:val="%5."/>
      <w:lvlJc w:val="left"/>
      <w:pPr>
        <w:ind w:left="4669" w:hanging="360"/>
      </w:pPr>
    </w:lvl>
    <w:lvl w:ilvl="5" w:tplc="0410001B" w:tentative="1">
      <w:start w:val="1"/>
      <w:numFmt w:val="lowerRoman"/>
      <w:lvlText w:val="%6."/>
      <w:lvlJc w:val="right"/>
      <w:pPr>
        <w:ind w:left="5389" w:hanging="180"/>
      </w:pPr>
    </w:lvl>
    <w:lvl w:ilvl="6" w:tplc="0410000F" w:tentative="1">
      <w:start w:val="1"/>
      <w:numFmt w:val="decimal"/>
      <w:lvlText w:val="%7."/>
      <w:lvlJc w:val="left"/>
      <w:pPr>
        <w:ind w:left="6109" w:hanging="360"/>
      </w:pPr>
    </w:lvl>
    <w:lvl w:ilvl="7" w:tplc="04100019" w:tentative="1">
      <w:start w:val="1"/>
      <w:numFmt w:val="lowerLetter"/>
      <w:lvlText w:val="%8."/>
      <w:lvlJc w:val="left"/>
      <w:pPr>
        <w:ind w:left="6829" w:hanging="360"/>
      </w:pPr>
    </w:lvl>
    <w:lvl w:ilvl="8" w:tplc="0410001B" w:tentative="1">
      <w:start w:val="1"/>
      <w:numFmt w:val="lowerRoman"/>
      <w:lvlText w:val="%9."/>
      <w:lvlJc w:val="right"/>
      <w:pPr>
        <w:ind w:left="7549" w:hanging="180"/>
      </w:pPr>
    </w:lvl>
  </w:abstractNum>
  <w:abstractNum w:abstractNumId="12" w15:restartNumberingAfterBreak="0">
    <w:nsid w:val="4F216256"/>
    <w:multiLevelType w:val="hybridMultilevel"/>
    <w:tmpl w:val="355A1F14"/>
    <w:lvl w:ilvl="0" w:tplc="A1805884">
      <w:numFmt w:val="bullet"/>
      <w:lvlText w:val="-"/>
      <w:lvlJc w:val="left"/>
      <w:pPr>
        <w:ind w:left="1069" w:hanging="360"/>
      </w:pPr>
      <w:rPr>
        <w:rFonts w:ascii="Calibri" w:eastAsia="Times New Roman" w:hAnsi="Calibri" w:cs="Segoe U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3" w15:restartNumberingAfterBreak="0">
    <w:nsid w:val="4FF82A33"/>
    <w:multiLevelType w:val="hybridMultilevel"/>
    <w:tmpl w:val="635AEC9E"/>
    <w:lvl w:ilvl="0" w:tplc="58284F44">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4" w15:restartNumberingAfterBreak="0">
    <w:nsid w:val="4FFD6F8C"/>
    <w:multiLevelType w:val="hybridMultilevel"/>
    <w:tmpl w:val="8EBC48F2"/>
    <w:lvl w:ilvl="0" w:tplc="A7FE5378">
      <w:start w:val="1"/>
      <w:numFmt w:val="upp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5" w15:restartNumberingAfterBreak="0">
    <w:nsid w:val="51881B0F"/>
    <w:multiLevelType w:val="hybridMultilevel"/>
    <w:tmpl w:val="822AF3F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 w15:restartNumberingAfterBreak="0">
    <w:nsid w:val="53012163"/>
    <w:multiLevelType w:val="hybridMultilevel"/>
    <w:tmpl w:val="A156D09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B911A4B"/>
    <w:multiLevelType w:val="multilevel"/>
    <w:tmpl w:val="907A437C"/>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E91BDD"/>
    <w:multiLevelType w:val="hybridMultilevel"/>
    <w:tmpl w:val="7F86B568"/>
    <w:lvl w:ilvl="0" w:tplc="04547150">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AB01D32"/>
    <w:multiLevelType w:val="hybridMultilevel"/>
    <w:tmpl w:val="C3981CE8"/>
    <w:lvl w:ilvl="0" w:tplc="BF709C9E">
      <w:start w:val="1"/>
      <w:numFmt w:val="upp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0" w15:restartNumberingAfterBreak="0">
    <w:nsid w:val="71865EE8"/>
    <w:multiLevelType w:val="hybridMultilevel"/>
    <w:tmpl w:val="22F0B884"/>
    <w:lvl w:ilvl="0" w:tplc="B6F45AEA">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17"/>
  </w:num>
  <w:num w:numId="2">
    <w:abstractNumId w:val="10"/>
  </w:num>
  <w:num w:numId="3">
    <w:abstractNumId w:val="11"/>
  </w:num>
  <w:num w:numId="4">
    <w:abstractNumId w:val="2"/>
  </w:num>
  <w:num w:numId="5">
    <w:abstractNumId w:val="8"/>
  </w:num>
  <w:num w:numId="6">
    <w:abstractNumId w:val="19"/>
  </w:num>
  <w:num w:numId="7">
    <w:abstractNumId w:val="6"/>
  </w:num>
  <w:num w:numId="8">
    <w:abstractNumId w:val="3"/>
  </w:num>
  <w:num w:numId="9">
    <w:abstractNumId w:val="13"/>
  </w:num>
  <w:num w:numId="10">
    <w:abstractNumId w:val="5"/>
  </w:num>
  <w:num w:numId="11">
    <w:abstractNumId w:val="7"/>
  </w:num>
  <w:num w:numId="12">
    <w:abstractNumId w:val="18"/>
  </w:num>
  <w:num w:numId="13">
    <w:abstractNumId w:val="12"/>
  </w:num>
  <w:num w:numId="14">
    <w:abstractNumId w:val="16"/>
  </w:num>
  <w:num w:numId="15">
    <w:abstractNumId w:val="20"/>
  </w:num>
  <w:num w:numId="16">
    <w:abstractNumId w:val="14"/>
  </w:num>
  <w:num w:numId="17">
    <w:abstractNumId w:val="9"/>
  </w:num>
  <w:num w:numId="18">
    <w:abstractNumId w:val="0"/>
  </w:num>
  <w:num w:numId="19">
    <w:abstractNumId w:val="15"/>
  </w:num>
  <w:num w:numId="20">
    <w:abstractNumId w:val="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9E4"/>
    <w:rsid w:val="000042B2"/>
    <w:rsid w:val="00006CA1"/>
    <w:rsid w:val="00006E43"/>
    <w:rsid w:val="00010FDF"/>
    <w:rsid w:val="000129B5"/>
    <w:rsid w:val="00021531"/>
    <w:rsid w:val="00021B6A"/>
    <w:rsid w:val="00024971"/>
    <w:rsid w:val="000349AB"/>
    <w:rsid w:val="00036ECD"/>
    <w:rsid w:val="00040150"/>
    <w:rsid w:val="000457CA"/>
    <w:rsid w:val="000472F0"/>
    <w:rsid w:val="00047A11"/>
    <w:rsid w:val="00050F88"/>
    <w:rsid w:val="00051064"/>
    <w:rsid w:val="00051CC0"/>
    <w:rsid w:val="000522D2"/>
    <w:rsid w:val="0005421D"/>
    <w:rsid w:val="0006304B"/>
    <w:rsid w:val="000636EF"/>
    <w:rsid w:val="00072F0A"/>
    <w:rsid w:val="00073AE9"/>
    <w:rsid w:val="00073FD3"/>
    <w:rsid w:val="00074778"/>
    <w:rsid w:val="00077931"/>
    <w:rsid w:val="00077EBA"/>
    <w:rsid w:val="000809F2"/>
    <w:rsid w:val="00081AAF"/>
    <w:rsid w:val="00084A52"/>
    <w:rsid w:val="000854AB"/>
    <w:rsid w:val="000932AD"/>
    <w:rsid w:val="000A31C0"/>
    <w:rsid w:val="000A411E"/>
    <w:rsid w:val="000A50E3"/>
    <w:rsid w:val="000A5B85"/>
    <w:rsid w:val="000A5E53"/>
    <w:rsid w:val="000A6D8D"/>
    <w:rsid w:val="000B17F7"/>
    <w:rsid w:val="000B3A3D"/>
    <w:rsid w:val="000B6495"/>
    <w:rsid w:val="000B6D3B"/>
    <w:rsid w:val="000C1102"/>
    <w:rsid w:val="000C238C"/>
    <w:rsid w:val="000C26FB"/>
    <w:rsid w:val="000D22CB"/>
    <w:rsid w:val="000D4377"/>
    <w:rsid w:val="000D510B"/>
    <w:rsid w:val="000E0112"/>
    <w:rsid w:val="000E11F0"/>
    <w:rsid w:val="000E6CA4"/>
    <w:rsid w:val="000E78D2"/>
    <w:rsid w:val="000E7D60"/>
    <w:rsid w:val="000F3C36"/>
    <w:rsid w:val="000F63CF"/>
    <w:rsid w:val="000F7F9F"/>
    <w:rsid w:val="001007AD"/>
    <w:rsid w:val="00106A39"/>
    <w:rsid w:val="00106F7F"/>
    <w:rsid w:val="001076E2"/>
    <w:rsid w:val="00107C7C"/>
    <w:rsid w:val="00110CB8"/>
    <w:rsid w:val="00111AC9"/>
    <w:rsid w:val="00113D0E"/>
    <w:rsid w:val="00116300"/>
    <w:rsid w:val="00120266"/>
    <w:rsid w:val="00122FFC"/>
    <w:rsid w:val="00123880"/>
    <w:rsid w:val="001257D2"/>
    <w:rsid w:val="0012687E"/>
    <w:rsid w:val="00127298"/>
    <w:rsid w:val="001273E0"/>
    <w:rsid w:val="00131CBF"/>
    <w:rsid w:val="00133903"/>
    <w:rsid w:val="0013393A"/>
    <w:rsid w:val="00135562"/>
    <w:rsid w:val="001376B2"/>
    <w:rsid w:val="0014003D"/>
    <w:rsid w:val="00140046"/>
    <w:rsid w:val="00140577"/>
    <w:rsid w:val="00140E76"/>
    <w:rsid w:val="00141D2E"/>
    <w:rsid w:val="0014238F"/>
    <w:rsid w:val="0014301F"/>
    <w:rsid w:val="001434FA"/>
    <w:rsid w:val="00144A19"/>
    <w:rsid w:val="00147D49"/>
    <w:rsid w:val="00147DA7"/>
    <w:rsid w:val="001502CC"/>
    <w:rsid w:val="00150A75"/>
    <w:rsid w:val="00155C79"/>
    <w:rsid w:val="00160C0D"/>
    <w:rsid w:val="00162B97"/>
    <w:rsid w:val="001667D4"/>
    <w:rsid w:val="00167CFB"/>
    <w:rsid w:val="00170EAF"/>
    <w:rsid w:val="00171396"/>
    <w:rsid w:val="001715EB"/>
    <w:rsid w:val="00174D14"/>
    <w:rsid w:val="00177C68"/>
    <w:rsid w:val="001814D2"/>
    <w:rsid w:val="001821FC"/>
    <w:rsid w:val="0018562D"/>
    <w:rsid w:val="001869FC"/>
    <w:rsid w:val="00186BD1"/>
    <w:rsid w:val="00187228"/>
    <w:rsid w:val="001875C4"/>
    <w:rsid w:val="00197D8C"/>
    <w:rsid w:val="001A17A1"/>
    <w:rsid w:val="001A1B91"/>
    <w:rsid w:val="001A26AD"/>
    <w:rsid w:val="001A6A13"/>
    <w:rsid w:val="001B34E2"/>
    <w:rsid w:val="001B525E"/>
    <w:rsid w:val="001B706A"/>
    <w:rsid w:val="001B7157"/>
    <w:rsid w:val="001C1868"/>
    <w:rsid w:val="001C3F40"/>
    <w:rsid w:val="001C7132"/>
    <w:rsid w:val="001D0A98"/>
    <w:rsid w:val="001D2165"/>
    <w:rsid w:val="001D2E5F"/>
    <w:rsid w:val="001D31B6"/>
    <w:rsid w:val="001E305A"/>
    <w:rsid w:val="001E31B8"/>
    <w:rsid w:val="001E4D52"/>
    <w:rsid w:val="001F1BFC"/>
    <w:rsid w:val="001F2D19"/>
    <w:rsid w:val="001F7D02"/>
    <w:rsid w:val="00200EC8"/>
    <w:rsid w:val="00201143"/>
    <w:rsid w:val="00205082"/>
    <w:rsid w:val="00205514"/>
    <w:rsid w:val="00206783"/>
    <w:rsid w:val="00206C14"/>
    <w:rsid w:val="00207D69"/>
    <w:rsid w:val="00212A1B"/>
    <w:rsid w:val="0021441A"/>
    <w:rsid w:val="002218FC"/>
    <w:rsid w:val="002236DC"/>
    <w:rsid w:val="00225447"/>
    <w:rsid w:val="002266AD"/>
    <w:rsid w:val="002335A6"/>
    <w:rsid w:val="00235306"/>
    <w:rsid w:val="002364A2"/>
    <w:rsid w:val="00236B7E"/>
    <w:rsid w:val="00236CFE"/>
    <w:rsid w:val="002407B4"/>
    <w:rsid w:val="00240E0D"/>
    <w:rsid w:val="0024529F"/>
    <w:rsid w:val="002468E5"/>
    <w:rsid w:val="00250EAE"/>
    <w:rsid w:val="0025194B"/>
    <w:rsid w:val="002541F7"/>
    <w:rsid w:val="00254385"/>
    <w:rsid w:val="00254F3B"/>
    <w:rsid w:val="00261366"/>
    <w:rsid w:val="00262142"/>
    <w:rsid w:val="002765E7"/>
    <w:rsid w:val="002808CB"/>
    <w:rsid w:val="002852A9"/>
    <w:rsid w:val="00285DEF"/>
    <w:rsid w:val="0028719E"/>
    <w:rsid w:val="00287FEE"/>
    <w:rsid w:val="002928F5"/>
    <w:rsid w:val="00292E88"/>
    <w:rsid w:val="00294069"/>
    <w:rsid w:val="00294AAE"/>
    <w:rsid w:val="002950E3"/>
    <w:rsid w:val="00297CB4"/>
    <w:rsid w:val="002A17C4"/>
    <w:rsid w:val="002A1D7D"/>
    <w:rsid w:val="002A30F4"/>
    <w:rsid w:val="002A395C"/>
    <w:rsid w:val="002A61DD"/>
    <w:rsid w:val="002B2EAE"/>
    <w:rsid w:val="002B31E4"/>
    <w:rsid w:val="002B3D6B"/>
    <w:rsid w:val="002B5930"/>
    <w:rsid w:val="002C2310"/>
    <w:rsid w:val="002C2F57"/>
    <w:rsid w:val="002C3AF3"/>
    <w:rsid w:val="002C4EE9"/>
    <w:rsid w:val="002C678A"/>
    <w:rsid w:val="002D1704"/>
    <w:rsid w:val="002E580D"/>
    <w:rsid w:val="002E6FD6"/>
    <w:rsid w:val="002F3964"/>
    <w:rsid w:val="002F42B9"/>
    <w:rsid w:val="002F56F9"/>
    <w:rsid w:val="00300B66"/>
    <w:rsid w:val="003016D5"/>
    <w:rsid w:val="00302128"/>
    <w:rsid w:val="00302F2A"/>
    <w:rsid w:val="00304B92"/>
    <w:rsid w:val="00312DE1"/>
    <w:rsid w:val="003176EE"/>
    <w:rsid w:val="003248AD"/>
    <w:rsid w:val="00324F3C"/>
    <w:rsid w:val="003304AC"/>
    <w:rsid w:val="003372F2"/>
    <w:rsid w:val="00343FA9"/>
    <w:rsid w:val="003450FA"/>
    <w:rsid w:val="003527E2"/>
    <w:rsid w:val="00355CC8"/>
    <w:rsid w:val="003561F0"/>
    <w:rsid w:val="0036067E"/>
    <w:rsid w:val="003619CF"/>
    <w:rsid w:val="00362258"/>
    <w:rsid w:val="00365C57"/>
    <w:rsid w:val="003661C3"/>
    <w:rsid w:val="0036738E"/>
    <w:rsid w:val="00372BBA"/>
    <w:rsid w:val="00375675"/>
    <w:rsid w:val="00381152"/>
    <w:rsid w:val="00387E68"/>
    <w:rsid w:val="00391ECE"/>
    <w:rsid w:val="00393118"/>
    <w:rsid w:val="00394C70"/>
    <w:rsid w:val="00395F17"/>
    <w:rsid w:val="0039633C"/>
    <w:rsid w:val="00396F31"/>
    <w:rsid w:val="003A0C72"/>
    <w:rsid w:val="003A1447"/>
    <w:rsid w:val="003A2F17"/>
    <w:rsid w:val="003A5C8C"/>
    <w:rsid w:val="003B03DB"/>
    <w:rsid w:val="003B210C"/>
    <w:rsid w:val="003B31CF"/>
    <w:rsid w:val="003B6943"/>
    <w:rsid w:val="003B7EDA"/>
    <w:rsid w:val="003C1C9B"/>
    <w:rsid w:val="003C373A"/>
    <w:rsid w:val="003C5AED"/>
    <w:rsid w:val="003C7809"/>
    <w:rsid w:val="003D0531"/>
    <w:rsid w:val="003D7360"/>
    <w:rsid w:val="003D78B0"/>
    <w:rsid w:val="003D7A47"/>
    <w:rsid w:val="003E0583"/>
    <w:rsid w:val="003E29C9"/>
    <w:rsid w:val="003E5B23"/>
    <w:rsid w:val="003E6F98"/>
    <w:rsid w:val="003F13AB"/>
    <w:rsid w:val="003F3E24"/>
    <w:rsid w:val="003F5462"/>
    <w:rsid w:val="003F5C0A"/>
    <w:rsid w:val="003F5C57"/>
    <w:rsid w:val="003F6F03"/>
    <w:rsid w:val="00405169"/>
    <w:rsid w:val="00412386"/>
    <w:rsid w:val="00412D46"/>
    <w:rsid w:val="00414827"/>
    <w:rsid w:val="00414E01"/>
    <w:rsid w:val="00416423"/>
    <w:rsid w:val="00416980"/>
    <w:rsid w:val="00422FEA"/>
    <w:rsid w:val="00423219"/>
    <w:rsid w:val="00425CDB"/>
    <w:rsid w:val="0042766E"/>
    <w:rsid w:val="0043205C"/>
    <w:rsid w:val="004343DC"/>
    <w:rsid w:val="00434A65"/>
    <w:rsid w:val="00436505"/>
    <w:rsid w:val="0044191E"/>
    <w:rsid w:val="00441957"/>
    <w:rsid w:val="00442BDA"/>
    <w:rsid w:val="00444EF5"/>
    <w:rsid w:val="00446D92"/>
    <w:rsid w:val="00450D43"/>
    <w:rsid w:val="004523D7"/>
    <w:rsid w:val="004525B2"/>
    <w:rsid w:val="0045575A"/>
    <w:rsid w:val="004560D9"/>
    <w:rsid w:val="00456CE1"/>
    <w:rsid w:val="004575E4"/>
    <w:rsid w:val="0046779C"/>
    <w:rsid w:val="004701D3"/>
    <w:rsid w:val="00470D18"/>
    <w:rsid w:val="00471434"/>
    <w:rsid w:val="00472678"/>
    <w:rsid w:val="0047432F"/>
    <w:rsid w:val="004751BA"/>
    <w:rsid w:val="004763A7"/>
    <w:rsid w:val="00477945"/>
    <w:rsid w:val="00477D42"/>
    <w:rsid w:val="0048300A"/>
    <w:rsid w:val="00484E67"/>
    <w:rsid w:val="00486692"/>
    <w:rsid w:val="00486C8C"/>
    <w:rsid w:val="004873E2"/>
    <w:rsid w:val="00487965"/>
    <w:rsid w:val="00490A6E"/>
    <w:rsid w:val="00491513"/>
    <w:rsid w:val="00493241"/>
    <w:rsid w:val="00494570"/>
    <w:rsid w:val="00497727"/>
    <w:rsid w:val="004A1661"/>
    <w:rsid w:val="004A28A6"/>
    <w:rsid w:val="004A664B"/>
    <w:rsid w:val="004B0EFF"/>
    <w:rsid w:val="004B21B5"/>
    <w:rsid w:val="004B3412"/>
    <w:rsid w:val="004B3CA0"/>
    <w:rsid w:val="004C062D"/>
    <w:rsid w:val="004C4A2C"/>
    <w:rsid w:val="004C548D"/>
    <w:rsid w:val="004D1A3B"/>
    <w:rsid w:val="004D20DA"/>
    <w:rsid w:val="004D25AB"/>
    <w:rsid w:val="004D30E3"/>
    <w:rsid w:val="004E1426"/>
    <w:rsid w:val="004E166D"/>
    <w:rsid w:val="004E1E89"/>
    <w:rsid w:val="004E2319"/>
    <w:rsid w:val="004E2C5D"/>
    <w:rsid w:val="004E3C85"/>
    <w:rsid w:val="004E3FDF"/>
    <w:rsid w:val="004E48F2"/>
    <w:rsid w:val="004E4A3B"/>
    <w:rsid w:val="004E503F"/>
    <w:rsid w:val="004E5EA2"/>
    <w:rsid w:val="004E60FD"/>
    <w:rsid w:val="004F0CDB"/>
    <w:rsid w:val="004F330F"/>
    <w:rsid w:val="004F3514"/>
    <w:rsid w:val="004F4CAC"/>
    <w:rsid w:val="004F5B8E"/>
    <w:rsid w:val="00501EDA"/>
    <w:rsid w:val="0050206F"/>
    <w:rsid w:val="005020C4"/>
    <w:rsid w:val="005030EB"/>
    <w:rsid w:val="00504AA4"/>
    <w:rsid w:val="005109D9"/>
    <w:rsid w:val="0051125C"/>
    <w:rsid w:val="00511786"/>
    <w:rsid w:val="005128D5"/>
    <w:rsid w:val="00512F9A"/>
    <w:rsid w:val="005177BD"/>
    <w:rsid w:val="0053344B"/>
    <w:rsid w:val="00534B8A"/>
    <w:rsid w:val="00535BE1"/>
    <w:rsid w:val="00535E6C"/>
    <w:rsid w:val="00537DE8"/>
    <w:rsid w:val="00537F74"/>
    <w:rsid w:val="0054455B"/>
    <w:rsid w:val="00545155"/>
    <w:rsid w:val="00545750"/>
    <w:rsid w:val="0055452A"/>
    <w:rsid w:val="00555F2F"/>
    <w:rsid w:val="00556435"/>
    <w:rsid w:val="00556858"/>
    <w:rsid w:val="00556C5F"/>
    <w:rsid w:val="00556D0C"/>
    <w:rsid w:val="00560306"/>
    <w:rsid w:val="005611A6"/>
    <w:rsid w:val="0056423C"/>
    <w:rsid w:val="005659AD"/>
    <w:rsid w:val="00574FBC"/>
    <w:rsid w:val="005757CA"/>
    <w:rsid w:val="00576E0D"/>
    <w:rsid w:val="005820B1"/>
    <w:rsid w:val="005825D9"/>
    <w:rsid w:val="00583105"/>
    <w:rsid w:val="00585F14"/>
    <w:rsid w:val="0058649B"/>
    <w:rsid w:val="00591B2E"/>
    <w:rsid w:val="00593D83"/>
    <w:rsid w:val="00595094"/>
    <w:rsid w:val="005950E7"/>
    <w:rsid w:val="0059592F"/>
    <w:rsid w:val="005959BC"/>
    <w:rsid w:val="00596649"/>
    <w:rsid w:val="00596E41"/>
    <w:rsid w:val="005A1499"/>
    <w:rsid w:val="005A2A6D"/>
    <w:rsid w:val="005A4DE8"/>
    <w:rsid w:val="005A721A"/>
    <w:rsid w:val="005B523D"/>
    <w:rsid w:val="005B710F"/>
    <w:rsid w:val="005B7840"/>
    <w:rsid w:val="005C05A0"/>
    <w:rsid w:val="005C0B49"/>
    <w:rsid w:val="005C0FCB"/>
    <w:rsid w:val="005C15FE"/>
    <w:rsid w:val="005C3A68"/>
    <w:rsid w:val="005C4CB0"/>
    <w:rsid w:val="005C6F1B"/>
    <w:rsid w:val="005D05C7"/>
    <w:rsid w:val="005D17E4"/>
    <w:rsid w:val="005D1E90"/>
    <w:rsid w:val="005D31D2"/>
    <w:rsid w:val="005D4E85"/>
    <w:rsid w:val="005D7818"/>
    <w:rsid w:val="005D7BD5"/>
    <w:rsid w:val="005E210D"/>
    <w:rsid w:val="005E3DB0"/>
    <w:rsid w:val="005E5FD0"/>
    <w:rsid w:val="005E65C3"/>
    <w:rsid w:val="005F0466"/>
    <w:rsid w:val="005F06F0"/>
    <w:rsid w:val="005F10E4"/>
    <w:rsid w:val="005F5222"/>
    <w:rsid w:val="005F5CF2"/>
    <w:rsid w:val="00601682"/>
    <w:rsid w:val="006017A4"/>
    <w:rsid w:val="00601E1A"/>
    <w:rsid w:val="0060317C"/>
    <w:rsid w:val="006058F8"/>
    <w:rsid w:val="00610570"/>
    <w:rsid w:val="006123F0"/>
    <w:rsid w:val="006133E9"/>
    <w:rsid w:val="0061510A"/>
    <w:rsid w:val="0061757E"/>
    <w:rsid w:val="00617970"/>
    <w:rsid w:val="00626F79"/>
    <w:rsid w:val="006279CB"/>
    <w:rsid w:val="0063292F"/>
    <w:rsid w:val="00633AB0"/>
    <w:rsid w:val="0063762C"/>
    <w:rsid w:val="006411BA"/>
    <w:rsid w:val="006434F1"/>
    <w:rsid w:val="006454BE"/>
    <w:rsid w:val="00645564"/>
    <w:rsid w:val="006458E0"/>
    <w:rsid w:val="00645AD7"/>
    <w:rsid w:val="00646438"/>
    <w:rsid w:val="00647277"/>
    <w:rsid w:val="006529AB"/>
    <w:rsid w:val="00656A94"/>
    <w:rsid w:val="00664BFA"/>
    <w:rsid w:val="00665AE2"/>
    <w:rsid w:val="00666672"/>
    <w:rsid w:val="00667E2D"/>
    <w:rsid w:val="00670A67"/>
    <w:rsid w:val="00672A50"/>
    <w:rsid w:val="00673958"/>
    <w:rsid w:val="00674A22"/>
    <w:rsid w:val="0067657E"/>
    <w:rsid w:val="00677110"/>
    <w:rsid w:val="00681DC1"/>
    <w:rsid w:val="00682238"/>
    <w:rsid w:val="0068257F"/>
    <w:rsid w:val="00682FC6"/>
    <w:rsid w:val="006854B3"/>
    <w:rsid w:val="00686BEF"/>
    <w:rsid w:val="006921E2"/>
    <w:rsid w:val="0069519B"/>
    <w:rsid w:val="0069585E"/>
    <w:rsid w:val="00696498"/>
    <w:rsid w:val="00697E6D"/>
    <w:rsid w:val="006A5DB3"/>
    <w:rsid w:val="006A7DD1"/>
    <w:rsid w:val="006B3990"/>
    <w:rsid w:val="006B6E61"/>
    <w:rsid w:val="006B708C"/>
    <w:rsid w:val="006D401A"/>
    <w:rsid w:val="006D56B0"/>
    <w:rsid w:val="006D5EC4"/>
    <w:rsid w:val="006D6B88"/>
    <w:rsid w:val="006D7D5B"/>
    <w:rsid w:val="006E1B94"/>
    <w:rsid w:val="006E7F90"/>
    <w:rsid w:val="006F2186"/>
    <w:rsid w:val="006F2936"/>
    <w:rsid w:val="006F3EB5"/>
    <w:rsid w:val="006F4343"/>
    <w:rsid w:val="006F44BE"/>
    <w:rsid w:val="007027CA"/>
    <w:rsid w:val="0070507D"/>
    <w:rsid w:val="00706D0D"/>
    <w:rsid w:val="007072BD"/>
    <w:rsid w:val="00707DF8"/>
    <w:rsid w:val="007111BB"/>
    <w:rsid w:val="0071691C"/>
    <w:rsid w:val="007236B7"/>
    <w:rsid w:val="00724648"/>
    <w:rsid w:val="00724AC3"/>
    <w:rsid w:val="0072644B"/>
    <w:rsid w:val="00731395"/>
    <w:rsid w:val="00732F5C"/>
    <w:rsid w:val="00733652"/>
    <w:rsid w:val="00733C8F"/>
    <w:rsid w:val="0073407C"/>
    <w:rsid w:val="0073476E"/>
    <w:rsid w:val="00734B41"/>
    <w:rsid w:val="0073697E"/>
    <w:rsid w:val="00742DC1"/>
    <w:rsid w:val="00744B67"/>
    <w:rsid w:val="00744F4F"/>
    <w:rsid w:val="0074586D"/>
    <w:rsid w:val="00745F5F"/>
    <w:rsid w:val="00747D5F"/>
    <w:rsid w:val="00750AC7"/>
    <w:rsid w:val="00751212"/>
    <w:rsid w:val="00752CFC"/>
    <w:rsid w:val="0075443B"/>
    <w:rsid w:val="00755811"/>
    <w:rsid w:val="00757034"/>
    <w:rsid w:val="0076456F"/>
    <w:rsid w:val="0076502C"/>
    <w:rsid w:val="007666E8"/>
    <w:rsid w:val="0076677B"/>
    <w:rsid w:val="0077511C"/>
    <w:rsid w:val="007842A7"/>
    <w:rsid w:val="00787881"/>
    <w:rsid w:val="007A26B0"/>
    <w:rsid w:val="007A6629"/>
    <w:rsid w:val="007A73E8"/>
    <w:rsid w:val="007B27BD"/>
    <w:rsid w:val="007B325A"/>
    <w:rsid w:val="007B3821"/>
    <w:rsid w:val="007B47AA"/>
    <w:rsid w:val="007B4DA4"/>
    <w:rsid w:val="007B72C7"/>
    <w:rsid w:val="007C5445"/>
    <w:rsid w:val="007D01E9"/>
    <w:rsid w:val="007D1E8C"/>
    <w:rsid w:val="007D71E2"/>
    <w:rsid w:val="007E129B"/>
    <w:rsid w:val="007E146B"/>
    <w:rsid w:val="007E1652"/>
    <w:rsid w:val="007E1CFD"/>
    <w:rsid w:val="007F1666"/>
    <w:rsid w:val="007F4037"/>
    <w:rsid w:val="0080104E"/>
    <w:rsid w:val="00802432"/>
    <w:rsid w:val="00802708"/>
    <w:rsid w:val="00802DFF"/>
    <w:rsid w:val="00804E2C"/>
    <w:rsid w:val="0080538A"/>
    <w:rsid w:val="00810017"/>
    <w:rsid w:val="00810C7B"/>
    <w:rsid w:val="0081630C"/>
    <w:rsid w:val="00816CD9"/>
    <w:rsid w:val="00821DCA"/>
    <w:rsid w:val="00823B26"/>
    <w:rsid w:val="008242E1"/>
    <w:rsid w:val="00824446"/>
    <w:rsid w:val="008256BF"/>
    <w:rsid w:val="00830152"/>
    <w:rsid w:val="008316AE"/>
    <w:rsid w:val="008318AD"/>
    <w:rsid w:val="00832A0B"/>
    <w:rsid w:val="00832B36"/>
    <w:rsid w:val="0083681E"/>
    <w:rsid w:val="008369DA"/>
    <w:rsid w:val="00845EFA"/>
    <w:rsid w:val="0084698F"/>
    <w:rsid w:val="008516C7"/>
    <w:rsid w:val="00851E58"/>
    <w:rsid w:val="008531BB"/>
    <w:rsid w:val="008543C5"/>
    <w:rsid w:val="008553D6"/>
    <w:rsid w:val="00856244"/>
    <w:rsid w:val="0085645E"/>
    <w:rsid w:val="00861BC2"/>
    <w:rsid w:val="00862DC0"/>
    <w:rsid w:val="00862E3E"/>
    <w:rsid w:val="0086526A"/>
    <w:rsid w:val="008658F9"/>
    <w:rsid w:val="00870823"/>
    <w:rsid w:val="0087197E"/>
    <w:rsid w:val="00872119"/>
    <w:rsid w:val="00877EC5"/>
    <w:rsid w:val="00880001"/>
    <w:rsid w:val="00882891"/>
    <w:rsid w:val="00885F1B"/>
    <w:rsid w:val="00892A55"/>
    <w:rsid w:val="00893EBA"/>
    <w:rsid w:val="008949E2"/>
    <w:rsid w:val="008A1341"/>
    <w:rsid w:val="008A1C27"/>
    <w:rsid w:val="008A211E"/>
    <w:rsid w:val="008A271A"/>
    <w:rsid w:val="008A4B90"/>
    <w:rsid w:val="008B047A"/>
    <w:rsid w:val="008B173D"/>
    <w:rsid w:val="008B3B70"/>
    <w:rsid w:val="008B6697"/>
    <w:rsid w:val="008B6FE7"/>
    <w:rsid w:val="008B7C6C"/>
    <w:rsid w:val="008C30C1"/>
    <w:rsid w:val="008C5528"/>
    <w:rsid w:val="008C608D"/>
    <w:rsid w:val="008D171F"/>
    <w:rsid w:val="008D598C"/>
    <w:rsid w:val="008D6AF1"/>
    <w:rsid w:val="008E1851"/>
    <w:rsid w:val="008E286A"/>
    <w:rsid w:val="008E36CE"/>
    <w:rsid w:val="008E4A85"/>
    <w:rsid w:val="008F02CA"/>
    <w:rsid w:val="008F2A9D"/>
    <w:rsid w:val="008F6353"/>
    <w:rsid w:val="0090136C"/>
    <w:rsid w:val="00901BF9"/>
    <w:rsid w:val="00902DD9"/>
    <w:rsid w:val="00906517"/>
    <w:rsid w:val="00916E1C"/>
    <w:rsid w:val="0091795F"/>
    <w:rsid w:val="00917E35"/>
    <w:rsid w:val="00921B73"/>
    <w:rsid w:val="00922259"/>
    <w:rsid w:val="00922C58"/>
    <w:rsid w:val="00924D83"/>
    <w:rsid w:val="009268D5"/>
    <w:rsid w:val="00927AAD"/>
    <w:rsid w:val="009303C1"/>
    <w:rsid w:val="00930D6C"/>
    <w:rsid w:val="00931B0A"/>
    <w:rsid w:val="0093250C"/>
    <w:rsid w:val="009332F7"/>
    <w:rsid w:val="0093514B"/>
    <w:rsid w:val="00935D71"/>
    <w:rsid w:val="00940020"/>
    <w:rsid w:val="009405AB"/>
    <w:rsid w:val="00943E78"/>
    <w:rsid w:val="00945CD8"/>
    <w:rsid w:val="00946A0A"/>
    <w:rsid w:val="009532DC"/>
    <w:rsid w:val="00953CE8"/>
    <w:rsid w:val="00956956"/>
    <w:rsid w:val="00960000"/>
    <w:rsid w:val="00962705"/>
    <w:rsid w:val="00964D16"/>
    <w:rsid w:val="00967D9D"/>
    <w:rsid w:val="0097524E"/>
    <w:rsid w:val="00977C6D"/>
    <w:rsid w:val="00980670"/>
    <w:rsid w:val="00980F45"/>
    <w:rsid w:val="00981997"/>
    <w:rsid w:val="00981A7A"/>
    <w:rsid w:val="00981C55"/>
    <w:rsid w:val="00983694"/>
    <w:rsid w:val="0098436C"/>
    <w:rsid w:val="009857C6"/>
    <w:rsid w:val="00990AB9"/>
    <w:rsid w:val="00992A5C"/>
    <w:rsid w:val="00992AF1"/>
    <w:rsid w:val="00992F4C"/>
    <w:rsid w:val="00993A43"/>
    <w:rsid w:val="00993AB9"/>
    <w:rsid w:val="0099555F"/>
    <w:rsid w:val="009A1ACA"/>
    <w:rsid w:val="009A30A1"/>
    <w:rsid w:val="009A5B11"/>
    <w:rsid w:val="009A6AD5"/>
    <w:rsid w:val="009A732F"/>
    <w:rsid w:val="009A7452"/>
    <w:rsid w:val="009B008A"/>
    <w:rsid w:val="009B2574"/>
    <w:rsid w:val="009B4318"/>
    <w:rsid w:val="009B5313"/>
    <w:rsid w:val="009B76CC"/>
    <w:rsid w:val="009C1B91"/>
    <w:rsid w:val="009C1C20"/>
    <w:rsid w:val="009C3AB5"/>
    <w:rsid w:val="009C467F"/>
    <w:rsid w:val="009C5882"/>
    <w:rsid w:val="009D196E"/>
    <w:rsid w:val="009D1A4A"/>
    <w:rsid w:val="009D5550"/>
    <w:rsid w:val="009E0383"/>
    <w:rsid w:val="009E3EE3"/>
    <w:rsid w:val="009E498B"/>
    <w:rsid w:val="009E4D6D"/>
    <w:rsid w:val="009E703F"/>
    <w:rsid w:val="009F1341"/>
    <w:rsid w:val="009F1804"/>
    <w:rsid w:val="00A001D4"/>
    <w:rsid w:val="00A0485B"/>
    <w:rsid w:val="00A07AFB"/>
    <w:rsid w:val="00A15047"/>
    <w:rsid w:val="00A151C4"/>
    <w:rsid w:val="00A16EF6"/>
    <w:rsid w:val="00A17FC6"/>
    <w:rsid w:val="00A20DC8"/>
    <w:rsid w:val="00A2196A"/>
    <w:rsid w:val="00A21D52"/>
    <w:rsid w:val="00A229A4"/>
    <w:rsid w:val="00A22F87"/>
    <w:rsid w:val="00A23234"/>
    <w:rsid w:val="00A23E5A"/>
    <w:rsid w:val="00A240A2"/>
    <w:rsid w:val="00A2455A"/>
    <w:rsid w:val="00A315FE"/>
    <w:rsid w:val="00A32DA0"/>
    <w:rsid w:val="00A33BE6"/>
    <w:rsid w:val="00A54580"/>
    <w:rsid w:val="00A55776"/>
    <w:rsid w:val="00A55939"/>
    <w:rsid w:val="00A55E33"/>
    <w:rsid w:val="00A57465"/>
    <w:rsid w:val="00A61BAF"/>
    <w:rsid w:val="00A66B18"/>
    <w:rsid w:val="00A70AC3"/>
    <w:rsid w:val="00A72028"/>
    <w:rsid w:val="00A730B3"/>
    <w:rsid w:val="00A75B2E"/>
    <w:rsid w:val="00A76606"/>
    <w:rsid w:val="00A771CD"/>
    <w:rsid w:val="00A82420"/>
    <w:rsid w:val="00A83E4B"/>
    <w:rsid w:val="00A856FE"/>
    <w:rsid w:val="00A85E28"/>
    <w:rsid w:val="00A90602"/>
    <w:rsid w:val="00A91B4F"/>
    <w:rsid w:val="00A93C3D"/>
    <w:rsid w:val="00A958AA"/>
    <w:rsid w:val="00A97658"/>
    <w:rsid w:val="00AA1026"/>
    <w:rsid w:val="00AA2874"/>
    <w:rsid w:val="00AA320E"/>
    <w:rsid w:val="00AA7B6A"/>
    <w:rsid w:val="00AB0C9C"/>
    <w:rsid w:val="00AB1A1A"/>
    <w:rsid w:val="00AB4BB2"/>
    <w:rsid w:val="00AB5ED0"/>
    <w:rsid w:val="00AB6561"/>
    <w:rsid w:val="00AB77C1"/>
    <w:rsid w:val="00AC00DD"/>
    <w:rsid w:val="00AC066B"/>
    <w:rsid w:val="00AC387C"/>
    <w:rsid w:val="00AC5D58"/>
    <w:rsid w:val="00AC73AE"/>
    <w:rsid w:val="00AD073D"/>
    <w:rsid w:val="00AD313F"/>
    <w:rsid w:val="00AD3F26"/>
    <w:rsid w:val="00AD5B29"/>
    <w:rsid w:val="00AE1D3A"/>
    <w:rsid w:val="00AE2A80"/>
    <w:rsid w:val="00AE5427"/>
    <w:rsid w:val="00AE6828"/>
    <w:rsid w:val="00AE7D3D"/>
    <w:rsid w:val="00AF416A"/>
    <w:rsid w:val="00AF5822"/>
    <w:rsid w:val="00AF5D86"/>
    <w:rsid w:val="00AF609D"/>
    <w:rsid w:val="00B05CA4"/>
    <w:rsid w:val="00B0664E"/>
    <w:rsid w:val="00B10595"/>
    <w:rsid w:val="00B1154D"/>
    <w:rsid w:val="00B117F6"/>
    <w:rsid w:val="00B13E53"/>
    <w:rsid w:val="00B208E4"/>
    <w:rsid w:val="00B229E2"/>
    <w:rsid w:val="00B2379B"/>
    <w:rsid w:val="00B23E86"/>
    <w:rsid w:val="00B25B93"/>
    <w:rsid w:val="00B25FCF"/>
    <w:rsid w:val="00B27009"/>
    <w:rsid w:val="00B304D0"/>
    <w:rsid w:val="00B3122B"/>
    <w:rsid w:val="00B312D3"/>
    <w:rsid w:val="00B32B5D"/>
    <w:rsid w:val="00B3459B"/>
    <w:rsid w:val="00B3611A"/>
    <w:rsid w:val="00B3690A"/>
    <w:rsid w:val="00B409B4"/>
    <w:rsid w:val="00B41A4C"/>
    <w:rsid w:val="00B4602D"/>
    <w:rsid w:val="00B460CD"/>
    <w:rsid w:val="00B46E68"/>
    <w:rsid w:val="00B47F33"/>
    <w:rsid w:val="00B511CE"/>
    <w:rsid w:val="00B51322"/>
    <w:rsid w:val="00B53C17"/>
    <w:rsid w:val="00B55812"/>
    <w:rsid w:val="00B57268"/>
    <w:rsid w:val="00B6173D"/>
    <w:rsid w:val="00B61B99"/>
    <w:rsid w:val="00B642AF"/>
    <w:rsid w:val="00B64DD4"/>
    <w:rsid w:val="00B658C2"/>
    <w:rsid w:val="00B70359"/>
    <w:rsid w:val="00B70D1F"/>
    <w:rsid w:val="00B72047"/>
    <w:rsid w:val="00B7390F"/>
    <w:rsid w:val="00B74EF0"/>
    <w:rsid w:val="00B7540F"/>
    <w:rsid w:val="00B75F1F"/>
    <w:rsid w:val="00B76218"/>
    <w:rsid w:val="00B8149E"/>
    <w:rsid w:val="00B866F5"/>
    <w:rsid w:val="00B90CCA"/>
    <w:rsid w:val="00B90DF8"/>
    <w:rsid w:val="00B969D1"/>
    <w:rsid w:val="00BA23BF"/>
    <w:rsid w:val="00BA404F"/>
    <w:rsid w:val="00BA67BA"/>
    <w:rsid w:val="00BB082D"/>
    <w:rsid w:val="00BB1CAE"/>
    <w:rsid w:val="00BB22B3"/>
    <w:rsid w:val="00BB2735"/>
    <w:rsid w:val="00BB2EBC"/>
    <w:rsid w:val="00BB5206"/>
    <w:rsid w:val="00BB735F"/>
    <w:rsid w:val="00BC1498"/>
    <w:rsid w:val="00BC3829"/>
    <w:rsid w:val="00BC3C65"/>
    <w:rsid w:val="00BC6E61"/>
    <w:rsid w:val="00BC770E"/>
    <w:rsid w:val="00BD3940"/>
    <w:rsid w:val="00BE2647"/>
    <w:rsid w:val="00BE34E2"/>
    <w:rsid w:val="00BE3776"/>
    <w:rsid w:val="00BE7983"/>
    <w:rsid w:val="00BF000D"/>
    <w:rsid w:val="00BF1B41"/>
    <w:rsid w:val="00BF33F1"/>
    <w:rsid w:val="00BF418C"/>
    <w:rsid w:val="00BF5157"/>
    <w:rsid w:val="00BF633A"/>
    <w:rsid w:val="00BF69D3"/>
    <w:rsid w:val="00C02671"/>
    <w:rsid w:val="00C07298"/>
    <w:rsid w:val="00C074FC"/>
    <w:rsid w:val="00C12078"/>
    <w:rsid w:val="00C13437"/>
    <w:rsid w:val="00C13EA2"/>
    <w:rsid w:val="00C15B5D"/>
    <w:rsid w:val="00C1602C"/>
    <w:rsid w:val="00C16312"/>
    <w:rsid w:val="00C2221E"/>
    <w:rsid w:val="00C22DE9"/>
    <w:rsid w:val="00C25678"/>
    <w:rsid w:val="00C259DB"/>
    <w:rsid w:val="00C30E3D"/>
    <w:rsid w:val="00C30F7C"/>
    <w:rsid w:val="00C32BE0"/>
    <w:rsid w:val="00C32F5C"/>
    <w:rsid w:val="00C33394"/>
    <w:rsid w:val="00C33DA7"/>
    <w:rsid w:val="00C46B75"/>
    <w:rsid w:val="00C501C9"/>
    <w:rsid w:val="00C50C93"/>
    <w:rsid w:val="00C5571B"/>
    <w:rsid w:val="00C57834"/>
    <w:rsid w:val="00C60048"/>
    <w:rsid w:val="00C60A41"/>
    <w:rsid w:val="00C614D0"/>
    <w:rsid w:val="00C631A2"/>
    <w:rsid w:val="00C656F9"/>
    <w:rsid w:val="00C66738"/>
    <w:rsid w:val="00C66F53"/>
    <w:rsid w:val="00C677F7"/>
    <w:rsid w:val="00C70D4C"/>
    <w:rsid w:val="00C739E4"/>
    <w:rsid w:val="00C73A28"/>
    <w:rsid w:val="00C73DCD"/>
    <w:rsid w:val="00C747B0"/>
    <w:rsid w:val="00C74CE4"/>
    <w:rsid w:val="00C765E9"/>
    <w:rsid w:val="00C76610"/>
    <w:rsid w:val="00C773D3"/>
    <w:rsid w:val="00C82A5B"/>
    <w:rsid w:val="00C840EC"/>
    <w:rsid w:val="00C871C7"/>
    <w:rsid w:val="00C92FF5"/>
    <w:rsid w:val="00C938C6"/>
    <w:rsid w:val="00CA3ACC"/>
    <w:rsid w:val="00CA3E12"/>
    <w:rsid w:val="00CA5669"/>
    <w:rsid w:val="00CA60A3"/>
    <w:rsid w:val="00CA78BB"/>
    <w:rsid w:val="00CA7B9A"/>
    <w:rsid w:val="00CB05A5"/>
    <w:rsid w:val="00CB2E82"/>
    <w:rsid w:val="00CB6317"/>
    <w:rsid w:val="00CC6739"/>
    <w:rsid w:val="00CD0275"/>
    <w:rsid w:val="00CD1EF5"/>
    <w:rsid w:val="00CD78DD"/>
    <w:rsid w:val="00CE09C0"/>
    <w:rsid w:val="00CE326D"/>
    <w:rsid w:val="00CF3936"/>
    <w:rsid w:val="00CF5053"/>
    <w:rsid w:val="00CF64BF"/>
    <w:rsid w:val="00CF70BC"/>
    <w:rsid w:val="00CF7D72"/>
    <w:rsid w:val="00D032E9"/>
    <w:rsid w:val="00D06C24"/>
    <w:rsid w:val="00D06EEB"/>
    <w:rsid w:val="00D10ADA"/>
    <w:rsid w:val="00D120E9"/>
    <w:rsid w:val="00D13B70"/>
    <w:rsid w:val="00D203F5"/>
    <w:rsid w:val="00D20C67"/>
    <w:rsid w:val="00D211B4"/>
    <w:rsid w:val="00D211D2"/>
    <w:rsid w:val="00D26BD0"/>
    <w:rsid w:val="00D26CE4"/>
    <w:rsid w:val="00D30689"/>
    <w:rsid w:val="00D31037"/>
    <w:rsid w:val="00D317B1"/>
    <w:rsid w:val="00D3377E"/>
    <w:rsid w:val="00D35312"/>
    <w:rsid w:val="00D43C18"/>
    <w:rsid w:val="00D45350"/>
    <w:rsid w:val="00D45908"/>
    <w:rsid w:val="00D46D1D"/>
    <w:rsid w:val="00D5104F"/>
    <w:rsid w:val="00D54006"/>
    <w:rsid w:val="00D545E9"/>
    <w:rsid w:val="00D56311"/>
    <w:rsid w:val="00D5761B"/>
    <w:rsid w:val="00D57D1F"/>
    <w:rsid w:val="00D61007"/>
    <w:rsid w:val="00D61930"/>
    <w:rsid w:val="00D62A76"/>
    <w:rsid w:val="00D65EAE"/>
    <w:rsid w:val="00D66EBF"/>
    <w:rsid w:val="00D66F4B"/>
    <w:rsid w:val="00D70331"/>
    <w:rsid w:val="00D7273F"/>
    <w:rsid w:val="00D7295E"/>
    <w:rsid w:val="00D760E0"/>
    <w:rsid w:val="00D80DA3"/>
    <w:rsid w:val="00D83359"/>
    <w:rsid w:val="00D84D6C"/>
    <w:rsid w:val="00D8762A"/>
    <w:rsid w:val="00DA3DD6"/>
    <w:rsid w:val="00DA53FF"/>
    <w:rsid w:val="00DA766B"/>
    <w:rsid w:val="00DB0D32"/>
    <w:rsid w:val="00DB355F"/>
    <w:rsid w:val="00DB3D7D"/>
    <w:rsid w:val="00DC2BDE"/>
    <w:rsid w:val="00DC36DF"/>
    <w:rsid w:val="00DC391C"/>
    <w:rsid w:val="00DC3D6F"/>
    <w:rsid w:val="00DD12AE"/>
    <w:rsid w:val="00DD14AB"/>
    <w:rsid w:val="00DD27E1"/>
    <w:rsid w:val="00DD65BA"/>
    <w:rsid w:val="00DD7896"/>
    <w:rsid w:val="00DE03D3"/>
    <w:rsid w:val="00DE0414"/>
    <w:rsid w:val="00DE5003"/>
    <w:rsid w:val="00DE5298"/>
    <w:rsid w:val="00DE6C61"/>
    <w:rsid w:val="00DF0DB6"/>
    <w:rsid w:val="00DF5112"/>
    <w:rsid w:val="00DF548B"/>
    <w:rsid w:val="00DF65F0"/>
    <w:rsid w:val="00DF7097"/>
    <w:rsid w:val="00DF7CB7"/>
    <w:rsid w:val="00E06176"/>
    <w:rsid w:val="00E07B1C"/>
    <w:rsid w:val="00E10ABB"/>
    <w:rsid w:val="00E10FB4"/>
    <w:rsid w:val="00E116F3"/>
    <w:rsid w:val="00E1616E"/>
    <w:rsid w:val="00E1640E"/>
    <w:rsid w:val="00E20178"/>
    <w:rsid w:val="00E215CA"/>
    <w:rsid w:val="00E21B9C"/>
    <w:rsid w:val="00E23ADB"/>
    <w:rsid w:val="00E27546"/>
    <w:rsid w:val="00E31EE6"/>
    <w:rsid w:val="00E324F0"/>
    <w:rsid w:val="00E325B9"/>
    <w:rsid w:val="00E32EDF"/>
    <w:rsid w:val="00E35570"/>
    <w:rsid w:val="00E35AF2"/>
    <w:rsid w:val="00E36A09"/>
    <w:rsid w:val="00E37DAC"/>
    <w:rsid w:val="00E432F9"/>
    <w:rsid w:val="00E54835"/>
    <w:rsid w:val="00E54F00"/>
    <w:rsid w:val="00E56F18"/>
    <w:rsid w:val="00E57416"/>
    <w:rsid w:val="00E57664"/>
    <w:rsid w:val="00E63D98"/>
    <w:rsid w:val="00E730CD"/>
    <w:rsid w:val="00E73378"/>
    <w:rsid w:val="00E73B32"/>
    <w:rsid w:val="00E73F68"/>
    <w:rsid w:val="00E73FF6"/>
    <w:rsid w:val="00E83DB1"/>
    <w:rsid w:val="00E84D39"/>
    <w:rsid w:val="00E85917"/>
    <w:rsid w:val="00E87D44"/>
    <w:rsid w:val="00E9040C"/>
    <w:rsid w:val="00E9271F"/>
    <w:rsid w:val="00E9321A"/>
    <w:rsid w:val="00E94045"/>
    <w:rsid w:val="00E94D9B"/>
    <w:rsid w:val="00E94DC7"/>
    <w:rsid w:val="00EB1905"/>
    <w:rsid w:val="00EB6F8C"/>
    <w:rsid w:val="00EC2D2C"/>
    <w:rsid w:val="00EC47FB"/>
    <w:rsid w:val="00EC49C3"/>
    <w:rsid w:val="00ED27F7"/>
    <w:rsid w:val="00ED358C"/>
    <w:rsid w:val="00ED3BA5"/>
    <w:rsid w:val="00ED5DE8"/>
    <w:rsid w:val="00ED6181"/>
    <w:rsid w:val="00ED7CEE"/>
    <w:rsid w:val="00EE1020"/>
    <w:rsid w:val="00EE173F"/>
    <w:rsid w:val="00EE1F39"/>
    <w:rsid w:val="00EE2178"/>
    <w:rsid w:val="00EE267A"/>
    <w:rsid w:val="00EE4938"/>
    <w:rsid w:val="00EE5331"/>
    <w:rsid w:val="00EE6E76"/>
    <w:rsid w:val="00EE7846"/>
    <w:rsid w:val="00EF50D4"/>
    <w:rsid w:val="00F014BC"/>
    <w:rsid w:val="00F02024"/>
    <w:rsid w:val="00F0469C"/>
    <w:rsid w:val="00F04857"/>
    <w:rsid w:val="00F05182"/>
    <w:rsid w:val="00F071E0"/>
    <w:rsid w:val="00F1129B"/>
    <w:rsid w:val="00F12C5E"/>
    <w:rsid w:val="00F136C1"/>
    <w:rsid w:val="00F163F4"/>
    <w:rsid w:val="00F16EA9"/>
    <w:rsid w:val="00F20CD1"/>
    <w:rsid w:val="00F26D97"/>
    <w:rsid w:val="00F26F89"/>
    <w:rsid w:val="00F3300B"/>
    <w:rsid w:val="00F35611"/>
    <w:rsid w:val="00F36C2E"/>
    <w:rsid w:val="00F403B0"/>
    <w:rsid w:val="00F41951"/>
    <w:rsid w:val="00F425F9"/>
    <w:rsid w:val="00F42E42"/>
    <w:rsid w:val="00F434E3"/>
    <w:rsid w:val="00F44F19"/>
    <w:rsid w:val="00F47FAB"/>
    <w:rsid w:val="00F516F9"/>
    <w:rsid w:val="00F53DA8"/>
    <w:rsid w:val="00F5690F"/>
    <w:rsid w:val="00F5780C"/>
    <w:rsid w:val="00F57EA3"/>
    <w:rsid w:val="00F616D2"/>
    <w:rsid w:val="00F62DFF"/>
    <w:rsid w:val="00F63506"/>
    <w:rsid w:val="00F64068"/>
    <w:rsid w:val="00F648FA"/>
    <w:rsid w:val="00F6588E"/>
    <w:rsid w:val="00F718C9"/>
    <w:rsid w:val="00F72966"/>
    <w:rsid w:val="00F73D8B"/>
    <w:rsid w:val="00F75009"/>
    <w:rsid w:val="00F76E96"/>
    <w:rsid w:val="00F7768D"/>
    <w:rsid w:val="00F779D8"/>
    <w:rsid w:val="00F77A7E"/>
    <w:rsid w:val="00F77ADC"/>
    <w:rsid w:val="00F817CF"/>
    <w:rsid w:val="00F81BFD"/>
    <w:rsid w:val="00F827CF"/>
    <w:rsid w:val="00F830B1"/>
    <w:rsid w:val="00F84662"/>
    <w:rsid w:val="00F85B94"/>
    <w:rsid w:val="00F85D8A"/>
    <w:rsid w:val="00F85DEA"/>
    <w:rsid w:val="00F8776C"/>
    <w:rsid w:val="00F92337"/>
    <w:rsid w:val="00F92BD2"/>
    <w:rsid w:val="00F94B8C"/>
    <w:rsid w:val="00F972D8"/>
    <w:rsid w:val="00FA0A9D"/>
    <w:rsid w:val="00FA1058"/>
    <w:rsid w:val="00FA140C"/>
    <w:rsid w:val="00FA17BB"/>
    <w:rsid w:val="00FA1B58"/>
    <w:rsid w:val="00FA4869"/>
    <w:rsid w:val="00FA5452"/>
    <w:rsid w:val="00FA6CA9"/>
    <w:rsid w:val="00FA7728"/>
    <w:rsid w:val="00FB291A"/>
    <w:rsid w:val="00FB487E"/>
    <w:rsid w:val="00FB4F16"/>
    <w:rsid w:val="00FB5EBF"/>
    <w:rsid w:val="00FB7048"/>
    <w:rsid w:val="00FB77D6"/>
    <w:rsid w:val="00FC0F18"/>
    <w:rsid w:val="00FC3B13"/>
    <w:rsid w:val="00FC4FA0"/>
    <w:rsid w:val="00FC7B30"/>
    <w:rsid w:val="00FD0EE7"/>
    <w:rsid w:val="00FD14F1"/>
    <w:rsid w:val="00FD2CFE"/>
    <w:rsid w:val="00FD325F"/>
    <w:rsid w:val="00FD7080"/>
    <w:rsid w:val="00FE118C"/>
    <w:rsid w:val="00FE4A4F"/>
    <w:rsid w:val="00FF08E9"/>
    <w:rsid w:val="00FF6F66"/>
    <w:rsid w:val="00FF7E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94186"/>
  <w15:chartTrackingRefBased/>
  <w15:docId w15:val="{5BB23A7B-6D38-4E79-B602-00BD89159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B47A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xmsonormal">
    <w:name w:val="x_msonormal"/>
    <w:basedOn w:val="Normale"/>
    <w:rsid w:val="00585F1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2C2310"/>
    <w:pPr>
      <w:ind w:left="720"/>
      <w:contextualSpacing/>
    </w:pPr>
  </w:style>
  <w:style w:type="paragraph" w:styleId="Intestazione">
    <w:name w:val="header"/>
    <w:basedOn w:val="Normale"/>
    <w:link w:val="IntestazioneCarattere"/>
    <w:uiPriority w:val="99"/>
    <w:unhideWhenUsed/>
    <w:rsid w:val="00240E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40E0D"/>
  </w:style>
  <w:style w:type="paragraph" w:styleId="Pidipagina">
    <w:name w:val="footer"/>
    <w:basedOn w:val="Normale"/>
    <w:link w:val="PidipaginaCarattere"/>
    <w:uiPriority w:val="99"/>
    <w:unhideWhenUsed/>
    <w:rsid w:val="00240E0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40E0D"/>
  </w:style>
  <w:style w:type="paragraph" w:styleId="Testonotaapidipagina">
    <w:name w:val="footnote text"/>
    <w:basedOn w:val="Normale"/>
    <w:link w:val="TestonotaapidipaginaCarattere"/>
    <w:uiPriority w:val="99"/>
    <w:unhideWhenUsed/>
    <w:rsid w:val="001B525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1B525E"/>
    <w:rPr>
      <w:sz w:val="20"/>
      <w:szCs w:val="20"/>
    </w:rPr>
  </w:style>
  <w:style w:type="character" w:styleId="Rimandonotaapidipagina">
    <w:name w:val="footnote reference"/>
    <w:basedOn w:val="Carpredefinitoparagrafo"/>
    <w:uiPriority w:val="99"/>
    <w:semiHidden/>
    <w:unhideWhenUsed/>
    <w:rsid w:val="001B525E"/>
    <w:rPr>
      <w:vertAlign w:val="superscript"/>
    </w:rPr>
  </w:style>
  <w:style w:type="character" w:styleId="Collegamentoipertestuale">
    <w:name w:val="Hyperlink"/>
    <w:basedOn w:val="Carpredefinitoparagrafo"/>
    <w:uiPriority w:val="99"/>
    <w:unhideWhenUsed/>
    <w:rsid w:val="00141D2E"/>
    <w:rPr>
      <w:color w:val="0563C1" w:themeColor="hyperlink"/>
      <w:u w:val="single"/>
    </w:rPr>
  </w:style>
  <w:style w:type="paragraph" w:styleId="Testofumetto">
    <w:name w:val="Balloon Text"/>
    <w:basedOn w:val="Normale"/>
    <w:link w:val="TestofumettoCarattere"/>
    <w:uiPriority w:val="99"/>
    <w:semiHidden/>
    <w:unhideWhenUsed/>
    <w:rsid w:val="0039311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93118"/>
    <w:rPr>
      <w:rFonts w:ascii="Segoe UI" w:hAnsi="Segoe UI" w:cs="Segoe UI"/>
      <w:sz w:val="18"/>
      <w:szCs w:val="18"/>
    </w:rPr>
  </w:style>
  <w:style w:type="paragraph" w:styleId="Puntoelenco">
    <w:name w:val="List Bullet"/>
    <w:basedOn w:val="Normale"/>
    <w:uiPriority w:val="99"/>
    <w:unhideWhenUsed/>
    <w:rsid w:val="00C66F53"/>
    <w:pPr>
      <w:numPr>
        <w:numId w:val="18"/>
      </w:numPr>
      <w:contextualSpacing/>
    </w:pPr>
  </w:style>
  <w:style w:type="paragraph" w:styleId="Testonotadichiusura">
    <w:name w:val="endnote text"/>
    <w:basedOn w:val="Normale"/>
    <w:link w:val="TestonotadichiusuraCarattere"/>
    <w:uiPriority w:val="99"/>
    <w:semiHidden/>
    <w:unhideWhenUsed/>
    <w:rsid w:val="00E57416"/>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E57416"/>
    <w:rPr>
      <w:sz w:val="20"/>
      <w:szCs w:val="20"/>
    </w:rPr>
  </w:style>
  <w:style w:type="character" w:styleId="Rimandonotadichiusura">
    <w:name w:val="endnote reference"/>
    <w:basedOn w:val="Carpredefinitoparagrafo"/>
    <w:uiPriority w:val="99"/>
    <w:semiHidden/>
    <w:unhideWhenUsed/>
    <w:rsid w:val="00E574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727637">
      <w:bodyDiv w:val="1"/>
      <w:marLeft w:val="0"/>
      <w:marRight w:val="0"/>
      <w:marTop w:val="0"/>
      <w:marBottom w:val="0"/>
      <w:divBdr>
        <w:top w:val="none" w:sz="0" w:space="0" w:color="auto"/>
        <w:left w:val="none" w:sz="0" w:space="0" w:color="auto"/>
        <w:bottom w:val="none" w:sz="0" w:space="0" w:color="auto"/>
        <w:right w:val="none" w:sz="0" w:space="0" w:color="auto"/>
      </w:divBdr>
    </w:div>
    <w:div w:id="1760054065">
      <w:bodyDiv w:val="1"/>
      <w:marLeft w:val="0"/>
      <w:marRight w:val="0"/>
      <w:marTop w:val="0"/>
      <w:marBottom w:val="0"/>
      <w:divBdr>
        <w:top w:val="none" w:sz="0" w:space="0" w:color="auto"/>
        <w:left w:val="none" w:sz="0" w:space="0" w:color="auto"/>
        <w:bottom w:val="none" w:sz="0" w:space="0" w:color="auto"/>
        <w:right w:val="none" w:sz="0" w:space="0" w:color="auto"/>
      </w:divBdr>
      <w:divsChild>
        <w:div w:id="1551958100">
          <w:marLeft w:val="0"/>
          <w:marRight w:val="0"/>
          <w:marTop w:val="0"/>
          <w:marBottom w:val="0"/>
          <w:divBdr>
            <w:top w:val="none" w:sz="0" w:space="0" w:color="auto"/>
            <w:left w:val="none" w:sz="0" w:space="0" w:color="auto"/>
            <w:bottom w:val="none" w:sz="0" w:space="0" w:color="auto"/>
            <w:right w:val="none" w:sz="0" w:space="0" w:color="auto"/>
          </w:divBdr>
        </w:div>
        <w:div w:id="247202266">
          <w:marLeft w:val="0"/>
          <w:marRight w:val="0"/>
          <w:marTop w:val="0"/>
          <w:marBottom w:val="0"/>
          <w:divBdr>
            <w:top w:val="none" w:sz="0" w:space="0" w:color="auto"/>
            <w:left w:val="none" w:sz="0" w:space="0" w:color="auto"/>
            <w:bottom w:val="none" w:sz="0" w:space="0" w:color="auto"/>
            <w:right w:val="none" w:sz="0" w:space="0" w:color="auto"/>
          </w:divBdr>
        </w:div>
        <w:div w:id="459884191">
          <w:marLeft w:val="0"/>
          <w:marRight w:val="0"/>
          <w:marTop w:val="0"/>
          <w:marBottom w:val="0"/>
          <w:divBdr>
            <w:top w:val="none" w:sz="0" w:space="0" w:color="auto"/>
            <w:left w:val="none" w:sz="0" w:space="0" w:color="auto"/>
            <w:bottom w:val="none" w:sz="0" w:space="0" w:color="auto"/>
            <w:right w:val="none" w:sz="0" w:space="0" w:color="auto"/>
          </w:divBdr>
        </w:div>
        <w:div w:id="1336300373">
          <w:marLeft w:val="0"/>
          <w:marRight w:val="0"/>
          <w:marTop w:val="0"/>
          <w:marBottom w:val="0"/>
          <w:divBdr>
            <w:top w:val="none" w:sz="0" w:space="0" w:color="auto"/>
            <w:left w:val="none" w:sz="0" w:space="0" w:color="auto"/>
            <w:bottom w:val="none" w:sz="0" w:space="0" w:color="auto"/>
            <w:right w:val="none" w:sz="0" w:space="0" w:color="auto"/>
          </w:divBdr>
        </w:div>
        <w:div w:id="378483515">
          <w:marLeft w:val="0"/>
          <w:marRight w:val="0"/>
          <w:marTop w:val="0"/>
          <w:marBottom w:val="0"/>
          <w:divBdr>
            <w:top w:val="none" w:sz="0" w:space="0" w:color="auto"/>
            <w:left w:val="none" w:sz="0" w:space="0" w:color="auto"/>
            <w:bottom w:val="none" w:sz="0" w:space="0" w:color="auto"/>
            <w:right w:val="none" w:sz="0" w:space="0" w:color="auto"/>
          </w:divBdr>
        </w:div>
        <w:div w:id="2087802309">
          <w:marLeft w:val="0"/>
          <w:marRight w:val="0"/>
          <w:marTop w:val="0"/>
          <w:marBottom w:val="0"/>
          <w:divBdr>
            <w:top w:val="none" w:sz="0" w:space="0" w:color="auto"/>
            <w:left w:val="none" w:sz="0" w:space="0" w:color="auto"/>
            <w:bottom w:val="none" w:sz="0" w:space="0" w:color="auto"/>
            <w:right w:val="none" w:sz="0" w:space="0" w:color="auto"/>
          </w:divBdr>
        </w:div>
        <w:div w:id="2123063509">
          <w:marLeft w:val="0"/>
          <w:marRight w:val="0"/>
          <w:marTop w:val="0"/>
          <w:marBottom w:val="0"/>
          <w:divBdr>
            <w:top w:val="none" w:sz="0" w:space="0" w:color="auto"/>
            <w:left w:val="none" w:sz="0" w:space="0" w:color="auto"/>
            <w:bottom w:val="none" w:sz="0" w:space="0" w:color="auto"/>
            <w:right w:val="none" w:sz="0" w:space="0" w:color="auto"/>
          </w:divBdr>
        </w:div>
        <w:div w:id="2055495284">
          <w:marLeft w:val="0"/>
          <w:marRight w:val="0"/>
          <w:marTop w:val="0"/>
          <w:marBottom w:val="0"/>
          <w:divBdr>
            <w:top w:val="none" w:sz="0" w:space="0" w:color="auto"/>
            <w:left w:val="none" w:sz="0" w:space="0" w:color="auto"/>
            <w:bottom w:val="none" w:sz="0" w:space="0" w:color="auto"/>
            <w:right w:val="none" w:sz="0" w:space="0" w:color="auto"/>
          </w:divBdr>
        </w:div>
        <w:div w:id="1028095006">
          <w:marLeft w:val="0"/>
          <w:marRight w:val="0"/>
          <w:marTop w:val="0"/>
          <w:marBottom w:val="0"/>
          <w:divBdr>
            <w:top w:val="none" w:sz="0" w:space="0" w:color="auto"/>
            <w:left w:val="none" w:sz="0" w:space="0" w:color="auto"/>
            <w:bottom w:val="none" w:sz="0" w:space="0" w:color="auto"/>
            <w:right w:val="none" w:sz="0" w:space="0" w:color="auto"/>
          </w:divBdr>
        </w:div>
        <w:div w:id="639266245">
          <w:marLeft w:val="0"/>
          <w:marRight w:val="0"/>
          <w:marTop w:val="0"/>
          <w:marBottom w:val="0"/>
          <w:divBdr>
            <w:top w:val="none" w:sz="0" w:space="0" w:color="auto"/>
            <w:left w:val="none" w:sz="0" w:space="0" w:color="auto"/>
            <w:bottom w:val="none" w:sz="0" w:space="0" w:color="auto"/>
            <w:right w:val="none" w:sz="0" w:space="0" w:color="auto"/>
          </w:divBdr>
        </w:div>
        <w:div w:id="1058239896">
          <w:marLeft w:val="0"/>
          <w:marRight w:val="0"/>
          <w:marTop w:val="0"/>
          <w:marBottom w:val="0"/>
          <w:divBdr>
            <w:top w:val="none" w:sz="0" w:space="0" w:color="auto"/>
            <w:left w:val="none" w:sz="0" w:space="0" w:color="auto"/>
            <w:bottom w:val="none" w:sz="0" w:space="0" w:color="auto"/>
            <w:right w:val="none" w:sz="0" w:space="0" w:color="auto"/>
          </w:divBdr>
        </w:div>
        <w:div w:id="1918829511">
          <w:marLeft w:val="0"/>
          <w:marRight w:val="0"/>
          <w:marTop w:val="0"/>
          <w:marBottom w:val="0"/>
          <w:divBdr>
            <w:top w:val="none" w:sz="0" w:space="0" w:color="auto"/>
            <w:left w:val="none" w:sz="0" w:space="0" w:color="auto"/>
            <w:bottom w:val="none" w:sz="0" w:space="0" w:color="auto"/>
            <w:right w:val="none" w:sz="0" w:space="0" w:color="auto"/>
          </w:divBdr>
        </w:div>
        <w:div w:id="1616399619">
          <w:marLeft w:val="0"/>
          <w:marRight w:val="0"/>
          <w:marTop w:val="0"/>
          <w:marBottom w:val="0"/>
          <w:divBdr>
            <w:top w:val="none" w:sz="0" w:space="0" w:color="auto"/>
            <w:left w:val="none" w:sz="0" w:space="0" w:color="auto"/>
            <w:bottom w:val="none" w:sz="0" w:space="0" w:color="auto"/>
            <w:right w:val="none" w:sz="0" w:space="0" w:color="auto"/>
          </w:divBdr>
        </w:div>
        <w:div w:id="349140960">
          <w:marLeft w:val="0"/>
          <w:marRight w:val="0"/>
          <w:marTop w:val="0"/>
          <w:marBottom w:val="0"/>
          <w:divBdr>
            <w:top w:val="none" w:sz="0" w:space="0" w:color="auto"/>
            <w:left w:val="none" w:sz="0" w:space="0" w:color="auto"/>
            <w:bottom w:val="none" w:sz="0" w:space="0" w:color="auto"/>
            <w:right w:val="none" w:sz="0" w:space="0" w:color="auto"/>
          </w:divBdr>
        </w:div>
        <w:div w:id="52511820">
          <w:marLeft w:val="0"/>
          <w:marRight w:val="0"/>
          <w:marTop w:val="0"/>
          <w:marBottom w:val="0"/>
          <w:divBdr>
            <w:top w:val="none" w:sz="0" w:space="0" w:color="auto"/>
            <w:left w:val="none" w:sz="0" w:space="0" w:color="auto"/>
            <w:bottom w:val="none" w:sz="0" w:space="0" w:color="auto"/>
            <w:right w:val="none" w:sz="0" w:space="0" w:color="auto"/>
          </w:divBdr>
        </w:div>
        <w:div w:id="1109278717">
          <w:marLeft w:val="0"/>
          <w:marRight w:val="0"/>
          <w:marTop w:val="0"/>
          <w:marBottom w:val="0"/>
          <w:divBdr>
            <w:top w:val="none" w:sz="0" w:space="0" w:color="auto"/>
            <w:left w:val="none" w:sz="0" w:space="0" w:color="auto"/>
            <w:bottom w:val="none" w:sz="0" w:space="0" w:color="auto"/>
            <w:right w:val="none" w:sz="0" w:space="0" w:color="auto"/>
          </w:divBdr>
        </w:div>
        <w:div w:id="1797484875">
          <w:marLeft w:val="0"/>
          <w:marRight w:val="0"/>
          <w:marTop w:val="0"/>
          <w:marBottom w:val="0"/>
          <w:divBdr>
            <w:top w:val="none" w:sz="0" w:space="0" w:color="auto"/>
            <w:left w:val="none" w:sz="0" w:space="0" w:color="auto"/>
            <w:bottom w:val="none" w:sz="0" w:space="0" w:color="auto"/>
            <w:right w:val="none" w:sz="0" w:space="0" w:color="auto"/>
          </w:divBdr>
        </w:div>
        <w:div w:id="89594084">
          <w:marLeft w:val="0"/>
          <w:marRight w:val="0"/>
          <w:marTop w:val="0"/>
          <w:marBottom w:val="0"/>
          <w:divBdr>
            <w:top w:val="none" w:sz="0" w:space="0" w:color="auto"/>
            <w:left w:val="none" w:sz="0" w:space="0" w:color="auto"/>
            <w:bottom w:val="none" w:sz="0" w:space="0" w:color="auto"/>
            <w:right w:val="none" w:sz="0" w:space="0" w:color="auto"/>
          </w:divBdr>
        </w:div>
        <w:div w:id="85618834">
          <w:marLeft w:val="0"/>
          <w:marRight w:val="0"/>
          <w:marTop w:val="0"/>
          <w:marBottom w:val="0"/>
          <w:divBdr>
            <w:top w:val="none" w:sz="0" w:space="0" w:color="auto"/>
            <w:left w:val="none" w:sz="0" w:space="0" w:color="auto"/>
            <w:bottom w:val="none" w:sz="0" w:space="0" w:color="auto"/>
            <w:right w:val="none" w:sz="0" w:space="0" w:color="auto"/>
          </w:divBdr>
        </w:div>
        <w:div w:id="1044988307">
          <w:marLeft w:val="0"/>
          <w:marRight w:val="0"/>
          <w:marTop w:val="0"/>
          <w:marBottom w:val="0"/>
          <w:divBdr>
            <w:top w:val="none" w:sz="0" w:space="0" w:color="auto"/>
            <w:left w:val="none" w:sz="0" w:space="0" w:color="auto"/>
            <w:bottom w:val="none" w:sz="0" w:space="0" w:color="auto"/>
            <w:right w:val="none" w:sz="0" w:space="0" w:color="auto"/>
          </w:divBdr>
        </w:div>
        <w:div w:id="1155877601">
          <w:marLeft w:val="0"/>
          <w:marRight w:val="0"/>
          <w:marTop w:val="0"/>
          <w:marBottom w:val="0"/>
          <w:divBdr>
            <w:top w:val="none" w:sz="0" w:space="0" w:color="auto"/>
            <w:left w:val="none" w:sz="0" w:space="0" w:color="auto"/>
            <w:bottom w:val="none" w:sz="0" w:space="0" w:color="auto"/>
            <w:right w:val="none" w:sz="0" w:space="0" w:color="auto"/>
          </w:divBdr>
        </w:div>
        <w:div w:id="1212613506">
          <w:marLeft w:val="0"/>
          <w:marRight w:val="0"/>
          <w:marTop w:val="0"/>
          <w:marBottom w:val="0"/>
          <w:divBdr>
            <w:top w:val="none" w:sz="0" w:space="0" w:color="auto"/>
            <w:left w:val="none" w:sz="0" w:space="0" w:color="auto"/>
            <w:bottom w:val="none" w:sz="0" w:space="0" w:color="auto"/>
            <w:right w:val="none" w:sz="0" w:space="0" w:color="auto"/>
          </w:divBdr>
        </w:div>
        <w:div w:id="249702193">
          <w:marLeft w:val="0"/>
          <w:marRight w:val="0"/>
          <w:marTop w:val="0"/>
          <w:marBottom w:val="0"/>
          <w:divBdr>
            <w:top w:val="none" w:sz="0" w:space="0" w:color="auto"/>
            <w:left w:val="none" w:sz="0" w:space="0" w:color="auto"/>
            <w:bottom w:val="none" w:sz="0" w:space="0" w:color="auto"/>
            <w:right w:val="none" w:sz="0" w:space="0" w:color="auto"/>
          </w:divBdr>
        </w:div>
        <w:div w:id="581834361">
          <w:marLeft w:val="0"/>
          <w:marRight w:val="0"/>
          <w:marTop w:val="0"/>
          <w:marBottom w:val="0"/>
          <w:divBdr>
            <w:top w:val="none" w:sz="0" w:space="0" w:color="auto"/>
            <w:left w:val="none" w:sz="0" w:space="0" w:color="auto"/>
            <w:bottom w:val="none" w:sz="0" w:space="0" w:color="auto"/>
            <w:right w:val="none" w:sz="0" w:space="0" w:color="auto"/>
          </w:divBdr>
        </w:div>
        <w:div w:id="1001737402">
          <w:marLeft w:val="0"/>
          <w:marRight w:val="0"/>
          <w:marTop w:val="0"/>
          <w:marBottom w:val="0"/>
          <w:divBdr>
            <w:top w:val="none" w:sz="0" w:space="0" w:color="auto"/>
            <w:left w:val="none" w:sz="0" w:space="0" w:color="auto"/>
            <w:bottom w:val="none" w:sz="0" w:space="0" w:color="auto"/>
            <w:right w:val="none" w:sz="0" w:space="0" w:color="auto"/>
          </w:divBdr>
        </w:div>
        <w:div w:id="516894798">
          <w:marLeft w:val="0"/>
          <w:marRight w:val="0"/>
          <w:marTop w:val="0"/>
          <w:marBottom w:val="0"/>
          <w:divBdr>
            <w:top w:val="none" w:sz="0" w:space="0" w:color="auto"/>
            <w:left w:val="none" w:sz="0" w:space="0" w:color="auto"/>
            <w:bottom w:val="none" w:sz="0" w:space="0" w:color="auto"/>
            <w:right w:val="none" w:sz="0" w:space="0" w:color="auto"/>
          </w:divBdr>
        </w:div>
        <w:div w:id="938174566">
          <w:marLeft w:val="0"/>
          <w:marRight w:val="0"/>
          <w:marTop w:val="0"/>
          <w:marBottom w:val="0"/>
          <w:divBdr>
            <w:top w:val="none" w:sz="0" w:space="0" w:color="auto"/>
            <w:left w:val="none" w:sz="0" w:space="0" w:color="auto"/>
            <w:bottom w:val="none" w:sz="0" w:space="0" w:color="auto"/>
            <w:right w:val="none" w:sz="0" w:space="0" w:color="auto"/>
          </w:divBdr>
        </w:div>
        <w:div w:id="1195507816">
          <w:marLeft w:val="0"/>
          <w:marRight w:val="0"/>
          <w:marTop w:val="0"/>
          <w:marBottom w:val="0"/>
          <w:divBdr>
            <w:top w:val="none" w:sz="0" w:space="0" w:color="auto"/>
            <w:left w:val="none" w:sz="0" w:space="0" w:color="auto"/>
            <w:bottom w:val="none" w:sz="0" w:space="0" w:color="auto"/>
            <w:right w:val="none" w:sz="0" w:space="0" w:color="auto"/>
          </w:divBdr>
        </w:div>
        <w:div w:id="270867700">
          <w:marLeft w:val="0"/>
          <w:marRight w:val="0"/>
          <w:marTop w:val="0"/>
          <w:marBottom w:val="0"/>
          <w:divBdr>
            <w:top w:val="none" w:sz="0" w:space="0" w:color="auto"/>
            <w:left w:val="none" w:sz="0" w:space="0" w:color="auto"/>
            <w:bottom w:val="none" w:sz="0" w:space="0" w:color="auto"/>
            <w:right w:val="none" w:sz="0" w:space="0" w:color="auto"/>
          </w:divBdr>
        </w:div>
        <w:div w:id="1558860519">
          <w:marLeft w:val="0"/>
          <w:marRight w:val="0"/>
          <w:marTop w:val="0"/>
          <w:marBottom w:val="0"/>
          <w:divBdr>
            <w:top w:val="none" w:sz="0" w:space="0" w:color="auto"/>
            <w:left w:val="none" w:sz="0" w:space="0" w:color="auto"/>
            <w:bottom w:val="none" w:sz="0" w:space="0" w:color="auto"/>
            <w:right w:val="none" w:sz="0" w:space="0" w:color="auto"/>
          </w:divBdr>
        </w:div>
        <w:div w:id="349718695">
          <w:marLeft w:val="0"/>
          <w:marRight w:val="0"/>
          <w:marTop w:val="0"/>
          <w:marBottom w:val="0"/>
          <w:divBdr>
            <w:top w:val="none" w:sz="0" w:space="0" w:color="auto"/>
            <w:left w:val="none" w:sz="0" w:space="0" w:color="auto"/>
            <w:bottom w:val="none" w:sz="0" w:space="0" w:color="auto"/>
            <w:right w:val="none" w:sz="0" w:space="0" w:color="auto"/>
          </w:divBdr>
        </w:div>
        <w:div w:id="1209341866">
          <w:marLeft w:val="0"/>
          <w:marRight w:val="0"/>
          <w:marTop w:val="0"/>
          <w:marBottom w:val="0"/>
          <w:divBdr>
            <w:top w:val="none" w:sz="0" w:space="0" w:color="auto"/>
            <w:left w:val="none" w:sz="0" w:space="0" w:color="auto"/>
            <w:bottom w:val="none" w:sz="0" w:space="0" w:color="auto"/>
            <w:right w:val="none" w:sz="0" w:space="0" w:color="auto"/>
          </w:divBdr>
        </w:div>
        <w:div w:id="1516076368">
          <w:marLeft w:val="0"/>
          <w:marRight w:val="0"/>
          <w:marTop w:val="0"/>
          <w:marBottom w:val="0"/>
          <w:divBdr>
            <w:top w:val="none" w:sz="0" w:space="0" w:color="auto"/>
            <w:left w:val="none" w:sz="0" w:space="0" w:color="auto"/>
            <w:bottom w:val="none" w:sz="0" w:space="0" w:color="auto"/>
            <w:right w:val="none" w:sz="0" w:space="0" w:color="auto"/>
          </w:divBdr>
        </w:div>
        <w:div w:id="614753189">
          <w:marLeft w:val="0"/>
          <w:marRight w:val="0"/>
          <w:marTop w:val="0"/>
          <w:marBottom w:val="0"/>
          <w:divBdr>
            <w:top w:val="none" w:sz="0" w:space="0" w:color="auto"/>
            <w:left w:val="none" w:sz="0" w:space="0" w:color="auto"/>
            <w:bottom w:val="none" w:sz="0" w:space="0" w:color="auto"/>
            <w:right w:val="none" w:sz="0" w:space="0" w:color="auto"/>
          </w:divBdr>
        </w:div>
        <w:div w:id="1564681961">
          <w:marLeft w:val="0"/>
          <w:marRight w:val="0"/>
          <w:marTop w:val="0"/>
          <w:marBottom w:val="0"/>
          <w:divBdr>
            <w:top w:val="none" w:sz="0" w:space="0" w:color="auto"/>
            <w:left w:val="none" w:sz="0" w:space="0" w:color="auto"/>
            <w:bottom w:val="none" w:sz="0" w:space="0" w:color="auto"/>
            <w:right w:val="none" w:sz="0" w:space="0" w:color="auto"/>
          </w:divBdr>
        </w:div>
        <w:div w:id="1288122271">
          <w:marLeft w:val="0"/>
          <w:marRight w:val="0"/>
          <w:marTop w:val="0"/>
          <w:marBottom w:val="0"/>
          <w:divBdr>
            <w:top w:val="none" w:sz="0" w:space="0" w:color="auto"/>
            <w:left w:val="none" w:sz="0" w:space="0" w:color="auto"/>
            <w:bottom w:val="none" w:sz="0" w:space="0" w:color="auto"/>
            <w:right w:val="none" w:sz="0" w:space="0" w:color="auto"/>
          </w:divBdr>
        </w:div>
        <w:div w:id="2019188759">
          <w:marLeft w:val="0"/>
          <w:marRight w:val="0"/>
          <w:marTop w:val="0"/>
          <w:marBottom w:val="0"/>
          <w:divBdr>
            <w:top w:val="none" w:sz="0" w:space="0" w:color="auto"/>
            <w:left w:val="none" w:sz="0" w:space="0" w:color="auto"/>
            <w:bottom w:val="none" w:sz="0" w:space="0" w:color="auto"/>
            <w:right w:val="none" w:sz="0" w:space="0" w:color="auto"/>
          </w:divBdr>
        </w:div>
        <w:div w:id="121462439">
          <w:marLeft w:val="0"/>
          <w:marRight w:val="0"/>
          <w:marTop w:val="0"/>
          <w:marBottom w:val="0"/>
          <w:divBdr>
            <w:top w:val="none" w:sz="0" w:space="0" w:color="auto"/>
            <w:left w:val="none" w:sz="0" w:space="0" w:color="auto"/>
            <w:bottom w:val="none" w:sz="0" w:space="0" w:color="auto"/>
            <w:right w:val="none" w:sz="0" w:space="0" w:color="auto"/>
          </w:divBdr>
        </w:div>
        <w:div w:id="1323004885">
          <w:marLeft w:val="0"/>
          <w:marRight w:val="0"/>
          <w:marTop w:val="0"/>
          <w:marBottom w:val="0"/>
          <w:divBdr>
            <w:top w:val="none" w:sz="0" w:space="0" w:color="auto"/>
            <w:left w:val="none" w:sz="0" w:space="0" w:color="auto"/>
            <w:bottom w:val="none" w:sz="0" w:space="0" w:color="auto"/>
            <w:right w:val="none" w:sz="0" w:space="0" w:color="auto"/>
          </w:divBdr>
        </w:div>
        <w:div w:id="1463033576">
          <w:marLeft w:val="0"/>
          <w:marRight w:val="0"/>
          <w:marTop w:val="0"/>
          <w:marBottom w:val="0"/>
          <w:divBdr>
            <w:top w:val="none" w:sz="0" w:space="0" w:color="auto"/>
            <w:left w:val="none" w:sz="0" w:space="0" w:color="auto"/>
            <w:bottom w:val="none" w:sz="0" w:space="0" w:color="auto"/>
            <w:right w:val="none" w:sz="0" w:space="0" w:color="auto"/>
          </w:divBdr>
        </w:div>
        <w:div w:id="1050348911">
          <w:marLeft w:val="0"/>
          <w:marRight w:val="0"/>
          <w:marTop w:val="0"/>
          <w:marBottom w:val="0"/>
          <w:divBdr>
            <w:top w:val="none" w:sz="0" w:space="0" w:color="auto"/>
            <w:left w:val="none" w:sz="0" w:space="0" w:color="auto"/>
            <w:bottom w:val="none" w:sz="0" w:space="0" w:color="auto"/>
            <w:right w:val="none" w:sz="0" w:space="0" w:color="auto"/>
          </w:divBdr>
        </w:div>
      </w:divsChild>
    </w:div>
    <w:div w:id="1906329950">
      <w:bodyDiv w:val="1"/>
      <w:marLeft w:val="0"/>
      <w:marRight w:val="0"/>
      <w:marTop w:val="0"/>
      <w:marBottom w:val="0"/>
      <w:divBdr>
        <w:top w:val="none" w:sz="0" w:space="0" w:color="auto"/>
        <w:left w:val="none" w:sz="0" w:space="0" w:color="auto"/>
        <w:bottom w:val="none" w:sz="0" w:space="0" w:color="auto"/>
        <w:right w:val="none" w:sz="0" w:space="0" w:color="auto"/>
      </w:divBdr>
      <w:divsChild>
        <w:div w:id="74742812">
          <w:marLeft w:val="0"/>
          <w:marRight w:val="0"/>
          <w:marTop w:val="0"/>
          <w:marBottom w:val="0"/>
          <w:divBdr>
            <w:top w:val="none" w:sz="0" w:space="0" w:color="auto"/>
            <w:left w:val="none" w:sz="0" w:space="0" w:color="auto"/>
            <w:bottom w:val="none" w:sz="0" w:space="0" w:color="auto"/>
            <w:right w:val="none" w:sz="0" w:space="0" w:color="auto"/>
          </w:divBdr>
        </w:div>
        <w:div w:id="1630866265">
          <w:marLeft w:val="0"/>
          <w:marRight w:val="0"/>
          <w:marTop w:val="0"/>
          <w:marBottom w:val="0"/>
          <w:divBdr>
            <w:top w:val="none" w:sz="0" w:space="0" w:color="auto"/>
            <w:left w:val="none" w:sz="0" w:space="0" w:color="auto"/>
            <w:bottom w:val="none" w:sz="0" w:space="0" w:color="auto"/>
            <w:right w:val="none" w:sz="0" w:space="0" w:color="auto"/>
          </w:divBdr>
        </w:div>
        <w:div w:id="68591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giustizia-amministrativa.it/" TargetMode="External"/><Relationship Id="rId1" Type="http://schemas.openxmlformats.org/officeDocument/2006/relationships/hyperlink" Target="http://www.giustizia-amministrativ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842EA-8253-4305-9ADA-A8A460167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20357</Words>
  <Characters>116037</Characters>
  <Application>Microsoft Office Word</Application>
  <DocSecurity>0</DocSecurity>
  <Lines>966</Lines>
  <Paragraphs>272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LIPARI Marco</dc:creator>
  <cp:keywords/>
  <dc:description/>
  <cp:lastModifiedBy>FERRARI Giulia</cp:lastModifiedBy>
  <cp:revision>2</cp:revision>
  <cp:lastPrinted>2020-12-07T09:25:00Z</cp:lastPrinted>
  <dcterms:created xsi:type="dcterms:W3CDTF">2021-02-12T11:09:00Z</dcterms:created>
  <dcterms:modified xsi:type="dcterms:W3CDTF">2021-02-12T11:09:00Z</dcterms:modified>
</cp:coreProperties>
</file>